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C39E" w14:textId="100146E7" w:rsidR="000A1D25" w:rsidRDefault="000A1D25" w:rsidP="00D8273E">
      <w:pPr>
        <w:spacing w:after="0" w:line="360" w:lineRule="auto"/>
        <w:jc w:val="both"/>
        <w:rPr>
          <w:rFonts w:ascii="Palatino Linotype" w:hAnsi="Palatino Linotype"/>
          <w:b/>
          <w:sz w:val="24"/>
          <w:szCs w:val="24"/>
        </w:rPr>
      </w:pPr>
      <w:bookmarkStart w:id="0" w:name="_Hlk38478267"/>
      <w:bookmarkEnd w:id="0"/>
      <w:r w:rsidRPr="000A1D25">
        <w:rPr>
          <w:rFonts w:ascii="Palatino Linotype" w:hAnsi="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w:t>
      </w:r>
      <w:r>
        <w:rPr>
          <w:rFonts w:ascii="Palatino Linotype" w:hAnsi="Palatino Linotype"/>
          <w:b/>
          <w:sz w:val="24"/>
          <w:szCs w:val="24"/>
        </w:rPr>
        <w:t>MÉXICO Y MUNICIPIOS, EN LA SÉPTIMA SESIÓN ORDINARIA DEL VEINTITRÉS</w:t>
      </w:r>
      <w:r w:rsidRPr="000A1D25">
        <w:rPr>
          <w:rFonts w:ascii="Palatino Linotype" w:hAnsi="Palatino Linotype"/>
          <w:b/>
          <w:sz w:val="24"/>
          <w:szCs w:val="24"/>
        </w:rPr>
        <w:t xml:space="preserve"> DE FEBRERO DE DOS MIL VEINTIDÓS,</w:t>
      </w:r>
      <w:r w:rsidR="009F5741">
        <w:rPr>
          <w:rFonts w:ascii="Palatino Linotype" w:hAnsi="Palatino Linotype"/>
          <w:b/>
          <w:sz w:val="24"/>
          <w:szCs w:val="24"/>
        </w:rPr>
        <w:t xml:space="preserve"> EN EL RECURSO DE REVISIÓN 00426/INFOEM/IP/RR/2022</w:t>
      </w:r>
      <w:r w:rsidRPr="000A1D25">
        <w:rPr>
          <w:rFonts w:ascii="Palatino Linotype" w:hAnsi="Palatino Linotype"/>
          <w:b/>
          <w:sz w:val="24"/>
          <w:szCs w:val="24"/>
        </w:rPr>
        <w:t xml:space="preserve">. </w:t>
      </w:r>
    </w:p>
    <w:p w14:paraId="28F55B0F" w14:textId="77777777" w:rsidR="000A1D25" w:rsidRDefault="000A1D25" w:rsidP="00D8273E">
      <w:pPr>
        <w:spacing w:after="0" w:line="360" w:lineRule="auto"/>
        <w:jc w:val="both"/>
        <w:rPr>
          <w:rFonts w:ascii="Palatino Linotype" w:hAnsi="Palatino Linotype"/>
          <w:b/>
          <w:sz w:val="24"/>
          <w:szCs w:val="24"/>
        </w:rPr>
      </w:pPr>
    </w:p>
    <w:p w14:paraId="6C01838C" w14:textId="32548C4C" w:rsidR="0069251F" w:rsidRDefault="000A1D25" w:rsidP="00D8273E">
      <w:pPr>
        <w:spacing w:after="0" w:line="360" w:lineRule="auto"/>
        <w:jc w:val="both"/>
        <w:rPr>
          <w:rFonts w:ascii="Palatino Linotype" w:hAnsi="Palatino Linotype"/>
          <w:sz w:val="24"/>
          <w:szCs w:val="24"/>
        </w:rPr>
      </w:pPr>
      <w:r w:rsidRPr="000A1D25">
        <w:rPr>
          <w:rFonts w:ascii="Palatino Linotype" w:hAnsi="Palatino Linotype"/>
          <w:sz w:val="24"/>
          <w:szCs w:val="24"/>
        </w:rPr>
        <w:t>El pleno del Instituto de Transparencia, Acceso a la Información Pública y Protección de Datos Personales del Estado de México y Municipios, aprobó por unanimidad de votos, la resolución relativa a</w:t>
      </w:r>
      <w:r>
        <w:rPr>
          <w:rFonts w:ascii="Palatino Linotype" w:hAnsi="Palatino Linotype"/>
          <w:sz w:val="24"/>
          <w:szCs w:val="24"/>
        </w:rPr>
        <w:t xml:space="preserve">l recurso de revisión </w:t>
      </w:r>
      <w:r w:rsidR="009F5741">
        <w:rPr>
          <w:rFonts w:ascii="Palatino Linotype" w:hAnsi="Palatino Linotype"/>
          <w:b/>
          <w:sz w:val="24"/>
          <w:szCs w:val="24"/>
        </w:rPr>
        <w:t>00426/INFOEM/IP/RR/2022</w:t>
      </w:r>
      <w:r w:rsidRPr="000A1D25">
        <w:rPr>
          <w:rFonts w:ascii="Palatino Linotype" w:hAnsi="Palatino Linotype"/>
          <w:sz w:val="24"/>
          <w:szCs w:val="24"/>
        </w:rPr>
        <w:t xml:space="preserve">, presentada por el </w:t>
      </w:r>
      <w:r w:rsidRPr="000A1D25">
        <w:rPr>
          <w:rFonts w:ascii="Palatino Linotype" w:hAnsi="Palatino Linotype"/>
          <w:b/>
          <w:sz w:val="24"/>
          <w:szCs w:val="24"/>
        </w:rPr>
        <w:t>Comisionado Luis Gustavo Parra Noriega</w:t>
      </w:r>
      <w:r w:rsidRPr="000A1D25">
        <w:rPr>
          <w:rFonts w:ascii="Palatino Linotype" w:hAnsi="Palatino Linotype"/>
          <w:sz w:val="24"/>
          <w:szCs w:val="24"/>
        </w:rPr>
        <w:t xml:space="preserve">, respecto de la cual, la suscrita formula </w:t>
      </w:r>
      <w:r w:rsidRPr="000A1D25">
        <w:rPr>
          <w:rFonts w:ascii="Palatino Linotype" w:hAnsi="Palatino Linotype"/>
          <w:b/>
          <w:sz w:val="24"/>
          <w:szCs w:val="24"/>
        </w:rPr>
        <w:t>OPINIÓN PARTICULAR</w:t>
      </w:r>
      <w:r w:rsidRPr="000A1D25">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 </w:t>
      </w:r>
    </w:p>
    <w:p w14:paraId="25345DE9" w14:textId="1120839B" w:rsidR="000A1D25" w:rsidRDefault="000A1D25" w:rsidP="00D8273E">
      <w:pPr>
        <w:spacing w:after="0" w:line="360" w:lineRule="auto"/>
        <w:jc w:val="both"/>
        <w:rPr>
          <w:rFonts w:ascii="Palatino Linotype" w:hAnsi="Palatino Linotype"/>
          <w:sz w:val="24"/>
          <w:szCs w:val="24"/>
        </w:rPr>
      </w:pPr>
      <w:r w:rsidRPr="000A1D25">
        <w:rPr>
          <w:rFonts w:ascii="Palatino Linotype" w:hAnsi="Palatino Linotype"/>
          <w:sz w:val="24"/>
          <w:szCs w:val="24"/>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 En el caso concreto el hoy Recurrente requirió a</w:t>
      </w:r>
      <w:r>
        <w:rPr>
          <w:rFonts w:ascii="Palatino Linotype" w:hAnsi="Palatino Linotype"/>
          <w:sz w:val="24"/>
          <w:szCs w:val="24"/>
        </w:rPr>
        <w:t>l Ayuntamiento de Metepec</w:t>
      </w:r>
      <w:r w:rsidRPr="000A1D25">
        <w:rPr>
          <w:rFonts w:ascii="Palatino Linotype" w:hAnsi="Palatino Linotype"/>
          <w:sz w:val="24"/>
          <w:szCs w:val="24"/>
        </w:rPr>
        <w:t>, que en esencia se le proporcionara</w:t>
      </w:r>
      <w:r>
        <w:rPr>
          <w:rFonts w:ascii="Palatino Linotype" w:hAnsi="Palatino Linotype"/>
          <w:sz w:val="24"/>
          <w:szCs w:val="24"/>
        </w:rPr>
        <w:t xml:space="preserve"> la siguiente</w:t>
      </w:r>
      <w:r w:rsidRPr="000A1D25">
        <w:rPr>
          <w:rFonts w:ascii="Palatino Linotype" w:hAnsi="Palatino Linotype"/>
          <w:sz w:val="24"/>
          <w:szCs w:val="24"/>
        </w:rPr>
        <w:t xml:space="preserve"> información</w:t>
      </w:r>
      <w:r>
        <w:rPr>
          <w:rFonts w:ascii="Palatino Linotype" w:hAnsi="Palatino Linotype"/>
          <w:sz w:val="24"/>
          <w:szCs w:val="24"/>
        </w:rPr>
        <w:t xml:space="preserve">: </w:t>
      </w:r>
    </w:p>
    <w:p w14:paraId="5272E3D1" w14:textId="65038610" w:rsidR="000A1D25" w:rsidRPr="000A1D25" w:rsidRDefault="000A1D25" w:rsidP="00D8273E">
      <w:pPr>
        <w:spacing w:after="0" w:line="360" w:lineRule="auto"/>
        <w:jc w:val="both"/>
        <w:rPr>
          <w:rFonts w:ascii="Palatino Linotype" w:hAnsi="Palatino Linotype"/>
          <w:sz w:val="24"/>
          <w:szCs w:val="24"/>
        </w:rPr>
      </w:pPr>
      <w:r w:rsidRPr="000A1D25">
        <w:rPr>
          <w:rFonts w:ascii="Palatino Linotype" w:hAnsi="Palatino Linotype"/>
          <w:sz w:val="24"/>
          <w:szCs w:val="24"/>
        </w:rPr>
        <w:lastRenderedPageBreak/>
        <w:t xml:space="preserve"> </w:t>
      </w:r>
    </w:p>
    <w:p w14:paraId="24492111" w14:textId="5314447A" w:rsidR="000A1D25" w:rsidRPr="000A1D25" w:rsidRDefault="000A1D25" w:rsidP="000A1D25">
      <w:pPr>
        <w:spacing w:after="0" w:line="240" w:lineRule="auto"/>
        <w:ind w:left="567" w:right="990"/>
        <w:jc w:val="both"/>
        <w:rPr>
          <w:rFonts w:ascii="Palatino Linotype" w:hAnsi="Palatino Linotype"/>
          <w:bCs/>
          <w:i/>
          <w:szCs w:val="24"/>
        </w:rPr>
      </w:pPr>
      <w:r>
        <w:rPr>
          <w:rFonts w:ascii="Palatino Linotype" w:hAnsi="Palatino Linotype"/>
          <w:i/>
          <w:szCs w:val="24"/>
        </w:rPr>
        <w:t>“</w:t>
      </w:r>
      <w:r w:rsidR="009F5741" w:rsidRPr="009F5741">
        <w:rPr>
          <w:rFonts w:ascii="Palatino Linotype" w:hAnsi="Palatino Linotype"/>
          <w:i/>
          <w:szCs w:val="24"/>
        </w:rPr>
        <w:t>Para cuando el ayuntamiento de Toluca liquidará las quincenas pendientes, aguinaldos y primas vacacionales a sus trabajadores no es posible que nadie haga nada para resolver este problema, Solicito el acuerdo al que llego el ayuntamiento de Toluca con el líder sindical Juan Gabriel.” (Sic)</w:t>
      </w:r>
      <w:r w:rsidRPr="000A1D25">
        <w:rPr>
          <w:rFonts w:ascii="Palatino Linotype" w:hAnsi="Palatino Linotype"/>
          <w:i/>
          <w:szCs w:val="24"/>
        </w:rPr>
        <w:t>.” (sic)</w:t>
      </w:r>
    </w:p>
    <w:p w14:paraId="7963A517" w14:textId="77777777" w:rsidR="000A1D25" w:rsidRDefault="000A1D25" w:rsidP="00D8273E">
      <w:pPr>
        <w:spacing w:after="0" w:line="360" w:lineRule="auto"/>
        <w:jc w:val="both"/>
        <w:rPr>
          <w:rFonts w:ascii="Palatino Linotype" w:hAnsi="Palatino Linotype"/>
          <w:b/>
          <w:sz w:val="24"/>
          <w:szCs w:val="24"/>
        </w:rPr>
      </w:pPr>
    </w:p>
    <w:p w14:paraId="7BD35E6D" w14:textId="77777777" w:rsidR="009F5741" w:rsidRDefault="000A1D25" w:rsidP="009F5741">
      <w:pPr>
        <w:spacing w:after="0" w:line="360" w:lineRule="auto"/>
        <w:jc w:val="both"/>
        <w:rPr>
          <w:rFonts w:ascii="Palatino Linotype" w:hAnsi="Palatino Linotype"/>
          <w:bCs/>
          <w:sz w:val="24"/>
          <w:szCs w:val="24"/>
        </w:rPr>
      </w:pPr>
      <w:r w:rsidRPr="000A1D25">
        <w:rPr>
          <w:rFonts w:ascii="Palatino Linotype" w:hAnsi="Palatino Linotype"/>
          <w:sz w:val="24"/>
          <w:szCs w:val="24"/>
        </w:rPr>
        <w:lastRenderedPageBreak/>
        <w:t xml:space="preserve">El Sujeto Obligado, adjuntó a la respuesta el archivo denominado </w:t>
      </w:r>
      <w:r w:rsidRPr="000A1D25">
        <w:rPr>
          <w:rFonts w:ascii="Palatino Linotype" w:hAnsi="Palatino Linotype"/>
          <w:b/>
          <w:i/>
          <w:sz w:val="24"/>
          <w:szCs w:val="24"/>
        </w:rPr>
        <w:t>“</w:t>
      </w:r>
      <w:r w:rsidR="009F5741" w:rsidRPr="009F5741">
        <w:rPr>
          <w:rFonts w:ascii="Palatino Linotype" w:hAnsi="Palatino Linotype"/>
          <w:b/>
          <w:i/>
          <w:sz w:val="24"/>
          <w:szCs w:val="24"/>
        </w:rPr>
        <w:t>Respuesta SAIMEX 00205_2022.pdf.</w:t>
      </w:r>
      <w:r w:rsidRPr="000A1D25">
        <w:rPr>
          <w:rFonts w:ascii="Palatino Linotype" w:hAnsi="Palatino Linotype"/>
          <w:b/>
          <w:i/>
          <w:sz w:val="24"/>
          <w:szCs w:val="24"/>
        </w:rPr>
        <w:t>”</w:t>
      </w:r>
      <w:r w:rsidRPr="000A1D25">
        <w:rPr>
          <w:rFonts w:ascii="Palatino Linotype" w:hAnsi="Palatino Linotype"/>
          <w:sz w:val="24"/>
          <w:szCs w:val="24"/>
        </w:rPr>
        <w:t xml:space="preserve">, </w:t>
      </w:r>
      <w:bookmarkStart w:id="1" w:name="_Hlk95905664"/>
      <w:r w:rsidR="009F5741" w:rsidRPr="009F5741">
        <w:rPr>
          <w:rFonts w:ascii="Palatino Linotype" w:hAnsi="Palatino Linotype"/>
          <w:bCs/>
          <w:sz w:val="24"/>
          <w:szCs w:val="24"/>
        </w:rPr>
        <w:t xml:space="preserve">oficio de fecha treinta y uno de enero de dos mil veintidós, signado por la Titular de la Unidad de Transparencia, mediante el cual informa que la </w:t>
      </w:r>
      <w:r w:rsidR="009F5741" w:rsidRPr="009F5741">
        <w:rPr>
          <w:rFonts w:ascii="Palatino Linotype" w:hAnsi="Palatino Linotype"/>
          <w:sz w:val="24"/>
          <w:szCs w:val="24"/>
        </w:rPr>
        <w:t xml:space="preserve">Directora General de Administración, la Directora General del Instituto Municipal de Cultura Física y Deporte y la Directora General del Instituto Municipal de la Mujer </w:t>
      </w:r>
      <w:r w:rsidR="009F5741" w:rsidRPr="009F5741">
        <w:rPr>
          <w:rFonts w:ascii="Palatino Linotype" w:hAnsi="Palatino Linotype"/>
          <w:bCs/>
          <w:sz w:val="24"/>
          <w:szCs w:val="24"/>
        </w:rPr>
        <w:t xml:space="preserve">precisan que no se les ha informado respecto a dichos pagos, por lo que se encuentran imposibilitados de atender dicha interrogante, además de que el requerimiento se trata de manifestaciones subjetivas vertidas, así como interrogantes que no colma con la entrega de documentos. </w:t>
      </w:r>
    </w:p>
    <w:p w14:paraId="385EA71D" w14:textId="77777777" w:rsidR="009F5741" w:rsidRDefault="009F5741" w:rsidP="009F5741">
      <w:pPr>
        <w:spacing w:after="0" w:line="360" w:lineRule="auto"/>
        <w:jc w:val="both"/>
        <w:rPr>
          <w:rFonts w:ascii="Palatino Linotype" w:hAnsi="Palatino Linotype"/>
          <w:bCs/>
          <w:sz w:val="24"/>
          <w:szCs w:val="24"/>
        </w:rPr>
      </w:pPr>
    </w:p>
    <w:p w14:paraId="43E36B16" w14:textId="76DA8649" w:rsidR="009F5741" w:rsidRPr="009F5741" w:rsidRDefault="009F5741" w:rsidP="009F5741">
      <w:pPr>
        <w:spacing w:after="0" w:line="360" w:lineRule="auto"/>
        <w:jc w:val="both"/>
        <w:rPr>
          <w:rFonts w:ascii="Palatino Linotype" w:hAnsi="Palatino Linotype"/>
          <w:b/>
          <w:sz w:val="24"/>
          <w:szCs w:val="24"/>
        </w:rPr>
      </w:pPr>
      <w:r w:rsidRPr="009F5741">
        <w:rPr>
          <w:rFonts w:ascii="Palatino Linotype" w:hAnsi="Palatino Linotype"/>
          <w:bCs/>
          <w:sz w:val="24"/>
          <w:szCs w:val="24"/>
        </w:rPr>
        <w:t>Respecto al acuerdo al que llegó el Ayuntamiento de Toluca con el líder sindical Juan Gabriel, se menciona que después de realizar una búsqueda exhaustiva en los archivos que obran en cada una de las direcciones, no se localizó la información que se solicita</w:t>
      </w:r>
      <w:r w:rsidRPr="009F5741">
        <w:rPr>
          <w:rFonts w:ascii="Palatino Linotype" w:hAnsi="Palatino Linotype"/>
          <w:b/>
          <w:bCs/>
          <w:sz w:val="24"/>
          <w:szCs w:val="24"/>
        </w:rPr>
        <w:t xml:space="preserve">. </w:t>
      </w:r>
      <w:bookmarkStart w:id="2" w:name="_Hlk93400407"/>
    </w:p>
    <w:bookmarkEnd w:id="1"/>
    <w:bookmarkEnd w:id="2"/>
    <w:p w14:paraId="3124C736" w14:textId="77777777" w:rsidR="000A1D25" w:rsidRDefault="000A1D25" w:rsidP="00D8273E">
      <w:pPr>
        <w:spacing w:after="0" w:line="360" w:lineRule="auto"/>
        <w:jc w:val="both"/>
        <w:rPr>
          <w:rFonts w:ascii="Palatino Linotype" w:hAnsi="Palatino Linotype"/>
          <w:b/>
          <w:sz w:val="24"/>
          <w:szCs w:val="24"/>
        </w:rPr>
      </w:pPr>
    </w:p>
    <w:p w14:paraId="72BBC280" w14:textId="3A2B5DD1" w:rsidR="00B14A95" w:rsidRPr="00B14A95" w:rsidRDefault="00B14A95" w:rsidP="00D8273E">
      <w:pPr>
        <w:spacing w:after="0" w:line="360" w:lineRule="auto"/>
        <w:jc w:val="both"/>
        <w:rPr>
          <w:rFonts w:ascii="Palatino Linotype" w:hAnsi="Palatino Linotype"/>
          <w:sz w:val="24"/>
          <w:szCs w:val="24"/>
        </w:rPr>
      </w:pPr>
      <w:r w:rsidRPr="00B14A95">
        <w:rPr>
          <w:rFonts w:ascii="Palatino Linotype" w:hAnsi="Palatino Linotype"/>
          <w:sz w:val="24"/>
          <w:szCs w:val="24"/>
        </w:rPr>
        <w:t>El</w:t>
      </w:r>
      <w:r w:rsidR="000A1D25" w:rsidRPr="00B14A95">
        <w:rPr>
          <w:rFonts w:ascii="Palatino Linotype" w:hAnsi="Palatino Linotype"/>
          <w:sz w:val="24"/>
          <w:szCs w:val="24"/>
        </w:rPr>
        <w:t xml:space="preserve"> particular se inconforma en lo medular por la </w:t>
      </w:r>
      <w:r w:rsidRPr="00B14A95">
        <w:rPr>
          <w:rFonts w:ascii="Palatino Linotype" w:hAnsi="Palatino Linotype"/>
          <w:sz w:val="24"/>
          <w:szCs w:val="24"/>
        </w:rPr>
        <w:t>negativa del Sujeto Obli</w:t>
      </w:r>
      <w:r w:rsidR="009F5741">
        <w:rPr>
          <w:rFonts w:ascii="Palatino Linotype" w:hAnsi="Palatino Linotype"/>
          <w:sz w:val="24"/>
          <w:szCs w:val="24"/>
        </w:rPr>
        <w:t>gado a entregar la información</w:t>
      </w:r>
      <w:r>
        <w:rPr>
          <w:rFonts w:ascii="Palatino Linotype" w:hAnsi="Palatino Linotype"/>
          <w:sz w:val="24"/>
          <w:szCs w:val="24"/>
        </w:rPr>
        <w:t>, por lo tanto, se procedió con el trámite del recurso de revisión.</w:t>
      </w:r>
    </w:p>
    <w:p w14:paraId="526F7630" w14:textId="77777777" w:rsidR="000A1D25" w:rsidRDefault="000A1D25" w:rsidP="00D8273E">
      <w:pPr>
        <w:spacing w:after="0" w:line="360" w:lineRule="auto"/>
        <w:jc w:val="both"/>
        <w:rPr>
          <w:rFonts w:ascii="Palatino Linotype" w:hAnsi="Palatino Linotype"/>
          <w:b/>
          <w:sz w:val="24"/>
          <w:szCs w:val="24"/>
        </w:rPr>
      </w:pPr>
    </w:p>
    <w:p w14:paraId="1C9AADC8" w14:textId="7488C6D5" w:rsidR="000A1D25" w:rsidRDefault="000A1D25" w:rsidP="00D8273E">
      <w:pPr>
        <w:spacing w:after="0" w:line="360" w:lineRule="auto"/>
        <w:jc w:val="both"/>
        <w:rPr>
          <w:rFonts w:ascii="Palatino Linotype" w:hAnsi="Palatino Linotype"/>
          <w:b/>
          <w:sz w:val="24"/>
          <w:szCs w:val="24"/>
        </w:rPr>
      </w:pPr>
      <w:r w:rsidRPr="00B14A95">
        <w:rPr>
          <w:rFonts w:ascii="Palatino Linotype" w:hAnsi="Palatino Linotype"/>
          <w:sz w:val="24"/>
          <w:szCs w:val="24"/>
        </w:rPr>
        <w:t>Por lo que, previo análisis de las constancias y de la naturaleza de la in</w:t>
      </w:r>
      <w:r w:rsidR="00B14A95">
        <w:rPr>
          <w:rFonts w:ascii="Palatino Linotype" w:hAnsi="Palatino Linotype"/>
          <w:sz w:val="24"/>
          <w:szCs w:val="24"/>
        </w:rPr>
        <w:t>formación, el Comisionado Ponente</w:t>
      </w:r>
      <w:r w:rsidRPr="00B14A95">
        <w:rPr>
          <w:rFonts w:ascii="Palatino Linotype" w:hAnsi="Palatino Linotype"/>
          <w:sz w:val="24"/>
          <w:szCs w:val="24"/>
        </w:rPr>
        <w:t xml:space="preserve"> determinó e</w:t>
      </w:r>
      <w:r w:rsidR="00B14A95">
        <w:rPr>
          <w:rFonts w:ascii="Palatino Linotype" w:hAnsi="Palatino Linotype"/>
          <w:sz w:val="24"/>
          <w:szCs w:val="24"/>
        </w:rPr>
        <w:t xml:space="preserve">n su </w:t>
      </w:r>
      <w:r w:rsidR="00B14A95" w:rsidRPr="00B14A95">
        <w:rPr>
          <w:rFonts w:ascii="Palatino Linotype" w:hAnsi="Palatino Linotype"/>
          <w:b/>
          <w:sz w:val="24"/>
          <w:szCs w:val="24"/>
        </w:rPr>
        <w:t>resolutivo segundo</w:t>
      </w:r>
      <w:r w:rsidR="00B14A95">
        <w:rPr>
          <w:rFonts w:ascii="Palatino Linotype" w:hAnsi="Palatino Linotype"/>
          <w:sz w:val="24"/>
          <w:szCs w:val="24"/>
        </w:rPr>
        <w:t>, ordenar</w:t>
      </w:r>
      <w:r w:rsidRPr="000A1D25">
        <w:rPr>
          <w:rFonts w:ascii="Palatino Linotype" w:hAnsi="Palatino Linotype"/>
          <w:b/>
          <w:sz w:val="24"/>
          <w:szCs w:val="24"/>
        </w:rPr>
        <w:t xml:space="preserve"> previa búsqueda exhaustiva y razonable, </w:t>
      </w:r>
      <w:r w:rsidR="00B14A95" w:rsidRPr="00B14A95">
        <w:rPr>
          <w:rFonts w:ascii="Palatino Linotype" w:hAnsi="Palatino Linotype"/>
          <w:b/>
          <w:sz w:val="24"/>
          <w:szCs w:val="24"/>
        </w:rPr>
        <w:t>de los documentos relativos a los inmuebles mencionados en la solicitud de información, lo siguiente</w:t>
      </w:r>
      <w:r w:rsidRPr="000A1D25">
        <w:rPr>
          <w:rFonts w:ascii="Palatino Linotype" w:hAnsi="Palatino Linotype"/>
          <w:b/>
          <w:sz w:val="24"/>
          <w:szCs w:val="24"/>
        </w:rPr>
        <w:t>:</w:t>
      </w:r>
    </w:p>
    <w:p w14:paraId="2968491B" w14:textId="77777777" w:rsidR="00B14A95" w:rsidRDefault="00B14A95" w:rsidP="00B14A95">
      <w:pPr>
        <w:rPr>
          <w:rFonts w:ascii="Palatino Linotype" w:hAnsi="Palatino Linotype"/>
          <w:i/>
          <w:sz w:val="24"/>
          <w:szCs w:val="24"/>
        </w:rPr>
      </w:pPr>
    </w:p>
    <w:p w14:paraId="6A9C365E" w14:textId="5B900012" w:rsidR="009F5741" w:rsidRPr="009F5741" w:rsidRDefault="00B14A95" w:rsidP="009F5741">
      <w:pPr>
        <w:spacing w:line="240" w:lineRule="auto"/>
        <w:ind w:left="567" w:right="990"/>
        <w:jc w:val="both"/>
        <w:rPr>
          <w:rFonts w:ascii="Palatino Linotype" w:hAnsi="Palatino Linotype"/>
          <w:i/>
          <w:szCs w:val="24"/>
        </w:rPr>
      </w:pPr>
      <w:r w:rsidRPr="00B14A95">
        <w:rPr>
          <w:rFonts w:ascii="Palatino Linotype" w:hAnsi="Palatino Linotype"/>
          <w:i/>
          <w:szCs w:val="24"/>
        </w:rPr>
        <w:t>“</w:t>
      </w:r>
      <w:r w:rsidR="009F5741">
        <w:rPr>
          <w:rFonts w:ascii="Palatino Linotype" w:hAnsi="Palatino Linotype"/>
          <w:i/>
          <w:szCs w:val="24"/>
        </w:rPr>
        <w:t>a)</w:t>
      </w:r>
      <w:r w:rsidR="009F5741" w:rsidRPr="009F5741">
        <w:rPr>
          <w:rFonts w:ascii="Palatino Linotype" w:hAnsi="Palatino Linotype"/>
          <w:i/>
          <w:szCs w:val="24"/>
        </w:rPr>
        <w:t xml:space="preserve"> Recibos</w:t>
      </w:r>
      <w:r w:rsidR="009F5741" w:rsidRPr="009F5741">
        <w:rPr>
          <w:rFonts w:ascii="Palatino Linotype" w:hAnsi="Palatino Linotype"/>
          <w:i/>
          <w:szCs w:val="24"/>
        </w:rPr>
        <w:t xml:space="preserve"> de pago por concepto de salario, prima vacacional y aguinaldo, de todos los servidores públicos, del periodo comprendido del quince de enero al treinta y uno de diciembre de dos mil veintiuno. </w:t>
      </w:r>
    </w:p>
    <w:p w14:paraId="05DE9CCA" w14:textId="77777777" w:rsidR="009F5741" w:rsidRPr="009F5741" w:rsidRDefault="009F5741" w:rsidP="009F5741">
      <w:pPr>
        <w:spacing w:line="240" w:lineRule="auto"/>
        <w:ind w:left="567" w:right="990"/>
        <w:jc w:val="both"/>
        <w:rPr>
          <w:rFonts w:ascii="Palatino Linotype" w:hAnsi="Palatino Linotype"/>
          <w:i/>
          <w:szCs w:val="24"/>
        </w:rPr>
      </w:pPr>
    </w:p>
    <w:p w14:paraId="722EDBB1" w14:textId="77777777" w:rsidR="009F5741" w:rsidRDefault="009F5741" w:rsidP="009F5741">
      <w:pPr>
        <w:spacing w:line="240" w:lineRule="auto"/>
        <w:ind w:left="567" w:right="990"/>
        <w:jc w:val="both"/>
        <w:rPr>
          <w:rFonts w:ascii="Palatino Linotype" w:hAnsi="Palatino Linotype"/>
          <w:i/>
          <w:szCs w:val="24"/>
        </w:rPr>
      </w:pPr>
      <w:r>
        <w:rPr>
          <w:rFonts w:ascii="Palatino Linotype" w:hAnsi="Palatino Linotype"/>
          <w:i/>
          <w:szCs w:val="24"/>
        </w:rPr>
        <w:t>b)</w:t>
      </w:r>
      <w:r w:rsidRPr="009F5741">
        <w:rPr>
          <w:rFonts w:ascii="Palatino Linotype" w:hAnsi="Palatino Linotype"/>
          <w:i/>
          <w:szCs w:val="24"/>
        </w:rPr>
        <w:t>Acuerdo realizado entre el Ayuntamiento de Toluca y el Líder Sindical, referido en el Considerando Séptimo, con la finalidad de garantizar el pago a los trabajadores.</w:t>
      </w:r>
    </w:p>
    <w:p w14:paraId="26879930" w14:textId="5481C374" w:rsidR="009F5741" w:rsidRPr="009F5741" w:rsidRDefault="009F5741" w:rsidP="009F5741">
      <w:pPr>
        <w:spacing w:line="240" w:lineRule="auto"/>
        <w:ind w:left="567" w:right="990"/>
        <w:jc w:val="both"/>
        <w:rPr>
          <w:rFonts w:ascii="Palatino Linotype" w:hAnsi="Palatino Linotype"/>
          <w:i/>
          <w:szCs w:val="24"/>
        </w:rPr>
      </w:pPr>
      <w:r w:rsidRPr="009F5741">
        <w:rPr>
          <w:rFonts w:ascii="Palatino Linotype" w:hAnsi="Palatino Linotype"/>
          <w:i/>
          <w:szCs w:val="24"/>
        </w:rPr>
        <w:t>Además, de ser el caso,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D84BFF0" w14:textId="11340CD7" w:rsidR="009F5741" w:rsidRPr="009F5741" w:rsidRDefault="009F5741" w:rsidP="009F5741">
      <w:pPr>
        <w:spacing w:line="240" w:lineRule="auto"/>
        <w:ind w:left="567" w:right="990"/>
        <w:jc w:val="both"/>
        <w:rPr>
          <w:rFonts w:ascii="Palatino Linotype" w:hAnsi="Palatino Linotype"/>
          <w:i/>
          <w:szCs w:val="24"/>
        </w:rPr>
      </w:pPr>
      <w:r w:rsidRPr="009F5741">
        <w:rPr>
          <w:rFonts w:ascii="Palatino Linotype" w:hAnsi="Palatino Linotype"/>
          <w:i/>
          <w:szCs w:val="24"/>
        </w:rPr>
        <w:t xml:space="preserve">En caso de no contar con la información referida en el inciso a), el Sujeto Obligado deberá emitir acuerdo de inexistencia de conformidad con lo establecido en los artículos 19, párrafo tercero y 169 de la Ley de Transparencia y Acceso a la Información Pública del Estado de México y Municipios. </w:t>
      </w:r>
    </w:p>
    <w:p w14:paraId="0ED29B3D" w14:textId="18C44E7B" w:rsidR="00B14A95" w:rsidRPr="00B14A95" w:rsidRDefault="009F5741" w:rsidP="009F5741">
      <w:pPr>
        <w:spacing w:line="240" w:lineRule="auto"/>
        <w:ind w:left="567" w:right="990"/>
        <w:jc w:val="both"/>
        <w:rPr>
          <w:rFonts w:ascii="Palatino Linotype" w:hAnsi="Palatino Linotype"/>
          <w:i/>
          <w:szCs w:val="24"/>
        </w:rPr>
      </w:pPr>
      <w:r w:rsidRPr="009F5741">
        <w:rPr>
          <w:rFonts w:ascii="Palatino Linotype" w:hAnsi="Palatino Linotype"/>
          <w:i/>
          <w:szCs w:val="24"/>
        </w:rPr>
        <w:t>Para el caso de que no se haya generado el acuerdo referido en el inciso b), el Sujeto Obligado deberá hacerlo del conocimiento del Particular de manera clara y precisa.</w:t>
      </w:r>
      <w:r w:rsidR="00B14A95" w:rsidRPr="00B14A95">
        <w:rPr>
          <w:rFonts w:ascii="Palatino Linotype" w:hAnsi="Palatino Linotype"/>
          <w:i/>
          <w:szCs w:val="24"/>
        </w:rPr>
        <w:t>”</w:t>
      </w:r>
    </w:p>
    <w:p w14:paraId="21BCC077" w14:textId="77777777" w:rsidR="00B14A95" w:rsidRDefault="00B14A95" w:rsidP="00B14A95">
      <w:pPr>
        <w:spacing w:line="240" w:lineRule="auto"/>
        <w:ind w:right="990"/>
        <w:jc w:val="both"/>
        <w:rPr>
          <w:rFonts w:ascii="Palatino Linotype" w:hAnsi="Palatino Linotype"/>
          <w:i/>
          <w:szCs w:val="24"/>
        </w:rPr>
      </w:pPr>
    </w:p>
    <w:p w14:paraId="25EC28B4" w14:textId="407A06F0" w:rsidR="00B14A95" w:rsidRDefault="00B14A95" w:rsidP="00B14A95">
      <w:pPr>
        <w:spacing w:line="360" w:lineRule="auto"/>
        <w:ind w:right="-6"/>
        <w:jc w:val="both"/>
        <w:rPr>
          <w:rFonts w:ascii="Palatino Linotype" w:hAnsi="Palatino Linotype"/>
          <w:sz w:val="24"/>
          <w:szCs w:val="24"/>
        </w:rPr>
      </w:pPr>
      <w:r w:rsidRPr="00B14A95">
        <w:rPr>
          <w:rFonts w:ascii="Palatino Linotype" w:hAnsi="Palatino Linotype"/>
          <w:sz w:val="24"/>
          <w:szCs w:val="24"/>
        </w:rPr>
        <w:t>En ese sentido debe mencionarse, que como fue acordado, tratándose de i</w:t>
      </w:r>
      <w:r w:rsidR="009F5741">
        <w:rPr>
          <w:rFonts w:ascii="Palatino Linotype" w:hAnsi="Palatino Linotype"/>
          <w:sz w:val="24"/>
          <w:szCs w:val="24"/>
        </w:rPr>
        <w:t>nformación reservada como lo es</w:t>
      </w:r>
      <w:r w:rsidRPr="00B14A95">
        <w:rPr>
          <w:rFonts w:ascii="Palatino Linotype" w:hAnsi="Palatino Linotype"/>
          <w:sz w:val="24"/>
          <w:szCs w:val="24"/>
        </w:rPr>
        <w:t xml:space="preserve"> </w:t>
      </w:r>
      <w:r w:rsidR="009F5741" w:rsidRPr="009F5741">
        <w:rPr>
          <w:rFonts w:ascii="Palatino Linotype" w:hAnsi="Palatino Linotype"/>
          <w:b/>
          <w:sz w:val="24"/>
          <w:szCs w:val="24"/>
        </w:rPr>
        <w:t xml:space="preserve">la reserva del nombre de los elementos operativos de la Dirección de Seguridad Pública, </w:t>
      </w:r>
      <w:r w:rsidRPr="00B14A95">
        <w:rPr>
          <w:rFonts w:ascii="Palatino Linotype" w:hAnsi="Palatino Linotype"/>
          <w:sz w:val="24"/>
          <w:szCs w:val="24"/>
        </w:rPr>
        <w:t>se deberá clasificar como información reservada para lo que es necesario el desarrollo de la prueba de daño, 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Confirme una clasificación, debe contener un análisis exhaustivo de los elementos de forma y fondo que establecen los artículos 122, 125, 128, 129, 130, 131, 132 fracción II, 134 de la Ley de Transparencia y</w:t>
      </w:r>
      <w:r>
        <w:rPr>
          <w:rFonts w:ascii="Palatino Linotype" w:hAnsi="Palatino Linotype"/>
          <w:sz w:val="24"/>
          <w:szCs w:val="24"/>
        </w:rPr>
        <w:t xml:space="preserve"> </w:t>
      </w:r>
      <w:r w:rsidRPr="00B14A95">
        <w:rPr>
          <w:rFonts w:ascii="Palatino Linotype" w:hAnsi="Palatino Linotype"/>
          <w:sz w:val="24"/>
          <w:szCs w:val="24"/>
        </w:rPr>
        <w:t xml:space="preserve">Acceso a la Información Pública del Estado de México y Municipios y los Lineamientos Generales en Materia de Clasificación y Desclasificación de la Información, así como para la elaboración de Versiones Públicas. 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 </w:t>
      </w:r>
    </w:p>
    <w:p w14:paraId="55F5E498" w14:textId="77777777" w:rsidR="00B14A95" w:rsidRPr="00C960CF" w:rsidRDefault="00B14A95" w:rsidP="00C960CF">
      <w:pPr>
        <w:spacing w:line="240" w:lineRule="auto"/>
        <w:ind w:left="567" w:right="990"/>
        <w:jc w:val="both"/>
        <w:rPr>
          <w:rFonts w:ascii="Palatino Linotype" w:hAnsi="Palatino Linotype"/>
          <w:i/>
        </w:rPr>
      </w:pPr>
      <w:r w:rsidRPr="00C960CF">
        <w:rPr>
          <w:rFonts w:ascii="Palatino Linotype" w:hAnsi="Palatino Linotype"/>
          <w:i/>
        </w:rPr>
        <w:t xml:space="preserve">"Trigésimo tercero. Para la aplicación de la prueba de daño a la que hace referencia el artículo 104 de la Ley General, los sujetos obligados atenderán lo siguiente: </w:t>
      </w:r>
    </w:p>
    <w:p w14:paraId="0DA12724" w14:textId="68801A45" w:rsidR="00B14A95" w:rsidRPr="00C960CF" w:rsidRDefault="00B14A95" w:rsidP="00C960CF">
      <w:pPr>
        <w:pStyle w:val="Prrafodelista"/>
        <w:numPr>
          <w:ilvl w:val="0"/>
          <w:numId w:val="33"/>
        </w:numPr>
        <w:ind w:left="567" w:right="990" w:hanging="141"/>
        <w:jc w:val="both"/>
        <w:rPr>
          <w:rFonts w:ascii="Palatino Linotype" w:hAnsi="Palatino Linotype"/>
          <w:i/>
          <w:sz w:val="22"/>
          <w:szCs w:val="22"/>
        </w:rPr>
      </w:pPr>
      <w:r w:rsidRPr="00C960CF">
        <w:rPr>
          <w:rFonts w:ascii="Palatino Linotype" w:hAnsi="Palatino Linotype"/>
          <w:i/>
          <w:sz w:val="22"/>
          <w:szCs w:val="22"/>
        </w:rPr>
        <w:t xml:space="preserve">Se deberá citar la fracción y, en su caso, la causal aplicable del artículo 113 de la Ley General, vinculándola con el Lineamiento especifico del presente ordenamiento y, cuando corresponda, el supuesto normativo que expresamente le otorga el carácter de información reservada; </w:t>
      </w:r>
    </w:p>
    <w:p w14:paraId="280990C7"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szCs w:val="22"/>
        </w:rPr>
      </w:pPr>
      <w:r w:rsidRPr="00C960CF">
        <w:rPr>
          <w:rFonts w:ascii="Palatino Linotype" w:hAnsi="Palatino Linotype"/>
          <w:i/>
          <w:sz w:val="22"/>
          <w:szCs w:val="22"/>
        </w:rPr>
        <w:t xml:space="preserve">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5AB8D0C0"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szCs w:val="22"/>
        </w:rPr>
      </w:pPr>
      <w:r w:rsidRPr="00C960CF">
        <w:rPr>
          <w:rFonts w:ascii="Palatino Linotype" w:hAnsi="Palatino Linotype"/>
          <w:i/>
          <w:sz w:val="22"/>
          <w:szCs w:val="22"/>
        </w:rPr>
        <w:t xml:space="preserve">Se debe de acreditar el vínculo entre la difusión de la información y la afectación del interés jurídico tutelado de que se trate; </w:t>
      </w:r>
    </w:p>
    <w:p w14:paraId="729305EA"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Precisar las razones objetivas por las que la apertura de la información generaría una afectación, a través de los elementos de un riesgo real, demostrable e identificable; </w:t>
      </w:r>
    </w:p>
    <w:p w14:paraId="07C7AC4E"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En la motivación de la clasificación, el sujeto obligado deberá acreditar las circunstancias de modo, tiempo y lugar del daño, y </w:t>
      </w:r>
    </w:p>
    <w:p w14:paraId="4BCB0CAA"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 </w:t>
      </w:r>
    </w:p>
    <w:p w14:paraId="5050FB47" w14:textId="77777777" w:rsidR="00C960CF" w:rsidRDefault="00C960CF" w:rsidP="00C960CF">
      <w:pPr>
        <w:spacing w:line="360" w:lineRule="auto"/>
        <w:ind w:right="-6"/>
        <w:jc w:val="both"/>
        <w:rPr>
          <w:rFonts w:ascii="Palatino Linotype" w:hAnsi="Palatino Linotype"/>
          <w:sz w:val="24"/>
        </w:rPr>
      </w:pPr>
    </w:p>
    <w:p w14:paraId="11B6D05A" w14:textId="77777777" w:rsidR="00C960CF" w:rsidRDefault="00B14A95" w:rsidP="00C960CF">
      <w:pPr>
        <w:spacing w:line="360" w:lineRule="auto"/>
        <w:ind w:right="-6"/>
        <w:jc w:val="both"/>
        <w:rPr>
          <w:rFonts w:ascii="Palatino Linotype" w:hAnsi="Palatino Linotype"/>
          <w:sz w:val="24"/>
        </w:rPr>
      </w:pPr>
      <w:r w:rsidRPr="00C960CF">
        <w:rPr>
          <w:rFonts w:ascii="Palatino Linotype" w:hAnsi="Palatino Linotype"/>
          <w:sz w:val="24"/>
        </w:rPr>
        <w:t xml:space="preserve">En conclusión, para convalidar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 como es la figura de la clasificación de la información para verificar que se acredita la prueba de daño. </w:t>
      </w:r>
    </w:p>
    <w:p w14:paraId="71FA3C60" w14:textId="3152E028" w:rsidR="00C960CF" w:rsidRDefault="00B14A95" w:rsidP="00C960CF">
      <w:pPr>
        <w:spacing w:line="360" w:lineRule="auto"/>
        <w:ind w:left="-142" w:right="-6"/>
        <w:jc w:val="both"/>
        <w:rPr>
          <w:rFonts w:ascii="Palatino Linotype" w:hAnsi="Palatino Linotype"/>
          <w:sz w:val="24"/>
        </w:rPr>
      </w:pPr>
      <w:r w:rsidRPr="00C960CF">
        <w:rPr>
          <w:rFonts w:ascii="Palatino Linotype" w:hAnsi="Palatino Linotype"/>
          <w:sz w:val="24"/>
        </w:rPr>
        <w:t>Bajo este contexto, se analizó la resoluci</w:t>
      </w:r>
      <w:r w:rsidR="00C960CF">
        <w:rPr>
          <w:rFonts w:ascii="Palatino Linotype" w:hAnsi="Palatino Linotype"/>
          <w:sz w:val="24"/>
        </w:rPr>
        <w:t xml:space="preserve">ón del recurso de revisión </w:t>
      </w:r>
      <w:r w:rsidR="009F5741">
        <w:rPr>
          <w:rFonts w:ascii="Palatino Linotype" w:hAnsi="Palatino Linotype"/>
          <w:b/>
          <w:sz w:val="24"/>
        </w:rPr>
        <w:t>00426/INFOEM/IP/RR/2022</w:t>
      </w:r>
      <w:r w:rsidRPr="00C960CF">
        <w:rPr>
          <w:rFonts w:ascii="Palatino Linotype" w:hAnsi="Palatino Linotype"/>
          <w:sz w:val="24"/>
        </w:rPr>
        <w:t xml:space="preserve">, en la cual, el </w:t>
      </w:r>
      <w:r w:rsidRPr="00C960CF">
        <w:rPr>
          <w:rFonts w:ascii="Palatino Linotype" w:hAnsi="Palatino Linotype"/>
          <w:b/>
          <w:sz w:val="24"/>
        </w:rPr>
        <w:t>Comisionado Luis Gustavo Parra Noriega</w:t>
      </w:r>
      <w:r w:rsidRPr="00C960CF">
        <w:rPr>
          <w:rFonts w:ascii="Palatino Linotype" w:hAnsi="Palatino Linotype"/>
          <w:sz w:val="24"/>
        </w:rPr>
        <w:t>, realiza la prueba de daño a partir de los elementos proporcionados por las partes,</w:t>
      </w:r>
      <w:r w:rsidR="00C960CF">
        <w:rPr>
          <w:rFonts w:ascii="Palatino Linotype" w:hAnsi="Palatino Linotype"/>
          <w:sz w:val="24"/>
        </w:rPr>
        <w:t xml:space="preserve"> </w:t>
      </w:r>
      <w:r w:rsidR="00C960CF" w:rsidRPr="00C960CF">
        <w:rPr>
          <w:rFonts w:ascii="Palatino Linotype" w:hAnsi="Palatino Linotype"/>
          <w:sz w:val="24"/>
        </w:rPr>
        <w:t xml:space="preserve">circunstancias que, a consideración de la suscrita y derivado de lo antes señalado, les corresponde comprobar a los Sujetos Obligados,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 </w:t>
      </w:r>
    </w:p>
    <w:p w14:paraId="10ED5C7C" w14:textId="27EB2710" w:rsidR="00C960CF" w:rsidRDefault="00C960CF" w:rsidP="00C960CF">
      <w:pPr>
        <w:spacing w:line="240" w:lineRule="auto"/>
        <w:ind w:left="567" w:right="990"/>
        <w:jc w:val="both"/>
        <w:rPr>
          <w:rFonts w:ascii="Palatino Linotype" w:hAnsi="Palatino Linotype"/>
          <w:sz w:val="24"/>
        </w:rPr>
      </w:pPr>
      <w:r w:rsidRPr="00C960CF">
        <w:rPr>
          <w:rFonts w:ascii="Palatino Linotype" w:hAnsi="Palatino Linotype"/>
          <w:i/>
        </w:rPr>
        <w:t>“XXXIII.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(Sic)</w:t>
      </w:r>
      <w:r w:rsidRPr="00C960CF">
        <w:rPr>
          <w:rFonts w:ascii="Palatino Linotype" w:hAnsi="Palatino Linotype"/>
        </w:rPr>
        <w:t xml:space="preserve"> </w:t>
      </w:r>
    </w:p>
    <w:p w14:paraId="63FA15BE" w14:textId="62978FE1" w:rsidR="00B14A95" w:rsidRDefault="00C960CF" w:rsidP="00C960CF">
      <w:pPr>
        <w:spacing w:line="360" w:lineRule="auto"/>
        <w:ind w:right="-6"/>
        <w:jc w:val="both"/>
        <w:rPr>
          <w:rFonts w:ascii="Palatino Linotype" w:hAnsi="Palatino Linotype"/>
          <w:b/>
          <w:sz w:val="24"/>
        </w:rPr>
      </w:pPr>
      <w:r w:rsidRPr="00C960CF">
        <w:rPr>
          <w:rFonts w:ascii="Palatino Linotype" w:hAnsi="Palatino Linotype"/>
          <w:sz w:val="24"/>
        </w:rPr>
        <w:t xml:space="preserve">Precepto legal en donde establece que </w:t>
      </w:r>
      <w:r w:rsidRPr="00C960CF">
        <w:rPr>
          <w:rFonts w:ascii="Palatino Linotype" w:hAnsi="Palatino Linotype"/>
          <w:b/>
          <w:sz w:val="24"/>
        </w:rPr>
        <w:t>los encargados de realizar la prueba de daño, son los Sujeto Obligados</w:t>
      </w:r>
      <w:r w:rsidRPr="00C960CF">
        <w:rPr>
          <w:rFonts w:ascii="Palatino Linotype" w:hAnsi="Palatino Linotype"/>
          <w:sz w:val="24"/>
        </w:rPr>
        <w:t xml:space="preserve">; es decir, que los Sujetos Obligados que generan, administren o posean, la información que deba ser clasificada como información reservada por actualizar alguna causal de reserva señala en el artículo 140 de la Ley de la Materia, son los responsables de aplicar la prueba de daño para demostrar que la divulgación de la información lesiona interés jurídicamente protegido por la Ley, y que el menoscabo o daño que puede producirse con la publicidad de la información es mayor que el interés de conocerla. </w:t>
      </w:r>
      <w:r w:rsidRPr="00C960CF">
        <w:rPr>
          <w:rFonts w:ascii="Palatino Linotype" w:hAnsi="Palatino Linotype"/>
          <w:b/>
          <w:sz w:val="24"/>
        </w:rPr>
        <w:t>Esto es, que, a través de la prueba de daño, los sujetos obligados expongan las razones, motivos o circunstancias especiales que los lleven a concluir que la información adquiere el carácter de reservada, y se ajusta a los supuestos previstos en la normatividad como fundamento.</w:t>
      </w:r>
    </w:p>
    <w:p w14:paraId="4EE19757" w14:textId="74DDEB47" w:rsidR="00E609CB" w:rsidRDefault="00C960CF" w:rsidP="00C960CF">
      <w:pPr>
        <w:spacing w:line="360" w:lineRule="auto"/>
        <w:ind w:right="-6"/>
        <w:jc w:val="both"/>
        <w:rPr>
          <w:rFonts w:ascii="Palatino Linotype" w:hAnsi="Palatino Linotype"/>
          <w:sz w:val="24"/>
        </w:rPr>
      </w:pPr>
      <w:r w:rsidRPr="00C960CF">
        <w:rPr>
          <w:rFonts w:ascii="Palatino Linotype" w:hAnsi="Palatino Linotype"/>
          <w:sz w:val="24"/>
        </w:rPr>
        <w:t xml:space="preserve">Por lo que, en opinión de la Suscrita, y en términos de lo dispuesto por la normatividad en la materia son los Sujetos Obligados los que deben aportar los elementos desarrollar la prueba de daño necesaria y suficiente, a fin de garantizar la reserva de información y la adecuada temporalidad de esta, aportando elementos necesarios para su clasificación y favoreciendo la entrega de documentos mediante la versión pública. </w:t>
      </w:r>
    </w:p>
    <w:p w14:paraId="1510376D" w14:textId="00980433" w:rsidR="00C960CF" w:rsidRPr="00C960CF" w:rsidRDefault="009F5741" w:rsidP="00C960CF">
      <w:pPr>
        <w:spacing w:line="360" w:lineRule="auto"/>
        <w:ind w:right="-6"/>
        <w:jc w:val="both"/>
        <w:rPr>
          <w:rFonts w:ascii="Palatino Linotype" w:hAnsi="Palatino Linotype"/>
          <w:sz w:val="24"/>
        </w:rPr>
        <w:sectPr w:rsidR="00C960CF" w:rsidRPr="00C960CF"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pPr>
      <w:r>
        <w:rPr>
          <w:rFonts w:ascii="Palatino Linotype" w:hAnsi="Palatino Linotype"/>
          <w:noProof/>
          <w:sz w:val="24"/>
          <w:lang w:eastAsia="es-MX"/>
        </w:rPr>
        <mc:AlternateContent>
          <mc:Choice Requires="wps">
            <w:drawing>
              <wp:anchor distT="0" distB="0" distL="114300" distR="114300" simplePos="0" relativeHeight="251659264" behindDoc="0" locked="0" layoutInCell="1" allowOverlap="1" wp14:anchorId="43CC1033" wp14:editId="57DA175D">
                <wp:simplePos x="0" y="0"/>
                <wp:positionH relativeFrom="column">
                  <wp:posOffset>92075</wp:posOffset>
                </wp:positionH>
                <wp:positionV relativeFrom="paragraph">
                  <wp:posOffset>589279</wp:posOffset>
                </wp:positionV>
                <wp:extent cx="5353050" cy="39909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353050" cy="399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597B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46.4pt" to="428.75pt,3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" strokecolor="black [3200]" strokeweight=".5pt">
                <v:stroke joinstyle="miter"/>
              </v:line>
            </w:pict>
          </mc:Fallback>
        </mc:AlternateContent>
      </w:r>
      <w:r w:rsidR="00C960CF" w:rsidRPr="00C960CF">
        <w:rPr>
          <w:rFonts w:ascii="Palatino Linotype" w:hAnsi="Palatino Linotype"/>
          <w:sz w:val="24"/>
        </w:rPr>
        <w:t>Lo expuesto, constituyen las razones y fundamentos que me llevan a emitir la opinión particular que se ha expresado.</w:t>
      </w:r>
      <w:bookmarkStart w:id="3" w:name="_GoBack"/>
      <w:bookmarkEnd w:id="3"/>
    </w:p>
    <w:p w14:paraId="725EBEF8" w14:textId="43068ADB" w:rsidR="002E6368" w:rsidRPr="001A2DF4" w:rsidRDefault="002E6368" w:rsidP="00D771FC">
      <w:pPr>
        <w:spacing w:before="240" w:after="240" w:line="360" w:lineRule="auto"/>
        <w:ind w:right="423"/>
        <w:jc w:val="both"/>
        <w:rPr>
          <w:rFonts w:ascii="Palatino Linotype" w:hAnsi="Palatino Linotype"/>
          <w:sz w:val="24"/>
          <w:szCs w:val="24"/>
        </w:rPr>
      </w:pPr>
    </w:p>
    <w:sectPr w:rsidR="002E6368" w:rsidRPr="001A2DF4" w:rsidSect="007F0307">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F784A" w14:textId="77777777" w:rsidR="00B65F43" w:rsidRDefault="00B65F43" w:rsidP="00907451">
      <w:pPr>
        <w:spacing w:after="0" w:line="240" w:lineRule="auto"/>
      </w:pPr>
      <w:r>
        <w:separator/>
      </w:r>
    </w:p>
  </w:endnote>
  <w:endnote w:type="continuationSeparator" w:id="0">
    <w:p w14:paraId="15539379" w14:textId="77777777" w:rsidR="00B65F43" w:rsidRDefault="00B65F43"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420B8" w14:textId="77777777"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E4B6D">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E4B6D">
      <w:rPr>
        <w:rFonts w:ascii="Arial" w:hAnsi="Arial" w:cs="Arial"/>
        <w:b/>
        <w:bCs/>
        <w:noProof/>
        <w:sz w:val="20"/>
        <w:szCs w:val="20"/>
      </w:rPr>
      <w:t>8</w:t>
    </w:r>
    <w:r w:rsidRPr="00986599">
      <w:rPr>
        <w:rFonts w:ascii="Arial" w:hAnsi="Arial" w:cs="Arial"/>
        <w:b/>
        <w:bCs/>
        <w:sz w:val="20"/>
        <w:szCs w:val="20"/>
      </w:rPr>
      <w:fldChar w:fldCharType="end"/>
    </w:r>
  </w:p>
  <w:p w14:paraId="5B67DD07" w14:textId="77777777"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ECDC7" w14:textId="77777777" w:rsidR="00B65F43" w:rsidRDefault="00B65F43" w:rsidP="00907451">
      <w:pPr>
        <w:spacing w:after="0" w:line="240" w:lineRule="auto"/>
      </w:pPr>
      <w:r>
        <w:separator/>
      </w:r>
    </w:p>
  </w:footnote>
  <w:footnote w:type="continuationSeparator" w:id="0">
    <w:p w14:paraId="5CDA634C" w14:textId="77777777" w:rsidR="00B65F43" w:rsidRDefault="00B65F43"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2845" w14:textId="77777777"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5FC3F20F" wp14:editId="7B2A03E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C3F20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D7EA2" w14:textId="77777777"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14:anchorId="15E3FE86" wp14:editId="66A81340">
          <wp:simplePos x="0" y="0"/>
          <wp:positionH relativeFrom="column">
            <wp:posOffset>-1096623</wp:posOffset>
          </wp:positionH>
          <wp:positionV relativeFrom="paragraph">
            <wp:posOffset>-434358</wp:posOffset>
          </wp:positionV>
          <wp:extent cx="7510628" cy="9883775"/>
          <wp:effectExtent l="0" t="0" r="0" b="3175"/>
          <wp:wrapNone/>
          <wp:docPr id="18" name="Imagen 18"/>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6510002A" w14:textId="77777777" w:rsidR="007F0307" w:rsidRDefault="007F0307" w:rsidP="007F0307">
    <w:pPr>
      <w:pStyle w:val="Encabezado"/>
      <w:jc w:val="right"/>
      <w:rPr>
        <w:rFonts w:ascii="Arial" w:hAnsi="Arial" w:cs="Arial"/>
        <w:sz w:val="20"/>
        <w:szCs w:val="20"/>
      </w:rPr>
    </w:pPr>
  </w:p>
  <w:p w14:paraId="31E33A14" w14:textId="77777777" w:rsidR="007F0307" w:rsidRDefault="007F0307" w:rsidP="007F0307">
    <w:pPr>
      <w:pStyle w:val="Encabezado"/>
      <w:jc w:val="right"/>
      <w:rPr>
        <w:rFonts w:ascii="Arial" w:hAnsi="Arial" w:cs="Arial"/>
        <w:sz w:val="20"/>
        <w:szCs w:val="20"/>
      </w:rPr>
    </w:pPr>
  </w:p>
  <w:p w14:paraId="7537DD8A" w14:textId="76617430" w:rsidR="007F0307" w:rsidRPr="00563D0F" w:rsidRDefault="000A1D25" w:rsidP="007F0307">
    <w:pPr>
      <w:pStyle w:val="Encabezado"/>
      <w:jc w:val="right"/>
      <w:rPr>
        <w:rFonts w:ascii="Palatino Linotype" w:hAnsi="Palatino Linotype" w:cs="Arial"/>
        <w:b/>
        <w:sz w:val="20"/>
        <w:szCs w:val="20"/>
      </w:rPr>
    </w:pPr>
    <w:r>
      <w:rPr>
        <w:rFonts w:ascii="Palatino Linotype" w:hAnsi="Palatino Linotype" w:cs="Arial"/>
        <w:b/>
        <w:sz w:val="20"/>
        <w:szCs w:val="20"/>
      </w:rPr>
      <w:t>OPINIÓN PARTICULAR</w:t>
    </w:r>
    <w:r w:rsidR="007F0307" w:rsidRPr="00563D0F">
      <w:rPr>
        <w:rFonts w:ascii="Palatino Linotype" w:hAnsi="Palatino Linotype" w:cs="Arial"/>
        <w:b/>
        <w:sz w:val="20"/>
        <w:szCs w:val="20"/>
      </w:rPr>
      <w:t xml:space="preserve"> </w:t>
    </w:r>
  </w:p>
  <w:p w14:paraId="7B3AF3E3" w14:textId="24842448"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009F5741">
      <w:rPr>
        <w:rFonts w:ascii="Palatino Linotype" w:hAnsi="Palatino Linotype" w:cs="Arial"/>
        <w:b/>
        <w:sz w:val="22"/>
        <w:szCs w:val="22"/>
      </w:rPr>
      <w:t>00426</w:t>
    </w:r>
    <w:r w:rsidR="00A54206" w:rsidRPr="00E0768C">
      <w:rPr>
        <w:rFonts w:ascii="Palatino Linotype" w:hAnsi="Palatino Linotype"/>
        <w:b/>
        <w:sz w:val="22"/>
        <w:szCs w:val="22"/>
        <w:lang w:val="es-ES_tradnl"/>
      </w:rPr>
      <w:t>/</w:t>
    </w:r>
    <w:r w:rsidR="00A54206">
      <w:rPr>
        <w:rFonts w:ascii="Palatino Linotype" w:hAnsi="Palatino Linotype"/>
        <w:b/>
        <w:sz w:val="22"/>
        <w:szCs w:val="22"/>
        <w:lang w:val="es-ES_tradnl"/>
      </w:rPr>
      <w:t>INFOEM/IP/RR/</w:t>
    </w:r>
    <w:r w:rsidR="00A54206" w:rsidRPr="00E0768C">
      <w:rPr>
        <w:rFonts w:ascii="Palatino Linotype" w:hAnsi="Palatino Linotype"/>
        <w:b/>
        <w:sz w:val="22"/>
        <w:szCs w:val="22"/>
        <w:lang w:val="es-ES_tradnl"/>
      </w:rPr>
      <w:t>20</w:t>
    </w:r>
    <w:r w:rsidR="009F5741">
      <w:rPr>
        <w:rFonts w:ascii="Palatino Linotype" w:hAnsi="Palatino Linotype"/>
        <w:b/>
        <w:sz w:val="22"/>
        <w:szCs w:val="22"/>
        <w:lang w:val="es-ES_tradnl"/>
      </w:rPr>
      <w:t>22</w:t>
    </w:r>
    <w:r w:rsidR="009A66E9">
      <w:rPr>
        <w:rFonts w:ascii="Palatino Linotype" w:hAnsi="Palatino Linotype"/>
        <w:b/>
        <w:sz w:val="22"/>
        <w:szCs w:val="22"/>
        <w:lang w:val="es-ES_tradnl"/>
      </w:rPr>
      <w:t>.</w:t>
    </w:r>
  </w:p>
  <w:p w14:paraId="1FAB35F1" w14:textId="77777777" w:rsidR="007F0307" w:rsidRDefault="007F0307"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6601" w14:textId="1ED8EF43" w:rsidR="00D771FC" w:rsidRDefault="00D771FC" w:rsidP="007F0307">
    <w:pPr>
      <w:pStyle w:val="Encabezado"/>
      <w:jc w:val="right"/>
      <w:rPr>
        <w:rFonts w:ascii="Arial" w:hAnsi="Arial" w:cs="Arial"/>
        <w:sz w:val="20"/>
        <w:szCs w:val="20"/>
      </w:rPr>
    </w:pPr>
  </w:p>
  <w:p w14:paraId="424DF28E" w14:textId="77777777" w:rsidR="00D771FC" w:rsidRDefault="00D771FC" w:rsidP="007F0307">
    <w:pPr>
      <w:pStyle w:val="Encabezado"/>
      <w:jc w:val="right"/>
      <w:rPr>
        <w:rFonts w:ascii="Arial" w:hAnsi="Arial" w:cs="Arial"/>
        <w:sz w:val="20"/>
        <w:szCs w:val="20"/>
      </w:rPr>
    </w:pPr>
  </w:p>
  <w:p w14:paraId="435F0249" w14:textId="77777777" w:rsidR="00D771FC" w:rsidRDefault="00D771FC" w:rsidP="007F0307">
    <w:pPr>
      <w:pStyle w:val="Encabezado"/>
      <w:jc w:val="right"/>
      <w:rPr>
        <w:rFonts w:ascii="Arial" w:hAnsi="Arial" w:cs="Arial"/>
        <w:sz w:val="20"/>
        <w:szCs w:val="20"/>
      </w:rPr>
    </w:pPr>
  </w:p>
  <w:p w14:paraId="5C6E63FD" w14:textId="77777777" w:rsidR="00D771FC" w:rsidRDefault="00D771FC"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ED4DC4"/>
    <w:multiLevelType w:val="hybridMultilevel"/>
    <w:tmpl w:val="B9EF8A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7BC0FC1"/>
    <w:multiLevelType w:val="hybridMultilevel"/>
    <w:tmpl w:val="07CD4F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C3CAFF"/>
    <w:multiLevelType w:val="hybridMultilevel"/>
    <w:tmpl w:val="635A48A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2161E"/>
    <w:multiLevelType w:val="hybridMultilevel"/>
    <w:tmpl w:val="A4CEFC62"/>
    <w:lvl w:ilvl="0" w:tplc="D8220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C675E9"/>
    <w:multiLevelType w:val="hybridMultilevel"/>
    <w:tmpl w:val="2C5E93AA"/>
    <w:lvl w:ilvl="0" w:tplc="58BEF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7C6DAE"/>
    <w:multiLevelType w:val="hybridMultilevel"/>
    <w:tmpl w:val="D2AC91AC"/>
    <w:lvl w:ilvl="0" w:tplc="06B81B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E0CB56"/>
    <w:multiLevelType w:val="hybridMultilevel"/>
    <w:tmpl w:val="3E41A72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D5336C5"/>
    <w:multiLevelType w:val="hybridMultilevel"/>
    <w:tmpl w:val="8B98A8E2"/>
    <w:lvl w:ilvl="0" w:tplc="7B666928">
      <w:start w:val="1"/>
      <w:numFmt w:val="lowerRoman"/>
      <w:lvlText w:val="%1)"/>
      <w:lvlJc w:val="left"/>
      <w:pPr>
        <w:ind w:left="928" w:hanging="360"/>
      </w:pPr>
      <w:rPr>
        <w:rFonts w:ascii="Palatino Linotype" w:eastAsia="Calibri" w:hAnsi="Palatino Linotype" w:cs="Times New Roman"/>
        <w:b/>
        <w:i/>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0">
    <w:nsid w:val="224B5E9F"/>
    <w:multiLevelType w:val="hybridMultilevel"/>
    <w:tmpl w:val="049E9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3A76E5"/>
    <w:multiLevelType w:val="hybridMultilevel"/>
    <w:tmpl w:val="8D42A008"/>
    <w:lvl w:ilvl="0" w:tplc="EECCC5E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37F98C"/>
    <w:multiLevelType w:val="hybridMultilevel"/>
    <w:tmpl w:val="A4B65C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A67EBD0"/>
    <w:multiLevelType w:val="hybridMultilevel"/>
    <w:tmpl w:val="2144612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BAD39C4"/>
    <w:multiLevelType w:val="hybridMultilevel"/>
    <w:tmpl w:val="2000FD7C"/>
    <w:lvl w:ilvl="0" w:tplc="F10CE2D8">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nsid w:val="2E94182C"/>
    <w:multiLevelType w:val="hybridMultilevel"/>
    <w:tmpl w:val="EBA843E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6">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05477E"/>
    <w:multiLevelType w:val="hybridMultilevel"/>
    <w:tmpl w:val="733646EE"/>
    <w:lvl w:ilvl="0" w:tplc="8D1CEA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34A6601"/>
    <w:multiLevelType w:val="hybridMultilevel"/>
    <w:tmpl w:val="109897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51354D1"/>
    <w:multiLevelType w:val="hybridMultilevel"/>
    <w:tmpl w:val="33C69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8247C2"/>
    <w:multiLevelType w:val="hybridMultilevel"/>
    <w:tmpl w:val="9BFEFD9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3F1A7F98"/>
    <w:multiLevelType w:val="hybridMultilevel"/>
    <w:tmpl w:val="1986916C"/>
    <w:lvl w:ilvl="0" w:tplc="3C3A01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B5153C"/>
    <w:multiLevelType w:val="hybridMultilevel"/>
    <w:tmpl w:val="633A04E2"/>
    <w:lvl w:ilvl="0" w:tplc="E02C865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4">
    <w:nsid w:val="592D4C81"/>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471C9A"/>
    <w:multiLevelType w:val="hybridMultilevel"/>
    <w:tmpl w:val="C7440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8153979"/>
    <w:multiLevelType w:val="hybridMultilevel"/>
    <w:tmpl w:val="1660C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9190A9D"/>
    <w:multiLevelType w:val="hybridMultilevel"/>
    <w:tmpl w:val="AB882E6E"/>
    <w:lvl w:ilvl="0" w:tplc="D1CAE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BF55BB"/>
    <w:multiLevelType w:val="hybridMultilevel"/>
    <w:tmpl w:val="5EA0BDB4"/>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31">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5"/>
  </w:num>
  <w:num w:numId="3">
    <w:abstractNumId w:val="9"/>
  </w:num>
  <w:num w:numId="4">
    <w:abstractNumId w:val="28"/>
  </w:num>
  <w:num w:numId="5">
    <w:abstractNumId w:val="20"/>
  </w:num>
  <w:num w:numId="6">
    <w:abstractNumId w:val="26"/>
  </w:num>
  <w:num w:numId="7">
    <w:abstractNumId w:val="2"/>
  </w:num>
  <w:num w:numId="8">
    <w:abstractNumId w:val="19"/>
  </w:num>
  <w:num w:numId="9">
    <w:abstractNumId w:val="17"/>
  </w:num>
  <w:num w:numId="10">
    <w:abstractNumId w:val="5"/>
  </w:num>
  <w:num w:numId="11">
    <w:abstractNumId w:val="10"/>
  </w:num>
  <w:num w:numId="12">
    <w:abstractNumId w:val="24"/>
  </w:num>
  <w:num w:numId="13">
    <w:abstractNumId w:val="30"/>
  </w:num>
  <w:num w:numId="14">
    <w:abstractNumId w:val="29"/>
  </w:num>
  <w:num w:numId="15">
    <w:abstractNumId w:val="15"/>
  </w:num>
  <w:num w:numId="16">
    <w:abstractNumId w:val="6"/>
  </w:num>
  <w:num w:numId="17">
    <w:abstractNumId w:val="14"/>
  </w:num>
  <w:num w:numId="18">
    <w:abstractNumId w:val="16"/>
  </w:num>
  <w:num w:numId="19">
    <w:abstractNumId w:val="23"/>
  </w:num>
  <w:num w:numId="20">
    <w:abstractNumId w:val="0"/>
  </w:num>
  <w:num w:numId="21">
    <w:abstractNumId w:val="13"/>
  </w:num>
  <w:num w:numId="22">
    <w:abstractNumId w:val="18"/>
  </w:num>
  <w:num w:numId="23">
    <w:abstractNumId w:val="8"/>
  </w:num>
  <w:num w:numId="24">
    <w:abstractNumId w:val="12"/>
  </w:num>
  <w:num w:numId="25">
    <w:abstractNumId w:val="3"/>
  </w:num>
  <w:num w:numId="26">
    <w:abstractNumId w:val="1"/>
  </w:num>
  <w:num w:numId="27">
    <w:abstractNumId w:val="27"/>
  </w:num>
  <w:num w:numId="28">
    <w:abstractNumId w:val="11"/>
  </w:num>
  <w:num w:numId="29">
    <w:abstractNumId w:val="21"/>
  </w:num>
  <w:num w:numId="30">
    <w:abstractNumId w:val="4"/>
  </w:num>
  <w:num w:numId="31">
    <w:abstractNumId w:val="31"/>
  </w:num>
  <w:num w:numId="32">
    <w:abstractNumId w:val="2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5D3"/>
    <w:rsid w:val="00001655"/>
    <w:rsid w:val="00005859"/>
    <w:rsid w:val="00023402"/>
    <w:rsid w:val="000342D2"/>
    <w:rsid w:val="00042A3C"/>
    <w:rsid w:val="0004489A"/>
    <w:rsid w:val="00051C17"/>
    <w:rsid w:val="00057319"/>
    <w:rsid w:val="000607BA"/>
    <w:rsid w:val="000830BC"/>
    <w:rsid w:val="000A1D25"/>
    <w:rsid w:val="000A55F5"/>
    <w:rsid w:val="000A6055"/>
    <w:rsid w:val="000A734F"/>
    <w:rsid w:val="000B0829"/>
    <w:rsid w:val="000B16F3"/>
    <w:rsid w:val="000B35A4"/>
    <w:rsid w:val="000B6B3E"/>
    <w:rsid w:val="000C2E0E"/>
    <w:rsid w:val="000D4981"/>
    <w:rsid w:val="000D49C7"/>
    <w:rsid w:val="000D49D5"/>
    <w:rsid w:val="000E0B50"/>
    <w:rsid w:val="000F6CC7"/>
    <w:rsid w:val="00113B56"/>
    <w:rsid w:val="0011440C"/>
    <w:rsid w:val="00114DC5"/>
    <w:rsid w:val="00122AB1"/>
    <w:rsid w:val="001241C8"/>
    <w:rsid w:val="001357F2"/>
    <w:rsid w:val="00155046"/>
    <w:rsid w:val="001639F9"/>
    <w:rsid w:val="00166249"/>
    <w:rsid w:val="0016644C"/>
    <w:rsid w:val="001822F4"/>
    <w:rsid w:val="00183DA2"/>
    <w:rsid w:val="001858FB"/>
    <w:rsid w:val="0019050D"/>
    <w:rsid w:val="001A2DF4"/>
    <w:rsid w:val="001A7C78"/>
    <w:rsid w:val="001B2D26"/>
    <w:rsid w:val="001C69C4"/>
    <w:rsid w:val="001D40EB"/>
    <w:rsid w:val="001D5B7E"/>
    <w:rsid w:val="001E074C"/>
    <w:rsid w:val="001E2225"/>
    <w:rsid w:val="002029C4"/>
    <w:rsid w:val="00202F1C"/>
    <w:rsid w:val="002073F9"/>
    <w:rsid w:val="00213D88"/>
    <w:rsid w:val="00214FBA"/>
    <w:rsid w:val="00215353"/>
    <w:rsid w:val="002216D7"/>
    <w:rsid w:val="00232C29"/>
    <w:rsid w:val="002353A8"/>
    <w:rsid w:val="00255188"/>
    <w:rsid w:val="002618A9"/>
    <w:rsid w:val="00274D27"/>
    <w:rsid w:val="00277504"/>
    <w:rsid w:val="002910CF"/>
    <w:rsid w:val="002914F5"/>
    <w:rsid w:val="00292D40"/>
    <w:rsid w:val="00295FA4"/>
    <w:rsid w:val="00296F92"/>
    <w:rsid w:val="002A0A9B"/>
    <w:rsid w:val="002A33C2"/>
    <w:rsid w:val="002A5ADD"/>
    <w:rsid w:val="002A6359"/>
    <w:rsid w:val="002B0DFB"/>
    <w:rsid w:val="002C13E5"/>
    <w:rsid w:val="002D0DEE"/>
    <w:rsid w:val="002D4BDB"/>
    <w:rsid w:val="002E6368"/>
    <w:rsid w:val="002E72E8"/>
    <w:rsid w:val="002E765B"/>
    <w:rsid w:val="00302B83"/>
    <w:rsid w:val="00303E74"/>
    <w:rsid w:val="00304E98"/>
    <w:rsid w:val="00320BAF"/>
    <w:rsid w:val="00340DE3"/>
    <w:rsid w:val="0034620B"/>
    <w:rsid w:val="00347C52"/>
    <w:rsid w:val="00356493"/>
    <w:rsid w:val="00356585"/>
    <w:rsid w:val="0036408D"/>
    <w:rsid w:val="0036634A"/>
    <w:rsid w:val="00371106"/>
    <w:rsid w:val="00395DB1"/>
    <w:rsid w:val="003A32DF"/>
    <w:rsid w:val="003A42B2"/>
    <w:rsid w:val="003B33CF"/>
    <w:rsid w:val="003C68AF"/>
    <w:rsid w:val="003C7B9A"/>
    <w:rsid w:val="003D2E64"/>
    <w:rsid w:val="003D36F3"/>
    <w:rsid w:val="003F1C9E"/>
    <w:rsid w:val="004064FA"/>
    <w:rsid w:val="0040777D"/>
    <w:rsid w:val="00410917"/>
    <w:rsid w:val="00414AE2"/>
    <w:rsid w:val="00415946"/>
    <w:rsid w:val="00433A7F"/>
    <w:rsid w:val="00435978"/>
    <w:rsid w:val="004375C6"/>
    <w:rsid w:val="00456467"/>
    <w:rsid w:val="00471208"/>
    <w:rsid w:val="00477092"/>
    <w:rsid w:val="004B35A0"/>
    <w:rsid w:val="004B7E3D"/>
    <w:rsid w:val="004C1D03"/>
    <w:rsid w:val="004E0033"/>
    <w:rsid w:val="004F52A3"/>
    <w:rsid w:val="00503956"/>
    <w:rsid w:val="00505F5A"/>
    <w:rsid w:val="00521B18"/>
    <w:rsid w:val="0054490F"/>
    <w:rsid w:val="005549ED"/>
    <w:rsid w:val="00560FA5"/>
    <w:rsid w:val="00572030"/>
    <w:rsid w:val="00574532"/>
    <w:rsid w:val="005777C1"/>
    <w:rsid w:val="00595165"/>
    <w:rsid w:val="005A111E"/>
    <w:rsid w:val="005A1C8A"/>
    <w:rsid w:val="005A4369"/>
    <w:rsid w:val="005C0F3D"/>
    <w:rsid w:val="005C2E7F"/>
    <w:rsid w:val="005D066B"/>
    <w:rsid w:val="005D5DD5"/>
    <w:rsid w:val="005D7CE1"/>
    <w:rsid w:val="005E7637"/>
    <w:rsid w:val="005F33E4"/>
    <w:rsid w:val="005F3E26"/>
    <w:rsid w:val="005F4C0C"/>
    <w:rsid w:val="00605983"/>
    <w:rsid w:val="006113A8"/>
    <w:rsid w:val="00617CFA"/>
    <w:rsid w:val="00620227"/>
    <w:rsid w:val="006214D7"/>
    <w:rsid w:val="00624C71"/>
    <w:rsid w:val="0063133C"/>
    <w:rsid w:val="00637EE1"/>
    <w:rsid w:val="00653E3A"/>
    <w:rsid w:val="00660478"/>
    <w:rsid w:val="006725BB"/>
    <w:rsid w:val="00675C15"/>
    <w:rsid w:val="0068591E"/>
    <w:rsid w:val="0069251F"/>
    <w:rsid w:val="006929B3"/>
    <w:rsid w:val="006947B4"/>
    <w:rsid w:val="00694FB0"/>
    <w:rsid w:val="00696A57"/>
    <w:rsid w:val="006A2C89"/>
    <w:rsid w:val="006A6AF4"/>
    <w:rsid w:val="006B5C22"/>
    <w:rsid w:val="006C34A1"/>
    <w:rsid w:val="006C392E"/>
    <w:rsid w:val="006D3D34"/>
    <w:rsid w:val="006D51A5"/>
    <w:rsid w:val="006D5A54"/>
    <w:rsid w:val="006E048C"/>
    <w:rsid w:val="006E2447"/>
    <w:rsid w:val="006E2FEB"/>
    <w:rsid w:val="006E34B0"/>
    <w:rsid w:val="006E4179"/>
    <w:rsid w:val="006E7C04"/>
    <w:rsid w:val="006F1710"/>
    <w:rsid w:val="006F346D"/>
    <w:rsid w:val="006F55BF"/>
    <w:rsid w:val="00700B86"/>
    <w:rsid w:val="0070685D"/>
    <w:rsid w:val="00706AD5"/>
    <w:rsid w:val="0072110A"/>
    <w:rsid w:val="00721284"/>
    <w:rsid w:val="00735DD8"/>
    <w:rsid w:val="00747D9A"/>
    <w:rsid w:val="00764E2B"/>
    <w:rsid w:val="0076542C"/>
    <w:rsid w:val="007712AF"/>
    <w:rsid w:val="007724DC"/>
    <w:rsid w:val="00772638"/>
    <w:rsid w:val="00793DAD"/>
    <w:rsid w:val="007A03D2"/>
    <w:rsid w:val="007B6EE5"/>
    <w:rsid w:val="007C1492"/>
    <w:rsid w:val="007C4714"/>
    <w:rsid w:val="007C6C71"/>
    <w:rsid w:val="007D0C46"/>
    <w:rsid w:val="007E4A47"/>
    <w:rsid w:val="007F0307"/>
    <w:rsid w:val="007F20FB"/>
    <w:rsid w:val="007F5005"/>
    <w:rsid w:val="007F7D28"/>
    <w:rsid w:val="00807896"/>
    <w:rsid w:val="00807B02"/>
    <w:rsid w:val="00817AA2"/>
    <w:rsid w:val="00821794"/>
    <w:rsid w:val="00826351"/>
    <w:rsid w:val="0082668B"/>
    <w:rsid w:val="0083151C"/>
    <w:rsid w:val="00835EB9"/>
    <w:rsid w:val="008429FC"/>
    <w:rsid w:val="00852AF2"/>
    <w:rsid w:val="00871521"/>
    <w:rsid w:val="00871E3F"/>
    <w:rsid w:val="00883A75"/>
    <w:rsid w:val="00883ABB"/>
    <w:rsid w:val="00892DF4"/>
    <w:rsid w:val="0089354E"/>
    <w:rsid w:val="00895041"/>
    <w:rsid w:val="0089594D"/>
    <w:rsid w:val="00896D8C"/>
    <w:rsid w:val="00897E24"/>
    <w:rsid w:val="008A3415"/>
    <w:rsid w:val="008A4206"/>
    <w:rsid w:val="008B0C00"/>
    <w:rsid w:val="008B60A2"/>
    <w:rsid w:val="008B647C"/>
    <w:rsid w:val="008D7720"/>
    <w:rsid w:val="008E2933"/>
    <w:rsid w:val="009002E1"/>
    <w:rsid w:val="00902BEC"/>
    <w:rsid w:val="00907451"/>
    <w:rsid w:val="00920E5D"/>
    <w:rsid w:val="00921613"/>
    <w:rsid w:val="00927CC3"/>
    <w:rsid w:val="009338B8"/>
    <w:rsid w:val="00935ABC"/>
    <w:rsid w:val="00944AEA"/>
    <w:rsid w:val="009503B7"/>
    <w:rsid w:val="00950C50"/>
    <w:rsid w:val="00956FEF"/>
    <w:rsid w:val="009611D3"/>
    <w:rsid w:val="00961B3C"/>
    <w:rsid w:val="009630CB"/>
    <w:rsid w:val="0097311C"/>
    <w:rsid w:val="00973520"/>
    <w:rsid w:val="0098633B"/>
    <w:rsid w:val="00991A55"/>
    <w:rsid w:val="009A66E9"/>
    <w:rsid w:val="009B2E51"/>
    <w:rsid w:val="009C0226"/>
    <w:rsid w:val="009C6D4B"/>
    <w:rsid w:val="009D0072"/>
    <w:rsid w:val="009D4A3C"/>
    <w:rsid w:val="009E0BC7"/>
    <w:rsid w:val="009E3F48"/>
    <w:rsid w:val="009E4047"/>
    <w:rsid w:val="009E4FA4"/>
    <w:rsid w:val="009F3532"/>
    <w:rsid w:val="009F4EB8"/>
    <w:rsid w:val="009F5741"/>
    <w:rsid w:val="009F597E"/>
    <w:rsid w:val="00A01E1E"/>
    <w:rsid w:val="00A1161D"/>
    <w:rsid w:val="00A11D57"/>
    <w:rsid w:val="00A21005"/>
    <w:rsid w:val="00A24502"/>
    <w:rsid w:val="00A251F9"/>
    <w:rsid w:val="00A32299"/>
    <w:rsid w:val="00A32D81"/>
    <w:rsid w:val="00A32DAE"/>
    <w:rsid w:val="00A3530D"/>
    <w:rsid w:val="00A40E3F"/>
    <w:rsid w:val="00A509A7"/>
    <w:rsid w:val="00A529AB"/>
    <w:rsid w:val="00A54206"/>
    <w:rsid w:val="00A63AAB"/>
    <w:rsid w:val="00A6570E"/>
    <w:rsid w:val="00A74BE1"/>
    <w:rsid w:val="00A7552D"/>
    <w:rsid w:val="00A816CE"/>
    <w:rsid w:val="00AA53B5"/>
    <w:rsid w:val="00AB30BF"/>
    <w:rsid w:val="00AC1C6F"/>
    <w:rsid w:val="00AC49A7"/>
    <w:rsid w:val="00AC5D59"/>
    <w:rsid w:val="00AC6D4E"/>
    <w:rsid w:val="00AD0389"/>
    <w:rsid w:val="00AD2AC1"/>
    <w:rsid w:val="00AE0F71"/>
    <w:rsid w:val="00AE7EFC"/>
    <w:rsid w:val="00B02DEB"/>
    <w:rsid w:val="00B03784"/>
    <w:rsid w:val="00B12CF1"/>
    <w:rsid w:val="00B143F9"/>
    <w:rsid w:val="00B148B0"/>
    <w:rsid w:val="00B14A95"/>
    <w:rsid w:val="00B1594E"/>
    <w:rsid w:val="00B1702C"/>
    <w:rsid w:val="00B33E31"/>
    <w:rsid w:val="00B34013"/>
    <w:rsid w:val="00B42E5B"/>
    <w:rsid w:val="00B466B5"/>
    <w:rsid w:val="00B547F4"/>
    <w:rsid w:val="00B64C32"/>
    <w:rsid w:val="00B65F43"/>
    <w:rsid w:val="00B71BFC"/>
    <w:rsid w:val="00B95ED4"/>
    <w:rsid w:val="00B976C5"/>
    <w:rsid w:val="00BA0556"/>
    <w:rsid w:val="00BA4027"/>
    <w:rsid w:val="00BC0A51"/>
    <w:rsid w:val="00BC10BB"/>
    <w:rsid w:val="00BD008A"/>
    <w:rsid w:val="00BD1126"/>
    <w:rsid w:val="00BD3556"/>
    <w:rsid w:val="00BD3823"/>
    <w:rsid w:val="00BD6FF1"/>
    <w:rsid w:val="00BE0A3D"/>
    <w:rsid w:val="00BE1582"/>
    <w:rsid w:val="00BE6B5D"/>
    <w:rsid w:val="00BF783D"/>
    <w:rsid w:val="00C11623"/>
    <w:rsid w:val="00C1364B"/>
    <w:rsid w:val="00C20F5E"/>
    <w:rsid w:val="00C2534B"/>
    <w:rsid w:val="00C26FD7"/>
    <w:rsid w:val="00C35F28"/>
    <w:rsid w:val="00C371BF"/>
    <w:rsid w:val="00C41B3E"/>
    <w:rsid w:val="00C44937"/>
    <w:rsid w:val="00C44E15"/>
    <w:rsid w:val="00C55960"/>
    <w:rsid w:val="00C604BA"/>
    <w:rsid w:val="00C614BC"/>
    <w:rsid w:val="00C62298"/>
    <w:rsid w:val="00C622D3"/>
    <w:rsid w:val="00C70348"/>
    <w:rsid w:val="00C83BEE"/>
    <w:rsid w:val="00C960CF"/>
    <w:rsid w:val="00CB1CEB"/>
    <w:rsid w:val="00CC5CDC"/>
    <w:rsid w:val="00CD4064"/>
    <w:rsid w:val="00CD4760"/>
    <w:rsid w:val="00CD5A1A"/>
    <w:rsid w:val="00CE45F1"/>
    <w:rsid w:val="00CE4B6D"/>
    <w:rsid w:val="00CF29D2"/>
    <w:rsid w:val="00D04497"/>
    <w:rsid w:val="00D0473A"/>
    <w:rsid w:val="00D167CB"/>
    <w:rsid w:val="00D32E4F"/>
    <w:rsid w:val="00D4524A"/>
    <w:rsid w:val="00D4547A"/>
    <w:rsid w:val="00D45590"/>
    <w:rsid w:val="00D54152"/>
    <w:rsid w:val="00D5623B"/>
    <w:rsid w:val="00D5767C"/>
    <w:rsid w:val="00D63202"/>
    <w:rsid w:val="00D7225C"/>
    <w:rsid w:val="00D771FC"/>
    <w:rsid w:val="00D8273E"/>
    <w:rsid w:val="00D870BC"/>
    <w:rsid w:val="00D960F2"/>
    <w:rsid w:val="00DA1D4F"/>
    <w:rsid w:val="00DA5669"/>
    <w:rsid w:val="00DA5981"/>
    <w:rsid w:val="00DB4053"/>
    <w:rsid w:val="00DB4B40"/>
    <w:rsid w:val="00DB70E3"/>
    <w:rsid w:val="00DC752B"/>
    <w:rsid w:val="00DD20D6"/>
    <w:rsid w:val="00DE0208"/>
    <w:rsid w:val="00DE6C32"/>
    <w:rsid w:val="00DE79F7"/>
    <w:rsid w:val="00DF4D53"/>
    <w:rsid w:val="00DF5D2F"/>
    <w:rsid w:val="00DF6A26"/>
    <w:rsid w:val="00E0768C"/>
    <w:rsid w:val="00E15A60"/>
    <w:rsid w:val="00E20299"/>
    <w:rsid w:val="00E30FFD"/>
    <w:rsid w:val="00E35D2D"/>
    <w:rsid w:val="00E37108"/>
    <w:rsid w:val="00E43B8F"/>
    <w:rsid w:val="00E45F59"/>
    <w:rsid w:val="00E476F0"/>
    <w:rsid w:val="00E51B7E"/>
    <w:rsid w:val="00E609CB"/>
    <w:rsid w:val="00E61511"/>
    <w:rsid w:val="00E65A66"/>
    <w:rsid w:val="00E73445"/>
    <w:rsid w:val="00E7439C"/>
    <w:rsid w:val="00E82BA4"/>
    <w:rsid w:val="00E9051A"/>
    <w:rsid w:val="00E920D4"/>
    <w:rsid w:val="00E929BA"/>
    <w:rsid w:val="00EC4C76"/>
    <w:rsid w:val="00EC4E8B"/>
    <w:rsid w:val="00EC6430"/>
    <w:rsid w:val="00EC73A5"/>
    <w:rsid w:val="00EC7534"/>
    <w:rsid w:val="00ED5127"/>
    <w:rsid w:val="00EE6722"/>
    <w:rsid w:val="00EE7157"/>
    <w:rsid w:val="00F01460"/>
    <w:rsid w:val="00F0275E"/>
    <w:rsid w:val="00F0656C"/>
    <w:rsid w:val="00F10C3C"/>
    <w:rsid w:val="00F13DA6"/>
    <w:rsid w:val="00F15B0D"/>
    <w:rsid w:val="00F20457"/>
    <w:rsid w:val="00F27093"/>
    <w:rsid w:val="00F35B3C"/>
    <w:rsid w:val="00F466F2"/>
    <w:rsid w:val="00F46E00"/>
    <w:rsid w:val="00F62F52"/>
    <w:rsid w:val="00F76B05"/>
    <w:rsid w:val="00F77006"/>
    <w:rsid w:val="00F775A8"/>
    <w:rsid w:val="00F87BAA"/>
    <w:rsid w:val="00F92B73"/>
    <w:rsid w:val="00F94632"/>
    <w:rsid w:val="00F96352"/>
    <w:rsid w:val="00F97255"/>
    <w:rsid w:val="00FA1FDD"/>
    <w:rsid w:val="00FA6398"/>
    <w:rsid w:val="00FB70A8"/>
    <w:rsid w:val="00FC0053"/>
    <w:rsid w:val="00FD3336"/>
    <w:rsid w:val="00FE653C"/>
    <w:rsid w:val="00FF0F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AFB955"/>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59EF308-030C-419E-92AF-C374B043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1705</Words>
  <Characters>9378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3</cp:revision>
  <cp:lastPrinted>2022-03-01T02:06:00Z</cp:lastPrinted>
  <dcterms:created xsi:type="dcterms:W3CDTF">2022-03-01T02:05:00Z</dcterms:created>
  <dcterms:modified xsi:type="dcterms:W3CDTF">2022-03-01T02:41:00Z</dcterms:modified>
</cp:coreProperties>
</file>