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TRIGÉSIMA QUINTA SESIÓN ORDINARIA DEL VEINTIOCHO DE SEPTIEMBRE DE DOS MIL VEINTIDÓS, EN EL RECURSO DE REVISIÓN 08466/INFOEM/IP/RR/2022.</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w:t>
      </w:r>
      <w:r w:rsidDel="00000000" w:rsidR="00000000" w:rsidRPr="00000000">
        <w:rPr>
          <w:rFonts w:ascii="Palatino Linotype" w:cs="Palatino Linotype" w:eastAsia="Palatino Linotype" w:hAnsi="Palatino Linotype"/>
          <w:sz w:val="24"/>
          <w:szCs w:val="24"/>
          <w:rtl w:val="0"/>
        </w:rPr>
        <w:t xml:space="preserve">mayoría</w:t>
      </w:r>
      <w:r w:rsidDel="00000000" w:rsidR="00000000" w:rsidRPr="00000000">
        <w:rPr>
          <w:rFonts w:ascii="Palatino Linotype" w:cs="Palatino Linotype" w:eastAsia="Palatino Linotype" w:hAnsi="Palatino Linotype"/>
          <w:sz w:val="24"/>
          <w:szCs w:val="24"/>
          <w:rtl w:val="0"/>
        </w:rPr>
        <w:t xml:space="preserve">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08466/INFOEM/IP/RR/2022, </w:t>
      </w:r>
      <w:r w:rsidDel="00000000" w:rsidR="00000000" w:rsidRPr="00000000">
        <w:rPr>
          <w:rFonts w:ascii="Palatino Linotype" w:cs="Palatino Linotype" w:eastAsia="Palatino Linotype" w:hAnsi="Palatino Linotype"/>
          <w:sz w:val="24"/>
          <w:szCs w:val="24"/>
          <w:rtl w:val="0"/>
        </w:rPr>
        <w:t xml:space="preserve">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concreto,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requirió al Ayuntamiento de Toluca, hiciera entrega de información relacionada con los expedientes o documentos de pasivos, del largo y corto plazo, que se tengan, respecto a pago de nóminas y prestaciones del 2015 al 2022.</w:t>
      </w:r>
    </w:p>
    <w:p w:rsidR="00000000" w:rsidDel="00000000" w:rsidP="00000000" w:rsidRDefault="00000000" w:rsidRPr="00000000" w14:paraId="00000006">
      <w:pPr>
        <w:spacing w:after="120" w:before="120" w:line="360" w:lineRule="auto"/>
        <w:jc w:val="both"/>
        <w:rPr>
          <w:rFonts w:ascii="Palatino Linotype" w:cs="Palatino Linotype" w:eastAsia="Palatino Linotype" w:hAnsi="Palatino Linotype"/>
          <w:sz w:val="24"/>
          <w:szCs w:val="24"/>
        </w:rPr>
      </w:pPr>
      <w:bookmarkStart w:colFirst="0" w:colLast="0" w:name="_heading=h.gjdgxs" w:id="0"/>
      <w:bookmarkEnd w:id="0"/>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en respuesta a la solicitud de acceso a la información pública, remitió a través del Sistema de Acceso a la Información Mexiquense, SAIMEX, la Balanza Analítica Acumulada del ejercicio fiscal 2015 al 2022, conforme a las atribuciones que le competen a la Tesorería Municipal.</w:t>
      </w:r>
    </w:p>
    <w:p w:rsidR="00000000" w:rsidDel="00000000" w:rsidP="00000000" w:rsidRDefault="00000000" w:rsidRPr="00000000" w14:paraId="00000007">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al no estar conforme con los términos de las mismas, la persona solicitante presentó el recurso de revisión mediante el cual señaló como motivo de inconformidad, que no le fue entregada la información, la cual, a su consideración debe existir al tener que documentarse los pasivos, de acuerdo con la contabilidad gubernamental.</w:t>
      </w:r>
    </w:p>
    <w:p w:rsidR="00000000" w:rsidDel="00000000" w:rsidP="00000000" w:rsidRDefault="00000000" w:rsidRPr="00000000" w14:paraId="00000008">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Admitido el presente recurso de revisión, en términos del artículo 185 fracción II</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000000" w:rsidDel="00000000" w:rsidP="00000000" w:rsidRDefault="00000000" w:rsidRPr="00000000" w14:paraId="00000009">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sentido,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ratificó en lo sustancial la respuesta proporcionada en primera instancia a la solicitud de información que dio origen al recurso de revisión que se resolvió, mientras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fue omisa en ejercer dicha prerrogativa. </w:t>
      </w:r>
    </w:p>
    <w:p w:rsidR="00000000" w:rsidDel="00000000" w:rsidP="00000000" w:rsidRDefault="00000000" w:rsidRPr="00000000" w14:paraId="0000000A">
      <w:pPr>
        <w:spacing w:after="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contexto, previo análisis de las constancias y de la naturaleza de la información, la Ponencia que resolvió determinó </w:t>
      </w:r>
      <w:r w:rsidDel="00000000" w:rsidR="00000000" w:rsidRPr="00000000">
        <w:rPr>
          <w:rFonts w:ascii="Palatino Linotype" w:cs="Palatino Linotype" w:eastAsia="Palatino Linotype" w:hAnsi="Palatino Linotype"/>
          <w:i w:val="1"/>
          <w:sz w:val="24"/>
          <w:szCs w:val="24"/>
          <w:rtl w:val="0"/>
        </w:rPr>
        <w:t xml:space="preserve">Modificar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como se advierte en el </w:t>
      </w:r>
      <w:r w:rsidDel="00000000" w:rsidR="00000000" w:rsidRPr="00000000">
        <w:rPr>
          <w:rFonts w:ascii="Palatino Linotype" w:cs="Palatino Linotype" w:eastAsia="Palatino Linotype" w:hAnsi="Palatino Linotype"/>
          <w:b w:val="1"/>
          <w:sz w:val="24"/>
          <w:szCs w:val="24"/>
          <w:rtl w:val="0"/>
        </w:rPr>
        <w:t xml:space="preserve">resolutivo SEGUNDO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B">
      <w:pPr>
        <w:spacing w:after="0" w:line="276" w:lineRule="auto"/>
        <w:ind w:left="567" w:right="990"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0C">
      <w:pPr>
        <w:spacing w:after="120" w:before="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 </w:t>
      </w:r>
      <w:r w:rsidDel="00000000" w:rsidR="00000000" w:rsidRPr="00000000">
        <w:rPr>
          <w:rFonts w:ascii="Palatino Linotype" w:cs="Palatino Linotype" w:eastAsia="Palatino Linotype" w:hAnsi="Palatino Linotype"/>
          <w:i w:val="1"/>
          <w:rtl w:val="0"/>
        </w:rPr>
        <w:t xml:space="preserve">al </w:t>
      </w:r>
      <w:r w:rsidDel="00000000" w:rsidR="00000000" w:rsidRPr="00000000">
        <w:rPr>
          <w:rFonts w:ascii="Palatino Linotype" w:cs="Palatino Linotype" w:eastAsia="Palatino Linotype" w:hAnsi="Palatino Linotype"/>
          <w:b w:val="1"/>
          <w:i w:val="1"/>
          <w:rtl w:val="0"/>
        </w:rPr>
        <w:t xml:space="preserve">Ayuntamiento de Toluca</w:t>
      </w:r>
      <w:r w:rsidDel="00000000" w:rsidR="00000000" w:rsidRPr="00000000">
        <w:rPr>
          <w:rFonts w:ascii="Palatino Linotype" w:cs="Palatino Linotype" w:eastAsia="Palatino Linotype" w:hAnsi="Palatino Linotype"/>
          <w:i w:val="1"/>
          <w:rtl w:val="0"/>
        </w:rPr>
        <w:t xml:space="preserve">, a efecto de que, previa búsqueda exhaustiva y razonable en los archivos de sus áreas competentes, remita, a través del Sistema de Acceso a la Información Mexiquense (SAIMEX), de ser procedente en versión pública, lo siguiente: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Los expedientes y documentos en donde consten los pasivos de largo y corto plazo, respecto a pago de nóminas y prestaciones del año dos mil quince al cuatro de abril de dos mil veintidós. </w:t>
      </w:r>
    </w:p>
    <w:p w:rsidR="00000000" w:rsidDel="00000000" w:rsidP="00000000" w:rsidRDefault="00000000" w:rsidRPr="00000000" w14:paraId="0000000E">
      <w:pPr>
        <w:spacing w:after="120" w:before="120" w:line="240" w:lineRule="auto"/>
        <w:ind w:left="851" w:right="99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Junto con las versiones públicas, se deberá proporcionar el Acuerdo de Clasificación donde el Comité de Transparencia, confirme la eliminación de los datos y documentos confidenciales, de conformidad con los artículos 49, fracciones II y VIII, 132, fracción II, 143, fracción I y 149 de la Ley de Transparencia y Acceso a la Información Pública del Estado de México y Municipios.” (Sic) </w:t>
      </w:r>
      <w:r w:rsidDel="00000000" w:rsidR="00000000" w:rsidRPr="00000000">
        <w:rPr>
          <w:rtl w:val="0"/>
        </w:rPr>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toda vez que se determinó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cuenta con la </w:t>
      </w:r>
      <w:r w:rsidDel="00000000" w:rsidR="00000000" w:rsidRPr="00000000">
        <w:rPr>
          <w:rFonts w:ascii="Palatino Linotype" w:cs="Palatino Linotype" w:eastAsia="Palatino Linotype" w:hAnsi="Palatino Linotype"/>
          <w:b w:val="1"/>
          <w:sz w:val="23"/>
          <w:szCs w:val="23"/>
          <w:rtl w:val="0"/>
        </w:rPr>
        <w:t xml:space="preserve">D</w:t>
      </w:r>
      <w:r w:rsidDel="00000000" w:rsidR="00000000" w:rsidRPr="00000000">
        <w:rPr>
          <w:rFonts w:ascii="Palatino Linotype" w:cs="Palatino Linotype" w:eastAsia="Palatino Linotype" w:hAnsi="Palatino Linotype"/>
          <w:b w:val="1"/>
          <w:sz w:val="23"/>
          <w:szCs w:val="23"/>
          <w:rtl w:val="0"/>
        </w:rPr>
        <w:t xml:space="preserve">irección General de Seguridad Públic</w:t>
      </w:r>
      <w:r w:rsidDel="00000000" w:rsidR="00000000" w:rsidRPr="00000000">
        <w:rPr>
          <w:rFonts w:ascii="Palatino Linotype" w:cs="Palatino Linotype" w:eastAsia="Palatino Linotype" w:hAnsi="Palatino Linotype"/>
          <w:b w:val="1"/>
          <w:sz w:val="23"/>
          <w:szCs w:val="23"/>
          <w:rtl w:val="0"/>
        </w:rPr>
        <w:t xml:space="preserve">a</w:t>
      </w:r>
      <w:r w:rsidDel="00000000" w:rsidR="00000000" w:rsidRPr="00000000">
        <w:rPr>
          <w:rFonts w:ascii="Palatino Linotype" w:cs="Palatino Linotype" w:eastAsia="Palatino Linotype" w:hAnsi="Palatino Linotype"/>
          <w:sz w:val="24"/>
          <w:szCs w:val="24"/>
          <w:rtl w:val="0"/>
        </w:rPr>
        <w:t xml:space="preserve">, por lo que </w:t>
      </w:r>
      <w:r w:rsidDel="00000000" w:rsidR="00000000" w:rsidRPr="00000000">
        <w:rPr>
          <w:rFonts w:ascii="Palatino Linotype" w:cs="Palatino Linotype" w:eastAsia="Palatino Linotype" w:hAnsi="Palatino Linotype"/>
          <w:b w:val="1"/>
          <w:sz w:val="24"/>
          <w:szCs w:val="24"/>
          <w:rtl w:val="0"/>
        </w:rPr>
        <w:t xml:space="preserve">para este Instituto resultaba pertinente la reserva del nombre de los elementos operativos adscritos a dicha Dependencia</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sz w:val="24"/>
          <w:szCs w:val="24"/>
          <w:rtl w:val="0"/>
        </w:rPr>
        <w:t xml:space="preserve"> para lo que es necesario el desarrollo de la prueba de daño,  </w:t>
      </w:r>
      <w:r w:rsidDel="00000000" w:rsidR="00000000" w:rsidRPr="00000000">
        <w:rPr>
          <w:rFonts w:ascii="Palatino Linotype" w:cs="Palatino Linotype" w:eastAsia="Palatino Linotype" w:hAnsi="Palatino Linotype"/>
          <w:b w:val="1"/>
          <w:sz w:val="24"/>
          <w:szCs w:val="24"/>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4"/>
          <w:szCs w:val="24"/>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10">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4"/>
          <w:szCs w:val="24"/>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4"/>
          <w:szCs w:val="24"/>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11">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smallCaps w:val="0"/>
          <w:strike w:val="0"/>
          <w:color w:val="000000"/>
          <w:sz w:val="22"/>
          <w:szCs w:val="22"/>
          <w:u w:val="none"/>
          <w:vertAlign w:val="baseline"/>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smallCaps w:val="0"/>
          <w:strike w:val="0"/>
          <w:color w:val="000000"/>
          <w:sz w:val="22"/>
          <w:szCs w:val="22"/>
          <w:u w:val="none"/>
          <w:vertAlign w:val="baseline"/>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 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19">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4"/>
          <w:szCs w:val="24"/>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4"/>
          <w:szCs w:val="24"/>
          <w:rtl w:val="0"/>
        </w:rPr>
        <w:t xml:space="preserve">, como es la figura de la clasificación de la información para verificar que se acredita la prueba de daño.</w:t>
      </w:r>
    </w:p>
    <w:p w:rsidR="00000000" w:rsidDel="00000000" w:rsidP="00000000" w:rsidRDefault="00000000" w:rsidRPr="00000000" w14:paraId="0000001A">
      <w:pPr>
        <w:spacing w:line="360" w:lineRule="auto"/>
        <w:jc w:val="both"/>
        <w:rPr>
          <w:rFonts w:ascii="Palatino Linotype" w:cs="Palatino Linotype" w:eastAsia="Palatino Linotype" w:hAnsi="Palatino Linotype"/>
          <w:sz w:val="24"/>
          <w:szCs w:val="24"/>
        </w:rPr>
      </w:pPr>
      <w:bookmarkStart w:colFirst="0" w:colLast="0" w:name="_heading=h.30j0zll" w:id="1"/>
      <w:bookmarkEnd w:id="1"/>
      <w:r w:rsidDel="00000000" w:rsidR="00000000" w:rsidRPr="00000000">
        <w:rPr>
          <w:rFonts w:ascii="Palatino Linotype" w:cs="Palatino Linotype" w:eastAsia="Palatino Linotype" w:hAnsi="Palatino Linotype"/>
          <w:sz w:val="24"/>
          <w:szCs w:val="24"/>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4"/>
          <w:szCs w:val="24"/>
          <w:rtl w:val="0"/>
        </w:rPr>
        <w:t xml:space="preserve">08466/INFOEM/IP/RR/2022,</w:t>
      </w:r>
      <w:r w:rsidDel="00000000" w:rsidR="00000000" w:rsidRPr="00000000">
        <w:rPr>
          <w:rFonts w:ascii="Palatino Linotype" w:cs="Palatino Linotype" w:eastAsia="Palatino Linotype" w:hAnsi="Palatino Linotype"/>
          <w:sz w:val="24"/>
          <w:szCs w:val="24"/>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4"/>
          <w:szCs w:val="24"/>
          <w:rtl w:val="0"/>
        </w:rPr>
        <w:t xml:space="preserve">les corresponde comprobar y desarrollar a los Sujetos Obligados</w:t>
      </w:r>
      <w:r w:rsidDel="00000000" w:rsidR="00000000" w:rsidRPr="00000000">
        <w:rPr>
          <w:rFonts w:ascii="Palatino Linotype" w:cs="Palatino Linotype" w:eastAsia="Palatino Linotype" w:hAnsi="Palatino Linotype"/>
          <w:sz w:val="24"/>
          <w:szCs w:val="24"/>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2"/>
          <w:szCs w:val="22"/>
          <w:u w:val="none"/>
          <w:vertAlign w:val="baseline"/>
          <w:rtl w:val="0"/>
        </w:rPr>
        <w:t xml:space="preserve">XXXIII</w:t>
      </w: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 Prueba de Daño: </w:t>
      </w:r>
      <w:r w:rsidDel="00000000" w:rsidR="00000000" w:rsidRPr="00000000">
        <w:rPr>
          <w:rFonts w:ascii="Palatino Linotype" w:cs="Palatino Linotype" w:eastAsia="Palatino Linotype" w:hAnsi="Palatino Linotype"/>
          <w:b w:val="1"/>
          <w:i w:val="1"/>
          <w:smallCaps w:val="0"/>
          <w:strike w:val="0"/>
          <w:color w:val="000000"/>
          <w:sz w:val="22"/>
          <w:szCs w:val="22"/>
          <w:u w:val="single"/>
          <w:vertAlign w:val="baselin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b w:val="0"/>
          <w:i w:val="1"/>
          <w:smallCaps w:val="0"/>
          <w:strike w:val="0"/>
          <w:color w:val="000000"/>
          <w:sz w:val="22"/>
          <w:szCs w:val="22"/>
          <w:u w:val="none"/>
          <w:vertAlign w:val="baseline"/>
          <w:rtl w:val="0"/>
        </w:rPr>
        <w:t xml:space="preserve"> y que el menoscabo o daño que puede producirse con la publicidad de la información es mayor que el interés de conocerla y por consiguiente debe clasificarse como reservada…” (Sic)</w:t>
      </w:r>
    </w:p>
    <w:p w:rsidR="00000000" w:rsidDel="00000000" w:rsidP="00000000" w:rsidRDefault="00000000" w:rsidRPr="00000000" w14:paraId="0000001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Precepto legal en donde establece que </w:t>
      </w:r>
      <w:r w:rsidDel="00000000" w:rsidR="00000000" w:rsidRPr="00000000">
        <w:rPr>
          <w:rFonts w:ascii="Palatino Linotype" w:cs="Palatino Linotype" w:eastAsia="Palatino Linotype" w:hAnsi="Palatino Linotype"/>
          <w:b w:val="1"/>
          <w:sz w:val="24"/>
          <w:szCs w:val="24"/>
          <w:rtl w:val="0"/>
        </w:rPr>
        <w:t xml:space="preserve">es obligación de los Sujeto Obligados, realizar la prueba de daño;</w:t>
      </w:r>
      <w:r w:rsidDel="00000000" w:rsidR="00000000" w:rsidRPr="00000000">
        <w:rPr>
          <w:rFonts w:ascii="Palatino Linotype" w:cs="Palatino Linotype" w:eastAsia="Palatino Linotype" w:hAnsi="Palatino Linotype"/>
          <w:sz w:val="24"/>
          <w:szCs w:val="24"/>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1D">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Esto es, que, a través de la prueba de daño, </w:t>
      </w:r>
      <w:r w:rsidDel="00000000" w:rsidR="00000000" w:rsidRPr="00000000">
        <w:rPr>
          <w:rFonts w:ascii="Palatino Linotype" w:cs="Palatino Linotype" w:eastAsia="Palatino Linotype" w:hAnsi="Palatino Linotype"/>
          <w:b w:val="1"/>
          <w:sz w:val="24"/>
          <w:szCs w:val="24"/>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y favoreciendo, de ser el caso, la entrega de documentos mediante la versión pública. </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 </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sz w:val="23"/>
          <w:szCs w:val="23"/>
        </w:rPr>
        <w:sectPr>
          <w:headerReference r:id="rId8" w:type="default"/>
          <w:headerReference r:id="rId9" w:type="first"/>
          <w:headerReference r:id="rId10" w:type="even"/>
          <w:footerReference r:id="rId11" w:type="default"/>
          <w:pgSz w:h="15840" w:w="12240" w:orient="portrait"/>
          <w:pgMar w:bottom="2836" w:top="1983" w:left="1985" w:right="1327" w:header="709" w:footer="586"/>
          <w:pgNumType w:start="1"/>
        </w:sectPr>
      </w:pPr>
      <w:r w:rsidDel="00000000" w:rsidR="00000000" w:rsidRPr="00000000">
        <w:rPr>
          <w:rtl w:val="0"/>
        </w:rPr>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2">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3">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4">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6">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rPr>
          <w:rFonts w:ascii="Palatino Linotype" w:cs="Palatino Linotype" w:eastAsia="Palatino Linotype" w:hAnsi="Palatino Linotype"/>
        </w:rPr>
      </w:pPr>
      <w:r w:rsidDel="00000000" w:rsidR="00000000" w:rsidRPr="00000000">
        <w:rPr>
          <w:rtl w:val="0"/>
        </w:rPr>
      </w:r>
    </w:p>
    <w:sectPr>
      <w:headerReference r:id="rId12"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843"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-1114013</wp:posOffset>
          </wp:positionH>
          <wp:positionV relativeFrom="paragraph">
            <wp:posOffset>-449579</wp:posOffset>
          </wp:positionV>
          <wp:extent cx="7510628" cy="988377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OPINIÓN PARTICULAR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134" w:right="0" w:firstLine="0"/>
      <w:jc w:val="righ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RECURSO DE REVISIÓN 08466/INFOEM/IP/RR/2022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
              <a:graphic>
                <a:graphicData uri="http://schemas.microsoft.com/office/word/2010/wordprocessingShape">
                  <wps:wsp>
                    <wps:cNvSpPr/>
                    <wps:cNvPr id="2" name="Shape 2"/>
                    <wps:spPr>
                      <a:xfrm rot="-2700000">
                        <a:off x="2440875" y="2945610"/>
                        <a:ext cx="5810250" cy="16687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A76"/>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B2A76"/>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B2A76"/>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B2A76"/>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0B2A76"/>
  </w:style>
  <w:style w:type="paragraph" w:styleId="Sinespaciado">
    <w:name w:val="No Spacing"/>
    <w:aliases w:val="Francesa"/>
    <w:link w:val="SinespaciadoCar"/>
    <w:uiPriority w:val="1"/>
    <w:qFormat w:val="1"/>
    <w:rsid w:val="000B2A76"/>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0B2A76"/>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2A76"/>
    <w:pPr>
      <w:spacing w:after="0" w:line="240" w:lineRule="auto"/>
      <w:ind w:left="720"/>
      <w:contextualSpacing w:val="1"/>
    </w:pPr>
    <w:rPr>
      <w:rFonts w:ascii="Century Gothic" w:cs="Times New Roman" w:eastAsia="Times New Roman" w:hAnsi="Century Gothic"/>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0B2A76"/>
    <w:rPr>
      <w:rFonts w:ascii="Century Gothic" w:cs="Times New Roman" w:eastAsia="Times New Roman" w:hAnsi="Century Gothic"/>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val="1"/>
    <w:qFormat w:val="1"/>
    <w:rsid w:val="009F0FA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header" Target="header4.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qLMQJiCnyu2RGySvxpI8BdlXLQ==">AMUW2mWbbDjiGFOq0mVOs9Q5aZuINBLzN1muYI7qPmQAepcy8Bev5hcBbxN8oha3CHbXhGg4shK9fAH8qMDckWR+uEKFBVeF+OPqhzZVf8FyVAuY1CdiRTtRAeCK5vDYcuKXzUrQDnm2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2022-09-29T21:21:00Z</dcterms:created>
  <dc:creator>USUARIO</dc:creator>
</cp:coreProperties>
</file>