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bookmarkStart w:id="0" w:name="_GoBack"/>
      <w:bookmarkEnd w:id="0"/>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081965">
        <w:rPr>
          <w:rFonts w:ascii="Palatino Linotype" w:hAnsi="Palatino Linotype"/>
          <w:b/>
          <w:sz w:val="23"/>
          <w:szCs w:val="23"/>
        </w:rPr>
        <w:t>TERCER</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081965">
        <w:rPr>
          <w:rFonts w:ascii="Palatino Linotype" w:hAnsi="Palatino Linotype"/>
          <w:b/>
          <w:sz w:val="23"/>
          <w:szCs w:val="23"/>
        </w:rPr>
        <w:t>VEINTIUNO</w:t>
      </w:r>
      <w:r>
        <w:rPr>
          <w:rFonts w:ascii="Palatino Linotype" w:hAnsi="Palatino Linotype"/>
          <w:b/>
          <w:sz w:val="23"/>
          <w:szCs w:val="23"/>
        </w:rPr>
        <w:t xml:space="preserve"> DE JUNI</w:t>
      </w:r>
      <w:r w:rsidRPr="00940354">
        <w:rPr>
          <w:rFonts w:ascii="Palatino Linotype" w:hAnsi="Palatino Linotype"/>
          <w:b/>
          <w:sz w:val="23"/>
          <w:szCs w:val="23"/>
        </w:rPr>
        <w:t>O DE DOS MIL VEINTIDÓS, EN EL RECURSO DE REVISIÓN 0</w:t>
      </w:r>
      <w:r w:rsidR="00081965">
        <w:rPr>
          <w:rFonts w:ascii="Palatino Linotype" w:hAnsi="Palatino Linotype"/>
          <w:b/>
          <w:sz w:val="23"/>
          <w:szCs w:val="23"/>
        </w:rPr>
        <w:t>429</w:t>
      </w:r>
      <w:r w:rsidR="00275288">
        <w:rPr>
          <w:rFonts w:ascii="Palatino Linotype" w:hAnsi="Palatino Linotype"/>
          <w:b/>
          <w:sz w:val="23"/>
          <w:szCs w:val="23"/>
        </w:rPr>
        <w:t>6</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081965">
        <w:rPr>
          <w:rFonts w:ascii="Palatino Linotype" w:hAnsi="Palatino Linotype"/>
          <w:b/>
          <w:sz w:val="23"/>
          <w:szCs w:val="23"/>
        </w:rPr>
        <w:t>0429</w:t>
      </w:r>
      <w:r w:rsidR="00275288">
        <w:rPr>
          <w:rFonts w:ascii="Palatino Linotype" w:hAnsi="Palatino Linotype"/>
          <w:b/>
          <w:sz w:val="23"/>
          <w:szCs w:val="23"/>
        </w:rPr>
        <w:t>6</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AF1499"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bookmarkStart w:id="1" w:name="_Hlk106220231"/>
      <w:r w:rsidR="00081965" w:rsidRPr="00081965">
        <w:rPr>
          <w:rFonts w:ascii="Palatino Linotype" w:hAnsi="Palatino Linotype"/>
          <w:bCs/>
          <w:sz w:val="23"/>
          <w:szCs w:val="23"/>
        </w:rPr>
        <w:t>Ayuntamiento de Xonacatlán</w:t>
      </w:r>
      <w:bookmarkEnd w:id="1"/>
      <w:r w:rsidRPr="00940354">
        <w:rPr>
          <w:rFonts w:ascii="Palatino Linotype" w:hAnsi="Palatino Linotype"/>
          <w:sz w:val="23"/>
          <w:szCs w:val="23"/>
        </w:rPr>
        <w:t>, que en esencia se le proporcionara</w:t>
      </w:r>
      <w:r w:rsidR="00081965" w:rsidRPr="00081965">
        <w:rPr>
          <w:rFonts w:ascii="Palatino Linotype" w:hAnsi="Palatino Linotype"/>
          <w:sz w:val="23"/>
          <w:szCs w:val="23"/>
        </w:rPr>
        <w:t xml:space="preserve"> la nómina de la administración 2022-2024</w:t>
      </w:r>
      <w:r w:rsidR="00081965">
        <w:rPr>
          <w:rFonts w:ascii="Palatino Linotype" w:hAnsi="Palatino Linotype"/>
          <w:sz w:val="23"/>
          <w:szCs w:val="23"/>
        </w:rPr>
        <w:t>.</w:t>
      </w:r>
    </w:p>
    <w:p w:rsidR="00081965" w:rsidRPr="00081965" w:rsidRDefault="00081965" w:rsidP="00081965">
      <w:pPr>
        <w:spacing w:before="240" w:after="240" w:line="360" w:lineRule="auto"/>
        <w:jc w:val="both"/>
        <w:rPr>
          <w:rFonts w:ascii="Palatino Linotype" w:hAnsi="Palatino Linotype"/>
          <w:sz w:val="24"/>
          <w:szCs w:val="24"/>
        </w:rPr>
      </w:pPr>
      <w:bookmarkStart w:id="2" w:name="_Hlk105611386"/>
      <w:r>
        <w:rPr>
          <w:rFonts w:ascii="Palatino Linotype" w:hAnsi="Palatino Linotype"/>
          <w:sz w:val="24"/>
          <w:szCs w:val="24"/>
        </w:rPr>
        <w:lastRenderedPageBreak/>
        <w:t xml:space="preserve">El Sujeto Obligado no dio curso a la solicitud de información, ello bajo los siguientes argumentos vertidos en el </w:t>
      </w:r>
      <w:r w:rsidRPr="00081965">
        <w:rPr>
          <w:rFonts w:ascii="Palatino Linotype" w:hAnsi="Palatino Linotype"/>
          <w:sz w:val="24"/>
          <w:szCs w:val="24"/>
        </w:rPr>
        <w:t xml:space="preserve">oficio número XON/UT/0112/2022, de la misma fecha de recepción, suscrito por el Titular de la Unidad de Transparencia y Acceso a la Información Pública y dirigido al Solicitante, por medio del cual manifiesta y expone: </w:t>
      </w:r>
    </w:p>
    <w:p w:rsidR="00081965" w:rsidRPr="00081965" w:rsidRDefault="00081965" w:rsidP="00081965">
      <w:pPr>
        <w:spacing w:before="240" w:after="240" w:line="276" w:lineRule="auto"/>
        <w:ind w:left="567" w:right="990"/>
        <w:jc w:val="both"/>
        <w:rPr>
          <w:rFonts w:ascii="Palatino Linotype" w:hAnsi="Palatino Linotype"/>
          <w:i/>
          <w:iCs/>
          <w:szCs w:val="24"/>
        </w:rPr>
      </w:pPr>
      <w:r w:rsidRPr="00081965">
        <w:rPr>
          <w:rFonts w:ascii="Palatino Linotype" w:hAnsi="Palatino Linotype"/>
          <w:i/>
          <w:iCs/>
          <w:szCs w:val="24"/>
        </w:rPr>
        <w:t>“…</w:t>
      </w:r>
    </w:p>
    <w:p w:rsidR="00081965" w:rsidRPr="00081965" w:rsidRDefault="00081965" w:rsidP="00081965">
      <w:pPr>
        <w:spacing w:before="240" w:after="240" w:line="276" w:lineRule="auto"/>
        <w:ind w:left="567" w:right="990"/>
        <w:jc w:val="both"/>
        <w:rPr>
          <w:rFonts w:ascii="Palatino Linotype" w:hAnsi="Palatino Linotype"/>
          <w:i/>
          <w:iCs/>
          <w:szCs w:val="24"/>
        </w:rPr>
      </w:pPr>
      <w:r w:rsidRPr="00081965">
        <w:rPr>
          <w:rFonts w:ascii="Palatino Linotype" w:hAnsi="Palatino Linotype"/>
          <w:i/>
          <w:iCs/>
          <w:szCs w:val="24"/>
        </w:rPr>
        <w:t xml:space="preserve">Estimado solicitante le hago la aclaración que </w:t>
      </w:r>
      <w:r w:rsidRPr="00081965">
        <w:rPr>
          <w:rFonts w:ascii="Palatino Linotype" w:hAnsi="Palatino Linotype"/>
          <w:b/>
          <w:i/>
          <w:iCs/>
          <w:szCs w:val="24"/>
        </w:rPr>
        <w:t>todavía no contamos con la nómina correspondiente hasta el 2024</w:t>
      </w:r>
      <w:r w:rsidRPr="00081965">
        <w:rPr>
          <w:rFonts w:ascii="Palatino Linotype" w:hAnsi="Palatino Linotype"/>
          <w:i/>
          <w:iCs/>
          <w:szCs w:val="24"/>
        </w:rPr>
        <w:t>, aun desconocemos las altas y bajas del personal durante todo el periodo, le comento que esta solicitud no cumple con los requisitos por notificar según lo estipulado en artículo 155 fracción III de la Ley de Transparencia y Acceso a la Información Pública del Estado de México y Municipios, en la cual solicita la información pero no describe y le solicito delimitar a las quincenas de las cuales quiso dar a entender en la solicitud.</w:t>
      </w:r>
    </w:p>
    <w:p w:rsidR="00081965" w:rsidRPr="00081965" w:rsidRDefault="00081965" w:rsidP="00081965">
      <w:pPr>
        <w:spacing w:before="240" w:after="240" w:line="276" w:lineRule="auto"/>
        <w:ind w:left="567" w:right="990"/>
        <w:jc w:val="both"/>
        <w:rPr>
          <w:rFonts w:ascii="Palatino Linotype" w:hAnsi="Palatino Linotype"/>
          <w:i/>
          <w:iCs/>
          <w:szCs w:val="24"/>
        </w:rPr>
      </w:pPr>
      <w:r w:rsidRPr="00081965">
        <w:rPr>
          <w:rFonts w:ascii="Palatino Linotype" w:hAnsi="Palatino Linotype"/>
          <w:i/>
          <w:iCs/>
          <w:szCs w:val="24"/>
        </w:rPr>
        <w:t>…”</w:t>
      </w:r>
      <w:r>
        <w:rPr>
          <w:rFonts w:ascii="Palatino Linotype" w:hAnsi="Palatino Linotype"/>
          <w:i/>
          <w:iCs/>
          <w:szCs w:val="24"/>
        </w:rPr>
        <w:t xml:space="preserve"> (Sic) (Énfasis añadido)</w:t>
      </w:r>
    </w:p>
    <w:bookmarkEnd w:id="2"/>
    <w:p w:rsidR="004A63C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Ante </w:t>
      </w:r>
      <w:r w:rsidR="00081965">
        <w:rPr>
          <w:rFonts w:ascii="Palatino Linotype" w:hAnsi="Palatino Linotype"/>
          <w:sz w:val="23"/>
          <w:szCs w:val="23"/>
        </w:rPr>
        <w:t>este acto d</w:t>
      </w:r>
      <w:r w:rsidRPr="00940354">
        <w:rPr>
          <w:rFonts w:ascii="Palatino Linotype" w:hAnsi="Palatino Linotype"/>
          <w:sz w:val="23"/>
          <w:szCs w:val="23"/>
        </w:rPr>
        <w:t>el Sujeto Obliga</w:t>
      </w:r>
      <w:r w:rsidR="00275288">
        <w:rPr>
          <w:rFonts w:ascii="Palatino Linotype" w:hAnsi="Palatino Linotype"/>
          <w:sz w:val="23"/>
          <w:szCs w:val="23"/>
        </w:rPr>
        <w:t>do, el particular se inconfor</w:t>
      </w:r>
      <w:r w:rsidR="00081965">
        <w:rPr>
          <w:rFonts w:ascii="Palatino Linotype" w:hAnsi="Palatino Linotype"/>
          <w:sz w:val="23"/>
          <w:szCs w:val="23"/>
        </w:rPr>
        <w:t>ma, porque no se le otorgó una respuesta adecuada</w:t>
      </w:r>
      <w:r w:rsidR="004A63C4">
        <w:rPr>
          <w:rFonts w:ascii="Palatino Linotype" w:hAnsi="Palatino Linotype"/>
          <w:sz w:val="23"/>
          <w:szCs w:val="23"/>
        </w:rPr>
        <w:t>.</w:t>
      </w:r>
    </w:p>
    <w:p w:rsidR="00081965" w:rsidRPr="00081965" w:rsidRDefault="00AF1499" w:rsidP="00081965">
      <w:pPr>
        <w:spacing w:before="240" w:after="240" w:line="360" w:lineRule="auto"/>
        <w:jc w:val="both"/>
        <w:rPr>
          <w:rFonts w:ascii="Palatino Linotype" w:hAnsi="Palatino Linotype"/>
          <w:sz w:val="24"/>
        </w:rPr>
      </w:pPr>
      <w:r>
        <w:rPr>
          <w:rFonts w:ascii="Palatino Linotype" w:hAnsi="Palatino Linotype"/>
          <w:sz w:val="24"/>
        </w:rPr>
        <w:t xml:space="preserve">Es de señalar que el Sujeto Obligado </w:t>
      </w:r>
      <w:r w:rsidR="00275288">
        <w:rPr>
          <w:rFonts w:ascii="Palatino Linotype" w:hAnsi="Palatino Linotype"/>
          <w:sz w:val="24"/>
        </w:rPr>
        <w:t xml:space="preserve">rindió </w:t>
      </w:r>
      <w:r w:rsidR="000B2A76" w:rsidRPr="00940354">
        <w:rPr>
          <w:rFonts w:ascii="Palatino Linotype" w:hAnsi="Palatino Linotype"/>
          <w:sz w:val="24"/>
        </w:rPr>
        <w:t>Informe Justificado</w:t>
      </w:r>
      <w:r w:rsidR="00275288">
        <w:rPr>
          <w:rFonts w:ascii="Palatino Linotype" w:hAnsi="Palatino Linotype"/>
          <w:sz w:val="24"/>
        </w:rPr>
        <w:t xml:space="preserve"> en el que medularmente ratificó su respuesta inicial</w:t>
      </w:r>
      <w:r w:rsidR="000B2A76" w:rsidRPr="00940354">
        <w:rPr>
          <w:rFonts w:ascii="Palatino Linotype" w:hAnsi="Palatino Linotype"/>
          <w:sz w:val="24"/>
        </w:rPr>
        <w:t xml:space="preserve">, </w:t>
      </w:r>
      <w:r w:rsidR="00081965">
        <w:rPr>
          <w:rFonts w:ascii="Palatino Linotype" w:hAnsi="Palatino Linotype"/>
          <w:sz w:val="24"/>
        </w:rPr>
        <w:t xml:space="preserve">manifestando lo siguiente: </w:t>
      </w:r>
    </w:p>
    <w:p w:rsidR="00081965" w:rsidRPr="00081965" w:rsidRDefault="00081965" w:rsidP="00081965">
      <w:pPr>
        <w:spacing w:before="240" w:after="240" w:line="276" w:lineRule="auto"/>
        <w:ind w:left="567" w:right="990"/>
        <w:jc w:val="both"/>
        <w:rPr>
          <w:rFonts w:ascii="Palatino Linotype" w:hAnsi="Palatino Linotype"/>
          <w:bCs/>
          <w:i/>
          <w:iCs/>
        </w:rPr>
      </w:pPr>
      <w:r w:rsidRPr="00081965">
        <w:rPr>
          <w:rFonts w:ascii="Palatino Linotype" w:hAnsi="Palatino Linotype"/>
          <w:bCs/>
          <w:i/>
          <w:iCs/>
        </w:rPr>
        <w:t>“…</w:t>
      </w:r>
    </w:p>
    <w:p w:rsidR="00081965" w:rsidRPr="00081965" w:rsidRDefault="00081965" w:rsidP="00081965">
      <w:pPr>
        <w:spacing w:before="240" w:after="240" w:line="276" w:lineRule="auto"/>
        <w:ind w:left="567" w:right="990"/>
        <w:jc w:val="both"/>
        <w:rPr>
          <w:rFonts w:ascii="Palatino Linotype" w:hAnsi="Palatino Linotype"/>
          <w:i/>
          <w:iCs/>
          <w:lang w:val="es-ES"/>
        </w:rPr>
      </w:pPr>
      <w:r w:rsidRPr="00081965">
        <w:rPr>
          <w:rFonts w:ascii="Palatino Linotype" w:hAnsi="Palatino Linotype"/>
          <w:i/>
          <w:iCs/>
          <w:lang w:val="es-ES"/>
        </w:rPr>
        <w:t xml:space="preserve">Se hace de su conocimiento que la palabra “nómina” es un término con una connotación relativa, en tanto que se delimita el servidor público a área, “la denominación” como se enuncia, no es un sustantivo, personal, mismo que no recibe percepción alguna o en todo caso sería importante especificar en qué apartado puede consultarse el término si este fuere algún tecnicismo propio a la materia de derecho. </w:t>
      </w:r>
    </w:p>
    <w:p w:rsidR="00081965" w:rsidRPr="00081965" w:rsidRDefault="00081965" w:rsidP="00081965">
      <w:pPr>
        <w:spacing w:before="240" w:after="240" w:line="276" w:lineRule="auto"/>
        <w:jc w:val="both"/>
        <w:rPr>
          <w:rFonts w:ascii="Palatino Linotype" w:hAnsi="Palatino Linotype"/>
          <w:i/>
          <w:iCs/>
          <w:lang w:val="es-ES"/>
        </w:rPr>
      </w:pPr>
    </w:p>
    <w:p w:rsidR="00081965" w:rsidRPr="00081965" w:rsidRDefault="00081965" w:rsidP="00081965">
      <w:pPr>
        <w:spacing w:before="240" w:after="240" w:line="276" w:lineRule="auto"/>
        <w:ind w:left="567" w:right="990"/>
        <w:jc w:val="both"/>
        <w:rPr>
          <w:rFonts w:ascii="Palatino Linotype" w:hAnsi="Palatino Linotype"/>
          <w:i/>
          <w:iCs/>
          <w:lang w:val="es-ES"/>
        </w:rPr>
      </w:pPr>
      <w:r w:rsidRPr="00081965">
        <w:rPr>
          <w:rFonts w:ascii="Palatino Linotype" w:hAnsi="Palatino Linotype"/>
          <w:i/>
          <w:iCs/>
          <w:lang w:val="es-ES"/>
        </w:rPr>
        <w:t>Así mismo se especifica que esta administración se encuentra en desarrollo del periodo por lo que las altas y bajas se desconocen; lo propio sería especificar la quincena de la cual pretende recaer la información, esto, sin llegar al supuesto del artículo 158 de la Ley de Transparencia y Acceso a la Información Pública del Estado de México y Municipios; la Unidad de Transparencia de este Sujeto Obligado está en la disposición de hacer valer  el derecho, en tanto los términos sean claros y precisos, así, de esta manera localizar la información pertinente.</w:t>
      </w:r>
    </w:p>
    <w:p w:rsidR="00081965" w:rsidRPr="00081965" w:rsidRDefault="00081965" w:rsidP="00081965">
      <w:pPr>
        <w:spacing w:before="240" w:after="240" w:line="276" w:lineRule="auto"/>
        <w:ind w:left="567" w:right="990"/>
        <w:jc w:val="both"/>
        <w:rPr>
          <w:rFonts w:ascii="Palatino Linotype" w:hAnsi="Palatino Linotype"/>
          <w:i/>
          <w:iCs/>
          <w:lang w:val="es-ES"/>
        </w:rPr>
      </w:pPr>
    </w:p>
    <w:p w:rsidR="00081965" w:rsidRPr="00081965" w:rsidRDefault="00081965" w:rsidP="00081965">
      <w:pPr>
        <w:spacing w:before="240" w:after="240" w:line="276" w:lineRule="auto"/>
        <w:ind w:left="567" w:right="990"/>
        <w:jc w:val="both"/>
        <w:rPr>
          <w:rFonts w:ascii="Palatino Linotype" w:hAnsi="Palatino Linotype"/>
          <w:i/>
          <w:iCs/>
          <w:lang w:val="es-ES"/>
        </w:rPr>
      </w:pPr>
      <w:r w:rsidRPr="00081965">
        <w:rPr>
          <w:rFonts w:ascii="Palatino Linotype" w:hAnsi="Palatino Linotype"/>
          <w:i/>
          <w:iCs/>
          <w:lang w:val="es-ES"/>
        </w:rPr>
        <w:t xml:space="preserve">En todo caso que el particular desconozca la especificidad del dato a consultar, se le puede permitir la consulta directa, según lo establecido en el artículo 158 de la Ley de Transparencia y Acceso a la Información Pública del Estado de México y -municipios, en tanto que se encuentra cerca de 300 trabajadores, a la fecha han transcurrido 9 quincenas, lo que da un total aproximado de 2,700 hojas para localizar, testar, sesionar, elaborar acta de comité de transparencia, colocando cada uno de los datos, discusión y en su caso aprobación de la misma. </w:t>
      </w:r>
    </w:p>
    <w:p w:rsidR="00081965" w:rsidRPr="00081965" w:rsidRDefault="00081965" w:rsidP="00081965">
      <w:pPr>
        <w:spacing w:before="240" w:after="240" w:line="276" w:lineRule="auto"/>
        <w:ind w:left="567" w:right="990"/>
        <w:jc w:val="both"/>
        <w:rPr>
          <w:rFonts w:ascii="Palatino Linotype" w:hAnsi="Palatino Linotype"/>
          <w:bCs/>
          <w:i/>
          <w:iCs/>
        </w:rPr>
      </w:pPr>
      <w:r w:rsidRPr="00081965">
        <w:rPr>
          <w:rFonts w:ascii="Palatino Linotype" w:hAnsi="Palatino Linotype"/>
          <w:bCs/>
          <w:i/>
          <w:iCs/>
        </w:rPr>
        <w:t xml:space="preserve">…” (Sic) </w:t>
      </w: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081965">
        <w:rPr>
          <w:rFonts w:ascii="Palatino Linotype" w:hAnsi="Palatino Linotype"/>
          <w:sz w:val="23"/>
          <w:szCs w:val="23"/>
        </w:rPr>
        <w:t xml:space="preserve">ordenar la entrega de información </w:t>
      </w:r>
      <w:r w:rsidR="00AF1499">
        <w:rPr>
          <w:rFonts w:ascii="Palatino Linotype" w:hAnsi="Palatino Linotype"/>
          <w:sz w:val="23"/>
          <w:szCs w:val="23"/>
        </w:rPr>
        <w:t xml:space="preserve">y posteriormente </w:t>
      </w:r>
      <w:r>
        <w:rPr>
          <w:rFonts w:ascii="Palatino Linotype" w:hAnsi="Palatino Linotype"/>
          <w:sz w:val="23"/>
          <w:szCs w:val="23"/>
        </w:rPr>
        <w:t>en su resolutivo SEGUNDO</w:t>
      </w:r>
      <w:r w:rsidR="00081965">
        <w:rPr>
          <w:rFonts w:ascii="Palatino Linotype" w:hAnsi="Palatino Linotype"/>
          <w:sz w:val="23"/>
          <w:szCs w:val="23"/>
        </w:rPr>
        <w:t>, precisar al Sujeto Obligado que deberá remitir al particular, lo siguiente</w:t>
      </w:r>
      <w:r w:rsidR="00AF1499">
        <w:rPr>
          <w:rFonts w:ascii="Palatino Linotype" w:hAnsi="Palatino Linotype"/>
          <w:sz w:val="23"/>
          <w:szCs w:val="23"/>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081965" w:rsidRPr="00081965" w:rsidRDefault="00081965" w:rsidP="00081965">
      <w:pPr>
        <w:autoSpaceDE w:val="0"/>
        <w:autoSpaceDN w:val="0"/>
        <w:adjustRightInd w:val="0"/>
        <w:spacing w:line="276" w:lineRule="auto"/>
        <w:ind w:left="567" w:right="990"/>
        <w:contextualSpacing/>
        <w:jc w:val="both"/>
        <w:rPr>
          <w:rFonts w:ascii="Palatino Linotype" w:hAnsi="Palatino Linotype"/>
          <w:bCs/>
          <w:i/>
          <w:szCs w:val="23"/>
        </w:rPr>
      </w:pPr>
      <w:r w:rsidRPr="00081965">
        <w:rPr>
          <w:rFonts w:ascii="Palatino Linotype" w:hAnsi="Palatino Linotype"/>
          <w:b/>
          <w:bCs/>
          <w:i/>
          <w:szCs w:val="23"/>
        </w:rPr>
        <w:t xml:space="preserve">SEGUNDO. Se ORDENA al Ayuntamiento de Xonacatlán, </w:t>
      </w:r>
      <w:r w:rsidRPr="00081965">
        <w:rPr>
          <w:rFonts w:ascii="Palatino Linotype" w:hAnsi="Palatino Linotype"/>
          <w:bCs/>
          <w:i/>
          <w:szCs w:val="23"/>
        </w:rPr>
        <w:t>a efecto de que, de trámite a la solicitud de información y previa búsqueda exhaustiva y razonable, en todas las unidades administrativas competentes, entregue, a través del Sistema de Acceso a la Información Mexiquense (SAIMEX), en su caso, en versión pública, lo siguiente:</w:t>
      </w:r>
    </w:p>
    <w:p w:rsidR="00081965" w:rsidRPr="00081965" w:rsidRDefault="00081965" w:rsidP="00081965">
      <w:pPr>
        <w:autoSpaceDE w:val="0"/>
        <w:autoSpaceDN w:val="0"/>
        <w:adjustRightInd w:val="0"/>
        <w:spacing w:line="276" w:lineRule="auto"/>
        <w:ind w:left="567" w:right="990"/>
        <w:contextualSpacing/>
        <w:jc w:val="both"/>
        <w:rPr>
          <w:rFonts w:ascii="Palatino Linotype" w:hAnsi="Palatino Linotype"/>
          <w:b/>
          <w:bCs/>
          <w:i/>
          <w:szCs w:val="23"/>
        </w:rPr>
      </w:pPr>
    </w:p>
    <w:p w:rsidR="00081965" w:rsidRPr="00081965" w:rsidRDefault="00081965" w:rsidP="00081965">
      <w:pPr>
        <w:autoSpaceDE w:val="0"/>
        <w:autoSpaceDN w:val="0"/>
        <w:adjustRightInd w:val="0"/>
        <w:spacing w:line="276" w:lineRule="auto"/>
        <w:ind w:left="567" w:right="990"/>
        <w:contextualSpacing/>
        <w:jc w:val="both"/>
        <w:rPr>
          <w:rFonts w:ascii="Palatino Linotype" w:hAnsi="Palatino Linotype"/>
          <w:b/>
          <w:bCs/>
          <w:i/>
          <w:szCs w:val="23"/>
        </w:rPr>
      </w:pPr>
      <w:r w:rsidRPr="00081965">
        <w:rPr>
          <w:rFonts w:ascii="Palatino Linotype" w:hAnsi="Palatino Linotype"/>
          <w:b/>
          <w:bCs/>
          <w:i/>
          <w:szCs w:val="23"/>
        </w:rPr>
        <w:t>La Conciliación de Nómina del Ayuntamiento de Xonacatlán, de la primera quincena de enero a la segunda de febrero de dos mil veintidós.</w:t>
      </w:r>
    </w:p>
    <w:p w:rsidR="00081965" w:rsidRPr="00081965" w:rsidRDefault="00081965" w:rsidP="00081965">
      <w:pPr>
        <w:autoSpaceDE w:val="0"/>
        <w:autoSpaceDN w:val="0"/>
        <w:adjustRightInd w:val="0"/>
        <w:spacing w:line="276" w:lineRule="auto"/>
        <w:ind w:left="567" w:right="990"/>
        <w:contextualSpacing/>
        <w:jc w:val="both"/>
        <w:rPr>
          <w:rFonts w:ascii="Palatino Linotype" w:hAnsi="Palatino Linotype"/>
          <w:b/>
          <w:bCs/>
          <w:i/>
          <w:szCs w:val="23"/>
        </w:rPr>
      </w:pPr>
    </w:p>
    <w:p w:rsidR="00AF1499" w:rsidRPr="00081965" w:rsidRDefault="00081965" w:rsidP="00081965">
      <w:pPr>
        <w:autoSpaceDE w:val="0"/>
        <w:autoSpaceDN w:val="0"/>
        <w:adjustRightInd w:val="0"/>
        <w:spacing w:line="276" w:lineRule="auto"/>
        <w:ind w:left="567" w:right="990"/>
        <w:contextualSpacing/>
        <w:jc w:val="both"/>
        <w:rPr>
          <w:rFonts w:ascii="Palatino Linotype" w:hAnsi="Palatino Linotype"/>
          <w:bCs/>
          <w:i/>
          <w:szCs w:val="23"/>
        </w:rPr>
      </w:pPr>
      <w:r w:rsidRPr="00081965">
        <w:rPr>
          <w:rFonts w:ascii="Palatino Linotype" w:hAnsi="Palatino Linotype"/>
          <w:bCs/>
          <w:i/>
          <w:szCs w:val="23"/>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w:t>
      </w:r>
      <w:r>
        <w:rPr>
          <w:rFonts w:ascii="Palatino Linotype" w:hAnsi="Palatino Linotype"/>
          <w:bCs/>
          <w:i/>
          <w:szCs w:val="23"/>
        </w:rPr>
        <w:t xml:space="preserve"> Estado de México y Municipios.</w:t>
      </w:r>
      <w:r w:rsidR="00AF1499"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EE5423" w:rsidRPr="00F06A7B">
        <w:rPr>
          <w:rFonts w:ascii="Palatino Linotype" w:hAnsi="Palatino Linotype"/>
          <w:b/>
          <w:bCs/>
          <w:color w:val="000000" w:themeColor="text1"/>
          <w:sz w:val="23"/>
          <w:szCs w:val="23"/>
        </w:rPr>
        <w:t xml:space="preserve">resultaba pertinente </w:t>
      </w:r>
      <w:r w:rsidR="00F06A7B" w:rsidRPr="00F06A7B">
        <w:rPr>
          <w:rFonts w:ascii="Palatino Linotype" w:hAnsi="Palatino Linotype"/>
          <w:b/>
          <w:bCs/>
          <w:color w:val="000000" w:themeColor="text1"/>
          <w:sz w:val="23"/>
          <w:szCs w:val="23"/>
        </w:rPr>
        <w:t>la clasificación como reservada de los nombres de los elementos operativos de la Dirección de Seguridad Pública</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lastRenderedPageBreak/>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F06A7B">
        <w:rPr>
          <w:rFonts w:ascii="Palatino Linotype" w:hAnsi="Palatino Linotype"/>
          <w:b/>
          <w:bCs/>
          <w:sz w:val="23"/>
          <w:szCs w:val="23"/>
        </w:rPr>
        <w:t>4296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 xml:space="preserve">entro de la Ley de Transparencia y Acceso a la Información Pública del Estado de México y Municipios, se encuentra que, para reservar una información, se debe aplicar </w:t>
      </w:r>
      <w:r w:rsidRPr="00A408AE">
        <w:rPr>
          <w:rFonts w:ascii="Palatino Linotype" w:hAnsi="Palatino Linotype"/>
          <w:sz w:val="23"/>
          <w:szCs w:val="23"/>
        </w:rPr>
        <w:lastRenderedPageBreak/>
        <w:t>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en opinión de la Suscrita, y en términos de lo dispuesto por la normatividad en la materia, son los Sujetos Obligados, deben aportar los elementos para desarrollar la </w:t>
      </w:r>
      <w:r>
        <w:rPr>
          <w:rFonts w:ascii="Palatino Linotype" w:hAnsi="Palatino Linotype"/>
          <w:sz w:val="23"/>
          <w:szCs w:val="23"/>
        </w:rPr>
        <w:lastRenderedPageBreak/>
        <w:t>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EE5423"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540385</wp:posOffset>
                </wp:positionV>
                <wp:extent cx="5381625" cy="66294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381625" cy="662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F17C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55pt" to="431.75pt,5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5AuQEAALkDAAAOAAAAZHJzL2Uyb0RvYy54bWysU02P0zAQvSPxHyzfaZKWrZao6R66gguC&#10;CpYf4HXGjYW/NDZN+u8Zu20WAUKrFRc7Y7/3Zt54srmbrGFHwKi963izqDkDJ32v3aHj3x7ev7nl&#10;LCbhemG8g46fIPK77etXmzG0sPSDNz0gIxEX2zF0fEgptFUV5QBWxIUP4OhSebQiUYiHqkcxkro1&#10;1bKu19XosQ/oJcRIp/fnS74t+kqBTJ+VipCY6TjVlsqKZX3Ma7XdiPaAIgxaXsoQL6jCCu0o6Sx1&#10;L5JgP1D/IWW1RB+9SgvpbeWV0hKKB3LT1L+5+TqIAMULNSeGuU3x/8nKT8c9Mt13fMWZE5aeaEcP&#10;JZNHhnljq9yjMcSWoDu3x0sUwx6z4UmhzTtZYVPp62nuK0yJSTq8Wd026+UNZ5Lu1uvlu7d16Xz1&#10;RA8Y0wfwluWPjhvtsnHRiuPHmCglQa8QCnI55wLKVzoZyGDjvoAiM5SyKewyRrAzyI6CBqD/3mQz&#10;pFWQmaK0MTOp/jfpgs00KKP1XOKMLhm9SzPRaufxb1nTdC1VnfFX12ev2faj70/lOUo7aD6Ks8ss&#10;5wH8NS70pz9u+xMAAP//AwBQSwMEFAAGAAgAAAAhAAnk2XXeAAAACgEAAA8AAABkcnMvZG93bnJl&#10;di54bWxMj8FOwzAQRO9I/IO1SNyok6BGIY1TVZUQ4oJoCnc33jopsR3ZThr+nuUEx9Fbzb6ptosZ&#10;2Iw+9M4KSFcJMLStU73VAj6Ozw8FsBClVXJwFgV8Y4BtfXtTyVK5qz3g3ETNqMSGUgroYhxLzkPb&#10;oZFh5Ua0xM7OGxkpes2Vl1cqNwPPkiTnRvaWPnRyxH2H7VczGQHDq58/9V7vwvRyyJvL+zl7O85C&#10;3N8tuw2wiEv8O4ZffVKHmpxObrIqsIFyTlOigGKdAiNe5I9rYCcCafaUAq8r/n9C/QMAAP//AwBQ&#10;SwECLQAUAAYACAAAACEAtoM4kv4AAADhAQAAEwAAAAAAAAAAAAAAAAAAAAAAW0NvbnRlbnRfVHlw&#10;ZXNdLnhtbFBLAQItABQABgAIAAAAIQA4/SH/1gAAAJQBAAALAAAAAAAAAAAAAAAAAC8BAABfcmVs&#10;cy8ucmVsc1BLAQItABQABgAIAAAAIQB1bd5AuQEAALkDAAAOAAAAAAAAAAAAAAAAAC4CAABkcnMv&#10;ZTJvRG9jLnhtbFBLAQItABQABgAIAAAAIQAJ5Nl13gAAAAoBAAAPAAAAAAAAAAAAAAAAABMEAABk&#10;cnMvZG93bnJldi54bWxQSwUGAAAAAAQABADzAAAAHgU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043469"/>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54" w:rsidRDefault="000D4D54" w:rsidP="000B2A76">
      <w:pPr>
        <w:spacing w:after="0" w:line="240" w:lineRule="auto"/>
      </w:pPr>
      <w:r>
        <w:separator/>
      </w:r>
    </w:p>
  </w:endnote>
  <w:endnote w:type="continuationSeparator" w:id="0">
    <w:p w:rsidR="000D4D54" w:rsidRDefault="000D4D54"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3469">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3469">
      <w:rPr>
        <w:rFonts w:ascii="Arial" w:hAnsi="Arial" w:cs="Arial"/>
        <w:b/>
        <w:bCs/>
        <w:noProof/>
        <w:sz w:val="20"/>
        <w:szCs w:val="20"/>
      </w:rPr>
      <w:t>9</w:t>
    </w:r>
    <w:r w:rsidRPr="00986599">
      <w:rPr>
        <w:rFonts w:ascii="Arial" w:hAnsi="Arial" w:cs="Arial"/>
        <w:b/>
        <w:bCs/>
        <w:sz w:val="20"/>
        <w:szCs w:val="20"/>
      </w:rPr>
      <w:fldChar w:fldCharType="end"/>
    </w:r>
  </w:p>
  <w:p w:rsidR="00D758BE" w:rsidRDefault="00043469"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54" w:rsidRDefault="000D4D54" w:rsidP="000B2A76">
      <w:pPr>
        <w:spacing w:after="0" w:line="240" w:lineRule="auto"/>
      </w:pPr>
      <w:r>
        <w:separator/>
      </w:r>
    </w:p>
  </w:footnote>
  <w:footnote w:type="continuationSeparator" w:id="0">
    <w:p w:rsidR="000D4D54" w:rsidRDefault="000D4D54"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434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081965">
      <w:rPr>
        <w:rFonts w:ascii="Palatino Linotype" w:hAnsi="Palatino Linotype" w:cs="Arial"/>
        <w:b/>
        <w:sz w:val="22"/>
        <w:szCs w:val="22"/>
      </w:rPr>
      <w:t>429</w:t>
    </w:r>
    <w:r w:rsidR="00275288">
      <w:rPr>
        <w:rFonts w:ascii="Palatino Linotype" w:hAnsi="Palatino Linotype" w:cs="Arial"/>
        <w:b/>
        <w:sz w:val="22"/>
        <w:szCs w:val="22"/>
      </w:rPr>
      <w:t>6</w:t>
    </w:r>
    <w:r w:rsidRPr="00FB2266">
      <w:rPr>
        <w:rFonts w:ascii="Palatino Linotype" w:hAnsi="Palatino Linotype" w:cs="Arial"/>
        <w:b/>
        <w:sz w:val="22"/>
        <w:szCs w:val="22"/>
      </w:rPr>
      <w:t>/INFOEM/IP/RR/2022</w:t>
    </w:r>
  </w:p>
  <w:p w:rsidR="000B1C1F" w:rsidRPr="000D4A99" w:rsidRDefault="00043469"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434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043469" w:rsidP="007263BB">
    <w:pPr>
      <w:pStyle w:val="Encabezado"/>
      <w:jc w:val="right"/>
      <w:rPr>
        <w:rFonts w:ascii="Arial" w:hAnsi="Arial" w:cs="Arial"/>
        <w:sz w:val="20"/>
        <w:szCs w:val="20"/>
      </w:rPr>
    </w:pPr>
  </w:p>
  <w:p w:rsidR="00F029C2" w:rsidRPr="000D4A99" w:rsidRDefault="00043469" w:rsidP="007263BB">
    <w:pPr>
      <w:pStyle w:val="Encabezado"/>
      <w:jc w:val="right"/>
      <w:rPr>
        <w:rFonts w:ascii="Arial" w:hAnsi="Arial" w:cs="Arial"/>
        <w:sz w:val="20"/>
        <w:szCs w:val="20"/>
      </w:rPr>
    </w:pPr>
  </w:p>
  <w:p w:rsidR="00F029C2" w:rsidRPr="000D4A99" w:rsidRDefault="00043469"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043469" w:rsidP="007263BB">
    <w:pPr>
      <w:pStyle w:val="Encabezado"/>
      <w:jc w:val="right"/>
      <w:rPr>
        <w:rFonts w:ascii="Palatino Linotype" w:hAnsi="Palatino Linotype" w:cs="Arial"/>
        <w:sz w:val="20"/>
        <w:szCs w:val="20"/>
      </w:rPr>
    </w:pPr>
  </w:p>
  <w:p w:rsidR="00F029C2" w:rsidRPr="000D4A99" w:rsidRDefault="0004346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275288"/>
    <w:rsid w:val="004A63C4"/>
    <w:rsid w:val="007213EF"/>
    <w:rsid w:val="0081741B"/>
    <w:rsid w:val="00977DEC"/>
    <w:rsid w:val="00A0212F"/>
    <w:rsid w:val="00A22313"/>
    <w:rsid w:val="00AF1499"/>
    <w:rsid w:val="00AF53CA"/>
    <w:rsid w:val="00BA53BA"/>
    <w:rsid w:val="00BD6E2C"/>
    <w:rsid w:val="00D36CD9"/>
    <w:rsid w:val="00E1501A"/>
    <w:rsid w:val="00EB4154"/>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1856</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2022-06-23T22:50:00Z</cp:lastPrinted>
  <dcterms:created xsi:type="dcterms:W3CDTF">2022-06-23T17:14:00Z</dcterms:created>
  <dcterms:modified xsi:type="dcterms:W3CDTF">2022-06-23T22:51:00Z</dcterms:modified>
</cp:coreProperties>
</file>