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DE725" w14:textId="1677896B" w:rsidR="00E967D5" w:rsidRPr="004D73BE" w:rsidRDefault="004D73BE" w:rsidP="004D73BE">
      <w:pPr>
        <w:widowControl w:val="0"/>
        <w:pBdr>
          <w:top w:val="nil"/>
          <w:left w:val="nil"/>
          <w:bottom w:val="nil"/>
          <w:right w:val="nil"/>
          <w:between w:val="nil"/>
        </w:pBdr>
        <w:spacing w:after="0" w:line="360" w:lineRule="auto"/>
        <w:jc w:val="both"/>
      </w:pPr>
      <w:r>
        <w:pict w14:anchorId="5EFADE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50pt;height:50pt;z-index:251658240;visibility:hidden">
            <o:lock v:ext="edit" selection="t"/>
          </v:shape>
        </w:pict>
      </w:r>
      <w:r>
        <w:pict w14:anchorId="59285055">
          <v:shape id="_x0000_s1028" type="#_x0000_t136" style="position:absolute;left:0;text-align:left;margin-left:0;margin-top:0;width:50pt;height:50pt;z-index:251657216;visibility:hidden">
            <o:lock v:ext="edit" selection="t"/>
          </v:shape>
        </w:pict>
      </w:r>
      <w:bookmarkStart w:id="0" w:name="_heading=h.gjdgxs" w:colFirst="0" w:colLast="0"/>
      <w:bookmarkEnd w:id="0"/>
      <w:r w:rsidR="00C71E8E">
        <w:rPr>
          <w:rFonts w:ascii="Palatino Linotype" w:eastAsia="Palatino Linotype" w:hAnsi="Palatino Linotype" w:cs="Palatino Linotype"/>
          <w:b/>
          <w:sz w:val="24"/>
          <w:szCs w:val="24"/>
        </w:rPr>
        <w:t>OPINIÓN PARTICULAR QUE FORMULA LA COMISIONADA GUADALUPE RAMÍREZ PEÑA, EN RELACIÓN CON LA RESOLUCIÓN DICTADA POR EL PLENO DEL INSTITUTO DE TRANSPARENCIA, ACCESO A LA INFORMACIÓN PÚBLICA Y PROTECCIÓN DE DATOS PERSONALES DEL ESTADO DE MÉXICO Y MUNICIPIOS, EN LA TRIGÉSIMA SEGUNDA SESIÓN ORDINARIA DEL SIETE DE SEPTIEMBRE DE DOS MIL VEINTIDÓS, EN LOS RECURSOS DE REVISIÓN 10576/INFOEM/IP/RR/2022, 10577/INFOEM/IP/RR/2022, 10578/INFOEM/IP/RR/2022, 10579/INFOEM/IP/RR/2022, 10580/INFOEM/IP/RR/2022, 10581/INFOEM/IP/RR/2022, 10582/INFOEM/IP/RR/2022, 10583/INFOEM/IP/RR/2022, 10612/INFOEM/IP/RR/2022, 10613/INFOEM/IP/RR/2022, 10709/INFOEM/IP/RR/2022, 10710/INFOEM/IP/RR/2022, 10711/INFOEM/IP/RR/2022, 10712/INFOEM/IP/RR/2022, 10713/INFOEM/IP/RR/2022, 10714/INFOEM/IP/RR/2022, 10716/INFOEM/IP/RR/2022, 10717/INFOEM/IP/RR/2022, 10718/INFOEM/IP/RR/2022, 10719/INFOEM/IP/RR/2022        Y                                                 10720/INFOEM/IP/RR/2022, ACUMULADOS.</w:t>
      </w:r>
    </w:p>
    <w:p w14:paraId="75692FD5" w14:textId="77777777" w:rsidR="00E967D5" w:rsidRDefault="00C71E8E">
      <w:pPr>
        <w:spacing w:before="240"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pleno del Instituto de Transparencia, Acceso a la Información Pública y Protección de Datos Personales del Estado de México y Municipios, aprobó por unanimidad de </w:t>
      </w:r>
      <w:r>
        <w:rPr>
          <w:rFonts w:ascii="Palatino Linotype" w:eastAsia="Palatino Linotype" w:hAnsi="Palatino Linotype" w:cs="Palatino Linotype"/>
          <w:sz w:val="24"/>
          <w:szCs w:val="24"/>
        </w:rPr>
        <w:lastRenderedPageBreak/>
        <w:t xml:space="preserve">votos, la resolución relativa a los recursos de revisión números </w:t>
      </w:r>
      <w:r>
        <w:rPr>
          <w:rFonts w:ascii="Palatino Linotype" w:eastAsia="Palatino Linotype" w:hAnsi="Palatino Linotype" w:cs="Palatino Linotype"/>
          <w:b/>
          <w:sz w:val="24"/>
          <w:szCs w:val="24"/>
        </w:rPr>
        <w:t>10576/INFOEM/IP/RR/2022 y acumulados,</w:t>
      </w:r>
      <w:r>
        <w:rPr>
          <w:rFonts w:ascii="Palatino Linotype" w:eastAsia="Palatino Linotype" w:hAnsi="Palatino Linotype" w:cs="Palatino Linotype"/>
          <w:sz w:val="24"/>
          <w:szCs w:val="24"/>
        </w:rPr>
        <w:t xml:space="preserve"> presentada por el Comisionado Luis Gustavo Parra Noriega, respecto de la cual, la suscrita formula </w:t>
      </w:r>
      <w:r>
        <w:rPr>
          <w:rFonts w:ascii="Palatino Linotype" w:eastAsia="Palatino Linotype" w:hAnsi="Palatino Linotype" w:cs="Palatino Linotype"/>
          <w:b/>
          <w:sz w:val="24"/>
          <w:szCs w:val="24"/>
        </w:rPr>
        <w:t>OPINIÓN  PARTICULAR</w:t>
      </w:r>
      <w:r>
        <w:rPr>
          <w:rFonts w:ascii="Palatino Linotype" w:eastAsia="Palatino Linotype" w:hAnsi="Palatino Linotype" w:cs="Palatino Linotype"/>
          <w:sz w:val="24"/>
          <w:szCs w:val="24"/>
        </w:rPr>
        <w:t>,  con fundamento en el artículo 14 fracción XI del Reglamento Interior del Instituto de Transparencia, Acceso a la Información Pública y Protección de Datos Personales del Estado de México y Municipios.</w:t>
      </w:r>
    </w:p>
    <w:p w14:paraId="1922CB17" w14:textId="77777777" w:rsidR="004D73BE" w:rsidRDefault="004D73BE">
      <w:pPr>
        <w:spacing w:before="240" w:after="240" w:line="360" w:lineRule="auto"/>
        <w:contextualSpacing/>
        <w:jc w:val="both"/>
        <w:rPr>
          <w:rFonts w:ascii="Palatino Linotype" w:eastAsia="Palatino Linotype" w:hAnsi="Palatino Linotype" w:cs="Palatino Linotype"/>
          <w:sz w:val="24"/>
          <w:szCs w:val="24"/>
        </w:rPr>
      </w:pPr>
    </w:p>
    <w:p w14:paraId="5F5D03D3" w14:textId="77777777" w:rsidR="00E967D5" w:rsidRDefault="00C71E8E">
      <w:pPr>
        <w:spacing w:before="240"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que suscribe, comparte en esencia el sentido del estudio realizado en la resolución emitida por el Comisionado Ponente; sin embargo, resulta necesario destacar que la prueba de daño que se desarrolla en el proyecto de resolución que nos ocupa, debió ser realizada por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w:t>
      </w:r>
    </w:p>
    <w:p w14:paraId="66D5E474" w14:textId="77777777" w:rsidR="004D73BE" w:rsidRDefault="004D73BE">
      <w:pPr>
        <w:spacing w:before="240" w:after="240" w:line="360" w:lineRule="auto"/>
        <w:contextualSpacing/>
        <w:jc w:val="both"/>
        <w:rPr>
          <w:rFonts w:ascii="Palatino Linotype" w:eastAsia="Palatino Linotype" w:hAnsi="Palatino Linotype" w:cs="Palatino Linotype"/>
          <w:sz w:val="24"/>
          <w:szCs w:val="24"/>
        </w:rPr>
      </w:pPr>
    </w:p>
    <w:p w14:paraId="0E68A2D4" w14:textId="1C0483A7" w:rsidR="00E967D5" w:rsidRDefault="00C71E8E">
      <w:pPr>
        <w:spacing w:before="240"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caso concreto, la parte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requirió al Sistema Municipal Para el Desarrollo Integral de la Familia de Metepec, hiciera entrega copia digitalizada de todos los correos electrónicos recibidos en las cuentas de correos electrónicos institucionales por: presidencia del sistema, dirección general, unidad de información, planeación, programación y evaluación, unidad de procuración de fondos, órgano interno de control, área de fiscalización, área de investigación, unidad de comunicación social, dirección de programas asistenciales, coordinación de atención a adultos mayores, coordinación de alimentación y nutrición familiar, </w:t>
      </w:r>
      <w:r>
        <w:rPr>
          <w:rFonts w:ascii="Palatino Linotype" w:eastAsia="Palatino Linotype" w:hAnsi="Palatino Linotype" w:cs="Palatino Linotype"/>
          <w:sz w:val="24"/>
          <w:szCs w:val="24"/>
        </w:rPr>
        <w:lastRenderedPageBreak/>
        <w:t>dirección municipal de salud, coordinación de estomatología, coordinación de prevención y bienestar familiar, dirección de administración y finanzas, dirección jurídica, procuraduría municipal de protección de niñas, niños y adolescentes, área de sustanciación, coordinación de salud y atención a la discapacidad, departamento de administración, coordinación de servicios jurídico asistenciales, coordinación de archivos, departamento de finanzas o cualquier otro correo electrónico institucional de los días, , 26, 27, 28, 29, 30 y 31 de marzo, 1, 2, 3, 4 y 5 de abril</w:t>
      </w:r>
      <w:r w:rsidR="004D73BE">
        <w:rPr>
          <w:rFonts w:ascii="Palatino Linotype" w:eastAsia="Palatino Linotype" w:hAnsi="Palatino Linotype" w:cs="Palatino Linotype"/>
          <w:sz w:val="24"/>
          <w:szCs w:val="24"/>
        </w:rPr>
        <w:t>.</w:t>
      </w:r>
    </w:p>
    <w:p w14:paraId="272D9D9E" w14:textId="77777777" w:rsidR="004D73BE" w:rsidRDefault="004D73BE">
      <w:pPr>
        <w:spacing w:before="240" w:after="240" w:line="360" w:lineRule="auto"/>
        <w:contextualSpacing/>
        <w:jc w:val="both"/>
        <w:rPr>
          <w:rFonts w:ascii="Palatino Linotype" w:eastAsia="Palatino Linotype" w:hAnsi="Palatino Linotype" w:cs="Palatino Linotype"/>
          <w:sz w:val="24"/>
          <w:szCs w:val="24"/>
        </w:rPr>
      </w:pPr>
    </w:p>
    <w:p w14:paraId="5F3B4514" w14:textId="77777777" w:rsidR="00E967D5" w:rsidRDefault="00C71E8E">
      <w:pPr>
        <w:spacing w:before="240" w:after="240" w:line="360" w:lineRule="auto"/>
        <w:contextualSpacing/>
        <w:jc w:val="both"/>
        <w:rPr>
          <w:rFonts w:ascii="Palatino Linotype" w:eastAsia="Palatino Linotype" w:hAnsi="Palatino Linotype" w:cs="Palatino Linotype"/>
          <w:b/>
        </w:rPr>
      </w:pPr>
      <w:r>
        <w:rPr>
          <w:rFonts w:ascii="Palatino Linotype" w:eastAsia="Palatino Linotype" w:hAnsi="Palatino Linotype" w:cs="Palatino Linotype"/>
          <w:sz w:val="24"/>
          <w:szCs w:val="24"/>
        </w:rPr>
        <w:t xml:space="preserve">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notificó, a través del Sistema de Acceso a la Información Mexiquense (SAIMEX), sus respuestas el Acuerdo de la Primer Sesión Extraordinaria del Comité de Transparencia, de fecha 25 de Enero de 2022, por medio de la cual el Comité de Transparencia aprobó el cambio de modalidad de entrega mediante consulta directa (in situ).</w:t>
      </w:r>
    </w:p>
    <w:p w14:paraId="7FD5F497" w14:textId="77777777" w:rsidR="00E967D5" w:rsidRDefault="00E967D5">
      <w:pPr>
        <w:spacing w:after="0" w:line="360" w:lineRule="auto"/>
        <w:ind w:right="-3"/>
        <w:contextualSpacing/>
        <w:jc w:val="both"/>
        <w:rPr>
          <w:rFonts w:ascii="Palatino Linotype" w:eastAsia="Palatino Linotype" w:hAnsi="Palatino Linotype" w:cs="Palatino Linotype"/>
          <w:sz w:val="24"/>
          <w:szCs w:val="24"/>
        </w:rPr>
      </w:pPr>
    </w:p>
    <w:p w14:paraId="4E154D60" w14:textId="77777777" w:rsidR="00E967D5" w:rsidRDefault="00C71E8E">
      <w:pPr>
        <w:spacing w:after="0" w:line="360" w:lineRule="auto"/>
        <w:ind w:right="-3"/>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Conocida las respuestas, al no estar conforme con los términos de la misma, la persona solicitante presentó los recursos de revisión mediante los cuales señaló como: </w:t>
      </w:r>
    </w:p>
    <w:p w14:paraId="224633EB" w14:textId="77777777" w:rsidR="00E967D5" w:rsidRDefault="00E967D5">
      <w:pPr>
        <w:spacing w:after="0" w:line="360" w:lineRule="auto"/>
        <w:ind w:right="-3"/>
        <w:contextualSpacing/>
        <w:jc w:val="both"/>
        <w:rPr>
          <w:rFonts w:ascii="Palatino Linotype" w:eastAsia="Palatino Linotype" w:hAnsi="Palatino Linotype" w:cs="Palatino Linotype"/>
          <w:sz w:val="24"/>
          <w:szCs w:val="24"/>
        </w:rPr>
      </w:pPr>
    </w:p>
    <w:p w14:paraId="7A428241" w14:textId="77777777" w:rsidR="00E967D5" w:rsidRDefault="00C71E8E">
      <w:pPr>
        <w:spacing w:after="0" w:line="360" w:lineRule="auto"/>
        <w:ind w:right="-3"/>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ACTO IMPUGNADO</w:t>
      </w:r>
    </w:p>
    <w:p w14:paraId="648BE72E" w14:textId="77777777" w:rsidR="00E967D5" w:rsidRDefault="00E967D5">
      <w:pPr>
        <w:spacing w:after="0" w:line="360" w:lineRule="auto"/>
        <w:ind w:right="-3"/>
        <w:contextualSpacing/>
        <w:jc w:val="both"/>
        <w:rPr>
          <w:rFonts w:ascii="Palatino Linotype" w:eastAsia="Palatino Linotype" w:hAnsi="Palatino Linotype" w:cs="Palatino Linotype"/>
          <w:sz w:val="24"/>
          <w:szCs w:val="24"/>
        </w:rPr>
      </w:pPr>
    </w:p>
    <w:p w14:paraId="7691791D" w14:textId="36AA31B3" w:rsidR="00E967D5" w:rsidRPr="004D73BE" w:rsidRDefault="00C71E8E" w:rsidP="004D73BE">
      <w:pPr>
        <w:spacing w:after="0" w:line="360" w:lineRule="auto"/>
        <w:ind w:left="566" w:right="-3"/>
        <w:jc w:val="both"/>
        <w:rPr>
          <w:rFonts w:ascii="Palatino Linotype" w:eastAsia="Palatino Linotype" w:hAnsi="Palatino Linotype" w:cs="Palatino Linotype"/>
          <w:i/>
        </w:rPr>
      </w:pPr>
      <w:r>
        <w:rPr>
          <w:rFonts w:ascii="Palatino Linotype" w:eastAsia="Palatino Linotype" w:hAnsi="Palatino Linotype" w:cs="Palatino Linotype"/>
          <w:i/>
        </w:rPr>
        <w:t>“La respuesta del sujeto obligado”</w:t>
      </w:r>
    </w:p>
    <w:p w14:paraId="45E0378F" w14:textId="77777777" w:rsidR="00E967D5" w:rsidRDefault="00C71E8E">
      <w:pPr>
        <w:spacing w:after="0" w:line="360" w:lineRule="auto"/>
        <w:ind w:right="-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RAZONES O MOTIVOS DE LA INCONFORMIDAD</w:t>
      </w:r>
    </w:p>
    <w:p w14:paraId="45C043B0" w14:textId="77777777" w:rsidR="00E967D5" w:rsidRDefault="00C71E8E">
      <w:pPr>
        <w:spacing w:after="0" w:line="360" w:lineRule="auto"/>
        <w:ind w:left="566" w:right="436"/>
        <w:jc w:val="both"/>
        <w:rPr>
          <w:rFonts w:ascii="Palatino Linotype" w:eastAsia="Palatino Linotype" w:hAnsi="Palatino Linotype" w:cs="Palatino Linotype"/>
          <w:i/>
        </w:rPr>
      </w:pPr>
      <w:r>
        <w:rPr>
          <w:rFonts w:ascii="Palatino Linotype" w:eastAsia="Palatino Linotype" w:hAnsi="Palatino Linotype" w:cs="Palatino Linotype"/>
          <w:i/>
        </w:rPr>
        <w:t>“La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w:t>
      </w:r>
    </w:p>
    <w:p w14:paraId="7BF18F80" w14:textId="77777777" w:rsidR="00E967D5" w:rsidRDefault="00C71E8E">
      <w:pPr>
        <w:spacing w:after="0" w:line="360" w:lineRule="auto"/>
        <w:ind w:left="566" w:right="43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w:t>
      </w:r>
      <w:r>
        <w:rPr>
          <w:rFonts w:ascii="Palatino Linotype" w:eastAsia="Palatino Linotype" w:hAnsi="Palatino Linotype" w:cs="Palatino Linotype"/>
          <w:i/>
        </w:rPr>
        <w:lastRenderedPageBreak/>
        <w:t xml:space="preserve">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w:t>
      </w:r>
      <w:r>
        <w:rPr>
          <w:rFonts w:ascii="Palatino Linotype" w:eastAsia="Palatino Linotype" w:hAnsi="Palatino Linotype" w:cs="Palatino Linotype"/>
          <w:i/>
        </w:rPr>
        <w:lastRenderedPageBreak/>
        <w:t xml:space="preserve">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w:t>
      </w:r>
      <w:r>
        <w:rPr>
          <w:rFonts w:ascii="Palatino Linotype" w:eastAsia="Palatino Linotype" w:hAnsi="Palatino Linotype" w:cs="Palatino Linotype"/>
          <w:i/>
        </w:rPr>
        <w:lastRenderedPageBreak/>
        <w:t>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w:t>
      </w:r>
    </w:p>
    <w:p w14:paraId="7D1B1629" w14:textId="77777777" w:rsidR="00E967D5" w:rsidRDefault="00C71E8E">
      <w:pPr>
        <w:spacing w:after="0" w:line="360" w:lineRule="auto"/>
        <w:ind w:left="566" w:right="436"/>
        <w:jc w:val="both"/>
        <w:rPr>
          <w:rFonts w:ascii="Palatino Linotype" w:eastAsia="Palatino Linotype" w:hAnsi="Palatino Linotype" w:cs="Palatino Linotype"/>
          <w:sz w:val="24"/>
          <w:szCs w:val="24"/>
        </w:rPr>
      </w:pPr>
      <w:r>
        <w:rPr>
          <w:rFonts w:ascii="Palatino Linotype" w:eastAsia="Palatino Linotype" w:hAnsi="Palatino Linotype" w:cs="Palatino Linotype"/>
          <w:i/>
        </w:rPr>
        <w:lastRenderedPageBreak/>
        <w:t>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(si</w:t>
      </w:r>
      <w:r>
        <w:rPr>
          <w:rFonts w:ascii="Palatino Linotype" w:eastAsia="Palatino Linotype" w:hAnsi="Palatino Linotype" w:cs="Palatino Linotype"/>
          <w:sz w:val="24"/>
          <w:szCs w:val="24"/>
        </w:rPr>
        <w:t>c)</w:t>
      </w:r>
    </w:p>
    <w:p w14:paraId="132E1C0F" w14:textId="77777777" w:rsidR="00E967D5" w:rsidRDefault="00E967D5">
      <w:pPr>
        <w:spacing w:after="0" w:line="360" w:lineRule="auto"/>
        <w:ind w:right="-3"/>
        <w:jc w:val="both"/>
        <w:rPr>
          <w:rFonts w:ascii="Palatino Linotype" w:eastAsia="Palatino Linotype" w:hAnsi="Palatino Linotype" w:cs="Palatino Linotype"/>
          <w:sz w:val="24"/>
          <w:szCs w:val="24"/>
        </w:rPr>
      </w:pPr>
    </w:p>
    <w:p w14:paraId="6AF713FC" w14:textId="77777777" w:rsidR="00E967D5" w:rsidRDefault="00C71E8E">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Así, admitido el presente recurso de revisión, en términos del artículo 185 fracción II</w:t>
      </w:r>
      <w:r>
        <w:rPr>
          <w:sz w:val="24"/>
          <w:szCs w:val="24"/>
          <w:vertAlign w:val="superscript"/>
        </w:rPr>
        <w:footnoteReference w:id="1"/>
      </w:r>
      <w:r>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no obstante lo anterior, tanto el Sujeto Obligado como el Recurrente fueron omisos en realizar manifestación alguna que a su derecho asistiera. Por lo que, previo análisis de las constancias y de la naturaleza de la información, la Ponencia que resolvió determinó </w:t>
      </w:r>
      <w:r>
        <w:rPr>
          <w:rFonts w:ascii="Palatino Linotype" w:eastAsia="Palatino Linotype" w:hAnsi="Palatino Linotype" w:cs="Palatino Linotype"/>
          <w:i/>
          <w:sz w:val="24"/>
          <w:szCs w:val="24"/>
        </w:rPr>
        <w:t>Revocar</w:t>
      </w:r>
      <w:r>
        <w:rPr>
          <w:rFonts w:ascii="Palatino Linotype" w:eastAsia="Palatino Linotype" w:hAnsi="Palatino Linotype" w:cs="Palatino Linotype"/>
          <w:sz w:val="24"/>
          <w:szCs w:val="24"/>
        </w:rPr>
        <w:t xml:space="preserve"> la respuesta y ordenar la entrega de información, como se advierte en el </w:t>
      </w:r>
      <w:r>
        <w:rPr>
          <w:rFonts w:ascii="Palatino Linotype" w:eastAsia="Palatino Linotype" w:hAnsi="Palatino Linotype" w:cs="Palatino Linotype"/>
          <w:b/>
          <w:sz w:val="24"/>
          <w:szCs w:val="24"/>
        </w:rPr>
        <w:t>resolutivo SEGUNDO</w:t>
      </w:r>
      <w:r>
        <w:rPr>
          <w:rFonts w:ascii="Palatino Linotype" w:eastAsia="Palatino Linotype" w:hAnsi="Palatino Linotype" w:cs="Palatino Linotype"/>
          <w:sz w:val="24"/>
          <w:szCs w:val="24"/>
        </w:rPr>
        <w:t>:</w:t>
      </w:r>
    </w:p>
    <w:p w14:paraId="23C68EA7" w14:textId="77777777" w:rsidR="00E967D5" w:rsidRDefault="00E967D5">
      <w:pPr>
        <w:spacing w:after="0" w:line="276" w:lineRule="auto"/>
        <w:ind w:left="567" w:right="990"/>
        <w:jc w:val="both"/>
        <w:rPr>
          <w:rFonts w:ascii="Palatino Linotype" w:eastAsia="Palatino Linotype" w:hAnsi="Palatino Linotype" w:cs="Palatino Linotype"/>
          <w:b/>
          <w:i/>
        </w:rPr>
      </w:pPr>
    </w:p>
    <w:p w14:paraId="135B69EC" w14:textId="77777777" w:rsidR="00E967D5" w:rsidRDefault="00C71E8E">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 xml:space="preserve">“…SEGUNDO. </w:t>
      </w:r>
      <w:r>
        <w:rPr>
          <w:rFonts w:ascii="Palatino Linotype" w:eastAsia="Palatino Linotype" w:hAnsi="Palatino Linotype" w:cs="Palatino Linotype"/>
          <w:i/>
        </w:rPr>
        <w:t xml:space="preserve">Se </w:t>
      </w:r>
      <w:r>
        <w:rPr>
          <w:rFonts w:ascii="Palatino Linotype" w:eastAsia="Palatino Linotype" w:hAnsi="Palatino Linotype" w:cs="Palatino Linotype"/>
          <w:b/>
          <w:i/>
        </w:rPr>
        <w:t xml:space="preserve">ORDENA </w:t>
      </w:r>
      <w:r>
        <w:rPr>
          <w:rFonts w:ascii="Palatino Linotype" w:eastAsia="Palatino Linotype" w:hAnsi="Palatino Linotype" w:cs="Palatino Linotype"/>
          <w:i/>
        </w:rPr>
        <w:t>al Sujeto Obligado a efecto de que conceda al Recurrente, vía Sistema de Acceso a la Información Mexiquense (SAIMEX) de ser procedente en versión pública los documentos en los que obre lo siguiente:</w:t>
      </w:r>
    </w:p>
    <w:p w14:paraId="34FB40A0" w14:textId="77777777" w:rsidR="00E967D5" w:rsidRDefault="00E967D5">
      <w:pPr>
        <w:spacing w:after="0" w:line="276" w:lineRule="auto"/>
        <w:ind w:left="851" w:right="706"/>
        <w:jc w:val="both"/>
        <w:rPr>
          <w:rFonts w:ascii="Palatino Linotype" w:eastAsia="Palatino Linotype" w:hAnsi="Palatino Linotype" w:cs="Palatino Linotype"/>
          <w:i/>
        </w:rPr>
      </w:pPr>
    </w:p>
    <w:p w14:paraId="25EB1551" w14:textId="77777777" w:rsidR="00E967D5" w:rsidRDefault="00C71E8E">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Los correos electrónicos enviados, de todas las cuentas institucionales del veintiséis al treinta y uno de marzo y del primero al cuatro de abril de dos mil veintidós.</w:t>
      </w:r>
    </w:p>
    <w:p w14:paraId="469D7A13" w14:textId="77777777" w:rsidR="00E967D5" w:rsidRDefault="00C71E8E">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Los correos electrónicos recibidos, en todas las cuentas institucionales del veintiséis al treinta y uno de marzo y del primero al cinco de abril de dos mil veintidós.</w:t>
      </w:r>
    </w:p>
    <w:p w14:paraId="226106D7" w14:textId="77777777" w:rsidR="00E967D5" w:rsidRDefault="00E967D5">
      <w:pPr>
        <w:spacing w:after="0" w:line="276" w:lineRule="auto"/>
        <w:ind w:left="851" w:right="706"/>
        <w:jc w:val="both"/>
        <w:rPr>
          <w:rFonts w:ascii="Palatino Linotype" w:eastAsia="Palatino Linotype" w:hAnsi="Palatino Linotype" w:cs="Palatino Linotype"/>
          <w:i/>
        </w:rPr>
      </w:pPr>
    </w:p>
    <w:p w14:paraId="7F503B12" w14:textId="77777777" w:rsidR="00E967D5" w:rsidRDefault="00C71E8E">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Junto con las versiones públicas que se entreguen, se deberá proporcionar el Acuerdo de Clasificación donde el Comité de Transparencia, confirme la eliminación de los datos confidenciales, de acuerdo con los artículos 49, fracciones II y VIII, 143, fracción I y 149 de la Ley de Transparencia y Acceso a la Información Pública del Estado de México y Municipios.</w:t>
      </w:r>
    </w:p>
    <w:p w14:paraId="43F720FE" w14:textId="77777777" w:rsidR="00E967D5" w:rsidRDefault="00E967D5">
      <w:pPr>
        <w:spacing w:after="0" w:line="276" w:lineRule="auto"/>
        <w:ind w:left="851" w:right="706"/>
        <w:jc w:val="both"/>
        <w:rPr>
          <w:rFonts w:ascii="Palatino Linotype" w:eastAsia="Palatino Linotype" w:hAnsi="Palatino Linotype" w:cs="Palatino Linotype"/>
          <w:i/>
        </w:rPr>
      </w:pPr>
    </w:p>
    <w:p w14:paraId="7AB9890F" w14:textId="77777777" w:rsidR="00E967D5" w:rsidRDefault="00C71E8E">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Respecto de la información que se ordena entregar, en el supuesto que una vez agotada la búsqueda de la información, no se haya emitido y/o generado correos electrónicos en alguno de los días señalados, deberá hacerlo del conocimiento del Recurrente, de manera precisa y clara.</w:t>
      </w:r>
    </w:p>
    <w:p w14:paraId="3ACC0E05" w14:textId="77777777" w:rsidR="00E967D5" w:rsidRDefault="00E967D5">
      <w:pPr>
        <w:spacing w:after="0" w:line="276" w:lineRule="auto"/>
        <w:ind w:left="851" w:right="706"/>
        <w:jc w:val="both"/>
        <w:rPr>
          <w:rFonts w:ascii="Palatino Linotype" w:eastAsia="Palatino Linotype" w:hAnsi="Palatino Linotype" w:cs="Palatino Linotype"/>
          <w:i/>
        </w:rPr>
      </w:pPr>
    </w:p>
    <w:p w14:paraId="41429C2D" w14:textId="77777777" w:rsidR="00E967D5" w:rsidRDefault="00C71E8E">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Para el caso de que la información que se ordena entregar el Sujeto Obligado se encuentra impedido a proporcionar la información por la cantidad y/o peso, a través del Sistema de Acceso a la Información (SAIMEX) de manera fundada y motivada, deberá ofrecer otras modalidades, tales como, una liga electrónica de Internet, correo electrónico, disco compacto, dispositivo de almacenamiento, copias simples o certificadas, con posibilidad de entrega en la Unidad de Transparencia o a domicilio por correo certificado, previo pago de los derechos correspondientes.</w:t>
      </w:r>
    </w:p>
    <w:p w14:paraId="336E3354" w14:textId="77777777" w:rsidR="00E967D5" w:rsidRDefault="00E967D5">
      <w:pPr>
        <w:spacing w:after="0" w:line="276" w:lineRule="auto"/>
        <w:ind w:left="851" w:right="706"/>
        <w:jc w:val="both"/>
        <w:rPr>
          <w:rFonts w:ascii="Palatino Linotype" w:eastAsia="Palatino Linotype" w:hAnsi="Palatino Linotype" w:cs="Palatino Linotype"/>
          <w:i/>
        </w:rPr>
      </w:pPr>
    </w:p>
    <w:p w14:paraId="25B3F436" w14:textId="77777777" w:rsidR="00E967D5" w:rsidRDefault="00C71E8E">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En caso de que la Recurrente proporcione el dispositivo electrónico para la entrega de la información, la reproducción se hará sin costo. Para la entrega en una modalidad distinta, vía el Sistema de Acceso a la Información Mexiquense (SAIMEX), deberá indicar el procedimiento que tendrá que seguir el Particular, para acceder a la documentación, es decir, los pasos para realizar el pago de derechos, en caso de proceder y la manera de obtener la información, así como nombre del servidor público que le atenderá, domicilio de la Unidad de Transparencia, días y horarios de atención.</w:t>
      </w:r>
    </w:p>
    <w:p w14:paraId="03AC752B" w14:textId="77777777" w:rsidR="00E967D5" w:rsidRDefault="00C71E8E">
      <w:pPr>
        <w:spacing w:after="0" w:line="276" w:lineRule="auto"/>
        <w:ind w:left="851" w:right="706"/>
        <w:jc w:val="both"/>
        <w:rPr>
          <w:rFonts w:ascii="Palatino Linotype" w:eastAsia="Palatino Linotype" w:hAnsi="Palatino Linotype" w:cs="Palatino Linotype"/>
          <w:i/>
        </w:rPr>
      </w:pPr>
      <w:r>
        <w:rPr>
          <w:rFonts w:ascii="Palatino Linotype" w:eastAsia="Palatino Linotype" w:hAnsi="Palatino Linotype" w:cs="Palatino Linotype"/>
          <w:i/>
        </w:rPr>
        <w:t xml:space="preserve">” (Sic) </w:t>
      </w:r>
    </w:p>
    <w:p w14:paraId="0A1792EB" w14:textId="77777777" w:rsidR="00E967D5" w:rsidRDefault="00E967D5">
      <w:pPr>
        <w:spacing w:after="0" w:line="360" w:lineRule="auto"/>
        <w:jc w:val="both"/>
        <w:rPr>
          <w:rFonts w:ascii="Palatino Linotype" w:eastAsia="Palatino Linotype" w:hAnsi="Palatino Linotype" w:cs="Palatino Linotype"/>
          <w:sz w:val="23"/>
          <w:szCs w:val="23"/>
        </w:rPr>
      </w:pPr>
    </w:p>
    <w:p w14:paraId="456BFFDC" w14:textId="77777777" w:rsidR="00E967D5" w:rsidRDefault="00C71E8E">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debe mencionarse que, toda vez que se determinó que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cuenta con un Órgano de Control Interno que de acuerdo a sus atribuciones, trata asuntos directamente vinculados con procedimientos en trámite, así como oficios que sean clasificados en su totalidad porque su contenido forme parte de los expedientes administrativos, cuya publicidad pueda afectar el debido proceso, para lo que es necesario el desarrollo de la prueba de daño,  </w:t>
      </w:r>
      <w:r>
        <w:rPr>
          <w:rFonts w:ascii="Palatino Linotype" w:eastAsia="Palatino Linotype" w:hAnsi="Palatino Linotype" w:cs="Palatino Linotype"/>
          <w:b/>
          <w:sz w:val="24"/>
          <w:szCs w:val="24"/>
        </w:rPr>
        <w:t>debiendo valorar el daño que causaría la divulgación de la información, con la finalidad de sustentar la reserva y arribar a una determinación debidamente fundada y motivada que tenga como consecuencia la clasificación de la información, además de analizar si el periodo de clasificación resulta acorde con la naturaleza de la información requerida</w:t>
      </w:r>
      <w:r>
        <w:rPr>
          <w:rFonts w:ascii="Palatino Linotype" w:eastAsia="Palatino Linotype" w:hAnsi="Palatino Linotype" w:cs="Palatino Linotype"/>
          <w:sz w:val="24"/>
          <w:szCs w:val="24"/>
        </w:rPr>
        <w:t xml:space="preserve">. En otras palabras, la determinación que confirme una clasificación debe contener un análisis exhaustivo de los elementos de forma y fondo que establecen los artículos 122, 125, 128, 129, 130, 131, 132 fracción II, 134 de la Ley </w:t>
      </w:r>
      <w:r>
        <w:rPr>
          <w:rFonts w:ascii="Palatino Linotype" w:eastAsia="Palatino Linotype" w:hAnsi="Palatino Linotype" w:cs="Palatino Linotype"/>
          <w:sz w:val="24"/>
          <w:szCs w:val="24"/>
        </w:rPr>
        <w:lastRenderedPageBreak/>
        <w:t xml:space="preserve">de Transparencia y Acceso a la Información Pública del Estado de México y Municipios y los Lineamientos Generales en Materia de Clasificación y Desclasificación de la Información, así como para la elaboración de Versiones Públicas. </w:t>
      </w:r>
    </w:p>
    <w:p w14:paraId="37EA7005" w14:textId="77777777" w:rsidR="004D73BE" w:rsidRDefault="004D73BE">
      <w:pPr>
        <w:spacing w:line="360" w:lineRule="auto"/>
        <w:contextualSpacing/>
        <w:jc w:val="both"/>
        <w:rPr>
          <w:rFonts w:ascii="Palatino Linotype" w:eastAsia="Palatino Linotype" w:hAnsi="Palatino Linotype" w:cs="Palatino Linotype"/>
          <w:sz w:val="24"/>
          <w:szCs w:val="24"/>
        </w:rPr>
      </w:pPr>
    </w:p>
    <w:p w14:paraId="5B43877E" w14:textId="77777777" w:rsidR="00E967D5" w:rsidRDefault="00C71E8E">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esta perspectiva, el Acuerdo de Clasificación de Información tiene como propósito primordial </w:t>
      </w:r>
      <w:r>
        <w:rPr>
          <w:rFonts w:ascii="Palatino Linotype" w:eastAsia="Palatino Linotype" w:hAnsi="Palatino Linotype" w:cs="Palatino Linotype"/>
          <w:b/>
          <w:sz w:val="24"/>
          <w:szCs w:val="24"/>
        </w:rPr>
        <w:t>que los particulares conozcan de manera completa las condiciones y circunstancias que determinaron negar el acceso a la información</w:t>
      </w:r>
      <w:r>
        <w:rPr>
          <w:rFonts w:ascii="Palatino Linotype" w:eastAsia="Palatino Linotype" w:hAnsi="Palatino Linotype" w:cs="Palatino Linotype"/>
          <w:sz w:val="24"/>
          <w:szCs w:val="24"/>
        </w:rPr>
        <w:t xml:space="preserve">; a través de la adecuada fundamentación y motivación de la clasificación de información, que incluya la prueba de daño a fin de establecer el perjuicio que podría provocar la entrega de la información, toda vez que los artículos 128 y 129 de la Ley de la Materia, disponen que para que los sujetos obligados puedan invocar una causa se deberá fundar y motivar, a través de la aplicación de la prueba de daño, en la cual se justifique que la divulgación de la información representa un riesgo real demostrable e identificable al superar el interés público de que se difunda atendiendo al principio de proporcionalidad y el medio menos restrictivo disponible para evitar perjuicio. </w:t>
      </w:r>
    </w:p>
    <w:p w14:paraId="37D82EE8" w14:textId="77777777" w:rsidR="004D73BE" w:rsidRDefault="004D73BE">
      <w:pPr>
        <w:spacing w:line="360" w:lineRule="auto"/>
        <w:contextualSpacing/>
        <w:jc w:val="both"/>
        <w:rPr>
          <w:rFonts w:ascii="Palatino Linotype" w:eastAsia="Palatino Linotype" w:hAnsi="Palatino Linotype" w:cs="Palatino Linotype"/>
          <w:sz w:val="24"/>
          <w:szCs w:val="24"/>
        </w:rPr>
      </w:pPr>
    </w:p>
    <w:p w14:paraId="48B1CE2E" w14:textId="77777777" w:rsidR="00E967D5" w:rsidRDefault="00C71E8E">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 respecto, los Lineamientos Generales en Materia de Clasificación y Desclasificación de la Información, así como para la elaboración de versiones </w:t>
      </w:r>
      <w:r>
        <w:rPr>
          <w:rFonts w:ascii="Palatino Linotype" w:eastAsia="Palatino Linotype" w:hAnsi="Palatino Linotype" w:cs="Palatino Linotype"/>
          <w:sz w:val="24"/>
          <w:szCs w:val="24"/>
        </w:rPr>
        <w:lastRenderedPageBreak/>
        <w:t>públicas, establecen en su numeral Trigésimo Tercero que, para la aplicación de la prueba de daño los sujetos obligados atenderán lo siguiente:</w:t>
      </w:r>
    </w:p>
    <w:p w14:paraId="7B8C51DE" w14:textId="77777777" w:rsidR="004D73BE" w:rsidRDefault="004D73BE">
      <w:pPr>
        <w:spacing w:line="360" w:lineRule="auto"/>
        <w:contextualSpacing/>
        <w:jc w:val="both"/>
        <w:rPr>
          <w:rFonts w:ascii="Palatino Linotype" w:eastAsia="Palatino Linotype" w:hAnsi="Palatino Linotype" w:cs="Palatino Linotype"/>
          <w:sz w:val="24"/>
          <w:szCs w:val="24"/>
        </w:rPr>
      </w:pPr>
    </w:p>
    <w:p w14:paraId="683F99A5" w14:textId="77777777" w:rsidR="00E967D5" w:rsidRDefault="00C71E8E">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"Trigésimo tercero. Para la aplicación de la prueba de daño a la que hace referencia el artículo 104 de la Ley General, los sujetos obligados atenderán lo siguiente: </w:t>
      </w:r>
    </w:p>
    <w:p w14:paraId="6AF62E19" w14:textId="77777777" w:rsidR="00E967D5" w:rsidRDefault="00C71E8E">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 Se deberá citar la fracción y, en su caso, la causal aplicable del artículo 113 de la Ley General, vinculándola con el Lineamiento especifico del presente ordenamiento y, cuando corresponda, el supuesto normativo que expresamente le otorga el carácter de información reservada;</w:t>
      </w:r>
    </w:p>
    <w:p w14:paraId="01536926" w14:textId="77777777" w:rsidR="00E967D5" w:rsidRDefault="00C71E8E">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II. Mediante la ponderación de los intereses en conflicto, los sujetos obligados </w:t>
      </w:r>
      <w:r>
        <w:rPr>
          <w:rFonts w:ascii="Palatino Linotype" w:eastAsia="Palatino Linotype" w:hAnsi="Palatino Linotype" w:cs="Palatino Linotype"/>
          <w:b/>
          <w:i/>
          <w:color w:val="000000"/>
        </w:rPr>
        <w:t>deberán demostrar que la publicidad de la información solicitada generaría un riesgo de perjuicio y por lo tanto, tendrán que acreditar que este último rebasa el interés público protegido por la reserva</w:t>
      </w:r>
      <w:r>
        <w:rPr>
          <w:rFonts w:ascii="Palatino Linotype" w:eastAsia="Palatino Linotype" w:hAnsi="Palatino Linotype" w:cs="Palatino Linotype"/>
          <w:i/>
          <w:color w:val="000000"/>
        </w:rPr>
        <w:t>;</w:t>
      </w:r>
    </w:p>
    <w:p w14:paraId="77F59837" w14:textId="77777777" w:rsidR="00E967D5" w:rsidRDefault="00C71E8E">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III.</w:t>
      </w:r>
      <w:r>
        <w:rPr>
          <w:rFonts w:ascii="Palatino Linotype" w:eastAsia="Palatino Linotype" w:hAnsi="Palatino Linotype" w:cs="Palatino Linotype"/>
          <w:i/>
          <w:color w:val="000000"/>
        </w:rPr>
        <w:tab/>
        <w:t>Se debe de acreditar el vínculo entre la difusión de la información y la afectación del interés jurídico tutelado de que se trate;</w:t>
      </w:r>
    </w:p>
    <w:p w14:paraId="23DD65C7" w14:textId="77777777" w:rsidR="00E967D5" w:rsidRDefault="00C71E8E">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IV.</w:t>
      </w:r>
      <w:r>
        <w:rPr>
          <w:rFonts w:ascii="Palatino Linotype" w:eastAsia="Palatino Linotype" w:hAnsi="Palatino Linotype" w:cs="Palatino Linotype"/>
          <w:i/>
          <w:color w:val="000000"/>
        </w:rPr>
        <w:tab/>
        <w:t>Precisar las razones objetivas por las que la apertura de la información generaría una afectación, a través de los elementos de un riesgo real, demostrable e identificable;</w:t>
      </w:r>
    </w:p>
    <w:p w14:paraId="7F96429B" w14:textId="77777777" w:rsidR="00E967D5" w:rsidRDefault="00C71E8E">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w:t>
      </w:r>
      <w:r>
        <w:rPr>
          <w:rFonts w:ascii="Palatino Linotype" w:eastAsia="Palatino Linotype" w:hAnsi="Palatino Linotype" w:cs="Palatino Linotype"/>
          <w:i/>
          <w:color w:val="000000"/>
        </w:rPr>
        <w:tab/>
        <w:t xml:space="preserve">En la motivación de la clasificación, </w:t>
      </w:r>
      <w:r>
        <w:rPr>
          <w:rFonts w:ascii="Palatino Linotype" w:eastAsia="Palatino Linotype" w:hAnsi="Palatino Linotype" w:cs="Palatino Linotype"/>
          <w:b/>
          <w:i/>
          <w:color w:val="000000"/>
        </w:rPr>
        <w:t>el sujeto obligado deberá acreditar las circunstancias de modo, tiempo y lugar del daño</w:t>
      </w:r>
      <w:r>
        <w:rPr>
          <w:rFonts w:ascii="Palatino Linotype" w:eastAsia="Palatino Linotype" w:hAnsi="Palatino Linotype" w:cs="Palatino Linotype"/>
          <w:i/>
          <w:color w:val="000000"/>
        </w:rPr>
        <w:t>, y</w:t>
      </w:r>
    </w:p>
    <w:p w14:paraId="428620CE" w14:textId="77777777" w:rsidR="00E967D5" w:rsidRDefault="00C71E8E">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VI.</w:t>
      </w:r>
      <w:r>
        <w:rPr>
          <w:rFonts w:ascii="Palatino Linotype" w:eastAsia="Palatino Linotype" w:hAnsi="Palatino Linotype" w:cs="Palatino Linotype"/>
          <w:i/>
          <w:color w:val="000000"/>
        </w:rPr>
        <w:tab/>
        <w:t>Deberán elegir la opción de excepción al acceso a la información que menos lo restrinja, la cual será adecuada y proporcional para la protección del interés público, y deberá inte1ferir lo menos posible en el ejercicio efectivo del derecho de acceso a la información."(Sic)</w:t>
      </w:r>
    </w:p>
    <w:p w14:paraId="2EA55947" w14:textId="77777777" w:rsidR="00E967D5" w:rsidRDefault="00E967D5">
      <w:pPr>
        <w:pBdr>
          <w:top w:val="nil"/>
          <w:left w:val="nil"/>
          <w:bottom w:val="nil"/>
          <w:right w:val="nil"/>
          <w:between w:val="nil"/>
        </w:pBdr>
        <w:spacing w:after="0" w:line="276" w:lineRule="auto"/>
        <w:ind w:left="851" w:right="899"/>
        <w:jc w:val="both"/>
        <w:rPr>
          <w:rFonts w:ascii="Palatino Linotype" w:eastAsia="Palatino Linotype" w:hAnsi="Palatino Linotype" w:cs="Palatino Linotype"/>
          <w:i/>
          <w:color w:val="000000"/>
        </w:rPr>
      </w:pPr>
    </w:p>
    <w:p w14:paraId="185EB57D" w14:textId="483EB21F" w:rsidR="00E967D5" w:rsidRDefault="00C71E8E">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conclusión, para convalidar la clasificación como información reservada, </w:t>
      </w:r>
      <w:r>
        <w:rPr>
          <w:rFonts w:ascii="Palatino Linotype" w:eastAsia="Palatino Linotype" w:hAnsi="Palatino Linotype" w:cs="Palatino Linotype"/>
          <w:b/>
          <w:sz w:val="24"/>
          <w:szCs w:val="24"/>
        </w:rPr>
        <w:t>se debe efectuar el estudio de clasificación a la luz de los elementos que exigen los</w:t>
      </w:r>
      <w:r w:rsidR="004D73BE">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b/>
          <w:sz w:val="24"/>
          <w:szCs w:val="24"/>
        </w:rPr>
        <w:lastRenderedPageBreak/>
        <w:t>Lineamientos generales en materia de clasificación y desclasificación de la información, así como para la elaboración de versiones públicas, y efectuar un análisis exhaustivo en todos aquellos casos que restrinjan el derecho de acceso a la información de los particulares</w:t>
      </w:r>
      <w:r>
        <w:rPr>
          <w:rFonts w:ascii="Palatino Linotype" w:eastAsia="Palatino Linotype" w:hAnsi="Palatino Linotype" w:cs="Palatino Linotype"/>
          <w:sz w:val="24"/>
          <w:szCs w:val="24"/>
        </w:rPr>
        <w:t>, como es la figura de la clasificación de la información para verificar que se acredita la prueba de daño.</w:t>
      </w:r>
    </w:p>
    <w:p w14:paraId="512DBED0" w14:textId="77777777" w:rsidR="004D73BE" w:rsidRDefault="004D73BE">
      <w:pPr>
        <w:spacing w:line="360" w:lineRule="auto"/>
        <w:contextualSpacing/>
        <w:jc w:val="both"/>
        <w:rPr>
          <w:rFonts w:ascii="Palatino Linotype" w:eastAsia="Palatino Linotype" w:hAnsi="Palatino Linotype" w:cs="Palatino Linotype"/>
          <w:sz w:val="24"/>
          <w:szCs w:val="24"/>
        </w:rPr>
      </w:pPr>
    </w:p>
    <w:p w14:paraId="046534D6" w14:textId="77777777" w:rsidR="00E967D5" w:rsidRDefault="00C71E8E">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Bajo este contexto, se analizó la resolución del recurso de revisión </w:t>
      </w:r>
      <w:r>
        <w:rPr>
          <w:rFonts w:ascii="Palatino Linotype" w:eastAsia="Palatino Linotype" w:hAnsi="Palatino Linotype" w:cs="Palatino Linotype"/>
          <w:b/>
          <w:sz w:val="24"/>
          <w:szCs w:val="24"/>
        </w:rPr>
        <w:t>010576/INFOEM/IP/RR/2022 y acumulados</w:t>
      </w:r>
      <w:r>
        <w:rPr>
          <w:rFonts w:ascii="Palatino Linotype" w:eastAsia="Palatino Linotype" w:hAnsi="Palatino Linotype" w:cs="Palatino Linotype"/>
          <w:sz w:val="24"/>
          <w:szCs w:val="24"/>
        </w:rPr>
        <w:t xml:space="preserve">, en la cual, el Comisionado Ponente, desarrolla la prueba de daño, circunstancia que a consideración de la suscrita y derivado de lo antes señalado, </w:t>
      </w:r>
      <w:r>
        <w:rPr>
          <w:rFonts w:ascii="Palatino Linotype" w:eastAsia="Palatino Linotype" w:hAnsi="Palatino Linotype" w:cs="Palatino Linotype"/>
          <w:b/>
          <w:sz w:val="24"/>
          <w:szCs w:val="24"/>
        </w:rPr>
        <w:t>les corresponde comprobar y desarrollar a los Sujetos Obligados</w:t>
      </w:r>
      <w:r>
        <w:rPr>
          <w:rFonts w:ascii="Palatino Linotype" w:eastAsia="Palatino Linotype" w:hAnsi="Palatino Linotype" w:cs="Palatino Linotype"/>
          <w:sz w:val="24"/>
          <w:szCs w:val="24"/>
        </w:rPr>
        <w:t>, en razón de que, dentro de la Ley de Transparencia y Acceso a la Información Pública del Estado de México y Municipios, se encuentra que, para reservar una información, se debe aplicar una prueba de daño, la cual es definida por la Ley de la Materia en su artículo 3 fracción XXXII, como:</w:t>
      </w:r>
    </w:p>
    <w:p w14:paraId="406ECA5E" w14:textId="77777777" w:rsidR="004D73BE" w:rsidRDefault="004D73BE">
      <w:pPr>
        <w:spacing w:line="360" w:lineRule="auto"/>
        <w:contextualSpacing/>
        <w:jc w:val="both"/>
        <w:rPr>
          <w:rFonts w:ascii="Palatino Linotype" w:eastAsia="Palatino Linotype" w:hAnsi="Palatino Linotype" w:cs="Palatino Linotype"/>
          <w:sz w:val="24"/>
          <w:szCs w:val="24"/>
        </w:rPr>
      </w:pPr>
    </w:p>
    <w:p w14:paraId="39A8A09A" w14:textId="77777777" w:rsidR="00E967D5" w:rsidRDefault="00C71E8E">
      <w:pPr>
        <w:pBdr>
          <w:top w:val="nil"/>
          <w:left w:val="nil"/>
          <w:bottom w:val="nil"/>
          <w:right w:val="nil"/>
          <w:between w:val="nil"/>
        </w:pBdr>
        <w:spacing w:after="0" w:line="240" w:lineRule="auto"/>
        <w:ind w:left="851" w:right="899"/>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 xml:space="preserve">“XXXIII. Prueba de Daño: </w:t>
      </w:r>
      <w:r>
        <w:rPr>
          <w:rFonts w:ascii="Palatino Linotype" w:eastAsia="Palatino Linotype" w:hAnsi="Palatino Linotype" w:cs="Palatino Linotype"/>
          <w:b/>
          <w:i/>
          <w:color w:val="000000"/>
          <w:u w:val="single"/>
        </w:rPr>
        <w:t>Responsabilidad de los sujetos obligados de demostrar de manera fundada y motivada que la divulgación de información lesiona el interés jurídicamente protegido por la Ley,</w:t>
      </w:r>
      <w:r>
        <w:rPr>
          <w:rFonts w:ascii="Palatino Linotype" w:eastAsia="Palatino Linotype" w:hAnsi="Palatino Linotype" w:cs="Palatino Linotype"/>
          <w:i/>
          <w:color w:val="000000"/>
        </w:rPr>
        <w:t xml:space="preserve"> y que el menoscabo o daño que puede producirse con la publicidad de la información es mayor que el interés de conocerla y por consiguiente debe clasificarse como reservada…” (Sic)</w:t>
      </w:r>
    </w:p>
    <w:p w14:paraId="152609E4" w14:textId="77777777" w:rsidR="00E967D5" w:rsidRDefault="00E967D5">
      <w:pPr>
        <w:jc w:val="both"/>
        <w:rPr>
          <w:rFonts w:ascii="Palatino Linotype" w:eastAsia="Palatino Linotype" w:hAnsi="Palatino Linotype" w:cs="Palatino Linotype"/>
        </w:rPr>
      </w:pPr>
    </w:p>
    <w:p w14:paraId="6F56306A" w14:textId="77777777" w:rsidR="00E967D5" w:rsidRDefault="00C71E8E">
      <w:pPr>
        <w:spacing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Precepto legal en donde establece que </w:t>
      </w:r>
      <w:r>
        <w:rPr>
          <w:rFonts w:ascii="Palatino Linotype" w:eastAsia="Palatino Linotype" w:hAnsi="Palatino Linotype" w:cs="Palatino Linotype"/>
          <w:b/>
          <w:sz w:val="24"/>
          <w:szCs w:val="24"/>
        </w:rPr>
        <w:t>es obligación de los Sujeto Obligados, realizar la prueba de daño;</w:t>
      </w:r>
      <w:r>
        <w:rPr>
          <w:rFonts w:ascii="Palatino Linotype" w:eastAsia="Palatino Linotype" w:hAnsi="Palatino Linotype" w:cs="Palatino Linotype"/>
          <w:sz w:val="24"/>
          <w:szCs w:val="24"/>
        </w:rPr>
        <w:t xml:space="preserve"> es decir, que los Sujetos Obligados que generan, administren o posean, la información que deba ser clasificada como información reservada por actualizar alguna causal de reserva señala en el artículo 140 de la Ley de la Materia, son responsables de aplicar la prueba de daño para demostrar que la divulgación de la información lesiona interés jurídicamente protegido por la Ley, y que el menoscabo o daño que puede producirse con la publicidad de la información es mayor que el interés de conocerla.</w:t>
      </w:r>
    </w:p>
    <w:p w14:paraId="2B35AFEF" w14:textId="77777777" w:rsidR="004D73BE" w:rsidRDefault="004D73BE">
      <w:pPr>
        <w:spacing w:line="360" w:lineRule="auto"/>
        <w:contextualSpacing/>
        <w:jc w:val="both"/>
        <w:rPr>
          <w:rFonts w:ascii="Palatino Linotype" w:eastAsia="Palatino Linotype" w:hAnsi="Palatino Linotype" w:cs="Palatino Linotype"/>
          <w:sz w:val="24"/>
          <w:szCs w:val="24"/>
        </w:rPr>
      </w:pPr>
    </w:p>
    <w:p w14:paraId="588C4260" w14:textId="77777777" w:rsidR="00E967D5" w:rsidRDefault="00C71E8E">
      <w:pPr>
        <w:spacing w:line="360" w:lineRule="auto"/>
        <w:contextualSpacing/>
        <w:jc w:val="both"/>
        <w:rPr>
          <w:rFonts w:ascii="Palatino Linotype" w:eastAsia="Palatino Linotype" w:hAnsi="Palatino Linotype" w:cs="Palatino Linotype"/>
          <w:b/>
          <w:sz w:val="24"/>
          <w:szCs w:val="24"/>
        </w:rPr>
      </w:pPr>
      <w:r>
        <w:rPr>
          <w:rFonts w:ascii="Palatino Linotype" w:eastAsia="Palatino Linotype" w:hAnsi="Palatino Linotype" w:cs="Palatino Linotype"/>
          <w:sz w:val="24"/>
          <w:szCs w:val="24"/>
        </w:rPr>
        <w:t xml:space="preserve">Esto es, que, a través de la prueba de daño, </w:t>
      </w:r>
      <w:r>
        <w:rPr>
          <w:rFonts w:ascii="Palatino Linotype" w:eastAsia="Palatino Linotype" w:hAnsi="Palatino Linotype" w:cs="Palatino Linotype"/>
          <w:b/>
          <w:sz w:val="24"/>
          <w:szCs w:val="24"/>
        </w:rPr>
        <w:t xml:space="preserve">los sujetos obligados expongan las razones, motivos o circunstancias especiales que los lleven a concluir que la información adquiere el carácter de reservada, y se ajusta a los supuestos previstos en la normatividad como fundamento. </w:t>
      </w:r>
    </w:p>
    <w:p w14:paraId="45AB28C2" w14:textId="77777777" w:rsidR="004D73BE" w:rsidRDefault="004D73BE">
      <w:pPr>
        <w:spacing w:line="360" w:lineRule="auto"/>
        <w:contextualSpacing/>
        <w:jc w:val="both"/>
        <w:rPr>
          <w:rFonts w:ascii="Palatino Linotype" w:eastAsia="Palatino Linotype" w:hAnsi="Palatino Linotype" w:cs="Palatino Linotype"/>
          <w:b/>
          <w:sz w:val="24"/>
          <w:szCs w:val="24"/>
        </w:rPr>
      </w:pPr>
      <w:bookmarkStart w:id="1" w:name="_GoBack"/>
      <w:bookmarkEnd w:id="1"/>
    </w:p>
    <w:p w14:paraId="17DB3E0F" w14:textId="77777777" w:rsidR="00E967D5" w:rsidRDefault="00C71E8E">
      <w:pPr>
        <w:spacing w:before="240"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que, en opinión de la Suscrita, y en términos de lo dispuesto por la normatividad en la materia, son los Sujetos Obligados, deben aportar los elementos para desarrollar la prueba de daño necesaria y suficiente, a fin de garantizar la reserva de información y la adecuada temporalidad de esta, aportando elementos necesarios para su clasificación. </w:t>
      </w:r>
    </w:p>
    <w:p w14:paraId="0AA0CE1A" w14:textId="4057EA8A" w:rsidR="004D73BE" w:rsidRDefault="00C71E8E" w:rsidP="004D73BE">
      <w:pPr>
        <w:spacing w:before="240" w:after="24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Lo expuesto, constituyen las razones y fundamentos que me llevan a emitir la opinión particular que se ha expresado. </w:t>
      </w:r>
    </w:p>
    <w:p w14:paraId="5227E14B" w14:textId="77777777" w:rsidR="00E967D5" w:rsidRDefault="00E967D5" w:rsidP="004D73BE">
      <w:pPr>
        <w:rPr>
          <w:rFonts w:ascii="Palatino Linotype" w:eastAsia="Palatino Linotype" w:hAnsi="Palatino Linotype" w:cs="Palatino Linotype"/>
        </w:rPr>
      </w:pPr>
    </w:p>
    <w:sectPr w:rsidR="00E967D5">
      <w:headerReference w:type="default" r:id="rId7"/>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7B06DF" w14:textId="77777777" w:rsidR="000B5097" w:rsidRDefault="00C71E8E">
      <w:pPr>
        <w:spacing w:after="0" w:line="240" w:lineRule="auto"/>
      </w:pPr>
      <w:r>
        <w:separator/>
      </w:r>
    </w:p>
  </w:endnote>
  <w:endnote w:type="continuationSeparator" w:id="0">
    <w:p w14:paraId="0044ADE9" w14:textId="77777777" w:rsidR="000B5097" w:rsidRDefault="00C71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EBD7E" w14:textId="77777777" w:rsidR="000B5097" w:rsidRDefault="00C71E8E">
      <w:pPr>
        <w:spacing w:after="0" w:line="240" w:lineRule="auto"/>
      </w:pPr>
      <w:r>
        <w:separator/>
      </w:r>
    </w:p>
  </w:footnote>
  <w:footnote w:type="continuationSeparator" w:id="0">
    <w:p w14:paraId="2C610A41" w14:textId="77777777" w:rsidR="000B5097" w:rsidRDefault="00C71E8E">
      <w:pPr>
        <w:spacing w:after="0" w:line="240" w:lineRule="auto"/>
      </w:pPr>
      <w:r>
        <w:continuationSeparator/>
      </w:r>
    </w:p>
  </w:footnote>
  <w:footnote w:id="1">
    <w:p w14:paraId="4E85FE82" w14:textId="77777777" w:rsidR="00E967D5" w:rsidRDefault="00C71E8E">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581A3B0" w14:textId="77777777" w:rsidR="00E967D5" w:rsidRDefault="00C71E8E">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38BCD" w14:textId="1AFB96DA" w:rsidR="00E967D5" w:rsidRDefault="004D73B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rPr>
      <w:drawing>
        <wp:anchor distT="0" distB="0" distL="0" distR="0" simplePos="0" relativeHeight="251659264" behindDoc="1" locked="0" layoutInCell="1" hidden="0" allowOverlap="1" wp14:anchorId="325BE38A" wp14:editId="65DA7390">
          <wp:simplePos x="0" y="0"/>
          <wp:positionH relativeFrom="margin">
            <wp:align>center</wp:align>
          </wp:positionH>
          <wp:positionV relativeFrom="paragraph">
            <wp:posOffset>-362585</wp:posOffset>
          </wp:positionV>
          <wp:extent cx="7510628" cy="9883775"/>
          <wp:effectExtent l="0" t="0" r="0" b="3175"/>
          <wp:wrapNone/>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14:paraId="1FD6FEE2" w14:textId="77777777" w:rsidR="00E967D5" w:rsidRDefault="00E967D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15FCDB8D" w14:textId="77777777" w:rsidR="00E967D5" w:rsidRDefault="00E967D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14:paraId="19D4A329" w14:textId="002F87A8" w:rsidR="004D73BE" w:rsidRPr="004D73BE" w:rsidRDefault="00C71E8E" w:rsidP="004D73BE">
    <w:pPr>
      <w:pStyle w:val="NormalWeb"/>
      <w:spacing w:before="0" w:beforeAutospacing="0" w:after="0" w:afterAutospacing="0"/>
      <w:rPr>
        <w:lang w:val="es-MX" w:eastAsia="es-MX"/>
      </w:rPr>
    </w:pPr>
    <w:r>
      <w:rPr>
        <w:rFonts w:ascii="Palatino Linotype" w:eastAsia="Palatino Linotype" w:hAnsi="Palatino Linotype" w:cs="Palatino Linotype"/>
        <w:b/>
        <w:color w:val="000000"/>
        <w:sz w:val="20"/>
        <w:szCs w:val="20"/>
      </w:rPr>
      <w:tab/>
    </w:r>
    <w:r>
      <w:rPr>
        <w:rFonts w:ascii="Palatino Linotype" w:eastAsia="Palatino Linotype" w:hAnsi="Palatino Linotype" w:cs="Palatino Linotype"/>
        <w:b/>
        <w:color w:val="000000"/>
        <w:sz w:val="20"/>
        <w:szCs w:val="20"/>
      </w:rPr>
      <w:tab/>
    </w:r>
    <w:r w:rsidR="004D73BE">
      <w:rPr>
        <w:rFonts w:ascii="Palatino Linotype" w:eastAsia="Palatino Linotype" w:hAnsi="Palatino Linotype" w:cs="Palatino Linotype"/>
        <w:b/>
        <w:color w:val="000000"/>
        <w:sz w:val="20"/>
        <w:szCs w:val="20"/>
      </w:rPr>
      <w:t xml:space="preserve">                                                                                              </w:t>
    </w:r>
    <w:r w:rsidR="004D73BE" w:rsidRPr="004D73BE">
      <w:rPr>
        <w:rFonts w:ascii="Palatino Linotype" w:hAnsi="Palatino Linotype"/>
        <w:b/>
        <w:bCs/>
        <w:color w:val="000000"/>
        <w:sz w:val="22"/>
        <w:szCs w:val="22"/>
        <w:lang w:val="es-MX" w:eastAsia="es-MX"/>
      </w:rPr>
      <w:t>OPINIÓN PARTICULAR </w:t>
    </w:r>
  </w:p>
  <w:p w14:paraId="2C57964F" w14:textId="77777777" w:rsidR="004D73BE" w:rsidRDefault="004D73BE" w:rsidP="004D73BE">
    <w:pPr>
      <w:spacing w:after="0" w:line="240" w:lineRule="auto"/>
      <w:ind w:left="1134"/>
      <w:jc w:val="right"/>
      <w:rPr>
        <w:rFonts w:ascii="Palatino Linotype" w:eastAsia="Times New Roman" w:hAnsi="Palatino Linotype" w:cs="Times New Roman"/>
        <w:b/>
        <w:bCs/>
        <w:color w:val="000000"/>
      </w:rPr>
    </w:pPr>
    <w:r w:rsidRPr="004D73BE">
      <w:rPr>
        <w:rFonts w:ascii="Palatino Linotype" w:eastAsia="Times New Roman" w:hAnsi="Palatino Linotype" w:cs="Times New Roman"/>
        <w:b/>
        <w:bCs/>
        <w:color w:val="000000"/>
      </w:rPr>
      <w:t xml:space="preserve">RECURSOS DE REVISIÓN </w:t>
    </w:r>
  </w:p>
  <w:p w14:paraId="0D842E52" w14:textId="372E2433" w:rsidR="004D73BE" w:rsidRPr="004D73BE" w:rsidRDefault="004D73BE" w:rsidP="004D73BE">
    <w:pPr>
      <w:spacing w:after="0" w:line="240" w:lineRule="auto"/>
      <w:ind w:left="1134"/>
      <w:jc w:val="right"/>
      <w:rPr>
        <w:rFonts w:ascii="Times New Roman" w:eastAsia="Times New Roman" w:hAnsi="Times New Roman" w:cs="Times New Roman"/>
        <w:sz w:val="24"/>
        <w:szCs w:val="24"/>
      </w:rPr>
    </w:pPr>
    <w:r w:rsidRPr="004D73BE">
      <w:rPr>
        <w:rFonts w:ascii="Palatino Linotype" w:eastAsia="Times New Roman" w:hAnsi="Palatino Linotype" w:cs="Times New Roman"/>
        <w:b/>
        <w:bCs/>
        <w:color w:val="000000"/>
      </w:rPr>
      <w:t>10576/INFOEM/IP/RR/2022 y acumulados</w:t>
    </w:r>
  </w:p>
  <w:p w14:paraId="207F7396" w14:textId="77777777" w:rsidR="00E967D5" w:rsidRDefault="00C71E8E">
    <w:pPr>
      <w:pBdr>
        <w:top w:val="nil"/>
        <w:left w:val="nil"/>
        <w:bottom w:val="nil"/>
        <w:right w:val="nil"/>
        <w:between w:val="nil"/>
      </w:pBdr>
      <w:tabs>
        <w:tab w:val="center" w:pos="4419"/>
        <w:tab w:val="right" w:pos="8838"/>
        <w:tab w:val="left" w:pos="5685"/>
        <w:tab w:val="right" w:pos="8928"/>
      </w:tabs>
      <w:spacing w:after="0" w:line="240" w:lineRule="auto"/>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ab/>
    </w:r>
  </w:p>
  <w:p w14:paraId="54820048" w14:textId="77777777" w:rsidR="00E967D5" w:rsidRDefault="00E967D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p w14:paraId="1A51AC3D" w14:textId="77777777" w:rsidR="00E967D5" w:rsidRDefault="00E967D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7D5"/>
    <w:rsid w:val="000B5097"/>
    <w:rsid w:val="004D73BE"/>
    <w:rsid w:val="00C71E8E"/>
    <w:rsid w:val="00E967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9A04EAB"/>
  <w15:docId w15:val="{AF56F98A-7AB6-44D7-8E0B-782773EF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A76"/>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B2A7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B2A76"/>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B2A76"/>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B2A7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0B2A76"/>
  </w:style>
  <w:style w:type="paragraph" w:styleId="Sinespaciado">
    <w:name w:val="No Spacing"/>
    <w:aliases w:val="Francesa"/>
    <w:link w:val="SinespaciadoCar"/>
    <w:uiPriority w:val="1"/>
    <w:qFormat/>
    <w:rsid w:val="000B2A7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0B2A76"/>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2A76"/>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0B2A76"/>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9F0FA7"/>
    <w:rPr>
      <w:color w:val="0563C1" w:themeColor="hyperlink"/>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258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aqetOt7PWp/RybPXmBOfv7bHFw==">AMUW2mXn5UBVOLw6IKJXAyXkXJHgCAusbLdDynlBZtrQnNA1MjQjPIf1OoScd1/8WaRYLDxEwALL6PD9TaV1vl+InwL6xQCmtBWwjuQ4kmbcqmswQhx2ZrpTKLf3jMOeyl5p1UPy20Sl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3632</Words>
  <Characters>19982</Characters>
  <Application>Microsoft Office Word</Application>
  <DocSecurity>0</DocSecurity>
  <Lines>166</Lines>
  <Paragraphs>47</Paragraphs>
  <ScaleCrop>false</ScaleCrop>
  <Company/>
  <LinksUpToDate>false</LinksUpToDate>
  <CharactersWithSpaces>23567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2022-09-12T15:06:00Z</cp:lastPrinted>
  <dcterms:created xsi:type="dcterms:W3CDTF">2022-09-12T15:07:00Z</dcterms:created>
  <dcterms:modified xsi:type="dcterms:W3CDTF">2023-10-18T15:37:00Z</dcterms:modified>
</cp:coreProperties>
</file>