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4941A289" w:rsidR="000A1D25" w:rsidRDefault="000A1D25" w:rsidP="00E76E13">
      <w:pPr>
        <w:spacing w:after="0" w:line="360" w:lineRule="auto"/>
        <w:ind w:right="139"/>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 xml:space="preserve">MÉXICO Y MUNICIPIOS, EN </w:t>
      </w:r>
      <w:r w:rsidR="0034288E">
        <w:rPr>
          <w:rFonts w:ascii="Palatino Linotype" w:hAnsi="Palatino Linotype"/>
          <w:b/>
          <w:sz w:val="24"/>
          <w:szCs w:val="24"/>
        </w:rPr>
        <w:t>LA DÉCIM</w:t>
      </w:r>
      <w:r w:rsidR="00B11619">
        <w:rPr>
          <w:rFonts w:ascii="Palatino Linotype" w:hAnsi="Palatino Linotype"/>
          <w:b/>
          <w:sz w:val="24"/>
          <w:szCs w:val="24"/>
        </w:rPr>
        <w:t>O SEGUNDA SESIÓN ORDINARIA DEL TREINTA</w:t>
      </w:r>
      <w:r w:rsidR="00F12CA3">
        <w:rPr>
          <w:rFonts w:ascii="Palatino Linotype" w:hAnsi="Palatino Linotype"/>
          <w:b/>
          <w:sz w:val="24"/>
          <w:szCs w:val="24"/>
        </w:rPr>
        <w:t xml:space="preserve"> DE MARZ</w:t>
      </w:r>
      <w:r w:rsidRPr="000A1D25">
        <w:rPr>
          <w:rFonts w:ascii="Palatino Linotype" w:hAnsi="Palatino Linotype"/>
          <w:b/>
          <w:sz w:val="24"/>
          <w:szCs w:val="24"/>
        </w:rPr>
        <w:t>O DE DOS MIL VEINTIDÓS,</w:t>
      </w:r>
      <w:r w:rsidR="00B11619">
        <w:rPr>
          <w:rFonts w:ascii="Palatino Linotype" w:hAnsi="Palatino Linotype"/>
          <w:b/>
          <w:sz w:val="24"/>
          <w:szCs w:val="24"/>
        </w:rPr>
        <w:t xml:space="preserve"> EN EL RECURSO DE REVISIÓN 0054</w:t>
      </w:r>
      <w:r w:rsidR="00F12CA3">
        <w:rPr>
          <w:rFonts w:ascii="Palatino Linotype" w:hAnsi="Palatino Linotype"/>
          <w:b/>
          <w:sz w:val="24"/>
          <w:szCs w:val="24"/>
        </w:rPr>
        <w:t>1</w:t>
      </w:r>
      <w:r w:rsidR="009F5741">
        <w:rPr>
          <w:rFonts w:ascii="Palatino Linotype" w:hAnsi="Palatino Linotype"/>
          <w:b/>
          <w:sz w:val="24"/>
          <w:szCs w:val="24"/>
        </w:rPr>
        <w:t>/INFOEM/IP/RR/2022</w:t>
      </w:r>
      <w:r w:rsidRPr="000A1D25">
        <w:rPr>
          <w:rFonts w:ascii="Palatino Linotype" w:hAnsi="Palatino Linotype"/>
          <w:b/>
          <w:sz w:val="24"/>
          <w:szCs w:val="24"/>
        </w:rPr>
        <w:t xml:space="preserve">. </w:t>
      </w:r>
    </w:p>
    <w:p w14:paraId="28F55B0F" w14:textId="77777777" w:rsidR="000A1D25" w:rsidRDefault="000A1D25" w:rsidP="00D8273E">
      <w:pPr>
        <w:spacing w:after="0" w:line="360" w:lineRule="auto"/>
        <w:jc w:val="both"/>
        <w:rPr>
          <w:rFonts w:ascii="Palatino Linotype" w:hAnsi="Palatino Linotype"/>
          <w:b/>
          <w:sz w:val="24"/>
          <w:szCs w:val="24"/>
        </w:rPr>
      </w:pPr>
    </w:p>
    <w:p w14:paraId="6C01838C" w14:textId="4B076150" w:rsidR="0069251F"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00B11619">
        <w:rPr>
          <w:rFonts w:ascii="Palatino Linotype" w:hAnsi="Palatino Linotype"/>
          <w:b/>
          <w:sz w:val="24"/>
          <w:szCs w:val="24"/>
        </w:rPr>
        <w:t>0054</w:t>
      </w:r>
      <w:r w:rsidR="00F12CA3">
        <w:rPr>
          <w:rFonts w:ascii="Palatino Linotype" w:hAnsi="Palatino Linotype"/>
          <w:b/>
          <w:sz w:val="24"/>
          <w:szCs w:val="24"/>
        </w:rPr>
        <w:t>1</w:t>
      </w:r>
      <w:r w:rsidR="009F5741">
        <w:rPr>
          <w:rFonts w:ascii="Palatino Linotype" w:hAnsi="Palatino Linotype"/>
          <w:b/>
          <w:sz w:val="24"/>
          <w:szCs w:val="24"/>
        </w:rPr>
        <w:t>/INFOEM/IP/RR/2022</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25345DE9" w14:textId="75EF13EA" w:rsidR="000A1D25"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En el caso concreto el hoy Recurrente requirió a</w:t>
      </w:r>
      <w:r>
        <w:rPr>
          <w:rFonts w:ascii="Palatino Linotype" w:hAnsi="Palatino Linotype"/>
          <w:sz w:val="24"/>
          <w:szCs w:val="24"/>
        </w:rPr>
        <w:t xml:space="preserve">l </w:t>
      </w:r>
      <w:r w:rsidR="00F12CA3" w:rsidRPr="0034288E">
        <w:rPr>
          <w:rFonts w:ascii="Palatino Linotype" w:hAnsi="Palatino Linotype"/>
          <w:b/>
          <w:sz w:val="24"/>
          <w:szCs w:val="24"/>
        </w:rPr>
        <w:t>Ayunta</w:t>
      </w:r>
      <w:r w:rsidR="00F200FA">
        <w:rPr>
          <w:rFonts w:ascii="Palatino Linotype" w:hAnsi="Palatino Linotype"/>
          <w:b/>
          <w:sz w:val="24"/>
          <w:szCs w:val="24"/>
        </w:rPr>
        <w:t>miento de Zumpahuacán</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5272E3D1" w14:textId="65038610" w:rsidR="000A1D25" w:rsidRP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lastRenderedPageBreak/>
        <w:t xml:space="preserve"> </w:t>
      </w:r>
    </w:p>
    <w:p w14:paraId="24492111" w14:textId="0BAED609" w:rsidR="000A1D25" w:rsidRPr="000A1D25" w:rsidRDefault="000A1D25" w:rsidP="000A1D25">
      <w:pPr>
        <w:spacing w:after="0" w:line="240" w:lineRule="auto"/>
        <w:ind w:left="567" w:right="990"/>
        <w:jc w:val="both"/>
        <w:rPr>
          <w:rFonts w:ascii="Palatino Linotype" w:hAnsi="Palatino Linotype"/>
          <w:bCs/>
          <w:i/>
          <w:szCs w:val="24"/>
        </w:rPr>
      </w:pPr>
      <w:r>
        <w:rPr>
          <w:rFonts w:ascii="Palatino Linotype" w:hAnsi="Palatino Linotype"/>
          <w:i/>
          <w:szCs w:val="24"/>
        </w:rPr>
        <w:t>“</w:t>
      </w:r>
      <w:r w:rsidR="00F200FA" w:rsidRPr="00F200FA">
        <w:rPr>
          <w:rFonts w:ascii="Palatino Linotype" w:hAnsi="Palatino Linotype"/>
          <w:i/>
          <w:szCs w:val="24"/>
        </w:rPr>
        <w:t>Solicito los expedientes del personal que laboraban en el año 2020</w:t>
      </w:r>
      <w:r w:rsidR="0034288E">
        <w:rPr>
          <w:rFonts w:ascii="Palatino Linotype" w:hAnsi="Palatino Linotype"/>
          <w:i/>
          <w:szCs w:val="24"/>
        </w:rPr>
        <w:t>" (S</w:t>
      </w:r>
      <w:r w:rsidRPr="000A1D25">
        <w:rPr>
          <w:rFonts w:ascii="Palatino Linotype" w:hAnsi="Palatino Linotype"/>
          <w:i/>
          <w:szCs w:val="24"/>
        </w:rPr>
        <w:t>ic)</w:t>
      </w:r>
    </w:p>
    <w:p w14:paraId="7963A517" w14:textId="77777777" w:rsidR="000A1D25" w:rsidRDefault="000A1D25" w:rsidP="00D8273E">
      <w:pPr>
        <w:spacing w:after="0" w:line="360" w:lineRule="auto"/>
        <w:jc w:val="both"/>
        <w:rPr>
          <w:rFonts w:ascii="Palatino Linotype" w:hAnsi="Palatino Linotype"/>
          <w:b/>
          <w:sz w:val="24"/>
          <w:szCs w:val="24"/>
        </w:rPr>
      </w:pPr>
    </w:p>
    <w:p w14:paraId="77C55B21" w14:textId="77777777" w:rsidR="00F200FA" w:rsidRPr="00F200FA" w:rsidRDefault="00F200FA" w:rsidP="00F200FA">
      <w:pPr>
        <w:autoSpaceDE w:val="0"/>
        <w:autoSpaceDN w:val="0"/>
        <w:adjustRightInd w:val="0"/>
        <w:spacing w:after="0" w:line="360" w:lineRule="auto"/>
        <w:ind w:right="-28"/>
        <w:jc w:val="both"/>
        <w:rPr>
          <w:rFonts w:ascii="Palatino Linotype" w:eastAsia="Times New Roman" w:hAnsi="Palatino Linotype" w:cs="Tahoma"/>
          <w:bCs/>
          <w:lang w:val="es-ES" w:eastAsia="es-ES"/>
        </w:rPr>
      </w:pPr>
      <w:r w:rsidRPr="00F200FA">
        <w:rPr>
          <w:rFonts w:ascii="Palatino Linotype" w:eastAsia="Times New Roman" w:hAnsi="Palatino Linotype" w:cs="Tahoma"/>
          <w:bCs/>
          <w:lang w:val="es-ES" w:eastAsia="es-ES"/>
        </w:rPr>
        <w:t>En fecha veinticinco de enero de dos mil veintidós, el Sujeto Obligado a través del Titular de la Unidad de Transparencia, otorgó respuesta a la solicitud de información en los siguientes términos:</w:t>
      </w:r>
    </w:p>
    <w:p w14:paraId="6945E970" w14:textId="77777777" w:rsidR="00F200FA" w:rsidRPr="00F200FA" w:rsidRDefault="00F200FA" w:rsidP="00F200FA">
      <w:pPr>
        <w:autoSpaceDE w:val="0"/>
        <w:autoSpaceDN w:val="0"/>
        <w:adjustRightInd w:val="0"/>
        <w:spacing w:after="0" w:line="360" w:lineRule="auto"/>
        <w:ind w:right="-28"/>
        <w:jc w:val="both"/>
        <w:rPr>
          <w:rFonts w:ascii="Palatino Linotype" w:eastAsia="Times New Roman" w:hAnsi="Palatino Linotype" w:cs="Tahoma"/>
          <w:bCs/>
          <w:lang w:val="es-ES" w:eastAsia="es-ES"/>
        </w:rPr>
      </w:pPr>
    </w:p>
    <w:p w14:paraId="3A194F9F" w14:textId="7A5B0CE9" w:rsidR="00F200FA" w:rsidRPr="00F200FA" w:rsidRDefault="00F200FA" w:rsidP="00F200FA">
      <w:pPr>
        <w:autoSpaceDE w:val="0"/>
        <w:autoSpaceDN w:val="0"/>
        <w:adjustRightInd w:val="0"/>
        <w:spacing w:after="0" w:line="360" w:lineRule="auto"/>
        <w:ind w:left="567" w:right="567"/>
        <w:jc w:val="both"/>
        <w:rPr>
          <w:rFonts w:ascii="Palatino Linotype" w:eastAsia="Times New Roman" w:hAnsi="Palatino Linotype" w:cs="Tahoma"/>
          <w:bCs/>
          <w:i/>
          <w:sz w:val="20"/>
          <w:szCs w:val="20"/>
          <w:lang w:val="es-ES" w:eastAsia="es-ES"/>
        </w:rPr>
      </w:pPr>
      <w:r>
        <w:rPr>
          <w:rFonts w:ascii="Palatino Linotype" w:eastAsia="Times New Roman" w:hAnsi="Palatino Linotype" w:cs="Tahoma"/>
          <w:bCs/>
          <w:i/>
          <w:sz w:val="20"/>
          <w:szCs w:val="20"/>
          <w:lang w:val="es-ES" w:eastAsia="es-ES"/>
        </w:rPr>
        <w:t>“</w:t>
      </w:r>
      <w:r w:rsidRPr="00F200FA">
        <w:rPr>
          <w:rFonts w:ascii="Palatino Linotype" w:eastAsia="Times New Roman" w:hAnsi="Palatino Linotype" w:cs="Tahoma"/>
          <w:bCs/>
          <w:i/>
          <w:sz w:val="20"/>
          <w:szCs w:val="20"/>
          <w:lang w:val="es-ES" w:eastAsia="es-ES"/>
        </w:rPr>
        <w:t>ADJUNTO AL PRESENTE, LA RESPUESTA EMITIDA POR ESTA UNIDAD ADMINISTRATIVA, SI BIEN, LA LEY EN LA MATERIA, UNICAMENTE NOS OBLIGA A PROPORCIONAR LA INFORMACIÓN PUBLICA QUE OBRE EN NUESTROS ARCHIVOS EN EL ESTADO EN QUE ESTA SE ENCUENTRE, Y ESTABLECE QUE EN CASO DE NO CONTAR CON ELLA, NO ESTAMOS OBLIGADOS A GENERARLA, RESUMIRLA, EFECTUAR CALCULOS O PRACTICAS DE INVESTIGACIÓN</w:t>
      </w:r>
      <w:r>
        <w:rPr>
          <w:rFonts w:ascii="Palatino Linotype" w:eastAsia="Times New Roman" w:hAnsi="Palatino Linotype" w:cs="Tahoma"/>
          <w:bCs/>
          <w:i/>
          <w:sz w:val="20"/>
          <w:szCs w:val="20"/>
          <w:lang w:val="es-ES" w:eastAsia="es-ES"/>
        </w:rPr>
        <w:t>” (Sic)</w:t>
      </w:r>
    </w:p>
    <w:p w14:paraId="781049BF" w14:textId="77777777" w:rsidR="00F200FA" w:rsidRPr="00F200FA" w:rsidRDefault="00F200FA" w:rsidP="00F200FA">
      <w:pPr>
        <w:autoSpaceDE w:val="0"/>
        <w:autoSpaceDN w:val="0"/>
        <w:adjustRightInd w:val="0"/>
        <w:spacing w:after="0" w:line="360" w:lineRule="auto"/>
        <w:ind w:left="567" w:right="567"/>
        <w:jc w:val="both"/>
        <w:rPr>
          <w:rFonts w:ascii="Palatino Linotype" w:eastAsia="Times New Roman" w:hAnsi="Palatino Linotype" w:cs="Tahoma"/>
          <w:bCs/>
          <w:i/>
          <w:sz w:val="20"/>
          <w:szCs w:val="20"/>
          <w:lang w:val="es-ES" w:eastAsia="es-ES"/>
        </w:rPr>
      </w:pPr>
    </w:p>
    <w:p w14:paraId="23EA0D10" w14:textId="77777777" w:rsidR="00F200FA" w:rsidRPr="00F200FA" w:rsidRDefault="00F200FA" w:rsidP="00F200FA">
      <w:pPr>
        <w:autoSpaceDE w:val="0"/>
        <w:autoSpaceDN w:val="0"/>
        <w:adjustRightInd w:val="0"/>
        <w:spacing w:after="0" w:line="360" w:lineRule="auto"/>
        <w:jc w:val="both"/>
        <w:rPr>
          <w:rFonts w:ascii="Palatino Linotype" w:eastAsia="Times New Roman" w:hAnsi="Palatino Linotype" w:cs="Tahoma"/>
          <w:lang w:eastAsia="es-ES"/>
        </w:rPr>
      </w:pPr>
      <w:r w:rsidRPr="00F200FA">
        <w:rPr>
          <w:rFonts w:ascii="Palatino Linotype" w:eastAsia="Times New Roman" w:hAnsi="Palatino Linotype" w:cs="Tahoma"/>
          <w:lang w:eastAsia="es-ES"/>
        </w:rPr>
        <w:t>Al escrito anterior, el Sujeto Obligado adjuntó las documentales siguientes:</w:t>
      </w:r>
    </w:p>
    <w:p w14:paraId="6503EF35" w14:textId="77777777" w:rsidR="00F200FA" w:rsidRPr="00F200FA" w:rsidRDefault="00F200FA" w:rsidP="00F200FA">
      <w:pPr>
        <w:autoSpaceDE w:val="0"/>
        <w:autoSpaceDN w:val="0"/>
        <w:adjustRightInd w:val="0"/>
        <w:spacing w:after="0" w:line="360" w:lineRule="auto"/>
        <w:ind w:right="539"/>
        <w:jc w:val="both"/>
        <w:rPr>
          <w:rFonts w:ascii="Palatino Linotype" w:eastAsia="Times New Roman" w:hAnsi="Palatino Linotype" w:cs="Tahoma"/>
          <w:sz w:val="20"/>
          <w:lang w:eastAsia="es-ES"/>
        </w:rPr>
      </w:pPr>
    </w:p>
    <w:p w14:paraId="62FCC0A2" w14:textId="77777777" w:rsidR="00F200FA" w:rsidRPr="00F200FA" w:rsidRDefault="00F200FA" w:rsidP="00F200FA">
      <w:pPr>
        <w:numPr>
          <w:ilvl w:val="0"/>
          <w:numId w:val="35"/>
        </w:numPr>
        <w:autoSpaceDE w:val="0"/>
        <w:autoSpaceDN w:val="0"/>
        <w:adjustRightInd w:val="0"/>
        <w:spacing w:after="0" w:line="360" w:lineRule="auto"/>
        <w:ind w:left="567" w:right="1131" w:hanging="141"/>
        <w:contextualSpacing/>
        <w:jc w:val="both"/>
        <w:rPr>
          <w:rFonts w:ascii="Palatino Linotype" w:eastAsia="Times New Roman" w:hAnsi="Palatino Linotype" w:cs="Tahoma"/>
          <w:b/>
          <w:bCs/>
          <w:lang w:eastAsia="es-ES"/>
        </w:rPr>
      </w:pPr>
      <w:r w:rsidRPr="00F200FA">
        <w:rPr>
          <w:rFonts w:ascii="Palatino Linotype" w:eastAsia="Times New Roman" w:hAnsi="Palatino Linotype" w:cs="Tahoma"/>
          <w:b/>
          <w:bCs/>
          <w:u w:val="single"/>
          <w:lang w:eastAsia="es-ES"/>
        </w:rPr>
        <w:t>0008-ZUMPAHUA-IP-2022.pdf;</w:t>
      </w:r>
      <w:r w:rsidRPr="00F200FA">
        <w:rPr>
          <w:rFonts w:ascii="Palatino Linotype" w:eastAsia="Times New Roman" w:hAnsi="Palatino Linotype" w:cs="Times New Roman"/>
          <w:szCs w:val="24"/>
          <w:lang w:eastAsia="es-ES"/>
        </w:rPr>
        <w:t xml:space="preserve"> Oficio número PMZ/RH/013/2022 signado por la Coordinadora de Recursos Humanos, por medio del cual, señaló que las documentales requeridas es información de carácter individual y no se cuenta con la autorización de los titulares de la información. </w:t>
      </w:r>
    </w:p>
    <w:p w14:paraId="526F7630" w14:textId="77777777" w:rsidR="000A1D25" w:rsidRDefault="000A1D25" w:rsidP="00E76E13">
      <w:pPr>
        <w:spacing w:after="0" w:line="360" w:lineRule="auto"/>
        <w:ind w:right="139"/>
        <w:jc w:val="both"/>
        <w:rPr>
          <w:rFonts w:ascii="Palatino Linotype" w:hAnsi="Palatino Linotype"/>
          <w:b/>
          <w:sz w:val="24"/>
          <w:szCs w:val="24"/>
        </w:rPr>
      </w:pPr>
    </w:p>
    <w:p w14:paraId="476345FB" w14:textId="2D7235F0" w:rsidR="00F12CA3" w:rsidRPr="00F12CA3" w:rsidRDefault="000A1D25" w:rsidP="00E76E13">
      <w:pPr>
        <w:spacing w:after="0" w:line="360" w:lineRule="auto"/>
        <w:ind w:right="139"/>
        <w:jc w:val="both"/>
        <w:rPr>
          <w:rFonts w:ascii="Palatino Linotype" w:hAnsi="Palatino Linotype"/>
          <w:b/>
          <w:bCs/>
          <w:iCs/>
          <w:sz w:val="24"/>
          <w:szCs w:val="24"/>
          <w:lang w:val="es-ES_tradnl"/>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00F200FA">
        <w:rPr>
          <w:rFonts w:ascii="Palatino Linotype" w:hAnsi="Palatino Linotype"/>
          <w:b/>
          <w:sz w:val="24"/>
          <w:szCs w:val="24"/>
        </w:rPr>
        <w:t xml:space="preserve"> la entrega de</w:t>
      </w:r>
      <w:r w:rsidR="00F200FA">
        <w:rPr>
          <w:rFonts w:ascii="Palatino Linotype" w:hAnsi="Palatino Linotype"/>
          <w:b/>
          <w:bCs/>
          <w:iCs/>
          <w:sz w:val="24"/>
          <w:szCs w:val="24"/>
          <w:lang w:val="es-ES_tradnl"/>
        </w:rPr>
        <w:t xml:space="preserve"> </w:t>
      </w:r>
      <w:r w:rsidR="00F12CA3" w:rsidRPr="00F12CA3">
        <w:rPr>
          <w:rFonts w:ascii="Palatino Linotype" w:hAnsi="Palatino Linotype"/>
          <w:b/>
          <w:bCs/>
          <w:iCs/>
          <w:sz w:val="24"/>
          <w:szCs w:val="24"/>
          <w:lang w:val="es-ES_tradnl"/>
        </w:rPr>
        <w:t>lo siguiente:</w:t>
      </w:r>
      <w:r w:rsidR="00F200FA">
        <w:rPr>
          <w:rFonts w:ascii="Palatino Linotype" w:hAnsi="Palatino Linotype"/>
          <w:b/>
          <w:bCs/>
          <w:iCs/>
          <w:sz w:val="24"/>
          <w:szCs w:val="24"/>
          <w:lang w:val="es-ES_tradnl"/>
        </w:rPr>
        <w:t xml:space="preserve"> </w:t>
      </w:r>
    </w:p>
    <w:p w14:paraId="2968491B" w14:textId="64F5DE6F" w:rsidR="00B14A95" w:rsidRDefault="00B14A95" w:rsidP="00F12CA3">
      <w:pPr>
        <w:spacing w:after="0" w:line="360" w:lineRule="auto"/>
        <w:jc w:val="both"/>
        <w:rPr>
          <w:rFonts w:ascii="Palatino Linotype" w:hAnsi="Palatino Linotype"/>
          <w:i/>
          <w:sz w:val="24"/>
          <w:szCs w:val="24"/>
        </w:rPr>
      </w:pPr>
    </w:p>
    <w:p w14:paraId="1B8A5713" w14:textId="06A2A1FB" w:rsidR="00F200FA" w:rsidRPr="00F200FA" w:rsidRDefault="00F12CA3" w:rsidP="00F200FA">
      <w:pPr>
        <w:spacing w:line="240" w:lineRule="auto"/>
        <w:ind w:left="567" w:right="990"/>
        <w:jc w:val="both"/>
        <w:rPr>
          <w:rFonts w:ascii="Palatino Linotype" w:hAnsi="Palatino Linotype"/>
          <w:i/>
          <w:szCs w:val="24"/>
        </w:rPr>
      </w:pPr>
      <w:r>
        <w:rPr>
          <w:rFonts w:ascii="Palatino Linotype" w:hAnsi="Palatino Linotype"/>
          <w:i/>
          <w:szCs w:val="24"/>
        </w:rPr>
        <w:t>“</w:t>
      </w:r>
      <w:r w:rsidR="00F200FA">
        <w:rPr>
          <w:rFonts w:ascii="Palatino Linotype" w:hAnsi="Palatino Linotype"/>
          <w:i/>
          <w:szCs w:val="24"/>
        </w:rPr>
        <w:t>1.</w:t>
      </w:r>
      <w:r w:rsidR="00F200FA" w:rsidRPr="00F200FA">
        <w:rPr>
          <w:rFonts w:ascii="Palatino Linotype" w:hAnsi="Palatino Linotype"/>
          <w:i/>
          <w:szCs w:val="24"/>
        </w:rPr>
        <w:t>Versión pública del expediente laboral de todos los servidores públicos que prestaron sus servicios del primero de enero al treinta y uno de diciembre de dos mil veinte, dentro de la Administración Pública Municipal, sin dejar de lado aquellos que en su caso hayan sido contratados de mane</w:t>
      </w:r>
      <w:r w:rsidR="00F200FA">
        <w:rPr>
          <w:rFonts w:ascii="Palatino Linotype" w:hAnsi="Palatino Linotype"/>
          <w:i/>
          <w:szCs w:val="24"/>
        </w:rPr>
        <w:t>ra eventual y/o por honorarios.</w:t>
      </w:r>
    </w:p>
    <w:p w14:paraId="6BC9AA3B" w14:textId="573FBC12" w:rsidR="00F200FA" w:rsidRPr="00F200FA" w:rsidRDefault="00F200FA" w:rsidP="00F200FA">
      <w:pPr>
        <w:spacing w:line="240" w:lineRule="auto"/>
        <w:ind w:left="567" w:right="990"/>
        <w:jc w:val="both"/>
        <w:rPr>
          <w:rFonts w:ascii="Palatino Linotype" w:hAnsi="Palatino Linotype"/>
          <w:i/>
          <w:szCs w:val="24"/>
        </w:rPr>
      </w:pPr>
      <w:r w:rsidRPr="00F200FA">
        <w:rPr>
          <w:rFonts w:ascii="Palatino Linotype" w:hAnsi="Palatino Linotype"/>
          <w:i/>
          <w:szCs w:val="24"/>
        </w:rPr>
        <w:t>Junto con las versiones públicas, se deberá entregar el Acuerdo del Comité de Transparencia mediante el cual se funde y motive la eliminación de los datos y documentos clasificados en su totalidad, en términos de los artículos 49, fracción VIII, 140, fracción IV, 143, fracción I y 149 de la Ley de Transparencia y Acceso a la Información Pública del</w:t>
      </w:r>
      <w:r>
        <w:rPr>
          <w:rFonts w:ascii="Palatino Linotype" w:hAnsi="Palatino Linotype"/>
          <w:i/>
          <w:szCs w:val="24"/>
        </w:rPr>
        <w:t xml:space="preserve"> Estado de México y Municipios.</w:t>
      </w:r>
    </w:p>
    <w:p w14:paraId="1A7D3D2F" w14:textId="329499A3" w:rsidR="00F12CA3" w:rsidRPr="00F12CA3" w:rsidRDefault="00F200FA" w:rsidP="00F200FA">
      <w:pPr>
        <w:spacing w:line="240" w:lineRule="auto"/>
        <w:ind w:left="567" w:right="990"/>
        <w:jc w:val="both"/>
        <w:rPr>
          <w:rFonts w:ascii="Palatino Linotype" w:hAnsi="Palatino Linotype"/>
          <w:i/>
          <w:szCs w:val="24"/>
          <w:lang w:val="es-ES"/>
        </w:rPr>
      </w:pPr>
      <w:r w:rsidRPr="00F200FA">
        <w:rPr>
          <w:rFonts w:ascii="Palatino Linotype" w:hAnsi="Palatino Linotype"/>
          <w:i/>
          <w:szCs w:val="24"/>
        </w:rPr>
        <w:t>Para el caso de que, el número de fojas al que ascienda la totalidad de documentos que den cuenta de la información, rebase las capacidades del SAIMEX; del tal forma que exista impedimento justificado, el Sujeto Obligado de manera fundada y motivada, deberá ofrecer otras modalidades para la entrega de la información con base en la Ley de Transparencia y Acceso a la Información Pública del Estado de México y Municipios; lo anterior, preferentemente en medios electrónicos, esto es, por medio de disco compacto, copias simples o certificadas, incluso con la  posibilidad de envío mediante correo certificado, previo pago de los derechos correspondientes o sin costo en caso de proporcionar CD o USB.  Para ello, deberá indicar al Recurrente, los días y horas de atención, el domicilio de la Unidad de Transparencia y el nombre del servidor público que le atenderá.</w:t>
      </w:r>
      <w:r w:rsidR="00F12CA3">
        <w:rPr>
          <w:rFonts w:ascii="Palatino Linotype" w:hAnsi="Palatino Linotype"/>
          <w:i/>
          <w:szCs w:val="24"/>
          <w:lang w:val="es-ES"/>
        </w:rPr>
        <w:t>”</w:t>
      </w:r>
    </w:p>
    <w:p w14:paraId="21BCC077" w14:textId="4B460881" w:rsidR="00B14A95" w:rsidRDefault="00B14A95" w:rsidP="00F12CA3">
      <w:pPr>
        <w:spacing w:line="240" w:lineRule="auto"/>
        <w:ind w:left="567" w:right="990"/>
        <w:jc w:val="both"/>
        <w:rPr>
          <w:rFonts w:ascii="Palatino Linotype" w:hAnsi="Palatino Linotype"/>
          <w:i/>
          <w:szCs w:val="24"/>
        </w:rPr>
      </w:pPr>
    </w:p>
    <w:p w14:paraId="25EC28B4" w14:textId="3F7A590B" w:rsidR="00B14A95" w:rsidRDefault="00B14A95" w:rsidP="00E76E13">
      <w:pPr>
        <w:spacing w:line="360" w:lineRule="auto"/>
        <w:ind w:right="139"/>
        <w:jc w:val="both"/>
        <w:rPr>
          <w:rFonts w:ascii="Palatino Linotype" w:hAnsi="Palatino Linotype"/>
          <w:sz w:val="24"/>
          <w:szCs w:val="24"/>
        </w:rPr>
      </w:pPr>
      <w:r w:rsidRPr="00B14A95">
        <w:rPr>
          <w:rFonts w:ascii="Palatino Linotype" w:hAnsi="Palatino Linotype"/>
          <w:sz w:val="24"/>
          <w:szCs w:val="24"/>
        </w:rPr>
        <w:t>En ese sentido debe mencionarse, que como fue acordado, tratándose de i</w:t>
      </w:r>
      <w:r w:rsidR="009F5741">
        <w:rPr>
          <w:rFonts w:ascii="Palatino Linotype" w:hAnsi="Palatino Linotype"/>
          <w:sz w:val="24"/>
          <w:szCs w:val="24"/>
        </w:rPr>
        <w:t>nformación reservada como lo es</w:t>
      </w:r>
      <w:r w:rsidR="00F200FA">
        <w:rPr>
          <w:rFonts w:ascii="Palatino Linotype" w:hAnsi="Palatino Linotype"/>
          <w:sz w:val="24"/>
          <w:szCs w:val="24"/>
        </w:rPr>
        <w:t xml:space="preserve"> el </w:t>
      </w:r>
      <w:r w:rsidR="00F200FA" w:rsidRPr="00F200FA">
        <w:rPr>
          <w:rFonts w:ascii="Palatino Linotype" w:hAnsi="Palatino Linotype"/>
          <w:b/>
          <w:bCs/>
          <w:sz w:val="24"/>
          <w:szCs w:val="24"/>
        </w:rPr>
        <w:t xml:space="preserve">nombre de los elementos operativos de la Dirección de Seguridad Pública y Protección Civil, </w:t>
      </w:r>
      <w:r w:rsidRPr="00B14A95">
        <w:rPr>
          <w:rFonts w:ascii="Palatino Linotype" w:hAnsi="Palatino Linotype"/>
          <w:sz w:val="24"/>
          <w:szCs w:val="24"/>
        </w:rPr>
        <w:t xml:space="preserve">se deberá clasificar como información reservada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w:t>
      </w:r>
      <w:r w:rsidRPr="00B14A95">
        <w:rPr>
          <w:rFonts w:ascii="Palatino Linotype" w:hAnsi="Palatino Linotype"/>
          <w:sz w:val="24"/>
          <w:szCs w:val="24"/>
        </w:rPr>
        <w:lastRenderedPageBreak/>
        <w:t>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lastRenderedPageBreak/>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4BCB0CA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5050FB47" w14:textId="77777777" w:rsidR="00C960CF" w:rsidRDefault="00C960CF" w:rsidP="00C960CF">
      <w:pPr>
        <w:spacing w:line="360" w:lineRule="auto"/>
        <w:ind w:right="-6"/>
        <w:jc w:val="both"/>
        <w:rPr>
          <w:rFonts w:ascii="Palatino Linotype" w:hAnsi="Palatino Linotype"/>
          <w:sz w:val="24"/>
        </w:rPr>
      </w:pPr>
    </w:p>
    <w:p w14:paraId="11B6D05A" w14:textId="77777777"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 </w:t>
      </w:r>
    </w:p>
    <w:p w14:paraId="71FA3C60" w14:textId="5F763F4B"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lastRenderedPageBreak/>
        <w:t>Bajo este contexto, se analizó la resoluci</w:t>
      </w:r>
      <w:r w:rsidR="00C960CF">
        <w:rPr>
          <w:rFonts w:ascii="Palatino Linotype" w:hAnsi="Palatino Linotype"/>
          <w:sz w:val="24"/>
        </w:rPr>
        <w:t xml:space="preserve">ón del recurso de revisión </w:t>
      </w:r>
      <w:r w:rsidR="00F200FA">
        <w:rPr>
          <w:rFonts w:ascii="Palatino Linotype" w:hAnsi="Palatino Linotype"/>
          <w:b/>
          <w:sz w:val="24"/>
        </w:rPr>
        <w:t>0054</w:t>
      </w:r>
      <w:r w:rsidR="00F12CA3">
        <w:rPr>
          <w:rFonts w:ascii="Palatino Linotype" w:hAnsi="Palatino Linotype"/>
          <w:b/>
          <w:sz w:val="24"/>
        </w:rPr>
        <w:t>1</w:t>
      </w:r>
      <w:r w:rsidR="009F5741">
        <w:rPr>
          <w:rFonts w:ascii="Palatino Linotype" w:hAnsi="Palatino Linotype"/>
          <w:b/>
          <w:sz w:val="24"/>
        </w:rPr>
        <w:t>/INFOEM/IP/RR/2022</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E76E13">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198FBD7F" w14:textId="77777777" w:rsidR="00F200FA" w:rsidRDefault="00C960CF" w:rsidP="00E76E13">
      <w:pPr>
        <w:spacing w:line="360" w:lineRule="auto"/>
        <w:ind w:right="139"/>
        <w:jc w:val="both"/>
        <w:rPr>
          <w:rFonts w:ascii="Palatino Linotype" w:hAnsi="Palatino Linotype"/>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 </w:t>
      </w:r>
    </w:p>
    <w:p w14:paraId="63FA15BE" w14:textId="3A6565F6" w:rsidR="00B14A95" w:rsidRDefault="00C960CF" w:rsidP="00E76E13">
      <w:pPr>
        <w:spacing w:line="360" w:lineRule="auto"/>
        <w:ind w:right="139"/>
        <w:jc w:val="both"/>
        <w:rPr>
          <w:rFonts w:ascii="Palatino Linotype" w:hAnsi="Palatino Linotype"/>
          <w:b/>
          <w:sz w:val="24"/>
        </w:rPr>
      </w:pPr>
      <w:bookmarkStart w:id="1" w:name="_GoBack"/>
      <w:bookmarkEnd w:id="1"/>
      <w:r w:rsidRPr="00C960CF">
        <w:rPr>
          <w:rFonts w:ascii="Palatino Linotype" w:hAnsi="Palatino Linotype"/>
          <w:b/>
          <w:sz w:val="24"/>
        </w:rPr>
        <w:lastRenderedPageBreak/>
        <w:t>Esto es, que, a través de la prueba de daño, los sujetos obligados expongan las razones, motivos o circunstancias especiales que los lleven a concluir que la información adquiere el carácter de reservada, y se ajusta a los supuestos previstos en la normatividad como fundamento.</w:t>
      </w:r>
    </w:p>
    <w:p w14:paraId="4EE19757" w14:textId="50DCE6E5" w:rsidR="00E609CB" w:rsidRDefault="00C960CF" w:rsidP="00C960CF">
      <w:pPr>
        <w:spacing w:line="360" w:lineRule="auto"/>
        <w:ind w:right="-6"/>
        <w:jc w:val="both"/>
        <w:rPr>
          <w:rFonts w:ascii="Palatino Linotype" w:hAnsi="Palatino Linotype"/>
          <w:sz w:val="24"/>
        </w:rPr>
      </w:pPr>
      <w:r w:rsidRPr="00C960CF">
        <w:rPr>
          <w:rFonts w:ascii="Palatino Linotype" w:hAnsi="Palatino Linotype"/>
          <w:sz w:val="24"/>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4592C1CC" w:rsidR="00C960CF" w:rsidRPr="00C960CF" w:rsidRDefault="00F200FA" w:rsidP="00C960CF">
      <w:pPr>
        <w:spacing w:line="360" w:lineRule="auto"/>
        <w:ind w:right="-6"/>
        <w:jc w:val="both"/>
        <w:rPr>
          <w:rFonts w:ascii="Palatino Linotype" w:hAnsi="Palatino Linotype"/>
          <w:sz w:val="24"/>
        </w:rPr>
        <w:sectPr w:rsidR="00C960CF" w:rsidRPr="00C960C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3E609061">
                <wp:simplePos x="0" y="0"/>
                <wp:positionH relativeFrom="margin">
                  <wp:posOffset>92075</wp:posOffset>
                </wp:positionH>
                <wp:positionV relativeFrom="paragraph">
                  <wp:posOffset>563879</wp:posOffset>
                </wp:positionV>
                <wp:extent cx="5448300" cy="4314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48300" cy="431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9E87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5pt,44.4pt" to="436.25pt,3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" strokecolor="black [3200]" strokeweight=".5pt">
                <v:stroke joinstyle="miter"/>
                <w10:wrap anchorx="margin"/>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341E5">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341E5">
      <w:rPr>
        <w:rFonts w:ascii="Arial" w:hAnsi="Arial" w:cs="Arial"/>
        <w:b/>
        <w:bCs/>
        <w:noProof/>
        <w:sz w:val="20"/>
        <w:szCs w:val="20"/>
      </w:rPr>
      <w:t>8</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8" name="Imagen 1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5F000F93"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B11619">
      <w:rPr>
        <w:rFonts w:ascii="Palatino Linotype" w:hAnsi="Palatino Linotype" w:cs="Arial"/>
        <w:b/>
        <w:sz w:val="22"/>
        <w:szCs w:val="22"/>
      </w:rPr>
      <w:t>0054</w:t>
    </w:r>
    <w:r w:rsidR="00F12CA3">
      <w:rPr>
        <w:rFonts w:ascii="Palatino Linotype" w:hAnsi="Palatino Linotype" w:cs="Arial"/>
        <w:b/>
        <w:sz w:val="22"/>
        <w:szCs w:val="22"/>
      </w:rPr>
      <w:t>1</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9F5741">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AE21BB"/>
    <w:multiLevelType w:val="hybridMultilevel"/>
    <w:tmpl w:val="65DAEF12"/>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3C1B03"/>
    <w:multiLevelType w:val="multilevel"/>
    <w:tmpl w:val="A57E3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2">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8">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6">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3">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6"/>
  </w:num>
  <w:num w:numId="3">
    <w:abstractNumId w:val="11"/>
  </w:num>
  <w:num w:numId="4">
    <w:abstractNumId w:val="30"/>
  </w:num>
  <w:num w:numId="5">
    <w:abstractNumId w:val="22"/>
  </w:num>
  <w:num w:numId="6">
    <w:abstractNumId w:val="28"/>
  </w:num>
  <w:num w:numId="7">
    <w:abstractNumId w:val="2"/>
  </w:num>
  <w:num w:numId="8">
    <w:abstractNumId w:val="21"/>
  </w:num>
  <w:num w:numId="9">
    <w:abstractNumId w:val="19"/>
  </w:num>
  <w:num w:numId="10">
    <w:abstractNumId w:val="6"/>
  </w:num>
  <w:num w:numId="11">
    <w:abstractNumId w:val="12"/>
  </w:num>
  <w:num w:numId="12">
    <w:abstractNumId w:val="26"/>
  </w:num>
  <w:num w:numId="13">
    <w:abstractNumId w:val="32"/>
  </w:num>
  <w:num w:numId="14">
    <w:abstractNumId w:val="31"/>
  </w:num>
  <w:num w:numId="15">
    <w:abstractNumId w:val="17"/>
  </w:num>
  <w:num w:numId="16">
    <w:abstractNumId w:val="7"/>
  </w:num>
  <w:num w:numId="17">
    <w:abstractNumId w:val="16"/>
  </w:num>
  <w:num w:numId="18">
    <w:abstractNumId w:val="18"/>
  </w:num>
  <w:num w:numId="19">
    <w:abstractNumId w:val="25"/>
  </w:num>
  <w:num w:numId="20">
    <w:abstractNumId w:val="0"/>
  </w:num>
  <w:num w:numId="21">
    <w:abstractNumId w:val="15"/>
  </w:num>
  <w:num w:numId="22">
    <w:abstractNumId w:val="20"/>
  </w:num>
  <w:num w:numId="23">
    <w:abstractNumId w:val="10"/>
  </w:num>
  <w:num w:numId="24">
    <w:abstractNumId w:val="14"/>
  </w:num>
  <w:num w:numId="25">
    <w:abstractNumId w:val="3"/>
  </w:num>
  <w:num w:numId="26">
    <w:abstractNumId w:val="1"/>
  </w:num>
  <w:num w:numId="27">
    <w:abstractNumId w:val="29"/>
  </w:num>
  <w:num w:numId="28">
    <w:abstractNumId w:val="13"/>
  </w:num>
  <w:num w:numId="29">
    <w:abstractNumId w:val="23"/>
  </w:num>
  <w:num w:numId="30">
    <w:abstractNumId w:val="4"/>
  </w:num>
  <w:num w:numId="31">
    <w:abstractNumId w:val="33"/>
  </w:num>
  <w:num w:numId="32">
    <w:abstractNumId w:val="27"/>
  </w:num>
  <w:num w:numId="33">
    <w:abstractNumId w:val="9"/>
  </w:num>
  <w:num w:numId="34">
    <w:abstractNumId w:val="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3698A"/>
    <w:rsid w:val="00340DE3"/>
    <w:rsid w:val="0034288E"/>
    <w:rsid w:val="0034620B"/>
    <w:rsid w:val="00347C52"/>
    <w:rsid w:val="00356493"/>
    <w:rsid w:val="00356585"/>
    <w:rsid w:val="0036408D"/>
    <w:rsid w:val="0036634A"/>
    <w:rsid w:val="00371106"/>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C5F8E"/>
    <w:rsid w:val="004E0033"/>
    <w:rsid w:val="004F52A3"/>
    <w:rsid w:val="00503956"/>
    <w:rsid w:val="00505F5A"/>
    <w:rsid w:val="00521B18"/>
    <w:rsid w:val="005341E5"/>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741"/>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2DEB"/>
    <w:rsid w:val="00B03784"/>
    <w:rsid w:val="00B11619"/>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E4B6D"/>
    <w:rsid w:val="00CF29D2"/>
    <w:rsid w:val="00CF683A"/>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76E13"/>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2CA3"/>
    <w:rsid w:val="00F13DA6"/>
    <w:rsid w:val="00F15B0D"/>
    <w:rsid w:val="00F200FA"/>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2E6EC26-A33D-493B-81A2-C3AB20FF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1680</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2022-04-01T17:53:00Z</cp:lastPrinted>
  <dcterms:created xsi:type="dcterms:W3CDTF">2022-04-01T17:53:00Z</dcterms:created>
  <dcterms:modified xsi:type="dcterms:W3CDTF">2022-04-01T17:53:00Z</dcterms:modified>
</cp:coreProperties>
</file>