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80" w:rsidRDefault="00972038">
      <w:pPr>
        <w:widowControl w:val="0"/>
        <w:pBdr>
          <w:top w:val="nil"/>
          <w:left w:val="nil"/>
          <w:bottom w:val="nil"/>
          <w:right w:val="nil"/>
          <w:between w:val="nil"/>
        </w:pBdr>
        <w:spacing w:after="0" w:line="276" w:lineRule="auto"/>
      </w:pPr>
      <w:r>
        <w:pict w14:anchorId="2377E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216;visibility:hidden">
            <o:lock v:ext="edit" selection="t"/>
          </v:shape>
        </w:pict>
      </w:r>
      <w:r>
        <w:pict w14:anchorId="4AC9E85D">
          <v:shape id="_x0000_s1027" type="#_x0000_t136" style="position:absolute;margin-left:0;margin-top:0;width:50pt;height:50pt;z-index:251658240;visibility:hidden">
            <o:lock v:ext="edit" selection="t"/>
          </v:shape>
        </w:pict>
      </w:r>
      <w:r>
        <w:pict w14:anchorId="4FB5AB16">
          <v:shape id="_x0000_s1026" type="#_x0000_t136" style="position:absolute;margin-left:0;margin-top:0;width:50pt;height:50pt;z-index:251659264;visibility:hidden">
            <o:lock v:ext="edit" selection="t"/>
          </v:shape>
        </w:pict>
      </w:r>
    </w:p>
    <w:p w:rsidR="00B74B80" w:rsidRDefault="00D4372B">
      <w:pPr>
        <w:spacing w:before="240" w:after="240" w:line="360" w:lineRule="auto"/>
        <w:jc w:val="both"/>
        <w:rPr>
          <w:rFonts w:ascii="Palatino Linotype" w:eastAsia="Palatino Linotype" w:hAnsi="Palatino Linotype" w:cs="Palatino Linotype"/>
          <w:b/>
          <w:sz w:val="24"/>
          <w:szCs w:val="24"/>
        </w:rPr>
      </w:pPr>
      <w:bookmarkStart w:id="0" w:name="_GoBack"/>
      <w:bookmarkEnd w:id="0"/>
      <w:r>
        <w:rPr>
          <w:rFonts w:ascii="Palatino Linotype" w:eastAsia="Palatino Linotype" w:hAnsi="Palatino Linotype" w:cs="Palatino Linotype"/>
          <w:b/>
          <w:sz w:val="24"/>
          <w:szCs w:val="24"/>
        </w:rPr>
        <w:t>OPINIÓN PARTICULAR QUE FORMULA LA COMISIONADA GUADALUPE RAMÍREZ PEÑA, EN RELACIÓN CON LA RESOLUCIÓN DICTADA POR EL PLENO DEL INSTITUTO DE TRANSPARENCIA, ACCESO A LA INFORMACIÓN PÚBLICA Y PROTECCIÓN DE DATOS PERSONALES DEL ESTADO DE MÉXICO Y MUNICIPIOS, EN LA TRIGÉSIMA NOVENA SESIÓN ORDINARIA DEL CUATRO DE NOVIEMBRE DE DOS MIL VEINTIDÓS, EN EL RECURSO DE REVISIÓN 12751/INFOEM/IP/RR/2022.</w:t>
      </w:r>
    </w:p>
    <w:p w:rsidR="00B74B80" w:rsidRDefault="00D4372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por mayoría de votos, la resolución relativa al recurso de revisión </w:t>
      </w:r>
      <w:r>
        <w:rPr>
          <w:rFonts w:ascii="Palatino Linotype" w:eastAsia="Palatino Linotype" w:hAnsi="Palatino Linotype" w:cs="Palatino Linotype"/>
          <w:b/>
          <w:sz w:val="24"/>
          <w:szCs w:val="24"/>
        </w:rPr>
        <w:t>12751/INFOEM/IP/RR/2022,</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B74B80" w:rsidRDefault="00D4372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D4372B" w:rsidRDefault="00D4372B">
      <w:pPr>
        <w:spacing w:before="240" w:after="240" w:line="360" w:lineRule="auto"/>
        <w:jc w:val="both"/>
        <w:rPr>
          <w:rFonts w:ascii="Palatino Linotype" w:eastAsia="Palatino Linotype" w:hAnsi="Palatino Linotype" w:cs="Palatino Linotype"/>
          <w:sz w:val="24"/>
          <w:szCs w:val="24"/>
        </w:rPr>
      </w:pPr>
      <w:bookmarkStart w:id="1" w:name="_heading=h.gjdgxs" w:colFirst="0" w:colLast="0"/>
      <w:bookmarkEnd w:id="1"/>
      <w:r>
        <w:rPr>
          <w:rFonts w:ascii="Palatino Linotype" w:eastAsia="Palatino Linotype" w:hAnsi="Palatino Linotype" w:cs="Palatino Linotype"/>
          <w:sz w:val="24"/>
          <w:szCs w:val="24"/>
        </w:rPr>
        <w:lastRenderedPageBreak/>
        <w:t xml:space="preserve">En el caso concreto,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Atizapán de Zaragoza, la siguiente información: </w:t>
      </w:r>
    </w:p>
    <w:p w:rsidR="00D4372B" w:rsidRDefault="00D4372B" w:rsidP="00D4372B">
      <w:pPr>
        <w:tabs>
          <w:tab w:val="left" w:pos="567"/>
        </w:tabs>
        <w:spacing w:after="0" w:line="276" w:lineRule="auto"/>
        <w:ind w:left="567" w:right="990"/>
        <w:contextualSpacing/>
        <w:jc w:val="both"/>
        <w:rPr>
          <w:rFonts w:ascii="Palatino Linotype" w:eastAsia="Times New Roman" w:hAnsi="Palatino Linotype" w:cs="Times New Roman"/>
          <w:i/>
          <w:iCs/>
          <w:color w:val="000000"/>
          <w:szCs w:val="20"/>
          <w:lang w:eastAsia="es-ES"/>
        </w:rPr>
      </w:pPr>
      <w:r w:rsidRPr="00D4372B">
        <w:rPr>
          <w:rFonts w:ascii="Palatino Linotype" w:eastAsia="Times New Roman" w:hAnsi="Palatino Linotype" w:cs="Times New Roman"/>
          <w:i/>
          <w:iCs/>
          <w:color w:val="000000"/>
          <w:szCs w:val="20"/>
          <w:lang w:eastAsia="es-ES"/>
        </w:rPr>
        <w:t>“1.- SE SOLICITA LA NOMINA COMPLETA CON SUELDOS BRUTOS Y NETOS, PRESTACIONES ECONOMICAS, BONOS, DE TODOS LOS SERVIDORES PUBLICOS ACTIVOS DEL MUNICIPIO DE ATIZAPAN DE ZARAGOZA, DEBE DE CONTENER LOS MONTOS PORMENORIZADOS DE TODOS LOS NIVELES POR SERVIDOR PÚBLICO, UBICACIÓN FÍSICA, PRIMAS VACACIONALES Y AGUINALDOS. 2.- CUANTOS CAMIONES AL DÍA ENTRAN AL RELLENO SANITARIO 2.1 CUANTOS TICKETS SE GENERAN 2.2 CUAL ES EL MONTO QUE SE LE PAGA AL RELLENO AL MES POR DESCARGA EFECTUADA, POR TONELADA QUE SE INGRESA AL DÍA 2.3 EL CONTRATO DE RELLENO SANITARIO ACTUALIZADO CON MONTOS Y PORMENORES 3.- SOLICITO COPIA DE LA CERTIFICACIÓN CORRESPONDIENTE DEL TITULAR DE LA DIRECCIÓN DE DESARROLLO ECONÓMICO Y TITULO UNIVERSITARIO CON NUMERO DE CEDULA PROFESIONAL" (Sic)</w:t>
      </w:r>
    </w:p>
    <w:p w:rsidR="00B74B80" w:rsidRDefault="00D4372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Información Mexiquense (SAIMEX), la respuesta medularmente en los siguientes términos: </w:t>
      </w:r>
    </w:p>
    <w:p w:rsidR="00B74B80" w:rsidRDefault="00D4372B">
      <w:pPr>
        <w:numPr>
          <w:ilvl w:val="0"/>
          <w:numId w:val="2"/>
        </w:numPr>
        <w:spacing w:after="0" w:line="276" w:lineRule="auto"/>
        <w:ind w:left="567" w:right="990" w:firstLine="0"/>
        <w:jc w:val="both"/>
        <w:rPr>
          <w:rFonts w:ascii="Palatino Linotype" w:eastAsia="Palatino Linotype" w:hAnsi="Palatino Linotype" w:cs="Palatino Linotype"/>
        </w:rPr>
      </w:pPr>
      <w:r>
        <w:rPr>
          <w:rFonts w:ascii="Palatino Linotype" w:eastAsia="Palatino Linotype" w:hAnsi="Palatino Linotype" w:cs="Palatino Linotype"/>
          <w:b/>
          <w:i/>
        </w:rPr>
        <w:t xml:space="preserve">RESPUESTA A SOL. DE INF. 00355.ATIZARA.IP.2022.pdf: </w:t>
      </w:r>
      <w:r>
        <w:rPr>
          <w:rFonts w:ascii="Palatino Linotype" w:eastAsia="Palatino Linotype" w:hAnsi="Palatino Linotype" w:cs="Palatino Linotype"/>
        </w:rPr>
        <w:t xml:space="preserve"> El archivo contiene un oficio suscrito por el Director de Servicios Públicos en el que manifestó lo siguiente.</w:t>
      </w:r>
    </w:p>
    <w:p w:rsidR="00B74B80" w:rsidRDefault="00B74B80">
      <w:pPr>
        <w:spacing w:after="0" w:line="276" w:lineRule="auto"/>
        <w:ind w:left="567" w:right="990"/>
        <w:jc w:val="both"/>
        <w:rPr>
          <w:rFonts w:ascii="Palatino Linotype" w:eastAsia="Palatino Linotype" w:hAnsi="Palatino Linotype" w:cs="Palatino Linotype"/>
        </w:rPr>
      </w:pPr>
    </w:p>
    <w:p w:rsidR="00B74B80" w:rsidRDefault="00D4372B">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B74B80" w:rsidRDefault="00D4372B">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 que respecta al </w:t>
      </w:r>
      <w:r>
        <w:rPr>
          <w:rFonts w:ascii="Palatino Linotype" w:eastAsia="Palatino Linotype" w:hAnsi="Palatino Linotype" w:cs="Palatino Linotype"/>
          <w:b/>
          <w:i/>
        </w:rPr>
        <w:t xml:space="preserve">punto2.- </w:t>
      </w:r>
      <w:r>
        <w:rPr>
          <w:rFonts w:ascii="Palatino Linotype" w:eastAsia="Palatino Linotype" w:hAnsi="Palatino Linotype" w:cs="Palatino Linotype"/>
          <w:i/>
        </w:rPr>
        <w:t>cuantos camiones al día entran al relleno sanitario, s ele hace de su conocimiento que dependen de la cantidad de basura generada en el municipio, por lo que el promedio diario es de 60 a  80 camiones recolectores que ingresan al relleno sanitario a disponer los residuos sólidos urbanos.</w:t>
      </w:r>
    </w:p>
    <w:p w:rsidR="00B74B80" w:rsidRDefault="00B74B80">
      <w:pPr>
        <w:spacing w:after="0" w:line="276" w:lineRule="auto"/>
        <w:ind w:left="567" w:right="990"/>
        <w:jc w:val="both"/>
        <w:rPr>
          <w:rFonts w:ascii="Palatino Linotype" w:eastAsia="Palatino Linotype" w:hAnsi="Palatino Linotype" w:cs="Palatino Linotype"/>
          <w:i/>
        </w:rPr>
      </w:pPr>
    </w:p>
    <w:p w:rsidR="00B74B80" w:rsidRDefault="00D4372B">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Referente al </w:t>
      </w:r>
      <w:r>
        <w:rPr>
          <w:rFonts w:ascii="Palatino Linotype" w:eastAsia="Palatino Linotype" w:hAnsi="Palatino Linotype" w:cs="Palatino Linotype"/>
          <w:b/>
          <w:i/>
        </w:rPr>
        <w:t xml:space="preserve">punto 2.1 </w:t>
      </w:r>
      <w:r>
        <w:rPr>
          <w:rFonts w:ascii="Palatino Linotype" w:eastAsia="Palatino Linotype" w:hAnsi="Palatino Linotype" w:cs="Palatino Linotype"/>
          <w:i/>
        </w:rPr>
        <w:t>Cuantos Tickets se generan.- me permito hacer de su conocimiento lo siguiente:</w:t>
      </w:r>
    </w:p>
    <w:p w:rsidR="00B74B80" w:rsidRDefault="00B74B80">
      <w:pPr>
        <w:spacing w:after="0" w:line="360" w:lineRule="auto"/>
        <w:ind w:left="567" w:right="539"/>
        <w:jc w:val="both"/>
        <w:rPr>
          <w:rFonts w:ascii="Palatino Linotype" w:eastAsia="Palatino Linotype" w:hAnsi="Palatino Linotype" w:cs="Palatino Linotype"/>
          <w:i/>
          <w:sz w:val="20"/>
          <w:szCs w:val="20"/>
        </w:rPr>
      </w:pP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Al ingresar los camiones recolectores al relleno sanitario, pasan a una báscula para realizar el pesaje, el cual se realiza un reporte mensual de pesaje, por lo tanto no se generan tickets.</w:t>
      </w:r>
    </w:p>
    <w:p w:rsidR="00B74B80" w:rsidRDefault="00B74B80">
      <w:pPr>
        <w:spacing w:after="0" w:line="276" w:lineRule="auto"/>
        <w:ind w:left="567" w:right="539"/>
        <w:jc w:val="both"/>
        <w:rPr>
          <w:rFonts w:ascii="Palatino Linotype" w:eastAsia="Palatino Linotype" w:hAnsi="Palatino Linotype" w:cs="Palatino Linotype"/>
          <w:i/>
        </w:rPr>
      </w:pP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Finalmente en lo referente al </w:t>
      </w:r>
      <w:r>
        <w:rPr>
          <w:rFonts w:ascii="Palatino Linotype" w:eastAsia="Palatino Linotype" w:hAnsi="Palatino Linotype" w:cs="Palatino Linotype"/>
          <w:b/>
          <w:i/>
        </w:rPr>
        <w:t xml:space="preserve">punto 2.2. </w:t>
      </w:r>
      <w:r>
        <w:rPr>
          <w:rFonts w:ascii="Palatino Linotype" w:eastAsia="Palatino Linotype" w:hAnsi="Palatino Linotype" w:cs="Palatino Linotype"/>
          <w:i/>
        </w:rPr>
        <w:t>Cual es el monto que se paga al relleno al mes por descarga efectuada por tonelada que se ingresa al día, en la siguiente tabla se describe los montos:</w:t>
      </w:r>
    </w:p>
    <w:p w:rsidR="00B74B80" w:rsidRDefault="00D4372B">
      <w:pPr>
        <w:spacing w:after="0" w:line="360" w:lineRule="auto"/>
        <w:ind w:left="567" w:right="539"/>
        <w:jc w:val="center"/>
        <w:rPr>
          <w:rFonts w:ascii="Palatino Linotype" w:eastAsia="Palatino Linotype" w:hAnsi="Palatino Linotype" w:cs="Palatino Linotype"/>
          <w:i/>
          <w:sz w:val="20"/>
          <w:szCs w:val="20"/>
        </w:rPr>
      </w:pPr>
      <w:r>
        <w:rPr>
          <w:rFonts w:ascii="Times New Roman" w:eastAsia="Times New Roman" w:hAnsi="Times New Roman" w:cs="Times New Roman"/>
          <w:noProof/>
          <w:sz w:val="20"/>
          <w:szCs w:val="20"/>
        </w:rPr>
        <w:drawing>
          <wp:inline distT="0" distB="0" distL="0" distR="0">
            <wp:extent cx="4841882" cy="934819"/>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8457" t="77256" r="58040" b="11244"/>
                    <a:stretch>
                      <a:fillRect/>
                    </a:stretch>
                  </pic:blipFill>
                  <pic:spPr>
                    <a:xfrm>
                      <a:off x="0" y="0"/>
                      <a:ext cx="4841882" cy="934819"/>
                    </a:xfrm>
                    <a:prstGeom prst="rect">
                      <a:avLst/>
                    </a:prstGeom>
                    <a:ln/>
                  </pic:spPr>
                </pic:pic>
              </a:graphicData>
            </a:graphic>
          </wp:inline>
        </w:drawing>
      </w:r>
    </w:p>
    <w:p w:rsidR="00B74B80" w:rsidRDefault="00D4372B">
      <w:pPr>
        <w:spacing w:after="0" w:line="360" w:lineRule="auto"/>
        <w:ind w:left="567" w:right="539"/>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B74B80" w:rsidRDefault="00B74B80">
      <w:pPr>
        <w:spacing w:after="0" w:line="360" w:lineRule="auto"/>
        <w:jc w:val="both"/>
        <w:rPr>
          <w:rFonts w:ascii="Palatino Linotype" w:eastAsia="Palatino Linotype" w:hAnsi="Palatino Linotype" w:cs="Palatino Linotype"/>
        </w:rPr>
      </w:pPr>
    </w:p>
    <w:p w:rsidR="00B74B80" w:rsidRDefault="00D4372B">
      <w:pPr>
        <w:numPr>
          <w:ilvl w:val="0"/>
          <w:numId w:val="2"/>
        </w:numPr>
        <w:spacing w:after="0" w:line="276" w:lineRule="auto"/>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MEMORANDUM SRH_198.pdf: </w:t>
      </w:r>
      <w:r>
        <w:rPr>
          <w:rFonts w:ascii="Palatino Linotype" w:eastAsia="Palatino Linotype" w:hAnsi="Palatino Linotype" w:cs="Palatino Linotype"/>
        </w:rPr>
        <w:t>El presente archivo contiene un oficio suscrito por la Subdirectora de Recursos Humanos en el que manifestó lo siguiente:</w:t>
      </w:r>
    </w:p>
    <w:p w:rsidR="00B74B80" w:rsidRDefault="00B74B80">
      <w:pPr>
        <w:spacing w:after="0" w:line="276" w:lineRule="auto"/>
        <w:jc w:val="both"/>
        <w:rPr>
          <w:rFonts w:ascii="Palatino Linotype" w:eastAsia="Palatino Linotype" w:hAnsi="Palatino Linotype" w:cs="Palatino Linotype"/>
          <w:b/>
          <w:i/>
        </w:rPr>
      </w:pP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1.- Con fundamento en el artículo 161 de la Ley de Transparencia y Acceso a la Información Pública del Estado de México y Municipios, hago de su conocimiento que la información relativa a la remuneración de los servidores públicos se encuentra para su consulta directa a través del plataforma denominada IPOMEX (…) al corresponder a información pública de oficio contemplada en la Ley en materia, a través de la siguiente liga:</w:t>
      </w:r>
    </w:p>
    <w:p w:rsidR="00B74B80" w:rsidRDefault="00972038">
      <w:pPr>
        <w:spacing w:after="0" w:line="276" w:lineRule="auto"/>
        <w:ind w:left="567" w:right="539"/>
        <w:jc w:val="both"/>
        <w:rPr>
          <w:rFonts w:ascii="Palatino Linotype" w:eastAsia="Palatino Linotype" w:hAnsi="Palatino Linotype" w:cs="Palatino Linotype"/>
          <w:i/>
        </w:rPr>
      </w:pPr>
      <w:hyperlink r:id="rId9">
        <w:r w:rsidR="00D4372B">
          <w:rPr>
            <w:rFonts w:ascii="Times New Roman" w:eastAsia="Times New Roman" w:hAnsi="Times New Roman" w:cs="Times New Roman"/>
            <w:i/>
            <w:color w:val="0563C1"/>
            <w:u w:val="single"/>
          </w:rPr>
          <w:t>https://ipomex.org.mx/ipo3/lgt/indice/ATIZAPANDEZARAGOZA/art_92_viii/4.we</w:t>
        </w:r>
      </w:hyperlink>
      <w:hyperlink r:id="rId10">
        <w:r w:rsidR="00D4372B">
          <w:rPr>
            <w:rFonts w:ascii="Palatino Linotype" w:eastAsia="Palatino Linotype" w:hAnsi="Palatino Linotype" w:cs="Palatino Linotype"/>
            <w:i/>
            <w:color w:val="0563C1"/>
            <w:u w:val="single"/>
          </w:rPr>
          <w:t>b</w:t>
        </w:r>
      </w:hyperlink>
      <w:r w:rsidR="00D4372B">
        <w:rPr>
          <w:rFonts w:ascii="Palatino Linotype" w:eastAsia="Palatino Linotype" w:hAnsi="Palatino Linotype" w:cs="Palatino Linotype"/>
          <w:i/>
        </w:rPr>
        <w:t xml:space="preserve"> </w:t>
      </w:r>
    </w:p>
    <w:p w:rsidR="00B74B80" w:rsidRDefault="00B74B80">
      <w:pPr>
        <w:spacing w:after="0" w:line="276" w:lineRule="auto"/>
        <w:ind w:left="567" w:right="539"/>
        <w:jc w:val="both"/>
        <w:rPr>
          <w:rFonts w:ascii="Palatino Linotype" w:eastAsia="Palatino Linotype" w:hAnsi="Palatino Linotype" w:cs="Palatino Linotype"/>
          <w:i/>
        </w:rPr>
      </w:pP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Así mismo le informo que se verificó que la información se encuentre disponible anexando evidencia de mediante captura de pantalla, demostrando que el link dirige directamente a la información solicitada, facilitando y cumpliendo con la entrega de la información.</w:t>
      </w:r>
    </w:p>
    <w:p w:rsidR="00B74B80" w:rsidRDefault="00B74B80">
      <w:pPr>
        <w:spacing w:after="0" w:line="360" w:lineRule="auto"/>
        <w:ind w:left="567" w:right="539"/>
        <w:jc w:val="both"/>
        <w:rPr>
          <w:rFonts w:ascii="Palatino Linotype" w:eastAsia="Palatino Linotype" w:hAnsi="Palatino Linotype" w:cs="Palatino Linotype"/>
          <w:i/>
          <w:sz w:val="20"/>
          <w:szCs w:val="20"/>
        </w:rPr>
      </w:pP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3. Respecto a la información relativa al certificado de competencia laboral, de conformidad con el artículo 96 Quintus de la Ley Orgánica Municipal del Estado de México, la C. Patricia Alonso Vargas quien funge como Directora de Desarrollo Económico cuenta con seis meses contados a partir de la fecha de inicio de funciones para presentar dicho certificado la cual fue el primero de enero del año en curso, así mismo se anexa el comprobante de estudios versión pública que obra en nuestros expedientes, mediante el cual se acredita el último grados de estudios.</w:t>
      </w:r>
    </w:p>
    <w:p w:rsidR="00B74B80" w:rsidRDefault="00D4372B">
      <w:pPr>
        <w:spacing w:after="0" w:line="276" w:lineRule="auto"/>
        <w:ind w:left="567" w:right="539"/>
        <w:jc w:val="both"/>
        <w:rPr>
          <w:rFonts w:ascii="Palatino Linotype" w:eastAsia="Palatino Linotype" w:hAnsi="Palatino Linotype" w:cs="Palatino Linotype"/>
        </w:rPr>
      </w:pPr>
      <w:r>
        <w:rPr>
          <w:rFonts w:ascii="Palatino Linotype" w:eastAsia="Palatino Linotype" w:hAnsi="Palatino Linotype" w:cs="Palatino Linotype"/>
        </w:rPr>
        <w:t>…”</w:t>
      </w:r>
    </w:p>
    <w:p w:rsidR="00B74B80" w:rsidRDefault="00D4372B">
      <w:pPr>
        <w:spacing w:after="0" w:line="276"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 </w:t>
      </w:r>
    </w:p>
    <w:p w:rsidR="00B74B80" w:rsidRDefault="00D4372B">
      <w:pPr>
        <w:numPr>
          <w:ilvl w:val="0"/>
          <w:numId w:val="2"/>
        </w:numPr>
        <w:spacing w:after="0" w:line="276" w:lineRule="auto"/>
        <w:jc w:val="both"/>
        <w:rPr>
          <w:rFonts w:ascii="Palatino Linotype" w:eastAsia="Palatino Linotype" w:hAnsi="Palatino Linotype" w:cs="Palatino Linotype"/>
          <w:i/>
        </w:rPr>
      </w:pPr>
      <w:r>
        <w:rPr>
          <w:rFonts w:ascii="Palatino Linotype" w:eastAsia="Palatino Linotype" w:hAnsi="Palatino Linotype" w:cs="Palatino Linotype"/>
          <w:b/>
          <w:i/>
        </w:rPr>
        <w:t xml:space="preserve">00355_ATIZARA_IP_2022 REMUNERACIÓN.pdf: </w:t>
      </w:r>
      <w:r>
        <w:rPr>
          <w:rFonts w:ascii="Palatino Linotype" w:eastAsia="Palatino Linotype" w:hAnsi="Palatino Linotype" w:cs="Palatino Linotype"/>
          <w:i/>
        </w:rPr>
        <w:t>Corresponde a un documento que contiene varias capturas de pantalla del Portal de Información Pública de Oficio Mexiquense (IPOMEX) correspondiente a la fracción de Remuneraciones.</w:t>
      </w:r>
    </w:p>
    <w:p w:rsidR="00B74B80" w:rsidRDefault="00B74B80">
      <w:pPr>
        <w:spacing w:after="0" w:line="276" w:lineRule="auto"/>
        <w:ind w:left="720"/>
        <w:jc w:val="both"/>
        <w:rPr>
          <w:rFonts w:ascii="Palatino Linotype" w:eastAsia="Palatino Linotype" w:hAnsi="Palatino Linotype" w:cs="Palatino Linotype"/>
          <w:i/>
        </w:rPr>
      </w:pPr>
    </w:p>
    <w:p w:rsidR="00B74B80" w:rsidRDefault="00D4372B">
      <w:pPr>
        <w:numPr>
          <w:ilvl w:val="0"/>
          <w:numId w:val="2"/>
        </w:numPr>
        <w:spacing w:after="0" w:line="276" w:lineRule="auto"/>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00355_ATIZARA_IP_2022 COMPROBANTE DE ESTUDIOS.pdf: </w:t>
      </w:r>
      <w:r>
        <w:rPr>
          <w:rFonts w:ascii="Palatino Linotype" w:eastAsia="Palatino Linotype" w:hAnsi="Palatino Linotype" w:cs="Palatino Linotype"/>
          <w:i/>
        </w:rPr>
        <w:t>El archivo contiene una constancia de término de la servidora pública que funge como Directora de Desarrollo Económico.</w:t>
      </w:r>
    </w:p>
    <w:p w:rsidR="00B74B80" w:rsidRDefault="00B74B80">
      <w:pPr>
        <w:spacing w:after="0" w:line="276" w:lineRule="auto"/>
        <w:ind w:left="720"/>
        <w:jc w:val="both"/>
        <w:rPr>
          <w:rFonts w:ascii="Palatino Linotype" w:eastAsia="Palatino Linotype" w:hAnsi="Palatino Linotype" w:cs="Palatino Linotype"/>
          <w:i/>
        </w:rPr>
      </w:pPr>
    </w:p>
    <w:p w:rsidR="00B74B80" w:rsidRDefault="00D4372B">
      <w:pPr>
        <w:numPr>
          <w:ilvl w:val="0"/>
          <w:numId w:val="2"/>
        </w:numPr>
        <w:spacing w:after="0" w:line="276" w:lineRule="auto"/>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MEMORANDUM SRM_119.pdf: </w:t>
      </w:r>
      <w:r>
        <w:rPr>
          <w:rFonts w:ascii="Palatino Linotype" w:eastAsia="Palatino Linotype" w:hAnsi="Palatino Linotype" w:cs="Palatino Linotype"/>
          <w:i/>
        </w:rPr>
        <w:t>El archivo corresponde a un oficio suscrito por la subdirectora de Recursos Materiales en el que en su parte medular señaló lo siguiente:</w:t>
      </w:r>
    </w:p>
    <w:p w:rsidR="00B74B80" w:rsidRDefault="00B74B80">
      <w:pPr>
        <w:spacing w:after="0" w:line="276" w:lineRule="auto"/>
        <w:ind w:left="720"/>
        <w:rPr>
          <w:rFonts w:ascii="Palatino Linotype" w:eastAsia="Palatino Linotype" w:hAnsi="Palatino Linotype" w:cs="Palatino Linotype"/>
          <w:b/>
          <w:i/>
        </w:rPr>
      </w:pP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Respecto al contrato de relleno sanitario, le informo que no se ha  generado información que coincida con lo solicitado, sin embargo, contamos con un contrato referente a la disposición final de desechos sólidos, mismo que se adjunta al presente para mayor proveer, esperando que le sea de utilidad.</w:t>
      </w:r>
    </w:p>
    <w:p w:rsidR="00B74B80" w:rsidRDefault="00D4372B">
      <w:pPr>
        <w:spacing w:after="0" w:line="276"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B74B80" w:rsidRDefault="00B74B80">
      <w:pPr>
        <w:spacing w:after="0" w:line="360" w:lineRule="auto"/>
        <w:jc w:val="both"/>
        <w:rPr>
          <w:rFonts w:ascii="Palatino Linotype" w:eastAsia="Palatino Linotype" w:hAnsi="Palatino Linotype" w:cs="Palatino Linotype"/>
        </w:rPr>
      </w:pPr>
    </w:p>
    <w:p w:rsidR="00B74B80" w:rsidRDefault="00D4372B">
      <w:pPr>
        <w:numPr>
          <w:ilvl w:val="0"/>
          <w:numId w:val="2"/>
        </w:numPr>
        <w:spacing w:after="0" w:line="276" w:lineRule="auto"/>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 xml:space="preserve">00355_ATIZARA_IP_2022 CONTRATO.pdf: </w:t>
      </w:r>
      <w:r>
        <w:rPr>
          <w:rFonts w:ascii="Palatino Linotype" w:eastAsia="Palatino Linotype" w:hAnsi="Palatino Linotype" w:cs="Palatino Linotype"/>
        </w:rPr>
        <w:t>El archivo contiene el Contrato abierto de prestación de servicios para la disposición final de los desechos sólidos, celebrado el siete de enero de dos mil veintidós.</w:t>
      </w:r>
    </w:p>
    <w:p w:rsidR="00B74B80" w:rsidRDefault="00D4372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admitido el presente recurso de revisión, en términos del artículo 185 fracción II</w:t>
      </w:r>
      <w:r>
        <w:rPr>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sin embargo, las partes fueron omisas en remitir información alguna.</w:t>
      </w:r>
    </w:p>
    <w:p w:rsidR="00B74B80" w:rsidRDefault="00D4372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la Ponencia que resolvió determinó que las razones y/o motivos de inconformidad del particular son fundados y procedió a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B74B80" w:rsidRDefault="00B74B80">
      <w:pPr>
        <w:spacing w:after="0" w:line="276" w:lineRule="auto"/>
        <w:ind w:left="567" w:right="990"/>
        <w:jc w:val="both"/>
        <w:rPr>
          <w:rFonts w:ascii="Palatino Linotype" w:eastAsia="Palatino Linotype" w:hAnsi="Palatino Linotype" w:cs="Palatino Linotype"/>
          <w:b/>
          <w:i/>
        </w:rPr>
      </w:pPr>
    </w:p>
    <w:p w:rsidR="00B74B80" w:rsidRDefault="00D4372B">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 xml:space="preserve">al </w:t>
      </w:r>
      <w:r>
        <w:rPr>
          <w:rFonts w:ascii="Palatino Linotype" w:eastAsia="Palatino Linotype" w:hAnsi="Palatino Linotype" w:cs="Palatino Linotype"/>
          <w:b/>
          <w:i/>
        </w:rPr>
        <w:t>Ayuntamiento de Atizapán de Zaragoza</w:t>
      </w:r>
      <w:r>
        <w:rPr>
          <w:rFonts w:ascii="Palatino Linotype" w:eastAsia="Palatino Linotype" w:hAnsi="Palatino Linotype" w:cs="Palatino Linotype"/>
          <w:i/>
        </w:rPr>
        <w:t>, a efecto de que, previa búsqueda exhaustiva y razonable en los archivos de sus áreas competentes, remita, a través del Sistema de Acceso a la Información Mexiquense (SAIMEX) y por el correo electrónico señalado en el Recurso de Revisión, de ser procedente en versión pública los documentos en los que obre, lo siguiente:</w:t>
      </w:r>
    </w:p>
    <w:p w:rsidR="00B74B80" w:rsidRDefault="00B74B80">
      <w:pPr>
        <w:spacing w:after="0" w:line="276" w:lineRule="auto"/>
        <w:ind w:left="567" w:right="706"/>
        <w:jc w:val="both"/>
        <w:rPr>
          <w:rFonts w:ascii="Palatino Linotype" w:eastAsia="Palatino Linotype" w:hAnsi="Palatino Linotype" w:cs="Palatino Linotype"/>
          <w:i/>
        </w:rPr>
      </w:pPr>
    </w:p>
    <w:p w:rsidR="00B74B80" w:rsidRDefault="00D4372B">
      <w:pPr>
        <w:numPr>
          <w:ilvl w:val="0"/>
          <w:numId w:val="1"/>
        </w:numPr>
        <w:spacing w:after="0" w:line="276" w:lineRule="auto"/>
        <w:ind w:right="706"/>
        <w:jc w:val="both"/>
        <w:rPr>
          <w:rFonts w:ascii="Palatino Linotype" w:eastAsia="Palatino Linotype" w:hAnsi="Palatino Linotype" w:cs="Palatino Linotype"/>
          <w:i/>
        </w:rPr>
      </w:pPr>
      <w:r>
        <w:rPr>
          <w:rFonts w:ascii="Palatino Linotype" w:eastAsia="Palatino Linotype" w:hAnsi="Palatino Linotype" w:cs="Palatino Linotype"/>
          <w:i/>
        </w:rPr>
        <w:t>Los sueldos brutos, netos, prestaciones económicas, bonos, de todos los servidores públicos adscritos al Sujeto Obligado, correspondientes a la primera y segunda quincena de mayo de dos mil veintidós.</w:t>
      </w:r>
    </w:p>
    <w:p w:rsidR="00B74B80" w:rsidRDefault="00D4372B">
      <w:pPr>
        <w:numPr>
          <w:ilvl w:val="0"/>
          <w:numId w:val="1"/>
        </w:numPr>
        <w:spacing w:after="0" w:line="276" w:lineRule="auto"/>
        <w:ind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 prima vacacional y aguinaldo otorgados del primero de enero al veinte de junio de dos mil veintidós.</w:t>
      </w:r>
    </w:p>
    <w:p w:rsidR="00B74B80" w:rsidRDefault="00D4372B">
      <w:pPr>
        <w:numPr>
          <w:ilvl w:val="0"/>
          <w:numId w:val="1"/>
        </w:numPr>
        <w:spacing w:after="0" w:line="276" w:lineRule="auto"/>
        <w:ind w:right="706"/>
        <w:jc w:val="both"/>
        <w:rPr>
          <w:rFonts w:ascii="Palatino Linotype" w:eastAsia="Palatino Linotype" w:hAnsi="Palatino Linotype" w:cs="Palatino Linotype"/>
          <w:i/>
        </w:rPr>
      </w:pPr>
      <w:r>
        <w:rPr>
          <w:rFonts w:ascii="Palatino Linotype" w:eastAsia="Palatino Linotype" w:hAnsi="Palatino Linotype" w:cs="Palatino Linotype"/>
          <w:i/>
        </w:rPr>
        <w:t>La ubicación de los domicilios donde los servidores públicos del Ayuntamiento realizan sus funciones.</w:t>
      </w:r>
    </w:p>
    <w:p w:rsidR="00B74B80" w:rsidRDefault="00B74B80">
      <w:pPr>
        <w:spacing w:after="0" w:line="276" w:lineRule="auto"/>
        <w:ind w:left="567" w:right="706"/>
        <w:jc w:val="both"/>
        <w:rPr>
          <w:rFonts w:ascii="Palatino Linotype" w:eastAsia="Palatino Linotype" w:hAnsi="Palatino Linotype" w:cs="Palatino Linotype"/>
          <w:i/>
        </w:rPr>
      </w:pPr>
    </w:p>
    <w:p w:rsidR="00B74B80" w:rsidRDefault="00D4372B">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 “(Sic) </w:t>
      </w:r>
    </w:p>
    <w:p w:rsidR="00B74B80" w:rsidRDefault="00B74B80">
      <w:pPr>
        <w:spacing w:after="0" w:line="360" w:lineRule="auto"/>
        <w:jc w:val="both"/>
        <w:rPr>
          <w:rFonts w:ascii="Palatino Linotype" w:eastAsia="Palatino Linotype" w:hAnsi="Palatino Linotype" w:cs="Palatino Linotype"/>
          <w:sz w:val="23"/>
          <w:szCs w:val="23"/>
        </w:rPr>
      </w:pPr>
    </w:p>
    <w:p w:rsidR="00B74B80" w:rsidRDefault="00D4372B">
      <w:pPr>
        <w:spacing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t xml:space="preserve">En ese sentido debe mencionarse que, toda vez que se determinó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una </w:t>
      </w:r>
      <w:r>
        <w:rPr>
          <w:rFonts w:ascii="Palatino Linotype" w:eastAsia="Palatino Linotype" w:hAnsi="Palatino Linotype" w:cs="Palatino Linotype"/>
          <w:b/>
          <w:sz w:val="24"/>
          <w:szCs w:val="24"/>
        </w:rPr>
        <w:t>Dirección de Seguridad Pública y Tránsito Municipal</w:t>
      </w:r>
      <w:r>
        <w:rPr>
          <w:rFonts w:ascii="Palatino Linotype" w:eastAsia="Palatino Linotype" w:hAnsi="Palatino Linotype" w:cs="Palatino Linotype"/>
          <w:sz w:val="24"/>
          <w:szCs w:val="24"/>
        </w:rPr>
        <w:t xml:space="preserve">, encargada de salvaguardar y garantizar el orden público y la paz social, así como de  la prevención, combate y persecución de delitos, por lo que </w:t>
      </w:r>
      <w:r>
        <w:rPr>
          <w:rFonts w:ascii="Palatino Linotype" w:eastAsia="Palatino Linotype" w:hAnsi="Palatino Linotype" w:cs="Palatino Linotype"/>
          <w:b/>
          <w:sz w:val="24"/>
          <w:szCs w:val="24"/>
        </w:rPr>
        <w:t>para este Instituto resulta pertinente la reserva del nombre de los elementos operativos de la Dirección de Seguridad Pública</w:t>
      </w:r>
      <w:r>
        <w:rPr>
          <w:rFonts w:ascii="Palatino Linotype" w:eastAsia="Palatino Linotype" w:hAnsi="Palatino Linotype" w:cs="Palatino Linotype"/>
          <w:sz w:val="24"/>
          <w:szCs w:val="24"/>
        </w:rPr>
        <w:t xml:space="preserve">, 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w:t>
      </w:r>
      <w:r>
        <w:rPr>
          <w:rFonts w:ascii="Palatino Linotype" w:eastAsia="Palatino Linotype" w:hAnsi="Palatino Linotype" w:cs="Palatino Linotype"/>
          <w:sz w:val="24"/>
          <w:szCs w:val="24"/>
        </w:rPr>
        <w:lastRenderedPageBreak/>
        <w:t xml:space="preserve">México y Municipios y los Lineamientos Generales en Materia de Clasificación y Desclasificación de la Información, así como para la elaboración de Versiones Públicas. </w:t>
      </w:r>
    </w:p>
    <w:p w:rsidR="00B74B80" w:rsidRDefault="00D4372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B74B80" w:rsidRDefault="00D4372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B74B80" w:rsidRDefault="00D4372B">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B74B80" w:rsidRDefault="00D4372B">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 Se deberá citar la fracción y, en su caso, la causal aplicable del artículo 113 de la Ley General, vinculándola con el Lineamiento especifico del presente ordenamiento </w:t>
      </w:r>
      <w:r>
        <w:rPr>
          <w:rFonts w:ascii="Palatino Linotype" w:eastAsia="Palatino Linotype" w:hAnsi="Palatino Linotype" w:cs="Palatino Linotype"/>
          <w:i/>
          <w:color w:val="000000"/>
        </w:rPr>
        <w:lastRenderedPageBreak/>
        <w:t>y, cuando corresponda, el supuesto normativo que expresamente le otorga el carácter de información reservada;</w:t>
      </w:r>
    </w:p>
    <w:p w:rsidR="00B74B80" w:rsidRDefault="00D4372B">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B74B80" w:rsidRDefault="00D4372B">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rsidR="00B74B80" w:rsidRDefault="00D4372B">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rsidR="00B74B80" w:rsidRDefault="00D4372B">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rsidR="00B74B80" w:rsidRDefault="00D4372B">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B74B80" w:rsidRDefault="00B74B80">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B74B80" w:rsidRDefault="00D4372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rsidR="00B74B80" w:rsidRDefault="00D4372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12751/INFOEM/IP/RR/2022</w:t>
      </w:r>
      <w:r>
        <w:rPr>
          <w:rFonts w:ascii="Palatino Linotype" w:eastAsia="Palatino Linotype" w:hAnsi="Palatino Linotype" w:cs="Palatino Linotype"/>
          <w:sz w:val="24"/>
          <w:szCs w:val="24"/>
        </w:rPr>
        <w:t xml:space="preserve">, en la cual, el Comisionado Ponente, desarrolla la prueba </w:t>
      </w:r>
      <w:r>
        <w:rPr>
          <w:rFonts w:ascii="Palatino Linotype" w:eastAsia="Palatino Linotype" w:hAnsi="Palatino Linotype" w:cs="Palatino Linotype"/>
          <w:sz w:val="24"/>
          <w:szCs w:val="24"/>
        </w:rPr>
        <w:lastRenderedPageBreak/>
        <w:t xml:space="preserve">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B74B80" w:rsidRDefault="00D4372B">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rsidR="00B74B80" w:rsidRDefault="00B74B80">
      <w:pPr>
        <w:jc w:val="both"/>
        <w:rPr>
          <w:rFonts w:ascii="Palatino Linotype" w:eastAsia="Palatino Linotype" w:hAnsi="Palatino Linotype" w:cs="Palatino Linotype"/>
        </w:rPr>
      </w:pPr>
    </w:p>
    <w:p w:rsidR="00B74B80" w:rsidRDefault="00D4372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B74B80" w:rsidRDefault="00D4372B">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w:t>
      </w:r>
      <w:r>
        <w:rPr>
          <w:rFonts w:ascii="Palatino Linotype" w:eastAsia="Palatino Linotype" w:hAnsi="Palatino Linotype" w:cs="Palatino Linotype"/>
          <w:b/>
          <w:sz w:val="24"/>
          <w:szCs w:val="24"/>
        </w:rPr>
        <w:lastRenderedPageBreak/>
        <w:t xml:space="preserve">información adquiere el carácter de reservada, y se ajusta a los supuestos previstos en la normatividad como fundamento. </w:t>
      </w:r>
    </w:p>
    <w:p w:rsidR="00B74B80" w:rsidRDefault="00D4372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bookmarkStart w:id="3" w:name="_heading=h.30j0zll" w:colFirst="0" w:colLast="0"/>
    <w:bookmarkEnd w:id="3"/>
    <w:p w:rsidR="00B74B80" w:rsidRDefault="00D4372B">
      <w:pPr>
        <w:spacing w:before="240" w:after="240" w:line="360" w:lineRule="auto"/>
        <w:jc w:val="both"/>
        <w:rPr>
          <w:rFonts w:ascii="Palatino Linotype" w:eastAsia="Palatino Linotype" w:hAnsi="Palatino Linotype" w:cs="Palatino Linotype"/>
          <w:sz w:val="24"/>
          <w:szCs w:val="24"/>
        </w:rPr>
        <w:sectPr w:rsidR="00B74B80">
          <w:headerReference w:type="even" r:id="rId11"/>
          <w:headerReference w:type="default" r:id="rId12"/>
          <w:footerReference w:type="default" r:id="rId13"/>
          <w:headerReference w:type="first" r:id="rId14"/>
          <w:pgSz w:w="12240" w:h="15840"/>
          <w:pgMar w:top="1983" w:right="1327" w:bottom="2836" w:left="1985" w:header="709" w:footer="586" w:gutter="0"/>
          <w:pgNumType w:start="1"/>
          <w:cols w:space="720"/>
        </w:sectPr>
      </w:pPr>
      <w:r>
        <w:rPr>
          <w:noProof/>
        </w:rPr>
        <mc:AlternateContent>
          <mc:Choice Requires="wps">
            <w:drawing>
              <wp:anchor distT="0" distB="0" distL="114300" distR="114300" simplePos="0" relativeHeight="251656192" behindDoc="0" locked="0" layoutInCell="1" hidden="0" allowOverlap="1">
                <wp:simplePos x="0" y="0"/>
                <wp:positionH relativeFrom="column">
                  <wp:posOffset>53975</wp:posOffset>
                </wp:positionH>
                <wp:positionV relativeFrom="paragraph">
                  <wp:posOffset>582930</wp:posOffset>
                </wp:positionV>
                <wp:extent cx="5353050" cy="4953000"/>
                <wp:effectExtent l="0" t="0" r="19050" b="19050"/>
                <wp:wrapNone/>
                <wp:docPr id="5" name=""/>
                <wp:cNvGraphicFramePr/>
                <a:graphic xmlns:a="http://schemas.openxmlformats.org/drawingml/2006/main">
                  <a:graphicData uri="http://schemas.microsoft.com/office/word/2010/wordprocessingShape">
                    <wps:wsp>
                      <wps:cNvCnPr/>
                      <wps:spPr>
                        <a:xfrm>
                          <a:off x="0" y="0"/>
                          <a:ext cx="5353050" cy="4953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417C2FC" id="_x0000_t32" coordsize="21600,21600" o:spt="32" o:oned="t" path="m,l21600,21600e" filled="f">
                <v:path arrowok="t" fillok="f" o:connecttype="none"/>
                <o:lock v:ext="edit" shapetype="t"/>
              </v:shapetype>
              <v:shape id="Conector recto de flecha 5" o:spid="_x0000_s1026" type="#_x0000_t32" style="position:absolute;margin-left:4.25pt;margin-top:45.9pt;width:421.5pt;height:3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" strokecolor="black [3200]">
                <v:stroke startarrowwidth="narrow" startarrowlength="short" endarrowwidth="narrow" endarrowlength="short" joinstyle="miter"/>
              </v:shape>
            </w:pict>
          </mc:Fallback>
        </mc:AlternateContent>
      </w:r>
      <w:r>
        <w:rPr>
          <w:rFonts w:ascii="Palatino Linotype" w:eastAsia="Palatino Linotype" w:hAnsi="Palatino Linotype" w:cs="Palatino Linotype"/>
          <w:sz w:val="24"/>
          <w:szCs w:val="24"/>
        </w:rPr>
        <w:t xml:space="preserve">Lo expuesto, constituyen las razones y fundamentos que me llevan a emitir la opinión particular que se ha expresado. </w:t>
      </w:r>
    </w:p>
    <w:p w:rsidR="00B74B80" w:rsidRDefault="00B74B80">
      <w:pPr>
        <w:spacing w:before="240" w:after="240" w:line="360" w:lineRule="auto"/>
        <w:jc w:val="both"/>
        <w:rPr>
          <w:rFonts w:ascii="Palatino Linotype" w:eastAsia="Palatino Linotype" w:hAnsi="Palatino Linotype" w:cs="Palatino Linotype"/>
          <w:sz w:val="23"/>
          <w:szCs w:val="23"/>
        </w:rPr>
      </w:pPr>
    </w:p>
    <w:p w:rsidR="00B74B80" w:rsidRDefault="00B74B80">
      <w:pPr>
        <w:spacing w:before="240" w:after="240" w:line="360" w:lineRule="auto"/>
        <w:jc w:val="center"/>
        <w:rPr>
          <w:rFonts w:ascii="Palatino Linotype" w:eastAsia="Palatino Linotype" w:hAnsi="Palatino Linotype" w:cs="Palatino Linotype"/>
          <w:b/>
          <w:sz w:val="23"/>
          <w:szCs w:val="23"/>
        </w:rPr>
      </w:pPr>
    </w:p>
    <w:p w:rsidR="00B74B80" w:rsidRDefault="00B74B80">
      <w:pPr>
        <w:spacing w:after="0" w:line="240" w:lineRule="auto"/>
        <w:jc w:val="center"/>
        <w:rPr>
          <w:rFonts w:ascii="Palatino Linotype" w:eastAsia="Palatino Linotype" w:hAnsi="Palatino Linotype" w:cs="Palatino Linotype"/>
          <w:sz w:val="23"/>
          <w:szCs w:val="23"/>
        </w:rPr>
      </w:pPr>
    </w:p>
    <w:p w:rsidR="00B74B80" w:rsidRDefault="00B74B80">
      <w:pPr>
        <w:spacing w:before="240" w:after="240" w:line="360" w:lineRule="auto"/>
        <w:rPr>
          <w:rFonts w:ascii="Palatino Linotype" w:eastAsia="Palatino Linotype" w:hAnsi="Palatino Linotype" w:cs="Palatino Linotype"/>
          <w:sz w:val="24"/>
          <w:szCs w:val="24"/>
        </w:rPr>
      </w:pPr>
    </w:p>
    <w:p w:rsidR="00B74B80" w:rsidRDefault="00B74B80">
      <w:pPr>
        <w:rPr>
          <w:rFonts w:ascii="Palatino Linotype" w:eastAsia="Palatino Linotype" w:hAnsi="Palatino Linotype" w:cs="Palatino Linotype"/>
        </w:rPr>
      </w:pPr>
    </w:p>
    <w:p w:rsidR="00B74B80" w:rsidRDefault="00B74B80">
      <w:pPr>
        <w:rPr>
          <w:rFonts w:ascii="Palatino Linotype" w:eastAsia="Palatino Linotype" w:hAnsi="Palatino Linotype" w:cs="Palatino Linotype"/>
        </w:rPr>
      </w:pPr>
    </w:p>
    <w:p w:rsidR="00B74B80" w:rsidRDefault="00B74B80">
      <w:pPr>
        <w:rPr>
          <w:rFonts w:ascii="Palatino Linotype" w:eastAsia="Palatino Linotype" w:hAnsi="Palatino Linotype" w:cs="Palatino Linotype"/>
        </w:rPr>
      </w:pPr>
    </w:p>
    <w:sectPr w:rsidR="00B74B80">
      <w:headerReference w:type="default" r:id="rId15"/>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46" w:rsidRDefault="00D4372B">
      <w:pPr>
        <w:spacing w:after="0" w:line="240" w:lineRule="auto"/>
      </w:pPr>
      <w:r>
        <w:separator/>
      </w:r>
    </w:p>
  </w:endnote>
  <w:endnote w:type="continuationSeparator" w:id="0">
    <w:p w:rsidR="00C92346" w:rsidRDefault="00D4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80" w:rsidRDefault="00D4372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2038">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2038">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rsidR="00B74B80" w:rsidRDefault="00B74B8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46" w:rsidRDefault="00D4372B">
      <w:pPr>
        <w:spacing w:after="0" w:line="240" w:lineRule="auto"/>
      </w:pPr>
      <w:r>
        <w:separator/>
      </w:r>
    </w:p>
  </w:footnote>
  <w:footnote w:type="continuationSeparator" w:id="0">
    <w:p w:rsidR="00C92346" w:rsidRDefault="00D4372B">
      <w:pPr>
        <w:spacing w:after="0" w:line="240" w:lineRule="auto"/>
      </w:pPr>
      <w:r>
        <w:continuationSeparator/>
      </w:r>
    </w:p>
  </w:footnote>
  <w:footnote w:id="1">
    <w:p w:rsidR="00B74B80" w:rsidRDefault="00D4372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74B80" w:rsidRDefault="00D4372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80" w:rsidRDefault="0097203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v:shape id="PowerPlusWaterMarkObject2" o:spid="_x0000_s2049" type="#_x0000_m2052" style="position:absolute;margin-left:0;margin-top:0;width:518.25pt;height:111.05pt;rotation:315;z-index:-251656192;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r w:rsidR="00D4372B">
      <w:rPr>
        <w:rFonts w:ascii="Times New Roman" w:eastAsia="Times New Roman" w:hAnsi="Times New Roman" w:cs="Times New Roman"/>
        <w:noProof/>
        <w:color w:val="000000"/>
        <w:sz w:val="24"/>
        <w:szCs w:val="24"/>
      </w:rPr>
      <mc:AlternateContent>
        <mc:Choice Requires="wpg">
          <w:drawing>
            <wp:anchor distT="0" distB="0" distL="0" distR="0" simplePos="0" relativeHeight="251656192" behindDoc="1" locked="0" layoutInCell="1" hidden="0" allowOverlap="1">
              <wp:simplePos x="0" y="0"/>
              <wp:positionH relativeFrom="margin">
                <wp:align>center</wp:align>
              </wp:positionH>
              <wp:positionV relativeFrom="margin">
                <wp:align>center</wp:align>
              </wp:positionV>
              <wp:extent cx="7511550" cy="7511550"/>
              <wp:effectExtent l="0" t="0" r="0" b="0"/>
              <wp:wrapNone/>
              <wp:docPr id="6"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B74B80" w:rsidRDefault="00D4372B">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80" w:rsidRDefault="00D4372B">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5168" behindDoc="1" locked="0" layoutInCell="1" hidden="0" allowOverlap="1">
          <wp:simplePos x="0" y="0"/>
          <wp:positionH relativeFrom="column">
            <wp:posOffset>-1114012</wp:posOffset>
          </wp:positionH>
          <wp:positionV relativeFrom="paragraph">
            <wp:posOffset>-449578</wp:posOffset>
          </wp:positionV>
          <wp:extent cx="7510628" cy="988377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B74B80" w:rsidRDefault="00D4372B">
    <w:pPr>
      <w:pBdr>
        <w:top w:val="nil"/>
        <w:left w:val="nil"/>
        <w:bottom w:val="nil"/>
        <w:right w:val="nil"/>
        <w:between w:val="nil"/>
      </w:pBdr>
      <w:tabs>
        <w:tab w:val="center" w:pos="4419"/>
        <w:tab w:val="right" w:pos="8838"/>
        <w:tab w:val="left" w:pos="5685"/>
        <w:tab w:val="right" w:pos="8928"/>
      </w:tabs>
      <w:spacing w:after="0" w:line="240" w:lineRule="auto"/>
      <w:ind w:left="4419"/>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 xml:space="preserve">OPINIÓN PARTICULAR </w:t>
    </w:r>
  </w:p>
  <w:p w:rsidR="00B74B80" w:rsidRDefault="00D4372B">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12751/INFOEM/IP/RR/2022</w:t>
    </w:r>
  </w:p>
  <w:p w:rsidR="00B74B80" w:rsidRDefault="00B74B80">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80" w:rsidRDefault="0097203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2051"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v:shape id="PowerPlusWaterMarkObject1" o:spid="_x0000_s2050" type="#_x0000_m2051" style="position:absolute;margin-left:0;margin-top:0;width:518.25pt;height:111.05pt;rotation:315;z-index:-251657216;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80" w:rsidRDefault="00B74B8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74B80" w:rsidRDefault="00B74B8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74B80" w:rsidRDefault="00B74B8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74B80" w:rsidRDefault="00D4372B">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B74B80" w:rsidRDefault="00B74B8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B74B80" w:rsidRDefault="00B74B8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42B1"/>
    <w:multiLevelType w:val="multilevel"/>
    <w:tmpl w:val="909E8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750C8C"/>
    <w:multiLevelType w:val="multilevel"/>
    <w:tmpl w:val="0EC04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80"/>
    <w:rsid w:val="00972038"/>
    <w:rsid w:val="00B74B80"/>
    <w:rsid w:val="00C92346"/>
    <w:rsid w:val="00D43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8086837-9A84-4B8C-9059-55683B89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ipomex.org.mx/ipo3/lgt/indice/ATIZAPANDEZARAGOZA/art_92_viii/4.web" TargetMode="External"/><Relationship Id="rId4" Type="http://schemas.openxmlformats.org/officeDocument/2006/relationships/settings" Target="settings.xml"/><Relationship Id="rId9" Type="http://schemas.openxmlformats.org/officeDocument/2006/relationships/hyperlink" Target="https://ipomex.org.mx/ipo3/lgt/indice/ATIZAPANDEZARAGOZA/art_92_viii/4.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5OEHXOkxdD+tPvJXcRJ1Dsmfvg==">AMUW2mUGhHLY1YxkcbanMukf0OqfY7/whMe50KRUI9hgsNP3wL8cVNFXkjX33BPcEdmWDNDmO3tgElNJlEZK3WYDW9yW9Fk8XouQdSH76TG4UvjghEU0HiZnSGKyP6IJ5AgkSes/ok0KQ2hxGgaCR0AMaRdR5ibhhA==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2022-11-07T17:20:00Z</cp:lastPrinted>
  <dcterms:created xsi:type="dcterms:W3CDTF">2022-11-07T17:19:00Z</dcterms:created>
  <dcterms:modified xsi:type="dcterms:W3CDTF">2022-11-07T17:22:00Z</dcterms:modified>
</cp:coreProperties>
</file>