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VIGÉSIMO SÉPTIMA SESIÓN ORDINARIA DEL TRES DE AGOSTO DE DOS MIL VEINTIDÓS, EN EL RECURSO DE REVISIÓN 07951/INFOEM/IP/RR/2022.</w: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y Municipios, aprobó por unanimidad de votos, la resolución relativa al recurso de revisión </w:t>
      </w:r>
      <w:r w:rsidDel="00000000" w:rsidR="00000000" w:rsidRPr="00000000">
        <w:rPr>
          <w:rFonts w:ascii="Palatino Linotype" w:cs="Palatino Linotype" w:eastAsia="Palatino Linotype" w:hAnsi="Palatino Linotype"/>
          <w:b w:val="1"/>
          <w:sz w:val="24"/>
          <w:szCs w:val="24"/>
          <w:rtl w:val="0"/>
        </w:rPr>
        <w:t xml:space="preserve">07951/INFOEM/IP/RR/2022,</w:t>
      </w:r>
      <w:r w:rsidDel="00000000" w:rsidR="00000000" w:rsidRPr="00000000">
        <w:rPr>
          <w:rFonts w:ascii="Palatino Linotype" w:cs="Palatino Linotype" w:eastAsia="Palatino Linotype" w:hAnsi="Palatino Linotype"/>
          <w:sz w:val="24"/>
          <w:szCs w:val="24"/>
          <w:rtl w:val="0"/>
        </w:rPr>
        <w:t xml:space="preserve"> presentada por el Comisionado Luis Gustavo Parra Noriega, respecto de la cual, la suscrita fórmula </w:t>
      </w:r>
      <w:r w:rsidDel="00000000" w:rsidR="00000000" w:rsidRPr="00000000">
        <w:rPr>
          <w:rFonts w:ascii="Palatino Linotype" w:cs="Palatino Linotype" w:eastAsia="Palatino Linotype" w:hAnsi="Palatino Linotype"/>
          <w:b w:val="1"/>
          <w:sz w:val="24"/>
          <w:szCs w:val="24"/>
          <w:rtl w:val="0"/>
        </w:rPr>
        <w:t xml:space="preserve">OPINIÓN  PARTICULAR</w:t>
      </w:r>
      <w:r w:rsidDel="00000000" w:rsidR="00000000" w:rsidRPr="00000000">
        <w:rPr>
          <w:rFonts w:ascii="Palatino Linotype" w:cs="Palatino Linotype" w:eastAsia="Palatino Linotype" w:hAnsi="Palatino Linotype"/>
          <w:sz w:val="24"/>
          <w:szCs w:val="24"/>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concreto,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requirió al Ayuntamiento de Texcoco, hiciera entrega de todos los recibos de nómina del mes de marzo de 2022, de todo el personal adscrito, incluidos los miembros del Cabildo.</w:t>
      </w:r>
    </w:p>
    <w:p w:rsidR="00000000" w:rsidDel="00000000" w:rsidP="00000000" w:rsidRDefault="00000000" w:rsidRPr="00000000" w14:paraId="00000006">
      <w:pPr>
        <w:spacing w:after="0" w:line="360" w:lineRule="auto"/>
        <w:jc w:val="both"/>
        <w:rPr>
          <w:rFonts w:ascii="Palatino Linotype" w:cs="Palatino Linotype" w:eastAsia="Palatino Linotype" w:hAnsi="Palatino Linotype"/>
          <w:sz w:val="24"/>
          <w:szCs w:val="24"/>
        </w:rPr>
      </w:pPr>
      <w:bookmarkStart w:colFirst="0" w:colLast="0" w:name="_heading=h.gjdgxs" w:id="0"/>
      <w:bookmarkEnd w:id="0"/>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notificó, a través del Sistema de Acceso a la Información Mexiquense (SAIMEX), la respuesta a la solicitud de acceso a la información pública, dio respuesta en los siguientes términos:</w:t>
      </w:r>
    </w:p>
    <w:p w:rsidR="00000000" w:rsidDel="00000000" w:rsidP="00000000" w:rsidRDefault="00000000" w:rsidRPr="00000000" w14:paraId="00000007">
      <w:pPr>
        <w:spacing w:after="0" w:line="240"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Subdirección de Recursos Humanos y Nómina hace llegar oficio número 1.5.5/ADMÓN/SDRHYN/299/2022 el cual, se adjunta al siguiente: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67"/>
        </w:tabs>
        <w:spacing w:after="0" w:before="0" w:line="240" w:lineRule="auto"/>
        <w:ind w:left="1287" w:right="567" w:hanging="36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ANEXO A; Oficio número 1.5.5/ADMÓN/SDRHYN/299/2022</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67"/>
        </w:tabs>
        <w:spacing w:after="0" w:before="0" w:line="240" w:lineRule="auto"/>
        <w:ind w:left="1287" w:right="567" w:hanging="36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ANEXO B; 1ER QNA DE MARZO 2022</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67"/>
        </w:tabs>
        <w:spacing w:after="0" w:before="0" w:line="240" w:lineRule="auto"/>
        <w:ind w:left="1287" w:right="567" w:hanging="36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ANEXO C; 2DA QNA DE MARZO 2022</w:t>
      </w:r>
    </w:p>
    <w:p w:rsidR="00000000" w:rsidDel="00000000" w:rsidP="00000000" w:rsidRDefault="00000000" w:rsidRPr="00000000" w14:paraId="0000000B">
      <w:pPr>
        <w:tabs>
          <w:tab w:val="left" w:leader="none" w:pos="4667"/>
        </w:tabs>
        <w:spacing w:line="240" w:lineRule="auto"/>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Al mismo tiempo, se anexa enlace para que pueda corroborar la información en la página oficial H. Ayuntamiento de Texcoco.</w:t>
      </w:r>
    </w:p>
    <w:p w:rsidR="00000000" w:rsidDel="00000000" w:rsidP="00000000" w:rsidRDefault="00000000" w:rsidRPr="00000000" w14:paraId="0000000C">
      <w:pPr>
        <w:tabs>
          <w:tab w:val="left" w:leader="none" w:pos="4667"/>
        </w:tabs>
        <w:spacing w:line="240" w:lineRule="auto"/>
        <w:ind w:left="567" w:right="567" w:firstLine="0"/>
        <w:jc w:val="both"/>
        <w:rPr>
          <w:rFonts w:ascii="Palatino Linotype" w:cs="Palatino Linotype" w:eastAsia="Palatino Linotype" w:hAnsi="Palatino Linotype"/>
          <w:i w:val="1"/>
        </w:rPr>
      </w:pPr>
      <w:hyperlink r:id="rId8">
        <w:r w:rsidDel="00000000" w:rsidR="00000000" w:rsidRPr="00000000">
          <w:rPr>
            <w:rFonts w:ascii="Palatino Linotype" w:cs="Palatino Linotype" w:eastAsia="Palatino Linotype" w:hAnsi="Palatino Linotype"/>
            <w:i w:val="1"/>
            <w:color w:val="000000"/>
            <w:u w:val="single"/>
            <w:rtl w:val="0"/>
          </w:rPr>
          <w:t xml:space="preserve">https://www.texcocoedomex.gob.mx/Dovumentos/NOMINA2022.pdf</w:t>
        </w:r>
      </w:hyperlink>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0D">
      <w:pPr>
        <w:spacing w:after="0" w:line="360" w:lineRule="auto"/>
        <w:ind w:lef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(Sic.)</w:t>
      </w:r>
    </w:p>
    <w:p w:rsidR="00000000" w:rsidDel="00000000" w:rsidP="00000000" w:rsidRDefault="00000000" w:rsidRPr="00000000" w14:paraId="0000000E">
      <w:pPr>
        <w:spacing w:line="360" w:lineRule="auto"/>
        <w:ind w:right="-28"/>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Además, anexó la relación de la nómina de la primera y segunda quincena de marzo de dos mil veintidós.</w:t>
      </w:r>
    </w:p>
    <w:p w:rsidR="00000000" w:rsidDel="00000000" w:rsidP="00000000" w:rsidRDefault="00000000" w:rsidRPr="00000000" w14:paraId="0000000F">
      <w:pPr>
        <w:spacing w:after="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al no estar conforme con los términos de la misma, la persona solicitante presentó el recurso de revisión mediante el cual señaló como motivo de inconformidad, en lo medular, que solicitó los recibos de nómina, no una tabla con los sueldos.</w:t>
      </w:r>
    </w:p>
    <w:p w:rsidR="00000000" w:rsidDel="00000000" w:rsidP="00000000" w:rsidRDefault="00000000" w:rsidRPr="00000000" w14:paraId="00000010">
      <w:pPr>
        <w:spacing w:after="0" w:line="360" w:lineRule="auto"/>
        <w:ind w:right="-3"/>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admitido el presente recurso de revisión, en términos del artículo 185 fracción II</w:t>
      </w:r>
      <w:r w:rsidDel="00000000" w:rsidR="00000000" w:rsidRPr="00000000">
        <w:rPr>
          <w:rFonts w:ascii="Palatino Linotype" w:cs="Palatino Linotype" w:eastAsia="Palatino Linotype" w:hAnsi="Palatino Linotype"/>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000000" w:rsidDel="00000000" w:rsidP="00000000" w:rsidRDefault="00000000" w:rsidRPr="00000000" w14:paraId="0000001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previo análisis de las constancias y de la naturaleza de la información, la Ponencia que resolvió determinó </w:t>
      </w:r>
      <w:r w:rsidDel="00000000" w:rsidR="00000000" w:rsidRPr="00000000">
        <w:rPr>
          <w:rFonts w:ascii="Palatino Linotype" w:cs="Palatino Linotype" w:eastAsia="Palatino Linotype" w:hAnsi="Palatino Linotype"/>
          <w:i w:val="1"/>
          <w:sz w:val="24"/>
          <w:szCs w:val="24"/>
          <w:rtl w:val="0"/>
        </w:rPr>
        <w:t xml:space="preserve">Revocar</w:t>
      </w:r>
      <w:r w:rsidDel="00000000" w:rsidR="00000000" w:rsidRPr="00000000">
        <w:rPr>
          <w:rFonts w:ascii="Palatino Linotype" w:cs="Palatino Linotype" w:eastAsia="Palatino Linotype" w:hAnsi="Palatino Linotype"/>
          <w:sz w:val="24"/>
          <w:szCs w:val="24"/>
          <w:rtl w:val="0"/>
        </w:rPr>
        <w:t xml:space="preserve"> la respuesta y ordenar la entrega de información, como se advierte en el </w:t>
      </w:r>
      <w:r w:rsidDel="00000000" w:rsidR="00000000" w:rsidRPr="00000000">
        <w:rPr>
          <w:rFonts w:ascii="Palatino Linotype" w:cs="Palatino Linotype" w:eastAsia="Palatino Linotype" w:hAnsi="Palatino Linotype"/>
          <w:b w:val="1"/>
          <w:sz w:val="24"/>
          <w:szCs w:val="24"/>
          <w:rtl w:val="0"/>
        </w:rPr>
        <w:t xml:space="preserve">resolutivo SEGUNDO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13">
      <w:pPr>
        <w:spacing w:after="0" w:line="276" w:lineRule="auto"/>
        <w:ind w:left="567" w:right="990"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14">
      <w:pPr>
        <w:spacing w:after="120" w:before="0" w:line="240" w:lineRule="auto"/>
        <w:ind w:left="851"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Se </w:t>
      </w:r>
      <w:r w:rsidDel="00000000" w:rsidR="00000000" w:rsidRPr="00000000">
        <w:rPr>
          <w:rFonts w:ascii="Palatino Linotype" w:cs="Palatino Linotype" w:eastAsia="Palatino Linotype" w:hAnsi="Palatino Linotype"/>
          <w:b w:val="1"/>
          <w:i w:val="1"/>
          <w:rtl w:val="0"/>
        </w:rPr>
        <w:t xml:space="preserve">ORDENA </w:t>
      </w:r>
      <w:r w:rsidDel="00000000" w:rsidR="00000000" w:rsidRPr="00000000">
        <w:rPr>
          <w:rFonts w:ascii="Palatino Linotype" w:cs="Palatino Linotype" w:eastAsia="Palatino Linotype" w:hAnsi="Palatino Linotype"/>
          <w:i w:val="1"/>
          <w:rtl w:val="0"/>
        </w:rPr>
        <w:t xml:space="preserve">al Sujeto Obligado, a efecto de que, previa búsqueda exhaustiva y razonable en sus áreas competentes, entregue, a través del Sistema de Acceso a la Información Mexiquense (SAIMEX), en en su caso, en versión pública, lo siguiente: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134" w:right="-2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recibos de nómina de los servidores adscritos al Ayuntamiento de Texcoco, de la primera y segunda quincena de marzo de dos mil veintidós. </w:t>
      </w:r>
    </w:p>
    <w:p w:rsidR="00000000" w:rsidDel="00000000" w:rsidP="00000000" w:rsidRDefault="00000000" w:rsidRPr="00000000" w14:paraId="00000016">
      <w:pPr>
        <w:tabs>
          <w:tab w:val="left" w:leader="none" w:pos="4962"/>
        </w:tabs>
        <w:spacing w:after="120" w:before="120" w:line="240" w:lineRule="auto"/>
        <w:ind w:left="85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 (Sic) </w:t>
      </w:r>
      <w:r w:rsidDel="00000000" w:rsidR="00000000" w:rsidRPr="00000000">
        <w:rPr>
          <w:rtl w:val="0"/>
        </w:rPr>
      </w:r>
    </w:p>
    <w:p w:rsidR="00000000" w:rsidDel="00000000" w:rsidP="00000000" w:rsidRDefault="00000000" w:rsidRPr="00000000" w14:paraId="00000017">
      <w:pPr>
        <w:spacing w:after="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18">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debe mencionarse que, toda vez que se determinó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cuenta con una Dirección de Seguridad Pública, encargada de salvaguardar y garantizar el orden público y la paz social, así como de  la prevención, combate y persecución de delitos, por lo que </w:t>
      </w:r>
      <w:r w:rsidDel="00000000" w:rsidR="00000000" w:rsidRPr="00000000">
        <w:rPr>
          <w:rFonts w:ascii="Palatino Linotype" w:cs="Palatino Linotype" w:eastAsia="Palatino Linotype" w:hAnsi="Palatino Linotype"/>
          <w:b w:val="1"/>
          <w:sz w:val="24"/>
          <w:szCs w:val="24"/>
          <w:rtl w:val="0"/>
        </w:rPr>
        <w:t xml:space="preserve">para este Instituto resultaba pertinente la reserva del nombre de los elementos operativos de la Dirección General de Seguridad Pública y Movilidad</w:t>
      </w:r>
      <w:r w:rsidDel="00000000" w:rsidR="00000000" w:rsidRPr="00000000">
        <w:rPr>
          <w:rFonts w:ascii="Palatino Linotype" w:cs="Palatino Linotype" w:eastAsia="Palatino Linotype" w:hAnsi="Palatino Linotype"/>
          <w:sz w:val="24"/>
          <w:szCs w:val="24"/>
          <w:rtl w:val="0"/>
        </w:rPr>
        <w:t xml:space="preserve">, para lo que es necesario el desarrollo de la prueba de daño,  </w:t>
      </w:r>
      <w:r w:rsidDel="00000000" w:rsidR="00000000" w:rsidRPr="00000000">
        <w:rPr>
          <w:rFonts w:ascii="Palatino Linotype" w:cs="Palatino Linotype" w:eastAsia="Palatino Linotype" w:hAnsi="Palatino Linotype"/>
          <w:b w:val="1"/>
          <w:sz w:val="24"/>
          <w:szCs w:val="24"/>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sz w:val="24"/>
          <w:szCs w:val="24"/>
          <w:rtl w:val="0"/>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19">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4"/>
          <w:szCs w:val="24"/>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4"/>
          <w:szCs w:val="24"/>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1A">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4"/>
          <w:szCs w:val="24"/>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4"/>
          <w:szCs w:val="24"/>
          <w:rtl w:val="0"/>
        </w:rPr>
        <w:t xml:space="preserve">, como es la figura de la clasificación de la información para verificar que se acredita la prueba de daño.</w:t>
      </w:r>
    </w:p>
    <w:p w:rsidR="00000000" w:rsidDel="00000000" w:rsidP="00000000" w:rsidRDefault="00000000" w:rsidRPr="00000000" w14:paraId="00000024">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Bajo este contexto, se analizó la resolución del recurso de revisión </w:t>
      </w:r>
      <w:r w:rsidDel="00000000" w:rsidR="00000000" w:rsidRPr="00000000">
        <w:rPr>
          <w:rFonts w:ascii="Palatino Linotype" w:cs="Palatino Linotype" w:eastAsia="Palatino Linotype" w:hAnsi="Palatino Linotype"/>
          <w:b w:val="1"/>
          <w:sz w:val="24"/>
          <w:szCs w:val="24"/>
          <w:rtl w:val="0"/>
        </w:rPr>
        <w:t xml:space="preserve">07951/INFOEM/IP/RR/2022</w:t>
      </w:r>
      <w:r w:rsidDel="00000000" w:rsidR="00000000" w:rsidRPr="00000000">
        <w:rPr>
          <w:rFonts w:ascii="Palatino Linotype" w:cs="Palatino Linotype" w:eastAsia="Palatino Linotype" w:hAnsi="Palatino Linotype"/>
          <w:sz w:val="24"/>
          <w:szCs w:val="24"/>
          <w:rtl w:val="0"/>
        </w:rPr>
        <w:t xml:space="preserve">, en la cual, el Comisionado Ponente, desarrolla la prueba de daño, circunstancia que a consideración de la suscrita y derivado de lo antes señalado, </w:t>
      </w:r>
      <w:r w:rsidDel="00000000" w:rsidR="00000000" w:rsidRPr="00000000">
        <w:rPr>
          <w:rFonts w:ascii="Palatino Linotype" w:cs="Palatino Linotype" w:eastAsia="Palatino Linotype" w:hAnsi="Palatino Linotype"/>
          <w:b w:val="1"/>
          <w:sz w:val="24"/>
          <w:szCs w:val="24"/>
          <w:rtl w:val="0"/>
        </w:rPr>
        <w:t xml:space="preserve">les corresponde comprobar y desarrollar a los Sujetos Obligados</w:t>
      </w:r>
      <w:r w:rsidDel="00000000" w:rsidR="00000000" w:rsidRPr="00000000">
        <w:rPr>
          <w:rFonts w:ascii="Palatino Linotype" w:cs="Palatino Linotype" w:eastAsia="Palatino Linotype" w:hAnsi="Palatino Linotype"/>
          <w:sz w:val="24"/>
          <w:szCs w:val="24"/>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“XXXIII. Prueba de Daño: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 que el menoscabo o daño que puede producirse con la publicidad de la información es mayor que el interés de conocerla y por consiguiente debe clasificarse como reservada…” (Sic)</w:t>
      </w:r>
    </w:p>
    <w:p w:rsidR="00000000" w:rsidDel="00000000" w:rsidP="00000000" w:rsidRDefault="00000000" w:rsidRPr="00000000" w14:paraId="00000026">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7">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Precepto legal en donde establece que </w:t>
      </w:r>
      <w:r w:rsidDel="00000000" w:rsidR="00000000" w:rsidRPr="00000000">
        <w:rPr>
          <w:rFonts w:ascii="Palatino Linotype" w:cs="Palatino Linotype" w:eastAsia="Palatino Linotype" w:hAnsi="Palatino Linotype"/>
          <w:b w:val="1"/>
          <w:sz w:val="24"/>
          <w:szCs w:val="24"/>
          <w:rtl w:val="0"/>
        </w:rPr>
        <w:t xml:space="preserve">es obligación de los Sujeto Obligados, realizar la prueba de daño;</w:t>
      </w:r>
      <w:r w:rsidDel="00000000" w:rsidR="00000000" w:rsidRPr="00000000">
        <w:rPr>
          <w:rFonts w:ascii="Palatino Linotype" w:cs="Palatino Linotype" w:eastAsia="Palatino Linotype" w:hAnsi="Palatino Linotype"/>
          <w:sz w:val="24"/>
          <w:szCs w:val="24"/>
          <w:rtl w:val="0"/>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28">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Esto es, que, a través de la prueba de daño, </w:t>
      </w:r>
      <w:r w:rsidDel="00000000" w:rsidR="00000000" w:rsidRPr="00000000">
        <w:rPr>
          <w:rFonts w:ascii="Palatino Linotype" w:cs="Palatino Linotype" w:eastAsia="Palatino Linotype" w:hAnsi="Palatino Linotype"/>
          <w:b w:val="1"/>
          <w:sz w:val="24"/>
          <w:szCs w:val="24"/>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expuesto, constituyen las razones y fundamentos que me llevan a emitir la opinión particular que se ha expresado. </w:t>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sz w:val="23"/>
          <w:szCs w:val="23"/>
        </w:rPr>
        <w:sectPr>
          <w:headerReference r:id="rId9" w:type="default"/>
          <w:headerReference r:id="rId10" w:type="first"/>
          <w:headerReference r:id="rId11" w:type="even"/>
          <w:footerReference r:id="rId12" w:type="default"/>
          <w:pgSz w:h="15840" w:w="12240" w:orient="portrait"/>
          <w:pgMar w:bottom="2836" w:top="1983" w:left="1985" w:right="1327" w:header="709" w:footer="586"/>
          <w:pgNumType w:start="1"/>
        </w:sectPr>
      </w:pPr>
      <w:r w:rsidDel="00000000" w:rsidR="00000000" w:rsidRPr="00000000">
        <w:rPr>
          <w:rtl w:val="0"/>
        </w:rPr>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D">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2E">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F">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1">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2">
      <w:pPr>
        <w:rPr>
          <w:rFonts w:ascii="Palatino Linotype" w:cs="Palatino Linotype" w:eastAsia="Palatino Linotype" w:hAnsi="Palatino Linotype"/>
        </w:rPr>
      </w:pPr>
      <w:r w:rsidDel="00000000" w:rsidR="00000000" w:rsidRPr="00000000">
        <w:rPr>
          <w:rtl w:val="0"/>
        </w:rPr>
      </w:r>
    </w:p>
    <w:sectPr>
      <w:headerReference r:id="rId13"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hanging="720"/>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Artículo 185.</w:t>
      </w:r>
      <w:r w:rsidDel="00000000" w:rsidR="00000000" w:rsidRPr="00000000">
        <w:rPr>
          <w:rFonts w:ascii="Palatino Linotype" w:cs="Palatino Linotype" w:eastAsia="Palatino Linotype" w:hAnsi="Palatino Linotype"/>
          <w:color w:val="000000"/>
          <w:sz w:val="16"/>
          <w:szCs w:val="16"/>
          <w:rtl w:val="0"/>
        </w:rPr>
        <w:t xml:space="preserve"> El Instituto resolverá el recurso de revisión conforme a lo siguiente: (…)</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
              <a:graphic>
                <a:graphicData uri="http://schemas.microsoft.com/office/word/2010/wordprocessingShape">
                  <wps:wsp>
                    <wps:cNvSpPr/>
                    <wps:cNvPr id="2" name="Shape 2"/>
                    <wps:spPr>
                      <a:xfrm rot="-2700000">
                        <a:off x="2440875" y="2945610"/>
                        <a:ext cx="5810250" cy="16687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843"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-1114012</wp:posOffset>
          </wp:positionH>
          <wp:positionV relativeFrom="paragraph">
            <wp:posOffset>-449579</wp:posOffset>
          </wp:positionV>
          <wp:extent cx="7510628" cy="988377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685"/>
        <w:tab w:val="right" w:leader="none"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OPINIÓN PARTICULAR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34" w:right="0" w:firstLine="0"/>
      <w:jc w:val="righ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RECURSO DE REVISIÓN 07951/INFOEM/IP/RR/2022</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685"/>
        <w:tab w:val="right" w:leader="none"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2A76"/>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B2A76"/>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B2A76"/>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B2A76"/>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0B2A76"/>
  </w:style>
  <w:style w:type="paragraph" w:styleId="Sinespaciado">
    <w:name w:val="No Spacing"/>
    <w:aliases w:val="Francesa"/>
    <w:link w:val="SinespaciadoCar"/>
    <w:uiPriority w:val="1"/>
    <w:qFormat w:val="1"/>
    <w:rsid w:val="000B2A76"/>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0B2A76"/>
    <w:rPr>
      <w:rFonts w:ascii="Times New Roman" w:cs="Times New Roman" w:eastAsia="Times New Roman" w:hAnsi="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B2A76"/>
    <w:pPr>
      <w:spacing w:after="0" w:line="240" w:lineRule="auto"/>
      <w:ind w:left="720"/>
      <w:contextualSpacing w:val="1"/>
    </w:pPr>
    <w:rPr>
      <w:rFonts w:ascii="Century Gothic" w:cs="Times New Roman" w:eastAsia="Times New Roman" w:hAnsi="Century Gothic"/>
      <w:szCs w:val="24"/>
      <w:lang w:eastAsia="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val="1"/>
    <w:rsid w:val="000B2A76"/>
    <w:rPr>
      <w:rFonts w:ascii="Century Gothic" w:cs="Times New Roman" w:eastAsia="Times New Roman" w:hAnsi="Century Gothic"/>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val="1"/>
    <w:qFormat w:val="1"/>
    <w:rsid w:val="009F0FA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texcocoedomex.gob.mx/Dovumentos/NOMINA202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YV9foIZGgFJAd8jVcVFJRgkw==">CgMxLjAyCGguZ2pkZ3hzOAByITF5Z014d2h2TXJwQWdsbE9iSFFRWFVPaTlRdzZOS1lGSw==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2022-08-08T00:50:00Z</dcterms:created>
  <dc:creator>USUARIO</dc:creator>
</cp:coreProperties>
</file>