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3">
      <w:pPr>
        <w:spacing w:after="240" w:before="240" w:line="360" w:lineRule="auto"/>
        <w:jc w:val="both"/>
        <w:rPr>
          <w:rFonts w:ascii="Palatino Linotype" w:cs="Palatino Linotype" w:eastAsia="Palatino Linotype" w:hAnsi="Palatino Linotype"/>
          <w:b w:val="1"/>
          <w:sz w:val="23"/>
          <w:szCs w:val="23"/>
        </w:rPr>
      </w:pPr>
      <w:r w:rsidDel="00000000" w:rsidR="00000000" w:rsidRPr="00000000">
        <w:rPr>
          <w:rFonts w:ascii="Palatino Linotype" w:cs="Palatino Linotype" w:eastAsia="Palatino Linotype" w:hAnsi="Palatino Linotype"/>
          <w:b w:val="1"/>
          <w:sz w:val="23"/>
          <w:szCs w:val="23"/>
          <w:rtl w:val="0"/>
        </w:rPr>
        <w:t xml:space="preserve">OPINIÓN PARTICULAR QUE FORMULA LA COMISIONADA GUADALUPE RAMÍREZ PEÑA, EN RELACIÓN CON LA RESOLUCIÓN DICTADA POR EL PLENO DEL INSTITUTO DE TRANSPARENCIA, ACCESO A LA INFORMACIÓN PÚBLICA Y PROTECCIÓN DE DATOS PERSONALES DEL ESTADO DE MÉXICO Y MUNICIPIOS, EN LA VIGÉSIMA CUARTA SESIÓN ORDINARIA DEL VEINTINUEVE DE JUNIO DE DOS MIL VEINTIDÓS, EN EL RECURSO DE REVISIÓN 10416/INFOEM/IP/RR/2022.</w:t>
      </w:r>
    </w:p>
    <w:p w:rsidR="00000000" w:rsidDel="00000000" w:rsidP="00000000" w:rsidRDefault="00000000" w:rsidRPr="00000000" w14:paraId="00000004">
      <w:pPr>
        <w:spacing w:after="240" w:before="240" w:line="360" w:lineRule="auto"/>
        <w:jc w:val="both"/>
        <w:rPr>
          <w:rFonts w:ascii="Palatino Linotype" w:cs="Palatino Linotype" w:eastAsia="Palatino Linotype" w:hAnsi="Palatino Linotype"/>
          <w:sz w:val="23"/>
          <w:szCs w:val="23"/>
        </w:rPr>
      </w:pPr>
      <w:r w:rsidDel="00000000" w:rsidR="00000000" w:rsidRPr="00000000">
        <w:rPr>
          <w:rFonts w:ascii="Palatino Linotype" w:cs="Palatino Linotype" w:eastAsia="Palatino Linotype" w:hAnsi="Palatino Linotype"/>
          <w:sz w:val="23"/>
          <w:szCs w:val="23"/>
          <w:rtl w:val="0"/>
        </w:rPr>
        <w:t xml:space="preserve">El pleno del Instituto de Transparencia, Acceso a la Información Pública y Protección de Datos Personales del Estado de México y Municipios, aprobó por mayoría de votos, la resolución relativa al recurso de revisión </w:t>
      </w:r>
      <w:r w:rsidDel="00000000" w:rsidR="00000000" w:rsidRPr="00000000">
        <w:rPr>
          <w:rFonts w:ascii="Palatino Linotype" w:cs="Palatino Linotype" w:eastAsia="Palatino Linotype" w:hAnsi="Palatino Linotype"/>
          <w:b w:val="1"/>
          <w:sz w:val="23"/>
          <w:szCs w:val="23"/>
          <w:rtl w:val="0"/>
        </w:rPr>
        <w:t xml:space="preserve">10416/INFOEM/IP/RR/2022,</w:t>
      </w:r>
      <w:r w:rsidDel="00000000" w:rsidR="00000000" w:rsidRPr="00000000">
        <w:rPr>
          <w:rFonts w:ascii="Palatino Linotype" w:cs="Palatino Linotype" w:eastAsia="Palatino Linotype" w:hAnsi="Palatino Linotype"/>
          <w:sz w:val="23"/>
          <w:szCs w:val="23"/>
          <w:rtl w:val="0"/>
        </w:rPr>
        <w:t xml:space="preserve"> presentada por el Comisionado Luis Gustavo Parra Noriega, respecto de la cual, la suscrita formula </w:t>
      </w:r>
      <w:r w:rsidDel="00000000" w:rsidR="00000000" w:rsidRPr="00000000">
        <w:rPr>
          <w:rFonts w:ascii="Palatino Linotype" w:cs="Palatino Linotype" w:eastAsia="Palatino Linotype" w:hAnsi="Palatino Linotype"/>
          <w:b w:val="1"/>
          <w:sz w:val="23"/>
          <w:szCs w:val="23"/>
          <w:rtl w:val="0"/>
        </w:rPr>
        <w:t xml:space="preserve">OPINIÓN  PARTICULAR</w:t>
      </w:r>
      <w:r w:rsidDel="00000000" w:rsidR="00000000" w:rsidRPr="00000000">
        <w:rPr>
          <w:rFonts w:ascii="Palatino Linotype" w:cs="Palatino Linotype" w:eastAsia="Palatino Linotype" w:hAnsi="Palatino Linotype"/>
          <w:sz w:val="23"/>
          <w:szCs w:val="23"/>
          <w:rtl w:val="0"/>
        </w:rPr>
        <w:t xml:space="preserve">,  con fundamento en el artículo 14 fracción XI del Reglamento Interior del Instituto de Transparencia, Acceso a la Información Pública y Protección de Datos Personales del Estado de México y Municipios.</w:t>
      </w:r>
    </w:p>
    <w:p w:rsidR="00000000" w:rsidDel="00000000" w:rsidP="00000000" w:rsidRDefault="00000000" w:rsidRPr="00000000" w14:paraId="00000005">
      <w:pPr>
        <w:spacing w:after="240" w:before="240" w:line="360" w:lineRule="auto"/>
        <w:jc w:val="both"/>
        <w:rPr>
          <w:rFonts w:ascii="Palatino Linotype" w:cs="Palatino Linotype" w:eastAsia="Palatino Linotype" w:hAnsi="Palatino Linotype"/>
          <w:sz w:val="23"/>
          <w:szCs w:val="23"/>
        </w:rPr>
      </w:pPr>
      <w:r w:rsidDel="00000000" w:rsidR="00000000" w:rsidRPr="00000000">
        <w:rPr>
          <w:rFonts w:ascii="Palatino Linotype" w:cs="Palatino Linotype" w:eastAsia="Palatino Linotype" w:hAnsi="Palatino Linotype"/>
          <w:sz w:val="23"/>
          <w:szCs w:val="23"/>
          <w:rtl w:val="0"/>
        </w:rPr>
        <w:t xml:space="preserve">La que suscribe, comparte en esencia el sentido del estudio realizado en la resolución emitida por el Comisionado Ponente; sin embargo, resulta necesario destacar que la prueba de daño que se desarrolla en el proyecto de resolución que nos ocupa, debió ser realizada por el Sujeto Obligado.</w:t>
      </w:r>
    </w:p>
    <w:p w:rsidR="00000000" w:rsidDel="00000000" w:rsidP="00000000" w:rsidRDefault="00000000" w:rsidRPr="00000000" w14:paraId="00000006">
      <w:pPr>
        <w:spacing w:after="240" w:before="240" w:line="360" w:lineRule="auto"/>
        <w:jc w:val="both"/>
        <w:rPr>
          <w:rFonts w:ascii="Palatino Linotype" w:cs="Palatino Linotype" w:eastAsia="Palatino Linotype" w:hAnsi="Palatino Linotype"/>
          <w:sz w:val="23"/>
          <w:szCs w:val="23"/>
        </w:rPr>
      </w:pPr>
      <w:r w:rsidDel="00000000" w:rsidR="00000000" w:rsidRPr="00000000">
        <w:rPr>
          <w:rFonts w:ascii="Palatino Linotype" w:cs="Palatino Linotype" w:eastAsia="Palatino Linotype" w:hAnsi="Palatino Linotype"/>
          <w:sz w:val="23"/>
          <w:szCs w:val="23"/>
          <w:rtl w:val="0"/>
        </w:rPr>
        <w:t xml:space="preserve">En el caso concreto el hoy Recurrente requirió al Ayuntamiento de Ecatepec de Morelos, que en esencia se le proporcionara nomina general correspondiente a la quincena del 15 de abril del 2022, con nombre, sueldo quincenal, puesto de adscripción.</w:t>
      </w:r>
    </w:p>
    <w:p w:rsidR="00000000" w:rsidDel="00000000" w:rsidP="00000000" w:rsidRDefault="00000000" w:rsidRPr="00000000" w14:paraId="00000007">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sz w:val="24"/>
          <w:szCs w:val="24"/>
          <w:rtl w:val="0"/>
        </w:rPr>
        <w:t xml:space="preserve">El Sujeto Obligado, fue omiso de emitir respuesta.</w:t>
      </w:r>
      <w:r w:rsidDel="00000000" w:rsidR="00000000" w:rsidRPr="00000000">
        <w:rPr>
          <w:rtl w:val="0"/>
        </w:rPr>
      </w:r>
    </w:p>
    <w:p w:rsidR="00000000" w:rsidDel="00000000" w:rsidP="00000000" w:rsidRDefault="00000000" w:rsidRPr="00000000" w14:paraId="00000008">
      <w:pPr>
        <w:spacing w:after="240" w:before="240" w:line="360" w:lineRule="auto"/>
        <w:jc w:val="both"/>
        <w:rPr>
          <w:rFonts w:ascii="Palatino Linotype" w:cs="Palatino Linotype" w:eastAsia="Palatino Linotype" w:hAnsi="Palatino Linotype"/>
          <w:sz w:val="23"/>
          <w:szCs w:val="23"/>
        </w:rPr>
      </w:pPr>
      <w:r w:rsidDel="00000000" w:rsidR="00000000" w:rsidRPr="00000000">
        <w:rPr>
          <w:rFonts w:ascii="Palatino Linotype" w:cs="Palatino Linotype" w:eastAsia="Palatino Linotype" w:hAnsi="Palatino Linotype"/>
          <w:sz w:val="23"/>
          <w:szCs w:val="23"/>
          <w:rtl w:val="0"/>
        </w:rPr>
        <w:t xml:space="preserve">Ante la respuesta proporcionada por el Sujeto Obligado, el particular se inconforma, por la falta de respuesta.</w:t>
      </w:r>
    </w:p>
    <w:p w:rsidR="00000000" w:rsidDel="00000000" w:rsidP="00000000" w:rsidRDefault="00000000" w:rsidRPr="00000000" w14:paraId="00000009">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Por lo que el Sujeto Obligado mediante Informe Justificado, menciona que aún se encuentra en proceso de actualización de dicha información dentro de la Plataforma del IPOMEX, derivado de los ajustes que se siguen llevando a cabo dentro de la Estructura Orgánica de las diversas Dependencias que integran la presente Administración, por lo que una vez que se concluya con dicho proceso, la información podrá ser consultada en el referido sitio, lo que hago de su conocimiento para los efectos a que haya lugar.</w:t>
      </w:r>
    </w:p>
    <w:p w:rsidR="00000000" w:rsidDel="00000000" w:rsidP="00000000" w:rsidRDefault="00000000" w:rsidRPr="00000000" w14:paraId="0000000A">
      <w:pPr>
        <w:spacing w:after="0" w:line="360" w:lineRule="auto"/>
        <w:jc w:val="both"/>
        <w:rPr>
          <w:rFonts w:ascii="Palatino Linotype" w:cs="Palatino Linotype" w:eastAsia="Palatino Linotype" w:hAnsi="Palatino Linotype"/>
          <w:sz w:val="23"/>
          <w:szCs w:val="23"/>
        </w:rPr>
      </w:pPr>
      <w:r w:rsidDel="00000000" w:rsidR="00000000" w:rsidRPr="00000000">
        <w:rPr>
          <w:rFonts w:ascii="Palatino Linotype" w:cs="Palatino Linotype" w:eastAsia="Palatino Linotype" w:hAnsi="Palatino Linotype"/>
          <w:sz w:val="23"/>
          <w:szCs w:val="23"/>
          <w:rtl w:val="0"/>
        </w:rPr>
        <w:t xml:space="preserve">Por lo que, previo análisis de las constancias y de la naturaleza de la información, la Ponencia Resolutora determinó en su resolutivo SEGUNDO ordenar:</w:t>
      </w:r>
    </w:p>
    <w:p w:rsidR="00000000" w:rsidDel="00000000" w:rsidP="00000000" w:rsidRDefault="00000000" w:rsidRPr="00000000" w14:paraId="0000000B">
      <w:pPr>
        <w:spacing w:after="0" w:line="360" w:lineRule="auto"/>
        <w:jc w:val="both"/>
        <w:rPr>
          <w:rFonts w:ascii="Palatino Linotype" w:cs="Palatino Linotype" w:eastAsia="Palatino Linotype" w:hAnsi="Palatino Linotype"/>
          <w:sz w:val="23"/>
          <w:szCs w:val="23"/>
        </w:rPr>
      </w:pPr>
      <w:r w:rsidDel="00000000" w:rsidR="00000000" w:rsidRPr="00000000">
        <w:rPr>
          <w:rtl w:val="0"/>
        </w:rPr>
      </w:r>
    </w:p>
    <w:p w:rsidR="00000000" w:rsidDel="00000000" w:rsidP="00000000" w:rsidRDefault="00000000" w:rsidRPr="00000000" w14:paraId="0000000C">
      <w:pPr>
        <w:spacing w:after="0" w:line="360" w:lineRule="auto"/>
        <w:jc w:val="both"/>
        <w:rPr>
          <w:rFonts w:ascii="Palatino Linotype" w:cs="Palatino Linotype" w:eastAsia="Palatino Linotype" w:hAnsi="Palatino Linotype"/>
          <w:i w:val="1"/>
          <w:sz w:val="23"/>
          <w:szCs w:val="23"/>
        </w:rPr>
      </w:pPr>
      <w:r w:rsidDel="00000000" w:rsidR="00000000" w:rsidRPr="00000000">
        <w:rPr>
          <w:rFonts w:ascii="Palatino Linotype" w:cs="Palatino Linotype" w:eastAsia="Palatino Linotype" w:hAnsi="Palatino Linotype"/>
          <w:sz w:val="23"/>
          <w:szCs w:val="23"/>
          <w:rtl w:val="0"/>
        </w:rPr>
        <w:t xml:space="preserve"> “</w:t>
      </w:r>
      <w:r w:rsidDel="00000000" w:rsidR="00000000" w:rsidRPr="00000000">
        <w:rPr>
          <w:rFonts w:ascii="Palatino Linotype" w:cs="Palatino Linotype" w:eastAsia="Palatino Linotype" w:hAnsi="Palatino Linotype"/>
          <w:i w:val="1"/>
          <w:sz w:val="23"/>
          <w:szCs w:val="23"/>
          <w:rtl w:val="0"/>
        </w:rPr>
        <w:t xml:space="preserve">previa búsqueda exhaustiva y razonable, en todas las unidades administrativas competentes, entregue, a través del Sistema de Acceso a la Información Mexiquense (SAIMEX), en su caso, en versión pública, lo siguiente:</w:t>
      </w:r>
    </w:p>
    <w:p w:rsidR="00000000" w:rsidDel="00000000" w:rsidP="00000000" w:rsidRDefault="00000000" w:rsidRPr="00000000" w14:paraId="0000000D">
      <w:pPr>
        <w:spacing w:after="0" w:line="360" w:lineRule="auto"/>
        <w:jc w:val="both"/>
        <w:rPr>
          <w:rFonts w:ascii="Palatino Linotype" w:cs="Palatino Linotype" w:eastAsia="Palatino Linotype" w:hAnsi="Palatino Linotype"/>
          <w:i w:val="1"/>
          <w:sz w:val="23"/>
          <w:szCs w:val="23"/>
        </w:rPr>
      </w:pPr>
      <w:r w:rsidDel="00000000" w:rsidR="00000000" w:rsidRPr="00000000">
        <w:rPr>
          <w:rtl w:val="0"/>
        </w:rPr>
      </w:r>
    </w:p>
    <w:p w:rsidR="00000000" w:rsidDel="00000000" w:rsidP="00000000" w:rsidRDefault="00000000" w:rsidRPr="00000000" w14:paraId="0000000E">
      <w:pPr>
        <w:spacing w:after="0" w:line="360" w:lineRule="auto"/>
        <w:jc w:val="both"/>
        <w:rPr>
          <w:rFonts w:ascii="Palatino Linotype" w:cs="Palatino Linotype" w:eastAsia="Palatino Linotype" w:hAnsi="Palatino Linotype"/>
          <w:i w:val="1"/>
          <w:sz w:val="23"/>
          <w:szCs w:val="23"/>
        </w:rPr>
      </w:pPr>
      <w:r w:rsidDel="00000000" w:rsidR="00000000" w:rsidRPr="00000000">
        <w:rPr>
          <w:rFonts w:ascii="Palatino Linotype" w:cs="Palatino Linotype" w:eastAsia="Palatino Linotype" w:hAnsi="Palatino Linotype"/>
          <w:i w:val="1"/>
          <w:sz w:val="23"/>
          <w:szCs w:val="23"/>
          <w:rtl w:val="0"/>
        </w:rPr>
        <w:t xml:space="preserve">•</w:t>
        <w:tab/>
        <w:t xml:space="preserve">La Conciliación de Nómina del Ayuntamiento de Ecatepec de Morelos, de la primera quincena de abril de dos mil veintidós.</w:t>
      </w:r>
    </w:p>
    <w:p w:rsidR="00000000" w:rsidDel="00000000" w:rsidP="00000000" w:rsidRDefault="00000000" w:rsidRPr="00000000" w14:paraId="0000000F">
      <w:pPr>
        <w:spacing w:after="0" w:line="360" w:lineRule="auto"/>
        <w:jc w:val="both"/>
        <w:rPr>
          <w:rFonts w:ascii="Palatino Linotype" w:cs="Palatino Linotype" w:eastAsia="Palatino Linotype" w:hAnsi="Palatino Linotype"/>
          <w:i w:val="1"/>
          <w:sz w:val="23"/>
          <w:szCs w:val="23"/>
        </w:rPr>
      </w:pPr>
      <w:r w:rsidDel="00000000" w:rsidR="00000000" w:rsidRPr="00000000">
        <w:rPr>
          <w:rFonts w:ascii="Palatino Linotype" w:cs="Palatino Linotype" w:eastAsia="Palatino Linotype" w:hAnsi="Palatino Linotype"/>
          <w:i w:val="1"/>
          <w:sz w:val="23"/>
          <w:szCs w:val="23"/>
          <w:rtl w:val="0"/>
        </w:rPr>
        <w:t xml:space="preserve"> </w:t>
      </w:r>
    </w:p>
    <w:p w:rsidR="00000000" w:rsidDel="00000000" w:rsidP="00000000" w:rsidRDefault="00000000" w:rsidRPr="00000000" w14:paraId="00000010">
      <w:pPr>
        <w:spacing w:after="0" w:line="360" w:lineRule="auto"/>
        <w:jc w:val="both"/>
        <w:rPr>
          <w:rFonts w:ascii="Palatino Linotype" w:cs="Palatino Linotype" w:eastAsia="Palatino Linotype" w:hAnsi="Palatino Linotype"/>
          <w:i w:val="1"/>
          <w:sz w:val="23"/>
          <w:szCs w:val="23"/>
        </w:rPr>
      </w:pPr>
      <w:r w:rsidDel="00000000" w:rsidR="00000000" w:rsidRPr="00000000">
        <w:rPr>
          <w:rFonts w:ascii="Palatino Linotype" w:cs="Palatino Linotype" w:eastAsia="Palatino Linotype" w:hAnsi="Palatino Linotype"/>
          <w:i w:val="1"/>
          <w:sz w:val="23"/>
          <w:szCs w:val="23"/>
          <w:rtl w:val="0"/>
        </w:rPr>
        <w:t xml:space="preserve">Además, de ser necesario deberá proporcionar el Acuerdo de Clasificación donde el Comité de Transparencia, confirme la eliminación de los datos o información clasificada, en la versión pública, de conformidad con los artículos 49, fracciones II y VIII, 132, fracción II y 149 de la Ley de Transparencia y Acceso a la Información Pública del Estado de México y Municipios.” (SIC)</w:t>
      </w:r>
    </w:p>
    <w:p w:rsidR="00000000" w:rsidDel="00000000" w:rsidP="00000000" w:rsidRDefault="00000000" w:rsidRPr="00000000" w14:paraId="00000011">
      <w:pPr>
        <w:spacing w:after="0" w:lineRule="auto"/>
        <w:jc w:val="both"/>
        <w:rPr>
          <w:rFonts w:ascii="Palatino Linotype" w:cs="Palatino Linotype" w:eastAsia="Palatino Linotype" w:hAnsi="Palatino Linotype"/>
          <w:i w:val="1"/>
          <w:sz w:val="23"/>
          <w:szCs w:val="23"/>
        </w:rPr>
      </w:pPr>
      <w:r w:rsidDel="00000000" w:rsidR="00000000" w:rsidRPr="00000000">
        <w:rPr>
          <w:rtl w:val="0"/>
        </w:rPr>
      </w:r>
    </w:p>
    <w:p w:rsidR="00000000" w:rsidDel="00000000" w:rsidP="00000000" w:rsidRDefault="00000000" w:rsidRPr="00000000" w14:paraId="00000012">
      <w:pPr>
        <w:spacing w:line="360" w:lineRule="auto"/>
        <w:jc w:val="both"/>
        <w:rPr>
          <w:rFonts w:ascii="Palatino Linotype" w:cs="Palatino Linotype" w:eastAsia="Palatino Linotype" w:hAnsi="Palatino Linotype"/>
          <w:sz w:val="23"/>
          <w:szCs w:val="23"/>
        </w:rPr>
      </w:pPr>
      <w:r w:rsidDel="00000000" w:rsidR="00000000" w:rsidRPr="00000000">
        <w:rPr>
          <w:rFonts w:ascii="Palatino Linotype" w:cs="Palatino Linotype" w:eastAsia="Palatino Linotype" w:hAnsi="Palatino Linotype"/>
          <w:sz w:val="23"/>
          <w:szCs w:val="23"/>
          <w:rtl w:val="0"/>
        </w:rPr>
        <w:t xml:space="preserve">En ese sentido debe mencionarse que, tratándose de información reservada como lo son los </w:t>
      </w:r>
      <w:r w:rsidDel="00000000" w:rsidR="00000000" w:rsidRPr="00000000">
        <w:rPr>
          <w:rFonts w:ascii="Palatino Linotype" w:cs="Palatino Linotype" w:eastAsia="Palatino Linotype" w:hAnsi="Palatino Linotype"/>
          <w:b w:val="1"/>
          <w:rtl w:val="0"/>
        </w:rPr>
        <w:t xml:space="preserve">nombres de los elementos operativos de la Dirección de Seguridad Pública Municipal</w:t>
      </w:r>
      <w:r w:rsidDel="00000000" w:rsidR="00000000" w:rsidRPr="00000000">
        <w:rPr>
          <w:rFonts w:ascii="Palatino Linotype" w:cs="Palatino Linotype" w:eastAsia="Palatino Linotype" w:hAnsi="Palatino Linotype"/>
          <w:b w:val="1"/>
          <w:sz w:val="23"/>
          <w:szCs w:val="23"/>
          <w:rtl w:val="0"/>
        </w:rPr>
        <w:t xml:space="preserve">,</w:t>
      </w:r>
      <w:r w:rsidDel="00000000" w:rsidR="00000000" w:rsidRPr="00000000">
        <w:rPr>
          <w:rFonts w:ascii="Palatino Linotype" w:cs="Palatino Linotype" w:eastAsia="Palatino Linotype" w:hAnsi="Palatino Linotype"/>
          <w:sz w:val="23"/>
          <w:szCs w:val="23"/>
          <w:rtl w:val="0"/>
        </w:rPr>
        <w:t xml:space="preserve"> se deberá clasificar como información reservada aquella que sea relativa a los nombres de</w:t>
      </w: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b w:val="1"/>
          <w:rtl w:val="0"/>
        </w:rPr>
        <w:t xml:space="preserve">aquellos funcionarios públicos que realicen actividades operativas en materia de seguridad, </w:t>
      </w:r>
      <w:r w:rsidDel="00000000" w:rsidR="00000000" w:rsidRPr="00000000">
        <w:rPr>
          <w:rFonts w:ascii="Palatino Linotype" w:cs="Palatino Linotype" w:eastAsia="Palatino Linotype" w:hAnsi="Palatino Linotype"/>
          <w:sz w:val="23"/>
          <w:szCs w:val="23"/>
          <w:rtl w:val="0"/>
        </w:rPr>
        <w:t xml:space="preserve">para lo que es necesario el desarrollo de la prueba de daño,  </w:t>
      </w:r>
      <w:r w:rsidDel="00000000" w:rsidR="00000000" w:rsidRPr="00000000">
        <w:rPr>
          <w:rFonts w:ascii="Palatino Linotype" w:cs="Palatino Linotype" w:eastAsia="Palatino Linotype" w:hAnsi="Palatino Linotype"/>
          <w:b w:val="1"/>
          <w:sz w:val="23"/>
          <w:szCs w:val="23"/>
          <w:rtl w:val="0"/>
        </w:rPr>
        <w:t xml:space="preserve">debiendo valorar el daño que causaría la divulgación de la información, con la finalidad de sustentar la reserva y arribar a una determinación debidamente fundada y motivada que tenga como consecuencia la clasificación de la información, además de analizar si el periodo de clasificación resulta acorde con la naturaleza de la información requerida</w:t>
      </w:r>
      <w:r w:rsidDel="00000000" w:rsidR="00000000" w:rsidRPr="00000000">
        <w:rPr>
          <w:rFonts w:ascii="Palatino Linotype" w:cs="Palatino Linotype" w:eastAsia="Palatino Linotype" w:hAnsi="Palatino Linotype"/>
          <w:sz w:val="23"/>
          <w:szCs w:val="23"/>
          <w:rtl w:val="0"/>
        </w:rPr>
        <w:t xml:space="preserve">. En otras palabras, la determinación que confirme una clasificación debe contener un análisis exhaustivo de los elementos de forma y fondo que establecen los artículos 122, 125, 128, 129, 130, 131, 132 fracción II, 134 de la Ley de Transparencia y Acceso a la Información Pública del Estado de México y Municipios y los Lineamientos Generales en Materia de Clasificación y Desclasificación de la Información, así como para la elaboración de Versiones Públicas. </w:t>
      </w:r>
    </w:p>
    <w:p w:rsidR="00000000" w:rsidDel="00000000" w:rsidP="00000000" w:rsidRDefault="00000000" w:rsidRPr="00000000" w14:paraId="00000013">
      <w:pPr>
        <w:spacing w:line="360" w:lineRule="auto"/>
        <w:jc w:val="both"/>
        <w:rPr>
          <w:rFonts w:ascii="Palatino Linotype" w:cs="Palatino Linotype" w:eastAsia="Palatino Linotype" w:hAnsi="Palatino Linotype"/>
          <w:sz w:val="23"/>
          <w:szCs w:val="23"/>
        </w:rPr>
      </w:pPr>
      <w:r w:rsidDel="00000000" w:rsidR="00000000" w:rsidRPr="00000000">
        <w:rPr>
          <w:rFonts w:ascii="Palatino Linotype" w:cs="Palatino Linotype" w:eastAsia="Palatino Linotype" w:hAnsi="Palatino Linotype"/>
          <w:sz w:val="23"/>
          <w:szCs w:val="23"/>
          <w:rtl w:val="0"/>
        </w:rPr>
        <w:t xml:space="preserve">En esta perspectiva, el Acuerdo de Clasificación de Información tiene como propósito primordial </w:t>
      </w:r>
      <w:r w:rsidDel="00000000" w:rsidR="00000000" w:rsidRPr="00000000">
        <w:rPr>
          <w:rFonts w:ascii="Palatino Linotype" w:cs="Palatino Linotype" w:eastAsia="Palatino Linotype" w:hAnsi="Palatino Linotype"/>
          <w:b w:val="1"/>
          <w:sz w:val="23"/>
          <w:szCs w:val="23"/>
          <w:rtl w:val="0"/>
        </w:rPr>
        <w:t xml:space="preserve">que los particulares conozcan de manera completa las condiciones y circunstancias que determinaron negar el acceso a la información</w:t>
      </w:r>
      <w:r w:rsidDel="00000000" w:rsidR="00000000" w:rsidRPr="00000000">
        <w:rPr>
          <w:rFonts w:ascii="Palatino Linotype" w:cs="Palatino Linotype" w:eastAsia="Palatino Linotype" w:hAnsi="Palatino Linotype"/>
          <w:sz w:val="23"/>
          <w:szCs w:val="23"/>
          <w:rtl w:val="0"/>
        </w:rPr>
        <w:t xml:space="preserve">; a través de la adecuada fundamentación y motivación de la clasificación de información, que incluya la prueba de daño a fin de establecer el perjuicio que podría provocar la entrega de la información, toda vez que los artículos 128 y 129 de la Ley de la Materia, disponen que para que los sujetos obligados puedan invocar una causa se deberá fundar y motivar, a través de la aplicación de la prueba de daño, en la cual se justifique que la divulgación de la información representa un riesgo real demostrable e identificable al superar el interés público de que se difunda atendiendo al principio de proporcionalidad y el medio menos restrictivo disponible para evitar perjuicio. </w:t>
      </w:r>
    </w:p>
    <w:p w:rsidR="00000000" w:rsidDel="00000000" w:rsidP="00000000" w:rsidRDefault="00000000" w:rsidRPr="00000000" w14:paraId="00000014">
      <w:pPr>
        <w:spacing w:line="360" w:lineRule="auto"/>
        <w:jc w:val="both"/>
        <w:rPr>
          <w:rFonts w:ascii="Palatino Linotype" w:cs="Palatino Linotype" w:eastAsia="Palatino Linotype" w:hAnsi="Palatino Linotype"/>
          <w:sz w:val="23"/>
          <w:szCs w:val="23"/>
        </w:rPr>
      </w:pPr>
      <w:r w:rsidDel="00000000" w:rsidR="00000000" w:rsidRPr="00000000">
        <w:rPr>
          <w:rFonts w:ascii="Palatino Linotype" w:cs="Palatino Linotype" w:eastAsia="Palatino Linotype" w:hAnsi="Palatino Linotype"/>
          <w:sz w:val="23"/>
          <w:szCs w:val="23"/>
          <w:rtl w:val="0"/>
        </w:rPr>
        <w:t xml:space="preserve">Al respecto, los Lineamientos Generales en Materia de Clasificación y Desclasificación de la Información, así como para la elaboración de versiones públicas, establecen en su numeral Trigésimo Tercero que, para la aplicación de la prueba de daño los sujetos obligados atenderán lo siguiente:</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276" w:lineRule="auto"/>
        <w:ind w:left="851" w:right="899"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"Trigésimo tercero. Para la aplicación de la prueba de daño a la que hace referencia el artículo 104 de la Ley General, los sujetos obligados atenderán lo siguiente: </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276" w:lineRule="auto"/>
        <w:ind w:left="851" w:right="899"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I. Se deberá citar la fracción y, en su caso, la causal aplicable del artículo 113 de la Ley General, vinculándola con el Lineamiento especifico del presente ordenamiento y, cuando corresponda, el supuesto normativo que expresamente le otorga el carácter de información reservada;</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76" w:lineRule="auto"/>
        <w:ind w:left="851" w:right="899"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II. Mediante la ponderación de los intereses en conflicto, los sujetos obligados </w:t>
      </w:r>
      <w:r w:rsidDel="00000000" w:rsidR="00000000" w:rsidRPr="00000000">
        <w:rPr>
          <w:rFonts w:ascii="Palatino Linotype" w:cs="Palatino Linotype" w:eastAsia="Palatino Linotype" w:hAnsi="Palatino Linotype"/>
          <w:b w:val="1"/>
          <w:i w:val="1"/>
          <w:color w:val="000000"/>
          <w:rtl w:val="0"/>
        </w:rPr>
        <w:t xml:space="preserve">deberán demostrar que la publicidad de la información solicitada generaría un riesgo de perjuicio y por lo tanto, tendrán que acreditar que este último rebasa el interés público protegido por la reserva</w:t>
      </w:r>
      <w:r w:rsidDel="00000000" w:rsidR="00000000" w:rsidRPr="00000000">
        <w:rPr>
          <w:rFonts w:ascii="Palatino Linotype" w:cs="Palatino Linotype" w:eastAsia="Palatino Linotype" w:hAnsi="Palatino Linotype"/>
          <w:i w:val="1"/>
          <w:color w:val="000000"/>
          <w:rtl w:val="0"/>
        </w:rPr>
        <w:t xml:space="preserve">;</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276" w:lineRule="auto"/>
        <w:ind w:left="851" w:right="899"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III.</w:t>
        <w:tab/>
        <w:t xml:space="preserve">Se debe de acreditar el vínculo entre la difusión de la información y la afectación del interés jurídico tutelado de que se trate;</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276" w:lineRule="auto"/>
        <w:ind w:left="851" w:right="899"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IV.</w:t>
        <w:tab/>
        <w:t xml:space="preserve">Precisar las razones objetivas por las que la apertura de la información generaría una afectación, a través de los elementos de un riesgo real, demostrable e identificable;</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276" w:lineRule="auto"/>
        <w:ind w:left="851" w:right="899"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V.</w:t>
        <w:tab/>
        <w:t xml:space="preserve">En la motivación de la clasificación, </w:t>
      </w:r>
      <w:r w:rsidDel="00000000" w:rsidR="00000000" w:rsidRPr="00000000">
        <w:rPr>
          <w:rFonts w:ascii="Palatino Linotype" w:cs="Palatino Linotype" w:eastAsia="Palatino Linotype" w:hAnsi="Palatino Linotype"/>
          <w:b w:val="1"/>
          <w:i w:val="1"/>
          <w:color w:val="000000"/>
          <w:rtl w:val="0"/>
        </w:rPr>
        <w:t xml:space="preserve">el sujeto obligado deberá acreditar las circunstancias de modo, tiempo y lugar del daño</w:t>
      </w:r>
      <w:r w:rsidDel="00000000" w:rsidR="00000000" w:rsidRPr="00000000">
        <w:rPr>
          <w:rFonts w:ascii="Palatino Linotype" w:cs="Palatino Linotype" w:eastAsia="Palatino Linotype" w:hAnsi="Palatino Linotype"/>
          <w:i w:val="1"/>
          <w:color w:val="000000"/>
          <w:rtl w:val="0"/>
        </w:rPr>
        <w:t xml:space="preserve">, y</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276" w:lineRule="auto"/>
        <w:ind w:left="851" w:right="899"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VI.</w:t>
        <w:tab/>
        <w:t xml:space="preserve">Deberán elegir la opción de excepción al acceso a la información que menos lo restrinja, la cual será adecuada y proporcional para la protección del interés público, y deberá inte1ferir lo menos posible en el ejercicio efectivo del derecho de acceso a la información."(Sic)</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276" w:lineRule="auto"/>
        <w:ind w:left="851" w:right="899" w:firstLine="0"/>
        <w:jc w:val="both"/>
        <w:rPr>
          <w:rFonts w:ascii="Palatino Linotype" w:cs="Palatino Linotype" w:eastAsia="Palatino Linotype" w:hAnsi="Palatino Linotype"/>
          <w:i w:val="1"/>
          <w:color w:val="000000"/>
        </w:rPr>
      </w:pPr>
      <w:r w:rsidDel="00000000" w:rsidR="00000000" w:rsidRPr="00000000">
        <w:rPr>
          <w:rtl w:val="0"/>
        </w:rPr>
      </w:r>
    </w:p>
    <w:p w:rsidR="00000000" w:rsidDel="00000000" w:rsidP="00000000" w:rsidRDefault="00000000" w:rsidRPr="00000000" w14:paraId="0000001D">
      <w:pPr>
        <w:spacing w:line="360" w:lineRule="auto"/>
        <w:jc w:val="both"/>
        <w:rPr>
          <w:rFonts w:ascii="Palatino Linotype" w:cs="Palatino Linotype" w:eastAsia="Palatino Linotype" w:hAnsi="Palatino Linotype"/>
          <w:sz w:val="23"/>
          <w:szCs w:val="23"/>
        </w:rPr>
      </w:pPr>
      <w:r w:rsidDel="00000000" w:rsidR="00000000" w:rsidRPr="00000000">
        <w:rPr>
          <w:rFonts w:ascii="Palatino Linotype" w:cs="Palatino Linotype" w:eastAsia="Palatino Linotype" w:hAnsi="Palatino Linotype"/>
          <w:sz w:val="23"/>
          <w:szCs w:val="23"/>
          <w:rtl w:val="0"/>
        </w:rPr>
        <w:t xml:space="preserve">En conclusión, para convalidar la clasificación como información reservada, </w:t>
      </w:r>
      <w:r w:rsidDel="00000000" w:rsidR="00000000" w:rsidRPr="00000000">
        <w:rPr>
          <w:rFonts w:ascii="Palatino Linotype" w:cs="Palatino Linotype" w:eastAsia="Palatino Linotype" w:hAnsi="Palatino Linotype"/>
          <w:b w:val="1"/>
          <w:sz w:val="23"/>
          <w:szCs w:val="23"/>
          <w:rtl w:val="0"/>
        </w:rPr>
        <w:t xml:space="preserve">se debe efectuar el estudio de clasificación a la luz de los elementos que exigen los Lineamientos generales en materia de clasificación y desclasificación de la información, así como para la elaboración de versiones públicas, y efectuar un análisis exhaustivo en todos aquellos casos que restrinjan el derecho de acceso a la información de los particulares</w:t>
      </w:r>
      <w:r w:rsidDel="00000000" w:rsidR="00000000" w:rsidRPr="00000000">
        <w:rPr>
          <w:rFonts w:ascii="Palatino Linotype" w:cs="Palatino Linotype" w:eastAsia="Palatino Linotype" w:hAnsi="Palatino Linotype"/>
          <w:sz w:val="23"/>
          <w:szCs w:val="23"/>
          <w:rtl w:val="0"/>
        </w:rPr>
        <w:t xml:space="preserve">, como es la figura de la clasificación de la información para verificar que se acredita la prueba de daño.</w:t>
      </w:r>
    </w:p>
    <w:p w:rsidR="00000000" w:rsidDel="00000000" w:rsidP="00000000" w:rsidRDefault="00000000" w:rsidRPr="00000000" w14:paraId="0000001E">
      <w:pPr>
        <w:spacing w:line="360" w:lineRule="auto"/>
        <w:jc w:val="both"/>
        <w:rPr>
          <w:rFonts w:ascii="Palatino Linotype" w:cs="Palatino Linotype" w:eastAsia="Palatino Linotype" w:hAnsi="Palatino Linotype"/>
          <w:sz w:val="23"/>
          <w:szCs w:val="23"/>
        </w:rPr>
      </w:pPr>
      <w:r w:rsidDel="00000000" w:rsidR="00000000" w:rsidRPr="00000000">
        <w:rPr>
          <w:rFonts w:ascii="Palatino Linotype" w:cs="Palatino Linotype" w:eastAsia="Palatino Linotype" w:hAnsi="Palatino Linotype"/>
          <w:sz w:val="23"/>
          <w:szCs w:val="23"/>
          <w:rtl w:val="0"/>
        </w:rPr>
        <w:t xml:space="preserve">Bajo este contexto, se analizó la resolución del recurso de revisión </w:t>
      </w:r>
      <w:r w:rsidDel="00000000" w:rsidR="00000000" w:rsidRPr="00000000">
        <w:rPr>
          <w:rFonts w:ascii="Palatino Linotype" w:cs="Palatino Linotype" w:eastAsia="Palatino Linotype" w:hAnsi="Palatino Linotype"/>
          <w:b w:val="1"/>
          <w:sz w:val="23"/>
          <w:szCs w:val="23"/>
          <w:rtl w:val="0"/>
        </w:rPr>
        <w:t xml:space="preserve">10416/INFOEM/IP/RR/2022</w:t>
      </w:r>
      <w:r w:rsidDel="00000000" w:rsidR="00000000" w:rsidRPr="00000000">
        <w:rPr>
          <w:rFonts w:ascii="Palatino Linotype" w:cs="Palatino Linotype" w:eastAsia="Palatino Linotype" w:hAnsi="Palatino Linotype"/>
          <w:sz w:val="23"/>
          <w:szCs w:val="23"/>
          <w:rtl w:val="0"/>
        </w:rPr>
        <w:t xml:space="preserve">, en la cual, el Comisionado Ponente, desarrolla la prueba de daño, circunstancia que a consideración de la suscrita y derivado de lo antes señalado, </w:t>
      </w:r>
      <w:r w:rsidDel="00000000" w:rsidR="00000000" w:rsidRPr="00000000">
        <w:rPr>
          <w:rFonts w:ascii="Palatino Linotype" w:cs="Palatino Linotype" w:eastAsia="Palatino Linotype" w:hAnsi="Palatino Linotype"/>
          <w:b w:val="1"/>
          <w:sz w:val="23"/>
          <w:szCs w:val="23"/>
          <w:rtl w:val="0"/>
        </w:rPr>
        <w:t xml:space="preserve">les corresponde comprobar y desarrollar a los Sujetos Obligados</w:t>
      </w:r>
      <w:r w:rsidDel="00000000" w:rsidR="00000000" w:rsidRPr="00000000">
        <w:rPr>
          <w:rFonts w:ascii="Palatino Linotype" w:cs="Palatino Linotype" w:eastAsia="Palatino Linotype" w:hAnsi="Palatino Linotype"/>
          <w:sz w:val="23"/>
          <w:szCs w:val="23"/>
          <w:rtl w:val="0"/>
        </w:rPr>
        <w:t xml:space="preserve">, en razón de que, dentro de la Ley de Transparencia y Acceso a la Información Pública del Estado de México y Municipios, se encuentra que, para reservar una información, se debe aplicar una prueba de daño, la cual es definida por la Ley de la Materia en su artículo 3 fracción XXXII, como:</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240" w:lineRule="auto"/>
        <w:ind w:left="851" w:right="899" w:firstLine="0"/>
        <w:jc w:val="both"/>
        <w:rPr>
          <w:rFonts w:ascii="Times New Roman" w:cs="Times New Roman" w:eastAsia="Times New Roman" w:hAnsi="Times New Roman"/>
          <w:i w:val="1"/>
          <w:color w:val="000000"/>
        </w:rPr>
      </w:pPr>
      <w:r w:rsidDel="00000000" w:rsidR="00000000" w:rsidRPr="00000000">
        <w:rPr>
          <w:rFonts w:ascii="Palatino Linotype" w:cs="Palatino Linotype" w:eastAsia="Palatino Linotype" w:hAnsi="Palatino Linotype"/>
          <w:i w:val="1"/>
          <w:color w:val="000000"/>
          <w:rtl w:val="0"/>
        </w:rPr>
        <w:t xml:space="preserve">“XXXIII. Prueba de Daño: </w:t>
      </w:r>
      <w:r w:rsidDel="00000000" w:rsidR="00000000" w:rsidRPr="00000000">
        <w:rPr>
          <w:rFonts w:ascii="Palatino Linotype" w:cs="Palatino Linotype" w:eastAsia="Palatino Linotype" w:hAnsi="Palatino Linotype"/>
          <w:b w:val="1"/>
          <w:i w:val="1"/>
          <w:color w:val="000000"/>
          <w:u w:val="single"/>
          <w:rtl w:val="0"/>
        </w:rPr>
        <w:t xml:space="preserve">Responsabilidad de los sujetos obligados de demostrar de manera fundada y motivada que la divulgación de información lesiona el interés jurídicamente protegido por la Ley,</w:t>
      </w:r>
      <w:r w:rsidDel="00000000" w:rsidR="00000000" w:rsidRPr="00000000">
        <w:rPr>
          <w:rFonts w:ascii="Palatino Linotype" w:cs="Palatino Linotype" w:eastAsia="Palatino Linotype" w:hAnsi="Palatino Linotype"/>
          <w:i w:val="1"/>
          <w:color w:val="000000"/>
          <w:rtl w:val="0"/>
        </w:rPr>
        <w:t xml:space="preserve"> y que el menoscabo o daño que puede producirse con la publicidad de la información es mayor que el interés de conocerla y por consiguiente debe clasificarse como reservada…” (Sic)</w:t>
      </w:r>
      <w:r w:rsidDel="00000000" w:rsidR="00000000" w:rsidRPr="00000000">
        <w:rPr>
          <w:rtl w:val="0"/>
        </w:rPr>
      </w:r>
    </w:p>
    <w:p w:rsidR="00000000" w:rsidDel="00000000" w:rsidP="00000000" w:rsidRDefault="00000000" w:rsidRPr="00000000" w14:paraId="00000020">
      <w:pPr>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21">
      <w:pPr>
        <w:spacing w:line="360" w:lineRule="auto"/>
        <w:jc w:val="both"/>
        <w:rPr>
          <w:rFonts w:ascii="Palatino Linotype" w:cs="Palatino Linotype" w:eastAsia="Palatino Linotype" w:hAnsi="Palatino Linotype"/>
          <w:sz w:val="23"/>
          <w:szCs w:val="23"/>
        </w:rPr>
      </w:pPr>
      <w:r w:rsidDel="00000000" w:rsidR="00000000" w:rsidRPr="00000000">
        <w:rPr>
          <w:rFonts w:ascii="Palatino Linotype" w:cs="Palatino Linotype" w:eastAsia="Palatino Linotype" w:hAnsi="Palatino Linotype"/>
          <w:sz w:val="23"/>
          <w:szCs w:val="23"/>
          <w:rtl w:val="0"/>
        </w:rPr>
        <w:t xml:space="preserve">Precepto legal en donde establece que </w:t>
      </w:r>
      <w:r w:rsidDel="00000000" w:rsidR="00000000" w:rsidRPr="00000000">
        <w:rPr>
          <w:rFonts w:ascii="Palatino Linotype" w:cs="Palatino Linotype" w:eastAsia="Palatino Linotype" w:hAnsi="Palatino Linotype"/>
          <w:b w:val="1"/>
          <w:sz w:val="23"/>
          <w:szCs w:val="23"/>
          <w:rtl w:val="0"/>
        </w:rPr>
        <w:t xml:space="preserve">es obligación de los Sujeto Obligados, realizar la prueba de daño;</w:t>
      </w:r>
      <w:r w:rsidDel="00000000" w:rsidR="00000000" w:rsidRPr="00000000">
        <w:rPr>
          <w:rFonts w:ascii="Palatino Linotype" w:cs="Palatino Linotype" w:eastAsia="Palatino Linotype" w:hAnsi="Palatino Linotype"/>
          <w:sz w:val="23"/>
          <w:szCs w:val="23"/>
          <w:rtl w:val="0"/>
        </w:rPr>
        <w:t xml:space="preserve"> es decir, que los Sujetos Obligados que generan, administren o posean, la información que deba ser clasificada como información reservada por actualizar alguna causal de reserva señala en el artículo 140 de la Ley de la Materia, son responsables de aplicar la prueba de daño para demostrar que la divulgación de la información lesiona interés jurídicamente protegido por la Ley, y que el menoscabo o daño que puede producirse con la publicidad de la información es mayor que el interés de conocerla.</w:t>
      </w:r>
    </w:p>
    <w:p w:rsidR="00000000" w:rsidDel="00000000" w:rsidP="00000000" w:rsidRDefault="00000000" w:rsidRPr="00000000" w14:paraId="00000022">
      <w:pPr>
        <w:spacing w:line="360" w:lineRule="auto"/>
        <w:jc w:val="both"/>
        <w:rPr>
          <w:rFonts w:ascii="Palatino Linotype" w:cs="Palatino Linotype" w:eastAsia="Palatino Linotype" w:hAnsi="Palatino Linotype"/>
          <w:b w:val="1"/>
          <w:sz w:val="23"/>
          <w:szCs w:val="23"/>
        </w:rPr>
      </w:pPr>
      <w:r w:rsidDel="00000000" w:rsidR="00000000" w:rsidRPr="00000000">
        <w:rPr>
          <w:rFonts w:ascii="Palatino Linotype" w:cs="Palatino Linotype" w:eastAsia="Palatino Linotype" w:hAnsi="Palatino Linotype"/>
          <w:sz w:val="23"/>
          <w:szCs w:val="23"/>
          <w:rtl w:val="0"/>
        </w:rPr>
        <w:t xml:space="preserve">Esto es, que, a través de la prueba de daño, </w:t>
      </w:r>
      <w:r w:rsidDel="00000000" w:rsidR="00000000" w:rsidRPr="00000000">
        <w:rPr>
          <w:rFonts w:ascii="Palatino Linotype" w:cs="Palatino Linotype" w:eastAsia="Palatino Linotype" w:hAnsi="Palatino Linotype"/>
          <w:b w:val="1"/>
          <w:sz w:val="23"/>
          <w:szCs w:val="23"/>
          <w:rtl w:val="0"/>
        </w:rPr>
        <w:t xml:space="preserve">los sujetos obligados expongan las razones, motivos o circunstancias especiales que los lleven a concluir que la información adquiere el carácter de reservada, y se ajusta a los supuestos previstos en la normatividad como fundamento. </w:t>
      </w:r>
    </w:p>
    <w:p w:rsidR="00000000" w:rsidDel="00000000" w:rsidP="00000000" w:rsidRDefault="00000000" w:rsidRPr="00000000" w14:paraId="00000023">
      <w:pPr>
        <w:spacing w:after="240" w:before="240" w:line="360" w:lineRule="auto"/>
        <w:jc w:val="both"/>
        <w:rPr>
          <w:rFonts w:ascii="Palatino Linotype" w:cs="Palatino Linotype" w:eastAsia="Palatino Linotype" w:hAnsi="Palatino Linotype"/>
          <w:sz w:val="23"/>
          <w:szCs w:val="23"/>
        </w:rPr>
      </w:pPr>
      <w:r w:rsidDel="00000000" w:rsidR="00000000" w:rsidRPr="00000000">
        <w:rPr>
          <w:rFonts w:ascii="Palatino Linotype" w:cs="Palatino Linotype" w:eastAsia="Palatino Linotype" w:hAnsi="Palatino Linotype"/>
          <w:sz w:val="23"/>
          <w:szCs w:val="23"/>
          <w:rtl w:val="0"/>
        </w:rPr>
        <w:t xml:space="preserve">Por lo que, en opinión de la Suscrita, y en términos de lo dispuesto por la normatividad en la materia, son los Sujetos Obligados, deben aportar los elementos para desarrollar la prueba de daño necesaria y suficiente, a fin de garantizar la reserva de información y la adecuada temporalidad de esta, aportando elementos necesarios para su clasificación. </w:t>
      </w:r>
    </w:p>
    <w:p w:rsidR="00000000" w:rsidDel="00000000" w:rsidP="00000000" w:rsidRDefault="00000000" w:rsidRPr="00000000" w14:paraId="00000024">
      <w:pPr>
        <w:spacing w:after="240" w:before="240" w:line="360" w:lineRule="auto"/>
        <w:jc w:val="both"/>
        <w:rPr>
          <w:rFonts w:ascii="Palatino Linotype" w:cs="Palatino Linotype" w:eastAsia="Palatino Linotype" w:hAnsi="Palatino Linotype"/>
          <w:sz w:val="23"/>
          <w:szCs w:val="23"/>
        </w:rPr>
        <w:sectPr>
          <w:headerReference r:id="rId7" w:type="default"/>
          <w:headerReference r:id="rId8" w:type="first"/>
          <w:headerReference r:id="rId9" w:type="even"/>
          <w:footerReference r:id="rId10" w:type="default"/>
          <w:pgSz w:h="15840" w:w="12240" w:orient="portrait"/>
          <w:pgMar w:bottom="2836" w:top="1983" w:left="1985" w:right="1327" w:header="709" w:footer="586"/>
          <w:pgNumType w:start="1"/>
        </w:sectPr>
      </w:pPr>
      <w:r w:rsidDel="00000000" w:rsidR="00000000" w:rsidRPr="00000000">
        <w:rPr>
          <w:rFonts w:ascii="Palatino Linotype" w:cs="Palatino Linotype" w:eastAsia="Palatino Linotype" w:hAnsi="Palatino Linotype"/>
          <w:sz w:val="23"/>
          <w:szCs w:val="23"/>
          <w:rtl w:val="0"/>
        </w:rPr>
        <w:t xml:space="preserve">Lo expuesto, constituyen las razones y fundamentos que me llevan a emitir la opinión particular que se ha expresado. </w:t>
      </w:r>
    </w:p>
    <w:p w:rsidR="00000000" w:rsidDel="00000000" w:rsidP="00000000" w:rsidRDefault="00000000" w:rsidRPr="00000000" w14:paraId="00000025">
      <w:pPr>
        <w:spacing w:after="240" w:before="240" w:line="360" w:lineRule="auto"/>
        <w:jc w:val="both"/>
        <w:rPr>
          <w:rFonts w:ascii="Palatino Linotype" w:cs="Palatino Linotype" w:eastAsia="Palatino Linotype" w:hAnsi="Palatino Linotype"/>
          <w:sz w:val="23"/>
          <w:szCs w:val="23"/>
        </w:rPr>
      </w:pPr>
      <w:r w:rsidDel="00000000" w:rsidR="00000000" w:rsidRPr="00000000">
        <w:rPr>
          <w:rtl w:val="0"/>
        </w:rPr>
      </w:r>
    </w:p>
    <w:p w:rsidR="00000000" w:rsidDel="00000000" w:rsidP="00000000" w:rsidRDefault="00000000" w:rsidRPr="00000000" w14:paraId="00000026">
      <w:pPr>
        <w:spacing w:after="240" w:before="240" w:line="360" w:lineRule="auto"/>
        <w:jc w:val="center"/>
        <w:rPr>
          <w:rFonts w:ascii="Palatino Linotype" w:cs="Palatino Linotype" w:eastAsia="Palatino Linotype" w:hAnsi="Palatino Linotype"/>
          <w:b w:val="1"/>
          <w:sz w:val="23"/>
          <w:szCs w:val="23"/>
        </w:rPr>
      </w:pPr>
      <w:r w:rsidDel="00000000" w:rsidR="00000000" w:rsidRPr="00000000">
        <w:rPr>
          <w:rtl w:val="0"/>
        </w:rPr>
      </w:r>
    </w:p>
    <w:p w:rsidR="00000000" w:rsidDel="00000000" w:rsidP="00000000" w:rsidRDefault="00000000" w:rsidRPr="00000000" w14:paraId="00000027">
      <w:pPr>
        <w:spacing w:after="0" w:line="240" w:lineRule="auto"/>
        <w:jc w:val="center"/>
        <w:rPr>
          <w:rFonts w:ascii="Palatino Linotype" w:cs="Palatino Linotype" w:eastAsia="Palatino Linotype" w:hAnsi="Palatino Linotype"/>
          <w:sz w:val="23"/>
          <w:szCs w:val="23"/>
        </w:rPr>
      </w:pPr>
      <w:r w:rsidDel="00000000" w:rsidR="00000000" w:rsidRPr="00000000">
        <w:rPr>
          <w:rtl w:val="0"/>
        </w:rPr>
      </w:r>
    </w:p>
    <w:p w:rsidR="00000000" w:rsidDel="00000000" w:rsidP="00000000" w:rsidRDefault="00000000" w:rsidRPr="00000000" w14:paraId="00000028">
      <w:pPr>
        <w:spacing w:after="240" w:before="240" w:line="360" w:lineRule="auto"/>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sectPr>
      <w:headerReference r:id="rId11" w:type="default"/>
      <w:type w:val="nextPage"/>
      <w:pgSz w:h="15840" w:w="12240" w:orient="portrait"/>
      <w:pgMar w:bottom="2836" w:top="1871" w:left="1985" w:right="1327" w:header="709" w:footer="586"/>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pos="4419"/>
        <w:tab w:val="right" w:pos="8838"/>
      </w:tabs>
      <w:spacing w:after="0" w:line="240" w:lineRule="auto"/>
      <w:jc w:val="right"/>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de </w:t>
    </w:r>
    <w:r w:rsidDel="00000000" w:rsidR="00000000" w:rsidRPr="00000000">
      <w:rPr>
        <w:rFonts w:ascii="Arial" w:cs="Arial" w:eastAsia="Arial" w:hAnsi="Arial"/>
        <w:b w:val="1"/>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pos="4419"/>
        <w:tab w:val="right" w:pos="8838"/>
      </w:tabs>
      <w:spacing w:after="0" w:line="240" w:lineRule="auto"/>
      <w:jc w:val="right"/>
      <w:rPr>
        <w:rFonts w:ascii="Times New Roman" w:cs="Times New Roman" w:eastAsia="Times New Roman" w:hAnsi="Times New Roman"/>
        <w:color w:val="000000"/>
        <w:sz w:val="24"/>
        <w:szCs w:val="2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center" w:pos="4419"/>
        <w:tab w:val="right" w:pos="8838"/>
      </w:tabs>
      <w:spacing w:after="0" w:line="240" w:lineRule="auto"/>
      <w:ind w:left="1843" w:firstLine="0"/>
      <w:jc w:val="right"/>
      <w:rPr>
        <w:rFonts w:ascii="Arial" w:cs="Arial" w:eastAsia="Arial" w:hAnsi="Arial"/>
        <w:color w:val="000000"/>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-1114012</wp:posOffset>
          </wp:positionH>
          <wp:positionV relativeFrom="paragraph">
            <wp:posOffset>-449578</wp:posOffset>
          </wp:positionV>
          <wp:extent cx="7510628" cy="9883775"/>
          <wp:effectExtent b="0" l="0" r="0" t="0"/>
          <wp:wrapNone/>
          <wp:docPr id="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510628" cy="9883775"/>
                  </a:xfrm>
                  <a:prstGeom prst="rect"/>
                  <a:ln/>
                </pic:spPr>
              </pic:pic>
            </a:graphicData>
          </a:graphic>
        </wp:anchor>
      </w:drawing>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pos="4419"/>
        <w:tab w:val="right" w:pos="8838"/>
        <w:tab w:val="left" w:pos="5685"/>
        <w:tab w:val="right" w:pos="8928"/>
      </w:tabs>
      <w:spacing w:after="0" w:line="240" w:lineRule="auto"/>
      <w:rPr>
        <w:rFonts w:ascii="Palatino Linotype" w:cs="Palatino Linotype" w:eastAsia="Palatino Linotype" w:hAnsi="Palatino Linotype"/>
        <w:b w:val="1"/>
        <w:color w:val="000000"/>
      </w:rPr>
    </w:pPr>
    <w:r w:rsidDel="00000000" w:rsidR="00000000" w:rsidRPr="00000000">
      <w:rPr>
        <w:rFonts w:ascii="Palatino Linotype" w:cs="Palatino Linotype" w:eastAsia="Palatino Linotype" w:hAnsi="Palatino Linotype"/>
        <w:b w:val="1"/>
        <w:color w:val="000000"/>
        <w:sz w:val="20"/>
        <w:szCs w:val="20"/>
        <w:rtl w:val="0"/>
      </w:rPr>
      <w:tab/>
      <w:tab/>
      <w:tab/>
    </w:r>
    <w:r w:rsidDel="00000000" w:rsidR="00000000" w:rsidRPr="00000000">
      <w:rPr>
        <w:rFonts w:ascii="Palatino Linotype" w:cs="Palatino Linotype" w:eastAsia="Palatino Linotype" w:hAnsi="Palatino Linotype"/>
        <w:b w:val="1"/>
        <w:color w:val="000000"/>
        <w:rtl w:val="0"/>
      </w:rPr>
      <w:t xml:space="preserve">OPINIÓN PARTICULAR </w:t>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center" w:pos="4419"/>
        <w:tab w:val="right" w:pos="8838"/>
      </w:tabs>
      <w:spacing w:after="0" w:line="240" w:lineRule="auto"/>
      <w:ind w:left="1134" w:firstLine="0"/>
      <w:jc w:val="right"/>
      <w:rPr>
        <w:rFonts w:ascii="Palatino Linotype" w:cs="Palatino Linotype" w:eastAsia="Palatino Linotype" w:hAnsi="Palatino Linotype"/>
        <w:b w:val="1"/>
        <w:color w:val="000000"/>
        <w:sz w:val="18"/>
        <w:szCs w:val="18"/>
      </w:rPr>
    </w:pPr>
    <w:r w:rsidDel="00000000" w:rsidR="00000000" w:rsidRPr="00000000">
      <w:rPr>
        <w:rFonts w:ascii="Palatino Linotype" w:cs="Palatino Linotype" w:eastAsia="Palatino Linotype" w:hAnsi="Palatino Linotype"/>
        <w:b w:val="1"/>
        <w:color w:val="000000"/>
        <w:rtl w:val="0"/>
      </w:rPr>
      <w:t xml:space="preserve">RECURSO DE REVISIÓN 10416/INFOEM/IP/RR/2022</w:t>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pos="4419"/>
        <w:tab w:val="right" w:pos="8838"/>
      </w:tabs>
      <w:spacing w:after="0" w:line="240" w:lineRule="auto"/>
      <w:jc w:val="center"/>
      <w:rPr>
        <w:rFonts w:ascii="Palatino Linotype" w:cs="Palatino Linotype" w:eastAsia="Palatino Linotype" w:hAnsi="Palatino Linotype"/>
        <w:color w:val="000000"/>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pos="4419"/>
        <w:tab w:val="right" w:pos="8838"/>
      </w:tabs>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Pr>
      <w:pict>
        <v:shape id="PowerPlusWaterMarkObject2" style="position:absolute;width:518.25pt;height:111.05pt;rotation:315;z-index:-503316481;mso-position-horizontal-relative:margin;mso-position-horizontal:center;mso-position-vertical-relative:margin;mso-position-vertical:center;" fillcolor="#c45911" stroked="f" type="#_x0000_t136">
          <v:fill angle="0" opacity="32768f"/>
          <v:textpath fitshape="t" string="VOTO PARTICULAR " style="font-family:&amp;quot;&quot;&amp;quot&quot;&amp;quot;;font-size:1pt;"/>
        </v:shape>
      </w:pict>
    </w:r>
    <w:r w:rsidDel="00000000" w:rsidR="00000000" w:rsidRPr="00000000">
      <w:rPr>
        <w:rFonts w:ascii="Times New Roman" w:cs="Times New Roman" w:eastAsia="Times New Roman" w:hAnsi="Times New Roman"/>
        <w:color w:val="000000"/>
        <w:sz w:val="24"/>
        <w:szCs w:val="24"/>
      </w:rPr>
      <mc:AlternateContent>
        <mc:Choice Requires="wpg">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7511550" cy="7511550"/>
              <wp:effectExtent b="0" l="0" r="0" t="0"/>
              <wp:wrapNone/>
              <wp:docPr id="5" name=""/>
              <a:graphic>
                <a:graphicData uri="http://schemas.microsoft.com/office/word/2010/wordprocessingShape">
                  <wps:wsp>
                    <wps:cNvSpPr/>
                    <wps:cNvPr id="2" name="Shape 2"/>
                    <wps:spPr>
                      <a:xfrm rot="-2700000">
                        <a:off x="2440875" y="2945610"/>
                        <a:ext cx="5810250" cy="166878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ed7d31"/>
                              <w:sz w:val="144"/>
                              <w:vertAlign w:val="baseline"/>
                            </w:rPr>
                            <w:t xml:space="preserve">VOTO DISIDENTE</w:t>
                          </w: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7511550" cy="7511550"/>
              <wp:effectExtent b="0" l="0" r="0" t="0"/>
              <wp:wrapNone/>
              <wp:docPr id="5"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7511550" cy="7511550"/>
                      </a:xfrm>
                      <a:prstGeom prst="rect"/>
                      <a:ln/>
                    </pic:spPr>
                  </pic:pic>
                </a:graphicData>
              </a:graphic>
            </wp:anchor>
          </w:drawing>
        </mc:Fallback>
      </mc:AlternateConten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pos="4419"/>
        <w:tab w:val="right" w:pos="8838"/>
      </w:tabs>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Pr>
      <w:pict>
        <v:shape id="PowerPlusWaterMarkObject1" style="position:absolute;width:518.25pt;height:111.05pt;rotation:315;z-index:-503316481;mso-position-horizontal-relative:margin;mso-position-horizontal:center;mso-position-vertical-relative:margin;mso-position-vertical:center;" fillcolor="#c45911" stroked="f" type="#_x0000_t136">
          <v:fill angle="0" opacity="32768f"/>
          <v:textpath fitshape="t" string="VOTO PARTICULAR " style="font-family:&amp;quot;&quot;&amp;quot&quot;&amp;quot;;font-size:1pt;"/>
        </v:shape>
      </w:pict>
    </w: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pos="4419"/>
        <w:tab w:val="right" w:pos="8838"/>
      </w:tabs>
      <w:spacing w:after="0" w:line="240" w:lineRule="auto"/>
      <w:jc w:val="right"/>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pos="4419"/>
        <w:tab w:val="right" w:pos="8838"/>
      </w:tabs>
      <w:spacing w:after="0" w:line="240" w:lineRule="auto"/>
      <w:jc w:val="right"/>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pos="4419"/>
        <w:tab w:val="right" w:pos="8838"/>
      </w:tabs>
      <w:spacing w:after="0" w:line="240" w:lineRule="auto"/>
      <w:jc w:val="right"/>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pos="4419"/>
        <w:tab w:val="right" w:pos="8838"/>
        <w:tab w:val="left" w:pos="5685"/>
        <w:tab w:val="right" w:pos="8928"/>
      </w:tabs>
      <w:spacing w:after="0" w:line="240" w:lineRule="auto"/>
      <w:rPr>
        <w:rFonts w:ascii="Palatino Linotype" w:cs="Palatino Linotype" w:eastAsia="Palatino Linotype" w:hAnsi="Palatino Linotype"/>
        <w:b w:val="1"/>
        <w:color w:val="000000"/>
        <w:sz w:val="20"/>
        <w:szCs w:val="20"/>
      </w:rPr>
    </w:pPr>
    <w:r w:rsidDel="00000000" w:rsidR="00000000" w:rsidRPr="00000000">
      <w:rPr>
        <w:rFonts w:ascii="Palatino Linotype" w:cs="Palatino Linotype" w:eastAsia="Palatino Linotype" w:hAnsi="Palatino Linotype"/>
        <w:b w:val="1"/>
        <w:color w:val="000000"/>
        <w:sz w:val="20"/>
        <w:szCs w:val="20"/>
        <w:rtl w:val="0"/>
      </w:rPr>
      <w:tab/>
      <w:tab/>
      <w:tab/>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pos="4419"/>
        <w:tab w:val="right" w:pos="8838"/>
      </w:tabs>
      <w:spacing w:after="0" w:line="240" w:lineRule="auto"/>
      <w:jc w:val="right"/>
      <w:rPr>
        <w:rFonts w:ascii="Palatino Linotype" w:cs="Palatino Linotype" w:eastAsia="Palatino Linotype" w:hAnsi="Palatino Linotype"/>
        <w:color w:val="000000"/>
        <w:sz w:val="20"/>
        <w:szCs w:val="20"/>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pos="4419"/>
        <w:tab w:val="right" w:pos="8838"/>
      </w:tabs>
      <w:spacing w:after="0" w:line="240" w:lineRule="auto"/>
      <w:jc w:val="right"/>
      <w:rPr>
        <w:rFonts w:ascii="Palatino Linotype" w:cs="Palatino Linotype" w:eastAsia="Palatino Linotype" w:hAnsi="Palatino Linotype"/>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MX"/>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C91681"/>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paragraph" w:styleId="Encabezado">
    <w:name w:val="header"/>
    <w:basedOn w:val="Normal"/>
    <w:link w:val="EncabezadoCar"/>
    <w:uiPriority w:val="99"/>
    <w:unhideWhenUsed w:val="1"/>
    <w:rsid w:val="00C91681"/>
    <w:pPr>
      <w:tabs>
        <w:tab w:val="center" w:pos="4419"/>
        <w:tab w:val="right" w:pos="8838"/>
      </w:tabs>
      <w:spacing w:after="0" w:line="240" w:lineRule="auto"/>
    </w:pPr>
    <w:rPr>
      <w:rFonts w:ascii="Times New Roman" w:cs="Times New Roman" w:eastAsia="Times New Roman" w:hAnsi="Times New Roman"/>
      <w:sz w:val="24"/>
      <w:szCs w:val="24"/>
      <w:lang w:eastAsia="es-ES" w:val="es-ES"/>
    </w:rPr>
  </w:style>
  <w:style w:type="character" w:styleId="EncabezadoCar" w:customStyle="1">
    <w:name w:val="Encabezado Car"/>
    <w:basedOn w:val="Fuentedeprrafopredeter"/>
    <w:link w:val="Encabezado"/>
    <w:uiPriority w:val="99"/>
    <w:rsid w:val="00C91681"/>
    <w:rPr>
      <w:rFonts w:ascii="Times New Roman" w:cs="Times New Roman" w:eastAsia="Times New Roman" w:hAnsi="Times New Roman"/>
      <w:sz w:val="24"/>
      <w:szCs w:val="24"/>
      <w:lang w:eastAsia="es-ES" w:val="es-ES"/>
    </w:rPr>
  </w:style>
  <w:style w:type="paragraph" w:styleId="Piedepgina">
    <w:name w:val="footer"/>
    <w:basedOn w:val="Normal"/>
    <w:link w:val="PiedepginaCar"/>
    <w:uiPriority w:val="99"/>
    <w:unhideWhenUsed w:val="1"/>
    <w:rsid w:val="00C91681"/>
    <w:pPr>
      <w:tabs>
        <w:tab w:val="center" w:pos="4419"/>
        <w:tab w:val="right" w:pos="8838"/>
      </w:tabs>
      <w:spacing w:after="0" w:line="240" w:lineRule="auto"/>
    </w:pPr>
    <w:rPr>
      <w:rFonts w:ascii="Times New Roman" w:cs="Times New Roman" w:eastAsia="Times New Roman" w:hAnsi="Times New Roman"/>
      <w:sz w:val="24"/>
      <w:szCs w:val="24"/>
      <w:lang w:eastAsia="es-ES" w:val="es-ES"/>
    </w:rPr>
  </w:style>
  <w:style w:type="character" w:styleId="PiedepginaCar" w:customStyle="1">
    <w:name w:val="Pie de página Car"/>
    <w:basedOn w:val="Fuentedeprrafopredeter"/>
    <w:link w:val="Piedepgina"/>
    <w:uiPriority w:val="99"/>
    <w:rsid w:val="00C91681"/>
    <w:rPr>
      <w:rFonts w:ascii="Times New Roman" w:cs="Times New Roman" w:eastAsia="Times New Roman" w:hAnsi="Times New Roman"/>
      <w:sz w:val="24"/>
      <w:szCs w:val="24"/>
      <w:lang w:eastAsia="es-ES" w:val="es-ES"/>
    </w:rPr>
  </w:style>
  <w:style w:type="paragraph" w:styleId="NormalWeb">
    <w:name w:val="Normal (Web)"/>
    <w:basedOn w:val="Normal"/>
    <w:uiPriority w:val="99"/>
    <w:rsid w:val="00C91681"/>
    <w:pPr>
      <w:spacing w:after="100" w:afterAutospacing="1" w:before="100" w:beforeAutospacing="1" w:line="240" w:lineRule="auto"/>
    </w:pPr>
    <w:rPr>
      <w:rFonts w:ascii="Times New Roman" w:cs="Times New Roman" w:eastAsia="Times New Roman" w:hAnsi="Times New Roman"/>
      <w:sz w:val="24"/>
      <w:szCs w:val="24"/>
      <w:lang w:eastAsia="es-ES" w:val="es-ES"/>
    </w:rPr>
  </w:style>
  <w:style w:type="character" w:styleId="normaltextrun" w:customStyle="1">
    <w:name w:val="normaltextrun"/>
    <w:basedOn w:val="Fuentedeprrafopredeter"/>
    <w:rsid w:val="00C91681"/>
  </w:style>
  <w:style w:type="paragraph" w:styleId="Sinespaciado">
    <w:name w:val="No Spacing"/>
    <w:aliases w:val="Francesa"/>
    <w:link w:val="SinespaciadoCar"/>
    <w:uiPriority w:val="1"/>
    <w:qFormat w:val="1"/>
    <w:rsid w:val="00C91681"/>
    <w:pPr>
      <w:spacing w:after="0" w:line="240" w:lineRule="auto"/>
    </w:pPr>
    <w:rPr>
      <w:rFonts w:ascii="Times New Roman" w:cs="Times New Roman" w:eastAsia="Times New Roman" w:hAnsi="Times New Roman"/>
      <w:sz w:val="24"/>
      <w:szCs w:val="24"/>
      <w:lang w:eastAsia="es-ES"/>
    </w:rPr>
  </w:style>
  <w:style w:type="character" w:styleId="SinespaciadoCar" w:customStyle="1">
    <w:name w:val="Sin espaciado Car"/>
    <w:aliases w:val="Francesa Car"/>
    <w:link w:val="Sinespaciado"/>
    <w:uiPriority w:val="1"/>
    <w:locked w:val="1"/>
    <w:rsid w:val="00C91681"/>
    <w:rPr>
      <w:rFonts w:ascii="Times New Roman" w:cs="Times New Roman" w:eastAsia="Times New Roman" w:hAnsi="Times New Roman"/>
      <w:sz w:val="24"/>
      <w:szCs w:val="24"/>
      <w:lang w:eastAsia="es-ES"/>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4.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8uRuhfIN9NWWnH25owNs4K9mxHw==">AMUW2mVGSwVmBQbajdA01a77qf93PIJRZJWBA63J1KNU6OeGFnTzEDfwaLA2LN0hYcsO4XOu0OnDas+k3bm1DxIowgXptaaMjfFbdLcG5hon+o0WEfD0Gzc=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2022-06-29T23:24:00Z</dcterms:created>
  <dc:creator>USUARIO</dc:creator>
</cp:coreProperties>
</file>