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76" w:rsidRPr="00940354" w:rsidRDefault="000B2A76" w:rsidP="000B2A76">
      <w:pPr>
        <w:spacing w:before="240" w:after="240" w:line="360" w:lineRule="auto"/>
        <w:jc w:val="both"/>
        <w:rPr>
          <w:rFonts w:ascii="Palatino Linotype" w:hAnsi="Palatino Linotype"/>
          <w:b/>
          <w:sz w:val="23"/>
          <w:szCs w:val="23"/>
        </w:rPr>
      </w:pPr>
      <w:r w:rsidRPr="00940354">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VIGÉSI</w:t>
      </w:r>
      <w:r w:rsidRPr="00940354">
        <w:rPr>
          <w:rFonts w:ascii="Palatino Linotype" w:hAnsi="Palatino Linotype"/>
          <w:b/>
          <w:sz w:val="23"/>
          <w:szCs w:val="23"/>
        </w:rPr>
        <w:t xml:space="preserve">MA </w:t>
      </w:r>
      <w:r w:rsidR="00275288">
        <w:rPr>
          <w:rFonts w:ascii="Palatino Linotype" w:hAnsi="Palatino Linotype"/>
          <w:b/>
          <w:sz w:val="23"/>
          <w:szCs w:val="23"/>
        </w:rPr>
        <w:t>SEGUND</w:t>
      </w:r>
      <w:r w:rsidR="00AF1499">
        <w:rPr>
          <w:rFonts w:ascii="Palatino Linotype" w:hAnsi="Palatino Linotype"/>
          <w:b/>
          <w:sz w:val="23"/>
          <w:szCs w:val="23"/>
        </w:rPr>
        <w:t xml:space="preserve">A </w:t>
      </w:r>
      <w:r w:rsidRPr="00940354">
        <w:rPr>
          <w:rFonts w:ascii="Palatino Linotype" w:hAnsi="Palatino Linotype"/>
          <w:b/>
          <w:sz w:val="23"/>
          <w:szCs w:val="23"/>
        </w:rPr>
        <w:t xml:space="preserve">SESIÓN ORDINARIA DEL </w:t>
      </w:r>
      <w:r w:rsidR="00275288">
        <w:rPr>
          <w:rFonts w:ascii="Palatino Linotype" w:hAnsi="Palatino Linotype"/>
          <w:b/>
          <w:sz w:val="23"/>
          <w:szCs w:val="23"/>
        </w:rPr>
        <w:t>QUINCE</w:t>
      </w:r>
      <w:r>
        <w:rPr>
          <w:rFonts w:ascii="Palatino Linotype" w:hAnsi="Palatino Linotype"/>
          <w:b/>
          <w:sz w:val="23"/>
          <w:szCs w:val="23"/>
        </w:rPr>
        <w:t xml:space="preserve"> DE JUNI</w:t>
      </w:r>
      <w:r w:rsidRPr="00940354">
        <w:rPr>
          <w:rFonts w:ascii="Palatino Linotype" w:hAnsi="Palatino Linotype"/>
          <w:b/>
          <w:sz w:val="23"/>
          <w:szCs w:val="23"/>
        </w:rPr>
        <w:t>O DE DOS MIL VEINTIDÓS, EN EL RECURSO DE REVISIÓN 0</w:t>
      </w:r>
      <w:r w:rsidR="00275288">
        <w:rPr>
          <w:rFonts w:ascii="Palatino Linotype" w:hAnsi="Palatino Linotype"/>
          <w:b/>
          <w:sz w:val="23"/>
          <w:szCs w:val="23"/>
        </w:rPr>
        <w:t>3646</w:t>
      </w:r>
      <w:r w:rsidRPr="00940354">
        <w:rPr>
          <w:rFonts w:ascii="Palatino Linotype" w:hAnsi="Palatino Linotype"/>
          <w:b/>
          <w:sz w:val="23"/>
          <w:szCs w:val="23"/>
        </w:rPr>
        <w:t>/INFOEM/IP/RR/2022.</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El pleno del Instituto de Transparencia, Acceso a la Información Pública y Protección de Datos Personales del Estado de México y Municipios, aprobó por </w:t>
      </w:r>
      <w:r w:rsidR="00AF1499">
        <w:rPr>
          <w:rFonts w:ascii="Palatino Linotype" w:hAnsi="Palatino Linotype"/>
          <w:sz w:val="23"/>
          <w:szCs w:val="23"/>
        </w:rPr>
        <w:t>unanimidad</w:t>
      </w:r>
      <w:r w:rsidR="00D36CD9">
        <w:rPr>
          <w:rFonts w:ascii="Palatino Linotype" w:hAnsi="Palatino Linotype"/>
          <w:sz w:val="23"/>
          <w:szCs w:val="23"/>
        </w:rPr>
        <w:t xml:space="preserve"> </w:t>
      </w:r>
      <w:r w:rsidRPr="00940354">
        <w:rPr>
          <w:rFonts w:ascii="Palatino Linotype" w:hAnsi="Palatino Linotype"/>
          <w:sz w:val="23"/>
          <w:szCs w:val="23"/>
        </w:rPr>
        <w:t xml:space="preserve">de votos, la resolución relativa al recurso de revisión </w:t>
      </w:r>
      <w:r w:rsidR="00275288">
        <w:rPr>
          <w:rFonts w:ascii="Palatino Linotype" w:hAnsi="Palatino Linotype"/>
          <w:b/>
          <w:sz w:val="23"/>
          <w:szCs w:val="23"/>
        </w:rPr>
        <w:t>03646</w:t>
      </w:r>
      <w:r w:rsidRPr="00D36CD9">
        <w:rPr>
          <w:rFonts w:ascii="Palatino Linotype" w:hAnsi="Palatino Linotype"/>
          <w:b/>
          <w:sz w:val="23"/>
          <w:szCs w:val="23"/>
        </w:rPr>
        <w:t>/INFOEM/IP/RR/2022,</w:t>
      </w:r>
      <w:r w:rsidRPr="00940354">
        <w:rPr>
          <w:rFonts w:ascii="Palatino Linotype" w:hAnsi="Palatino Linotype"/>
          <w:sz w:val="23"/>
          <w:szCs w:val="23"/>
        </w:rPr>
        <w:t xml:space="preserve"> presentada por el Comisionado Luis Gustavo Parra Noriega, respecto de la cual, la suscrita formula </w:t>
      </w:r>
      <w:r w:rsidRPr="00D36CD9">
        <w:rPr>
          <w:rFonts w:ascii="Palatino Linotype" w:hAnsi="Palatino Linotype"/>
          <w:b/>
          <w:sz w:val="23"/>
          <w:szCs w:val="23"/>
        </w:rPr>
        <w:t>OPINIÓN  PARTICULAR</w:t>
      </w:r>
      <w:r w:rsidRPr="00940354">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AF1499"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En el caso concreto el hoy Recurrente requirió al </w:t>
      </w:r>
      <w:r w:rsidR="00275288" w:rsidRPr="00275288">
        <w:rPr>
          <w:rFonts w:ascii="Palatino Linotype" w:hAnsi="Palatino Linotype"/>
          <w:sz w:val="23"/>
          <w:szCs w:val="23"/>
        </w:rPr>
        <w:t>Ayuntamiento de Atlacomulco</w:t>
      </w:r>
      <w:r w:rsidRPr="00940354">
        <w:rPr>
          <w:rFonts w:ascii="Palatino Linotype" w:hAnsi="Palatino Linotype"/>
          <w:sz w:val="23"/>
          <w:szCs w:val="23"/>
        </w:rPr>
        <w:t xml:space="preserve">, que en esencia se le proporcionara </w:t>
      </w:r>
      <w:r w:rsidR="00275288" w:rsidRPr="00275288">
        <w:rPr>
          <w:rFonts w:ascii="Palatino Linotype" w:hAnsi="Palatino Linotype"/>
          <w:sz w:val="23"/>
          <w:szCs w:val="23"/>
        </w:rPr>
        <w:t xml:space="preserve">soporte documental de todas y cada una de las actividades de los servidores públicos adscritos al jurídico del 1 de enero de 2022 a la fecha de </w:t>
      </w:r>
      <w:r w:rsidR="00275288" w:rsidRPr="00275288">
        <w:rPr>
          <w:rFonts w:ascii="Palatino Linotype" w:hAnsi="Palatino Linotype"/>
          <w:sz w:val="23"/>
          <w:szCs w:val="23"/>
        </w:rPr>
        <w:lastRenderedPageBreak/>
        <w:t>contestación</w:t>
      </w:r>
      <w:r w:rsidR="00275288">
        <w:rPr>
          <w:rFonts w:ascii="Palatino Linotype" w:hAnsi="Palatino Linotype"/>
          <w:sz w:val="23"/>
          <w:szCs w:val="23"/>
        </w:rPr>
        <w:t>, requiriendo además</w:t>
      </w:r>
      <w:r w:rsidR="00275288" w:rsidRPr="00275288">
        <w:rPr>
          <w:rFonts w:ascii="Palatino Linotype" w:hAnsi="Palatino Linotype"/>
          <w:sz w:val="23"/>
          <w:szCs w:val="23"/>
        </w:rPr>
        <w:t xml:space="preserve"> todas y cada una de las actuaciones, promociones, contestaciones que hayan realizado, </w:t>
      </w:r>
      <w:r w:rsidR="00275288">
        <w:rPr>
          <w:rFonts w:ascii="Palatino Linotype" w:hAnsi="Palatino Linotype"/>
          <w:sz w:val="23"/>
          <w:szCs w:val="23"/>
        </w:rPr>
        <w:t xml:space="preserve">así como </w:t>
      </w:r>
      <w:r w:rsidR="00275288" w:rsidRPr="00275288">
        <w:rPr>
          <w:rFonts w:ascii="Palatino Linotype" w:hAnsi="Palatino Linotype"/>
          <w:sz w:val="23"/>
          <w:szCs w:val="23"/>
        </w:rPr>
        <w:t>referir los juicios laborales, administrativos</w:t>
      </w:r>
      <w:r w:rsidR="00275288">
        <w:rPr>
          <w:rFonts w:ascii="Palatino Linotype" w:hAnsi="Palatino Linotype"/>
          <w:sz w:val="23"/>
          <w:szCs w:val="23"/>
        </w:rPr>
        <w:t xml:space="preserve"> y los amparos </w:t>
      </w:r>
      <w:r w:rsidR="00275288" w:rsidRPr="00275288">
        <w:rPr>
          <w:rFonts w:ascii="Palatino Linotype" w:hAnsi="Palatino Linotype"/>
          <w:sz w:val="23"/>
          <w:szCs w:val="23"/>
        </w:rPr>
        <w:t>de los cuales forme parte el ayuntamiento señalando el expediente y estado procesal de cada uno</w:t>
      </w:r>
      <w:r w:rsidR="00AF1499">
        <w:rPr>
          <w:rFonts w:ascii="Palatino Linotype" w:hAnsi="Palatino Linotype"/>
          <w:sz w:val="23"/>
          <w:szCs w:val="23"/>
        </w:rPr>
        <w:t xml:space="preserve">. </w:t>
      </w:r>
    </w:p>
    <w:p w:rsidR="00275288" w:rsidRDefault="000B2A76" w:rsidP="000B2A76">
      <w:pPr>
        <w:spacing w:before="240" w:after="240" w:line="360" w:lineRule="auto"/>
        <w:jc w:val="both"/>
        <w:rPr>
          <w:rFonts w:ascii="Palatino Linotype" w:hAnsi="Palatino Linotype"/>
          <w:sz w:val="24"/>
          <w:szCs w:val="24"/>
        </w:rPr>
      </w:pPr>
      <w:r w:rsidRPr="000B2A76">
        <w:rPr>
          <w:rFonts w:ascii="Palatino Linotype" w:hAnsi="Palatino Linotype"/>
          <w:sz w:val="24"/>
          <w:szCs w:val="24"/>
        </w:rPr>
        <w:t xml:space="preserve">El Sujeto Obligado, proporciona respuesta, remitiendo </w:t>
      </w:r>
      <w:r w:rsidR="00275288">
        <w:rPr>
          <w:rFonts w:ascii="Palatino Linotype" w:hAnsi="Palatino Linotype"/>
          <w:sz w:val="24"/>
          <w:szCs w:val="24"/>
        </w:rPr>
        <w:t>los siguientes soportes documentales:</w:t>
      </w:r>
    </w:p>
    <w:p w:rsidR="00275288" w:rsidRPr="00275288" w:rsidRDefault="00275288" w:rsidP="00275288">
      <w:pPr>
        <w:numPr>
          <w:ilvl w:val="0"/>
          <w:numId w:val="4"/>
        </w:numPr>
        <w:autoSpaceDE w:val="0"/>
        <w:autoSpaceDN w:val="0"/>
        <w:adjustRightInd w:val="0"/>
        <w:spacing w:after="0" w:line="360" w:lineRule="auto"/>
        <w:ind w:left="567" w:right="990" w:hanging="141"/>
        <w:contextualSpacing/>
        <w:jc w:val="both"/>
        <w:rPr>
          <w:rFonts w:ascii="Palatino Linotype" w:eastAsia="Times New Roman" w:hAnsi="Palatino Linotype" w:cs="Tahoma"/>
          <w:bCs/>
          <w:sz w:val="24"/>
          <w:lang w:eastAsia="es-ES"/>
        </w:rPr>
      </w:pPr>
      <w:bookmarkStart w:id="0" w:name="_Hlk105611386"/>
      <w:r w:rsidRPr="00275288">
        <w:rPr>
          <w:rFonts w:ascii="Palatino Linotype" w:eastAsia="Times New Roman" w:hAnsi="Palatino Linotype" w:cs="Tahoma"/>
          <w:b/>
          <w:bCs/>
          <w:sz w:val="24"/>
          <w:lang w:eastAsia="es-ES"/>
        </w:rPr>
        <w:t xml:space="preserve">0064_RES_2022.pdf: </w:t>
      </w:r>
      <w:r w:rsidRPr="00275288">
        <w:rPr>
          <w:rFonts w:ascii="Palatino Linotype" w:eastAsia="Times New Roman" w:hAnsi="Palatino Linotype" w:cs="Tahoma"/>
          <w:bCs/>
          <w:sz w:val="24"/>
          <w:lang w:eastAsia="es-ES"/>
        </w:rPr>
        <w:t xml:space="preserve">Oficio de fecha uno de marzo de dos mil veintidós, signado por el Coordinador de Asuntos Jurídicos, mediante el cual informa que respecto al soporte documental de las actividades de los servidores públicos adscritos al jurídico, se tiene que estos realizan sus actividades conforme al manual de procedimientos y organización de dicha coordinación, los cuales se pueden consultar en las siguientes ligas electrónicas: </w:t>
      </w:r>
      <w:hyperlink r:id="rId7" w:history="1">
        <w:r w:rsidRPr="00275288">
          <w:rPr>
            <w:rFonts w:ascii="Palatino Linotype" w:eastAsia="Times New Roman" w:hAnsi="Palatino Linotype" w:cs="Tahoma"/>
            <w:bCs/>
            <w:color w:val="0563C1" w:themeColor="hyperlink"/>
            <w:sz w:val="24"/>
            <w:u w:val="single"/>
            <w:lang w:eastAsia="es-ES"/>
          </w:rPr>
          <w:t>https://atlacomulco.gob.mx/documentos/MejoraRegulatoria/Catalogo%20Municipal%20de%20Regulaciones/3%20Municipales/Secretar/C3%ADa%20del%20Ayuntamiento%20(Manual%20de%20Organizaci%C3%B3n).pdf</w:t>
        </w:r>
      </w:hyperlink>
      <w:r w:rsidRPr="00275288">
        <w:rPr>
          <w:rFonts w:ascii="Palatino Linotype" w:eastAsia="Times New Roman" w:hAnsi="Palatino Linotype" w:cs="Tahoma"/>
          <w:bCs/>
          <w:sz w:val="24"/>
          <w:lang w:eastAsia="es-ES"/>
        </w:rPr>
        <w:t xml:space="preserve"> y </w:t>
      </w:r>
      <w:hyperlink r:id="rId8" w:history="1">
        <w:r w:rsidRPr="00275288">
          <w:rPr>
            <w:rFonts w:ascii="Palatino Linotype" w:eastAsia="Times New Roman" w:hAnsi="Palatino Linotype" w:cs="Tahoma"/>
            <w:bCs/>
            <w:color w:val="0563C1" w:themeColor="hyperlink"/>
            <w:sz w:val="24"/>
            <w:u w:val="single"/>
            <w:lang w:eastAsia="es-ES"/>
          </w:rPr>
          <w:t>https://atlacomulco.gob.mx/documentos/MejoraRegulatoria/Catalogo%20Municipal%20de%20Regulaciones/3%20Municipales/Secretar/C3%ADa%20del%20Ayuntamiento%20(Manual%20de%20Procedimientos).pdf</w:t>
        </w:r>
      </w:hyperlink>
      <w:r w:rsidRPr="00275288">
        <w:rPr>
          <w:rFonts w:ascii="Palatino Linotype" w:eastAsia="Times New Roman" w:hAnsi="Palatino Linotype" w:cs="Tahoma"/>
          <w:bCs/>
          <w:sz w:val="24"/>
          <w:lang w:eastAsia="es-ES"/>
        </w:rPr>
        <w:t xml:space="preserve">, asimismo, respecto a los juicios laborales, administrativos y los amparos de los cuales forma parte el Ayuntamiento, donde se </w:t>
      </w:r>
      <w:r w:rsidRPr="00275288">
        <w:rPr>
          <w:rFonts w:ascii="Palatino Linotype" w:eastAsia="Times New Roman" w:hAnsi="Palatino Linotype" w:cs="Tahoma"/>
          <w:bCs/>
          <w:sz w:val="24"/>
          <w:lang w:eastAsia="es-ES"/>
        </w:rPr>
        <w:lastRenderedPageBreak/>
        <w:t>señale el expediente y estado procesal de cada uno, el Sujeto Obli</w:t>
      </w:r>
      <w:r>
        <w:rPr>
          <w:rFonts w:ascii="Palatino Linotype" w:eastAsia="Times New Roman" w:hAnsi="Palatino Linotype" w:cs="Tahoma"/>
          <w:bCs/>
          <w:sz w:val="24"/>
          <w:lang w:eastAsia="es-ES"/>
        </w:rPr>
        <w:t>gado remitió una tabla en la que se detalla el número de expediente, juicio y estatus.</w:t>
      </w:r>
      <w:r w:rsidRPr="00275288">
        <w:rPr>
          <w:rFonts w:ascii="Palatino Linotype" w:eastAsia="Times New Roman" w:hAnsi="Palatino Linotype" w:cs="Tahoma"/>
          <w:bCs/>
          <w:sz w:val="24"/>
          <w:lang w:eastAsia="es-ES"/>
        </w:rPr>
        <w:t xml:space="preserve"> </w:t>
      </w:r>
    </w:p>
    <w:bookmarkEnd w:id="0"/>
    <w:p w:rsidR="004A63C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Ante la respuesta proporcionada por el Sujeto Obliga</w:t>
      </w:r>
      <w:r w:rsidR="00275288">
        <w:rPr>
          <w:rFonts w:ascii="Palatino Linotype" w:hAnsi="Palatino Linotype"/>
          <w:sz w:val="23"/>
          <w:szCs w:val="23"/>
        </w:rPr>
        <w:t>do, el particular se inconforma, por la totalidad de la misma</w:t>
      </w:r>
      <w:r w:rsidR="004A63C4">
        <w:rPr>
          <w:rFonts w:ascii="Palatino Linotype" w:hAnsi="Palatino Linotype"/>
          <w:sz w:val="23"/>
          <w:szCs w:val="23"/>
        </w:rPr>
        <w:t>.</w:t>
      </w:r>
    </w:p>
    <w:p w:rsidR="000B2A76" w:rsidRPr="00D36CD9" w:rsidRDefault="00AF1499" w:rsidP="00D36CD9">
      <w:pPr>
        <w:spacing w:before="240" w:after="240" w:line="360" w:lineRule="auto"/>
        <w:jc w:val="both"/>
        <w:rPr>
          <w:rFonts w:ascii="Palatino Linotype" w:hAnsi="Palatino Linotype"/>
          <w:sz w:val="24"/>
          <w:lang w:val="es-ES_tradnl"/>
        </w:rPr>
      </w:pPr>
      <w:r>
        <w:rPr>
          <w:rFonts w:ascii="Palatino Linotype" w:hAnsi="Palatino Linotype"/>
          <w:sz w:val="24"/>
        </w:rPr>
        <w:t xml:space="preserve">Es de señalar que el Sujeto Obligado </w:t>
      </w:r>
      <w:r w:rsidR="00275288">
        <w:rPr>
          <w:rFonts w:ascii="Palatino Linotype" w:hAnsi="Palatino Linotype"/>
          <w:sz w:val="24"/>
        </w:rPr>
        <w:t xml:space="preserve">rindió </w:t>
      </w:r>
      <w:r w:rsidR="000B2A76" w:rsidRPr="00940354">
        <w:rPr>
          <w:rFonts w:ascii="Palatino Linotype" w:hAnsi="Palatino Linotype"/>
          <w:sz w:val="24"/>
        </w:rPr>
        <w:t>Informe Justificado</w:t>
      </w:r>
      <w:r w:rsidR="00275288">
        <w:rPr>
          <w:rFonts w:ascii="Palatino Linotype" w:hAnsi="Palatino Linotype"/>
          <w:sz w:val="24"/>
        </w:rPr>
        <w:t xml:space="preserve"> en el que medularmente ratificó su respuesta inicial</w:t>
      </w:r>
      <w:r w:rsidR="000B2A76" w:rsidRPr="00940354">
        <w:rPr>
          <w:rFonts w:ascii="Palatino Linotype" w:hAnsi="Palatino Linotype"/>
          <w:sz w:val="24"/>
        </w:rPr>
        <w:t xml:space="preserve">, </w:t>
      </w:r>
      <w:r>
        <w:rPr>
          <w:rFonts w:ascii="Palatino Linotype" w:hAnsi="Palatino Linotype"/>
          <w:sz w:val="24"/>
        </w:rPr>
        <w:t>asimismo el particular no remitió manifestaciones o cualquier tipo de manifestación que a su derecho conviniera.</w:t>
      </w:r>
      <w:r w:rsidR="000B2A76">
        <w:rPr>
          <w:rFonts w:ascii="Palatino Linotype" w:eastAsia="Arial Unicode MS" w:hAnsi="Palatino Linotype" w:cs="Arial Unicode MS"/>
          <w:iCs/>
          <w:sz w:val="24"/>
          <w:lang w:val="es-ES"/>
        </w:rPr>
        <w:t xml:space="preserve"> </w:t>
      </w:r>
    </w:p>
    <w:p w:rsidR="00AF1499" w:rsidRDefault="000B2A76" w:rsidP="004A63C4">
      <w:pPr>
        <w:autoSpaceDE w:val="0"/>
        <w:autoSpaceDN w:val="0"/>
        <w:adjustRightInd w:val="0"/>
        <w:spacing w:line="360" w:lineRule="auto"/>
        <w:contextualSpacing/>
        <w:jc w:val="both"/>
        <w:rPr>
          <w:rFonts w:ascii="Palatino Linotype" w:hAnsi="Palatino Linotype"/>
          <w:sz w:val="23"/>
          <w:szCs w:val="23"/>
        </w:rPr>
      </w:pPr>
      <w:r>
        <w:rPr>
          <w:rFonts w:ascii="Palatino Linotype" w:hAnsi="Palatino Linotype"/>
          <w:sz w:val="23"/>
          <w:szCs w:val="23"/>
        </w:rPr>
        <w:t xml:space="preserve">Por lo que, previo análisis de las constancias y de la naturaleza de la información, la Ponencia determinó </w:t>
      </w:r>
      <w:r w:rsidR="00275288">
        <w:rPr>
          <w:rFonts w:ascii="Palatino Linotype" w:hAnsi="Palatino Linotype"/>
          <w:sz w:val="23"/>
          <w:szCs w:val="23"/>
        </w:rPr>
        <w:t>modifi</w:t>
      </w:r>
      <w:r w:rsidR="00AF1499">
        <w:rPr>
          <w:rFonts w:ascii="Palatino Linotype" w:hAnsi="Palatino Linotype"/>
          <w:sz w:val="23"/>
          <w:szCs w:val="23"/>
        </w:rPr>
        <w:t xml:space="preserve">car la respuesta y posteriormente </w:t>
      </w:r>
      <w:r>
        <w:rPr>
          <w:rFonts w:ascii="Palatino Linotype" w:hAnsi="Palatino Linotype"/>
          <w:sz w:val="23"/>
          <w:szCs w:val="23"/>
        </w:rPr>
        <w:t>en su resolutivo SEGUNDO o</w:t>
      </w:r>
      <w:r w:rsidRPr="00C1580A">
        <w:rPr>
          <w:rFonts w:ascii="Palatino Linotype" w:hAnsi="Palatino Linotype"/>
          <w:sz w:val="23"/>
          <w:szCs w:val="23"/>
        </w:rPr>
        <w:t xml:space="preserve">rdenar </w:t>
      </w:r>
      <w:r w:rsidR="00AF1499">
        <w:rPr>
          <w:rFonts w:ascii="Palatino Linotype" w:hAnsi="Palatino Linotype"/>
          <w:sz w:val="23"/>
          <w:szCs w:val="23"/>
        </w:rPr>
        <w:t>lo siguiente:</w:t>
      </w:r>
    </w:p>
    <w:p w:rsidR="00AF1499"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rsidR="00275288" w:rsidRPr="00275288" w:rsidRDefault="00AF1499" w:rsidP="00275288">
      <w:pPr>
        <w:autoSpaceDE w:val="0"/>
        <w:autoSpaceDN w:val="0"/>
        <w:adjustRightInd w:val="0"/>
        <w:spacing w:line="276" w:lineRule="auto"/>
        <w:ind w:left="567" w:right="990"/>
        <w:contextualSpacing/>
        <w:jc w:val="both"/>
        <w:rPr>
          <w:rFonts w:ascii="Palatino Linotype" w:hAnsi="Palatino Linotype"/>
          <w:bCs/>
          <w:i/>
          <w:szCs w:val="23"/>
          <w:lang w:val="es-ES"/>
        </w:rPr>
      </w:pPr>
      <w:r>
        <w:rPr>
          <w:rFonts w:ascii="Palatino Linotype" w:hAnsi="Palatino Linotype"/>
          <w:b/>
          <w:bCs/>
          <w:i/>
          <w:szCs w:val="23"/>
        </w:rPr>
        <w:t>“</w:t>
      </w:r>
      <w:r w:rsidR="00275288" w:rsidRPr="00275288">
        <w:rPr>
          <w:rFonts w:ascii="Palatino Linotype" w:hAnsi="Palatino Linotype"/>
          <w:b/>
          <w:bCs/>
          <w:i/>
          <w:szCs w:val="23"/>
        </w:rPr>
        <w:t xml:space="preserve">SEGUNDO. Se ORDENA al Ayuntamiento de Atlacomulco, </w:t>
      </w:r>
      <w:r w:rsidR="00275288" w:rsidRPr="00275288">
        <w:rPr>
          <w:rFonts w:ascii="Palatino Linotype" w:hAnsi="Palatino Linotype"/>
          <w:bCs/>
          <w:i/>
          <w:szCs w:val="23"/>
        </w:rPr>
        <w:t xml:space="preserve">entregue a través del </w:t>
      </w:r>
      <w:r w:rsidR="00275288" w:rsidRPr="00275288">
        <w:rPr>
          <w:rFonts w:ascii="Palatino Linotype" w:hAnsi="Palatino Linotype"/>
          <w:bCs/>
          <w:i/>
          <w:szCs w:val="23"/>
          <w:lang w:val="es-ES"/>
        </w:rPr>
        <w:t>Sistema de Acceso a la Información Mexiquense (SAIMEX), la siguiente información:</w:t>
      </w:r>
    </w:p>
    <w:p w:rsidR="00275288" w:rsidRPr="00275288" w:rsidRDefault="00275288" w:rsidP="00275288">
      <w:pPr>
        <w:autoSpaceDE w:val="0"/>
        <w:autoSpaceDN w:val="0"/>
        <w:adjustRightInd w:val="0"/>
        <w:spacing w:line="276" w:lineRule="auto"/>
        <w:ind w:left="567" w:right="990"/>
        <w:contextualSpacing/>
        <w:jc w:val="both"/>
        <w:rPr>
          <w:rFonts w:ascii="Palatino Linotype" w:hAnsi="Palatino Linotype"/>
          <w:bCs/>
          <w:i/>
          <w:szCs w:val="23"/>
          <w:lang w:val="es-ES"/>
        </w:rPr>
      </w:pPr>
    </w:p>
    <w:p w:rsidR="00275288" w:rsidRPr="00275288" w:rsidRDefault="00275288" w:rsidP="00275288">
      <w:pPr>
        <w:numPr>
          <w:ilvl w:val="0"/>
          <w:numId w:val="5"/>
        </w:numPr>
        <w:autoSpaceDE w:val="0"/>
        <w:autoSpaceDN w:val="0"/>
        <w:adjustRightInd w:val="0"/>
        <w:spacing w:line="276" w:lineRule="auto"/>
        <w:ind w:right="990"/>
        <w:contextualSpacing/>
        <w:jc w:val="both"/>
        <w:rPr>
          <w:rFonts w:ascii="Palatino Linotype" w:hAnsi="Palatino Linotype"/>
          <w:bCs/>
          <w:i/>
          <w:szCs w:val="23"/>
          <w:lang w:val="es-ES"/>
        </w:rPr>
      </w:pPr>
      <w:r w:rsidRPr="00275288">
        <w:rPr>
          <w:rFonts w:ascii="Palatino Linotype" w:hAnsi="Palatino Linotype"/>
          <w:bCs/>
          <w:i/>
          <w:iCs/>
          <w:szCs w:val="23"/>
        </w:rPr>
        <w:t>Manuales de Organización y Procedimientos de la Coordinación de Asuntos Jurídicos</w:t>
      </w:r>
      <w:r w:rsidRPr="00275288">
        <w:rPr>
          <w:rFonts w:ascii="Palatino Linotype" w:hAnsi="Palatino Linotype"/>
          <w:bCs/>
          <w:i/>
          <w:szCs w:val="23"/>
          <w:lang w:val="es-ES"/>
        </w:rPr>
        <w:t xml:space="preserve"> (remitidos en respuesta)</w:t>
      </w:r>
    </w:p>
    <w:p w:rsidR="00275288" w:rsidRPr="00275288" w:rsidRDefault="00275288" w:rsidP="00275288">
      <w:pPr>
        <w:autoSpaceDE w:val="0"/>
        <w:autoSpaceDN w:val="0"/>
        <w:adjustRightInd w:val="0"/>
        <w:spacing w:line="276" w:lineRule="auto"/>
        <w:ind w:left="567" w:right="990"/>
        <w:contextualSpacing/>
        <w:jc w:val="both"/>
        <w:rPr>
          <w:rFonts w:ascii="Palatino Linotype" w:hAnsi="Palatino Linotype"/>
          <w:bCs/>
          <w:i/>
          <w:szCs w:val="23"/>
          <w:lang w:val="es-ES"/>
        </w:rPr>
      </w:pPr>
    </w:p>
    <w:p w:rsidR="00275288" w:rsidRPr="00275288" w:rsidRDefault="00275288" w:rsidP="00275288">
      <w:pPr>
        <w:numPr>
          <w:ilvl w:val="0"/>
          <w:numId w:val="5"/>
        </w:numPr>
        <w:autoSpaceDE w:val="0"/>
        <w:autoSpaceDN w:val="0"/>
        <w:adjustRightInd w:val="0"/>
        <w:spacing w:line="276" w:lineRule="auto"/>
        <w:ind w:right="990"/>
        <w:contextualSpacing/>
        <w:jc w:val="both"/>
        <w:rPr>
          <w:rFonts w:ascii="Palatino Linotype" w:hAnsi="Palatino Linotype"/>
          <w:bCs/>
          <w:i/>
          <w:szCs w:val="23"/>
          <w:lang w:val="es-ES"/>
        </w:rPr>
      </w:pPr>
      <w:r w:rsidRPr="00275288">
        <w:rPr>
          <w:rFonts w:ascii="Palatino Linotype" w:hAnsi="Palatino Linotype"/>
          <w:bCs/>
          <w:i/>
          <w:szCs w:val="23"/>
          <w:lang w:val="es-ES"/>
        </w:rPr>
        <w:t>En su caso, versión pública de los documentos que den cuenta del ejercicio de facultades, competencias y funciones de la Coordinación de Asuntos Jurídicos, del uno de enero al once de febrero de dos mil veintidós, y</w:t>
      </w:r>
    </w:p>
    <w:p w:rsidR="00275288" w:rsidRPr="00275288" w:rsidRDefault="00275288" w:rsidP="00275288">
      <w:pPr>
        <w:autoSpaceDE w:val="0"/>
        <w:autoSpaceDN w:val="0"/>
        <w:adjustRightInd w:val="0"/>
        <w:spacing w:line="276" w:lineRule="auto"/>
        <w:ind w:left="567" w:right="990"/>
        <w:contextualSpacing/>
        <w:jc w:val="both"/>
        <w:rPr>
          <w:rFonts w:ascii="Palatino Linotype" w:hAnsi="Palatino Linotype"/>
          <w:bCs/>
          <w:i/>
          <w:iCs/>
          <w:szCs w:val="23"/>
          <w:lang w:val="es-ES"/>
        </w:rPr>
      </w:pPr>
    </w:p>
    <w:p w:rsidR="00275288" w:rsidRPr="00275288" w:rsidRDefault="00275288" w:rsidP="00275288">
      <w:pPr>
        <w:autoSpaceDE w:val="0"/>
        <w:autoSpaceDN w:val="0"/>
        <w:adjustRightInd w:val="0"/>
        <w:spacing w:line="276" w:lineRule="auto"/>
        <w:ind w:left="567" w:right="990"/>
        <w:contextualSpacing/>
        <w:jc w:val="both"/>
        <w:rPr>
          <w:rFonts w:ascii="Palatino Linotype" w:hAnsi="Palatino Linotype"/>
          <w:bCs/>
          <w:i/>
          <w:iCs/>
          <w:szCs w:val="23"/>
          <w:lang w:val="es-ES"/>
        </w:rPr>
      </w:pPr>
      <w:r w:rsidRPr="00275288">
        <w:rPr>
          <w:rFonts w:ascii="Palatino Linotype" w:hAnsi="Palatino Linotype"/>
          <w:bCs/>
          <w:i/>
          <w:iCs/>
          <w:szCs w:val="23"/>
        </w:rPr>
        <w:t xml:space="preserve">Además, de ser necesario, deberá proporcionar el Acuerdo de Clasificación donde el Comité de Transparencia, confirme la eliminación de los datos personales </w:t>
      </w:r>
      <w:r w:rsidRPr="00275288">
        <w:rPr>
          <w:rFonts w:ascii="Palatino Linotype" w:hAnsi="Palatino Linotype"/>
          <w:bCs/>
          <w:i/>
          <w:iCs/>
          <w:szCs w:val="23"/>
        </w:rPr>
        <w:lastRenderedPageBreak/>
        <w:t xml:space="preserve">confidenciales de conformidad con los artículos 49, fracciones II y VIII, </w:t>
      </w:r>
      <w:r w:rsidRPr="00275288">
        <w:rPr>
          <w:rFonts w:ascii="Palatino Linotype" w:hAnsi="Palatino Linotype"/>
          <w:bCs/>
          <w:i/>
          <w:iCs/>
          <w:szCs w:val="23"/>
          <w:lang w:val="es-ES"/>
        </w:rPr>
        <w:t>132, fracción II</w:t>
      </w:r>
      <w:r w:rsidRPr="00275288">
        <w:rPr>
          <w:rFonts w:ascii="Palatino Linotype" w:hAnsi="Palatino Linotype"/>
          <w:bCs/>
          <w:i/>
          <w:iCs/>
          <w:szCs w:val="23"/>
        </w:rPr>
        <w:t xml:space="preserve"> 143, fracción I y 149 de la Ley de Transparencia y Acceso a la Información Pública del Estado de México y Municipios</w:t>
      </w:r>
    </w:p>
    <w:p w:rsidR="00275288" w:rsidRPr="00275288" w:rsidRDefault="00275288" w:rsidP="00275288">
      <w:pPr>
        <w:autoSpaceDE w:val="0"/>
        <w:autoSpaceDN w:val="0"/>
        <w:adjustRightInd w:val="0"/>
        <w:spacing w:line="276" w:lineRule="auto"/>
        <w:ind w:left="567" w:right="990"/>
        <w:contextualSpacing/>
        <w:jc w:val="both"/>
        <w:rPr>
          <w:rFonts w:ascii="Palatino Linotype" w:hAnsi="Palatino Linotype"/>
          <w:bCs/>
          <w:i/>
          <w:szCs w:val="23"/>
          <w:lang w:val="es-ES"/>
        </w:rPr>
      </w:pPr>
    </w:p>
    <w:p w:rsidR="00AF1499" w:rsidRPr="00275288" w:rsidRDefault="00275288" w:rsidP="00275288">
      <w:pPr>
        <w:numPr>
          <w:ilvl w:val="0"/>
          <w:numId w:val="3"/>
        </w:numPr>
        <w:autoSpaceDE w:val="0"/>
        <w:autoSpaceDN w:val="0"/>
        <w:adjustRightInd w:val="0"/>
        <w:spacing w:line="276" w:lineRule="auto"/>
        <w:ind w:right="990"/>
        <w:contextualSpacing/>
        <w:jc w:val="both"/>
        <w:rPr>
          <w:rFonts w:ascii="Palatino Linotype" w:hAnsi="Palatino Linotype"/>
          <w:bCs/>
          <w:i/>
          <w:iCs/>
          <w:szCs w:val="23"/>
          <w:lang w:val="es-ES"/>
        </w:rPr>
      </w:pPr>
      <w:r w:rsidRPr="00275288">
        <w:rPr>
          <w:rFonts w:ascii="Palatino Linotype" w:hAnsi="Palatino Linotype"/>
          <w:bCs/>
          <w:i/>
          <w:iCs/>
          <w:szCs w:val="23"/>
        </w:rPr>
        <w:t xml:space="preserve">El Acuerdo del Comité de Transparencia, donde confirme la clasificación, en términos del artículo 140, fracción VIII, de la Ley de Transparencia y Acceso a la Información Pública del Estado de México y Municipios, de los documentos que integren los expedientes de los procedimientos o juicios que se encontraban en trámite al once de febrero de dos mil veintidós, y que dan cuenta del ejercicio de las funciones, atribuciones y competencias de la Coordinación de Asuntos Jurídicos. </w:t>
      </w:r>
      <w:r w:rsidR="00AF1499" w:rsidRPr="00275288">
        <w:rPr>
          <w:rFonts w:ascii="Palatino Linotype" w:hAnsi="Palatino Linotype"/>
          <w:i/>
          <w:szCs w:val="23"/>
          <w:lang w:val="es-ES"/>
        </w:rPr>
        <w:t xml:space="preserve">” (Sic) </w:t>
      </w:r>
    </w:p>
    <w:p w:rsidR="00AF1499" w:rsidRDefault="00AF1499" w:rsidP="004A63C4">
      <w:pPr>
        <w:autoSpaceDE w:val="0"/>
        <w:autoSpaceDN w:val="0"/>
        <w:adjustRightInd w:val="0"/>
        <w:spacing w:line="360" w:lineRule="auto"/>
        <w:contextualSpacing/>
        <w:jc w:val="both"/>
        <w:rPr>
          <w:rFonts w:ascii="Palatino Linotype" w:hAnsi="Palatino Linotype"/>
          <w:sz w:val="23"/>
          <w:szCs w:val="23"/>
        </w:rPr>
      </w:pP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toda vez que se determinó la existencia  de </w:t>
      </w:r>
      <w:r w:rsidR="00EE5423" w:rsidRPr="00EE5423">
        <w:rPr>
          <w:rFonts w:ascii="Palatino Linotype" w:hAnsi="Palatino Linotype"/>
          <w:bCs/>
          <w:color w:val="000000" w:themeColor="text1"/>
          <w:sz w:val="23"/>
          <w:szCs w:val="23"/>
        </w:rPr>
        <w:t xml:space="preserve">procedimientos y juicios, en trámite al once de febrero de dos mil veintidós, y los documentos que dan cuenta a las atribuciones, facultades y competencias de la </w:t>
      </w:r>
      <w:r w:rsidR="007213EF">
        <w:rPr>
          <w:rFonts w:ascii="Palatino Linotype" w:hAnsi="Palatino Linotype"/>
          <w:bCs/>
          <w:color w:val="000000" w:themeColor="text1"/>
          <w:sz w:val="23"/>
          <w:szCs w:val="23"/>
        </w:rPr>
        <w:t>Coordinación de Asuntos Jurídico</w:t>
      </w:r>
      <w:bookmarkStart w:id="1" w:name="_GoBack"/>
      <w:bookmarkEnd w:id="1"/>
      <w:r w:rsidR="00EE5423" w:rsidRPr="00EE5423">
        <w:rPr>
          <w:rFonts w:ascii="Palatino Linotype" w:hAnsi="Palatino Linotype"/>
          <w:bCs/>
          <w:color w:val="000000" w:themeColor="text1"/>
          <w:sz w:val="23"/>
          <w:szCs w:val="23"/>
        </w:rPr>
        <w:t xml:space="preserve">s, forman parte de los expedientes, resultaba pertinente la clasificación como reservada,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w:t>
      </w:r>
      <w:r w:rsidRPr="00A408AE">
        <w:rPr>
          <w:rFonts w:ascii="Palatino Linotype" w:hAnsi="Palatino Linotype"/>
          <w:sz w:val="23"/>
          <w:szCs w:val="23"/>
        </w:rPr>
        <w:lastRenderedPageBreak/>
        <w:t xml:space="preserve">Clasificación y Desclasificación de la Información, así como para la elaboración de Versiones Públicas. </w:t>
      </w: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lastRenderedPageBreak/>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275288">
        <w:rPr>
          <w:rFonts w:ascii="Palatino Linotype" w:hAnsi="Palatino Linotype"/>
          <w:b/>
          <w:bCs/>
          <w:sz w:val="23"/>
          <w:szCs w:val="23"/>
        </w:rPr>
        <w:t>3646</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rsidR="000B2A76" w:rsidRDefault="000B2A76" w:rsidP="000B2A76">
      <w:pPr>
        <w:jc w:val="both"/>
        <w:rPr>
          <w:rStyle w:val="normaltextrun"/>
          <w:rFonts w:ascii="Palatino Linotype" w:hAnsi="Palatino Linotype" w:cs="Segoe UI"/>
        </w:rPr>
      </w:pP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rsidR="00D36CD9" w:rsidRDefault="000B2A76" w:rsidP="000B2A76">
      <w:pPr>
        <w:spacing w:before="240" w:after="24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rsidR="000B2A76" w:rsidRDefault="00EE5423" w:rsidP="000B2A76">
      <w:pPr>
        <w:spacing w:before="240" w:after="240" w:line="360" w:lineRule="auto"/>
        <w:jc w:val="both"/>
        <w:rPr>
          <w:rFonts w:ascii="Palatino Linotype" w:hAnsi="Palatino Linotype"/>
          <w:sz w:val="23"/>
          <w:szCs w:val="23"/>
        </w:rPr>
      </w:pPr>
      <w:r>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539751</wp:posOffset>
                </wp:positionV>
                <wp:extent cx="5495925" cy="61531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495925" cy="615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470B5"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2.5pt" to="440.7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" strokecolor="black [3200]" strokeweight=".5pt">
                <v:stroke joinstyle="miter"/>
              </v:line>
            </w:pict>
          </mc:Fallback>
        </mc:AlternateContent>
      </w:r>
      <w:r w:rsidR="000B2A76" w:rsidRPr="000D7039">
        <w:rPr>
          <w:rFonts w:ascii="Palatino Linotype" w:hAnsi="Palatino Linotype"/>
          <w:sz w:val="23"/>
          <w:szCs w:val="23"/>
        </w:rPr>
        <w:t>Lo expuesto, constituyen las razones y fu</w:t>
      </w:r>
      <w:r w:rsidR="000B2A76">
        <w:rPr>
          <w:rFonts w:ascii="Palatino Linotype" w:hAnsi="Palatino Linotype"/>
          <w:sz w:val="23"/>
          <w:szCs w:val="23"/>
        </w:rPr>
        <w:t xml:space="preserve">ndamentos que me llevan a emitir </w:t>
      </w:r>
      <w:r w:rsidR="000B2A76" w:rsidRPr="00FB2266">
        <w:rPr>
          <w:rFonts w:ascii="Palatino Linotype" w:hAnsi="Palatino Linotype"/>
          <w:sz w:val="23"/>
          <w:szCs w:val="23"/>
        </w:rPr>
        <w:t>la opinión</w:t>
      </w:r>
      <w:r w:rsidR="000B2A76">
        <w:rPr>
          <w:rFonts w:ascii="Palatino Linotype" w:hAnsi="Palatino Linotype"/>
          <w:sz w:val="23"/>
          <w:szCs w:val="23"/>
        </w:rPr>
        <w:t xml:space="preserve"> </w:t>
      </w:r>
      <w:r w:rsidR="000B2A76" w:rsidRPr="000D7039">
        <w:rPr>
          <w:rFonts w:ascii="Palatino Linotype" w:hAnsi="Palatino Linotype"/>
          <w:sz w:val="23"/>
          <w:szCs w:val="23"/>
        </w:rPr>
        <w:t xml:space="preserve">particular que se ha expresado. </w:t>
      </w:r>
    </w:p>
    <w:p w:rsidR="000B2A76" w:rsidRDefault="000B2A76" w:rsidP="000B2A76">
      <w:pPr>
        <w:spacing w:before="240" w:after="240" w:line="360" w:lineRule="auto"/>
        <w:jc w:val="both"/>
        <w:rPr>
          <w:rFonts w:ascii="Palatino Linotype" w:hAnsi="Palatino Linotype"/>
          <w:sz w:val="23"/>
          <w:szCs w:val="23"/>
        </w:rPr>
      </w:pPr>
    </w:p>
    <w:p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9"/>
          <w:headerReference w:type="default" r:id="rId10"/>
          <w:footerReference w:type="default" r:id="rId11"/>
          <w:headerReference w:type="first" r:id="rId12"/>
          <w:pgSz w:w="12240" w:h="15840"/>
          <w:pgMar w:top="1983" w:right="1327" w:bottom="2836" w:left="1985" w:header="709" w:footer="586" w:gutter="0"/>
          <w:cols w:space="708"/>
          <w:docGrid w:linePitch="360"/>
        </w:sectPr>
      </w:pPr>
    </w:p>
    <w:p w:rsidR="000B2A76" w:rsidRPr="000D7039" w:rsidRDefault="000B2A76" w:rsidP="000B2A76">
      <w:pPr>
        <w:spacing w:before="240" w:after="240" w:line="360" w:lineRule="auto"/>
        <w:jc w:val="both"/>
        <w:rPr>
          <w:rFonts w:ascii="Palatino Linotype" w:hAnsi="Palatino Linotype"/>
          <w:sz w:val="23"/>
          <w:szCs w:val="23"/>
        </w:rPr>
      </w:pPr>
    </w:p>
    <w:p w:rsidR="000B2A76" w:rsidRPr="000D7039" w:rsidRDefault="000B2A76" w:rsidP="000B2A76">
      <w:pPr>
        <w:spacing w:before="240" w:after="240" w:line="360" w:lineRule="auto"/>
        <w:jc w:val="center"/>
        <w:rPr>
          <w:rFonts w:ascii="Palatino Linotype" w:hAnsi="Palatino Linotype"/>
          <w:b/>
          <w:sz w:val="23"/>
          <w:szCs w:val="23"/>
        </w:rPr>
      </w:pPr>
    </w:p>
    <w:p w:rsidR="000B2A76" w:rsidRPr="000D7039" w:rsidRDefault="000B2A76" w:rsidP="000B2A76">
      <w:pPr>
        <w:spacing w:after="0" w:line="240" w:lineRule="auto"/>
        <w:jc w:val="center"/>
        <w:rPr>
          <w:rFonts w:ascii="Palatino Linotype" w:hAnsi="Palatino Linotype"/>
          <w:sz w:val="23"/>
          <w:szCs w:val="23"/>
        </w:rPr>
      </w:pPr>
    </w:p>
    <w:p w:rsidR="000B2A76" w:rsidRPr="000D7039" w:rsidRDefault="000B2A76" w:rsidP="000B2A76">
      <w:pPr>
        <w:spacing w:before="240" w:after="240" w:line="360" w:lineRule="auto"/>
        <w:rPr>
          <w:rFonts w:ascii="Palatino Linotype" w:hAnsi="Palatino Linotype"/>
          <w:sz w:val="24"/>
          <w:szCs w:val="24"/>
        </w:rPr>
      </w:pPr>
    </w:p>
    <w:p w:rsidR="000B2A76" w:rsidRDefault="000B2A76" w:rsidP="000B2A76"/>
    <w:p w:rsidR="000B2A76" w:rsidRDefault="000B2A76" w:rsidP="000B2A76"/>
    <w:p w:rsidR="00A1078F" w:rsidRDefault="00977DEC"/>
    <w:sectPr w:rsidR="00A1078F" w:rsidSect="00115CE3">
      <w:headerReference w:type="defaul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54" w:rsidRDefault="000D4D54" w:rsidP="000B2A76">
      <w:pPr>
        <w:spacing w:after="0" w:line="240" w:lineRule="auto"/>
      </w:pPr>
      <w:r>
        <w:separator/>
      </w:r>
    </w:p>
  </w:endnote>
  <w:endnote w:type="continuationSeparator" w:id="0">
    <w:p w:rsidR="000D4D54" w:rsidRDefault="000D4D54"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77DEC">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77DEC">
      <w:rPr>
        <w:rFonts w:ascii="Arial" w:hAnsi="Arial" w:cs="Arial"/>
        <w:b/>
        <w:bCs/>
        <w:noProof/>
        <w:sz w:val="20"/>
        <w:szCs w:val="20"/>
      </w:rPr>
      <w:t>9</w:t>
    </w:r>
    <w:r w:rsidRPr="00986599">
      <w:rPr>
        <w:rFonts w:ascii="Arial" w:hAnsi="Arial" w:cs="Arial"/>
        <w:b/>
        <w:bCs/>
        <w:sz w:val="20"/>
        <w:szCs w:val="20"/>
      </w:rPr>
      <w:fldChar w:fldCharType="end"/>
    </w:r>
  </w:p>
  <w:p w:rsidR="00D758BE" w:rsidRDefault="00977DE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54" w:rsidRDefault="000D4D54" w:rsidP="000B2A76">
      <w:pPr>
        <w:spacing w:after="0" w:line="240" w:lineRule="auto"/>
      </w:pPr>
      <w:r>
        <w:separator/>
      </w:r>
    </w:p>
  </w:footnote>
  <w:footnote w:type="continuationSeparator" w:id="0">
    <w:p w:rsidR="000D4D54" w:rsidRDefault="000D4D54"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77D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38E550CA" wp14:editId="50591D3D">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5C38E6C" wp14:editId="3A3B6FDF">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275288">
      <w:rPr>
        <w:rFonts w:ascii="Palatino Linotype" w:hAnsi="Palatino Linotype" w:cs="Arial"/>
        <w:b/>
        <w:sz w:val="22"/>
        <w:szCs w:val="22"/>
      </w:rPr>
      <w:t>3646</w:t>
    </w:r>
    <w:r w:rsidRPr="00FB2266">
      <w:rPr>
        <w:rFonts w:ascii="Palatino Linotype" w:hAnsi="Palatino Linotype" w:cs="Arial"/>
        <w:b/>
        <w:sz w:val="22"/>
        <w:szCs w:val="22"/>
      </w:rPr>
      <w:t>/INFOEM/IP/RR/2022</w:t>
    </w:r>
  </w:p>
  <w:p w:rsidR="000B1C1F" w:rsidRPr="000D4A99" w:rsidRDefault="00977DEC"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77D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C2" w:rsidRPr="000D4A99" w:rsidRDefault="00977DEC" w:rsidP="007263BB">
    <w:pPr>
      <w:pStyle w:val="Encabezado"/>
      <w:jc w:val="right"/>
      <w:rPr>
        <w:rFonts w:ascii="Arial" w:hAnsi="Arial" w:cs="Arial"/>
        <w:sz w:val="20"/>
        <w:szCs w:val="20"/>
      </w:rPr>
    </w:pPr>
  </w:p>
  <w:p w:rsidR="00F029C2" w:rsidRPr="000D4A99" w:rsidRDefault="00977DEC" w:rsidP="007263BB">
    <w:pPr>
      <w:pStyle w:val="Encabezado"/>
      <w:jc w:val="right"/>
      <w:rPr>
        <w:rFonts w:ascii="Arial" w:hAnsi="Arial" w:cs="Arial"/>
        <w:sz w:val="20"/>
        <w:szCs w:val="20"/>
      </w:rPr>
    </w:pPr>
  </w:p>
  <w:p w:rsidR="00F029C2" w:rsidRPr="000D4A99" w:rsidRDefault="00977DEC" w:rsidP="007263BB">
    <w:pPr>
      <w:pStyle w:val="Encabezado"/>
      <w:jc w:val="right"/>
      <w:rPr>
        <w:rFonts w:ascii="Arial" w:hAnsi="Arial" w:cs="Arial"/>
        <w:sz w:val="20"/>
        <w:szCs w:val="20"/>
      </w:rPr>
    </w:pPr>
  </w:p>
  <w:p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rsidR="00F029C2" w:rsidRPr="000D4A99" w:rsidRDefault="00977DEC" w:rsidP="007263BB">
    <w:pPr>
      <w:pStyle w:val="Encabezado"/>
      <w:jc w:val="right"/>
      <w:rPr>
        <w:rFonts w:ascii="Palatino Linotype" w:hAnsi="Palatino Linotype" w:cs="Arial"/>
        <w:sz w:val="20"/>
        <w:szCs w:val="20"/>
      </w:rPr>
    </w:pPr>
  </w:p>
  <w:p w:rsidR="00F029C2" w:rsidRPr="000D4A99" w:rsidRDefault="00977DEC"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B2A76"/>
    <w:rsid w:val="000D4D54"/>
    <w:rsid w:val="00275288"/>
    <w:rsid w:val="004A63C4"/>
    <w:rsid w:val="007213EF"/>
    <w:rsid w:val="0081741B"/>
    <w:rsid w:val="00977DEC"/>
    <w:rsid w:val="00A0212F"/>
    <w:rsid w:val="00A22313"/>
    <w:rsid w:val="00AF1499"/>
    <w:rsid w:val="00AF53CA"/>
    <w:rsid w:val="00BA53BA"/>
    <w:rsid w:val="00BD6E2C"/>
    <w:rsid w:val="00D36CD9"/>
    <w:rsid w:val="00E1501A"/>
    <w:rsid w:val="00EB4154"/>
    <w:rsid w:val="00EE5423"/>
    <w:rsid w:val="00EF5CE8"/>
    <w:rsid w:val="00F7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acomulco.gob.mx/documentos/MejoraRegulatoria/Catalogo%20Municipal%20de%20Regulaciones/3%20Municipales/Secretar/C3%ADa%20del%20Ayuntamiento%20(Manual%20de%20Procedimientos).pdf"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atlacomulco.gob.mx/documentos/MejoraRegulatoria/Catalogo%20Municipal%20de%20Regulaciones/3%20Municipales/Secretar/C3%ADa%20del%20Ayuntamiento%20(Manual%20de%20Organizaci%C3%B3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1853</Words>
  <Characters>10193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2022-06-20T17:12:00Z</cp:lastPrinted>
  <dcterms:created xsi:type="dcterms:W3CDTF">2022-06-20T17:12:00Z</dcterms:created>
  <dcterms:modified xsi:type="dcterms:W3CDTF">2022-06-20T17:13:00Z</dcterms:modified>
</cp:coreProperties>
</file>