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907C5" w14:textId="35E6D9DB" w:rsidR="00115627" w:rsidRDefault="00115627" w:rsidP="0011562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ind w:right="57"/>
        <w:contextualSpacing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 xml:space="preserve">OPINIÓN PARTICULAR 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 xml:space="preserve">QUE FORMULA EL COMISIONADO LUIS GUSTAVO PARRA NORIEGA, A LA RESOLUCIÓN DEL RECURSO DE REVISIÓN </w:t>
      </w:r>
      <w:r>
        <w:rPr>
          <w:rFonts w:ascii="Palatino Linotype" w:eastAsia="Palatino Linotype" w:hAnsi="Palatino Linotype" w:cs="Palatino Linotype"/>
          <w:b/>
          <w:color w:val="000000"/>
        </w:rPr>
        <w:t>0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>1</w:t>
      </w:r>
      <w:r>
        <w:rPr>
          <w:rFonts w:ascii="Palatino Linotype" w:eastAsia="Palatino Linotype" w:hAnsi="Palatino Linotype" w:cs="Palatino Linotype"/>
          <w:b/>
          <w:color w:val="000000"/>
        </w:rPr>
        <w:t>825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>/INFOEM/IP/RR/202</w:t>
      </w:r>
      <w:r>
        <w:rPr>
          <w:rFonts w:ascii="Palatino Linotype" w:eastAsia="Palatino Linotype" w:hAnsi="Palatino Linotype" w:cs="Palatino Linotype"/>
          <w:b/>
          <w:color w:val="000000"/>
        </w:rPr>
        <w:t>3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 xml:space="preserve">, PROMOVIDO EN CONTRA EL 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AYUNTAMIENTO DE TEOLOYUCAN. </w:t>
      </w:r>
    </w:p>
    <w:p w14:paraId="7E1C0214" w14:textId="77777777" w:rsidR="00115627" w:rsidRDefault="00115627" w:rsidP="0011562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1388C097" w14:textId="399F8DB3" w:rsidR="00115627" w:rsidRDefault="00115627" w:rsidP="00115627">
      <w:pPr>
        <w:tabs>
          <w:tab w:val="left" w:pos="1843"/>
        </w:tabs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la presente </w:t>
      </w:r>
      <w:r>
        <w:rPr>
          <w:rFonts w:ascii="Palatino Linotype" w:eastAsia="Palatino Linotype" w:hAnsi="Palatino Linotype" w:cs="Palatino Linotype"/>
          <w:b/>
        </w:rPr>
        <w:t xml:space="preserve">Opinión Particular </w:t>
      </w:r>
      <w:r w:rsidR="006B3629">
        <w:rPr>
          <w:rFonts w:ascii="Palatino Linotype" w:eastAsia="Palatino Linotype" w:hAnsi="Palatino Linotype" w:cs="Palatino Linotype"/>
        </w:rPr>
        <w:t xml:space="preserve">para expresar algunas consideraciones sobre la presente </w:t>
      </w:r>
      <w:r>
        <w:rPr>
          <w:rFonts w:ascii="Palatino Linotype" w:eastAsia="Palatino Linotype" w:hAnsi="Palatino Linotype" w:cs="Palatino Linotype"/>
        </w:rPr>
        <w:t xml:space="preserve">Resolución del Recurso de Revisión </w:t>
      </w:r>
      <w:r>
        <w:rPr>
          <w:rFonts w:ascii="Palatino Linotype" w:eastAsia="Palatino Linotype" w:hAnsi="Palatino Linotype" w:cs="Palatino Linotype"/>
          <w:b/>
        </w:rPr>
        <w:t>01825/INFOEM/IP/RR/2023.</w:t>
      </w:r>
    </w:p>
    <w:p w14:paraId="00511622" w14:textId="77777777" w:rsidR="00115627" w:rsidRDefault="00115627" w:rsidP="00115627">
      <w:pPr>
        <w:tabs>
          <w:tab w:val="left" w:pos="1843"/>
        </w:tabs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</w:rPr>
      </w:pPr>
    </w:p>
    <w:p w14:paraId="1C8531FE" w14:textId="53AFB453" w:rsidR="00115627" w:rsidRDefault="00115627" w:rsidP="00115627">
      <w:pPr>
        <w:spacing w:after="0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eastAsia="Palatino Linotype" w:hAnsi="Palatino Linotype" w:cs="Palatino Linotype"/>
        </w:rPr>
        <w:t xml:space="preserve">Como se desprende de la Resolución en comento, el Particular solicitó </w:t>
      </w:r>
      <w:r w:rsidR="00E13F55">
        <w:rPr>
          <w:rFonts w:ascii="Palatino Linotype" w:eastAsia="Palatino Linotype" w:hAnsi="Palatino Linotype" w:cs="Palatino Linotype"/>
        </w:rPr>
        <w:t xml:space="preserve">saber </w:t>
      </w:r>
      <w:r w:rsidR="0018523D">
        <w:rPr>
          <w:rFonts w:ascii="Palatino Linotype" w:eastAsia="Palatino Linotype" w:hAnsi="Palatino Linotype" w:cs="Palatino Linotype"/>
        </w:rPr>
        <w:t xml:space="preserve">el monto de </w:t>
      </w:r>
      <w:r w:rsidR="00E13F55">
        <w:rPr>
          <w:rFonts w:ascii="Palatino Linotype" w:eastAsia="Palatino Linotype" w:hAnsi="Palatino Linotype" w:cs="Palatino Linotype"/>
        </w:rPr>
        <w:t xml:space="preserve">la multa por </w:t>
      </w:r>
      <w:r w:rsidR="006B3629">
        <w:rPr>
          <w:rFonts w:ascii="Palatino Linotype" w:eastAsia="Palatino Linotype" w:hAnsi="Palatino Linotype" w:cs="Palatino Linotype"/>
        </w:rPr>
        <w:t>una infracción administrativa específica</w:t>
      </w:r>
      <w:r w:rsidR="00E13F55">
        <w:rPr>
          <w:rFonts w:ascii="Palatino Linotype" w:eastAsia="Palatino Linotype" w:hAnsi="Palatino Linotype" w:cs="Palatino Linotype"/>
        </w:rPr>
        <w:t xml:space="preserve">, </w:t>
      </w:r>
      <w:r w:rsidR="006B3629">
        <w:rPr>
          <w:rFonts w:ascii="Palatino Linotype" w:eastAsia="Palatino Linotype" w:hAnsi="Palatino Linotype" w:cs="Palatino Linotype"/>
        </w:rPr>
        <w:t xml:space="preserve">así como </w:t>
      </w:r>
      <w:r w:rsidR="0018523D">
        <w:rPr>
          <w:rFonts w:ascii="Palatino Linotype" w:eastAsia="Palatino Linotype" w:hAnsi="Palatino Linotype" w:cs="Palatino Linotype"/>
        </w:rPr>
        <w:t xml:space="preserve">por circular en </w:t>
      </w:r>
      <w:r w:rsidR="00E13F55">
        <w:rPr>
          <w:rFonts w:ascii="Palatino Linotype" w:eastAsia="Palatino Linotype" w:hAnsi="Palatino Linotype" w:cs="Palatino Linotype"/>
        </w:rPr>
        <w:t>sentido contrario</w:t>
      </w:r>
      <w:r w:rsidR="006B3629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="006B3629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n respuesta, el Sujeto Obligado proporcionó</w:t>
      </w:r>
      <w:r w:rsidR="0018523D">
        <w:rPr>
          <w:rFonts w:ascii="Palatino Linotype" w:hAnsi="Palatino Linotype"/>
        </w:rPr>
        <w:t xml:space="preserve"> un enlace que dirigía al Bando Municipal de Teoloyucan dos mil veintitrés,</w:t>
      </w:r>
      <w:r>
        <w:rPr>
          <w:rFonts w:ascii="Palatino Linotype" w:hAnsi="Palatino Linotype"/>
        </w:rPr>
        <w:t xml:space="preserve"> </w:t>
      </w:r>
      <w:r w:rsidR="0018523D">
        <w:rPr>
          <w:rFonts w:ascii="Palatino Linotype" w:hAnsi="Palatino Linotype"/>
        </w:rPr>
        <w:t xml:space="preserve">además de </w:t>
      </w:r>
      <w:r w:rsidR="00FE2694">
        <w:rPr>
          <w:rFonts w:ascii="Palatino Linotype" w:hAnsi="Palatino Linotype"/>
        </w:rPr>
        <w:t>precisar</w:t>
      </w:r>
      <w:r w:rsidR="0018523D">
        <w:rPr>
          <w:rFonts w:ascii="Palatino Linotype" w:hAnsi="Palatino Linotype"/>
        </w:rPr>
        <w:t xml:space="preserve"> que la información solicitada se encontraba señalada dentro del Capítulo Tercero</w:t>
      </w:r>
      <w:r w:rsidR="00FE2694">
        <w:rPr>
          <w:rFonts w:ascii="Palatino Linotype" w:hAnsi="Palatino Linotype"/>
        </w:rPr>
        <w:t xml:space="preserve"> sobre las faltas administrativas</w:t>
      </w:r>
      <w:r w:rsidR="0018523D">
        <w:rPr>
          <w:rFonts w:ascii="Palatino Linotype" w:hAnsi="Palatino Linotype"/>
        </w:rPr>
        <w:t xml:space="preserve"> en los artículos del 134 al 139</w:t>
      </w:r>
      <w:r w:rsidR="006B3629">
        <w:rPr>
          <w:rFonts w:ascii="Palatino Linotype" w:hAnsi="Palatino Linotype"/>
        </w:rPr>
        <w:t>.</w:t>
      </w:r>
      <w:r w:rsidR="0018523D">
        <w:rPr>
          <w:rFonts w:ascii="Palatino Linotype" w:hAnsi="Palatino Linotype"/>
        </w:rPr>
        <w:t xml:space="preserve"> Ante dicha circunstancia el Particular se inconformó por que la información no fue concreta, clara y precisa.</w:t>
      </w:r>
    </w:p>
    <w:p w14:paraId="007284CD" w14:textId="77777777" w:rsidR="009846C3" w:rsidRDefault="009846C3" w:rsidP="00115627">
      <w:pPr>
        <w:spacing w:after="0" w:line="360" w:lineRule="auto"/>
        <w:contextualSpacing/>
        <w:jc w:val="both"/>
        <w:rPr>
          <w:rFonts w:ascii="Palatino Linotype" w:hAnsi="Palatino Linotype"/>
        </w:rPr>
      </w:pPr>
    </w:p>
    <w:p w14:paraId="5EF1D7E7" w14:textId="77777777" w:rsidR="009846C3" w:rsidRDefault="00115627" w:rsidP="00115627">
      <w:pPr>
        <w:spacing w:after="0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Conforme a lo anterior, este Instituto determinó confirmar dicho asunto</w:t>
      </w:r>
      <w:r w:rsidR="00D652AA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al considerar que,</w:t>
      </w:r>
      <w:r w:rsidR="00B3309B">
        <w:rPr>
          <w:rFonts w:ascii="Palatino Linotype" w:hAnsi="Palatino Linotype"/>
        </w:rPr>
        <w:t xml:space="preserve"> con la información proporcionada atendía lo solicitado, pues al haber señalado con </w:t>
      </w:r>
      <w:r w:rsidR="00B3309B">
        <w:rPr>
          <w:rFonts w:ascii="Palatino Linotype" w:hAnsi="Palatino Linotype"/>
        </w:rPr>
        <w:lastRenderedPageBreak/>
        <w:t xml:space="preserve">precisión el documento fuente y el método para consultarlo, </w:t>
      </w:r>
      <w:r w:rsidR="009846C3">
        <w:rPr>
          <w:rFonts w:ascii="Palatino Linotype" w:hAnsi="Palatino Linotype"/>
        </w:rPr>
        <w:t>además de</w:t>
      </w:r>
      <w:r w:rsidR="00B3309B">
        <w:rPr>
          <w:rFonts w:ascii="Palatino Linotype" w:hAnsi="Palatino Linotype"/>
        </w:rPr>
        <w:t xml:space="preserve"> los artículos en los que se advertía la información solicitada por el Particular</w:t>
      </w:r>
      <w:r w:rsidR="00D652AA">
        <w:rPr>
          <w:rFonts w:ascii="Palatino Linotype" w:hAnsi="Palatino Linotype"/>
        </w:rPr>
        <w:t xml:space="preserve"> se colmaba lo peticionado</w:t>
      </w:r>
      <w:r w:rsidR="00B3309B">
        <w:rPr>
          <w:rFonts w:ascii="Palatino Linotype" w:hAnsi="Palatino Linotype"/>
        </w:rPr>
        <w:t>.</w:t>
      </w:r>
      <w:r w:rsidR="00D652AA">
        <w:rPr>
          <w:rFonts w:ascii="Palatino Linotype" w:hAnsi="Palatino Linotype"/>
        </w:rPr>
        <w:t xml:space="preserve"> </w:t>
      </w:r>
    </w:p>
    <w:p w14:paraId="0991D86D" w14:textId="77777777" w:rsidR="009846C3" w:rsidRDefault="009846C3" w:rsidP="00115627">
      <w:pPr>
        <w:spacing w:after="0" w:line="360" w:lineRule="auto"/>
        <w:contextualSpacing/>
        <w:jc w:val="both"/>
        <w:rPr>
          <w:rFonts w:ascii="Palatino Linotype" w:hAnsi="Palatino Linotype"/>
        </w:rPr>
      </w:pPr>
    </w:p>
    <w:p w14:paraId="765D0E8D" w14:textId="338436D1" w:rsidR="003B5817" w:rsidRDefault="00B3309B" w:rsidP="00115627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este sentido,</w:t>
      </w:r>
      <w:r w:rsidR="00017447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 xml:space="preserve">coincido con los términos generales planteados en la Resolución, por ello voté a favor de la misma; </w:t>
      </w:r>
      <w:r w:rsidR="00017447">
        <w:rPr>
          <w:rFonts w:ascii="Palatino Linotype" w:hAnsi="Palatino Linotype" w:cs="Tahoma"/>
        </w:rPr>
        <w:t>sin embargo</w:t>
      </w:r>
      <w:r w:rsidR="00CF13E2">
        <w:rPr>
          <w:rFonts w:ascii="Palatino Linotype" w:hAnsi="Palatino Linotype" w:cs="Tahoma"/>
        </w:rPr>
        <w:t xml:space="preserve">, cabe señalar que, </w:t>
      </w:r>
      <w:r w:rsidR="00017447">
        <w:rPr>
          <w:rFonts w:ascii="Palatino Linotype" w:hAnsi="Palatino Linotype" w:cs="Tahoma"/>
        </w:rPr>
        <w:t>si bien</w:t>
      </w:r>
      <w:r w:rsidR="00CF13E2">
        <w:rPr>
          <w:rFonts w:ascii="Palatino Linotype" w:hAnsi="Palatino Linotype" w:cs="Tahoma"/>
        </w:rPr>
        <w:t>,</w:t>
      </w:r>
      <w:r w:rsidR="00017447">
        <w:rPr>
          <w:rFonts w:ascii="Palatino Linotype" w:hAnsi="Palatino Linotype" w:cs="Tahoma"/>
        </w:rPr>
        <w:t xml:space="preserve"> el Particular se queja de que la información no </w:t>
      </w:r>
      <w:r w:rsidR="00CF13E2">
        <w:rPr>
          <w:rFonts w:ascii="Palatino Linotype" w:hAnsi="Palatino Linotype" w:cs="Tahoma"/>
        </w:rPr>
        <w:t>era</w:t>
      </w:r>
      <w:r w:rsidR="00017447">
        <w:rPr>
          <w:rFonts w:ascii="Palatino Linotype" w:hAnsi="Palatino Linotype" w:cs="Tahoma"/>
        </w:rPr>
        <w:t xml:space="preserve"> clara</w:t>
      </w:r>
      <w:r w:rsidR="00CF13E2">
        <w:rPr>
          <w:rFonts w:ascii="Palatino Linotype" w:hAnsi="Palatino Linotype" w:cs="Tahoma"/>
        </w:rPr>
        <w:t xml:space="preserve"> y precisa</w:t>
      </w:r>
      <w:r w:rsidR="00017447">
        <w:rPr>
          <w:rFonts w:ascii="Palatino Linotype" w:hAnsi="Palatino Linotype" w:cs="Tahoma"/>
        </w:rPr>
        <w:t>,</w:t>
      </w:r>
      <w:r w:rsidR="00CF13E2">
        <w:rPr>
          <w:rFonts w:ascii="Palatino Linotype" w:hAnsi="Palatino Linotype" w:cs="Tahoma"/>
        </w:rPr>
        <w:t xml:space="preserve"> </w:t>
      </w:r>
      <w:r w:rsidR="00564712">
        <w:rPr>
          <w:rFonts w:ascii="Palatino Linotype" w:hAnsi="Palatino Linotype" w:cs="Tahoma"/>
        </w:rPr>
        <w:t xml:space="preserve">en el asunto que nos ocupa es correcta la respuesta del sujeto Obligado ya que </w:t>
      </w:r>
      <w:r w:rsidR="00017447">
        <w:rPr>
          <w:rFonts w:ascii="Palatino Linotype" w:hAnsi="Palatino Linotype" w:cs="Tahoma"/>
        </w:rPr>
        <w:t xml:space="preserve">se le entregó el </w:t>
      </w:r>
      <w:r w:rsidR="00564712">
        <w:rPr>
          <w:rFonts w:ascii="Palatino Linotype" w:hAnsi="Palatino Linotype" w:cs="Tahoma"/>
        </w:rPr>
        <w:t>B</w:t>
      </w:r>
      <w:r w:rsidR="00017447">
        <w:rPr>
          <w:rFonts w:ascii="Palatino Linotype" w:hAnsi="Palatino Linotype" w:cs="Tahoma"/>
        </w:rPr>
        <w:t xml:space="preserve">ando </w:t>
      </w:r>
      <w:r w:rsidR="00564712">
        <w:rPr>
          <w:rFonts w:ascii="Palatino Linotype" w:hAnsi="Palatino Linotype" w:cs="Tahoma"/>
        </w:rPr>
        <w:t xml:space="preserve">Municipal con </w:t>
      </w:r>
      <w:r w:rsidR="00017447">
        <w:rPr>
          <w:rFonts w:ascii="Palatino Linotype" w:hAnsi="Palatino Linotype" w:cs="Tahoma"/>
        </w:rPr>
        <w:t>los artículos en los que podía localizar la información de su interés, por lo que de ahí podía verificar las faltas administrativas y las multas</w:t>
      </w:r>
      <w:r w:rsidR="00CF13E2">
        <w:rPr>
          <w:rFonts w:ascii="Palatino Linotype" w:hAnsi="Palatino Linotype" w:cs="Tahoma"/>
        </w:rPr>
        <w:t xml:space="preserve"> </w:t>
      </w:r>
      <w:r w:rsidR="00564712">
        <w:rPr>
          <w:rFonts w:ascii="Palatino Linotype" w:hAnsi="Palatino Linotype" w:cs="Tahoma"/>
        </w:rPr>
        <w:t>respectivas</w:t>
      </w:r>
      <w:r w:rsidR="00CF13E2">
        <w:rPr>
          <w:rFonts w:ascii="Palatino Linotype" w:hAnsi="Palatino Linotype" w:cs="Tahoma"/>
        </w:rPr>
        <w:t>,</w:t>
      </w:r>
      <w:r w:rsidR="00017447">
        <w:rPr>
          <w:rFonts w:ascii="Palatino Linotype" w:hAnsi="Palatino Linotype" w:cs="Tahoma"/>
        </w:rPr>
        <w:t xml:space="preserve"> </w:t>
      </w:r>
      <w:r w:rsidR="00CF13E2">
        <w:rPr>
          <w:rFonts w:ascii="Palatino Linotype" w:hAnsi="Palatino Linotype" w:cs="Tahoma"/>
        </w:rPr>
        <w:t xml:space="preserve">por lo que no se considera </w:t>
      </w:r>
      <w:r w:rsidR="00017447">
        <w:rPr>
          <w:rFonts w:ascii="Palatino Linotype" w:hAnsi="Palatino Linotype" w:cs="Tahoma"/>
        </w:rPr>
        <w:t xml:space="preserve">necesario que el Sujeto Obligado le </w:t>
      </w:r>
      <w:r w:rsidR="00564712">
        <w:rPr>
          <w:rFonts w:ascii="Palatino Linotype" w:hAnsi="Palatino Linotype" w:cs="Tahoma"/>
        </w:rPr>
        <w:t xml:space="preserve">procesara una respuesta específica, ya que estos no están constreñidos a procesar respuestas conforme al interés del Particular, </w:t>
      </w:r>
      <w:r w:rsidR="003B5817">
        <w:rPr>
          <w:rFonts w:ascii="Palatino Linotype" w:hAnsi="Palatino Linotype" w:cs="Tahoma"/>
        </w:rPr>
        <w:t xml:space="preserve">de acuerdo con el Criterio del INAI </w:t>
      </w:r>
      <w:r w:rsidR="003B5817" w:rsidRPr="003B5817">
        <w:rPr>
          <w:rFonts w:ascii="Palatino Linotype" w:hAnsi="Palatino Linotype" w:cs="Tahoma"/>
        </w:rPr>
        <w:t>SO/003/2017</w:t>
      </w:r>
      <w:r w:rsidR="003B5817">
        <w:rPr>
          <w:rFonts w:ascii="Palatino Linotype" w:hAnsi="Palatino Linotype" w:cs="Tahoma"/>
        </w:rPr>
        <w:t>:</w:t>
      </w:r>
    </w:p>
    <w:p w14:paraId="1C3F106A" w14:textId="77777777" w:rsidR="003B5817" w:rsidRDefault="003B5817" w:rsidP="00115627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3A6574E5" w14:textId="21C87AE9" w:rsidR="003B5817" w:rsidRPr="003B5817" w:rsidRDefault="003B5817" w:rsidP="003B5817">
      <w:pPr>
        <w:spacing w:after="0" w:line="360" w:lineRule="auto"/>
        <w:ind w:left="567" w:right="567"/>
        <w:contextualSpacing/>
        <w:jc w:val="both"/>
        <w:rPr>
          <w:rFonts w:ascii="Palatino Linotype" w:hAnsi="Palatino Linotype" w:cs="Tahoma"/>
          <w:i/>
          <w:sz w:val="20"/>
          <w:szCs w:val="20"/>
        </w:rPr>
      </w:pPr>
      <w:r w:rsidRPr="003B5817">
        <w:rPr>
          <w:rFonts w:ascii="Palatino Linotype" w:hAnsi="Palatino Linotype" w:cs="Tahoma"/>
          <w:i/>
          <w:sz w:val="20"/>
        </w:rPr>
        <w:t xml:space="preserve">No existe obligación de elaborar documentos ad hoc para atender las solicitudes de acceso a la información. Los artículos 129 de la Ley General de Transparencia y Acceso a la Información Pública y 130, párrafo cuarto, de la Ley Federal de Transparencia y Acceso a la Información Pública, señalan que los sujetos obligados deberán otorgar acceso a los documentos que se encuentren en sus archivos o que estén obligados a documentar, de acuerdo con sus facultades, competencias o funciones, conforme a las características físicas de la información o del lugar donde se encuentre. Por lo anterior, los sujetos obligados deben garantizar el derecho de acceso a la información del </w:t>
      </w:r>
      <w:r w:rsidRPr="003B5817">
        <w:rPr>
          <w:rFonts w:ascii="Palatino Linotype" w:hAnsi="Palatino Linotype" w:cs="Tahoma"/>
          <w:i/>
          <w:sz w:val="20"/>
          <w:szCs w:val="20"/>
        </w:rPr>
        <w:t>particular, proporcionando la información con la que cuentan en el formato en que la misma obre en sus archivos; sin necesidad de elaborar documentos ad hoc para atender las solicitudes de información.</w:t>
      </w:r>
    </w:p>
    <w:p w14:paraId="23200AB9" w14:textId="77777777" w:rsidR="003B5817" w:rsidRDefault="003B5817" w:rsidP="00115627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7DEC31C4" w14:textId="60AEBC99" w:rsidR="00D652AA" w:rsidRPr="00D652AA" w:rsidRDefault="003B5817" w:rsidP="00115627">
      <w:pPr>
        <w:spacing w:after="0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D</w:t>
      </w:r>
      <w:r w:rsidR="00564712">
        <w:rPr>
          <w:rFonts w:ascii="Palatino Linotype" w:hAnsi="Palatino Linotype" w:cs="Tahoma"/>
        </w:rPr>
        <w:t>e tal suerte que, tal y como la Ponencia resolutora lo determinó, es correcta la respuesta del Sujeto Obligado, por lo que resulta procedente confirmar la solicitud.</w:t>
      </w:r>
    </w:p>
    <w:p w14:paraId="1F4BF6A5" w14:textId="77777777" w:rsidR="00FE2694" w:rsidRPr="00FE2694" w:rsidRDefault="00FE2694" w:rsidP="00FE2694">
      <w:pPr>
        <w:widowControl w:val="0"/>
        <w:tabs>
          <w:tab w:val="center" w:pos="4522"/>
        </w:tabs>
        <w:spacing w:after="0" w:line="360" w:lineRule="auto"/>
        <w:contextualSpacing/>
        <w:jc w:val="both"/>
        <w:rPr>
          <w:rFonts w:ascii="Palatino Linotype" w:hAnsi="Palatino Linotype" w:cs="Tahoma"/>
          <w:bCs/>
        </w:rPr>
      </w:pPr>
    </w:p>
    <w:p w14:paraId="79A03FE8" w14:textId="52D68348" w:rsidR="00115627" w:rsidRDefault="00115627" w:rsidP="00115627">
      <w:pPr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lastRenderedPageBreak/>
        <w:t>P</w:t>
      </w:r>
      <w:r w:rsidRPr="00FF0C7E">
        <w:rPr>
          <w:rFonts w:ascii="Palatino Linotype" w:hAnsi="Palatino Linotype"/>
        </w:rPr>
        <w:t xml:space="preserve">or ello, con base en los razonamientos expuestos, se emite el Presente </w:t>
      </w:r>
      <w:r w:rsidRPr="00FF0C7E">
        <w:rPr>
          <w:rFonts w:ascii="Palatino Linotype" w:hAnsi="Palatino Linotype"/>
          <w:b/>
          <w:bCs/>
        </w:rPr>
        <w:t>Voto Particular</w:t>
      </w:r>
      <w:r>
        <w:rPr>
          <w:rFonts w:ascii="Palatino Linotype" w:eastAsia="Palatino Linotype" w:hAnsi="Palatino Linotype" w:cs="Palatino Linotype"/>
          <w:b/>
        </w:rPr>
        <w:t>.</w:t>
      </w:r>
      <w:r>
        <w:rPr>
          <w:rFonts w:ascii="Palatino Linotype" w:eastAsia="Palatino Linotype" w:hAnsi="Palatino Linotype" w:cs="Palatino Linotype"/>
        </w:rPr>
        <w:t xml:space="preserve"> ----------------------------------------------------------------------------------------------------------------------------------------------------------------</w:t>
      </w:r>
      <w:bookmarkStart w:id="0" w:name="_GoBack"/>
      <w:bookmarkEnd w:id="0"/>
      <w:r>
        <w:rPr>
          <w:rFonts w:ascii="Palatino Linotype" w:eastAsia="Palatino Linotype" w:hAnsi="Palatino Linotype" w:cs="Palatino Linotype"/>
        </w:rPr>
        <w:t>-----------------------------------------------------------------------------------</w:t>
      </w:r>
      <w:r>
        <w:br w:type="page"/>
      </w:r>
    </w:p>
    <w:p w14:paraId="13C0B2A7" w14:textId="77777777" w:rsidR="00115627" w:rsidRDefault="00115627" w:rsidP="00115627">
      <w:pPr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</w:rPr>
      </w:pPr>
    </w:p>
    <w:p w14:paraId="62925E73" w14:textId="77777777" w:rsidR="00115627" w:rsidRDefault="00115627" w:rsidP="00115627">
      <w:pPr>
        <w:spacing w:line="360" w:lineRule="auto"/>
        <w:contextualSpacing/>
        <w:rPr>
          <w:rFonts w:ascii="Palatino Linotype" w:eastAsia="Palatino Linotype" w:hAnsi="Palatino Linotype" w:cs="Palatino Linotype"/>
        </w:rPr>
      </w:pPr>
    </w:p>
    <w:p w14:paraId="243E3AF2" w14:textId="77777777" w:rsidR="00115627" w:rsidRDefault="00115627" w:rsidP="00115627">
      <w:pPr>
        <w:spacing w:line="360" w:lineRule="auto"/>
        <w:contextualSpacing/>
      </w:pPr>
    </w:p>
    <w:p w14:paraId="02680F3D" w14:textId="77777777" w:rsidR="00115627" w:rsidRDefault="00115627" w:rsidP="00115627">
      <w:pPr>
        <w:spacing w:line="360" w:lineRule="auto"/>
        <w:contextualSpacing/>
      </w:pPr>
    </w:p>
    <w:p w14:paraId="6D1D48E9" w14:textId="77777777" w:rsidR="00115627" w:rsidRDefault="00115627" w:rsidP="00115627">
      <w:pPr>
        <w:spacing w:line="360" w:lineRule="auto"/>
        <w:contextualSpacing/>
      </w:pPr>
    </w:p>
    <w:p w14:paraId="178303DE" w14:textId="77777777" w:rsidR="00115627" w:rsidRDefault="00115627" w:rsidP="00115627">
      <w:pPr>
        <w:spacing w:line="360" w:lineRule="auto"/>
        <w:contextualSpacing/>
      </w:pPr>
    </w:p>
    <w:p w14:paraId="18381160" w14:textId="77777777" w:rsidR="00115627" w:rsidRDefault="00115627" w:rsidP="00115627">
      <w:pPr>
        <w:spacing w:line="360" w:lineRule="auto"/>
        <w:contextualSpacing/>
      </w:pPr>
    </w:p>
    <w:p w14:paraId="39FF4C6B" w14:textId="77777777" w:rsidR="00115627" w:rsidRDefault="00115627" w:rsidP="00115627">
      <w:pPr>
        <w:spacing w:line="360" w:lineRule="auto"/>
        <w:contextualSpacing/>
      </w:pPr>
    </w:p>
    <w:p w14:paraId="122375B9" w14:textId="77777777" w:rsidR="00115627" w:rsidRPr="007F6C2B" w:rsidRDefault="00115627" w:rsidP="00115627">
      <w:pPr>
        <w:spacing w:line="360" w:lineRule="auto"/>
        <w:contextualSpacing/>
        <w:rPr>
          <w:lang w:val="es-MX"/>
        </w:rPr>
      </w:pPr>
    </w:p>
    <w:p w14:paraId="7567ED4E" w14:textId="77777777" w:rsidR="00115627" w:rsidRDefault="00115627" w:rsidP="00115627">
      <w:pPr>
        <w:spacing w:line="360" w:lineRule="auto"/>
        <w:contextualSpacing/>
      </w:pPr>
    </w:p>
    <w:p w14:paraId="2F07C4E5" w14:textId="77777777" w:rsidR="00115627" w:rsidRDefault="00115627" w:rsidP="00115627"/>
    <w:p w14:paraId="5F03CABE" w14:textId="77777777" w:rsidR="00CE7148" w:rsidRDefault="00CE7148"/>
    <w:sectPr w:rsidR="00CE7148" w:rsidSect="0056471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0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F715" w14:textId="77777777" w:rsidR="00B30134" w:rsidRDefault="00B30134" w:rsidP="00115627">
      <w:pPr>
        <w:spacing w:after="0" w:line="240" w:lineRule="auto"/>
      </w:pPr>
      <w:r>
        <w:separator/>
      </w:r>
    </w:p>
  </w:endnote>
  <w:endnote w:type="continuationSeparator" w:id="0">
    <w:p w14:paraId="6714E723" w14:textId="77777777" w:rsidR="00B30134" w:rsidRDefault="00B30134" w:rsidP="0011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84EFB" w14:textId="77777777" w:rsidR="006C7AE7" w:rsidRDefault="00984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570A1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570A1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14:paraId="1D8AB247" w14:textId="77777777" w:rsidR="006C7AE7" w:rsidRDefault="00B301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05116" w14:textId="77777777" w:rsidR="00B30134" w:rsidRDefault="00B30134" w:rsidP="00115627">
      <w:pPr>
        <w:spacing w:after="0" w:line="240" w:lineRule="auto"/>
      </w:pPr>
      <w:r>
        <w:separator/>
      </w:r>
    </w:p>
  </w:footnote>
  <w:footnote w:type="continuationSeparator" w:id="0">
    <w:p w14:paraId="20599980" w14:textId="77777777" w:rsidR="00B30134" w:rsidRDefault="00B30134" w:rsidP="0011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79021" w14:textId="77777777" w:rsidR="006C7AE7" w:rsidRDefault="00B301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D50F8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41.8pt;height:81.25pt;rotation:315;z-index:-25165721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D6390" w14:textId="77777777" w:rsidR="006C7AE7" w:rsidRDefault="00B3013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Palatino Linotype" w:eastAsia="Palatino Linotype" w:hAnsi="Palatino Linotype" w:cs="Palatino Linotype"/>
      </w:rPr>
    </w:pPr>
  </w:p>
  <w:tbl>
    <w:tblPr>
      <w:tblW w:w="893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969"/>
      <w:gridCol w:w="4962"/>
    </w:tblGrid>
    <w:tr w:rsidR="006C7AE7" w14:paraId="1C721338" w14:textId="77777777" w:rsidTr="00DD6B2F">
      <w:trPr>
        <w:trHeight w:val="2219"/>
      </w:trPr>
      <w:tc>
        <w:tcPr>
          <w:tcW w:w="3969" w:type="dxa"/>
          <w:vAlign w:val="bottom"/>
        </w:tcPr>
        <w:p w14:paraId="3B715D96" w14:textId="77777777" w:rsidR="006C7AE7" w:rsidRDefault="009846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614"/>
            </w:tabs>
            <w:ind w:left="-255"/>
            <w:rPr>
              <w:color w:val="000000"/>
            </w:rPr>
          </w:pPr>
          <w:r>
            <w:rPr>
              <w:noProof/>
              <w:color w:val="000000"/>
              <w:sz w:val="10"/>
              <w:szCs w:val="10"/>
              <w:lang w:val="es-MX"/>
            </w:rPr>
            <w:drawing>
              <wp:inline distT="0" distB="0" distL="0" distR="0" wp14:anchorId="0C96C3DE" wp14:editId="0EE4DDF7">
                <wp:extent cx="1873633" cy="112654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72007E8" w14:textId="77777777" w:rsidR="006C7AE7" w:rsidRDefault="00B301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614"/>
            </w:tabs>
            <w:ind w:left="-255"/>
            <w:rPr>
              <w:color w:val="000000"/>
            </w:rPr>
          </w:pPr>
        </w:p>
      </w:tc>
      <w:tc>
        <w:tcPr>
          <w:tcW w:w="4962" w:type="dxa"/>
          <w:vAlign w:val="center"/>
        </w:tcPr>
        <w:p w14:paraId="72DBFC89" w14:textId="1E22899B" w:rsidR="00C75538" w:rsidRPr="009602AD" w:rsidRDefault="00115627" w:rsidP="00C75538">
          <w:pPr>
            <w:tabs>
              <w:tab w:val="center" w:pos="4252"/>
              <w:tab w:val="right" w:pos="8504"/>
            </w:tabs>
            <w:spacing w:after="0" w:line="240" w:lineRule="auto"/>
            <w:ind w:left="-106" w:right="-250"/>
            <w:jc w:val="both"/>
            <w:rPr>
              <w:rFonts w:ascii="Palatino Linotype" w:eastAsiaTheme="minorHAnsi" w:hAnsi="Palatino Linotype" w:cs="Tahoma"/>
              <w:b/>
              <w:lang w:eastAsia="en-US"/>
            </w:rPr>
          </w:pPr>
          <w:r>
            <w:rPr>
              <w:rFonts w:ascii="Palatino Linotype" w:eastAsiaTheme="minorHAnsi" w:hAnsi="Palatino Linotype" w:cs="Tahoma"/>
              <w:b/>
              <w:lang w:eastAsia="en-US"/>
            </w:rPr>
            <w:t xml:space="preserve">Opinión Particular </w:t>
          </w:r>
        </w:p>
        <w:p w14:paraId="7C7408E1" w14:textId="4AEC485A" w:rsidR="00C75538" w:rsidRPr="009602AD" w:rsidRDefault="009846C3" w:rsidP="00C75538">
          <w:pPr>
            <w:tabs>
              <w:tab w:val="center" w:pos="4252"/>
              <w:tab w:val="right" w:pos="8504"/>
            </w:tabs>
            <w:spacing w:after="0" w:line="240" w:lineRule="auto"/>
            <w:ind w:left="-108" w:right="37"/>
            <w:jc w:val="both"/>
            <w:rPr>
              <w:rFonts w:ascii="Palatino Linotype" w:eastAsiaTheme="minorHAnsi" w:hAnsi="Palatino Linotype" w:cstheme="minorBidi"/>
              <w:lang w:val="es-MX" w:eastAsia="en-US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 xml:space="preserve">Recurso de Revisión: </w:t>
          </w:r>
          <w:r w:rsidRPr="00DD6B2F">
            <w:rPr>
              <w:rFonts w:ascii="Palatino Linotype" w:eastAsiaTheme="minorHAnsi" w:hAnsi="Palatino Linotype" w:cs="Tahoma"/>
              <w:bCs/>
              <w:lang w:eastAsia="en-US"/>
            </w:rPr>
            <w:t>0</w:t>
          </w:r>
          <w:r w:rsidRPr="009602AD">
            <w:rPr>
              <w:rFonts w:ascii="Palatino Linotype" w:eastAsiaTheme="minorHAnsi" w:hAnsi="Palatino Linotype" w:cstheme="minorBidi"/>
              <w:lang w:val="es-MX" w:eastAsia="en-US"/>
            </w:rPr>
            <w:t>1</w:t>
          </w:r>
          <w:r w:rsidR="00115627">
            <w:rPr>
              <w:rFonts w:ascii="Palatino Linotype" w:eastAsiaTheme="minorHAnsi" w:hAnsi="Palatino Linotype" w:cstheme="minorBidi"/>
              <w:lang w:val="es-MX" w:eastAsia="en-US"/>
            </w:rPr>
            <w:t>825</w:t>
          </w:r>
          <w:r w:rsidRPr="009602AD">
            <w:rPr>
              <w:rFonts w:ascii="Palatino Linotype" w:eastAsiaTheme="minorHAnsi" w:hAnsi="Palatino Linotype" w:cstheme="minorBidi"/>
              <w:lang w:val="es-MX" w:eastAsia="en-US"/>
            </w:rPr>
            <w:t>/INFOEM/IP/RR/202</w:t>
          </w:r>
          <w:r>
            <w:rPr>
              <w:rFonts w:ascii="Palatino Linotype" w:eastAsiaTheme="minorHAnsi" w:hAnsi="Palatino Linotype" w:cstheme="minorBidi"/>
              <w:lang w:val="es-MX" w:eastAsia="en-US"/>
            </w:rPr>
            <w:t>3</w:t>
          </w:r>
          <w:r w:rsidRPr="009602AD">
            <w:rPr>
              <w:rFonts w:ascii="Palatino Linotype" w:eastAsiaTheme="minorHAnsi" w:hAnsi="Palatino Linotype" w:cstheme="minorBidi"/>
              <w:lang w:val="es-MX" w:eastAsia="en-US"/>
            </w:rPr>
            <w:t xml:space="preserve"> </w:t>
          </w:r>
        </w:p>
        <w:p w14:paraId="0A859C59" w14:textId="30D62948" w:rsidR="00C75538" w:rsidRPr="007F6C2B" w:rsidRDefault="009846C3" w:rsidP="00C75538">
          <w:pPr>
            <w:tabs>
              <w:tab w:val="center" w:pos="4252"/>
              <w:tab w:val="right" w:pos="8504"/>
            </w:tabs>
            <w:spacing w:after="0" w:line="240" w:lineRule="auto"/>
            <w:ind w:left="-108" w:right="37"/>
            <w:jc w:val="both"/>
            <w:rPr>
              <w:rFonts w:ascii="Palatino Linotype" w:eastAsiaTheme="minorHAnsi" w:hAnsi="Palatino Linotype" w:cstheme="minorBidi"/>
              <w:bCs/>
              <w:lang w:val="es-MX" w:eastAsia="en-US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>Sujeto Obligado:</w:t>
          </w:r>
          <w:r w:rsidRPr="009602AD">
            <w:rPr>
              <w:rFonts w:ascii="Palatino Linotype" w:eastAsiaTheme="minorHAnsi" w:hAnsi="Palatino Linotype" w:cstheme="minorBidi"/>
              <w:bCs/>
              <w:lang w:val="es-MX" w:eastAsia="en-US"/>
            </w:rPr>
            <w:t xml:space="preserve"> </w:t>
          </w:r>
          <w:r>
            <w:rPr>
              <w:rFonts w:ascii="Palatino Linotype" w:eastAsia="Palatino Linotype" w:hAnsi="Palatino Linotype" w:cs="Palatino Linotype"/>
              <w:bCs/>
              <w:color w:val="000000"/>
            </w:rPr>
            <w:t xml:space="preserve">Ayuntamiento de </w:t>
          </w:r>
          <w:r w:rsidR="00115627">
            <w:rPr>
              <w:rFonts w:ascii="Palatino Linotype" w:eastAsia="Palatino Linotype" w:hAnsi="Palatino Linotype" w:cs="Palatino Linotype"/>
              <w:bCs/>
              <w:color w:val="000000"/>
            </w:rPr>
            <w:t>Teoloyucan</w:t>
          </w:r>
        </w:p>
        <w:p w14:paraId="42CBB881" w14:textId="77777777" w:rsidR="00C75538" w:rsidRDefault="009846C3" w:rsidP="00C755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08" w:right="-102"/>
            <w:jc w:val="both"/>
            <w:rPr>
              <w:rFonts w:ascii="Palatino Linotype" w:eastAsia="Palatino Linotype" w:hAnsi="Palatino Linotype" w:cs="Palatino Linotype"/>
              <w:color w:val="000000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 xml:space="preserve">Comisionado Ponente: </w:t>
          </w:r>
          <w:r>
            <w:rPr>
              <w:rFonts w:ascii="Palatino Linotype" w:hAnsi="Palatino Linotype" w:cs="Tahoma"/>
            </w:rPr>
            <w:t xml:space="preserve">José Martínez Vilchis </w:t>
          </w:r>
        </w:p>
      </w:tc>
    </w:tr>
  </w:tbl>
  <w:p w14:paraId="5F580377" w14:textId="77777777" w:rsidR="006C7AE7" w:rsidRDefault="00B301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  <w:r>
      <w:rPr>
        <w:color w:val="000000"/>
      </w:rPr>
      <w:pict w14:anchorId="765E85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41.8pt;height:81.25pt;rotation:315;z-index:-25165619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5499E" w14:textId="77777777" w:rsidR="006C7AE7" w:rsidRDefault="00B301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33B84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541.8pt;height:81.25pt;rotation:315;z-index:-25165516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27"/>
    <w:rsid w:val="00017447"/>
    <w:rsid w:val="00115627"/>
    <w:rsid w:val="0018325E"/>
    <w:rsid w:val="00184BFA"/>
    <w:rsid w:val="0018523D"/>
    <w:rsid w:val="00264675"/>
    <w:rsid w:val="002B5522"/>
    <w:rsid w:val="003B5817"/>
    <w:rsid w:val="004570A1"/>
    <w:rsid w:val="00536122"/>
    <w:rsid w:val="00564712"/>
    <w:rsid w:val="006B3629"/>
    <w:rsid w:val="009846C3"/>
    <w:rsid w:val="009C04E7"/>
    <w:rsid w:val="00B30134"/>
    <w:rsid w:val="00B3309B"/>
    <w:rsid w:val="00B728E2"/>
    <w:rsid w:val="00CD4880"/>
    <w:rsid w:val="00CE7148"/>
    <w:rsid w:val="00CF13E2"/>
    <w:rsid w:val="00D652AA"/>
    <w:rsid w:val="00E13F55"/>
    <w:rsid w:val="00E51A1D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35B467"/>
  <w15:chartTrackingRefBased/>
  <w15:docId w15:val="{5235254D-00E7-4CD9-95E8-CD6E0A26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627"/>
    <w:rPr>
      <w:rFonts w:ascii="Calibri" w:eastAsia="Calibri" w:hAnsi="Calibri" w:cs="Calibri"/>
      <w:kern w:val="0"/>
      <w:lang w:val="es-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562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1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627"/>
    <w:rPr>
      <w:rFonts w:ascii="Calibri" w:eastAsia="Calibri" w:hAnsi="Calibri" w:cs="Calibri"/>
      <w:kern w:val="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PEÑA VARA</dc:creator>
  <cp:keywords/>
  <dc:description/>
  <cp:lastModifiedBy>Cuenta Microsoft</cp:lastModifiedBy>
  <cp:revision>2</cp:revision>
  <dcterms:created xsi:type="dcterms:W3CDTF">2023-06-12T18:00:00Z</dcterms:created>
  <dcterms:modified xsi:type="dcterms:W3CDTF">2023-06-12T18:00:00Z</dcterms:modified>
</cp:coreProperties>
</file>