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360" w:lineRule="auto"/>
        <w:jc w:val="both"/>
        <w:rPr/>
      </w:pPr>
      <w:r w:rsidDel="00000000" w:rsidR="00000000" w:rsidRPr="00000000">
        <w:rPr>
          <w:rFonts w:ascii="Palatino Linotype" w:cs="Palatino Linotype" w:eastAsia="Palatino Linotype" w:hAnsi="Palatino Linotype"/>
          <w:b w:val="1"/>
          <w:sz w:val="24"/>
          <w:szCs w:val="24"/>
          <w:rtl w:val="0"/>
        </w:rPr>
        <w:t xml:space="preserve">OPINIÓN PARTICULAR QUE FORMULA LA COMISIONADA GUADALUPE RAMÍREZ PEÑA, EN RELACIÓN CON LA RESOLUCIÓN DICTADA POR EL PLENO DEL INSTITUTO DE TRANSPARENCIA, ACCESO A LA INFORMACIÓN PÚBLICA Y PROTECCIÓN DE DATOS PERSONALES DEL ESTADO DE MÉXICO Y MUNICIPIOS, EN LA CUADRAGÉSIMA TERCERA SESIÓN ORDINARIA DEL VEINTINUEVE DE NOVIEMBRE DE DOS MIL VEINTITRÉS, EN EL RECURSO DE REVISIÓN 05020/INFOEM/IP/RR/2023.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3100" cy="673100"/>
                <wp:effectExtent b="0" l="0" r="0" t="0"/>
                <wp:wrapNone/>
                <wp:docPr id="14" name=""/>
                <a:graphic>
                  <a:graphicData uri="http://schemas.microsoft.com/office/word/2010/wordprocessingShape">
                    <wps:wsp>
                      <wps:cNvSpPr/>
                      <wps:cNvPr id="4" name="Shape 4"/>
                      <wps:spPr>
                        <a:xfrm>
                          <a:off x="5028500" y="3462500"/>
                          <a:ext cx="635000" cy="63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3100" cy="673100"/>
                <wp:effectExtent b="0" l="0" r="0" t="0"/>
                <wp:wrapNone/>
                <wp:docPr id="1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73100" cy="673100"/>
                        </a:xfrm>
                        <a:prstGeom prst="rect"/>
                        <a:ln/>
                      </pic:spPr>
                    </pic:pic>
                  </a:graphicData>
                </a:graphic>
              </wp:anchor>
            </w:drawing>
          </mc:Fallback>
        </mc:AlternateConten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00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pleno del Instituto de Transparencia, Acceso a la Información Pública y Protección de Datos Personales del Estado de México y Municipios, aprobó por unanimidad de votos, la resolución relativa al recurso de revisión número </w:t>
      </w:r>
      <w:r w:rsidDel="00000000" w:rsidR="00000000" w:rsidRPr="00000000">
        <w:rPr>
          <w:rFonts w:ascii="Palatino Linotype" w:cs="Palatino Linotype" w:eastAsia="Palatino Linotype" w:hAnsi="Palatino Linotype"/>
          <w:b w:val="1"/>
          <w:sz w:val="24"/>
          <w:szCs w:val="24"/>
          <w:rtl w:val="0"/>
        </w:rPr>
        <w:t xml:space="preserve">05020/INFOEM/IP/RR/2023,</w:t>
      </w:r>
      <w:r w:rsidDel="00000000" w:rsidR="00000000" w:rsidRPr="00000000">
        <w:rPr>
          <w:rFonts w:ascii="Palatino Linotype" w:cs="Palatino Linotype" w:eastAsia="Palatino Linotype" w:hAnsi="Palatino Linotype"/>
          <w:sz w:val="24"/>
          <w:szCs w:val="24"/>
          <w:rtl w:val="0"/>
        </w:rPr>
        <w:t xml:space="preserve"> presentado por el Comisionado Presidente José Martínez Vilchis, respecto de la cual, la Suscrita fórmula </w:t>
      </w:r>
      <w:r w:rsidDel="00000000" w:rsidR="00000000" w:rsidRPr="00000000">
        <w:rPr>
          <w:rFonts w:ascii="Palatino Linotype" w:cs="Palatino Linotype" w:eastAsia="Palatino Linotype" w:hAnsi="Palatino Linotype"/>
          <w:b w:val="1"/>
          <w:sz w:val="24"/>
          <w:szCs w:val="24"/>
          <w:rtl w:val="0"/>
        </w:rPr>
        <w:t xml:space="preserve">OPINIÓN  PARTICULAR</w:t>
      </w:r>
      <w:r w:rsidDel="00000000" w:rsidR="00000000" w:rsidRPr="00000000">
        <w:rPr>
          <w:rFonts w:ascii="Palatino Linotype" w:cs="Palatino Linotype" w:eastAsia="Palatino Linotype" w:hAnsi="Palatino Linotype"/>
          <w:sz w:val="24"/>
          <w:szCs w:val="24"/>
          <w:rtl w:val="0"/>
        </w:rPr>
        <w:t xml:space="preserve">,  con fundamento en el artículo 14 fracción XI del Reglamento Interior del Instituto de Transparencia, Acceso a la Información Pública y Protección de Datos Personales del Estado de México y Municipios.</w:t>
      </w:r>
    </w:p>
    <w:p w:rsidR="00000000" w:rsidDel="00000000" w:rsidP="00000000" w:rsidRDefault="00000000" w:rsidRPr="00000000" w14:paraId="00000005">
      <w:pPr>
        <w:spacing w:after="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6">
      <w:pPr>
        <w:numPr>
          <w:ilvl w:val="0"/>
          <w:numId w:val="7"/>
        </w:numPr>
        <w:pBdr>
          <w:top w:space="0" w:sz="0" w:val="nil"/>
          <w:left w:space="0" w:sz="0" w:val="nil"/>
          <w:bottom w:space="0" w:sz="0" w:val="nil"/>
          <w:right w:space="0" w:sz="0" w:val="nil"/>
          <w:between w:space="0" w:sz="0" w:val="nil"/>
        </w:pBdr>
        <w:spacing w:after="240" w:before="240" w:line="360" w:lineRule="auto"/>
        <w:ind w:left="1080" w:hanging="720"/>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ANTECEDENTES.</w:t>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desprende de la Resolución que nos ocupa, la persona solicitante requirió 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lo siguiente:</w:t>
      </w:r>
    </w:p>
    <w:p w:rsidR="00000000" w:rsidDel="00000000" w:rsidP="00000000" w:rsidRDefault="00000000" w:rsidRPr="00000000" w14:paraId="0000000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E">
      <w:pPr>
        <w:tabs>
          <w:tab w:val="left" w:leader="none" w:pos="5647"/>
        </w:tabs>
        <w:spacing w:after="0" w:line="24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LA TOTALIDADA DE CONSTANCIAS, ACTUACIONES QIE AMPAREN EL OTORGAMIENTO DE LICENCIA MUNICIPAL DE CONSTRUCCIÒN, NÙMERO LC-023-037, EXPEDIENTE 2023-0343 OTORGADA Y FIRMADA POR EL DIRECTOR DE DESARROLLO URBANO Y DEL DEPARTAMENTO DE LICENCIAS AMBOS DEL MUNICIPIO DE CUAUTITLÀN RESPECTO DE LA LICENCIA DE CONSTRUCCIÓN OTORGADA A LA MORAL FIDEICOMISO DE ADMINISTRACIÓN CON DOMICILIO EN CARR. CUAUTITLÀN-ZUMPANGO NO. 401. LOTE 1, MANZANA 19,COLONIA LA VENECIA CUAUTITLÀN ESTADO DE MÈXICO, DONDE SE AUTORIZA LA CONSTRUCCIÒN POR MOVIMIENTO DE TIERRA BODEGAS (NAVE 1 Y 2) EXPEDIDA EL DÍA 18 DE ABRIL DEL PRESENTE AÑO CON FECHA DE VENCIMIENTO DE FECHA 18 DE ABRIL DEL AÑO DOS MIL VEINTICUATRO”</w:t>
      </w:r>
    </w:p>
    <w:p w:rsidR="00000000" w:rsidDel="00000000" w:rsidP="00000000" w:rsidRDefault="00000000" w:rsidRPr="00000000" w14:paraId="0000000F">
      <w:pPr>
        <w:spacing w:after="0" w:line="360" w:lineRule="auto"/>
        <w:ind w:right="-28"/>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0">
      <w:pPr>
        <w:spacing w:after="0" w:line="360" w:lineRule="auto"/>
        <w:ind w:right="-28"/>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respuesta,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remitió lo siguiente: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SOLICITUD 00289-2023.pdf</w:t>
      </w:r>
      <w:r w:rsidDel="00000000" w:rsidR="00000000" w:rsidRPr="00000000">
        <w:rPr>
          <w:rFonts w:ascii="Palatino Linotype" w:cs="Palatino Linotype" w:eastAsia="Palatino Linotype" w:hAnsi="Palatino Linotype"/>
          <w:sz w:val="24"/>
          <w:szCs w:val="24"/>
          <w:rtl w:val="0"/>
        </w:rPr>
        <w:t xml:space="preserve">”, el cual se integra de los oficios siguientes: </w:t>
      </w:r>
    </w:p>
    <w:p w:rsidR="00000000" w:rsidDel="00000000" w:rsidP="00000000" w:rsidRDefault="00000000" w:rsidRPr="00000000" w14:paraId="0000001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numPr>
          <w:ilvl w:val="0"/>
          <w:numId w:val="1"/>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número UT/00608/2023 del 11 (once) de julio de 2023 (dos mil veintitrés),  remitido por la Titular de la Unidad de Transparencia al Director de Desarrollo Urbano, ambos del Sujeto Obligado, por medio del cual, peticiona remita la información para dar contestación a la solicitud de información 00289/CUAUTIT/IP/2023.</w:t>
      </w:r>
    </w:p>
    <w:p w:rsidR="00000000" w:rsidDel="00000000" w:rsidP="00000000" w:rsidRDefault="00000000" w:rsidRPr="00000000" w14:paraId="0000001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numPr>
          <w:ilvl w:val="0"/>
          <w:numId w:val="1"/>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 número DDU/586/2023 del 09 (nueve) de agosto de 2023 (dos mil veintitrés), remitido por el Director de Desarrollo Urbano a la Titular de la Unidad de Transparencia al Director de Desarrollo Urbano, ambos del Sujeto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708" w:firstLine="0"/>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8">
      <w:pP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9">
      <w:pP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B">
      <w:pP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Obligado, por medio del cual, da respuesta al oficio UT/00608/2023, informando sustancialmente, lo siguiente:</w:t>
      </w:r>
    </w:p>
    <w:p w:rsidR="00000000" w:rsidDel="00000000" w:rsidP="00000000" w:rsidRDefault="00000000" w:rsidRPr="00000000" w14:paraId="0000001C">
      <w:pPr>
        <w:spacing w:after="0" w:line="240" w:lineRule="auto"/>
        <w:ind w:left="708"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D">
      <w:pPr>
        <w:spacing w:after="0" w:line="240" w:lineRule="auto"/>
        <w:ind w:left="72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esta Dirección es competente para dar respuesta a esta solicitud y por lo tanto a través de este medio solicito que debido a que la información solicitada contiene datos personales de la moral antes citada esta respuesta sea sometida a un acuerdo de reserva de información.”</w:t>
      </w:r>
    </w:p>
    <w:p w:rsidR="00000000" w:rsidDel="00000000" w:rsidP="00000000" w:rsidRDefault="00000000" w:rsidRPr="00000000" w14:paraId="0000001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F">
      <w:pPr>
        <w:numPr>
          <w:ilvl w:val="0"/>
          <w:numId w:val="1"/>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Acuerdo número UT/CUAUTIT/0032/DDU/2023 del 23 (veintitrés) de agosto de 2023 (dos mil veintitrés), del que se observa objetivamente lo siguiente:</w:t>
      </w:r>
    </w:p>
    <w:p w:rsidR="00000000" w:rsidDel="00000000" w:rsidP="00000000" w:rsidRDefault="00000000" w:rsidRPr="00000000" w14:paraId="00000020">
      <w:pPr>
        <w:spacing w:after="0" w:line="240" w:lineRule="auto"/>
        <w:ind w:left="72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“YA QUE CONTIENE DATOS PRECISOS DEL SOLICITANTE, </w:t>
      </w:r>
      <w:r w:rsidDel="00000000" w:rsidR="00000000" w:rsidRPr="00000000">
        <w:rPr>
          <w:rFonts w:ascii="Palatino Linotype" w:cs="Palatino Linotype" w:eastAsia="Palatino Linotype" w:hAnsi="Palatino Linotype"/>
          <w:i w:val="1"/>
          <w:u w:val="single"/>
          <w:rtl w:val="0"/>
        </w:rPr>
        <w:t xml:space="preserve">PROPIETARIO Y/O POSEEDOR, DATOS DEL INMUEBLE, SUPERFICIE, LOCALIZACIÓN,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DATOS DEBEN SER CONSIDERADOS COMO CONFIDENCIALES</w:t>
      </w:r>
      <w:r w:rsidDel="00000000" w:rsidR="00000000" w:rsidRPr="00000000">
        <w:rPr>
          <w:rFonts w:ascii="Palatino Linotype" w:cs="Palatino Linotype" w:eastAsia="Palatino Linotype" w:hAnsi="Palatino Linotype"/>
          <w:i w:val="1"/>
          <w:rtl w:val="0"/>
        </w:rPr>
        <w:t xml:space="preserve">, PUES CORRESPONDEN A PERSONAS FÍSICAS IDENTIFICADAS E IDENTIFICABLES Y SU DIFUSIÓN PODRÍA AFECTAR EL ÁMBITO DE SU PRIVACIDAD, POR LO TANTO, SON DATOS PERSONALES SUSCEPTIBLES, QUE SE DEBEN PROTEGER, MEDIANTE SU CLASIFICACIÓN COMO CONFIDENCIAL.YA QUE CONTIENE DATOS PERSONALES Y SON PROTEGIDOS POR LA LEY DE PROTECCIÓN DE DATOS PERSONALES EN POSESIÓN DE LOS SUJETOS OBLIGADOS DEL ESTADO DE MÉXICO Y MUNICIPIOS Y, SÓLO PODRÁN TENER ACCESO A AQUELLA LOS TITULARES DE LA MISMA, SUS REPRESENTANTES Y LOS SERVIDORES PÚBLICOS FACULTADOS PARA ELLO Y, ÚNICAMENTE PODRAN SER TRANSMITIDOS EN CUMPLIMIENTO A LOS REQUERIMIENTOS QUE EN EL EJERCICIO DE SUS ATRIBUCIONES REALICEN; LOS DATOS PERSONALES PLASMADOS EN LA LICENCIA MUNICIPAL DE CONSTRUCCIÓN, DERIVADO DE LAS CONSTANCIAS Y ACTUACIONES QUE AMPARAN EL OTORGAMIENTO DE LICENCIA MUNICIPAL DE CONSTRUCCIÓN. NÚMERO LC-023-037, EXPEDIENTE 2023-0343, OTORGADA A LA MORAL FIDEICOMISO DE ADMINISTRACIÓN CON DOMICILIO EN CARR. CUAUTITLÁN-ZUMPANGO NO. 401, LOTE 1. MANZANA 19, COLONIA LA VENECIA CUAUTITLÁN ESTADO DE MÉXICO, DONDE SE AUTORIZA LA CONSTRUCCIÓN POR MOVIMIENTO DE TIERRA BODEGAS (NAVE 1 Y 2) EXPEDIDA EL DÍA 18 DE ABRIL DEL </w:t>
      </w:r>
    </w:p>
    <w:p w:rsidR="00000000" w:rsidDel="00000000" w:rsidP="00000000" w:rsidRDefault="00000000" w:rsidRPr="00000000" w14:paraId="00000021">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2">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3">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4">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5">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6">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7">
      <w:pPr>
        <w:spacing w:after="0" w:line="240" w:lineRule="auto"/>
        <w:ind w:left="72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PRESENTE AÑO CON FECHA DE VENCIMIENTO DE FECHA 18 DE ABRIL DEL AÑO DOS MIL VEINTICUATRO, OTORGADA Y FIRMADA POR EL DIRECTOR DE DESARROLLO URBANO Y DEL DEPARTAMENTO DE LICENCIAS DEL H. AYUNTAMIENTO DE CUAUTITLÁN, ESTADO DE MÉXICO, DATOS QUE NO PODRÁN SER DIFUNDIDOS SIN CONSENTIMIENTO EXPRESO, SALVO LAS EXCEPCIOINES PREVISTAS EN LA LEY.</w:t>
      </w:r>
    </w:p>
    <w:p w:rsidR="00000000" w:rsidDel="00000000" w:rsidP="00000000" w:rsidRDefault="00000000" w:rsidRPr="00000000" w14:paraId="00000028">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9">
      <w:pPr>
        <w:spacing w:after="0" w:line="240" w:lineRule="auto"/>
        <w:ind w:left="72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A">
      <w:pPr>
        <w:spacing w:after="0" w:line="240" w:lineRule="auto"/>
        <w:ind w:left="72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B">
      <w:pPr>
        <w:spacing w:after="0" w:line="240" w:lineRule="auto"/>
        <w:ind w:left="72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TERCERO</w:t>
      </w:r>
      <w:r w:rsidDel="00000000" w:rsidR="00000000" w:rsidRPr="00000000">
        <w:rPr>
          <w:rFonts w:ascii="Palatino Linotype" w:cs="Palatino Linotype" w:eastAsia="Palatino Linotype" w:hAnsi="Palatino Linotype"/>
          <w:i w:val="1"/>
          <w:rtl w:val="0"/>
        </w:rPr>
        <w:t xml:space="preserve">. De la información que posee la "</w:t>
      </w:r>
      <w:r w:rsidDel="00000000" w:rsidR="00000000" w:rsidRPr="00000000">
        <w:rPr>
          <w:rFonts w:ascii="Palatino Linotype" w:cs="Palatino Linotype" w:eastAsia="Palatino Linotype" w:hAnsi="Palatino Linotype"/>
          <w:b w:val="1"/>
          <w:i w:val="1"/>
          <w:rtl w:val="0"/>
        </w:rPr>
        <w:t xml:space="preserve">LICENCIA MUNICIPAL DE CONSTRUCCIÓN, DERIVADO DE LAS CONSTANCIAS Y ACTUACIONES QUE AMPARAN EL OTORGAMIENTO DE LICENCIA MUNICIPAL DE CONSTRUCCIÓN, NÚMERO LC-023-037, EXPEDIENTE 2023-0343, OTORGADA A LA MORAL FIDEICOMISO DE ADMINISTRACIÓN CON DOMICILIO EN CARR. CUAUTITLÁN­ZUMPANGO NO. 401, LOTE 1, MANZANA 19, COLONIA LA VENECIA CUAUTITLÁN ESTADO DE MÉXICO, DONDE SE AUTORIZA LA CONSTRUCCIÓN POR MOVIMIENTO DE TIERRA BODEGAS (NAVE 1 Y 2) EXPEDIDA EL DÍA 18 DE ABRIL DEL PRESENTE AÑO CON FECHA DE VENCIMIENTO DE FECHA 18 DE ABRIL DEL AÑO DOS MIL VEINTICUATRO, OTORGADA Y FIRMADA POR EL DIRECTOR DE DESARROLLO URBANO Y DEL DEPARTAMENTO DE LICENCIAS DEL H. AYUNTAMIENTO DE CUAUTITLÁN, ESTADO DE MÉXICO</w:t>
      </w:r>
      <w:r w:rsidDel="00000000" w:rsidR="00000000" w:rsidRPr="00000000">
        <w:rPr>
          <w:rFonts w:ascii="Palatino Linotype" w:cs="Palatino Linotype" w:eastAsia="Palatino Linotype" w:hAnsi="Palatino Linotype"/>
          <w:i w:val="1"/>
          <w:rtl w:val="0"/>
        </w:rPr>
        <w:t xml:space="preserve">" y, que obra en los archivos de la DIR</w:t>
      </w:r>
      <w:r w:rsidDel="00000000" w:rsidR="00000000" w:rsidRPr="00000000">
        <w:rPr>
          <w:rFonts w:ascii="Palatino Linotype" w:cs="Palatino Linotype" w:eastAsia="Palatino Linotype" w:hAnsi="Palatino Linotype"/>
          <w:b w:val="1"/>
          <w:i w:val="1"/>
          <w:rtl w:val="0"/>
        </w:rPr>
        <w:t xml:space="preserve">ECCIÓN DE DESARROLLO URBANO</w:t>
      </w:r>
      <w:r w:rsidDel="00000000" w:rsidR="00000000" w:rsidRPr="00000000">
        <w:rPr>
          <w:rFonts w:ascii="Palatino Linotype" w:cs="Palatino Linotype" w:eastAsia="Palatino Linotype" w:hAnsi="Palatino Linotype"/>
          <w:i w:val="1"/>
          <w:rtl w:val="0"/>
        </w:rPr>
        <w:t xml:space="preserve"> del H. Ayuntamiento de </w:t>
      </w:r>
      <w:r w:rsidDel="00000000" w:rsidR="00000000" w:rsidRPr="00000000">
        <w:rPr>
          <w:rFonts w:ascii="Palatino Linotype" w:cs="Palatino Linotype" w:eastAsia="Palatino Linotype" w:hAnsi="Palatino Linotype"/>
          <w:b w:val="1"/>
          <w:i w:val="1"/>
          <w:rtl w:val="0"/>
        </w:rPr>
        <w:t xml:space="preserve">C</w:t>
      </w:r>
      <w:r w:rsidDel="00000000" w:rsidR="00000000" w:rsidRPr="00000000">
        <w:rPr>
          <w:rFonts w:ascii="Palatino Linotype" w:cs="Palatino Linotype" w:eastAsia="Palatino Linotype" w:hAnsi="Palatino Linotype"/>
          <w:i w:val="1"/>
          <w:rtl w:val="0"/>
        </w:rPr>
        <w:t xml:space="preserve">uautitlán, Estado de México, se determina la Clasificación de la Información como </w:t>
      </w:r>
      <w:r w:rsidDel="00000000" w:rsidR="00000000" w:rsidRPr="00000000">
        <w:rPr>
          <w:rFonts w:ascii="Palatino Linotype" w:cs="Palatino Linotype" w:eastAsia="Palatino Linotype" w:hAnsi="Palatino Linotype"/>
          <w:b w:val="1"/>
          <w:i w:val="1"/>
          <w:rtl w:val="0"/>
        </w:rPr>
        <w:t xml:space="preserve">C</w:t>
      </w:r>
      <w:r w:rsidDel="00000000" w:rsidR="00000000" w:rsidRPr="00000000">
        <w:rPr>
          <w:rFonts w:ascii="Palatino Linotype" w:cs="Palatino Linotype" w:eastAsia="Palatino Linotype" w:hAnsi="Palatino Linotype"/>
          <w:i w:val="1"/>
          <w:rtl w:val="0"/>
        </w:rPr>
        <w:t xml:space="preserve">onfidencial de la que se indica a continuación:</w:t>
      </w:r>
    </w:p>
    <w:p w:rsidR="00000000" w:rsidDel="00000000" w:rsidP="00000000" w:rsidRDefault="00000000" w:rsidRPr="00000000" w14:paraId="0000002C">
      <w:pPr>
        <w:spacing w:after="0" w:line="24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E">
      <w:pPr>
        <w:spacing w:after="0" w:line="360" w:lineRule="auto"/>
        <w:ind w:right="-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Conocida la respuesta, al no estar conforme con los términos de la misma, la persona solicitante presentó el recurso de revisión mediante el cual señaló como: </w:t>
      </w:r>
    </w:p>
    <w:p w:rsidR="00000000" w:rsidDel="00000000" w:rsidP="00000000" w:rsidRDefault="00000000" w:rsidRPr="00000000" w14:paraId="0000002F">
      <w:pPr>
        <w:spacing w:after="0" w:line="360" w:lineRule="auto"/>
        <w:ind w:right="-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spacing w:after="0" w:line="360" w:lineRule="auto"/>
        <w:ind w:right="-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1">
      <w:pPr>
        <w:spacing w:after="0" w:line="360" w:lineRule="auto"/>
        <w:ind w:right="-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spacing w:after="0" w:line="360" w:lineRule="auto"/>
        <w:ind w:right="-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3">
      <w:pPr>
        <w:spacing w:after="0" w:line="360" w:lineRule="auto"/>
        <w:ind w:right="-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4">
      <w:pPr>
        <w:spacing w:after="0" w:line="360" w:lineRule="auto"/>
        <w:ind w:right="-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5">
      <w:pPr>
        <w:spacing w:after="0" w:line="360" w:lineRule="auto"/>
        <w:ind w:right="-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spacing w:after="0" w:line="276" w:lineRule="auto"/>
        <w:ind w:right="616"/>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7">
      <w:pPr>
        <w:spacing w:after="0" w:line="276" w:lineRule="auto"/>
        <w:ind w:right="616"/>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Acto Impugnado:</w:t>
      </w:r>
      <w:r w:rsidDel="00000000" w:rsidR="00000000" w:rsidRPr="00000000">
        <w:rPr>
          <w:rtl w:val="0"/>
        </w:rPr>
      </w:r>
    </w:p>
    <w:p w:rsidR="00000000" w:rsidDel="00000000" w:rsidP="00000000" w:rsidRDefault="00000000" w:rsidRPr="00000000" w14:paraId="00000038">
      <w:pPr>
        <w:spacing w:after="0" w:line="276" w:lineRule="auto"/>
        <w:ind w:right="616"/>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9">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respuesta emitida por el sujeto obligado.” (sic)</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B">
      <w:pPr>
        <w:spacing w:after="0" w:line="276" w:lineRule="auto"/>
        <w:ind w:right="616"/>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Razones o motivos de inconformidad:</w:t>
      </w:r>
      <w:r w:rsidDel="00000000" w:rsidR="00000000" w:rsidRPr="00000000">
        <w:rPr>
          <w:rtl w:val="0"/>
        </w:rPr>
      </w:r>
    </w:p>
    <w:p w:rsidR="00000000" w:rsidDel="00000000" w:rsidP="00000000" w:rsidRDefault="00000000" w:rsidRPr="00000000" w14:paraId="0000003C">
      <w:pPr>
        <w:spacing w:after="0" w:line="276" w:lineRule="auto"/>
        <w:ind w:right="616"/>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D">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conformidad con el artículo 6°, Apartado A), fracción I de la Constitución Política de los Estados Unidos Mexicanos, que establece que toda la información en posesión de cualquier autoridad es pública y sólo podrá ser reservada temporalmente por razones de interés público.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Por su parte, la Ley de Transparencia y Acceso a la Información Pública del Estado de México y Municipios (Reglamentaria del artículo 5° de la Constitución Local), establece lo siguiente: El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El artículo 12, que, quienes generen, recopilen, administren, manejen, procesen, archiven o conserven información pública serán responsables de la misma. El artículo 18, que, los Sujetos Obligados deberán documentar todo acto que derive del ejercicio de sus facultades, competencias o funciones, considerando desde su origen la eventual publicidad y reutilización de la información que generen. El artículo 19, que, se presume que la información debe existir si se refiere a las facultades, competencias y funciones que los ordenamientos jurídicos aplicables otorgan a los sujetos obligados y en caso de </w:t>
      </w:r>
    </w:p>
    <w:p w:rsidR="00000000" w:rsidDel="00000000" w:rsidP="00000000" w:rsidRDefault="00000000" w:rsidRPr="00000000" w14:paraId="0000003E">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F">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0">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1">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2">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3">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4">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5">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dichas facultades no se hayan ejercido, se deberá motivar la respuesta en función de las causas que motivaron tal circunstancia. Así pues, derivado de la respuesta emitida por el Sujeto Obligado, se aprecia lo siguiente: Que a través del atento DDU/586/2023, el Director de Desarrollo Urbano manifiesta “Que esta dirección es competente para dar respuesta a esta solicitud…” y que “…debido a que la información solicitada contiene datos personales…”, solicita que la información sea sometida a un acuerdo de reserva. Después, mediante Acuerdo de Confidencialidad número UT/CUAUTIT/0032/DDU/2023 de fecha 23 de agosto del presente año, el Comité de Transparencia “aprueba” la clasificación de la información requerida, esto por contener “DATOS PRECISOS DEL SOLICITANTE, PROPIETARIO Y/O POSEEDOR, DATOS DEL INMUEBLE, SUPERFICIE, LOCALIZACIÓN, DATOS DEBEN SER CONSIDERADOS COMO CONFIDENCIALES…” (Sic) De lo anterior, resulta evidente que el sujeto Obligado asume la existencia de la información requerida, por lo que con fundamento en lo dispuesto en el articulo 4 de la Ley de Transparencia Local, que establece que “toda la información generada, obtenida, adquirida, transformada, administrada o en posesión de los sujetos obligados es pública y accesible de manera permanente a cualquier persona”; asimismo, tenemos que según lo dispuesto en el artículo 137 que establece que,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en este sentido, tenemos que la Versión Pública corresponde al “documento en el que se elimine, suprime o borra la información clasificada como reservada o confidencial para permitir su acceso”. Bajo esa lógica, tenemos que los argumentos vertidos en la respuesta emitida por el Sujeto Obligado no justifican la reserva de información solicitada por la Dirección de Desarrollo Urbano, ni la clasificación de la totalidad de la información requerida como confidencial, en todo caso, se debió proporcionar la documental en versión pública, en la que se testen o supriman los datos personales que estas pudieran contener, los cuales sí corresponden a información confidencial. Así pues, tenemos que la respuesta del sujeto Obligado, además de errónea, es violatoria de mi derecho humano de acceso a la información y al "Acuerdo Regional sobre el Acceso a la Información, a la Participación Pública y a la Justicia en Asuntos Ambientales" mismo que firmo el gobierno de México el 27 de septiembre del año 2018 y que el Senado de la República ratifico el día 5 de noviembre de 2020, , por lo que solicito sea proporcionada la información requerida.” (sic)</w:t>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admitido el presente recurso de revisión, en términos del artículo 185 fracción II</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por lo que respecta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resultó omiso de emitir su informe justificado</w:t>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omisa de emitir sus manifestaciones, conforme a derecho le corresponde. </w:t>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sz w:val="24"/>
          <w:szCs w:val="24"/>
          <w:rtl w:val="0"/>
        </w:rPr>
        <w:t xml:space="preserve">Por lo que, previo análisis de las constancias y de la naturaleza de la información, la Ponencia que resolvió determinó </w:t>
      </w:r>
      <w:r w:rsidDel="00000000" w:rsidR="00000000" w:rsidRPr="00000000">
        <w:rPr>
          <w:rFonts w:ascii="Palatino Linotype" w:cs="Palatino Linotype" w:eastAsia="Palatino Linotype" w:hAnsi="Palatino Linotype"/>
          <w:i w:val="1"/>
          <w:sz w:val="24"/>
          <w:szCs w:val="24"/>
          <w:rtl w:val="0"/>
        </w:rPr>
        <w:t xml:space="preserve">Modificar</w:t>
      </w:r>
      <w:r w:rsidDel="00000000" w:rsidR="00000000" w:rsidRPr="00000000">
        <w:rPr>
          <w:rFonts w:ascii="Palatino Linotype" w:cs="Palatino Linotype" w:eastAsia="Palatino Linotype" w:hAnsi="Palatino Linotype"/>
          <w:sz w:val="24"/>
          <w:szCs w:val="24"/>
          <w:rtl w:val="0"/>
        </w:rPr>
        <w:t xml:space="preserve"> la respuesta y ordenar la entrega de información, como se advierte en el </w:t>
      </w:r>
      <w:r w:rsidDel="00000000" w:rsidR="00000000" w:rsidRPr="00000000">
        <w:rPr>
          <w:rFonts w:ascii="Palatino Linotype" w:cs="Palatino Linotype" w:eastAsia="Palatino Linotype" w:hAnsi="Palatino Linotype"/>
          <w:b w:val="1"/>
          <w:sz w:val="24"/>
          <w:szCs w:val="24"/>
          <w:rtl w:val="0"/>
        </w:rPr>
        <w:t xml:space="preserve">resolutivo SEGUNDO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04E">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F">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“SEGUNDO. Se ORDENA al Sujeto Obligado que haga entrega al Recurrente mediante el Sistema de Acceso a la Información Mexiquense (SAIMEX), en versión pública, en términos del Considerando CUARTO, del soporte documental, en que obre lo siguiente:</w:t>
      </w:r>
    </w:p>
    <w:p w:rsidR="00000000" w:rsidDel="00000000" w:rsidP="00000000" w:rsidRDefault="00000000" w:rsidRPr="00000000" w14:paraId="00000050">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1">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Las constancias que amparen el otorgamiento de licencia municipal de construcción, número LC-023-037, con expediente 2023-0343.</w:t>
      </w:r>
    </w:p>
    <w:p w:rsidR="00000000" w:rsidDel="00000000" w:rsidP="00000000" w:rsidRDefault="00000000" w:rsidRPr="00000000" w14:paraId="00000052">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3">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Debiendo emitir y hacer entrega del Acuerdo del Comité de Transparencia en términos de los artículos 49, fracción VIII y 132 fracción II de la Ley de Transparencia y Acceso a la Información Pública del Estado de México y </w:t>
      </w:r>
    </w:p>
    <w:p w:rsidR="00000000" w:rsidDel="00000000" w:rsidP="00000000" w:rsidRDefault="00000000" w:rsidRPr="00000000" w14:paraId="00000054">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5">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Municipios, en el que funde y motive las razones sobre los datos que se supriman o eliminen y se ponga a disposición de la parte Recurrente.” (Sic) </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debe mencionarse que se comparte el sentido de la resolución; sin embargo, se emite la presente opinión particular a fin de precisar que, si bien en los puntos resolutivos se ordena la entrega de la información en los términos solicitados por el particular, es de mencionar que este Instituto debe seguir los principios de certeza, eficacia, objetividad, profesionalismo y transparencia, que, de acuerdo a la Ley de Transparencia Local, consisten en lo siguiente: </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9. </w:t>
      </w:r>
      <w:r w:rsidDel="00000000" w:rsidR="00000000" w:rsidRPr="00000000">
        <w:rPr>
          <w:rFonts w:ascii="Palatino Linotype" w:cs="Palatino Linotype" w:eastAsia="Palatino Linotype" w:hAnsi="Palatino Linotype"/>
          <w:i w:val="1"/>
          <w:rtl w:val="0"/>
        </w:rPr>
        <w:t xml:space="preserve">El Instituto deberá regir su funcionamiento de acuerdo a los siguientes principios:</w:t>
      </w:r>
    </w:p>
    <w:p w:rsidR="00000000" w:rsidDel="00000000" w:rsidP="00000000" w:rsidRDefault="00000000" w:rsidRPr="00000000" w14:paraId="0000005A">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Certeza: Principio que otorga seguridad y certidumbre jurídica a los particulares, en virtud de que permite conocer si las acciones del Instituto son apegadas a derecho y garantiza que los  procedimientos sean completamente verificables, fidedignos y confiables;</w:t>
      </w:r>
    </w:p>
    <w:p w:rsidR="00000000" w:rsidDel="00000000" w:rsidP="00000000" w:rsidRDefault="00000000" w:rsidRPr="00000000" w14:paraId="0000005B">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Eficacia: Obligación del Instituto para tutelar, de manera efectiva, el derecho de acceso a la información;</w:t>
      </w:r>
    </w:p>
    <w:p w:rsidR="00000000" w:rsidDel="00000000" w:rsidP="00000000" w:rsidRDefault="00000000" w:rsidRPr="00000000" w14:paraId="0000005C">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D">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Objetividad: Obligación del Instituto de ajustar su actuación a los presupuestos de ley que deben ser aplicados al analizar el caso en concreto y resolver todos los hechos, prescindiendo de las consideraciones y criterios personales; </w:t>
      </w:r>
    </w:p>
    <w:p w:rsidR="00000000" w:rsidDel="00000000" w:rsidP="00000000" w:rsidRDefault="00000000" w:rsidRPr="00000000" w14:paraId="0000005E">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Profesionalismo: Los servidores públicos que laboren en el Instituto deberán sujetar su actuación a conocimientos técnicos, teóricos y metodológicos que garanticen un desempeño eficiente y eficaz en el ejercicio de la función pública que tienen encomendada; y </w:t>
      </w:r>
    </w:p>
    <w:p w:rsidR="00000000" w:rsidDel="00000000" w:rsidP="00000000" w:rsidRDefault="00000000" w:rsidRPr="00000000" w14:paraId="0000005F">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0">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1">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2">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3">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4">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5">
      <w:pPr>
        <w:spacing w:after="0" w:line="276" w:lineRule="auto"/>
        <w:ind w:left="851"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Transparencia: Obligación del Instituto de dar publicidad a las deliberaciones y actos relacionados con sus atribuciones así como dar acceso a la información que generen.”</w:t>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Además, en respuesta se pronunció la Dirección de Desarrollo Urbano</w:t>
      </w:r>
      <w:r w:rsidDel="00000000" w:rsidR="00000000" w:rsidRPr="00000000">
        <w:rPr>
          <w:rFonts w:ascii="Palatino Linotype" w:cs="Palatino Linotype" w:eastAsia="Palatino Linotype" w:hAnsi="Palatino Linotype"/>
          <w:color w:val="000000"/>
          <w:sz w:val="24"/>
          <w:szCs w:val="24"/>
          <w:rtl w:val="0"/>
        </w:rPr>
        <w:t xml:space="preserve">, que de acuerdo a la Ley Orgánica Municipal del Estado de México tiene las siguientes atribuciones: </w:t>
      </w:r>
    </w:p>
    <w:p w:rsidR="00000000" w:rsidDel="00000000" w:rsidP="00000000" w:rsidRDefault="00000000" w:rsidRPr="00000000" w14:paraId="00000068">
      <w:pPr>
        <w:spacing w:after="0" w:line="360" w:lineRule="auto"/>
        <w:ind w:right="4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9">
      <w:pPr>
        <w:spacing w:after="0" w:line="240" w:lineRule="auto"/>
        <w:ind w:left="567" w:right="567" w:firstLine="0"/>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b w:val="1"/>
          <w:i w:val="1"/>
          <w:color w:val="000000"/>
          <w:rtl w:val="0"/>
        </w:rPr>
        <w:t xml:space="preserve">Artículo 31.-</w:t>
      </w:r>
      <w:r w:rsidDel="00000000" w:rsidR="00000000" w:rsidRPr="00000000">
        <w:rPr>
          <w:rFonts w:ascii="Palatino Linotype" w:cs="Palatino Linotype" w:eastAsia="Palatino Linotype" w:hAnsi="Palatino Linotype"/>
          <w:i w:val="1"/>
          <w:color w:val="000000"/>
          <w:rtl w:val="0"/>
        </w:rPr>
        <w:t xml:space="preserve"> Son atribuciones de los ayuntamientos: </w:t>
      </w:r>
      <w:r w:rsidDel="00000000" w:rsidR="00000000" w:rsidRPr="00000000">
        <w:rPr>
          <w:rtl w:val="0"/>
        </w:rPr>
      </w:r>
    </w:p>
    <w:p w:rsidR="00000000" w:rsidDel="00000000" w:rsidP="00000000" w:rsidRDefault="00000000" w:rsidRPr="00000000" w14:paraId="0000006A">
      <w:pPr>
        <w:spacing w:after="0" w:line="240" w:lineRule="auto"/>
        <w:ind w:left="567" w:right="567" w:firstLine="0"/>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6B">
      <w:pPr>
        <w:spacing w:after="0" w:line="240" w:lineRule="auto"/>
        <w:ind w:left="567" w:right="567" w:firstLine="0"/>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i w:val="1"/>
          <w:color w:val="000000"/>
          <w:rtl w:val="0"/>
        </w:rPr>
        <w:t xml:space="preserve">XXIV Quáter.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r w:rsidDel="00000000" w:rsidR="00000000" w:rsidRPr="00000000">
        <w:rPr>
          <w:rtl w:val="0"/>
        </w:rPr>
      </w:r>
    </w:p>
    <w:p w:rsidR="00000000" w:rsidDel="00000000" w:rsidP="00000000" w:rsidRDefault="00000000" w:rsidRPr="00000000" w14:paraId="0000006C">
      <w:pPr>
        <w:spacing w:after="0" w:line="240" w:lineRule="auto"/>
        <w:ind w:left="567" w:right="567"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6D">
      <w:pPr>
        <w:spacing w:after="0" w:line="240" w:lineRule="auto"/>
        <w:ind w:left="567" w:right="567" w:firstLine="0"/>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b w:val="1"/>
          <w:i w:val="1"/>
          <w:color w:val="000000"/>
          <w:rtl w:val="0"/>
        </w:rPr>
        <w:t xml:space="preserve">Artículo 96.</w:t>
      </w:r>
      <w:r w:rsidDel="00000000" w:rsidR="00000000" w:rsidRPr="00000000">
        <w:rPr>
          <w:rFonts w:ascii="Palatino Linotype" w:cs="Palatino Linotype" w:eastAsia="Palatino Linotype" w:hAnsi="Palatino Linotype"/>
          <w:i w:val="1"/>
          <w:color w:val="000000"/>
          <w:rtl w:val="0"/>
        </w:rPr>
        <w:t xml:space="preserve"> Sexies.- </w:t>
      </w:r>
      <w:r w:rsidDel="00000000" w:rsidR="00000000" w:rsidRPr="00000000">
        <w:rPr>
          <w:rFonts w:ascii="Palatino Linotype" w:cs="Palatino Linotype" w:eastAsia="Palatino Linotype" w:hAnsi="Palatino Linotype"/>
          <w:b w:val="1"/>
          <w:i w:val="1"/>
          <w:color w:val="000000"/>
          <w:u w:val="single"/>
          <w:rtl w:val="0"/>
        </w:rPr>
        <w:t xml:space="preserve">El Director de Desarrollo Urbano</w:t>
      </w:r>
      <w:r w:rsidDel="00000000" w:rsidR="00000000" w:rsidRPr="00000000">
        <w:rPr>
          <w:rFonts w:ascii="Palatino Linotype" w:cs="Palatino Linotype" w:eastAsia="Palatino Linotype" w:hAnsi="Palatino Linotype"/>
          <w:i w:val="1"/>
          <w:color w:val="000000"/>
          <w:rtl w:val="0"/>
        </w:rPr>
        <w:t xml:space="preserve"> o el Titular de la Unidad Administrativa equivalente, tiene las atribuciones siguientes: </w:t>
      </w:r>
      <w:r w:rsidDel="00000000" w:rsidR="00000000" w:rsidRPr="00000000">
        <w:rPr>
          <w:rtl w:val="0"/>
        </w:rPr>
      </w:r>
    </w:p>
    <w:p w:rsidR="00000000" w:rsidDel="00000000" w:rsidP="00000000" w:rsidRDefault="00000000" w:rsidRPr="00000000" w14:paraId="0000006E">
      <w:pPr>
        <w:spacing w:after="0" w:line="240" w:lineRule="auto"/>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6F">
      <w:pPr>
        <w:spacing w:after="0" w:line="240" w:lineRule="auto"/>
        <w:ind w:left="567" w:right="567" w:firstLine="0"/>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i w:val="1"/>
          <w:color w:val="000000"/>
          <w:rtl w:val="0"/>
        </w:rPr>
        <w:t xml:space="preserve"> VI. Analizar las cédulas informativas de zonificación, licencias de uso de suelo y </w:t>
      </w:r>
      <w:r w:rsidDel="00000000" w:rsidR="00000000" w:rsidRPr="00000000">
        <w:rPr>
          <w:rFonts w:ascii="Palatino Linotype" w:cs="Palatino Linotype" w:eastAsia="Palatino Linotype" w:hAnsi="Palatino Linotype"/>
          <w:b w:val="1"/>
          <w:i w:val="1"/>
          <w:color w:val="000000"/>
          <w:u w:val="single"/>
          <w:rtl w:val="0"/>
        </w:rPr>
        <w:t xml:space="preserve">licencias de construcción</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70">
      <w:pPr>
        <w:spacing w:after="0" w:line="240" w:lineRule="auto"/>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VII. Vigilar la utilización y aprovechamiento del suelo con fines urbanos, en su circunscripción territorial;</w:t>
      </w:r>
    </w:p>
    <w:p w:rsidR="00000000" w:rsidDel="00000000" w:rsidP="00000000" w:rsidRDefault="00000000" w:rsidRPr="00000000" w14:paraId="00000071">
      <w:pPr>
        <w:spacing w:after="0" w:line="240" w:lineRule="auto"/>
        <w:ind w:left="567" w:right="567" w:firstLine="0"/>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72">
      <w:pPr>
        <w:spacing w:after="0" w:line="240" w:lineRule="auto"/>
        <w:rPr>
          <w:rFonts w:ascii="Pinyon Script" w:cs="Pinyon Script" w:eastAsia="Pinyon Script" w:hAnsi="Pinyon Script"/>
          <w:sz w:val="24"/>
          <w:szCs w:val="24"/>
        </w:rPr>
      </w:pPr>
      <w:r w:rsidDel="00000000" w:rsidR="00000000" w:rsidRPr="00000000">
        <w:rPr>
          <w:rtl w:val="0"/>
        </w:rPr>
      </w:r>
    </w:p>
    <w:p w:rsidR="00000000" w:rsidDel="00000000" w:rsidP="00000000" w:rsidRDefault="00000000" w:rsidRPr="00000000" w14:paraId="00000073">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Luego entonces le corresponde al Ayuntamiento, el de otorgar licencias de construcción a través del </w:t>
      </w:r>
      <w:r w:rsidDel="00000000" w:rsidR="00000000" w:rsidRPr="00000000">
        <w:rPr>
          <w:rFonts w:ascii="Palatino Linotype" w:cs="Palatino Linotype" w:eastAsia="Palatino Linotype" w:hAnsi="Palatino Linotype"/>
          <w:b w:val="1"/>
          <w:color w:val="000000"/>
          <w:sz w:val="24"/>
          <w:szCs w:val="24"/>
          <w:rtl w:val="0"/>
        </w:rPr>
        <w:t xml:space="preserve">Director de Desarrollo Urbano</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tl w:val="0"/>
        </w:rPr>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en razón de que la Ponencia únicamente expone lo siguiente:</w:t>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7">
      <w:pPr>
        <w:spacing w:after="0" w:line="240" w:lineRule="auto"/>
        <w:ind w:left="851" w:right="70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rtl w:val="0"/>
        </w:rPr>
        <w:t xml:space="preserve">En ese orden de ideas, de conformidad con la Cédula del trámite para la expedición de la Licencia de construcción del Sujeto Obligado</w:t>
      </w:r>
      <w:r w:rsidDel="00000000" w:rsidR="00000000" w:rsidRPr="00000000">
        <w:rPr>
          <w:rFonts w:ascii="Palatino Linotype" w:cs="Palatino Linotype" w:eastAsia="Palatino Linotype" w:hAnsi="Palatino Linotype"/>
          <w:i w:val="1"/>
          <w:vertAlign w:val="superscript"/>
        </w:rPr>
        <w:footnoteReference w:customMarkFollows="0" w:id="1"/>
      </w:r>
      <w:r w:rsidDel="00000000" w:rsidR="00000000" w:rsidRPr="00000000">
        <w:rPr>
          <w:rFonts w:ascii="Palatino Linotype" w:cs="Palatino Linotype" w:eastAsia="Palatino Linotype" w:hAnsi="Palatino Linotype"/>
          <w:i w:val="1"/>
          <w:rtl w:val="0"/>
        </w:rPr>
        <w:t xml:space="preserve">, se observan listados como requisitos y los documentos que deben proporcionarse, para pronta referencia se señalan a continuación:</w:t>
      </w:r>
      <w:r w:rsidDel="00000000" w:rsidR="00000000" w:rsidRPr="00000000">
        <w:rPr>
          <w:rtl w:val="0"/>
        </w:rPr>
      </w:r>
    </w:p>
    <w:p w:rsidR="00000000" w:rsidDel="00000000" w:rsidP="00000000" w:rsidRDefault="00000000" w:rsidRPr="00000000" w14:paraId="00000078">
      <w:pPr>
        <w:spacing w:after="0" w:line="240" w:lineRule="auto"/>
        <w:ind w:left="851" w:right="706"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Solicitud elaborada</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Documento que acredite la propiedad</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Recibos de predial y agua</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Identificación del propietario</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su caso, carta poder con identificaciones</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Croquis de localización del inmueble</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Planos arquitectónicos</w:t>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Menoría de cálculo estructural</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Registro del Director de Obra Responsable</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Evaluación de impacto ambiental</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pacing w:after="0" w:line="240" w:lineRule="auto"/>
        <w:ind w:left="1211" w:right="706" w:hanging="36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su caso, cambio de uso de suelo</w:t>
      </w:r>
    </w:p>
    <w:p w:rsidR="00000000" w:rsidDel="00000000" w:rsidP="00000000" w:rsidRDefault="00000000" w:rsidRPr="00000000" w14:paraId="00000084">
      <w:pPr>
        <w:spacing w:after="0" w:line="240" w:lineRule="auto"/>
        <w:jc w:val="both"/>
        <w:rPr>
          <w:rFonts w:ascii="Palatino Linotype" w:cs="Palatino Linotype" w:eastAsia="Palatino Linotype" w:hAnsi="Palatino Linotype"/>
          <w:i w:val="1"/>
          <w:highlight w:val="yellow"/>
        </w:rPr>
      </w:pPr>
      <w:r w:rsidDel="00000000" w:rsidR="00000000" w:rsidRPr="00000000">
        <w:rPr>
          <w:rtl w:val="0"/>
        </w:rPr>
      </w:r>
    </w:p>
    <w:p w:rsidR="00000000" w:rsidDel="00000000" w:rsidP="00000000" w:rsidRDefault="00000000" w:rsidRPr="00000000" w14:paraId="00000085">
      <w:pPr>
        <w:spacing w:after="0" w:line="240" w:lineRule="auto"/>
        <w:ind w:left="851" w:right="70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rtl w:val="0"/>
        </w:rPr>
        <w:t xml:space="preserve">Documentos que atendiendo a la calidad de la información contenida en cada uno de ellos, se observa que algunos son de naturaleza dual, esto es que, contienen información pública de interés e información sensible y confidencial, y algunos otros son de información completamente confidencial, verbigracia, las identificaciones, en esa virtud, el Sujeto Obligado deberá analizar todos y cada uno de los documentos que integran el expediente de expediente 2023-0343, debiendo determinar la procedencia de la clasificación de los datos confidenciales, ordenando la elaboración de la versión pública o en su caso la clasificación total del documento,  parcial y/o total, en términos de las Leyes Estatales de Transparencia y Protección de Datos Personales, respectivamente.</w:t>
      </w:r>
      <w:r w:rsidDel="00000000" w:rsidR="00000000" w:rsidRPr="00000000">
        <w:rPr>
          <w:rtl w:val="0"/>
        </w:rPr>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tales consideraciones, considero que este organismo tiene el deber de orientar al sujeto obligado sobre los criterios adoptados por el pleno sobre el acceso a determinados documentos, se debió precisar los documentos que se debieron clasificados en su totalidad como en los casos que se solicita el expediente de personal con el propósito de que el sujeto obligado de cumplimiento adecuado a la resolución y al mismo tiempo brindar un correcto acceso a la información pública sin menoscabar la protección de los datos personales de los particulares, conforme a lo siguiente:</w:t>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ind w:left="720" w:firstLine="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Respecto a los recibos de predial y agua</w:t>
      </w:r>
    </w:p>
    <w:p w:rsidR="00000000" w:rsidDel="00000000" w:rsidP="00000000" w:rsidRDefault="00000000" w:rsidRPr="00000000" w14:paraId="0000008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puede observar el recibo de pago de impuesto predial y agua está integrado por datos que están relacionados con el bien inmueble y su propietario, como lo son:</w:t>
      </w:r>
    </w:p>
    <w:p w:rsidR="00000000" w:rsidDel="00000000" w:rsidP="00000000" w:rsidRDefault="00000000" w:rsidRPr="00000000" w14:paraId="0000008E">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Clave Catastral;</w:t>
      </w:r>
    </w:p>
    <w:p w:rsidR="00000000" w:rsidDel="00000000" w:rsidP="00000000" w:rsidRDefault="00000000" w:rsidRPr="00000000" w14:paraId="0000008F">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Nombre del propietario;</w:t>
      </w:r>
    </w:p>
    <w:p w:rsidR="00000000" w:rsidDel="00000000" w:rsidP="00000000" w:rsidRDefault="00000000" w:rsidRPr="00000000" w14:paraId="00000090">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Domicilio del inmueble y;</w:t>
      </w:r>
    </w:p>
    <w:p w:rsidR="00000000" w:rsidDel="00000000" w:rsidP="00000000" w:rsidRDefault="00000000" w:rsidRPr="00000000" w14:paraId="00000091">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Registro Federal de Contribuyentes.</w:t>
      </w:r>
      <w:r w:rsidDel="00000000" w:rsidR="00000000" w:rsidRPr="00000000">
        <w:rPr>
          <w:rtl w:val="0"/>
        </w:rPr>
      </w:r>
    </w:p>
    <w:p w:rsidR="00000000" w:rsidDel="00000000" w:rsidP="00000000" w:rsidRDefault="00000000" w:rsidRPr="00000000" w14:paraId="00000092">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u w:val="none"/>
        </w:rPr>
      </w:pPr>
      <w:r w:rsidDel="00000000" w:rsidR="00000000" w:rsidRPr="00000000">
        <w:rPr>
          <w:rtl w:val="0"/>
        </w:rPr>
      </w:r>
    </w:p>
    <w:p w:rsidR="00000000" w:rsidDel="00000000" w:rsidP="00000000" w:rsidRDefault="00000000" w:rsidRPr="00000000" w14:paraId="0000009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referirse a la esfera privada de la persona, al tenor de lo siguiente:</w:t>
      </w:r>
    </w:p>
    <w:p w:rsidR="00000000" w:rsidDel="00000000" w:rsidP="00000000" w:rsidRDefault="00000000" w:rsidRPr="00000000" w14:paraId="0000009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5">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u w:val="single"/>
          <w:rtl w:val="0"/>
        </w:rPr>
        <w:t xml:space="preserve">Clave catastral</w:t>
      </w:r>
      <w:r w:rsidDel="00000000" w:rsidR="00000000" w:rsidRPr="00000000">
        <w:rPr>
          <w:rFonts w:ascii="Palatino Linotype" w:cs="Palatino Linotype" w:eastAsia="Palatino Linotype" w:hAnsi="Palatino Linotype"/>
          <w:b w:val="1"/>
          <w:sz w:val="24"/>
          <w:szCs w:val="24"/>
          <w:rtl w:val="0"/>
        </w:rPr>
        <w:t xml:space="preserve">.</w:t>
      </w:r>
    </w:p>
    <w:p w:rsidR="00000000" w:rsidDel="00000000" w:rsidP="00000000" w:rsidRDefault="00000000" w:rsidRPr="00000000" w14:paraId="0000009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diccionario de Datos catastrales Escala 1:1000 del Instituto Nacional de Estadística y Geografía (INEGI), contempla en su glosario la definición de clave catastral, la cual, es la siguiente:</w:t>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A">
      <w:pPr>
        <w:spacing w:after="0" w:line="360" w:lineRule="auto"/>
        <w:ind w:left="567"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b w:val="1"/>
          <w:i w:val="1"/>
          <w:sz w:val="24"/>
          <w:szCs w:val="24"/>
          <w:rtl w:val="0"/>
        </w:rPr>
        <w:t xml:space="preserve">Clave catastral</w:t>
      </w:r>
      <w:r w:rsidDel="00000000" w:rsidR="00000000" w:rsidRPr="00000000">
        <w:rPr>
          <w:rFonts w:ascii="Palatino Linotype" w:cs="Palatino Linotype" w:eastAsia="Palatino Linotype" w:hAnsi="Palatino Linotype"/>
          <w:i w:val="1"/>
          <w:sz w:val="24"/>
          <w:szCs w:val="24"/>
          <w:rtl w:val="0"/>
        </w:rPr>
        <w:t xml:space="preserve">: El código que identifica al predio de forma única para su localización geográfica, mismo que es asignado a cada uno de ellos en el momento de su inscripción en el padrón catastral por las Unidades del estado con atribuciones catastrales”</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dicho diccionario estipula dos tipos de Claves catastrales, siendo estas la Estándar y la Original, cuyo diccionario de datos catastrales Escala 1:1000 del INEGI, las define como:</w:t>
      </w:r>
    </w:p>
    <w:p w:rsidR="00000000" w:rsidDel="00000000" w:rsidP="00000000" w:rsidRDefault="00000000" w:rsidRPr="00000000" w14:paraId="0000009D">
      <w:pPr>
        <w:spacing w:after="0" w:line="276" w:lineRule="auto"/>
        <w:ind w:left="567" w:right="902"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9E">
      <w:pPr>
        <w:spacing w:after="0" w:line="276" w:lineRule="auto"/>
        <w:ind w:left="567" w:right="902"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 “CLAVE CATASTRAL ESTÁNDAR</w:t>
      </w:r>
      <w:r w:rsidDel="00000000" w:rsidR="00000000" w:rsidRPr="00000000">
        <w:rPr>
          <w:rFonts w:ascii="Palatino Linotype" w:cs="Palatino Linotype" w:eastAsia="Palatino Linotype" w:hAnsi="Palatino Linotype"/>
          <w:i w:val="1"/>
          <w:sz w:val="24"/>
          <w:szCs w:val="24"/>
          <w:rtl w:val="0"/>
        </w:rPr>
        <w:t xml:space="preserve">: Código de 31 caracteres conformado por elementos administrativos y que identifica al objeto espacial en forma única para su localización, compuesto por: Estado (2) + Región Catastral (3) + Municipio (3) + Zona Catastral (2) +</w:t>
      </w:r>
    </w:p>
    <w:p w:rsidR="00000000" w:rsidDel="00000000" w:rsidP="00000000" w:rsidRDefault="00000000" w:rsidRPr="00000000" w14:paraId="0000009F">
      <w:pPr>
        <w:spacing w:after="0" w:line="276" w:lineRule="auto"/>
        <w:ind w:left="567" w:right="902"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Localidad (4) + Sector Catastral (3) + Manzana (3) + Predio (5) + Condominio: edificio (2) y unidad (4).</w:t>
      </w:r>
    </w:p>
    <w:p w:rsidR="00000000" w:rsidDel="00000000" w:rsidP="00000000" w:rsidRDefault="00000000" w:rsidRPr="00000000" w14:paraId="000000A0">
      <w:pPr>
        <w:spacing w:after="0" w:line="276" w:lineRule="auto"/>
        <w:ind w:left="567" w:right="902"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A1">
      <w:pPr>
        <w:spacing w:after="0" w:line="276" w:lineRule="auto"/>
        <w:ind w:left="567" w:right="902"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CLAVE CATASTRAL ORIGINAL: </w:t>
      </w:r>
      <w:r w:rsidDel="00000000" w:rsidR="00000000" w:rsidRPr="00000000">
        <w:rPr>
          <w:rFonts w:ascii="Palatino Linotype" w:cs="Palatino Linotype" w:eastAsia="Palatino Linotype" w:hAnsi="Palatino Linotype"/>
          <w:i w:val="1"/>
          <w:sz w:val="24"/>
          <w:szCs w:val="24"/>
          <w:rtl w:val="0"/>
        </w:rPr>
        <w:t xml:space="preserve">Código que identifica al objeto espacial el cual es asignado, por el Catastro Estatal, Municipal o por el registro Agrario Nacional”</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es procedente clasificarlo como confidencial con fundamento en el artículo 143, fracción I de la Ley de Transparencia y Acceso a la Información Pública del Estado de México y Municipios.</w:t>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color w:val="000000"/>
          <w:sz w:val="24"/>
          <w:szCs w:val="24"/>
          <w:u w:val="single"/>
        </w:rPr>
      </w:pPr>
      <w:r w:rsidDel="00000000" w:rsidR="00000000" w:rsidRPr="00000000">
        <w:rPr>
          <w:rFonts w:ascii="Palatino Linotype" w:cs="Palatino Linotype" w:eastAsia="Palatino Linotype" w:hAnsi="Palatino Linotype"/>
          <w:b w:val="1"/>
          <w:color w:val="000000"/>
          <w:sz w:val="24"/>
          <w:szCs w:val="24"/>
          <w:u w:val="single"/>
          <w:rtl w:val="0"/>
        </w:rPr>
        <w:t xml:space="preserve">Nombre del propietario.</w:t>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nombre se integra con el sustantivo propio y el primer apellido de los padres, en </w:t>
      </w:r>
    </w:p>
    <w:p w:rsidR="00000000" w:rsidDel="00000000" w:rsidP="00000000" w:rsidRDefault="00000000" w:rsidRPr="00000000" w14:paraId="000000A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orden que, de común acuerdo determinen; asimismo es la manifestación principal del derecho subjetivo a la personal y atributo de ésta, en términos del artículo 2.3 del Código Civil del Estado de México, de tal suerte, el nombre es un elemento que hace a una persona física identificada e identificable, por lo que se considera un dato personal.</w:t>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concreto, se trata del nombre de una persona en relación con la propiedad de un bien inmueble, es decir, es posible establecer la relación que existe entre una persona y un bien que forma parte de su patrimonio, por lo que, en ese sentido, se considera procedente el nombre de la persona que aparece en el recibo de pago de impuesto predial, en términos de lo establecido en el artículo 143, fracción I de la Ley de Transparencia y Acceso a la Información Pública del Estado de México y Municipios.</w:t>
      </w:r>
    </w:p>
    <w:p w:rsidR="00000000" w:rsidDel="00000000" w:rsidP="00000000" w:rsidRDefault="00000000" w:rsidRPr="00000000" w14:paraId="000000A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color w:val="000000"/>
          <w:sz w:val="24"/>
          <w:szCs w:val="24"/>
          <w:u w:val="single"/>
        </w:rPr>
      </w:pPr>
      <w:r w:rsidDel="00000000" w:rsidR="00000000" w:rsidRPr="00000000">
        <w:rPr>
          <w:rFonts w:ascii="Palatino Linotype" w:cs="Palatino Linotype" w:eastAsia="Palatino Linotype" w:hAnsi="Palatino Linotype"/>
          <w:b w:val="1"/>
          <w:color w:val="000000"/>
          <w:sz w:val="24"/>
          <w:szCs w:val="24"/>
          <w:u w:val="single"/>
          <w:rtl w:val="0"/>
        </w:rPr>
        <w:t xml:space="preserve">Registro Federal de Contribuyentes (RFC).</w:t>
      </w:r>
    </w:p>
    <w:p w:rsidR="00000000" w:rsidDel="00000000" w:rsidP="00000000" w:rsidRDefault="00000000" w:rsidRPr="00000000" w14:paraId="000000A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w:t>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desconcentrado de la Secretaría de Hacienda y Crédito Público, de acuerdo al artículo 27 del Código Fiscal de la Federación.</w:t>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000000" w:rsidDel="00000000" w:rsidP="00000000" w:rsidRDefault="00000000" w:rsidRPr="00000000" w14:paraId="000000B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000000" w:rsidDel="00000000" w:rsidP="00000000" w:rsidRDefault="00000000" w:rsidRPr="00000000" w14:paraId="000000B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Registro Federal de Contribuyentes es un dato personal, ya que hace a las personas físicas identificadas 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w:t>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resulta congruente con el Criterio 19/17 emitido por el Instituto Nacional de Transparencia, Acceso a la Información y Protección de Datos Personales, en el cual se señala lo siguiente:</w:t>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BA">
      <w:pPr>
        <w:spacing w:after="0" w:line="360" w:lineRule="auto"/>
        <w:ind w:left="567" w:right="90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b w:val="1"/>
          <w:i w:val="1"/>
          <w:sz w:val="24"/>
          <w:szCs w:val="24"/>
          <w:rtl w:val="0"/>
        </w:rPr>
        <w:t xml:space="preserve">Registro Federal de Contribuyentes (RFC) de personas físicas</w:t>
      </w:r>
      <w:r w:rsidDel="00000000" w:rsidR="00000000" w:rsidRPr="00000000">
        <w:rPr>
          <w:rFonts w:ascii="Palatino Linotype" w:cs="Palatino Linotype" w:eastAsia="Palatino Linotype" w:hAnsi="Palatino Linotype"/>
          <w:i w:val="1"/>
          <w:sz w:val="24"/>
          <w:szCs w:val="24"/>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suerte, el Registro Federal de Contribuyentes constituye un dato personal confidencial al actualizar el supuesto normativo del artículo 143, fracción I, de la Ley de Transparencia y Acceso a la Información Pública del Estado de México y Municipios.</w:t>
      </w:r>
    </w:p>
    <w:p w:rsidR="00000000" w:rsidDel="00000000" w:rsidP="00000000" w:rsidRDefault="00000000" w:rsidRPr="00000000" w14:paraId="000000BD">
      <w:pPr>
        <w:spacing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E">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relación a la ubicación del inmueble se analizará, más adelante.  </w:t>
      </w:r>
    </w:p>
    <w:p w:rsidR="00000000" w:rsidDel="00000000" w:rsidP="00000000" w:rsidRDefault="00000000" w:rsidRPr="00000000" w14:paraId="000000BF">
      <w:pPr>
        <w:numPr>
          <w:ilvl w:val="0"/>
          <w:numId w:val="3"/>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Respecto a la identificación del propietario. </w:t>
      </w:r>
    </w:p>
    <w:p w:rsidR="00000000" w:rsidDel="00000000" w:rsidP="00000000" w:rsidRDefault="00000000" w:rsidRPr="00000000" w14:paraId="000000C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Dicho documento contiene elementos de seguridad como fotografía digitalizada, banda magnética e identificación holográfica, domicilio, RFC, huella dactilar, entre otros, los cuales </w:t>
      </w:r>
      <w:r w:rsidDel="00000000" w:rsidR="00000000" w:rsidRPr="00000000">
        <w:rPr>
          <w:rFonts w:ascii="Palatino Linotype" w:cs="Palatino Linotype" w:eastAsia="Palatino Linotype" w:hAnsi="Palatino Linotype"/>
          <w:color w:val="000000"/>
          <w:sz w:val="24"/>
          <w:szCs w:val="24"/>
          <w:rtl w:val="0"/>
        </w:rPr>
        <w:t xml:space="preserve">deben ser protegidos mediante su clasificación como </w:t>
      </w:r>
      <w:r w:rsidDel="00000000" w:rsidR="00000000" w:rsidRPr="00000000">
        <w:rPr>
          <w:rFonts w:ascii="Palatino Linotype" w:cs="Palatino Linotype" w:eastAsia="Palatino Linotype" w:hAnsi="Palatino Linotype"/>
          <w:sz w:val="24"/>
          <w:szCs w:val="24"/>
          <w:rtl w:val="0"/>
        </w:rPr>
        <w:t xml:space="preserve">confidencial en su totalidad, ya </w:t>
      </w:r>
      <w:r w:rsidDel="00000000" w:rsidR="00000000" w:rsidRPr="00000000">
        <w:rPr>
          <w:rFonts w:ascii="Palatino Linotype" w:cs="Palatino Linotype" w:eastAsia="Palatino Linotype" w:hAnsi="Palatino Linotype"/>
          <w:color w:val="000000"/>
          <w:sz w:val="24"/>
          <w:szCs w:val="24"/>
          <w:rtl w:val="0"/>
        </w:rPr>
        <w:t xml:space="preserve">que por su naturaleza jurídica contienen datos deben ser clasificados como confidenciales, lo anterior, como a continuación se precisa:</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se refiere a la credencial para votar, constituyen datos personales el nombre, domicilio, huella digital, fotografía del elector, clave de registro o elector, Clave Única del Registro de Población y firma, tal como se refiere en el artículo 156 </w:t>
      </w:r>
    </w:p>
    <w:p w:rsidR="00000000" w:rsidDel="00000000" w:rsidP="00000000" w:rsidRDefault="00000000" w:rsidRPr="00000000" w14:paraId="000000C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numeral 1, incisos d), g) e i) de la Ley General de Instituciones y Procedimientos </w:t>
      </w:r>
    </w:p>
    <w:p w:rsidR="00000000" w:rsidDel="00000000" w:rsidP="00000000" w:rsidRDefault="00000000" w:rsidRPr="00000000" w14:paraId="000000C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Electorales que enlista los datos que, cuando menos, debe contener la credencial para votar, como son: </w:t>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9">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156</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A">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1.</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La credencial para votar deberá contener, cuando menos, los siguientes datos del elector</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B">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C">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 </w:t>
      </w:r>
      <w:r w:rsidDel="00000000" w:rsidR="00000000" w:rsidRPr="00000000">
        <w:rPr>
          <w:rFonts w:ascii="Palatino Linotype" w:cs="Palatino Linotype" w:eastAsia="Palatino Linotype" w:hAnsi="Palatino Linotype"/>
          <w:b w:val="1"/>
          <w:i w:val="1"/>
          <w:u w:val="single"/>
          <w:rtl w:val="0"/>
        </w:rPr>
        <w:t xml:space="preserve">Domicilio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D">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E">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g) </w:t>
      </w:r>
      <w:r w:rsidDel="00000000" w:rsidR="00000000" w:rsidRPr="00000000">
        <w:rPr>
          <w:rFonts w:ascii="Palatino Linotype" w:cs="Palatino Linotype" w:eastAsia="Palatino Linotype" w:hAnsi="Palatino Linotype"/>
          <w:b w:val="1"/>
          <w:i w:val="1"/>
          <w:rtl w:val="0"/>
        </w:rPr>
        <w:t xml:space="preserve">Firma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huella digital</w:t>
      </w:r>
      <w:r w:rsidDel="00000000" w:rsidR="00000000" w:rsidRPr="00000000">
        <w:rPr>
          <w:rFonts w:ascii="Palatino Linotype" w:cs="Palatino Linotype" w:eastAsia="Palatino Linotype" w:hAnsi="Palatino Linotype"/>
          <w:i w:val="1"/>
          <w:rtl w:val="0"/>
        </w:rPr>
        <w:t xml:space="preserve"> y </w:t>
      </w:r>
      <w:r w:rsidDel="00000000" w:rsidR="00000000" w:rsidRPr="00000000">
        <w:rPr>
          <w:rFonts w:ascii="Palatino Linotype" w:cs="Palatino Linotype" w:eastAsia="Palatino Linotype" w:hAnsi="Palatino Linotype"/>
          <w:b w:val="1"/>
          <w:i w:val="1"/>
          <w:u w:val="single"/>
          <w:rtl w:val="0"/>
        </w:rPr>
        <w:t xml:space="preserve">fotografía del elector</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F">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0">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Clave Única del Registro de Población</w:t>
      </w:r>
      <w:r w:rsidDel="00000000" w:rsidR="00000000" w:rsidRPr="00000000">
        <w:rPr>
          <w:rFonts w:ascii="Palatino Linotype" w:cs="Palatino Linotype" w:eastAsia="Palatino Linotype" w:hAnsi="Palatino Linotype"/>
          <w:i w:val="1"/>
          <w:rtl w:val="0"/>
        </w:rPr>
        <w:t xml:space="preserve">. ” (Sic)</w:t>
      </w:r>
    </w:p>
    <w:p w:rsidR="00000000" w:rsidDel="00000000" w:rsidP="00000000" w:rsidRDefault="00000000" w:rsidRPr="00000000" w14:paraId="000000D1">
      <w:pPr>
        <w:tabs>
          <w:tab w:val="left" w:leader="none" w:pos="8222"/>
        </w:tabs>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conocimiento de dichos datos afecta la esfera más íntima de su Titular, en razón de que su utilización indebida pueda dar origen a un riesgo grave para éste.</w:t>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2095626</wp:posOffset>
            </wp:positionV>
            <wp:extent cx="5766428" cy="2617756"/>
            <wp:effectExtent b="0" l="0" r="0" t="0"/>
            <wp:wrapNone/>
            <wp:docPr id="18" name="image2.png"/>
            <a:graphic>
              <a:graphicData uri="http://schemas.openxmlformats.org/drawingml/2006/picture">
                <pic:pic>
                  <pic:nvPicPr>
                    <pic:cNvPr id="0" name="image2.png"/>
                    <pic:cNvPicPr preferRelativeResize="0"/>
                  </pic:nvPicPr>
                  <pic:blipFill>
                    <a:blip r:embed="rId9"/>
                    <a:srcRect b="2758" l="0" r="0" t="0"/>
                    <a:stretch>
                      <a:fillRect/>
                    </a:stretch>
                  </pic:blipFill>
                  <pic:spPr>
                    <a:xfrm>
                      <a:off x="0" y="0"/>
                      <a:ext cx="5766428" cy="2617756"/>
                    </a:xfrm>
                    <a:prstGeom prst="rect"/>
                    <a:ln/>
                  </pic:spPr>
                </pic:pic>
              </a:graphicData>
            </a:graphic>
          </wp:anchor>
        </w:drawing>
      </w:r>
    </w:p>
    <w:p w:rsidR="00000000" w:rsidDel="00000000" w:rsidP="00000000" w:rsidRDefault="00000000" w:rsidRPr="00000000" w14:paraId="000000DC">
      <w:pPr>
        <w:spacing w:after="24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520</wp:posOffset>
            </wp:positionH>
            <wp:positionV relativeFrom="paragraph">
              <wp:posOffset>16675</wp:posOffset>
            </wp:positionV>
            <wp:extent cx="5769348" cy="2842549"/>
            <wp:effectExtent b="0" l="0" r="0" t="0"/>
            <wp:wrapNone/>
            <wp:docPr id="22" name="image2.png"/>
            <a:graphic>
              <a:graphicData uri="http://schemas.openxmlformats.org/drawingml/2006/picture">
                <pic:pic>
                  <pic:nvPicPr>
                    <pic:cNvPr id="0" name="image2.png"/>
                    <pic:cNvPicPr preferRelativeResize="0"/>
                  </pic:nvPicPr>
                  <pic:blipFill>
                    <a:blip r:embed="rId9"/>
                    <a:srcRect b="2758" l="0" r="0" t="0"/>
                    <a:stretch>
                      <a:fillRect/>
                    </a:stretch>
                  </pic:blipFill>
                  <pic:spPr>
                    <a:xfrm>
                      <a:off x="0" y="0"/>
                      <a:ext cx="5769348" cy="2842549"/>
                    </a:xfrm>
                    <a:prstGeom prst="rect"/>
                    <a:ln/>
                  </pic:spPr>
                </pic:pic>
              </a:graphicData>
            </a:graphic>
          </wp:anchor>
        </w:drawing>
      </w:r>
    </w:p>
    <w:p w:rsidR="00000000" w:rsidDel="00000000" w:rsidP="00000000" w:rsidRDefault="00000000" w:rsidRPr="00000000" w14:paraId="000000D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after="240" w:before="24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rsidR="00000000" w:rsidDel="00000000" w:rsidP="00000000" w:rsidRDefault="00000000" w:rsidRPr="00000000" w14:paraId="000000E5">
      <w:pPr>
        <w:spacing w:after="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934360" cy="1963320"/>
            <wp:effectExtent b="0" l="0" r="0" t="0"/>
            <wp:docPr id="2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34360" cy="19633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254000</wp:posOffset>
                </wp:positionV>
                <wp:extent cx="2764809" cy="374650"/>
                <wp:effectExtent b="0" l="0" r="0" t="0"/>
                <wp:wrapNone/>
                <wp:docPr id="17" name=""/>
                <a:graphic>
                  <a:graphicData uri="http://schemas.microsoft.com/office/word/2010/wordprocessingShape">
                    <wps:wsp>
                      <wps:cNvSpPr/>
                      <wps:cNvPr id="7" name="Shape 7"/>
                      <wps:spPr>
                        <a:xfrm>
                          <a:off x="4001696" y="3630775"/>
                          <a:ext cx="2688609" cy="29845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254000</wp:posOffset>
                </wp:positionV>
                <wp:extent cx="2764809" cy="374650"/>
                <wp:effectExtent b="0" l="0" r="0" t="0"/>
                <wp:wrapNone/>
                <wp:docPr id="1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764809" cy="374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762000</wp:posOffset>
                </wp:positionV>
                <wp:extent cx="840474" cy="601639"/>
                <wp:effectExtent b="0" l="0" r="0" t="0"/>
                <wp:wrapNone/>
                <wp:docPr id="15" name=""/>
                <a:graphic>
                  <a:graphicData uri="http://schemas.microsoft.com/office/word/2010/wordprocessingShape">
                    <wps:wsp>
                      <wps:cNvSpPr/>
                      <wps:cNvPr id="5" name="Shape 5"/>
                      <wps:spPr>
                        <a:xfrm>
                          <a:off x="4963863" y="3517281"/>
                          <a:ext cx="764274" cy="525439"/>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762000</wp:posOffset>
                </wp:positionV>
                <wp:extent cx="840474" cy="601639"/>
                <wp:effectExtent b="0" l="0" r="0" t="0"/>
                <wp:wrapNone/>
                <wp:docPr id="1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840474" cy="601639"/>
                        </a:xfrm>
                        <a:prstGeom prst="rect"/>
                        <a:ln/>
                      </pic:spPr>
                    </pic:pic>
                  </a:graphicData>
                </a:graphic>
              </wp:anchor>
            </w:drawing>
          </mc:Fallback>
        </mc:AlternateContent>
      </w:r>
    </w:p>
    <w:p w:rsidR="00000000" w:rsidDel="00000000" w:rsidP="00000000" w:rsidRDefault="00000000" w:rsidRPr="00000000" w14:paraId="000000E6">
      <w:pPr>
        <w:widowControl w:val="0"/>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844648" cy="2591513"/>
            <wp:effectExtent b="0" l="0" r="0" t="0"/>
            <wp:docPr id="2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844648" cy="25915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152400</wp:posOffset>
                </wp:positionV>
                <wp:extent cx="2580564" cy="526576"/>
                <wp:effectExtent b="0" l="0" r="0" t="0"/>
                <wp:wrapNone/>
                <wp:docPr id="16" name=""/>
                <a:graphic>
                  <a:graphicData uri="http://schemas.microsoft.com/office/word/2010/wordprocessingShape">
                    <wps:wsp>
                      <wps:cNvSpPr/>
                      <wps:cNvPr id="6" name="Shape 6"/>
                      <wps:spPr>
                        <a:xfrm>
                          <a:off x="4093818" y="3554812"/>
                          <a:ext cx="2504364" cy="450376"/>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152400</wp:posOffset>
                </wp:positionV>
                <wp:extent cx="2580564" cy="526576"/>
                <wp:effectExtent b="0" l="0" r="0" t="0"/>
                <wp:wrapNone/>
                <wp:docPr id="16"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580564" cy="5265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1193800</wp:posOffset>
                </wp:positionV>
                <wp:extent cx="2580564" cy="412750"/>
                <wp:effectExtent b="0" l="0" r="0" t="0"/>
                <wp:wrapNone/>
                <wp:docPr id="12" name=""/>
                <a:graphic>
                  <a:graphicData uri="http://schemas.microsoft.com/office/word/2010/wordprocessingShape">
                    <wps:wsp>
                      <wps:cNvSpPr/>
                      <wps:cNvPr id="2" name="Shape 2"/>
                      <wps:spPr>
                        <a:xfrm>
                          <a:off x="4093818" y="3611725"/>
                          <a:ext cx="2504364" cy="33655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1193800</wp:posOffset>
                </wp:positionV>
                <wp:extent cx="2580564" cy="412750"/>
                <wp:effectExtent b="0" l="0" r="0" t="0"/>
                <wp:wrapNone/>
                <wp:docPr id="1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580564"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330200</wp:posOffset>
                </wp:positionV>
                <wp:extent cx="451514" cy="1932295"/>
                <wp:effectExtent b="0" l="0" r="0" t="0"/>
                <wp:wrapNone/>
                <wp:docPr id="13" name=""/>
                <a:graphic>
                  <a:graphicData uri="http://schemas.microsoft.com/office/word/2010/wordprocessingShape">
                    <wps:wsp>
                      <wps:cNvSpPr/>
                      <wps:cNvPr id="3" name="Shape 3"/>
                      <wps:spPr>
                        <a:xfrm>
                          <a:off x="5158343" y="2851953"/>
                          <a:ext cx="375314" cy="1856095"/>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330200</wp:posOffset>
                </wp:positionV>
                <wp:extent cx="451514" cy="1932295"/>
                <wp:effectExtent b="0" l="0" r="0" t="0"/>
                <wp:wrapNone/>
                <wp:docPr id="13"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451514" cy="1932295"/>
                        </a:xfrm>
                        <a:prstGeom prst="rect"/>
                        <a:ln/>
                      </pic:spPr>
                    </pic:pic>
                  </a:graphicData>
                </a:graphic>
              </wp:anchor>
            </w:drawing>
          </mc:Fallback>
        </mc:AlternateContent>
      </w:r>
    </w:p>
    <w:p w:rsidR="00000000" w:rsidDel="00000000" w:rsidP="00000000" w:rsidRDefault="00000000" w:rsidRPr="00000000" w14:paraId="000000E7">
      <w:pPr>
        <w:widowControl w:val="0"/>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000000" w:rsidDel="00000000" w:rsidP="00000000" w:rsidRDefault="00000000" w:rsidRPr="00000000" w14:paraId="000000E8">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9">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de la edad, se trata de un dato personal sensible que concierne únicamente a su titular, al corresponder a su esfera más íntima. </w:t>
      </w:r>
    </w:p>
    <w:p w:rsidR="00000000" w:rsidDel="00000000" w:rsidP="00000000" w:rsidRDefault="00000000" w:rsidRPr="00000000" w14:paraId="000000EA">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B">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000000" w:rsidDel="00000000" w:rsidP="00000000" w:rsidRDefault="00000000" w:rsidRPr="00000000" w14:paraId="000000EC">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D">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F">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0">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se refiere a la CURP</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00000" w:rsidDel="00000000" w:rsidP="00000000" w:rsidRDefault="00000000" w:rsidRPr="00000000" w14:paraId="000000F1">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tiene sustento en los artículos 86 y 91 de la Ley General de Población, la cual señala lo siguiente:</w:t>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4">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86. </w:t>
      </w:r>
      <w:r w:rsidDel="00000000" w:rsidR="00000000" w:rsidRPr="00000000">
        <w:rPr>
          <w:rFonts w:ascii="Palatino Linotype" w:cs="Palatino Linotype" w:eastAsia="Palatino Linotype" w:hAnsi="Palatino Linotype"/>
          <w:i w:val="1"/>
          <w:rtl w:val="0"/>
        </w:rPr>
        <w:t xml:space="preserve">El Registro Nacional de Población tiene como finalidad registrar a cada una de las personas que integran la población del país, con los datos que permitan certificar y acreditar fehacientemente su identidad.</w:t>
      </w:r>
    </w:p>
    <w:p w:rsidR="00000000" w:rsidDel="00000000" w:rsidP="00000000" w:rsidRDefault="00000000" w:rsidRPr="00000000" w14:paraId="000000F5">
      <w:pPr>
        <w:spacing w:after="0" w:line="276" w:lineRule="auto"/>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F6">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Al incorporar a una persona en el Registro Nacional de Población</w:t>
      </w:r>
      <w:r w:rsidDel="00000000" w:rsidR="00000000" w:rsidRPr="00000000">
        <w:rPr>
          <w:rFonts w:ascii="Palatino Linotype" w:cs="Palatino Linotype" w:eastAsia="Palatino Linotype" w:hAnsi="Palatino Linotype"/>
          <w:i w:val="1"/>
          <w:rtl w:val="0"/>
        </w:rPr>
        <w:t xml:space="preserve">, se le asignará una clave </w:t>
      </w:r>
      <w:r w:rsidDel="00000000" w:rsidR="00000000" w:rsidRPr="00000000">
        <w:rPr>
          <w:rFonts w:ascii="Palatino Linotype" w:cs="Palatino Linotype" w:eastAsia="Palatino Linotype" w:hAnsi="Palatino Linotype"/>
          <w:b w:val="1"/>
          <w:i w:val="1"/>
          <w:rtl w:val="0"/>
        </w:rPr>
        <w:t xml:space="preserve">que se denominará Clave Única de Registro de Población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Esta servirá para</w:t>
      </w:r>
      <w:r w:rsidDel="00000000" w:rsidR="00000000" w:rsidRPr="00000000">
        <w:rPr>
          <w:rFonts w:ascii="Palatino Linotype" w:cs="Palatino Linotype" w:eastAsia="Palatino Linotype" w:hAnsi="Palatino Linotype"/>
          <w:i w:val="1"/>
          <w:rtl w:val="0"/>
        </w:rPr>
        <w:t xml:space="preserve"> registrarla e </w:t>
      </w:r>
      <w:r w:rsidDel="00000000" w:rsidR="00000000" w:rsidRPr="00000000">
        <w:rPr>
          <w:rFonts w:ascii="Palatino Linotype" w:cs="Palatino Linotype" w:eastAsia="Palatino Linotype" w:hAnsi="Palatino Linotype"/>
          <w:b w:val="1"/>
          <w:i w:val="1"/>
          <w:rtl w:val="0"/>
        </w:rPr>
        <w:t xml:space="preserve">identificarla en forma individual</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000000" w:rsidDel="00000000" w:rsidP="00000000" w:rsidRDefault="00000000" w:rsidRPr="00000000" w14:paraId="000000F9">
      <w:pPr>
        <w:spacing w:after="0" w:line="360" w:lineRule="auto"/>
        <w:jc w:val="both"/>
        <w:rPr>
          <w:rFonts w:ascii="Palatino Linotype" w:cs="Palatino Linotype" w:eastAsia="Palatino Linotype" w:hAnsi="Palatino Linotype"/>
          <w:sz w:val="32"/>
          <w:szCs w:val="32"/>
        </w:rPr>
      </w:pPr>
      <w:r w:rsidDel="00000000" w:rsidR="00000000" w:rsidRPr="00000000">
        <w:rPr>
          <w:rtl w:val="0"/>
        </w:rPr>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el INAI, a través del Criterio 18/17 de la Segunda Época, señala literalmente lo siguiente:</w:t>
      </w:r>
    </w:p>
    <w:p w:rsidR="00000000" w:rsidDel="00000000" w:rsidP="00000000" w:rsidRDefault="00000000" w:rsidRPr="00000000" w14:paraId="000000F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C">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Clave Única de Registro de Población (CURP).</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Clave Única de Registro de Población se integra por datos personales que sólo conciernen al particular titular</w:t>
      </w:r>
      <w:r w:rsidDel="00000000" w:rsidR="00000000" w:rsidRPr="00000000">
        <w:rPr>
          <w:rFonts w:ascii="Palatino Linotype" w:cs="Palatino Linotype" w:eastAsia="Palatino Linotype" w:hAnsi="Palatino Linotype"/>
          <w:i w:val="1"/>
          <w:rtl w:val="0"/>
        </w:rPr>
        <w:t xml:space="preserve"> de la misma, </w:t>
      </w:r>
      <w:r w:rsidDel="00000000" w:rsidR="00000000" w:rsidRPr="00000000">
        <w:rPr>
          <w:rFonts w:ascii="Palatino Linotype" w:cs="Palatino Linotype" w:eastAsia="Palatino Linotype" w:hAnsi="Palatino Linotype"/>
          <w:b w:val="1"/>
          <w:i w:val="1"/>
          <w:rtl w:val="0"/>
        </w:rPr>
        <w:t xml:space="preserve">como lo son su nombre, apellidos, fecha de nacimiento, lugar de nacimiento y sexo</w:t>
      </w:r>
      <w:r w:rsidDel="00000000" w:rsidR="00000000" w:rsidRPr="00000000">
        <w:rPr>
          <w:rFonts w:ascii="Palatino Linotype" w:cs="Palatino Linotype" w:eastAsia="Palatino Linotype" w:hAnsi="Palatino Linotype"/>
          <w:i w:val="1"/>
          <w:rtl w:val="0"/>
        </w:rPr>
        <w:t xml:space="preserve">. Dichos datos, constituyen información que distingue plenamente a una persona física del resto de los habitantes del país, </w:t>
      </w:r>
      <w:r w:rsidDel="00000000" w:rsidR="00000000" w:rsidRPr="00000000">
        <w:rPr>
          <w:rFonts w:ascii="Palatino Linotype" w:cs="Palatino Linotype" w:eastAsia="Palatino Linotype" w:hAnsi="Palatino Linotype"/>
          <w:b w:val="1"/>
          <w:i w:val="1"/>
          <w:rtl w:val="0"/>
        </w:rPr>
        <w:t xml:space="preserve">por lo que la CURP está considerada como información confidencial</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FD">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Resoluciones:</w:t>
      </w:r>
    </w:p>
    <w:p w:rsidR="00000000" w:rsidDel="00000000" w:rsidP="00000000" w:rsidRDefault="00000000" w:rsidRPr="00000000" w14:paraId="000000FE">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RRA 3995/16. Secretaría de la Defensa Nacional. 1 de febrero de 2017. Por unanimidad. Comisionado Ponente Rosendoevgueni Monterrey Chepov.</w:t>
      </w:r>
    </w:p>
    <w:p w:rsidR="00000000" w:rsidDel="00000000" w:rsidP="00000000" w:rsidRDefault="00000000" w:rsidRPr="00000000" w14:paraId="000000FF">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RRA 0937/17. Senado de la República. 15 de marzo de 2017. Por unanimidad. Comisionada Ponente Ximena Puente de la Mora. </w:t>
      </w:r>
    </w:p>
    <w:p w:rsidR="00000000" w:rsidDel="00000000" w:rsidP="00000000" w:rsidRDefault="00000000" w:rsidRPr="00000000" w14:paraId="00000100">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RRA 0478/17. Secretaría de Relaciones Exteriores. 26 de abril de 2017. Por unanimidad. Comisionada Ponente Areli Cano Guadiana.” (Sic)</w:t>
      </w:r>
    </w:p>
    <w:p w:rsidR="00000000" w:rsidDel="00000000" w:rsidP="00000000" w:rsidRDefault="00000000" w:rsidRPr="00000000" w14:paraId="00000101">
      <w:pPr>
        <w:spacing w:after="0" w:before="16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0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4">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pues no abona en nada a la transparencia, ni rinde cuentas de la forma de actuar en el servicio público, al contrario la hace ubicable en su carácter de particular, por lo que, se concluye que el acta constitutiva y el documento con el que se acredite la propiedad guarda la naturaleza de privado.</w:t>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17">
        <w:r w:rsidDel="00000000" w:rsidR="00000000" w:rsidRPr="00000000">
          <w:rPr>
            <w:rFonts w:ascii="Palatino Linotype" w:cs="Palatino Linotype" w:eastAsia="Palatino Linotype" w:hAnsi="Palatino Linotype"/>
            <w:color w:val="0563c1"/>
            <w:sz w:val="24"/>
            <w:szCs w:val="24"/>
            <w:u w:val="single"/>
            <w:rtl w:val="0"/>
          </w:rPr>
          <w:t xml:space="preserve">https://docplayer.es/5455342-Nuevas-tecnologias-biometricas-instituto-nacional-de-ciencias-penales-procuraduria-general-de-la-republica-version-1-0.html</w:t>
        </w:r>
      </w:hyperlink>
      <w:r w:rsidDel="00000000" w:rsidR="00000000" w:rsidRPr="00000000">
        <w:rPr>
          <w:rFonts w:ascii="Palatino Linotype" w:cs="Palatino Linotype" w:eastAsia="Palatino Linotype" w:hAnsi="Palatino Linotype"/>
          <w:sz w:val="24"/>
          <w:szCs w:val="24"/>
          <w:rtl w:val="0"/>
        </w:rPr>
        <w:t xml:space="preserve">, se indica que existen tres principios fundamentales para la identificación de las huellas dactilares, a saber: </w:t>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8">
      <w:pPr>
        <w:numPr>
          <w:ilvl w:val="0"/>
          <w:numId w:val="5"/>
        </w:numPr>
        <w:spacing w:after="0" w:line="360" w:lineRule="auto"/>
        <w:ind w:left="720" w:right="474"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Primer principio. La huella es una característica individual. No hay dos huellas con características en las crestas que sean idénticas. </w:t>
      </w:r>
    </w:p>
    <w:p w:rsidR="00000000" w:rsidDel="00000000" w:rsidP="00000000" w:rsidRDefault="00000000" w:rsidRPr="00000000" w14:paraId="00000109">
      <w:pPr>
        <w:spacing w:after="0" w:line="360" w:lineRule="auto"/>
        <w:ind w:right="474"/>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A">
      <w:pPr>
        <w:numPr>
          <w:ilvl w:val="0"/>
          <w:numId w:val="5"/>
        </w:numPr>
        <w:spacing w:after="0" w:line="360" w:lineRule="auto"/>
        <w:ind w:left="720" w:right="474"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Segundo principio. Una huella permanece sin cambios durante toda la vida de un individuo (sin embargo, puede adquirir cicatrices o cualquier otra deformación que impida su identificación clara). </w:t>
      </w:r>
    </w:p>
    <w:p w:rsidR="00000000" w:rsidDel="00000000" w:rsidP="00000000" w:rsidRDefault="00000000" w:rsidRPr="00000000" w14:paraId="0000010B">
      <w:pPr>
        <w:spacing w:after="0" w:line="360" w:lineRule="auto"/>
        <w:ind w:right="474"/>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C">
      <w:pPr>
        <w:numPr>
          <w:ilvl w:val="0"/>
          <w:numId w:val="5"/>
        </w:numPr>
        <w:spacing w:after="0" w:line="360" w:lineRule="auto"/>
        <w:ind w:left="720" w:right="474"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Tercer principio. Las huellas tienen patrones que se forman con sus crestas, lo que hace posible clasificarlas sistemáticamente para agilizar las búsquedas.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360" w:lineRule="auto"/>
        <w:ind w:left="708" w:firstLine="0"/>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360" w:lineRule="auto"/>
        <w:ind w:left="708" w:firstLine="0"/>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360" w:lineRule="auto"/>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rsidR="00000000" w:rsidDel="00000000" w:rsidP="00000000" w:rsidRDefault="00000000" w:rsidRPr="00000000" w14:paraId="00000113">
      <w:pPr>
        <w:spacing w:after="0" w:line="276" w:lineRule="auto"/>
        <w:ind w:left="567" w:righ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Del="00000000" w:rsidR="00000000" w:rsidRPr="00000000">
        <w:rPr>
          <w:rFonts w:ascii="Palatino Linotype" w:cs="Palatino Linotype" w:eastAsia="Palatino Linotype" w:hAnsi="Palatino Linotype"/>
          <w:i w:val="1"/>
          <w:rtl w:val="0"/>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w:t>
      </w:r>
    </w:p>
    <w:p w:rsidR="00000000" w:rsidDel="00000000" w:rsidP="00000000" w:rsidRDefault="00000000" w:rsidRPr="00000000" w14:paraId="00000115">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6">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7">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8">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9">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En la actualidad existen sistemas denominados AFIS por sus siglas en inglés </w:t>
      </w:r>
      <w:r w:rsidDel="00000000" w:rsidR="00000000" w:rsidRPr="00000000">
        <w:rPr>
          <w:rFonts w:ascii="Palatino Linotype" w:cs="Palatino Linotype" w:eastAsia="Palatino Linotype" w:hAnsi="Palatino Linotype"/>
          <w:i w:val="1"/>
          <w:sz w:val="24"/>
          <w:szCs w:val="24"/>
          <w:rtl w:val="0"/>
        </w:rPr>
        <w:t xml:space="preserve">Automated Fingerprint Identification System</w:t>
      </w:r>
      <w:r w:rsidDel="00000000" w:rsidR="00000000" w:rsidRPr="00000000">
        <w:rPr>
          <w:rFonts w:ascii="Palatino Linotype" w:cs="Palatino Linotype" w:eastAsia="Palatino Linotype" w:hAnsi="Palatino Linotype"/>
          <w:sz w:val="24"/>
          <w:szCs w:val="24"/>
          <w:rtl w:val="0"/>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w:t>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con el uso de las tecnologías de digitalización e impresión puestas a disposición del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rsidR="00000000" w:rsidDel="00000000" w:rsidP="00000000" w:rsidRDefault="00000000" w:rsidRPr="00000000" w14:paraId="0000012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rsidR="00000000" w:rsidDel="00000000" w:rsidP="00000000" w:rsidRDefault="00000000" w:rsidRPr="00000000" w14:paraId="0000012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Respecto al documento que acredite la propiedad al croquis de localización del inmueble,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menoría de cálculo estructural y mapa arquitectónico. </w:t>
      </w:r>
    </w:p>
    <w:p w:rsidR="00000000" w:rsidDel="00000000" w:rsidP="00000000" w:rsidRDefault="00000000" w:rsidRPr="00000000" w14:paraId="0000012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Son de carácter confidencial, esto de acuerdo a lo señalado en los artículos 2.3 y 2.5 </w:t>
      </w:r>
    </w:p>
    <w:p w:rsidR="00000000" w:rsidDel="00000000" w:rsidP="00000000" w:rsidRDefault="00000000" w:rsidRPr="00000000" w14:paraId="0000012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2A">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B">
      <w:pPr>
        <w:spacing w:after="0" w:line="360" w:lineRule="auto"/>
        <w:ind w:right="-93"/>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sz w:val="24"/>
          <w:szCs w:val="24"/>
          <w:rtl w:val="0"/>
        </w:rPr>
        <w:t xml:space="preserve">, es el lugar donde residen habitualmente, el lugar del centro principal de sus negocios, donde residan o el lugar donde se encuentren.</w:t>
      </w:r>
    </w:p>
    <w:p w:rsidR="00000000" w:rsidDel="00000000" w:rsidP="00000000" w:rsidRDefault="00000000" w:rsidRPr="00000000" w14:paraId="0000012C">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2D">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contexto, la dirección o domicilio es el lugar en donde reside habitualmente, por lo que, permite hacerlo identificable y ubicable, propiciando que pueda ser molestado,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F">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 señalar que estos documentos guardan la naturaleza de privado, pues no abona en nada a la transparencia, ni rinde cuentas de la forma de actuar en el servicio público, al contrario, la hace ubicable en su carácter de particular, por lo que, se concluye que el acta constitutiva y el documento con el que se acredite la propiedad guarda la naturaleza de privado.</w:t>
      </w:r>
    </w:p>
    <w:p w:rsidR="00000000" w:rsidDel="00000000" w:rsidP="00000000" w:rsidRDefault="00000000" w:rsidRPr="00000000" w14:paraId="00000130">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1">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2">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en los documentos se pueden observar nombres particulares, mismo que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Del="00000000" w:rsidR="00000000" w:rsidRPr="00000000">
        <w:rPr>
          <w:rFonts w:ascii="Palatino Linotype" w:cs="Palatino Linotype" w:eastAsia="Palatino Linotype" w:hAnsi="Palatino Linotype"/>
          <w:i w:val="1"/>
          <w:sz w:val="24"/>
          <w:szCs w:val="24"/>
          <w:rtl w:val="0"/>
        </w:rPr>
        <w:t xml:space="preserve">per se</w:t>
      </w:r>
      <w:r w:rsidDel="00000000" w:rsidR="00000000" w:rsidRPr="00000000">
        <w:rPr>
          <w:rFonts w:ascii="Palatino Linotype" w:cs="Palatino Linotype" w:eastAsia="Palatino Linotype" w:hAnsi="Palatino Linotype"/>
          <w:sz w:val="24"/>
          <w:szCs w:val="24"/>
          <w:rtl w:val="0"/>
        </w:rPr>
        <w:t xml:space="preserve"> es un elemento que hace a una persona física identificada o identificable. </w:t>
      </w:r>
    </w:p>
    <w:p w:rsidR="00000000" w:rsidDel="00000000" w:rsidP="00000000" w:rsidRDefault="00000000" w:rsidRPr="00000000" w14:paraId="0000013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las consideraciones antes señaladas, se actualiza el supuesto previsto en el artículo 143, fracción I, de la Ley de Transparencia y Acceso a la Información Pública del Estado de México y Municipios.</w:t>
      </w:r>
    </w:p>
    <w:p w:rsidR="00000000" w:rsidDel="00000000" w:rsidP="00000000" w:rsidRDefault="00000000" w:rsidRPr="00000000" w14:paraId="0000013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relación a la solicitud elaborada, la evaluación de impacto ambiental y el cambio de uso de suelo, son documentos, que pueden ser entregados en versión pública de conformidad a lo señalado por Ponencia en el recurso de revisión materia de la presente opinión.</w:t>
      </w:r>
    </w:p>
    <w:p w:rsidR="00000000" w:rsidDel="00000000" w:rsidP="00000000" w:rsidRDefault="00000000" w:rsidRPr="00000000" w14:paraId="0000013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expuesto, constituyen las razones y fundamentos que me llevan a emitir la opinión particular que se ha expresado.</w:t>
      </w:r>
    </w:p>
    <w:p w:rsidR="00000000" w:rsidDel="00000000" w:rsidP="00000000" w:rsidRDefault="00000000" w:rsidRPr="00000000" w14:paraId="00000139">
      <w:pPr>
        <w:rPr/>
      </w:pPr>
      <w:bookmarkStart w:colFirst="0" w:colLast="0" w:name="_heading=h.d43cev4eco1r" w:id="0"/>
      <w:bookmarkEnd w:id="0"/>
      <w:r w:rsidDel="00000000" w:rsidR="00000000" w:rsidRPr="00000000">
        <w:rPr>
          <w:rtl w:val="0"/>
        </w:rPr>
      </w:r>
    </w:p>
    <w:p w:rsidR="00000000" w:rsidDel="00000000" w:rsidP="00000000" w:rsidRDefault="00000000" w:rsidRPr="00000000" w14:paraId="0000013A">
      <w:pPr>
        <w:rPr/>
      </w:pPr>
      <w:bookmarkStart w:colFirst="0" w:colLast="0" w:name="_heading=h.yi4dsn23fmw6" w:id="1"/>
      <w:bookmarkEnd w:id="1"/>
      <w:r w:rsidDel="00000000" w:rsidR="00000000" w:rsidRPr="00000000">
        <w:rPr>
          <w:rtl w:val="0"/>
        </w:rPr>
      </w:r>
    </w:p>
    <w:p w:rsidR="00000000" w:rsidDel="00000000" w:rsidP="00000000" w:rsidRDefault="00000000" w:rsidRPr="00000000" w14:paraId="0000013B">
      <w:pPr>
        <w:rPr/>
      </w:pPr>
      <w:bookmarkStart w:colFirst="0" w:colLast="0" w:name="_heading=h.xmfazv8r4e25" w:id="2"/>
      <w:bookmarkEnd w:id="2"/>
      <w:r w:rsidDel="00000000" w:rsidR="00000000" w:rsidRPr="00000000">
        <w:rPr>
          <w:rtl w:val="0"/>
        </w:rPr>
      </w:r>
    </w:p>
    <w:p w:rsidR="00000000" w:rsidDel="00000000" w:rsidP="00000000" w:rsidRDefault="00000000" w:rsidRPr="00000000" w14:paraId="0000013C">
      <w:pPr>
        <w:rPr/>
      </w:pPr>
      <w:bookmarkStart w:colFirst="0" w:colLast="0" w:name="_heading=h.itiw4kqy80zg" w:id="3"/>
      <w:bookmarkEnd w:id="3"/>
      <w:r w:rsidDel="00000000" w:rsidR="00000000" w:rsidRPr="00000000">
        <w:rPr>
          <w:rtl w:val="0"/>
        </w:rPr>
      </w:r>
    </w:p>
    <w:p w:rsidR="00000000" w:rsidDel="00000000" w:rsidP="00000000" w:rsidRDefault="00000000" w:rsidRPr="00000000" w14:paraId="0000013D">
      <w:pPr>
        <w:rPr/>
      </w:pPr>
      <w:bookmarkStart w:colFirst="0" w:colLast="0" w:name="_heading=h.k4q3zusf3edd" w:id="4"/>
      <w:bookmarkEnd w:id="4"/>
      <w:r w:rsidDel="00000000" w:rsidR="00000000" w:rsidRPr="00000000">
        <w:rPr>
          <w:rtl w:val="0"/>
        </w:rPr>
      </w:r>
    </w:p>
    <w:p w:rsidR="00000000" w:rsidDel="00000000" w:rsidP="00000000" w:rsidRDefault="00000000" w:rsidRPr="00000000" w14:paraId="0000013E">
      <w:pPr>
        <w:rPr/>
      </w:pPr>
      <w:bookmarkStart w:colFirst="0" w:colLast="0" w:name="_heading=h.tu025gl7zcpw" w:id="5"/>
      <w:bookmarkEnd w:id="5"/>
      <w:r w:rsidDel="00000000" w:rsidR="00000000" w:rsidRPr="00000000">
        <w:rPr>
          <w:rtl w:val="0"/>
        </w:rPr>
      </w:r>
    </w:p>
    <w:p w:rsidR="00000000" w:rsidDel="00000000" w:rsidP="00000000" w:rsidRDefault="00000000" w:rsidRPr="00000000" w14:paraId="0000013F">
      <w:pPr>
        <w:rPr/>
      </w:pPr>
      <w:bookmarkStart w:colFirst="0" w:colLast="0" w:name="_heading=h.sqr5ym66aptt" w:id="6"/>
      <w:bookmarkEnd w:id="6"/>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bookmarkStart w:colFirst="0" w:colLast="0" w:name="_heading=h.1t0y2o1z1njb" w:id="7"/>
      <w:bookmarkEnd w:id="7"/>
      <w:r w:rsidDel="00000000" w:rsidR="00000000" w:rsidRPr="00000000">
        <w:rPr>
          <w:rtl w:val="0"/>
        </w:rPr>
      </w:r>
    </w:p>
    <w:p w:rsidR="00000000" w:rsidDel="00000000" w:rsidP="00000000" w:rsidRDefault="00000000" w:rsidRPr="00000000" w14:paraId="0000014C">
      <w:pPr>
        <w:rPr/>
      </w:pPr>
      <w:bookmarkStart w:colFirst="0" w:colLast="0" w:name="_heading=h.9haujtfacvrk" w:id="8"/>
      <w:bookmarkEnd w:id="8"/>
      <w:r w:rsidDel="00000000" w:rsidR="00000000" w:rsidRPr="00000000">
        <w:rPr>
          <w:rtl w:val="0"/>
        </w:rPr>
      </w:r>
    </w:p>
    <w:p w:rsidR="00000000" w:rsidDel="00000000" w:rsidP="00000000" w:rsidRDefault="00000000" w:rsidRPr="00000000" w14:paraId="0000014D">
      <w:pPr>
        <w:rPr/>
      </w:pPr>
      <w:bookmarkStart w:colFirst="0" w:colLast="0" w:name="_heading=h.isqe9vo9isrh" w:id="9"/>
      <w:bookmarkEnd w:id="9"/>
      <w:r w:rsidDel="00000000" w:rsidR="00000000" w:rsidRPr="00000000">
        <w:rPr>
          <w:rtl w:val="0"/>
        </w:rPr>
      </w:r>
    </w:p>
    <w:p w:rsidR="00000000" w:rsidDel="00000000" w:rsidP="00000000" w:rsidRDefault="00000000" w:rsidRPr="00000000" w14:paraId="0000014E">
      <w:pPr>
        <w:rPr/>
      </w:pPr>
      <w:bookmarkStart w:colFirst="0" w:colLast="0" w:name="_heading=h.y70rshdary8n" w:id="10"/>
      <w:bookmarkEnd w:id="10"/>
      <w:r w:rsidDel="00000000" w:rsidR="00000000" w:rsidRPr="00000000">
        <w:rPr>
          <w:rtl w:val="0"/>
        </w:rPr>
      </w:r>
    </w:p>
    <w:p w:rsidR="00000000" w:rsidDel="00000000" w:rsidP="00000000" w:rsidRDefault="00000000" w:rsidRPr="00000000" w14:paraId="0000014F">
      <w:pPr>
        <w:rPr/>
      </w:pPr>
      <w:bookmarkStart w:colFirst="0" w:colLast="0" w:name="_heading=h.gjdgxs" w:id="11"/>
      <w:bookmarkEnd w:id="11"/>
      <w:r w:rsidDel="00000000" w:rsidR="00000000" w:rsidRPr="00000000">
        <w:rPr>
          <w:rtl w:val="0"/>
        </w:rPr>
      </w:r>
    </w:p>
    <w:sectPr>
      <w:headerReference r:id="rId1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inyon Script">
    <w:embedRegular w:fontKey="{00000000-0000-0000-0000-000000000000}" r:id="rId1" w:subsetted="0"/>
  </w:font>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50">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5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hyperlink r:id="rId1">
        <w:r w:rsidDel="00000000" w:rsidR="00000000" w:rsidRPr="00000000">
          <w:rPr>
            <w:rFonts w:ascii="Palatino Linotype" w:cs="Palatino Linotype" w:eastAsia="Palatino Linotype" w:hAnsi="Palatino Linotype"/>
            <w:color w:val="0563c1"/>
            <w:sz w:val="20"/>
            <w:szCs w:val="20"/>
            <w:u w:val="single"/>
            <w:rtl w:val="0"/>
          </w:rPr>
          <w:t xml:space="preserve">https://www.cuautitlan.gob.mx/documento.php?filename&amp;archivo=REMTYS/DIRECCION%20DE%20DESARROLLO%20URBANO/DDU-CED13_LICENCIA%20DE%20UNA%20CONSTRUCCION%20DE%20OBRA%20NUEVA,%20AMPLIACION%20O%20REPARACION%20MAYOR%20A%2060.00M2%20DE%20CONSTRUCCION.pdf</w:t>
        </w:r>
      </w:hyperlink>
      <w:r w:rsidDel="00000000" w:rsidR="00000000" w:rsidRPr="00000000">
        <w:rPr>
          <w:rFonts w:ascii="Palatino Linotype" w:cs="Palatino Linotype" w:eastAsia="Palatino Linotype" w:hAnsi="Palatino Linotype"/>
          <w:color w:val="000000"/>
          <w:sz w:val="20"/>
          <w:szCs w:val="20"/>
          <w:rtl w:val="0"/>
        </w:rPr>
        <w:t xml:space="preserve">, consultada a las 15:28 horas del 27 de noviembre de 2023.</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419"/>
        <w:tab w:val="right" w:leader="none" w:pos="8838"/>
        <w:tab w:val="left" w:leader="none" w:pos="5685"/>
        <w:tab w:val="right" w:leader="none" w:pos="8928"/>
      </w:tabs>
      <w:spacing w:after="0" w:line="240" w:lineRule="auto"/>
      <w:ind w:left="3686" w:firstLine="0"/>
      <w:jc w:val="right"/>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OPINIÓN PARTICULAR </w:t>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-686432</wp:posOffset>
          </wp:positionV>
          <wp:extent cx="7510628" cy="9883775"/>
          <wp:effectExtent b="0" l="0" r="0" t="0"/>
          <wp:wrapNone/>
          <wp:docPr descr="Gráfico de burbujas&#10;&#10;Descripción generada automáticamente con confianza baja" id="19" name="image4.jpg"/>
          <a:graphic>
            <a:graphicData uri="http://schemas.openxmlformats.org/drawingml/2006/picture">
              <pic:pic>
                <pic:nvPicPr>
                  <pic:cNvPr descr="Gráfico de burbujas&#10;&#10;Descripción generada automáticamente con confianza baja" id="0" name="image4.jpg"/>
                  <pic:cNvPicPr preferRelativeResize="0"/>
                </pic:nvPicPr>
                <pic:blipFill>
                  <a:blip r:embed="rId1"/>
                  <a:srcRect b="0" l="0" r="0" t="0"/>
                  <a:stretch>
                    <a:fillRect/>
                  </a:stretch>
                </pic:blipFill>
                <pic:spPr>
                  <a:xfrm>
                    <a:off x="0" y="0"/>
                    <a:ext cx="7510628" cy="9883775"/>
                  </a:xfrm>
                  <a:prstGeom prst="rect"/>
                  <a:ln/>
                </pic:spPr>
              </pic:pic>
            </a:graphicData>
          </a:graphic>
        </wp:anchor>
      </w:drawing>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419"/>
        <w:tab w:val="right" w:leader="none" w:pos="8838"/>
        <w:tab w:val="left" w:leader="none" w:pos="5685"/>
      </w:tabs>
      <w:spacing w:after="0" w:line="240" w:lineRule="auto"/>
      <w:ind w:left="1134" w:firstLine="0"/>
      <w:jc w:val="right"/>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rtl w:val="0"/>
      </w:rPr>
      <w:t xml:space="preserve">RECURSO DE REVISIÓN 05020/INFOEM/IP/RR/2023.</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1211" w:hanging="360"/>
      </w:pPr>
      <w:rPr>
        <w:i w:val="0"/>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3">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unhideWhenUsed w:val="1"/>
    <w:rsid w:val="00A135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135D5"/>
  </w:style>
  <w:style w:type="paragraph" w:styleId="Piedepgina">
    <w:name w:val="footer"/>
    <w:basedOn w:val="Normal"/>
    <w:link w:val="PiedepginaCar"/>
    <w:uiPriority w:val="99"/>
    <w:unhideWhenUsed w:val="1"/>
    <w:rsid w:val="00A135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135D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9.png"/><Relationship Id="rId17" Type="http://schemas.openxmlformats.org/officeDocument/2006/relationships/hyperlink" Target="https://docplayer.es/5455342-Nuevas-tecnologias-biometricas-instituto-nacional-de-ciencias-penales-procuraduria-general-de-la-republica-version-1-0.html" TargetMode="External"/><Relationship Id="rId16"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cuautitlan.gob.mx/documento.php?filename&amp;archivo=REMTYS/DIRECCION%20DE%20DESARROLLO%20URBANO/DDU-CED13_LICENCIA%20DE%20UNA%20CONSTRUCCION%20DE%20OBRA%20NUEVA,%20AMPLIACION%20O%20REPARACION%20MAYOR%20A%2060.00M2%20DE%20CONSTRUC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1FAE+Bg92Swq4v4URHhvD1LL8w==">CgMxLjAyDmguZDQzY2V2NGVjbzFyMg5oLnlpNGRzbjIzZm13NjIOaC54bWZhenY4cjRlMjUyDmguaXRpdzRrcXk4MHpnMg5oLms0cTN6dXNmM2VkZDIOaC50dTAyNWdsN3pjcHcyDmguc3FyNXltNjZhcHR0Mg5oLjF0MHkybzF6MW5qYjIOaC45aGF1anRmYWN2cmsyDmguaXNxZTl2bzlpc3JoMg5oLnk3MHJzaGRhcnk4bjIIaC5namRneHM4AHIhMUdxZVctanFLVlIzdGVqdURVck5RbU1PZVdBRnlGX19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2023-12-04T23:51:00Z</dcterms:created>
</cp:coreProperties>
</file>