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FE8" w:rsidRDefault="00627AFA">
      <w:pPr>
        <w:widowControl w:val="0"/>
        <w:pBdr>
          <w:top w:val="nil"/>
          <w:left w:val="nil"/>
          <w:bottom w:val="nil"/>
          <w:right w:val="nil"/>
          <w:between w:val="nil"/>
        </w:pBdr>
        <w:spacing w:after="0" w:line="276" w:lineRule="auto"/>
      </w:pPr>
      <w:r>
        <w:pict w14:anchorId="1E893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7728;visibility:hidden">
            <o:lock v:ext="edit" selection="t"/>
          </v:shape>
        </w:pict>
      </w:r>
      <w:r>
        <w:pict w14:anchorId="117D7C20">
          <v:shape id="_x0000_s1027" type="#_x0000_t136" style="position:absolute;margin-left:0;margin-top:0;width:50pt;height:50pt;z-index:251658752;visibility:hidden">
            <o:lock v:ext="edit" selection="t"/>
          </v:shape>
        </w:pict>
      </w:r>
      <w:r>
        <w:pict w14:anchorId="6D4F9681">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p>
    <w:p w:rsidR="00842FE8" w:rsidRDefault="00627AFA">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w:t>
      </w:r>
      <w:r>
        <w:rPr>
          <w:rFonts w:ascii="Palatino Linotype" w:eastAsia="Palatino Linotype" w:hAnsi="Palatino Linotype" w:cs="Palatino Linotype"/>
          <w:b/>
          <w:sz w:val="24"/>
          <w:szCs w:val="24"/>
        </w:rPr>
        <w:t>LA SEGUNDA SESIÓN ORDINARIA CELEBRADA EL DIECIOCHO DE ENERO DE DOS MIL VEINTITRÉS, EN EL RECURSO DE REVISIÓN 10516/INFOEM/IP/RR/2022.</w:t>
      </w:r>
    </w:p>
    <w:p w:rsidR="00842FE8" w:rsidRDefault="00627AF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pleno del Instituto de Transparencia, Acceso a la Información Pública y Protección de Datos Personales del Estado de Mé</w:t>
      </w:r>
      <w:r>
        <w:rPr>
          <w:rFonts w:ascii="Palatino Linotype" w:eastAsia="Palatino Linotype" w:hAnsi="Palatino Linotype" w:cs="Palatino Linotype"/>
          <w:sz w:val="24"/>
          <w:szCs w:val="24"/>
        </w:rPr>
        <w:t xml:space="preserve">xico y Municipios, aprobó por mayoría de votos, la resolución relativa al recurso de revisión </w:t>
      </w:r>
      <w:r>
        <w:rPr>
          <w:rFonts w:ascii="Palatino Linotype" w:eastAsia="Palatino Linotype" w:hAnsi="Palatino Linotype" w:cs="Palatino Linotype"/>
          <w:b/>
          <w:sz w:val="24"/>
          <w:szCs w:val="24"/>
        </w:rPr>
        <w:t xml:space="preserve">10516/INFOEM/IP/RR/2022, </w:t>
      </w:r>
      <w:r>
        <w:rPr>
          <w:rFonts w:ascii="Palatino Linotype" w:eastAsia="Palatino Linotype" w:hAnsi="Palatino Linotype" w:cs="Palatino Linotype"/>
          <w:sz w:val="24"/>
          <w:szCs w:val="24"/>
        </w:rPr>
        <w:t xml:space="preserve">presentada por el Comisionado Luis Gustavo Parra Noriega, respecto de la cual, la suscrita formula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con fundamento e</w:t>
      </w:r>
      <w:r>
        <w:rPr>
          <w:rFonts w:ascii="Palatino Linotype" w:eastAsia="Palatino Linotype" w:hAnsi="Palatino Linotype" w:cs="Palatino Linotype"/>
          <w:sz w:val="24"/>
          <w:szCs w:val="24"/>
        </w:rPr>
        <w:t>n el artículo 14 fracción XI del Reglamento Interior del Instituto de Transparencia, Acceso a la Información Pública y Protección de Datos Personales del Estado de México y Municipios.</w:t>
      </w:r>
    </w:p>
    <w:p w:rsidR="00842FE8" w:rsidRDefault="00627AF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que suscribe, comparte en esencia el sentido del estudio realizado e</w:t>
      </w:r>
      <w:r>
        <w:rPr>
          <w:rFonts w:ascii="Palatino Linotype" w:eastAsia="Palatino Linotype" w:hAnsi="Palatino Linotype" w:cs="Palatino Linotype"/>
          <w:sz w:val="24"/>
          <w:szCs w:val="24"/>
        </w:rPr>
        <w:t xml:space="preserv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842FE8" w:rsidRDefault="00627AF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el caso concreto, la parte </w:t>
      </w:r>
      <w:r>
        <w:rPr>
          <w:rFonts w:ascii="Palatino Linotype" w:eastAsia="Palatino Linotype" w:hAnsi="Palatino Linotype" w:cs="Palatino Linotype"/>
          <w:b/>
          <w:sz w:val="24"/>
          <w:szCs w:val="24"/>
        </w:rPr>
        <w:t>Recurr</w:t>
      </w:r>
      <w:r>
        <w:rPr>
          <w:rFonts w:ascii="Palatino Linotype" w:eastAsia="Palatino Linotype" w:hAnsi="Palatino Linotype" w:cs="Palatino Linotype"/>
          <w:b/>
          <w:sz w:val="24"/>
          <w:szCs w:val="24"/>
        </w:rPr>
        <w:t>ente</w:t>
      </w:r>
      <w:r>
        <w:rPr>
          <w:rFonts w:ascii="Palatino Linotype" w:eastAsia="Palatino Linotype" w:hAnsi="Palatino Linotype" w:cs="Palatino Linotype"/>
          <w:sz w:val="24"/>
          <w:szCs w:val="24"/>
        </w:rPr>
        <w:t xml:space="preserve"> requirió al Ayuntamiento de Atlacomulco, hiciera entrega de lo siguiente:</w:t>
      </w:r>
    </w:p>
    <w:p w:rsidR="00842FE8" w:rsidRDefault="00627AFA">
      <w:pPr>
        <w:numPr>
          <w:ilvl w:val="0"/>
          <w:numId w:val="1"/>
        </w:numPr>
        <w:spacing w:after="0" w:line="360" w:lineRule="auto"/>
        <w:ind w:right="990"/>
        <w:jc w:val="both"/>
        <w:rPr>
          <w:rFonts w:ascii="Palatino Linotype" w:eastAsia="Palatino Linotype" w:hAnsi="Palatino Linotype" w:cs="Palatino Linotype"/>
        </w:rPr>
      </w:pPr>
      <w:r>
        <w:rPr>
          <w:rFonts w:ascii="Palatino Linotype" w:eastAsia="Palatino Linotype" w:hAnsi="Palatino Linotype" w:cs="Palatino Linotype"/>
        </w:rPr>
        <w:t>Del cuatro de abril de dos mil veintidós, registros de asistencia y bitácoras de trabajo de cada servidor público adscrito a la Comisaría Municipal.</w:t>
      </w:r>
    </w:p>
    <w:p w:rsidR="00842FE8" w:rsidRDefault="00842FE8">
      <w:pPr>
        <w:spacing w:after="0" w:line="360" w:lineRule="auto"/>
        <w:ind w:left="720" w:right="990"/>
        <w:jc w:val="both"/>
        <w:rPr>
          <w:rFonts w:ascii="Palatino Linotype" w:eastAsia="Palatino Linotype" w:hAnsi="Palatino Linotype" w:cs="Palatino Linotype"/>
        </w:rPr>
      </w:pPr>
    </w:p>
    <w:p w:rsidR="00842FE8" w:rsidRDefault="00627AFA">
      <w:pPr>
        <w:numPr>
          <w:ilvl w:val="0"/>
          <w:numId w:val="1"/>
        </w:numPr>
        <w:spacing w:after="0" w:line="360" w:lineRule="auto"/>
        <w:ind w:right="990"/>
        <w:jc w:val="both"/>
        <w:rPr>
          <w:rFonts w:ascii="Palatino Linotype" w:eastAsia="Palatino Linotype" w:hAnsi="Palatino Linotype" w:cs="Palatino Linotype"/>
        </w:rPr>
      </w:pPr>
      <w:r>
        <w:rPr>
          <w:rFonts w:ascii="Palatino Linotype" w:eastAsia="Palatino Linotype" w:hAnsi="Palatino Linotype" w:cs="Palatino Linotype"/>
        </w:rPr>
        <w:t xml:space="preserve">Rol de vacaciones del 2020 </w:t>
      </w:r>
      <w:r>
        <w:rPr>
          <w:rFonts w:ascii="Palatino Linotype" w:eastAsia="Palatino Linotype" w:hAnsi="Palatino Linotype" w:cs="Palatino Linotype"/>
        </w:rPr>
        <w:t>al 2022 de todos sus servidores públicos, desagregado por personal de confianza, sindicalizado, base y contrato.</w:t>
      </w:r>
    </w:p>
    <w:p w:rsidR="00842FE8" w:rsidRDefault="00842FE8">
      <w:pPr>
        <w:spacing w:after="0" w:line="360" w:lineRule="auto"/>
        <w:jc w:val="both"/>
        <w:rPr>
          <w:rFonts w:ascii="Palatino Linotype" w:eastAsia="Palatino Linotype" w:hAnsi="Palatino Linotype" w:cs="Palatino Linotype"/>
        </w:rPr>
      </w:pPr>
    </w:p>
    <w:p w:rsidR="00842FE8" w:rsidRDefault="00627AFA">
      <w:pPr>
        <w:spacing w:before="120" w:after="120" w:line="360" w:lineRule="auto"/>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en respuesta a la solicitud de acceso a la información pública remitió los siguientes documentos:</w:t>
      </w:r>
    </w:p>
    <w:p w:rsidR="00842FE8" w:rsidRDefault="00627AFA">
      <w:pPr>
        <w:numPr>
          <w:ilvl w:val="0"/>
          <w:numId w:val="2"/>
        </w:numPr>
        <w:spacing w:after="0" w:line="360" w:lineRule="auto"/>
        <w:ind w:right="539"/>
        <w:jc w:val="both"/>
        <w:rPr>
          <w:rFonts w:ascii="Palatino Linotype" w:eastAsia="Palatino Linotype" w:hAnsi="Palatino Linotype" w:cs="Palatino Linotype"/>
          <w:b/>
        </w:rPr>
      </w:pPr>
      <w:bookmarkStart w:id="1" w:name="_heading=h.a66nscyn9wft" w:colFirst="0" w:colLast="0"/>
      <w:bookmarkEnd w:id="1"/>
      <w:r>
        <w:rPr>
          <w:rFonts w:ascii="Palatino Linotype" w:eastAsia="Palatino Linotype" w:hAnsi="Palatino Linotype" w:cs="Palatino Linotype"/>
          <w:b/>
        </w:rPr>
        <w:t xml:space="preserve">SOLICITUD 226.pdf; </w:t>
      </w:r>
      <w:r>
        <w:rPr>
          <w:rFonts w:ascii="Palatino Linotype" w:eastAsia="Palatino Linotype" w:hAnsi="Palatino Linotype" w:cs="Palatino Linotype"/>
        </w:rPr>
        <w:t>Ofici</w:t>
      </w:r>
      <w:r>
        <w:rPr>
          <w:rFonts w:ascii="Palatino Linotype" w:eastAsia="Palatino Linotype" w:hAnsi="Palatino Linotype" w:cs="Palatino Linotype"/>
        </w:rPr>
        <w:t>o número ADMON/RH/1245/05/2022 signado por el Director de Administración, por el cual, refiere que los registros de asistencia se clasificaron como información Reservada, hecho que fue aprobado en la Décima sesión del Comité de Transparencia mediante el Ac</w:t>
      </w:r>
      <w:r>
        <w:rPr>
          <w:rFonts w:ascii="Palatino Linotype" w:eastAsia="Palatino Linotype" w:hAnsi="Palatino Linotype" w:cs="Palatino Linotype"/>
        </w:rPr>
        <w:t xml:space="preserve">uerdo ACT/ATLACOMULCO/EXT/COMT/15ª/ACU-OCTAVO/2022; además, por cuanto hace al rol de vacaciones de todos los servidores públicos, advirtió que estos se programan en virtud del Calendario que emite la Secretaría de Finanzas para cada ejercicio fiscal, por </w:t>
      </w:r>
      <w:r>
        <w:rPr>
          <w:rFonts w:ascii="Palatino Linotype" w:eastAsia="Palatino Linotype" w:hAnsi="Palatino Linotype" w:cs="Palatino Linotype"/>
        </w:rPr>
        <w:t xml:space="preserve">lo cual se adjuntaron los calendarios correspondientes a los años peticionados por el Particular. </w:t>
      </w:r>
    </w:p>
    <w:p w:rsidR="00842FE8" w:rsidRDefault="00842FE8">
      <w:pPr>
        <w:spacing w:after="0" w:line="360" w:lineRule="auto"/>
        <w:ind w:left="720" w:right="539"/>
        <w:jc w:val="both"/>
        <w:rPr>
          <w:rFonts w:ascii="Palatino Linotype" w:eastAsia="Palatino Linotype" w:hAnsi="Palatino Linotype" w:cs="Palatino Linotype"/>
          <w:b/>
        </w:rPr>
      </w:pPr>
    </w:p>
    <w:p w:rsidR="00842FE8" w:rsidRDefault="00627AFA">
      <w:pPr>
        <w:numPr>
          <w:ilvl w:val="0"/>
          <w:numId w:val="2"/>
        </w:numPr>
        <w:spacing w:after="0" w:line="360" w:lineRule="auto"/>
        <w:ind w:right="539"/>
        <w:jc w:val="both"/>
        <w:rPr>
          <w:rFonts w:ascii="Palatino Linotype" w:eastAsia="Palatino Linotype" w:hAnsi="Palatino Linotype" w:cs="Palatino Linotype"/>
          <w:b/>
        </w:rPr>
      </w:pPr>
      <w:r>
        <w:rPr>
          <w:rFonts w:ascii="Palatino Linotype" w:eastAsia="Palatino Linotype" w:hAnsi="Palatino Linotype" w:cs="Palatino Linotype"/>
          <w:b/>
        </w:rPr>
        <w:t xml:space="preserve">BASE PARA SOLICITUD 226.xlsx; </w:t>
      </w:r>
      <w:r>
        <w:rPr>
          <w:rFonts w:ascii="Palatino Linotype" w:eastAsia="Palatino Linotype" w:hAnsi="Palatino Linotype" w:cs="Palatino Linotype"/>
        </w:rPr>
        <w:t xml:space="preserve">Documento en formato Excel que contiene la plantilla de personal al quince de mayo de dos mil veintidós, desagregada </w:t>
      </w:r>
      <w:r>
        <w:rPr>
          <w:rFonts w:ascii="Palatino Linotype" w:eastAsia="Palatino Linotype" w:hAnsi="Palatino Linotype" w:cs="Palatino Linotype"/>
        </w:rPr>
        <w:lastRenderedPageBreak/>
        <w:t>por Estatus, Nombre, Área de Adscripción y cargo o categoría;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misma que se ilustra por medio del siguiente extracto: </w:t>
      </w:r>
    </w:p>
    <w:p w:rsidR="00842FE8" w:rsidRDefault="00842FE8">
      <w:pPr>
        <w:spacing w:after="0" w:line="240" w:lineRule="auto"/>
        <w:ind w:left="720"/>
        <w:rPr>
          <w:rFonts w:ascii="Palatino Linotype" w:eastAsia="Palatino Linotype" w:hAnsi="Palatino Linotype" w:cs="Palatino Linotype"/>
          <w:b/>
        </w:rPr>
      </w:pPr>
    </w:p>
    <w:p w:rsidR="00842FE8" w:rsidRDefault="00627AFA">
      <w:pPr>
        <w:spacing w:after="0" w:line="360" w:lineRule="auto"/>
        <w:ind w:left="567" w:right="539"/>
        <w:jc w:val="both"/>
        <w:rPr>
          <w:rFonts w:ascii="Palatino Linotype" w:eastAsia="Palatino Linotype" w:hAnsi="Palatino Linotype" w:cs="Palatino Linotype"/>
          <w:b/>
          <w:sz w:val="20"/>
          <w:szCs w:val="20"/>
        </w:rPr>
      </w:pPr>
      <w:r>
        <w:rPr>
          <w:rFonts w:ascii="Palatino Linotype" w:eastAsia="Palatino Linotype" w:hAnsi="Palatino Linotype" w:cs="Palatino Linotype"/>
          <w:b/>
          <w:noProof/>
          <w:sz w:val="20"/>
          <w:szCs w:val="20"/>
        </w:rPr>
        <w:drawing>
          <wp:inline distT="0" distB="0" distL="0" distR="0">
            <wp:extent cx="5116348" cy="1028556"/>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116348" cy="1028556"/>
                    </a:xfrm>
                    <a:prstGeom prst="rect">
                      <a:avLst/>
                    </a:prstGeom>
                    <a:ln/>
                  </pic:spPr>
                </pic:pic>
              </a:graphicData>
            </a:graphic>
          </wp:inline>
        </w:drawing>
      </w:r>
    </w:p>
    <w:p w:rsidR="00842FE8" w:rsidRDefault="00842FE8">
      <w:pPr>
        <w:spacing w:after="0" w:line="360" w:lineRule="auto"/>
        <w:ind w:right="539"/>
        <w:jc w:val="both"/>
        <w:rPr>
          <w:rFonts w:ascii="Palatino Linotype" w:eastAsia="Palatino Linotype" w:hAnsi="Palatino Linotype" w:cs="Palatino Linotype"/>
          <w:b/>
          <w:sz w:val="20"/>
          <w:szCs w:val="20"/>
        </w:rPr>
      </w:pPr>
    </w:p>
    <w:p w:rsidR="00842FE8" w:rsidRDefault="00627AFA">
      <w:pPr>
        <w:numPr>
          <w:ilvl w:val="0"/>
          <w:numId w:val="3"/>
        </w:numPr>
        <w:spacing w:after="0" w:line="360" w:lineRule="auto"/>
        <w:ind w:left="709" w:right="539"/>
        <w:jc w:val="both"/>
        <w:rPr>
          <w:rFonts w:ascii="Palatino Linotype" w:eastAsia="Palatino Linotype" w:hAnsi="Palatino Linotype" w:cs="Palatino Linotype"/>
          <w:b/>
        </w:rPr>
      </w:pPr>
      <w:r>
        <w:rPr>
          <w:rFonts w:ascii="Palatino Linotype" w:eastAsia="Palatino Linotype" w:hAnsi="Palatino Linotype" w:cs="Palatino Linotype"/>
          <w:b/>
        </w:rPr>
        <w:t xml:space="preserve">CONS 0226 CMA.pdf; </w:t>
      </w:r>
      <w:r>
        <w:rPr>
          <w:rFonts w:ascii="Palatino Linotype" w:eastAsia="Palatino Linotype" w:hAnsi="Palatino Linotype" w:cs="Palatino Linotype"/>
        </w:rPr>
        <w:t>Oficio número CMA/702/05/2022 suscrito por el Comisario Municipal de Atlacomulco, por el que refiere que en términos del artículo 12 de la Ley de Transparencia y Acceso a la Información Pública del Estado de México y Municipios, respecto</w:t>
      </w:r>
      <w:r>
        <w:rPr>
          <w:rFonts w:ascii="Palatino Linotype" w:eastAsia="Palatino Linotype" w:hAnsi="Palatino Linotype" w:cs="Palatino Linotype"/>
        </w:rPr>
        <w:t xml:space="preserve"> al Rol de actividades del área a su cargo, adjunta el documento que obra en sus archivos, mismo que se presentó en versión pública aprobada por el Comité de Transparencia del Ayuntamiento a través del Acuerdo ACT/ATLACOMULCO/EXT/COMT/15ª/ACU-NOVENO/2022. </w:t>
      </w:r>
    </w:p>
    <w:p w:rsidR="00842FE8" w:rsidRDefault="00842FE8">
      <w:pPr>
        <w:spacing w:after="0" w:line="360" w:lineRule="auto"/>
        <w:ind w:left="709" w:right="539"/>
        <w:jc w:val="both"/>
        <w:rPr>
          <w:rFonts w:ascii="Palatino Linotype" w:eastAsia="Palatino Linotype" w:hAnsi="Palatino Linotype" w:cs="Palatino Linotype"/>
          <w:b/>
        </w:rPr>
      </w:pPr>
    </w:p>
    <w:p w:rsidR="00842FE8" w:rsidRDefault="00627AFA">
      <w:pPr>
        <w:spacing w:after="0" w:line="360" w:lineRule="auto"/>
        <w:ind w:left="709" w:right="539"/>
        <w:jc w:val="both"/>
        <w:rPr>
          <w:rFonts w:ascii="Palatino Linotype" w:eastAsia="Palatino Linotype" w:hAnsi="Palatino Linotype" w:cs="Palatino Linotype"/>
        </w:rPr>
      </w:pPr>
      <w:r>
        <w:rPr>
          <w:rFonts w:ascii="Palatino Linotype" w:eastAsia="Palatino Linotype" w:hAnsi="Palatino Linotype" w:cs="Palatino Linotype"/>
        </w:rPr>
        <w:t>Así mismo, precisó que las actividades y servicios que realizan los elementos adscrito al área de la que es Titular, se encuentran en el Manual de Organización y en el Manual de Procedimiento, ambos de la Comisaria Municipal de Atlacomulco, mismos que se</w:t>
      </w:r>
      <w:r>
        <w:rPr>
          <w:rFonts w:ascii="Palatino Linotype" w:eastAsia="Palatino Linotype" w:hAnsi="Palatino Linotype" w:cs="Palatino Linotype"/>
        </w:rPr>
        <w:t xml:space="preserve"> encuentran disponibles para su consulta en </w:t>
      </w:r>
      <w:hyperlink r:id="rId9">
        <w:r>
          <w:rPr>
            <w:rFonts w:ascii="Palatino Linotype" w:eastAsia="Palatino Linotype" w:hAnsi="Palatino Linotype" w:cs="Palatino Linotype"/>
            <w:color w:val="0563C1"/>
            <w:u w:val="single"/>
          </w:rPr>
          <w:t>https://atlaco</w:t>
        </w:r>
        <w:r>
          <w:rPr>
            <w:rFonts w:ascii="Palatino Linotype" w:eastAsia="Palatino Linotype" w:hAnsi="Palatino Linotype" w:cs="Palatino Linotype"/>
            <w:color w:val="0563C1"/>
            <w:u w:val="single"/>
          </w:rPr>
          <w:t>mulco.gob.mx/documentos/MejoraRegulatoria/Catalogo%20Municipal%20de%20Regulaciones/Manual%20de%20Organizacion/Manual%20de%20Organizacion%20Comisaria%20Municipal.pdf</w:t>
        </w:r>
      </w:hyperlink>
      <w:r>
        <w:rPr>
          <w:rFonts w:ascii="Palatino Linotype" w:eastAsia="Palatino Linotype" w:hAnsi="Palatino Linotype" w:cs="Palatino Linotype"/>
        </w:rPr>
        <w:t xml:space="preserve"> y </w:t>
      </w:r>
      <w:hyperlink r:id="rId10">
        <w:r>
          <w:rPr>
            <w:rFonts w:ascii="Palatino Linotype" w:eastAsia="Palatino Linotype" w:hAnsi="Palatino Linotype" w:cs="Palatino Linotype"/>
            <w:color w:val="0563C1"/>
            <w:u w:val="single"/>
          </w:rPr>
          <w:t>https://atlacomulco.gob.mx/documentos/MejoraRegulatoria/Catalogo%20Mun</w:t>
        </w:r>
        <w:r>
          <w:rPr>
            <w:rFonts w:ascii="Palatino Linotype" w:eastAsia="Palatino Linotype" w:hAnsi="Palatino Linotype" w:cs="Palatino Linotype"/>
            <w:color w:val="0563C1"/>
            <w:u w:val="single"/>
          </w:rPr>
          <w:lastRenderedPageBreak/>
          <w:t>icipal%20de%20Regulaciones/Manual%20de%20Procedimientos/Manual%20de%20Pro</w:t>
        </w:r>
        <w:r>
          <w:rPr>
            <w:rFonts w:ascii="Palatino Linotype" w:eastAsia="Palatino Linotype" w:hAnsi="Palatino Linotype" w:cs="Palatino Linotype"/>
            <w:color w:val="0563C1"/>
            <w:u w:val="single"/>
          </w:rPr>
          <w:t>cedimientos%20Comisaria%20Municipal.pdf</w:t>
        </w:r>
      </w:hyperlink>
      <w:r>
        <w:rPr>
          <w:rFonts w:ascii="Palatino Linotype" w:eastAsia="Palatino Linotype" w:hAnsi="Palatino Linotype" w:cs="Palatino Linotype"/>
        </w:rPr>
        <w:t xml:space="preserve"> </w:t>
      </w:r>
    </w:p>
    <w:p w:rsidR="00842FE8" w:rsidRDefault="00842FE8">
      <w:pPr>
        <w:spacing w:after="0" w:line="360" w:lineRule="auto"/>
        <w:ind w:left="709" w:right="539"/>
        <w:jc w:val="both"/>
        <w:rPr>
          <w:rFonts w:ascii="Palatino Linotype" w:eastAsia="Palatino Linotype" w:hAnsi="Palatino Linotype" w:cs="Palatino Linotype"/>
        </w:rPr>
      </w:pPr>
    </w:p>
    <w:p w:rsidR="00842FE8" w:rsidRDefault="00627AFA">
      <w:pPr>
        <w:spacing w:after="0" w:line="360" w:lineRule="auto"/>
        <w:ind w:left="709" w:right="539"/>
        <w:jc w:val="both"/>
        <w:rPr>
          <w:rFonts w:ascii="Palatino Linotype" w:eastAsia="Palatino Linotype" w:hAnsi="Palatino Linotype" w:cs="Palatino Linotype"/>
        </w:rPr>
      </w:pPr>
      <w:r>
        <w:rPr>
          <w:rFonts w:ascii="Palatino Linotype" w:eastAsia="Palatino Linotype" w:hAnsi="Palatino Linotype" w:cs="Palatino Linotype"/>
        </w:rPr>
        <w:t>Finalmente, refirió que se realizó una búsqueda exhaustiva en los archivos digitales y presenciales respecto a los roles de vacaciones, no obstante, por cuanto hace a los ejercicios 2020 y 2021, no se localizó docu</w:t>
      </w:r>
      <w:r>
        <w:rPr>
          <w:rFonts w:ascii="Palatino Linotype" w:eastAsia="Palatino Linotype" w:hAnsi="Palatino Linotype" w:cs="Palatino Linotype"/>
        </w:rPr>
        <w:t xml:space="preserve">mento alguno y por cuanto hace al año 2022, el rol de vacaciones se ajusta en virtud de la antigüedad laboral, mismo que atiende el siguiente orden: </w:t>
      </w:r>
    </w:p>
    <w:p w:rsidR="00842FE8" w:rsidRDefault="00842FE8">
      <w:pPr>
        <w:spacing w:after="0" w:line="360" w:lineRule="auto"/>
        <w:ind w:left="709" w:right="539"/>
        <w:jc w:val="both"/>
        <w:rPr>
          <w:rFonts w:ascii="Palatino Linotype" w:eastAsia="Palatino Linotype" w:hAnsi="Palatino Linotype" w:cs="Palatino Linotype"/>
        </w:rPr>
      </w:pPr>
    </w:p>
    <w:p w:rsidR="00842FE8" w:rsidRDefault="00627AFA">
      <w:pPr>
        <w:spacing w:after="0" w:line="360" w:lineRule="auto"/>
        <w:ind w:left="709" w:right="539"/>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032209" cy="1136599"/>
            <wp:effectExtent l="0" t="0" r="0" b="0"/>
            <wp:docPr id="11" name="image2.png" descr="Tabl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Tabla&#10;&#10;Descripción generada automáticamente con confianza media"/>
                    <pic:cNvPicPr preferRelativeResize="0"/>
                  </pic:nvPicPr>
                  <pic:blipFill>
                    <a:blip r:embed="rId11"/>
                    <a:srcRect/>
                    <a:stretch>
                      <a:fillRect/>
                    </a:stretch>
                  </pic:blipFill>
                  <pic:spPr>
                    <a:xfrm>
                      <a:off x="0" y="0"/>
                      <a:ext cx="5032209" cy="1136599"/>
                    </a:xfrm>
                    <a:prstGeom prst="rect">
                      <a:avLst/>
                    </a:prstGeom>
                    <a:ln/>
                  </pic:spPr>
                </pic:pic>
              </a:graphicData>
            </a:graphic>
          </wp:inline>
        </w:drawing>
      </w:r>
    </w:p>
    <w:p w:rsidR="00842FE8" w:rsidRDefault="00842FE8">
      <w:pPr>
        <w:spacing w:after="0" w:line="360" w:lineRule="auto"/>
        <w:ind w:left="709" w:right="539"/>
        <w:jc w:val="both"/>
        <w:rPr>
          <w:rFonts w:ascii="Palatino Linotype" w:eastAsia="Palatino Linotype" w:hAnsi="Palatino Linotype" w:cs="Palatino Linotype"/>
        </w:rPr>
      </w:pPr>
    </w:p>
    <w:p w:rsidR="00842FE8" w:rsidRDefault="00627AFA">
      <w:pPr>
        <w:numPr>
          <w:ilvl w:val="0"/>
          <w:numId w:val="3"/>
        </w:numPr>
        <w:spacing w:after="0" w:line="360" w:lineRule="auto"/>
        <w:ind w:left="709" w:right="539"/>
        <w:jc w:val="both"/>
        <w:rPr>
          <w:rFonts w:ascii="Palatino Linotype" w:eastAsia="Palatino Linotype" w:hAnsi="Palatino Linotype" w:cs="Palatino Linotype"/>
          <w:b/>
        </w:rPr>
      </w:pPr>
      <w:r>
        <w:rPr>
          <w:rFonts w:ascii="Palatino Linotype" w:eastAsia="Palatino Linotype" w:hAnsi="Palatino Linotype" w:cs="Palatino Linotype"/>
          <w:b/>
        </w:rPr>
        <w:t xml:space="preserve">acta_15ext_ct_2.PDF; </w:t>
      </w:r>
      <w:r>
        <w:rPr>
          <w:rFonts w:ascii="Palatino Linotype" w:eastAsia="Palatino Linotype" w:hAnsi="Palatino Linotype" w:cs="Palatino Linotype"/>
        </w:rPr>
        <w:t>Acta de la Décimo Quinta Sesión Extraordinaria del Comité de Transparencia el Ayu</w:t>
      </w:r>
      <w:r>
        <w:rPr>
          <w:rFonts w:ascii="Palatino Linotype" w:eastAsia="Palatino Linotype" w:hAnsi="Palatino Linotype" w:cs="Palatino Linotype"/>
        </w:rPr>
        <w:t>ntamiento de Atlacomulco, por la cual, en el punto 8 del orden del día, se tiene la propuesta de clasificación como información RESERVADA para atender la solicitud de acceso con folio 00226/ATLACOM/IP/2022.</w:t>
      </w:r>
    </w:p>
    <w:p w:rsidR="00842FE8" w:rsidRDefault="00627AFA">
      <w:pPr>
        <w:spacing w:before="240" w:after="240" w:line="360" w:lineRule="auto"/>
        <w:ind w:right="-3"/>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Conocida la respuesta, al no estar conforme con los términos de la misma, la persona solicitante presentó el recurso de revisión mediante el cual señaló como motivo de inconformidad, </w:t>
      </w:r>
      <w:r>
        <w:rPr>
          <w:rFonts w:ascii="Palatino Linotype" w:eastAsia="Palatino Linotype" w:hAnsi="Palatino Linotype" w:cs="Palatino Linotype"/>
          <w:color w:val="000000"/>
          <w:sz w:val="24"/>
          <w:szCs w:val="24"/>
        </w:rPr>
        <w:t>-entre otras cosas- que se le debe hacer entrega del documento que cada s</w:t>
      </w:r>
      <w:r>
        <w:rPr>
          <w:rFonts w:ascii="Palatino Linotype" w:eastAsia="Palatino Linotype" w:hAnsi="Palatino Linotype" w:cs="Palatino Linotype"/>
          <w:color w:val="000000"/>
          <w:sz w:val="24"/>
          <w:szCs w:val="24"/>
        </w:rPr>
        <w:t xml:space="preserve">ervidor público presenta a su superior, a fin de gozar del período vacacional </w:t>
      </w:r>
      <w:r>
        <w:rPr>
          <w:rFonts w:ascii="Palatino Linotype" w:eastAsia="Palatino Linotype" w:hAnsi="Palatino Linotype" w:cs="Palatino Linotype"/>
          <w:color w:val="000000"/>
          <w:sz w:val="24"/>
          <w:szCs w:val="24"/>
        </w:rPr>
        <w:lastRenderedPageBreak/>
        <w:t xml:space="preserve">correspondiente, además, que el rol de trabajo de la </w:t>
      </w:r>
      <w:r>
        <w:rPr>
          <w:rFonts w:ascii="Palatino Linotype" w:eastAsia="Palatino Linotype" w:hAnsi="Palatino Linotype" w:cs="Palatino Linotype"/>
          <w:sz w:val="24"/>
          <w:szCs w:val="24"/>
        </w:rPr>
        <w:t>Comisaría</w:t>
      </w:r>
      <w:r>
        <w:rPr>
          <w:rFonts w:ascii="Palatino Linotype" w:eastAsia="Palatino Linotype" w:hAnsi="Palatino Linotype" w:cs="Palatino Linotype"/>
          <w:color w:val="000000"/>
          <w:sz w:val="24"/>
          <w:szCs w:val="24"/>
        </w:rPr>
        <w:t xml:space="preserve"> Municipal del cuatro de abril de dos mil veintidós, carece de veracidad, pues a su decir, deriva de un “</w:t>
      </w:r>
      <w:r>
        <w:rPr>
          <w:rFonts w:ascii="Palatino Linotype" w:eastAsia="Palatino Linotype" w:hAnsi="Palatino Linotype" w:cs="Palatino Linotype"/>
          <w:i/>
          <w:color w:val="000000"/>
          <w:sz w:val="24"/>
          <w:szCs w:val="24"/>
        </w:rPr>
        <w:t xml:space="preserve">copypage” </w:t>
      </w:r>
      <w:r>
        <w:rPr>
          <w:rFonts w:ascii="Palatino Linotype" w:eastAsia="Palatino Linotype" w:hAnsi="Palatino Linotype" w:cs="Palatino Linotype"/>
          <w:color w:val="000000"/>
          <w:sz w:val="24"/>
          <w:szCs w:val="24"/>
        </w:rPr>
        <w:t xml:space="preserve">por lo que, para atender su pretensión, se debe permitir el acceso al rol de servicios de cada policía, Suboficial, Jefe de servicio, Coordinador y Comisario.    </w:t>
      </w:r>
    </w:p>
    <w:p w:rsidR="00842FE8" w:rsidRDefault="00627AFA">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Admitido el presente recurso de revisión, en términos del artículo 185 fracción II</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xml:space="preserve"> de la Ley</w:t>
      </w:r>
      <w:r>
        <w:rPr>
          <w:rFonts w:ascii="Palatino Linotype" w:eastAsia="Palatino Linotype" w:hAnsi="Palatino Linotype" w:cs="Palatino Linotype"/>
          <w:sz w:val="24"/>
          <w:szCs w:val="24"/>
        </w:rPr>
        <w:t xml:space="preserve"> de Transparencia y Acceso a la Información Pública del Estado de México y Municipios, se integró el expediente y se puso a disposición de las partes para que, en un plazo máximo de siete días hábiles, manifestaran lo que a su derecho resultara conveniente</w:t>
      </w:r>
      <w:r>
        <w:rPr>
          <w:rFonts w:ascii="Palatino Linotype" w:eastAsia="Palatino Linotype" w:hAnsi="Palatino Linotype" w:cs="Palatino Linotype"/>
          <w:sz w:val="24"/>
          <w:szCs w:val="24"/>
        </w:rPr>
        <w:t>, resultando en que el Sujeto Obligado ratificó su respuesta inicial.</w:t>
      </w:r>
    </w:p>
    <w:p w:rsidR="00842FE8" w:rsidRDefault="00627AFA">
      <w:pP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 contexto, previo análisis de las constancias y de la naturaleza de la información, la Ponencia que resolvió determinó </w:t>
      </w:r>
      <w:r>
        <w:rPr>
          <w:rFonts w:ascii="Palatino Linotype" w:eastAsia="Palatino Linotype" w:hAnsi="Palatino Linotype" w:cs="Palatino Linotype"/>
          <w:i/>
          <w:sz w:val="24"/>
          <w:szCs w:val="24"/>
        </w:rPr>
        <w:t>Modificar</w:t>
      </w:r>
      <w:r>
        <w:rPr>
          <w:rFonts w:ascii="Palatino Linotype" w:eastAsia="Palatino Linotype" w:hAnsi="Palatino Linotype" w:cs="Palatino Linotype"/>
          <w:sz w:val="24"/>
          <w:szCs w:val="24"/>
        </w:rPr>
        <w:t xml:space="preserve"> la respuesta y ordenar la entrega de información, c</w:t>
      </w:r>
      <w:r>
        <w:rPr>
          <w:rFonts w:ascii="Palatino Linotype" w:eastAsia="Palatino Linotype" w:hAnsi="Palatino Linotype" w:cs="Palatino Linotype"/>
          <w:sz w:val="24"/>
          <w:szCs w:val="24"/>
        </w:rPr>
        <w:t xml:space="preserve">omo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rsidR="00842FE8" w:rsidRDefault="00842FE8">
      <w:pPr>
        <w:spacing w:after="0" w:line="276" w:lineRule="auto"/>
        <w:ind w:left="567" w:right="990"/>
        <w:jc w:val="both"/>
        <w:rPr>
          <w:rFonts w:ascii="Palatino Linotype" w:eastAsia="Palatino Linotype" w:hAnsi="Palatino Linotype" w:cs="Palatino Linotype"/>
          <w:b/>
          <w:i/>
        </w:rPr>
      </w:pPr>
    </w:p>
    <w:p w:rsidR="00842FE8" w:rsidRDefault="00627AFA">
      <w:pPr>
        <w:spacing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“…SEGUNDO. Se ORDENA al Ayuntamiento de Atlacomulco, a efecto de que, por medio del Sistema de Acceso a la Información Mexiquense (SAIMEX), en su caso, en versión pública, entregue:</w:t>
      </w:r>
    </w:p>
    <w:p w:rsidR="00842FE8" w:rsidRDefault="00627AFA">
      <w:pPr>
        <w:spacing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1. Del cuatro de abril de dos m</w:t>
      </w:r>
      <w:r>
        <w:rPr>
          <w:rFonts w:ascii="Palatino Linotype" w:eastAsia="Palatino Linotype" w:hAnsi="Palatino Linotype" w:cs="Palatino Linotype"/>
          <w:i/>
        </w:rPr>
        <w:t>il veintidós, registro de asistencia del personal adscrito a la Comisaría Municipal.</w:t>
      </w:r>
    </w:p>
    <w:p w:rsidR="00842FE8" w:rsidRDefault="00627AFA">
      <w:pPr>
        <w:spacing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2. De 2020, 2021 y del primero de enero al treinta de abril de dos mil veintidós, el o los documentos que den cuenta de los periodos vacacionales de todos los servidores p</w:t>
      </w:r>
      <w:r>
        <w:rPr>
          <w:rFonts w:ascii="Palatino Linotype" w:eastAsia="Palatino Linotype" w:hAnsi="Palatino Linotype" w:cs="Palatino Linotype"/>
          <w:i/>
        </w:rPr>
        <w:t>úblicos.</w:t>
      </w:r>
    </w:p>
    <w:p w:rsidR="00842FE8" w:rsidRDefault="00842FE8">
      <w:pPr>
        <w:spacing w:after="120" w:line="240" w:lineRule="auto"/>
        <w:ind w:left="851" w:right="992"/>
        <w:jc w:val="both"/>
        <w:rPr>
          <w:rFonts w:ascii="Palatino Linotype" w:eastAsia="Palatino Linotype" w:hAnsi="Palatino Linotype" w:cs="Palatino Linotype"/>
          <w:i/>
        </w:rPr>
      </w:pPr>
    </w:p>
    <w:p w:rsidR="00842FE8" w:rsidRDefault="00627AFA">
      <w:pPr>
        <w:spacing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Junto con las versiones públicas, se deberá entregar el Acuerdo del Comité de Transparencia mediante el cual se funde y motive la eliminación de la información confidencial y reservada, en términos de los artículos 49, fracción VIII, 140, fracció</w:t>
      </w:r>
      <w:r>
        <w:rPr>
          <w:rFonts w:ascii="Palatino Linotype" w:eastAsia="Palatino Linotype" w:hAnsi="Palatino Linotype" w:cs="Palatino Linotype"/>
          <w:i/>
        </w:rPr>
        <w:t>n IV y 143, fracción I y 149 de la Ley de Transparencia y Acceso a la Información Pública del Estado de México y Municipios, en el entendido que, para el caso de los documentos que contengan el nombre del personal operativo de la Comisaria Municipal, se de</w:t>
      </w:r>
      <w:r>
        <w:rPr>
          <w:rFonts w:ascii="Palatino Linotype" w:eastAsia="Palatino Linotype" w:hAnsi="Palatino Linotype" w:cs="Palatino Linotype"/>
          <w:i/>
        </w:rPr>
        <w:t>berá hacer entrega de la información sin el nombre de los mismos.</w:t>
      </w:r>
    </w:p>
    <w:p w:rsidR="00842FE8" w:rsidRDefault="00627AFA">
      <w:pPr>
        <w:spacing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Para el caso de que se cuente con documentos que permitan identificar el personal que es de confianza, sindicalizado, base y contrato, deberá privilegiarse la entrega de esta información, de</w:t>
      </w:r>
      <w:r>
        <w:rPr>
          <w:rFonts w:ascii="Palatino Linotype" w:eastAsia="Palatino Linotype" w:hAnsi="Palatino Linotype" w:cs="Palatino Linotype"/>
          <w:i/>
        </w:rPr>
        <w:t xml:space="preserve"> lo contrario bastará con que se entregue la información como obre en los archivos del sujeto obligado.” (Sic) </w:t>
      </w:r>
    </w:p>
    <w:p w:rsidR="00842FE8" w:rsidRDefault="00627AF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debe mencionarse que, toda vez que se determinó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una </w:t>
      </w:r>
      <w:r>
        <w:rPr>
          <w:rFonts w:ascii="Palatino Linotype" w:eastAsia="Palatino Linotype" w:hAnsi="Palatino Linotype" w:cs="Palatino Linotype"/>
          <w:b/>
          <w:sz w:val="23"/>
          <w:szCs w:val="23"/>
        </w:rPr>
        <w:t>Comisaría Municipal</w:t>
      </w:r>
      <w:r>
        <w:rPr>
          <w:rFonts w:ascii="Palatino Linotype" w:eastAsia="Palatino Linotype" w:hAnsi="Palatino Linotype" w:cs="Palatino Linotype"/>
          <w:sz w:val="24"/>
          <w:szCs w:val="24"/>
        </w:rPr>
        <w:t>, encargada de salvaguar</w:t>
      </w:r>
      <w:r>
        <w:rPr>
          <w:rFonts w:ascii="Palatino Linotype" w:eastAsia="Palatino Linotype" w:hAnsi="Palatino Linotype" w:cs="Palatino Linotype"/>
          <w:sz w:val="24"/>
          <w:szCs w:val="24"/>
        </w:rPr>
        <w:t xml:space="preserve">dar y garantizar el orden público y la paz social, así como de  la prevención, combate y persecución de delitos, por lo que </w:t>
      </w:r>
      <w:r>
        <w:rPr>
          <w:rFonts w:ascii="Palatino Linotype" w:eastAsia="Palatino Linotype" w:hAnsi="Palatino Linotype" w:cs="Palatino Linotype"/>
          <w:b/>
          <w:sz w:val="24"/>
          <w:szCs w:val="24"/>
        </w:rPr>
        <w:t xml:space="preserve">para este Instituto resultaba pertinente la reserva del nombre de los elementos operativos de la Comisaría Municipal de Atlacomulco </w:t>
      </w:r>
      <w:r>
        <w:rPr>
          <w:rFonts w:ascii="Palatino Linotype" w:eastAsia="Palatino Linotype" w:hAnsi="Palatino Linotype" w:cs="Palatino Linotype"/>
          <w:b/>
          <w:sz w:val="24"/>
          <w:szCs w:val="24"/>
        </w:rPr>
        <w:t>y para la suscrita también el horario laboral</w:t>
      </w:r>
      <w:r>
        <w:rPr>
          <w:rFonts w:ascii="Palatino Linotype" w:eastAsia="Palatino Linotype" w:hAnsi="Palatino Linotype" w:cs="Palatino Linotype"/>
          <w:sz w:val="24"/>
          <w:szCs w:val="24"/>
        </w:rPr>
        <w:t xml:space="preserve">, para lo que es necesario el desarrollo de la prueba de daño,  </w:t>
      </w:r>
      <w:r>
        <w:rPr>
          <w:rFonts w:ascii="Palatino Linotype" w:eastAsia="Palatino Linotype" w:hAnsi="Palatino Linotype" w:cs="Palatino Linotype"/>
          <w:b/>
          <w:sz w:val="24"/>
          <w:szCs w:val="24"/>
        </w:rPr>
        <w:t>debiendo valorar el daño que causaría la divulgación de la información, con la finalidad de sustentar la reserva y arribar a una determinación debidamente fundada y motivada que tenga como consecuencia la clasificación de la información, además de analizar</w:t>
      </w:r>
      <w:r>
        <w:rPr>
          <w:rFonts w:ascii="Palatino Linotype" w:eastAsia="Palatino Linotype" w:hAnsi="Palatino Linotype" w:cs="Palatino Linotype"/>
          <w:b/>
          <w:sz w:val="24"/>
          <w:szCs w:val="24"/>
        </w:rPr>
        <w:t xml:space="preserve"> si el periodo de clasificación resulta acorde con la naturaleza de la información requerida</w:t>
      </w:r>
      <w:r>
        <w:rPr>
          <w:rFonts w:ascii="Palatino Linotype" w:eastAsia="Palatino Linotype" w:hAnsi="Palatino Linotype" w:cs="Palatino Linotype"/>
          <w:sz w:val="24"/>
          <w:szCs w:val="24"/>
        </w:rPr>
        <w:t>. En otras palabras, la determinación que confirme una clasificación debe contener un análisis exhaustivo de los elementos de forma y fondo que establecen los artíc</w:t>
      </w:r>
      <w:r>
        <w:rPr>
          <w:rFonts w:ascii="Palatino Linotype" w:eastAsia="Palatino Linotype" w:hAnsi="Palatino Linotype" w:cs="Palatino Linotype"/>
          <w:sz w:val="24"/>
          <w:szCs w:val="24"/>
        </w:rPr>
        <w:t>ulos 122, 125, 128, 129, 130, 131, 132 fracción II, 134 de la Ley de Transparencia y Acceso a la Información Pública del Estado de México y Municipios y los Lineamientos Generales en Materia de Clasificación y Desclasificación de la Información, así como p</w:t>
      </w:r>
      <w:r>
        <w:rPr>
          <w:rFonts w:ascii="Palatino Linotype" w:eastAsia="Palatino Linotype" w:hAnsi="Palatino Linotype" w:cs="Palatino Linotype"/>
          <w:sz w:val="24"/>
          <w:szCs w:val="24"/>
        </w:rPr>
        <w:t xml:space="preserve">ara la elaboración de Versiones Públicas. </w:t>
      </w:r>
    </w:p>
    <w:p w:rsidR="00842FE8" w:rsidRDefault="00627AF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perspectiva, el Acuerdo de Clasificación de Información tiene como propósito primordial </w:t>
      </w:r>
      <w:r>
        <w:rPr>
          <w:rFonts w:ascii="Palatino Linotype" w:eastAsia="Palatino Linotype" w:hAnsi="Palatino Linotype" w:cs="Palatino Linotype"/>
          <w:b/>
          <w:sz w:val="24"/>
          <w:szCs w:val="24"/>
        </w:rPr>
        <w:t xml:space="preserve">que los particulares conozcan de manera completa las condiciones y circunstancias que determinaron negar el acceso a </w:t>
      </w:r>
      <w:r>
        <w:rPr>
          <w:rFonts w:ascii="Palatino Linotype" w:eastAsia="Palatino Linotype" w:hAnsi="Palatino Linotype" w:cs="Palatino Linotype"/>
          <w:b/>
          <w:sz w:val="24"/>
          <w:szCs w:val="24"/>
        </w:rPr>
        <w:t>la información</w:t>
      </w:r>
      <w:r>
        <w:rPr>
          <w:rFonts w:ascii="Palatino Linotype" w:eastAsia="Palatino Linotype" w:hAnsi="Palatino Linotype" w:cs="Palatino Linotype"/>
          <w:sz w:val="24"/>
          <w:szCs w:val="24"/>
        </w:rPr>
        <w:t>; a través de la adecuada fundamentación y motivación de la clasificación de información, que incluya la prueba de daño a fin de establecer el perjuicio que podría provocar la entrega de la información, toda vez que los artículos 128 y 129 de</w:t>
      </w:r>
      <w:r>
        <w:rPr>
          <w:rFonts w:ascii="Palatino Linotype" w:eastAsia="Palatino Linotype" w:hAnsi="Palatino Linotype" w:cs="Palatino Linotype"/>
          <w:sz w:val="24"/>
          <w:szCs w:val="24"/>
        </w:rPr>
        <w:t xml:space="preserve"> la Ley de la Materia, disponen que para que los sujetos obligados puedan invocar una causa se deberá fundar y motivar, a través de la aplicación de la prueba de daño, en la cual se justifique que la divulgación de la información representa un riesgo real </w:t>
      </w:r>
      <w:r>
        <w:rPr>
          <w:rFonts w:ascii="Palatino Linotype" w:eastAsia="Palatino Linotype" w:hAnsi="Palatino Linotype" w:cs="Palatino Linotype"/>
          <w:sz w:val="24"/>
          <w:szCs w:val="24"/>
        </w:rPr>
        <w:t xml:space="preserve">demostrable e identificable al superar el interés público de que se difunda atendiendo al principio de proporcionalidad y el medio menos restrictivo disponible para evitar perjuicio. </w:t>
      </w:r>
    </w:p>
    <w:p w:rsidR="00842FE8" w:rsidRDefault="00627AF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w:t>
      </w:r>
      <w:r>
        <w:rPr>
          <w:rFonts w:ascii="Palatino Linotype" w:eastAsia="Palatino Linotype" w:hAnsi="Palatino Linotype" w:cs="Palatino Linotype"/>
          <w:sz w:val="24"/>
          <w:szCs w:val="24"/>
        </w:rPr>
        <w:t>sclasificación de la Información, así como para la elaboración de versiones públicas, establecen en su numeral Trigésimo Tercero que, para la aplicación de la prueba de daño los sujetos obligados atenderán lo siguiente:</w:t>
      </w:r>
    </w:p>
    <w:p w:rsidR="00842FE8" w:rsidRDefault="00627AF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"Trigésimo tercero. Para la aplicaci</w:t>
      </w:r>
      <w:r>
        <w:rPr>
          <w:rFonts w:ascii="Palatino Linotype" w:eastAsia="Palatino Linotype" w:hAnsi="Palatino Linotype" w:cs="Palatino Linotype"/>
          <w:i/>
        </w:rPr>
        <w:t xml:space="preserve">ón de la prueba de daño a la que hace referencia el artículo 104 de la Ley General, los sujetos obligados atenderán lo siguiente: </w:t>
      </w:r>
    </w:p>
    <w:p w:rsidR="00842FE8" w:rsidRDefault="00627AF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I. Se deberá citar la fracción y, en su caso, la causal aplicable del artículo 113 de la Ley General, vinculándola con el Lineamiento especifico del presente ordenamiento y, cuando corresponda, el supuesto normativo que expresamente le otorga el carácter d</w:t>
      </w:r>
      <w:r>
        <w:rPr>
          <w:rFonts w:ascii="Palatino Linotype" w:eastAsia="Palatino Linotype" w:hAnsi="Palatino Linotype" w:cs="Palatino Linotype"/>
          <w:i/>
        </w:rPr>
        <w:t>e información reservada;</w:t>
      </w:r>
    </w:p>
    <w:p w:rsidR="00842FE8" w:rsidRDefault="00627AF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II. Mediante la ponderación de los intereses en conflicto, los sujetos obligados </w:t>
      </w:r>
      <w:r>
        <w:rPr>
          <w:rFonts w:ascii="Palatino Linotype" w:eastAsia="Palatino Linotype" w:hAnsi="Palatino Linotype" w:cs="Palatino Linotype"/>
          <w:b/>
          <w:i/>
        </w:rPr>
        <w:t>deberán demostrar que la publicidad de la información solicitada generaría un riesgo de perjuicio y por lo tanto, tendrán que acreditar que este últim</w:t>
      </w:r>
      <w:r>
        <w:rPr>
          <w:rFonts w:ascii="Palatino Linotype" w:eastAsia="Palatino Linotype" w:hAnsi="Palatino Linotype" w:cs="Palatino Linotype"/>
          <w:b/>
          <w:i/>
        </w:rPr>
        <w:t>o rebasa el interés público protegido por la reserva</w:t>
      </w:r>
      <w:r>
        <w:rPr>
          <w:rFonts w:ascii="Palatino Linotype" w:eastAsia="Palatino Linotype" w:hAnsi="Palatino Linotype" w:cs="Palatino Linotype"/>
          <w:i/>
        </w:rPr>
        <w:t>;</w:t>
      </w:r>
    </w:p>
    <w:p w:rsidR="00842FE8" w:rsidRDefault="00627AF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III.</w:t>
      </w:r>
      <w:r>
        <w:rPr>
          <w:rFonts w:ascii="Palatino Linotype" w:eastAsia="Palatino Linotype" w:hAnsi="Palatino Linotype" w:cs="Palatino Linotype"/>
          <w:i/>
        </w:rPr>
        <w:tab/>
        <w:t>Se debe de acreditar el vínculo entre la difusión de la información y la afectación del interés jurídico tutelado de que se trate;</w:t>
      </w:r>
    </w:p>
    <w:p w:rsidR="00842FE8" w:rsidRDefault="00627AF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IV.</w:t>
      </w:r>
      <w:r>
        <w:rPr>
          <w:rFonts w:ascii="Palatino Linotype" w:eastAsia="Palatino Linotype" w:hAnsi="Palatino Linotype" w:cs="Palatino Linotype"/>
          <w:i/>
        </w:rPr>
        <w:tab/>
        <w:t>Precisar las razones objetivas por las que la apertura de la i</w:t>
      </w:r>
      <w:r>
        <w:rPr>
          <w:rFonts w:ascii="Palatino Linotype" w:eastAsia="Palatino Linotype" w:hAnsi="Palatino Linotype" w:cs="Palatino Linotype"/>
          <w:i/>
        </w:rPr>
        <w:t>nformación generaría una afectación, a través de los elementos de un riesgo real, demostrable e identificable;</w:t>
      </w:r>
    </w:p>
    <w:p w:rsidR="00842FE8" w:rsidRDefault="00627AF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V.</w:t>
      </w:r>
      <w:r>
        <w:rPr>
          <w:rFonts w:ascii="Palatino Linotype" w:eastAsia="Palatino Linotype" w:hAnsi="Palatino Linotype" w:cs="Palatino Linotype"/>
          <w:i/>
        </w:rPr>
        <w:tab/>
        <w:t xml:space="preserve">En la motivación de la clasificación, </w:t>
      </w:r>
      <w:r>
        <w:rPr>
          <w:rFonts w:ascii="Palatino Linotype" w:eastAsia="Palatino Linotype" w:hAnsi="Palatino Linotype" w:cs="Palatino Linotype"/>
          <w:b/>
          <w:i/>
        </w:rPr>
        <w:t>el sujeto obligado deberá acreditar las circunstancias de modo, tiempo y lugar del daño</w:t>
      </w:r>
      <w:r>
        <w:rPr>
          <w:rFonts w:ascii="Palatino Linotype" w:eastAsia="Palatino Linotype" w:hAnsi="Palatino Linotype" w:cs="Palatino Linotype"/>
          <w:i/>
        </w:rPr>
        <w:t>, y</w:t>
      </w:r>
    </w:p>
    <w:p w:rsidR="00842FE8" w:rsidRDefault="00627AF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VI.</w:t>
      </w:r>
      <w:r>
        <w:rPr>
          <w:rFonts w:ascii="Palatino Linotype" w:eastAsia="Palatino Linotype" w:hAnsi="Palatino Linotype" w:cs="Palatino Linotype"/>
          <w:i/>
        </w:rPr>
        <w:tab/>
        <w:t>Deberán e</w:t>
      </w:r>
      <w:r>
        <w:rPr>
          <w:rFonts w:ascii="Palatino Linotype" w:eastAsia="Palatino Linotype" w:hAnsi="Palatino Linotype" w:cs="Palatino Linotype"/>
          <w:i/>
        </w:rPr>
        <w:t>legir la opción de excepción al acceso a la información que menos lo restrinja, la cual será adecuada y proporcional para la protección del interés público, y deberá inte1ferir lo menos posible en el ejercicio efectivo del derecho de acceso a la informació</w:t>
      </w:r>
      <w:r>
        <w:rPr>
          <w:rFonts w:ascii="Palatino Linotype" w:eastAsia="Palatino Linotype" w:hAnsi="Palatino Linotype" w:cs="Palatino Linotype"/>
          <w:i/>
        </w:rPr>
        <w:t>n."(Sic)</w:t>
      </w:r>
    </w:p>
    <w:p w:rsidR="00842FE8" w:rsidRDefault="00627AF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se debe efectuar el estudio de clasificación a la luz de los elementos que exigen los Lineamientos generales en materia de clasificación y desclasificación de la informaci</w:t>
      </w:r>
      <w:r>
        <w:rPr>
          <w:rFonts w:ascii="Palatino Linotype" w:eastAsia="Palatino Linotype" w:hAnsi="Palatino Linotype" w:cs="Palatino Linotype"/>
          <w:b/>
          <w:sz w:val="24"/>
          <w:szCs w:val="24"/>
        </w:rPr>
        <w:t>ón, así como para la elaboración de versiones públicas, y efectuar un análisis exhaustivo en todos aquellos casos que restrinjan el derecho de acceso a la información de los particulares</w:t>
      </w:r>
      <w:r>
        <w:rPr>
          <w:rFonts w:ascii="Palatino Linotype" w:eastAsia="Palatino Linotype" w:hAnsi="Palatino Linotype" w:cs="Palatino Linotype"/>
          <w:sz w:val="24"/>
          <w:szCs w:val="24"/>
        </w:rPr>
        <w:t>, como es la figura de la clasificación de la información para verific</w:t>
      </w:r>
      <w:r>
        <w:rPr>
          <w:rFonts w:ascii="Palatino Linotype" w:eastAsia="Palatino Linotype" w:hAnsi="Palatino Linotype" w:cs="Palatino Linotype"/>
          <w:sz w:val="24"/>
          <w:szCs w:val="24"/>
        </w:rPr>
        <w:t>ar que se acredita la prueba de daño.</w:t>
      </w:r>
    </w:p>
    <w:p w:rsidR="00842FE8" w:rsidRDefault="00627AF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este contexto, se analizó la resolución del recurso de revisión </w:t>
      </w:r>
      <w:r>
        <w:rPr>
          <w:rFonts w:ascii="Palatino Linotype" w:eastAsia="Palatino Linotype" w:hAnsi="Palatino Linotype" w:cs="Palatino Linotype"/>
          <w:b/>
          <w:sz w:val="24"/>
          <w:szCs w:val="24"/>
        </w:rPr>
        <w:t>10516/INFOEM/IP/RR/2022,</w:t>
      </w:r>
      <w:r>
        <w:rPr>
          <w:rFonts w:ascii="Palatino Linotype" w:eastAsia="Palatino Linotype" w:hAnsi="Palatino Linotype" w:cs="Palatino Linotype"/>
          <w:sz w:val="24"/>
          <w:szCs w:val="24"/>
        </w:rPr>
        <w:t xml:space="preserve"> en la cual, el Comisionado Ponente, desarrolla la prueba de daño, circunstancia que a consideración de la suscrita y derivad</w:t>
      </w:r>
      <w:r>
        <w:rPr>
          <w:rFonts w:ascii="Palatino Linotype" w:eastAsia="Palatino Linotype" w:hAnsi="Palatino Linotype" w:cs="Palatino Linotype"/>
          <w:sz w:val="24"/>
          <w:szCs w:val="24"/>
        </w:rPr>
        <w:t xml:space="preserve">o de lo antes 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en razón de que, dentro de la Ley de Transparencia y Acceso a la Información Pública del Estado de México y Municipios, se encuentra que, para reservar una información</w:t>
      </w:r>
      <w:r>
        <w:rPr>
          <w:rFonts w:ascii="Palatino Linotype" w:eastAsia="Palatino Linotype" w:hAnsi="Palatino Linotype" w:cs="Palatino Linotype"/>
          <w:sz w:val="24"/>
          <w:szCs w:val="24"/>
        </w:rPr>
        <w:t>, se debe aplicar una prueba de daño, la cual es definida por la Ley de la Materia en su artículo 3 fracción XXXII, como:</w:t>
      </w:r>
    </w:p>
    <w:p w:rsidR="00842FE8" w:rsidRDefault="00627AF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XXXIII</w:t>
      </w:r>
      <w:r>
        <w:rPr>
          <w:rFonts w:ascii="Palatino Linotype" w:eastAsia="Palatino Linotype" w:hAnsi="Palatino Linotype" w:cs="Palatino Linotype"/>
          <w:i/>
        </w:rPr>
        <w:t xml:space="preserve">. Prueba de Daño: </w:t>
      </w:r>
      <w:r>
        <w:rPr>
          <w:rFonts w:ascii="Palatino Linotype" w:eastAsia="Palatino Linotype" w:hAnsi="Palatino Linotype" w:cs="Palatino Linotype"/>
          <w:b/>
          <w:i/>
          <w:u w:val="single"/>
        </w:rPr>
        <w:t>Responsabilidad de los sujetos obligados de demostrar de manera fundada y motivada que la divulgación de info</w:t>
      </w:r>
      <w:r>
        <w:rPr>
          <w:rFonts w:ascii="Palatino Linotype" w:eastAsia="Palatino Linotype" w:hAnsi="Palatino Linotype" w:cs="Palatino Linotype"/>
          <w:b/>
          <w:i/>
          <w:u w:val="single"/>
        </w:rPr>
        <w:t>rmación lesiona el interés jurídicamente protegido por la Ley,</w:t>
      </w:r>
      <w:r>
        <w:rPr>
          <w:rFonts w:ascii="Palatino Linotype" w:eastAsia="Palatino Linotype" w:hAnsi="Palatino Linotype" w:cs="Palatino Linotype"/>
          <w:i/>
        </w:rPr>
        <w:t xml:space="preserve"> y que el menoscabo o daño que puede producirse con la publicidad de la información es mayor que el interés de conocerla y por consiguiente debe clasificarse como reservada…” (Sic)</w:t>
      </w:r>
    </w:p>
    <w:p w:rsidR="00842FE8" w:rsidRDefault="00627AF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Precepto lega</w:t>
      </w:r>
      <w:r>
        <w:rPr>
          <w:rFonts w:ascii="Palatino Linotype" w:eastAsia="Palatino Linotype" w:hAnsi="Palatino Linotype" w:cs="Palatino Linotype"/>
          <w:sz w:val="24"/>
          <w:szCs w:val="24"/>
        </w:rPr>
        <w:t xml:space="preserve">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que los Sujetos Obligados que generan, administren o posean, la información que deba ser clasificada como información reservada por actualizar alguna caus</w:t>
      </w:r>
      <w:r>
        <w:rPr>
          <w:rFonts w:ascii="Palatino Linotype" w:eastAsia="Palatino Linotype" w:hAnsi="Palatino Linotype" w:cs="Palatino Linotype"/>
          <w:sz w:val="24"/>
          <w:szCs w:val="24"/>
        </w:rPr>
        <w:t>al de reserva señala en el artículo 140 de la Ley de la Materia, son responsables de aplicar la prueba de daño para demostrar que la divulgación de la información lesiona interés jurídicamente protegido por la Ley, y que el menoscabo o daño que puede produ</w:t>
      </w:r>
      <w:r>
        <w:rPr>
          <w:rFonts w:ascii="Palatino Linotype" w:eastAsia="Palatino Linotype" w:hAnsi="Palatino Linotype" w:cs="Palatino Linotype"/>
          <w:sz w:val="24"/>
          <w:szCs w:val="24"/>
        </w:rPr>
        <w:t>cirse con la publicidad de la información es mayor que el interés de conocerla.</w:t>
      </w:r>
    </w:p>
    <w:p w:rsidR="00842FE8" w:rsidRDefault="00627AFA">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los sujetos obligados expongan las razones, motivos o circunstancias especiales que los lleven a concluir que la información adquie</w:t>
      </w:r>
      <w:r>
        <w:rPr>
          <w:rFonts w:ascii="Palatino Linotype" w:eastAsia="Palatino Linotype" w:hAnsi="Palatino Linotype" w:cs="Palatino Linotype"/>
          <w:b/>
          <w:sz w:val="24"/>
          <w:szCs w:val="24"/>
        </w:rPr>
        <w:t xml:space="preserve">re el carácter de reservada, y se ajusta a los supuestos previstos en la normatividad como fundamento. </w:t>
      </w:r>
    </w:p>
    <w:p w:rsidR="00842FE8" w:rsidRDefault="00627AF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en opinión de la Suscrita, y en términos de lo dispuesto por la normatividad en la materia, son los Sujetos Obligados, deben aportar los ele</w:t>
      </w:r>
      <w:r>
        <w:rPr>
          <w:rFonts w:ascii="Palatino Linotype" w:eastAsia="Palatino Linotype" w:hAnsi="Palatino Linotype" w:cs="Palatino Linotype"/>
          <w:sz w:val="24"/>
          <w:szCs w:val="24"/>
        </w:rPr>
        <w:t xml:space="preserve">mentos para desarrollar la prueba de daño necesaria y suficiente, a fin de garantizar la reserva de información y la adecuada temporalidad de esta, aportando elementos necesarios para su clasificación. </w:t>
      </w:r>
    </w:p>
    <w:p w:rsidR="00842FE8" w:rsidRDefault="00807801">
      <w:pPr>
        <w:spacing w:before="240" w:after="240" w:line="360" w:lineRule="auto"/>
        <w:jc w:val="both"/>
        <w:rPr>
          <w:rFonts w:ascii="Palatino Linotype" w:eastAsia="Palatino Linotype" w:hAnsi="Palatino Linotype" w:cs="Palatino Linotype"/>
          <w:sz w:val="24"/>
          <w:szCs w:val="24"/>
        </w:rPr>
        <w:sectPr w:rsidR="00842FE8">
          <w:headerReference w:type="even" r:id="rId12"/>
          <w:headerReference w:type="default" r:id="rId13"/>
          <w:footerReference w:type="default" r:id="rId14"/>
          <w:headerReference w:type="first" r:id="rId15"/>
          <w:pgSz w:w="12240" w:h="15840"/>
          <w:pgMar w:top="1983" w:right="1327" w:bottom="2836" w:left="1985" w:header="709" w:footer="586" w:gutter="0"/>
          <w:pgNumType w:start="1"/>
          <w:cols w:space="720"/>
        </w:sectPr>
      </w:pPr>
      <w:bookmarkStart w:id="2" w:name="_GoBack"/>
      <w:r>
        <w:rPr>
          <w:rFonts w:ascii="Palatino Linotype" w:eastAsia="Palatino Linotype" w:hAnsi="Palatino Linotype" w:cs="Palatino Linotype"/>
          <w:noProof/>
          <w:sz w:val="24"/>
          <w:szCs w:val="24"/>
        </w:rPr>
        <mc:AlternateContent>
          <mc:Choice Requires="wps">
            <w:drawing>
              <wp:anchor distT="0" distB="0" distL="114300" distR="114300" simplePos="0" relativeHeight="251660800" behindDoc="0" locked="0" layoutInCell="1" allowOverlap="1">
                <wp:simplePos x="0" y="0"/>
                <wp:positionH relativeFrom="column">
                  <wp:posOffset>25399</wp:posOffset>
                </wp:positionH>
                <wp:positionV relativeFrom="paragraph">
                  <wp:posOffset>606425</wp:posOffset>
                </wp:positionV>
                <wp:extent cx="5286375" cy="63246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286375" cy="6324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AF5F6C" id="Conector recto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pt,47.75pt" to="418.25pt,5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" strokecolor="black [3200]" strokeweight=".5pt">
                <v:stroke joinstyle="miter"/>
              </v:line>
            </w:pict>
          </mc:Fallback>
        </mc:AlternateContent>
      </w:r>
      <w:bookmarkEnd w:id="2"/>
      <w:r w:rsidR="00627AFA">
        <w:rPr>
          <w:rFonts w:ascii="Palatino Linotype" w:eastAsia="Palatino Linotype" w:hAnsi="Palatino Linotype" w:cs="Palatino Linotype"/>
          <w:sz w:val="24"/>
          <w:szCs w:val="24"/>
        </w:rPr>
        <w:t xml:space="preserve">Lo expuesto, constituyen las razones y fundamentos que me llevan a emitir la opinión particular que se ha expresado. </w:t>
      </w:r>
    </w:p>
    <w:p w:rsidR="00842FE8" w:rsidRDefault="00842FE8">
      <w:pPr>
        <w:spacing w:before="240" w:after="240" w:line="360" w:lineRule="auto"/>
        <w:jc w:val="both"/>
        <w:rPr>
          <w:rFonts w:ascii="Palatino Linotype" w:eastAsia="Palatino Linotype" w:hAnsi="Palatino Linotype" w:cs="Palatino Linotype"/>
          <w:sz w:val="23"/>
          <w:szCs w:val="23"/>
        </w:rPr>
      </w:pPr>
      <w:bookmarkStart w:id="3" w:name="_heading=h.30j0zll" w:colFirst="0" w:colLast="0"/>
      <w:bookmarkEnd w:id="3"/>
    </w:p>
    <w:p w:rsidR="00842FE8" w:rsidRDefault="00842FE8">
      <w:pPr>
        <w:spacing w:before="240" w:after="240" w:line="360" w:lineRule="auto"/>
        <w:jc w:val="center"/>
        <w:rPr>
          <w:rFonts w:ascii="Palatino Linotype" w:eastAsia="Palatino Linotype" w:hAnsi="Palatino Linotype" w:cs="Palatino Linotype"/>
          <w:b/>
          <w:sz w:val="23"/>
          <w:szCs w:val="23"/>
        </w:rPr>
      </w:pPr>
    </w:p>
    <w:p w:rsidR="00842FE8" w:rsidRDefault="00842FE8">
      <w:pPr>
        <w:spacing w:after="0" w:line="240" w:lineRule="auto"/>
        <w:jc w:val="center"/>
        <w:rPr>
          <w:rFonts w:ascii="Palatino Linotype" w:eastAsia="Palatino Linotype" w:hAnsi="Palatino Linotype" w:cs="Palatino Linotype"/>
          <w:sz w:val="23"/>
          <w:szCs w:val="23"/>
        </w:rPr>
      </w:pPr>
    </w:p>
    <w:p w:rsidR="00842FE8" w:rsidRDefault="00842FE8">
      <w:pPr>
        <w:spacing w:before="240" w:after="240" w:line="360" w:lineRule="auto"/>
        <w:rPr>
          <w:rFonts w:ascii="Palatino Linotype" w:eastAsia="Palatino Linotype" w:hAnsi="Palatino Linotype" w:cs="Palatino Linotype"/>
          <w:sz w:val="24"/>
          <w:szCs w:val="24"/>
        </w:rPr>
      </w:pPr>
    </w:p>
    <w:p w:rsidR="00842FE8" w:rsidRDefault="00842FE8">
      <w:pPr>
        <w:rPr>
          <w:rFonts w:ascii="Palatino Linotype" w:eastAsia="Palatino Linotype" w:hAnsi="Palatino Linotype" w:cs="Palatino Linotype"/>
        </w:rPr>
      </w:pPr>
    </w:p>
    <w:p w:rsidR="00842FE8" w:rsidRDefault="00842FE8">
      <w:pPr>
        <w:rPr>
          <w:rFonts w:ascii="Palatino Linotype" w:eastAsia="Palatino Linotype" w:hAnsi="Palatino Linotype" w:cs="Palatino Linotype"/>
        </w:rPr>
      </w:pPr>
    </w:p>
    <w:p w:rsidR="00842FE8" w:rsidRDefault="00842FE8">
      <w:pPr>
        <w:rPr>
          <w:rFonts w:ascii="Palatino Linotype" w:eastAsia="Palatino Linotype" w:hAnsi="Palatino Linotype" w:cs="Palatino Linotype"/>
        </w:rPr>
      </w:pPr>
    </w:p>
    <w:sectPr w:rsidR="00842FE8">
      <w:headerReference w:type="default" r:id="rId16"/>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27AFA">
      <w:pPr>
        <w:spacing w:after="0" w:line="240" w:lineRule="auto"/>
      </w:pPr>
      <w:r>
        <w:separator/>
      </w:r>
    </w:p>
  </w:endnote>
  <w:endnote w:type="continuationSeparator" w:id="0">
    <w:p w:rsidR="00000000" w:rsidRDefault="0062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E8" w:rsidRDefault="00627AF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807801">
      <w:rPr>
        <w:rFonts w:ascii="Arial" w:eastAsia="Arial" w:hAnsi="Arial" w:cs="Arial"/>
        <w:b/>
        <w:color w:val="000000"/>
        <w:sz w:val="20"/>
        <w:szCs w:val="20"/>
      </w:rPr>
      <w:fldChar w:fldCharType="separate"/>
    </w:r>
    <w:r>
      <w:rPr>
        <w:rFonts w:ascii="Arial" w:eastAsia="Arial" w:hAnsi="Arial" w:cs="Arial"/>
        <w:b/>
        <w:noProof/>
        <w:color w:val="000000"/>
        <w:sz w:val="20"/>
        <w:szCs w:val="20"/>
      </w:rPr>
      <w:t>11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807801">
      <w:rPr>
        <w:rFonts w:ascii="Arial" w:eastAsia="Arial" w:hAnsi="Arial" w:cs="Arial"/>
        <w:b/>
        <w:color w:val="000000"/>
        <w:sz w:val="20"/>
        <w:szCs w:val="20"/>
      </w:rPr>
      <w:fldChar w:fldCharType="separate"/>
    </w:r>
    <w:r>
      <w:rPr>
        <w:rFonts w:ascii="Arial" w:eastAsia="Arial" w:hAnsi="Arial" w:cs="Arial"/>
        <w:b/>
        <w:noProof/>
        <w:color w:val="000000"/>
        <w:sz w:val="20"/>
        <w:szCs w:val="20"/>
      </w:rPr>
      <w:t>11</w:t>
    </w:r>
    <w:r>
      <w:rPr>
        <w:rFonts w:ascii="Arial" w:eastAsia="Arial" w:hAnsi="Arial" w:cs="Arial"/>
        <w:b/>
        <w:color w:val="000000"/>
        <w:sz w:val="20"/>
        <w:szCs w:val="20"/>
      </w:rPr>
      <w:fldChar w:fldCharType="end"/>
    </w:r>
  </w:p>
  <w:p w:rsidR="00842FE8" w:rsidRDefault="00842FE8">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27AFA">
      <w:pPr>
        <w:spacing w:after="0" w:line="240" w:lineRule="auto"/>
      </w:pPr>
      <w:r>
        <w:separator/>
      </w:r>
    </w:p>
  </w:footnote>
  <w:footnote w:type="continuationSeparator" w:id="0">
    <w:p w:rsidR="00000000" w:rsidRDefault="00627AFA">
      <w:pPr>
        <w:spacing w:after="0" w:line="240" w:lineRule="auto"/>
      </w:pPr>
      <w:r>
        <w:continuationSeparator/>
      </w:r>
    </w:p>
  </w:footnote>
  <w:footnote w:id="1">
    <w:p w:rsidR="00842FE8" w:rsidRDefault="00627AFA">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842FE8" w:rsidRDefault="00627AFA">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E8" w:rsidRDefault="00627AF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2" o:spid="_x0000_s2049" type="#_x0000_m1026" style="position:absolute;margin-left:0;margin-top:0;width:518.25pt;height:111.05pt;rotation:315;z-index:-251657216;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r>
      <w:rPr>
        <w:rFonts w:ascii="Times New Roman" w:eastAsia="Times New Roman" w:hAnsi="Times New Roman" w:cs="Times New Roman"/>
        <w:noProof/>
        <w:color w:val="000000"/>
        <w:sz w:val="24"/>
        <w:szCs w:val="24"/>
      </w:rPr>
      <mc:AlternateContent>
        <mc:Choice Requires="wpg">
          <w:drawing>
            <wp:anchor distT="0" distB="0" distL="0" distR="0" simplePos="0" relativeHeight="251657216" behindDoc="1" locked="0" layoutInCell="1" hidden="0" allowOverlap="1">
              <wp:simplePos x="0" y="0"/>
              <wp:positionH relativeFrom="margin">
                <wp:align>center</wp:align>
              </wp:positionH>
              <wp:positionV relativeFrom="margin">
                <wp:align>center</wp:align>
              </wp:positionV>
              <wp:extent cx="7511550" cy="7511550"/>
              <wp:effectExtent l="0" t="0" r="0" b="0"/>
              <wp:wrapNone/>
              <wp:docPr id="7" name=""/>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842FE8" w:rsidRDefault="00627AFA">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11550" cy="7511550"/>
              <wp:effectExtent b="0" l="0" r="0" t="0"/>
              <wp:wrapNone/>
              <wp:docPr id="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511550" cy="751155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E8" w:rsidRDefault="00627AFA">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6192" behindDoc="1" locked="0" layoutInCell="1" hidden="0" allowOverlap="1">
          <wp:simplePos x="0" y="0"/>
          <wp:positionH relativeFrom="column">
            <wp:posOffset>-1114012</wp:posOffset>
          </wp:positionH>
          <wp:positionV relativeFrom="paragraph">
            <wp:posOffset>-449578</wp:posOffset>
          </wp:positionV>
          <wp:extent cx="7510628" cy="9883775"/>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842FE8" w:rsidRDefault="00627AFA">
    <w:pPr>
      <w:pBdr>
        <w:top w:val="nil"/>
        <w:left w:val="nil"/>
        <w:bottom w:val="nil"/>
        <w:right w:val="nil"/>
        <w:between w:val="nil"/>
      </w:pBdr>
      <w:tabs>
        <w:tab w:val="center" w:pos="4419"/>
        <w:tab w:val="right" w:pos="8838"/>
        <w:tab w:val="left" w:pos="5685"/>
        <w:tab w:val="right" w:pos="8928"/>
      </w:tabs>
      <w:spacing w:after="0" w:line="240" w:lineRule="auto"/>
      <w:ind w:left="4419"/>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rPr>
      <w:t xml:space="preserve">OPINIÓN PARTICULAR </w:t>
    </w:r>
  </w:p>
  <w:p w:rsidR="00842FE8" w:rsidRDefault="00627AFA">
    <w:pPr>
      <w:pBdr>
        <w:top w:val="nil"/>
        <w:left w:val="nil"/>
        <w:bottom w:val="nil"/>
        <w:right w:val="nil"/>
        <w:between w:val="nil"/>
      </w:pBdr>
      <w:tabs>
        <w:tab w:val="center" w:pos="4419"/>
        <w:tab w:val="right" w:pos="8838"/>
      </w:tabs>
      <w:spacing w:after="0" w:line="240" w:lineRule="auto"/>
      <w:ind w:left="1134"/>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 10516/INFOEM/IP/RR/2022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E8" w:rsidRDefault="00627AF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1" o:spid="_x0000_s2050" type="#_x0000_m1026" style="position:absolute;margin-left:0;margin-top:0;width:518.25pt;height:111.05pt;rotation:315;z-index:-251658240;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E8" w:rsidRDefault="00842FE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842FE8" w:rsidRDefault="00842FE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842FE8" w:rsidRDefault="00842FE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842FE8" w:rsidRDefault="00627AFA">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rsidR="00842FE8" w:rsidRDefault="00842FE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rsidR="00842FE8" w:rsidRDefault="00842FE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F9A"/>
    <w:multiLevelType w:val="multilevel"/>
    <w:tmpl w:val="15328FC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nsid w:val="3302193B"/>
    <w:multiLevelType w:val="multilevel"/>
    <w:tmpl w:val="31029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96966C9"/>
    <w:multiLevelType w:val="multilevel"/>
    <w:tmpl w:val="06487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FE8"/>
    <w:rsid w:val="00627AFA"/>
    <w:rsid w:val="00807801"/>
    <w:rsid w:val="00842F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71EC353-AC3C-4890-B06E-BD6F657A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F0FA7"/>
    <w:rPr>
      <w:color w:val="0563C1" w:themeColor="hyperlink"/>
      <w:u w:val="single"/>
    </w:rPr>
  </w:style>
  <w:style w:type="character" w:customStyle="1" w:styleId="UnresolvedMention">
    <w:name w:val="Unresolved Mention"/>
    <w:basedOn w:val="Fuentedeprrafopredeter"/>
    <w:uiPriority w:val="99"/>
    <w:semiHidden/>
    <w:unhideWhenUsed/>
    <w:rsid w:val="00363FD4"/>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tlacomulco.gob.mx/documentos/MejoraRegulatoria/Catalogo%20Municipal%20de%20Regulaciones/Manual%20de%20Procedimientos/Manual%20de%20Procedimientos%20Comisaria%20Municipal.pdf" TargetMode="External"/><Relationship Id="rId4" Type="http://schemas.openxmlformats.org/officeDocument/2006/relationships/settings" Target="settings.xml"/><Relationship Id="rId9" Type="http://schemas.openxmlformats.org/officeDocument/2006/relationships/hyperlink" Target="https://atlacomulco.gob.mx/documentos/MejoraRegulatoria/Catalogo%20Municipal%20de%20Regulaciones/Manual%20de%20Organizacion/Manual%20de%20Organizacion%20Comisaria%20Municipal.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LOwOmDOXTBLKc6bwequ3kpiijQ==">AMUW2mU+JfnU3I9ANDt+ymB2jHtfyrQu8/cZk13w868fJvY2rPAVKbHD7YlIKXCJa1v1KgZSz3L/j6jVemngpS1o+bOQPF1DLwW7HgR9E3Ium5R9xZBdzfYJXoV1aM7+KuA+/NghROUSuvOalY6WICilm6xjDAtnMw==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2224</Words>
  <Characters>12236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3</cp:revision>
  <cp:lastPrinted>2023-01-23T22:40:00Z</cp:lastPrinted>
  <dcterms:created xsi:type="dcterms:W3CDTF">2023-01-23T22:39:00Z</dcterms:created>
  <dcterms:modified xsi:type="dcterms:W3CDTF">2023-01-24T01:18:00Z</dcterms:modified>
</cp:coreProperties>
</file>