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42DD5" w14:textId="72363965" w:rsidR="00257BB5" w:rsidRDefault="00000000" w:rsidP="00892106">
      <w:pPr>
        <w:widowControl w:val="0"/>
        <w:pBdr>
          <w:top w:val="nil"/>
          <w:left w:val="nil"/>
          <w:bottom w:val="nil"/>
          <w:right w:val="nil"/>
          <w:between w:val="nil"/>
        </w:pBdr>
        <w:spacing w:after="0" w:line="276" w:lineRule="auto"/>
        <w:rPr>
          <w:rFonts w:ascii="Palatino Linotype" w:eastAsia="Palatino Linotype" w:hAnsi="Palatino Linotype" w:cs="Palatino Linotype"/>
          <w:b/>
          <w:sz w:val="24"/>
          <w:szCs w:val="24"/>
        </w:rPr>
      </w:pPr>
      <w:r>
        <w:pict w14:anchorId="2BEB1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7216;visibility:hidden">
            <o:lock v:ext="edit" selection="t"/>
          </v:shape>
        </w:pict>
      </w:r>
      <w:r>
        <w:pict w14:anchorId="756589BA">
          <v:shape id="_x0000_s2051" type="#_x0000_t136" style="position:absolute;margin-left:0;margin-top:0;width:50pt;height:50pt;z-index:251658240;visibility:hidden">
            <o:lock v:ext="edit" selection="t"/>
          </v:shape>
        </w:pict>
      </w:r>
      <w:r>
        <w:pict w14:anchorId="536198DC">
          <v:shape id="_x0000_s2050" type="#_x0000_t136" style="position:absolute;margin-left:0;margin-top:0;width:50pt;height:50pt;z-index:251659264;visibility:hidden">
            <o:lock v:ext="edit" selection="t"/>
          </v:shape>
        </w:pict>
      </w:r>
      <w:r>
        <w:rPr>
          <w:rFonts w:ascii="Palatino Linotype" w:eastAsia="Palatino Linotype" w:hAnsi="Palatino Linotype" w:cs="Palatino Linotype"/>
          <w:b/>
          <w:sz w:val="24"/>
          <w:szCs w:val="24"/>
        </w:rPr>
        <w:t>OPINIÓN PARTICULAR QUE FORMULA LA COMISIONADA GUADALUPE RAMÍREZ PEÑA, EN RELACIÓN CON LA RESOLUCIÓN DICTADA POR EL PLENO DEL INSTITUTO DE TRANSPARENCIA, ACCESO A LA INFORMACIÓN PÚBLICA Y PROTECCIÓN DE DATOS PERSONALES DEL ESTADO DE MÉXICO Y MUNICIPIOS, EN LA PRIMERA SESIÓN ORDINARIA CELEBRADA EL ONCE DE ENERO DE DOS MIL VEINTITRÉS, EN EL RECURSO DE REVISIÓN 15536/INFOEM/IP/RR/2022.</w:t>
      </w:r>
    </w:p>
    <w:p w14:paraId="692F3631" w14:textId="77777777" w:rsidR="00257BB5" w:rsidRDefault="00000000">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pleno del Instituto de Transparencia, Acceso a la Información Pública y Protección de Datos Personales del Estado de México y Municipios, aprobó por mayoría de votos, la resolución relativa al recurso de revisión </w:t>
      </w:r>
      <w:r>
        <w:rPr>
          <w:rFonts w:ascii="Palatino Linotype" w:eastAsia="Palatino Linotype" w:hAnsi="Palatino Linotype" w:cs="Palatino Linotype"/>
          <w:b/>
          <w:sz w:val="24"/>
          <w:szCs w:val="24"/>
        </w:rPr>
        <w:t xml:space="preserve">15536/INFOEM/IP/RR/2022, </w:t>
      </w:r>
      <w:r>
        <w:rPr>
          <w:rFonts w:ascii="Palatino Linotype" w:eastAsia="Palatino Linotype" w:hAnsi="Palatino Linotype" w:cs="Palatino Linotype"/>
          <w:sz w:val="24"/>
          <w:szCs w:val="24"/>
        </w:rPr>
        <w:t xml:space="preserve">presentada por el Comisionado Luis Gustavo Parra Noriega, respecto de la cual, la suscrita formula </w:t>
      </w:r>
      <w:proofErr w:type="gramStart"/>
      <w:r>
        <w:rPr>
          <w:rFonts w:ascii="Palatino Linotype" w:eastAsia="Palatino Linotype" w:hAnsi="Palatino Linotype" w:cs="Palatino Linotype"/>
          <w:b/>
          <w:sz w:val="24"/>
          <w:szCs w:val="24"/>
        </w:rPr>
        <w:t>OPINIÓN  PARTICULAR</w:t>
      </w:r>
      <w:proofErr w:type="gramEnd"/>
      <w:r>
        <w:rPr>
          <w:rFonts w:ascii="Palatino Linotype" w:eastAsia="Palatino Linotype" w:hAnsi="Palatino Linotype" w:cs="Palatino Linotype"/>
          <w:sz w:val="24"/>
          <w:szCs w:val="24"/>
        </w:rPr>
        <w:t>,  con fundamento en el artículo 14 fracción XI del Reglamento Interior del Instituto de Transparencia, Acceso a la Información Pública y Protección de Datos Personales del Estado de México y Municipios.</w:t>
      </w:r>
    </w:p>
    <w:p w14:paraId="533EF2A1" w14:textId="77777777" w:rsidR="00257BB5" w:rsidRDefault="00000000">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que suscribe, comparte en esencia el sentido del estudio realizado en la resolución emitida por el Comisionado Ponente; sin embargo, resulta necesario destacar que la prueba de daño que se desarrolla en el proyecto de resolución que nos ocupa, debió ser realizada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p>
    <w:p w14:paraId="30EEFBDB" w14:textId="77777777" w:rsidR="00257BB5" w:rsidRDefault="00000000">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concreto,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requirió al Ayuntamiento de Chalco, hiciera entrega, en versión pública y en formato PDF, del </w:t>
      </w:r>
      <w:proofErr w:type="spellStart"/>
      <w:r>
        <w:rPr>
          <w:rFonts w:ascii="Palatino Linotype" w:eastAsia="Palatino Linotype" w:hAnsi="Palatino Linotype" w:cs="Palatino Linotype"/>
          <w:sz w:val="24"/>
          <w:szCs w:val="24"/>
        </w:rPr>
        <w:t>curriculum</w:t>
      </w:r>
      <w:proofErr w:type="spellEnd"/>
      <w:r>
        <w:rPr>
          <w:rFonts w:ascii="Palatino Linotype" w:eastAsia="Palatino Linotype" w:hAnsi="Palatino Linotype" w:cs="Palatino Linotype"/>
          <w:sz w:val="24"/>
          <w:szCs w:val="24"/>
        </w:rPr>
        <w:t xml:space="preserve"> vitae de todos los servidores públicos de la administración 2022-2024.</w:t>
      </w:r>
    </w:p>
    <w:p w14:paraId="5B40D394" w14:textId="77777777" w:rsidR="00257BB5" w:rsidRDefault="00000000">
      <w:pPr>
        <w:spacing w:before="120" w:after="120" w:line="360" w:lineRule="auto"/>
        <w:jc w:val="both"/>
        <w:rPr>
          <w:rFonts w:ascii="Palatino Linotype" w:eastAsia="Palatino Linotype" w:hAnsi="Palatino Linotype" w:cs="Palatino Linotype"/>
          <w:sz w:val="24"/>
          <w:szCs w:val="24"/>
        </w:rPr>
      </w:pPr>
      <w:bookmarkStart w:id="0" w:name="_heading=h.gjdgxs" w:colFirst="0" w:colLast="0"/>
      <w:bookmarkEnd w:id="0"/>
      <w:r>
        <w:rPr>
          <w:rFonts w:ascii="Palatino Linotype" w:eastAsia="Palatino Linotype" w:hAnsi="Palatino Linotype" w:cs="Palatino Linotype"/>
          <w:sz w:val="24"/>
          <w:szCs w:val="24"/>
        </w:rPr>
        <w:lastRenderedPageBreak/>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en respuesta a la solicitud de acceso a la información pública señaló: </w:t>
      </w:r>
    </w:p>
    <w:p w14:paraId="6101B87E" w14:textId="77777777" w:rsidR="00257BB5" w:rsidRDefault="00000000">
      <w:pPr>
        <w:spacing w:before="120" w:after="120" w:line="240" w:lineRule="auto"/>
        <w:ind w:left="851" w:right="990"/>
        <w:jc w:val="both"/>
        <w:rPr>
          <w:rFonts w:ascii="Palatino Linotype" w:eastAsia="Palatino Linotype" w:hAnsi="Palatino Linotype" w:cs="Palatino Linotype"/>
          <w:i/>
        </w:rPr>
      </w:pPr>
      <w:bookmarkStart w:id="1" w:name="_heading=h.cxd8kd1vg4d" w:colFirst="0" w:colLast="0"/>
      <w:bookmarkEnd w:id="1"/>
      <w:r>
        <w:rPr>
          <w:rFonts w:ascii="Palatino Linotype" w:eastAsia="Palatino Linotype" w:hAnsi="Palatino Linotype" w:cs="Palatino Linotype"/>
          <w:i/>
        </w:rPr>
        <w:t xml:space="preserve">“…Al respecto se menciona que, el </w:t>
      </w:r>
      <w:proofErr w:type="spellStart"/>
      <w:r>
        <w:rPr>
          <w:rFonts w:ascii="Palatino Linotype" w:eastAsia="Palatino Linotype" w:hAnsi="Palatino Linotype" w:cs="Palatino Linotype"/>
          <w:i/>
        </w:rPr>
        <w:t>curriculum</w:t>
      </w:r>
      <w:proofErr w:type="spellEnd"/>
      <w:r>
        <w:rPr>
          <w:rFonts w:ascii="Palatino Linotype" w:eastAsia="Palatino Linotype" w:hAnsi="Palatino Linotype" w:cs="Palatino Linotype"/>
          <w:i/>
        </w:rPr>
        <w:t xml:space="preserve"> vitae no es un requisito indispensable para ingresar al servicio público, esto con base en el artículo 47 de la Ley del Trabajo de los Servidores Públicos del Estado y Municipios, sin embargo se hace mención que para ocupar el cargo de Directores (as) y Cabildo es menester conocer la experiencia del postulante, por consiguiente, se anexa el link donde es posible visualizar la información solicitada que es totalmente pública: https://www.ipomex.org.mx/ipo3/lgt/indice/CHALCO/art_92_xxi.web…” (Sic.)</w:t>
      </w:r>
    </w:p>
    <w:p w14:paraId="1A0FB0E9" w14:textId="77777777" w:rsidR="00257BB5" w:rsidRDefault="00000000">
      <w:pPr>
        <w:spacing w:before="240" w:after="240" w:line="360" w:lineRule="auto"/>
        <w:ind w:right="-3"/>
        <w:jc w:val="both"/>
        <w:rPr>
          <w:rFonts w:ascii="Palatino Linotype" w:eastAsia="Palatino Linotype" w:hAnsi="Palatino Linotype" w:cs="Palatino Linotype"/>
          <w:sz w:val="24"/>
          <w:szCs w:val="24"/>
        </w:rPr>
      </w:pPr>
      <w:bookmarkStart w:id="2" w:name="_heading=h.a66nscyn9wft" w:colFirst="0" w:colLast="0"/>
      <w:bookmarkEnd w:id="2"/>
      <w:r>
        <w:rPr>
          <w:rFonts w:ascii="Palatino Linotype" w:eastAsia="Palatino Linotype" w:hAnsi="Palatino Linotype" w:cs="Palatino Linotype"/>
          <w:sz w:val="24"/>
          <w:szCs w:val="24"/>
        </w:rPr>
        <w:t xml:space="preserve">Conocida la respuesta, al no estar conforme con los términos de la misma, la persona solicitante presentó el recurso de revisión mediante el cual señaló como motivo de inconformidad, que no le fue entregada la información completa, indicando para tal efecto que mientras que la fracción XXI del artículo 92 de la Ley de la Materia Local – correspondiente a la información curricular-, contaba con 35 registros, la fracción VIII A del mismo precepto -correspondiente a las remuneraciones-, contaba con 792 registros, reiterando que solicitó el </w:t>
      </w:r>
      <w:proofErr w:type="spellStart"/>
      <w:r>
        <w:rPr>
          <w:rFonts w:ascii="Palatino Linotype" w:eastAsia="Palatino Linotype" w:hAnsi="Palatino Linotype" w:cs="Palatino Linotype"/>
          <w:sz w:val="24"/>
          <w:szCs w:val="24"/>
        </w:rPr>
        <w:t>curriculum</w:t>
      </w:r>
      <w:proofErr w:type="spellEnd"/>
      <w:r>
        <w:rPr>
          <w:rFonts w:ascii="Palatino Linotype" w:eastAsia="Palatino Linotype" w:hAnsi="Palatino Linotype" w:cs="Palatino Linotype"/>
          <w:sz w:val="24"/>
          <w:szCs w:val="24"/>
        </w:rPr>
        <w:t xml:space="preserve"> de todos los servidores públicos.</w:t>
      </w:r>
    </w:p>
    <w:p w14:paraId="6702AD23" w14:textId="77777777" w:rsidR="00257BB5" w:rsidRDefault="00000000">
      <w:pPr>
        <w:spacing w:before="240" w:after="24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Admitido el presente recurso de revisión, en términos del artículo 185 fracción II</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w:t>
      </w:r>
    </w:p>
    <w:p w14:paraId="6CB91764" w14:textId="77777777" w:rsidR="00257BB5" w:rsidRDefault="00000000">
      <w:pPr>
        <w:spacing w:before="24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tal contexto, previo análisis de las constancias y de la naturaleza de la información, la Ponencia que resolvió determinó </w:t>
      </w:r>
      <w:r>
        <w:rPr>
          <w:rFonts w:ascii="Palatino Linotype" w:eastAsia="Palatino Linotype" w:hAnsi="Palatino Linotype" w:cs="Palatino Linotype"/>
          <w:i/>
          <w:sz w:val="24"/>
          <w:szCs w:val="24"/>
        </w:rPr>
        <w:t>Modificar</w:t>
      </w:r>
      <w:r>
        <w:rPr>
          <w:rFonts w:ascii="Palatino Linotype" w:eastAsia="Palatino Linotype" w:hAnsi="Palatino Linotype" w:cs="Palatino Linotype"/>
          <w:sz w:val="24"/>
          <w:szCs w:val="24"/>
        </w:rPr>
        <w:t xml:space="preserve"> la respuesta y ordenar la entrega de información, como se advierte en el </w:t>
      </w:r>
      <w:r>
        <w:rPr>
          <w:rFonts w:ascii="Palatino Linotype" w:eastAsia="Palatino Linotype" w:hAnsi="Palatino Linotype" w:cs="Palatino Linotype"/>
          <w:b/>
          <w:sz w:val="24"/>
          <w:szCs w:val="24"/>
        </w:rPr>
        <w:t>resolutivo SEGUNDO</w:t>
      </w:r>
      <w:r>
        <w:rPr>
          <w:rFonts w:ascii="Palatino Linotype" w:eastAsia="Palatino Linotype" w:hAnsi="Palatino Linotype" w:cs="Palatino Linotype"/>
          <w:sz w:val="24"/>
          <w:szCs w:val="24"/>
        </w:rPr>
        <w:t>:</w:t>
      </w:r>
    </w:p>
    <w:p w14:paraId="13C344F4" w14:textId="77777777" w:rsidR="00257BB5" w:rsidRDefault="00257BB5">
      <w:pPr>
        <w:spacing w:after="0" w:line="276" w:lineRule="auto"/>
        <w:ind w:left="567" w:right="990"/>
        <w:jc w:val="both"/>
        <w:rPr>
          <w:rFonts w:ascii="Palatino Linotype" w:eastAsia="Palatino Linotype" w:hAnsi="Palatino Linotype" w:cs="Palatino Linotype"/>
          <w:b/>
          <w:i/>
        </w:rPr>
      </w:pPr>
    </w:p>
    <w:p w14:paraId="4538EE3A" w14:textId="77777777" w:rsidR="00257BB5" w:rsidRDefault="00000000">
      <w:pPr>
        <w:spacing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 xml:space="preserve">“…SEGUNDO. Se ORDENA al Ayuntamiento de Chalco a efecto de que, remita a través del Sistema de Acceso a la Información Mexiquense (SAIMEX), en su caso en versión pública, en formato </w:t>
      </w:r>
      <w:proofErr w:type="spellStart"/>
      <w:r>
        <w:rPr>
          <w:rFonts w:ascii="Palatino Linotype" w:eastAsia="Palatino Linotype" w:hAnsi="Palatino Linotype" w:cs="Palatino Linotype"/>
          <w:i/>
        </w:rPr>
        <w:t>pdf</w:t>
      </w:r>
      <w:proofErr w:type="spellEnd"/>
      <w:r>
        <w:rPr>
          <w:rFonts w:ascii="Palatino Linotype" w:eastAsia="Palatino Linotype" w:hAnsi="Palatino Linotype" w:cs="Palatino Linotype"/>
          <w:i/>
        </w:rPr>
        <w:t xml:space="preserve"> o aquel en el que se haya generado, los documentos que den cuenta de la información curricular de los servidores públicos faltantes que laboraban en el Ayuntamiento al 8 de septiembre de 2022; en términos del considerando QUINTO.</w:t>
      </w:r>
    </w:p>
    <w:p w14:paraId="3417F9A4" w14:textId="77777777" w:rsidR="00257BB5" w:rsidRDefault="00000000">
      <w:pPr>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 xml:space="preserve">Junto con las versiones públicas, se deberá proporcionar el Acuerdo de Clasificación donde el Comité de Transparencia, confirme la eliminación de los datos y documentos confidenciales, de conformidad con los artículos 49, fracciones II y VIII, 132, fracción II, 143, fracción I y 149 de la Ley de Transparencia y Acceso a la Información Pública del Estado de México y Municipios.” (Sic) </w:t>
      </w:r>
    </w:p>
    <w:p w14:paraId="16D0E8DD" w14:textId="77777777" w:rsidR="00257BB5" w:rsidRDefault="00000000">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debe mencionarse que, toda vez que se determinó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cuenta con una </w:t>
      </w:r>
      <w:r>
        <w:rPr>
          <w:rFonts w:ascii="Palatino Linotype" w:eastAsia="Palatino Linotype" w:hAnsi="Palatino Linotype" w:cs="Palatino Linotype"/>
          <w:sz w:val="23"/>
          <w:szCs w:val="23"/>
        </w:rPr>
        <w:t>Dirección de Seguridad Pública, Tránsito y Bomberos</w:t>
      </w:r>
      <w:r>
        <w:rPr>
          <w:rFonts w:ascii="Palatino Linotype" w:eastAsia="Palatino Linotype" w:hAnsi="Palatino Linotype" w:cs="Palatino Linotype"/>
          <w:sz w:val="24"/>
          <w:szCs w:val="24"/>
        </w:rPr>
        <w:t xml:space="preserve">, encargada de salvaguardar y garantizar el orden público y la paz social, así como de  la prevención, combate y persecución de delitos, por lo que </w:t>
      </w:r>
      <w:r>
        <w:rPr>
          <w:rFonts w:ascii="Palatino Linotype" w:eastAsia="Palatino Linotype" w:hAnsi="Palatino Linotype" w:cs="Palatino Linotype"/>
          <w:b/>
          <w:sz w:val="24"/>
          <w:szCs w:val="24"/>
        </w:rPr>
        <w:t>para este Instituto resultaba pertinente la reserva del nombre de los elementos operativos de la Dirección de Seguridad Pública, Tránsito y Bomberos</w:t>
      </w:r>
      <w:r>
        <w:rPr>
          <w:rFonts w:ascii="Palatino Linotype" w:eastAsia="Palatino Linotype" w:hAnsi="Palatino Linotype" w:cs="Palatino Linotype"/>
          <w:sz w:val="24"/>
          <w:szCs w:val="24"/>
        </w:rPr>
        <w:t xml:space="preserve">, para lo que es necesario el desarrollo de la prueba de daño,  </w:t>
      </w:r>
      <w:r>
        <w:rPr>
          <w:rFonts w:ascii="Palatino Linotype" w:eastAsia="Palatino Linotype" w:hAnsi="Palatino Linotype" w:cs="Palatino Linotype"/>
          <w:b/>
          <w:sz w:val="24"/>
          <w:szCs w:val="24"/>
        </w:rPr>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Pr>
          <w:rFonts w:ascii="Palatino Linotype" w:eastAsia="Palatino Linotype" w:hAnsi="Palatino Linotype" w:cs="Palatino Linotype"/>
          <w:sz w:val="24"/>
          <w:szCs w:val="24"/>
        </w:rPr>
        <w:t xml:space="preserve">. En </w:t>
      </w:r>
      <w:r>
        <w:rPr>
          <w:rFonts w:ascii="Palatino Linotype" w:eastAsia="Palatino Linotype" w:hAnsi="Palatino Linotype" w:cs="Palatino Linotype"/>
          <w:sz w:val="24"/>
          <w:szCs w:val="24"/>
        </w:rPr>
        <w:lastRenderedPageBreak/>
        <w:t xml:space="preserve">otras palabras, la determinación que confirme una clasificación debe contener un análisis exhaustivo de los elementos de forma y fondo que establecen los artículos 122, 125, 128, 129, 130, 131, 132 fracción II, 134 de la Ley de Transparencia y Acceso a la Información Pública del Estado de México y Municipios y los Lineamientos Generales en Materia de Clasificación y Desclasificación de la Información, así como para la elaboración de Versiones Públicas. </w:t>
      </w:r>
    </w:p>
    <w:p w14:paraId="6782296B" w14:textId="77777777" w:rsidR="00257BB5" w:rsidRDefault="00000000">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esta perspectiva, el Acuerdo de Clasificación de Información tiene como propósito primordial </w:t>
      </w:r>
      <w:r>
        <w:rPr>
          <w:rFonts w:ascii="Palatino Linotype" w:eastAsia="Palatino Linotype" w:hAnsi="Palatino Linotype" w:cs="Palatino Linotype"/>
          <w:b/>
          <w:sz w:val="24"/>
          <w:szCs w:val="24"/>
        </w:rPr>
        <w:t>que los particulares conozcan de manera completa las condiciones y circunstancias que determinaron negar el acceso a la información</w:t>
      </w:r>
      <w:r>
        <w:rPr>
          <w:rFonts w:ascii="Palatino Linotype" w:eastAsia="Palatino Linotype" w:hAnsi="Palatino Linotype" w:cs="Palatino Linotype"/>
          <w:sz w:val="24"/>
          <w:szCs w:val="24"/>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14:paraId="077BE47D" w14:textId="77777777" w:rsidR="00257BB5" w:rsidRDefault="00000000">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14:paraId="36F93121" w14:textId="77777777" w:rsidR="00257BB5" w:rsidRDefault="00000000">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"Trigésimo tercero. Para la aplicación de la prueba de daño a la que hace referencia el artículo 104 de la Ley General, los sujetos obligados atenderán lo siguiente: </w:t>
      </w:r>
    </w:p>
    <w:p w14:paraId="10DE8ECA" w14:textId="77777777" w:rsidR="00257BB5" w:rsidRDefault="00000000">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I. Se deberá citar la fracción y, en su caso, la causal aplicable del artículo 113 de la Ley General, vinculándola con el Lineamiento </w:t>
      </w:r>
      <w:proofErr w:type="gramStart"/>
      <w:r>
        <w:rPr>
          <w:rFonts w:ascii="Palatino Linotype" w:eastAsia="Palatino Linotype" w:hAnsi="Palatino Linotype" w:cs="Palatino Linotype"/>
          <w:i/>
        </w:rPr>
        <w:t>especifico</w:t>
      </w:r>
      <w:proofErr w:type="gramEnd"/>
      <w:r>
        <w:rPr>
          <w:rFonts w:ascii="Palatino Linotype" w:eastAsia="Palatino Linotype" w:hAnsi="Palatino Linotype" w:cs="Palatino Linotype"/>
          <w:i/>
        </w:rPr>
        <w:t xml:space="preserve"> del presente ordenamiento y, cuando corresponda, el supuesto normativo que expresamente le otorga el carácter de información reservada;</w:t>
      </w:r>
    </w:p>
    <w:p w14:paraId="4518A004" w14:textId="77777777" w:rsidR="00257BB5" w:rsidRDefault="00000000">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II. Mediante la ponderación de los intereses en conflicto, los sujetos obligados </w:t>
      </w:r>
      <w:r>
        <w:rPr>
          <w:rFonts w:ascii="Palatino Linotype" w:eastAsia="Palatino Linotype" w:hAnsi="Palatino Linotype" w:cs="Palatino Linotype"/>
          <w:b/>
          <w:i/>
        </w:rPr>
        <w:t xml:space="preserve">deberán demostrar que la publicidad de la información solicitada generaría un riesgo de perjuicio </w:t>
      </w:r>
      <w:proofErr w:type="gramStart"/>
      <w:r>
        <w:rPr>
          <w:rFonts w:ascii="Palatino Linotype" w:eastAsia="Palatino Linotype" w:hAnsi="Palatino Linotype" w:cs="Palatino Linotype"/>
          <w:b/>
          <w:i/>
        </w:rPr>
        <w:t>y</w:t>
      </w:r>
      <w:proofErr w:type="gramEnd"/>
      <w:r>
        <w:rPr>
          <w:rFonts w:ascii="Palatino Linotype" w:eastAsia="Palatino Linotype" w:hAnsi="Palatino Linotype" w:cs="Palatino Linotype"/>
          <w:b/>
          <w:i/>
        </w:rPr>
        <w:t xml:space="preserve"> por lo tanto, tendrán que acreditar que este último rebasa el interés público protegido por la reserva</w:t>
      </w:r>
      <w:r>
        <w:rPr>
          <w:rFonts w:ascii="Palatino Linotype" w:eastAsia="Palatino Linotype" w:hAnsi="Palatino Linotype" w:cs="Palatino Linotype"/>
          <w:i/>
        </w:rPr>
        <w:t>;</w:t>
      </w:r>
    </w:p>
    <w:p w14:paraId="5CBFA1FA" w14:textId="77777777" w:rsidR="00257BB5" w:rsidRDefault="00000000">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III.</w:t>
      </w:r>
      <w:r>
        <w:rPr>
          <w:rFonts w:ascii="Palatino Linotype" w:eastAsia="Palatino Linotype" w:hAnsi="Palatino Linotype" w:cs="Palatino Linotype"/>
          <w:i/>
        </w:rPr>
        <w:tab/>
        <w:t>Se debe de acreditar el vínculo entre la difusión de la información y la afectación del interés jurídico tutelado de que se trate;</w:t>
      </w:r>
    </w:p>
    <w:p w14:paraId="3EB5DC92" w14:textId="77777777" w:rsidR="00257BB5" w:rsidRDefault="00000000">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IV.</w:t>
      </w:r>
      <w:r>
        <w:rPr>
          <w:rFonts w:ascii="Palatino Linotype" w:eastAsia="Palatino Linotype" w:hAnsi="Palatino Linotype" w:cs="Palatino Linotype"/>
          <w:i/>
        </w:rPr>
        <w:tab/>
        <w:t>Precisar las razones objetivas por las que la apertura de la información generaría una afectación, a través de los elementos de un riesgo real, demostrable e identificable;</w:t>
      </w:r>
    </w:p>
    <w:p w14:paraId="61DBA454" w14:textId="77777777" w:rsidR="00257BB5" w:rsidRDefault="00000000">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V.</w:t>
      </w:r>
      <w:r>
        <w:rPr>
          <w:rFonts w:ascii="Palatino Linotype" w:eastAsia="Palatino Linotype" w:hAnsi="Palatino Linotype" w:cs="Palatino Linotype"/>
          <w:i/>
        </w:rPr>
        <w:tab/>
        <w:t xml:space="preserve">En la motivación de la clasificación, </w:t>
      </w:r>
      <w:r>
        <w:rPr>
          <w:rFonts w:ascii="Palatino Linotype" w:eastAsia="Palatino Linotype" w:hAnsi="Palatino Linotype" w:cs="Palatino Linotype"/>
          <w:b/>
          <w:i/>
        </w:rPr>
        <w:t>el sujeto obligado deberá acreditar las circunstancias de modo, tiempo y lugar del daño</w:t>
      </w:r>
      <w:r>
        <w:rPr>
          <w:rFonts w:ascii="Palatino Linotype" w:eastAsia="Palatino Linotype" w:hAnsi="Palatino Linotype" w:cs="Palatino Linotype"/>
          <w:i/>
        </w:rPr>
        <w:t>, y</w:t>
      </w:r>
    </w:p>
    <w:p w14:paraId="423C1BCF" w14:textId="77777777" w:rsidR="00257BB5" w:rsidRDefault="00000000">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VI.</w:t>
      </w:r>
      <w:r>
        <w:rPr>
          <w:rFonts w:ascii="Palatino Linotype" w:eastAsia="Palatino Linotype" w:hAnsi="Palatino Linotype" w:cs="Palatino Linotype"/>
          <w:i/>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información."(Sic)</w:t>
      </w:r>
    </w:p>
    <w:p w14:paraId="1703A041" w14:textId="77777777" w:rsidR="00257BB5" w:rsidRDefault="00000000">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para convalidar la clasificación como información reservada, </w:t>
      </w:r>
      <w:r>
        <w:rPr>
          <w:rFonts w:ascii="Palatino Linotype" w:eastAsia="Palatino Linotype" w:hAnsi="Palatino Linotype" w:cs="Palatino Linotype"/>
          <w:b/>
          <w:sz w:val="24"/>
          <w:szCs w:val="24"/>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Pr>
          <w:rFonts w:ascii="Palatino Linotype" w:eastAsia="Palatino Linotype" w:hAnsi="Palatino Linotype" w:cs="Palatino Linotype"/>
          <w:sz w:val="24"/>
          <w:szCs w:val="24"/>
        </w:rPr>
        <w:t>, como es la figura de la clasificación de la información para verificar que se acredita la prueba de daño.</w:t>
      </w:r>
    </w:p>
    <w:p w14:paraId="01279F1B" w14:textId="77777777" w:rsidR="00257BB5" w:rsidRDefault="00000000">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Bajo este contexto, se analizó la resolución del recurso de revisión </w:t>
      </w:r>
      <w:r>
        <w:rPr>
          <w:rFonts w:ascii="Palatino Linotype" w:eastAsia="Palatino Linotype" w:hAnsi="Palatino Linotype" w:cs="Palatino Linotype"/>
          <w:b/>
          <w:sz w:val="24"/>
          <w:szCs w:val="24"/>
        </w:rPr>
        <w:t>15536/INFOEM/IP/RR/2022,</w:t>
      </w:r>
      <w:r>
        <w:rPr>
          <w:rFonts w:ascii="Palatino Linotype" w:eastAsia="Palatino Linotype" w:hAnsi="Palatino Linotype" w:cs="Palatino Linotype"/>
          <w:sz w:val="24"/>
          <w:szCs w:val="24"/>
        </w:rPr>
        <w:t xml:space="preserve"> en la cual, el Comisionado Ponente, desarrolla la prueba de daño, circunstancia que a consideración de la suscrita y derivado de lo antes señalado, </w:t>
      </w:r>
      <w:r>
        <w:rPr>
          <w:rFonts w:ascii="Palatino Linotype" w:eastAsia="Palatino Linotype" w:hAnsi="Palatino Linotype" w:cs="Palatino Linotype"/>
          <w:b/>
          <w:sz w:val="24"/>
          <w:szCs w:val="24"/>
        </w:rPr>
        <w:t>les corresponde comprobar y desarrollar a los Sujetos Obligados</w:t>
      </w:r>
      <w:r>
        <w:rPr>
          <w:rFonts w:ascii="Palatino Linotype" w:eastAsia="Palatino Linotype" w:hAnsi="Palatino Linotype" w:cs="Palatino Linotype"/>
          <w:sz w:val="24"/>
          <w:szCs w:val="24"/>
        </w:rPr>
        <w:t>,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14:paraId="680F78D7" w14:textId="77777777" w:rsidR="00257BB5" w:rsidRDefault="00000000">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XXXIII</w:t>
      </w:r>
      <w:r>
        <w:rPr>
          <w:rFonts w:ascii="Palatino Linotype" w:eastAsia="Palatino Linotype" w:hAnsi="Palatino Linotype" w:cs="Palatino Linotype"/>
          <w:i/>
        </w:rPr>
        <w:t xml:space="preserve">. Prueba de Daño: </w:t>
      </w:r>
      <w:r>
        <w:rPr>
          <w:rFonts w:ascii="Palatino Linotype" w:eastAsia="Palatino Linotype" w:hAnsi="Palatino Linotype" w:cs="Palatino Linotype"/>
          <w:b/>
          <w:i/>
          <w:u w:val="single"/>
        </w:rPr>
        <w:t>Responsabilidad de los sujetos obligados de demostrar de manera fundada y motivada que la divulgación de información lesiona el interés jurídicamente protegido por la Ley,</w:t>
      </w:r>
      <w:r>
        <w:rPr>
          <w:rFonts w:ascii="Palatino Linotype" w:eastAsia="Palatino Linotype" w:hAnsi="Palatino Linotype" w:cs="Palatino Linotype"/>
          <w:i/>
        </w:rPr>
        <w:t xml:space="preserve"> y que el menoscabo o daño que puede producirse con la publicidad de la información es mayor que el interés de conocerla y por consiguiente debe clasificarse como reservada…” (Sic)</w:t>
      </w:r>
    </w:p>
    <w:p w14:paraId="349BCC7D" w14:textId="77777777" w:rsidR="00257BB5" w:rsidRDefault="00000000">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Precepto legal en donde establece que </w:t>
      </w:r>
      <w:r>
        <w:rPr>
          <w:rFonts w:ascii="Palatino Linotype" w:eastAsia="Palatino Linotype" w:hAnsi="Palatino Linotype" w:cs="Palatino Linotype"/>
          <w:b/>
          <w:sz w:val="24"/>
          <w:szCs w:val="24"/>
        </w:rPr>
        <w:t>es obligación de los Sujeto Obligados, realizar la prueba de daño;</w:t>
      </w:r>
      <w:r>
        <w:rPr>
          <w:rFonts w:ascii="Palatino Linotype" w:eastAsia="Palatino Linotype" w:hAnsi="Palatino Linotype" w:cs="Palatino Linotype"/>
          <w:sz w:val="24"/>
          <w:szCs w:val="24"/>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14:paraId="5800AA6E" w14:textId="77777777" w:rsidR="00257BB5" w:rsidRDefault="00000000">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Esto es, que, a través de la prueba de daño, </w:t>
      </w:r>
      <w:r>
        <w:rPr>
          <w:rFonts w:ascii="Palatino Linotype" w:eastAsia="Palatino Linotype" w:hAnsi="Palatino Linotype" w:cs="Palatino Linotype"/>
          <w:b/>
          <w:sz w:val="24"/>
          <w:szCs w:val="24"/>
        </w:rPr>
        <w:t xml:space="preserve">los sujetos obligados expongan las razones, motivos o circunstancias especiales que los lleven a concluir que la </w:t>
      </w:r>
      <w:r>
        <w:rPr>
          <w:rFonts w:ascii="Palatino Linotype" w:eastAsia="Palatino Linotype" w:hAnsi="Palatino Linotype" w:cs="Palatino Linotype"/>
          <w:b/>
          <w:sz w:val="24"/>
          <w:szCs w:val="24"/>
        </w:rPr>
        <w:lastRenderedPageBreak/>
        <w:t xml:space="preserve">información adquiere el carácter de reservada, y se ajusta a los supuestos previstos en la normatividad como fundamento. </w:t>
      </w:r>
    </w:p>
    <w:p w14:paraId="2C9721B1" w14:textId="77777777" w:rsidR="00257BB5" w:rsidRDefault="00000000">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necesarios para su clasificación. </w:t>
      </w:r>
    </w:p>
    <w:p w14:paraId="3CF45413" w14:textId="77777777" w:rsidR="00257BB5" w:rsidRDefault="00000000">
      <w:pPr>
        <w:spacing w:before="240" w:after="240" w:line="360" w:lineRule="auto"/>
        <w:jc w:val="both"/>
        <w:rPr>
          <w:rFonts w:ascii="Palatino Linotype" w:eastAsia="Palatino Linotype" w:hAnsi="Palatino Linotype" w:cs="Palatino Linotype"/>
          <w:sz w:val="24"/>
          <w:szCs w:val="24"/>
        </w:rPr>
        <w:sectPr w:rsidR="00257BB5">
          <w:headerReference w:type="even" r:id="rId7"/>
          <w:headerReference w:type="default" r:id="rId8"/>
          <w:footerReference w:type="default" r:id="rId9"/>
          <w:headerReference w:type="first" r:id="rId10"/>
          <w:pgSz w:w="12240" w:h="15840"/>
          <w:pgMar w:top="1983" w:right="1327" w:bottom="2836" w:left="1985" w:header="709" w:footer="586" w:gutter="0"/>
          <w:pgNumType w:start="1"/>
          <w:cols w:space="720"/>
        </w:sectPr>
      </w:pPr>
      <w:r>
        <w:rPr>
          <w:rFonts w:ascii="Palatino Linotype" w:eastAsia="Palatino Linotype" w:hAnsi="Palatino Linotype" w:cs="Palatino Linotype"/>
          <w:sz w:val="24"/>
          <w:szCs w:val="24"/>
        </w:rPr>
        <w:t xml:space="preserve">Lo expuesto, constituyen las razones y fundamentos que me llevan a emitir la opinión particular que se ha expresado. </w:t>
      </w:r>
    </w:p>
    <w:p w14:paraId="044A2F67" w14:textId="77777777" w:rsidR="00257BB5" w:rsidRDefault="00257BB5">
      <w:pPr>
        <w:spacing w:before="240" w:after="240" w:line="360" w:lineRule="auto"/>
        <w:jc w:val="both"/>
        <w:rPr>
          <w:rFonts w:ascii="Palatino Linotype" w:eastAsia="Palatino Linotype" w:hAnsi="Palatino Linotype" w:cs="Palatino Linotype"/>
          <w:sz w:val="23"/>
          <w:szCs w:val="23"/>
        </w:rPr>
      </w:pPr>
    </w:p>
    <w:p w14:paraId="2D09355F" w14:textId="77777777" w:rsidR="00257BB5" w:rsidRDefault="00257BB5">
      <w:pPr>
        <w:spacing w:before="240" w:after="240" w:line="360" w:lineRule="auto"/>
        <w:jc w:val="center"/>
        <w:rPr>
          <w:rFonts w:ascii="Palatino Linotype" w:eastAsia="Palatino Linotype" w:hAnsi="Palatino Linotype" w:cs="Palatino Linotype"/>
          <w:b/>
          <w:sz w:val="23"/>
          <w:szCs w:val="23"/>
        </w:rPr>
      </w:pPr>
    </w:p>
    <w:p w14:paraId="555144C4" w14:textId="77777777" w:rsidR="00257BB5" w:rsidRDefault="00257BB5">
      <w:pPr>
        <w:spacing w:after="0" w:line="240" w:lineRule="auto"/>
        <w:jc w:val="center"/>
        <w:rPr>
          <w:rFonts w:ascii="Palatino Linotype" w:eastAsia="Palatino Linotype" w:hAnsi="Palatino Linotype" w:cs="Palatino Linotype"/>
          <w:sz w:val="23"/>
          <w:szCs w:val="23"/>
        </w:rPr>
      </w:pPr>
    </w:p>
    <w:p w14:paraId="29C80971" w14:textId="77777777" w:rsidR="00257BB5" w:rsidRDefault="00257BB5">
      <w:pPr>
        <w:spacing w:before="240" w:after="240" w:line="360" w:lineRule="auto"/>
        <w:rPr>
          <w:rFonts w:ascii="Palatino Linotype" w:eastAsia="Palatino Linotype" w:hAnsi="Palatino Linotype" w:cs="Palatino Linotype"/>
          <w:sz w:val="24"/>
          <w:szCs w:val="24"/>
        </w:rPr>
      </w:pPr>
    </w:p>
    <w:p w14:paraId="7A1EFFA6" w14:textId="77777777" w:rsidR="00257BB5" w:rsidRDefault="00257BB5">
      <w:pPr>
        <w:rPr>
          <w:rFonts w:ascii="Palatino Linotype" w:eastAsia="Palatino Linotype" w:hAnsi="Palatino Linotype" w:cs="Palatino Linotype"/>
        </w:rPr>
      </w:pPr>
    </w:p>
    <w:p w14:paraId="12428E13" w14:textId="77777777" w:rsidR="00257BB5" w:rsidRDefault="00257BB5">
      <w:pPr>
        <w:rPr>
          <w:rFonts w:ascii="Palatino Linotype" w:eastAsia="Palatino Linotype" w:hAnsi="Palatino Linotype" w:cs="Palatino Linotype"/>
        </w:rPr>
      </w:pPr>
    </w:p>
    <w:p w14:paraId="1E5131AA" w14:textId="77777777" w:rsidR="00257BB5" w:rsidRDefault="00257BB5">
      <w:pPr>
        <w:rPr>
          <w:rFonts w:ascii="Palatino Linotype" w:eastAsia="Palatino Linotype" w:hAnsi="Palatino Linotype" w:cs="Palatino Linotype"/>
        </w:rPr>
      </w:pPr>
    </w:p>
    <w:sectPr w:rsidR="00257BB5">
      <w:headerReference w:type="default" r:id="rId11"/>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B234D" w14:textId="77777777" w:rsidR="00661954" w:rsidRDefault="00661954">
      <w:pPr>
        <w:spacing w:after="0" w:line="240" w:lineRule="auto"/>
      </w:pPr>
      <w:r>
        <w:separator/>
      </w:r>
    </w:p>
  </w:endnote>
  <w:endnote w:type="continuationSeparator" w:id="0">
    <w:p w14:paraId="38D85FB7" w14:textId="77777777" w:rsidR="00661954" w:rsidRDefault="0066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roman"/>
    <w:notTrueType/>
    <w:pitch w:val="default"/>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6C63" w14:textId="77777777" w:rsidR="00257BB5" w:rsidRDefault="0000000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9210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92106">
      <w:rPr>
        <w:rFonts w:ascii="Arial" w:eastAsia="Arial" w:hAnsi="Arial" w:cs="Arial"/>
        <w:b/>
        <w:noProof/>
        <w:color w:val="000000"/>
        <w:sz w:val="20"/>
        <w:szCs w:val="20"/>
      </w:rPr>
      <w:t>2</w:t>
    </w:r>
    <w:r>
      <w:rPr>
        <w:rFonts w:ascii="Arial" w:eastAsia="Arial" w:hAnsi="Arial" w:cs="Arial"/>
        <w:b/>
        <w:color w:val="000000"/>
        <w:sz w:val="20"/>
        <w:szCs w:val="20"/>
      </w:rPr>
      <w:fldChar w:fldCharType="end"/>
    </w:r>
  </w:p>
  <w:p w14:paraId="7977CE21" w14:textId="77777777" w:rsidR="00257BB5" w:rsidRDefault="00257BB5">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AE206" w14:textId="77777777" w:rsidR="00661954" w:rsidRDefault="00661954">
      <w:pPr>
        <w:spacing w:after="0" w:line="240" w:lineRule="auto"/>
      </w:pPr>
      <w:r>
        <w:separator/>
      </w:r>
    </w:p>
  </w:footnote>
  <w:footnote w:type="continuationSeparator" w:id="0">
    <w:p w14:paraId="1AE5709C" w14:textId="77777777" w:rsidR="00661954" w:rsidRDefault="00661954">
      <w:pPr>
        <w:spacing w:after="0" w:line="240" w:lineRule="auto"/>
      </w:pPr>
      <w:r>
        <w:continuationSeparator/>
      </w:r>
    </w:p>
  </w:footnote>
  <w:footnote w:id="1">
    <w:p w14:paraId="6AB3A47C" w14:textId="77777777" w:rsidR="00257BB5" w:rsidRDefault="00000000">
      <w:pPr>
        <w:pBdr>
          <w:top w:val="nil"/>
          <w:left w:val="nil"/>
          <w:bottom w:val="nil"/>
          <w:right w:val="nil"/>
          <w:between w:val="nil"/>
        </w:pBdr>
        <w:spacing w:after="0" w:line="240" w:lineRule="auto"/>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8BA2728" w14:textId="77777777" w:rsidR="00257BB5" w:rsidRDefault="00000000">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4B485" w14:textId="77777777" w:rsidR="00257BB5" w:rsidRDefault="0000000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70D7D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518.25pt;height:111.05pt;rotation:315;z-index:-251656704;visibility:visible;mso-position-horizontal:center;mso-position-horizontal-relative:margin;mso-position-vertical:center;mso-position-vertical-relative:margin" fillcolor="#c45911" stroked="f">
          <v:fill opacity=".5"/>
          <v:textpath style="font-family:&quot;&amp;quot&quot;;font-size:1pt" string="VOTO PARTICULAR "/>
          <w10:wrap anchorx="margin" anchory="margin"/>
        </v:shape>
      </w:pict>
    </w:r>
    <w:r>
      <w:rPr>
        <w:rFonts w:ascii="Times New Roman" w:eastAsia="Times New Roman" w:hAnsi="Times New Roman" w:cs="Times New Roman"/>
        <w:noProof/>
        <w:color w:val="000000"/>
        <w:sz w:val="24"/>
        <w:szCs w:val="24"/>
      </w:rPr>
      <mc:AlternateContent>
        <mc:Choice Requires="wpg">
          <w:drawing>
            <wp:anchor distT="0" distB="0" distL="0" distR="0" simplePos="0" relativeHeight="251657728" behindDoc="1" locked="0" layoutInCell="1" hidden="0" allowOverlap="1" wp14:anchorId="23DA5E19" wp14:editId="0B58A5E6">
              <wp:simplePos x="0" y="0"/>
              <wp:positionH relativeFrom="margin">
                <wp:align>center</wp:align>
              </wp:positionH>
              <wp:positionV relativeFrom="margin">
                <wp:align>center</wp:align>
              </wp:positionV>
              <wp:extent cx="7511550" cy="7511550"/>
              <wp:effectExtent l="0" t="0" r="0" b="0"/>
              <wp:wrapNone/>
              <wp:docPr id="6" name="Rectángulo 6"/>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14:paraId="177F9B30" w14:textId="77777777" w:rsidR="00257BB5" w:rsidRDefault="00000000">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11550" cy="7511550"/>
              <wp:effectExtent b="0" l="0" r="0" t="0"/>
              <wp:wrapNone/>
              <wp:docPr id="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11550" cy="751155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FF11" w14:textId="77777777" w:rsidR="00257BB5" w:rsidRDefault="00000000">
    <w:pPr>
      <w:pBdr>
        <w:top w:val="nil"/>
        <w:left w:val="nil"/>
        <w:bottom w:val="nil"/>
        <w:right w:val="nil"/>
        <w:between w:val="nil"/>
      </w:pBdr>
      <w:tabs>
        <w:tab w:val="center" w:pos="4419"/>
        <w:tab w:val="right" w:pos="8838"/>
      </w:tabs>
      <w:spacing w:after="0" w:line="240" w:lineRule="auto"/>
      <w:ind w:left="1843"/>
      <w:jc w:val="right"/>
      <w:rPr>
        <w:rFonts w:ascii="Arial" w:eastAsia="Arial" w:hAnsi="Arial" w:cs="Arial"/>
        <w:color w:val="000000"/>
        <w:sz w:val="20"/>
        <w:szCs w:val="20"/>
      </w:rPr>
    </w:pPr>
    <w:r>
      <w:rPr>
        <w:noProof/>
      </w:rPr>
      <w:drawing>
        <wp:anchor distT="0" distB="0" distL="0" distR="0" simplePos="0" relativeHeight="251655680" behindDoc="1" locked="0" layoutInCell="1" hidden="0" allowOverlap="1" wp14:anchorId="62E12099" wp14:editId="71AC88B0">
          <wp:simplePos x="0" y="0"/>
          <wp:positionH relativeFrom="column">
            <wp:posOffset>-1114012</wp:posOffset>
          </wp:positionH>
          <wp:positionV relativeFrom="paragraph">
            <wp:posOffset>-449578</wp:posOffset>
          </wp:positionV>
          <wp:extent cx="7510628" cy="988377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43EE4849" w14:textId="77777777" w:rsidR="00892106" w:rsidRDefault="00000000" w:rsidP="00892106">
    <w:pPr>
      <w:pBdr>
        <w:top w:val="nil"/>
        <w:left w:val="nil"/>
        <w:bottom w:val="nil"/>
        <w:right w:val="nil"/>
        <w:between w:val="nil"/>
      </w:pBdr>
      <w:tabs>
        <w:tab w:val="center" w:pos="4419"/>
        <w:tab w:val="left" w:pos="5685"/>
        <w:tab w:val="right" w:pos="8838"/>
        <w:tab w:val="right" w:pos="892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rPr>
      <w:t>OPINIÓN PARTICULAR</w:t>
    </w:r>
  </w:p>
  <w:p w14:paraId="6904AF25" w14:textId="2C6BF04B" w:rsidR="00257BB5" w:rsidRDefault="00000000" w:rsidP="00892106">
    <w:pPr>
      <w:pBdr>
        <w:top w:val="nil"/>
        <w:left w:val="nil"/>
        <w:bottom w:val="nil"/>
        <w:right w:val="nil"/>
        <w:between w:val="nil"/>
      </w:pBdr>
      <w:tabs>
        <w:tab w:val="center" w:pos="4419"/>
        <w:tab w:val="left" w:pos="5685"/>
        <w:tab w:val="right" w:pos="8838"/>
        <w:tab w:val="right" w:pos="8928"/>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 15536/INFOEM/IP/RR/2022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FB11" w14:textId="77777777" w:rsidR="00257BB5" w:rsidRDefault="0000000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45BC7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18.25pt;height:111.05pt;rotation:315;z-index:-251657728;visibility:visible;mso-position-horizontal:center;mso-position-horizontal-relative:margin;mso-position-vertical:center;mso-position-vertical-relative:margin" fillcolor="#c45911" stroked="f">
          <v:fill opacity=".5"/>
          <v:textpath style="font-family:&quot;&amp;quot&quot;;font-size:1pt" string="VOTO PARTICULAR "/>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6189" w14:textId="77777777" w:rsidR="00257BB5" w:rsidRDefault="00257BB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7EF9AC2B" w14:textId="77777777" w:rsidR="00257BB5" w:rsidRDefault="00257BB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4B4EE0EF" w14:textId="77777777" w:rsidR="00257BB5" w:rsidRDefault="00257BB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2C181FA5" w14:textId="77777777" w:rsidR="00257BB5" w:rsidRDefault="00000000">
    <w:pPr>
      <w:pBdr>
        <w:top w:val="nil"/>
        <w:left w:val="nil"/>
        <w:bottom w:val="nil"/>
        <w:right w:val="nil"/>
        <w:between w:val="nil"/>
      </w:pBdr>
      <w:tabs>
        <w:tab w:val="center" w:pos="4419"/>
        <w:tab w:val="right" w:pos="8838"/>
        <w:tab w:val="left" w:pos="5685"/>
        <w:tab w:val="right" w:pos="892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p>
  <w:p w14:paraId="3482C938" w14:textId="77777777" w:rsidR="00257BB5" w:rsidRDefault="00257BB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p w14:paraId="186E3FBD" w14:textId="77777777" w:rsidR="00257BB5" w:rsidRDefault="00257BB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BB5"/>
    <w:rsid w:val="00257BB5"/>
    <w:rsid w:val="00661954"/>
    <w:rsid w:val="008921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F800B2C"/>
  <w15:docId w15:val="{4ED319DC-F462-450F-B7E0-FFAA78C1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A7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9F0FA7"/>
    <w:rPr>
      <w:color w:val="0563C1" w:themeColor="hyperlink"/>
      <w:u w:val="single"/>
    </w:rPr>
  </w:style>
  <w:style w:type="character" w:styleId="Mencinsinresolver">
    <w:name w:val="Unresolved Mention"/>
    <w:basedOn w:val="Fuentedeprrafopredeter"/>
    <w:uiPriority w:val="99"/>
    <w:semiHidden/>
    <w:unhideWhenUsed/>
    <w:rsid w:val="00363FD4"/>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vXPCtiQfk8GlcKsQ+b0CmbfWdg==">AMUW2mX5UrgDlMD2v7rOvG9IXGdd6htYjcdngvvY8/TDH1oC1Z1GIGkcnvFQTdJHZr4yWLvpw4+e6tX3bchK3HGPY2gY0kl5B64ARJC7XwLmhO5JGrSAJKfOvrKS/iPnCmGzDcpdtYfx1XA8y0uErn1SpWrU7hbxurKznFWBpy4TJzoqEZ/PNkM=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1690</Words>
  <Characters>9297</Characters>
  <Application>Microsoft Office Word</Application>
  <DocSecurity>0</DocSecurity>
  <Lines>77</Lines>
  <Paragraphs>21</Paragraphs>
  <ScaleCrop>false</ScaleCrop>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VIRIDIANA SANTANA</cp:lastModifiedBy>
  <cp:revision>3</cp:revision>
  <dcterms:created xsi:type="dcterms:W3CDTF">2023-01-15T22:01:00Z</dcterms:created>
  <dcterms:modified xsi:type="dcterms:W3CDTF">2023-03-06T17:48:00Z</dcterms:modified>
</cp:coreProperties>
</file>