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360" w:lineRule="auto"/>
        <w:jc w:val="both"/>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360" w:lineRule="auto"/>
        <w:jc w:val="both"/>
        <w:rPr/>
      </w:pPr>
      <w:r w:rsidDel="00000000" w:rsidR="00000000" w:rsidRPr="00000000">
        <w:rPr>
          <w:rFonts w:ascii="Palatino Linotype" w:cs="Palatino Linotype" w:eastAsia="Palatino Linotype" w:hAnsi="Palatino Linotype"/>
          <w:b w:val="1"/>
          <w:sz w:val="24"/>
          <w:szCs w:val="24"/>
          <w:rtl w:val="0"/>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CUADRAGÉSIMA TERCERA SESIÓN ORDINARIA DEL VEINTINUEVE DE NOVIEMBRE DE DOS MIL VEINTITRÉS, EN EL RECURSO DE REVISIÓN 05775/INFOEM/IP/RR/2023.</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73100" cy="673100"/>
                <wp:effectExtent b="0" l="0" r="0" t="0"/>
                <wp:wrapNone/>
                <wp:docPr id="3" name=""/>
                <a:graphic>
                  <a:graphicData uri="http://schemas.microsoft.com/office/word/2010/wordprocessingShape">
                    <wps:wsp>
                      <wps:cNvSpPr/>
                      <wps:cNvPr id="2" name="Shape 2"/>
                      <wps:spPr>
                        <a:xfrm>
                          <a:off x="5028500" y="3462500"/>
                          <a:ext cx="635000" cy="63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73100" cy="673100"/>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73100" cy="673100"/>
                        </a:xfrm>
                        <a:prstGeom prst="rect"/>
                        <a:ln/>
                      </pic:spPr>
                    </pic:pic>
                  </a:graphicData>
                </a:graphic>
              </wp:anchor>
            </w:drawing>
          </mc:Fallback>
        </mc:AlternateConten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360" w:lineRule="auto"/>
        <w:jc w:val="both"/>
        <w:rPr/>
      </w:pPr>
      <w:r w:rsidDel="00000000" w:rsidR="00000000" w:rsidRPr="00000000">
        <w:rPr>
          <w:rtl w:val="0"/>
        </w:rPr>
      </w:r>
    </w:p>
    <w:p w:rsidR="00000000" w:rsidDel="00000000" w:rsidP="00000000" w:rsidRDefault="00000000" w:rsidRPr="00000000" w14:paraId="00000004">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 pleno del Instituto de Transparencia, Acceso a la Información Pública y Protección de Datos Personales del Estado de México y Municipios, aprobó por unanimidad de votos, la resolución relativa al recurso de revisión número </w:t>
      </w:r>
      <w:r w:rsidDel="00000000" w:rsidR="00000000" w:rsidRPr="00000000">
        <w:rPr>
          <w:rFonts w:ascii="Palatino Linotype" w:cs="Palatino Linotype" w:eastAsia="Palatino Linotype" w:hAnsi="Palatino Linotype"/>
          <w:b w:val="1"/>
          <w:sz w:val="24"/>
          <w:szCs w:val="24"/>
          <w:rtl w:val="0"/>
        </w:rPr>
        <w:t xml:space="preserve">05775/INFOEM/IP/RR/2023,</w:t>
      </w:r>
      <w:r w:rsidDel="00000000" w:rsidR="00000000" w:rsidRPr="00000000">
        <w:rPr>
          <w:rFonts w:ascii="Palatino Linotype" w:cs="Palatino Linotype" w:eastAsia="Palatino Linotype" w:hAnsi="Palatino Linotype"/>
          <w:sz w:val="24"/>
          <w:szCs w:val="24"/>
          <w:rtl w:val="0"/>
        </w:rPr>
        <w:t xml:space="preserve"> presentado por el Comisionado Presidente José Martínez Vilchis, respecto de la cual, la suscrita fórmula </w:t>
      </w:r>
      <w:r w:rsidDel="00000000" w:rsidR="00000000" w:rsidRPr="00000000">
        <w:rPr>
          <w:rFonts w:ascii="Palatino Linotype" w:cs="Palatino Linotype" w:eastAsia="Palatino Linotype" w:hAnsi="Palatino Linotype"/>
          <w:b w:val="1"/>
          <w:sz w:val="24"/>
          <w:szCs w:val="24"/>
          <w:rtl w:val="0"/>
        </w:rPr>
        <w:t xml:space="preserve">OPINIÓN  PARTICULAR</w:t>
      </w:r>
      <w:r w:rsidDel="00000000" w:rsidR="00000000" w:rsidRPr="00000000">
        <w:rPr>
          <w:rFonts w:ascii="Palatino Linotype" w:cs="Palatino Linotype" w:eastAsia="Palatino Linotype" w:hAnsi="Palatino Linotype"/>
          <w:sz w:val="24"/>
          <w:szCs w:val="24"/>
          <w:rtl w:val="0"/>
        </w:rPr>
        <w:t xml:space="preserve">,  con fundamento en el artículo 14 fracción XI del Reglamento Interior del Instituto de Transparencia, Acceso a la Información Pública y Protección de Datos Personales del Estado de México y Municipios.</w:t>
      </w:r>
    </w:p>
    <w:p w:rsidR="00000000" w:rsidDel="00000000" w:rsidP="00000000" w:rsidRDefault="00000000" w:rsidRPr="00000000" w14:paraId="00000005">
      <w:pPr>
        <w:spacing w:after="24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pacing w:after="240" w:before="240" w:line="360" w:lineRule="auto"/>
        <w:ind w:left="1080" w:hanging="72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ANTECEDENTES.</w:t>
      </w:r>
    </w:p>
    <w:p w:rsidR="00000000" w:rsidDel="00000000" w:rsidP="00000000" w:rsidRDefault="00000000" w:rsidRPr="00000000" w14:paraId="00000007">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Como se desprende de la Resolución que nos ocupa, la persona solicitante requirió al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lo siguiente:</w:t>
      </w:r>
    </w:p>
    <w:p w:rsidR="00000000" w:rsidDel="00000000" w:rsidP="00000000" w:rsidRDefault="00000000" w:rsidRPr="00000000" w14:paraId="00000008">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9">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A">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B">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C">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D">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E">
      <w:pPr>
        <w:tabs>
          <w:tab w:val="left" w:leader="none" w:pos="5647"/>
        </w:tabs>
        <w:spacing w:after="0" w:line="240" w:lineRule="auto"/>
        <w:ind w:left="567" w:right="56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 solicita la evaluación de desempeño y los resultados de los programas presupuestarios 2022 de villa de allende”</w:t>
      </w:r>
    </w:p>
    <w:p w:rsidR="00000000" w:rsidDel="00000000" w:rsidP="00000000" w:rsidRDefault="00000000" w:rsidRPr="00000000" w14:paraId="0000000F">
      <w:pPr>
        <w:spacing w:after="0" w:line="360" w:lineRule="auto"/>
        <w:ind w:right="-28"/>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0">
      <w:pPr>
        <w:spacing w:after="0" w:line="360" w:lineRule="auto"/>
        <w:ind w:right="-28"/>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respuesta,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color w:val="000000"/>
          <w:sz w:val="24"/>
          <w:szCs w:val="24"/>
          <w:rtl w:val="0"/>
        </w:rPr>
        <w:t xml:space="preserve">respondió por conducto de la Unidad de Transparencia que la información puede ser consultada en el enlace </w:t>
      </w:r>
      <w:hyperlink r:id="rId9">
        <w:r w:rsidDel="00000000" w:rsidR="00000000" w:rsidRPr="00000000">
          <w:rPr>
            <w:rFonts w:ascii="Palatino Linotype" w:cs="Palatino Linotype" w:eastAsia="Palatino Linotype" w:hAnsi="Palatino Linotype"/>
            <w:color w:val="0563c1"/>
            <w:sz w:val="24"/>
            <w:szCs w:val="24"/>
            <w:u w:val="single"/>
            <w:rtl w:val="0"/>
          </w:rPr>
          <w:t xml:space="preserve">https://villadeallende.gob.mx/files/Titulos-2023t2-169222455617</w:t>
        </w:r>
      </w:hyperlink>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360" w:lineRule="auto"/>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12">
      <w:pPr>
        <w:spacing w:after="0" w:line="360" w:lineRule="auto"/>
        <w:ind w:right="-3"/>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Conocida la respuesta, al no estar conforme con los términos de la misma, la persona solicitante presentó el recurso de revisión mediante el cual señaló como: </w:t>
      </w:r>
    </w:p>
    <w:p w:rsidR="00000000" w:rsidDel="00000000" w:rsidP="00000000" w:rsidRDefault="00000000" w:rsidRPr="00000000" w14:paraId="00000013">
      <w:pPr>
        <w:spacing w:after="0" w:line="360" w:lineRule="auto"/>
        <w:ind w:right="-3"/>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4">
      <w:pPr>
        <w:spacing w:after="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Acto Impugnado: </w:t>
      </w:r>
    </w:p>
    <w:p w:rsidR="00000000" w:rsidDel="00000000" w:rsidP="00000000" w:rsidRDefault="00000000" w:rsidRPr="00000000" w14:paraId="00000015">
      <w:pPr>
        <w:spacing w:after="0" w:line="240" w:lineRule="auto"/>
        <w:ind w:left="567" w:right="567" w:firstLine="0"/>
        <w:jc w:val="both"/>
        <w:rPr>
          <w:rFonts w:ascii="Palatino Linotype" w:cs="Palatino Linotype" w:eastAsia="Palatino Linotype" w:hAnsi="Palatino Linotype"/>
          <w:b w:val="1"/>
          <w:i w:val="1"/>
          <w:color w:val="000000"/>
        </w:rPr>
      </w:pPr>
      <w:r w:rsidDel="00000000" w:rsidR="00000000" w:rsidRPr="00000000">
        <w:rPr>
          <w:rFonts w:ascii="Palatino Linotype" w:cs="Palatino Linotype" w:eastAsia="Palatino Linotype" w:hAnsi="Palatino Linotype"/>
          <w:i w:val="1"/>
          <w:color w:val="000000"/>
          <w:rtl w:val="0"/>
        </w:rPr>
        <w:t xml:space="preserve">“NO SE ENTREGO INFORMACION"(Sic)</w:t>
      </w:r>
      <w:r w:rsidDel="00000000" w:rsidR="00000000" w:rsidRPr="00000000">
        <w:rPr>
          <w:rtl w:val="0"/>
        </w:rPr>
      </w:r>
    </w:p>
    <w:p w:rsidR="00000000" w:rsidDel="00000000" w:rsidP="00000000" w:rsidRDefault="00000000" w:rsidRPr="00000000" w14:paraId="00000016">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7">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Razones o Motivos de Inconformidad</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18">
      <w:pPr>
        <w:spacing w:after="0" w:line="240" w:lineRule="auto"/>
        <w:ind w:left="567" w:right="567"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“NO SE ENTREGO INFORMACION” (Sic)</w:t>
      </w:r>
    </w:p>
    <w:p w:rsidR="00000000" w:rsidDel="00000000" w:rsidP="00000000" w:rsidRDefault="00000000" w:rsidRPr="00000000" w14:paraId="00000019">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A">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admitido el presente recurso de revisión, en términos del artículo 185 fracción II</w:t>
      </w:r>
      <w:r w:rsidDel="00000000" w:rsidR="00000000" w:rsidRPr="00000000">
        <w:rPr>
          <w:rFonts w:ascii="Palatino Linotype" w:cs="Palatino Linotype" w:eastAsia="Palatino Linotype" w:hAnsi="Palatino Linotype"/>
          <w:sz w:val="24"/>
          <w:szCs w:val="24"/>
          <w:vertAlign w:val="superscript"/>
        </w:rPr>
        <w:footnoteReference w:customMarkFollows="0" w:id="0"/>
      </w:r>
      <w:r w:rsidDel="00000000" w:rsidR="00000000" w:rsidRPr="00000000">
        <w:rPr>
          <w:rFonts w:ascii="Palatino Linotype" w:cs="Palatino Linotype" w:eastAsia="Palatino Linotype" w:hAnsi="Palatino Linotype"/>
          <w:sz w:val="24"/>
          <w:szCs w:val="24"/>
          <w:rtl w:val="0"/>
        </w:rPr>
        <w:t xml:space="preserve"> de la Ley de Transparencia y Acceso a la Información Pública del Estado de México y Municipios, se integró el expediente y se puso a disposición de las partes para que, en un plazo máximo de siete días hábiles, </w:t>
      </w:r>
      <w:r w:rsidDel="00000000" w:rsidR="00000000" w:rsidRPr="00000000">
        <w:rPr>
          <w:rFonts w:ascii="Palatino Linotype" w:cs="Palatino Linotype" w:eastAsia="Palatino Linotype" w:hAnsi="Palatino Linotype"/>
          <w:sz w:val="24"/>
          <w:szCs w:val="24"/>
          <w:rtl w:val="0"/>
        </w:rPr>
        <w:t xml:space="preserve">manifestaran</w:t>
      </w:r>
      <w:r w:rsidDel="00000000" w:rsidR="00000000" w:rsidRPr="00000000">
        <w:rPr>
          <w:rFonts w:ascii="Palatino Linotype" w:cs="Palatino Linotype" w:eastAsia="Palatino Linotype" w:hAnsi="Palatino Linotype"/>
          <w:sz w:val="24"/>
          <w:szCs w:val="24"/>
          <w:rtl w:val="0"/>
        </w:rPr>
        <w:t xml:space="preserve"> lo que a su derecho resultara conveniente, por lo que respecta al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remitió lo siguiente:</w:t>
      </w:r>
    </w:p>
    <w:p w:rsidR="00000000" w:rsidDel="00000000" w:rsidP="00000000" w:rsidRDefault="00000000" w:rsidRPr="00000000" w14:paraId="0000001B">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i w:val="1"/>
          <w:sz w:val="24"/>
          <w:szCs w:val="24"/>
          <w:u w:val="single"/>
          <w:rtl w:val="0"/>
        </w:rPr>
        <w:t xml:space="preserve">Evaluación de Desempeño 2022.pdf</w:t>
      </w:r>
      <w:r w:rsidDel="00000000" w:rsidR="00000000" w:rsidRPr="00000000">
        <w:rPr>
          <w:rFonts w:ascii="Palatino Linotype" w:cs="Palatino Linotype" w:eastAsia="Palatino Linotype" w:hAnsi="Palatino Linotype"/>
          <w:sz w:val="24"/>
          <w:szCs w:val="24"/>
          <w:rtl w:val="0"/>
        </w:rPr>
        <w:t xml:space="preserve">”, en el que se observan los siguientes documentos:</w:t>
      </w:r>
    </w:p>
    <w:p w:rsidR="00000000" w:rsidDel="00000000" w:rsidP="00000000" w:rsidRDefault="00000000" w:rsidRPr="00000000" w14:paraId="0000001C">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D">
      <w:pPr>
        <w:numPr>
          <w:ilvl w:val="0"/>
          <w:numId w:val="1"/>
        </w:numPr>
        <w:spacing w:after="0" w:line="360" w:lineRule="auto"/>
        <w:ind w:left="709" w:hanging="42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Oficio número UTAIP/VA/194/VIII/2023 suscrito por la Titular de la Unidad de Transparencia y Acceso a la Información Pública, con el cual se pidió al Director de Planeación para el Desarrollo Municipal se dé respuesta a la solicitud de información.</w:t>
      </w:r>
    </w:p>
    <w:p w:rsidR="00000000" w:rsidDel="00000000" w:rsidP="00000000" w:rsidRDefault="00000000" w:rsidRPr="00000000" w14:paraId="0000001E">
      <w:pPr>
        <w:numPr>
          <w:ilvl w:val="0"/>
          <w:numId w:val="1"/>
        </w:numPr>
        <w:spacing w:after="0" w:line="360" w:lineRule="auto"/>
        <w:ind w:left="709" w:hanging="42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Oficio número DDPDM/VA/012/VIII/2023 emitido por el Director de Planeación para el Desarrollo Municipal, mediante el cual se proporcionó el siguiente link para acceder a la información: </w:t>
      </w:r>
      <w:hyperlink r:id="rId10">
        <w:r w:rsidDel="00000000" w:rsidR="00000000" w:rsidRPr="00000000">
          <w:rPr>
            <w:rFonts w:ascii="Palatino Linotype" w:cs="Palatino Linotype" w:eastAsia="Palatino Linotype" w:hAnsi="Palatino Linotype"/>
            <w:color w:val="0563c1"/>
            <w:sz w:val="24"/>
            <w:szCs w:val="24"/>
            <w:u w:val="single"/>
            <w:rtl w:val="0"/>
          </w:rPr>
          <w:t xml:space="preserve">https://villadeallende.gob.mx/files/Titulos-2023t2-169222455617</w:t>
        </w:r>
      </w:hyperlink>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1F">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0">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Siendo </w:t>
      </w:r>
      <w:r w:rsidDel="00000000" w:rsidR="00000000" w:rsidRPr="00000000">
        <w:rPr>
          <w:rFonts w:ascii="Palatino Linotype" w:cs="Palatino Linotype" w:eastAsia="Palatino Linotype" w:hAnsi="Palatino Linotype"/>
          <w:b w:val="1"/>
          <w:sz w:val="24"/>
          <w:szCs w:val="24"/>
          <w:rtl w:val="0"/>
        </w:rPr>
        <w:t xml:space="preserve">LA PARTE RECURRENTE </w:t>
      </w:r>
      <w:r w:rsidDel="00000000" w:rsidR="00000000" w:rsidRPr="00000000">
        <w:rPr>
          <w:rFonts w:ascii="Palatino Linotype" w:cs="Palatino Linotype" w:eastAsia="Palatino Linotype" w:hAnsi="Palatino Linotype"/>
          <w:sz w:val="24"/>
          <w:szCs w:val="24"/>
          <w:rtl w:val="0"/>
        </w:rPr>
        <w:t xml:space="preserve">omisa de emitir sus manifestaciones, conforme a derecho le corresponde. </w:t>
      </w:r>
    </w:p>
    <w:p w:rsidR="00000000" w:rsidDel="00000000" w:rsidP="00000000" w:rsidRDefault="00000000" w:rsidRPr="00000000" w14:paraId="00000021">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2">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previo análisis de las constancias y de la naturaleza de la información, la Ponencia que resolvió determinó </w:t>
      </w:r>
      <w:r w:rsidDel="00000000" w:rsidR="00000000" w:rsidRPr="00000000">
        <w:rPr>
          <w:rFonts w:ascii="Palatino Linotype" w:cs="Palatino Linotype" w:eastAsia="Palatino Linotype" w:hAnsi="Palatino Linotype"/>
          <w:i w:val="1"/>
          <w:sz w:val="24"/>
          <w:szCs w:val="24"/>
          <w:rtl w:val="0"/>
        </w:rPr>
        <w:t xml:space="preserve">Modificar</w:t>
      </w:r>
      <w:r w:rsidDel="00000000" w:rsidR="00000000" w:rsidRPr="00000000">
        <w:rPr>
          <w:rFonts w:ascii="Palatino Linotype" w:cs="Palatino Linotype" w:eastAsia="Palatino Linotype" w:hAnsi="Palatino Linotype"/>
          <w:sz w:val="24"/>
          <w:szCs w:val="24"/>
          <w:rtl w:val="0"/>
        </w:rPr>
        <w:t xml:space="preserve"> la respuesta y ordenar la entrega de información, como se advierte en el </w:t>
      </w:r>
      <w:r w:rsidDel="00000000" w:rsidR="00000000" w:rsidRPr="00000000">
        <w:rPr>
          <w:rFonts w:ascii="Palatino Linotype" w:cs="Palatino Linotype" w:eastAsia="Palatino Linotype" w:hAnsi="Palatino Linotype"/>
          <w:b w:val="1"/>
          <w:sz w:val="24"/>
          <w:szCs w:val="24"/>
          <w:rtl w:val="0"/>
        </w:rPr>
        <w:t xml:space="preserve">resolutivo SEGUNDO</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23">
      <w:pPr>
        <w:spacing w:after="0" w:line="276" w:lineRule="auto"/>
        <w:ind w:right="706"/>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4">
      <w:pPr>
        <w:spacing w:after="0" w:line="276" w:lineRule="auto"/>
        <w:ind w:left="851"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“SEGUNDO. Se ORDENA al Sujeto Obligado que haga entrega al Recurrente mediante el Sistema de Acceso a la Información Mexiquense (SAIMEX), en versión pública de ser procedente y en términos del Considerando CUARTO, del o de los documentos en donde conste lo siguiente: </w:t>
      </w:r>
    </w:p>
    <w:p w:rsidR="00000000" w:rsidDel="00000000" w:rsidP="00000000" w:rsidRDefault="00000000" w:rsidRPr="00000000" w14:paraId="00000025">
      <w:pPr>
        <w:spacing w:after="0" w:line="276" w:lineRule="auto"/>
        <w:ind w:left="851" w:right="706"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6">
      <w:pPr>
        <w:spacing w:after="0" w:line="276" w:lineRule="auto"/>
        <w:ind w:left="851"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1.</w:t>
        <w:tab/>
        <w:t xml:space="preserve">La evaluación de desempeño y los resultados de los programas presupuestarios correspondientes al ejercicio fiscal 2022.</w:t>
      </w:r>
    </w:p>
    <w:p w:rsidR="00000000" w:rsidDel="00000000" w:rsidP="00000000" w:rsidRDefault="00000000" w:rsidRPr="00000000" w14:paraId="00000027">
      <w:pPr>
        <w:spacing w:after="0" w:line="276" w:lineRule="auto"/>
        <w:ind w:left="851" w:right="706"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8">
      <w:pPr>
        <w:spacing w:after="0" w:line="276" w:lineRule="auto"/>
        <w:ind w:left="851" w:right="706"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9">
      <w:pPr>
        <w:spacing w:after="0" w:line="276" w:lineRule="auto"/>
        <w:ind w:left="851" w:right="706"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A">
      <w:pPr>
        <w:spacing w:after="0" w:line="276" w:lineRule="auto"/>
        <w:ind w:left="851" w:right="706"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B">
      <w:pPr>
        <w:spacing w:after="0" w:line="276" w:lineRule="auto"/>
        <w:ind w:left="851" w:right="706"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C">
      <w:pPr>
        <w:spacing w:after="0" w:line="276" w:lineRule="auto"/>
        <w:ind w:left="851" w:right="706"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D">
      <w:pPr>
        <w:spacing w:after="0" w:line="276" w:lineRule="auto"/>
        <w:ind w:left="851" w:right="706"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E">
      <w:pPr>
        <w:spacing w:after="0" w:line="276" w:lineRule="auto"/>
        <w:ind w:left="851"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De ser necesario,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(Sic) </w:t>
      </w:r>
    </w:p>
    <w:p w:rsidR="00000000" w:rsidDel="00000000" w:rsidP="00000000" w:rsidRDefault="00000000" w:rsidRPr="00000000" w14:paraId="0000002F">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0">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sentido debe mencionarse que, si bien se comparte el sentido de la resolución a fin de ordenar la búsqueda exhaustiva de la información, se emite la presente  opinión particular a fin de precisar que independientemente de que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a través de la Unidad de Transparencia, la Dirección de Planeación para el Desarrollo Municipal, remitieron al particular una liga para la consulta de la información y por ello la ponencia asume contar con lo solicitado, sin embargo, se considera que es obligación de este organismo garante analizar por una parte las atribuciones del área que se pronunció a efecto de determinar si fue el servidor público habilitado competente y dieran cumplimiento a lo previsto en los artículos 160 y 162 de la Ley de Transparencia y Acceso a la Información Pública del Estado de México y Municipios, mismo que es el siguiente: </w:t>
      </w:r>
    </w:p>
    <w:p w:rsidR="00000000" w:rsidDel="00000000" w:rsidP="00000000" w:rsidRDefault="00000000" w:rsidRPr="00000000" w14:paraId="00000031">
      <w:pP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2">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w:t>
      </w:r>
    </w:p>
    <w:p w:rsidR="00000000" w:rsidDel="00000000" w:rsidP="00000000" w:rsidRDefault="00000000" w:rsidRPr="00000000" w14:paraId="00000033">
      <w:pP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4">
      <w:pP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5">
      <w:pP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6">
      <w:pP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7">
      <w:pP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8">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 Los sujetos obligados otorgarán acceso a los documentos que se encuentren en sus archivos o que estén obligados a documentar de acuerdo con sus facultades, competencias o funciones, en el formato en que el solicitante manifieste, de entre aquellos formatos existentes.</w:t>
      </w:r>
    </w:p>
    <w:p w:rsidR="00000000" w:rsidDel="00000000" w:rsidP="00000000" w:rsidRDefault="00000000" w:rsidRPr="00000000" w14:paraId="00000039">
      <w:pP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A">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Esto, ya que de acuerdo a la siguiente normatividad, el área que se pronunció cuenta con las siguientes atribuciones:</w:t>
      </w:r>
    </w:p>
    <w:p w:rsidR="00000000" w:rsidDel="00000000" w:rsidP="00000000" w:rsidRDefault="00000000" w:rsidRPr="00000000" w14:paraId="0000003B">
      <w:pPr>
        <w:spacing w:after="0" w:line="276" w:lineRule="auto"/>
        <w:ind w:right="902"/>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3C">
      <w:pPr>
        <w:spacing w:after="0" w:line="276"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Bando Municipal 2023.</w:t>
      </w:r>
    </w:p>
    <w:p w:rsidR="00000000" w:rsidDel="00000000" w:rsidP="00000000" w:rsidRDefault="00000000" w:rsidRPr="00000000" w14:paraId="0000003D">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72.</w:t>
      </w:r>
      <w:r w:rsidDel="00000000" w:rsidR="00000000" w:rsidRPr="00000000">
        <w:rPr>
          <w:rFonts w:ascii="Palatino Linotype" w:cs="Palatino Linotype" w:eastAsia="Palatino Linotype" w:hAnsi="Palatino Linotype"/>
          <w:i w:val="1"/>
          <w:rtl w:val="0"/>
        </w:rPr>
        <w:t xml:space="preserve"> La Planeación estratégica del desarrollo municipal, será el medio para lograr el progreso económico y social del Municipio, con la participación de los habitantes, órganos auxiliares y organizaciones sociales y privadas, a fin de favorecer el desarrollo integral y sustentable del Municipio. La Dirección de Planeación (UIPPE), es la instancia responsable de generar, integrar, procesar, emitir, reportar y difundir de manera oficial la información, respecto de los planes y programas de su competencia, así como recopilar, analizar y utilizar la información programática de avance de metas, de estadística básica geográfica o de aquella que provenga de los registros administrativos del Ayuntamiento de Villa de Allende, de sus dependencias, así como de fuentes oficiales, para el seguimiento oportuno del Plan de Desarrollo Municipal, para la formulación de informes diversos, incluido el del ejercicio anual y la que sea requerida por otros usuarios, que sea de interés público en términos de oportunidad, veracidad, simplicidad y transparencia.</w:t>
      </w:r>
    </w:p>
    <w:p w:rsidR="00000000" w:rsidDel="00000000" w:rsidP="00000000" w:rsidRDefault="00000000" w:rsidRPr="00000000" w14:paraId="0000003E">
      <w:pPr>
        <w:spacing w:after="0" w:line="360" w:lineRule="auto"/>
        <w:jc w:val="both"/>
        <w:rPr>
          <w:rFonts w:ascii="Palatino Linotype" w:cs="Palatino Linotype" w:eastAsia="Palatino Linotype" w:hAnsi="Palatino Linotype"/>
          <w:sz w:val="24"/>
          <w:szCs w:val="24"/>
          <w:highlight w:val="green"/>
        </w:rPr>
      </w:pPr>
      <w:r w:rsidDel="00000000" w:rsidR="00000000" w:rsidRPr="00000000">
        <w:rPr>
          <w:rtl w:val="0"/>
        </w:rPr>
      </w:r>
    </w:p>
    <w:p w:rsidR="00000000" w:rsidDel="00000000" w:rsidP="00000000" w:rsidRDefault="00000000" w:rsidRPr="00000000" w14:paraId="0000003F">
      <w:pPr>
        <w:spacing w:after="0" w:line="360" w:lineRule="auto"/>
        <w:jc w:val="both"/>
        <w:rPr>
          <w:rFonts w:ascii="Palatino Linotype" w:cs="Palatino Linotype" w:eastAsia="Palatino Linotype" w:hAnsi="Palatino Linotype"/>
          <w:sz w:val="24"/>
          <w:szCs w:val="24"/>
          <w:highlight w:val="green"/>
        </w:rPr>
      </w:pPr>
      <w:r w:rsidDel="00000000" w:rsidR="00000000" w:rsidRPr="00000000">
        <w:rPr>
          <w:rtl w:val="0"/>
        </w:rPr>
      </w:r>
    </w:p>
    <w:p w:rsidR="00000000" w:rsidDel="00000000" w:rsidP="00000000" w:rsidRDefault="00000000" w:rsidRPr="00000000" w14:paraId="00000040">
      <w:pPr>
        <w:spacing w:after="0" w:line="360" w:lineRule="auto"/>
        <w:jc w:val="both"/>
        <w:rPr>
          <w:rFonts w:ascii="Palatino Linotype" w:cs="Palatino Linotype" w:eastAsia="Palatino Linotype" w:hAnsi="Palatino Linotype"/>
          <w:sz w:val="24"/>
          <w:szCs w:val="24"/>
          <w:highlight w:val="green"/>
        </w:rPr>
      </w:pPr>
      <w:r w:rsidDel="00000000" w:rsidR="00000000" w:rsidRPr="00000000">
        <w:rPr>
          <w:rtl w:val="0"/>
        </w:rPr>
      </w:r>
    </w:p>
    <w:p w:rsidR="00000000" w:rsidDel="00000000" w:rsidP="00000000" w:rsidRDefault="00000000" w:rsidRPr="00000000" w14:paraId="00000041">
      <w:pPr>
        <w:spacing w:after="0" w:line="360" w:lineRule="auto"/>
        <w:jc w:val="both"/>
        <w:rPr>
          <w:rFonts w:ascii="Palatino Linotype" w:cs="Palatino Linotype" w:eastAsia="Palatino Linotype" w:hAnsi="Palatino Linotype"/>
          <w:sz w:val="24"/>
          <w:szCs w:val="24"/>
          <w:highlight w:val="green"/>
        </w:rPr>
      </w:pPr>
      <w:r w:rsidDel="00000000" w:rsidR="00000000" w:rsidRPr="00000000">
        <w:rPr>
          <w:rtl w:val="0"/>
        </w:rPr>
      </w:r>
    </w:p>
    <w:p w:rsidR="00000000" w:rsidDel="00000000" w:rsidP="00000000" w:rsidRDefault="00000000" w:rsidRPr="00000000" w14:paraId="00000042">
      <w:pPr>
        <w:spacing w:after="0" w:line="360" w:lineRule="auto"/>
        <w:jc w:val="both"/>
        <w:rPr>
          <w:rFonts w:ascii="Palatino Linotype" w:cs="Palatino Linotype" w:eastAsia="Palatino Linotype" w:hAnsi="Palatino Linotype"/>
          <w:sz w:val="24"/>
          <w:szCs w:val="24"/>
          <w:highlight w:val="green"/>
        </w:rPr>
      </w:pPr>
      <w:r w:rsidDel="00000000" w:rsidR="00000000" w:rsidRPr="00000000">
        <w:rPr>
          <w:rtl w:val="0"/>
        </w:rPr>
      </w:r>
    </w:p>
    <w:p w:rsidR="00000000" w:rsidDel="00000000" w:rsidP="00000000" w:rsidRDefault="00000000" w:rsidRPr="00000000" w14:paraId="00000043">
      <w:pPr>
        <w:spacing w:after="0" w:line="360" w:lineRule="auto"/>
        <w:jc w:val="both"/>
        <w:rPr>
          <w:rFonts w:ascii="Palatino Linotype" w:cs="Palatino Linotype" w:eastAsia="Palatino Linotype" w:hAnsi="Palatino Linotype"/>
          <w:sz w:val="24"/>
          <w:szCs w:val="24"/>
          <w:highlight w:val="green"/>
        </w:rPr>
      </w:pPr>
      <w:r w:rsidDel="00000000" w:rsidR="00000000" w:rsidRPr="00000000">
        <w:rPr>
          <w:rtl w:val="0"/>
        </w:rPr>
      </w:r>
    </w:p>
    <w:p w:rsidR="00000000" w:rsidDel="00000000" w:rsidP="00000000" w:rsidRDefault="00000000" w:rsidRPr="00000000" w14:paraId="00000044">
      <w:pPr>
        <w:spacing w:after="0" w:line="360" w:lineRule="auto"/>
        <w:jc w:val="both"/>
        <w:rPr>
          <w:rFonts w:ascii="Palatino Linotype" w:cs="Palatino Linotype" w:eastAsia="Palatino Linotype" w:hAnsi="Palatino Linotype"/>
          <w:sz w:val="24"/>
          <w:szCs w:val="24"/>
          <w:highlight w:val="green"/>
        </w:rPr>
      </w:pPr>
      <w:r w:rsidDel="00000000" w:rsidR="00000000" w:rsidRPr="00000000">
        <w:rPr>
          <w:rtl w:val="0"/>
        </w:rPr>
      </w:r>
    </w:p>
    <w:p w:rsidR="00000000" w:rsidDel="00000000" w:rsidP="00000000" w:rsidRDefault="00000000" w:rsidRPr="00000000" w14:paraId="00000045">
      <w:pPr>
        <w:spacing w:after="0" w:line="360" w:lineRule="auto"/>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La Dirección de Planeación es la instancia responsable de generar, integrar, procesar, emitir, reportar y difundir de manera oficial la información, respecto de los planes y programas de su competencia, así como recopilar, analizar y utilizar la información programática de avance de metas, de estadística básica geográfica o de aquella que provenga de los registros administrativos del Ayuntamiento de Villa de Allende, de sus dependencias, así como de fuentes oficiales, para el seguimiento oportuno del Plan de Desarrollo Municipal, para la formulación de informes diversos, incluido el del ejercicio anual y la que sea requerida por otros usuarios, que sea de interés público en términos de oportunidad, veracidad, simplicidad y transparencia.</w:t>
      </w:r>
    </w:p>
    <w:p w:rsidR="00000000" w:rsidDel="00000000" w:rsidP="00000000" w:rsidRDefault="00000000" w:rsidRPr="00000000" w14:paraId="00000046">
      <w:pPr>
        <w:spacing w:after="0" w:line="360" w:lineRule="auto"/>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47">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Además, se debió analizar la naturaleza de la información, esto como parte de la debida fundamentación y motivación que deben sustentar las resoluciones y determinaciones emitidas por parte de este organismo garante </w:t>
      </w:r>
    </w:p>
    <w:p w:rsidR="00000000" w:rsidDel="00000000" w:rsidP="00000000" w:rsidRDefault="00000000" w:rsidRPr="00000000" w14:paraId="00000048">
      <w:pPr>
        <w:spacing w:after="0" w:line="360" w:lineRule="auto"/>
        <w:jc w:val="both"/>
        <w:rPr>
          <w:rFonts w:ascii="Palatino Linotype" w:cs="Palatino Linotype" w:eastAsia="Palatino Linotype" w:hAnsi="Palatino Linotype"/>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49">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rsidR="00000000" w:rsidDel="00000000" w:rsidP="00000000" w:rsidRDefault="00000000" w:rsidRPr="00000000" w14:paraId="0000004A">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4B">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C">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D">
      <w:pPr>
        <w:spacing w:after="0" w:line="240" w:lineRule="auto"/>
        <w:ind w:left="567" w:right="567" w:firstLine="0"/>
        <w:jc w:val="both"/>
        <w:rPr>
          <w:rFonts w:ascii="Times New Roman" w:cs="Times New Roman" w:eastAsia="Times New Roman" w:hAnsi="Times New Roman"/>
          <w:i w:val="1"/>
          <w:color w:val="000000"/>
        </w:rPr>
      </w:pPr>
      <w:r w:rsidDel="00000000" w:rsidR="00000000" w:rsidRPr="00000000">
        <w:rPr>
          <w:rFonts w:ascii="Palatino Linotype" w:cs="Palatino Linotype" w:eastAsia="Palatino Linotype" w:hAnsi="Palatino Linotype"/>
          <w:i w:val="1"/>
          <w:rtl w:val="0"/>
        </w:rPr>
        <w:t xml:space="preserve"> “FUNDAMENTACION Y MOTIVACION, CONCEPTO DE.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r w:rsidDel="00000000" w:rsidR="00000000" w:rsidRPr="00000000">
        <w:rPr>
          <w:rtl w:val="0"/>
        </w:rPr>
      </w:r>
    </w:p>
    <w:p w:rsidR="00000000" w:rsidDel="00000000" w:rsidP="00000000" w:rsidRDefault="00000000" w:rsidRPr="00000000" w14:paraId="0000004E">
      <w:pPr>
        <w:spacing w:after="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w:t>
      </w:r>
    </w:p>
    <w:p w:rsidR="00000000" w:rsidDel="00000000" w:rsidP="00000000" w:rsidRDefault="00000000" w:rsidRPr="00000000" w14:paraId="0000004F">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 expuesto, constituyen las razones y fundamentos que me llevan a emitir la opinión particular que se ha expresado.</w:t>
      </w:r>
    </w:p>
    <w:p w:rsidR="00000000" w:rsidDel="00000000" w:rsidP="00000000" w:rsidRDefault="00000000" w:rsidRPr="00000000" w14:paraId="00000050">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bookmarkStart w:colFirst="0" w:colLast="0" w:name="_heading=h.30j0zll" w:id="1"/>
      <w:bookmarkEnd w:id="1"/>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headerReference r:id="rId11"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419"/>
        <w:tab w:val="right" w:leader="none" w:pos="8838"/>
        <w:tab w:val="left" w:leader="none" w:pos="5685"/>
        <w:tab w:val="right" w:leader="none" w:pos="8928"/>
      </w:tabs>
      <w:spacing w:after="0" w:line="240" w:lineRule="auto"/>
      <w:ind w:left="3686" w:firstLine="0"/>
      <w:jc w:val="right"/>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OPINIÓN PARTICULAR </w:t>
    </w:r>
    <w:r w:rsidDel="00000000" w:rsidR="00000000" w:rsidRPr="00000000">
      <w:drawing>
        <wp:anchor allowOverlap="1" behindDoc="1" distB="0" distT="0" distL="0" distR="0" hidden="0" layoutInCell="1" locked="0" relativeHeight="0" simplePos="0">
          <wp:simplePos x="0" y="0"/>
          <wp:positionH relativeFrom="column">
            <wp:posOffset>-1080131</wp:posOffset>
          </wp:positionH>
          <wp:positionV relativeFrom="paragraph">
            <wp:posOffset>-686432</wp:posOffset>
          </wp:positionV>
          <wp:extent cx="7510628" cy="9883775"/>
          <wp:effectExtent b="0" l="0" r="0" t="0"/>
          <wp:wrapNone/>
          <wp:docPr descr="Gráfico de burbujas&#10;&#10;Descripción generada automáticamente con confianza baja" id="4" name="image1.jpg"/>
          <a:graphic>
            <a:graphicData uri="http://schemas.openxmlformats.org/drawingml/2006/picture">
              <pic:pic>
                <pic:nvPicPr>
                  <pic:cNvPr descr="Gráfico de burbujas&#10;&#10;Descripción generada automáticamente con confianza baja" id="0" name="image1.jpg"/>
                  <pic:cNvPicPr preferRelativeResize="0"/>
                </pic:nvPicPr>
                <pic:blipFill>
                  <a:blip r:embed="rId1"/>
                  <a:srcRect b="0" l="0" r="0" t="0"/>
                  <a:stretch>
                    <a:fillRect/>
                  </a:stretch>
                </pic:blipFill>
                <pic:spPr>
                  <a:xfrm>
                    <a:off x="0" y="0"/>
                    <a:ext cx="7510628" cy="9883775"/>
                  </a:xfrm>
                  <a:prstGeom prst="rect"/>
                  <a:ln/>
                </pic:spPr>
              </pic:pic>
            </a:graphicData>
          </a:graphic>
        </wp:anchor>
      </w:drawing>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419"/>
        <w:tab w:val="right" w:leader="none" w:pos="8838"/>
        <w:tab w:val="left" w:leader="none" w:pos="5685"/>
      </w:tabs>
      <w:spacing w:after="0" w:line="240" w:lineRule="auto"/>
      <w:ind w:left="1134" w:firstLine="0"/>
      <w:jc w:val="right"/>
      <w:rPr>
        <w:rFonts w:ascii="Palatino Linotype" w:cs="Palatino Linotype" w:eastAsia="Palatino Linotype" w:hAnsi="Palatino Linotype"/>
        <w:b w:val="1"/>
        <w:color w:val="000000"/>
        <w:sz w:val="18"/>
        <w:szCs w:val="18"/>
      </w:rPr>
    </w:pPr>
    <w:r w:rsidDel="00000000" w:rsidR="00000000" w:rsidRPr="00000000">
      <w:rPr>
        <w:rFonts w:ascii="Palatino Linotype" w:cs="Palatino Linotype" w:eastAsia="Palatino Linotype" w:hAnsi="Palatino Linotype"/>
        <w:b w:val="1"/>
        <w:color w:val="000000"/>
        <w:rtl w:val="0"/>
      </w:rPr>
      <w:t xml:space="preserve">RECURSO DE REVISIÓN 05775/INFOEM/IP/RR/2023.</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9" w:hanging="423.9999999999999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unhideWhenUsed w:val="1"/>
    <w:rsid w:val="0036543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65439"/>
  </w:style>
  <w:style w:type="paragraph" w:styleId="Piedepgina">
    <w:name w:val="footer"/>
    <w:basedOn w:val="Normal"/>
    <w:link w:val="PiedepginaCar"/>
    <w:uiPriority w:val="99"/>
    <w:unhideWhenUsed w:val="1"/>
    <w:rsid w:val="0036543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65439"/>
  </w:style>
  <w:style w:type="paragraph" w:styleId="Prrafodelista">
    <w:name w:val="List Paragraph"/>
    <w:basedOn w:val="Normal"/>
    <w:uiPriority w:val="34"/>
    <w:qFormat w:val="1"/>
    <w:rsid w:val="0036543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s://villadeallende.gob.mx/files/Titulos-2023t2-169222455617" TargetMode="External"/><Relationship Id="rId9" Type="http://schemas.openxmlformats.org/officeDocument/2006/relationships/hyperlink" Target="https://villadeallende.gob.mx/files/Titulos-2023t2-169222455617"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asGaL9DbvmhtJEreSQp5tvcj8w==">CgMxLjAyCGguZ2pkZ3hzMgloLjMwajB6bGw4AHIhMXdIVk9WRVAyVzJRQW1XMDZma2VrUTQ1MzBSQTJETy0y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2023-12-05T00:02:00Z</dcterms:created>
</cp:coreProperties>
</file>