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D3" w:rsidRDefault="000D5242">
      <w:pPr>
        <w:widowControl w:val="0"/>
        <w:pBdr>
          <w:top w:val="nil"/>
          <w:left w:val="nil"/>
          <w:bottom w:val="nil"/>
          <w:right w:val="nil"/>
          <w:between w:val="nil"/>
        </w:pBdr>
        <w:spacing w:after="0" w:line="276" w:lineRule="auto"/>
      </w:pPr>
      <w:r>
        <w:pict w14:anchorId="38C7F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D704D3" w:rsidRDefault="00D704D3">
      <w:pPr>
        <w:widowControl w:val="0"/>
        <w:pBdr>
          <w:top w:val="nil"/>
          <w:left w:val="nil"/>
          <w:bottom w:val="nil"/>
          <w:right w:val="nil"/>
          <w:between w:val="nil"/>
        </w:pBdr>
        <w:spacing w:after="0" w:line="276" w:lineRule="auto"/>
      </w:pPr>
    </w:p>
    <w:p w:rsidR="00D704D3" w:rsidRDefault="000D5242">
      <w:pPr>
        <w:widowControl w:val="0"/>
        <w:pBdr>
          <w:top w:val="nil"/>
          <w:left w:val="nil"/>
          <w:bottom w:val="nil"/>
          <w:right w:val="nil"/>
          <w:between w:val="nil"/>
        </w:pBdr>
        <w:spacing w:after="0" w:line="360" w:lineRule="auto"/>
        <w:jc w:val="both"/>
      </w:pPr>
      <w:r>
        <w:rPr>
          <w:rFonts w:ascii="Palatino Linotype" w:eastAsia="Palatino Linotype" w:hAnsi="Palatino Linotype" w:cs="Palatino Linotype"/>
          <w:b/>
        </w:rPr>
        <w:t xml:space="preserve">OPINIÓN PARTICULAR QUE FORMULA LA COMISIONADA GUADALUPE RAMÍREZ PEÑA, EN RELACIÓN CON LA RESOLUCIÓN DICTADA POR EL PLENO DEL INSTITUTO DE TRANSPARENCIA, ACCESO A LA INFORMACIÓN PÚBLICA Y PROTECCIÓN DE DATOS PERSONALES DEL ESTADO DE MÉXICO Y MUNICIPIOS, EN </w:t>
      </w:r>
      <w:r>
        <w:rPr>
          <w:rFonts w:ascii="Palatino Linotype" w:eastAsia="Palatino Linotype" w:hAnsi="Palatino Linotype" w:cs="Palatino Linotype"/>
          <w:b/>
        </w:rPr>
        <w:t xml:space="preserve">LA VIGÉSIMA SESIÓN ORDINARIA DEL CUATRO DE JUNIO DE DOS MIL VEINTICINCO, EN EL RECURSO DE REVISIÓN </w:t>
      </w:r>
      <w:r>
        <w:rPr>
          <w:rFonts w:ascii="Palatino Linotype" w:eastAsia="Palatino Linotype" w:hAnsi="Palatino Linotype" w:cs="Palatino Linotype"/>
          <w:b/>
          <w:color w:val="000000"/>
        </w:rPr>
        <w:t>03540/INFOEM/IP/RR/2025.</w:t>
      </w:r>
    </w:p>
    <w:p w:rsidR="00D704D3" w:rsidRDefault="000D524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Transparencia, Acceso a la Inf</w:t>
      </w:r>
      <w:r>
        <w:rPr>
          <w:rFonts w:ascii="Palatino Linotype" w:eastAsia="Palatino Linotype" w:hAnsi="Palatino Linotype" w:cs="Palatino Linotype"/>
        </w:rPr>
        <w:t>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Opinión Particular </w:t>
      </w:r>
      <w:r>
        <w:rPr>
          <w:rFonts w:ascii="Palatino Linotype" w:eastAsia="Palatino Linotype" w:hAnsi="Palatino Linotype" w:cs="Palatino Linotype"/>
        </w:rPr>
        <w:t xml:space="preserve">respecto a la resolución dictada en el recurso de revisión </w:t>
      </w:r>
      <w:r>
        <w:rPr>
          <w:rFonts w:ascii="Palatino Linotype" w:eastAsia="Palatino Linotype" w:hAnsi="Palatino Linotype" w:cs="Palatino Linotype"/>
          <w:b/>
          <w:color w:val="000000"/>
        </w:rPr>
        <w:t>03540/INFOEM/IP/RR/2025</w:t>
      </w:r>
      <w:r>
        <w:rPr>
          <w:rFonts w:ascii="Palatino Linotype" w:eastAsia="Palatino Linotype" w:hAnsi="Palatino Linotype" w:cs="Palatino Linotype"/>
          <w:b/>
        </w:rPr>
        <w:t>,</w:t>
      </w:r>
      <w:r>
        <w:rPr>
          <w:rFonts w:ascii="Palatino Linotype" w:eastAsia="Palatino Linotype" w:hAnsi="Palatino Linotype" w:cs="Palatino Linotype"/>
        </w:rPr>
        <w:t xml:space="preserve"> presentada por el Comisionado</w:t>
      </w:r>
      <w:r>
        <w:rPr>
          <w:rFonts w:ascii="Palatino Linotype" w:eastAsia="Palatino Linotype" w:hAnsi="Palatino Linotype" w:cs="Palatino Linotype"/>
          <w:b/>
        </w:rPr>
        <w:t xml:space="preserve"> José Martínez V</w:t>
      </w:r>
      <w:r>
        <w:rPr>
          <w:rFonts w:ascii="Palatino Linotype" w:eastAsia="Palatino Linotype" w:hAnsi="Palatino Linotype" w:cs="Palatino Linotype"/>
          <w:b/>
        </w:rPr>
        <w:t>ilchis</w:t>
      </w:r>
      <w:r>
        <w:rPr>
          <w:rFonts w:ascii="Palatino Linotype" w:eastAsia="Palatino Linotype" w:hAnsi="Palatino Linotype" w:cs="Palatino Linotype"/>
        </w:rPr>
        <w:t xml:space="preserve">, que es del tenor siguiente: </w:t>
      </w:r>
    </w:p>
    <w:p w:rsidR="00D704D3" w:rsidRDefault="000D5242">
      <w:pPr>
        <w:numPr>
          <w:ilvl w:val="0"/>
          <w:numId w:val="1"/>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rsidR="00D704D3" w:rsidRDefault="000D524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le proporcionara, entre otra información, lo siguiente información:</w:t>
      </w:r>
    </w:p>
    <w:p w:rsidR="00D704D3" w:rsidRDefault="000D5242">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Pr>
          <w:rFonts w:ascii="Palatino Linotype" w:eastAsia="Palatino Linotype" w:hAnsi="Palatino Linotype" w:cs="Palatino Linotype"/>
        </w:rPr>
        <w:t>De las Unidades administrativas de Desarrollo Económico, Juzgado Cívico, Presidencia, Secretaría del Ayuntamiento, Tesorería y Contraloría lo siguiente:</w:t>
      </w:r>
    </w:p>
    <w:p w:rsidR="00D704D3" w:rsidRDefault="000D5242">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1.</w:t>
      </w:r>
      <w:r>
        <w:rPr>
          <w:rFonts w:ascii="Palatino Linotype" w:eastAsia="Palatino Linotype" w:hAnsi="Palatino Linotype" w:cs="Palatino Linotype"/>
          <w:b/>
        </w:rPr>
        <w:tab/>
        <w:t>Organigrama, en el que se aprecie todo el personal adscrito a las mismas.</w:t>
      </w:r>
    </w:p>
    <w:p w:rsidR="00D704D3" w:rsidRDefault="000D524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respuesta, el </w:t>
      </w:r>
      <w:r>
        <w:rPr>
          <w:rFonts w:ascii="Palatino Linotype" w:eastAsia="Palatino Linotype" w:hAnsi="Palatino Linotype" w:cs="Palatino Linotype"/>
          <w:b/>
        </w:rPr>
        <w:t>Sujeto Ob</w:t>
      </w:r>
      <w:r>
        <w:rPr>
          <w:rFonts w:ascii="Palatino Linotype" w:eastAsia="Palatino Linotype" w:hAnsi="Palatino Linotype" w:cs="Palatino Linotype"/>
          <w:b/>
        </w:rPr>
        <w:t xml:space="preserve">ligado, </w:t>
      </w:r>
      <w:r>
        <w:rPr>
          <w:rFonts w:ascii="Palatino Linotype" w:eastAsia="Palatino Linotype" w:hAnsi="Palatino Linotype" w:cs="Palatino Linotype"/>
        </w:rPr>
        <w:t xml:space="preserve">sobre el requerimiento en cuestión, por conducto de la Encargada de Despacho de la Unidad de Información, Planeación, Programación y Evaluación y la Coordinación General Municipal de Mejora Regulatoria se indicó que no se cuenta con un organigrama </w:t>
      </w:r>
      <w:r>
        <w:rPr>
          <w:rFonts w:ascii="Palatino Linotype" w:eastAsia="Palatino Linotype" w:hAnsi="Palatino Linotype" w:cs="Palatino Linotype"/>
        </w:rPr>
        <w:t>específico para cada una de las áreas para el periodo 2025-2027.</w:t>
      </w:r>
    </w:p>
    <w:p w:rsidR="00D704D3" w:rsidRDefault="00D704D3">
      <w:pPr>
        <w:spacing w:after="0" w:line="360" w:lineRule="auto"/>
        <w:jc w:val="both"/>
        <w:rPr>
          <w:rFonts w:ascii="Palatino Linotype" w:eastAsia="Palatino Linotype" w:hAnsi="Palatino Linotype" w:cs="Palatino Linotype"/>
          <w:b/>
        </w:rPr>
      </w:pPr>
    </w:p>
    <w:p w:rsidR="00D704D3" w:rsidRDefault="000D524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respuesta,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promovió el medio de impugnación citado al rubro, señalando como acto impugnado y razones o motivos de inconformidad lo siguiente:</w:t>
      </w:r>
    </w:p>
    <w:p w:rsidR="00D704D3" w:rsidRDefault="000D5242">
      <w:pPr>
        <w:numPr>
          <w:ilvl w:val="0"/>
          <w:numId w:val="2"/>
        </w:numPr>
        <w:spacing w:before="240"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Acto Impug</w:t>
      </w:r>
      <w:r>
        <w:rPr>
          <w:rFonts w:ascii="Palatino Linotype" w:eastAsia="Palatino Linotype" w:hAnsi="Palatino Linotype" w:cs="Palatino Linotype"/>
          <w:b/>
        </w:rPr>
        <w:t>nado:</w:t>
      </w:r>
    </w:p>
    <w:p w:rsidR="00D704D3" w:rsidRDefault="000D5242">
      <w:pPr>
        <w:spacing w:after="0" w:line="240" w:lineRule="auto"/>
        <w:ind w:left="851" w:right="850"/>
        <w:jc w:val="both"/>
        <w:rPr>
          <w:rFonts w:ascii="Palatino Linotype" w:eastAsia="Palatino Linotype" w:hAnsi="Palatino Linotype" w:cs="Palatino Linotype"/>
          <w:i/>
        </w:rPr>
      </w:pPr>
      <w:r>
        <w:rPr>
          <w:rFonts w:ascii="Palatino Linotype" w:eastAsia="Palatino Linotype" w:hAnsi="Palatino Linotype" w:cs="Palatino Linotype"/>
          <w:i/>
        </w:rPr>
        <w:t>“No proporcionan la información” [sic]</w:t>
      </w:r>
    </w:p>
    <w:p w:rsidR="00D704D3" w:rsidRDefault="00D704D3">
      <w:pPr>
        <w:spacing w:after="0" w:line="240" w:lineRule="auto"/>
        <w:rPr>
          <w:rFonts w:ascii="Times New Roman" w:eastAsia="Times New Roman" w:hAnsi="Times New Roman" w:cs="Times New Roman"/>
          <w:sz w:val="2"/>
          <w:szCs w:val="2"/>
        </w:rPr>
      </w:pPr>
    </w:p>
    <w:p w:rsidR="00D704D3" w:rsidRDefault="000D5242">
      <w:pPr>
        <w:numPr>
          <w:ilvl w:val="0"/>
          <w:numId w:val="2"/>
        </w:num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Razones o Motivos de Inconformidad</w:t>
      </w:r>
      <w:r>
        <w:rPr>
          <w:rFonts w:ascii="Palatino Linotype" w:eastAsia="Palatino Linotype" w:hAnsi="Palatino Linotype" w:cs="Palatino Linotype"/>
        </w:rPr>
        <w:t xml:space="preserve">: </w:t>
      </w:r>
    </w:p>
    <w:p w:rsidR="00D704D3" w:rsidRDefault="000D5242">
      <w:pPr>
        <w:spacing w:after="0" w:line="240" w:lineRule="auto"/>
        <w:ind w:left="851" w:right="850"/>
        <w:jc w:val="both"/>
        <w:rPr>
          <w:rFonts w:ascii="Palatino Linotype" w:eastAsia="Palatino Linotype" w:hAnsi="Palatino Linotype" w:cs="Palatino Linotype"/>
          <w:i/>
        </w:rPr>
      </w:pPr>
      <w:r>
        <w:rPr>
          <w:rFonts w:ascii="Palatino Linotype" w:eastAsia="Palatino Linotype" w:hAnsi="Palatino Linotype" w:cs="Palatino Linotype"/>
          <w:i/>
        </w:rPr>
        <w:t xml:space="preserve">“No proporcionan la información, los sueldos que </w:t>
      </w:r>
      <w:proofErr w:type="spellStart"/>
      <w:r>
        <w:rPr>
          <w:rFonts w:ascii="Palatino Linotype" w:eastAsia="Palatino Linotype" w:hAnsi="Palatino Linotype" w:cs="Palatino Linotype"/>
          <w:i/>
        </w:rPr>
        <w:t>persiven</w:t>
      </w:r>
      <w:proofErr w:type="spellEnd"/>
      <w:r>
        <w:rPr>
          <w:rFonts w:ascii="Palatino Linotype" w:eastAsia="Palatino Linotype" w:hAnsi="Palatino Linotype" w:cs="Palatino Linotype"/>
          <w:i/>
        </w:rPr>
        <w:t xml:space="preserve"> los servidores públicos deben de ser información PÚBLICA, RECIBEN EL SUELDO CON RECURSOS PÚBLICOS, Me contestan que</w:t>
      </w:r>
      <w:r>
        <w:rPr>
          <w:rFonts w:ascii="Palatino Linotype" w:eastAsia="Palatino Linotype" w:hAnsi="Palatino Linotype" w:cs="Palatino Linotype"/>
          <w:i/>
        </w:rPr>
        <w:t xml:space="preserve"> los servidores públicos no autorizan, por lo qué solicito copia simple de los oficios girados a todos y cada uno de los servidores públicos en dónde funden y motiven el </w:t>
      </w:r>
      <w:proofErr w:type="spellStart"/>
      <w:r>
        <w:rPr>
          <w:rFonts w:ascii="Palatino Linotype" w:eastAsia="Palatino Linotype" w:hAnsi="Palatino Linotype" w:cs="Palatino Linotype"/>
          <w:i/>
        </w:rPr>
        <w:t>xq</w:t>
      </w:r>
      <w:proofErr w:type="spellEnd"/>
      <w:r>
        <w:rPr>
          <w:rFonts w:ascii="Palatino Linotype" w:eastAsia="Palatino Linotype" w:hAnsi="Palatino Linotype" w:cs="Palatino Linotype"/>
          <w:i/>
        </w:rPr>
        <w:t xml:space="preserve"> no autorizan saber cuánto ganan, se me hace una falta de respeto para todas las per</w:t>
      </w:r>
      <w:r>
        <w:rPr>
          <w:rFonts w:ascii="Palatino Linotype" w:eastAsia="Palatino Linotype" w:hAnsi="Palatino Linotype" w:cs="Palatino Linotype"/>
          <w:i/>
        </w:rPr>
        <w:t>sonas que pagamos impuestos puntualmente y que no nos permitan saber en qué se gastan en dinero. Y con los organigramas ni se diga, sinceramente desconocía que no tengan organizado a su personal, cuando uno va a realizar un trámite o servicios, las persona</w:t>
      </w:r>
      <w:r>
        <w:rPr>
          <w:rFonts w:ascii="Palatino Linotype" w:eastAsia="Palatino Linotype" w:hAnsi="Palatino Linotype" w:cs="Palatino Linotype"/>
          <w:i/>
        </w:rPr>
        <w:t xml:space="preserve">s que atienden ni te dicen su nombre ni al aérea al que están </w:t>
      </w:r>
      <w:proofErr w:type="spellStart"/>
      <w:r>
        <w:rPr>
          <w:rFonts w:ascii="Palatino Linotype" w:eastAsia="Palatino Linotype" w:hAnsi="Palatino Linotype" w:cs="Palatino Linotype"/>
          <w:i/>
        </w:rPr>
        <w:t>adcritos</w:t>
      </w:r>
      <w:proofErr w:type="spellEnd"/>
      <w:r>
        <w:rPr>
          <w:rFonts w:ascii="Palatino Linotype" w:eastAsia="Palatino Linotype" w:hAnsi="Palatino Linotype" w:cs="Palatino Linotype"/>
          <w:i/>
        </w:rPr>
        <w:t>, desde mi ignorancia pensé que si los tenían para yo saber con quién me tengo que dirigir porqué luego no están los encargados de despacho/directores y somos atendidos por personal auxi</w:t>
      </w:r>
      <w:r>
        <w:rPr>
          <w:rFonts w:ascii="Palatino Linotype" w:eastAsia="Palatino Linotype" w:hAnsi="Palatino Linotype" w:cs="Palatino Linotype"/>
          <w:i/>
        </w:rPr>
        <w:t xml:space="preserve">liar que muchas veces </w:t>
      </w:r>
      <w:proofErr w:type="spellStart"/>
      <w:r>
        <w:rPr>
          <w:rFonts w:ascii="Palatino Linotype" w:eastAsia="Palatino Linotype" w:hAnsi="Palatino Linotype" w:cs="Palatino Linotype"/>
          <w:i/>
        </w:rPr>
        <w:t>desconozce</w:t>
      </w:r>
      <w:proofErr w:type="spellEnd"/>
      <w:r>
        <w:rPr>
          <w:rFonts w:ascii="Palatino Linotype" w:eastAsia="Palatino Linotype" w:hAnsi="Palatino Linotype" w:cs="Palatino Linotype"/>
          <w:i/>
        </w:rPr>
        <w:t xml:space="preserve"> de los trámites o servicios que se brindan, solamente quería identificar a los trabajadores para no tener que estar preguntando quien me puede atender, si no hay organigramas no entiendo cómo es que están trabajando sin un </w:t>
      </w:r>
      <w:r>
        <w:rPr>
          <w:rFonts w:ascii="Palatino Linotype" w:eastAsia="Palatino Linotype" w:hAnsi="Palatino Linotype" w:cs="Palatino Linotype"/>
          <w:i/>
        </w:rPr>
        <w:t>orden.” [</w:t>
      </w:r>
      <w:proofErr w:type="gramStart"/>
      <w:r>
        <w:rPr>
          <w:rFonts w:ascii="Palatino Linotype" w:eastAsia="Palatino Linotype" w:hAnsi="Palatino Linotype" w:cs="Palatino Linotype"/>
          <w:i/>
        </w:rPr>
        <w:t>sic</w:t>
      </w:r>
      <w:proofErr w:type="gramEnd"/>
      <w:r>
        <w:rPr>
          <w:rFonts w:ascii="Palatino Linotype" w:eastAsia="Palatino Linotype" w:hAnsi="Palatino Linotype" w:cs="Palatino Linotype"/>
          <w:i/>
        </w:rPr>
        <w:t>]</w:t>
      </w:r>
    </w:p>
    <w:p w:rsidR="00D704D3" w:rsidRDefault="00D704D3">
      <w:pPr>
        <w:spacing w:after="0" w:line="360" w:lineRule="auto"/>
        <w:jc w:val="both"/>
        <w:rPr>
          <w:rFonts w:ascii="Palatino Linotype" w:eastAsia="Palatino Linotype" w:hAnsi="Palatino Linotype" w:cs="Palatino Linotype"/>
        </w:rPr>
      </w:pPr>
    </w:p>
    <w:p w:rsidR="00D704D3" w:rsidRDefault="000D524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Durante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remitió el archivo electrónico denominado “</w:t>
      </w:r>
      <w:r>
        <w:rPr>
          <w:rFonts w:ascii="Palatino Linotype" w:eastAsia="Palatino Linotype" w:hAnsi="Palatino Linotype" w:cs="Palatino Linotype"/>
          <w:b/>
        </w:rPr>
        <w:t>03540.pdf</w:t>
      </w:r>
      <w:r>
        <w:rPr>
          <w:rFonts w:ascii="Palatino Linotype" w:eastAsia="Palatino Linotype" w:hAnsi="Palatino Linotype" w:cs="Palatino Linotype"/>
        </w:rPr>
        <w:t>” a través del cual, la Titular de la Unidad de Transparencia, comunica que mediante oficio, la Unidad de Información, Planeación, P</w:t>
      </w:r>
      <w:r>
        <w:rPr>
          <w:rFonts w:ascii="Palatino Linotype" w:eastAsia="Palatino Linotype" w:hAnsi="Palatino Linotype" w:cs="Palatino Linotype"/>
        </w:rPr>
        <w:t xml:space="preserve">rogramación y Evaluación y la Coordinación de Mejora Regulatoria, informó que la información solicitada, no está generada como la requiere el solicitante, señalando que el Sujeto Obligado, únicamente ha generado un Organigrama de manera general, mismo que </w:t>
      </w:r>
      <w:r>
        <w:rPr>
          <w:rFonts w:ascii="Palatino Linotype" w:eastAsia="Palatino Linotype" w:hAnsi="Palatino Linotype" w:cs="Palatino Linotype"/>
        </w:rPr>
        <w:t>se anexa mediante una dirección electrónica en formato cerrado y un QR.</w:t>
      </w:r>
    </w:p>
    <w:p w:rsidR="00D704D3" w:rsidRDefault="000D524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su lado,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fue omisa en rendir manifestaciones o alegatos que conforme a derecho resultaran procedentes.</w:t>
      </w:r>
    </w:p>
    <w:p w:rsidR="00D704D3" w:rsidRDefault="000D524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el Instituto consideró que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resultan fundados, y determinó revocar la respuesta para ordenar la entrega de lo siguiente:</w:t>
      </w:r>
    </w:p>
    <w:p w:rsidR="00D704D3" w:rsidRDefault="000D5242">
      <w:pPr>
        <w:pBdr>
          <w:top w:val="nil"/>
          <w:left w:val="nil"/>
          <w:bottom w:val="nil"/>
          <w:right w:val="nil"/>
          <w:between w:val="nil"/>
        </w:pBdr>
        <w:spacing w:before="240" w:after="240" w:line="240" w:lineRule="auto"/>
        <w:ind w:left="567" w:right="564"/>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PRIMERO.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 xml:space="preserve">REVOCA </w:t>
      </w:r>
      <w:r>
        <w:rPr>
          <w:rFonts w:ascii="Palatino Linotype" w:eastAsia="Palatino Linotype" w:hAnsi="Palatino Linotype" w:cs="Palatino Linotype"/>
          <w:i/>
        </w:rPr>
        <w:t>la respuesta entregada po</w:t>
      </w:r>
      <w:r>
        <w:rPr>
          <w:rFonts w:ascii="Palatino Linotype" w:eastAsia="Palatino Linotype" w:hAnsi="Palatino Linotype" w:cs="Palatino Linotype"/>
          <w:i/>
        </w:rPr>
        <w:t xml:space="preserve">r </w:t>
      </w:r>
      <w:r>
        <w:rPr>
          <w:rFonts w:ascii="Palatino Linotype" w:eastAsia="Palatino Linotype" w:hAnsi="Palatino Linotype" w:cs="Palatino Linotype"/>
          <w:b/>
          <w:i/>
        </w:rPr>
        <w:t xml:space="preserve">El Sujeto Obligado, </w:t>
      </w:r>
      <w:r>
        <w:rPr>
          <w:rFonts w:ascii="Palatino Linotype" w:eastAsia="Palatino Linotype" w:hAnsi="Palatino Linotype" w:cs="Palatino Linotype"/>
          <w:i/>
        </w:rPr>
        <w:t xml:space="preserve">a la solicitud de información número </w:t>
      </w:r>
      <w:r>
        <w:rPr>
          <w:rFonts w:ascii="Palatino Linotype" w:eastAsia="Palatino Linotype" w:hAnsi="Palatino Linotype" w:cs="Palatino Linotype"/>
          <w:b/>
          <w:i/>
        </w:rPr>
        <w:t xml:space="preserve">00085/TEMAMATL/IP/2025 </w:t>
      </w:r>
      <w:r>
        <w:rPr>
          <w:rFonts w:ascii="Palatino Linotype" w:eastAsia="Palatino Linotype" w:hAnsi="Palatino Linotype" w:cs="Palatino Linotype"/>
          <w:i/>
        </w:rPr>
        <w:t xml:space="preserve">por resultar fundados los motivos de inconformidad que arguye </w:t>
      </w:r>
      <w:r>
        <w:rPr>
          <w:rFonts w:ascii="Palatino Linotype" w:eastAsia="Palatino Linotype" w:hAnsi="Palatino Linotype" w:cs="Palatino Linotype"/>
          <w:b/>
          <w:i/>
        </w:rPr>
        <w:t xml:space="preserve">el Recurrente, </w:t>
      </w:r>
      <w:r>
        <w:rPr>
          <w:rFonts w:ascii="Palatino Linotype" w:eastAsia="Palatino Linotype" w:hAnsi="Palatino Linotype" w:cs="Palatino Linotype"/>
          <w:i/>
        </w:rPr>
        <w:t xml:space="preserve">en términos del </w:t>
      </w:r>
      <w:r>
        <w:rPr>
          <w:rFonts w:ascii="Palatino Linotype" w:eastAsia="Palatino Linotype" w:hAnsi="Palatino Linotype" w:cs="Palatino Linotype"/>
          <w:b/>
          <w:i/>
        </w:rPr>
        <w:t xml:space="preserve">Considerando CUARTO </w:t>
      </w:r>
      <w:r>
        <w:rPr>
          <w:rFonts w:ascii="Palatino Linotype" w:eastAsia="Palatino Linotype" w:hAnsi="Palatino Linotype" w:cs="Palatino Linotype"/>
          <w:i/>
        </w:rPr>
        <w:t xml:space="preserve">de la presente resolución. </w:t>
      </w:r>
    </w:p>
    <w:p w:rsidR="00D704D3" w:rsidRDefault="000D5242">
      <w:pPr>
        <w:pBdr>
          <w:top w:val="nil"/>
          <w:left w:val="nil"/>
          <w:bottom w:val="nil"/>
          <w:right w:val="nil"/>
          <w:between w:val="nil"/>
        </w:pBdr>
        <w:spacing w:before="240" w:after="240" w:line="240" w:lineRule="auto"/>
        <w:ind w:left="567" w:right="564"/>
        <w:jc w:val="both"/>
        <w:rPr>
          <w:rFonts w:ascii="Palatino Linotype" w:eastAsia="Palatino Linotype" w:hAnsi="Palatino Linotype" w:cs="Palatino Linotype"/>
          <w:i/>
        </w:rPr>
      </w:pPr>
      <w:r>
        <w:rPr>
          <w:rFonts w:ascii="Palatino Linotype" w:eastAsia="Palatino Linotype" w:hAnsi="Palatino Linotype" w:cs="Palatino Linotype"/>
          <w:b/>
          <w:i/>
        </w:rPr>
        <w:t>SEGUNDO.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 xml:space="preserve">ORDENA </w:t>
      </w:r>
      <w:r>
        <w:rPr>
          <w:rFonts w:ascii="Palatino Linotype" w:eastAsia="Palatino Linotype" w:hAnsi="Palatino Linotype" w:cs="Palatino Linotype"/>
          <w:i/>
        </w:rPr>
        <w:t xml:space="preserve">al </w:t>
      </w:r>
      <w:r>
        <w:rPr>
          <w:rFonts w:ascii="Palatino Linotype" w:eastAsia="Palatino Linotype" w:hAnsi="Palatino Linotype" w:cs="Palatino Linotype"/>
          <w:b/>
          <w:i/>
        </w:rPr>
        <w:t>Sujeto Obli</w:t>
      </w:r>
      <w:r>
        <w:rPr>
          <w:rFonts w:ascii="Palatino Linotype" w:eastAsia="Palatino Linotype" w:hAnsi="Palatino Linotype" w:cs="Palatino Linotype"/>
          <w:b/>
          <w:i/>
        </w:rPr>
        <w:t xml:space="preserve">gado </w:t>
      </w:r>
      <w:r>
        <w:rPr>
          <w:rFonts w:ascii="Palatino Linotype" w:eastAsia="Palatino Linotype" w:hAnsi="Palatino Linotype" w:cs="Palatino Linotype"/>
          <w:i/>
        </w:rPr>
        <w:t xml:space="preserve">haga entrega al </w:t>
      </w:r>
      <w:r>
        <w:rPr>
          <w:rFonts w:ascii="Palatino Linotype" w:eastAsia="Palatino Linotype" w:hAnsi="Palatino Linotype" w:cs="Palatino Linotype"/>
          <w:b/>
          <w:i/>
        </w:rPr>
        <w:t xml:space="preserve">Recurrente, </w:t>
      </w:r>
      <w:r>
        <w:rPr>
          <w:rFonts w:ascii="Palatino Linotype" w:eastAsia="Palatino Linotype" w:hAnsi="Palatino Linotype" w:cs="Palatino Linotype"/>
          <w:i/>
        </w:rPr>
        <w:t>a través del Sistema de Acceso a la Información Mexiquense (SAIMEX), en términos del Considerando</w:t>
      </w:r>
      <w:r>
        <w:rPr>
          <w:rFonts w:ascii="Palatino Linotype" w:eastAsia="Palatino Linotype" w:hAnsi="Palatino Linotype" w:cs="Palatino Linotype"/>
          <w:b/>
          <w:i/>
        </w:rPr>
        <w:t xml:space="preserve"> CUARTO</w:t>
      </w:r>
      <w:r>
        <w:rPr>
          <w:rFonts w:ascii="Palatino Linotype" w:eastAsia="Palatino Linotype" w:hAnsi="Palatino Linotype" w:cs="Palatino Linotype"/>
          <w:i/>
        </w:rPr>
        <w:t xml:space="preserve"> de la presente resolución, en versión pública de ser procedente, </w:t>
      </w:r>
      <w:r>
        <w:rPr>
          <w:rFonts w:ascii="Palatino Linotype" w:eastAsia="Palatino Linotype" w:hAnsi="Palatino Linotype" w:cs="Palatino Linotype"/>
          <w:b/>
          <w:i/>
        </w:rPr>
        <w:t>de la Dirección de Desarrollo Económico, Juzgado Cívi</w:t>
      </w:r>
      <w:r>
        <w:rPr>
          <w:rFonts w:ascii="Palatino Linotype" w:eastAsia="Palatino Linotype" w:hAnsi="Palatino Linotype" w:cs="Palatino Linotype"/>
          <w:b/>
          <w:i/>
        </w:rPr>
        <w:t>co, Presidencia Municipal, Secretaría del Ayuntamiento, Tesorería Municipal y Contraloría Interna Municipal</w:t>
      </w:r>
      <w:r>
        <w:rPr>
          <w:rFonts w:ascii="Palatino Linotype" w:eastAsia="Palatino Linotype" w:hAnsi="Palatino Linotype" w:cs="Palatino Linotype"/>
          <w:i/>
        </w:rPr>
        <w:t>, lo siguiente:</w:t>
      </w:r>
    </w:p>
    <w:p w:rsidR="00D704D3" w:rsidRDefault="000D5242">
      <w:pPr>
        <w:numPr>
          <w:ilvl w:val="0"/>
          <w:numId w:val="3"/>
        </w:numPr>
        <w:pBdr>
          <w:top w:val="nil"/>
          <w:left w:val="nil"/>
          <w:bottom w:val="nil"/>
          <w:right w:val="nil"/>
          <w:between w:val="nil"/>
        </w:pBdr>
        <w:spacing w:before="240" w:after="240" w:line="240" w:lineRule="auto"/>
        <w:ind w:left="993" w:right="564"/>
        <w:jc w:val="both"/>
        <w:rPr>
          <w:rFonts w:ascii="Palatino Linotype" w:eastAsia="Palatino Linotype" w:hAnsi="Palatino Linotype" w:cs="Palatino Linotype"/>
          <w:i/>
        </w:rPr>
      </w:pPr>
      <w:r>
        <w:rPr>
          <w:rFonts w:ascii="Palatino Linotype" w:eastAsia="Palatino Linotype" w:hAnsi="Palatino Linotype" w:cs="Palatino Linotype"/>
          <w:i/>
        </w:rPr>
        <w:t>Organigrama vigente al 04 de marzo de 2025.</w:t>
      </w:r>
    </w:p>
    <w:p w:rsidR="00D704D3" w:rsidRDefault="000D5242">
      <w:pPr>
        <w:pBdr>
          <w:top w:val="nil"/>
          <w:left w:val="nil"/>
          <w:bottom w:val="nil"/>
          <w:right w:val="nil"/>
          <w:between w:val="nil"/>
        </w:pBdr>
        <w:spacing w:before="240" w:after="240" w:line="240" w:lineRule="auto"/>
        <w:ind w:left="633" w:right="564"/>
        <w:jc w:val="both"/>
        <w:rPr>
          <w:rFonts w:ascii="Palatino Linotype" w:eastAsia="Palatino Linotype" w:hAnsi="Palatino Linotype" w:cs="Palatino Linotype"/>
          <w:i/>
        </w:rPr>
      </w:pPr>
      <w:r>
        <w:rPr>
          <w:rFonts w:ascii="Palatino Linotype" w:eastAsia="Palatino Linotype" w:hAnsi="Palatino Linotype" w:cs="Palatino Linotype"/>
          <w:i/>
        </w:rPr>
        <w:t>[…]</w:t>
      </w:r>
    </w:p>
    <w:p w:rsidR="00D704D3" w:rsidRDefault="000D5242">
      <w:pPr>
        <w:pBdr>
          <w:top w:val="nil"/>
          <w:left w:val="nil"/>
          <w:bottom w:val="nil"/>
          <w:right w:val="nil"/>
          <w:between w:val="nil"/>
        </w:pBdr>
        <w:spacing w:before="240" w:after="240" w:line="240" w:lineRule="auto"/>
        <w:ind w:left="567" w:right="564"/>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Para la entrega en versión pública deberá emitir el Acuerdo del Comité de Transparencia en términos de los artículos 49, fracción VIII y 132 fracción II de la Ley de Transparencia y Acceso a la Información Pública del Estado de México y Municipios, en el q</w:t>
      </w:r>
      <w:r>
        <w:rPr>
          <w:rFonts w:ascii="Palatino Linotype" w:eastAsia="Palatino Linotype" w:hAnsi="Palatino Linotype" w:cs="Palatino Linotype"/>
          <w:i/>
        </w:rPr>
        <w:t>ue funde y motive las razones sobre los datos que se supriman o eliminen y se ponga a disposición del recurrente.”</w:t>
      </w:r>
    </w:p>
    <w:p w:rsidR="00D704D3" w:rsidRDefault="000D524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II.</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Razones de la Opinión Particular. </w:t>
      </w:r>
    </w:p>
    <w:p w:rsidR="00D704D3" w:rsidRDefault="000D5242">
      <w:pPr>
        <w:spacing w:after="0"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rPr>
        <w:t>Las razones que motivan la presente opinión particular, radican en que si bien se comparte el sentido</w:t>
      </w:r>
      <w:r>
        <w:rPr>
          <w:rFonts w:ascii="Palatino Linotype" w:eastAsia="Palatino Linotype" w:hAnsi="Palatino Linotype" w:cs="Palatino Linotype"/>
        </w:rPr>
        <w:t xml:space="preserve"> de la resolución, la suscrita considera necesario aclarar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que en el cumplimiento a la resolución con relación al organigrama ordenado, bastará con que haga del conocimiento del particular el organigrama, vigente a la fecha de la solicit</w:t>
      </w:r>
      <w:r>
        <w:rPr>
          <w:rFonts w:ascii="Palatino Linotype" w:eastAsia="Palatino Linotype" w:hAnsi="Palatino Linotype" w:cs="Palatino Linotype"/>
        </w:rPr>
        <w:t xml:space="preserve">ud, en el que se advierta </w:t>
      </w:r>
      <w:r>
        <w:rPr>
          <w:rFonts w:ascii="Palatino Linotype" w:eastAsia="Palatino Linotype" w:hAnsi="Palatino Linotype" w:cs="Palatino Linotype"/>
          <w:b/>
          <w:u w:val="single"/>
        </w:rPr>
        <w:t>de manera completa las áreas que integran al Ayuntamiento de Temamatla para la actual administración pública municipal, en términos de lo que disponen las obligaciones de transparencia,  sin que sea necesario generar un organigram</w:t>
      </w:r>
      <w:r>
        <w:rPr>
          <w:rFonts w:ascii="Palatino Linotype" w:eastAsia="Palatino Linotype" w:hAnsi="Palatino Linotype" w:cs="Palatino Linotype"/>
          <w:b/>
          <w:u w:val="single"/>
        </w:rPr>
        <w:t>a por unidad administrativa de las que se solicita información.</w:t>
      </w:r>
    </w:p>
    <w:p w:rsidR="00D704D3" w:rsidRDefault="00D704D3">
      <w:pPr>
        <w:spacing w:after="0" w:line="360" w:lineRule="auto"/>
        <w:ind w:right="139"/>
        <w:jc w:val="both"/>
        <w:rPr>
          <w:rFonts w:ascii="Palatino Linotype" w:eastAsia="Palatino Linotype" w:hAnsi="Palatino Linotype" w:cs="Palatino Linotype"/>
        </w:rPr>
      </w:pPr>
    </w:p>
    <w:p w:rsidR="00D704D3" w:rsidRDefault="000D5242">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Al respecto, resulta conveniente citar las consideraciones expuestas en la resolución bajo las cuales se determinó Revocar la respuesta del Sujeto Obligado, por cuanto hace al punto de la sol</w:t>
      </w:r>
      <w:r>
        <w:rPr>
          <w:rFonts w:ascii="Palatino Linotype" w:eastAsia="Palatino Linotype" w:hAnsi="Palatino Linotype" w:cs="Palatino Linotype"/>
        </w:rPr>
        <w:t>icitud relativa al organigrama:</w:t>
      </w:r>
    </w:p>
    <w:p w:rsidR="00D704D3" w:rsidRDefault="00D704D3">
      <w:pPr>
        <w:spacing w:after="0" w:line="360" w:lineRule="auto"/>
        <w:ind w:right="139"/>
        <w:jc w:val="both"/>
        <w:rPr>
          <w:rFonts w:ascii="Palatino Linotype" w:eastAsia="Palatino Linotype" w:hAnsi="Palatino Linotype" w:cs="Palatino Linotype"/>
        </w:rPr>
      </w:pPr>
    </w:p>
    <w:p w:rsidR="00D704D3" w:rsidRDefault="000D5242">
      <w:pPr>
        <w:spacing w:line="240" w:lineRule="auto"/>
        <w:ind w:left="567" w:right="706"/>
        <w:jc w:val="both"/>
        <w:rPr>
          <w:rFonts w:ascii="Palatino Linotype" w:eastAsia="Palatino Linotype" w:hAnsi="Palatino Linotype" w:cs="Palatino Linotype"/>
          <w:i/>
          <w:sz w:val="21"/>
          <w:szCs w:val="21"/>
        </w:rPr>
      </w:pPr>
      <w:r>
        <w:rPr>
          <w:rFonts w:ascii="Palatino Linotype" w:eastAsia="Palatino Linotype" w:hAnsi="Palatino Linotype" w:cs="Palatino Linotype"/>
          <w:i/>
          <w:sz w:val="21"/>
          <w:szCs w:val="21"/>
        </w:rPr>
        <w:t xml:space="preserve">“Ahora bien, respecto a la información requerida, correspondiente a la entrega del </w:t>
      </w:r>
      <w:r>
        <w:rPr>
          <w:rFonts w:ascii="Palatino Linotype" w:eastAsia="Palatino Linotype" w:hAnsi="Palatino Linotype" w:cs="Palatino Linotype"/>
          <w:b/>
          <w:i/>
          <w:sz w:val="21"/>
          <w:szCs w:val="21"/>
        </w:rPr>
        <w:t>Organigrama de</w:t>
      </w:r>
      <w:r>
        <w:rPr>
          <w:rFonts w:ascii="Times New Roman" w:eastAsia="Times New Roman" w:hAnsi="Times New Roman" w:cs="Times New Roman"/>
          <w:b/>
          <w:i/>
          <w:sz w:val="21"/>
          <w:szCs w:val="21"/>
        </w:rPr>
        <w:t xml:space="preserve"> </w:t>
      </w:r>
      <w:r>
        <w:rPr>
          <w:rFonts w:ascii="Palatino Linotype" w:eastAsia="Palatino Linotype" w:hAnsi="Palatino Linotype" w:cs="Palatino Linotype"/>
          <w:b/>
          <w:i/>
          <w:sz w:val="21"/>
          <w:szCs w:val="21"/>
        </w:rPr>
        <w:t>las Unidades Administrativas de Desarrollo Económico, Juzgado Cívico, Presidencia, Secretaría del Ayuntamiento, Tesorería y Contraloría</w:t>
      </w:r>
      <w:r>
        <w:rPr>
          <w:rFonts w:ascii="Palatino Linotype" w:eastAsia="Palatino Linotype" w:hAnsi="Palatino Linotype" w:cs="Palatino Linotype"/>
          <w:i/>
          <w:sz w:val="21"/>
          <w:szCs w:val="21"/>
        </w:rPr>
        <w:t xml:space="preserve">, es de precisar que, el </w:t>
      </w:r>
      <w:r>
        <w:rPr>
          <w:rFonts w:ascii="Palatino Linotype" w:eastAsia="Palatino Linotype" w:hAnsi="Palatino Linotype" w:cs="Palatino Linotype"/>
          <w:b/>
          <w:i/>
          <w:sz w:val="21"/>
          <w:szCs w:val="21"/>
        </w:rPr>
        <w:t>Sujeto Obligado</w:t>
      </w:r>
      <w:r>
        <w:rPr>
          <w:rFonts w:ascii="Palatino Linotype" w:eastAsia="Palatino Linotype" w:hAnsi="Palatino Linotype" w:cs="Palatino Linotype"/>
          <w:i/>
          <w:sz w:val="21"/>
          <w:szCs w:val="21"/>
        </w:rPr>
        <w:t xml:space="preserve"> hizo entrega mediante informe justificado, de una dirección electrónica y Código</w:t>
      </w:r>
      <w:r>
        <w:rPr>
          <w:rFonts w:ascii="Palatino Linotype" w:eastAsia="Palatino Linotype" w:hAnsi="Palatino Linotype" w:cs="Palatino Linotype"/>
          <w:i/>
          <w:sz w:val="21"/>
          <w:szCs w:val="21"/>
        </w:rPr>
        <w:t xml:space="preserve"> QR mediante informe justificado, manifestando que el Organigrama general se encuentra publicado en la página oficial de Información Pública de Oficio Mexiquense, como se advierte de la imagen que se inserta a continuación: </w:t>
      </w:r>
    </w:p>
    <w:p w:rsidR="00D704D3" w:rsidRDefault="000D5242">
      <w:pPr>
        <w:spacing w:line="240" w:lineRule="auto"/>
        <w:ind w:left="567" w:right="706"/>
        <w:jc w:val="both"/>
        <w:rPr>
          <w:rFonts w:ascii="Palatino Linotype" w:eastAsia="Palatino Linotype" w:hAnsi="Palatino Linotype" w:cs="Palatino Linotype"/>
          <w:i/>
          <w:sz w:val="21"/>
          <w:szCs w:val="21"/>
        </w:rPr>
      </w:pPr>
      <w:r>
        <w:rPr>
          <w:rFonts w:ascii="Palatino Linotype" w:eastAsia="Palatino Linotype" w:hAnsi="Palatino Linotype" w:cs="Palatino Linotype"/>
          <w:i/>
          <w:sz w:val="21"/>
          <w:szCs w:val="21"/>
        </w:rPr>
        <w:lastRenderedPageBreak/>
        <w:t>[…]</w:t>
      </w:r>
    </w:p>
    <w:p w:rsidR="00D704D3" w:rsidRDefault="00D704D3">
      <w:pPr>
        <w:spacing w:after="0" w:line="240" w:lineRule="auto"/>
        <w:ind w:left="567" w:right="706"/>
        <w:jc w:val="both"/>
        <w:rPr>
          <w:rFonts w:ascii="Palatino Linotype" w:eastAsia="Palatino Linotype" w:hAnsi="Palatino Linotype" w:cs="Palatino Linotype"/>
          <w:i/>
          <w:sz w:val="21"/>
          <w:szCs w:val="21"/>
        </w:rPr>
      </w:pPr>
    </w:p>
    <w:p w:rsidR="00D704D3" w:rsidRDefault="000D5242">
      <w:pPr>
        <w:spacing w:after="0" w:line="240" w:lineRule="auto"/>
        <w:ind w:left="567" w:right="706"/>
        <w:jc w:val="both"/>
        <w:rPr>
          <w:rFonts w:ascii="Palatino Linotype" w:eastAsia="Palatino Linotype" w:hAnsi="Palatino Linotype" w:cs="Palatino Linotype"/>
          <w:i/>
          <w:sz w:val="21"/>
          <w:szCs w:val="21"/>
        </w:rPr>
      </w:pPr>
      <w:r>
        <w:rPr>
          <w:rFonts w:ascii="Palatino Linotype" w:eastAsia="Palatino Linotype" w:hAnsi="Palatino Linotype" w:cs="Palatino Linotype"/>
          <w:i/>
          <w:sz w:val="21"/>
          <w:szCs w:val="21"/>
        </w:rPr>
        <w:t xml:space="preserve">De la imagen referida con </w:t>
      </w:r>
      <w:r>
        <w:rPr>
          <w:rFonts w:ascii="Palatino Linotype" w:eastAsia="Palatino Linotype" w:hAnsi="Palatino Linotype" w:cs="Palatino Linotype"/>
          <w:i/>
          <w:sz w:val="21"/>
          <w:szCs w:val="21"/>
        </w:rPr>
        <w:t xml:space="preserve">anterioridad, podemos advertir que, </w:t>
      </w:r>
      <w:r>
        <w:rPr>
          <w:rFonts w:ascii="Palatino Linotype" w:eastAsia="Palatino Linotype" w:hAnsi="Palatino Linotype" w:cs="Palatino Linotype"/>
          <w:b/>
          <w:i/>
          <w:sz w:val="21"/>
          <w:szCs w:val="21"/>
        </w:rPr>
        <w:t>El Sujeto Obligado</w:t>
      </w:r>
      <w:r>
        <w:rPr>
          <w:rFonts w:ascii="Palatino Linotype" w:eastAsia="Palatino Linotype" w:hAnsi="Palatino Linotype" w:cs="Palatino Linotype"/>
          <w:i/>
          <w:sz w:val="21"/>
          <w:szCs w:val="21"/>
        </w:rPr>
        <w:t xml:space="preserve"> remitió una liga de acceso directo en formato cerrado, que para su reproducción sería necesario el transcribir cada uno de los caracteres, ante ello, los artículos 3° fracción VIII, XVI, 24, fracción V</w:t>
      </w:r>
      <w:r>
        <w:rPr>
          <w:rFonts w:ascii="Palatino Linotype" w:eastAsia="Palatino Linotype" w:hAnsi="Palatino Linotype" w:cs="Palatino Linotype"/>
          <w:i/>
          <w:sz w:val="21"/>
          <w:szCs w:val="21"/>
        </w:rPr>
        <w:t>, 41 y 160 de la Ley de Transparencia y Acceso a la Información Pública del Estado de México y Municipios, establecen que los Sujetos Obligados deben velar por la generación y entrega de la información a los particulares en formatos abiertos, con los efect</w:t>
      </w:r>
      <w:r>
        <w:rPr>
          <w:rFonts w:ascii="Palatino Linotype" w:eastAsia="Palatino Linotype" w:hAnsi="Palatino Linotype" w:cs="Palatino Linotype"/>
          <w:i/>
          <w:sz w:val="21"/>
          <w:szCs w:val="21"/>
        </w:rPr>
        <w:t xml:space="preserve">os de facilitar la reutilización de la información, por lo que se le exhorta al </w:t>
      </w:r>
      <w:r>
        <w:rPr>
          <w:rFonts w:ascii="Palatino Linotype" w:eastAsia="Palatino Linotype" w:hAnsi="Palatino Linotype" w:cs="Palatino Linotype"/>
          <w:b/>
          <w:i/>
          <w:sz w:val="21"/>
          <w:szCs w:val="21"/>
        </w:rPr>
        <w:t>Sujeto Obligado</w:t>
      </w:r>
      <w:r>
        <w:rPr>
          <w:rFonts w:ascii="Palatino Linotype" w:eastAsia="Palatino Linotype" w:hAnsi="Palatino Linotype" w:cs="Palatino Linotype"/>
          <w:i/>
          <w:sz w:val="21"/>
          <w:szCs w:val="21"/>
        </w:rPr>
        <w:t xml:space="preserve"> que, cuando realice la entrega de la información a través de links o enlaces electrónicos, estos permitan el acceso directo y no en formato cerrado, que permita</w:t>
      </w:r>
      <w:r>
        <w:rPr>
          <w:rFonts w:ascii="Palatino Linotype" w:eastAsia="Palatino Linotype" w:hAnsi="Palatino Linotype" w:cs="Palatino Linotype"/>
          <w:i/>
          <w:sz w:val="21"/>
          <w:szCs w:val="21"/>
        </w:rPr>
        <w:t xml:space="preserve"> al usuario a cometer un error humano en la misma digitación de la información.</w:t>
      </w:r>
    </w:p>
    <w:p w:rsidR="00D704D3" w:rsidRDefault="00D704D3">
      <w:pPr>
        <w:spacing w:after="0" w:line="240" w:lineRule="auto"/>
        <w:ind w:left="567" w:right="706"/>
        <w:jc w:val="both"/>
        <w:rPr>
          <w:rFonts w:ascii="Palatino Linotype" w:eastAsia="Palatino Linotype" w:hAnsi="Palatino Linotype" w:cs="Palatino Linotype"/>
          <w:i/>
          <w:sz w:val="21"/>
          <w:szCs w:val="21"/>
        </w:rPr>
      </w:pPr>
    </w:p>
    <w:p w:rsidR="00D704D3" w:rsidRDefault="000D5242">
      <w:pPr>
        <w:spacing w:after="0" w:line="240" w:lineRule="auto"/>
        <w:ind w:left="567" w:right="706"/>
        <w:jc w:val="both"/>
        <w:rPr>
          <w:rFonts w:ascii="Palatino Linotype" w:eastAsia="Palatino Linotype" w:hAnsi="Palatino Linotype" w:cs="Palatino Linotype"/>
          <w:i/>
          <w:sz w:val="21"/>
          <w:szCs w:val="21"/>
        </w:rPr>
      </w:pPr>
      <w:r>
        <w:rPr>
          <w:rFonts w:ascii="Palatino Linotype" w:eastAsia="Palatino Linotype" w:hAnsi="Palatino Linotype" w:cs="Palatino Linotype"/>
          <w:i/>
          <w:sz w:val="21"/>
          <w:szCs w:val="21"/>
        </w:rPr>
        <w:t>Por otra parte, relacionado al Código QR remitido, este Órgano Garante procedió a realizar la consulta de la información a la que remite, encontrando que dirige al portal de I</w:t>
      </w:r>
      <w:r>
        <w:rPr>
          <w:rFonts w:ascii="Palatino Linotype" w:eastAsia="Palatino Linotype" w:hAnsi="Palatino Linotype" w:cs="Palatino Linotype"/>
          <w:i/>
          <w:sz w:val="21"/>
          <w:szCs w:val="21"/>
        </w:rPr>
        <w:t>nformación Pública de Oficio Mexiquense del Ayuntamiento de Temamatla, en la cual, una vez desarrollado el procedimiento para la consulta de información proporcionado por el Sujeto Obligado (</w:t>
      </w:r>
      <w:r>
        <w:rPr>
          <w:rFonts w:ascii="Palatino Linotype" w:eastAsia="Palatino Linotype" w:hAnsi="Palatino Linotype" w:cs="Palatino Linotype"/>
          <w:b/>
          <w:i/>
          <w:sz w:val="21"/>
          <w:szCs w:val="21"/>
        </w:rPr>
        <w:t>consulte la fracción IIA, IIB y VII de la Estructura organizacion</w:t>
      </w:r>
      <w:r>
        <w:rPr>
          <w:rFonts w:ascii="Palatino Linotype" w:eastAsia="Palatino Linotype" w:hAnsi="Palatino Linotype" w:cs="Palatino Linotype"/>
          <w:b/>
          <w:i/>
          <w:sz w:val="21"/>
          <w:szCs w:val="21"/>
        </w:rPr>
        <w:t>al de la plataforma IPOMEX</w:t>
      </w:r>
      <w:r>
        <w:rPr>
          <w:rFonts w:ascii="Palatino Linotype" w:eastAsia="Palatino Linotype" w:hAnsi="Palatino Linotype" w:cs="Palatino Linotype"/>
          <w:i/>
          <w:sz w:val="21"/>
          <w:szCs w:val="21"/>
        </w:rPr>
        <w:t>), se localizó lo siguiente:</w:t>
      </w:r>
    </w:p>
    <w:p w:rsidR="00D704D3" w:rsidRDefault="00D704D3">
      <w:pPr>
        <w:spacing w:after="0" w:line="240" w:lineRule="auto"/>
        <w:ind w:left="567" w:right="706"/>
        <w:jc w:val="both"/>
        <w:rPr>
          <w:rFonts w:ascii="Palatino Linotype" w:eastAsia="Palatino Linotype" w:hAnsi="Palatino Linotype" w:cs="Palatino Linotype"/>
          <w:i/>
          <w:sz w:val="21"/>
          <w:szCs w:val="21"/>
        </w:rPr>
      </w:pPr>
    </w:p>
    <w:p w:rsidR="00D704D3" w:rsidRDefault="000D5242">
      <w:pPr>
        <w:spacing w:after="0" w:line="240" w:lineRule="auto"/>
        <w:ind w:left="567" w:right="706"/>
        <w:jc w:val="center"/>
        <w:rPr>
          <w:rFonts w:ascii="Palatino Linotype" w:eastAsia="Palatino Linotype" w:hAnsi="Palatino Linotype" w:cs="Palatino Linotype"/>
          <w:i/>
          <w:sz w:val="21"/>
          <w:szCs w:val="21"/>
        </w:rPr>
      </w:pPr>
      <w:r>
        <w:rPr>
          <w:rFonts w:ascii="Palatino Linotype" w:eastAsia="Palatino Linotype" w:hAnsi="Palatino Linotype" w:cs="Palatino Linotype"/>
          <w:i/>
          <w:noProof/>
          <w:sz w:val="21"/>
          <w:szCs w:val="21"/>
        </w:rPr>
        <w:drawing>
          <wp:inline distT="0" distB="0" distL="0" distR="0">
            <wp:extent cx="4707304" cy="1986043"/>
            <wp:effectExtent l="0" t="0" r="0" b="0"/>
            <wp:docPr id="2097420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707304" cy="1986043"/>
                    </a:xfrm>
                    <a:prstGeom prst="rect">
                      <a:avLst/>
                    </a:prstGeom>
                    <a:ln/>
                  </pic:spPr>
                </pic:pic>
              </a:graphicData>
            </a:graphic>
          </wp:inline>
        </w:drawing>
      </w:r>
    </w:p>
    <w:p w:rsidR="00D704D3" w:rsidRDefault="00D704D3">
      <w:pPr>
        <w:spacing w:after="0" w:line="240" w:lineRule="auto"/>
        <w:ind w:left="567" w:right="706"/>
        <w:jc w:val="both"/>
        <w:rPr>
          <w:rFonts w:ascii="Palatino Linotype" w:eastAsia="Palatino Linotype" w:hAnsi="Palatino Linotype" w:cs="Palatino Linotype"/>
          <w:i/>
          <w:sz w:val="21"/>
          <w:szCs w:val="21"/>
        </w:rPr>
      </w:pPr>
    </w:p>
    <w:p w:rsidR="00D704D3" w:rsidRDefault="000D5242">
      <w:pPr>
        <w:spacing w:after="0" w:line="240" w:lineRule="auto"/>
        <w:ind w:left="567" w:right="706"/>
        <w:jc w:val="both"/>
        <w:rPr>
          <w:rFonts w:ascii="Palatino Linotype" w:eastAsia="Palatino Linotype" w:hAnsi="Palatino Linotype" w:cs="Palatino Linotype"/>
          <w:i/>
          <w:sz w:val="21"/>
          <w:szCs w:val="21"/>
        </w:rPr>
      </w:pPr>
      <w:r>
        <w:rPr>
          <w:rFonts w:ascii="Palatino Linotype" w:eastAsia="Palatino Linotype" w:hAnsi="Palatino Linotype" w:cs="Palatino Linotype"/>
          <w:i/>
          <w:sz w:val="21"/>
          <w:szCs w:val="21"/>
        </w:rPr>
        <w:t xml:space="preserve">En ese orden de ideas, tomando en cuenta la información proporcionada por parte del Sujeto Obligado, es necesario señalar que no se tiene por colmada la pretensión del particular, ya que el </w:t>
      </w:r>
      <w:r>
        <w:rPr>
          <w:rFonts w:ascii="Palatino Linotype" w:eastAsia="Palatino Linotype" w:hAnsi="Palatino Linotype" w:cs="Palatino Linotype"/>
          <w:b/>
          <w:i/>
          <w:sz w:val="21"/>
          <w:szCs w:val="21"/>
        </w:rPr>
        <w:t xml:space="preserve">Sujeto </w:t>
      </w:r>
      <w:r>
        <w:rPr>
          <w:rFonts w:ascii="Palatino Linotype" w:eastAsia="Palatino Linotype" w:hAnsi="Palatino Linotype" w:cs="Palatino Linotype"/>
          <w:b/>
          <w:i/>
          <w:sz w:val="21"/>
          <w:szCs w:val="21"/>
        </w:rPr>
        <w:t>Obligado</w:t>
      </w:r>
      <w:r>
        <w:rPr>
          <w:rFonts w:ascii="Palatino Linotype" w:eastAsia="Palatino Linotype" w:hAnsi="Palatino Linotype" w:cs="Palatino Linotype"/>
          <w:i/>
          <w:sz w:val="21"/>
          <w:szCs w:val="21"/>
        </w:rPr>
        <w:t xml:space="preserve"> remitió un Organigrama general de la Administración Pública, </w:t>
      </w:r>
      <w:r>
        <w:rPr>
          <w:rFonts w:ascii="Palatino Linotype" w:eastAsia="Palatino Linotype" w:hAnsi="Palatino Linotype" w:cs="Palatino Linotype"/>
          <w:i/>
          <w:sz w:val="21"/>
          <w:szCs w:val="21"/>
        </w:rPr>
        <w:lastRenderedPageBreak/>
        <w:t xml:space="preserve">sin que se adviertan la totalidad de las Unidades Administrativas del Sujeto obligado, como lo son el Juzgado Cívico, así como las dependencias adscritas a cada una de ellas. </w:t>
      </w:r>
    </w:p>
    <w:p w:rsidR="00D704D3" w:rsidRDefault="00D704D3">
      <w:pPr>
        <w:spacing w:after="0" w:line="240" w:lineRule="auto"/>
        <w:ind w:left="567" w:right="706"/>
        <w:jc w:val="both"/>
        <w:rPr>
          <w:rFonts w:ascii="Palatino Linotype" w:eastAsia="Palatino Linotype" w:hAnsi="Palatino Linotype" w:cs="Palatino Linotype"/>
          <w:i/>
          <w:sz w:val="21"/>
          <w:szCs w:val="21"/>
        </w:rPr>
      </w:pPr>
    </w:p>
    <w:p w:rsidR="00D704D3" w:rsidRDefault="000D5242">
      <w:pPr>
        <w:spacing w:after="0" w:line="240" w:lineRule="auto"/>
        <w:ind w:left="567" w:right="706"/>
        <w:jc w:val="both"/>
        <w:rPr>
          <w:rFonts w:ascii="Palatino Linotype" w:eastAsia="Palatino Linotype" w:hAnsi="Palatino Linotype" w:cs="Palatino Linotype"/>
          <w:i/>
          <w:color w:val="000000"/>
          <w:sz w:val="21"/>
          <w:szCs w:val="21"/>
        </w:rPr>
      </w:pPr>
      <w:r>
        <w:rPr>
          <w:rFonts w:ascii="Palatino Linotype" w:eastAsia="Palatino Linotype" w:hAnsi="Palatino Linotype" w:cs="Palatino Linotype"/>
          <w:i/>
          <w:sz w:val="21"/>
          <w:szCs w:val="21"/>
        </w:rPr>
        <w:t xml:space="preserve">Señalado </w:t>
      </w:r>
      <w:r>
        <w:rPr>
          <w:rFonts w:ascii="Palatino Linotype" w:eastAsia="Palatino Linotype" w:hAnsi="Palatino Linotype" w:cs="Palatino Linotype"/>
          <w:i/>
          <w:sz w:val="21"/>
          <w:szCs w:val="21"/>
        </w:rPr>
        <w:t xml:space="preserve">lo anterior, toda vez que el particular requiere en específico </w:t>
      </w:r>
      <w:proofErr w:type="gramStart"/>
      <w:r>
        <w:rPr>
          <w:rFonts w:ascii="Palatino Linotype" w:eastAsia="Palatino Linotype" w:hAnsi="Palatino Linotype" w:cs="Palatino Linotype"/>
          <w:i/>
          <w:sz w:val="21"/>
          <w:szCs w:val="21"/>
        </w:rPr>
        <w:t>la información concerniente al Organigrama de las Unidades Administrativas referidas</w:t>
      </w:r>
      <w:proofErr w:type="gramEnd"/>
      <w:r>
        <w:rPr>
          <w:rFonts w:ascii="Palatino Linotype" w:eastAsia="Palatino Linotype" w:hAnsi="Palatino Linotype" w:cs="Palatino Linotype"/>
          <w:i/>
          <w:sz w:val="21"/>
          <w:szCs w:val="21"/>
        </w:rPr>
        <w:t xml:space="preserve"> en la solicitud de información, resulta oportuno traer a colación los </w:t>
      </w:r>
      <w:r>
        <w:rPr>
          <w:rFonts w:ascii="Palatino Linotype" w:eastAsia="Palatino Linotype" w:hAnsi="Palatino Linotype" w:cs="Palatino Linotype"/>
          <w:i/>
          <w:color w:val="000000"/>
          <w:sz w:val="21"/>
          <w:szCs w:val="21"/>
        </w:rPr>
        <w:t>artículos 24, fracción XII, y 92, frac</w:t>
      </w:r>
      <w:r>
        <w:rPr>
          <w:rFonts w:ascii="Palatino Linotype" w:eastAsia="Palatino Linotype" w:hAnsi="Palatino Linotype" w:cs="Palatino Linotype"/>
          <w:i/>
          <w:color w:val="000000"/>
          <w:sz w:val="21"/>
          <w:szCs w:val="21"/>
        </w:rPr>
        <w:t>ción II de la Ley de Transparencia local, porciones normativas cuyo contenido literal es el siguiente:</w:t>
      </w:r>
    </w:p>
    <w:p w:rsidR="00D704D3" w:rsidRDefault="00D704D3">
      <w:pPr>
        <w:spacing w:after="0" w:line="240" w:lineRule="auto"/>
        <w:ind w:left="567" w:right="706"/>
        <w:jc w:val="both"/>
        <w:rPr>
          <w:rFonts w:ascii="Palatino Linotype" w:eastAsia="Palatino Linotype" w:hAnsi="Palatino Linotype" w:cs="Palatino Linotype"/>
          <w:i/>
          <w:color w:val="000000"/>
          <w:sz w:val="21"/>
          <w:szCs w:val="21"/>
        </w:rPr>
      </w:pPr>
    </w:p>
    <w:p w:rsidR="00D704D3" w:rsidRDefault="000D5242">
      <w:pPr>
        <w:tabs>
          <w:tab w:val="left" w:pos="709"/>
        </w:tabs>
        <w:spacing w:after="0" w:line="240" w:lineRule="auto"/>
        <w:ind w:left="1134" w:right="1273"/>
        <w:jc w:val="both"/>
        <w:rPr>
          <w:rFonts w:ascii="Palatino Linotype" w:eastAsia="Palatino Linotype" w:hAnsi="Palatino Linotype" w:cs="Palatino Linotype"/>
          <w:i/>
          <w:sz w:val="21"/>
          <w:szCs w:val="21"/>
        </w:rPr>
      </w:pPr>
      <w:r>
        <w:rPr>
          <w:rFonts w:ascii="Palatino Linotype" w:eastAsia="Palatino Linotype" w:hAnsi="Palatino Linotype" w:cs="Palatino Linotype"/>
          <w:b/>
          <w:i/>
          <w:sz w:val="21"/>
          <w:szCs w:val="21"/>
        </w:rPr>
        <w:t>“Artículo 24</w:t>
      </w:r>
      <w:r>
        <w:rPr>
          <w:rFonts w:ascii="Palatino Linotype" w:eastAsia="Palatino Linotype" w:hAnsi="Palatino Linotype" w:cs="Palatino Linotype"/>
          <w:i/>
          <w:sz w:val="21"/>
          <w:szCs w:val="21"/>
        </w:rPr>
        <w:t>. Para el cumplimiento de los objetivos de esta Ley, los sujetos obligados deberán cumplir con las siguientes obligaciones, según correspond</w:t>
      </w:r>
      <w:r>
        <w:rPr>
          <w:rFonts w:ascii="Palatino Linotype" w:eastAsia="Palatino Linotype" w:hAnsi="Palatino Linotype" w:cs="Palatino Linotype"/>
          <w:i/>
          <w:sz w:val="21"/>
          <w:szCs w:val="21"/>
        </w:rPr>
        <w:t>a, de acuerdo a su naturaleza:</w:t>
      </w:r>
    </w:p>
    <w:p w:rsidR="00D704D3" w:rsidRDefault="000D5242">
      <w:pPr>
        <w:tabs>
          <w:tab w:val="left" w:pos="709"/>
        </w:tabs>
        <w:spacing w:after="0" w:line="240" w:lineRule="auto"/>
        <w:ind w:left="1134" w:right="1273"/>
        <w:jc w:val="both"/>
        <w:rPr>
          <w:rFonts w:ascii="Palatino Linotype" w:eastAsia="Palatino Linotype" w:hAnsi="Palatino Linotype" w:cs="Palatino Linotype"/>
          <w:b/>
          <w:i/>
          <w:sz w:val="21"/>
          <w:szCs w:val="21"/>
        </w:rPr>
      </w:pPr>
      <w:r>
        <w:rPr>
          <w:rFonts w:ascii="Palatino Linotype" w:eastAsia="Palatino Linotype" w:hAnsi="Palatino Linotype" w:cs="Palatino Linotype"/>
          <w:b/>
          <w:i/>
          <w:sz w:val="21"/>
          <w:szCs w:val="21"/>
        </w:rPr>
        <w:t>(…)</w:t>
      </w:r>
    </w:p>
    <w:p w:rsidR="00D704D3" w:rsidRDefault="000D5242">
      <w:pPr>
        <w:tabs>
          <w:tab w:val="left" w:pos="709"/>
        </w:tabs>
        <w:spacing w:after="0" w:line="240" w:lineRule="auto"/>
        <w:ind w:left="1134" w:right="1273"/>
        <w:jc w:val="both"/>
        <w:rPr>
          <w:rFonts w:ascii="Palatino Linotype" w:eastAsia="Palatino Linotype" w:hAnsi="Palatino Linotype" w:cs="Palatino Linotype"/>
          <w:i/>
          <w:sz w:val="21"/>
          <w:szCs w:val="21"/>
        </w:rPr>
      </w:pPr>
      <w:r>
        <w:rPr>
          <w:rFonts w:ascii="Palatino Linotype" w:eastAsia="Palatino Linotype" w:hAnsi="Palatino Linotype" w:cs="Palatino Linotype"/>
          <w:b/>
          <w:i/>
          <w:sz w:val="21"/>
          <w:szCs w:val="21"/>
        </w:rPr>
        <w:t>XII</w:t>
      </w:r>
      <w:r>
        <w:rPr>
          <w:rFonts w:ascii="Palatino Linotype" w:eastAsia="Palatino Linotype" w:hAnsi="Palatino Linotype" w:cs="Palatino Linotype"/>
          <w:i/>
          <w:sz w:val="21"/>
          <w:szCs w:val="21"/>
        </w:rPr>
        <w:t>. Publicar y mantener actualizada la información relativa a las obligaciones generales de transparencia previstas en la presente Ley o determinadas así por el Instituto, y en general aquella que sea de interés público;</w:t>
      </w:r>
    </w:p>
    <w:p w:rsidR="00D704D3" w:rsidRDefault="000D5242">
      <w:pPr>
        <w:tabs>
          <w:tab w:val="left" w:pos="709"/>
        </w:tabs>
        <w:spacing w:after="0" w:line="240" w:lineRule="auto"/>
        <w:ind w:left="1134" w:right="1273"/>
        <w:jc w:val="both"/>
        <w:rPr>
          <w:rFonts w:ascii="Palatino Linotype" w:eastAsia="Palatino Linotype" w:hAnsi="Palatino Linotype" w:cs="Palatino Linotype"/>
          <w:b/>
          <w:i/>
          <w:sz w:val="21"/>
          <w:szCs w:val="21"/>
        </w:rPr>
      </w:pPr>
      <w:r>
        <w:rPr>
          <w:rFonts w:ascii="Palatino Linotype" w:eastAsia="Palatino Linotype" w:hAnsi="Palatino Linotype" w:cs="Palatino Linotype"/>
          <w:b/>
          <w:i/>
          <w:sz w:val="21"/>
          <w:szCs w:val="21"/>
        </w:rPr>
        <w:t>(…)</w:t>
      </w:r>
    </w:p>
    <w:p w:rsidR="00D704D3" w:rsidRDefault="00D704D3">
      <w:pPr>
        <w:tabs>
          <w:tab w:val="left" w:pos="709"/>
        </w:tabs>
        <w:spacing w:after="0" w:line="240" w:lineRule="auto"/>
        <w:ind w:left="1134" w:right="1273"/>
        <w:jc w:val="both"/>
        <w:rPr>
          <w:rFonts w:ascii="Palatino Linotype" w:eastAsia="Palatino Linotype" w:hAnsi="Palatino Linotype" w:cs="Palatino Linotype"/>
          <w:b/>
          <w:i/>
          <w:sz w:val="21"/>
          <w:szCs w:val="21"/>
        </w:rPr>
      </w:pPr>
    </w:p>
    <w:p w:rsidR="00D704D3" w:rsidRDefault="000D5242">
      <w:pPr>
        <w:tabs>
          <w:tab w:val="left" w:pos="709"/>
        </w:tabs>
        <w:spacing w:after="0" w:line="240" w:lineRule="auto"/>
        <w:ind w:left="1134" w:right="1273"/>
        <w:jc w:val="both"/>
        <w:rPr>
          <w:rFonts w:ascii="Palatino Linotype" w:eastAsia="Palatino Linotype" w:hAnsi="Palatino Linotype" w:cs="Palatino Linotype"/>
          <w:i/>
          <w:sz w:val="21"/>
          <w:szCs w:val="21"/>
        </w:rPr>
      </w:pPr>
      <w:r>
        <w:rPr>
          <w:rFonts w:ascii="Palatino Linotype" w:eastAsia="Palatino Linotype" w:hAnsi="Palatino Linotype" w:cs="Palatino Linotype"/>
          <w:b/>
          <w:i/>
          <w:sz w:val="21"/>
          <w:szCs w:val="21"/>
        </w:rPr>
        <w:t>Artículo 92</w:t>
      </w:r>
      <w:r>
        <w:rPr>
          <w:rFonts w:ascii="Palatino Linotype" w:eastAsia="Palatino Linotype" w:hAnsi="Palatino Linotype" w:cs="Palatino Linotype"/>
          <w:i/>
          <w:sz w:val="21"/>
          <w:szCs w:val="21"/>
        </w:rPr>
        <w:t xml:space="preserve">. </w:t>
      </w:r>
      <w:r>
        <w:rPr>
          <w:rFonts w:ascii="Palatino Linotype" w:eastAsia="Palatino Linotype" w:hAnsi="Palatino Linotype" w:cs="Palatino Linotype"/>
          <w:i/>
          <w:sz w:val="21"/>
          <w:szCs w:val="21"/>
          <w:u w:val="single"/>
        </w:rPr>
        <w:t>Los sujetos obligados deberán poner a disposición del público de manera permanente y actualizada</w:t>
      </w:r>
      <w:r>
        <w:rPr>
          <w:rFonts w:ascii="Palatino Linotype" w:eastAsia="Palatino Linotype" w:hAnsi="Palatino Linotype" w:cs="Palatino Linotype"/>
          <w:i/>
          <w:sz w:val="21"/>
          <w:szCs w:val="21"/>
        </w:rPr>
        <w:t xml:space="preserve"> de forma sencilla, precisa y entendible, en los respectivos medios electrónicos, de acuerdo con sus facultades, atribuciones, funciones u objeto social, según corresponda, la información, por lo menos, de los temas, documentos y políticas que a continuaci</w:t>
      </w:r>
      <w:r>
        <w:rPr>
          <w:rFonts w:ascii="Palatino Linotype" w:eastAsia="Palatino Linotype" w:hAnsi="Palatino Linotype" w:cs="Palatino Linotype"/>
          <w:i/>
          <w:sz w:val="21"/>
          <w:szCs w:val="21"/>
        </w:rPr>
        <w:t>ón se señalan:</w:t>
      </w:r>
    </w:p>
    <w:p w:rsidR="00D704D3" w:rsidRDefault="000D5242">
      <w:pPr>
        <w:tabs>
          <w:tab w:val="left" w:pos="709"/>
        </w:tabs>
        <w:spacing w:after="0" w:line="240" w:lineRule="auto"/>
        <w:ind w:left="1134" w:right="1273"/>
        <w:jc w:val="both"/>
        <w:rPr>
          <w:rFonts w:ascii="Palatino Linotype" w:eastAsia="Palatino Linotype" w:hAnsi="Palatino Linotype" w:cs="Palatino Linotype"/>
          <w:i/>
          <w:color w:val="000000"/>
          <w:sz w:val="21"/>
          <w:szCs w:val="21"/>
        </w:rPr>
      </w:pPr>
      <w:r>
        <w:rPr>
          <w:rFonts w:ascii="Palatino Linotype" w:eastAsia="Palatino Linotype" w:hAnsi="Palatino Linotype" w:cs="Palatino Linotype"/>
          <w:b/>
          <w:i/>
          <w:sz w:val="21"/>
          <w:szCs w:val="21"/>
        </w:rPr>
        <w:t>(…)</w:t>
      </w:r>
    </w:p>
    <w:p w:rsidR="00D704D3" w:rsidRDefault="000D5242">
      <w:pPr>
        <w:spacing w:after="0" w:line="240" w:lineRule="auto"/>
        <w:ind w:left="1134" w:right="1273"/>
        <w:jc w:val="both"/>
        <w:rPr>
          <w:rFonts w:ascii="Palatino Linotype" w:eastAsia="Palatino Linotype" w:hAnsi="Palatino Linotype" w:cs="Palatino Linotype"/>
          <w:i/>
          <w:sz w:val="21"/>
          <w:szCs w:val="21"/>
        </w:rPr>
      </w:pPr>
      <w:r>
        <w:rPr>
          <w:rFonts w:ascii="Palatino Linotype" w:eastAsia="Palatino Linotype" w:hAnsi="Palatino Linotype" w:cs="Palatino Linotype"/>
          <w:b/>
          <w:i/>
          <w:sz w:val="21"/>
          <w:szCs w:val="21"/>
        </w:rPr>
        <w:t>II</w:t>
      </w:r>
      <w:r>
        <w:rPr>
          <w:rFonts w:ascii="Palatino Linotype" w:eastAsia="Palatino Linotype" w:hAnsi="Palatino Linotype" w:cs="Palatino Linotype"/>
          <w:i/>
          <w:sz w:val="21"/>
          <w:szCs w:val="21"/>
        </w:rPr>
        <w:t xml:space="preserve">. </w:t>
      </w:r>
      <w:r>
        <w:rPr>
          <w:rFonts w:ascii="Palatino Linotype" w:eastAsia="Palatino Linotype" w:hAnsi="Palatino Linotype" w:cs="Palatino Linotype"/>
          <w:b/>
          <w:i/>
          <w:sz w:val="21"/>
          <w:szCs w:val="21"/>
        </w:rPr>
        <w:t>Su estructura orgánica completa, en un formato que permita vincular cada parte de la estructura, las atribuciones y responsabilidades que le corresponden a cada servidor público</w:t>
      </w:r>
      <w:r>
        <w:rPr>
          <w:rFonts w:ascii="Palatino Linotype" w:eastAsia="Palatino Linotype" w:hAnsi="Palatino Linotype" w:cs="Palatino Linotype"/>
          <w:i/>
          <w:sz w:val="21"/>
          <w:szCs w:val="21"/>
        </w:rPr>
        <w:t xml:space="preserve">, prestador de servicios profesionales o miembro de los </w:t>
      </w:r>
      <w:r>
        <w:rPr>
          <w:rFonts w:ascii="Palatino Linotype" w:eastAsia="Palatino Linotype" w:hAnsi="Palatino Linotype" w:cs="Palatino Linotype"/>
          <w:i/>
          <w:sz w:val="21"/>
          <w:szCs w:val="21"/>
        </w:rPr>
        <w:t>sujetos obligados, de conformidad con las disposiciones jurídicas aplicables;</w:t>
      </w:r>
    </w:p>
    <w:p w:rsidR="00D704D3" w:rsidRDefault="000D5242">
      <w:pPr>
        <w:spacing w:after="0" w:line="240" w:lineRule="auto"/>
        <w:ind w:left="1134" w:right="1273"/>
        <w:jc w:val="both"/>
        <w:rPr>
          <w:rFonts w:ascii="Palatino Linotype" w:eastAsia="Palatino Linotype" w:hAnsi="Palatino Linotype" w:cs="Palatino Linotype"/>
          <w:b/>
          <w:i/>
          <w:sz w:val="21"/>
          <w:szCs w:val="21"/>
        </w:rPr>
      </w:pPr>
      <w:r>
        <w:rPr>
          <w:rFonts w:ascii="Palatino Linotype" w:eastAsia="Palatino Linotype" w:hAnsi="Palatino Linotype" w:cs="Palatino Linotype"/>
          <w:i/>
          <w:sz w:val="21"/>
          <w:szCs w:val="21"/>
        </w:rPr>
        <w:t xml:space="preserve"> (…)” </w:t>
      </w:r>
      <w:r>
        <w:rPr>
          <w:rFonts w:ascii="Palatino Linotype" w:eastAsia="Palatino Linotype" w:hAnsi="Palatino Linotype" w:cs="Palatino Linotype"/>
          <w:b/>
          <w:i/>
          <w:sz w:val="21"/>
          <w:szCs w:val="21"/>
        </w:rPr>
        <w:t xml:space="preserve">[Sic] </w:t>
      </w:r>
    </w:p>
    <w:p w:rsidR="00D704D3" w:rsidRDefault="00D704D3">
      <w:pPr>
        <w:spacing w:after="0" w:line="240" w:lineRule="auto"/>
        <w:ind w:left="567" w:right="706"/>
        <w:jc w:val="both"/>
        <w:rPr>
          <w:rFonts w:ascii="Palatino Linotype" w:eastAsia="Palatino Linotype" w:hAnsi="Palatino Linotype" w:cs="Palatino Linotype"/>
          <w:i/>
          <w:sz w:val="21"/>
          <w:szCs w:val="21"/>
        </w:rPr>
      </w:pPr>
    </w:p>
    <w:p w:rsidR="00D704D3" w:rsidRDefault="000D5242">
      <w:pPr>
        <w:spacing w:after="0" w:line="240" w:lineRule="auto"/>
        <w:ind w:left="567" w:right="706"/>
        <w:jc w:val="both"/>
        <w:rPr>
          <w:rFonts w:ascii="Palatino Linotype" w:eastAsia="Palatino Linotype" w:hAnsi="Palatino Linotype" w:cs="Palatino Linotype"/>
          <w:i/>
          <w:sz w:val="21"/>
          <w:szCs w:val="21"/>
        </w:rPr>
      </w:pPr>
      <w:r>
        <w:rPr>
          <w:rFonts w:ascii="Palatino Linotype" w:eastAsia="Palatino Linotype" w:hAnsi="Palatino Linotype" w:cs="Palatino Linotype"/>
          <w:i/>
          <w:sz w:val="21"/>
          <w:szCs w:val="21"/>
        </w:rPr>
        <w:t>De los preceptos referidos con anterioridad, advertimos que el Sujeto Obligado se encuentra constreñido de poner a disposición del público de manera permanente y ac</w:t>
      </w:r>
      <w:r>
        <w:rPr>
          <w:rFonts w:ascii="Palatino Linotype" w:eastAsia="Palatino Linotype" w:hAnsi="Palatino Linotype" w:cs="Palatino Linotype"/>
          <w:i/>
          <w:sz w:val="21"/>
          <w:szCs w:val="21"/>
        </w:rPr>
        <w:t>tualizada</w:t>
      </w:r>
      <w:r>
        <w:rPr>
          <w:rFonts w:ascii="Times New Roman" w:eastAsia="Times New Roman" w:hAnsi="Times New Roman" w:cs="Times New Roman"/>
          <w:i/>
          <w:sz w:val="21"/>
          <w:szCs w:val="21"/>
        </w:rPr>
        <w:t xml:space="preserve"> </w:t>
      </w:r>
      <w:r>
        <w:rPr>
          <w:rFonts w:ascii="Palatino Linotype" w:eastAsia="Palatino Linotype" w:hAnsi="Palatino Linotype" w:cs="Palatino Linotype"/>
          <w:i/>
          <w:sz w:val="21"/>
          <w:szCs w:val="21"/>
        </w:rPr>
        <w:t xml:space="preserve">su estructura orgánica completa, en un formato que permita vincular </w:t>
      </w:r>
      <w:r>
        <w:rPr>
          <w:rFonts w:ascii="Palatino Linotype" w:eastAsia="Palatino Linotype" w:hAnsi="Palatino Linotype" w:cs="Palatino Linotype"/>
          <w:b/>
          <w:i/>
          <w:sz w:val="21"/>
          <w:szCs w:val="21"/>
        </w:rPr>
        <w:t>cada parte de la estructura, las atribuciones y responsabilidades que le corresponden a cada servidor público</w:t>
      </w:r>
      <w:r>
        <w:rPr>
          <w:rFonts w:ascii="Palatino Linotype" w:eastAsia="Palatino Linotype" w:hAnsi="Palatino Linotype" w:cs="Palatino Linotype"/>
          <w:i/>
          <w:sz w:val="21"/>
          <w:szCs w:val="21"/>
        </w:rPr>
        <w:t>.</w:t>
      </w:r>
    </w:p>
    <w:p w:rsidR="00D704D3" w:rsidRDefault="00D704D3">
      <w:pPr>
        <w:spacing w:after="0" w:line="240" w:lineRule="auto"/>
        <w:ind w:left="567" w:right="706"/>
        <w:jc w:val="both"/>
        <w:rPr>
          <w:rFonts w:ascii="Palatino Linotype" w:eastAsia="Palatino Linotype" w:hAnsi="Palatino Linotype" w:cs="Palatino Linotype"/>
          <w:i/>
          <w:sz w:val="21"/>
          <w:szCs w:val="21"/>
        </w:rPr>
      </w:pPr>
    </w:p>
    <w:p w:rsidR="00D704D3" w:rsidRDefault="000D5242">
      <w:pPr>
        <w:spacing w:after="0" w:line="240" w:lineRule="auto"/>
        <w:ind w:left="567" w:right="706"/>
        <w:jc w:val="both"/>
        <w:rPr>
          <w:rFonts w:ascii="Palatino Linotype" w:eastAsia="Palatino Linotype" w:hAnsi="Palatino Linotype" w:cs="Palatino Linotype"/>
          <w:i/>
          <w:sz w:val="21"/>
          <w:szCs w:val="21"/>
        </w:rPr>
      </w:pPr>
      <w:r>
        <w:rPr>
          <w:rFonts w:ascii="Palatino Linotype" w:eastAsia="Palatino Linotype" w:hAnsi="Palatino Linotype" w:cs="Palatino Linotype"/>
          <w:i/>
          <w:sz w:val="21"/>
          <w:szCs w:val="21"/>
        </w:rPr>
        <w:lastRenderedPageBreak/>
        <w:t>Atento a lo anterior, resulta claro que existe fuente obligacional</w:t>
      </w:r>
      <w:r>
        <w:rPr>
          <w:rFonts w:ascii="Palatino Linotype" w:eastAsia="Palatino Linotype" w:hAnsi="Palatino Linotype" w:cs="Palatino Linotype"/>
          <w:i/>
          <w:sz w:val="21"/>
          <w:szCs w:val="21"/>
        </w:rPr>
        <w:t xml:space="preserve"> que constriñe al </w:t>
      </w:r>
      <w:r>
        <w:rPr>
          <w:rFonts w:ascii="Palatino Linotype" w:eastAsia="Palatino Linotype" w:hAnsi="Palatino Linotype" w:cs="Palatino Linotype"/>
          <w:b/>
          <w:i/>
          <w:sz w:val="21"/>
          <w:szCs w:val="21"/>
        </w:rPr>
        <w:t>Sujeto Obligado</w:t>
      </w:r>
      <w:r>
        <w:rPr>
          <w:rFonts w:ascii="Palatino Linotype" w:eastAsia="Palatino Linotype" w:hAnsi="Palatino Linotype" w:cs="Palatino Linotype"/>
          <w:i/>
          <w:sz w:val="21"/>
          <w:szCs w:val="21"/>
        </w:rPr>
        <w:t xml:space="preserve"> a generar administrar y poseer la información interés del Particular, en consecuencia, la información solicitada; debe obrar en los archivos del </w:t>
      </w:r>
      <w:r>
        <w:rPr>
          <w:rFonts w:ascii="Palatino Linotype" w:eastAsia="Palatino Linotype" w:hAnsi="Palatino Linotype" w:cs="Palatino Linotype"/>
          <w:b/>
          <w:i/>
          <w:sz w:val="21"/>
          <w:szCs w:val="21"/>
        </w:rPr>
        <w:t>Sujeto Obligado</w:t>
      </w:r>
      <w:r>
        <w:rPr>
          <w:rFonts w:ascii="Palatino Linotype" w:eastAsia="Palatino Linotype" w:hAnsi="Palatino Linotype" w:cs="Palatino Linotype"/>
          <w:i/>
          <w:sz w:val="21"/>
          <w:szCs w:val="21"/>
        </w:rPr>
        <w:t>; por lo que es dable ordenar la entrega del Organigrama vigen</w:t>
      </w:r>
      <w:r>
        <w:rPr>
          <w:rFonts w:ascii="Palatino Linotype" w:eastAsia="Palatino Linotype" w:hAnsi="Palatino Linotype" w:cs="Palatino Linotype"/>
          <w:i/>
          <w:sz w:val="21"/>
          <w:szCs w:val="21"/>
        </w:rPr>
        <w:t xml:space="preserve">te al 04 de marzo de 2025 de la Dirección de Desarrollo Económico, Juzgado Cívico, Presidencia Municipal, Secretaría del Ayuntamiento, Tesorería Municipal y Contraloría Interna Municipal.” </w:t>
      </w:r>
    </w:p>
    <w:p w:rsidR="00D704D3" w:rsidRDefault="00D704D3">
      <w:pPr>
        <w:spacing w:after="0" w:line="360" w:lineRule="auto"/>
        <w:ind w:right="139"/>
        <w:jc w:val="both"/>
        <w:rPr>
          <w:rFonts w:ascii="Palatino Linotype" w:eastAsia="Palatino Linotype" w:hAnsi="Palatino Linotype" w:cs="Palatino Linotype"/>
        </w:rPr>
      </w:pPr>
    </w:p>
    <w:p w:rsidR="00D704D3" w:rsidRDefault="000D5242">
      <w:pPr>
        <w:spacing w:after="0" w:line="360" w:lineRule="auto"/>
        <w:ind w:right="139"/>
        <w:jc w:val="both"/>
        <w:rPr>
          <w:rFonts w:ascii="Palatino Linotype" w:eastAsia="Palatino Linotype" w:hAnsi="Palatino Linotype" w:cs="Palatino Linotype"/>
        </w:rPr>
      </w:pPr>
      <w:bookmarkStart w:id="0" w:name="_heading=h.heer2s8lal8r" w:colFirst="0" w:colLast="0"/>
      <w:bookmarkEnd w:id="0"/>
      <w:r>
        <w:rPr>
          <w:rFonts w:ascii="Palatino Linotype" w:eastAsia="Palatino Linotype" w:hAnsi="Palatino Linotype" w:cs="Palatino Linotype"/>
        </w:rPr>
        <w:t xml:space="preserve">Conforme lo anterior, </w:t>
      </w:r>
      <w:r>
        <w:rPr>
          <w:rFonts w:ascii="Palatino Linotype" w:eastAsia="Palatino Linotype" w:hAnsi="Palatino Linotype" w:cs="Palatino Linotype"/>
          <w:b/>
        </w:rPr>
        <w:t>si bien en estudio de la resolución,</w:t>
      </w:r>
      <w:r>
        <w:rPr>
          <w:rFonts w:ascii="Palatino Linotype" w:eastAsia="Palatino Linotype" w:hAnsi="Palatino Linotype" w:cs="Palatino Linotype"/>
        </w:rPr>
        <w:t xml:space="preserve"> se ind</w:t>
      </w:r>
      <w:r>
        <w:rPr>
          <w:rFonts w:ascii="Palatino Linotype" w:eastAsia="Palatino Linotype" w:hAnsi="Palatino Linotype" w:cs="Palatino Linotype"/>
        </w:rPr>
        <w:t xml:space="preserve">ica que el organigrama entregado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informe justificado no colma la pretensión del particular porque no se advirtió la totalidad de las Unidades Administrativas del Ayuntamiento de Temamatla, como lo son el Juzgado Cívico, así como </w:t>
      </w:r>
      <w:r>
        <w:rPr>
          <w:rFonts w:ascii="Palatino Linotype" w:eastAsia="Palatino Linotype" w:hAnsi="Palatino Linotype" w:cs="Palatino Linotype"/>
        </w:rPr>
        <w:t>las dependencias adscritas a cada una de ellas, aunado a que conforme la obligación de transparencia común prevista en la fracción II del artículo 92 de la Ley de Transparencia Local, los sujetos obligados se encuentran constreñidos a poner a disposición d</w:t>
      </w:r>
      <w:r>
        <w:rPr>
          <w:rFonts w:ascii="Palatino Linotype" w:eastAsia="Palatino Linotype" w:hAnsi="Palatino Linotype" w:cs="Palatino Linotype"/>
        </w:rPr>
        <w:t xml:space="preserve">el público de manera permanente y actualizada su estructura orgánica completa, en un formato que permita vincular cada parte de la estructura, las atribuciones y responsabilidades que le corresponden a cada servidor público; </w:t>
      </w:r>
      <w:r>
        <w:rPr>
          <w:rFonts w:ascii="Palatino Linotype" w:eastAsia="Palatino Linotype" w:hAnsi="Palatino Linotype" w:cs="Palatino Linotype"/>
          <w:b/>
        </w:rPr>
        <w:t>también lo es que</w:t>
      </w:r>
      <w:r>
        <w:rPr>
          <w:rFonts w:ascii="Palatino Linotype" w:eastAsia="Palatino Linotype" w:hAnsi="Palatino Linotype" w:cs="Palatino Linotype"/>
        </w:rPr>
        <w:t xml:space="preserve">, conforme la </w:t>
      </w:r>
      <w:r>
        <w:rPr>
          <w:rFonts w:ascii="Palatino Linotype" w:eastAsia="Palatino Linotype" w:hAnsi="Palatino Linotype" w:cs="Palatino Linotype"/>
        </w:rPr>
        <w:t>redacción del punto 1 del resolutivo segundo de la resolución, el mismo da a entender que se ordena un organigrama por las áreas señaladas por el particular, a lo cual no está constreñido a cumplir el Sujeto Obligado.</w:t>
      </w:r>
    </w:p>
    <w:p w:rsidR="00D704D3" w:rsidRDefault="00D704D3">
      <w:pPr>
        <w:spacing w:after="0" w:line="360" w:lineRule="auto"/>
        <w:ind w:right="139"/>
        <w:jc w:val="both"/>
        <w:rPr>
          <w:rFonts w:ascii="Palatino Linotype" w:eastAsia="Palatino Linotype" w:hAnsi="Palatino Linotype" w:cs="Palatino Linotype"/>
        </w:rPr>
      </w:pPr>
    </w:p>
    <w:p w:rsidR="00D704D3" w:rsidRDefault="000D5242">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Situación la anterior, por la que la </w:t>
      </w:r>
      <w:r>
        <w:rPr>
          <w:rFonts w:ascii="Palatino Linotype" w:eastAsia="Palatino Linotype" w:hAnsi="Palatino Linotype" w:cs="Palatino Linotype"/>
        </w:rPr>
        <w:t>suscrita considera necesario precisar que, para efectos del cumplimiento a la resolución respecto de la cual se emite la presente opinión particular, para satisfacer el punto 1 del resolutivo segundo, bastará con que se haga entrega del organigrama, vigent</w:t>
      </w:r>
      <w:r>
        <w:rPr>
          <w:rFonts w:ascii="Palatino Linotype" w:eastAsia="Palatino Linotype" w:hAnsi="Palatino Linotype" w:cs="Palatino Linotype"/>
        </w:rPr>
        <w:t xml:space="preserve">e a la fecha de la solicitud, en el que se advierta de manera completa </w:t>
      </w:r>
      <w:r>
        <w:rPr>
          <w:rFonts w:ascii="Palatino Linotype" w:eastAsia="Palatino Linotype" w:hAnsi="Palatino Linotype" w:cs="Palatino Linotype"/>
        </w:rPr>
        <w:lastRenderedPageBreak/>
        <w:t>las áreas que integran al Ayuntamiento de Temamatla,</w:t>
      </w:r>
      <w:r>
        <w:t xml:space="preserve"> </w:t>
      </w:r>
      <w:r>
        <w:rPr>
          <w:rFonts w:ascii="Palatino Linotype" w:eastAsia="Palatino Linotype" w:hAnsi="Palatino Linotype" w:cs="Palatino Linotype"/>
        </w:rPr>
        <w:t>sin que sea necesario generar un organigrama por unidad administrativa de las que se solicita información.</w:t>
      </w:r>
    </w:p>
    <w:p w:rsidR="00D704D3" w:rsidRDefault="00D704D3">
      <w:pPr>
        <w:spacing w:after="0" w:line="360" w:lineRule="auto"/>
        <w:ind w:right="139"/>
        <w:jc w:val="both"/>
        <w:rPr>
          <w:rFonts w:ascii="Palatino Linotype" w:eastAsia="Palatino Linotype" w:hAnsi="Palatino Linotype" w:cs="Palatino Linotype"/>
        </w:rPr>
      </w:pPr>
    </w:p>
    <w:p w:rsidR="00D704D3" w:rsidRDefault="000D5242">
      <w:pPr>
        <w:spacing w:after="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rPr>
        <w:t xml:space="preserve">Es por las razones expuestas que, la suscrita emite la presente </w:t>
      </w:r>
      <w:r>
        <w:rPr>
          <w:rFonts w:ascii="Palatino Linotype" w:eastAsia="Palatino Linotype" w:hAnsi="Palatino Linotype" w:cs="Palatino Linotype"/>
          <w:b/>
        </w:rPr>
        <w:t>Opinión Particular.</w:t>
      </w:r>
    </w:p>
    <w:p w:rsidR="00D704D3" w:rsidRDefault="00D704D3">
      <w:pPr>
        <w:spacing w:before="240" w:after="240" w:line="360" w:lineRule="auto"/>
        <w:ind w:right="139"/>
        <w:jc w:val="both"/>
        <w:rPr>
          <w:rFonts w:ascii="Palatino Linotype" w:eastAsia="Palatino Linotype" w:hAnsi="Palatino Linotype" w:cs="Palatino Linotype"/>
        </w:rPr>
      </w:pPr>
    </w:p>
    <w:p w:rsidR="00D704D3" w:rsidRDefault="00D704D3">
      <w:pPr>
        <w:spacing w:before="240" w:after="240" w:line="360" w:lineRule="auto"/>
        <w:ind w:right="139"/>
        <w:jc w:val="both"/>
        <w:rPr>
          <w:rFonts w:ascii="Palatino Linotype" w:eastAsia="Palatino Linotype" w:hAnsi="Palatino Linotype" w:cs="Palatino Linotype"/>
        </w:rPr>
      </w:pPr>
    </w:p>
    <w:p w:rsidR="00D704D3" w:rsidRDefault="00D704D3">
      <w:pPr>
        <w:spacing w:before="240" w:after="240" w:line="360" w:lineRule="auto"/>
        <w:ind w:right="139"/>
        <w:jc w:val="both"/>
        <w:rPr>
          <w:rFonts w:ascii="Palatino Linotype" w:eastAsia="Palatino Linotype" w:hAnsi="Palatino Linotype" w:cs="Palatino Linotype"/>
        </w:rPr>
      </w:pPr>
    </w:p>
    <w:p w:rsidR="00D704D3" w:rsidRDefault="00D704D3">
      <w:pPr>
        <w:spacing w:before="240" w:after="240" w:line="360" w:lineRule="auto"/>
        <w:ind w:right="139"/>
        <w:jc w:val="both"/>
        <w:rPr>
          <w:rFonts w:ascii="Palatino Linotype" w:eastAsia="Palatino Linotype" w:hAnsi="Palatino Linotype" w:cs="Palatino Linotype"/>
        </w:rPr>
      </w:pPr>
    </w:p>
    <w:p w:rsidR="00D704D3" w:rsidRDefault="00D704D3">
      <w:pPr>
        <w:spacing w:before="240" w:after="240" w:line="360" w:lineRule="auto"/>
        <w:ind w:right="139"/>
        <w:jc w:val="both"/>
        <w:rPr>
          <w:rFonts w:ascii="Palatino Linotype" w:eastAsia="Palatino Linotype" w:hAnsi="Palatino Linotype" w:cs="Palatino Linotype"/>
        </w:rPr>
      </w:pPr>
    </w:p>
    <w:p w:rsidR="00D704D3" w:rsidRDefault="00D704D3">
      <w:pPr>
        <w:spacing w:before="240" w:after="240" w:line="360" w:lineRule="auto"/>
        <w:ind w:right="139"/>
        <w:jc w:val="both"/>
        <w:rPr>
          <w:rFonts w:ascii="Palatino Linotype" w:eastAsia="Palatino Linotype" w:hAnsi="Palatino Linotype" w:cs="Palatino Linotype"/>
        </w:rPr>
      </w:pPr>
    </w:p>
    <w:p w:rsidR="00D704D3" w:rsidRDefault="00D704D3">
      <w:pPr>
        <w:spacing w:before="240" w:after="240" w:line="360" w:lineRule="auto"/>
        <w:ind w:right="139"/>
        <w:jc w:val="both"/>
        <w:rPr>
          <w:rFonts w:ascii="Palatino Linotype" w:eastAsia="Palatino Linotype" w:hAnsi="Palatino Linotype" w:cs="Palatino Linotype"/>
        </w:rPr>
      </w:pPr>
    </w:p>
    <w:p w:rsidR="00D704D3" w:rsidRDefault="00D704D3">
      <w:pPr>
        <w:spacing w:before="240" w:after="240" w:line="360" w:lineRule="auto"/>
        <w:ind w:right="142"/>
        <w:jc w:val="both"/>
        <w:rPr>
          <w:rFonts w:ascii="Palatino Linotype" w:eastAsia="Palatino Linotype" w:hAnsi="Palatino Linotype" w:cs="Palatino Linotype"/>
        </w:rPr>
      </w:pPr>
    </w:p>
    <w:p w:rsidR="00D704D3" w:rsidRDefault="00D704D3">
      <w:pPr>
        <w:spacing w:before="240" w:after="240" w:line="360" w:lineRule="auto"/>
        <w:jc w:val="both"/>
        <w:rPr>
          <w:rFonts w:ascii="Palatino Linotype" w:eastAsia="Palatino Linotype" w:hAnsi="Palatino Linotype" w:cs="Palatino Linotype"/>
        </w:rPr>
      </w:pPr>
    </w:p>
    <w:p w:rsidR="00D704D3" w:rsidRDefault="00D704D3">
      <w:pPr>
        <w:spacing w:before="240" w:after="240" w:line="360" w:lineRule="auto"/>
        <w:jc w:val="center"/>
        <w:rPr>
          <w:rFonts w:ascii="Palatino Linotype" w:eastAsia="Palatino Linotype" w:hAnsi="Palatino Linotype" w:cs="Palatino Linotype"/>
          <w:b/>
        </w:rPr>
      </w:pPr>
    </w:p>
    <w:p w:rsidR="00D704D3" w:rsidRDefault="00D704D3">
      <w:pPr>
        <w:spacing w:after="0" w:line="240" w:lineRule="auto"/>
        <w:jc w:val="center"/>
        <w:rPr>
          <w:rFonts w:ascii="Palatino Linotype" w:eastAsia="Palatino Linotype" w:hAnsi="Palatino Linotype" w:cs="Palatino Linotype"/>
        </w:rPr>
      </w:pPr>
    </w:p>
    <w:p w:rsidR="00D704D3" w:rsidRDefault="00D704D3">
      <w:pPr>
        <w:spacing w:before="240" w:after="240" w:line="360" w:lineRule="auto"/>
        <w:rPr>
          <w:rFonts w:ascii="Palatino Linotype" w:eastAsia="Palatino Linotype" w:hAnsi="Palatino Linotype" w:cs="Palatino Linotype"/>
        </w:rPr>
      </w:pPr>
    </w:p>
    <w:p w:rsidR="00D704D3" w:rsidRDefault="00D704D3">
      <w:pPr>
        <w:rPr>
          <w:rFonts w:ascii="Palatino Linotype" w:eastAsia="Palatino Linotype" w:hAnsi="Palatino Linotype" w:cs="Palatino Linotype"/>
        </w:rPr>
      </w:pPr>
    </w:p>
    <w:p w:rsidR="00D704D3" w:rsidRDefault="00D704D3">
      <w:pPr>
        <w:rPr>
          <w:rFonts w:ascii="Palatino Linotype" w:eastAsia="Palatino Linotype" w:hAnsi="Palatino Linotype" w:cs="Palatino Linotype"/>
        </w:rPr>
      </w:pPr>
    </w:p>
    <w:p w:rsidR="00D704D3" w:rsidRDefault="00D704D3">
      <w:pPr>
        <w:rPr>
          <w:rFonts w:ascii="Palatino Linotype" w:eastAsia="Palatino Linotype" w:hAnsi="Palatino Linotype" w:cs="Palatino Linotype"/>
        </w:rPr>
      </w:pPr>
      <w:bookmarkStart w:id="1" w:name="_GoBack"/>
      <w:bookmarkEnd w:id="1"/>
    </w:p>
    <w:sectPr w:rsidR="00D704D3">
      <w:head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42" w:rsidRDefault="000D5242">
      <w:pPr>
        <w:spacing w:after="0" w:line="240" w:lineRule="auto"/>
      </w:pPr>
      <w:r>
        <w:separator/>
      </w:r>
    </w:p>
  </w:endnote>
  <w:endnote w:type="continuationSeparator" w:id="0">
    <w:p w:rsidR="000D5242" w:rsidRDefault="000D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42" w:rsidRDefault="000D5242">
      <w:pPr>
        <w:spacing w:after="0" w:line="240" w:lineRule="auto"/>
      </w:pPr>
      <w:r>
        <w:separator/>
      </w:r>
    </w:p>
  </w:footnote>
  <w:footnote w:type="continuationSeparator" w:id="0">
    <w:p w:rsidR="000D5242" w:rsidRDefault="000D5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4D3" w:rsidRDefault="000D524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-1260471</wp:posOffset>
          </wp:positionH>
          <wp:positionV relativeFrom="paragraph">
            <wp:posOffset>-281964</wp:posOffset>
          </wp:positionV>
          <wp:extent cx="7510145" cy="9883775"/>
          <wp:effectExtent l="0" t="0" r="0" b="0"/>
          <wp:wrapNone/>
          <wp:docPr id="2097420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D704D3" w:rsidRDefault="00D704D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704D3" w:rsidRDefault="00D704D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704D3" w:rsidRDefault="000D524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b/>
    </w:r>
    <w:r>
      <w:rPr>
        <w:rFonts w:ascii="Palatino Linotype" w:eastAsia="Palatino Linotype" w:hAnsi="Palatino Linotype" w:cs="Palatino Linotype"/>
        <w:b/>
        <w:color w:val="000000"/>
        <w:sz w:val="20"/>
        <w:szCs w:val="20"/>
      </w:rPr>
      <w:tab/>
      <w:t>OPINIÓN PARTICULAR</w:t>
    </w:r>
  </w:p>
  <w:p w:rsidR="00D704D3" w:rsidRDefault="000D5242">
    <w:pPr>
      <w:pBdr>
        <w:top w:val="nil"/>
        <w:left w:val="nil"/>
        <w:bottom w:val="nil"/>
        <w:right w:val="nil"/>
        <w:between w:val="nil"/>
      </w:pBdr>
      <w:tabs>
        <w:tab w:val="center" w:pos="4419"/>
        <w:tab w:val="right" w:pos="8838"/>
        <w:tab w:val="left" w:pos="5685"/>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03540/INFOEM/IP/RR/2025</w:t>
    </w:r>
  </w:p>
  <w:p w:rsidR="00D704D3" w:rsidRDefault="00D704D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p w:rsidR="00D704D3" w:rsidRDefault="00D704D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5FB4"/>
    <w:multiLevelType w:val="multilevel"/>
    <w:tmpl w:val="B15C944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8763F8"/>
    <w:multiLevelType w:val="multilevel"/>
    <w:tmpl w:val="CA6A0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796117"/>
    <w:multiLevelType w:val="multilevel"/>
    <w:tmpl w:val="06901EC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D3"/>
    <w:rsid w:val="000D5242"/>
    <w:rsid w:val="00120C40"/>
    <w:rsid w:val="00D704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28941C8-8DC4-46C3-AC17-05FC92C4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A7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2A7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B2A7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B2A7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B2A7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B2A7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0B2A76"/>
  </w:style>
  <w:style w:type="paragraph" w:styleId="Sinespaciado">
    <w:name w:val="No Spacing"/>
    <w:aliases w:val="Francesa"/>
    <w:link w:val="SinespaciadoCar"/>
    <w:uiPriority w:val="1"/>
    <w:qFormat/>
    <w:rsid w:val="000B2A7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
    <w:link w:val="Sinespaciado"/>
    <w:uiPriority w:val="1"/>
    <w:locked/>
    <w:rsid w:val="000B2A76"/>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2A76"/>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B2A76"/>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9F0FA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aconcuadrcula1">
    <w:name w:val="Tabla con cuadrícula1"/>
    <w:basedOn w:val="Tablanormal"/>
    <w:next w:val="Tablaconcuadrcula"/>
    <w:uiPriority w:val="39"/>
    <w:rsid w:val="006615A9"/>
    <w:pPr>
      <w:spacing w:after="0" w:line="240" w:lineRule="auto"/>
    </w:pP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61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pPr>
      <w:spacing w:after="0"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CfhszKvmAZo8KLLY7oVsknIWEQ==">CgMxLjAyDmguaGVlcjJzOGxhbDhyOAByITFjdXYwOVU0YnZQRHZfMUdseXZ6NzhNb0JUNVo2cEZFdQ==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1915</Words>
  <Characters>10537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2</cp:revision>
  <dcterms:created xsi:type="dcterms:W3CDTF">2025-06-09T16:40:00Z</dcterms:created>
  <dcterms:modified xsi:type="dcterms:W3CDTF">2025-06-09T16:40:00Z</dcterms:modified>
</cp:coreProperties>
</file>