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7A1E6" w14:textId="77777777" w:rsidR="004B7E50" w:rsidRPr="002152A6" w:rsidRDefault="004B7E50" w:rsidP="004B7E50">
      <w:pPr>
        <w:spacing w:before="240" w:after="240" w:line="360" w:lineRule="auto"/>
        <w:jc w:val="center"/>
        <w:rPr>
          <w:rFonts w:ascii="Palatino Linotype" w:hAnsi="Palatino Linotype"/>
        </w:rPr>
      </w:pPr>
      <w:r w:rsidRPr="002152A6">
        <w:rPr>
          <w:rFonts w:ascii="Palatino Linotype" w:hAnsi="Palatino Linotype"/>
          <w:b/>
        </w:rPr>
        <w:t>Índice</w:t>
      </w:r>
      <w:r w:rsidRPr="002152A6">
        <w:rPr>
          <w:rFonts w:ascii="Palatino Linotype" w:hAnsi="Palatino Linotype"/>
        </w:rPr>
        <w:t>.</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66BAA568" w14:textId="77777777" w:rsidR="004B7E50" w:rsidRPr="004B7E50" w:rsidRDefault="004B7E50" w:rsidP="004B7E50">
          <w:pPr>
            <w:pStyle w:val="TtulodeTDC"/>
            <w:spacing w:line="480" w:lineRule="auto"/>
            <w:rPr>
              <w:szCs w:val="24"/>
            </w:rPr>
          </w:pPr>
        </w:p>
        <w:p w14:paraId="3921AE36" w14:textId="77777777" w:rsidR="004D4BBA" w:rsidRDefault="004B7E50" w:rsidP="004D4BBA">
          <w:pPr>
            <w:pStyle w:val="TDC1"/>
            <w:spacing w:line="360" w:lineRule="auto"/>
            <w:rPr>
              <w:rFonts w:asciiTheme="minorHAnsi" w:hAnsiTheme="minorHAnsi"/>
              <w:b w:val="0"/>
              <w:bCs w:val="0"/>
              <w:sz w:val="22"/>
              <w:szCs w:val="22"/>
              <w:lang w:val="es-MX" w:eastAsia="es-MX"/>
            </w:rPr>
          </w:pPr>
          <w:r w:rsidRPr="004B7E50">
            <w:rPr>
              <w:b w:val="0"/>
              <w:bCs w:val="0"/>
            </w:rPr>
            <w:fldChar w:fldCharType="begin"/>
          </w:r>
          <w:r w:rsidRPr="004B7E50">
            <w:instrText xml:space="preserve"> TOC \o "1-3" \h \z \u </w:instrText>
          </w:r>
          <w:r w:rsidRPr="004B7E50">
            <w:rPr>
              <w:b w:val="0"/>
              <w:bCs w:val="0"/>
            </w:rPr>
            <w:fldChar w:fldCharType="separate"/>
          </w:r>
          <w:hyperlink w:anchor="_Toc86235919" w:history="1">
            <w:r w:rsidR="004D4BBA" w:rsidRPr="00115078">
              <w:rPr>
                <w:rStyle w:val="Hipervnculo"/>
              </w:rPr>
              <w:t>ANTECEDENTES</w:t>
            </w:r>
            <w:r w:rsidR="004D4BBA">
              <w:rPr>
                <w:webHidden/>
              </w:rPr>
              <w:tab/>
            </w:r>
            <w:r w:rsidR="004D4BBA">
              <w:rPr>
                <w:webHidden/>
              </w:rPr>
              <w:fldChar w:fldCharType="begin"/>
            </w:r>
            <w:r w:rsidR="004D4BBA">
              <w:rPr>
                <w:webHidden/>
              </w:rPr>
              <w:instrText xml:space="preserve"> PAGEREF _Toc86235919 \h </w:instrText>
            </w:r>
            <w:r w:rsidR="004D4BBA">
              <w:rPr>
                <w:webHidden/>
              </w:rPr>
            </w:r>
            <w:r w:rsidR="004D4BBA">
              <w:rPr>
                <w:webHidden/>
              </w:rPr>
              <w:fldChar w:fldCharType="separate"/>
            </w:r>
            <w:r w:rsidR="004D4BBA">
              <w:rPr>
                <w:webHidden/>
              </w:rPr>
              <w:t>2</w:t>
            </w:r>
            <w:r w:rsidR="004D4BBA">
              <w:rPr>
                <w:webHidden/>
              </w:rPr>
              <w:fldChar w:fldCharType="end"/>
            </w:r>
          </w:hyperlink>
        </w:p>
        <w:p w14:paraId="5C251001" w14:textId="77777777" w:rsidR="004D4BBA" w:rsidRDefault="00F1608B" w:rsidP="004D4BBA">
          <w:pPr>
            <w:pStyle w:val="TDC1"/>
            <w:spacing w:line="360" w:lineRule="auto"/>
            <w:rPr>
              <w:rFonts w:asciiTheme="minorHAnsi" w:hAnsiTheme="minorHAnsi"/>
              <w:b w:val="0"/>
              <w:bCs w:val="0"/>
              <w:sz w:val="22"/>
              <w:szCs w:val="22"/>
              <w:lang w:val="es-MX" w:eastAsia="es-MX"/>
            </w:rPr>
          </w:pPr>
          <w:hyperlink w:anchor="_Toc86235920" w:history="1">
            <w:r w:rsidR="004D4BBA" w:rsidRPr="00115078">
              <w:rPr>
                <w:rStyle w:val="Hipervnculo"/>
              </w:rPr>
              <w:t>CONSIDERANDO</w:t>
            </w:r>
            <w:r w:rsidR="004D4BBA">
              <w:rPr>
                <w:webHidden/>
              </w:rPr>
              <w:tab/>
            </w:r>
            <w:r w:rsidR="004D4BBA">
              <w:rPr>
                <w:webHidden/>
              </w:rPr>
              <w:fldChar w:fldCharType="begin"/>
            </w:r>
            <w:r w:rsidR="004D4BBA">
              <w:rPr>
                <w:webHidden/>
              </w:rPr>
              <w:instrText xml:space="preserve"> PAGEREF _Toc86235920 \h </w:instrText>
            </w:r>
            <w:r w:rsidR="004D4BBA">
              <w:rPr>
                <w:webHidden/>
              </w:rPr>
            </w:r>
            <w:r w:rsidR="004D4BBA">
              <w:rPr>
                <w:webHidden/>
              </w:rPr>
              <w:fldChar w:fldCharType="separate"/>
            </w:r>
            <w:r w:rsidR="004D4BBA">
              <w:rPr>
                <w:webHidden/>
              </w:rPr>
              <w:t>5</w:t>
            </w:r>
            <w:r w:rsidR="004D4BBA">
              <w:rPr>
                <w:webHidden/>
              </w:rPr>
              <w:fldChar w:fldCharType="end"/>
            </w:r>
          </w:hyperlink>
        </w:p>
        <w:p w14:paraId="14E3CDA8" w14:textId="77777777" w:rsidR="004D4BBA" w:rsidRDefault="00F1608B" w:rsidP="004D4BBA">
          <w:pPr>
            <w:pStyle w:val="TDC2"/>
            <w:spacing w:line="360" w:lineRule="auto"/>
            <w:rPr>
              <w:noProof/>
              <w:sz w:val="22"/>
              <w:szCs w:val="22"/>
              <w:lang w:val="es-MX" w:eastAsia="es-MX"/>
            </w:rPr>
          </w:pPr>
          <w:hyperlink w:anchor="_Toc86235921" w:history="1">
            <w:r w:rsidR="004D4BBA" w:rsidRPr="00115078">
              <w:rPr>
                <w:rStyle w:val="Hipervnculo"/>
                <w:rFonts w:ascii="Palatino Linotype" w:hAnsi="Palatino Linotype"/>
                <w:b/>
                <w:noProof/>
              </w:rPr>
              <w:t>PRIMERO. De la competencia</w:t>
            </w:r>
            <w:r w:rsidR="004D4BBA">
              <w:rPr>
                <w:noProof/>
                <w:webHidden/>
              </w:rPr>
              <w:tab/>
            </w:r>
            <w:r w:rsidR="004D4BBA">
              <w:rPr>
                <w:noProof/>
                <w:webHidden/>
              </w:rPr>
              <w:fldChar w:fldCharType="begin"/>
            </w:r>
            <w:r w:rsidR="004D4BBA">
              <w:rPr>
                <w:noProof/>
                <w:webHidden/>
              </w:rPr>
              <w:instrText xml:space="preserve"> PAGEREF _Toc86235921 \h </w:instrText>
            </w:r>
            <w:r w:rsidR="004D4BBA">
              <w:rPr>
                <w:noProof/>
                <w:webHidden/>
              </w:rPr>
            </w:r>
            <w:r w:rsidR="004D4BBA">
              <w:rPr>
                <w:noProof/>
                <w:webHidden/>
              </w:rPr>
              <w:fldChar w:fldCharType="separate"/>
            </w:r>
            <w:r w:rsidR="004D4BBA">
              <w:rPr>
                <w:noProof/>
                <w:webHidden/>
              </w:rPr>
              <w:t>5</w:t>
            </w:r>
            <w:r w:rsidR="004D4BBA">
              <w:rPr>
                <w:noProof/>
                <w:webHidden/>
              </w:rPr>
              <w:fldChar w:fldCharType="end"/>
            </w:r>
          </w:hyperlink>
        </w:p>
        <w:p w14:paraId="025570F7" w14:textId="77777777" w:rsidR="004D4BBA" w:rsidRDefault="00F1608B" w:rsidP="004D4BBA">
          <w:pPr>
            <w:pStyle w:val="TDC2"/>
            <w:spacing w:line="360" w:lineRule="auto"/>
            <w:rPr>
              <w:noProof/>
              <w:sz w:val="22"/>
              <w:szCs w:val="22"/>
              <w:lang w:val="es-MX" w:eastAsia="es-MX"/>
            </w:rPr>
          </w:pPr>
          <w:hyperlink w:anchor="_Toc86235922" w:history="1">
            <w:r w:rsidR="004D4BBA" w:rsidRPr="00115078">
              <w:rPr>
                <w:rStyle w:val="Hipervnculo"/>
                <w:rFonts w:ascii="Palatino Linotype" w:hAnsi="Palatino Linotype"/>
                <w:b/>
                <w:noProof/>
              </w:rPr>
              <w:t>SEGUNDO. De la oportunidad y procedencia.</w:t>
            </w:r>
            <w:r w:rsidR="004D4BBA">
              <w:rPr>
                <w:noProof/>
                <w:webHidden/>
              </w:rPr>
              <w:tab/>
            </w:r>
            <w:r w:rsidR="004D4BBA">
              <w:rPr>
                <w:noProof/>
                <w:webHidden/>
              </w:rPr>
              <w:fldChar w:fldCharType="begin"/>
            </w:r>
            <w:r w:rsidR="004D4BBA">
              <w:rPr>
                <w:noProof/>
                <w:webHidden/>
              </w:rPr>
              <w:instrText xml:space="preserve"> PAGEREF _Toc86235922 \h </w:instrText>
            </w:r>
            <w:r w:rsidR="004D4BBA">
              <w:rPr>
                <w:noProof/>
                <w:webHidden/>
              </w:rPr>
            </w:r>
            <w:r w:rsidR="004D4BBA">
              <w:rPr>
                <w:noProof/>
                <w:webHidden/>
              </w:rPr>
              <w:fldChar w:fldCharType="separate"/>
            </w:r>
            <w:r w:rsidR="004D4BBA">
              <w:rPr>
                <w:noProof/>
                <w:webHidden/>
              </w:rPr>
              <w:t>6</w:t>
            </w:r>
            <w:r w:rsidR="004D4BBA">
              <w:rPr>
                <w:noProof/>
                <w:webHidden/>
              </w:rPr>
              <w:fldChar w:fldCharType="end"/>
            </w:r>
          </w:hyperlink>
        </w:p>
        <w:p w14:paraId="22DB596C" w14:textId="77777777" w:rsidR="004D4BBA" w:rsidRDefault="00F1608B" w:rsidP="004D4BBA">
          <w:pPr>
            <w:pStyle w:val="TDC1"/>
            <w:spacing w:line="360" w:lineRule="auto"/>
            <w:rPr>
              <w:rFonts w:asciiTheme="minorHAnsi" w:hAnsiTheme="minorHAnsi"/>
              <w:b w:val="0"/>
              <w:bCs w:val="0"/>
              <w:sz w:val="22"/>
              <w:szCs w:val="22"/>
              <w:lang w:val="es-MX" w:eastAsia="es-MX"/>
            </w:rPr>
          </w:pPr>
          <w:hyperlink w:anchor="_Toc86235923" w:history="1">
            <w:r w:rsidR="004D4BBA" w:rsidRPr="00115078">
              <w:rPr>
                <w:rStyle w:val="Hipervnculo"/>
              </w:rPr>
              <w:t>TERCERO. De las causales de sobreseimiento.</w:t>
            </w:r>
            <w:r w:rsidR="004D4BBA">
              <w:rPr>
                <w:webHidden/>
              </w:rPr>
              <w:tab/>
            </w:r>
            <w:r w:rsidR="004D4BBA">
              <w:rPr>
                <w:webHidden/>
              </w:rPr>
              <w:fldChar w:fldCharType="begin"/>
            </w:r>
            <w:r w:rsidR="004D4BBA">
              <w:rPr>
                <w:webHidden/>
              </w:rPr>
              <w:instrText xml:space="preserve"> PAGEREF _Toc86235923 \h </w:instrText>
            </w:r>
            <w:r w:rsidR="004D4BBA">
              <w:rPr>
                <w:webHidden/>
              </w:rPr>
            </w:r>
            <w:r w:rsidR="004D4BBA">
              <w:rPr>
                <w:webHidden/>
              </w:rPr>
              <w:fldChar w:fldCharType="separate"/>
            </w:r>
            <w:r w:rsidR="004D4BBA">
              <w:rPr>
                <w:webHidden/>
              </w:rPr>
              <w:t>8</w:t>
            </w:r>
            <w:r w:rsidR="004D4BBA">
              <w:rPr>
                <w:webHidden/>
              </w:rPr>
              <w:fldChar w:fldCharType="end"/>
            </w:r>
          </w:hyperlink>
        </w:p>
        <w:p w14:paraId="540245B9" w14:textId="77777777" w:rsidR="004D4BBA" w:rsidRDefault="00F1608B" w:rsidP="004D4BBA">
          <w:pPr>
            <w:pStyle w:val="TDC2"/>
            <w:spacing w:line="360" w:lineRule="auto"/>
            <w:rPr>
              <w:noProof/>
              <w:sz w:val="22"/>
              <w:szCs w:val="22"/>
              <w:lang w:val="es-MX" w:eastAsia="es-MX"/>
            </w:rPr>
          </w:pPr>
          <w:hyperlink w:anchor="_Toc86235924" w:history="1">
            <w:r w:rsidR="004D4BBA" w:rsidRPr="00115078">
              <w:rPr>
                <w:rStyle w:val="Hipervnculo"/>
                <w:rFonts w:ascii="Palatino Linotype" w:hAnsi="Palatino Linotype"/>
                <w:b/>
                <w:noProof/>
              </w:rPr>
              <w:t>A.</w:t>
            </w:r>
            <w:r w:rsidR="004D4BBA">
              <w:rPr>
                <w:noProof/>
                <w:sz w:val="22"/>
                <w:szCs w:val="22"/>
                <w:lang w:val="es-MX" w:eastAsia="es-MX"/>
              </w:rPr>
              <w:tab/>
            </w:r>
            <w:r w:rsidR="004D4BBA" w:rsidRPr="00115078">
              <w:rPr>
                <w:rStyle w:val="Hipervnculo"/>
                <w:rFonts w:ascii="Palatino Linotype" w:hAnsi="Palatino Linotype"/>
                <w:b/>
                <w:noProof/>
              </w:rPr>
              <w:t>Actuaciones de las partes.</w:t>
            </w:r>
            <w:r w:rsidR="004D4BBA">
              <w:rPr>
                <w:noProof/>
                <w:webHidden/>
              </w:rPr>
              <w:tab/>
            </w:r>
            <w:r w:rsidR="004D4BBA">
              <w:rPr>
                <w:noProof/>
                <w:webHidden/>
              </w:rPr>
              <w:fldChar w:fldCharType="begin"/>
            </w:r>
            <w:r w:rsidR="004D4BBA">
              <w:rPr>
                <w:noProof/>
                <w:webHidden/>
              </w:rPr>
              <w:instrText xml:space="preserve"> PAGEREF _Toc86235924 \h </w:instrText>
            </w:r>
            <w:r w:rsidR="004D4BBA">
              <w:rPr>
                <w:noProof/>
                <w:webHidden/>
              </w:rPr>
            </w:r>
            <w:r w:rsidR="004D4BBA">
              <w:rPr>
                <w:noProof/>
                <w:webHidden/>
              </w:rPr>
              <w:fldChar w:fldCharType="separate"/>
            </w:r>
            <w:r w:rsidR="004D4BBA">
              <w:rPr>
                <w:noProof/>
                <w:webHidden/>
              </w:rPr>
              <w:t>8</w:t>
            </w:r>
            <w:r w:rsidR="004D4BBA">
              <w:rPr>
                <w:noProof/>
                <w:webHidden/>
              </w:rPr>
              <w:fldChar w:fldCharType="end"/>
            </w:r>
          </w:hyperlink>
        </w:p>
        <w:p w14:paraId="7639B19B" w14:textId="77777777" w:rsidR="004D4BBA" w:rsidRDefault="00F1608B" w:rsidP="004D4BBA">
          <w:pPr>
            <w:pStyle w:val="TDC2"/>
            <w:spacing w:line="360" w:lineRule="auto"/>
            <w:rPr>
              <w:noProof/>
              <w:sz w:val="22"/>
              <w:szCs w:val="22"/>
              <w:lang w:val="es-MX" w:eastAsia="es-MX"/>
            </w:rPr>
          </w:pPr>
          <w:hyperlink w:anchor="_Toc86235925" w:history="1">
            <w:r w:rsidR="004D4BBA" w:rsidRPr="00115078">
              <w:rPr>
                <w:rStyle w:val="Hipervnculo"/>
                <w:rFonts w:ascii="Palatino Linotype" w:hAnsi="Palatino Linotype"/>
                <w:b/>
                <w:noProof/>
              </w:rPr>
              <w:t>B.</w:t>
            </w:r>
            <w:r w:rsidR="004D4BBA">
              <w:rPr>
                <w:noProof/>
                <w:sz w:val="22"/>
                <w:szCs w:val="22"/>
                <w:lang w:val="es-MX" w:eastAsia="es-MX"/>
              </w:rPr>
              <w:tab/>
            </w:r>
            <w:r w:rsidR="004D4BBA" w:rsidRPr="00115078">
              <w:rPr>
                <w:rStyle w:val="Hipervnculo"/>
                <w:rFonts w:ascii="Palatino Linotype" w:hAnsi="Palatino Linotype"/>
                <w:b/>
                <w:noProof/>
              </w:rPr>
              <w:t>Fuente Obligacional.</w:t>
            </w:r>
            <w:r w:rsidR="004D4BBA">
              <w:rPr>
                <w:noProof/>
                <w:webHidden/>
              </w:rPr>
              <w:tab/>
            </w:r>
            <w:r w:rsidR="004D4BBA">
              <w:rPr>
                <w:noProof/>
                <w:webHidden/>
              </w:rPr>
              <w:fldChar w:fldCharType="begin"/>
            </w:r>
            <w:r w:rsidR="004D4BBA">
              <w:rPr>
                <w:noProof/>
                <w:webHidden/>
              </w:rPr>
              <w:instrText xml:space="preserve"> PAGEREF _Toc86235925 \h </w:instrText>
            </w:r>
            <w:r w:rsidR="004D4BBA">
              <w:rPr>
                <w:noProof/>
                <w:webHidden/>
              </w:rPr>
            </w:r>
            <w:r w:rsidR="004D4BBA">
              <w:rPr>
                <w:noProof/>
                <w:webHidden/>
              </w:rPr>
              <w:fldChar w:fldCharType="separate"/>
            </w:r>
            <w:r w:rsidR="004D4BBA">
              <w:rPr>
                <w:noProof/>
                <w:webHidden/>
              </w:rPr>
              <w:t>9</w:t>
            </w:r>
            <w:r w:rsidR="004D4BBA">
              <w:rPr>
                <w:noProof/>
                <w:webHidden/>
              </w:rPr>
              <w:fldChar w:fldCharType="end"/>
            </w:r>
          </w:hyperlink>
        </w:p>
        <w:p w14:paraId="1E5F7AA0" w14:textId="77777777" w:rsidR="004D4BBA" w:rsidRDefault="00F1608B" w:rsidP="004D4BBA">
          <w:pPr>
            <w:pStyle w:val="TDC3"/>
            <w:spacing w:line="360" w:lineRule="auto"/>
            <w:rPr>
              <w:noProof/>
              <w:sz w:val="22"/>
              <w:szCs w:val="22"/>
              <w:lang w:val="es-MX" w:eastAsia="es-MX"/>
            </w:rPr>
          </w:pPr>
          <w:hyperlink w:anchor="_Toc86235926" w:history="1">
            <w:r w:rsidR="004D4BBA" w:rsidRPr="00115078">
              <w:rPr>
                <w:rStyle w:val="Hipervnculo"/>
                <w:rFonts w:ascii="Palatino Linotype" w:hAnsi="Palatino Linotype"/>
                <w:b/>
                <w:noProof/>
              </w:rPr>
              <w:t>I.</w:t>
            </w:r>
            <w:r w:rsidR="004D4BBA">
              <w:rPr>
                <w:noProof/>
                <w:sz w:val="22"/>
                <w:szCs w:val="22"/>
                <w:lang w:val="es-MX" w:eastAsia="es-MX"/>
              </w:rPr>
              <w:tab/>
            </w:r>
            <w:r w:rsidR="004D4BBA" w:rsidRPr="00115078">
              <w:rPr>
                <w:rStyle w:val="Hipervnculo"/>
                <w:rFonts w:ascii="Palatino Linotype" w:hAnsi="Palatino Linotype"/>
                <w:b/>
                <w:noProof/>
              </w:rPr>
              <w:t>De la obligación de transparencia.</w:t>
            </w:r>
            <w:r w:rsidR="004D4BBA">
              <w:rPr>
                <w:noProof/>
                <w:webHidden/>
              </w:rPr>
              <w:tab/>
            </w:r>
            <w:r w:rsidR="004D4BBA">
              <w:rPr>
                <w:noProof/>
                <w:webHidden/>
              </w:rPr>
              <w:fldChar w:fldCharType="begin"/>
            </w:r>
            <w:r w:rsidR="004D4BBA">
              <w:rPr>
                <w:noProof/>
                <w:webHidden/>
              </w:rPr>
              <w:instrText xml:space="preserve"> PAGEREF _Toc86235926 \h </w:instrText>
            </w:r>
            <w:r w:rsidR="004D4BBA">
              <w:rPr>
                <w:noProof/>
                <w:webHidden/>
              </w:rPr>
            </w:r>
            <w:r w:rsidR="004D4BBA">
              <w:rPr>
                <w:noProof/>
                <w:webHidden/>
              </w:rPr>
              <w:fldChar w:fldCharType="separate"/>
            </w:r>
            <w:r w:rsidR="004D4BBA">
              <w:rPr>
                <w:noProof/>
                <w:webHidden/>
              </w:rPr>
              <w:t>9</w:t>
            </w:r>
            <w:r w:rsidR="004D4BBA">
              <w:rPr>
                <w:noProof/>
                <w:webHidden/>
              </w:rPr>
              <w:fldChar w:fldCharType="end"/>
            </w:r>
          </w:hyperlink>
        </w:p>
        <w:p w14:paraId="4FF01494" w14:textId="77777777" w:rsidR="004D4BBA" w:rsidRDefault="00F1608B" w:rsidP="004D4BBA">
          <w:pPr>
            <w:pStyle w:val="TDC2"/>
            <w:spacing w:line="360" w:lineRule="auto"/>
            <w:rPr>
              <w:noProof/>
              <w:sz w:val="22"/>
              <w:szCs w:val="22"/>
              <w:lang w:val="es-MX" w:eastAsia="es-MX"/>
            </w:rPr>
          </w:pPr>
          <w:hyperlink w:anchor="_Toc86235927" w:history="1">
            <w:r w:rsidR="004D4BBA" w:rsidRPr="00115078">
              <w:rPr>
                <w:rStyle w:val="Hipervnculo"/>
                <w:rFonts w:ascii="Palatino Linotype" w:hAnsi="Palatino Linotype"/>
                <w:b/>
                <w:noProof/>
              </w:rPr>
              <w:t>C.</w:t>
            </w:r>
            <w:r w:rsidR="004D4BBA">
              <w:rPr>
                <w:noProof/>
                <w:sz w:val="22"/>
                <w:szCs w:val="22"/>
                <w:lang w:val="es-MX" w:eastAsia="es-MX"/>
              </w:rPr>
              <w:tab/>
            </w:r>
            <w:r w:rsidR="004D4BBA" w:rsidRPr="00115078">
              <w:rPr>
                <w:rStyle w:val="Hipervnculo"/>
                <w:rFonts w:ascii="Palatino Linotype" w:hAnsi="Palatino Linotype"/>
                <w:b/>
                <w:noProof/>
              </w:rPr>
              <w:t>El derecho de petición y de acceso a la información.</w:t>
            </w:r>
            <w:r w:rsidR="004D4BBA">
              <w:rPr>
                <w:noProof/>
                <w:webHidden/>
              </w:rPr>
              <w:tab/>
            </w:r>
            <w:r w:rsidR="004D4BBA">
              <w:rPr>
                <w:noProof/>
                <w:webHidden/>
              </w:rPr>
              <w:fldChar w:fldCharType="begin"/>
            </w:r>
            <w:r w:rsidR="004D4BBA">
              <w:rPr>
                <w:noProof/>
                <w:webHidden/>
              </w:rPr>
              <w:instrText xml:space="preserve"> PAGEREF _Toc86235927 \h </w:instrText>
            </w:r>
            <w:r w:rsidR="004D4BBA">
              <w:rPr>
                <w:noProof/>
                <w:webHidden/>
              </w:rPr>
            </w:r>
            <w:r w:rsidR="004D4BBA">
              <w:rPr>
                <w:noProof/>
                <w:webHidden/>
              </w:rPr>
              <w:fldChar w:fldCharType="separate"/>
            </w:r>
            <w:r w:rsidR="004D4BBA">
              <w:rPr>
                <w:noProof/>
                <w:webHidden/>
              </w:rPr>
              <w:t>15</w:t>
            </w:r>
            <w:r w:rsidR="004D4BBA">
              <w:rPr>
                <w:noProof/>
                <w:webHidden/>
              </w:rPr>
              <w:fldChar w:fldCharType="end"/>
            </w:r>
          </w:hyperlink>
        </w:p>
        <w:p w14:paraId="48526468" w14:textId="77777777" w:rsidR="004D4BBA" w:rsidRDefault="00F1608B" w:rsidP="004D4BBA">
          <w:pPr>
            <w:pStyle w:val="TDC2"/>
            <w:spacing w:line="360" w:lineRule="auto"/>
            <w:rPr>
              <w:noProof/>
              <w:sz w:val="22"/>
              <w:szCs w:val="22"/>
              <w:lang w:val="es-MX" w:eastAsia="es-MX"/>
            </w:rPr>
          </w:pPr>
          <w:hyperlink w:anchor="_Toc86235928" w:history="1">
            <w:r w:rsidR="004D4BBA" w:rsidRPr="00115078">
              <w:rPr>
                <w:rStyle w:val="Hipervnculo"/>
                <w:rFonts w:ascii="Palatino Linotype" w:hAnsi="Palatino Linotype"/>
                <w:b/>
                <w:noProof/>
              </w:rPr>
              <w:t>D.</w:t>
            </w:r>
            <w:r w:rsidR="004D4BBA">
              <w:rPr>
                <w:noProof/>
                <w:sz w:val="22"/>
                <w:szCs w:val="22"/>
                <w:lang w:val="es-MX" w:eastAsia="es-MX"/>
              </w:rPr>
              <w:tab/>
            </w:r>
            <w:r w:rsidR="004D4BBA" w:rsidRPr="00115078">
              <w:rPr>
                <w:rStyle w:val="Hipervnculo"/>
                <w:rFonts w:ascii="Palatino Linotype" w:hAnsi="Palatino Linotype"/>
                <w:b/>
                <w:noProof/>
              </w:rPr>
              <w:t>Actualización del sobreseimiento</w:t>
            </w:r>
            <w:r w:rsidR="004D4BBA">
              <w:rPr>
                <w:noProof/>
                <w:webHidden/>
              </w:rPr>
              <w:tab/>
            </w:r>
            <w:r w:rsidR="004D4BBA">
              <w:rPr>
                <w:noProof/>
                <w:webHidden/>
              </w:rPr>
              <w:fldChar w:fldCharType="begin"/>
            </w:r>
            <w:r w:rsidR="004D4BBA">
              <w:rPr>
                <w:noProof/>
                <w:webHidden/>
              </w:rPr>
              <w:instrText xml:space="preserve"> PAGEREF _Toc86235928 \h </w:instrText>
            </w:r>
            <w:r w:rsidR="004D4BBA">
              <w:rPr>
                <w:noProof/>
                <w:webHidden/>
              </w:rPr>
            </w:r>
            <w:r w:rsidR="004D4BBA">
              <w:rPr>
                <w:noProof/>
                <w:webHidden/>
              </w:rPr>
              <w:fldChar w:fldCharType="separate"/>
            </w:r>
            <w:r w:rsidR="004D4BBA">
              <w:rPr>
                <w:noProof/>
                <w:webHidden/>
              </w:rPr>
              <w:t>21</w:t>
            </w:r>
            <w:r w:rsidR="004D4BBA">
              <w:rPr>
                <w:noProof/>
                <w:webHidden/>
              </w:rPr>
              <w:fldChar w:fldCharType="end"/>
            </w:r>
          </w:hyperlink>
        </w:p>
        <w:p w14:paraId="1BE2C02D" w14:textId="77777777" w:rsidR="004D4BBA" w:rsidRDefault="00F1608B" w:rsidP="004D4BBA">
          <w:pPr>
            <w:pStyle w:val="TDC1"/>
            <w:spacing w:line="360" w:lineRule="auto"/>
            <w:rPr>
              <w:rFonts w:asciiTheme="minorHAnsi" w:hAnsiTheme="minorHAnsi"/>
              <w:b w:val="0"/>
              <w:bCs w:val="0"/>
              <w:sz w:val="22"/>
              <w:szCs w:val="22"/>
              <w:lang w:val="es-MX" w:eastAsia="es-MX"/>
            </w:rPr>
          </w:pPr>
          <w:hyperlink w:anchor="_Toc86235929" w:history="1">
            <w:r w:rsidR="004D4BBA" w:rsidRPr="00115078">
              <w:rPr>
                <w:rStyle w:val="Hipervnculo"/>
                <w:rFonts w:cs="Arial"/>
                <w:lang w:val="es-ES"/>
              </w:rPr>
              <w:t>CUARTO</w:t>
            </w:r>
            <w:r w:rsidR="004D4BBA" w:rsidRPr="00115078">
              <w:rPr>
                <w:rStyle w:val="Hipervnculo"/>
              </w:rPr>
              <w:t>. DECISIÓN.</w:t>
            </w:r>
            <w:r w:rsidR="004D4BBA">
              <w:rPr>
                <w:webHidden/>
              </w:rPr>
              <w:tab/>
            </w:r>
            <w:r w:rsidR="004D4BBA">
              <w:rPr>
                <w:webHidden/>
              </w:rPr>
              <w:fldChar w:fldCharType="begin"/>
            </w:r>
            <w:r w:rsidR="004D4BBA">
              <w:rPr>
                <w:webHidden/>
              </w:rPr>
              <w:instrText xml:space="preserve"> PAGEREF _Toc86235929 \h </w:instrText>
            </w:r>
            <w:r w:rsidR="004D4BBA">
              <w:rPr>
                <w:webHidden/>
              </w:rPr>
            </w:r>
            <w:r w:rsidR="004D4BBA">
              <w:rPr>
                <w:webHidden/>
              </w:rPr>
              <w:fldChar w:fldCharType="separate"/>
            </w:r>
            <w:r w:rsidR="004D4BBA">
              <w:rPr>
                <w:webHidden/>
              </w:rPr>
              <w:t>23</w:t>
            </w:r>
            <w:r w:rsidR="004D4BBA">
              <w:rPr>
                <w:webHidden/>
              </w:rPr>
              <w:fldChar w:fldCharType="end"/>
            </w:r>
          </w:hyperlink>
        </w:p>
        <w:p w14:paraId="64F34261" w14:textId="77777777" w:rsidR="004D4BBA" w:rsidRDefault="00F1608B" w:rsidP="004D4BBA">
          <w:pPr>
            <w:pStyle w:val="TDC1"/>
            <w:spacing w:line="360" w:lineRule="auto"/>
            <w:rPr>
              <w:rFonts w:asciiTheme="minorHAnsi" w:hAnsiTheme="minorHAnsi"/>
              <w:b w:val="0"/>
              <w:bCs w:val="0"/>
              <w:sz w:val="22"/>
              <w:szCs w:val="22"/>
              <w:lang w:val="es-MX" w:eastAsia="es-MX"/>
            </w:rPr>
          </w:pPr>
          <w:hyperlink w:anchor="_Toc86235930" w:history="1">
            <w:r w:rsidR="004D4BBA" w:rsidRPr="00115078">
              <w:rPr>
                <w:rStyle w:val="Hipervnculo"/>
                <w:rFonts w:cstheme="majorBidi"/>
              </w:rPr>
              <w:t>R E S O L U T I V O S</w:t>
            </w:r>
            <w:r w:rsidR="004D4BBA">
              <w:rPr>
                <w:webHidden/>
              </w:rPr>
              <w:tab/>
            </w:r>
            <w:r w:rsidR="004D4BBA">
              <w:rPr>
                <w:webHidden/>
              </w:rPr>
              <w:fldChar w:fldCharType="begin"/>
            </w:r>
            <w:r w:rsidR="004D4BBA">
              <w:rPr>
                <w:webHidden/>
              </w:rPr>
              <w:instrText xml:space="preserve"> PAGEREF _Toc86235930 \h </w:instrText>
            </w:r>
            <w:r w:rsidR="004D4BBA">
              <w:rPr>
                <w:webHidden/>
              </w:rPr>
            </w:r>
            <w:r w:rsidR="004D4BBA">
              <w:rPr>
                <w:webHidden/>
              </w:rPr>
              <w:fldChar w:fldCharType="separate"/>
            </w:r>
            <w:r w:rsidR="004D4BBA">
              <w:rPr>
                <w:webHidden/>
              </w:rPr>
              <w:t>24</w:t>
            </w:r>
            <w:r w:rsidR="004D4BBA">
              <w:rPr>
                <w:webHidden/>
              </w:rPr>
              <w:fldChar w:fldCharType="end"/>
            </w:r>
          </w:hyperlink>
        </w:p>
        <w:p w14:paraId="24189950" w14:textId="77777777" w:rsidR="004B7E50" w:rsidRPr="004B7E50" w:rsidRDefault="004B7E50" w:rsidP="004B7E50">
          <w:pPr>
            <w:spacing w:line="480" w:lineRule="auto"/>
            <w:rPr>
              <w:rFonts w:ascii="Palatino Linotype" w:hAnsi="Palatino Linotype"/>
              <w:sz w:val="24"/>
              <w:szCs w:val="24"/>
            </w:rPr>
          </w:pPr>
          <w:r w:rsidRPr="004B7E50">
            <w:rPr>
              <w:rFonts w:ascii="Palatino Linotype" w:hAnsi="Palatino Linotype"/>
              <w:b/>
              <w:bCs/>
              <w:sz w:val="24"/>
              <w:szCs w:val="24"/>
              <w:lang w:val="es-ES"/>
            </w:rPr>
            <w:fldChar w:fldCharType="end"/>
          </w:r>
        </w:p>
      </w:sdtContent>
    </w:sdt>
    <w:p w14:paraId="7EB07F6A" w14:textId="77777777" w:rsidR="005E0A8B" w:rsidRDefault="005E0A8B" w:rsidP="004B7E50">
      <w:pPr>
        <w:spacing w:before="240" w:after="240" w:line="360" w:lineRule="auto"/>
        <w:jc w:val="both"/>
        <w:rPr>
          <w:rFonts w:ascii="Palatino Linotype" w:hAnsi="Palatino Linotype"/>
          <w:sz w:val="24"/>
          <w:szCs w:val="24"/>
        </w:rPr>
      </w:pPr>
    </w:p>
    <w:p w14:paraId="54150AF4" w14:textId="77777777" w:rsidR="005E0A8B" w:rsidRDefault="005E0A8B" w:rsidP="004B7E50">
      <w:pPr>
        <w:spacing w:before="240" w:after="240" w:line="360" w:lineRule="auto"/>
        <w:jc w:val="both"/>
        <w:rPr>
          <w:rFonts w:ascii="Palatino Linotype" w:hAnsi="Palatino Linotype"/>
          <w:sz w:val="24"/>
          <w:szCs w:val="24"/>
        </w:rPr>
      </w:pPr>
    </w:p>
    <w:p w14:paraId="43DE116F" w14:textId="26524D2D" w:rsidR="004B7E50" w:rsidRPr="004B7E50" w:rsidRDefault="004B7E50" w:rsidP="004B7E50">
      <w:pPr>
        <w:spacing w:before="240" w:after="240" w:line="360" w:lineRule="auto"/>
        <w:jc w:val="both"/>
        <w:rPr>
          <w:rFonts w:ascii="Palatino Linotype" w:hAnsi="Palatino Linotype"/>
          <w:sz w:val="24"/>
          <w:szCs w:val="24"/>
        </w:rPr>
      </w:pPr>
      <w:r w:rsidRPr="004B7E50">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w:t>
      </w:r>
      <w:r w:rsidR="00F87101">
        <w:rPr>
          <w:rFonts w:ascii="Palatino Linotype" w:hAnsi="Palatino Linotype"/>
          <w:sz w:val="24"/>
          <w:szCs w:val="24"/>
        </w:rPr>
        <w:t xml:space="preserve">Estado </w:t>
      </w:r>
      <w:r w:rsidR="00533170">
        <w:rPr>
          <w:rFonts w:ascii="Palatino Linotype" w:hAnsi="Palatino Linotype"/>
          <w:sz w:val="24"/>
          <w:szCs w:val="24"/>
        </w:rPr>
        <w:t xml:space="preserve">de México; de </w:t>
      </w:r>
      <w:r w:rsidR="00424E7B">
        <w:rPr>
          <w:rFonts w:ascii="Palatino Linotype" w:hAnsi="Palatino Linotype"/>
          <w:sz w:val="24"/>
          <w:szCs w:val="24"/>
        </w:rPr>
        <w:t>cuatro</w:t>
      </w:r>
      <w:r w:rsidRPr="00424E7B">
        <w:rPr>
          <w:rFonts w:ascii="Palatino Linotype" w:hAnsi="Palatino Linotype"/>
          <w:sz w:val="24"/>
          <w:szCs w:val="24"/>
        </w:rPr>
        <w:t xml:space="preserve"> (</w:t>
      </w:r>
      <w:r w:rsidR="00424E7B" w:rsidRPr="00424E7B">
        <w:rPr>
          <w:rFonts w:ascii="Palatino Linotype" w:hAnsi="Palatino Linotype"/>
          <w:sz w:val="24"/>
          <w:szCs w:val="24"/>
        </w:rPr>
        <w:t>04</w:t>
      </w:r>
      <w:r w:rsidRPr="00424E7B">
        <w:rPr>
          <w:rFonts w:ascii="Palatino Linotype" w:hAnsi="Palatino Linotype"/>
          <w:sz w:val="24"/>
          <w:szCs w:val="24"/>
        </w:rPr>
        <w:t xml:space="preserve">) de </w:t>
      </w:r>
      <w:r w:rsidR="00533170" w:rsidRPr="00424E7B">
        <w:rPr>
          <w:rFonts w:ascii="Palatino Linotype" w:hAnsi="Palatino Linotype"/>
          <w:sz w:val="24"/>
          <w:szCs w:val="24"/>
        </w:rPr>
        <w:t>noviembre</w:t>
      </w:r>
      <w:r w:rsidRPr="00424E7B">
        <w:rPr>
          <w:rFonts w:ascii="Palatino Linotype" w:hAnsi="Palatino Linotype"/>
          <w:sz w:val="24"/>
          <w:szCs w:val="24"/>
        </w:rPr>
        <w:t xml:space="preserve"> de dos mil veintiuno.</w:t>
      </w:r>
    </w:p>
    <w:p w14:paraId="394FAAD0" w14:textId="64C1307B" w:rsidR="004B7E50" w:rsidRPr="004B7E50" w:rsidRDefault="004B7E50" w:rsidP="004B7E50">
      <w:pPr>
        <w:pStyle w:val="Encabezado"/>
        <w:spacing w:line="360" w:lineRule="auto"/>
        <w:jc w:val="both"/>
        <w:rPr>
          <w:rFonts w:ascii="Palatino Linotype" w:hAnsi="Palatino Linotype"/>
          <w:sz w:val="24"/>
          <w:szCs w:val="24"/>
        </w:rPr>
      </w:pPr>
      <w:r w:rsidRPr="004B7E50">
        <w:rPr>
          <w:rFonts w:ascii="Palatino Linotype" w:hAnsi="Palatino Linotype"/>
          <w:b/>
          <w:sz w:val="24"/>
          <w:szCs w:val="24"/>
        </w:rPr>
        <w:t>VISTO el</w:t>
      </w:r>
      <w:r w:rsidRPr="004B7E50">
        <w:rPr>
          <w:rFonts w:ascii="Palatino Linotype" w:hAnsi="Palatino Linotype"/>
          <w:sz w:val="24"/>
          <w:szCs w:val="24"/>
        </w:rPr>
        <w:t xml:space="preserve"> expediente electrónico formado con motivo del recurso de revisión </w:t>
      </w:r>
      <w:r w:rsidR="00597563" w:rsidRPr="00597563">
        <w:rPr>
          <w:rFonts w:ascii="Palatino Linotype" w:hAnsi="Palatino Linotype" w:cs="Arial"/>
          <w:b/>
          <w:bCs/>
          <w:sz w:val="24"/>
          <w:szCs w:val="24"/>
          <w:lang w:eastAsia="es-MX"/>
        </w:rPr>
        <w:t>04718/INFOEM/IP/RR/2021</w:t>
      </w:r>
      <w:r w:rsidRPr="004B7E50">
        <w:rPr>
          <w:rFonts w:ascii="Palatino Linotype" w:hAnsi="Palatino Linotype" w:cs="Arial"/>
          <w:b/>
          <w:bCs/>
          <w:sz w:val="24"/>
          <w:szCs w:val="24"/>
        </w:rPr>
        <w:t xml:space="preserve">, </w:t>
      </w:r>
      <w:r w:rsidRPr="004B7E50">
        <w:rPr>
          <w:rFonts w:ascii="Palatino Linotype" w:hAnsi="Palatino Linotype"/>
          <w:sz w:val="24"/>
          <w:szCs w:val="24"/>
        </w:rPr>
        <w:t xml:space="preserve">promovido por </w:t>
      </w:r>
      <w:r w:rsidR="00597563">
        <w:rPr>
          <w:rFonts w:ascii="Palatino Linotype" w:hAnsi="Palatino Linotype"/>
          <w:sz w:val="24"/>
          <w:szCs w:val="24"/>
        </w:rPr>
        <w:t>Un usuario del Sistema de Acceso a la Información Mexiquense (SAIMEX) que no proporcionó su nombre para ser identificado</w:t>
      </w:r>
      <w:r w:rsidRPr="004B7E50">
        <w:rPr>
          <w:rFonts w:ascii="Palatino Linotype" w:hAnsi="Palatino Linotype"/>
          <w:sz w:val="24"/>
          <w:szCs w:val="24"/>
        </w:rPr>
        <w:t xml:space="preserve">, en su calidad de </w:t>
      </w:r>
      <w:r w:rsidRPr="004B7E50">
        <w:rPr>
          <w:rFonts w:ascii="Palatino Linotype" w:hAnsi="Palatino Linotype"/>
          <w:b/>
          <w:sz w:val="24"/>
          <w:szCs w:val="24"/>
        </w:rPr>
        <w:t>RECURRENTE</w:t>
      </w:r>
      <w:r w:rsidRPr="004B7E50">
        <w:rPr>
          <w:rFonts w:ascii="Palatino Linotype" w:hAnsi="Palatino Linotype" w:cs="Arial"/>
          <w:sz w:val="24"/>
          <w:szCs w:val="24"/>
        </w:rPr>
        <w:t>, en contra de la respuesta de</w:t>
      </w:r>
      <w:r w:rsidR="00533170">
        <w:rPr>
          <w:rFonts w:ascii="Palatino Linotype" w:hAnsi="Palatino Linotype" w:cs="Arial"/>
          <w:sz w:val="24"/>
          <w:szCs w:val="24"/>
        </w:rPr>
        <w:t>l</w:t>
      </w:r>
      <w:r w:rsidRPr="004B7E50">
        <w:rPr>
          <w:rFonts w:ascii="Palatino Linotype" w:hAnsi="Palatino Linotype" w:cs="Arial"/>
          <w:sz w:val="24"/>
          <w:szCs w:val="24"/>
        </w:rPr>
        <w:t xml:space="preserve"> </w:t>
      </w:r>
      <w:r w:rsidR="00597563" w:rsidRPr="00597563">
        <w:rPr>
          <w:rFonts w:ascii="Palatino Linotype" w:hAnsi="Palatino Linotype"/>
          <w:b/>
          <w:bCs/>
          <w:sz w:val="24"/>
          <w:szCs w:val="24"/>
        </w:rPr>
        <w:t>Sistema Municipal Para el Desarrollo Integral de la Familia de Valle de Chalco Solidaridad</w:t>
      </w:r>
      <w:r w:rsidRPr="004B7E50">
        <w:rPr>
          <w:rFonts w:ascii="Palatino Linotype" w:hAnsi="Palatino Linotype" w:cs="Arial"/>
          <w:sz w:val="24"/>
          <w:szCs w:val="24"/>
        </w:rPr>
        <w:t>,</w:t>
      </w:r>
      <w:r w:rsidRPr="004B7E50">
        <w:rPr>
          <w:rFonts w:ascii="Palatino Linotype" w:hAnsi="Palatino Linotype"/>
          <w:b/>
          <w:sz w:val="24"/>
          <w:szCs w:val="24"/>
        </w:rPr>
        <w:t xml:space="preserve"> </w:t>
      </w:r>
      <w:r w:rsidRPr="004B7E50">
        <w:rPr>
          <w:rFonts w:ascii="Palatino Linotype" w:hAnsi="Palatino Linotype"/>
          <w:sz w:val="24"/>
          <w:szCs w:val="24"/>
        </w:rPr>
        <w:t>en lo sucesivo el</w:t>
      </w:r>
      <w:r w:rsidRPr="004B7E50">
        <w:rPr>
          <w:rFonts w:ascii="Palatino Linotype" w:hAnsi="Palatino Linotype"/>
          <w:b/>
          <w:sz w:val="24"/>
          <w:szCs w:val="24"/>
        </w:rPr>
        <w:t xml:space="preserve"> SUJETO OBLIGADO, </w:t>
      </w:r>
      <w:r w:rsidRPr="004B7E50">
        <w:rPr>
          <w:rFonts w:ascii="Palatino Linotype" w:hAnsi="Palatino Linotype"/>
          <w:sz w:val="24"/>
          <w:szCs w:val="24"/>
        </w:rPr>
        <w:t>se procede a dictar la presente resolución, con base en los siguientes:</w:t>
      </w:r>
    </w:p>
    <w:p w14:paraId="4058BF16" w14:textId="77777777" w:rsidR="004B7E50" w:rsidRPr="004B7E50" w:rsidRDefault="004B7E50" w:rsidP="004B7E50">
      <w:pPr>
        <w:pStyle w:val="Ttulo1"/>
        <w:jc w:val="center"/>
        <w:rPr>
          <w:rFonts w:ascii="Palatino Linotype" w:hAnsi="Palatino Linotype"/>
          <w:b/>
          <w:color w:val="auto"/>
          <w:sz w:val="24"/>
          <w:szCs w:val="24"/>
        </w:rPr>
      </w:pPr>
      <w:bookmarkStart w:id="0" w:name="_Toc86235919"/>
      <w:r w:rsidRPr="004B7E50">
        <w:rPr>
          <w:rFonts w:ascii="Palatino Linotype" w:hAnsi="Palatino Linotype"/>
          <w:b/>
          <w:color w:val="auto"/>
          <w:sz w:val="24"/>
          <w:szCs w:val="24"/>
        </w:rPr>
        <w:t>ANTECEDENTES</w:t>
      </w:r>
      <w:bookmarkEnd w:id="0"/>
    </w:p>
    <w:p w14:paraId="27A77A72" w14:textId="77777777" w:rsidR="004B7E50" w:rsidRPr="004B7E50" w:rsidRDefault="004B7E50" w:rsidP="004B7E50">
      <w:pPr>
        <w:rPr>
          <w:rFonts w:ascii="Palatino Linotype" w:hAnsi="Palatino Linotype"/>
          <w:sz w:val="24"/>
          <w:szCs w:val="24"/>
          <w:lang w:eastAsia="en-US"/>
        </w:rPr>
      </w:pPr>
    </w:p>
    <w:p w14:paraId="5F113DE1" w14:textId="7B00D6EC" w:rsidR="004B7E50" w:rsidRPr="004B7E50" w:rsidRDefault="00597563" w:rsidP="004B7E50">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día veintitrés</w:t>
      </w:r>
      <w:r w:rsidR="004B7E50" w:rsidRPr="004B7E50">
        <w:rPr>
          <w:rFonts w:ascii="Palatino Linotype" w:eastAsia="Calibri" w:hAnsi="Palatino Linotype" w:cs="Arial"/>
          <w:sz w:val="24"/>
          <w:lang w:val="es-ES"/>
        </w:rPr>
        <w:t xml:space="preserve"> (</w:t>
      </w:r>
      <w:r>
        <w:rPr>
          <w:rFonts w:ascii="Palatino Linotype" w:eastAsia="Calibri" w:hAnsi="Palatino Linotype" w:cs="Arial"/>
          <w:sz w:val="24"/>
          <w:lang w:val="es-ES"/>
        </w:rPr>
        <w:t>23</w:t>
      </w:r>
      <w:r w:rsidR="004B7E50" w:rsidRPr="004B7E50">
        <w:rPr>
          <w:rFonts w:ascii="Palatino Linotype" w:eastAsia="Calibri" w:hAnsi="Palatino Linotype" w:cs="Arial"/>
          <w:sz w:val="24"/>
          <w:lang w:val="es-ES"/>
        </w:rPr>
        <w:t xml:space="preserve">) </w:t>
      </w:r>
      <w:r w:rsidR="004B7E50" w:rsidRPr="004B7E50">
        <w:rPr>
          <w:rFonts w:ascii="Palatino Linotype" w:eastAsia="Calibri" w:hAnsi="Palatino Linotype"/>
          <w:sz w:val="24"/>
          <w:lang w:val="es-ES"/>
        </w:rPr>
        <w:t>de agosto de dos mil veintiuno</w:t>
      </w:r>
      <w:r w:rsidR="004B7E50" w:rsidRPr="004B7E50">
        <w:rPr>
          <w:rFonts w:ascii="Palatino Linotype" w:eastAsia="Calibri" w:hAnsi="Palatino Linotype" w:cs="Arial"/>
          <w:sz w:val="24"/>
          <w:lang w:val="es-ES"/>
        </w:rPr>
        <w:t>,</w:t>
      </w:r>
      <w:r w:rsidR="004B7E50" w:rsidRPr="004B7E50">
        <w:rPr>
          <w:rFonts w:ascii="Palatino Linotype" w:eastAsia="Calibri" w:hAnsi="Palatino Linotype"/>
          <w:sz w:val="24"/>
          <w:lang w:val="es-ES"/>
        </w:rPr>
        <w:t xml:space="preserve"> </w:t>
      </w:r>
      <w:r w:rsidR="004B7E50" w:rsidRPr="004B7E50">
        <w:rPr>
          <w:rFonts w:ascii="Palatino Linotype" w:eastAsia="Calibri" w:hAnsi="Palatino Linotype"/>
          <w:b/>
          <w:sz w:val="24"/>
          <w:lang w:val="es-ES"/>
        </w:rPr>
        <w:t xml:space="preserve">EL RECURRENTE </w:t>
      </w:r>
      <w:r w:rsidR="004B7E50" w:rsidRPr="004B7E50">
        <w:rPr>
          <w:rFonts w:ascii="Palatino Linotype" w:eastAsia="Calibri" w:hAnsi="Palatino Linotype"/>
          <w:bCs/>
          <w:sz w:val="24"/>
          <w:lang w:val="es-ES"/>
        </w:rPr>
        <w:t>presentó</w:t>
      </w:r>
      <w:r w:rsidR="004B7E50" w:rsidRPr="004B7E50">
        <w:rPr>
          <w:rFonts w:ascii="Palatino Linotype" w:hAnsi="Palatino Linotype"/>
          <w:b/>
          <w:sz w:val="24"/>
        </w:rPr>
        <w:t>,</w:t>
      </w:r>
      <w:r w:rsidR="004B7E50" w:rsidRPr="004B7E50">
        <w:rPr>
          <w:rFonts w:ascii="Palatino Linotype" w:eastAsia="Calibri" w:hAnsi="Palatino Linotype" w:cs="Arial"/>
          <w:sz w:val="24"/>
          <w:lang w:val="es-ES"/>
        </w:rPr>
        <w:t xml:space="preserve"> ante el </w:t>
      </w:r>
      <w:r w:rsidR="004B7E50" w:rsidRPr="004B7E50">
        <w:rPr>
          <w:rFonts w:ascii="Palatino Linotype" w:eastAsia="Calibri" w:hAnsi="Palatino Linotype" w:cs="Arial"/>
          <w:b/>
          <w:sz w:val="24"/>
          <w:lang w:val="es-ES"/>
        </w:rPr>
        <w:t>SUJETO OBLIGADO</w:t>
      </w:r>
      <w:r w:rsidR="004B7E50" w:rsidRPr="004B7E50">
        <w:rPr>
          <w:rFonts w:ascii="Palatino Linotype" w:eastAsia="Calibri" w:hAnsi="Palatino Linotype" w:cs="Arial"/>
          <w:sz w:val="24"/>
        </w:rPr>
        <w:t xml:space="preserve"> vía </w:t>
      </w:r>
      <w:r w:rsidR="004B7E50" w:rsidRPr="004B7E50">
        <w:rPr>
          <w:rFonts w:ascii="Palatino Linotype" w:eastAsia="Calibri" w:hAnsi="Palatino Linotype" w:cs="Arial"/>
          <w:sz w:val="24"/>
          <w:lang w:val="es-ES"/>
        </w:rPr>
        <w:t>Sistema de Acceso a la Información Mexiquense (</w:t>
      </w:r>
      <w:r w:rsidR="004B7E50" w:rsidRPr="004B7E50">
        <w:rPr>
          <w:rFonts w:ascii="Palatino Linotype" w:eastAsia="Calibri" w:hAnsi="Palatino Linotype" w:cs="Arial"/>
          <w:b/>
          <w:sz w:val="24"/>
          <w:lang w:val="es-ES"/>
        </w:rPr>
        <w:t>SAIMEX)</w:t>
      </w:r>
      <w:r w:rsidR="004B7E50" w:rsidRPr="004B7E50">
        <w:rPr>
          <w:rFonts w:ascii="Palatino Linotype" w:eastAsia="Calibri" w:hAnsi="Palatino Linotype" w:cs="Arial"/>
          <w:sz w:val="24"/>
          <w:lang w:val="es-ES"/>
        </w:rPr>
        <w:t xml:space="preserve">, la solicitud de información pública registrada con el número </w:t>
      </w:r>
      <w:r w:rsidR="00533170" w:rsidRPr="004B7E50">
        <w:rPr>
          <w:rFonts w:ascii="Palatino Linotype" w:eastAsia="Calibri" w:hAnsi="Palatino Linotype" w:cs="Arial"/>
          <w:b/>
          <w:sz w:val="24"/>
          <w:lang w:val="es-ES"/>
        </w:rPr>
        <w:t>00</w:t>
      </w:r>
      <w:r w:rsidR="00533170">
        <w:rPr>
          <w:rFonts w:ascii="Palatino Linotype" w:eastAsia="Calibri" w:hAnsi="Palatino Linotype" w:cs="Arial"/>
          <w:b/>
          <w:sz w:val="24"/>
          <w:lang w:val="es-ES"/>
        </w:rPr>
        <w:t>0</w:t>
      </w:r>
      <w:r>
        <w:rPr>
          <w:rFonts w:ascii="Palatino Linotype" w:eastAsia="Calibri" w:hAnsi="Palatino Linotype" w:cs="Arial"/>
          <w:b/>
          <w:sz w:val="24"/>
          <w:lang w:val="es-ES"/>
        </w:rPr>
        <w:t>65</w:t>
      </w:r>
      <w:r w:rsidR="00533170" w:rsidRPr="004B7E50">
        <w:rPr>
          <w:rFonts w:ascii="Palatino Linotype" w:eastAsia="Calibri" w:hAnsi="Palatino Linotype" w:cs="Arial"/>
          <w:b/>
          <w:sz w:val="24"/>
          <w:lang w:val="es-ES"/>
        </w:rPr>
        <w:t>/</w:t>
      </w:r>
      <w:r>
        <w:rPr>
          <w:rFonts w:ascii="Palatino Linotype" w:eastAsia="Calibri" w:hAnsi="Palatino Linotype" w:cs="Arial"/>
          <w:b/>
          <w:sz w:val="24"/>
          <w:lang w:val="es-ES"/>
        </w:rPr>
        <w:t>DIFVACHASO</w:t>
      </w:r>
      <w:r w:rsidR="00533170" w:rsidRPr="004B7E50">
        <w:rPr>
          <w:rFonts w:ascii="Palatino Linotype" w:eastAsia="Calibri" w:hAnsi="Palatino Linotype" w:cs="Arial"/>
          <w:b/>
          <w:sz w:val="24"/>
          <w:lang w:val="es-ES"/>
        </w:rPr>
        <w:t>/IP/2021</w:t>
      </w:r>
      <w:r w:rsidR="004B7E50" w:rsidRPr="004B7E50">
        <w:rPr>
          <w:rFonts w:ascii="Palatino Linotype" w:hAnsi="Palatino Linotype"/>
          <w:b/>
          <w:sz w:val="24"/>
        </w:rPr>
        <w:t xml:space="preserve"> </w:t>
      </w:r>
      <w:r w:rsidR="004B7E50" w:rsidRPr="004B7E50">
        <w:rPr>
          <w:rFonts w:ascii="Palatino Linotype" w:eastAsia="Calibri" w:hAnsi="Palatino Linotype" w:cs="Arial"/>
          <w:sz w:val="24"/>
          <w:lang w:val="es-ES"/>
        </w:rPr>
        <w:t>mediante la cual solicitó lo siguiente:</w:t>
      </w:r>
    </w:p>
    <w:p w14:paraId="49AC28D4" w14:textId="7657521F" w:rsidR="004B7E50" w:rsidRDefault="004B7E50" w:rsidP="004B7E50">
      <w:pPr>
        <w:ind w:left="567" w:right="567"/>
        <w:jc w:val="both"/>
        <w:rPr>
          <w:rFonts w:ascii="Palatino Linotype" w:eastAsia="Calibri" w:hAnsi="Palatino Linotype" w:cs="Arial"/>
          <w:i/>
          <w:sz w:val="22"/>
          <w:szCs w:val="24"/>
          <w:lang w:val="es-ES"/>
        </w:rPr>
      </w:pPr>
      <w:r w:rsidRPr="004B7E50">
        <w:rPr>
          <w:rFonts w:ascii="Palatino Linotype" w:eastAsia="Calibri" w:hAnsi="Palatino Linotype" w:cs="Arial"/>
          <w:i/>
          <w:sz w:val="22"/>
          <w:szCs w:val="24"/>
          <w:lang w:val="es-ES"/>
        </w:rPr>
        <w:t>“</w:t>
      </w:r>
      <w:r w:rsidR="00B072BC" w:rsidRPr="00B072BC">
        <w:rPr>
          <w:rFonts w:ascii="Palatino Linotype" w:hAnsi="Palatino Linotype"/>
          <w:i/>
          <w:sz w:val="22"/>
          <w:szCs w:val="24"/>
          <w:lang w:eastAsia="es-MX"/>
        </w:rPr>
        <w:t>Con fundamento a la Ley General de Responsabilidades Administrativas Federal Artículo 63 bis. Deseo saber porque la directora y presidenta del DIF Patricia López nombró a su hermana beatriz adriana lopez chavez coordinadora de atención al adulto mayor y que acciones tomará la contraloría respecto a ésta obvia acción de nepotismo</w:t>
      </w:r>
      <w:r w:rsidRPr="004B7E50">
        <w:rPr>
          <w:rFonts w:ascii="Palatino Linotype" w:eastAsia="Calibri" w:hAnsi="Palatino Linotype" w:cs="Arial"/>
          <w:i/>
          <w:sz w:val="22"/>
          <w:szCs w:val="24"/>
          <w:lang w:val="es-ES"/>
        </w:rPr>
        <w:t>” (Sic)</w:t>
      </w:r>
    </w:p>
    <w:p w14:paraId="35AD2C83" w14:textId="77777777" w:rsidR="00F87101" w:rsidRPr="004B7E50" w:rsidRDefault="00F87101" w:rsidP="004B7E50">
      <w:pPr>
        <w:ind w:left="567" w:right="567"/>
        <w:jc w:val="both"/>
        <w:rPr>
          <w:rFonts w:ascii="Palatino Linotype" w:eastAsia="Calibri" w:hAnsi="Palatino Linotype" w:cs="Arial"/>
          <w:i/>
          <w:sz w:val="22"/>
          <w:szCs w:val="24"/>
          <w:lang w:val="es-ES"/>
        </w:rPr>
      </w:pPr>
    </w:p>
    <w:p w14:paraId="2D75578B" w14:textId="55CEFCE8" w:rsidR="004B7E50" w:rsidRPr="004B7E50" w:rsidRDefault="004B7E50" w:rsidP="004B7E50">
      <w:pPr>
        <w:pStyle w:val="Prrafodelista"/>
        <w:numPr>
          <w:ilvl w:val="0"/>
          <w:numId w:val="3"/>
        </w:numPr>
        <w:spacing w:line="360" w:lineRule="auto"/>
        <w:ind w:left="0" w:firstLine="0"/>
        <w:jc w:val="both"/>
        <w:rPr>
          <w:rFonts w:ascii="Palatino Linotype" w:hAnsi="Palatino Linotype" w:cs="Arial"/>
          <w:sz w:val="24"/>
          <w:lang w:val="es-ES"/>
        </w:rPr>
      </w:pPr>
      <w:r w:rsidRPr="004B7E50">
        <w:rPr>
          <w:rFonts w:ascii="Palatino Linotype" w:hAnsi="Palatino Linotype" w:cs="Arial"/>
          <w:sz w:val="24"/>
          <w:lang w:val="es-ES"/>
        </w:rPr>
        <w:t>Señaló como modalidad de entreg</w:t>
      </w:r>
      <w:r w:rsidR="00791625">
        <w:rPr>
          <w:rFonts w:ascii="Palatino Linotype" w:hAnsi="Palatino Linotype" w:cs="Arial"/>
          <w:sz w:val="24"/>
          <w:lang w:val="es-ES"/>
        </w:rPr>
        <w:t>a de la información a través</w:t>
      </w:r>
      <w:r w:rsidR="00533170">
        <w:rPr>
          <w:rFonts w:ascii="Palatino Linotype" w:hAnsi="Palatino Linotype" w:cs="Arial"/>
          <w:sz w:val="24"/>
          <w:lang w:val="es-ES"/>
        </w:rPr>
        <w:t xml:space="preserve"> del </w:t>
      </w:r>
      <w:r w:rsidR="00533170" w:rsidRPr="005E0A8B">
        <w:rPr>
          <w:rFonts w:ascii="Palatino Linotype" w:hAnsi="Palatino Linotype" w:cs="Arial"/>
          <w:b/>
          <w:sz w:val="24"/>
          <w:lang w:val="es-ES"/>
        </w:rPr>
        <w:t>SAIMEX</w:t>
      </w:r>
    </w:p>
    <w:p w14:paraId="09AC3063" w14:textId="77777777" w:rsidR="004B7E50" w:rsidRPr="004B7E50" w:rsidRDefault="004B7E50" w:rsidP="004B7E50">
      <w:pPr>
        <w:pStyle w:val="Prrafodelista"/>
        <w:spacing w:line="360" w:lineRule="auto"/>
        <w:ind w:left="0"/>
        <w:jc w:val="both"/>
        <w:rPr>
          <w:rFonts w:ascii="Palatino Linotype" w:hAnsi="Palatino Linotype" w:cs="Arial"/>
          <w:sz w:val="24"/>
          <w:lang w:val="es-ES"/>
        </w:rPr>
      </w:pPr>
    </w:p>
    <w:p w14:paraId="2DC904FB" w14:textId="6189DD78" w:rsidR="004B7E50" w:rsidRPr="004B7E50" w:rsidRDefault="00533170" w:rsidP="004B7E50">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Pr>
          <w:rFonts w:ascii="Palatino Linotype" w:eastAsia="Calibri" w:hAnsi="Palatino Linotype"/>
          <w:sz w:val="24"/>
          <w:lang w:val="es-ES"/>
        </w:rPr>
        <w:lastRenderedPageBreak/>
        <w:t xml:space="preserve">El </w:t>
      </w:r>
      <w:r w:rsidR="00597563">
        <w:rPr>
          <w:rFonts w:ascii="Palatino Linotype" w:eastAsia="Calibri" w:hAnsi="Palatino Linotype"/>
          <w:sz w:val="24"/>
          <w:lang w:val="es-ES"/>
        </w:rPr>
        <w:t xml:space="preserve">catorce </w:t>
      </w:r>
      <w:r>
        <w:rPr>
          <w:rFonts w:ascii="Palatino Linotype" w:eastAsia="Calibri" w:hAnsi="Palatino Linotype" w:cs="Arial"/>
          <w:sz w:val="24"/>
          <w:lang w:val="es-ES"/>
        </w:rPr>
        <w:t>(</w:t>
      </w:r>
      <w:r w:rsidR="00597563">
        <w:rPr>
          <w:rFonts w:ascii="Palatino Linotype" w:eastAsia="Calibri" w:hAnsi="Palatino Linotype" w:cs="Arial"/>
          <w:sz w:val="24"/>
          <w:lang w:val="es-ES"/>
        </w:rPr>
        <w:t>14</w:t>
      </w:r>
      <w:r w:rsidR="004B7E50" w:rsidRPr="004B7E50">
        <w:rPr>
          <w:rFonts w:ascii="Palatino Linotype" w:eastAsia="Calibri" w:hAnsi="Palatino Linotype" w:cs="Arial"/>
          <w:sz w:val="24"/>
          <w:lang w:val="es-ES"/>
        </w:rPr>
        <w:t xml:space="preserve">) </w:t>
      </w:r>
      <w:r w:rsidR="004B7E50" w:rsidRPr="004B7E50">
        <w:rPr>
          <w:rFonts w:ascii="Palatino Linotype" w:eastAsia="Calibri" w:hAnsi="Palatino Linotype"/>
          <w:sz w:val="24"/>
          <w:lang w:val="es-ES"/>
        </w:rPr>
        <w:t xml:space="preserve">de </w:t>
      </w:r>
      <w:r>
        <w:rPr>
          <w:rFonts w:ascii="Palatino Linotype" w:eastAsia="Calibri" w:hAnsi="Palatino Linotype"/>
          <w:sz w:val="24"/>
          <w:lang w:val="es-ES"/>
        </w:rPr>
        <w:t>septiembre</w:t>
      </w:r>
      <w:r w:rsidR="004B7E50" w:rsidRPr="004B7E50">
        <w:rPr>
          <w:rFonts w:ascii="Palatino Linotype" w:eastAsia="Calibri" w:hAnsi="Palatino Linotype"/>
          <w:sz w:val="24"/>
          <w:lang w:val="es-ES"/>
        </w:rPr>
        <w:t xml:space="preserve"> de dos mil veintiuno, el </w:t>
      </w:r>
      <w:r w:rsidR="004B7E50" w:rsidRPr="004B7E50">
        <w:rPr>
          <w:rFonts w:ascii="Palatino Linotype" w:eastAsia="Calibri" w:hAnsi="Palatino Linotype" w:cs="Arial"/>
          <w:b/>
          <w:sz w:val="24"/>
          <w:lang w:val="es-AR"/>
        </w:rPr>
        <w:t>SUJETO OBLIGADO</w:t>
      </w:r>
      <w:r w:rsidR="004B7E50" w:rsidRPr="004B7E50">
        <w:rPr>
          <w:rFonts w:ascii="Palatino Linotype" w:eastAsia="Calibri" w:hAnsi="Palatino Linotype" w:cs="Arial"/>
          <w:b/>
          <w:i/>
          <w:sz w:val="24"/>
          <w:lang w:val="es-AR"/>
        </w:rPr>
        <w:t xml:space="preserve"> </w:t>
      </w:r>
      <w:r w:rsidR="004B7E50" w:rsidRPr="004B7E50">
        <w:rPr>
          <w:rFonts w:ascii="Palatino Linotype" w:hAnsi="Palatino Linotype" w:cs="Arial"/>
          <w:sz w:val="24"/>
          <w:lang w:val="es-ES"/>
        </w:rPr>
        <w:t>dio respuesta a la solicitud de información, en los siguientes términos:</w:t>
      </w:r>
    </w:p>
    <w:p w14:paraId="13D0E1CF" w14:textId="77777777" w:rsidR="004B7E50" w:rsidRPr="004B7E50" w:rsidRDefault="004B7E50" w:rsidP="004B7E50">
      <w:pPr>
        <w:pStyle w:val="Prrafodelista"/>
        <w:rPr>
          <w:rFonts w:ascii="Palatino Linotype" w:hAnsi="Palatino Linotype" w:cs="Arial"/>
          <w:sz w:val="24"/>
          <w:lang w:val="es-ES"/>
        </w:rPr>
      </w:pPr>
    </w:p>
    <w:p w14:paraId="2B4AEDFE" w14:textId="77777777" w:rsidR="00597563" w:rsidRPr="00597563" w:rsidRDefault="004B7E50" w:rsidP="00597563">
      <w:pPr>
        <w:pStyle w:val="Prrafodelista"/>
        <w:spacing w:before="240" w:after="240" w:line="360" w:lineRule="auto"/>
        <w:ind w:left="567" w:right="567"/>
        <w:jc w:val="both"/>
        <w:rPr>
          <w:rFonts w:ascii="Palatino Linotype" w:hAnsi="Palatino Linotype"/>
          <w:i/>
          <w:color w:val="000000"/>
        </w:rPr>
      </w:pPr>
      <w:r w:rsidRPr="004B7E50">
        <w:rPr>
          <w:rFonts w:ascii="Palatino Linotype" w:eastAsia="Calibri" w:hAnsi="Palatino Linotype"/>
          <w:i/>
          <w:lang w:val="es-ES"/>
        </w:rPr>
        <w:t>“</w:t>
      </w:r>
      <w:r w:rsidR="00597563" w:rsidRPr="00597563">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98F061" w14:textId="77777777" w:rsidR="00597563" w:rsidRPr="00597563" w:rsidRDefault="00597563" w:rsidP="00597563">
      <w:pPr>
        <w:pStyle w:val="Prrafodelista"/>
        <w:spacing w:before="240" w:after="240" w:line="360" w:lineRule="auto"/>
        <w:ind w:left="567" w:right="567"/>
        <w:jc w:val="both"/>
        <w:rPr>
          <w:rFonts w:ascii="Palatino Linotype" w:hAnsi="Palatino Linotype"/>
          <w:i/>
          <w:color w:val="000000"/>
        </w:rPr>
      </w:pPr>
      <w:r w:rsidRPr="00597563">
        <w:rPr>
          <w:rFonts w:ascii="Palatino Linotype" w:hAnsi="Palatino Linotype"/>
          <w:i/>
          <w:color w:val="000000"/>
        </w:rPr>
        <w:t>Sea el medio para enviarle un cordial saludo, al tiempo, me permito hacer de conocimiento a usted que, derivado de un estudio y análisis practicado al requerimiento formulado por usted, mediante la solicitud de acceso a la información pública de folio 00065/DIFVACHASO/IP/2021, hago de su conocimiento que, la legislación a la que usted hace referencia, no es aplicable a los servidores públicos que integran este organismo descentralizado, esto en razón de que LA LEY DE RESPONSABILIDADES ADMINISTRATIVAS DEL ESTADO DE MÉXICO Y MUNICIPIOS, ESTABLECE EL CATÁLOGO DE FALTAS ADMINISTRATIVAS EN LAS CUALES PODRÁ INCURRIR ALGÚN SERVIDOR PÚBLICO DE CARÁCTER MUNICIPAL, LO ANTERIOR DE CONFORMIDAD CON LO DISPUESTO POR EL NUMERAL 1 Y 4 DE LA LEY DE RESPONSABILIDADES ADMINISTRATIVAS DEL ESTADO DE MÉXICO Y MUNICIPIOS.</w:t>
      </w:r>
    </w:p>
    <w:p w14:paraId="2A4AA18A" w14:textId="77777777" w:rsidR="00597563" w:rsidRPr="00597563" w:rsidRDefault="00597563" w:rsidP="00597563">
      <w:pPr>
        <w:pStyle w:val="Prrafodelista"/>
        <w:spacing w:before="240" w:after="240" w:line="360" w:lineRule="auto"/>
        <w:ind w:left="567" w:right="567"/>
        <w:jc w:val="both"/>
        <w:rPr>
          <w:rFonts w:ascii="Palatino Linotype" w:hAnsi="Palatino Linotype"/>
          <w:i/>
          <w:color w:val="000000"/>
        </w:rPr>
      </w:pPr>
      <w:r w:rsidRPr="00597563">
        <w:rPr>
          <w:rFonts w:ascii="Palatino Linotype" w:hAnsi="Palatino Linotype"/>
          <w:i/>
          <w:color w:val="000000"/>
        </w:rPr>
        <w:t>ATENTAMENTE</w:t>
      </w:r>
    </w:p>
    <w:p w14:paraId="5B12395B" w14:textId="0C23FEFB" w:rsidR="004B7E50" w:rsidRPr="004B7E50" w:rsidRDefault="00597563" w:rsidP="00597563">
      <w:pPr>
        <w:pStyle w:val="Prrafodelista"/>
        <w:spacing w:before="240" w:after="240" w:line="360" w:lineRule="auto"/>
        <w:ind w:left="567" w:right="567"/>
        <w:jc w:val="both"/>
        <w:rPr>
          <w:rFonts w:ascii="Palatino Linotype" w:hAnsi="Palatino Linotype"/>
          <w:i/>
          <w:color w:val="000000"/>
        </w:rPr>
      </w:pPr>
      <w:r w:rsidRPr="00597563">
        <w:rPr>
          <w:rFonts w:ascii="Palatino Linotype" w:hAnsi="Palatino Linotype"/>
          <w:i/>
          <w:color w:val="000000"/>
        </w:rPr>
        <w:t>C. JOHANA MORALES MEDINA</w:t>
      </w:r>
      <w:r w:rsidR="004B7E50" w:rsidRPr="004B7E50">
        <w:rPr>
          <w:rFonts w:ascii="Palatino Linotype" w:hAnsi="Palatino Linotype"/>
          <w:i/>
          <w:color w:val="000000"/>
        </w:rPr>
        <w:t>” (sic)</w:t>
      </w:r>
    </w:p>
    <w:p w14:paraId="652F3A10" w14:textId="77777777" w:rsidR="004B7E50" w:rsidRPr="004B7E50" w:rsidRDefault="004B7E50" w:rsidP="004B7E50">
      <w:pPr>
        <w:pStyle w:val="Prrafodelista"/>
        <w:spacing w:before="240" w:after="240" w:line="360" w:lineRule="auto"/>
        <w:ind w:left="567" w:right="567"/>
        <w:jc w:val="both"/>
        <w:rPr>
          <w:rFonts w:ascii="Palatino Linotype" w:hAnsi="Palatino Linotype"/>
          <w:i/>
          <w:color w:val="000000"/>
          <w:sz w:val="24"/>
        </w:rPr>
      </w:pPr>
    </w:p>
    <w:p w14:paraId="75E1DFE3" w14:textId="4D4DCCE0"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cs="Arial"/>
          <w:i/>
          <w:sz w:val="24"/>
        </w:rPr>
      </w:pPr>
      <w:r w:rsidRPr="004B7E50">
        <w:rPr>
          <w:rFonts w:ascii="Palatino Linotype" w:eastAsia="Calibri" w:hAnsi="Palatino Linotype" w:cs="Arial"/>
          <w:sz w:val="24"/>
          <w:lang w:val="es-AR"/>
        </w:rPr>
        <w:t xml:space="preserve">El </w:t>
      </w:r>
      <w:r w:rsidR="00597563">
        <w:rPr>
          <w:rFonts w:ascii="Palatino Linotype" w:eastAsia="Calibri" w:hAnsi="Palatino Linotype" w:cs="Arial"/>
          <w:sz w:val="24"/>
          <w:lang w:val="es-AR"/>
        </w:rPr>
        <w:t>diecisiete</w:t>
      </w:r>
      <w:r w:rsidRPr="004B7E50">
        <w:rPr>
          <w:rFonts w:ascii="Palatino Linotype" w:eastAsia="Calibri" w:hAnsi="Palatino Linotype" w:cs="Arial"/>
          <w:sz w:val="24"/>
          <w:lang w:val="es-AR"/>
        </w:rPr>
        <w:t xml:space="preserve"> (</w:t>
      </w:r>
      <w:r w:rsidR="00597563">
        <w:rPr>
          <w:rFonts w:ascii="Palatino Linotype" w:eastAsia="Calibri" w:hAnsi="Palatino Linotype" w:cs="Arial"/>
          <w:sz w:val="24"/>
          <w:lang w:val="es-AR"/>
        </w:rPr>
        <w:t>17</w:t>
      </w:r>
      <w:r w:rsidRPr="004B7E50">
        <w:rPr>
          <w:rFonts w:ascii="Palatino Linotype" w:eastAsia="Calibri" w:hAnsi="Palatino Linotype" w:cs="Arial"/>
          <w:sz w:val="24"/>
          <w:lang w:val="es-AR"/>
        </w:rPr>
        <w:t xml:space="preserve">) de </w:t>
      </w:r>
      <w:r w:rsidR="00533170">
        <w:rPr>
          <w:rFonts w:ascii="Palatino Linotype" w:eastAsia="Calibri" w:hAnsi="Palatino Linotype" w:cs="Arial"/>
          <w:sz w:val="24"/>
          <w:lang w:val="es-AR"/>
        </w:rPr>
        <w:t>septiembre</w:t>
      </w:r>
      <w:r w:rsidRPr="004B7E50">
        <w:rPr>
          <w:rFonts w:ascii="Palatino Linotype" w:eastAsia="Calibri" w:hAnsi="Palatino Linotype" w:cs="Arial"/>
          <w:sz w:val="24"/>
          <w:lang w:val="es-AR"/>
        </w:rPr>
        <w:t xml:space="preserve"> de</w:t>
      </w:r>
      <w:r w:rsidRPr="004B7E50">
        <w:rPr>
          <w:rFonts w:ascii="Palatino Linotype" w:hAnsi="Palatino Linotype" w:cs="Arial"/>
          <w:sz w:val="24"/>
          <w:lang w:val="es-ES"/>
        </w:rPr>
        <w:t xml:space="preserve"> dos mil veintiuno, </w:t>
      </w:r>
      <w:r w:rsidRPr="004B7E50">
        <w:rPr>
          <w:rFonts w:ascii="Palatino Linotype" w:hAnsi="Palatino Linotype"/>
          <w:b/>
          <w:sz w:val="24"/>
        </w:rPr>
        <w:t>EL RECURRENTE</w:t>
      </w:r>
      <w:r w:rsidRPr="004B7E50">
        <w:rPr>
          <w:rFonts w:ascii="Palatino Linotype" w:hAnsi="Palatino Linotype" w:cs="Arial"/>
          <w:sz w:val="24"/>
          <w:lang w:val="es-ES"/>
        </w:rPr>
        <w:t xml:space="preserve"> interpuso el recurso de revisión, en contra de la respuesta y, señaló como:</w:t>
      </w:r>
      <w:bookmarkStart w:id="1" w:name="_Toc472500652"/>
      <w:bookmarkStart w:id="2" w:name="_Toc472427085"/>
      <w:bookmarkStart w:id="3" w:name="_Toc462307683"/>
    </w:p>
    <w:p w14:paraId="1815D055" w14:textId="77777777" w:rsidR="00597563" w:rsidRPr="004B7E50" w:rsidRDefault="00597563" w:rsidP="004B7E50">
      <w:pPr>
        <w:pStyle w:val="Prrafodelista"/>
        <w:rPr>
          <w:rFonts w:ascii="Palatino Linotype" w:hAnsi="Palatino Linotype" w:cs="Arial"/>
          <w:i/>
          <w:sz w:val="24"/>
        </w:rPr>
      </w:pPr>
    </w:p>
    <w:p w14:paraId="27C268E1" w14:textId="24301AAD" w:rsidR="004B7E50" w:rsidRPr="004B7E50" w:rsidRDefault="004B7E50" w:rsidP="004B7E50">
      <w:pPr>
        <w:pStyle w:val="Prrafodelista"/>
        <w:spacing w:line="360" w:lineRule="auto"/>
        <w:jc w:val="both"/>
        <w:rPr>
          <w:rFonts w:ascii="Palatino Linotype" w:hAnsi="Palatino Linotype"/>
          <w:bCs/>
          <w:i/>
          <w:iCs/>
          <w:sz w:val="24"/>
        </w:rPr>
      </w:pPr>
      <w:r w:rsidRPr="004B7E50">
        <w:rPr>
          <w:rFonts w:ascii="Palatino Linotype" w:hAnsi="Palatino Linotype"/>
          <w:b/>
          <w:sz w:val="24"/>
        </w:rPr>
        <w:t xml:space="preserve">Acto impugnado: </w:t>
      </w:r>
      <w:r w:rsidRPr="004B7E50">
        <w:rPr>
          <w:rFonts w:ascii="Palatino Linotype" w:hAnsi="Palatino Linotype"/>
          <w:bCs/>
          <w:i/>
          <w:iCs/>
          <w:sz w:val="24"/>
        </w:rPr>
        <w:t>“</w:t>
      </w:r>
      <w:r w:rsidR="00597563" w:rsidRPr="00597563">
        <w:rPr>
          <w:rFonts w:ascii="Palatino Linotype" w:hAnsi="Palatino Linotype"/>
          <w:bCs/>
          <w:i/>
          <w:iCs/>
        </w:rPr>
        <w:t>Falta de respuesta fundamento</w:t>
      </w:r>
      <w:r w:rsidRPr="004B7E50">
        <w:rPr>
          <w:rFonts w:ascii="Palatino Linotype" w:hAnsi="Palatino Linotype"/>
          <w:bCs/>
          <w:i/>
          <w:iCs/>
          <w:sz w:val="24"/>
        </w:rPr>
        <w:t>” (sic) y,</w:t>
      </w:r>
    </w:p>
    <w:p w14:paraId="683E5215" w14:textId="77777777" w:rsidR="004B7E50" w:rsidRPr="004B7E50" w:rsidRDefault="004B7E50" w:rsidP="004B7E50">
      <w:pPr>
        <w:pStyle w:val="Prrafodelista"/>
        <w:spacing w:line="360" w:lineRule="auto"/>
        <w:jc w:val="both"/>
        <w:rPr>
          <w:rFonts w:ascii="Palatino Linotype" w:hAnsi="Palatino Linotype"/>
          <w:b/>
          <w:sz w:val="24"/>
        </w:rPr>
      </w:pPr>
    </w:p>
    <w:p w14:paraId="39DFE15F" w14:textId="5AB5D7A5" w:rsidR="004B7E50" w:rsidRDefault="004B7E50" w:rsidP="00597563">
      <w:pPr>
        <w:pStyle w:val="Prrafodelista"/>
        <w:spacing w:line="360" w:lineRule="auto"/>
        <w:jc w:val="both"/>
        <w:rPr>
          <w:rFonts w:ascii="Palatino Linotype" w:eastAsia="Calibri" w:hAnsi="Palatino Linotype" w:cs="Arial"/>
          <w:sz w:val="24"/>
          <w:lang w:val="es-ES"/>
        </w:rPr>
      </w:pPr>
      <w:r w:rsidRPr="004B7E50">
        <w:rPr>
          <w:rFonts w:ascii="Palatino Linotype" w:hAnsi="Palatino Linotype"/>
          <w:b/>
          <w:sz w:val="24"/>
        </w:rPr>
        <w:t>Razones o Motivos de Inconformidad:</w:t>
      </w:r>
      <w:r w:rsidRPr="004B7E50">
        <w:rPr>
          <w:rStyle w:val="Ttulo2Car"/>
          <w:rFonts w:ascii="Palatino Linotype" w:hAnsi="Palatino Linotype"/>
          <w:b/>
          <w:i/>
          <w:sz w:val="24"/>
          <w:szCs w:val="24"/>
          <w:lang w:val="es-ES"/>
        </w:rPr>
        <w:t xml:space="preserve"> </w:t>
      </w:r>
      <w:r w:rsidRPr="004B7E50">
        <w:rPr>
          <w:rFonts w:ascii="Palatino Linotype" w:hAnsi="Palatino Linotype"/>
          <w:sz w:val="24"/>
        </w:rPr>
        <w:t>“</w:t>
      </w:r>
      <w:r w:rsidR="00597563" w:rsidRPr="00597563">
        <w:rPr>
          <w:rFonts w:ascii="Palatino Linotype" w:hAnsi="Palatino Linotype"/>
          <w:i/>
        </w:rPr>
        <w:t>No motivan</w:t>
      </w:r>
      <w:r w:rsidRPr="004B7E50">
        <w:rPr>
          <w:rFonts w:ascii="Palatino Linotype" w:hAnsi="Palatino Linotype"/>
        </w:rPr>
        <w:t>"</w:t>
      </w:r>
      <w:r w:rsidRPr="004B7E50">
        <w:rPr>
          <w:rFonts w:ascii="Palatino Linotype" w:eastAsia="Calibri" w:hAnsi="Palatino Linotype" w:cs="Arial"/>
          <w:lang w:val="es-ES"/>
        </w:rPr>
        <w:t xml:space="preserve"> </w:t>
      </w:r>
      <w:r w:rsidRPr="004B7E50">
        <w:rPr>
          <w:rFonts w:ascii="Palatino Linotype" w:eastAsia="Calibri" w:hAnsi="Palatino Linotype" w:cs="Arial"/>
          <w:sz w:val="24"/>
          <w:lang w:val="es-ES"/>
        </w:rPr>
        <w:t>(Sic)</w:t>
      </w:r>
    </w:p>
    <w:bookmarkEnd w:id="1"/>
    <w:bookmarkEnd w:id="2"/>
    <w:bookmarkEnd w:id="3"/>
    <w:p w14:paraId="0D1EB561" w14:textId="77777777" w:rsidR="00597563" w:rsidRPr="00597563" w:rsidRDefault="00597563" w:rsidP="00597563">
      <w:pPr>
        <w:pStyle w:val="Prrafodelista"/>
        <w:spacing w:before="240" w:after="240" w:line="360" w:lineRule="auto"/>
        <w:ind w:left="0"/>
        <w:jc w:val="both"/>
        <w:rPr>
          <w:rFonts w:ascii="Palatino Linotype" w:eastAsia="Calibri" w:hAnsi="Palatino Linotype" w:cs="Arial"/>
          <w:sz w:val="24"/>
          <w:lang w:val="es-AR"/>
        </w:rPr>
      </w:pPr>
    </w:p>
    <w:p w14:paraId="108D4738" w14:textId="77777777" w:rsidR="004B7E50" w:rsidRPr="005E0A8B" w:rsidRDefault="004B7E50" w:rsidP="004B7E5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B7E50">
        <w:rPr>
          <w:rFonts w:ascii="Palatino Linotype" w:hAnsi="Palatino Linotype" w:cs="Arial"/>
          <w:sz w:val="24"/>
          <w:lang w:val="es-ES"/>
        </w:rPr>
        <w:t xml:space="preserve">Se registró el recurso de revisión bajo el número de expediente </w:t>
      </w:r>
      <w:r w:rsidRPr="004B7E50">
        <w:rPr>
          <w:rFonts w:ascii="Palatino Linotype" w:hAnsi="Palatino Linotype" w:cs="Arial"/>
          <w:bCs/>
          <w:sz w:val="24"/>
        </w:rPr>
        <w:t xml:space="preserve">al rubro indicado, asimismo con fundamento en lo dispuesto por el </w:t>
      </w:r>
      <w:r w:rsidRPr="004B7E50">
        <w:rPr>
          <w:rFonts w:ascii="Palatino Linotype" w:eastAsia="Calibri" w:hAnsi="Palatino Linotype" w:cs="Arial"/>
          <w:sz w:val="24"/>
          <w:lang w:val="es-ES"/>
        </w:rPr>
        <w:t xml:space="preserve">artículo 185 fracción I de la </w:t>
      </w:r>
      <w:r w:rsidRPr="004B7E50">
        <w:rPr>
          <w:rFonts w:ascii="Palatino Linotype" w:eastAsia="Calibri" w:hAnsi="Palatino Linotype" w:cs="Arial"/>
          <w:b/>
          <w:sz w:val="24"/>
          <w:lang w:val="es-ES"/>
        </w:rPr>
        <w:t xml:space="preserve">Ley de Transparencia y Acceso a la Información Pública del Estado de México y Municipios </w:t>
      </w:r>
      <w:r w:rsidRPr="004B7E50">
        <w:rPr>
          <w:rFonts w:ascii="Palatino Linotype" w:hAnsi="Palatino Linotype" w:cs="Arial"/>
          <w:sz w:val="24"/>
          <w:lang w:val="es-ES"/>
        </w:rPr>
        <w:t xml:space="preserve">se turnó a la </w:t>
      </w:r>
      <w:r w:rsidRPr="004B7E50">
        <w:rPr>
          <w:rFonts w:ascii="Palatino Linotype" w:hAnsi="Palatino Linotype" w:cs="Arial"/>
          <w:b/>
          <w:sz w:val="24"/>
          <w:lang w:val="es-ES"/>
        </w:rPr>
        <w:t xml:space="preserve">Comisionada María del Rosario Mejía Ayala, </w:t>
      </w:r>
      <w:r w:rsidRPr="004B7E50">
        <w:rPr>
          <w:rFonts w:ascii="Palatino Linotype" w:hAnsi="Palatino Linotype" w:cs="Arial"/>
          <w:sz w:val="24"/>
          <w:lang w:val="es-ES"/>
        </w:rPr>
        <w:t xml:space="preserve">con el objeto de </w:t>
      </w:r>
      <w:r w:rsidRPr="004B7E50">
        <w:rPr>
          <w:rFonts w:ascii="Palatino Linotype" w:hAnsi="Palatino Linotype" w:cs="Arial"/>
          <w:sz w:val="24"/>
        </w:rPr>
        <w:t>su análisis.</w:t>
      </w:r>
    </w:p>
    <w:p w14:paraId="20B78B2E" w14:textId="77777777" w:rsidR="005E0A8B" w:rsidRPr="004B7E50" w:rsidRDefault="005E0A8B" w:rsidP="005E0A8B">
      <w:pPr>
        <w:pStyle w:val="Prrafodelista"/>
        <w:spacing w:before="240" w:after="240" w:line="360" w:lineRule="auto"/>
        <w:ind w:left="0"/>
        <w:jc w:val="both"/>
        <w:rPr>
          <w:rFonts w:ascii="Palatino Linotype" w:eastAsia="Calibri" w:hAnsi="Palatino Linotype" w:cs="Arial"/>
          <w:sz w:val="24"/>
          <w:lang w:val="es-AR"/>
        </w:rPr>
      </w:pPr>
    </w:p>
    <w:p w14:paraId="57837060" w14:textId="1548EF87" w:rsidR="004B7E50" w:rsidRPr="004B7E50" w:rsidRDefault="00597563" w:rsidP="004B7E50">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eastAsia="Calibri" w:hAnsi="Palatino Linotype" w:cs="Arial"/>
          <w:sz w:val="24"/>
          <w:lang w:val="es-ES"/>
        </w:rPr>
        <w:t>La Comisionada</w:t>
      </w:r>
      <w:r w:rsidR="004B7E50" w:rsidRPr="004B7E50">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41049C">
        <w:rPr>
          <w:rFonts w:ascii="Palatino Linotype" w:eastAsia="Calibri" w:hAnsi="Palatino Linotype" w:cs="Arial"/>
          <w:sz w:val="24"/>
          <w:lang w:val="es-ES"/>
        </w:rPr>
        <w:t>veinte</w:t>
      </w:r>
      <w:r w:rsidR="004B7E50" w:rsidRPr="004B7E50">
        <w:rPr>
          <w:rFonts w:ascii="Palatino Linotype" w:eastAsia="Calibri" w:hAnsi="Palatino Linotype" w:cs="Arial"/>
          <w:sz w:val="24"/>
          <w:lang w:val="es-ES"/>
        </w:rPr>
        <w:t xml:space="preserve"> (</w:t>
      </w:r>
      <w:r w:rsidR="0041049C">
        <w:rPr>
          <w:rFonts w:ascii="Palatino Linotype" w:eastAsia="Calibri" w:hAnsi="Palatino Linotype" w:cs="Arial"/>
          <w:sz w:val="24"/>
          <w:lang w:val="es-ES"/>
        </w:rPr>
        <w:t>20</w:t>
      </w:r>
      <w:r w:rsidR="004B7E50" w:rsidRPr="004B7E50">
        <w:rPr>
          <w:rFonts w:ascii="Palatino Linotype" w:eastAsia="Calibri" w:hAnsi="Palatino Linotype" w:cs="Arial"/>
          <w:sz w:val="24"/>
          <w:lang w:val="es-ES"/>
        </w:rPr>
        <w:t xml:space="preserve">) de </w:t>
      </w:r>
      <w:r w:rsidR="001032BC">
        <w:rPr>
          <w:rFonts w:ascii="Palatino Linotype" w:eastAsia="Calibri" w:hAnsi="Palatino Linotype" w:cs="Arial"/>
          <w:sz w:val="24"/>
          <w:lang w:val="es-ES"/>
        </w:rPr>
        <w:t>septiembre</w:t>
      </w:r>
      <w:r w:rsidR="004B7E50" w:rsidRPr="004B7E50">
        <w:rPr>
          <w:rFonts w:ascii="Palatino Linotype" w:eastAsia="Calibri" w:hAnsi="Palatino Linotype" w:cs="Arial"/>
          <w:sz w:val="24"/>
          <w:lang w:val="es-ES"/>
        </w:rPr>
        <w:t xml:space="preserve"> de dos mil veintiuno, puso a disposición de las partes el expediente electrónico </w:t>
      </w:r>
      <w:r w:rsidR="004B7E50" w:rsidRPr="004B7E50">
        <w:rPr>
          <w:rFonts w:ascii="Palatino Linotype" w:eastAsia="Calibri" w:hAnsi="Palatino Linotype" w:cs="Arial"/>
          <w:sz w:val="24"/>
        </w:rPr>
        <w:t xml:space="preserve">vía </w:t>
      </w:r>
      <w:r w:rsidR="004B7E50" w:rsidRPr="004B7E50">
        <w:rPr>
          <w:rFonts w:ascii="Palatino Linotype" w:eastAsia="Calibri" w:hAnsi="Palatino Linotype" w:cs="Arial"/>
          <w:b/>
          <w:sz w:val="24"/>
          <w:lang w:val="es-ES"/>
        </w:rPr>
        <w:t xml:space="preserve">SAIMEX </w:t>
      </w:r>
      <w:r w:rsidR="004B7E50" w:rsidRPr="004B7E5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4B7E50" w:rsidRPr="004B7E50">
        <w:rPr>
          <w:rFonts w:ascii="Palatino Linotype" w:eastAsia="Calibri" w:hAnsi="Palatino Linotype" w:cs="Arial"/>
          <w:b/>
          <w:sz w:val="24"/>
          <w:lang w:val="es-ES"/>
        </w:rPr>
        <w:t>SUJETO OBLIGADO</w:t>
      </w:r>
      <w:r w:rsidR="004B7E50" w:rsidRPr="004B7E50">
        <w:rPr>
          <w:rFonts w:ascii="Palatino Linotype" w:eastAsia="Calibri" w:hAnsi="Palatino Linotype" w:cs="Arial"/>
          <w:sz w:val="24"/>
          <w:lang w:val="es-ES"/>
        </w:rPr>
        <w:t xml:space="preserve"> presentara el informe justificado procedente.</w:t>
      </w:r>
    </w:p>
    <w:p w14:paraId="687AF840" w14:textId="77777777" w:rsidR="004B7E50" w:rsidRPr="004B7E50" w:rsidRDefault="004B7E50" w:rsidP="004B7E50">
      <w:pPr>
        <w:pStyle w:val="Prrafodelista"/>
        <w:rPr>
          <w:rFonts w:ascii="Palatino Linotype" w:hAnsi="Palatino Linotype"/>
          <w:i/>
          <w:color w:val="000000"/>
          <w:sz w:val="24"/>
        </w:rPr>
      </w:pPr>
    </w:p>
    <w:p w14:paraId="5092A63C" w14:textId="19CED8F4" w:rsidR="004B7E50" w:rsidRPr="001032BC" w:rsidRDefault="004B7E50" w:rsidP="001032BC">
      <w:pPr>
        <w:pStyle w:val="Prrafodelista"/>
        <w:numPr>
          <w:ilvl w:val="0"/>
          <w:numId w:val="3"/>
        </w:numPr>
        <w:spacing w:before="240" w:after="240" w:line="360" w:lineRule="auto"/>
        <w:ind w:left="0" w:firstLine="0"/>
        <w:jc w:val="both"/>
        <w:rPr>
          <w:rFonts w:ascii="Palatino Linotype" w:hAnsi="Palatino Linotype"/>
          <w:b/>
          <w:i/>
          <w:color w:val="000000"/>
          <w:sz w:val="24"/>
        </w:rPr>
      </w:pPr>
      <w:r w:rsidRPr="004B7E50">
        <w:rPr>
          <w:rFonts w:ascii="Palatino Linotype" w:hAnsi="Palatino Linotype"/>
          <w:iCs/>
          <w:color w:val="000000"/>
          <w:sz w:val="24"/>
        </w:rPr>
        <w:t xml:space="preserve">De las constancias que obran en el expediente electrónico del SAIMEX se aprecia que el Sujeto Obligado en fecha </w:t>
      </w:r>
      <w:r w:rsidR="0041049C">
        <w:rPr>
          <w:rFonts w:ascii="Palatino Linotype" w:hAnsi="Palatino Linotype"/>
          <w:iCs/>
          <w:color w:val="000000"/>
          <w:sz w:val="24"/>
        </w:rPr>
        <w:t>veintinueve</w:t>
      </w:r>
      <w:r w:rsidRPr="004B7E50">
        <w:rPr>
          <w:rFonts w:ascii="Palatino Linotype" w:hAnsi="Palatino Linotype"/>
          <w:iCs/>
          <w:color w:val="000000"/>
          <w:sz w:val="24"/>
        </w:rPr>
        <w:t xml:space="preserve"> (</w:t>
      </w:r>
      <w:r w:rsidR="0041049C">
        <w:rPr>
          <w:rFonts w:ascii="Palatino Linotype" w:hAnsi="Palatino Linotype"/>
          <w:iCs/>
          <w:color w:val="000000"/>
          <w:sz w:val="24"/>
        </w:rPr>
        <w:t>29</w:t>
      </w:r>
      <w:r w:rsidRPr="004B7E50">
        <w:rPr>
          <w:rFonts w:ascii="Palatino Linotype" w:hAnsi="Palatino Linotype"/>
          <w:iCs/>
          <w:color w:val="000000"/>
          <w:sz w:val="24"/>
        </w:rPr>
        <w:t xml:space="preserve">) de septiembre de dos mil veintiuno, remitió </w:t>
      </w:r>
      <w:r w:rsidR="00337E79">
        <w:rPr>
          <w:rFonts w:ascii="Palatino Linotype" w:hAnsi="Palatino Linotype"/>
          <w:iCs/>
          <w:color w:val="000000"/>
          <w:sz w:val="24"/>
        </w:rPr>
        <w:t>el documento</w:t>
      </w:r>
      <w:r w:rsidRPr="004B7E50">
        <w:rPr>
          <w:rFonts w:ascii="Palatino Linotype" w:hAnsi="Palatino Linotype"/>
          <w:iCs/>
          <w:color w:val="000000"/>
          <w:sz w:val="24"/>
        </w:rPr>
        <w:t xml:space="preserve"> </w:t>
      </w:r>
      <w:r w:rsidR="00337E79">
        <w:rPr>
          <w:rFonts w:ascii="Palatino Linotype" w:hAnsi="Palatino Linotype"/>
          <w:iCs/>
          <w:color w:val="000000"/>
          <w:sz w:val="24"/>
        </w:rPr>
        <w:t xml:space="preserve">electrónico </w:t>
      </w:r>
      <w:r w:rsidRPr="004B7E50">
        <w:rPr>
          <w:rFonts w:ascii="Palatino Linotype" w:hAnsi="Palatino Linotype"/>
          <w:iCs/>
          <w:color w:val="000000"/>
          <w:sz w:val="24"/>
        </w:rPr>
        <w:t xml:space="preserve">denominados </w:t>
      </w:r>
      <w:r w:rsidR="0041049C">
        <w:rPr>
          <w:rFonts w:ascii="Palatino Linotype" w:hAnsi="Palatino Linotype"/>
          <w:b/>
          <w:i/>
          <w:iCs/>
          <w:color w:val="000000"/>
          <w:sz w:val="24"/>
        </w:rPr>
        <w:t>INFORME CONTRALORIA.pdf</w:t>
      </w:r>
      <w:r w:rsidR="001032BC">
        <w:rPr>
          <w:rFonts w:ascii="Palatino Linotype" w:hAnsi="Palatino Linotype"/>
          <w:b/>
          <w:i/>
          <w:color w:val="000000"/>
          <w:sz w:val="24"/>
        </w:rPr>
        <w:t xml:space="preserve">, </w:t>
      </w:r>
      <w:r w:rsidR="00337E79">
        <w:rPr>
          <w:rFonts w:ascii="Palatino Linotype" w:hAnsi="Palatino Linotype"/>
          <w:color w:val="000000"/>
          <w:sz w:val="24"/>
        </w:rPr>
        <w:t>el cual se</w:t>
      </w:r>
      <w:r w:rsidRPr="001032BC">
        <w:rPr>
          <w:rFonts w:ascii="Palatino Linotype" w:hAnsi="Palatino Linotype"/>
          <w:iCs/>
          <w:color w:val="000000"/>
          <w:sz w:val="24"/>
        </w:rPr>
        <w:t xml:space="preserve"> pus</w:t>
      </w:r>
      <w:r w:rsidR="00337E79">
        <w:rPr>
          <w:rFonts w:ascii="Palatino Linotype" w:hAnsi="Palatino Linotype"/>
          <w:iCs/>
          <w:color w:val="000000"/>
          <w:sz w:val="24"/>
        </w:rPr>
        <w:t>o</w:t>
      </w:r>
      <w:r w:rsidRPr="001032BC">
        <w:rPr>
          <w:rFonts w:ascii="Palatino Linotype" w:hAnsi="Palatino Linotype"/>
          <w:iCs/>
          <w:color w:val="000000"/>
          <w:sz w:val="24"/>
        </w:rPr>
        <w:t xml:space="preserve"> a la vista del Recurrente el </w:t>
      </w:r>
      <w:r w:rsidR="00337E79">
        <w:rPr>
          <w:rFonts w:ascii="Palatino Linotype" w:hAnsi="Palatino Linotype"/>
          <w:iCs/>
          <w:color w:val="000000"/>
          <w:sz w:val="24"/>
        </w:rPr>
        <w:t>veinti</w:t>
      </w:r>
      <w:r w:rsidR="0041049C">
        <w:rPr>
          <w:rFonts w:ascii="Palatino Linotype" w:hAnsi="Palatino Linotype"/>
          <w:iCs/>
          <w:color w:val="000000"/>
          <w:sz w:val="24"/>
        </w:rPr>
        <w:t>cinco</w:t>
      </w:r>
      <w:r w:rsidRPr="001032BC">
        <w:rPr>
          <w:rFonts w:ascii="Palatino Linotype" w:hAnsi="Palatino Linotype"/>
          <w:iCs/>
          <w:color w:val="000000"/>
          <w:sz w:val="24"/>
        </w:rPr>
        <w:t xml:space="preserve"> (</w:t>
      </w:r>
      <w:r w:rsidR="0041049C">
        <w:rPr>
          <w:rFonts w:ascii="Palatino Linotype" w:hAnsi="Palatino Linotype"/>
          <w:iCs/>
          <w:color w:val="000000"/>
          <w:sz w:val="24"/>
        </w:rPr>
        <w:t>25</w:t>
      </w:r>
      <w:r w:rsidRPr="001032BC">
        <w:rPr>
          <w:rFonts w:ascii="Palatino Linotype" w:hAnsi="Palatino Linotype"/>
          <w:iCs/>
          <w:color w:val="000000"/>
          <w:sz w:val="24"/>
        </w:rPr>
        <w:t xml:space="preserve">) de </w:t>
      </w:r>
      <w:r w:rsidR="0041049C">
        <w:rPr>
          <w:rFonts w:ascii="Palatino Linotype" w:hAnsi="Palatino Linotype"/>
          <w:iCs/>
          <w:color w:val="000000"/>
          <w:sz w:val="24"/>
        </w:rPr>
        <w:t>octubre</w:t>
      </w:r>
      <w:r w:rsidRPr="001032BC">
        <w:rPr>
          <w:rFonts w:ascii="Palatino Linotype" w:hAnsi="Palatino Linotype"/>
          <w:iCs/>
          <w:color w:val="000000"/>
          <w:sz w:val="24"/>
        </w:rPr>
        <w:t xml:space="preserve"> de dos mil veintiuno; sin embargo su contenido medular es el siguiente:</w:t>
      </w:r>
    </w:p>
    <w:p w14:paraId="250036B9" w14:textId="77777777" w:rsidR="004B7E50" w:rsidRPr="004B7E50" w:rsidRDefault="004B7E50" w:rsidP="004B7E50">
      <w:pPr>
        <w:pStyle w:val="Prrafodelista"/>
        <w:rPr>
          <w:rFonts w:ascii="Palatino Linotype" w:hAnsi="Palatino Linotype"/>
          <w:i/>
          <w:color w:val="000000"/>
          <w:sz w:val="24"/>
        </w:rPr>
      </w:pPr>
    </w:p>
    <w:p w14:paraId="7B6A3CB8" w14:textId="08C78454" w:rsidR="0041049C" w:rsidRPr="0041049C" w:rsidRDefault="0041049C" w:rsidP="00337E79">
      <w:pPr>
        <w:pStyle w:val="Prrafodelista"/>
        <w:numPr>
          <w:ilvl w:val="0"/>
          <w:numId w:val="18"/>
        </w:numPr>
        <w:spacing w:line="360" w:lineRule="auto"/>
        <w:ind w:left="709"/>
        <w:jc w:val="both"/>
        <w:rPr>
          <w:rFonts w:ascii="Palatino Linotype" w:hAnsi="Palatino Linotype" w:cs="Arial"/>
          <w:color w:val="222222"/>
          <w:sz w:val="24"/>
        </w:rPr>
      </w:pPr>
      <w:r>
        <w:rPr>
          <w:rFonts w:ascii="Palatino Linotype" w:hAnsi="Palatino Linotype"/>
          <w:b/>
          <w:i/>
          <w:iCs/>
          <w:color w:val="000000"/>
          <w:sz w:val="24"/>
        </w:rPr>
        <w:lastRenderedPageBreak/>
        <w:t xml:space="preserve">INFORME CONTRALORIA.pdf: </w:t>
      </w:r>
      <w:r w:rsidRPr="0041049C">
        <w:rPr>
          <w:rFonts w:ascii="Palatino Linotype" w:hAnsi="Palatino Linotype"/>
          <w:i/>
          <w:iCs/>
          <w:color w:val="000000"/>
          <w:sz w:val="24"/>
        </w:rPr>
        <w:t>Oficio SMDIF/CI/192/2021</w:t>
      </w:r>
      <w:r>
        <w:rPr>
          <w:rFonts w:ascii="Palatino Linotype" w:hAnsi="Palatino Linotype"/>
          <w:iCs/>
          <w:color w:val="000000"/>
          <w:sz w:val="24"/>
        </w:rPr>
        <w:t xml:space="preserve"> suscrito por la Contralora del Sujeto Obligado mediante el cual se inserta el contenido de los artículos 1, 4, 50 y 51 de la Ley de Responsabilidades Administrativas del Estado de México y Municipios.</w:t>
      </w:r>
    </w:p>
    <w:p w14:paraId="692C3C44" w14:textId="77777777" w:rsidR="0041049C" w:rsidRPr="0041049C" w:rsidRDefault="0041049C" w:rsidP="0041049C">
      <w:pPr>
        <w:pStyle w:val="Prrafodelista"/>
        <w:spacing w:line="360" w:lineRule="auto"/>
        <w:ind w:left="709"/>
        <w:jc w:val="both"/>
        <w:rPr>
          <w:rFonts w:ascii="Palatino Linotype" w:hAnsi="Palatino Linotype" w:cs="Arial"/>
          <w:color w:val="222222"/>
          <w:sz w:val="24"/>
        </w:rPr>
      </w:pPr>
    </w:p>
    <w:p w14:paraId="6110EDEB" w14:textId="77777777" w:rsidR="0041049C" w:rsidRPr="0041049C" w:rsidRDefault="001F1126" w:rsidP="004B7E50">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w:t>
      </w:r>
      <w:r w:rsidR="00337E79">
        <w:rPr>
          <w:rFonts w:ascii="Palatino Linotype" w:eastAsia="Calibri" w:hAnsi="Palatino Linotype" w:cs="Arial"/>
          <w:sz w:val="24"/>
          <w:lang w:val="es-ES"/>
        </w:rPr>
        <w:t>veinticinco</w:t>
      </w:r>
      <w:r>
        <w:rPr>
          <w:rFonts w:ascii="Palatino Linotype" w:eastAsia="Calibri" w:hAnsi="Palatino Linotype" w:cs="Arial"/>
          <w:sz w:val="24"/>
          <w:lang w:val="es-ES"/>
        </w:rPr>
        <w:t xml:space="preserve"> (</w:t>
      </w:r>
      <w:r w:rsidR="00337E79">
        <w:rPr>
          <w:rFonts w:ascii="Palatino Linotype" w:eastAsia="Calibri" w:hAnsi="Palatino Linotype" w:cs="Arial"/>
          <w:sz w:val="24"/>
          <w:lang w:val="es-ES"/>
        </w:rPr>
        <w:t>25</w:t>
      </w:r>
      <w:r>
        <w:rPr>
          <w:rFonts w:ascii="Palatino Linotype" w:eastAsia="Calibri" w:hAnsi="Palatino Linotype" w:cs="Arial"/>
          <w:sz w:val="24"/>
          <w:lang w:val="es-ES"/>
        </w:rPr>
        <w:t xml:space="preserve">) de octubre de dos mil veintiuno, se notificó el acuerdo mediante el cual se amplió por un periodo de quince (15) días el plazo para emitir resolución. </w:t>
      </w:r>
    </w:p>
    <w:p w14:paraId="28F7ACE6" w14:textId="77777777" w:rsidR="0041049C" w:rsidRPr="0041049C" w:rsidRDefault="0041049C" w:rsidP="0041049C">
      <w:pPr>
        <w:pStyle w:val="Prrafodelista"/>
        <w:spacing w:line="360" w:lineRule="auto"/>
        <w:ind w:left="0"/>
        <w:jc w:val="both"/>
        <w:rPr>
          <w:rFonts w:ascii="Palatino Linotype" w:hAnsi="Palatino Linotype" w:cs="Tahoma"/>
          <w:sz w:val="24"/>
        </w:rPr>
      </w:pPr>
    </w:p>
    <w:p w14:paraId="3506933F" w14:textId="2D27BBFD" w:rsidR="004B7E50" w:rsidRPr="00337E79" w:rsidRDefault="00035DA2" w:rsidP="004B7E50">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tres</w:t>
      </w:r>
      <w:r w:rsidR="0041049C">
        <w:rPr>
          <w:rFonts w:ascii="Palatino Linotype" w:eastAsia="Calibri" w:hAnsi="Palatino Linotype" w:cs="Arial"/>
          <w:sz w:val="24"/>
          <w:lang w:val="es-ES"/>
        </w:rPr>
        <w:t xml:space="preserve"> (</w:t>
      </w:r>
      <w:r>
        <w:rPr>
          <w:rFonts w:ascii="Palatino Linotype" w:eastAsia="Calibri" w:hAnsi="Palatino Linotype" w:cs="Arial"/>
          <w:sz w:val="24"/>
          <w:lang w:val="es-ES"/>
        </w:rPr>
        <w:t>3</w:t>
      </w:r>
      <w:r w:rsidR="0041049C">
        <w:rPr>
          <w:rFonts w:ascii="Palatino Linotype" w:eastAsia="Calibri" w:hAnsi="Palatino Linotype" w:cs="Arial"/>
          <w:sz w:val="24"/>
          <w:lang w:val="es-ES"/>
        </w:rPr>
        <w:t xml:space="preserve">) de </w:t>
      </w:r>
      <w:r>
        <w:rPr>
          <w:rFonts w:ascii="Palatino Linotype" w:eastAsia="Calibri" w:hAnsi="Palatino Linotype" w:cs="Arial"/>
          <w:sz w:val="24"/>
          <w:lang w:val="es-ES"/>
        </w:rPr>
        <w:t>noviembre</w:t>
      </w:r>
      <w:r w:rsidR="0041049C">
        <w:rPr>
          <w:rFonts w:ascii="Palatino Linotype" w:eastAsia="Calibri" w:hAnsi="Palatino Linotype" w:cs="Arial"/>
          <w:sz w:val="24"/>
          <w:lang w:val="es-ES"/>
        </w:rPr>
        <w:t xml:space="preserve"> de dos mil veintiuno, </w:t>
      </w:r>
      <w:r w:rsidR="00597563">
        <w:rPr>
          <w:rFonts w:ascii="Palatino Linotype" w:eastAsia="Calibri" w:hAnsi="Palatino Linotype" w:cs="Arial"/>
          <w:sz w:val="24"/>
          <w:lang w:val="es-ES"/>
        </w:rPr>
        <w:t>la</w:t>
      </w:r>
      <w:r w:rsidR="00597563">
        <w:rPr>
          <w:rFonts w:ascii="Palatino Linotype" w:hAnsi="Palatino Linotype"/>
          <w:sz w:val="24"/>
        </w:rPr>
        <w:t xml:space="preserve"> Comisionada</w:t>
      </w:r>
      <w:r w:rsidR="004B7E50" w:rsidRPr="004B7E50">
        <w:rPr>
          <w:rFonts w:ascii="Palatino Linotype" w:hAnsi="Palatino Linotype"/>
          <w:sz w:val="24"/>
        </w:rPr>
        <w:t xml:space="preserve"> Ponente decretó el cierre de instrucción</w:t>
      </w:r>
      <w:r w:rsidR="004B7E50" w:rsidRPr="004B7E50">
        <w:rPr>
          <w:rFonts w:ascii="Palatino Linotype" w:hAnsi="Palatino Linotype" w:cs="Arial"/>
          <w:sz w:val="24"/>
        </w:rPr>
        <w:t xml:space="preserve"> para emitir su resolución,</w:t>
      </w:r>
      <w:r w:rsidR="0041049C">
        <w:rPr>
          <w:rFonts w:ascii="Palatino Linotype" w:hAnsi="Palatino Linotype" w:cs="Arial"/>
          <w:sz w:val="24"/>
        </w:rPr>
        <w:t xml:space="preserve"> misma que a continuación se pronuncia,</w:t>
      </w:r>
      <w:r w:rsidR="004B7E50" w:rsidRPr="004B7E50">
        <w:rPr>
          <w:rFonts w:ascii="Palatino Linotype" w:hAnsi="Palatino Linotype" w:cs="Arial"/>
          <w:sz w:val="24"/>
        </w:rPr>
        <w:t xml:space="preserve"> </w:t>
      </w:r>
      <w:r w:rsidR="004B7E50" w:rsidRPr="004B7E50">
        <w:rPr>
          <w:rFonts w:ascii="Palatino Linotype" w:hAnsi="Palatino Linotype" w:cs="Arial"/>
          <w:color w:val="000000" w:themeColor="text1"/>
          <w:sz w:val="24"/>
        </w:rPr>
        <w:t xml:space="preserve">y - - - - - - - - - - - </w:t>
      </w:r>
      <w:r w:rsidR="004B7E50" w:rsidRPr="004B7E50">
        <w:rPr>
          <w:rFonts w:ascii="Palatino Linotype" w:hAnsi="Palatino Linotype" w:cs="Arial"/>
          <w:sz w:val="24"/>
        </w:rPr>
        <w:t>- - - - - - - - - - - - - - - - - - -</w:t>
      </w:r>
      <w:r w:rsidR="004B7E50" w:rsidRPr="004B7E50">
        <w:rPr>
          <w:rFonts w:ascii="Palatino Linotype" w:hAnsi="Palatino Linotype" w:cs="Tahoma"/>
          <w:sz w:val="24"/>
        </w:rPr>
        <w:t xml:space="preserve"> </w:t>
      </w:r>
      <w:r w:rsidR="004B7E50" w:rsidRPr="004B7E50">
        <w:rPr>
          <w:rFonts w:ascii="Palatino Linotype" w:hAnsi="Palatino Linotype" w:cs="Arial"/>
          <w:sz w:val="24"/>
        </w:rPr>
        <w:t xml:space="preserve">- - - - - -- - - - - -- - - - - - - - - - - - - - - - - - - - - - - - - - - - - - - - - - </w:t>
      </w:r>
      <w:r w:rsidR="00FB5453">
        <w:rPr>
          <w:rFonts w:ascii="Palatino Linotype" w:hAnsi="Palatino Linotype" w:cs="Arial"/>
          <w:sz w:val="24"/>
        </w:rPr>
        <w:t xml:space="preserve"> - - - - - - - - - </w:t>
      </w:r>
      <w:r w:rsidR="0041049C">
        <w:rPr>
          <w:rFonts w:ascii="Palatino Linotype" w:hAnsi="Palatino Linotype" w:cs="Arial"/>
          <w:sz w:val="24"/>
        </w:rPr>
        <w:t xml:space="preserve">- - - - - - - - - - - - - - - - - - - - - - - - - - - - - - - - - </w:t>
      </w:r>
      <w:r>
        <w:rPr>
          <w:rFonts w:ascii="Palatino Linotype" w:hAnsi="Palatino Linotype" w:cs="Arial"/>
          <w:sz w:val="24"/>
        </w:rPr>
        <w:t xml:space="preserve">- - </w:t>
      </w:r>
    </w:p>
    <w:p w14:paraId="688C99A8" w14:textId="77777777" w:rsidR="004B7E50" w:rsidRPr="004B7E50" w:rsidRDefault="004B7E50" w:rsidP="004B7E50">
      <w:pPr>
        <w:pStyle w:val="Ttulo1"/>
        <w:jc w:val="center"/>
        <w:rPr>
          <w:rFonts w:ascii="Palatino Linotype" w:hAnsi="Palatino Linotype"/>
          <w:b/>
          <w:color w:val="auto"/>
          <w:sz w:val="24"/>
          <w:szCs w:val="24"/>
        </w:rPr>
      </w:pPr>
      <w:bookmarkStart w:id="4" w:name="_Toc86235920"/>
      <w:r w:rsidRPr="004B7E50">
        <w:rPr>
          <w:rFonts w:ascii="Palatino Linotype" w:hAnsi="Palatino Linotype"/>
          <w:b/>
          <w:color w:val="auto"/>
          <w:sz w:val="24"/>
          <w:szCs w:val="24"/>
        </w:rPr>
        <w:t>CONSIDERANDO</w:t>
      </w:r>
      <w:bookmarkEnd w:id="4"/>
      <w:r w:rsidRPr="004B7E50">
        <w:rPr>
          <w:rFonts w:ascii="Palatino Linotype" w:hAnsi="Palatino Linotype"/>
          <w:b/>
          <w:color w:val="auto"/>
          <w:sz w:val="24"/>
          <w:szCs w:val="24"/>
        </w:rPr>
        <w:t xml:space="preserve"> </w:t>
      </w:r>
    </w:p>
    <w:p w14:paraId="74EFB917" w14:textId="77777777" w:rsidR="004B7E50" w:rsidRPr="004B7E50" w:rsidRDefault="004B7E50" w:rsidP="004B7E50">
      <w:pPr>
        <w:rPr>
          <w:rFonts w:ascii="Palatino Linotype" w:hAnsi="Palatino Linotype"/>
          <w:sz w:val="24"/>
          <w:szCs w:val="24"/>
          <w:lang w:eastAsia="en-US"/>
        </w:rPr>
      </w:pPr>
    </w:p>
    <w:p w14:paraId="2B9C993F" w14:textId="77777777" w:rsidR="004B7E50" w:rsidRPr="004B7E50" w:rsidRDefault="004B7E50" w:rsidP="004B7E50">
      <w:pPr>
        <w:pStyle w:val="Ttulo2"/>
        <w:rPr>
          <w:rFonts w:ascii="Palatino Linotype" w:hAnsi="Palatino Linotype"/>
          <w:b/>
          <w:bCs/>
          <w:color w:val="auto"/>
          <w:spacing w:val="60"/>
          <w:sz w:val="24"/>
          <w:szCs w:val="24"/>
        </w:rPr>
      </w:pPr>
      <w:bookmarkStart w:id="5" w:name="_Toc86235921"/>
      <w:r w:rsidRPr="004B7E50">
        <w:rPr>
          <w:rFonts w:ascii="Palatino Linotype" w:hAnsi="Palatino Linotype"/>
          <w:b/>
          <w:color w:val="auto"/>
          <w:sz w:val="24"/>
          <w:szCs w:val="24"/>
        </w:rPr>
        <w:t>PRIMERO. De la competencia</w:t>
      </w:r>
      <w:bookmarkEnd w:id="5"/>
    </w:p>
    <w:p w14:paraId="31AFE353" w14:textId="196E601A"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7E50">
        <w:rPr>
          <w:rFonts w:ascii="Palatino Linotype" w:eastAsia="Calibri" w:hAnsi="Palatino Linotype"/>
          <w:b/>
          <w:sz w:val="24"/>
          <w:lang w:val="es-ES"/>
        </w:rPr>
        <w:t>Constitución Política de los Estados Unidos Mexicanos</w:t>
      </w:r>
      <w:r w:rsidR="001F1126">
        <w:rPr>
          <w:rFonts w:ascii="Palatino Linotype" w:eastAsia="Calibri" w:hAnsi="Palatino Linotype"/>
          <w:sz w:val="24"/>
          <w:lang w:val="es-ES"/>
        </w:rPr>
        <w:t>; 5, párrafos</w:t>
      </w:r>
      <w:r w:rsidRPr="004B7E50">
        <w:rPr>
          <w:rFonts w:ascii="Palatino Linotype" w:hAnsi="Palatino Linotype" w:cs="Arial"/>
          <w:bCs/>
          <w:color w:val="222222"/>
          <w:sz w:val="24"/>
          <w:lang w:val="es-ES"/>
        </w:rPr>
        <w:t>, trigésimo y trigésimo primero fracciones</w:t>
      </w:r>
      <w:r w:rsidRPr="004B7E50">
        <w:rPr>
          <w:rFonts w:ascii="Palatino Linotype" w:eastAsia="Calibri" w:hAnsi="Palatino Linotype"/>
          <w:sz w:val="24"/>
          <w:lang w:val="es-ES"/>
        </w:rPr>
        <w:t xml:space="preserve"> IV y V de la </w:t>
      </w:r>
      <w:r w:rsidRPr="004B7E50">
        <w:rPr>
          <w:rFonts w:ascii="Palatino Linotype" w:eastAsia="Calibri" w:hAnsi="Palatino Linotype"/>
          <w:b/>
          <w:sz w:val="24"/>
          <w:lang w:val="es-ES"/>
        </w:rPr>
        <w:t>Constitución Política del Estado Libre y Soberano de México</w:t>
      </w:r>
      <w:r w:rsidRPr="004B7E50">
        <w:rPr>
          <w:rFonts w:ascii="Palatino Linotype" w:eastAsia="Calibri" w:hAnsi="Palatino Linotype"/>
          <w:sz w:val="24"/>
          <w:lang w:val="es-ES"/>
        </w:rPr>
        <w:t xml:space="preserve">; artículos 1, 2 fracción II, 13, 29, 36 fracciones I y II, 176, 178, 179, 181 párrafo tercero y 185 </w:t>
      </w:r>
      <w:r w:rsidRPr="004B7E50">
        <w:rPr>
          <w:rFonts w:ascii="Palatino Linotype" w:eastAsia="Calibri" w:hAnsi="Palatino Linotype" w:cs="Arial"/>
          <w:sz w:val="24"/>
          <w:lang w:val="es-ES"/>
        </w:rPr>
        <w:t xml:space="preserve">de la </w:t>
      </w:r>
      <w:r w:rsidRPr="004B7E50">
        <w:rPr>
          <w:rFonts w:ascii="Palatino Linotype" w:eastAsia="Calibri" w:hAnsi="Palatino Linotype" w:cs="Arial"/>
          <w:b/>
          <w:sz w:val="24"/>
          <w:lang w:val="es-ES"/>
        </w:rPr>
        <w:t xml:space="preserve">Ley de Transparencia y Acceso a la </w:t>
      </w:r>
      <w:r w:rsidRPr="004B7E50">
        <w:rPr>
          <w:rFonts w:ascii="Palatino Linotype" w:eastAsia="Calibri" w:hAnsi="Palatino Linotype" w:cs="Arial"/>
          <w:b/>
          <w:sz w:val="24"/>
          <w:lang w:val="es-ES"/>
        </w:rPr>
        <w:lastRenderedPageBreak/>
        <w:t>Información Pública del Estado de México y Municipios</w:t>
      </w:r>
      <w:r w:rsidRPr="004B7E50">
        <w:rPr>
          <w:rFonts w:ascii="Palatino Linotype" w:eastAsia="Calibri" w:hAnsi="Palatino Linotype" w:cs="Arial"/>
          <w:sz w:val="24"/>
          <w:lang w:val="es-ES"/>
        </w:rPr>
        <w:t xml:space="preserve">; y 7, 9 fracciones I y XXIV, y 11 del </w:t>
      </w:r>
      <w:r w:rsidRPr="004B7E5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B7E50">
        <w:rPr>
          <w:rFonts w:ascii="Palatino Linotype" w:hAnsi="Palatino Linotype"/>
          <w:sz w:val="24"/>
        </w:rPr>
        <w:t>.</w:t>
      </w:r>
    </w:p>
    <w:p w14:paraId="43B0AE09" w14:textId="77777777" w:rsidR="004B7E50" w:rsidRPr="004B7E50" w:rsidRDefault="004B7E50" w:rsidP="004B7E50">
      <w:pPr>
        <w:pStyle w:val="Prrafodelista"/>
        <w:spacing w:before="240" w:after="240" w:line="360" w:lineRule="auto"/>
        <w:ind w:left="0"/>
        <w:jc w:val="both"/>
        <w:rPr>
          <w:rFonts w:ascii="Palatino Linotype" w:hAnsi="Palatino Linotype"/>
          <w:sz w:val="24"/>
        </w:rPr>
      </w:pPr>
    </w:p>
    <w:p w14:paraId="6C1162AA" w14:textId="77777777"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02F3F7" w14:textId="77777777" w:rsidR="004B7E50" w:rsidRPr="004B7E50" w:rsidRDefault="004B7E50" w:rsidP="004B7E50">
      <w:pPr>
        <w:pStyle w:val="Ttulo2"/>
        <w:rPr>
          <w:rFonts w:ascii="Palatino Linotype" w:hAnsi="Palatino Linotype"/>
          <w:b/>
          <w:color w:val="auto"/>
          <w:sz w:val="24"/>
          <w:szCs w:val="24"/>
        </w:rPr>
      </w:pPr>
      <w:bookmarkStart w:id="6" w:name="_Toc86235922"/>
      <w:r w:rsidRPr="004B7E50">
        <w:rPr>
          <w:rFonts w:ascii="Palatino Linotype" w:hAnsi="Palatino Linotype"/>
          <w:b/>
          <w:color w:val="auto"/>
          <w:sz w:val="24"/>
          <w:szCs w:val="24"/>
        </w:rPr>
        <w:t>SEGUNDO. De la oportunidad y procedencia.</w:t>
      </w:r>
      <w:bookmarkEnd w:id="6"/>
    </w:p>
    <w:p w14:paraId="76562D42" w14:textId="027BB436" w:rsidR="004B7E50" w:rsidRPr="0041049C"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 xml:space="preserve">El medio de impugnación fue presentado a través del </w:t>
      </w:r>
      <w:r w:rsidRPr="004B7E50">
        <w:rPr>
          <w:rFonts w:ascii="Palatino Linotype" w:eastAsia="Calibri" w:hAnsi="Palatino Linotype" w:cs="Arial"/>
          <w:b/>
          <w:sz w:val="24"/>
        </w:rPr>
        <w:t>SAIMEX,</w:t>
      </w:r>
      <w:r w:rsidRPr="004B7E50">
        <w:rPr>
          <w:rFonts w:ascii="Palatino Linotype" w:eastAsia="Calibri" w:hAnsi="Palatino Linotype" w:cs="Arial"/>
          <w:sz w:val="24"/>
        </w:rPr>
        <w:t xml:space="preserve"> en el formato previamente aprobado para tal efecto y dentro del plazo legal de quince días hábiles otorgados; siendo así que el </w:t>
      </w:r>
      <w:r w:rsidRPr="004B7E50">
        <w:rPr>
          <w:rFonts w:ascii="Palatino Linotype" w:eastAsia="Calibri" w:hAnsi="Palatino Linotype" w:cs="Arial"/>
          <w:b/>
          <w:sz w:val="24"/>
        </w:rPr>
        <w:t>SUJETO OBLIGADO</w:t>
      </w:r>
      <w:r w:rsidRPr="004B7E50">
        <w:rPr>
          <w:rFonts w:ascii="Palatino Linotype" w:eastAsia="Calibri" w:hAnsi="Palatino Linotype" w:cs="Arial"/>
          <w:sz w:val="24"/>
        </w:rPr>
        <w:t xml:space="preserve"> entregó respuesta a la solicitud el </w:t>
      </w:r>
      <w:r w:rsidR="0041049C">
        <w:rPr>
          <w:rFonts w:ascii="Palatino Linotype" w:eastAsia="Calibri" w:hAnsi="Palatino Linotype" w:cs="Arial"/>
          <w:sz w:val="24"/>
        </w:rPr>
        <w:t>catorce</w:t>
      </w:r>
      <w:r w:rsidRPr="004B7E50">
        <w:rPr>
          <w:rFonts w:ascii="Palatino Linotype" w:eastAsia="Calibri" w:hAnsi="Palatino Linotype" w:cs="Arial"/>
          <w:sz w:val="24"/>
        </w:rPr>
        <w:t xml:space="preserve"> (</w:t>
      </w:r>
      <w:r w:rsidR="0041049C">
        <w:rPr>
          <w:rFonts w:ascii="Palatino Linotype" w:eastAsia="Calibri" w:hAnsi="Palatino Linotype" w:cs="Arial"/>
          <w:sz w:val="24"/>
        </w:rPr>
        <w:t>14</w:t>
      </w:r>
      <w:r w:rsidRPr="004B7E50">
        <w:rPr>
          <w:rFonts w:ascii="Palatino Linotype" w:eastAsia="Calibri" w:hAnsi="Palatino Linotype" w:cs="Arial"/>
          <w:sz w:val="24"/>
        </w:rPr>
        <w:t xml:space="preserve">) de </w:t>
      </w:r>
      <w:r w:rsidR="00337E79">
        <w:rPr>
          <w:rFonts w:ascii="Palatino Linotype" w:eastAsia="Calibri" w:hAnsi="Palatino Linotype" w:cs="Arial"/>
          <w:sz w:val="24"/>
        </w:rPr>
        <w:t>septiembre</w:t>
      </w:r>
      <w:r w:rsidRPr="004B7E50">
        <w:rPr>
          <w:rFonts w:ascii="Palatino Linotype" w:eastAsia="Calibri" w:hAnsi="Palatino Linotype" w:cs="Arial"/>
          <w:sz w:val="24"/>
        </w:rPr>
        <w:t xml:space="preserve"> de dos mil veintiuno, </w:t>
      </w:r>
      <w:r w:rsidRPr="004B7E50">
        <w:rPr>
          <w:rFonts w:ascii="Palatino Linotype" w:hAnsi="Palatino Linotype" w:cs="Arial"/>
          <w:sz w:val="24"/>
        </w:rPr>
        <w:t xml:space="preserve">de tal forma que el plazo para interponer el recurso de revisión transcurrió del </w:t>
      </w:r>
      <w:r w:rsidR="0041049C">
        <w:rPr>
          <w:rFonts w:ascii="Palatino Linotype" w:hAnsi="Palatino Linotype" w:cs="Arial"/>
          <w:sz w:val="24"/>
        </w:rPr>
        <w:t>quince</w:t>
      </w:r>
      <w:r w:rsidRPr="004B7E50">
        <w:rPr>
          <w:rFonts w:ascii="Palatino Linotype" w:hAnsi="Palatino Linotype" w:cs="Arial"/>
          <w:sz w:val="24"/>
        </w:rPr>
        <w:t xml:space="preserve"> (</w:t>
      </w:r>
      <w:r w:rsidR="0041049C">
        <w:rPr>
          <w:rFonts w:ascii="Palatino Linotype" w:hAnsi="Palatino Linotype" w:cs="Arial"/>
          <w:sz w:val="24"/>
        </w:rPr>
        <w:t>15</w:t>
      </w:r>
      <w:r w:rsidRPr="004B7E50">
        <w:rPr>
          <w:rFonts w:ascii="Palatino Linotype" w:hAnsi="Palatino Linotype" w:cs="Arial"/>
          <w:sz w:val="24"/>
        </w:rPr>
        <w:t xml:space="preserve">) </w:t>
      </w:r>
      <w:r w:rsidR="0041049C">
        <w:rPr>
          <w:rFonts w:ascii="Palatino Linotype" w:hAnsi="Palatino Linotype" w:cs="Arial"/>
          <w:sz w:val="24"/>
        </w:rPr>
        <w:t xml:space="preserve">de septiembre </w:t>
      </w:r>
      <w:r w:rsidR="00337E79">
        <w:rPr>
          <w:rFonts w:ascii="Palatino Linotype" w:hAnsi="Palatino Linotype" w:cs="Arial"/>
          <w:sz w:val="24"/>
        </w:rPr>
        <w:t xml:space="preserve">al </w:t>
      </w:r>
      <w:r w:rsidR="0041049C">
        <w:rPr>
          <w:rFonts w:ascii="Palatino Linotype" w:hAnsi="Palatino Linotype" w:cs="Arial"/>
          <w:sz w:val="24"/>
        </w:rPr>
        <w:t>seis</w:t>
      </w:r>
      <w:r w:rsidRPr="004B7E50">
        <w:rPr>
          <w:rFonts w:ascii="Palatino Linotype" w:hAnsi="Palatino Linotype" w:cs="Arial"/>
          <w:sz w:val="24"/>
        </w:rPr>
        <w:t xml:space="preserve"> (</w:t>
      </w:r>
      <w:r w:rsidR="0041049C">
        <w:rPr>
          <w:rFonts w:ascii="Palatino Linotype" w:hAnsi="Palatino Linotype" w:cs="Arial"/>
          <w:sz w:val="24"/>
        </w:rPr>
        <w:t>6</w:t>
      </w:r>
      <w:r w:rsidRPr="004B7E50">
        <w:rPr>
          <w:rFonts w:ascii="Palatino Linotype" w:hAnsi="Palatino Linotype" w:cs="Arial"/>
          <w:sz w:val="24"/>
        </w:rPr>
        <w:t xml:space="preserve">) de </w:t>
      </w:r>
      <w:r w:rsidR="0041049C">
        <w:rPr>
          <w:rFonts w:ascii="Palatino Linotype" w:hAnsi="Palatino Linotype" w:cs="Arial"/>
          <w:sz w:val="24"/>
        </w:rPr>
        <w:t>octubre</w:t>
      </w:r>
      <w:r w:rsidRPr="004B7E50">
        <w:rPr>
          <w:rFonts w:ascii="Palatino Linotype" w:hAnsi="Palatino Linotype" w:cs="Arial"/>
          <w:sz w:val="24"/>
        </w:rPr>
        <w:t xml:space="preserve"> de dos mil veintiuno; en consecuencia, presentó su inconformidad el día </w:t>
      </w:r>
      <w:r w:rsidR="0041049C">
        <w:rPr>
          <w:rFonts w:ascii="Palatino Linotype" w:hAnsi="Palatino Linotype" w:cs="Arial"/>
          <w:sz w:val="24"/>
        </w:rPr>
        <w:t>diecisiete</w:t>
      </w:r>
      <w:r w:rsidRPr="004B7E50">
        <w:rPr>
          <w:rFonts w:ascii="Palatino Linotype" w:hAnsi="Palatino Linotype" w:cs="Arial"/>
          <w:sz w:val="24"/>
        </w:rPr>
        <w:t xml:space="preserve"> </w:t>
      </w:r>
      <w:r w:rsidRPr="004B7E50">
        <w:rPr>
          <w:rFonts w:ascii="Palatino Linotype" w:eastAsia="Calibri" w:hAnsi="Palatino Linotype" w:cs="Arial"/>
          <w:sz w:val="24"/>
        </w:rPr>
        <w:t>(</w:t>
      </w:r>
      <w:r w:rsidR="0041049C">
        <w:rPr>
          <w:rFonts w:ascii="Palatino Linotype" w:eastAsia="Calibri" w:hAnsi="Palatino Linotype" w:cs="Arial"/>
          <w:sz w:val="24"/>
        </w:rPr>
        <w:t>17</w:t>
      </w:r>
      <w:r w:rsidRPr="004B7E50">
        <w:rPr>
          <w:rFonts w:ascii="Palatino Linotype" w:eastAsia="Calibri" w:hAnsi="Palatino Linotype" w:cs="Arial"/>
          <w:sz w:val="24"/>
        </w:rPr>
        <w:t xml:space="preserve">) de </w:t>
      </w:r>
      <w:r w:rsidR="00D46F02">
        <w:rPr>
          <w:rFonts w:ascii="Palatino Linotype" w:eastAsia="Calibri" w:hAnsi="Palatino Linotype" w:cs="Arial"/>
          <w:sz w:val="24"/>
        </w:rPr>
        <w:t>septiembre</w:t>
      </w:r>
      <w:r w:rsidRPr="004B7E50">
        <w:rPr>
          <w:rFonts w:ascii="Palatino Linotype" w:eastAsia="Calibri" w:hAnsi="Palatino Linotype" w:cs="Arial"/>
          <w:sz w:val="24"/>
        </w:rPr>
        <w:t xml:space="preserve"> de dos mil veintiuno</w:t>
      </w:r>
      <w:r w:rsidRPr="004B7E50">
        <w:rPr>
          <w:rFonts w:ascii="Palatino Linotype" w:hAnsi="Palatino Linotype" w:cs="Arial"/>
          <w:sz w:val="24"/>
        </w:rPr>
        <w:t xml:space="preserve">, por lo que se encuentra dentro de los márgenes temporales previstos en el artículo 178 de la </w:t>
      </w:r>
      <w:r w:rsidRPr="004B7E50">
        <w:rPr>
          <w:rFonts w:ascii="Palatino Linotype" w:hAnsi="Palatino Linotype" w:cs="Arial"/>
          <w:b/>
          <w:sz w:val="24"/>
        </w:rPr>
        <w:t>Ley de Transparencia y Acceso a la Información Pública del Estado de México y Municipios vigente.</w:t>
      </w:r>
    </w:p>
    <w:p w14:paraId="041F21B7" w14:textId="77777777" w:rsidR="0041049C" w:rsidRPr="00F43832" w:rsidRDefault="0041049C" w:rsidP="0041049C">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lastRenderedPageBreak/>
        <w:t xml:space="preserve">Por </w:t>
      </w:r>
      <w:r w:rsidRPr="00F43832">
        <w:rPr>
          <w:rFonts w:ascii="Palatino Linotype" w:hAnsi="Palatino Linotype" w:cs="Arial"/>
          <w:color w:val="000000" w:themeColor="text1"/>
          <w:sz w:val="24"/>
          <w:lang w:val="es-ES"/>
        </w:rPr>
        <w:t xml:space="preserve">otro lado, de la revisión al expediente electrónico contenido en el sistema </w:t>
      </w:r>
      <w:r w:rsidRPr="00F43832">
        <w:rPr>
          <w:rFonts w:ascii="Palatino Linotype" w:hAnsi="Palatino Linotype" w:cs="Arial"/>
          <w:b/>
          <w:color w:val="000000" w:themeColor="text1"/>
          <w:sz w:val="24"/>
          <w:lang w:val="es-ES"/>
        </w:rPr>
        <w:t>SAIMEX,</w:t>
      </w:r>
      <w:r w:rsidRPr="00F43832">
        <w:rPr>
          <w:rFonts w:ascii="Palatino Linotype" w:hAnsi="Palatino Linotype" w:cs="Arial"/>
          <w:color w:val="000000" w:themeColor="text1"/>
          <w:sz w:val="24"/>
          <w:lang w:val="es-ES"/>
        </w:rPr>
        <w:t xml:space="preserve"> se desprende que la parte solicitante, en ejercicio de su derecho de acceso a la información pública en el expediente que se revisa, tanto en la solicitud de información como en el recurso de revisión, </w:t>
      </w:r>
      <w:r w:rsidRPr="00F43832">
        <w:rPr>
          <w:rFonts w:ascii="Palatino Linotype" w:hAnsi="Palatino Linotype" w:cs="Arial"/>
          <w:b/>
          <w:color w:val="000000" w:themeColor="text1"/>
          <w:sz w:val="24"/>
          <w:lang w:val="es-ES"/>
        </w:rPr>
        <w:t>no señaló ningún nombre, seudónimo o carácter para ser identificado</w:t>
      </w:r>
      <w:r w:rsidRPr="00F43832">
        <w:rPr>
          <w:rFonts w:ascii="Palatino Linotype" w:hAnsi="Palatino Linotype" w:cs="Arial"/>
          <w:color w:val="000000" w:themeColor="text1"/>
          <w:sz w:val="24"/>
          <w:lang w:val="es-ES"/>
        </w:rPr>
        <w:t xml:space="preserve">; sin embargo, es importante señalar que </w:t>
      </w:r>
      <w:r w:rsidRPr="00F43832">
        <w:rPr>
          <w:rFonts w:ascii="Palatino Linotype" w:hAnsi="Palatino Linotype" w:cs="Arial"/>
          <w:color w:val="000000" w:themeColor="text1"/>
          <w:sz w:val="24"/>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95D2D4B" w14:textId="77777777" w:rsidR="0041049C" w:rsidRPr="00F43832" w:rsidRDefault="0041049C" w:rsidP="0041049C">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469F587C" w14:textId="77777777" w:rsidR="0041049C" w:rsidRPr="00F43832" w:rsidRDefault="0041049C" w:rsidP="0041049C">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Esto </w:t>
      </w:r>
      <w:r w:rsidRPr="00F43832">
        <w:rPr>
          <w:rFonts w:ascii="Palatino Linotype" w:hAnsi="Palatino Linotype" w:cs="Arial"/>
          <w:color w:val="000000" w:themeColor="text1"/>
          <w:sz w:val="24"/>
          <w:lang w:val="es-ES"/>
        </w:rPr>
        <w:t xml:space="preserve">es así, ya que de conformidad con los artículos 6, apartado A, fracciones III y IV de la </w:t>
      </w:r>
      <w:r w:rsidRPr="00F43832">
        <w:rPr>
          <w:rFonts w:ascii="Palatino Linotype" w:hAnsi="Palatino Linotype" w:cs="Arial"/>
          <w:b/>
          <w:color w:val="000000" w:themeColor="text1"/>
          <w:sz w:val="24"/>
          <w:lang w:val="es-ES"/>
        </w:rPr>
        <w:t>Constitución Política de los Estados Unidos Mexicanos</w:t>
      </w:r>
      <w:r w:rsidRPr="00F43832">
        <w:rPr>
          <w:rFonts w:ascii="Palatino Linotype" w:hAnsi="Palatino Linotype" w:cs="Arial"/>
          <w:color w:val="000000" w:themeColor="text1"/>
          <w:sz w:val="24"/>
          <w:lang w:val="es-ES"/>
        </w:rPr>
        <w:t xml:space="preserve">; 5, párrafos vigésimo segundo, vigésimo tercero y vigésimo cuarto, fracciones III, IV y V, de la </w:t>
      </w:r>
      <w:r w:rsidRPr="00F43832">
        <w:rPr>
          <w:rFonts w:ascii="Palatino Linotype" w:hAnsi="Palatino Linotype" w:cs="Arial"/>
          <w:b/>
          <w:color w:val="000000" w:themeColor="text1"/>
          <w:sz w:val="24"/>
          <w:lang w:val="es-ES"/>
        </w:rPr>
        <w:t>Constitución Política del Estado Libre y Soberano de México</w:t>
      </w:r>
      <w:r w:rsidRPr="00F43832">
        <w:rPr>
          <w:rFonts w:ascii="Palatino Linotype" w:hAnsi="Palatino Linotype" w:cs="Arial"/>
          <w:color w:val="000000" w:themeColor="text1"/>
          <w:sz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125666" w14:textId="77777777" w:rsidR="0041049C" w:rsidRPr="00F43832" w:rsidRDefault="0041049C" w:rsidP="0041049C">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5C898096" w14:textId="77777777" w:rsidR="0041049C" w:rsidRPr="00F43832" w:rsidRDefault="0041049C" w:rsidP="0041049C">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Por </w:t>
      </w:r>
      <w:r w:rsidRPr="00F43832">
        <w:rPr>
          <w:rFonts w:ascii="Palatino Linotype" w:hAnsi="Palatino Linotype" w:cs="Arial"/>
          <w:color w:val="000000" w:themeColor="text1"/>
          <w:sz w:val="24"/>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w:t>
      </w:r>
      <w:r w:rsidRPr="00F43832">
        <w:rPr>
          <w:rFonts w:ascii="Palatino Linotype" w:hAnsi="Palatino Linotype" w:cs="Arial"/>
          <w:color w:val="000000" w:themeColor="text1"/>
          <w:sz w:val="24"/>
          <w:lang w:val="es-ES" w:eastAsia="es-MX"/>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216EC29" w14:textId="77777777" w:rsidR="0041049C" w:rsidRPr="00F43832" w:rsidRDefault="0041049C" w:rsidP="0041049C">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646EA96C" w14:textId="77777777" w:rsidR="0041049C" w:rsidRPr="00F43832" w:rsidRDefault="0041049C" w:rsidP="0041049C">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Asimismo, </w:t>
      </w:r>
      <w:r w:rsidRPr="00F43832">
        <w:rPr>
          <w:rFonts w:ascii="Palatino Linotype" w:eastAsia="Calibri" w:hAnsi="Palatino Linotype" w:cs="Arial"/>
          <w:sz w:val="24"/>
        </w:rPr>
        <w:t>como lo establece la Convención Americana en su artículo 13, el derecho de acceso a la información es un derecho humano universal y en consecuencia, toda persona tiene derecho a solicitar acceso a la información.</w:t>
      </w:r>
    </w:p>
    <w:p w14:paraId="631337C8" w14:textId="77777777" w:rsidR="004B7E50" w:rsidRPr="004B7E50" w:rsidRDefault="004B7E50" w:rsidP="004B7E50">
      <w:pPr>
        <w:pStyle w:val="Prrafodelista"/>
        <w:spacing w:before="240" w:after="240" w:line="360" w:lineRule="auto"/>
        <w:ind w:left="0" w:right="49"/>
        <w:jc w:val="both"/>
        <w:rPr>
          <w:rFonts w:ascii="Palatino Linotype" w:hAnsi="Palatino Linotype"/>
          <w:sz w:val="24"/>
        </w:rPr>
      </w:pPr>
    </w:p>
    <w:p w14:paraId="734FE8C4" w14:textId="77777777"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A1A3BC" w14:textId="4BB4848A" w:rsidR="004B7E50" w:rsidRDefault="004B7E50" w:rsidP="004B7E50">
      <w:pPr>
        <w:pStyle w:val="Ttulo1"/>
        <w:rPr>
          <w:rFonts w:ascii="Palatino Linotype" w:hAnsi="Palatino Linotype"/>
          <w:b/>
          <w:color w:val="auto"/>
          <w:sz w:val="24"/>
          <w:szCs w:val="24"/>
        </w:rPr>
      </w:pPr>
      <w:bookmarkStart w:id="7" w:name="_Toc86235923"/>
      <w:r w:rsidRPr="004B7E50">
        <w:rPr>
          <w:rFonts w:ascii="Palatino Linotype" w:hAnsi="Palatino Linotype"/>
          <w:b/>
          <w:color w:val="auto"/>
          <w:sz w:val="24"/>
          <w:szCs w:val="24"/>
        </w:rPr>
        <w:t xml:space="preserve">TERCERO. </w:t>
      </w:r>
      <w:r w:rsidR="00787F78">
        <w:rPr>
          <w:rFonts w:ascii="Palatino Linotype" w:hAnsi="Palatino Linotype"/>
          <w:b/>
          <w:color w:val="auto"/>
          <w:sz w:val="24"/>
          <w:szCs w:val="24"/>
        </w:rPr>
        <w:t>De las causales de sobreseimiento</w:t>
      </w:r>
      <w:r w:rsidRPr="004B7E50">
        <w:rPr>
          <w:rFonts w:ascii="Palatino Linotype" w:hAnsi="Palatino Linotype"/>
          <w:b/>
          <w:color w:val="auto"/>
          <w:sz w:val="24"/>
          <w:szCs w:val="24"/>
        </w:rPr>
        <w:t>.</w:t>
      </w:r>
      <w:bookmarkEnd w:id="7"/>
      <w:r w:rsidRPr="004B7E50">
        <w:rPr>
          <w:rFonts w:ascii="Palatino Linotype" w:hAnsi="Palatino Linotype"/>
          <w:b/>
          <w:color w:val="auto"/>
          <w:sz w:val="24"/>
          <w:szCs w:val="24"/>
        </w:rPr>
        <w:t xml:space="preserve"> </w:t>
      </w:r>
    </w:p>
    <w:p w14:paraId="0F0FD91F" w14:textId="77777777" w:rsidR="00787F78" w:rsidRDefault="00787F78" w:rsidP="00787F78">
      <w:pPr>
        <w:rPr>
          <w:rFonts w:eastAsia="MS Mincho"/>
        </w:rPr>
      </w:pPr>
    </w:p>
    <w:p w14:paraId="6E094197" w14:textId="50F8A5D2" w:rsidR="00787F78" w:rsidRPr="00787F78" w:rsidRDefault="00787F78" w:rsidP="00787F78">
      <w:pPr>
        <w:pStyle w:val="Ttulo2"/>
        <w:numPr>
          <w:ilvl w:val="0"/>
          <w:numId w:val="35"/>
        </w:numPr>
        <w:rPr>
          <w:rFonts w:ascii="Palatino Linotype" w:hAnsi="Palatino Linotype"/>
          <w:b/>
          <w:color w:val="auto"/>
          <w:sz w:val="24"/>
        </w:rPr>
      </w:pPr>
      <w:bookmarkStart w:id="8" w:name="_Toc86235924"/>
      <w:r w:rsidRPr="00787F78">
        <w:rPr>
          <w:rFonts w:ascii="Palatino Linotype" w:hAnsi="Palatino Linotype"/>
          <w:b/>
          <w:color w:val="auto"/>
          <w:sz w:val="24"/>
        </w:rPr>
        <w:t>Actuaciones de las partes.</w:t>
      </w:r>
      <w:bookmarkEnd w:id="8"/>
    </w:p>
    <w:p w14:paraId="631338F0" w14:textId="4512A3AE" w:rsidR="004B7E50" w:rsidRPr="000C7FF6" w:rsidRDefault="004B7E50" w:rsidP="000C7FF6">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B7E50">
        <w:rPr>
          <w:rFonts w:ascii="Palatino Linotype" w:hAnsi="Palatino Linotype"/>
          <w:bCs/>
          <w:sz w:val="24"/>
        </w:rPr>
        <w:t>El recurrente solicitó</w:t>
      </w:r>
      <w:r w:rsidR="000C7FF6" w:rsidRPr="000C7FF6">
        <w:rPr>
          <w:rFonts w:ascii="Palatino Linotype" w:hAnsi="Palatino Linotype" w:cs="Arial"/>
          <w:sz w:val="24"/>
        </w:rPr>
        <w:t xml:space="preserve"> </w:t>
      </w:r>
      <w:r w:rsidRPr="000C7FF6">
        <w:rPr>
          <w:rFonts w:ascii="Palatino Linotype" w:hAnsi="Palatino Linotype"/>
          <w:bCs/>
          <w:sz w:val="24"/>
        </w:rPr>
        <w:t>lo siguiente:</w:t>
      </w:r>
    </w:p>
    <w:p w14:paraId="676F87CD" w14:textId="700DF394" w:rsidR="00787F78" w:rsidRDefault="00787F78" w:rsidP="00D46F02">
      <w:pPr>
        <w:pStyle w:val="Prrafodelista"/>
        <w:spacing w:before="100" w:beforeAutospacing="1" w:after="100" w:afterAutospacing="1" w:line="360" w:lineRule="auto"/>
        <w:ind w:left="567" w:right="822"/>
        <w:jc w:val="both"/>
        <w:rPr>
          <w:rFonts w:ascii="Palatino Linotype" w:hAnsi="Palatino Linotype"/>
          <w:i/>
          <w:lang w:eastAsia="es-MX"/>
        </w:rPr>
      </w:pPr>
      <w:r>
        <w:rPr>
          <w:rFonts w:ascii="Palatino Linotype" w:hAnsi="Palatino Linotype"/>
          <w:i/>
          <w:lang w:eastAsia="es-MX"/>
        </w:rPr>
        <w:t>¿Por qué nombró la Directora y Presidenta del DIF a su hermana Coordinadora de atención al adulto mayor? Y,</w:t>
      </w:r>
    </w:p>
    <w:p w14:paraId="50D694DD" w14:textId="7CD19622" w:rsidR="00787F78" w:rsidRDefault="00787F78" w:rsidP="00D46F02">
      <w:pPr>
        <w:pStyle w:val="Prrafodelista"/>
        <w:spacing w:before="100" w:beforeAutospacing="1" w:after="100" w:afterAutospacing="1" w:line="360" w:lineRule="auto"/>
        <w:ind w:left="567" w:right="822"/>
        <w:jc w:val="both"/>
        <w:rPr>
          <w:rFonts w:ascii="Palatino Linotype" w:hAnsi="Palatino Linotype"/>
          <w:i/>
          <w:lang w:eastAsia="es-MX"/>
        </w:rPr>
      </w:pPr>
      <w:r>
        <w:rPr>
          <w:rFonts w:ascii="Palatino Linotype" w:hAnsi="Palatino Linotype"/>
          <w:i/>
          <w:lang w:eastAsia="es-MX"/>
        </w:rPr>
        <w:t>¿Qué hará acciones tomará Contraloría al respecto?</w:t>
      </w:r>
    </w:p>
    <w:p w14:paraId="3CB9B4B1" w14:textId="77777777" w:rsidR="00787F78" w:rsidRDefault="00787F78" w:rsidP="00D46F02">
      <w:pPr>
        <w:pStyle w:val="Prrafodelista"/>
        <w:spacing w:before="100" w:beforeAutospacing="1" w:after="100" w:afterAutospacing="1" w:line="360" w:lineRule="auto"/>
        <w:ind w:left="567" w:right="822"/>
        <w:jc w:val="both"/>
        <w:rPr>
          <w:rFonts w:ascii="Palatino Linotype" w:hAnsi="Palatino Linotype"/>
          <w:i/>
          <w:lang w:eastAsia="es-MX"/>
        </w:rPr>
      </w:pPr>
    </w:p>
    <w:p w14:paraId="3A0AF467" w14:textId="2DC62ACF" w:rsid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lastRenderedPageBreak/>
        <w:t xml:space="preserve">El </w:t>
      </w:r>
      <w:r w:rsidR="000C7FF6">
        <w:rPr>
          <w:rFonts w:ascii="Palatino Linotype" w:hAnsi="Palatino Linotype"/>
          <w:bCs/>
          <w:sz w:val="24"/>
        </w:rPr>
        <w:t>Sujeto Obligado manifestó que</w:t>
      </w:r>
      <w:r w:rsidR="00787F78">
        <w:rPr>
          <w:rFonts w:ascii="Palatino Linotype" w:hAnsi="Palatino Linotype"/>
          <w:bCs/>
          <w:sz w:val="24"/>
        </w:rPr>
        <w:t xml:space="preserve"> la Ley de Responsabilidades solo es aplicable para los servidores públicos adscritos de carácter municipal.</w:t>
      </w:r>
    </w:p>
    <w:p w14:paraId="3F8FEA8F" w14:textId="77777777" w:rsidR="00547ADC" w:rsidRPr="004B7E50" w:rsidRDefault="00547ADC" w:rsidP="00547ADC">
      <w:pPr>
        <w:pStyle w:val="Prrafodelista"/>
        <w:spacing w:before="240" w:after="240" w:line="360" w:lineRule="auto"/>
        <w:ind w:left="0" w:right="49"/>
        <w:jc w:val="both"/>
        <w:rPr>
          <w:rFonts w:ascii="Palatino Linotype" w:hAnsi="Palatino Linotype"/>
          <w:bCs/>
          <w:sz w:val="24"/>
        </w:rPr>
      </w:pPr>
    </w:p>
    <w:p w14:paraId="5C5E09BC" w14:textId="0FDF77C0"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t xml:space="preserve">El recurrente se inconformó </w:t>
      </w:r>
      <w:r w:rsidR="00D46F02">
        <w:rPr>
          <w:rFonts w:ascii="Palatino Linotype" w:hAnsi="Palatino Linotype"/>
          <w:bCs/>
          <w:sz w:val="24"/>
        </w:rPr>
        <w:t xml:space="preserve">porque </w:t>
      </w:r>
      <w:r w:rsidR="00787F78">
        <w:rPr>
          <w:rFonts w:ascii="Palatino Linotype" w:hAnsi="Palatino Linotype"/>
          <w:bCs/>
          <w:sz w:val="24"/>
        </w:rPr>
        <w:t>no fundan ni motivan su respuesta.</w:t>
      </w:r>
    </w:p>
    <w:p w14:paraId="3798A2DE" w14:textId="1FBB3D69" w:rsidR="005E0B56" w:rsidRPr="00380BDB" w:rsidRDefault="005E0B56" w:rsidP="00787F78">
      <w:pPr>
        <w:pStyle w:val="Ttulo2"/>
        <w:numPr>
          <w:ilvl w:val="0"/>
          <w:numId w:val="35"/>
        </w:numPr>
        <w:spacing w:line="360" w:lineRule="auto"/>
        <w:rPr>
          <w:rFonts w:ascii="Palatino Linotype" w:hAnsi="Palatino Linotype"/>
          <w:b/>
          <w:color w:val="auto"/>
          <w:sz w:val="24"/>
        </w:rPr>
      </w:pPr>
      <w:bookmarkStart w:id="9" w:name="_Toc23418068"/>
      <w:bookmarkStart w:id="10" w:name="_Toc25251825"/>
      <w:bookmarkStart w:id="11" w:name="_Toc29923834"/>
      <w:bookmarkStart w:id="12" w:name="_Toc34936175"/>
      <w:bookmarkStart w:id="13" w:name="_Toc86077847"/>
      <w:bookmarkStart w:id="14" w:name="_Toc86235925"/>
      <w:bookmarkStart w:id="15" w:name="_Toc34911390"/>
      <w:r w:rsidRPr="00380BDB">
        <w:rPr>
          <w:rFonts w:ascii="Palatino Linotype" w:hAnsi="Palatino Linotype"/>
          <w:b/>
          <w:color w:val="auto"/>
          <w:sz w:val="24"/>
        </w:rPr>
        <w:t>Fuente Obligacional.</w:t>
      </w:r>
      <w:bookmarkEnd w:id="9"/>
      <w:bookmarkEnd w:id="10"/>
      <w:bookmarkEnd w:id="11"/>
      <w:bookmarkEnd w:id="12"/>
      <w:bookmarkEnd w:id="13"/>
      <w:bookmarkEnd w:id="14"/>
      <w:r w:rsidRPr="00380BDB">
        <w:rPr>
          <w:rFonts w:ascii="Palatino Linotype" w:hAnsi="Palatino Linotype"/>
          <w:b/>
          <w:color w:val="auto"/>
          <w:sz w:val="24"/>
        </w:rPr>
        <w:t xml:space="preserve"> </w:t>
      </w:r>
    </w:p>
    <w:p w14:paraId="75ACDE42" w14:textId="77777777" w:rsidR="005E0B56" w:rsidRPr="00380BDB" w:rsidRDefault="005E0B56" w:rsidP="005E0B56">
      <w:pPr>
        <w:rPr>
          <w:lang w:eastAsia="en-US"/>
        </w:rPr>
      </w:pPr>
    </w:p>
    <w:p w14:paraId="03D7925A" w14:textId="77777777" w:rsidR="005E0B56" w:rsidRPr="00380BDB" w:rsidRDefault="005E0B56" w:rsidP="005E0B56">
      <w:pPr>
        <w:pStyle w:val="Ttulo3"/>
        <w:numPr>
          <w:ilvl w:val="1"/>
          <w:numId w:val="2"/>
        </w:numPr>
        <w:rPr>
          <w:rFonts w:ascii="Palatino Linotype" w:hAnsi="Palatino Linotype"/>
          <w:b/>
          <w:color w:val="auto"/>
        </w:rPr>
      </w:pPr>
      <w:bookmarkStart w:id="16" w:name="_Toc23418069"/>
      <w:bookmarkStart w:id="17" w:name="_Toc25251826"/>
      <w:bookmarkStart w:id="18" w:name="_Toc29923835"/>
      <w:bookmarkStart w:id="19" w:name="_Toc34936176"/>
      <w:bookmarkStart w:id="20" w:name="_Toc86077848"/>
      <w:bookmarkStart w:id="21" w:name="_Toc86235926"/>
      <w:r w:rsidRPr="00380BDB">
        <w:rPr>
          <w:rFonts w:ascii="Palatino Linotype" w:hAnsi="Palatino Linotype"/>
          <w:b/>
          <w:color w:val="auto"/>
        </w:rPr>
        <w:t>De la obligación de transparencia.</w:t>
      </w:r>
      <w:bookmarkEnd w:id="16"/>
      <w:bookmarkEnd w:id="17"/>
      <w:bookmarkEnd w:id="18"/>
      <w:bookmarkEnd w:id="19"/>
      <w:bookmarkEnd w:id="20"/>
      <w:bookmarkEnd w:id="21"/>
    </w:p>
    <w:p w14:paraId="00162A4A" w14:textId="77777777" w:rsidR="005E0B56" w:rsidRPr="00671495" w:rsidRDefault="005E0B56" w:rsidP="005E0B56">
      <w:pPr>
        <w:rPr>
          <w:sz w:val="22"/>
        </w:rPr>
      </w:pPr>
    </w:p>
    <w:p w14:paraId="40BF049A" w14:textId="77777777" w:rsidR="005E0B56" w:rsidRPr="00671495" w:rsidRDefault="005E0B56" w:rsidP="005E0B56">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43D2EBA"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5A3669B7" w14:textId="77777777" w:rsidR="005E0B56" w:rsidRPr="00671495" w:rsidRDefault="005E0B56" w:rsidP="005E0B56">
      <w:pPr>
        <w:spacing w:line="360" w:lineRule="auto"/>
        <w:ind w:left="567" w:right="567"/>
        <w:jc w:val="both"/>
        <w:rPr>
          <w:rFonts w:ascii="Palatino Linotype" w:hAnsi="Palatino Linotype" w:cs="Arial"/>
          <w:i/>
          <w:sz w:val="22"/>
        </w:rPr>
      </w:pPr>
    </w:p>
    <w:p w14:paraId="74826AA4"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4A421BA0" w14:textId="77777777" w:rsidR="005E0B56" w:rsidRPr="00671495" w:rsidRDefault="005E0B56" w:rsidP="005E0B56">
      <w:pPr>
        <w:spacing w:line="360" w:lineRule="auto"/>
        <w:ind w:left="567" w:right="567"/>
        <w:jc w:val="both"/>
        <w:rPr>
          <w:rFonts w:ascii="Palatino Linotype" w:hAnsi="Palatino Linotype" w:cs="Arial"/>
          <w:i/>
          <w:sz w:val="22"/>
        </w:rPr>
      </w:pPr>
    </w:p>
    <w:p w14:paraId="652AA150"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2F7B7240" w14:textId="77777777" w:rsidR="005E0B56" w:rsidRPr="00671495" w:rsidRDefault="005E0B56" w:rsidP="005E0B56">
      <w:pPr>
        <w:spacing w:line="360" w:lineRule="auto"/>
        <w:ind w:left="567" w:right="567"/>
        <w:jc w:val="both"/>
        <w:rPr>
          <w:rFonts w:ascii="Palatino Linotype" w:hAnsi="Palatino Linotype" w:cs="Arial"/>
          <w:i/>
          <w:sz w:val="22"/>
        </w:rPr>
      </w:pPr>
    </w:p>
    <w:p w14:paraId="2DDAC237"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3C597DF7" w14:textId="77777777" w:rsidR="005E0B56" w:rsidRPr="00671495" w:rsidRDefault="005E0B56" w:rsidP="005E0B56">
      <w:pPr>
        <w:spacing w:line="360" w:lineRule="auto"/>
        <w:ind w:left="567" w:right="567"/>
        <w:jc w:val="both"/>
        <w:rPr>
          <w:rFonts w:ascii="Palatino Linotype" w:hAnsi="Palatino Linotype" w:cs="Arial"/>
          <w:b/>
          <w:i/>
          <w:sz w:val="22"/>
        </w:rPr>
      </w:pPr>
    </w:p>
    <w:p w14:paraId="5042393B"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Los 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179A77BC" w14:textId="77777777" w:rsidR="005E0B56" w:rsidRPr="00671495" w:rsidRDefault="005E0B56" w:rsidP="005E0B56">
      <w:pPr>
        <w:spacing w:line="360" w:lineRule="auto"/>
        <w:ind w:left="567" w:right="567"/>
        <w:jc w:val="both"/>
        <w:rPr>
          <w:rFonts w:ascii="Palatino Linotype" w:hAnsi="Palatino Linotype" w:cs="Arial"/>
          <w:i/>
          <w:sz w:val="22"/>
        </w:rPr>
      </w:pPr>
    </w:p>
    <w:p w14:paraId="1BF01EF9"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65E0E85B" w14:textId="77777777" w:rsidR="005E0B56" w:rsidRPr="00671495" w:rsidRDefault="005E0B56" w:rsidP="005E0B56">
      <w:pPr>
        <w:spacing w:line="360" w:lineRule="auto"/>
        <w:ind w:left="567" w:right="567"/>
        <w:jc w:val="both"/>
        <w:rPr>
          <w:rFonts w:ascii="Palatino Linotype" w:hAnsi="Palatino Linotype" w:cs="Arial"/>
          <w:i/>
          <w:sz w:val="22"/>
        </w:rPr>
      </w:pPr>
    </w:p>
    <w:p w14:paraId="003EEA37"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08ABFCD3" w14:textId="77777777" w:rsidR="005E0B56" w:rsidRPr="00671495" w:rsidRDefault="005E0B56" w:rsidP="005E0B56">
      <w:pPr>
        <w:spacing w:line="360" w:lineRule="auto"/>
        <w:ind w:left="567" w:right="567"/>
        <w:jc w:val="both"/>
        <w:rPr>
          <w:rFonts w:ascii="Palatino Linotype" w:hAnsi="Palatino Linotype" w:cs="Arial"/>
          <w:i/>
          <w:sz w:val="22"/>
        </w:rPr>
      </w:pPr>
    </w:p>
    <w:p w14:paraId="490EF103"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D40D772" w14:textId="77777777" w:rsidR="005E0B56" w:rsidRPr="00671495" w:rsidRDefault="005E0B56" w:rsidP="005E0B56">
      <w:pPr>
        <w:spacing w:line="360" w:lineRule="auto"/>
        <w:ind w:left="567" w:right="567"/>
        <w:jc w:val="both"/>
        <w:rPr>
          <w:rFonts w:ascii="Palatino Linotype" w:hAnsi="Palatino Linotype" w:cs="Arial"/>
          <w:b/>
          <w:i/>
          <w:sz w:val="22"/>
        </w:rPr>
      </w:pPr>
    </w:p>
    <w:p w14:paraId="1B961964"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858D729" w14:textId="77777777" w:rsidR="005E0B56" w:rsidRPr="00671495" w:rsidRDefault="005E0B56" w:rsidP="005E0B56">
      <w:pPr>
        <w:spacing w:line="360" w:lineRule="auto"/>
        <w:ind w:left="567" w:right="567"/>
        <w:jc w:val="both"/>
        <w:rPr>
          <w:rFonts w:ascii="Palatino Linotype" w:hAnsi="Palatino Linotype" w:cs="Arial"/>
          <w:i/>
          <w:sz w:val="22"/>
        </w:rPr>
      </w:pPr>
    </w:p>
    <w:p w14:paraId="334324D3"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1E87FD4" w14:textId="77777777" w:rsidR="005E0B56" w:rsidRPr="00671495" w:rsidRDefault="005E0B56" w:rsidP="005E0B56">
      <w:pPr>
        <w:spacing w:line="360" w:lineRule="auto"/>
        <w:ind w:left="567" w:right="567"/>
        <w:jc w:val="both"/>
        <w:rPr>
          <w:rFonts w:ascii="Palatino Linotype" w:hAnsi="Palatino Linotype" w:cs="Arial"/>
          <w:i/>
          <w:sz w:val="22"/>
        </w:rPr>
      </w:pPr>
    </w:p>
    <w:p w14:paraId="3F7CC54D"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30A9FA48" w14:textId="77777777" w:rsidR="005E0B56" w:rsidRPr="00671495" w:rsidRDefault="005E0B56" w:rsidP="005E0B56">
      <w:pPr>
        <w:spacing w:line="360" w:lineRule="auto"/>
        <w:ind w:left="567" w:right="567"/>
        <w:jc w:val="both"/>
        <w:rPr>
          <w:rFonts w:ascii="Palatino Linotype" w:hAnsi="Palatino Linotype" w:cs="Arial"/>
          <w:i/>
          <w:sz w:val="22"/>
        </w:rPr>
      </w:pPr>
    </w:p>
    <w:p w14:paraId="03F377CC"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E478635"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8F46278"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15056DBE" w14:textId="77777777" w:rsidR="005E0B56"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0F263496" w14:textId="77777777" w:rsidR="00547ADC" w:rsidRPr="00671495" w:rsidRDefault="00547ADC" w:rsidP="005E0B56">
      <w:pPr>
        <w:spacing w:line="360" w:lineRule="auto"/>
        <w:ind w:left="567" w:right="567"/>
        <w:jc w:val="both"/>
        <w:rPr>
          <w:rFonts w:ascii="Palatino Linotype" w:hAnsi="Palatino Linotype"/>
          <w:i/>
          <w:sz w:val="22"/>
        </w:rPr>
      </w:pPr>
    </w:p>
    <w:p w14:paraId="69E5C1DA" w14:textId="77777777" w:rsidR="005E0B56" w:rsidRPr="00671495"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2E4AC27B" w14:textId="77777777" w:rsidR="005E0B56" w:rsidRPr="00671495" w:rsidRDefault="005E0B56" w:rsidP="005E0B56">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lastRenderedPageBreak/>
        <w:t xml:space="preserve">“Artículo 5. … </w:t>
      </w:r>
    </w:p>
    <w:p w14:paraId="0513ACF2"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5EDE8599"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B81594" w14:textId="77777777" w:rsidR="005E0B56" w:rsidRPr="00671495" w:rsidRDefault="005E0B56" w:rsidP="005E0B56">
      <w:pPr>
        <w:spacing w:line="360" w:lineRule="auto"/>
        <w:ind w:left="567" w:right="567"/>
        <w:jc w:val="both"/>
        <w:rPr>
          <w:rFonts w:ascii="Palatino Linotype" w:hAnsi="Palatino Linotype"/>
          <w:i/>
          <w:sz w:val="22"/>
        </w:rPr>
      </w:pPr>
    </w:p>
    <w:p w14:paraId="46207DD2"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787BDD3" w14:textId="77777777" w:rsidR="005E0B56" w:rsidRPr="00671495" w:rsidRDefault="005E0B56" w:rsidP="005E0B56">
      <w:pPr>
        <w:spacing w:line="360" w:lineRule="auto"/>
        <w:ind w:left="567" w:right="567"/>
        <w:jc w:val="both"/>
        <w:rPr>
          <w:rFonts w:ascii="Palatino Linotype" w:hAnsi="Palatino Linotype"/>
          <w:b/>
          <w:i/>
          <w:sz w:val="22"/>
        </w:rPr>
      </w:pPr>
    </w:p>
    <w:p w14:paraId="5D8A2E01"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13BADA" w14:textId="77777777" w:rsidR="005E0B56" w:rsidRPr="00671495" w:rsidRDefault="005E0B56" w:rsidP="005E0B56">
      <w:pPr>
        <w:spacing w:line="360" w:lineRule="auto"/>
        <w:ind w:left="567" w:right="567"/>
        <w:jc w:val="both"/>
        <w:rPr>
          <w:rFonts w:ascii="Palatino Linotype" w:hAnsi="Palatino Linotype"/>
          <w:i/>
          <w:sz w:val="22"/>
        </w:rPr>
      </w:pPr>
    </w:p>
    <w:p w14:paraId="24F3F28C"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233FD730"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22860759"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9940CE8"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64B18A"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047F68A"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0693716" w14:textId="77777777" w:rsidR="005E0B56" w:rsidRPr="00671495" w:rsidRDefault="005E0B56" w:rsidP="005E0B56">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68252918" w14:textId="77777777" w:rsidR="005E0B56" w:rsidRPr="00671495"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74A65D66" w14:textId="77777777" w:rsidR="005E0B56" w:rsidRPr="00671495" w:rsidRDefault="005E0B56" w:rsidP="005E0B56">
      <w:pPr>
        <w:spacing w:line="360" w:lineRule="auto"/>
        <w:jc w:val="both"/>
        <w:rPr>
          <w:rFonts w:ascii="Palatino Linotype" w:hAnsi="Palatino Linotype" w:cs="Arial"/>
        </w:rPr>
      </w:pPr>
    </w:p>
    <w:p w14:paraId="2D5A1089"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7339229F"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71F21935" w14:textId="77777777" w:rsidR="005E0B56" w:rsidRPr="00671495" w:rsidRDefault="005E0B56" w:rsidP="005E0B56">
      <w:pPr>
        <w:spacing w:line="360" w:lineRule="auto"/>
        <w:ind w:left="567" w:right="567"/>
        <w:jc w:val="both"/>
        <w:rPr>
          <w:rFonts w:ascii="Palatino Linotype" w:hAnsi="Palatino Linotype" w:cs="Arial"/>
          <w:i/>
          <w:sz w:val="22"/>
        </w:rPr>
      </w:pPr>
    </w:p>
    <w:p w14:paraId="6FBDF25F" w14:textId="77777777" w:rsidR="005E0B56" w:rsidRPr="00671495" w:rsidRDefault="005E0B56" w:rsidP="005E0B56">
      <w:pPr>
        <w:spacing w:line="360" w:lineRule="auto"/>
        <w:ind w:left="567" w:right="567"/>
        <w:jc w:val="both"/>
        <w:rPr>
          <w:rFonts w:ascii="Palatino Linotype" w:hAnsi="Palatino Linotype" w:cs="Arial"/>
          <w:b/>
          <w:i/>
          <w:sz w:val="22"/>
          <w:szCs w:val="22"/>
        </w:rPr>
      </w:pPr>
      <w:r w:rsidRPr="00671495">
        <w:rPr>
          <w:rFonts w:ascii="Palatino Linotype" w:hAnsi="Palatino Linotype" w:cs="Arial"/>
          <w:b/>
          <w:i/>
          <w:sz w:val="22"/>
          <w:szCs w:val="22"/>
        </w:rPr>
        <w:t xml:space="preserve">IV. </w:t>
      </w:r>
      <w:r w:rsidRPr="0067149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65082AE8"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56304FD" w14:textId="77777777" w:rsidR="005E0B56" w:rsidRPr="00671495" w:rsidRDefault="005E0B56" w:rsidP="005E0B56">
      <w:pPr>
        <w:spacing w:line="360" w:lineRule="auto"/>
        <w:ind w:left="567" w:right="567"/>
        <w:jc w:val="both"/>
        <w:rPr>
          <w:rFonts w:ascii="Palatino Linotype" w:hAnsi="Palatino Linotype"/>
          <w:i/>
          <w:sz w:val="22"/>
        </w:rPr>
      </w:pPr>
      <w:r w:rsidRPr="0067149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2C3174E" w14:textId="77777777" w:rsidR="005E0B56" w:rsidRPr="00671495" w:rsidRDefault="005E0B56" w:rsidP="005E0B56">
      <w:pPr>
        <w:spacing w:line="360" w:lineRule="auto"/>
        <w:ind w:left="567" w:right="567"/>
        <w:jc w:val="both"/>
        <w:rPr>
          <w:rFonts w:ascii="Palatino Linotype" w:hAnsi="Palatino Linotype" w:cs="Arial"/>
          <w:b/>
          <w:i/>
          <w:sz w:val="22"/>
        </w:rPr>
      </w:pPr>
    </w:p>
    <w:p w14:paraId="5161EA6B" w14:textId="77777777" w:rsidR="005E0B56" w:rsidRPr="00671495" w:rsidRDefault="005E0B56" w:rsidP="005E0B56">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06B7AA8E" w14:textId="77777777" w:rsidR="005E0B56" w:rsidRPr="00671495" w:rsidRDefault="005E0B56" w:rsidP="005E0B56">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4F16CBAC" w14:textId="77777777" w:rsidR="005E0B56" w:rsidRPr="00671495" w:rsidRDefault="005E0B56" w:rsidP="005E0B56">
      <w:pPr>
        <w:spacing w:line="360" w:lineRule="auto"/>
        <w:jc w:val="both"/>
        <w:rPr>
          <w:rFonts w:ascii="Palatino Linotype" w:hAnsi="Palatino Linotype" w:cs="Arial"/>
        </w:rPr>
      </w:pPr>
    </w:p>
    <w:p w14:paraId="38906744" w14:textId="77777777" w:rsidR="005E0B56" w:rsidRPr="00671495"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E156D16" w14:textId="6E6BD67E" w:rsidR="005E0B56"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lastRenderedPageBreak/>
        <w:t>Por lo anterior, es de referir que,</w:t>
      </w:r>
      <w:r w:rsidRPr="00671495">
        <w:rPr>
          <w:rFonts w:ascii="Palatino Linotype" w:hAnsi="Palatino Linotype" w:cs="Arial"/>
          <w:b/>
          <w:sz w:val="24"/>
        </w:rPr>
        <w:t xml:space="preserve"> el </w:t>
      </w:r>
      <w:r w:rsidR="00597563" w:rsidRPr="00597563">
        <w:rPr>
          <w:rFonts w:ascii="Palatino Linotype" w:hAnsi="Palatino Linotype"/>
          <w:b/>
          <w:bCs/>
          <w:sz w:val="24"/>
        </w:rPr>
        <w:t>Sistema Municipal Para el Desarrollo Integral de la Familia de Valle de Chalco Solidaridad</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364A13A2" w14:textId="77777777" w:rsidR="005E0B56" w:rsidRPr="005E0B56" w:rsidRDefault="005E0B56" w:rsidP="005E0B56">
      <w:pPr>
        <w:pStyle w:val="Prrafodelista"/>
        <w:rPr>
          <w:rFonts w:ascii="Palatino Linotype" w:hAnsi="Palatino Linotype" w:cs="Arial"/>
          <w:sz w:val="24"/>
        </w:rPr>
      </w:pPr>
    </w:p>
    <w:p w14:paraId="6E236E0D" w14:textId="74B0DFFF" w:rsidR="005E0B56" w:rsidRPr="005E0B56" w:rsidRDefault="005E0B56" w:rsidP="00787F78">
      <w:pPr>
        <w:pStyle w:val="Ttulo2"/>
        <w:numPr>
          <w:ilvl w:val="0"/>
          <w:numId w:val="35"/>
        </w:numPr>
        <w:rPr>
          <w:rFonts w:ascii="Palatino Linotype" w:hAnsi="Palatino Linotype"/>
          <w:b/>
        </w:rPr>
      </w:pPr>
      <w:bookmarkStart w:id="22" w:name="_Toc85722942"/>
      <w:bookmarkStart w:id="23" w:name="_Toc86235927"/>
      <w:r w:rsidRPr="005E0B56">
        <w:rPr>
          <w:rStyle w:val="Ttulo2Car"/>
          <w:rFonts w:ascii="Palatino Linotype" w:hAnsi="Palatino Linotype"/>
          <w:b/>
          <w:color w:val="auto"/>
          <w:sz w:val="24"/>
        </w:rPr>
        <w:t>El derecho de petición y de acceso a la información</w:t>
      </w:r>
      <w:r w:rsidRPr="005E0B56">
        <w:rPr>
          <w:rFonts w:ascii="Palatino Linotype" w:hAnsi="Palatino Linotype"/>
          <w:b/>
          <w:color w:val="auto"/>
          <w:sz w:val="24"/>
        </w:rPr>
        <w:t>.</w:t>
      </w:r>
      <w:bookmarkEnd w:id="22"/>
      <w:bookmarkEnd w:id="23"/>
      <w:r w:rsidRPr="005E0B56">
        <w:rPr>
          <w:rFonts w:ascii="Palatino Linotype" w:hAnsi="Palatino Linotype"/>
          <w:b/>
          <w:i/>
          <w:color w:val="auto"/>
          <w:sz w:val="24"/>
        </w:rPr>
        <w:t xml:space="preserve"> </w:t>
      </w:r>
    </w:p>
    <w:p w14:paraId="6041CE2D" w14:textId="77777777" w:rsidR="005E0B56" w:rsidRDefault="005E0B56" w:rsidP="005E0B56">
      <w:pPr>
        <w:spacing w:line="360" w:lineRule="auto"/>
        <w:ind w:right="49"/>
        <w:contextualSpacing/>
        <w:jc w:val="both"/>
        <w:rPr>
          <w:rFonts w:ascii="Palatino Linotype" w:eastAsia="MS Mincho" w:hAnsi="Palatino Linotype" w:cstheme="majorBidi"/>
          <w:sz w:val="24"/>
          <w:szCs w:val="24"/>
        </w:rPr>
      </w:pPr>
    </w:p>
    <w:p w14:paraId="2009F8D3" w14:textId="77777777" w:rsidR="00E915CF" w:rsidRDefault="00E915CF"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No debe pasar desapercibido la forma en la que el Recurrente realizó la solicitud, a efecto de verificar si se trata de un derecho de acceso a la información pública, o bien, de un derecho diverso, como lo es un derecho de petición.</w:t>
      </w:r>
    </w:p>
    <w:p w14:paraId="65DE60AA" w14:textId="77777777" w:rsidR="009F5307" w:rsidRDefault="009F5307" w:rsidP="009F5307">
      <w:pPr>
        <w:spacing w:line="360" w:lineRule="auto"/>
        <w:ind w:right="49"/>
        <w:contextualSpacing/>
        <w:jc w:val="both"/>
        <w:rPr>
          <w:rFonts w:ascii="Palatino Linotype" w:eastAsia="MS Mincho" w:hAnsi="Palatino Linotype" w:cstheme="majorBidi"/>
          <w:sz w:val="24"/>
          <w:szCs w:val="24"/>
        </w:rPr>
      </w:pPr>
    </w:p>
    <w:p w14:paraId="0FE7EBA0"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Por lo que respecta a la definición de derecho de petición, el Maestro Ignacio Burgoa Orihuela refiere: </w:t>
      </w:r>
      <w:r w:rsidRPr="001E3212">
        <w:rPr>
          <w:rFonts w:ascii="Palatino Linotype" w:eastAsia="MS Mincho" w:hAnsi="Palatino Linotype" w:cstheme="majorBidi"/>
          <w:sz w:val="22"/>
          <w:szCs w:val="24"/>
        </w:rPr>
        <w:t>“…</w:t>
      </w:r>
      <w:r w:rsidRPr="001E3212">
        <w:rPr>
          <w:rFonts w:ascii="Palatino Linotype" w:eastAsia="MS Mincho" w:hAnsi="Palatino Linotype" w:cstheme="majorBidi"/>
          <w:i/>
          <w:sz w:val="22"/>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E3212">
        <w:rPr>
          <w:rStyle w:val="Refdenotaalpie"/>
          <w:rFonts w:ascii="Palatino Linotype" w:eastAsia="MS Mincho" w:hAnsi="Palatino Linotype" w:cstheme="majorBidi"/>
          <w:i/>
          <w:sz w:val="22"/>
          <w:szCs w:val="24"/>
        </w:rPr>
        <w:footnoteReference w:id="1"/>
      </w:r>
      <w:r w:rsidRPr="001E3212">
        <w:rPr>
          <w:rFonts w:ascii="Palatino Linotype" w:eastAsia="MS Mincho" w:hAnsi="Palatino Linotype" w:cstheme="majorBidi"/>
          <w:i/>
          <w:sz w:val="22"/>
          <w:szCs w:val="24"/>
        </w:rPr>
        <w:t xml:space="preserve">  “(Sic)</w:t>
      </w:r>
    </w:p>
    <w:p w14:paraId="4F471CDC" w14:textId="77777777" w:rsidR="005E0B56" w:rsidRPr="00A40364" w:rsidRDefault="005E0B56" w:rsidP="005E0B56">
      <w:pPr>
        <w:pStyle w:val="Prrafodelista"/>
        <w:rPr>
          <w:rFonts w:ascii="Palatino Linotype" w:eastAsia="MS Mincho" w:hAnsi="Palatino Linotype" w:cstheme="majorBidi"/>
          <w:sz w:val="24"/>
        </w:rPr>
      </w:pPr>
    </w:p>
    <w:p w14:paraId="762B058D"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Por su parte, David Cienfuegos Salgado, concibe al derecho de petición como </w:t>
      </w:r>
      <w:r w:rsidRPr="001E3212">
        <w:rPr>
          <w:rFonts w:ascii="Palatino Linotype" w:eastAsia="MS Mincho" w:hAnsi="Palatino Linotype" w:cstheme="majorBidi"/>
          <w:i/>
          <w:sz w:val="22"/>
          <w:szCs w:val="24"/>
        </w:rPr>
        <w:t xml:space="preserve">“el derecho de toda persona a ser escuchado por quienes ejercen el poder público. </w:t>
      </w:r>
      <w:r w:rsidRPr="001E3212">
        <w:rPr>
          <w:rStyle w:val="Refdenotaalpie"/>
          <w:rFonts w:ascii="Palatino Linotype" w:eastAsia="MS Mincho" w:hAnsi="Palatino Linotype" w:cstheme="majorBidi"/>
          <w:i/>
          <w:sz w:val="22"/>
          <w:szCs w:val="24"/>
        </w:rPr>
        <w:footnoteReference w:id="2"/>
      </w:r>
      <w:r w:rsidRPr="001E3212">
        <w:rPr>
          <w:rFonts w:ascii="Palatino Linotype" w:eastAsia="MS Mincho" w:hAnsi="Palatino Linotype" w:cstheme="majorBidi"/>
          <w:i/>
          <w:sz w:val="22"/>
          <w:szCs w:val="24"/>
        </w:rPr>
        <w:t>” (Sic)</w:t>
      </w:r>
      <w:r w:rsidRPr="001E3212">
        <w:rPr>
          <w:rFonts w:ascii="Palatino Linotype" w:eastAsia="MS Mincho" w:hAnsi="Palatino Linotype" w:cstheme="majorBidi"/>
          <w:sz w:val="22"/>
          <w:szCs w:val="24"/>
        </w:rPr>
        <w:t xml:space="preserve"> </w:t>
      </w:r>
    </w:p>
    <w:p w14:paraId="6B80E60F" w14:textId="77777777" w:rsidR="005E0B56" w:rsidRPr="00A40364" w:rsidRDefault="005E0B56" w:rsidP="005E0B56">
      <w:pPr>
        <w:pStyle w:val="Prrafodelista"/>
        <w:rPr>
          <w:rFonts w:ascii="Palatino Linotype" w:eastAsia="MS Mincho" w:hAnsi="Palatino Linotype" w:cstheme="majorBidi"/>
          <w:sz w:val="24"/>
        </w:rPr>
      </w:pPr>
    </w:p>
    <w:p w14:paraId="4B06C6C2" w14:textId="77777777" w:rsidR="005E0B56" w:rsidRPr="001E3212"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2"/>
          <w:szCs w:val="24"/>
        </w:rPr>
      </w:pPr>
      <w:r w:rsidRPr="00A40364">
        <w:rPr>
          <w:rFonts w:ascii="Palatino Linotype" w:eastAsia="MS Mincho" w:hAnsi="Palatino Linotype" w:cstheme="majorBidi"/>
          <w:sz w:val="24"/>
          <w:szCs w:val="24"/>
        </w:rPr>
        <w:t xml:space="preserve">Luego entonces, para diferenciar el derecho de petición al derecho de acceso a la información, resulta conducente señalar que José Guadalupe Robles, conceptualiza </w:t>
      </w:r>
      <w:r w:rsidRPr="00A40364">
        <w:rPr>
          <w:rFonts w:ascii="Palatino Linotype" w:eastAsia="MS Mincho" w:hAnsi="Palatino Linotype" w:cstheme="majorBidi"/>
          <w:sz w:val="24"/>
          <w:szCs w:val="24"/>
        </w:rPr>
        <w:lastRenderedPageBreak/>
        <w:t xml:space="preserve">el derecho a la información como </w:t>
      </w:r>
      <w:r w:rsidRPr="001E3212">
        <w:rPr>
          <w:rFonts w:ascii="Palatino Linotype" w:eastAsia="MS Mincho" w:hAnsi="Palatino Linotype" w:cstheme="majorBidi"/>
          <w:i/>
          <w:sz w:val="22"/>
          <w:szCs w:val="24"/>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1E3212">
        <w:rPr>
          <w:rStyle w:val="Refdenotaalpie"/>
          <w:rFonts w:ascii="Palatino Linotype" w:eastAsia="MS Mincho" w:hAnsi="Palatino Linotype" w:cstheme="majorBidi"/>
          <w:i/>
          <w:sz w:val="22"/>
          <w:szCs w:val="24"/>
        </w:rPr>
        <w:footnoteReference w:id="3"/>
      </w:r>
      <w:r w:rsidRPr="001E3212">
        <w:rPr>
          <w:rFonts w:ascii="Palatino Linotype" w:eastAsia="MS Mincho" w:hAnsi="Palatino Linotype" w:cstheme="majorBidi"/>
          <w:i/>
          <w:sz w:val="22"/>
          <w:szCs w:val="24"/>
        </w:rPr>
        <w:t>“(Sic)</w:t>
      </w:r>
    </w:p>
    <w:p w14:paraId="5E03DD50" w14:textId="77777777" w:rsidR="005E0B56" w:rsidRPr="00A40364" w:rsidRDefault="005E0B56" w:rsidP="005E0B56">
      <w:pPr>
        <w:pStyle w:val="Prrafodelista"/>
        <w:rPr>
          <w:rFonts w:ascii="Palatino Linotype" w:eastAsia="MS Mincho" w:hAnsi="Palatino Linotype" w:cstheme="majorBidi"/>
          <w:sz w:val="24"/>
        </w:rPr>
      </w:pPr>
    </w:p>
    <w:p w14:paraId="554E21EC"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1E3212">
        <w:rPr>
          <w:rFonts w:ascii="Palatino Linotype" w:eastAsia="MS Mincho" w:hAnsi="Palatino Linotype" w:cstheme="majorBidi"/>
          <w:i/>
          <w:sz w:val="22"/>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E3212">
        <w:rPr>
          <w:rStyle w:val="Refdenotaalpie"/>
          <w:rFonts w:ascii="Palatino Linotype" w:eastAsia="MS Mincho" w:hAnsi="Palatino Linotype" w:cstheme="majorBidi"/>
          <w:i/>
          <w:sz w:val="22"/>
          <w:szCs w:val="24"/>
        </w:rPr>
        <w:footnoteReference w:id="4"/>
      </w:r>
      <w:r w:rsidRPr="001E3212">
        <w:rPr>
          <w:rFonts w:ascii="Palatino Linotype" w:eastAsia="MS Mincho" w:hAnsi="Palatino Linotype" w:cstheme="majorBidi"/>
          <w:i/>
          <w:sz w:val="22"/>
          <w:szCs w:val="24"/>
        </w:rPr>
        <w:t xml:space="preserve">” (Sic)  </w:t>
      </w:r>
    </w:p>
    <w:p w14:paraId="31784F19" w14:textId="77777777" w:rsidR="005E0B56" w:rsidRPr="00A40364" w:rsidRDefault="005E0B56" w:rsidP="005E0B56">
      <w:pPr>
        <w:spacing w:line="360" w:lineRule="auto"/>
        <w:ind w:left="360" w:right="49"/>
        <w:contextualSpacing/>
        <w:jc w:val="both"/>
        <w:rPr>
          <w:rFonts w:ascii="Palatino Linotype" w:eastAsia="MS Mincho" w:hAnsi="Palatino Linotype" w:cstheme="majorBidi"/>
          <w:sz w:val="24"/>
          <w:szCs w:val="24"/>
        </w:rPr>
      </w:pPr>
    </w:p>
    <w:p w14:paraId="6F7F4F4A" w14:textId="77777777" w:rsidR="005E0B56" w:rsidRPr="00A40364" w:rsidRDefault="005E0B56" w:rsidP="005E0B5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De lo anterior, se puede concluir que la distinción entre el derecho de petición y el derecho de acceso a la información estriba, principalmente, en que en el primero de ellos la pretensión del peticionario consiste generalmente </w:t>
      </w:r>
      <w:r w:rsidRPr="00A40364">
        <w:rPr>
          <w:rFonts w:ascii="Palatino Linotype" w:eastAsia="MS Mincho" w:hAnsi="Palatino Linotype" w:cstheme="majorBidi"/>
          <w:b/>
          <w:sz w:val="24"/>
          <w:szCs w:val="24"/>
        </w:rPr>
        <w:t>en obligar a la autoridad responsable a que actúe en el sentido de contestar lo solicitado;</w:t>
      </w:r>
      <w:r w:rsidRPr="00A40364">
        <w:rPr>
          <w:rFonts w:ascii="Palatino Linotype" w:eastAsia="MS Mincho" w:hAnsi="Palatino Linotype" w:cstheme="majorBidi"/>
          <w:sz w:val="24"/>
          <w:szCs w:val="24"/>
        </w:rPr>
        <w:t xml:space="preserve"> mientras que en el segundo supuesto, la petición se encamina primordialmente a permitir el acceso a datos, registros y todo tipo de información pública que conste en documentos, sea generada o se encuentre en posesión de la autoridad.</w:t>
      </w:r>
    </w:p>
    <w:p w14:paraId="0211C897" w14:textId="77777777" w:rsidR="005E0B56" w:rsidRPr="00A40364" w:rsidRDefault="005E0B56" w:rsidP="005E0B56">
      <w:pPr>
        <w:spacing w:line="360" w:lineRule="auto"/>
        <w:ind w:right="49"/>
        <w:contextualSpacing/>
        <w:jc w:val="both"/>
        <w:rPr>
          <w:rFonts w:ascii="Palatino Linotype" w:eastAsia="MS Mincho" w:hAnsi="Palatino Linotype" w:cstheme="majorBidi"/>
          <w:sz w:val="24"/>
          <w:szCs w:val="24"/>
        </w:rPr>
      </w:pPr>
    </w:p>
    <w:p w14:paraId="7F490252" w14:textId="77777777" w:rsidR="005E0B56" w:rsidRPr="00A40364" w:rsidRDefault="005E0B56" w:rsidP="005E0B56">
      <w:pPr>
        <w:pStyle w:val="Prrafodelista"/>
        <w:numPr>
          <w:ilvl w:val="0"/>
          <w:numId w:val="2"/>
        </w:numPr>
        <w:spacing w:line="360" w:lineRule="auto"/>
        <w:ind w:left="0" w:firstLine="0"/>
        <w:jc w:val="both"/>
        <w:rPr>
          <w:rFonts w:ascii="Palatino Linotype" w:hAnsi="Palatino Linotype"/>
          <w:sz w:val="24"/>
          <w:lang w:val="es-ES"/>
        </w:rPr>
      </w:pPr>
      <w:r w:rsidRPr="00A40364">
        <w:rPr>
          <w:rFonts w:ascii="Palatino Linotype" w:hAnsi="Palatino Linotype"/>
          <w:sz w:val="24"/>
          <w:lang w:val="es-ES"/>
        </w:rPr>
        <w:t xml:space="preserve">De la simple lectura a la solicitud, se advierte que los requerimientos del particular pudieran encuadrar en un ejercicio del Derecho de Petición, dado que, para atender literalmente la solicitud, es necesario dar una contestación al cuestionamiento. Por tal motivo es necesario precisar que, de acuerdo a los artículos 4 y 12 de la Ley de Transparencia y Acceso a la Información Pública del Estado de México y Municipios, los Sujetos Obligados se encuentran constreñidos a proporcionar la información que obre en sus archivos y en el estado en el que se encuentran, </w:t>
      </w:r>
      <w:r w:rsidRPr="00A40364">
        <w:rPr>
          <w:rFonts w:ascii="Palatino Linotype" w:hAnsi="Palatino Linotype"/>
          <w:b/>
          <w:sz w:val="24"/>
          <w:lang w:val="es-ES"/>
        </w:rPr>
        <w:t>no tienen la obligación de procesarla, resumirla o efectuar cálculos a fin de dar atención a las solicitudes que formulen los particulares.</w:t>
      </w:r>
    </w:p>
    <w:p w14:paraId="2EEB1035" w14:textId="77777777" w:rsidR="005E0B56" w:rsidRPr="00A40364" w:rsidRDefault="005E0B56" w:rsidP="005E0B56">
      <w:pPr>
        <w:pStyle w:val="Prrafodelista"/>
        <w:spacing w:line="360" w:lineRule="auto"/>
        <w:ind w:left="0"/>
        <w:jc w:val="both"/>
        <w:rPr>
          <w:rFonts w:ascii="Palatino Linotype" w:hAnsi="Palatino Linotype"/>
          <w:sz w:val="24"/>
          <w:lang w:val="es-ES"/>
        </w:rPr>
      </w:pPr>
    </w:p>
    <w:p w14:paraId="0AD99AF2" w14:textId="77777777" w:rsidR="005E0B56" w:rsidRPr="00A40364" w:rsidRDefault="005E0B56" w:rsidP="005E0B5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0364">
        <w:rPr>
          <w:rFonts w:ascii="Palatino Linotype" w:hAnsi="Palatino Linotype"/>
          <w:color w:val="000000"/>
          <w:sz w:val="24"/>
        </w:rPr>
        <w:t xml:space="preserve">Robustece lo anterior </w:t>
      </w:r>
      <w:r w:rsidRPr="00A40364">
        <w:rPr>
          <w:rFonts w:ascii="Palatino Linotype" w:hAnsi="Palatino Linotype" w:cs="Arial"/>
          <w:sz w:val="24"/>
        </w:rPr>
        <w:t>el criterio 13/17 de la Segunda Época emitido por el Instituto Nacional de Transparencia, Acceso a la Información y Protección de Datos personales:</w:t>
      </w:r>
    </w:p>
    <w:p w14:paraId="548B36EF" w14:textId="77777777" w:rsidR="005E0B56" w:rsidRPr="001E3212" w:rsidRDefault="005E0B56" w:rsidP="005E0B56">
      <w:pPr>
        <w:pStyle w:val="Prrafodelista"/>
        <w:tabs>
          <w:tab w:val="left" w:pos="2430"/>
        </w:tabs>
        <w:spacing w:line="276" w:lineRule="auto"/>
        <w:ind w:right="567"/>
        <w:jc w:val="both"/>
        <w:rPr>
          <w:rFonts w:ascii="Palatino Linotype" w:hAnsi="Palatino Linotype" w:cs="Arial"/>
          <w:i/>
        </w:rPr>
      </w:pPr>
      <w:r w:rsidRPr="001E3212">
        <w:rPr>
          <w:rFonts w:ascii="Palatino Linotype" w:hAnsi="Palatino Linotype" w:cs="Arial"/>
          <w:b/>
          <w:bCs/>
          <w:i/>
        </w:rPr>
        <w:t>No existe obligación de elaborar documentos ad hoc para atender las solicitudes de acceso a la información</w:t>
      </w:r>
      <w:r w:rsidRPr="001E3212">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BC762A9" w14:textId="77777777" w:rsidR="005E0B56" w:rsidRPr="001E3212" w:rsidRDefault="005E0B56" w:rsidP="005E0B56">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Resoluciones:</w:t>
      </w:r>
    </w:p>
    <w:p w14:paraId="2B20E68E" w14:textId="77777777" w:rsidR="005E0B56" w:rsidRPr="001E3212" w:rsidRDefault="005E0B56" w:rsidP="005E0B56">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lastRenderedPageBreak/>
        <w:t>•</w:t>
      </w:r>
      <w:r w:rsidRPr="001E3212">
        <w:rPr>
          <w:rFonts w:ascii="Palatino Linotype" w:hAnsi="Palatino Linotype" w:cs="Arial"/>
          <w:i/>
          <w:sz w:val="22"/>
          <w:szCs w:val="24"/>
        </w:rPr>
        <w:tab/>
        <w:t>RRA 0050/16. Instituto Nacional para la Evaluación de la Educación. 13 julio de 2016. Por unanimidad. Comisionado Ponente: Francisco Javier Acuña Llamas.</w:t>
      </w:r>
    </w:p>
    <w:p w14:paraId="2839A47D" w14:textId="77777777" w:rsidR="005E0B56" w:rsidRPr="001E3212" w:rsidRDefault="005E0B56" w:rsidP="005E0B56">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0310/16. Instituto Nacional de Transparencia, Acceso a la Información y Protección de Datos Personales. 10 de agosto de 2016. Por unanimidad. Comisionada Ponente. Areli Cano Guadiana.</w:t>
      </w:r>
    </w:p>
    <w:p w14:paraId="46680D27" w14:textId="77777777" w:rsidR="005E0B56" w:rsidRDefault="005E0B56" w:rsidP="005E0B56">
      <w:pPr>
        <w:spacing w:line="276" w:lineRule="auto"/>
        <w:ind w:left="1416" w:right="567" w:hanging="696"/>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1889/16. Secretaría de Hacienda y Crédito Público. 05 de octubre de 2016. Por unanimidad. Comisionada Ponente. Ximena Puente de la Mora.</w:t>
      </w:r>
    </w:p>
    <w:p w14:paraId="20CD5E6C" w14:textId="77777777" w:rsidR="005E0B56" w:rsidRPr="001E3212" w:rsidRDefault="005E0B56" w:rsidP="005E0B56">
      <w:pPr>
        <w:spacing w:line="276" w:lineRule="auto"/>
        <w:ind w:left="1416" w:right="567" w:hanging="696"/>
        <w:jc w:val="both"/>
        <w:rPr>
          <w:rFonts w:ascii="Palatino Linotype" w:hAnsi="Palatino Linotype" w:cs="Arial"/>
          <w:i/>
          <w:sz w:val="22"/>
          <w:szCs w:val="24"/>
        </w:rPr>
      </w:pPr>
    </w:p>
    <w:p w14:paraId="01AC1321" w14:textId="77777777" w:rsidR="005E0B56" w:rsidRPr="001129E4" w:rsidRDefault="005E0B56" w:rsidP="005E0B5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129E4">
        <w:rPr>
          <w:rFonts w:ascii="Palatino Linotype" w:eastAsia="MS Mincho" w:hAnsi="Palatino Linotype" w:cs="Arial"/>
          <w:color w:val="000000" w:themeColor="text1"/>
          <w:sz w:val="24"/>
        </w:rPr>
        <w:t xml:space="preserve">Ahora bien, el Recurrente en su solicitud no precisó un documento específico al que desee acceder. En repetidas ocasiones este Órgano Garante ha dejado en claro que </w:t>
      </w:r>
      <w:r w:rsidRPr="001129E4">
        <w:rPr>
          <w:rFonts w:ascii="Palatino Linotype" w:hAnsi="Palatino Linotype" w:cs="Arial"/>
          <w:bCs/>
          <w:iCs/>
          <w:color w:val="000000" w:themeColor="text1"/>
          <w:sz w:val="24"/>
        </w:rPr>
        <w:t xml:space="preserve">cuando en una solicitud de información no se identifique un documento en específico, </w:t>
      </w:r>
      <w:r w:rsidRPr="001129E4">
        <w:rPr>
          <w:rFonts w:ascii="Palatino Linotype" w:hAnsi="Palatino Linotype" w:cs="Arial"/>
          <w:b/>
          <w:bCs/>
          <w:iCs/>
          <w:color w:val="000000" w:themeColor="text1"/>
          <w:sz w:val="24"/>
          <w:u w:val="single"/>
        </w:rPr>
        <w:t>si ésta tiene una expresión documental</w:t>
      </w:r>
      <w:r w:rsidRPr="001129E4">
        <w:rPr>
          <w:rFonts w:ascii="Palatino Linotype" w:hAnsi="Palatino Linotype" w:cs="Arial"/>
          <w:bCs/>
          <w:iCs/>
          <w:color w:val="000000" w:themeColor="text1"/>
          <w:sz w:val="24"/>
        </w:rPr>
        <w:t>, el sujeto obligado deberá entregar al particular el documento mediante el cual se pueda colmar aquella.</w:t>
      </w:r>
    </w:p>
    <w:p w14:paraId="41668DD0" w14:textId="77777777" w:rsidR="005E0B56" w:rsidRPr="00A40364" w:rsidRDefault="005E0B56" w:rsidP="005E0B56">
      <w:pPr>
        <w:pStyle w:val="Prrafodelista"/>
        <w:rPr>
          <w:rFonts w:ascii="Palatino Linotype" w:hAnsi="Palatino Linotype"/>
          <w:lang w:val="es-ES"/>
        </w:rPr>
      </w:pPr>
    </w:p>
    <w:p w14:paraId="165B4094" w14:textId="77777777" w:rsidR="005E0B56" w:rsidRPr="001129E4" w:rsidRDefault="005E0B56" w:rsidP="005E0B5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129E4">
        <w:rPr>
          <w:rFonts w:ascii="Palatino Linotype" w:eastAsia="MS Mincho" w:hAnsi="Palatino Linotype" w:cs="Arial"/>
          <w:sz w:val="24"/>
        </w:rPr>
        <w:t xml:space="preserve">En ese sentido el </w:t>
      </w:r>
      <w:r w:rsidRPr="001129E4">
        <w:rPr>
          <w:rFonts w:ascii="Palatino Linotype" w:eastAsia="MS Mincho" w:hAnsi="Palatino Linotype"/>
          <w:sz w:val="24"/>
        </w:rPr>
        <w:t>Criterio</w:t>
      </w:r>
      <w:r w:rsidRPr="001129E4">
        <w:rPr>
          <w:rFonts w:ascii="Palatino Linotype" w:eastAsia="MS Mincho" w:hAnsi="Palatino Linotype" w:cs="Arial"/>
          <w:sz w:val="24"/>
        </w:rPr>
        <w:t xml:space="preserve"> </w:t>
      </w:r>
      <w:r w:rsidRPr="001129E4">
        <w:rPr>
          <w:rFonts w:ascii="Palatino Linotype" w:eastAsia="MS Mincho" w:hAnsi="Palatino Linotype"/>
          <w:sz w:val="24"/>
        </w:rPr>
        <w:t>028</w:t>
      </w:r>
      <w:r w:rsidRPr="001129E4">
        <w:rPr>
          <w:rFonts w:ascii="Palatino Linotype" w:eastAsia="MS Mincho" w:hAnsi="Palatino Linotype" w:cs="Arial"/>
          <w:sz w:val="24"/>
        </w:rPr>
        <w:t>-</w:t>
      </w:r>
      <w:r w:rsidRPr="001129E4">
        <w:rPr>
          <w:rFonts w:ascii="Palatino Linotype" w:eastAsia="MS Mincho" w:hAnsi="Palatino Linotype"/>
          <w:sz w:val="24"/>
        </w:rPr>
        <w:t>10</w:t>
      </w:r>
      <w:r w:rsidRPr="001129E4">
        <w:rPr>
          <w:rFonts w:ascii="Palatino Linotype" w:eastAsia="MS Mincho" w:hAnsi="Palatino Linotype" w:cs="Arial"/>
          <w:sz w:val="24"/>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45C93A58" w14:textId="77777777" w:rsidR="005E0B56" w:rsidRDefault="005E0B56" w:rsidP="005E0B56">
      <w:pPr>
        <w:pStyle w:val="m5907675151158779931gmail-msolistparagraph"/>
        <w:shd w:val="clear" w:color="auto" w:fill="FFFFFF"/>
        <w:spacing w:before="240" w:beforeAutospacing="0" w:after="360" w:afterAutospacing="0" w:line="276" w:lineRule="auto"/>
        <w:ind w:left="567" w:right="616"/>
        <w:jc w:val="both"/>
        <w:rPr>
          <w:rFonts w:ascii="Palatino Linotype" w:hAnsi="Palatino Linotype" w:cs="Arial"/>
          <w:i/>
          <w:iCs/>
          <w:color w:val="222222"/>
          <w:sz w:val="22"/>
          <w:lang w:val="es-ES_tradnl"/>
        </w:rPr>
      </w:pPr>
      <w:r w:rsidRPr="001E3212">
        <w:rPr>
          <w:rFonts w:ascii="Palatino Linotype" w:hAnsi="Palatino Linotype" w:cs="Arial"/>
          <w:b/>
          <w:bCs/>
          <w:i/>
          <w:iCs/>
          <w:color w:val="222222"/>
          <w:sz w:val="22"/>
          <w:lang w:val="es-ES_tradnl"/>
        </w:rPr>
        <w:lastRenderedPageBreak/>
        <w:t>“Cuando en una solicitud de información no se identifique un documento en específico, si ésta tiene una expresión documental, el sujeto obligado deberá entregar al particular el documento en específico.</w:t>
      </w:r>
      <w:r w:rsidRPr="001E3212">
        <w:rPr>
          <w:rFonts w:ascii="Palatino Linotype" w:hAnsi="Palatino Linotype" w:cs="Arial"/>
          <w:i/>
          <w:iCs/>
          <w:color w:val="222222"/>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3D00DDF" w14:textId="77777777" w:rsidR="005E0B56" w:rsidRPr="001129E4" w:rsidRDefault="005E0B56" w:rsidP="005E0B56">
      <w:pPr>
        <w:pStyle w:val="Prrafodelista"/>
        <w:numPr>
          <w:ilvl w:val="0"/>
          <w:numId w:val="2"/>
        </w:numPr>
        <w:spacing w:before="240" w:after="240" w:line="360" w:lineRule="auto"/>
        <w:ind w:left="0" w:right="49" w:firstLine="0"/>
        <w:jc w:val="both"/>
        <w:rPr>
          <w:rFonts w:ascii="Palatino Linotype" w:eastAsia="MS Mincho" w:hAnsi="Palatino Linotype" w:cs="Arial"/>
          <w:sz w:val="24"/>
        </w:rPr>
      </w:pPr>
      <w:r w:rsidRPr="001129E4">
        <w:rPr>
          <w:rFonts w:ascii="Palatino Linotype" w:eastAsia="MS Mincho" w:hAnsi="Palatino Linotype" w:cs="Arial"/>
          <w:sz w:val="24"/>
          <w:lang w:val="es-ES"/>
        </w:rPr>
        <w:t xml:space="preserve">Robustece lo anterior </w:t>
      </w:r>
      <w:r w:rsidRPr="001129E4">
        <w:rPr>
          <w:rFonts w:ascii="Palatino Linotype" w:eastAsia="MS Mincho" w:hAnsi="Palatino Linotype" w:cs="Arial"/>
          <w:sz w:val="24"/>
        </w:rPr>
        <w:t>el criterio orientador 16/17 emitido de igual forma por el Instituto Nacional de Transparencia, Acceso a la Información y Protección de Datos Personales que a la literalidad prevé:</w:t>
      </w:r>
    </w:p>
    <w:p w14:paraId="6FB0FDEC" w14:textId="77777777" w:rsidR="005E0B56" w:rsidRPr="001E3212" w:rsidRDefault="005E0B56" w:rsidP="005E0B56">
      <w:pPr>
        <w:spacing w:before="240" w:after="240" w:line="276" w:lineRule="auto"/>
        <w:ind w:left="567" w:right="616"/>
        <w:jc w:val="both"/>
        <w:rPr>
          <w:rFonts w:ascii="Palatino Linotype" w:eastAsia="MS Mincho" w:hAnsi="Palatino Linotype" w:cs="Arial"/>
          <w:i/>
          <w:sz w:val="22"/>
        </w:rPr>
      </w:pPr>
      <w:r w:rsidRPr="001E3212">
        <w:rPr>
          <w:rFonts w:ascii="Palatino Linotype" w:eastAsia="MS Mincho" w:hAnsi="Palatino Linotype" w:cs="Arial"/>
          <w:b/>
          <w:i/>
          <w:sz w:val="22"/>
        </w:rPr>
        <w:t>“Expresión documental</w:t>
      </w:r>
      <w:r w:rsidRPr="001E3212">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40A45BC"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t>Resoluciones:</w:t>
      </w:r>
    </w:p>
    <w:p w14:paraId="49223901"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t>•</w:t>
      </w:r>
      <w:r w:rsidRPr="001E3212">
        <w:rPr>
          <w:rFonts w:ascii="Palatino Linotype" w:eastAsia="MS Mincho" w:hAnsi="Palatino Linotype" w:cs="Arial"/>
          <w:i/>
          <w:sz w:val="22"/>
        </w:rPr>
        <w:tab/>
        <w:t>RRA 0774/16. Secretaría de Salud. 31 de agosto de 2016. Por unanimidad. Comisionada Ponente María Patricia Kurczyn Villalobos.</w:t>
      </w:r>
    </w:p>
    <w:p w14:paraId="40F1B102"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lastRenderedPageBreak/>
        <w:t>•</w:t>
      </w:r>
      <w:r w:rsidRPr="001E3212">
        <w:rPr>
          <w:rFonts w:ascii="Palatino Linotype" w:eastAsia="MS Mincho" w:hAnsi="Palatino Linotype" w:cs="Arial"/>
          <w:i/>
          <w:sz w:val="22"/>
        </w:rPr>
        <w:tab/>
        <w:t xml:space="preserve">RRA 0143/17. Universidad Autónoma Agraria Antonio Narro. 22 de febrero de 2017. Por unanimidad. Comisionado Ponente Oscar Mauricio Guerra Ford. </w:t>
      </w:r>
    </w:p>
    <w:p w14:paraId="132064CF" w14:textId="77777777" w:rsidR="005E0B56" w:rsidRPr="001E3212" w:rsidRDefault="005E0B56" w:rsidP="005E0B56">
      <w:pPr>
        <w:spacing w:before="240" w:after="240" w:line="276" w:lineRule="auto"/>
        <w:ind w:left="567" w:right="567"/>
        <w:jc w:val="both"/>
        <w:rPr>
          <w:rFonts w:ascii="Palatino Linotype" w:eastAsia="MS Mincho" w:hAnsi="Palatino Linotype" w:cs="Arial"/>
          <w:i/>
          <w:sz w:val="22"/>
        </w:rPr>
      </w:pPr>
      <w:r w:rsidRPr="001E3212">
        <w:rPr>
          <w:rFonts w:ascii="Palatino Linotype" w:eastAsia="MS Mincho" w:hAnsi="Palatino Linotype" w:cs="Arial"/>
          <w:i/>
          <w:sz w:val="22"/>
        </w:rPr>
        <w:t>•</w:t>
      </w:r>
      <w:r w:rsidRPr="001E3212">
        <w:rPr>
          <w:rFonts w:ascii="Palatino Linotype" w:eastAsia="MS Mincho" w:hAnsi="Palatino Linotype" w:cs="Arial"/>
          <w:i/>
          <w:sz w:val="22"/>
        </w:rPr>
        <w:tab/>
        <w:t>RRA 0540/17. Secretaría de Economía. 08 de marzo del 2017. Por unanimidad. Comisionado Ponente Francisco Javier Acuña Llamas”</w:t>
      </w:r>
    </w:p>
    <w:p w14:paraId="3C6C259D" w14:textId="60DD058A" w:rsidR="009F5307" w:rsidRPr="009F5307" w:rsidRDefault="005E0B56" w:rsidP="005E0B56">
      <w:pPr>
        <w:pStyle w:val="Prrafodelista"/>
        <w:numPr>
          <w:ilvl w:val="0"/>
          <w:numId w:val="2"/>
        </w:numPr>
        <w:spacing w:line="360" w:lineRule="auto"/>
        <w:ind w:left="0" w:firstLine="0"/>
        <w:jc w:val="both"/>
        <w:rPr>
          <w:rFonts w:ascii="Palatino Linotype" w:hAnsi="Palatino Linotype" w:cs="Arial"/>
          <w:sz w:val="24"/>
        </w:rPr>
      </w:pPr>
      <w:r w:rsidRPr="00A85DC0">
        <w:rPr>
          <w:rFonts w:ascii="Palatino Linotype" w:hAnsi="Palatino Linotype" w:cs="Arial"/>
          <w:color w:val="000000" w:themeColor="text1"/>
          <w:sz w:val="24"/>
          <w:lang w:val="es-ES"/>
        </w:rPr>
        <w:t>En esa tesitura</w:t>
      </w:r>
      <w:r w:rsidR="009F5307">
        <w:rPr>
          <w:rFonts w:ascii="Palatino Linotype" w:hAnsi="Palatino Linotype" w:cs="Arial"/>
          <w:color w:val="000000" w:themeColor="text1"/>
          <w:sz w:val="24"/>
          <w:lang w:val="es-ES"/>
        </w:rPr>
        <w:t>, los requerimientos planteados por el particular corresponden a un derecho de petición que no se satisface con la entrega de documento alguno, sino por el contrario, es necesario que el Sujeto Obligado emita una respuesta, explicación o juicio de valor a efecto de responder los cuestionamientos, actos que no son contemplados por la legislación en materia de transparencia y acceso a la información pública.</w:t>
      </w:r>
    </w:p>
    <w:p w14:paraId="51D1A745" w14:textId="77777777" w:rsidR="009F5307" w:rsidRPr="009F5307" w:rsidRDefault="009F5307" w:rsidP="009F5307">
      <w:pPr>
        <w:pStyle w:val="Prrafodelista"/>
        <w:spacing w:line="360" w:lineRule="auto"/>
        <w:ind w:left="0"/>
        <w:jc w:val="both"/>
        <w:rPr>
          <w:rFonts w:ascii="Palatino Linotype" w:hAnsi="Palatino Linotype" w:cs="Arial"/>
          <w:sz w:val="24"/>
        </w:rPr>
      </w:pPr>
    </w:p>
    <w:p w14:paraId="76301F9A" w14:textId="77777777" w:rsidR="003966D7" w:rsidRPr="003966D7" w:rsidRDefault="009F5307" w:rsidP="005E0B56">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color w:val="000000" w:themeColor="text1"/>
          <w:sz w:val="24"/>
          <w:lang w:val="es-ES"/>
        </w:rPr>
        <w:t>Adicionalmente, por lo que corresponde al segundo requerimiento, el particular pregunta ¿Qué acciones tomará la contraloría?, además de ser un cuestionamiento como se ha explicado anteriormente, corresponde a un acto futuro y de realización incierta</w:t>
      </w:r>
      <w:r w:rsidR="003966D7">
        <w:rPr>
          <w:rFonts w:ascii="Palatino Linotype" w:hAnsi="Palatino Linotype" w:cs="Arial"/>
          <w:color w:val="000000" w:themeColor="text1"/>
          <w:sz w:val="24"/>
          <w:lang w:val="es-ES"/>
        </w:rPr>
        <w:t>.</w:t>
      </w:r>
    </w:p>
    <w:p w14:paraId="4355DB35" w14:textId="77777777" w:rsidR="003966D7" w:rsidRPr="003966D7" w:rsidRDefault="003966D7" w:rsidP="003966D7">
      <w:pPr>
        <w:pStyle w:val="Prrafodelista"/>
        <w:rPr>
          <w:rFonts w:ascii="Palatino Linotype" w:hAnsi="Palatino Linotype" w:cs="Arial"/>
          <w:color w:val="000000" w:themeColor="text1"/>
          <w:sz w:val="24"/>
          <w:lang w:val="es-ES"/>
        </w:rPr>
      </w:pPr>
    </w:p>
    <w:p w14:paraId="76C59BD9" w14:textId="1EB64097" w:rsidR="003966D7" w:rsidRPr="003966D7" w:rsidRDefault="003966D7" w:rsidP="005E0B56">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color w:val="000000" w:themeColor="text1"/>
          <w:sz w:val="24"/>
          <w:lang w:val="es-ES"/>
        </w:rPr>
        <w:t>Los actos futuros son aquellos cuya realización es remota e incierta, en tanto su existencia depende de la actividad previa de un tercero o de que la autoridad decida ejercer o no alguna de sus atribuciones. Es decir, para que se genere la información que de puntual contestación al requerimiento planteado por el particular, es necesario que la autoridad, en este caso, la Contraloría Interna</w:t>
      </w:r>
      <w:r w:rsidR="008F080A">
        <w:rPr>
          <w:rFonts w:ascii="Palatino Linotype" w:hAnsi="Palatino Linotype" w:cs="Arial"/>
          <w:color w:val="000000" w:themeColor="text1"/>
          <w:sz w:val="24"/>
          <w:lang w:val="es-ES"/>
        </w:rPr>
        <w:t>,</w:t>
      </w:r>
      <w:r>
        <w:rPr>
          <w:rFonts w:ascii="Palatino Linotype" w:hAnsi="Palatino Linotype" w:cs="Arial"/>
          <w:color w:val="000000" w:themeColor="text1"/>
          <w:sz w:val="24"/>
          <w:lang w:val="es-ES"/>
        </w:rPr>
        <w:t xml:space="preserve"> ejerza alguna de sus facultades, lo cual, no ha ocurrido y se configura de realización incierta, en el sentido de que, </w:t>
      </w:r>
      <w:r w:rsidR="008F080A">
        <w:rPr>
          <w:rFonts w:ascii="Palatino Linotype" w:hAnsi="Palatino Linotype" w:cs="Arial"/>
          <w:color w:val="000000" w:themeColor="text1"/>
          <w:sz w:val="24"/>
          <w:lang w:val="es-ES"/>
        </w:rPr>
        <w:t xml:space="preserve">si </w:t>
      </w:r>
      <w:r>
        <w:rPr>
          <w:rFonts w:ascii="Palatino Linotype" w:hAnsi="Palatino Linotype" w:cs="Arial"/>
          <w:color w:val="000000" w:themeColor="text1"/>
          <w:sz w:val="24"/>
          <w:lang w:val="es-ES"/>
        </w:rPr>
        <w:t>dicha autoridad no ejer</w:t>
      </w:r>
      <w:r w:rsidR="008F080A">
        <w:rPr>
          <w:rFonts w:ascii="Palatino Linotype" w:hAnsi="Palatino Linotype" w:cs="Arial"/>
          <w:color w:val="000000" w:themeColor="text1"/>
          <w:sz w:val="24"/>
          <w:lang w:val="es-ES"/>
        </w:rPr>
        <w:t>ce</w:t>
      </w:r>
      <w:r>
        <w:rPr>
          <w:rFonts w:ascii="Palatino Linotype" w:hAnsi="Palatino Linotype" w:cs="Arial"/>
          <w:color w:val="000000" w:themeColor="text1"/>
          <w:sz w:val="24"/>
          <w:lang w:val="es-ES"/>
        </w:rPr>
        <w:t xml:space="preserve"> sus facultades, la información no se generar</w:t>
      </w:r>
      <w:r w:rsidR="008F080A">
        <w:rPr>
          <w:rFonts w:ascii="Palatino Linotype" w:hAnsi="Palatino Linotype" w:cs="Arial"/>
          <w:color w:val="000000" w:themeColor="text1"/>
          <w:sz w:val="24"/>
          <w:lang w:val="es-ES"/>
        </w:rPr>
        <w:t>ía.</w:t>
      </w:r>
    </w:p>
    <w:p w14:paraId="01D4DE18" w14:textId="77777777" w:rsidR="003966D7" w:rsidRPr="003966D7" w:rsidRDefault="003966D7" w:rsidP="003966D7">
      <w:pPr>
        <w:pStyle w:val="Prrafodelista"/>
        <w:rPr>
          <w:rFonts w:ascii="Palatino Linotype" w:hAnsi="Palatino Linotype" w:cs="Arial"/>
          <w:color w:val="000000" w:themeColor="text1"/>
          <w:sz w:val="24"/>
          <w:lang w:val="es-ES"/>
        </w:rPr>
      </w:pPr>
    </w:p>
    <w:p w14:paraId="1B97679E" w14:textId="73EA0F0D" w:rsidR="003966D7" w:rsidRDefault="008F080A" w:rsidP="005E0B56">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Es así que, los planteamientos hechos por el particular resultan inatendibles por el ejercicio del derecho de acceso a la informaci</w:t>
      </w:r>
      <w:r w:rsidR="00547ADC">
        <w:rPr>
          <w:rFonts w:ascii="Palatino Linotype" w:hAnsi="Palatino Linotype" w:cs="Arial"/>
          <w:sz w:val="24"/>
        </w:rPr>
        <w:t>ón por corresponder a un derecho de petición.</w:t>
      </w:r>
    </w:p>
    <w:p w14:paraId="04C76796" w14:textId="7C8131C8" w:rsidR="008F080A" w:rsidRPr="008F080A" w:rsidRDefault="008F080A" w:rsidP="008F080A">
      <w:pPr>
        <w:pStyle w:val="Ttulo2"/>
        <w:numPr>
          <w:ilvl w:val="0"/>
          <w:numId w:val="35"/>
        </w:numPr>
        <w:rPr>
          <w:rFonts w:ascii="Palatino Linotype" w:hAnsi="Palatino Linotype"/>
          <w:b/>
        </w:rPr>
      </w:pPr>
      <w:bookmarkStart w:id="24" w:name="_Toc86235928"/>
      <w:r w:rsidRPr="008F080A">
        <w:rPr>
          <w:rFonts w:ascii="Palatino Linotype" w:hAnsi="Palatino Linotype"/>
          <w:b/>
          <w:color w:val="auto"/>
          <w:sz w:val="24"/>
        </w:rPr>
        <w:t>Actualización del sobreseimiento</w:t>
      </w:r>
      <w:bookmarkEnd w:id="24"/>
    </w:p>
    <w:p w14:paraId="6AE42D3E" w14:textId="013CDAE6" w:rsidR="008F080A" w:rsidRPr="00B072BC" w:rsidRDefault="008F080A" w:rsidP="008F080A">
      <w:pPr>
        <w:pStyle w:val="Prrafodelista"/>
        <w:numPr>
          <w:ilvl w:val="0"/>
          <w:numId w:val="2"/>
        </w:numPr>
        <w:spacing w:before="240" w:after="240" w:line="360" w:lineRule="auto"/>
        <w:ind w:left="0" w:firstLine="0"/>
        <w:jc w:val="both"/>
        <w:rPr>
          <w:rFonts w:ascii="Palatino Linotype" w:hAnsi="Palatino Linotype" w:cs="Arial"/>
          <w:sz w:val="24"/>
        </w:rPr>
      </w:pPr>
      <w:r w:rsidRPr="00B072BC">
        <w:rPr>
          <w:rFonts w:ascii="Palatino Linotype" w:hAnsi="Palatino Linotype" w:cs="Arial"/>
          <w:sz w:val="24"/>
        </w:rPr>
        <w:t>Los requerimientos del particular consisten en cuestionamientos que, para su correcta satisfacción, es necesario que el Sujeto Obligado realice una explicación o un juicio de valor orientado a responder dicho cuestionamiento y no así, entregando soporte documental que se genere en el ejercicio de sus facultades, atribuciones y competencias y, que previamente obre en los archivos.</w:t>
      </w:r>
    </w:p>
    <w:p w14:paraId="47BC20A7" w14:textId="77777777" w:rsidR="00547ADC" w:rsidRPr="00B072BC" w:rsidRDefault="00547ADC" w:rsidP="00547ADC">
      <w:pPr>
        <w:pStyle w:val="Prrafodelista"/>
        <w:spacing w:before="240" w:after="240" w:line="360" w:lineRule="auto"/>
        <w:ind w:left="0"/>
        <w:jc w:val="both"/>
        <w:rPr>
          <w:rFonts w:ascii="Palatino Linotype" w:hAnsi="Palatino Linotype" w:cs="Arial"/>
          <w:sz w:val="24"/>
        </w:rPr>
      </w:pPr>
    </w:p>
    <w:p w14:paraId="3C392190" w14:textId="6DFC9DB6" w:rsidR="008F080A" w:rsidRPr="00B072BC" w:rsidRDefault="008F080A" w:rsidP="008F080A">
      <w:pPr>
        <w:pStyle w:val="Prrafodelista"/>
        <w:numPr>
          <w:ilvl w:val="0"/>
          <w:numId w:val="2"/>
        </w:numPr>
        <w:spacing w:before="240" w:after="240" w:line="360" w:lineRule="auto"/>
        <w:ind w:left="0" w:firstLine="0"/>
        <w:jc w:val="both"/>
        <w:rPr>
          <w:rFonts w:ascii="Palatino Linotype" w:hAnsi="Palatino Linotype" w:cs="Arial"/>
          <w:sz w:val="24"/>
        </w:rPr>
      </w:pPr>
      <w:r w:rsidRPr="00B072BC">
        <w:rPr>
          <w:rFonts w:ascii="Palatino Linotype" w:hAnsi="Palatino Linotype" w:cs="Arial"/>
          <w:sz w:val="24"/>
        </w:rPr>
        <w:t>Entonces, al encontrarnos frente al ejercicio de un derecho de petición que no se satisface con la entrega de documento alguno, además de tratarse de actos futuros de realización incierta, se considera que la solicitud no puede ser atendida. Entonces, al no existir requerimientos que encuadren en el ejercicio del derecho de acceso a la información pública, el caso que nos ocupa actualiza una causal de sobreseimiento contemplada en el artículo el artículo 192 fracción V de la Ley de Transparencia y Acceso a la Información Pública del Estado de México y Municipios, el cual refiere los siguiente:</w:t>
      </w:r>
    </w:p>
    <w:p w14:paraId="76C95B6A" w14:textId="77777777" w:rsidR="008F080A" w:rsidRPr="00C43247" w:rsidRDefault="008F080A" w:rsidP="008F080A">
      <w:pPr>
        <w:autoSpaceDE w:val="0"/>
        <w:autoSpaceDN w:val="0"/>
        <w:adjustRightInd w:val="0"/>
        <w:ind w:left="567" w:right="567"/>
        <w:jc w:val="both"/>
        <w:rPr>
          <w:rFonts w:ascii="Palatino Linotype" w:eastAsiaTheme="minorHAnsi" w:hAnsi="Palatino Linotype" w:cs="Bookman Old Style"/>
          <w:i/>
          <w:sz w:val="22"/>
          <w:szCs w:val="22"/>
          <w:lang w:eastAsia="en-US"/>
        </w:rPr>
      </w:pPr>
      <w:r w:rsidRPr="00C43247">
        <w:rPr>
          <w:rFonts w:ascii="Palatino Linotype" w:eastAsiaTheme="minorHAnsi" w:hAnsi="Palatino Linotype" w:cs="Bookman Old Style,Bold"/>
          <w:b/>
          <w:bCs/>
          <w:i/>
          <w:sz w:val="22"/>
          <w:szCs w:val="22"/>
          <w:lang w:eastAsia="en-US"/>
        </w:rPr>
        <w:t xml:space="preserve">Artículo 192. </w:t>
      </w:r>
      <w:r w:rsidRPr="00C43247">
        <w:rPr>
          <w:rFonts w:ascii="Palatino Linotype" w:eastAsiaTheme="minorHAnsi" w:hAnsi="Palatino Linotype" w:cs="Bookman Old Style"/>
          <w:i/>
          <w:sz w:val="22"/>
          <w:szCs w:val="22"/>
          <w:lang w:eastAsia="en-US"/>
        </w:rPr>
        <w:t>El recurso será sobreseído, en todo o en parte, cuando una vez admitido, se actualicen alguno de los siguientes supuestos:</w:t>
      </w:r>
    </w:p>
    <w:p w14:paraId="25C4E400" w14:textId="77777777" w:rsidR="008F080A" w:rsidRPr="00C43247" w:rsidRDefault="008F080A" w:rsidP="008F080A">
      <w:pPr>
        <w:autoSpaceDE w:val="0"/>
        <w:autoSpaceDN w:val="0"/>
        <w:adjustRightInd w:val="0"/>
        <w:ind w:left="567" w:right="567"/>
        <w:jc w:val="both"/>
        <w:rPr>
          <w:rFonts w:ascii="Palatino Linotype" w:eastAsiaTheme="minorHAnsi" w:hAnsi="Palatino Linotype" w:cs="Bookman Old Style"/>
          <w:i/>
          <w:sz w:val="22"/>
          <w:szCs w:val="22"/>
          <w:lang w:eastAsia="en-US"/>
        </w:rPr>
      </w:pPr>
      <w:r w:rsidRPr="00C43247">
        <w:rPr>
          <w:rFonts w:ascii="Palatino Linotype" w:eastAsiaTheme="minorHAnsi" w:hAnsi="Palatino Linotype" w:cs="Bookman Old Style"/>
          <w:i/>
          <w:sz w:val="22"/>
          <w:szCs w:val="22"/>
          <w:lang w:eastAsia="en-US"/>
        </w:rPr>
        <w:t>…</w:t>
      </w:r>
    </w:p>
    <w:p w14:paraId="0D6B9C76" w14:textId="77777777" w:rsidR="008F080A" w:rsidRPr="00C43247" w:rsidRDefault="008F080A" w:rsidP="008F080A">
      <w:pPr>
        <w:autoSpaceDE w:val="0"/>
        <w:autoSpaceDN w:val="0"/>
        <w:adjustRightInd w:val="0"/>
        <w:ind w:left="567" w:right="567"/>
        <w:jc w:val="both"/>
        <w:rPr>
          <w:rFonts w:ascii="Palatino Linotype" w:eastAsiaTheme="minorHAnsi" w:hAnsi="Palatino Linotype" w:cs="Bookman Old Style"/>
          <w:i/>
          <w:sz w:val="22"/>
          <w:szCs w:val="22"/>
          <w:lang w:eastAsia="en-US"/>
        </w:rPr>
      </w:pPr>
      <w:r w:rsidRPr="00C43247">
        <w:rPr>
          <w:rFonts w:ascii="Palatino Linotype" w:eastAsiaTheme="minorHAnsi" w:hAnsi="Palatino Linotype" w:cs="Bookman Old Style,Bold"/>
          <w:b/>
          <w:bCs/>
          <w:i/>
          <w:sz w:val="22"/>
          <w:szCs w:val="22"/>
          <w:lang w:eastAsia="en-US"/>
        </w:rPr>
        <w:t xml:space="preserve">V. </w:t>
      </w:r>
      <w:r w:rsidRPr="00C43247">
        <w:rPr>
          <w:rFonts w:ascii="Palatino Linotype" w:eastAsiaTheme="minorHAnsi" w:hAnsi="Palatino Linotype" w:cs="Bookman Old Style"/>
          <w:i/>
          <w:sz w:val="22"/>
          <w:szCs w:val="22"/>
          <w:lang w:eastAsia="en-US"/>
        </w:rPr>
        <w:t>Cuando por cualquier motivo quede sin materia el recurso.</w:t>
      </w:r>
    </w:p>
    <w:p w14:paraId="34CE6E7D" w14:textId="77777777" w:rsidR="008F080A" w:rsidRPr="00B072BC" w:rsidRDefault="008F080A" w:rsidP="008F080A">
      <w:pPr>
        <w:pStyle w:val="Prrafodelista"/>
        <w:numPr>
          <w:ilvl w:val="0"/>
          <w:numId w:val="2"/>
        </w:numPr>
        <w:spacing w:before="240" w:after="240" w:line="360" w:lineRule="auto"/>
        <w:ind w:left="0" w:firstLine="0"/>
        <w:jc w:val="both"/>
        <w:rPr>
          <w:rFonts w:ascii="Palatino Linotype" w:hAnsi="Palatino Linotype"/>
          <w:sz w:val="24"/>
        </w:rPr>
      </w:pPr>
      <w:r w:rsidRPr="00B072BC">
        <w:rPr>
          <w:rFonts w:ascii="Palatino Linotype" w:hAnsi="Palatino Linotype" w:cs="Arial"/>
          <w:sz w:val="24"/>
        </w:rPr>
        <w:lastRenderedPageBreak/>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E7190A4" w14:textId="77777777" w:rsidR="008F080A" w:rsidRPr="00C752B8" w:rsidRDefault="008F080A" w:rsidP="008F080A">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t>“</w:t>
      </w:r>
      <w:r w:rsidRPr="00C752B8">
        <w:rPr>
          <w:rFonts w:ascii="Palatino Linotype" w:hAnsi="Palatino Linotype" w:cs="Arial"/>
          <w:b/>
          <w:i/>
          <w:sz w:val="22"/>
          <w:szCs w:val="22"/>
        </w:rPr>
        <w:t>SOBRESEIMIENTO EN EL JUICIO DE AMPARO DIRECTO. IMPIDE EL ESTUDIO DE LAS VIOLACIONES PROCESALES PLANTEADAS EN LOS CONCEPTOS DE VIOLACIÓN.</w:t>
      </w:r>
      <w:r w:rsidRPr="00C752B8">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5C6DE9D" w14:textId="77777777" w:rsidR="008F080A" w:rsidRPr="00C752B8" w:rsidRDefault="008F080A" w:rsidP="008F080A">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t>SEPTIMO TRIBUNAL COLEGIADO EN MATERIA CIVIL DEL PRIMER CIRCUITO</w:t>
      </w:r>
    </w:p>
    <w:p w14:paraId="0956EA68" w14:textId="77777777" w:rsidR="008F080A" w:rsidRDefault="008F080A" w:rsidP="008F080A">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173D8F6C" w14:textId="77777777" w:rsidR="00547ADC" w:rsidRPr="00C752B8" w:rsidRDefault="00547ADC" w:rsidP="008F080A">
      <w:pPr>
        <w:spacing w:line="360" w:lineRule="auto"/>
        <w:ind w:left="567" w:right="567"/>
        <w:jc w:val="both"/>
        <w:rPr>
          <w:rFonts w:ascii="Palatino Linotype" w:hAnsi="Palatino Linotype" w:cs="Arial"/>
          <w:i/>
          <w:sz w:val="22"/>
          <w:szCs w:val="22"/>
        </w:rPr>
      </w:pPr>
    </w:p>
    <w:p w14:paraId="3BD7244C" w14:textId="77777777" w:rsidR="008F080A" w:rsidRPr="00B072BC" w:rsidRDefault="008F080A" w:rsidP="008F080A">
      <w:pPr>
        <w:pStyle w:val="Prrafodelista"/>
        <w:numPr>
          <w:ilvl w:val="0"/>
          <w:numId w:val="2"/>
        </w:numPr>
        <w:spacing w:line="360" w:lineRule="auto"/>
        <w:ind w:left="0" w:firstLine="0"/>
        <w:jc w:val="both"/>
        <w:rPr>
          <w:rFonts w:ascii="Palatino Linotype" w:hAnsi="Palatino Linotype" w:cs="Arial"/>
          <w:sz w:val="24"/>
        </w:rPr>
      </w:pPr>
      <w:r w:rsidRPr="00B072BC">
        <w:rPr>
          <w:rFonts w:ascii="Palatino Linotype" w:hAnsi="Palatino Linotype" w:cs="Arial"/>
          <w:sz w:val="24"/>
        </w:rPr>
        <w:t>Bajo esas consideraciones, se afirma que en el recurso de revisión sujeto a estudio se actualiza la hipótesis jurídica citada, toda vez que quedó probado que el recurso de revisión quedó sin materia.</w:t>
      </w:r>
    </w:p>
    <w:p w14:paraId="20B8BD30" w14:textId="77777777" w:rsidR="00547ADC" w:rsidRDefault="00547ADC" w:rsidP="00547ADC">
      <w:pPr>
        <w:spacing w:line="360" w:lineRule="auto"/>
        <w:jc w:val="both"/>
        <w:rPr>
          <w:rFonts w:ascii="Palatino Linotype" w:hAnsi="Palatino Linotype" w:cs="Arial"/>
        </w:rPr>
      </w:pPr>
    </w:p>
    <w:p w14:paraId="54940EF9" w14:textId="483C20D0" w:rsidR="004B7E50" w:rsidRDefault="00CD61A4" w:rsidP="00547ADC">
      <w:pPr>
        <w:pStyle w:val="Ttulo1"/>
        <w:rPr>
          <w:rFonts w:ascii="Palatino Linotype" w:hAnsi="Palatino Linotype"/>
          <w:b/>
          <w:color w:val="auto"/>
          <w:sz w:val="24"/>
        </w:rPr>
      </w:pPr>
      <w:bookmarkStart w:id="25" w:name="_Toc86235929"/>
      <w:r w:rsidRPr="00547ADC">
        <w:rPr>
          <w:rFonts w:ascii="Palatino Linotype" w:hAnsi="Palatino Linotype" w:cs="Arial"/>
          <w:b/>
          <w:color w:val="auto"/>
          <w:sz w:val="24"/>
          <w:lang w:val="es-ES"/>
        </w:rPr>
        <w:lastRenderedPageBreak/>
        <w:t>CUARTO</w:t>
      </w:r>
      <w:r w:rsidR="004B7E50" w:rsidRPr="00547ADC">
        <w:rPr>
          <w:rFonts w:ascii="Palatino Linotype" w:hAnsi="Palatino Linotype"/>
          <w:b/>
          <w:color w:val="auto"/>
          <w:sz w:val="24"/>
        </w:rPr>
        <w:t>. DECISIÓN.</w:t>
      </w:r>
      <w:bookmarkEnd w:id="25"/>
      <w:r w:rsidR="004B7E50" w:rsidRPr="00547ADC">
        <w:rPr>
          <w:rFonts w:ascii="Palatino Linotype" w:hAnsi="Palatino Linotype"/>
          <w:b/>
          <w:color w:val="auto"/>
          <w:sz w:val="24"/>
        </w:rPr>
        <w:t xml:space="preserve"> </w:t>
      </w:r>
    </w:p>
    <w:p w14:paraId="2FB3D32A" w14:textId="77777777" w:rsidR="00547ADC" w:rsidRPr="00547ADC" w:rsidRDefault="00547ADC" w:rsidP="00547ADC">
      <w:pPr>
        <w:rPr>
          <w:rFonts w:eastAsia="Calibri"/>
        </w:rPr>
      </w:pPr>
    </w:p>
    <w:p w14:paraId="4F0F482A" w14:textId="77777777" w:rsidR="004B7E50" w:rsidRPr="004B7E50" w:rsidRDefault="004B7E50" w:rsidP="004B7E50">
      <w:pPr>
        <w:pStyle w:val="Prrafodelista"/>
        <w:rPr>
          <w:rFonts w:ascii="Palatino Linotype" w:eastAsia="Calibri" w:hAnsi="Palatino Linotype" w:cs="Arial"/>
          <w:sz w:val="24"/>
        </w:rPr>
      </w:pPr>
    </w:p>
    <w:p w14:paraId="784C2C70" w14:textId="440CF740" w:rsidR="00CD61A4" w:rsidRDefault="001C26A6"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La solicitud que presentó va encaminada a ejercer el derecho de petición</w:t>
      </w:r>
      <w:r w:rsidR="00CD61A4">
        <w:rPr>
          <w:rFonts w:ascii="Palatino Linotype" w:eastAsia="Calibri" w:hAnsi="Palatino Linotype" w:cs="Arial"/>
          <w:sz w:val="24"/>
        </w:rPr>
        <w:t>, el cual no se satisface con la entrega de documentos generados en el ejercicio de las facultades, atribuciones y competencias del Sujeto Obligado, además de que uno de los requerimientos se aborda actos futuros de realización incierta; en consecuencia, no pueden ser atendidos por la vía del derecho de acceso a la información pública.</w:t>
      </w:r>
    </w:p>
    <w:p w14:paraId="0A1415AB" w14:textId="77777777" w:rsidR="00547ADC" w:rsidRDefault="00547ADC" w:rsidP="00547ADC">
      <w:pPr>
        <w:pStyle w:val="Prrafodelista"/>
        <w:tabs>
          <w:tab w:val="left" w:pos="567"/>
        </w:tabs>
        <w:spacing w:line="360" w:lineRule="auto"/>
        <w:ind w:left="0"/>
        <w:jc w:val="both"/>
        <w:rPr>
          <w:rFonts w:ascii="Palatino Linotype" w:eastAsia="Calibri" w:hAnsi="Palatino Linotype" w:cs="Arial"/>
          <w:sz w:val="24"/>
        </w:rPr>
      </w:pPr>
    </w:p>
    <w:p w14:paraId="74B8BF75" w14:textId="0CED95C0" w:rsidR="00CD61A4" w:rsidRDefault="00CD61A4" w:rsidP="00CD61A4">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Al no haber más requerimientos que si sean materia del derecho de acceso a la información pública, se considera que el presente asunto actualiza la causal de sobreseimiento contenida en el artículo 192 fracción V de la Ley de Transparencia y Acceso a la Información Pública del Estado de México y Municipios, toda vez que se ha quedado sin materia.</w:t>
      </w:r>
    </w:p>
    <w:p w14:paraId="6ABDE0A6" w14:textId="77777777" w:rsidR="00547ADC" w:rsidRPr="00547ADC" w:rsidRDefault="00547ADC" w:rsidP="00547ADC">
      <w:pPr>
        <w:pStyle w:val="Prrafodelista"/>
        <w:rPr>
          <w:rFonts w:ascii="Palatino Linotype" w:eastAsia="Calibri" w:hAnsi="Palatino Linotype" w:cs="Arial"/>
          <w:sz w:val="24"/>
        </w:rPr>
      </w:pPr>
    </w:p>
    <w:bookmarkEnd w:id="15"/>
    <w:p w14:paraId="2675D4B8" w14:textId="77777777" w:rsidR="004B7E50" w:rsidRPr="001C26A6"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hAnsi="Palatino Linotype" w:cs="Arial"/>
          <w:color w:val="222222"/>
          <w:sz w:val="24"/>
          <w:lang w:eastAsia="es-MX"/>
        </w:rPr>
        <w:t xml:space="preserve">Por lo anteriormente expuesto y fundado, este </w:t>
      </w:r>
      <w:r w:rsidRPr="004B7E50">
        <w:rPr>
          <w:rFonts w:ascii="Palatino Linotype" w:hAnsi="Palatino Linotype" w:cs="Arial"/>
          <w:b/>
          <w:bCs/>
          <w:color w:val="222222"/>
          <w:sz w:val="24"/>
          <w:lang w:eastAsia="es-MX"/>
        </w:rPr>
        <w:t>ÓRGANO GARANTE</w:t>
      </w:r>
      <w:r w:rsidRPr="004B7E50">
        <w:rPr>
          <w:rFonts w:ascii="Palatino Linotype" w:hAnsi="Palatino Linotype" w:cs="Arial"/>
          <w:color w:val="222222"/>
          <w:sz w:val="24"/>
          <w:lang w:eastAsia="es-MX"/>
        </w:rPr>
        <w:t xml:space="preserve"> emite los siguientes:</w:t>
      </w:r>
    </w:p>
    <w:p w14:paraId="0BA8FFD5" w14:textId="61FDB51C" w:rsidR="001C26A6" w:rsidRPr="001C26A6" w:rsidRDefault="00547ADC" w:rsidP="001C26A6">
      <w:pPr>
        <w:pStyle w:val="Prrafodelista"/>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59264" behindDoc="0" locked="0" layoutInCell="1" allowOverlap="1" wp14:anchorId="5D19D1E1" wp14:editId="1C979236">
                <wp:simplePos x="0" y="0"/>
                <wp:positionH relativeFrom="column">
                  <wp:posOffset>10794</wp:posOffset>
                </wp:positionH>
                <wp:positionV relativeFrom="paragraph">
                  <wp:posOffset>-3810</wp:posOffset>
                </wp:positionV>
                <wp:extent cx="5743575" cy="22669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43575"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B938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3pt" to="453.1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" strokecolor="#4472c4 [3204]" strokeweight=".5pt">
                <v:stroke joinstyle="miter"/>
              </v:line>
            </w:pict>
          </mc:Fallback>
        </mc:AlternateContent>
      </w:r>
    </w:p>
    <w:p w14:paraId="08FA76B7" w14:textId="77777777" w:rsidR="001C26A6" w:rsidRDefault="001C26A6" w:rsidP="001C26A6">
      <w:pPr>
        <w:tabs>
          <w:tab w:val="left" w:pos="567"/>
        </w:tabs>
        <w:spacing w:line="360" w:lineRule="auto"/>
        <w:jc w:val="both"/>
        <w:rPr>
          <w:rFonts w:ascii="Palatino Linotype" w:eastAsia="Calibri" w:hAnsi="Palatino Linotype" w:cs="Arial"/>
          <w:sz w:val="24"/>
        </w:rPr>
      </w:pPr>
    </w:p>
    <w:p w14:paraId="3C8D71BE" w14:textId="77777777" w:rsidR="00547ADC" w:rsidRDefault="00547ADC" w:rsidP="001C26A6">
      <w:pPr>
        <w:tabs>
          <w:tab w:val="left" w:pos="567"/>
        </w:tabs>
        <w:spacing w:line="360" w:lineRule="auto"/>
        <w:jc w:val="both"/>
        <w:rPr>
          <w:rFonts w:ascii="Palatino Linotype" w:eastAsia="Calibri" w:hAnsi="Palatino Linotype" w:cs="Arial"/>
          <w:sz w:val="24"/>
        </w:rPr>
      </w:pPr>
    </w:p>
    <w:p w14:paraId="27AEF299" w14:textId="77777777" w:rsidR="00607D0C" w:rsidRDefault="00607D0C" w:rsidP="001C26A6">
      <w:pPr>
        <w:tabs>
          <w:tab w:val="left" w:pos="567"/>
        </w:tabs>
        <w:spacing w:line="360" w:lineRule="auto"/>
        <w:jc w:val="both"/>
        <w:rPr>
          <w:rFonts w:ascii="Palatino Linotype" w:eastAsia="Calibri" w:hAnsi="Palatino Linotype" w:cs="Arial"/>
          <w:sz w:val="24"/>
        </w:rPr>
      </w:pPr>
    </w:p>
    <w:p w14:paraId="6EB5914D" w14:textId="77777777" w:rsidR="00B072BC" w:rsidRDefault="00B072BC" w:rsidP="001C26A6">
      <w:pPr>
        <w:tabs>
          <w:tab w:val="left" w:pos="567"/>
        </w:tabs>
        <w:spacing w:line="360" w:lineRule="auto"/>
        <w:jc w:val="both"/>
        <w:rPr>
          <w:rFonts w:ascii="Palatino Linotype" w:eastAsia="Calibri" w:hAnsi="Palatino Linotype" w:cs="Arial"/>
          <w:sz w:val="24"/>
        </w:rPr>
      </w:pPr>
    </w:p>
    <w:p w14:paraId="46941C20" w14:textId="77777777" w:rsidR="00B072BC" w:rsidRPr="001C26A6" w:rsidRDefault="00B072BC" w:rsidP="001C26A6">
      <w:pPr>
        <w:tabs>
          <w:tab w:val="left" w:pos="567"/>
        </w:tabs>
        <w:spacing w:line="360" w:lineRule="auto"/>
        <w:jc w:val="both"/>
        <w:rPr>
          <w:rFonts w:ascii="Palatino Linotype" w:eastAsia="Calibri" w:hAnsi="Palatino Linotype" w:cs="Arial"/>
          <w:sz w:val="24"/>
        </w:rPr>
      </w:pPr>
    </w:p>
    <w:p w14:paraId="35D572BE" w14:textId="25A8ECD3" w:rsidR="00B072BC" w:rsidRPr="004B7E50" w:rsidRDefault="004B7E50" w:rsidP="00B072BC">
      <w:pPr>
        <w:keepNext/>
        <w:keepLines/>
        <w:spacing w:line="360" w:lineRule="auto"/>
        <w:jc w:val="center"/>
        <w:outlineLvl w:val="0"/>
        <w:rPr>
          <w:rFonts w:ascii="Palatino Linotype" w:hAnsi="Palatino Linotype" w:cstheme="majorBidi"/>
          <w:b/>
          <w:bCs/>
          <w:sz w:val="24"/>
        </w:rPr>
      </w:pPr>
      <w:bookmarkStart w:id="26" w:name="_Toc447699324"/>
      <w:bookmarkStart w:id="27" w:name="_Toc445745148"/>
      <w:bookmarkStart w:id="28" w:name="_Toc486525261"/>
      <w:bookmarkStart w:id="29" w:name="_Toc4061692"/>
      <w:bookmarkStart w:id="30" w:name="_Toc86235930"/>
      <w:r w:rsidRPr="004B7E50">
        <w:rPr>
          <w:rFonts w:ascii="Palatino Linotype" w:hAnsi="Palatino Linotype" w:cstheme="majorBidi"/>
          <w:b/>
          <w:bCs/>
          <w:sz w:val="24"/>
        </w:rPr>
        <w:lastRenderedPageBreak/>
        <w:t>R E S O L U T I V O S</w:t>
      </w:r>
      <w:bookmarkEnd w:id="26"/>
      <w:bookmarkEnd w:id="27"/>
      <w:bookmarkEnd w:id="28"/>
      <w:bookmarkEnd w:id="29"/>
      <w:bookmarkEnd w:id="30"/>
    </w:p>
    <w:p w14:paraId="5C922C2D" w14:textId="77777777" w:rsidR="00B072BC" w:rsidRDefault="00B072BC" w:rsidP="004B7E50">
      <w:pPr>
        <w:spacing w:line="360" w:lineRule="auto"/>
        <w:jc w:val="both"/>
        <w:rPr>
          <w:rFonts w:ascii="Palatino Linotype" w:hAnsi="Palatino Linotype" w:cs="Arial"/>
          <w:b/>
          <w:sz w:val="24"/>
        </w:rPr>
      </w:pPr>
    </w:p>
    <w:p w14:paraId="244D4EEA" w14:textId="08A0B99E" w:rsidR="004B7E50" w:rsidRDefault="004B7E50" w:rsidP="004B7E50">
      <w:pPr>
        <w:spacing w:line="360" w:lineRule="auto"/>
        <w:jc w:val="both"/>
        <w:rPr>
          <w:rFonts w:ascii="Palatino Linotype" w:hAnsi="Palatino Linotype" w:cs="Arial"/>
          <w:bCs/>
          <w:sz w:val="24"/>
        </w:rPr>
      </w:pPr>
      <w:r w:rsidRPr="004B7E50">
        <w:rPr>
          <w:rFonts w:ascii="Palatino Linotype" w:hAnsi="Palatino Linotype" w:cs="Arial"/>
          <w:b/>
          <w:sz w:val="24"/>
        </w:rPr>
        <w:t xml:space="preserve">PRIMERO. </w:t>
      </w:r>
      <w:r w:rsidR="00CD61A4" w:rsidRPr="00CD61A4">
        <w:rPr>
          <w:rFonts w:ascii="Palatino Linotype" w:hAnsi="Palatino Linotype" w:cs="Arial"/>
          <w:sz w:val="24"/>
        </w:rPr>
        <w:t xml:space="preserve">Se </w:t>
      </w:r>
      <w:r w:rsidR="00CD61A4">
        <w:rPr>
          <w:rFonts w:ascii="Palatino Linotype" w:hAnsi="Palatino Linotype" w:cs="Arial"/>
          <w:b/>
          <w:sz w:val="24"/>
        </w:rPr>
        <w:t xml:space="preserve">SOBRESEE </w:t>
      </w:r>
      <w:r w:rsidR="00CD61A4" w:rsidRPr="00CD61A4">
        <w:rPr>
          <w:rFonts w:ascii="Palatino Linotype" w:hAnsi="Palatino Linotype" w:cs="Arial"/>
          <w:sz w:val="24"/>
        </w:rPr>
        <w:t>el recurso de revisión número</w:t>
      </w:r>
      <w:r w:rsidR="00CD61A4">
        <w:rPr>
          <w:rFonts w:ascii="Palatino Linotype" w:hAnsi="Palatino Linotype" w:cs="Arial"/>
          <w:b/>
          <w:sz w:val="24"/>
        </w:rPr>
        <w:t xml:space="preserve"> </w:t>
      </w:r>
      <w:r w:rsidR="00597563" w:rsidRPr="00597563">
        <w:rPr>
          <w:rFonts w:ascii="Palatino Linotype" w:hAnsi="Palatino Linotype" w:cs="Arial"/>
          <w:b/>
          <w:bCs/>
          <w:sz w:val="24"/>
          <w:szCs w:val="24"/>
          <w:lang w:eastAsia="es-MX"/>
        </w:rPr>
        <w:t>04718/INFOEM/IP/RR/2021</w:t>
      </w:r>
      <w:r w:rsidR="00CD61A4">
        <w:rPr>
          <w:rFonts w:ascii="Palatino Linotype" w:hAnsi="Palatino Linotype" w:cs="Arial"/>
          <w:b/>
          <w:bCs/>
          <w:sz w:val="24"/>
          <w:szCs w:val="24"/>
          <w:lang w:eastAsia="es-MX"/>
        </w:rPr>
        <w:t xml:space="preserve"> por quedarse sin materia,</w:t>
      </w:r>
      <w:r w:rsidRPr="004B7E50">
        <w:rPr>
          <w:rFonts w:ascii="Palatino Linotype" w:hAnsi="Palatino Linotype" w:cs="Arial"/>
          <w:b/>
          <w:bCs/>
          <w:sz w:val="36"/>
          <w:lang w:eastAsia="es-MX"/>
        </w:rPr>
        <w:t xml:space="preserve"> </w:t>
      </w:r>
      <w:r w:rsidRPr="004B7E50">
        <w:rPr>
          <w:rFonts w:ascii="Palatino Linotype" w:hAnsi="Palatino Linotype" w:cs="Arial"/>
          <w:bCs/>
          <w:sz w:val="24"/>
        </w:rPr>
        <w:t xml:space="preserve">en términos del considerando </w:t>
      </w:r>
      <w:r w:rsidR="00CD61A4" w:rsidRPr="00CD61A4">
        <w:rPr>
          <w:rFonts w:ascii="Palatino Linotype" w:hAnsi="Palatino Linotype" w:cs="Arial"/>
          <w:b/>
          <w:bCs/>
          <w:sz w:val="24"/>
        </w:rPr>
        <w:t>TERCERO</w:t>
      </w:r>
      <w:r w:rsidRPr="004B7E50">
        <w:rPr>
          <w:rFonts w:ascii="Palatino Linotype" w:hAnsi="Palatino Linotype" w:cs="Arial"/>
          <w:b/>
          <w:bCs/>
          <w:sz w:val="24"/>
        </w:rPr>
        <w:t xml:space="preserve"> </w:t>
      </w:r>
      <w:r w:rsidRPr="004B7E50">
        <w:rPr>
          <w:rFonts w:ascii="Palatino Linotype" w:hAnsi="Palatino Linotype" w:cs="Arial"/>
          <w:bCs/>
          <w:sz w:val="24"/>
        </w:rPr>
        <w:t xml:space="preserve">de la presente resolución. </w:t>
      </w:r>
    </w:p>
    <w:p w14:paraId="14FD4F82" w14:textId="77777777" w:rsidR="00CD61A4" w:rsidRPr="004B7E50" w:rsidRDefault="00CD61A4" w:rsidP="004B7E50">
      <w:pPr>
        <w:spacing w:line="360" w:lineRule="auto"/>
        <w:jc w:val="both"/>
        <w:rPr>
          <w:rFonts w:ascii="Palatino Linotype" w:hAnsi="Palatino Linotype"/>
          <w:sz w:val="24"/>
        </w:rPr>
      </w:pPr>
    </w:p>
    <w:p w14:paraId="5D715850" w14:textId="5449900C" w:rsidR="004B7E50" w:rsidRPr="004B7E50" w:rsidRDefault="00CD61A4" w:rsidP="004B7E50">
      <w:pPr>
        <w:tabs>
          <w:tab w:val="left" w:pos="8080"/>
        </w:tabs>
        <w:spacing w:line="360" w:lineRule="auto"/>
        <w:ind w:right="49"/>
        <w:contextualSpacing/>
        <w:jc w:val="both"/>
        <w:rPr>
          <w:rFonts w:ascii="Palatino Linotype" w:eastAsia="Palatino Linotype" w:hAnsi="Palatino Linotype" w:cs="Palatino Linotype"/>
          <w:b/>
          <w:sz w:val="24"/>
        </w:rPr>
      </w:pPr>
      <w:r>
        <w:rPr>
          <w:rFonts w:ascii="Palatino Linotype" w:hAnsi="Palatino Linotype"/>
          <w:b/>
          <w:sz w:val="24"/>
        </w:rPr>
        <w:t>SEGUNDO</w:t>
      </w:r>
      <w:r w:rsidR="004B7E50" w:rsidRPr="004B7E50">
        <w:rPr>
          <w:rFonts w:ascii="Palatino Linotype" w:eastAsia="Palatino Linotype" w:hAnsi="Palatino Linotype" w:cs="Palatino Linotype"/>
          <w:b/>
          <w:sz w:val="24"/>
        </w:rPr>
        <w:t xml:space="preserve">. REMÍTASE, </w:t>
      </w:r>
      <w:r w:rsidRPr="00CD61A4">
        <w:rPr>
          <w:rFonts w:ascii="Palatino Linotype" w:eastAsia="Palatino Linotype" w:hAnsi="Palatino Linotype" w:cs="Palatino Linotype"/>
          <w:sz w:val="24"/>
        </w:rPr>
        <w:t>al Titular de la Unidad de Transparencia del</w:t>
      </w:r>
      <w:r>
        <w:rPr>
          <w:rFonts w:ascii="Palatino Linotype" w:eastAsia="Palatino Linotype" w:hAnsi="Palatino Linotype" w:cs="Palatino Linotype"/>
          <w:b/>
          <w:sz w:val="24"/>
        </w:rPr>
        <w:t xml:space="preserve"> SUJETO OBLIGADO </w:t>
      </w:r>
      <w:r w:rsidRPr="00CD61A4">
        <w:rPr>
          <w:rFonts w:ascii="Palatino Linotype" w:eastAsia="Palatino Linotype" w:hAnsi="Palatino Linotype" w:cs="Palatino Linotype"/>
          <w:sz w:val="24"/>
        </w:rPr>
        <w:t>vía</w:t>
      </w:r>
      <w:r>
        <w:rPr>
          <w:rFonts w:ascii="Palatino Linotype" w:eastAsia="Palatino Linotype" w:hAnsi="Palatino Linotype" w:cs="Palatino Linotype"/>
          <w:b/>
          <w:sz w:val="24"/>
        </w:rPr>
        <w:t xml:space="preserve"> </w:t>
      </w:r>
      <w:r w:rsidR="004B7E50" w:rsidRPr="004B7E50">
        <w:rPr>
          <w:rFonts w:ascii="Palatino Linotype" w:eastAsia="Palatino Linotype" w:hAnsi="Palatino Linotype" w:cs="Palatino Linotype"/>
          <w:sz w:val="24"/>
        </w:rPr>
        <w:t xml:space="preserve">Sistema de Acceso a la Información Mexiquense </w:t>
      </w:r>
      <w:r w:rsidR="004B7E50" w:rsidRPr="004B7E50">
        <w:rPr>
          <w:rFonts w:ascii="Palatino Linotype" w:eastAsia="Palatino Linotype" w:hAnsi="Palatino Linotype" w:cs="Palatino Linotype"/>
          <w:b/>
          <w:sz w:val="24"/>
        </w:rPr>
        <w:t>(SAIMEX)</w:t>
      </w:r>
      <w:r w:rsidR="004B7E50" w:rsidRPr="004B7E50">
        <w:rPr>
          <w:rFonts w:ascii="Palatino Linotype" w:eastAsia="Palatino Linotype" w:hAnsi="Palatino Linotype" w:cs="Palatino Linotype"/>
          <w:sz w:val="24"/>
        </w:rPr>
        <w:t>, la presente resolución</w:t>
      </w:r>
      <w:r>
        <w:rPr>
          <w:rFonts w:ascii="Palatino Linotype" w:eastAsia="Palatino Linotype" w:hAnsi="Palatino Linotype" w:cs="Palatino Linotype"/>
          <w:sz w:val="24"/>
        </w:rPr>
        <w:t>.</w:t>
      </w:r>
    </w:p>
    <w:p w14:paraId="6055E1C8" w14:textId="77777777" w:rsidR="004B7E50" w:rsidRPr="004B7E50" w:rsidRDefault="004B7E50" w:rsidP="004B7E50">
      <w:pPr>
        <w:tabs>
          <w:tab w:val="left" w:pos="8080"/>
        </w:tabs>
        <w:spacing w:line="360" w:lineRule="auto"/>
        <w:ind w:right="49"/>
        <w:contextualSpacing/>
        <w:jc w:val="both"/>
        <w:rPr>
          <w:rFonts w:ascii="Palatino Linotype" w:eastAsia="Palatino Linotype" w:hAnsi="Palatino Linotype" w:cs="Palatino Linotype"/>
          <w:b/>
          <w:sz w:val="24"/>
        </w:rPr>
      </w:pPr>
    </w:p>
    <w:p w14:paraId="59C3A500" w14:textId="737BD6FA" w:rsidR="004B7E50" w:rsidRPr="004B7E50" w:rsidRDefault="00CD61A4" w:rsidP="004B7E50">
      <w:pPr>
        <w:shd w:val="clear" w:color="auto" w:fill="FFFFFF"/>
        <w:spacing w:line="360" w:lineRule="auto"/>
        <w:jc w:val="both"/>
        <w:rPr>
          <w:rFonts w:ascii="Palatino Linotype" w:hAnsi="Palatino Linotype"/>
          <w:color w:val="222222"/>
          <w:sz w:val="24"/>
          <w:lang w:val="es-ES" w:eastAsia="es-MX"/>
        </w:rPr>
      </w:pPr>
      <w:bookmarkStart w:id="31" w:name="_Toc462307694"/>
      <w:bookmarkStart w:id="32" w:name="_Toc473806819"/>
      <w:bookmarkStart w:id="33" w:name="_Toc477345211"/>
      <w:bookmarkStart w:id="34" w:name="_Toc480987181"/>
      <w:bookmarkStart w:id="35" w:name="_Toc480996314"/>
      <w:bookmarkStart w:id="36" w:name="_Toc485145214"/>
      <w:bookmarkStart w:id="37" w:name="_Toc490679149"/>
      <w:r>
        <w:rPr>
          <w:rFonts w:ascii="Palatino Linotype" w:hAnsi="Palatino Linotype"/>
          <w:b/>
          <w:sz w:val="24"/>
        </w:rPr>
        <w:t>TERCERO</w:t>
      </w:r>
      <w:r w:rsidR="004B7E50" w:rsidRPr="004B7E50">
        <w:rPr>
          <w:rFonts w:ascii="Palatino Linotype" w:hAnsi="Palatino Linotype"/>
          <w:b/>
          <w:sz w:val="24"/>
        </w:rPr>
        <w:t>.</w:t>
      </w:r>
      <w:r w:rsidR="004B7E50" w:rsidRPr="004B7E50">
        <w:rPr>
          <w:rStyle w:val="Ttulo2Car"/>
          <w:rFonts w:ascii="Palatino Linotype" w:hAnsi="Palatino Linotype"/>
          <w:b/>
          <w:sz w:val="32"/>
        </w:rPr>
        <w:t xml:space="preserve"> </w:t>
      </w:r>
      <w:r w:rsidR="004B7E50" w:rsidRPr="004B7E50">
        <w:rPr>
          <w:rFonts w:ascii="Palatino Linotype" w:hAnsi="Palatino Linotype"/>
          <w:b/>
          <w:sz w:val="24"/>
        </w:rPr>
        <w:t>Notifíquese</w:t>
      </w:r>
      <w:r w:rsidR="004B7E50" w:rsidRPr="004B7E50">
        <w:rPr>
          <w:rStyle w:val="Ttulo2Car"/>
          <w:rFonts w:ascii="Palatino Linotype" w:hAnsi="Palatino Linotype"/>
          <w:sz w:val="32"/>
        </w:rPr>
        <w:t xml:space="preserve"> </w:t>
      </w:r>
      <w:bookmarkEnd w:id="31"/>
      <w:bookmarkEnd w:id="32"/>
      <w:bookmarkEnd w:id="33"/>
      <w:bookmarkEnd w:id="34"/>
      <w:bookmarkEnd w:id="35"/>
      <w:bookmarkEnd w:id="36"/>
      <w:bookmarkEnd w:id="37"/>
      <w:r w:rsidR="004B7E50" w:rsidRPr="004B7E50">
        <w:rPr>
          <w:rFonts w:ascii="Palatino Linotype" w:hAnsi="Palatino Linotype"/>
          <w:sz w:val="24"/>
        </w:rPr>
        <w:t>a</w:t>
      </w:r>
      <w:r w:rsidR="00597563">
        <w:rPr>
          <w:rFonts w:ascii="Palatino Linotype" w:hAnsi="Palatino Linotype"/>
          <w:sz w:val="24"/>
        </w:rPr>
        <w:t xml:space="preserve">l </w:t>
      </w:r>
      <w:r w:rsidR="00597563" w:rsidRPr="00597563">
        <w:rPr>
          <w:rFonts w:ascii="Palatino Linotype" w:hAnsi="Palatino Linotype"/>
          <w:b/>
          <w:sz w:val="24"/>
        </w:rPr>
        <w:t>RECURRENTE</w:t>
      </w:r>
      <w:r w:rsidR="004B7E50" w:rsidRPr="004B7E50">
        <w:rPr>
          <w:rFonts w:ascii="Palatino Linotype" w:hAnsi="Palatino Linotype"/>
          <w:b/>
          <w:sz w:val="24"/>
        </w:rPr>
        <w:t>,</w:t>
      </w:r>
      <w:r w:rsidR="004B7E50" w:rsidRPr="004B7E50">
        <w:rPr>
          <w:rFonts w:ascii="Palatino Linotype" w:hAnsi="Palatino Linotype"/>
          <w:sz w:val="24"/>
        </w:rPr>
        <w:t xml:space="preserve"> la presente</w:t>
      </w:r>
      <w:r w:rsidR="004B7E50" w:rsidRPr="004B7E50">
        <w:rPr>
          <w:rFonts w:ascii="Palatino Linotype" w:hAnsi="Palatino Linotype"/>
          <w:color w:val="222222"/>
          <w:sz w:val="24"/>
          <w:lang w:val="es-ES" w:eastAsia="es-MX"/>
        </w:rPr>
        <w:t xml:space="preserve"> resolución</w:t>
      </w:r>
      <w:r w:rsidR="008C1614">
        <w:rPr>
          <w:rFonts w:ascii="Palatino Linotype" w:hAnsi="Palatino Linotype"/>
          <w:color w:val="222222"/>
          <w:sz w:val="24"/>
          <w:lang w:val="es-ES" w:eastAsia="es-MX"/>
        </w:rPr>
        <w:t xml:space="preserve"> </w:t>
      </w:r>
      <w:r w:rsidR="00AB1838">
        <w:rPr>
          <w:rFonts w:ascii="Palatino Linotype" w:hAnsi="Palatino Linotype"/>
          <w:color w:val="222222"/>
          <w:sz w:val="24"/>
          <w:lang w:val="es-ES" w:eastAsia="es-MX"/>
        </w:rPr>
        <w:t>vía</w:t>
      </w:r>
      <w:r w:rsidR="008C1614">
        <w:rPr>
          <w:rFonts w:ascii="Palatino Linotype" w:hAnsi="Palatino Linotype"/>
          <w:color w:val="222222"/>
          <w:sz w:val="24"/>
          <w:lang w:val="es-ES" w:eastAsia="es-MX"/>
        </w:rPr>
        <w:t xml:space="preserve"> Sistema de Acceso a la Información Mexiquense </w:t>
      </w:r>
      <w:r w:rsidR="008C1614" w:rsidRPr="008C1614">
        <w:rPr>
          <w:rFonts w:ascii="Palatino Linotype" w:hAnsi="Palatino Linotype"/>
          <w:b/>
          <w:color w:val="222222"/>
          <w:sz w:val="24"/>
          <w:lang w:val="es-ES" w:eastAsia="es-MX"/>
        </w:rPr>
        <w:t>(SAIMEX)</w:t>
      </w:r>
      <w:r w:rsidR="004B7E50" w:rsidRPr="008C1614">
        <w:rPr>
          <w:rFonts w:ascii="Palatino Linotype" w:hAnsi="Palatino Linotype"/>
          <w:b/>
          <w:color w:val="222222"/>
          <w:sz w:val="24"/>
          <w:lang w:val="es-ES" w:eastAsia="es-MX"/>
        </w:rPr>
        <w:t>.</w:t>
      </w:r>
    </w:p>
    <w:p w14:paraId="419DC7B1" w14:textId="6EE97D1B" w:rsidR="004B7E50" w:rsidRPr="004B7E50" w:rsidRDefault="00CD61A4" w:rsidP="004B7E50">
      <w:pPr>
        <w:spacing w:before="240" w:after="240" w:line="360" w:lineRule="auto"/>
        <w:ind w:firstLine="1"/>
        <w:jc w:val="both"/>
        <w:rPr>
          <w:rFonts w:ascii="Palatino Linotype" w:hAnsi="Palatino Linotype"/>
          <w:sz w:val="24"/>
        </w:rPr>
      </w:pPr>
      <w:r>
        <w:rPr>
          <w:rFonts w:ascii="Palatino Linotype" w:hAnsi="Palatino Linotype"/>
          <w:b/>
          <w:color w:val="222222"/>
          <w:sz w:val="24"/>
          <w:lang w:val="es-ES" w:eastAsia="es-MX"/>
        </w:rPr>
        <w:t>CUARTO</w:t>
      </w:r>
      <w:r w:rsidR="004B7E50" w:rsidRPr="004B7E50">
        <w:rPr>
          <w:rFonts w:ascii="Palatino Linotype" w:hAnsi="Palatino Linotype"/>
          <w:b/>
          <w:color w:val="222222"/>
          <w:sz w:val="24"/>
          <w:lang w:val="es-ES" w:eastAsia="es-MX"/>
        </w:rPr>
        <w:t xml:space="preserve">. </w:t>
      </w:r>
      <w:r w:rsidR="004B7E50" w:rsidRPr="004B7E50">
        <w:rPr>
          <w:rFonts w:ascii="Palatino Linotype" w:hAnsi="Palatino Linotype"/>
          <w:color w:val="222222"/>
          <w:sz w:val="24"/>
          <w:lang w:val="es-ES" w:eastAsia="es-MX"/>
        </w:rPr>
        <w:t xml:space="preserve">Se hace del conocimiento del </w:t>
      </w:r>
      <w:r w:rsidR="00597563">
        <w:rPr>
          <w:rFonts w:ascii="Palatino Linotype" w:hAnsi="Palatino Linotype"/>
          <w:b/>
          <w:sz w:val="24"/>
          <w:szCs w:val="24"/>
        </w:rPr>
        <w:t>RECURRENTE</w:t>
      </w:r>
      <w:r w:rsidR="004B7E50" w:rsidRPr="004B7E50">
        <w:rPr>
          <w:rFonts w:ascii="Palatino Linotype" w:hAnsi="Palatino Linotype"/>
          <w:b/>
          <w:sz w:val="24"/>
          <w:szCs w:val="22"/>
        </w:rPr>
        <w:t xml:space="preserve"> </w:t>
      </w:r>
      <w:r w:rsidR="004B7E50" w:rsidRPr="004B7E50">
        <w:rPr>
          <w:rFonts w:ascii="Palatino Linotype" w:hAnsi="Palatino Linotype"/>
          <w:color w:val="222222"/>
          <w:sz w:val="24"/>
          <w:lang w:val="es-ES" w:eastAsia="es-MX"/>
        </w:rPr>
        <w:t>que, de conformidad con lo establecido en el artículo 196 de la Ley de Transparencia y Acceso a la Información Pública del Estado de México y Municipios,</w:t>
      </w:r>
      <w:r w:rsidR="004B7E50" w:rsidRPr="004B7E50">
        <w:rPr>
          <w:rFonts w:ascii="Palatino Linotype" w:hAnsi="Palatino Linotype"/>
          <w:color w:val="000000"/>
          <w:sz w:val="24"/>
          <w:shd w:val="clear" w:color="auto" w:fill="FFFFFF"/>
        </w:rPr>
        <w:t xml:space="preserve"> en caso de que considere que la resolución le cause algún perjuicio podrá impugnarla vía </w:t>
      </w:r>
      <w:r w:rsidR="004B7E50" w:rsidRPr="004B7E50">
        <w:rPr>
          <w:rFonts w:ascii="Palatino Linotype" w:hAnsi="Palatino Linotype"/>
          <w:color w:val="222222"/>
          <w:sz w:val="24"/>
          <w:shd w:val="clear" w:color="auto" w:fill="FFFFFF"/>
          <w:lang w:val="es-ES"/>
        </w:rPr>
        <w:t>juicio de amparo en los términos de las leyes aplicables.</w:t>
      </w:r>
      <w:r w:rsidR="004B7E50" w:rsidRPr="004B7E50">
        <w:rPr>
          <w:rFonts w:ascii="Palatino Linotype" w:hAnsi="Palatino Linotype"/>
          <w:sz w:val="24"/>
        </w:rPr>
        <w:t xml:space="preserve"> </w:t>
      </w:r>
    </w:p>
    <w:p w14:paraId="5D02B135" w14:textId="343F0B45" w:rsidR="004B7E50" w:rsidRPr="004B7E50" w:rsidRDefault="004B7E50" w:rsidP="004B7E50">
      <w:pPr>
        <w:spacing w:before="240" w:after="240" w:line="360" w:lineRule="auto"/>
        <w:ind w:firstLine="1"/>
        <w:jc w:val="both"/>
        <w:rPr>
          <w:rFonts w:ascii="Palatino Linotype" w:hAnsi="Palatino Linotype"/>
          <w:sz w:val="24"/>
        </w:rPr>
      </w:pPr>
      <w:r w:rsidRPr="004B7E50">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4B7E50">
        <w:rPr>
          <w:rFonts w:ascii="Palatino Linotype" w:hAnsi="Palatino Linotype"/>
          <w:sz w:val="24"/>
        </w:rPr>
        <w:lastRenderedPageBreak/>
        <w:t xml:space="preserve">GUSTAVO PARRA NORIEGA; Y GUADALUPE RAMÍREZ PEÑA EN LA </w:t>
      </w:r>
      <w:bookmarkStart w:id="38" w:name="_GoBack"/>
      <w:r w:rsidRPr="004B7E50">
        <w:rPr>
          <w:rFonts w:ascii="Palatino Linotype" w:hAnsi="Palatino Linotype"/>
          <w:sz w:val="24"/>
        </w:rPr>
        <w:t xml:space="preserve">TRIGÉSIMA </w:t>
      </w:r>
      <w:r w:rsidR="00424E7B" w:rsidRPr="00424E7B">
        <w:rPr>
          <w:rFonts w:ascii="Palatino Linotype" w:hAnsi="Palatino Linotype"/>
          <w:sz w:val="24"/>
        </w:rPr>
        <w:t>NOVENA</w:t>
      </w:r>
      <w:r w:rsidRPr="004B7E50">
        <w:rPr>
          <w:rFonts w:ascii="Palatino Linotype" w:hAnsi="Palatino Linotype"/>
          <w:sz w:val="24"/>
        </w:rPr>
        <w:t xml:space="preserve"> SESIÓN ORDINARIA CELEBRADA EL </w:t>
      </w:r>
      <w:r w:rsidR="00424E7B">
        <w:rPr>
          <w:rFonts w:ascii="Palatino Linotype" w:hAnsi="Palatino Linotype"/>
          <w:sz w:val="24"/>
        </w:rPr>
        <w:t>CUATRO</w:t>
      </w:r>
      <w:r w:rsidRPr="004B7E50">
        <w:rPr>
          <w:rFonts w:ascii="Palatino Linotype" w:hAnsi="Palatino Linotype"/>
          <w:sz w:val="24"/>
        </w:rPr>
        <w:t xml:space="preserve"> DE </w:t>
      </w:r>
      <w:r w:rsidR="00607D0C">
        <w:rPr>
          <w:rFonts w:ascii="Palatino Linotype" w:hAnsi="Palatino Linotype"/>
          <w:sz w:val="24"/>
        </w:rPr>
        <w:t>NOVIEMBRE</w:t>
      </w:r>
      <w:r w:rsidRPr="004B7E50">
        <w:rPr>
          <w:rFonts w:ascii="Palatino Linotype" w:hAnsi="Palatino Linotype"/>
          <w:sz w:val="24"/>
        </w:rPr>
        <w:t xml:space="preserve"> DE DOS MIL VEINTIUNO, ANTE </w:t>
      </w:r>
      <w:bookmarkEnd w:id="38"/>
      <w:r w:rsidRPr="004B7E50">
        <w:rPr>
          <w:rFonts w:ascii="Palatino Linotype" w:hAnsi="Palatino Linotype"/>
          <w:sz w:val="24"/>
        </w:rPr>
        <w:t xml:space="preserve">EL SECRETARIO TÉCNICO DEL PLENO ALEXIS TAPIA RAMÍREZ </w:t>
      </w:r>
    </w:p>
    <w:p w14:paraId="4B552B46" w14:textId="77777777" w:rsidR="004B7E50" w:rsidRDefault="004B7E50" w:rsidP="004B7E50">
      <w:pPr>
        <w:spacing w:before="240" w:after="240" w:line="360" w:lineRule="auto"/>
        <w:ind w:firstLine="1"/>
        <w:jc w:val="both"/>
        <w:rPr>
          <w:rFonts w:ascii="Palatino Linotype" w:hAnsi="Palatino Linotype"/>
        </w:rPr>
      </w:pPr>
    </w:p>
    <w:p w14:paraId="1D6A0149" w14:textId="77777777" w:rsidR="004B7E50" w:rsidRDefault="004B7E50" w:rsidP="004B7E50">
      <w:pPr>
        <w:spacing w:before="240" w:after="240" w:line="360" w:lineRule="auto"/>
        <w:ind w:firstLine="1"/>
        <w:jc w:val="both"/>
        <w:rPr>
          <w:rFonts w:ascii="Palatino Linotype" w:hAnsi="Palatino Linotype"/>
        </w:rPr>
      </w:pPr>
    </w:p>
    <w:p w14:paraId="06C013BB" w14:textId="77777777" w:rsidR="004B7E50" w:rsidRDefault="004B7E50" w:rsidP="004B7E50">
      <w:pPr>
        <w:spacing w:before="240" w:after="240" w:line="360" w:lineRule="auto"/>
        <w:ind w:firstLine="1"/>
        <w:jc w:val="both"/>
        <w:rPr>
          <w:rFonts w:ascii="Palatino Linotype" w:hAnsi="Palatino Linotype"/>
        </w:rPr>
      </w:pPr>
    </w:p>
    <w:p w14:paraId="11C1A7FB" w14:textId="77777777" w:rsidR="004B7E50" w:rsidRDefault="004B7E50" w:rsidP="004B7E50">
      <w:pPr>
        <w:spacing w:before="240" w:after="240" w:line="360" w:lineRule="auto"/>
        <w:ind w:firstLine="1"/>
        <w:jc w:val="both"/>
        <w:rPr>
          <w:rFonts w:ascii="Palatino Linotype" w:hAnsi="Palatino Linotype"/>
        </w:rPr>
      </w:pPr>
    </w:p>
    <w:p w14:paraId="4D5600C1" w14:textId="77777777" w:rsidR="004B7E50" w:rsidRDefault="004B7E50" w:rsidP="004B7E50">
      <w:pPr>
        <w:spacing w:before="240" w:after="240" w:line="360" w:lineRule="auto"/>
        <w:ind w:firstLine="1"/>
        <w:jc w:val="both"/>
        <w:rPr>
          <w:rFonts w:ascii="Palatino Linotype" w:hAnsi="Palatino Linotype"/>
        </w:rPr>
      </w:pPr>
    </w:p>
    <w:p w14:paraId="7767CB45" w14:textId="77777777" w:rsidR="004B7E50" w:rsidRDefault="004B7E50" w:rsidP="004B7E50">
      <w:pPr>
        <w:spacing w:before="240" w:after="240" w:line="360" w:lineRule="auto"/>
        <w:ind w:firstLine="1"/>
        <w:jc w:val="both"/>
        <w:rPr>
          <w:rFonts w:ascii="Palatino Linotype" w:hAnsi="Palatino Linotype"/>
        </w:rPr>
      </w:pPr>
    </w:p>
    <w:p w14:paraId="63EE0A21" w14:textId="77777777" w:rsidR="004B7E50" w:rsidRDefault="004B7E50" w:rsidP="004B7E50">
      <w:pPr>
        <w:spacing w:before="240" w:after="240" w:line="360" w:lineRule="auto"/>
        <w:ind w:firstLine="1"/>
        <w:jc w:val="both"/>
        <w:rPr>
          <w:rFonts w:ascii="Palatino Linotype" w:hAnsi="Palatino Linotype"/>
        </w:rPr>
      </w:pPr>
    </w:p>
    <w:p w14:paraId="3E077BC4" w14:textId="77777777" w:rsidR="004B7E50" w:rsidRDefault="004B7E50" w:rsidP="004B7E50">
      <w:pPr>
        <w:spacing w:before="240" w:after="240" w:line="360" w:lineRule="auto"/>
        <w:ind w:firstLine="1"/>
        <w:jc w:val="both"/>
        <w:rPr>
          <w:rFonts w:ascii="Palatino Linotype" w:hAnsi="Palatino Linotype"/>
        </w:rPr>
      </w:pPr>
    </w:p>
    <w:p w14:paraId="4023D7A2" w14:textId="77777777" w:rsidR="004B7E50" w:rsidRDefault="004B7E50" w:rsidP="004B7E50">
      <w:pPr>
        <w:spacing w:before="240" w:after="240" w:line="360" w:lineRule="auto"/>
        <w:ind w:firstLine="1"/>
        <w:jc w:val="both"/>
        <w:rPr>
          <w:rFonts w:ascii="Palatino Linotype" w:hAnsi="Palatino Linotype"/>
        </w:rPr>
      </w:pPr>
    </w:p>
    <w:p w14:paraId="3A143BFE" w14:textId="77777777" w:rsidR="004B7E50" w:rsidRDefault="004B7E50" w:rsidP="004B7E50">
      <w:pPr>
        <w:spacing w:before="240" w:after="240" w:line="360" w:lineRule="auto"/>
        <w:ind w:firstLine="1"/>
        <w:jc w:val="both"/>
        <w:rPr>
          <w:rFonts w:ascii="Palatino Linotype" w:hAnsi="Palatino Linotype"/>
        </w:rPr>
      </w:pPr>
    </w:p>
    <w:p w14:paraId="354E4675" w14:textId="77777777" w:rsidR="004B7E50" w:rsidRDefault="004B7E50" w:rsidP="004B7E50">
      <w:pPr>
        <w:spacing w:before="240" w:after="240" w:line="360" w:lineRule="auto"/>
        <w:ind w:firstLine="1"/>
        <w:jc w:val="both"/>
        <w:rPr>
          <w:rFonts w:ascii="Palatino Linotype" w:hAnsi="Palatino Linotype"/>
        </w:rPr>
      </w:pPr>
    </w:p>
    <w:p w14:paraId="16F1BF69" w14:textId="77777777" w:rsidR="004B7E50" w:rsidRDefault="004B7E50" w:rsidP="004B7E50">
      <w:pPr>
        <w:spacing w:before="240" w:after="240" w:line="360" w:lineRule="auto"/>
        <w:ind w:firstLine="1"/>
        <w:jc w:val="both"/>
        <w:rPr>
          <w:rFonts w:ascii="Palatino Linotype" w:hAnsi="Palatino Linotype"/>
        </w:rPr>
      </w:pPr>
    </w:p>
    <w:p w14:paraId="5348EEDE" w14:textId="77777777" w:rsidR="004B7E50" w:rsidRDefault="004B7E50" w:rsidP="004B7E50">
      <w:pPr>
        <w:spacing w:before="240" w:after="240" w:line="360" w:lineRule="auto"/>
        <w:ind w:firstLine="1"/>
        <w:jc w:val="both"/>
        <w:rPr>
          <w:rFonts w:ascii="Palatino Linotype" w:hAnsi="Palatino Linotype"/>
        </w:rPr>
      </w:pPr>
    </w:p>
    <w:p w14:paraId="30009EAE" w14:textId="77777777" w:rsidR="004B7E50" w:rsidRDefault="004B7E50" w:rsidP="004B7E50">
      <w:pPr>
        <w:spacing w:before="240" w:after="240" w:line="360" w:lineRule="auto"/>
        <w:ind w:firstLine="1"/>
        <w:jc w:val="both"/>
        <w:rPr>
          <w:rFonts w:ascii="Palatino Linotype" w:hAnsi="Palatino Linotype"/>
        </w:rPr>
      </w:pPr>
    </w:p>
    <w:p w14:paraId="22D43F7F" w14:textId="77777777" w:rsidR="004B7E50" w:rsidRDefault="004B7E50" w:rsidP="004B7E50">
      <w:pPr>
        <w:spacing w:before="240" w:after="240" w:line="360" w:lineRule="auto"/>
        <w:ind w:firstLine="1"/>
        <w:jc w:val="both"/>
        <w:rPr>
          <w:rFonts w:ascii="Palatino Linotype" w:hAnsi="Palatino Linotype"/>
        </w:rPr>
      </w:pPr>
    </w:p>
    <w:p w14:paraId="4394AD26" w14:textId="77777777" w:rsidR="004B7E50" w:rsidRDefault="004B7E50" w:rsidP="004B7E50">
      <w:pPr>
        <w:spacing w:before="240" w:after="240" w:line="360" w:lineRule="auto"/>
        <w:ind w:firstLine="1"/>
        <w:jc w:val="both"/>
        <w:rPr>
          <w:rFonts w:ascii="Palatino Linotype" w:hAnsi="Palatino Linotype"/>
        </w:rPr>
      </w:pPr>
    </w:p>
    <w:p w14:paraId="39C3659E" w14:textId="77777777" w:rsidR="004B7E50" w:rsidRDefault="004B7E50" w:rsidP="004B7E50">
      <w:pPr>
        <w:spacing w:before="240" w:after="360" w:line="360" w:lineRule="auto"/>
        <w:jc w:val="both"/>
        <w:rPr>
          <w:rFonts w:ascii="Palatino Linotype" w:hAnsi="Palatino Linotype"/>
          <w:color w:val="222222"/>
          <w:lang w:val="es-ES" w:eastAsia="es-MX"/>
        </w:rPr>
      </w:pPr>
    </w:p>
    <w:p w14:paraId="56249395" w14:textId="77777777" w:rsidR="00871738" w:rsidRPr="004B7E50" w:rsidRDefault="00871738" w:rsidP="004B7E50">
      <w:pPr>
        <w:rPr>
          <w:rFonts w:eastAsia="Calibri"/>
        </w:rPr>
      </w:pPr>
    </w:p>
    <w:sectPr w:rsidR="00871738" w:rsidRPr="004B7E50">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6C998" w14:textId="77777777" w:rsidR="00F1608B" w:rsidRDefault="00F1608B">
      <w:r>
        <w:separator/>
      </w:r>
    </w:p>
  </w:endnote>
  <w:endnote w:type="continuationSeparator" w:id="0">
    <w:p w14:paraId="282C644C" w14:textId="77777777" w:rsidR="00F1608B" w:rsidRDefault="00F1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E0A8B" w:rsidRDefault="005E0A8B">
            <w:pPr>
              <w:pStyle w:val="Piedepgina"/>
              <w:jc w:val="right"/>
            </w:pPr>
          </w:p>
          <w:p w14:paraId="1F7A191C" w14:textId="2A69F491" w:rsidR="005E0A8B" w:rsidRDefault="005E0A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4E7B">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4E7B">
              <w:rPr>
                <w:b/>
                <w:bCs/>
                <w:noProof/>
              </w:rPr>
              <w:t>26</w:t>
            </w:r>
            <w:r>
              <w:rPr>
                <w:b/>
                <w:bCs/>
                <w:sz w:val="24"/>
                <w:szCs w:val="24"/>
              </w:rPr>
              <w:fldChar w:fldCharType="end"/>
            </w:r>
          </w:p>
        </w:sdtContent>
      </w:sdt>
    </w:sdtContent>
  </w:sdt>
  <w:p w14:paraId="2A221972" w14:textId="77777777" w:rsidR="005E0A8B" w:rsidRDefault="005E0A8B">
    <w:pPr>
      <w:pStyle w:val="Piedepgina"/>
    </w:pPr>
  </w:p>
  <w:p w14:paraId="1D6FF208" w14:textId="77777777" w:rsidR="005E0A8B" w:rsidRDefault="005E0A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E0A8B" w:rsidRDefault="005E0A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4E7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4E7B">
              <w:rPr>
                <w:b/>
                <w:bCs/>
                <w:noProof/>
              </w:rPr>
              <w:t>26</w:t>
            </w:r>
            <w:r>
              <w:rPr>
                <w:b/>
                <w:bCs/>
                <w:sz w:val="24"/>
                <w:szCs w:val="24"/>
              </w:rPr>
              <w:fldChar w:fldCharType="end"/>
            </w:r>
          </w:p>
        </w:sdtContent>
      </w:sdt>
    </w:sdtContent>
  </w:sdt>
  <w:p w14:paraId="2D12AEB2" w14:textId="77777777" w:rsidR="005E0A8B" w:rsidRDefault="005E0A8B">
    <w:pPr>
      <w:pStyle w:val="Piedepgina"/>
    </w:pPr>
  </w:p>
  <w:p w14:paraId="54227169" w14:textId="77777777" w:rsidR="005E0A8B" w:rsidRDefault="005E0A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36803" w14:textId="77777777" w:rsidR="00F1608B" w:rsidRDefault="00F1608B">
      <w:r>
        <w:separator/>
      </w:r>
    </w:p>
  </w:footnote>
  <w:footnote w:type="continuationSeparator" w:id="0">
    <w:p w14:paraId="5159C428" w14:textId="77777777" w:rsidR="00F1608B" w:rsidRDefault="00F1608B">
      <w:r>
        <w:continuationSeparator/>
      </w:r>
    </w:p>
  </w:footnote>
  <w:footnote w:id="1">
    <w:p w14:paraId="01A0DA44"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12E20D7E"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052C4364"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0E21FD2E" w14:textId="77777777" w:rsidR="005E0A8B" w:rsidRDefault="005E0A8B" w:rsidP="005E0B56">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E0A8B" w:rsidRDefault="00F1608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E0A8B" w:rsidRDefault="005E0A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E0A8B" w14:paraId="6255E3A4" w14:textId="77777777" w:rsidTr="00814079">
      <w:trPr>
        <w:trHeight w:val="1435"/>
      </w:trPr>
      <w:tc>
        <w:tcPr>
          <w:tcW w:w="1843" w:type="dxa"/>
          <w:shd w:val="clear" w:color="auto" w:fill="auto"/>
        </w:tcPr>
        <w:p w14:paraId="3E05202F" w14:textId="4A7C9DF8" w:rsidR="005E0A8B" w:rsidRDefault="005E0A8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E0A8B" w:rsidRDefault="005E0A8B"/>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E0A8B" w14:paraId="727F90BF" w14:textId="77777777" w:rsidTr="00483482">
            <w:trPr>
              <w:trHeight w:val="338"/>
            </w:trPr>
            <w:tc>
              <w:tcPr>
                <w:tcW w:w="2551" w:type="dxa"/>
              </w:tcPr>
              <w:p w14:paraId="23087CD5" w14:textId="77777777" w:rsidR="005E0A8B" w:rsidRDefault="005E0A8B">
                <w:pPr>
                  <w:tabs>
                    <w:tab w:val="right" w:pos="8838"/>
                  </w:tabs>
                  <w:ind w:right="-105"/>
                  <w:rPr>
                    <w:rFonts w:ascii="Palatino Linotype" w:eastAsia="Calibri" w:hAnsi="Palatino Linotype" w:cs="Tahoma"/>
                    <w:b/>
                    <w:sz w:val="22"/>
                    <w:szCs w:val="22"/>
                    <w:lang w:eastAsia="en-US"/>
                  </w:rPr>
                </w:pPr>
              </w:p>
              <w:p w14:paraId="410A3741" w14:textId="535C9D39" w:rsidR="005E0A8B" w:rsidRDefault="005E0A8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E0A8B" w:rsidRDefault="005E0A8B" w:rsidP="00427B6E">
                <w:pPr>
                  <w:tabs>
                    <w:tab w:val="right" w:pos="8838"/>
                  </w:tabs>
                  <w:ind w:right="-105" w:hanging="101"/>
                  <w:jc w:val="both"/>
                  <w:rPr>
                    <w:rFonts w:ascii="Palatino Linotype" w:eastAsia="Calibri" w:hAnsi="Palatino Linotype" w:cs="Tahoma"/>
                    <w:bCs/>
                    <w:sz w:val="22"/>
                    <w:szCs w:val="22"/>
                    <w:lang w:eastAsia="en-US"/>
                  </w:rPr>
                </w:pPr>
              </w:p>
              <w:p w14:paraId="3FF69A05" w14:textId="6B099BD6" w:rsidR="005E0A8B" w:rsidRPr="00045238" w:rsidRDefault="00597563" w:rsidP="00F87101">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04718</w:t>
                </w:r>
                <w:r w:rsidRPr="00045238">
                  <w:rPr>
                    <w:rFonts w:ascii="Palatino Linotype" w:hAnsi="Palatino Linotype" w:cs="Arial"/>
                    <w:bCs/>
                    <w:sz w:val="22"/>
                    <w:szCs w:val="24"/>
                    <w:lang w:eastAsia="es-MX"/>
                  </w:rPr>
                  <w:t>/INFOEM/IP/RR/2021</w:t>
                </w:r>
                <w:r w:rsidR="005E0A8B" w:rsidRPr="00045238">
                  <w:rPr>
                    <w:rFonts w:ascii="Palatino Linotype" w:eastAsia="Calibri" w:hAnsi="Palatino Linotype" w:cs="Tahoma"/>
                    <w:bCs/>
                    <w:szCs w:val="22"/>
                    <w:lang w:eastAsia="en-US"/>
                  </w:rPr>
                  <w:t xml:space="preserve"> </w:t>
                </w:r>
              </w:p>
            </w:tc>
          </w:tr>
          <w:tr w:rsidR="005E0A8B" w14:paraId="1389436A" w14:textId="4EB800AC" w:rsidTr="00483482">
            <w:trPr>
              <w:trHeight w:val="283"/>
            </w:trPr>
            <w:tc>
              <w:tcPr>
                <w:tcW w:w="2551" w:type="dxa"/>
              </w:tcPr>
              <w:p w14:paraId="22E0F4E9" w14:textId="77777777" w:rsidR="005E0A8B" w:rsidRDefault="005E0A8B">
                <w:pPr>
                  <w:tabs>
                    <w:tab w:val="right" w:pos="8838"/>
                  </w:tabs>
                  <w:ind w:right="-105"/>
                  <w:rPr>
                    <w:rFonts w:ascii="Palatino Linotype" w:eastAsia="Calibri" w:hAnsi="Palatino Linotype" w:cs="Tahoma"/>
                    <w:b/>
                    <w:sz w:val="22"/>
                    <w:szCs w:val="22"/>
                    <w:lang w:eastAsia="en-US"/>
                  </w:rPr>
                </w:pPr>
                <w:bookmarkStart w:id="39" w:name="_Hlk33010189"/>
                <w:r>
                  <w:rPr>
                    <w:rFonts w:ascii="Palatino Linotype" w:eastAsia="Calibri" w:hAnsi="Palatino Linotype" w:cs="Tahoma"/>
                    <w:b/>
                    <w:sz w:val="22"/>
                    <w:szCs w:val="22"/>
                    <w:lang w:eastAsia="en-US"/>
                  </w:rPr>
                  <w:t>Sujeto Obligado:</w:t>
                </w:r>
              </w:p>
            </w:tc>
            <w:tc>
              <w:tcPr>
                <w:tcW w:w="4544" w:type="dxa"/>
              </w:tcPr>
              <w:p w14:paraId="2B205C7F" w14:textId="47B18ABF" w:rsidR="005E0A8B" w:rsidRPr="00A8015B" w:rsidRDefault="00597563"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hAnsi="Palatino Linotype"/>
                    <w:bCs/>
                    <w:sz w:val="22"/>
                    <w:szCs w:val="24"/>
                  </w:rPr>
                  <w:t>Sistema Municipal Para el Desarrollo Integral de la Familia de Valle de Chalco Solidaridad</w:t>
                </w:r>
              </w:p>
            </w:tc>
          </w:tr>
          <w:bookmarkEnd w:id="39"/>
          <w:tr w:rsidR="005E0A8B" w14:paraId="28CCE4E5" w14:textId="77777777" w:rsidTr="00483482">
            <w:trPr>
              <w:trHeight w:val="283"/>
            </w:trPr>
            <w:tc>
              <w:tcPr>
                <w:tcW w:w="2551" w:type="dxa"/>
              </w:tcPr>
              <w:p w14:paraId="13EBF3BB" w14:textId="440F0517" w:rsidR="005E0A8B" w:rsidRDefault="0059756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5E0A8B">
                  <w:rPr>
                    <w:rFonts w:ascii="Palatino Linotype" w:eastAsia="Calibri" w:hAnsi="Palatino Linotype" w:cs="Tahoma"/>
                    <w:b/>
                    <w:sz w:val="22"/>
                    <w:szCs w:val="22"/>
                    <w:lang w:eastAsia="en-US"/>
                  </w:rPr>
                  <w:t xml:space="preserve"> Ponente:</w:t>
                </w:r>
              </w:p>
            </w:tc>
            <w:tc>
              <w:tcPr>
                <w:tcW w:w="4544" w:type="dxa"/>
              </w:tcPr>
              <w:p w14:paraId="5DF20594" w14:textId="1A6CDEA4" w:rsidR="005E0A8B" w:rsidRDefault="005E0A8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E0A8B" w:rsidRDefault="005E0A8B">
          <w:pPr>
            <w:tabs>
              <w:tab w:val="right" w:pos="8838"/>
            </w:tabs>
            <w:ind w:left="-28"/>
            <w:jc w:val="both"/>
            <w:rPr>
              <w:rFonts w:ascii="Arial" w:eastAsia="Calibri" w:hAnsi="Arial" w:cs="Arial"/>
              <w:b/>
              <w:sz w:val="22"/>
              <w:szCs w:val="22"/>
              <w:lang w:eastAsia="en-US"/>
            </w:rPr>
          </w:pPr>
        </w:p>
      </w:tc>
    </w:tr>
  </w:tbl>
  <w:p w14:paraId="07EF2D29" w14:textId="1620A8B4" w:rsidR="005E0A8B" w:rsidRDefault="00F1608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E0A8B" w:rsidRDefault="005E0A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E0A8B" w14:paraId="61517A1D" w14:textId="77777777" w:rsidTr="003A6126">
      <w:trPr>
        <w:trHeight w:val="1435"/>
      </w:trPr>
      <w:tc>
        <w:tcPr>
          <w:tcW w:w="1560" w:type="dxa"/>
          <w:shd w:val="clear" w:color="auto" w:fill="auto"/>
        </w:tcPr>
        <w:p w14:paraId="4B74E846" w14:textId="1E0D62B9" w:rsidR="005E0A8B" w:rsidRDefault="005E0A8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E0A8B" w14:paraId="7F59E1EF" w14:textId="77777777" w:rsidTr="00483482">
            <w:trPr>
              <w:trHeight w:val="144"/>
            </w:trPr>
            <w:tc>
              <w:tcPr>
                <w:tcW w:w="2444" w:type="dxa"/>
              </w:tcPr>
              <w:p w14:paraId="5EFF942E" w14:textId="77777777" w:rsidR="005E0A8B" w:rsidRDefault="005E0A8B" w:rsidP="000D485D">
                <w:pPr>
                  <w:tabs>
                    <w:tab w:val="right" w:pos="8838"/>
                  </w:tabs>
                  <w:ind w:left="-74" w:right="-105"/>
                  <w:rPr>
                    <w:rFonts w:ascii="Palatino Linotype" w:eastAsia="Calibri" w:hAnsi="Palatino Linotype" w:cs="Tahoma"/>
                    <w:b/>
                    <w:sz w:val="22"/>
                    <w:szCs w:val="22"/>
                    <w:lang w:eastAsia="en-US"/>
                  </w:rPr>
                </w:pPr>
                <w:bookmarkStart w:id="40" w:name="_Hlk12526980"/>
                <w:r>
                  <w:rPr>
                    <w:rFonts w:ascii="Palatino Linotype" w:eastAsia="Calibri" w:hAnsi="Palatino Linotype" w:cs="Tahoma"/>
                    <w:b/>
                    <w:sz w:val="22"/>
                    <w:szCs w:val="22"/>
                    <w:lang w:eastAsia="en-US"/>
                  </w:rPr>
                  <w:t>Recurso de Revisión:</w:t>
                </w:r>
              </w:p>
            </w:tc>
            <w:tc>
              <w:tcPr>
                <w:tcW w:w="4646" w:type="dxa"/>
              </w:tcPr>
              <w:p w14:paraId="0DE47EE2" w14:textId="5FA712D7" w:rsidR="005E0A8B" w:rsidRDefault="005E0A8B" w:rsidP="00597563">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w:t>
                </w:r>
                <w:r w:rsidR="00597563">
                  <w:rPr>
                    <w:rFonts w:ascii="Palatino Linotype" w:hAnsi="Palatino Linotype" w:cs="Arial"/>
                    <w:bCs/>
                    <w:sz w:val="22"/>
                    <w:szCs w:val="24"/>
                    <w:lang w:eastAsia="es-MX"/>
                  </w:rPr>
                  <w:t>718</w:t>
                </w:r>
                <w:r w:rsidRPr="00045238">
                  <w:rPr>
                    <w:rFonts w:ascii="Palatino Linotype" w:hAnsi="Palatino Linotype" w:cs="Arial"/>
                    <w:bCs/>
                    <w:sz w:val="22"/>
                    <w:szCs w:val="24"/>
                    <w:lang w:eastAsia="es-MX"/>
                  </w:rPr>
                  <w:t>/INFOEM/IP/RR/2021</w:t>
                </w:r>
              </w:p>
            </w:tc>
            <w:tc>
              <w:tcPr>
                <w:tcW w:w="3402" w:type="dxa"/>
              </w:tcPr>
              <w:p w14:paraId="11E4533C" w14:textId="3B21362A" w:rsidR="005E0A8B" w:rsidRDefault="005E0A8B">
                <w:pPr>
                  <w:tabs>
                    <w:tab w:val="right" w:pos="8838"/>
                  </w:tabs>
                  <w:ind w:left="-74" w:right="-105"/>
                  <w:jc w:val="both"/>
                  <w:rPr>
                    <w:rFonts w:ascii="Palatino Linotype" w:eastAsia="Calibri" w:hAnsi="Palatino Linotype" w:cs="Tahoma"/>
                    <w:bCs/>
                    <w:sz w:val="22"/>
                    <w:szCs w:val="22"/>
                    <w:lang w:eastAsia="en-US"/>
                  </w:rPr>
                </w:pPr>
              </w:p>
            </w:tc>
          </w:tr>
          <w:tr w:rsidR="005E0A8B" w14:paraId="3FC4FA7D" w14:textId="77777777" w:rsidTr="00483482">
            <w:trPr>
              <w:trHeight w:val="144"/>
            </w:trPr>
            <w:tc>
              <w:tcPr>
                <w:tcW w:w="2444" w:type="dxa"/>
              </w:tcPr>
              <w:p w14:paraId="363D966B" w14:textId="77777777" w:rsidR="005E0A8B" w:rsidRDefault="005E0A8B" w:rsidP="000D485D">
                <w:pPr>
                  <w:tabs>
                    <w:tab w:val="right" w:pos="8838"/>
                  </w:tabs>
                  <w:ind w:left="-74" w:right="-105"/>
                  <w:rPr>
                    <w:rFonts w:ascii="Palatino Linotype" w:eastAsia="Calibri" w:hAnsi="Palatino Linotype" w:cs="Tahoma"/>
                    <w:b/>
                    <w:sz w:val="22"/>
                    <w:szCs w:val="22"/>
                    <w:lang w:eastAsia="en-US"/>
                  </w:rPr>
                </w:pPr>
                <w:bookmarkStart w:id="41" w:name="_Hlk10641523"/>
                <w:bookmarkEnd w:id="40"/>
                <w:r>
                  <w:rPr>
                    <w:rFonts w:ascii="Palatino Linotype" w:eastAsia="Calibri" w:hAnsi="Palatino Linotype" w:cs="Tahoma"/>
                    <w:b/>
                    <w:sz w:val="22"/>
                    <w:szCs w:val="22"/>
                    <w:lang w:eastAsia="en-US"/>
                  </w:rPr>
                  <w:t>Recurrente:</w:t>
                </w:r>
              </w:p>
            </w:tc>
            <w:tc>
              <w:tcPr>
                <w:tcW w:w="4646" w:type="dxa"/>
              </w:tcPr>
              <w:p w14:paraId="73C065CD" w14:textId="7F318568" w:rsidR="005E0A8B" w:rsidRPr="004B7E50" w:rsidRDefault="005E0A8B"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E0A8B" w:rsidRDefault="005E0A8B" w:rsidP="003037E1">
                <w:pPr>
                  <w:tabs>
                    <w:tab w:val="left" w:pos="3122"/>
                    <w:tab w:val="right" w:pos="8838"/>
                  </w:tabs>
                  <w:ind w:right="-105"/>
                  <w:jc w:val="both"/>
                  <w:rPr>
                    <w:rFonts w:ascii="Palatino Linotype" w:eastAsia="Calibri" w:hAnsi="Palatino Linotype" w:cs="Tahoma"/>
                    <w:sz w:val="22"/>
                    <w:szCs w:val="22"/>
                    <w:lang w:eastAsia="en-US"/>
                  </w:rPr>
                </w:pPr>
              </w:p>
            </w:tc>
          </w:tr>
          <w:bookmarkEnd w:id="41"/>
          <w:tr w:rsidR="005E0A8B" w14:paraId="4D832A43" w14:textId="77777777" w:rsidTr="00483482">
            <w:trPr>
              <w:trHeight w:val="283"/>
            </w:trPr>
            <w:tc>
              <w:tcPr>
                <w:tcW w:w="2444" w:type="dxa"/>
              </w:tcPr>
              <w:p w14:paraId="02CA5CB0" w14:textId="77777777" w:rsidR="005E0A8B" w:rsidRDefault="005E0A8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F53D08B" w:rsidR="005E0A8B" w:rsidRPr="004B7E50" w:rsidRDefault="00597563" w:rsidP="00DB2180">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hAnsi="Palatino Linotype"/>
                    <w:bCs/>
                    <w:sz w:val="22"/>
                    <w:szCs w:val="24"/>
                  </w:rPr>
                  <w:t>Sistema Municipal Para el Desarrollo Integral de la Familia de Valle de Chalco Solidaridad</w:t>
                </w:r>
              </w:p>
            </w:tc>
            <w:tc>
              <w:tcPr>
                <w:tcW w:w="3402" w:type="dxa"/>
              </w:tcPr>
              <w:p w14:paraId="00F18B8C" w14:textId="77777777" w:rsidR="005E0A8B" w:rsidRDefault="005E0A8B">
                <w:pPr>
                  <w:tabs>
                    <w:tab w:val="left" w:pos="2834"/>
                    <w:tab w:val="right" w:pos="8838"/>
                  </w:tabs>
                  <w:ind w:left="-74" w:right="-105"/>
                  <w:jc w:val="both"/>
                  <w:rPr>
                    <w:rFonts w:ascii="Palatino Linotype" w:eastAsia="Calibri" w:hAnsi="Palatino Linotype" w:cs="Tahoma"/>
                    <w:sz w:val="22"/>
                    <w:szCs w:val="22"/>
                    <w:lang w:eastAsia="en-US"/>
                  </w:rPr>
                </w:pPr>
              </w:p>
            </w:tc>
          </w:tr>
          <w:tr w:rsidR="005E0A8B" w14:paraId="7BC74D7A" w14:textId="77777777" w:rsidTr="00483482">
            <w:trPr>
              <w:trHeight w:val="283"/>
            </w:trPr>
            <w:tc>
              <w:tcPr>
                <w:tcW w:w="2444" w:type="dxa"/>
              </w:tcPr>
              <w:p w14:paraId="3BF93338" w14:textId="380098C4" w:rsidR="005E0A8B" w:rsidRDefault="005E0A8B" w:rsidP="0059756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w:t>
                </w:r>
                <w:r w:rsidR="00597563">
                  <w:rPr>
                    <w:rFonts w:ascii="Palatino Linotype" w:eastAsia="Calibri" w:hAnsi="Palatino Linotype" w:cs="Tahoma"/>
                    <w:b/>
                    <w:sz w:val="22"/>
                    <w:szCs w:val="22"/>
                    <w:lang w:eastAsia="en-US"/>
                  </w:rPr>
                  <w:t>a</w:t>
                </w:r>
                <w:r>
                  <w:rPr>
                    <w:rFonts w:ascii="Palatino Linotype" w:eastAsia="Calibri" w:hAnsi="Palatino Linotype" w:cs="Tahoma"/>
                    <w:b/>
                    <w:sz w:val="22"/>
                    <w:szCs w:val="22"/>
                    <w:lang w:eastAsia="en-US"/>
                  </w:rPr>
                  <w:t xml:space="preserve"> Ponente:</w:t>
                </w:r>
              </w:p>
            </w:tc>
            <w:tc>
              <w:tcPr>
                <w:tcW w:w="4646" w:type="dxa"/>
              </w:tcPr>
              <w:p w14:paraId="3589422E" w14:textId="64278750" w:rsidR="005E0A8B" w:rsidRPr="003037E1" w:rsidRDefault="005E0A8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E0A8B" w:rsidRDefault="005E0A8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E0A8B" w:rsidRDefault="005E0A8B">
          <w:pPr>
            <w:tabs>
              <w:tab w:val="right" w:pos="8838"/>
            </w:tabs>
            <w:ind w:left="-28"/>
            <w:jc w:val="both"/>
            <w:rPr>
              <w:rFonts w:ascii="Arial" w:eastAsia="Calibri" w:hAnsi="Arial" w:cs="Arial"/>
              <w:b/>
              <w:sz w:val="22"/>
              <w:szCs w:val="22"/>
              <w:lang w:eastAsia="en-US"/>
            </w:rPr>
          </w:pPr>
        </w:p>
      </w:tc>
    </w:tr>
  </w:tbl>
  <w:p w14:paraId="5F654A99" w14:textId="6CB7D4AE" w:rsidR="005E0A8B" w:rsidRDefault="00F1608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B7237C"/>
    <w:multiLevelType w:val="hybridMultilevel"/>
    <w:tmpl w:val="6F66FCAC"/>
    <w:lvl w:ilvl="0" w:tplc="FA92670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DF4021"/>
    <w:multiLevelType w:val="hybridMultilevel"/>
    <w:tmpl w:val="7BA60768"/>
    <w:lvl w:ilvl="0" w:tplc="93BCFF80">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BC0A0B"/>
    <w:multiLevelType w:val="hybridMultilevel"/>
    <w:tmpl w:val="1DF6C5EC"/>
    <w:lvl w:ilvl="0" w:tplc="675A5FCC">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3E53D4"/>
    <w:multiLevelType w:val="hybridMultilevel"/>
    <w:tmpl w:val="2B0AACC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8">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901918"/>
    <w:multiLevelType w:val="hybridMultilevel"/>
    <w:tmpl w:val="BFC0C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7"/>
  </w:num>
  <w:num w:numId="7">
    <w:abstractNumId w:val="1"/>
  </w:num>
  <w:num w:numId="8">
    <w:abstractNumId w:val="8"/>
  </w:num>
  <w:num w:numId="9">
    <w:abstractNumId w:val="21"/>
  </w:num>
  <w:num w:numId="10">
    <w:abstractNumId w:val="32"/>
  </w:num>
  <w:num w:numId="11">
    <w:abstractNumId w:val="30"/>
  </w:num>
  <w:num w:numId="12">
    <w:abstractNumId w:val="23"/>
  </w:num>
  <w:num w:numId="13">
    <w:abstractNumId w:val="10"/>
  </w:num>
  <w:num w:numId="14">
    <w:abstractNumId w:val="4"/>
  </w:num>
  <w:num w:numId="15">
    <w:abstractNumId w:val="19"/>
  </w:num>
  <w:num w:numId="16">
    <w:abstractNumId w:val="18"/>
  </w:num>
  <w:num w:numId="17">
    <w:abstractNumId w:val="5"/>
  </w:num>
  <w:num w:numId="18">
    <w:abstractNumId w:val="17"/>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7"/>
  </w:num>
  <w:num w:numId="23">
    <w:abstractNumId w:val="31"/>
  </w:num>
  <w:num w:numId="24">
    <w:abstractNumId w:val="16"/>
  </w:num>
  <w:num w:numId="25">
    <w:abstractNumId w:val="6"/>
  </w:num>
  <w:num w:numId="26">
    <w:abstractNumId w:val="2"/>
  </w:num>
  <w:num w:numId="27">
    <w:abstractNumId w:val="26"/>
  </w:num>
  <w:num w:numId="28">
    <w:abstractNumId w:val="28"/>
  </w:num>
  <w:num w:numId="29">
    <w:abstractNumId w:val="24"/>
  </w:num>
  <w:num w:numId="30">
    <w:abstractNumId w:val="25"/>
  </w:num>
  <w:num w:numId="31">
    <w:abstractNumId w:val="2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9"/>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DA2"/>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957"/>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C7FF6"/>
    <w:rsid w:val="000D0B08"/>
    <w:rsid w:val="000D1A29"/>
    <w:rsid w:val="000D1DDF"/>
    <w:rsid w:val="000D2A27"/>
    <w:rsid w:val="000D4027"/>
    <w:rsid w:val="000D485D"/>
    <w:rsid w:val="000D5156"/>
    <w:rsid w:val="000D5383"/>
    <w:rsid w:val="000D60B0"/>
    <w:rsid w:val="000D6157"/>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2BC"/>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47"/>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14D"/>
    <w:rsid w:val="00171ADD"/>
    <w:rsid w:val="00172155"/>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1A2"/>
    <w:rsid w:val="001A32CB"/>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6A6"/>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3C5B"/>
    <w:rsid w:val="001E53C2"/>
    <w:rsid w:val="001E57C1"/>
    <w:rsid w:val="001E6927"/>
    <w:rsid w:val="001E6FC5"/>
    <w:rsid w:val="001F0E9C"/>
    <w:rsid w:val="001F0EB8"/>
    <w:rsid w:val="001F1126"/>
    <w:rsid w:val="001F1540"/>
    <w:rsid w:val="001F176D"/>
    <w:rsid w:val="001F2768"/>
    <w:rsid w:val="001F2DB2"/>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2C3"/>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B09"/>
    <w:rsid w:val="00303CAD"/>
    <w:rsid w:val="00303CD6"/>
    <w:rsid w:val="00303E71"/>
    <w:rsid w:val="00304E7C"/>
    <w:rsid w:val="00306418"/>
    <w:rsid w:val="003074B3"/>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37E79"/>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3AF"/>
    <w:rsid w:val="00355DC6"/>
    <w:rsid w:val="00357700"/>
    <w:rsid w:val="003604D7"/>
    <w:rsid w:val="00360D94"/>
    <w:rsid w:val="00361176"/>
    <w:rsid w:val="0036164E"/>
    <w:rsid w:val="0036194F"/>
    <w:rsid w:val="003627C6"/>
    <w:rsid w:val="0036351E"/>
    <w:rsid w:val="00363615"/>
    <w:rsid w:val="00364521"/>
    <w:rsid w:val="00365026"/>
    <w:rsid w:val="0036506C"/>
    <w:rsid w:val="0036589F"/>
    <w:rsid w:val="00366353"/>
    <w:rsid w:val="00367F82"/>
    <w:rsid w:val="00370CB0"/>
    <w:rsid w:val="00372798"/>
    <w:rsid w:val="00372803"/>
    <w:rsid w:val="00373387"/>
    <w:rsid w:val="003749EC"/>
    <w:rsid w:val="00374EF1"/>
    <w:rsid w:val="003756AF"/>
    <w:rsid w:val="00375815"/>
    <w:rsid w:val="003758FD"/>
    <w:rsid w:val="00375E9B"/>
    <w:rsid w:val="00377383"/>
    <w:rsid w:val="0037757D"/>
    <w:rsid w:val="003778BD"/>
    <w:rsid w:val="00380441"/>
    <w:rsid w:val="003811BA"/>
    <w:rsid w:val="00381447"/>
    <w:rsid w:val="00382696"/>
    <w:rsid w:val="00382E61"/>
    <w:rsid w:val="0038358D"/>
    <w:rsid w:val="00383639"/>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6D7"/>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1D0A"/>
    <w:rsid w:val="003D5FF4"/>
    <w:rsid w:val="003D624F"/>
    <w:rsid w:val="003D75E8"/>
    <w:rsid w:val="003D778F"/>
    <w:rsid w:val="003E1166"/>
    <w:rsid w:val="003E31E5"/>
    <w:rsid w:val="003E32ED"/>
    <w:rsid w:val="003E3A39"/>
    <w:rsid w:val="003E58C9"/>
    <w:rsid w:val="003E5AD4"/>
    <w:rsid w:val="003E61DD"/>
    <w:rsid w:val="003E655E"/>
    <w:rsid w:val="003E68B5"/>
    <w:rsid w:val="003F0DFC"/>
    <w:rsid w:val="003F164F"/>
    <w:rsid w:val="003F1A16"/>
    <w:rsid w:val="003F5558"/>
    <w:rsid w:val="003F5B65"/>
    <w:rsid w:val="003F5D5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49C"/>
    <w:rsid w:val="00410CD2"/>
    <w:rsid w:val="00412203"/>
    <w:rsid w:val="00412D8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4E7B"/>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826"/>
    <w:rsid w:val="00483936"/>
    <w:rsid w:val="00483AAE"/>
    <w:rsid w:val="0048519E"/>
    <w:rsid w:val="004851D5"/>
    <w:rsid w:val="00485B03"/>
    <w:rsid w:val="00485C4A"/>
    <w:rsid w:val="00485E3E"/>
    <w:rsid w:val="00485EC7"/>
    <w:rsid w:val="004860BD"/>
    <w:rsid w:val="00487430"/>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7542"/>
    <w:rsid w:val="004B769A"/>
    <w:rsid w:val="004B7DB2"/>
    <w:rsid w:val="004B7E50"/>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4BBA"/>
    <w:rsid w:val="004D583C"/>
    <w:rsid w:val="004D5DB3"/>
    <w:rsid w:val="004E1DCE"/>
    <w:rsid w:val="004E2126"/>
    <w:rsid w:val="004E345F"/>
    <w:rsid w:val="004E3BBA"/>
    <w:rsid w:val="004E401B"/>
    <w:rsid w:val="004E41C7"/>
    <w:rsid w:val="004E4274"/>
    <w:rsid w:val="004E59B8"/>
    <w:rsid w:val="004E5EAD"/>
    <w:rsid w:val="004E6A3B"/>
    <w:rsid w:val="004E7DB7"/>
    <w:rsid w:val="004F1A6A"/>
    <w:rsid w:val="004F2D88"/>
    <w:rsid w:val="004F3D21"/>
    <w:rsid w:val="004F583D"/>
    <w:rsid w:val="004F60EF"/>
    <w:rsid w:val="004F66B6"/>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170"/>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ADC"/>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5D9E"/>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563"/>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30B0"/>
    <w:rsid w:val="005D457F"/>
    <w:rsid w:val="005D49C8"/>
    <w:rsid w:val="005D5607"/>
    <w:rsid w:val="005D5A8D"/>
    <w:rsid w:val="005D5DA0"/>
    <w:rsid w:val="005D602C"/>
    <w:rsid w:val="005D63F4"/>
    <w:rsid w:val="005D6A2B"/>
    <w:rsid w:val="005D6AD9"/>
    <w:rsid w:val="005D72F9"/>
    <w:rsid w:val="005D7A98"/>
    <w:rsid w:val="005E0A8B"/>
    <w:rsid w:val="005E0B56"/>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07D0C"/>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4994"/>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7BA"/>
    <w:rsid w:val="00697FF1"/>
    <w:rsid w:val="006A026A"/>
    <w:rsid w:val="006A0425"/>
    <w:rsid w:val="006A1D62"/>
    <w:rsid w:val="006A2CD8"/>
    <w:rsid w:val="006A4B87"/>
    <w:rsid w:val="006A4EAE"/>
    <w:rsid w:val="006A56C3"/>
    <w:rsid w:val="006A59BC"/>
    <w:rsid w:val="006A5A3A"/>
    <w:rsid w:val="006A6B88"/>
    <w:rsid w:val="006A6D7F"/>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642"/>
    <w:rsid w:val="007856ED"/>
    <w:rsid w:val="00785985"/>
    <w:rsid w:val="00786FF3"/>
    <w:rsid w:val="007876CF"/>
    <w:rsid w:val="00787B77"/>
    <w:rsid w:val="00787F78"/>
    <w:rsid w:val="0079162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55B"/>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42A"/>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9FC"/>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22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4D47"/>
    <w:rsid w:val="008B5AB3"/>
    <w:rsid w:val="008B5CCB"/>
    <w:rsid w:val="008B666C"/>
    <w:rsid w:val="008B6765"/>
    <w:rsid w:val="008B6848"/>
    <w:rsid w:val="008C1614"/>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80A"/>
    <w:rsid w:val="008F0A29"/>
    <w:rsid w:val="008F18ED"/>
    <w:rsid w:val="008F23E5"/>
    <w:rsid w:val="008F26F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47F"/>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218E"/>
    <w:rsid w:val="00943BCE"/>
    <w:rsid w:val="00945DBE"/>
    <w:rsid w:val="009467E5"/>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8B6"/>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F87"/>
    <w:rsid w:val="009E70E7"/>
    <w:rsid w:val="009F2492"/>
    <w:rsid w:val="009F25A8"/>
    <w:rsid w:val="009F3A6A"/>
    <w:rsid w:val="009F46DC"/>
    <w:rsid w:val="009F4C58"/>
    <w:rsid w:val="009F5307"/>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00F7"/>
    <w:rsid w:val="00A719AA"/>
    <w:rsid w:val="00A73DE3"/>
    <w:rsid w:val="00A74C2D"/>
    <w:rsid w:val="00A74D33"/>
    <w:rsid w:val="00A7564A"/>
    <w:rsid w:val="00A76B34"/>
    <w:rsid w:val="00A8015B"/>
    <w:rsid w:val="00A83487"/>
    <w:rsid w:val="00A84A8E"/>
    <w:rsid w:val="00A84F0F"/>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1838"/>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7AE"/>
    <w:rsid w:val="00B06882"/>
    <w:rsid w:val="00B072BC"/>
    <w:rsid w:val="00B077ED"/>
    <w:rsid w:val="00B07F12"/>
    <w:rsid w:val="00B07FE3"/>
    <w:rsid w:val="00B103D7"/>
    <w:rsid w:val="00B10BAE"/>
    <w:rsid w:val="00B113A4"/>
    <w:rsid w:val="00B116CC"/>
    <w:rsid w:val="00B12CC8"/>
    <w:rsid w:val="00B1369F"/>
    <w:rsid w:val="00B14154"/>
    <w:rsid w:val="00B1415B"/>
    <w:rsid w:val="00B15278"/>
    <w:rsid w:val="00B160E2"/>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40B"/>
    <w:rsid w:val="00BA0D0B"/>
    <w:rsid w:val="00BA1099"/>
    <w:rsid w:val="00BA10DC"/>
    <w:rsid w:val="00BA1732"/>
    <w:rsid w:val="00BA4CE5"/>
    <w:rsid w:val="00BA688A"/>
    <w:rsid w:val="00BB18B8"/>
    <w:rsid w:val="00BB1B3C"/>
    <w:rsid w:val="00BB375D"/>
    <w:rsid w:val="00BB391B"/>
    <w:rsid w:val="00BB3D85"/>
    <w:rsid w:val="00BB49A0"/>
    <w:rsid w:val="00BB515F"/>
    <w:rsid w:val="00BB52AE"/>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0D"/>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D049D"/>
    <w:rsid w:val="00CD1770"/>
    <w:rsid w:val="00CD3A5D"/>
    <w:rsid w:val="00CD51ED"/>
    <w:rsid w:val="00CD5FD4"/>
    <w:rsid w:val="00CD61A4"/>
    <w:rsid w:val="00CD6A36"/>
    <w:rsid w:val="00CE0A60"/>
    <w:rsid w:val="00CE0DCE"/>
    <w:rsid w:val="00CE1BC9"/>
    <w:rsid w:val="00CE321D"/>
    <w:rsid w:val="00CE33C1"/>
    <w:rsid w:val="00CE4DD6"/>
    <w:rsid w:val="00CE597A"/>
    <w:rsid w:val="00CE6763"/>
    <w:rsid w:val="00CE76FF"/>
    <w:rsid w:val="00CF0BBF"/>
    <w:rsid w:val="00CF1CF7"/>
    <w:rsid w:val="00CF2530"/>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6F02"/>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1FA5"/>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99C"/>
    <w:rsid w:val="00E60E5A"/>
    <w:rsid w:val="00E617BD"/>
    <w:rsid w:val="00E61CA8"/>
    <w:rsid w:val="00E61E05"/>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5CF"/>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1ECB"/>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E7F5D"/>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B"/>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01"/>
    <w:rsid w:val="00F871D7"/>
    <w:rsid w:val="00F9173A"/>
    <w:rsid w:val="00F91800"/>
    <w:rsid w:val="00F93469"/>
    <w:rsid w:val="00F93AF9"/>
    <w:rsid w:val="00F94E99"/>
    <w:rsid w:val="00F9540C"/>
    <w:rsid w:val="00F959F3"/>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453"/>
    <w:rsid w:val="00FB55F4"/>
    <w:rsid w:val="00FB58D8"/>
    <w:rsid w:val="00FB5C1A"/>
    <w:rsid w:val="00FB5E6F"/>
    <w:rsid w:val="00FB677F"/>
    <w:rsid w:val="00FB7115"/>
    <w:rsid w:val="00FB7140"/>
    <w:rsid w:val="00FC0B63"/>
    <w:rsid w:val="00FC12ED"/>
    <w:rsid w:val="00FC1748"/>
    <w:rsid w:val="00FC1EEB"/>
    <w:rsid w:val="00FC2209"/>
    <w:rsid w:val="00FC2584"/>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4525726">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24559993">
      <w:bodyDiv w:val="1"/>
      <w:marLeft w:val="0"/>
      <w:marRight w:val="0"/>
      <w:marTop w:val="0"/>
      <w:marBottom w:val="0"/>
      <w:divBdr>
        <w:top w:val="none" w:sz="0" w:space="0" w:color="auto"/>
        <w:left w:val="none" w:sz="0" w:space="0" w:color="auto"/>
        <w:bottom w:val="none" w:sz="0" w:space="0" w:color="auto"/>
        <w:right w:val="none" w:sz="0" w:space="0" w:color="auto"/>
      </w:divBdr>
    </w:div>
    <w:div w:id="525219955">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69692566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4223982">
      <w:bodyDiv w:val="1"/>
      <w:marLeft w:val="0"/>
      <w:marRight w:val="0"/>
      <w:marTop w:val="0"/>
      <w:marBottom w:val="0"/>
      <w:divBdr>
        <w:top w:val="none" w:sz="0" w:space="0" w:color="auto"/>
        <w:left w:val="none" w:sz="0" w:space="0" w:color="auto"/>
        <w:bottom w:val="none" w:sz="0" w:space="0" w:color="auto"/>
        <w:right w:val="none" w:sz="0" w:space="0" w:color="auto"/>
      </w:divBdr>
    </w:div>
    <w:div w:id="95494929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68326119">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5260671">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14005441">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2435482">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589849269">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5964">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8792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0AF7C-EF0F-4F99-B6F9-396D66D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5430</Words>
  <Characters>29868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INFORMATICA</cp:lastModifiedBy>
  <cp:revision>7</cp:revision>
  <cp:lastPrinted>2021-08-18T17:12:00Z</cp:lastPrinted>
  <dcterms:created xsi:type="dcterms:W3CDTF">2021-10-27T17:27:00Z</dcterms:created>
  <dcterms:modified xsi:type="dcterms:W3CDTF">2021-11-04T00:12:00Z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