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4A4" w:rsidRDefault="00B564A4">
      <w:pPr>
        <w:widowControl w:val="0"/>
        <w:pBdr>
          <w:top w:val="nil"/>
          <w:left w:val="nil"/>
          <w:bottom w:val="nil"/>
          <w:right w:val="nil"/>
          <w:between w:val="nil"/>
        </w:pBdr>
        <w:spacing w:line="276" w:lineRule="auto"/>
      </w:pPr>
      <w:bookmarkStart w:id="0" w:name="_GoBack"/>
      <w:bookmarkEnd w:id="0"/>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veinticuatro de noviembre de dos mil veintiuno.</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b/>
        </w:rPr>
        <w:t>VISTO</w:t>
      </w:r>
      <w:r w:rsidRPr="00595841">
        <w:rPr>
          <w:rFonts w:ascii="Palatino Linotype" w:eastAsia="Palatino Linotype" w:hAnsi="Palatino Linotype" w:cs="Palatino Linotype"/>
        </w:rPr>
        <w:t xml:space="preserve"> el expediente formado con motivo del recurso de revisión</w:t>
      </w:r>
      <w:r w:rsidRPr="00595841">
        <w:rPr>
          <w:rFonts w:ascii="Palatino Linotype" w:eastAsia="Palatino Linotype" w:hAnsi="Palatino Linotype" w:cs="Palatino Linotype"/>
          <w:b/>
        </w:rPr>
        <w:t xml:space="preserve"> 05007/INFOEM/IP/RR/2021</w:t>
      </w:r>
      <w:r w:rsidRPr="00595841">
        <w:rPr>
          <w:rFonts w:ascii="Palatino Linotype" w:eastAsia="Palatino Linotype" w:hAnsi="Palatino Linotype" w:cs="Palatino Linotype"/>
        </w:rPr>
        <w:t xml:space="preserve">, promovido por el </w:t>
      </w:r>
      <w:r w:rsidRPr="00595841">
        <w:rPr>
          <w:rFonts w:ascii="Palatino Linotype" w:eastAsia="Palatino Linotype" w:hAnsi="Palatino Linotype" w:cs="Palatino Linotype"/>
          <w:b/>
        </w:rPr>
        <w:t>C.</w:t>
      </w:r>
      <w:r w:rsidRPr="00595841">
        <w:rPr>
          <w:rFonts w:ascii="Palatino Linotype" w:eastAsia="Palatino Linotype" w:hAnsi="Palatino Linotype" w:cs="Palatino Linotype"/>
        </w:rPr>
        <w:t xml:space="preserve"> </w:t>
      </w:r>
      <w:r w:rsidR="00BA029C">
        <w:rPr>
          <w:rFonts w:ascii="Palatino Linotype" w:eastAsia="Palatino Linotype" w:hAnsi="Palatino Linotype" w:cs="Palatino Linotype"/>
          <w:b/>
        </w:rPr>
        <w:t>XXXX XXXXXXX XXXXXXXXX XXXXXX</w:t>
      </w:r>
      <w:r w:rsidRPr="00595841">
        <w:rPr>
          <w:rFonts w:ascii="Palatino Linotype" w:eastAsia="Palatino Linotype" w:hAnsi="Palatino Linotype" w:cs="Palatino Linotype"/>
          <w:b/>
        </w:rPr>
        <w:t xml:space="preserve">, </w:t>
      </w:r>
      <w:r w:rsidRPr="00595841">
        <w:rPr>
          <w:rFonts w:ascii="Palatino Linotype" w:eastAsia="Palatino Linotype" w:hAnsi="Palatino Linotype" w:cs="Palatino Linotype"/>
        </w:rPr>
        <w:t xml:space="preserve">en lo sucesivo se denominará </w:t>
      </w:r>
      <w:r w:rsidRPr="00595841">
        <w:rPr>
          <w:rFonts w:ascii="Palatino Linotype" w:eastAsia="Palatino Linotype" w:hAnsi="Palatino Linotype" w:cs="Palatino Linotype"/>
          <w:b/>
        </w:rPr>
        <w:t>EL RECURRENTE</w:t>
      </w:r>
      <w:r w:rsidRPr="00595841">
        <w:rPr>
          <w:rFonts w:ascii="Palatino Linotype" w:eastAsia="Palatino Linotype" w:hAnsi="Palatino Linotype" w:cs="Palatino Linotype"/>
        </w:rPr>
        <w:t xml:space="preserve">, en contra de la respuesta emitida por el </w:t>
      </w:r>
      <w:r w:rsidRPr="00595841">
        <w:rPr>
          <w:rFonts w:ascii="Palatino Linotype" w:eastAsia="Palatino Linotype" w:hAnsi="Palatino Linotype" w:cs="Palatino Linotype"/>
          <w:b/>
        </w:rPr>
        <w:t>Ayuntamiento de Cuautitlán Izcalli,</w:t>
      </w:r>
      <w:r w:rsidRPr="00595841">
        <w:rPr>
          <w:rFonts w:ascii="Palatino Linotype" w:eastAsia="Palatino Linotype" w:hAnsi="Palatino Linotype" w:cs="Palatino Linotype"/>
        </w:rPr>
        <w:t xml:space="preserve"> en lo subsecuente se denominará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se procede a dictar la presente resolución con base en lo siguiente: </w:t>
      </w:r>
    </w:p>
    <w:p w:rsidR="00B564A4" w:rsidRPr="00595841" w:rsidRDefault="00B564A4">
      <w:pPr>
        <w:tabs>
          <w:tab w:val="left" w:pos="9072"/>
        </w:tabs>
        <w:jc w:val="both"/>
        <w:rPr>
          <w:rFonts w:ascii="Palatino Linotype" w:eastAsia="Palatino Linotype" w:hAnsi="Palatino Linotype" w:cs="Palatino Linotype"/>
        </w:rPr>
      </w:pPr>
    </w:p>
    <w:p w:rsidR="00B564A4" w:rsidRPr="00595841" w:rsidRDefault="000E336B">
      <w:pPr>
        <w:jc w:val="center"/>
        <w:rPr>
          <w:rFonts w:ascii="Palatino Linotype" w:eastAsia="Palatino Linotype" w:hAnsi="Palatino Linotype" w:cs="Palatino Linotype"/>
          <w:b/>
          <w:sz w:val="28"/>
          <w:szCs w:val="28"/>
        </w:rPr>
      </w:pPr>
      <w:r w:rsidRPr="00595841">
        <w:rPr>
          <w:rFonts w:ascii="Palatino Linotype" w:eastAsia="Palatino Linotype" w:hAnsi="Palatino Linotype" w:cs="Palatino Linotype"/>
          <w:b/>
          <w:sz w:val="28"/>
          <w:szCs w:val="28"/>
        </w:rPr>
        <w:t>RESULTANDO</w:t>
      </w:r>
    </w:p>
    <w:p w:rsidR="00B564A4" w:rsidRPr="00595841" w:rsidRDefault="00B564A4">
      <w:pPr>
        <w:jc w:val="center"/>
        <w:rPr>
          <w:rFonts w:ascii="Palatino Linotype" w:eastAsia="Palatino Linotype" w:hAnsi="Palatino Linotype" w:cs="Palatino Linotype"/>
          <w:b/>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b/>
          <w:color w:val="000000"/>
          <w:sz w:val="28"/>
          <w:szCs w:val="28"/>
        </w:rPr>
        <w:t xml:space="preserve">I. </w:t>
      </w:r>
      <w:r w:rsidRPr="00595841">
        <w:rPr>
          <w:rFonts w:ascii="Palatino Linotype" w:eastAsia="Palatino Linotype" w:hAnsi="Palatino Linotype" w:cs="Palatino Linotype"/>
          <w:color w:val="000000"/>
        </w:rPr>
        <w:t xml:space="preserve">En fecha veinte de septiembre de dos mil veintiuno,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presentó a través del Sistema de Acceso a la Información Mexiquense, en lo subsecuente se denominará </w:t>
      </w:r>
      <w:r w:rsidRPr="00595841">
        <w:rPr>
          <w:rFonts w:ascii="Palatino Linotype" w:eastAsia="Palatino Linotype" w:hAnsi="Palatino Linotype" w:cs="Palatino Linotype"/>
          <w:b/>
          <w:color w:val="000000"/>
        </w:rPr>
        <w:t>EL SAIMEX</w:t>
      </w:r>
      <w:r w:rsidRPr="00595841">
        <w:rPr>
          <w:rFonts w:ascii="Palatino Linotype" w:eastAsia="Palatino Linotype" w:hAnsi="Palatino Linotype" w:cs="Palatino Linotype"/>
          <w:color w:val="000000"/>
        </w:rPr>
        <w:t xml:space="preserve"> ante </w:t>
      </w:r>
      <w:r w:rsidRPr="00595841">
        <w:rPr>
          <w:rFonts w:ascii="Palatino Linotype" w:eastAsia="Palatino Linotype" w:hAnsi="Palatino Linotype" w:cs="Palatino Linotype"/>
          <w:b/>
          <w:color w:val="000000"/>
        </w:rPr>
        <w:t>EL SUJETO OBLIGADO</w:t>
      </w:r>
      <w:r w:rsidRPr="00595841">
        <w:rPr>
          <w:rFonts w:ascii="Palatino Linotype" w:eastAsia="Palatino Linotype" w:hAnsi="Palatino Linotype" w:cs="Palatino Linotype"/>
          <w:color w:val="000000"/>
        </w:rPr>
        <w:t xml:space="preserve">, la solicitud de acceso a la información pública, a la que se le asignó el número de expediente </w:t>
      </w:r>
      <w:r w:rsidR="00B07F71" w:rsidRPr="00595841">
        <w:rPr>
          <w:rFonts w:ascii="Palatino Linotype" w:eastAsia="Palatino Linotype" w:hAnsi="Palatino Linotype" w:cs="Palatino Linotype"/>
          <w:b/>
          <w:color w:val="000000"/>
        </w:rPr>
        <w:t>00413/CUAUTIZC/IP/2021</w:t>
      </w:r>
      <w:r w:rsidRPr="00595841">
        <w:rPr>
          <w:rFonts w:ascii="Palatino Linotype" w:eastAsia="Palatino Linotype" w:hAnsi="Palatino Linotype" w:cs="Palatino Linotype"/>
          <w:b/>
        </w:rPr>
        <w:t>,</w:t>
      </w:r>
      <w:r w:rsidRPr="00595841">
        <w:rPr>
          <w:rFonts w:ascii="Palatino Linotype" w:eastAsia="Palatino Linotype" w:hAnsi="Palatino Linotype" w:cs="Palatino Linotype"/>
        </w:rPr>
        <w:t xml:space="preserve"> mediante la cual requirió lo siguiente:</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“Solicito me informen cuánto se le debe a cada proveedor del Ayuntamiento.”(Sic).</w:t>
      </w:r>
    </w:p>
    <w:p w:rsidR="00B564A4" w:rsidRPr="00595841" w:rsidRDefault="00B564A4">
      <w:pPr>
        <w:ind w:right="757"/>
        <w:jc w:val="both"/>
        <w:rPr>
          <w:rFonts w:ascii="Palatino Linotype" w:eastAsia="Palatino Linotype" w:hAnsi="Palatino Linotype" w:cs="Palatino Linotype"/>
          <w:i/>
          <w:sz w:val="22"/>
          <w:szCs w:val="22"/>
        </w:rPr>
      </w:pPr>
    </w:p>
    <w:p w:rsidR="00B564A4" w:rsidRPr="00595841" w:rsidRDefault="000E336B">
      <w:pPr>
        <w:spacing w:line="360" w:lineRule="auto"/>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b/>
          <w:color w:val="000000"/>
        </w:rPr>
        <w:t>MODALIDAD DE ENTREGA:</w:t>
      </w:r>
      <w:r w:rsidRPr="00595841">
        <w:rPr>
          <w:rFonts w:ascii="Palatino Linotype" w:eastAsia="Palatino Linotype" w:hAnsi="Palatino Linotype" w:cs="Palatino Linotype"/>
          <w:color w:val="000000"/>
        </w:rPr>
        <w:t xml:space="preserve"> vía </w:t>
      </w:r>
      <w:r w:rsidRPr="00595841">
        <w:rPr>
          <w:rFonts w:ascii="Palatino Linotype" w:eastAsia="Palatino Linotype" w:hAnsi="Palatino Linotype" w:cs="Palatino Linotype"/>
          <w:b/>
          <w:color w:val="000000"/>
        </w:rPr>
        <w:t>SAIMEX.</w:t>
      </w:r>
    </w:p>
    <w:p w:rsidR="00B564A4" w:rsidRPr="00595841" w:rsidRDefault="00B564A4">
      <w:pPr>
        <w:spacing w:line="360" w:lineRule="auto"/>
        <w:ind w:right="757"/>
        <w:jc w:val="both"/>
        <w:rPr>
          <w:rFonts w:ascii="Palatino Linotype" w:eastAsia="Palatino Linotype" w:hAnsi="Palatino Linotype" w:cs="Palatino Linotype"/>
          <w:i/>
          <w:sz w:val="22"/>
          <w:szCs w:val="22"/>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b/>
          <w:sz w:val="28"/>
          <w:szCs w:val="28"/>
        </w:rPr>
        <w:lastRenderedPageBreak/>
        <w:t xml:space="preserve">II. </w:t>
      </w:r>
      <w:r w:rsidRPr="00595841">
        <w:rPr>
          <w:rFonts w:ascii="Palatino Linotype" w:eastAsia="Palatino Linotype" w:hAnsi="Palatino Linotype" w:cs="Palatino Linotype"/>
        </w:rPr>
        <w:t xml:space="preserve">En cumplimiento al artículo 162 de la Ley de Transparencia y Acceso a la Información Pública del Estado de México y Municipios, el veintiuno de septiembre de dos mil veintiuno, la Titular de la Unidad de Transparencia del </w:t>
      </w:r>
      <w:r w:rsidRPr="00595841">
        <w:rPr>
          <w:rFonts w:ascii="Palatino Linotype" w:eastAsia="Palatino Linotype" w:hAnsi="Palatino Linotype" w:cs="Palatino Linotype"/>
          <w:b/>
        </w:rPr>
        <w:t>SUJETO OBLIGADO</w:t>
      </w:r>
      <w:r w:rsidRPr="00595841">
        <w:rPr>
          <w:rFonts w:ascii="Palatino Linotype" w:eastAsia="Palatino Linotype" w:hAnsi="Palatino Linotype" w:cs="Palatino Linotype"/>
        </w:rPr>
        <w:t>, turnó el requerimiento de información a los servidores públicos habilitados que estimó pertinentes, a fin de colmar la solicitud de acceso a la información; tal y como, se aprecia en la imagen siguiente:</w:t>
      </w: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noProof/>
        </w:rPr>
        <w:drawing>
          <wp:inline distT="0" distB="0" distL="0" distR="0">
            <wp:extent cx="5791835" cy="881380"/>
            <wp:effectExtent l="0" t="0" r="0" b="0"/>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881380"/>
                    </a:xfrm>
                    <a:prstGeom prst="rect">
                      <a:avLst/>
                    </a:prstGeom>
                    <a:ln/>
                  </pic:spPr>
                </pic:pic>
              </a:graphicData>
            </a:graphic>
          </wp:inline>
        </w:drawing>
      </w:r>
    </w:p>
    <w:p w:rsidR="00B564A4" w:rsidRPr="00595841" w:rsidRDefault="00B564A4">
      <w:pPr>
        <w:spacing w:line="360" w:lineRule="auto"/>
        <w:ind w:right="757"/>
        <w:jc w:val="both"/>
        <w:rPr>
          <w:rFonts w:ascii="Palatino Linotype" w:eastAsia="Palatino Linotype" w:hAnsi="Palatino Linotype" w:cs="Palatino Linotype"/>
          <w:i/>
          <w:sz w:val="22"/>
          <w:szCs w:val="22"/>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b/>
          <w:color w:val="000000"/>
          <w:sz w:val="28"/>
          <w:szCs w:val="28"/>
        </w:rPr>
        <w:t>III.</w:t>
      </w:r>
      <w:r w:rsidRPr="00595841">
        <w:rPr>
          <w:rFonts w:ascii="Palatino Linotype" w:eastAsia="Palatino Linotype" w:hAnsi="Palatino Linotype" w:cs="Palatino Linotype"/>
          <w:b/>
        </w:rPr>
        <w:t xml:space="preserve"> </w:t>
      </w:r>
      <w:r w:rsidRPr="00595841">
        <w:rPr>
          <w:rFonts w:ascii="Palatino Linotype" w:eastAsia="Palatino Linotype" w:hAnsi="Palatino Linotype" w:cs="Palatino Linotype"/>
        </w:rPr>
        <w:t xml:space="preserve">De las constancias que integran el expediente electrónico del </w:t>
      </w:r>
      <w:r w:rsidRPr="00595841">
        <w:rPr>
          <w:rFonts w:ascii="Palatino Linotype" w:eastAsia="Palatino Linotype" w:hAnsi="Palatino Linotype" w:cs="Palatino Linotype"/>
          <w:b/>
        </w:rPr>
        <w:t>SAIMEX</w:t>
      </w:r>
      <w:r w:rsidRPr="00595841">
        <w:rPr>
          <w:rFonts w:ascii="Palatino Linotype" w:eastAsia="Palatino Linotype" w:hAnsi="Palatino Linotype" w:cs="Palatino Linotype"/>
        </w:rPr>
        <w:t xml:space="preserve"> se advierte que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dio respuesta a la solicitud de acceso a la información, en fecha once de octubre de dos mil veintiuno, en los términos que a continuación se citan:</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 xml:space="preserve">“1.-“ Con fundamento en el artículo 6° de la Constitución Política de los Estados Unidos Mexicanos; 5° de la Constitución Política del Estado Libre y Soberano de México; 3 fracción XLV, 12, 23 fracción IV, 24 fracción XI y XXV, 25 y 52 de la Ley de Transparencia y Acceso a la Información Pública del Estado de México y Municipios; y en atención a la Solicitud de Información Pública marcada con el número de folio 00413/CUAUTIZC/IP/2021 turnada a través del Sistema SAIMEX a esta Unidad Administrativa, en la cual se requiere lo siguiente: </w:t>
      </w: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 xml:space="preserve">DESCRIPCIÓN DE LA INFORMACIÓN SOLICITADA: “Solicito me informen cuánto se le debe a cada proveedor del Ayuntamiento.” (Sic) </w:t>
      </w: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 xml:space="preserve">Al respecto, le comento que la solicitud fue turnada a la Titular de la Unidad de Contrataciones, por ser el área que pudiera generar, administrar y/o resguardar la información requerida; petición que fue atendida a través de su atento número DGA/UC/1090/2021, el cual se adjunta al presente. “sic </w:t>
      </w: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lastRenderedPageBreak/>
        <w:t xml:space="preserve">2.-“ Reciba un cordial saludo de quien suscribe y en atención a la solicitud de información marcada con el número de SAIMEX 00413/CUAUTIZC/IP/2021, turnada a esta Tesorería Municipal, en la cual se requiere lo siguiente: DESCRIPCIÓN DE LA INFORMACIÓN SOLICITADA: “Solicito me informen cuánto se le debe a cada proveedor del Ayuntamiento.” SIC Con fundamento en los artículos 12 párrafo segundo, 24 fracciones XI y XIV de la Ley de Transparencia y Acceso a la Información Pública del Estado de México y Municipios, le informo a usted que se agrega al presente la versión pública de la Cuenta contable “2112- Proveedores por Pagar a Corto Plazo” de la Balanza de Comprobación Detallada en formato PDF, al cierre contable presupuestal del mes de junio del presente ejercicio fiscal, así como el ACUERDO DE VERSIÓN PÚBLICA CON EL CARÁCTER DE CONFIDENCIAL, número 162/CUAUTIZC/CT/TM/2021. “sic </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ATENTAMENTE</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 xml:space="preserve">LIC. HUGO INFANTE LLERENAS” (sic) </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 dicha respuesta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acompañó los archivos electrónicos que se describen a continuación:</w:t>
      </w:r>
    </w:p>
    <w:p w:rsidR="00B564A4" w:rsidRPr="00595841" w:rsidRDefault="000E336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95841">
        <w:rPr>
          <w:rFonts w:ascii="Palatino Linotype" w:eastAsia="Palatino Linotype" w:hAnsi="Palatino Linotype" w:cs="Palatino Linotype"/>
          <w:color w:val="000000"/>
        </w:rPr>
        <w:t>Documento en formato pdf denominado “</w:t>
      </w:r>
      <w:r w:rsidRPr="00595841">
        <w:rPr>
          <w:rFonts w:ascii="Palatino Linotype" w:eastAsia="Palatino Linotype" w:hAnsi="Palatino Linotype" w:cs="Palatino Linotype"/>
          <w:i/>
          <w:color w:val="000000"/>
        </w:rPr>
        <w:t>DGA_OF_1662_2021 y ANEXO.pdf”</w:t>
      </w:r>
      <w:r w:rsidRPr="00595841">
        <w:rPr>
          <w:rFonts w:ascii="Palatino Linotype" w:eastAsia="Palatino Linotype" w:hAnsi="Palatino Linotype" w:cs="Palatino Linotype"/>
          <w:color w:val="000000"/>
        </w:rPr>
        <w:t xml:space="preserve"> mediante el cual, en su parte medular, el Director General de Administración manifiesta no tener dentro de sus facultades como Titular de la Unidad de Contrataciones realizar el pago a proveedores. </w:t>
      </w:r>
    </w:p>
    <w:p w:rsidR="00B564A4" w:rsidRPr="00595841" w:rsidRDefault="000E336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95841">
        <w:rPr>
          <w:rFonts w:ascii="Palatino Linotype" w:eastAsia="Palatino Linotype" w:hAnsi="Palatino Linotype" w:cs="Palatino Linotype"/>
          <w:color w:val="000000"/>
        </w:rPr>
        <w:t>Documento en formato pdf de nombre “</w:t>
      </w:r>
      <w:r w:rsidRPr="00595841">
        <w:rPr>
          <w:rFonts w:ascii="Palatino Linotype" w:eastAsia="Palatino Linotype" w:hAnsi="Palatino Linotype" w:cs="Palatino Linotype"/>
          <w:i/>
          <w:color w:val="000000"/>
        </w:rPr>
        <w:t xml:space="preserve">ACUERDO VP 162 Balanza.pdf” </w:t>
      </w:r>
      <w:r w:rsidRPr="00595841">
        <w:rPr>
          <w:rFonts w:ascii="Palatino Linotype" w:eastAsia="Palatino Linotype" w:hAnsi="Palatino Linotype" w:cs="Palatino Linotype"/>
          <w:color w:val="000000"/>
        </w:rPr>
        <w:t xml:space="preserve">cuyo contenido es el acuerdo del Comité de Transparencia con motivo de la versión pública de la Balanza de Comprobación Detallada. </w:t>
      </w:r>
    </w:p>
    <w:p w:rsidR="00B564A4" w:rsidRPr="00595841" w:rsidRDefault="000E336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95841">
        <w:rPr>
          <w:rFonts w:ascii="Palatino Linotype" w:eastAsia="Palatino Linotype" w:hAnsi="Palatino Linotype" w:cs="Palatino Linotype"/>
          <w:color w:val="000000"/>
        </w:rPr>
        <w:lastRenderedPageBreak/>
        <w:t>Documento denominado “TM</w:t>
      </w:r>
      <w:r w:rsidRPr="00595841">
        <w:rPr>
          <w:rFonts w:ascii="Palatino Linotype" w:eastAsia="Palatino Linotype" w:hAnsi="Palatino Linotype" w:cs="Palatino Linotype"/>
          <w:i/>
          <w:color w:val="000000"/>
        </w:rPr>
        <w:t>-3135-2021.pdf”</w:t>
      </w:r>
      <w:r w:rsidRPr="00595841">
        <w:rPr>
          <w:rFonts w:ascii="Palatino Linotype" w:eastAsia="Palatino Linotype" w:hAnsi="Palatino Linotype" w:cs="Palatino Linotype"/>
          <w:color w:val="000000"/>
        </w:rPr>
        <w:t xml:space="preserve"> por el cual se da respuesta formal a la solicitud de información. </w:t>
      </w:r>
    </w:p>
    <w:p w:rsidR="00B564A4" w:rsidRPr="00595841" w:rsidRDefault="000E336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95841">
        <w:rPr>
          <w:rFonts w:ascii="Palatino Linotype" w:eastAsia="Palatino Linotype" w:hAnsi="Palatino Linotype" w:cs="Palatino Linotype"/>
          <w:color w:val="000000"/>
        </w:rPr>
        <w:t xml:space="preserve">Documento en formato pdf de nombre </w:t>
      </w:r>
      <w:r w:rsidRPr="00595841">
        <w:rPr>
          <w:rFonts w:ascii="Palatino Linotype" w:eastAsia="Palatino Linotype" w:hAnsi="Palatino Linotype" w:cs="Palatino Linotype"/>
          <w:i/>
          <w:color w:val="000000"/>
        </w:rPr>
        <w:t xml:space="preserve">Balanza de Comprobacion Detallada JUNIO 2112.pdf, </w:t>
      </w:r>
      <w:r w:rsidRPr="00595841">
        <w:rPr>
          <w:rFonts w:ascii="Palatino Linotype" w:eastAsia="Palatino Linotype" w:hAnsi="Palatino Linotype" w:cs="Palatino Linotype"/>
          <w:color w:val="000000"/>
        </w:rPr>
        <w:t xml:space="preserve">cuyo contenido son 16 fojas con la Balanza de Comprobación Detallada del primero al treinta de junio de dos mil veintiuno. </w:t>
      </w:r>
    </w:p>
    <w:p w:rsidR="00B564A4" w:rsidRPr="00595841" w:rsidRDefault="00B564A4">
      <w:pPr>
        <w:pBdr>
          <w:top w:val="nil"/>
          <w:left w:val="nil"/>
          <w:bottom w:val="nil"/>
          <w:right w:val="nil"/>
          <w:between w:val="nil"/>
        </w:pBdr>
        <w:spacing w:line="360" w:lineRule="auto"/>
        <w:ind w:left="720"/>
        <w:jc w:val="both"/>
        <w:rPr>
          <w:rFonts w:ascii="Palatino Linotype" w:eastAsia="Palatino Linotype" w:hAnsi="Palatino Linotype" w:cs="Palatino Linotype"/>
          <w:i/>
          <w:color w:val="000000"/>
        </w:rPr>
      </w:pP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IV.</w:t>
      </w:r>
      <w:r w:rsidRPr="00595841">
        <w:rPr>
          <w:rFonts w:ascii="Palatino Linotype" w:eastAsia="Palatino Linotype" w:hAnsi="Palatino Linotype" w:cs="Palatino Linotype"/>
          <w:b/>
          <w:color w:val="000000"/>
        </w:rPr>
        <w:t xml:space="preserve"> </w:t>
      </w:r>
      <w:r w:rsidRPr="00595841">
        <w:rPr>
          <w:rFonts w:ascii="Palatino Linotype" w:eastAsia="Palatino Linotype" w:hAnsi="Palatino Linotype" w:cs="Palatino Linotype"/>
          <w:color w:val="000000"/>
        </w:rPr>
        <w:t xml:space="preserve">Inconforme con la respuesta del </w:t>
      </w:r>
      <w:r w:rsidRPr="00595841">
        <w:rPr>
          <w:rFonts w:ascii="Palatino Linotype" w:eastAsia="Palatino Linotype" w:hAnsi="Palatino Linotype" w:cs="Palatino Linotype"/>
          <w:b/>
          <w:color w:val="000000"/>
        </w:rPr>
        <w:t>SUJETO OBLIGADO</w:t>
      </w:r>
      <w:r w:rsidRPr="00595841">
        <w:rPr>
          <w:rFonts w:ascii="Palatino Linotype" w:eastAsia="Palatino Linotype" w:hAnsi="Palatino Linotype" w:cs="Palatino Linotype"/>
          <w:color w:val="000000"/>
        </w:rPr>
        <w:t xml:space="preserve">, el once de octubre de dos mil veintiuno,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interpuso el recurso de revisión objeto del presente estudio, el cual fue registrado en </w:t>
      </w:r>
      <w:r w:rsidRPr="00595841">
        <w:rPr>
          <w:rFonts w:ascii="Palatino Linotype" w:eastAsia="Palatino Linotype" w:hAnsi="Palatino Linotype" w:cs="Palatino Linotype"/>
          <w:b/>
          <w:color w:val="000000"/>
        </w:rPr>
        <w:t>EL SAIMEX</w:t>
      </w:r>
      <w:r w:rsidRPr="00595841">
        <w:rPr>
          <w:rFonts w:ascii="Palatino Linotype" w:eastAsia="Palatino Linotype" w:hAnsi="Palatino Linotype" w:cs="Palatino Linotype"/>
          <w:color w:val="000000"/>
        </w:rPr>
        <w:t xml:space="preserve"> y se le asignó el número de expediente </w:t>
      </w:r>
      <w:r w:rsidRPr="00595841">
        <w:rPr>
          <w:rFonts w:ascii="Palatino Linotype" w:eastAsia="Palatino Linotype" w:hAnsi="Palatino Linotype" w:cs="Palatino Linotype"/>
          <w:b/>
          <w:color w:val="000000"/>
        </w:rPr>
        <w:t>05007/INFOEM/IP/RR/2021</w:t>
      </w:r>
      <w:r w:rsidRPr="00595841">
        <w:rPr>
          <w:rFonts w:ascii="Palatino Linotype" w:eastAsia="Palatino Linotype" w:hAnsi="Palatino Linotype" w:cs="Palatino Linotype"/>
          <w:color w:val="000000"/>
        </w:rPr>
        <w:t>, en el que señaló como acto impugnado:</w:t>
      </w:r>
    </w:p>
    <w:p w:rsidR="00B564A4" w:rsidRPr="00595841" w:rsidRDefault="00B564A4">
      <w:pPr>
        <w:pBdr>
          <w:top w:val="nil"/>
          <w:left w:val="nil"/>
          <w:bottom w:val="nil"/>
          <w:right w:val="nil"/>
          <w:between w:val="nil"/>
        </w:pBdr>
        <w:ind w:left="709" w:right="757"/>
        <w:jc w:val="both"/>
        <w:rPr>
          <w:rFonts w:ascii="Palatino Linotype" w:eastAsia="Palatino Linotype" w:hAnsi="Palatino Linotype" w:cs="Palatino Linotype"/>
          <w:i/>
          <w:color w:val="000000"/>
        </w:rPr>
      </w:pPr>
    </w:p>
    <w:p w:rsidR="00B564A4" w:rsidRPr="00595841" w:rsidRDefault="000E336B">
      <w:pPr>
        <w:ind w:left="851" w:right="757"/>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“La indebida clasificación de la información solicitada” (sic)</w:t>
      </w:r>
    </w:p>
    <w:p w:rsidR="00B564A4" w:rsidRPr="00595841" w:rsidRDefault="00B564A4">
      <w:pPr>
        <w:pBdr>
          <w:top w:val="nil"/>
          <w:left w:val="nil"/>
          <w:bottom w:val="nil"/>
          <w:right w:val="nil"/>
          <w:between w:val="nil"/>
        </w:pBdr>
        <w:jc w:val="both"/>
        <w:rPr>
          <w:rFonts w:ascii="Palatino Linotype" w:eastAsia="Palatino Linotype" w:hAnsi="Palatino Linotype" w:cs="Palatino Linotype"/>
          <w:color w:val="000000"/>
        </w:rPr>
      </w:pP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Así como, razones o motivos de inconformidad: </w:t>
      </w:r>
    </w:p>
    <w:p w:rsidR="00B564A4" w:rsidRPr="00595841" w:rsidRDefault="00B564A4">
      <w:pPr>
        <w:ind w:left="851" w:right="757"/>
        <w:jc w:val="both"/>
        <w:rPr>
          <w:rFonts w:ascii="Palatino Linotype" w:eastAsia="Palatino Linotype" w:hAnsi="Palatino Linotype" w:cs="Palatino Linotype"/>
          <w:i/>
          <w:sz w:val="22"/>
          <w:szCs w:val="22"/>
        </w:rPr>
      </w:pPr>
    </w:p>
    <w:p w:rsidR="00B564A4" w:rsidRPr="00595841" w:rsidRDefault="000E336B">
      <w:pPr>
        <w:ind w:left="851" w:right="757"/>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 xml:space="preserve">“El Comité de Transparencia del sujeto obligado clasificó la información que solicité y me entregó una versión pública, lo que resulta ilegal y que es información pública de oficio, incluso ya obra un Padrón de proveedores que es público y cuenta con 136 registros, como se acredita con el archivo excel que adjunto, por lo que resulta contradictorio que clasifiquen algo que ellos mismos, por ley, hicieron público.” (sic) </w:t>
      </w:r>
    </w:p>
    <w:p w:rsidR="00B564A4" w:rsidRPr="00595841" w:rsidRDefault="00B564A4">
      <w:pPr>
        <w:ind w:left="851" w:right="757"/>
        <w:jc w:val="both"/>
        <w:rPr>
          <w:rFonts w:ascii="Palatino Linotype" w:eastAsia="Palatino Linotype" w:hAnsi="Palatino Linotype" w:cs="Palatino Linotype"/>
          <w:i/>
          <w:sz w:val="22"/>
          <w:szCs w:val="22"/>
        </w:rPr>
      </w:pPr>
    </w:p>
    <w:p w:rsidR="00B564A4" w:rsidRPr="00595841" w:rsidRDefault="000E336B" w:rsidP="00B07F71">
      <w:pPr>
        <w:spacing w:line="360" w:lineRule="auto"/>
        <w:ind w:right="49"/>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Anexando a dicho recurso el documento denominado </w:t>
      </w:r>
      <w:r w:rsidRPr="00595841">
        <w:rPr>
          <w:rFonts w:ascii="Palatino Linotype" w:eastAsia="Palatino Linotype" w:hAnsi="Palatino Linotype" w:cs="Palatino Linotype"/>
          <w:i/>
        </w:rPr>
        <w:t>“info_Art92_36.xlsx”</w:t>
      </w:r>
      <w:r w:rsidRPr="00595841">
        <w:rPr>
          <w:rFonts w:ascii="Palatino Linotype" w:eastAsia="Palatino Linotype" w:hAnsi="Palatino Linotype" w:cs="Palatino Linotype"/>
        </w:rPr>
        <w:t>, mismo que contiene información obtenida del portal de IPOMEX</w:t>
      </w:r>
      <w:r w:rsidRPr="00595841">
        <w:rPr>
          <w:rFonts w:ascii="Palatino Linotype" w:eastAsia="Palatino Linotype" w:hAnsi="Palatino Linotype" w:cs="Palatino Linotype"/>
          <w:vertAlign w:val="superscript"/>
        </w:rPr>
        <w:footnoteReference w:id="1"/>
      </w:r>
      <w:r w:rsidRPr="00595841">
        <w:rPr>
          <w:rFonts w:ascii="Palatino Linotype" w:eastAsia="Palatino Linotype" w:hAnsi="Palatino Linotype" w:cs="Palatino Linotype"/>
        </w:rPr>
        <w:t xml:space="preserve"> del </w:t>
      </w:r>
      <w:r w:rsidRPr="00595841">
        <w:rPr>
          <w:rFonts w:ascii="Palatino Linotype" w:eastAsia="Palatino Linotype" w:hAnsi="Palatino Linotype" w:cs="Palatino Linotype"/>
          <w:b/>
        </w:rPr>
        <w:t>SUJETO OBLIGADO</w:t>
      </w:r>
      <w:r w:rsidRPr="00595841">
        <w:rPr>
          <w:rFonts w:ascii="Palatino Linotype" w:eastAsia="Palatino Linotype" w:hAnsi="Palatino Linotype" w:cs="Palatino Linotype"/>
        </w:rPr>
        <w:t xml:space="preserve"> </w:t>
      </w:r>
    </w:p>
    <w:p w:rsidR="00B564A4" w:rsidRPr="00595841" w:rsidRDefault="00B564A4">
      <w:pPr>
        <w:ind w:left="851" w:right="757"/>
        <w:jc w:val="both"/>
        <w:rPr>
          <w:rFonts w:ascii="Palatino Linotype" w:eastAsia="Palatino Linotype" w:hAnsi="Palatino Linotype" w:cs="Palatino Linotype"/>
          <w:i/>
          <w:sz w:val="22"/>
          <w:szCs w:val="22"/>
        </w:rPr>
      </w:pP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V.</w:t>
      </w:r>
      <w:r w:rsidRPr="00595841">
        <w:rPr>
          <w:rFonts w:ascii="Palatino Linotype" w:eastAsia="Palatino Linotype" w:hAnsi="Palatino Linotype" w:cs="Palatino Linotype"/>
          <w:b/>
          <w:color w:val="000000"/>
        </w:rPr>
        <w:t xml:space="preserve"> </w:t>
      </w:r>
      <w:r w:rsidRPr="00595841">
        <w:rPr>
          <w:rFonts w:ascii="Palatino Linotype" w:eastAsia="Palatino Linotype" w:hAnsi="Palatino Linotype" w:cs="Palatino Linotype"/>
          <w:color w:val="000000"/>
        </w:rPr>
        <w:t xml:space="preserve">El recurso de que se trata se envió electrónicamente al Instituto de Transparencia, Acceso a la Información Pública y Protección de Datos Personales del Estado de México </w:t>
      </w:r>
      <w:r w:rsidRPr="00595841">
        <w:rPr>
          <w:rFonts w:ascii="Palatino Linotype" w:eastAsia="Palatino Linotype" w:hAnsi="Palatino Linotype" w:cs="Palatino Linotype"/>
          <w:color w:val="000000"/>
        </w:rPr>
        <w:lastRenderedPageBreak/>
        <w:t xml:space="preserve">y Municipios en fecha once de octubre de dos mil veintiuno; por lo que, con fundamento en el artículo 185, fracción I de la Ley de Transparencia y Acceso a la Información Pública del Estado de México y Municipios, se turnó, a través del </w:t>
      </w:r>
      <w:r w:rsidRPr="00595841">
        <w:rPr>
          <w:rFonts w:ascii="Palatino Linotype" w:eastAsia="Palatino Linotype" w:hAnsi="Palatino Linotype" w:cs="Palatino Linotype"/>
          <w:b/>
          <w:color w:val="000000"/>
        </w:rPr>
        <w:t>SAIMEX</w:t>
      </w:r>
      <w:r w:rsidRPr="00595841">
        <w:rPr>
          <w:rFonts w:ascii="Palatino Linotype" w:eastAsia="Palatino Linotype" w:hAnsi="Palatino Linotype" w:cs="Palatino Linotype"/>
          <w:color w:val="000000"/>
        </w:rPr>
        <w:t xml:space="preserve">, a la Comisionada </w:t>
      </w:r>
      <w:r w:rsidRPr="00595841">
        <w:rPr>
          <w:rFonts w:ascii="Palatino Linotype" w:eastAsia="Palatino Linotype" w:hAnsi="Palatino Linotype" w:cs="Palatino Linotype"/>
          <w:b/>
          <w:color w:val="000000"/>
        </w:rPr>
        <w:t>Sharon Cristina Morales Martínez</w:t>
      </w:r>
      <w:r w:rsidR="00B07F71" w:rsidRPr="00595841">
        <w:rPr>
          <w:rFonts w:ascii="Palatino Linotype" w:eastAsia="Palatino Linotype" w:hAnsi="Palatino Linotype" w:cs="Palatino Linotype"/>
          <w:color w:val="000000"/>
        </w:rPr>
        <w:t>, a efecto de decretar</w:t>
      </w:r>
      <w:r w:rsidRPr="00595841">
        <w:rPr>
          <w:rFonts w:ascii="Palatino Linotype" w:eastAsia="Palatino Linotype" w:hAnsi="Palatino Linotype" w:cs="Palatino Linotype"/>
          <w:color w:val="000000"/>
        </w:rPr>
        <w:t xml:space="preserve"> su admisión o desechamiento.</w:t>
      </w:r>
    </w:p>
    <w:p w:rsidR="00B564A4" w:rsidRPr="00595841" w:rsidRDefault="00B564A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 xml:space="preserve">VI. </w:t>
      </w:r>
      <w:r w:rsidRPr="00595841">
        <w:rPr>
          <w:rFonts w:ascii="Palatino Linotype" w:eastAsia="Palatino Linotype" w:hAnsi="Palatino Linotype" w:cs="Palatino Linotype"/>
          <w:color w:val="000000"/>
        </w:rPr>
        <w:t xml:space="preserve">En fecha catorce de octubre de dos mil veintiuno, atento a lo dispuesto en el artículo 185, fracciones I, II y IV de la Ley de Transparencia y Acceso a la Información Pública del Estado de México y Municipios, se acordó la admisión del referido recurso de revisión, así como la integración del expediente </w:t>
      </w:r>
      <w:r w:rsidR="00B07F71" w:rsidRPr="00595841">
        <w:rPr>
          <w:rFonts w:ascii="Palatino Linotype" w:eastAsia="Palatino Linotype" w:hAnsi="Palatino Linotype" w:cs="Palatino Linotype"/>
          <w:color w:val="000000"/>
        </w:rPr>
        <w:t xml:space="preserve">electrónico </w:t>
      </w:r>
      <w:r w:rsidRPr="00595841">
        <w:rPr>
          <w:rFonts w:ascii="Palatino Linotype" w:eastAsia="Palatino Linotype" w:hAnsi="Palatino Linotype" w:cs="Palatino Linotype"/>
          <w:color w:val="000000"/>
        </w:rPr>
        <w:t xml:space="preserve">respectivo, mismo que se puso a disposición de las partes, para que, de considerarlo conveniente, en el plazo máximo de siete días hábiles,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realizara manifestaciones y alegatos, así como ofreciera las pruebas que a su derecho conviniera y, en el caso del</w:t>
      </w:r>
      <w:r w:rsidRPr="00595841">
        <w:rPr>
          <w:rFonts w:ascii="Palatino Linotype" w:eastAsia="Palatino Linotype" w:hAnsi="Palatino Linotype" w:cs="Palatino Linotype"/>
          <w:b/>
          <w:color w:val="000000"/>
        </w:rPr>
        <w:t xml:space="preserve"> SUJETO OBLIGADO</w:t>
      </w:r>
      <w:r w:rsidRPr="00595841">
        <w:rPr>
          <w:rFonts w:ascii="Palatino Linotype" w:eastAsia="Palatino Linotype" w:hAnsi="Palatino Linotype" w:cs="Palatino Linotype"/>
          <w:color w:val="000000"/>
        </w:rPr>
        <w:t xml:space="preserve"> exhibiera el Informe Justificado. </w:t>
      </w:r>
    </w:p>
    <w:p w:rsidR="00B564A4" w:rsidRPr="00595841" w:rsidRDefault="00B564A4">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b/>
          <w:color w:val="000000"/>
          <w:sz w:val="28"/>
          <w:szCs w:val="28"/>
        </w:rPr>
        <w:t xml:space="preserve">VII. </w:t>
      </w:r>
      <w:r w:rsidRPr="00595841">
        <w:rPr>
          <w:rFonts w:ascii="Palatino Linotype" w:eastAsia="Palatino Linotype" w:hAnsi="Palatino Linotype" w:cs="Palatino Linotype"/>
        </w:rPr>
        <w:t xml:space="preserve">Conforme a las constancias del </w:t>
      </w:r>
      <w:r w:rsidRPr="00595841">
        <w:rPr>
          <w:rFonts w:ascii="Palatino Linotype" w:eastAsia="Palatino Linotype" w:hAnsi="Palatino Linotype" w:cs="Palatino Linotype"/>
          <w:b/>
        </w:rPr>
        <w:t>SAIMEX</w:t>
      </w:r>
      <w:r w:rsidRPr="0059584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595841">
        <w:rPr>
          <w:rFonts w:ascii="Palatino Linotype" w:eastAsia="Palatino Linotype" w:hAnsi="Palatino Linotype" w:cs="Palatino Linotype"/>
          <w:b/>
        </w:rPr>
        <w:t>RECURRENTE</w:t>
      </w:r>
      <w:r w:rsidRPr="00595841">
        <w:rPr>
          <w:rFonts w:ascii="Palatino Linotype" w:eastAsia="Palatino Linotype" w:hAnsi="Palatino Linotype" w:cs="Palatino Linotype"/>
        </w:rPr>
        <w:t xml:space="preserve">, éste no realizó manifestación alguna, ni presentó pruebas o alegatos, </w:t>
      </w: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Por su parte, </w:t>
      </w:r>
      <w:r w:rsidRPr="00595841">
        <w:rPr>
          <w:rFonts w:ascii="Palatino Linotype" w:eastAsia="Palatino Linotype" w:hAnsi="Palatino Linotype" w:cs="Palatino Linotype"/>
          <w:b/>
          <w:color w:val="000000"/>
        </w:rPr>
        <w:t>EL SUJETO OBLIGADO</w:t>
      </w:r>
      <w:r w:rsidRPr="00595841">
        <w:rPr>
          <w:rFonts w:ascii="Palatino Linotype" w:eastAsia="Palatino Linotype" w:hAnsi="Palatino Linotype" w:cs="Palatino Linotype"/>
        </w:rPr>
        <w:t xml:space="preserve"> rindió su Informe Justificado en fecha veinticinco de octubre de dos mil veintiuno y mismo que fue puesto a disposición del </w:t>
      </w:r>
      <w:r w:rsidRPr="00595841">
        <w:rPr>
          <w:rFonts w:ascii="Palatino Linotype" w:eastAsia="Palatino Linotype" w:hAnsi="Palatino Linotype" w:cs="Palatino Linotype"/>
          <w:b/>
        </w:rPr>
        <w:t xml:space="preserve">RECURRENTE, </w:t>
      </w:r>
      <w:r w:rsidRPr="00595841">
        <w:rPr>
          <w:rFonts w:ascii="Palatino Linotype" w:eastAsia="Palatino Linotype" w:hAnsi="Palatino Linotype" w:cs="Palatino Linotype"/>
        </w:rPr>
        <w:t xml:space="preserve">el veintiséis de octubre de dos mil veintiuno,  y el cual en su parte medular versa sobre lo que a continuación se muestra: </w:t>
      </w:r>
    </w:p>
    <w:p w:rsidR="00B564A4" w:rsidRPr="00595841" w:rsidRDefault="000E336B">
      <w:pPr>
        <w:spacing w:line="360" w:lineRule="auto"/>
        <w:jc w:val="center"/>
        <w:rPr>
          <w:rFonts w:ascii="Palatino Linotype" w:eastAsia="Palatino Linotype" w:hAnsi="Palatino Linotype" w:cs="Palatino Linotype"/>
        </w:rPr>
      </w:pPr>
      <w:r w:rsidRPr="00595841">
        <w:rPr>
          <w:rFonts w:ascii="Palatino Linotype" w:eastAsia="Palatino Linotype" w:hAnsi="Palatino Linotype" w:cs="Palatino Linotype"/>
          <w:noProof/>
        </w:rPr>
        <w:lastRenderedPageBreak/>
        <w:drawing>
          <wp:inline distT="0" distB="0" distL="0" distR="0">
            <wp:extent cx="5176172" cy="1568571"/>
            <wp:effectExtent l="0" t="0" r="0" b="0"/>
            <wp:docPr id="2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176172" cy="1568571"/>
                    </a:xfrm>
                    <a:prstGeom prst="rect">
                      <a:avLst/>
                    </a:prstGeom>
                    <a:ln/>
                  </pic:spPr>
                </pic:pic>
              </a:graphicData>
            </a:graphic>
          </wp:inline>
        </w:drawing>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De la imagen previmente insertada se desprende que</w:t>
      </w:r>
      <w:r w:rsidR="00B07F71" w:rsidRPr="00595841">
        <w:rPr>
          <w:rFonts w:ascii="Palatino Linotype" w:eastAsia="Palatino Linotype" w:hAnsi="Palatino Linotype" w:cs="Palatino Linotype"/>
        </w:rPr>
        <w:t>,</w:t>
      </w:r>
      <w:r w:rsidRPr="00595841">
        <w:rPr>
          <w:rFonts w:ascii="Palatino Linotype" w:eastAsia="Palatino Linotype" w:hAnsi="Palatino Linotype" w:cs="Palatino Linotype"/>
        </w:rPr>
        <w:t xml:space="preserve"> </w:t>
      </w:r>
      <w:r w:rsidRPr="00595841">
        <w:rPr>
          <w:rFonts w:ascii="Palatino Linotype" w:eastAsia="Palatino Linotype" w:hAnsi="Palatino Linotype" w:cs="Palatino Linotype"/>
          <w:b/>
        </w:rPr>
        <w:t xml:space="preserve">EL SUJETO OBLIGADO </w:t>
      </w:r>
      <w:r w:rsidR="00B07F71" w:rsidRPr="00595841">
        <w:rPr>
          <w:rFonts w:ascii="Palatino Linotype" w:eastAsia="Palatino Linotype" w:hAnsi="Palatino Linotype" w:cs="Palatino Linotype"/>
        </w:rPr>
        <w:t>manifestó</w:t>
      </w:r>
      <w:r w:rsidRPr="00595841">
        <w:rPr>
          <w:rFonts w:ascii="Palatino Linotype" w:eastAsia="Palatino Linotype" w:hAnsi="Palatino Linotype" w:cs="Palatino Linotype"/>
        </w:rPr>
        <w:t xml:space="preserve"> que la información contenida en la Balanza de </w:t>
      </w:r>
      <w:r w:rsidR="00B07F71" w:rsidRPr="00595841">
        <w:rPr>
          <w:rFonts w:ascii="Palatino Linotype" w:eastAsia="Palatino Linotype" w:hAnsi="Palatino Linotype" w:cs="Palatino Linotype"/>
        </w:rPr>
        <w:t>Comprobación</w:t>
      </w:r>
      <w:r w:rsidRPr="00595841">
        <w:rPr>
          <w:rFonts w:ascii="Palatino Linotype" w:eastAsia="Palatino Linotype" w:hAnsi="Palatino Linotype" w:cs="Palatino Linotype"/>
        </w:rPr>
        <w:t xml:space="preserve"> remitida en respuesta no difiere con la publicada en el portal de IPOMEX, asimismo señala que para la versión publica se testó información personal de los proveedores dejando </w:t>
      </w:r>
      <w:r w:rsidR="00B07F71" w:rsidRPr="00595841">
        <w:rPr>
          <w:rFonts w:ascii="Palatino Linotype" w:eastAsia="Palatino Linotype" w:hAnsi="Palatino Linotype" w:cs="Palatino Linotype"/>
        </w:rPr>
        <w:t xml:space="preserve">sólo </w:t>
      </w:r>
      <w:r w:rsidRPr="00595841">
        <w:rPr>
          <w:rFonts w:ascii="Palatino Linotype" w:eastAsia="Palatino Linotype" w:hAnsi="Palatino Linotype" w:cs="Palatino Linotype"/>
        </w:rPr>
        <w:t xml:space="preserve">visible la cuenta que señala el total de los saldos.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 xml:space="preserve">VIII. </w:t>
      </w:r>
      <w:r w:rsidRPr="00595841">
        <w:rPr>
          <w:rFonts w:ascii="Palatino Linotype" w:eastAsia="Palatino Linotype" w:hAnsi="Palatino Linotype" w:cs="Palatino Linotype"/>
          <w:color w:val="000000"/>
        </w:rPr>
        <w:t xml:space="preserve">En fecha tres de noviembre de dos mil veintiuno, la Comisionada </w:t>
      </w:r>
      <w:r w:rsidRPr="00595841">
        <w:rPr>
          <w:rFonts w:ascii="Palatino Linotype" w:eastAsia="Palatino Linotype" w:hAnsi="Palatino Linotype" w:cs="Palatino Linotype"/>
          <w:b/>
          <w:color w:val="000000"/>
        </w:rPr>
        <w:t xml:space="preserve">Sharon Cristina Morales Martínez </w:t>
      </w:r>
      <w:r w:rsidRPr="00595841">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fracción VIII de la Ley de Transparencia y Acceso a la Información Pública del Estado de México y Municipios; y</w:t>
      </w:r>
    </w:p>
    <w:p w:rsidR="00B564A4" w:rsidRPr="00595841" w:rsidRDefault="00B564A4">
      <w:pPr>
        <w:pBdr>
          <w:top w:val="nil"/>
          <w:left w:val="nil"/>
          <w:bottom w:val="nil"/>
          <w:right w:val="nil"/>
          <w:between w:val="nil"/>
        </w:pBdr>
        <w:jc w:val="both"/>
        <w:rPr>
          <w:rFonts w:ascii="Palatino Linotype" w:eastAsia="Palatino Linotype" w:hAnsi="Palatino Linotype" w:cs="Palatino Linotype"/>
          <w:color w:val="000000"/>
        </w:rPr>
      </w:pPr>
    </w:p>
    <w:p w:rsidR="00B564A4" w:rsidRPr="00595841" w:rsidRDefault="000E336B">
      <w:pPr>
        <w:jc w:val="center"/>
        <w:rPr>
          <w:rFonts w:ascii="Palatino Linotype" w:eastAsia="Palatino Linotype" w:hAnsi="Palatino Linotype" w:cs="Palatino Linotype"/>
          <w:b/>
          <w:sz w:val="28"/>
          <w:szCs w:val="28"/>
        </w:rPr>
      </w:pPr>
      <w:r w:rsidRPr="00595841">
        <w:rPr>
          <w:rFonts w:ascii="Palatino Linotype" w:eastAsia="Palatino Linotype" w:hAnsi="Palatino Linotype" w:cs="Palatino Linotype"/>
          <w:b/>
          <w:sz w:val="28"/>
          <w:szCs w:val="28"/>
        </w:rPr>
        <w:t>CONSIDERANDO</w:t>
      </w:r>
    </w:p>
    <w:p w:rsidR="00B564A4" w:rsidRPr="00595841" w:rsidRDefault="00B564A4">
      <w:pPr>
        <w:jc w:val="center"/>
        <w:rPr>
          <w:rFonts w:ascii="Palatino Linotype" w:eastAsia="Palatino Linotype" w:hAnsi="Palatino Linotype" w:cs="Palatino Linotype"/>
          <w:b/>
          <w:sz w:val="28"/>
          <w:szCs w:val="28"/>
        </w:rPr>
      </w:pPr>
    </w:p>
    <w:p w:rsidR="00B564A4" w:rsidRPr="00595841" w:rsidRDefault="000E336B">
      <w:pPr>
        <w:spacing w:line="360" w:lineRule="auto"/>
        <w:ind w:right="50"/>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b/>
          <w:color w:val="000000"/>
          <w:sz w:val="28"/>
          <w:szCs w:val="28"/>
        </w:rPr>
        <w:t>PRIMERO</w:t>
      </w:r>
      <w:r w:rsidRPr="00595841">
        <w:rPr>
          <w:rFonts w:ascii="Palatino Linotype" w:eastAsia="Palatino Linotype" w:hAnsi="Palatino Linotype" w:cs="Palatino Linotype"/>
          <w:b/>
          <w:color w:val="000000"/>
        </w:rPr>
        <w:t>.</w:t>
      </w:r>
      <w:r w:rsidRPr="00595841">
        <w:rPr>
          <w:rFonts w:ascii="Palatino Linotype" w:eastAsia="Palatino Linotype" w:hAnsi="Palatino Linotype" w:cs="Palatino Linotype"/>
          <w:color w:val="000000"/>
        </w:rPr>
        <w:t xml:space="preserve"> </w:t>
      </w:r>
      <w:r w:rsidRPr="00595841">
        <w:rPr>
          <w:rFonts w:ascii="Palatino Linotype" w:eastAsia="Palatino Linotype" w:hAnsi="Palatino Linotype" w:cs="Palatino Linotype"/>
          <w:b/>
          <w:color w:val="000000"/>
        </w:rPr>
        <w:t>Competencia</w:t>
      </w:r>
      <w:r w:rsidRPr="00595841">
        <w:rPr>
          <w:rFonts w:ascii="Palatino Linotype" w:eastAsia="Palatino Linotype" w:hAnsi="Palatino Linotype" w:cs="Palatino Linotype"/>
          <w:color w:val="000000"/>
        </w:rPr>
        <w:t>.</w:t>
      </w:r>
      <w:r w:rsidRPr="00595841">
        <w:rPr>
          <w:rFonts w:ascii="Palatino Linotype" w:eastAsia="Palatino Linotype" w:hAnsi="Palatino Linotype" w:cs="Palatino Linotype"/>
          <w:b/>
          <w:color w:val="000000"/>
        </w:rPr>
        <w:t xml:space="preserve"> </w:t>
      </w:r>
    </w:p>
    <w:p w:rsidR="00B564A4" w:rsidRPr="00595841" w:rsidRDefault="000E336B">
      <w:pPr>
        <w:spacing w:line="360" w:lineRule="auto"/>
        <w:ind w:right="50"/>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595841">
        <w:rPr>
          <w:rFonts w:ascii="Palatino Linotype" w:eastAsia="Palatino Linotype" w:hAnsi="Palatino Linotype" w:cs="Palatino Linotype"/>
          <w:color w:val="000000"/>
        </w:rPr>
        <w:lastRenderedPageBreak/>
        <w:t>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B564A4" w:rsidRPr="00595841" w:rsidRDefault="00B564A4">
      <w:pPr>
        <w:spacing w:line="360" w:lineRule="auto"/>
        <w:ind w:right="50"/>
        <w:jc w:val="both"/>
        <w:rPr>
          <w:rFonts w:ascii="Palatino Linotype" w:eastAsia="Palatino Linotype" w:hAnsi="Palatino Linotype" w:cs="Palatino Linotype"/>
          <w:color w:val="000000"/>
        </w:rPr>
      </w:pP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SEGUNDO.</w:t>
      </w:r>
      <w:r w:rsidRPr="00595841">
        <w:rPr>
          <w:rFonts w:ascii="Palatino Linotype" w:eastAsia="Palatino Linotype" w:hAnsi="Palatino Linotype" w:cs="Palatino Linotype"/>
          <w:b/>
          <w:color w:val="000000"/>
        </w:rPr>
        <w:t xml:space="preserve"> Interés.</w:t>
      </w:r>
      <w:r w:rsidRPr="00595841">
        <w:rPr>
          <w:rFonts w:ascii="Palatino Linotype" w:eastAsia="Palatino Linotype" w:hAnsi="Palatino Linotype" w:cs="Palatino Linotype"/>
          <w:color w:val="000000"/>
        </w:rPr>
        <w:t xml:space="preserve"> </w:t>
      </w: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color w:val="000000"/>
        </w:rPr>
        <w:t>El recurso de revisión fue interpuesto por parte</w:t>
      </w:r>
      <w:r w:rsidR="00B07F71" w:rsidRPr="00595841">
        <w:rPr>
          <w:rFonts w:ascii="Palatino Linotype" w:eastAsia="Palatino Linotype" w:hAnsi="Palatino Linotype" w:cs="Palatino Linotype"/>
          <w:color w:val="000000"/>
        </w:rPr>
        <w:t xml:space="preserve"> legítima en atención a que se presentó </w:t>
      </w:r>
      <w:r w:rsidRPr="00595841">
        <w:rPr>
          <w:rFonts w:ascii="Palatino Linotype" w:eastAsia="Palatino Linotype" w:hAnsi="Palatino Linotype" w:cs="Palatino Linotype"/>
          <w:color w:val="000000"/>
        </w:rPr>
        <w:t xml:space="preserve">por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quien formuló la solicitud de información pública.</w:t>
      </w:r>
    </w:p>
    <w:p w:rsidR="00B564A4" w:rsidRPr="00595841" w:rsidRDefault="00B564A4">
      <w:pPr>
        <w:widowControl w:val="0"/>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rPr>
      </w:pPr>
    </w:p>
    <w:p w:rsidR="00B564A4" w:rsidRPr="00595841" w:rsidRDefault="000E336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b/>
          <w:color w:val="000000"/>
          <w:sz w:val="28"/>
          <w:szCs w:val="28"/>
        </w:rPr>
        <w:t>TERCERO</w:t>
      </w:r>
      <w:r w:rsidRPr="00595841">
        <w:rPr>
          <w:rFonts w:ascii="Palatino Linotype" w:eastAsia="Palatino Linotype" w:hAnsi="Palatino Linotype" w:cs="Palatino Linotype"/>
          <w:b/>
          <w:color w:val="000000"/>
        </w:rPr>
        <w:t xml:space="preserve">. Oportunidad. </w:t>
      </w:r>
    </w:p>
    <w:p w:rsidR="00B564A4" w:rsidRPr="00595841" w:rsidRDefault="000E336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color w:val="000000"/>
        </w:rPr>
        <w:t xml:space="preserve">El recurso de revisión se interpuso dentro del plazo de quince días hábiles contados a partir del día siguiente en que </w:t>
      </w:r>
      <w:r w:rsidRPr="00595841">
        <w:rPr>
          <w:rFonts w:ascii="Palatino Linotype" w:eastAsia="Palatino Linotype" w:hAnsi="Palatino Linotype" w:cs="Palatino Linotype"/>
          <w:b/>
          <w:color w:val="000000"/>
        </w:rPr>
        <w:t xml:space="preserve">EL RECURRENTE </w:t>
      </w:r>
      <w:r w:rsidRPr="00595841">
        <w:rPr>
          <w:rFonts w:ascii="Palatino Linotype" w:eastAsia="Palatino Linotype" w:hAnsi="Palatino Linotype" w:cs="Palatino Linotype"/>
          <w:color w:val="000000"/>
        </w:rPr>
        <w:t xml:space="preserve">tuvo conocimiento de la respuesta impugnada, tal y como lo prevé el artículo 178 de la Ley de Transparencia y Acceso a la Información Pública del Estado de México y Municipios, que establece: </w:t>
      </w:r>
    </w:p>
    <w:p w:rsidR="00B564A4" w:rsidRPr="00595841" w:rsidRDefault="00B564A4">
      <w:pPr>
        <w:ind w:left="851" w:right="902"/>
        <w:jc w:val="both"/>
        <w:rPr>
          <w:rFonts w:ascii="Palatino Linotype" w:eastAsia="Palatino Linotype" w:hAnsi="Palatino Linotype" w:cs="Palatino Linotype"/>
        </w:rPr>
      </w:pPr>
    </w:p>
    <w:p w:rsidR="00B564A4" w:rsidRPr="00595841" w:rsidRDefault="000E336B">
      <w:pPr>
        <w:tabs>
          <w:tab w:val="left" w:pos="851"/>
        </w:tabs>
        <w:ind w:left="851" w:right="901"/>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“Artículo 178.</w:t>
      </w:r>
      <w:r w:rsidRPr="0059584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564A4" w:rsidRPr="00595841" w:rsidRDefault="00B564A4">
      <w:pPr>
        <w:tabs>
          <w:tab w:val="left" w:pos="851"/>
        </w:tabs>
        <w:ind w:left="851" w:right="901"/>
        <w:jc w:val="both"/>
        <w:rPr>
          <w:rFonts w:ascii="Palatino Linotype" w:eastAsia="Palatino Linotype" w:hAnsi="Palatino Linotype" w:cs="Palatino Linotype"/>
          <w:i/>
          <w:sz w:val="22"/>
          <w:szCs w:val="22"/>
        </w:rPr>
      </w:pPr>
    </w:p>
    <w:p w:rsidR="00B564A4" w:rsidRPr="00595841" w:rsidRDefault="000E336B">
      <w:pPr>
        <w:tabs>
          <w:tab w:val="left" w:pos="851"/>
        </w:tabs>
        <w:ind w:left="851" w:right="901"/>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595841">
        <w:rPr>
          <w:rFonts w:ascii="Palatino Linotype" w:eastAsia="Palatino Linotype" w:hAnsi="Palatino Linotype" w:cs="Palatino Linotype"/>
          <w:i/>
          <w:sz w:val="22"/>
          <w:szCs w:val="22"/>
        </w:rPr>
        <w:lastRenderedPageBreak/>
        <w:t>en cualquier momento, acompañado con el documento que pruebe la fecha en que presentó la solicitud.</w:t>
      </w:r>
    </w:p>
    <w:p w:rsidR="00B564A4" w:rsidRPr="00595841" w:rsidRDefault="00B564A4">
      <w:pPr>
        <w:tabs>
          <w:tab w:val="left" w:pos="851"/>
        </w:tabs>
        <w:ind w:left="851" w:right="901"/>
        <w:jc w:val="both"/>
        <w:rPr>
          <w:rFonts w:ascii="Palatino Linotype" w:eastAsia="Palatino Linotype" w:hAnsi="Palatino Linotype" w:cs="Palatino Linotype"/>
          <w:i/>
          <w:sz w:val="22"/>
          <w:szCs w:val="22"/>
        </w:rPr>
      </w:pPr>
    </w:p>
    <w:p w:rsidR="00B564A4" w:rsidRPr="00595841" w:rsidRDefault="000E336B">
      <w:pPr>
        <w:tabs>
          <w:tab w:val="left" w:pos="851"/>
        </w:tabs>
        <w:ind w:left="851" w:right="901"/>
        <w:jc w:val="both"/>
        <w:rPr>
          <w:rFonts w:ascii="Palatino Linotype" w:eastAsia="Palatino Linotype" w:hAnsi="Palatino Linotype" w:cs="Palatino Linotype"/>
          <w:i/>
        </w:rPr>
      </w:pPr>
      <w:r w:rsidRPr="0059584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r w:rsidRPr="00595841">
        <w:rPr>
          <w:rFonts w:ascii="Palatino Linotype" w:eastAsia="Palatino Linotype" w:hAnsi="Palatino Linotype" w:cs="Palatino Linotype"/>
          <w:b/>
          <w:i/>
          <w:sz w:val="22"/>
          <w:szCs w:val="22"/>
        </w:rPr>
        <w:t>”</w:t>
      </w:r>
    </w:p>
    <w:p w:rsidR="00B564A4" w:rsidRPr="00595841" w:rsidRDefault="00B564A4">
      <w:pPr>
        <w:ind w:left="851" w:right="902"/>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En esa tesitura, atendiendo a que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notificó la respuesta a la solicitud de información pública el día </w:t>
      </w:r>
      <w:r w:rsidRPr="00595841">
        <w:rPr>
          <w:rFonts w:ascii="Palatino Linotype" w:eastAsia="Palatino Linotype" w:hAnsi="Palatino Linotype" w:cs="Palatino Linotype"/>
          <w:b/>
        </w:rPr>
        <w:t>once de octubre de dos mil veintiuno</w:t>
      </w:r>
      <w:r w:rsidRPr="00595841">
        <w:rPr>
          <w:rFonts w:ascii="Palatino Linotype" w:eastAsia="Palatino Linotype" w:hAnsi="Palatino Linotype" w:cs="Palatino Linotype"/>
        </w:rPr>
        <w:t xml:space="preserve">; el plazo de quince días hábiles que el artículo 178 de la Ley de la materia otorga al </w:t>
      </w:r>
      <w:r w:rsidRPr="00595841">
        <w:rPr>
          <w:rFonts w:ascii="Palatino Linotype" w:eastAsia="Palatino Linotype" w:hAnsi="Palatino Linotype" w:cs="Palatino Linotype"/>
          <w:b/>
        </w:rPr>
        <w:t>RECURRENTE</w:t>
      </w:r>
      <w:r w:rsidRPr="00595841">
        <w:rPr>
          <w:rFonts w:ascii="Palatino Linotype" w:eastAsia="Palatino Linotype" w:hAnsi="Palatino Linotype" w:cs="Palatino Linotype"/>
        </w:rPr>
        <w:t xml:space="preserve"> para presentar el recurso de revisión, transcurrió del </w:t>
      </w:r>
      <w:r w:rsidRPr="00595841">
        <w:rPr>
          <w:rFonts w:ascii="Palatino Linotype" w:eastAsia="Palatino Linotype" w:hAnsi="Palatino Linotype" w:cs="Palatino Linotype"/>
          <w:b/>
        </w:rPr>
        <w:t>doce de octubre al primero de noviembre de dos mil veintiuno</w:t>
      </w:r>
      <w:r w:rsidRPr="00595841">
        <w:rPr>
          <w:rFonts w:ascii="Palatino Linotype" w:eastAsia="Palatino Linotype" w:hAnsi="Palatino Linotype" w:cs="Palatino Linotype"/>
        </w:rPr>
        <w:t xml:space="preserve">, </w:t>
      </w:r>
      <w:r w:rsidRPr="00595841">
        <w:rPr>
          <w:rFonts w:ascii="Palatino Linotype" w:eastAsia="Palatino Linotype" w:hAnsi="Palatino Linotype" w:cs="Palatino Linotype"/>
          <w:color w:val="000000"/>
        </w:rPr>
        <w:t>sin contemplar en el cómputo los días dieciséis, diecisiete, vei</w:t>
      </w:r>
      <w:r w:rsidR="00B07F71" w:rsidRPr="00595841">
        <w:rPr>
          <w:rFonts w:ascii="Palatino Linotype" w:eastAsia="Palatino Linotype" w:hAnsi="Palatino Linotype" w:cs="Palatino Linotype"/>
          <w:color w:val="000000"/>
        </w:rPr>
        <w:t>ntitrés, veinticuatro, treinta,</w:t>
      </w:r>
      <w:r w:rsidRPr="00595841">
        <w:rPr>
          <w:rFonts w:ascii="Palatino Linotype" w:eastAsia="Palatino Linotype" w:hAnsi="Palatino Linotype" w:cs="Palatino Linotype"/>
          <w:color w:val="000000"/>
        </w:rPr>
        <w:t xml:space="preserve"> treinta y uno de octubre de dos mil veintiuno, por corresponder a sábados y domingos, considerados como días inhábiles, en términos del artículo 3, fracción X de la Ley de Transparencia y Acceso a la Información Pública del Estado de México y Municipios</w:t>
      </w:r>
      <w:r w:rsidRPr="00595841">
        <w:rPr>
          <w:rFonts w:ascii="Palatino Linotype" w:eastAsia="Palatino Linotype" w:hAnsi="Palatino Linotype" w:cs="Palatino Linotype"/>
        </w:rPr>
        <w:t>.</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pBdr>
          <w:top w:val="nil"/>
          <w:left w:val="nil"/>
          <w:bottom w:val="nil"/>
          <w:right w:val="nil"/>
          <w:between w:val="nil"/>
        </w:pBdr>
        <w:spacing w:before="200" w:after="200" w:line="360" w:lineRule="auto"/>
        <w:jc w:val="both"/>
        <w:rPr>
          <w:color w:val="000000"/>
        </w:rPr>
      </w:pPr>
      <w:r w:rsidRPr="00595841">
        <w:rPr>
          <w:rFonts w:ascii="Palatino Linotype" w:eastAsia="Palatino Linotype" w:hAnsi="Palatino Linotype" w:cs="Palatino Linotype"/>
          <w:color w:val="000000"/>
        </w:rPr>
        <w:t xml:space="preserve">En ese tenor, se advierte que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presentó el medio de impugnación al rubro anotado, el mismo día en que se le notificó las respuesta impugnada, es decir, el </w:t>
      </w:r>
      <w:r w:rsidRPr="00595841">
        <w:rPr>
          <w:rFonts w:ascii="Palatino Linotype" w:eastAsia="Palatino Linotype" w:hAnsi="Palatino Linotype" w:cs="Palatino Linotype"/>
          <w:b/>
          <w:color w:val="000000"/>
        </w:rPr>
        <w:t>once de octubre de dos mil veintiuno</w:t>
      </w:r>
      <w:r w:rsidRPr="00595841">
        <w:rPr>
          <w:rFonts w:ascii="Palatino Linotype" w:eastAsia="Palatino Linotype" w:hAnsi="Palatino Linotype" w:cs="Palatino Linotype"/>
          <w:color w:val="000000"/>
        </w:rPr>
        <w:t>; no obstante lo anterior, ello no implica que su interposición sea extemporánea, es decir, fuera del plazo señalado para tales efectos, en razón de que el artículo 178</w:t>
      </w:r>
      <w:r w:rsidR="00B07F71" w:rsidRPr="00595841">
        <w:rPr>
          <w:rFonts w:ascii="Palatino Linotype" w:eastAsia="Palatino Linotype" w:hAnsi="Palatino Linotype" w:cs="Palatino Linotype"/>
          <w:color w:val="000000"/>
        </w:rPr>
        <w:t>,</w:t>
      </w:r>
      <w:r w:rsidRPr="00595841">
        <w:rPr>
          <w:rFonts w:ascii="Palatino Linotype" w:eastAsia="Palatino Linotype" w:hAnsi="Palatino Linotype" w:cs="Palatino Linotype"/>
          <w:color w:val="000000"/>
        </w:rPr>
        <w:t xml:space="preserve"> de la Ley de Transparencia y Acceso a la Información Pública del Estado de México y Municipios, establece que el recurso de revisión se </w:t>
      </w:r>
      <w:r w:rsidR="00B07F71" w:rsidRPr="00595841">
        <w:rPr>
          <w:rFonts w:ascii="Palatino Linotype" w:eastAsia="Palatino Linotype" w:hAnsi="Palatino Linotype" w:cs="Palatino Linotype"/>
          <w:color w:val="000000"/>
        </w:rPr>
        <w:t xml:space="preserve">promueve </w:t>
      </w:r>
      <w:r w:rsidRPr="00595841">
        <w:rPr>
          <w:rFonts w:ascii="Palatino Linotype" w:eastAsia="Palatino Linotype" w:hAnsi="Palatino Linotype" w:cs="Palatino Linotype"/>
          <w:b/>
          <w:color w:val="000000"/>
          <w:u w:val="single"/>
        </w:rPr>
        <w:t>dentro</w:t>
      </w:r>
      <w:r w:rsidRPr="00595841">
        <w:rPr>
          <w:rFonts w:ascii="Palatino Linotype" w:eastAsia="Palatino Linotype" w:hAnsi="Palatino Linotype" w:cs="Palatino Linotype"/>
          <w:color w:val="000000"/>
        </w:rPr>
        <w:t xml:space="preserve"> de los quince días hábiles siguientes en que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tenga conocimiento de la respuesta impugnada, no limita a los particulares para que lo puedan presentar </w:t>
      </w:r>
      <w:r w:rsidRPr="00595841">
        <w:rPr>
          <w:rFonts w:ascii="Palatino Linotype" w:eastAsia="Palatino Linotype" w:hAnsi="Palatino Linotype" w:cs="Palatino Linotype"/>
          <w:b/>
          <w:color w:val="000000"/>
        </w:rPr>
        <w:t>el mismo día</w:t>
      </w:r>
      <w:r w:rsidRPr="00595841">
        <w:rPr>
          <w:rFonts w:ascii="Palatino Linotype" w:eastAsia="Palatino Linotype" w:hAnsi="Palatino Linotype" w:cs="Palatino Linotype"/>
          <w:color w:val="000000"/>
        </w:rPr>
        <w:t xml:space="preserve"> en que le sea notificada dicha respuesta.</w:t>
      </w:r>
    </w:p>
    <w:p w:rsidR="00B564A4" w:rsidRPr="00595841" w:rsidRDefault="000E336B">
      <w:pPr>
        <w:pBdr>
          <w:top w:val="nil"/>
          <w:left w:val="nil"/>
          <w:bottom w:val="nil"/>
          <w:right w:val="nil"/>
          <w:between w:val="nil"/>
        </w:pBdr>
        <w:spacing w:before="200" w:after="200" w:line="360" w:lineRule="auto"/>
        <w:jc w:val="both"/>
        <w:rPr>
          <w:color w:val="000000"/>
        </w:rPr>
      </w:pPr>
      <w:r w:rsidRPr="00595841">
        <w:rPr>
          <w:rFonts w:ascii="Palatino Linotype" w:eastAsia="Palatino Linotype" w:hAnsi="Palatino Linotype" w:cs="Palatino Linotype"/>
          <w:color w:val="000000"/>
        </w:rPr>
        <w:lastRenderedPageBreak/>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rsidR="00B564A4" w:rsidRPr="00595841" w:rsidRDefault="000E336B">
      <w:pPr>
        <w:pBdr>
          <w:top w:val="nil"/>
          <w:left w:val="nil"/>
          <w:bottom w:val="nil"/>
          <w:right w:val="nil"/>
          <w:between w:val="nil"/>
        </w:pBdr>
        <w:spacing w:before="120" w:after="120"/>
        <w:ind w:left="709" w:right="709"/>
        <w:jc w:val="both"/>
        <w:rPr>
          <w:color w:val="000000"/>
        </w:rPr>
      </w:pPr>
      <w:r w:rsidRPr="00595841">
        <w:rPr>
          <w:rFonts w:ascii="Palatino Linotype" w:eastAsia="Palatino Linotype" w:hAnsi="Palatino Linotype" w:cs="Palatino Linotype"/>
          <w:i/>
          <w:color w:val="000000"/>
          <w:sz w:val="22"/>
          <w:szCs w:val="22"/>
        </w:rPr>
        <w:t>“</w:t>
      </w:r>
      <w:r w:rsidRPr="00595841">
        <w:rPr>
          <w:rFonts w:ascii="Palatino Linotype" w:eastAsia="Palatino Linotype" w:hAnsi="Palatino Linotype" w:cs="Palatino Linotype"/>
          <w:b/>
          <w:i/>
          <w:color w:val="000000"/>
          <w:sz w:val="22"/>
          <w:szCs w:val="22"/>
        </w:rPr>
        <w:t xml:space="preserve">RECURSO DE RECLAMACIÓN. SU INTERPOSICIÓN NO ES EXTEMPORÁNEA SI SE REALIZA ANTES DE QUE INICIE EL PLAZO PARA HACERLO. </w:t>
      </w:r>
      <w:r w:rsidRPr="00595841">
        <w:rPr>
          <w:rFonts w:ascii="Palatino Linotype" w:eastAsia="Palatino Linotype" w:hAnsi="Palatino Linotype" w:cs="Palatino Linotype"/>
          <w:i/>
          <w:color w:val="000000"/>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B564A4" w:rsidRPr="00595841" w:rsidRDefault="00B564A4">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p>
    <w:p w:rsidR="00B564A4" w:rsidRPr="00595841" w:rsidRDefault="000E336B">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Dicha tesis establece que si bien, los artículos contemplan un plazo, este debe ser entendido en el sentido de que la presentación del recurso no debe hacerse después de la cantidad de días contemplados, pero no debe limitarse la presentación si esta se hace antes de que comiencen a contar los días indicados en la ley. </w:t>
      </w:r>
    </w:p>
    <w:p w:rsidR="00B07F71" w:rsidRPr="00595841" w:rsidRDefault="00B07F71">
      <w:pPr>
        <w:pBdr>
          <w:top w:val="nil"/>
          <w:left w:val="nil"/>
          <w:bottom w:val="nil"/>
          <w:right w:val="nil"/>
          <w:between w:val="nil"/>
        </w:pBdr>
        <w:spacing w:before="120" w:after="120" w:line="360" w:lineRule="auto"/>
        <w:ind w:right="49"/>
        <w:jc w:val="both"/>
        <w:rPr>
          <w:rFonts w:ascii="Palatino Linotype" w:eastAsia="Palatino Linotype" w:hAnsi="Palatino Linotype" w:cs="Palatino Linotype"/>
          <w:color w:val="000000"/>
        </w:rPr>
      </w:pPr>
    </w:p>
    <w:p w:rsidR="00B564A4" w:rsidRPr="00595841" w:rsidRDefault="000E336B">
      <w:pPr>
        <w:pBdr>
          <w:top w:val="nil"/>
          <w:left w:val="nil"/>
          <w:bottom w:val="nil"/>
          <w:right w:val="nil"/>
          <w:between w:val="nil"/>
        </w:pBdr>
        <w:spacing w:before="120" w:after="120" w:line="360" w:lineRule="auto"/>
        <w:ind w:right="49"/>
        <w:jc w:val="both"/>
        <w:rPr>
          <w:color w:val="000000"/>
          <w:sz w:val="28"/>
          <w:szCs w:val="28"/>
        </w:rPr>
      </w:pPr>
      <w:r w:rsidRPr="00595841">
        <w:rPr>
          <w:rFonts w:ascii="Palatino Linotype" w:eastAsia="Palatino Linotype" w:hAnsi="Palatino Linotype" w:cs="Palatino Linotype"/>
          <w:color w:val="000000"/>
        </w:rPr>
        <w:t xml:space="preserve">Por ello, al haber interpuesto el recurso materia de este análisis el mismo día de la notificación de la respuesta del </w:t>
      </w:r>
      <w:r w:rsidRPr="00595841">
        <w:rPr>
          <w:rFonts w:ascii="Palatino Linotype" w:eastAsia="Palatino Linotype" w:hAnsi="Palatino Linotype" w:cs="Palatino Linotype"/>
          <w:b/>
          <w:color w:val="000000"/>
        </w:rPr>
        <w:t>SUJETO OBLIGADO</w:t>
      </w:r>
      <w:r w:rsidRPr="00595841">
        <w:rPr>
          <w:rFonts w:ascii="Palatino Linotype" w:eastAsia="Palatino Linotype" w:hAnsi="Palatino Linotype" w:cs="Palatino Linotype"/>
          <w:color w:val="000000"/>
        </w:rPr>
        <w:t xml:space="preserve"> debe considerarse en tiempo. </w:t>
      </w:r>
    </w:p>
    <w:p w:rsidR="00B564A4" w:rsidRPr="00595841" w:rsidRDefault="00B564A4">
      <w:pPr>
        <w:spacing w:line="360" w:lineRule="auto"/>
        <w:rPr>
          <w:rFonts w:ascii="Palatino Linotype" w:eastAsia="Palatino Linotype" w:hAnsi="Palatino Linotype" w:cs="Palatino Linotype"/>
          <w:sz w:val="20"/>
          <w:szCs w:val="20"/>
        </w:rPr>
      </w:pP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b/>
          <w:color w:val="000000"/>
          <w:sz w:val="28"/>
          <w:szCs w:val="28"/>
        </w:rPr>
        <w:t>CUARTO</w:t>
      </w:r>
      <w:r w:rsidRPr="00595841">
        <w:rPr>
          <w:rFonts w:ascii="Palatino Linotype" w:eastAsia="Palatino Linotype" w:hAnsi="Palatino Linotype" w:cs="Palatino Linotype"/>
          <w:b/>
          <w:color w:val="000000"/>
        </w:rPr>
        <w:t xml:space="preserve">. Procedibilidad. </w:t>
      </w:r>
    </w:p>
    <w:p w:rsidR="00B564A4" w:rsidRPr="00595841" w:rsidRDefault="000E336B">
      <w:pPr>
        <w:pBdr>
          <w:top w:val="nil"/>
          <w:left w:val="nil"/>
          <w:bottom w:val="nil"/>
          <w:right w:val="nil"/>
          <w:between w:val="nil"/>
        </w:pBdr>
        <w:spacing w:line="360" w:lineRule="auto"/>
        <w:jc w:val="both"/>
        <w:rPr>
          <w:rFonts w:ascii="Palatino Linotype" w:eastAsia="Palatino Linotype" w:hAnsi="Palatino Linotype" w:cs="Palatino Linotype"/>
          <w:color w:val="212121"/>
        </w:rPr>
      </w:pPr>
      <w:r w:rsidRPr="00595841">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w:t>
      </w:r>
      <w:r w:rsidRPr="00595841">
        <w:rPr>
          <w:rFonts w:ascii="Palatino Linotype" w:eastAsia="Palatino Linotype" w:hAnsi="Palatino Linotype" w:cs="Palatino Linotype"/>
          <w:color w:val="000000"/>
        </w:rPr>
        <w:lastRenderedPageBreak/>
        <w:t xml:space="preserve">Pública del Estado de México y Municipios, en atención a que fue presentado mediante el formato visible en </w:t>
      </w:r>
      <w:r w:rsidRPr="00595841">
        <w:rPr>
          <w:rFonts w:ascii="Palatino Linotype" w:eastAsia="Palatino Linotype" w:hAnsi="Palatino Linotype" w:cs="Palatino Linotype"/>
          <w:b/>
          <w:color w:val="000000"/>
        </w:rPr>
        <w:t>EL SAIMEX.</w:t>
      </w:r>
    </w:p>
    <w:p w:rsidR="00B564A4" w:rsidRPr="00595841" w:rsidRDefault="00B564A4">
      <w:pPr>
        <w:pBdr>
          <w:top w:val="nil"/>
          <w:left w:val="nil"/>
          <w:bottom w:val="nil"/>
          <w:right w:val="nil"/>
          <w:between w:val="nil"/>
        </w:pBdr>
        <w:spacing w:line="360" w:lineRule="auto"/>
        <w:jc w:val="both"/>
        <w:rPr>
          <w:rFonts w:ascii="Palatino Linotype" w:eastAsia="Palatino Linotype" w:hAnsi="Palatino Linotype" w:cs="Palatino Linotype"/>
          <w:color w:val="000000"/>
          <w:sz w:val="20"/>
          <w:szCs w:val="20"/>
        </w:rPr>
      </w:pP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b/>
          <w:color w:val="000000"/>
          <w:sz w:val="28"/>
          <w:szCs w:val="28"/>
        </w:rPr>
        <w:t>QUINTO</w:t>
      </w:r>
      <w:r w:rsidRPr="00595841">
        <w:rPr>
          <w:rFonts w:ascii="Palatino Linotype" w:eastAsia="Palatino Linotype" w:hAnsi="Palatino Linotype" w:cs="Palatino Linotype"/>
          <w:b/>
          <w:color w:val="000000"/>
        </w:rPr>
        <w:t xml:space="preserve">. Estudio y resolución del recurso. </w:t>
      </w: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Es así que, una vez determinada la vía sobre la que versará el presente Recurso, y previa revisión del expediente electrónico formado en el</w:t>
      </w:r>
      <w:r w:rsidRPr="00595841">
        <w:rPr>
          <w:rFonts w:ascii="Palatino Linotype" w:eastAsia="Palatino Linotype" w:hAnsi="Palatino Linotype" w:cs="Palatino Linotype"/>
          <w:b/>
          <w:color w:val="000000"/>
        </w:rPr>
        <w:t xml:space="preserve"> SAIMEX</w:t>
      </w:r>
      <w:r w:rsidRPr="00595841">
        <w:rPr>
          <w:rFonts w:ascii="Palatino Linotype" w:eastAsia="Palatino Linotype" w:hAnsi="Palatino Linotype" w:cs="Palatino Linotype"/>
          <w:color w:val="000000"/>
        </w:rPr>
        <w:t xml:space="preserve">, es conveniente recordar que </w:t>
      </w:r>
      <w:r w:rsidRPr="00595841">
        <w:rPr>
          <w:rFonts w:ascii="Palatino Linotype" w:eastAsia="Palatino Linotype" w:hAnsi="Palatino Linotype" w:cs="Palatino Linotype"/>
          <w:b/>
          <w:color w:val="000000"/>
        </w:rPr>
        <w:t xml:space="preserve">EL RECURRENTE </w:t>
      </w:r>
      <w:r w:rsidRPr="00595841">
        <w:rPr>
          <w:rFonts w:ascii="Palatino Linotype" w:eastAsia="Palatino Linotype" w:hAnsi="Palatino Linotype" w:cs="Palatino Linotype"/>
          <w:color w:val="000000"/>
        </w:rPr>
        <w:t xml:space="preserve">le solicitó al </w:t>
      </w:r>
      <w:r w:rsidRPr="00595841">
        <w:rPr>
          <w:rFonts w:ascii="Palatino Linotype" w:eastAsia="Palatino Linotype" w:hAnsi="Palatino Linotype" w:cs="Palatino Linotype"/>
          <w:b/>
          <w:color w:val="000000"/>
        </w:rPr>
        <w:t xml:space="preserve">SUJETO OBLIGADO, </w:t>
      </w:r>
      <w:r w:rsidRPr="00595841">
        <w:rPr>
          <w:rFonts w:ascii="Palatino Linotype" w:eastAsia="Palatino Linotype" w:hAnsi="Palatino Linotype" w:cs="Palatino Linotype"/>
          <w:color w:val="000000"/>
        </w:rPr>
        <w:t xml:space="preserve">lo siguiente: </w:t>
      </w:r>
    </w:p>
    <w:p w:rsidR="00B564A4" w:rsidRPr="00595841" w:rsidRDefault="00B564A4">
      <w:pPr>
        <w:widowControl w:val="0"/>
        <w:pBdr>
          <w:top w:val="nil"/>
          <w:left w:val="nil"/>
          <w:bottom w:val="nil"/>
          <w:right w:val="nil"/>
          <w:between w:val="nil"/>
        </w:pBdr>
        <w:jc w:val="both"/>
        <w:rPr>
          <w:rFonts w:ascii="Palatino Linotype" w:eastAsia="Palatino Linotype" w:hAnsi="Palatino Linotype" w:cs="Palatino Linotype"/>
          <w:color w:val="000000"/>
        </w:rPr>
      </w:pPr>
    </w:p>
    <w:p w:rsidR="00B564A4" w:rsidRPr="00595841" w:rsidRDefault="000E336B">
      <w:pPr>
        <w:pBdr>
          <w:top w:val="nil"/>
          <w:left w:val="nil"/>
          <w:bottom w:val="nil"/>
          <w:right w:val="nil"/>
          <w:between w:val="nil"/>
        </w:pBdr>
        <w:ind w:left="709" w:right="757"/>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“Solicito me informen cuánto se le debe a cada proveedor del Ayuntamiento.”(sic).</w:t>
      </w:r>
    </w:p>
    <w:p w:rsidR="00B564A4" w:rsidRPr="00595841" w:rsidRDefault="00B564A4">
      <w:pPr>
        <w:widowControl w:val="0"/>
        <w:pBdr>
          <w:top w:val="nil"/>
          <w:left w:val="nil"/>
          <w:bottom w:val="nil"/>
          <w:right w:val="nil"/>
          <w:between w:val="nil"/>
        </w:pBdr>
        <w:jc w:val="both"/>
        <w:rPr>
          <w:rFonts w:ascii="Palatino Linotype" w:eastAsia="Palatino Linotype" w:hAnsi="Palatino Linotype" w:cs="Palatino Linotype"/>
          <w:color w:val="000000"/>
        </w:rPr>
      </w:pP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Al respecto, </w:t>
      </w:r>
      <w:r w:rsidRPr="00595841">
        <w:rPr>
          <w:rFonts w:ascii="Palatino Linotype" w:eastAsia="Palatino Linotype" w:hAnsi="Palatino Linotype" w:cs="Palatino Linotype"/>
          <w:b/>
          <w:color w:val="000000"/>
        </w:rPr>
        <w:t xml:space="preserve">EL SUJETO OBLIGADO </w:t>
      </w:r>
      <w:r w:rsidRPr="00595841">
        <w:rPr>
          <w:rFonts w:ascii="Palatino Linotype" w:eastAsia="Palatino Linotype" w:hAnsi="Palatino Linotype" w:cs="Palatino Linotype"/>
          <w:color w:val="000000"/>
        </w:rPr>
        <w:t xml:space="preserve">mediante respuesta entregó la Balanza de Comprobación Detallada del uno al treinta de junio del dos mil veintiuno, en versión pública tal y como se muestra en el fragmento que se inserta a continuación: </w:t>
      </w: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noProof/>
          <w:color w:val="000000"/>
        </w:rPr>
        <w:drawing>
          <wp:inline distT="0" distB="0" distL="0" distR="0">
            <wp:extent cx="5791835" cy="3178175"/>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91835" cy="3178175"/>
                    </a:xfrm>
                    <a:prstGeom prst="rect">
                      <a:avLst/>
                    </a:prstGeom>
                    <a:ln/>
                  </pic:spPr>
                </pic:pic>
              </a:graphicData>
            </a:graphic>
          </wp:inline>
        </w:drawing>
      </w:r>
    </w:p>
    <w:p w:rsidR="00B564A4" w:rsidRPr="00595841" w:rsidRDefault="00B07F71">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Asimismo, </w:t>
      </w:r>
      <w:r w:rsidRPr="00595841">
        <w:rPr>
          <w:rFonts w:ascii="Palatino Linotype" w:eastAsia="Palatino Linotype" w:hAnsi="Palatino Linotype" w:cs="Palatino Linotype"/>
          <w:b/>
          <w:color w:val="000000"/>
        </w:rPr>
        <w:t>EL SUJETO OBLIGADO</w:t>
      </w:r>
      <w:r w:rsidRPr="00595841">
        <w:rPr>
          <w:rFonts w:ascii="Palatino Linotype" w:eastAsia="Palatino Linotype" w:hAnsi="Palatino Linotype" w:cs="Palatino Linotype"/>
          <w:color w:val="000000"/>
        </w:rPr>
        <w:t xml:space="preserve"> adjuntó </w:t>
      </w:r>
      <w:r w:rsidR="000E336B" w:rsidRPr="00595841">
        <w:rPr>
          <w:rFonts w:ascii="Palatino Linotype" w:eastAsia="Palatino Linotype" w:hAnsi="Palatino Linotype" w:cs="Palatino Linotype"/>
          <w:color w:val="000000"/>
        </w:rPr>
        <w:t xml:space="preserve">a su respuesta el acuerdo del Comité de </w:t>
      </w:r>
      <w:r w:rsidR="000E336B" w:rsidRPr="00595841">
        <w:rPr>
          <w:rFonts w:ascii="Palatino Linotype" w:eastAsia="Palatino Linotype" w:hAnsi="Palatino Linotype" w:cs="Palatino Linotype"/>
          <w:color w:val="000000"/>
        </w:rPr>
        <w:lastRenderedPageBreak/>
        <w:t>Transpare</w:t>
      </w:r>
      <w:r w:rsidRPr="00595841">
        <w:rPr>
          <w:rFonts w:ascii="Palatino Linotype" w:eastAsia="Palatino Linotype" w:hAnsi="Palatino Linotype" w:cs="Palatino Linotype"/>
          <w:color w:val="000000"/>
        </w:rPr>
        <w:t>ncia mediante el cual se aprobó</w:t>
      </w:r>
      <w:r w:rsidR="000E336B" w:rsidRPr="00595841">
        <w:rPr>
          <w:rFonts w:ascii="Palatino Linotype" w:eastAsia="Palatino Linotype" w:hAnsi="Palatino Linotype" w:cs="Palatino Linotype"/>
          <w:color w:val="000000"/>
        </w:rPr>
        <w:t xml:space="preserve"> la versión </w:t>
      </w:r>
      <w:r w:rsidR="000E336B" w:rsidRPr="00595841">
        <w:rPr>
          <w:rFonts w:ascii="Palatino Linotype" w:eastAsia="Palatino Linotype" w:hAnsi="Palatino Linotype" w:cs="Palatino Linotype"/>
        </w:rPr>
        <w:t>pública</w:t>
      </w:r>
      <w:r w:rsidR="000E336B" w:rsidRPr="00595841">
        <w:rPr>
          <w:rFonts w:ascii="Palatino Linotype" w:eastAsia="Palatino Linotype" w:hAnsi="Palatino Linotype" w:cs="Palatino Linotype"/>
          <w:color w:val="000000"/>
        </w:rPr>
        <w:t>, clasificando como confidenciales</w:t>
      </w:r>
      <w:r w:rsidRPr="00595841">
        <w:rPr>
          <w:rFonts w:ascii="Palatino Linotype" w:eastAsia="Palatino Linotype" w:hAnsi="Palatino Linotype" w:cs="Palatino Linotype"/>
          <w:color w:val="000000"/>
        </w:rPr>
        <w:t xml:space="preserve"> la</w:t>
      </w:r>
      <w:r w:rsidR="000E336B" w:rsidRPr="00595841">
        <w:rPr>
          <w:rFonts w:ascii="Palatino Linotype" w:eastAsia="Palatino Linotype" w:hAnsi="Palatino Linotype" w:cs="Palatino Linotype"/>
          <w:color w:val="000000"/>
        </w:rPr>
        <w:t xml:space="preserve"> información </w:t>
      </w:r>
      <w:r w:rsidRPr="00595841">
        <w:rPr>
          <w:rFonts w:ascii="Palatino Linotype" w:eastAsia="Palatino Linotype" w:hAnsi="Palatino Linotype" w:cs="Palatino Linotype"/>
          <w:color w:val="000000"/>
        </w:rPr>
        <w:t>siguiente: n</w:t>
      </w:r>
      <w:r w:rsidR="000E336B" w:rsidRPr="00595841">
        <w:rPr>
          <w:rFonts w:ascii="Palatino Linotype" w:eastAsia="Palatino Linotype" w:hAnsi="Palatino Linotype" w:cs="Palatino Linotype"/>
          <w:color w:val="000000"/>
        </w:rPr>
        <w:t xml:space="preserve">ombres de particulares, saldos de particulares, cuentas bancarias propias y saldos bancarios. </w:t>
      </w:r>
    </w:p>
    <w:p w:rsidR="00B564A4" w:rsidRPr="00595841" w:rsidRDefault="00B564A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Ante tal respuesta, el particular interpuso el recurso de revisión materia del presente asunto, </w:t>
      </w:r>
      <w:r w:rsidRPr="00595841">
        <w:rPr>
          <w:rFonts w:ascii="Palatino Linotype" w:eastAsia="Palatino Linotype" w:hAnsi="Palatino Linotype" w:cs="Palatino Linotype"/>
        </w:rPr>
        <w:t xml:space="preserve">inconformándose </w:t>
      </w:r>
      <w:r w:rsidRPr="00595841">
        <w:rPr>
          <w:rFonts w:ascii="Palatino Linotype" w:eastAsia="Palatino Linotype" w:hAnsi="Palatino Linotype" w:cs="Palatino Linotype"/>
          <w:color w:val="000000"/>
        </w:rPr>
        <w:t xml:space="preserve">de dicha clasificación, pues mención que la información contenida en la Balanza de Comprobación Detallada es pública de oficio, señalando que ya obra dentro de los registros publicados en IPOMEX un Padrón de proveedores. </w:t>
      </w:r>
    </w:p>
    <w:p w:rsidR="00B564A4" w:rsidRPr="00595841" w:rsidRDefault="00B564A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64A4" w:rsidRPr="00595841" w:rsidRDefault="00B07F71">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Es</w:t>
      </w:r>
      <w:r w:rsidR="000E336B" w:rsidRPr="00595841">
        <w:rPr>
          <w:rFonts w:ascii="Palatino Linotype" w:eastAsia="Palatino Linotype" w:hAnsi="Palatino Linotype" w:cs="Palatino Linotype"/>
          <w:color w:val="000000"/>
        </w:rPr>
        <w:t xml:space="preserve"> importante destacar que</w:t>
      </w:r>
      <w:r w:rsidRPr="00595841">
        <w:rPr>
          <w:rFonts w:ascii="Palatino Linotype" w:eastAsia="Palatino Linotype" w:hAnsi="Palatino Linotype" w:cs="Palatino Linotype"/>
          <w:color w:val="000000"/>
        </w:rPr>
        <w:t>,</w:t>
      </w:r>
      <w:r w:rsidR="000E336B" w:rsidRPr="00595841">
        <w:rPr>
          <w:rFonts w:ascii="Palatino Linotype" w:eastAsia="Palatino Linotype" w:hAnsi="Palatino Linotype" w:cs="Palatino Linotype"/>
          <w:color w:val="000000"/>
        </w:rPr>
        <w:t xml:space="preserve"> en el Informe Justificado  </w:t>
      </w:r>
      <w:r w:rsidR="000E336B" w:rsidRPr="00595841">
        <w:rPr>
          <w:rFonts w:ascii="Palatino Linotype" w:eastAsia="Palatino Linotype" w:hAnsi="Palatino Linotype" w:cs="Palatino Linotype"/>
          <w:b/>
          <w:color w:val="000000"/>
        </w:rPr>
        <w:t xml:space="preserve">EL SUJETO OBLIGADO </w:t>
      </w:r>
      <w:r w:rsidR="000E336B" w:rsidRPr="00595841">
        <w:rPr>
          <w:rFonts w:ascii="Palatino Linotype" w:eastAsia="Palatino Linotype" w:hAnsi="Palatino Linotype" w:cs="Palatino Linotype"/>
          <w:color w:val="000000"/>
        </w:rPr>
        <w:t xml:space="preserve">manifestó que la información testada corresponde a información personal de los proveedores. Por lo que resulta procedente analizar si la respuesta del </w:t>
      </w:r>
      <w:r w:rsidR="000E336B" w:rsidRPr="00595841">
        <w:rPr>
          <w:rFonts w:ascii="Palatino Linotype" w:eastAsia="Palatino Linotype" w:hAnsi="Palatino Linotype" w:cs="Palatino Linotype"/>
          <w:b/>
          <w:color w:val="000000"/>
        </w:rPr>
        <w:t>SUJETO OBLIGADO</w:t>
      </w:r>
      <w:r w:rsidR="000E336B" w:rsidRPr="00595841">
        <w:rPr>
          <w:rFonts w:ascii="Palatino Linotype" w:eastAsia="Palatino Linotype" w:hAnsi="Palatino Linotype" w:cs="Palatino Linotype"/>
          <w:color w:val="000000"/>
        </w:rPr>
        <w:t xml:space="preserve"> colma el derecho de Acceso a la Información del </w:t>
      </w:r>
      <w:r w:rsidR="000E336B" w:rsidRPr="00595841">
        <w:rPr>
          <w:rFonts w:ascii="Palatino Linotype" w:eastAsia="Palatino Linotype" w:hAnsi="Palatino Linotype" w:cs="Palatino Linotype"/>
          <w:b/>
          <w:color w:val="000000"/>
        </w:rPr>
        <w:t xml:space="preserve">RECURRENTE. </w:t>
      </w:r>
    </w:p>
    <w:p w:rsidR="00B564A4" w:rsidRPr="00595841" w:rsidRDefault="00B564A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64A4" w:rsidRPr="00595841" w:rsidRDefault="000E336B">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En ese sentido,</w:t>
      </w:r>
      <w:r w:rsidR="00AA6F53" w:rsidRPr="00595841">
        <w:rPr>
          <w:rFonts w:ascii="Palatino Linotype" w:eastAsia="Palatino Linotype" w:hAnsi="Palatino Linotype" w:cs="Palatino Linotype"/>
          <w:color w:val="000000"/>
        </w:rPr>
        <w:t xml:space="preserve"> se advierte que</w:t>
      </w:r>
      <w:r w:rsidRPr="00595841">
        <w:rPr>
          <w:rFonts w:ascii="Palatino Linotype" w:eastAsia="Palatino Linotype" w:hAnsi="Palatino Linotype" w:cs="Palatino Linotype"/>
          <w:color w:val="000000"/>
        </w:rPr>
        <w:t xml:space="preserve"> la </w:t>
      </w:r>
      <w:r w:rsidRPr="00595841">
        <w:rPr>
          <w:rFonts w:ascii="Palatino Linotype" w:eastAsia="Palatino Linotype" w:hAnsi="Palatino Linotype" w:cs="Palatino Linotype"/>
          <w:b/>
          <w:color w:val="000000"/>
        </w:rPr>
        <w:t>balanza de comprobación detallada</w:t>
      </w:r>
      <w:r w:rsidRPr="00595841">
        <w:rPr>
          <w:rFonts w:ascii="Palatino Linotype" w:eastAsia="Palatino Linotype" w:hAnsi="Palatino Linotype" w:cs="Palatino Linotype"/>
          <w:color w:val="000000"/>
        </w:rPr>
        <w:t xml:space="preserve">, forma parte del </w:t>
      </w:r>
      <w:r w:rsidRPr="00595841">
        <w:rPr>
          <w:rFonts w:ascii="Palatino Linotype" w:eastAsia="Palatino Linotype" w:hAnsi="Palatino Linotype" w:cs="Palatino Linotype"/>
          <w:b/>
          <w:color w:val="000000"/>
        </w:rPr>
        <w:t>Informe Trimestral de los Sujetos de Fiscalización Municipales para el ejercicio 2021</w:t>
      </w:r>
      <w:r w:rsidRPr="00595841">
        <w:rPr>
          <w:rFonts w:ascii="Palatino Linotype" w:eastAsia="Palatino Linotype" w:hAnsi="Palatino Linotype" w:cs="Palatino Linotype"/>
          <w:color w:val="000000"/>
        </w:rPr>
        <w:t xml:space="preserve">, ello encuentra sustento en el </w:t>
      </w:r>
      <w:r w:rsidRPr="00595841">
        <w:rPr>
          <w:rFonts w:ascii="Palatino Linotype" w:eastAsia="Palatino Linotype" w:hAnsi="Palatino Linotype" w:cs="Palatino Linotype"/>
          <w:i/>
          <w:color w:val="000000"/>
        </w:rPr>
        <w:t>“Acuerdo 008/2021 por el que se emiten las políticas, fechas de capacitación y calendarización de entrega de los informes trimestrales de los Sujetos de Fiscalización del Estado de México, del ejercicio fiscal 2021”</w:t>
      </w:r>
      <w:r w:rsidRPr="00595841">
        <w:rPr>
          <w:rFonts w:ascii="Palatino Linotype" w:eastAsia="Palatino Linotype" w:hAnsi="Palatino Linotype" w:cs="Palatino Linotype"/>
          <w:color w:val="000000"/>
        </w:rPr>
        <w:t xml:space="preserve"> publicado en Periódico Oficial Gaceta del Gobierno del Estado Libre y Soberano de México, el día doce de marzo de dos mil veintiuno</w:t>
      </w:r>
      <w:r w:rsidRPr="00595841">
        <w:rPr>
          <w:rFonts w:ascii="Palatino Linotype" w:eastAsia="Palatino Linotype" w:hAnsi="Palatino Linotype" w:cs="Palatino Linotype"/>
          <w:color w:val="000000"/>
          <w:vertAlign w:val="superscript"/>
        </w:rPr>
        <w:footnoteReference w:id="2"/>
      </w:r>
      <w:r w:rsidRPr="00595841">
        <w:rPr>
          <w:rFonts w:ascii="Palatino Linotype" w:eastAsia="Palatino Linotype" w:hAnsi="Palatino Linotype" w:cs="Palatino Linotype"/>
          <w:color w:val="000000"/>
        </w:rPr>
        <w:t xml:space="preserve">, para mejor referencia del presente estudio se inserta la siguiente ilustración: </w:t>
      </w:r>
    </w:p>
    <w:p w:rsidR="00B564A4" w:rsidRPr="00595841" w:rsidRDefault="00B564A4">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564A4" w:rsidRPr="00595841" w:rsidRDefault="000E336B">
      <w:pPr>
        <w:spacing w:line="360" w:lineRule="auto"/>
        <w:jc w:val="center"/>
        <w:rPr>
          <w:rFonts w:ascii="Palatino Linotype" w:eastAsia="Palatino Linotype" w:hAnsi="Palatino Linotype" w:cs="Palatino Linotype"/>
        </w:rPr>
      </w:pPr>
      <w:bookmarkStart w:id="1" w:name="_heading=h.gjdgxs" w:colFirst="0" w:colLast="0"/>
      <w:bookmarkEnd w:id="1"/>
      <w:r w:rsidRPr="00595841">
        <w:rPr>
          <w:rFonts w:ascii="Palatino Linotype" w:eastAsia="Palatino Linotype" w:hAnsi="Palatino Linotype" w:cs="Palatino Linotype"/>
          <w:noProof/>
        </w:rPr>
        <w:drawing>
          <wp:inline distT="0" distB="0" distL="0" distR="0">
            <wp:extent cx="4552403" cy="2724456"/>
            <wp:effectExtent l="0" t="0" r="0" b="0"/>
            <wp:docPr id="2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4552403" cy="2724456"/>
                    </a:xfrm>
                    <a:prstGeom prst="rect">
                      <a:avLst/>
                    </a:prstGeom>
                    <a:ln/>
                  </pic:spPr>
                </pic:pic>
              </a:graphicData>
            </a:graphic>
          </wp:inline>
        </w:drawing>
      </w:r>
      <w:r w:rsidRPr="00595841">
        <w:rPr>
          <w:noProof/>
        </w:rPr>
        <mc:AlternateContent>
          <mc:Choice Requires="wps">
            <w:drawing>
              <wp:anchor distT="0" distB="0" distL="114300" distR="114300" simplePos="0" relativeHeight="251658240" behindDoc="0" locked="0" layoutInCell="1" hidden="0" allowOverlap="1">
                <wp:simplePos x="0" y="0"/>
                <wp:positionH relativeFrom="column">
                  <wp:posOffset>647700</wp:posOffset>
                </wp:positionH>
                <wp:positionV relativeFrom="paragraph">
                  <wp:posOffset>1422400</wp:posOffset>
                </wp:positionV>
                <wp:extent cx="4539160" cy="397064"/>
                <wp:effectExtent l="0" t="0" r="0" b="0"/>
                <wp:wrapNone/>
                <wp:docPr id="23" name="Rectángulo redondeado 23"/>
                <wp:cNvGraphicFramePr/>
                <a:graphic xmlns:a="http://schemas.openxmlformats.org/drawingml/2006/main">
                  <a:graphicData uri="http://schemas.microsoft.com/office/word/2010/wordprocessingShape">
                    <wps:wsp>
                      <wps:cNvSpPr/>
                      <wps:spPr>
                        <a:xfrm>
                          <a:off x="3090708" y="3595756"/>
                          <a:ext cx="4510585" cy="368489"/>
                        </a:xfrm>
                        <a:prstGeom prst="roundRect">
                          <a:avLst>
                            <a:gd name="adj" fmla="val 16667"/>
                          </a:avLst>
                        </a:prstGeom>
                        <a:noFill/>
                        <a:ln w="28575" cap="flat" cmpd="sng">
                          <a:solidFill>
                            <a:srgbClr val="FF0000"/>
                          </a:solidFill>
                          <a:prstDash val="solid"/>
                          <a:round/>
                          <a:headEnd type="none" w="sm" len="sm"/>
                          <a:tailEnd type="none" w="sm" len="sm"/>
                        </a:ln>
                      </wps:spPr>
                      <wps:txbx>
                        <w:txbxContent>
                          <w:p w:rsidR="00B564A4" w:rsidRDefault="00B564A4">
                            <w:pPr>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23" o:spid="_x0000_s1026" style="position:absolute;left:0;text-align:left;margin-left:51pt;margin-top:112pt;width:357.4pt;height:31.2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" filled="f" strokecolor="red" strokeweight="2.25pt">
                <v:stroke startarrowwidth="narrow" startarrowlength="short" endarrowwidth="narrow" endarrowlength="short"/>
                <v:textbox inset="2.53958mm,2.53958mm,2.53958mm,2.53958mm">
                  <w:txbxContent>
                    <w:p w:rsidR="00B564A4" w:rsidRDefault="00B564A4">
                      <w:pPr>
                        <w:textDirection w:val="btLr"/>
                      </w:pPr>
                    </w:p>
                  </w:txbxContent>
                </v:textbox>
              </v:roundrect>
            </w:pict>
          </mc:Fallback>
        </mc:AlternateConten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Asimismo, es importante destacar que de conformidad con el artículo 8 de la Ley de Fiscalización Superior delega al Órgano Superior de Fiscalización del Estado de México una serie de facultades entre las que destacan las siguientes: </w:t>
      </w:r>
    </w:p>
    <w:p w:rsidR="00B564A4" w:rsidRPr="00595841" w:rsidRDefault="00B564A4">
      <w:pPr>
        <w:jc w:val="both"/>
        <w:rPr>
          <w:rFonts w:ascii="Palatino Linotype" w:eastAsia="Palatino Linotype" w:hAnsi="Palatino Linotype" w:cs="Palatino Linotype"/>
        </w:rPr>
      </w:pP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“Artículo 8.- El Órgano Superior tendrá las siguientes atribuciones:</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w:t>
      </w:r>
    </w:p>
    <w:p w:rsidR="00B564A4" w:rsidRPr="00595841" w:rsidRDefault="000E336B">
      <w:pPr>
        <w:ind w:left="851" w:right="899"/>
        <w:jc w:val="both"/>
        <w:rPr>
          <w:rFonts w:ascii="Palatino Linotype" w:eastAsia="Palatino Linotype" w:hAnsi="Palatino Linotype" w:cs="Palatino Linotype"/>
          <w:b/>
          <w:i/>
          <w:sz w:val="22"/>
          <w:szCs w:val="22"/>
          <w:u w:val="single"/>
        </w:rPr>
      </w:pPr>
      <w:r w:rsidRPr="00595841">
        <w:rPr>
          <w:rFonts w:ascii="Palatino Linotype" w:eastAsia="Palatino Linotype" w:hAnsi="Palatino Linotype" w:cs="Palatino Linotype"/>
          <w:b/>
          <w:i/>
          <w:sz w:val="22"/>
          <w:szCs w:val="22"/>
          <w:u w:val="single"/>
        </w:rPr>
        <w:t>XI. Establecer los lineamientos, criterios, procedimientos, métodos y sistemas, así como todas aquellas disposiciones de carácter general para las acciones de control y evaluación, necesarios para la fiscalización de las cuentas públicas y los informes trimestrales</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u w:val="single"/>
        </w:rPr>
        <w:t xml:space="preserve">XIV. Verificar que las cuentas públicas, los informes trimestrales </w:t>
      </w:r>
      <w:r w:rsidRPr="00595841">
        <w:rPr>
          <w:rFonts w:ascii="Palatino Linotype" w:eastAsia="Palatino Linotype" w:hAnsi="Palatino Linotype" w:cs="Palatino Linotype"/>
          <w:i/>
          <w:sz w:val="22"/>
          <w:szCs w:val="22"/>
        </w:rPr>
        <w:t xml:space="preserve">y la información económica, financiera y, en su caso, la deuda pública, </w:t>
      </w:r>
      <w:r w:rsidRPr="00595841">
        <w:rPr>
          <w:rFonts w:ascii="Palatino Linotype" w:eastAsia="Palatino Linotype" w:hAnsi="Palatino Linotype" w:cs="Palatino Linotype"/>
          <w:b/>
          <w:i/>
          <w:sz w:val="22"/>
          <w:szCs w:val="22"/>
          <w:u w:val="single"/>
        </w:rPr>
        <w:t>se hayan presentado de conformidad con lo dispuesto en la Ley General de Contabilidad Gubernamental, la Ley de Disciplina Financiera de las Entidades Federativas y los Municipios, y demás disposiciones aplicables;</w:t>
      </w:r>
      <w:r w:rsidRPr="00595841">
        <w:rPr>
          <w:rFonts w:ascii="Palatino Linotype" w:eastAsia="Palatino Linotype" w:hAnsi="Palatino Linotype" w:cs="Palatino Linotype"/>
          <w:i/>
          <w:sz w:val="22"/>
          <w:szCs w:val="22"/>
        </w:rPr>
        <w:t>”</w:t>
      </w:r>
    </w:p>
    <w:p w:rsidR="00B564A4" w:rsidRPr="00595841" w:rsidRDefault="00B564A4">
      <w:pPr>
        <w:ind w:left="851" w:right="899"/>
        <w:jc w:val="both"/>
        <w:rPr>
          <w:rFonts w:ascii="Palatino Linotype" w:eastAsia="Palatino Linotype" w:hAnsi="Palatino Linotype" w:cs="Palatino Linotype"/>
          <w:i/>
          <w:sz w:val="22"/>
          <w:szCs w:val="22"/>
        </w:rPr>
      </w:pP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(Énfasis añadido)</w:t>
      </w:r>
    </w:p>
    <w:p w:rsidR="00B564A4" w:rsidRPr="00595841" w:rsidRDefault="00B564A4">
      <w:pPr>
        <w:jc w:val="both"/>
        <w:rPr>
          <w:rFonts w:ascii="Palatino Linotype" w:eastAsia="Palatino Linotype" w:hAnsi="Palatino Linotype" w:cs="Palatino Linotype"/>
          <w:b/>
        </w:rPr>
      </w:pPr>
    </w:p>
    <w:p w:rsidR="00B564A4" w:rsidRPr="00595841" w:rsidRDefault="00B07F71">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Del precepto legal antes citado, se observa que entre las facultades de </w:t>
      </w:r>
      <w:r w:rsidR="000E336B" w:rsidRPr="00595841">
        <w:rPr>
          <w:rFonts w:ascii="Palatino Linotype" w:eastAsia="Palatino Linotype" w:hAnsi="Palatino Linotype" w:cs="Palatino Linotype"/>
        </w:rPr>
        <w:t xml:space="preserve">la legislación </w:t>
      </w:r>
      <w:r w:rsidRPr="00595841">
        <w:rPr>
          <w:rFonts w:ascii="Palatino Linotype" w:eastAsia="Palatino Linotype" w:hAnsi="Palatino Linotype" w:cs="Palatino Linotype"/>
        </w:rPr>
        <w:t xml:space="preserve">se </w:t>
      </w:r>
      <w:r w:rsidR="000E336B" w:rsidRPr="00595841">
        <w:rPr>
          <w:rFonts w:ascii="Palatino Linotype" w:eastAsia="Palatino Linotype" w:hAnsi="Palatino Linotype" w:cs="Palatino Linotype"/>
        </w:rPr>
        <w:t xml:space="preserve">delega al Órgano Superior de Fiscalización del Estado de México, </w:t>
      </w:r>
      <w:r w:rsidR="00785DC4" w:rsidRPr="00595841">
        <w:rPr>
          <w:rFonts w:ascii="Palatino Linotype" w:eastAsia="Palatino Linotype" w:hAnsi="Palatino Linotype" w:cs="Palatino Linotype"/>
        </w:rPr>
        <w:t xml:space="preserve">se </w:t>
      </w:r>
      <w:r w:rsidR="000E336B" w:rsidRPr="00595841">
        <w:rPr>
          <w:rFonts w:ascii="Palatino Linotype" w:eastAsia="Palatino Linotype" w:hAnsi="Palatino Linotype" w:cs="Palatino Linotype"/>
        </w:rPr>
        <w:t xml:space="preserve">destaca la recepción y verificación de las cuentas públicas, así como los informes trimestrales que presenten los municipios y demás sujetos susceptibles de fiscalización.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Ahora bien, es conveniente precisar que la Ley en cita, en su artículo 2 en su fracción XI define al informe trimestral, como: </w:t>
      </w:r>
    </w:p>
    <w:p w:rsidR="00B564A4" w:rsidRPr="00595841" w:rsidRDefault="00B564A4">
      <w:pPr>
        <w:jc w:val="both"/>
        <w:rPr>
          <w:rFonts w:ascii="Palatino Linotype" w:eastAsia="Palatino Linotype" w:hAnsi="Palatino Linotype" w:cs="Palatino Linotype"/>
        </w:rPr>
      </w:pP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“Artículo 2. Para los efectos de la presente Ley, se entenderá por:</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u w:val="single"/>
        </w:rPr>
        <w:t>XI. Informe Trimestral: Al documento físico y/o electrónico que trimestralmente presentan las entidades fiscalizables sobre la situación económica, las finanzas públicas, y en su caso deuda pública para su análisis al Órgano Superior, a través de las tesorerías municipales</w:t>
      </w:r>
      <w:r w:rsidRPr="00595841">
        <w:rPr>
          <w:rFonts w:ascii="Palatino Linotype" w:eastAsia="Palatino Linotype" w:hAnsi="Palatino Linotype" w:cs="Palatino Linotype"/>
          <w:i/>
          <w:sz w:val="22"/>
          <w:szCs w:val="22"/>
        </w:rPr>
        <w:t xml:space="preserve"> y la Secretaría de Finanzas y, en su caso, las áreas competentes;”</w:t>
      </w:r>
    </w:p>
    <w:p w:rsidR="00B564A4" w:rsidRPr="00595841" w:rsidRDefault="00B564A4">
      <w:pPr>
        <w:ind w:left="851" w:right="899"/>
        <w:jc w:val="both"/>
        <w:rPr>
          <w:rFonts w:ascii="Palatino Linotype" w:eastAsia="Palatino Linotype" w:hAnsi="Palatino Linotype" w:cs="Palatino Linotype"/>
          <w:i/>
          <w:sz w:val="22"/>
          <w:szCs w:val="22"/>
        </w:rPr>
      </w:pP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(Énfasis añadido)</w:t>
      </w:r>
    </w:p>
    <w:p w:rsidR="00B564A4" w:rsidRPr="00595841" w:rsidRDefault="00B564A4">
      <w:pPr>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Asimismo el artículo 32 de la legislación en referencia mandata a los entes fiscalizables la entrega de los informes trimestrales dentro de los veinte días hábiles posteriores al término del trimestre correspondiente, además en términos del segundo párrafo del artículo 48, los informes trimestrales deberán firmarse por el presidente municipal, el tesorero y el secretario del ayuntamiento.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785DC4">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De tal forma que</w:t>
      </w:r>
      <w:r w:rsidR="000E336B" w:rsidRPr="00595841">
        <w:rPr>
          <w:rFonts w:ascii="Palatino Linotype" w:eastAsia="Palatino Linotype" w:hAnsi="Palatino Linotype" w:cs="Palatino Linotype"/>
        </w:rPr>
        <w:t xml:space="preserve">, en observancia a lo dispuesto por el Acuerdo publicado en el periódico oficial “Gaceta de Gobierno”, el informe trimestral contendrá entre otros documentos la </w:t>
      </w:r>
      <w:r w:rsidR="000E336B" w:rsidRPr="00595841">
        <w:rPr>
          <w:rFonts w:ascii="Palatino Linotype" w:eastAsia="Palatino Linotype" w:hAnsi="Palatino Linotype" w:cs="Palatino Linotype"/>
          <w:b/>
        </w:rPr>
        <w:t>balanza de comprobación detallada</w:t>
      </w:r>
      <w:r w:rsidR="000E336B" w:rsidRPr="00595841">
        <w:rPr>
          <w:rFonts w:ascii="Palatino Linotype" w:eastAsia="Palatino Linotype" w:hAnsi="Palatino Linotype" w:cs="Palatino Linotype"/>
        </w:rPr>
        <w:t xml:space="preserve">, la cual forma parte del módulo 1, </w:t>
      </w:r>
      <w:r w:rsidR="000E336B" w:rsidRPr="00595841">
        <w:rPr>
          <w:rFonts w:ascii="Palatino Linotype" w:eastAsia="Palatino Linotype" w:hAnsi="Palatino Linotype" w:cs="Palatino Linotype"/>
        </w:rPr>
        <w:lastRenderedPageBreak/>
        <w:t xml:space="preserve">correspondiente a la información contable y financiera, la cual si bien se hace entrega de manera trimestral al Órgano Superior de Fiscalización del Estado de México, su integración por parte del </w:t>
      </w:r>
      <w:r w:rsidR="000E336B" w:rsidRPr="00595841">
        <w:rPr>
          <w:rFonts w:ascii="Palatino Linotype" w:eastAsia="Palatino Linotype" w:hAnsi="Palatino Linotype" w:cs="Palatino Linotype"/>
          <w:b/>
        </w:rPr>
        <w:t xml:space="preserve">SUJETO OBLIGADO </w:t>
      </w:r>
      <w:r w:rsidR="000E336B" w:rsidRPr="00595841">
        <w:rPr>
          <w:rFonts w:ascii="Palatino Linotype" w:eastAsia="Palatino Linotype" w:hAnsi="Palatino Linotype" w:cs="Palatino Linotype"/>
        </w:rPr>
        <w:t>es de manera mensual; para mayor referencia se insertan la siguiente imagen:</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noProof/>
        </w:rPr>
        <w:drawing>
          <wp:inline distT="0" distB="0" distL="0" distR="0">
            <wp:extent cx="5791835" cy="5307965"/>
            <wp:effectExtent l="0" t="0" r="0" b="0"/>
            <wp:docPr id="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791835" cy="5307965"/>
                    </a:xfrm>
                    <a:prstGeom prst="rect">
                      <a:avLst/>
                    </a:prstGeom>
                    <a:ln/>
                  </pic:spPr>
                </pic:pic>
              </a:graphicData>
            </a:graphic>
          </wp:inline>
        </w:drawing>
      </w:r>
      <w:r w:rsidRPr="00595841">
        <w:rPr>
          <w:noProof/>
        </w:rPr>
        <mc:AlternateContent>
          <mc:Choice Requires="wps">
            <w:drawing>
              <wp:anchor distT="0" distB="0" distL="114300" distR="114300" simplePos="0" relativeHeight="251659264" behindDoc="0" locked="0" layoutInCell="1" hidden="0" allowOverlap="1">
                <wp:simplePos x="0" y="0"/>
                <wp:positionH relativeFrom="column">
                  <wp:posOffset>1257300</wp:posOffset>
                </wp:positionH>
                <wp:positionV relativeFrom="paragraph">
                  <wp:posOffset>4457700</wp:posOffset>
                </wp:positionV>
                <wp:extent cx="3936341" cy="278741"/>
                <wp:effectExtent l="0" t="0" r="0" b="0"/>
                <wp:wrapNone/>
                <wp:docPr id="22" name="Rectángulo redondeado 22"/>
                <wp:cNvGraphicFramePr/>
                <a:graphic xmlns:a="http://schemas.openxmlformats.org/drawingml/2006/main">
                  <a:graphicData uri="http://schemas.microsoft.com/office/word/2010/wordprocessingShape">
                    <wps:wsp>
                      <wps:cNvSpPr/>
                      <wps:spPr>
                        <a:xfrm>
                          <a:off x="3392117" y="3654917"/>
                          <a:ext cx="3907766" cy="250166"/>
                        </a:xfrm>
                        <a:prstGeom prst="roundRect">
                          <a:avLst>
                            <a:gd name="adj" fmla="val 16667"/>
                          </a:avLst>
                        </a:prstGeom>
                        <a:noFill/>
                        <a:ln w="28575" cap="flat" cmpd="sng">
                          <a:solidFill>
                            <a:srgbClr val="FF0000"/>
                          </a:solidFill>
                          <a:prstDash val="solid"/>
                          <a:round/>
                          <a:headEnd type="none" w="sm" len="sm"/>
                          <a:tailEnd type="none" w="sm" len="sm"/>
                        </a:ln>
                      </wps:spPr>
                      <wps:txbx>
                        <w:txbxContent>
                          <w:p w:rsidR="00B564A4" w:rsidRDefault="00B564A4">
                            <w:pPr>
                              <w:textDirection w:val="btLr"/>
                            </w:pPr>
                          </w:p>
                        </w:txbxContent>
                      </wps:txbx>
                      <wps:bodyPr spcFirstLastPara="1" wrap="square" lIns="91425" tIns="91425" rIns="91425" bIns="91425" anchor="ctr" anchorCtr="0">
                        <a:noAutofit/>
                      </wps:bodyPr>
                    </wps:wsp>
                  </a:graphicData>
                </a:graphic>
              </wp:anchor>
            </w:drawing>
          </mc:Choice>
          <mc:Fallback>
            <w:pict>
              <v:roundrect id="Rectángulo redondeado 22" o:spid="_x0000_s1027" style="position:absolute;left:0;text-align:left;margin-left:99pt;margin-top:351pt;width:309.95pt;height:21.9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" filled="f" strokecolor="red" strokeweight="2.25pt">
                <v:stroke startarrowwidth="narrow" startarrowlength="short" endarrowwidth="narrow" endarrowlength="short"/>
                <v:textbox inset="2.53958mm,2.53958mm,2.53958mm,2.53958mm">
                  <w:txbxContent>
                    <w:p w:rsidR="00B564A4" w:rsidRDefault="00B564A4">
                      <w:pPr>
                        <w:textDirection w:val="btLr"/>
                      </w:pPr>
                    </w:p>
                  </w:txbxContent>
                </v:textbox>
              </v:roundrect>
            </w:pict>
          </mc:Fallback>
        </mc:AlternateConten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lastRenderedPageBreak/>
        <w:t xml:space="preserve">Aunado a lo anterior, es importante referir que la </w:t>
      </w:r>
      <w:r w:rsidRPr="00595841">
        <w:rPr>
          <w:rFonts w:ascii="Palatino Linotype" w:eastAsia="Palatino Linotype" w:hAnsi="Palatino Linotype" w:cs="Palatino Linotype"/>
          <w:b/>
        </w:rPr>
        <w:t xml:space="preserve">balanza de comprobación detallada </w:t>
      </w:r>
      <w:r w:rsidRPr="00595841">
        <w:rPr>
          <w:rFonts w:ascii="Palatino Linotype" w:eastAsia="Palatino Linotype" w:hAnsi="Palatino Linotype" w:cs="Palatino Linotype"/>
        </w:rPr>
        <w:t>es parte integrante de la Cuenta Pública</w:t>
      </w:r>
      <w:r w:rsidR="00B07F71" w:rsidRPr="00595841">
        <w:rPr>
          <w:rFonts w:ascii="Palatino Linotype" w:eastAsia="Palatino Linotype" w:hAnsi="Palatino Linotype" w:cs="Palatino Linotype"/>
        </w:rPr>
        <w:t>,</w:t>
      </w:r>
      <w:r w:rsidRPr="00595841">
        <w:rPr>
          <w:rFonts w:ascii="Palatino Linotype" w:eastAsia="Palatino Linotype" w:hAnsi="Palatino Linotype" w:cs="Palatino Linotype"/>
        </w:rPr>
        <w:t xml:space="preserve"> la cual conforme al artículo 352 del Código Financiero del Estado de México, se encuentra integrada de la siguiente manera: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w:t>
      </w:r>
      <w:r w:rsidRPr="00595841">
        <w:rPr>
          <w:rFonts w:ascii="Palatino Linotype" w:eastAsia="Palatino Linotype" w:hAnsi="Palatino Linotype" w:cs="Palatino Linotype"/>
          <w:b/>
          <w:i/>
          <w:sz w:val="22"/>
          <w:szCs w:val="22"/>
        </w:rPr>
        <w:t>Artículo 352.-</w:t>
      </w:r>
      <w:r w:rsidRPr="00595841">
        <w:rPr>
          <w:rFonts w:ascii="Palatino Linotype" w:eastAsia="Palatino Linotype" w:hAnsi="Palatino Linotype" w:cs="Palatino Linotype"/>
          <w:i/>
          <w:sz w:val="22"/>
          <w:szCs w:val="22"/>
        </w:rPr>
        <w:t xml:space="preserve"> La cuenta pública se constituye por la información económica, patrimonial, presupuestal, programática, cualitativa y cuantitativa que muestre los resultados de la ejecución de la Ley de Ingresos y del Presupuesto de Egresos.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 xml:space="preserve">La Secretaría y las Tesorerías, proporcionarán la información complementaria requerida por los Órganos de Fiscalización locales y federales, según corresponda, para el análisis y evaluación de la cuenta pública correspondiente.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 xml:space="preserve">El formato de entrega de las Cuentas Públicas del Estado y de los Municipios, deberá ser congruente, contener el mismo nivel de desglose y mantener la debida correlación con respecto a los formatos del Presupuesto de Egresos del Estado y de los Municipios respectivamente, para lograr una mejor claridad, comprensión y transparencia en la revisión y fiscalización por parte del Órgano Superior de Fiscalización del Estado de México.”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(Énfasis añadido)</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Por su parte, la Ley de Fiscalización Superior del Estado de México en su artículo 32, párrafos segundo y tercero señala:</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ind w:left="851" w:right="850"/>
        <w:jc w:val="both"/>
        <w:rPr>
          <w:rFonts w:ascii="Palatino Linotype" w:eastAsia="Palatino Linotype" w:hAnsi="Palatino Linotype" w:cs="Palatino Linotype"/>
          <w:i/>
        </w:rPr>
      </w:pPr>
      <w:r w:rsidRPr="00595841">
        <w:rPr>
          <w:rFonts w:ascii="Palatino Linotype" w:eastAsia="Palatino Linotype" w:hAnsi="Palatino Linotype" w:cs="Palatino Linotype"/>
          <w:i/>
        </w:rPr>
        <w:t xml:space="preserve">“…Los Presidentes Municipales presentarán a la Legislatura las cuentas públicas anuales de sus respectivos municipios, del ejercicio fiscal inmediato anterior, dentro de los quince primeros días del mes de marzo de cada año; asimismo…" </w:t>
      </w:r>
    </w:p>
    <w:p w:rsidR="00B564A4" w:rsidRPr="00595841" w:rsidRDefault="00B564A4">
      <w:pPr>
        <w:ind w:left="851" w:right="850"/>
        <w:jc w:val="both"/>
        <w:rPr>
          <w:rFonts w:ascii="Palatino Linotype" w:eastAsia="Palatino Linotype" w:hAnsi="Palatino Linotype" w:cs="Palatino Linotype"/>
          <w:i/>
        </w:rPr>
      </w:pPr>
    </w:p>
    <w:p w:rsidR="00B564A4" w:rsidRPr="00595841" w:rsidRDefault="000E336B">
      <w:pPr>
        <w:ind w:left="851" w:right="850"/>
        <w:jc w:val="both"/>
        <w:rPr>
          <w:rFonts w:ascii="Palatino Linotype" w:eastAsia="Palatino Linotype" w:hAnsi="Palatino Linotype" w:cs="Palatino Linotype"/>
          <w:i/>
        </w:rPr>
      </w:pPr>
      <w:r w:rsidRPr="00595841">
        <w:rPr>
          <w:rFonts w:ascii="Palatino Linotype" w:eastAsia="Palatino Linotype" w:hAnsi="Palatino Linotype" w:cs="Palatino Linotype"/>
          <w:i/>
        </w:rPr>
        <w:t xml:space="preserve">Las cuentas públicas deberán presentarse conforme a lo establecido en la Ley General de Contabilidad Gubernamental, Ley de Disciplina Financiera delas Entidades Federativas y los Municipios y demás disposiciones aplicables…”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lastRenderedPageBreak/>
        <w:t xml:space="preserve">Es así que, si bien dentro de los formatos que integran los </w:t>
      </w:r>
      <w:r w:rsidRPr="00595841">
        <w:rPr>
          <w:rFonts w:ascii="Palatino Linotype" w:eastAsia="Palatino Linotype" w:hAnsi="Palatino Linotype" w:cs="Palatino Linotype"/>
          <w:b/>
        </w:rPr>
        <w:t>Informes Trimestral de los Sujetos de Fiscalización Municipales para el ejercicio 2021</w:t>
      </w:r>
      <w:r w:rsidRPr="00595841">
        <w:rPr>
          <w:rFonts w:ascii="Palatino Linotype" w:eastAsia="Palatino Linotype" w:hAnsi="Palatino Linotype" w:cs="Palatino Linotype"/>
        </w:rPr>
        <w:t>; no se encuentra el de la bal</w:t>
      </w:r>
      <w:r w:rsidR="00B07F71" w:rsidRPr="00595841">
        <w:rPr>
          <w:rFonts w:ascii="Palatino Linotype" w:eastAsia="Palatino Linotype" w:hAnsi="Palatino Linotype" w:cs="Palatino Linotype"/>
        </w:rPr>
        <w:t xml:space="preserve">anza de comprobación detallada. Pero </w:t>
      </w:r>
      <w:r w:rsidRPr="00595841">
        <w:rPr>
          <w:rFonts w:ascii="Palatino Linotype" w:eastAsia="Palatino Linotype" w:hAnsi="Palatino Linotype" w:cs="Palatino Linotype"/>
        </w:rPr>
        <w:t xml:space="preserve">la Cuenta Pública para el ejercicio fiscal 2020 si lo contempla, para mayor referencia se inserta la siguiente imagen: </w:t>
      </w:r>
    </w:p>
    <w:p w:rsidR="00B07F71" w:rsidRPr="00595841" w:rsidRDefault="00B07F71">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noProof/>
        </w:rPr>
        <w:drawing>
          <wp:inline distT="0" distB="0" distL="0" distR="0">
            <wp:extent cx="5791835" cy="3705225"/>
            <wp:effectExtent l="0" t="0" r="0" b="0"/>
            <wp:docPr id="3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5791835" cy="3705225"/>
                    </a:xfrm>
                    <a:prstGeom prst="rect">
                      <a:avLst/>
                    </a:prstGeom>
                    <a:ln/>
                  </pic:spPr>
                </pic:pic>
              </a:graphicData>
            </a:graphic>
          </wp:inline>
        </w:drawing>
      </w:r>
      <w:r w:rsidRPr="00595841">
        <w:rPr>
          <w:rFonts w:ascii="Palatino Linotype" w:eastAsia="Palatino Linotype" w:hAnsi="Palatino Linotype" w:cs="Palatino Linotype"/>
        </w:rPr>
        <w:t xml:space="preserve">  </w:t>
      </w:r>
    </w:p>
    <w:p w:rsidR="00B564A4" w:rsidRPr="00595841" w:rsidRDefault="00B564A4">
      <w:pPr>
        <w:spacing w:line="360" w:lineRule="auto"/>
        <w:jc w:val="both"/>
        <w:rPr>
          <w:rFonts w:ascii="Palatino Linotype" w:eastAsia="Palatino Linotype" w:hAnsi="Palatino Linotype" w:cs="Palatino Linotype"/>
        </w:rPr>
      </w:pPr>
    </w:p>
    <w:p w:rsidR="005836F6"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Derivado de lo anterior, si bien es cierto que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hizo entrega de dich</w:t>
      </w:r>
      <w:r w:rsidR="00060FD9" w:rsidRPr="00595841">
        <w:rPr>
          <w:rFonts w:ascii="Palatino Linotype" w:eastAsia="Palatino Linotype" w:hAnsi="Palatino Linotype" w:cs="Palatino Linotype"/>
        </w:rPr>
        <w:t xml:space="preserve">o documento, también </w:t>
      </w:r>
      <w:r w:rsidR="00B07F71" w:rsidRPr="00595841">
        <w:rPr>
          <w:rFonts w:ascii="Palatino Linotype" w:eastAsia="Palatino Linotype" w:hAnsi="Palatino Linotype" w:cs="Palatino Linotype"/>
        </w:rPr>
        <w:t xml:space="preserve">lo es </w:t>
      </w:r>
      <w:r w:rsidRPr="00595841">
        <w:rPr>
          <w:rFonts w:ascii="Palatino Linotype" w:eastAsia="Palatino Linotype" w:hAnsi="Palatino Linotype" w:cs="Palatino Linotype"/>
        </w:rPr>
        <w:t>que</w:t>
      </w:r>
      <w:r w:rsidR="00060FD9" w:rsidRPr="00595841">
        <w:rPr>
          <w:rFonts w:ascii="Palatino Linotype" w:eastAsia="Palatino Linotype" w:hAnsi="Palatino Linotype" w:cs="Palatino Linotype"/>
        </w:rPr>
        <w:t>,</w:t>
      </w:r>
      <w:r w:rsidRPr="00595841">
        <w:rPr>
          <w:rFonts w:ascii="Palatino Linotype" w:eastAsia="Palatino Linotype" w:hAnsi="Palatino Linotype" w:cs="Palatino Linotype"/>
        </w:rPr>
        <w:t xml:space="preserve"> </w:t>
      </w:r>
      <w:r w:rsidRPr="00595841">
        <w:rPr>
          <w:rFonts w:ascii="Palatino Linotype" w:eastAsia="Palatino Linotype" w:hAnsi="Palatino Linotype" w:cs="Palatino Linotype"/>
          <w:b/>
        </w:rPr>
        <w:t>EL RECURRENTE</w:t>
      </w:r>
      <w:r w:rsidRPr="00595841">
        <w:rPr>
          <w:rFonts w:ascii="Palatino Linotype" w:eastAsia="Palatino Linotype" w:hAnsi="Palatino Linotype" w:cs="Palatino Linotype"/>
        </w:rPr>
        <w:t xml:space="preserve"> se inconforma de la información testada, sobre la cual </w:t>
      </w:r>
      <w:r w:rsidRPr="00595841">
        <w:rPr>
          <w:rFonts w:ascii="Palatino Linotype" w:eastAsia="Palatino Linotype" w:hAnsi="Palatino Linotype" w:cs="Palatino Linotype"/>
          <w:b/>
        </w:rPr>
        <w:t xml:space="preserve">EL SUJETO OBLIGADO </w:t>
      </w:r>
      <w:r w:rsidR="00B07F71" w:rsidRPr="00595841">
        <w:rPr>
          <w:rFonts w:ascii="Palatino Linotype" w:eastAsia="Palatino Linotype" w:hAnsi="Palatino Linotype" w:cs="Palatino Linotype"/>
        </w:rPr>
        <w:t xml:space="preserve">remitió, a través del  </w:t>
      </w:r>
      <w:r w:rsidRPr="00595841">
        <w:rPr>
          <w:rFonts w:ascii="Palatino Linotype" w:eastAsia="Palatino Linotype" w:hAnsi="Palatino Linotype" w:cs="Palatino Linotype"/>
        </w:rPr>
        <w:t xml:space="preserve">Acuerdo del Comité de Transparencia para la elaboración de la versión pública y en su caso, la reserva de la información como confidencial para los datos referentes a </w:t>
      </w:r>
      <w:r w:rsidR="00B07F71" w:rsidRPr="00595841">
        <w:rPr>
          <w:rFonts w:ascii="Palatino Linotype" w:eastAsia="Palatino Linotype" w:hAnsi="Palatino Linotype" w:cs="Palatino Linotype"/>
        </w:rPr>
        <w:t xml:space="preserve">los </w:t>
      </w:r>
      <w:r w:rsidR="00B07F71" w:rsidRPr="00595841">
        <w:rPr>
          <w:rFonts w:ascii="Palatino Linotype" w:eastAsia="Palatino Linotype" w:hAnsi="Palatino Linotype" w:cs="Palatino Linotype"/>
        </w:rPr>
        <w:lastRenderedPageBreak/>
        <w:t>n</w:t>
      </w:r>
      <w:r w:rsidRPr="00595841">
        <w:rPr>
          <w:rFonts w:ascii="Palatino Linotype" w:eastAsia="Palatino Linotype" w:hAnsi="Palatino Linotype" w:cs="Palatino Linotype"/>
        </w:rPr>
        <w:t>ombres de particulares, saldos particulares, cuentas bancarias p</w:t>
      </w:r>
      <w:r w:rsidR="00060FD9" w:rsidRPr="00595841">
        <w:rPr>
          <w:rFonts w:ascii="Palatino Linotype" w:eastAsia="Palatino Linotype" w:hAnsi="Palatino Linotype" w:cs="Palatino Linotype"/>
        </w:rPr>
        <w:t xml:space="preserve">ropias y saldos bancarios. </w:t>
      </w:r>
    </w:p>
    <w:p w:rsidR="005836F6" w:rsidRPr="00595841" w:rsidRDefault="005836F6">
      <w:pPr>
        <w:spacing w:line="360" w:lineRule="auto"/>
        <w:jc w:val="both"/>
        <w:rPr>
          <w:rFonts w:ascii="Palatino Linotype" w:eastAsia="Palatino Linotype" w:hAnsi="Palatino Linotype" w:cs="Palatino Linotype"/>
        </w:rPr>
      </w:pPr>
    </w:p>
    <w:p w:rsidR="00B564A4" w:rsidRPr="00595841" w:rsidRDefault="005836F6">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Dando como resultado de lo anterior</w:t>
      </w:r>
      <w:r w:rsidR="00C915AF" w:rsidRPr="00595841">
        <w:rPr>
          <w:rFonts w:ascii="Palatino Linotype" w:eastAsia="Palatino Linotype" w:hAnsi="Palatino Linotype" w:cs="Palatino Linotype"/>
        </w:rPr>
        <w:t>,</w:t>
      </w:r>
      <w:r w:rsidRPr="00595841">
        <w:rPr>
          <w:rFonts w:ascii="Palatino Linotype" w:eastAsia="Palatino Linotype" w:hAnsi="Palatino Linotype" w:cs="Palatino Linotype"/>
        </w:rPr>
        <w:t xml:space="preserve"> el documento en versión pública que fue entregando por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en respuesta a la solicitud del </w:t>
      </w:r>
      <w:r w:rsidRPr="00595841">
        <w:rPr>
          <w:rFonts w:ascii="Palatino Linotype" w:eastAsia="Palatino Linotype" w:hAnsi="Palatino Linotype" w:cs="Palatino Linotype"/>
          <w:b/>
        </w:rPr>
        <w:t xml:space="preserve">RECURRENTE </w:t>
      </w:r>
      <w:r w:rsidRPr="00595841">
        <w:rPr>
          <w:rFonts w:ascii="Palatino Linotype" w:eastAsia="Palatino Linotype" w:hAnsi="Palatino Linotype" w:cs="Palatino Linotype"/>
        </w:rPr>
        <w:t xml:space="preserve">y que se inserta a continuación para mayor referencia: </w:t>
      </w:r>
    </w:p>
    <w:p w:rsidR="005836F6"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noProof/>
        </w:rPr>
        <w:drawing>
          <wp:inline distT="0" distB="0" distL="0" distR="0">
            <wp:extent cx="5791835" cy="3803650"/>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D43A03.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3803650"/>
                    </a:xfrm>
                    <a:prstGeom prst="rect">
                      <a:avLst/>
                    </a:prstGeom>
                  </pic:spPr>
                </pic:pic>
              </a:graphicData>
            </a:graphic>
          </wp:inline>
        </w:drawing>
      </w:r>
    </w:p>
    <w:p w:rsidR="00060FD9" w:rsidRPr="00595841" w:rsidRDefault="00060FD9">
      <w:pPr>
        <w:spacing w:line="360" w:lineRule="auto"/>
        <w:jc w:val="both"/>
        <w:rPr>
          <w:rFonts w:ascii="Palatino Linotype" w:eastAsia="Palatino Linotype" w:hAnsi="Palatino Linotype" w:cs="Palatino Linotype"/>
        </w:rPr>
      </w:pPr>
    </w:p>
    <w:p w:rsidR="00B564A4"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De la imagen insertada previamente es posible observar que fue testada la información perteneciente a los rubros “SALDO INICIAL”, “MOVIMIENTOS DEL MES” y “SALDO FINAL”. </w:t>
      </w:r>
    </w:p>
    <w:p w:rsidR="00C915AF" w:rsidRPr="00595841" w:rsidRDefault="00C915AF">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lastRenderedPageBreak/>
        <w:t xml:space="preserve">Ahora bien,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como ha quedado asentado, mediante el acuerdo del Comité de Transparencia acordó clasificar dicha información como confidencial; sin embargo, esta Ponencia Resolutora advierte que la información de dichos rubros es únicamente numérica y además se encuentra publicada, para años anteriores, dentro del portal de IPOMEX</w:t>
      </w:r>
      <w:r w:rsidRPr="00595841">
        <w:rPr>
          <w:rStyle w:val="Refdenotaalpie"/>
          <w:rFonts w:ascii="Palatino Linotype" w:eastAsia="Palatino Linotype" w:hAnsi="Palatino Linotype" w:cs="Palatino Linotype"/>
        </w:rPr>
        <w:footnoteReference w:id="3"/>
      </w:r>
      <w:r w:rsidRPr="00595841">
        <w:rPr>
          <w:rFonts w:ascii="Palatino Linotype" w:eastAsia="Palatino Linotype" w:hAnsi="Palatino Linotype" w:cs="Palatino Linotype"/>
        </w:rPr>
        <w:t xml:space="preserve"> del </w:t>
      </w:r>
      <w:r w:rsidRPr="00595841">
        <w:rPr>
          <w:rFonts w:ascii="Palatino Linotype" w:eastAsia="Palatino Linotype" w:hAnsi="Palatino Linotype" w:cs="Palatino Linotype"/>
          <w:b/>
        </w:rPr>
        <w:t>SUJETO OBLIGADO</w:t>
      </w:r>
      <w:r w:rsidRPr="00595841">
        <w:rPr>
          <w:rFonts w:ascii="Palatino Linotype" w:eastAsia="Palatino Linotype" w:hAnsi="Palatino Linotype" w:cs="Palatino Linotype"/>
        </w:rPr>
        <w:t xml:space="preserve"> como se puede apreciar en la imagen que se muestra a continuación. </w:t>
      </w:r>
    </w:p>
    <w:p w:rsidR="00C915AF" w:rsidRPr="00595841" w:rsidRDefault="00C915AF">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noProof/>
        </w:rPr>
        <mc:AlternateContent>
          <mc:Choice Requires="wps">
            <w:drawing>
              <wp:anchor distT="0" distB="0" distL="114300" distR="114300" simplePos="0" relativeHeight="251661312" behindDoc="0" locked="0" layoutInCell="1" allowOverlap="1">
                <wp:simplePos x="0" y="0"/>
                <wp:positionH relativeFrom="column">
                  <wp:posOffset>3177540</wp:posOffset>
                </wp:positionH>
                <wp:positionV relativeFrom="paragraph">
                  <wp:posOffset>1130935</wp:posOffset>
                </wp:positionV>
                <wp:extent cx="2876550" cy="1676400"/>
                <wp:effectExtent l="57150" t="38100" r="76200" b="95250"/>
                <wp:wrapNone/>
                <wp:docPr id="6" name="Rectángulo 6"/>
                <wp:cNvGraphicFramePr/>
                <a:graphic xmlns:a="http://schemas.openxmlformats.org/drawingml/2006/main">
                  <a:graphicData uri="http://schemas.microsoft.com/office/word/2010/wordprocessingShape">
                    <wps:wsp>
                      <wps:cNvSpPr/>
                      <wps:spPr>
                        <a:xfrm>
                          <a:off x="0" y="0"/>
                          <a:ext cx="2876550" cy="1676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FBA77C" id="Rectángulo 6" o:spid="_x0000_s1026" style="position:absolute;margin-left:250.2pt;margin-top:89.05pt;width:226.5pt;height:1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" filled="f" strokecolor="red" strokeweight="2.25pt">
                <v:shadow on="t" color="black" opacity="22937f" origin=",.5" offset="0,.63889mm"/>
              </v:rect>
            </w:pict>
          </mc:Fallback>
        </mc:AlternateContent>
      </w:r>
      <w:r w:rsidRPr="00595841">
        <w:rPr>
          <w:rFonts w:ascii="Palatino Linotype" w:eastAsia="Palatino Linotype" w:hAnsi="Palatino Linotype" w:cs="Palatino Linotype"/>
          <w:noProof/>
        </w:rPr>
        <w:drawing>
          <wp:inline distT="0" distB="0" distL="0" distR="0">
            <wp:extent cx="6105525" cy="274320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D419EC.tmp"/>
                    <pic:cNvPicPr/>
                  </pic:nvPicPr>
                  <pic:blipFill>
                    <a:blip r:embed="rId16">
                      <a:extLst>
                        <a:ext uri="{28A0092B-C50C-407E-A947-70E740481C1C}">
                          <a14:useLocalDpi xmlns:a14="http://schemas.microsoft.com/office/drawing/2010/main" val="0"/>
                        </a:ext>
                      </a:extLst>
                    </a:blip>
                    <a:stretch>
                      <a:fillRect/>
                    </a:stretch>
                  </pic:blipFill>
                  <pic:spPr>
                    <a:xfrm>
                      <a:off x="0" y="0"/>
                      <a:ext cx="6105525" cy="2743200"/>
                    </a:xfrm>
                    <a:prstGeom prst="rect">
                      <a:avLst/>
                    </a:prstGeom>
                  </pic:spPr>
                </pic:pic>
              </a:graphicData>
            </a:graphic>
          </wp:inline>
        </w:drawing>
      </w:r>
    </w:p>
    <w:p w:rsidR="00C915AF" w:rsidRPr="00595841" w:rsidRDefault="00C915AF">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De la información contenida en la imagen anterior, es posible visualizar que los rubros resaltados en dicha tabla contienen cantidades expresadas en cifras y que fueron publicadas de forma íntegra en el portal de Información Pública de oficio del </w:t>
      </w:r>
      <w:r w:rsidRPr="00595841">
        <w:rPr>
          <w:rFonts w:ascii="Palatino Linotype" w:eastAsia="Palatino Linotype" w:hAnsi="Palatino Linotype" w:cs="Palatino Linotype"/>
          <w:b/>
        </w:rPr>
        <w:t>SUJETO OBLIGADO</w:t>
      </w:r>
      <w:r w:rsidRPr="00595841">
        <w:rPr>
          <w:rFonts w:ascii="Palatino Linotype" w:eastAsia="Palatino Linotype" w:hAnsi="Palatino Linotype" w:cs="Palatino Linotype"/>
        </w:rPr>
        <w:t xml:space="preserve">.  </w:t>
      </w:r>
    </w:p>
    <w:p w:rsidR="00C915AF" w:rsidRPr="00595841" w:rsidRDefault="00C915AF">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lastRenderedPageBreak/>
        <w:t xml:space="preserve">Es importante mencionar que si bien estos datos son de años precedentes, el contenido permanece el mismo y atiende al formato adjunto a los Lineamientos para la Entrega del Informe Mensual Municipal, mismo que fue insertado en líneas previas del presente estudio. </w:t>
      </w:r>
    </w:p>
    <w:p w:rsidR="00B07F71" w:rsidRPr="00595841" w:rsidRDefault="00B07F71">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Aunado a ello, de los documentos citados, no se observa que dentro de la información </w:t>
      </w:r>
      <w:r w:rsidR="00B07F71" w:rsidRPr="00595841">
        <w:rPr>
          <w:rFonts w:ascii="Palatino Linotype" w:eastAsia="Palatino Linotype" w:hAnsi="Palatino Linotype" w:cs="Palatino Linotype"/>
        </w:rPr>
        <w:t xml:space="preserve">que fue testada con motivo de la versión publica elaborada por </w:t>
      </w:r>
      <w:r w:rsidR="00B07F71" w:rsidRPr="00595841">
        <w:rPr>
          <w:rFonts w:ascii="Palatino Linotype" w:eastAsia="Palatino Linotype" w:hAnsi="Palatino Linotype" w:cs="Palatino Linotype"/>
          <w:b/>
        </w:rPr>
        <w:t>EL SUJETO OBLIGADO</w:t>
      </w:r>
      <w:r w:rsidR="00B07F71" w:rsidRPr="00595841">
        <w:rPr>
          <w:rFonts w:ascii="Palatino Linotype" w:eastAsia="Palatino Linotype" w:hAnsi="Palatino Linotype" w:cs="Palatino Linotype"/>
        </w:rPr>
        <w:t xml:space="preserve"> </w:t>
      </w:r>
      <w:r w:rsidRPr="00595841">
        <w:rPr>
          <w:rFonts w:ascii="Palatino Linotype" w:eastAsia="Palatino Linotype" w:hAnsi="Palatino Linotype" w:cs="Palatino Linotype"/>
        </w:rPr>
        <w:t xml:space="preserve">existan nombres de particulares, tal y como señala en su acuerdo de clasificación, sino, únicamente montos numéricos relacionados con  el estado de la deuda, razón por la cual, dicho acuerdo no otorga certeza jurídica al </w:t>
      </w:r>
      <w:r w:rsidRPr="00595841">
        <w:rPr>
          <w:rFonts w:ascii="Palatino Linotype" w:eastAsia="Palatino Linotype" w:hAnsi="Palatino Linotype" w:cs="Palatino Linotype"/>
          <w:b/>
        </w:rPr>
        <w:t>RECURRENTE</w:t>
      </w:r>
      <w:r w:rsidRPr="00595841">
        <w:rPr>
          <w:rFonts w:ascii="Palatino Linotype" w:eastAsia="Palatino Linotype" w:hAnsi="Palatino Linotype" w:cs="Palatino Linotype"/>
        </w:rPr>
        <w:t xml:space="preserve"> de que la información contenida en el documento entregado esté debidamente testada. </w:t>
      </w:r>
    </w:p>
    <w:p w:rsidR="00C915AF" w:rsidRPr="00595841" w:rsidRDefault="00C915AF">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Asimismo es pertinente mencionar que dicho acuerdo carece que la fundamentación y motivación adecuadas, toda vez que se limita a enunciar los preceptos de la Ley de Trasparencia y Acceso a la Información Pública del Estado de México y Municipios, sin embargo no hace una adecuada relación de por qué los mismos resultan  aplicables al caso en concreto más allá de un simple pronunciamiento, tampoco se señala dentro de este acuerdo las razones por las cuales dicha información debe ser considerada confidencial, lo último en atención a que los datos pertenecientes a proveedores que tengan relación con recursos públicos es información que debe ser entregada, así bien, en el caso de que estos datos fueran susceptibles de ser  clasificados, los Sujetos Obligados deben hacer una correcta fundamentación y motivación para brindar a los particulares la certeza jurídica de que dicho acto de autoridad se lleva a cabo en estricta legalidad. </w:t>
      </w:r>
    </w:p>
    <w:p w:rsidR="00C915AF" w:rsidRPr="00595841" w:rsidRDefault="00C915AF" w:rsidP="00C915AF">
      <w:pPr>
        <w:pStyle w:val="NormalWeb"/>
        <w:spacing w:before="240" w:beforeAutospacing="0" w:after="280" w:afterAutospacing="0" w:line="360" w:lineRule="auto"/>
        <w:jc w:val="both"/>
      </w:pPr>
      <w:r w:rsidRPr="00595841">
        <w:rPr>
          <w:rFonts w:ascii="Palatino Linotype" w:hAnsi="Palatino Linotype"/>
          <w:color w:val="000000"/>
        </w:rPr>
        <w:lastRenderedPageBreak/>
        <w:t>Respecto a lo anterior, es de señalar que el máximo tribunal del país ha establecido jurisprudencia respecto a qué debe entenderse por fundamentación y motivación, en los siguientes términos:</w:t>
      </w:r>
    </w:p>
    <w:p w:rsidR="00C915AF" w:rsidRPr="00595841" w:rsidRDefault="00C915AF" w:rsidP="00C915AF">
      <w:pPr>
        <w:pStyle w:val="NormalWeb"/>
        <w:spacing w:before="240" w:beforeAutospacing="0" w:after="280" w:afterAutospacing="0"/>
        <w:ind w:left="851" w:right="899"/>
        <w:jc w:val="both"/>
      </w:pPr>
      <w:r w:rsidRPr="00595841">
        <w:rPr>
          <w:rFonts w:ascii="Palatino Linotype" w:hAnsi="Palatino Linotype"/>
          <w:b/>
          <w:bCs/>
          <w:i/>
          <w:iCs/>
          <w:color w:val="000000"/>
          <w:sz w:val="22"/>
          <w:szCs w:val="22"/>
        </w:rPr>
        <w:t>“FUNDAMENTACIÓN Y MOTIVACIÓN.</w:t>
      </w:r>
      <w:r w:rsidRPr="00595841">
        <w:rPr>
          <w:rFonts w:ascii="Palatino Linotype" w:hAnsi="Palatino Linotype"/>
          <w:i/>
          <w:iCs/>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C915AF" w:rsidRPr="00595841" w:rsidRDefault="00C915AF" w:rsidP="00C915AF">
      <w:pPr>
        <w:pStyle w:val="NormalWeb"/>
        <w:spacing w:before="240" w:beforeAutospacing="0" w:after="280" w:afterAutospacing="0" w:line="360" w:lineRule="auto"/>
        <w:jc w:val="both"/>
      </w:pPr>
      <w:r w:rsidRPr="00595841">
        <w:rPr>
          <w:rFonts w:ascii="Palatino Linotype" w:hAnsi="Palatino Linotype"/>
          <w:color w:val="000000"/>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w:t>
      </w:r>
      <w:r w:rsidR="00B07F71" w:rsidRPr="00595841">
        <w:rPr>
          <w:rFonts w:ascii="Palatino Linotype" w:hAnsi="Palatino Linotype"/>
          <w:color w:val="000000"/>
        </w:rPr>
        <w:t>undamentos de derecho, sirve</w:t>
      </w:r>
      <w:r w:rsidRPr="00595841">
        <w:rPr>
          <w:rFonts w:ascii="Palatino Linotype" w:hAnsi="Palatino Linotype"/>
          <w:color w:val="000000"/>
        </w:rPr>
        <w:t xml:space="preserve"> de sustento la diversa jurisprudencia dictada por el Poder Judicial de la Federación que sostiene que la finalidad de la fundamentación o motivación es la de explicar, justificar, posibilitar la defensa y comunicar la decisión de la autoridad:</w:t>
      </w:r>
    </w:p>
    <w:p w:rsidR="00C915AF" w:rsidRPr="00595841" w:rsidRDefault="00C915AF" w:rsidP="00C915AF">
      <w:pPr>
        <w:pStyle w:val="NormalWeb"/>
        <w:spacing w:before="240" w:beforeAutospacing="0" w:after="280" w:afterAutospacing="0"/>
        <w:ind w:left="851" w:right="899"/>
        <w:jc w:val="both"/>
      </w:pPr>
      <w:r w:rsidRPr="00595841">
        <w:rPr>
          <w:rFonts w:ascii="Palatino Linotype" w:hAnsi="Palatino Linotype"/>
          <w:i/>
          <w:iCs/>
          <w:color w:val="000000"/>
          <w:sz w:val="22"/>
          <w:szCs w:val="22"/>
        </w:rPr>
        <w:t>“</w:t>
      </w:r>
      <w:r w:rsidRPr="00595841">
        <w:rPr>
          <w:rFonts w:ascii="Palatino Linotype" w:hAnsi="Palatino Linotype"/>
          <w:b/>
          <w:bCs/>
          <w:i/>
          <w:iCs/>
          <w:color w:val="000000"/>
          <w:sz w:val="22"/>
          <w:szCs w:val="22"/>
        </w:rPr>
        <w:t>FUNDAMENTACIÓN Y MOTIVACIÓN. EL ASPECTO FORMAL DE LA GARANTÍA Y SU FINALIDAD SE TRADUCEN EN EXPLICAR, JUSTIFICAR, POSIBILITAR LA DEFENSA Y COMUNICAR LA DECISIÓN.</w:t>
      </w:r>
      <w:r w:rsidRPr="00595841">
        <w:rPr>
          <w:rFonts w:ascii="Palatino Linotype" w:hAnsi="Palatino Linotype"/>
          <w:i/>
          <w:iCs/>
          <w:color w:val="000000"/>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w:t>
      </w:r>
      <w:r w:rsidRPr="00595841">
        <w:rPr>
          <w:rFonts w:ascii="Palatino Linotype" w:hAnsi="Palatino Linotype"/>
          <w:i/>
          <w:iCs/>
          <w:color w:val="000000"/>
          <w:sz w:val="22"/>
          <w:szCs w:val="22"/>
        </w:rPr>
        <w:lastRenderedPageBreak/>
        <w:t>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C915AF" w:rsidRPr="00595841" w:rsidRDefault="00C915AF" w:rsidP="00C915AF">
      <w:pPr>
        <w:pStyle w:val="NormalWeb"/>
        <w:spacing w:before="240" w:beforeAutospacing="0" w:after="280" w:afterAutospacing="0" w:line="360" w:lineRule="auto"/>
        <w:jc w:val="both"/>
      </w:pPr>
      <w:r w:rsidRPr="00595841">
        <w:rPr>
          <w:rFonts w:ascii="Palatino Linotype" w:hAnsi="Palatino Linotype"/>
          <w:color w:val="000000"/>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No se omite señalar que esta Ponencia Resolutora advierte que la información entregada corresponde al periodo comprendido del uno al treinta de junio de dos mil veintiuno como se puede observar en la imagen siguiente: </w:t>
      </w:r>
    </w:p>
    <w:p w:rsidR="00C915AF" w:rsidRPr="00595841" w:rsidRDefault="00C915AF">
      <w:pPr>
        <w:spacing w:line="360" w:lineRule="auto"/>
        <w:jc w:val="both"/>
        <w:rPr>
          <w:rFonts w:ascii="Palatino Linotype" w:eastAsia="Palatino Linotype" w:hAnsi="Palatino Linotype" w:cs="Palatino Linotype"/>
        </w:rPr>
      </w:pP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noProof/>
        </w:rPr>
        <mc:AlternateContent>
          <mc:Choice Requires="wps">
            <w:drawing>
              <wp:anchor distT="0" distB="0" distL="114300" distR="114300" simplePos="0" relativeHeight="251662336" behindDoc="0" locked="0" layoutInCell="1" allowOverlap="1">
                <wp:simplePos x="0" y="0"/>
                <wp:positionH relativeFrom="column">
                  <wp:posOffset>4358639</wp:posOffset>
                </wp:positionH>
                <wp:positionV relativeFrom="paragraph">
                  <wp:posOffset>28575</wp:posOffset>
                </wp:positionV>
                <wp:extent cx="1457325" cy="304800"/>
                <wp:effectExtent l="57150" t="19050" r="85725" b="95250"/>
                <wp:wrapNone/>
                <wp:docPr id="9" name="Rectángulo 9"/>
                <wp:cNvGraphicFramePr/>
                <a:graphic xmlns:a="http://schemas.openxmlformats.org/drawingml/2006/main">
                  <a:graphicData uri="http://schemas.microsoft.com/office/word/2010/wordprocessingShape">
                    <wps:wsp>
                      <wps:cNvSpPr/>
                      <wps:spPr>
                        <a:xfrm>
                          <a:off x="0" y="0"/>
                          <a:ext cx="1457325" cy="3048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9ADC8" id="Rectángulo 9" o:spid="_x0000_s1026" style="position:absolute;margin-left:343.2pt;margin-top:2.25pt;width:114.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" filled="f" strokecolor="red" strokeweight="1.5pt">
                <v:shadow on="t" color="black" opacity="22937f" origin=",.5" offset="0,.63889mm"/>
              </v:rect>
            </w:pict>
          </mc:Fallback>
        </mc:AlternateContent>
      </w:r>
      <w:r w:rsidRPr="00595841">
        <w:rPr>
          <w:rFonts w:ascii="Palatino Linotype" w:eastAsia="Palatino Linotype" w:hAnsi="Palatino Linotype" w:cs="Palatino Linotype"/>
          <w:noProof/>
        </w:rPr>
        <w:drawing>
          <wp:inline distT="0" distB="0" distL="0" distR="0">
            <wp:extent cx="5791835" cy="72898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D42392.tmp"/>
                    <pic:cNvPicPr/>
                  </pic:nvPicPr>
                  <pic:blipFill>
                    <a:blip r:embed="rId17">
                      <a:extLst>
                        <a:ext uri="{28A0092B-C50C-407E-A947-70E740481C1C}">
                          <a14:useLocalDpi xmlns:a14="http://schemas.microsoft.com/office/drawing/2010/main" val="0"/>
                        </a:ext>
                      </a:extLst>
                    </a:blip>
                    <a:stretch>
                      <a:fillRect/>
                    </a:stretch>
                  </pic:blipFill>
                  <pic:spPr>
                    <a:xfrm>
                      <a:off x="0" y="0"/>
                      <a:ext cx="5791835" cy="728980"/>
                    </a:xfrm>
                    <a:prstGeom prst="rect">
                      <a:avLst/>
                    </a:prstGeom>
                  </pic:spPr>
                </pic:pic>
              </a:graphicData>
            </a:graphic>
          </wp:inline>
        </w:drawing>
      </w:r>
    </w:p>
    <w:p w:rsidR="00C915AF" w:rsidRPr="00595841" w:rsidRDefault="00C915AF">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En tal respecto, de la solicitud del </w:t>
      </w:r>
      <w:r w:rsidRPr="00595841">
        <w:rPr>
          <w:rFonts w:ascii="Palatino Linotype" w:eastAsia="Palatino Linotype" w:hAnsi="Palatino Linotype" w:cs="Palatino Linotype"/>
          <w:b/>
        </w:rPr>
        <w:t xml:space="preserve">RECURRENTE </w:t>
      </w:r>
      <w:r w:rsidRPr="00595841">
        <w:rPr>
          <w:rFonts w:ascii="Palatino Linotype" w:eastAsia="Palatino Linotype" w:hAnsi="Palatino Linotype" w:cs="Palatino Linotype"/>
        </w:rPr>
        <w:t xml:space="preserve">no se advierte haya requerido alguna temporalidad específica; no obstante, debido a la naturaleza de la información solicitada se debe atender a la misma considerando la información más reciente al veinte de septiembre de dos mil veintiuno. </w:t>
      </w:r>
    </w:p>
    <w:p w:rsidR="00060FD9" w:rsidRPr="00595841" w:rsidRDefault="00060FD9">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En consecuencia</w:t>
      </w:r>
      <w:r w:rsidR="00B07F71" w:rsidRPr="00595841">
        <w:rPr>
          <w:rFonts w:ascii="Palatino Linotype" w:eastAsia="Palatino Linotype" w:hAnsi="Palatino Linotype" w:cs="Palatino Linotype"/>
        </w:rPr>
        <w:t>, por</w:t>
      </w:r>
      <w:r w:rsidR="00C915AF" w:rsidRPr="00595841">
        <w:rPr>
          <w:rFonts w:ascii="Palatino Linotype" w:eastAsia="Palatino Linotype" w:hAnsi="Palatino Linotype" w:cs="Palatino Linotype"/>
        </w:rPr>
        <w:t xml:space="preserve"> las razones expuestas a lo largo del presente estudio</w:t>
      </w:r>
      <w:r w:rsidRPr="00595841">
        <w:rPr>
          <w:rFonts w:ascii="Palatino Linotype" w:eastAsia="Palatino Linotype" w:hAnsi="Palatino Linotype" w:cs="Palatino Linotype"/>
        </w:rPr>
        <w:t xml:space="preserve">, este Órgano Garante determina ordenar de ser procedente en versión pública el o los documentos donde conste el monto adeudado a cada uno de los proveedores al veinte de </w:t>
      </w:r>
      <w:r w:rsidRPr="00595841">
        <w:rPr>
          <w:rFonts w:ascii="Palatino Linotype" w:eastAsia="Palatino Linotype" w:hAnsi="Palatino Linotype" w:cs="Palatino Linotype"/>
        </w:rPr>
        <w:lastRenderedPageBreak/>
        <w:t xml:space="preserve">septiembre de dos mil veintiuno, fecha en que fue presentada la solicitud por el hoy </w:t>
      </w:r>
      <w:r w:rsidRPr="00595841">
        <w:rPr>
          <w:rFonts w:ascii="Palatino Linotype" w:eastAsia="Palatino Linotype" w:hAnsi="Palatino Linotype" w:cs="Palatino Linotype"/>
          <w:b/>
        </w:rPr>
        <w:t>RECURRENTE</w:t>
      </w:r>
      <w:r w:rsidRPr="00595841">
        <w:rPr>
          <w:rFonts w:ascii="Palatino Linotype" w:eastAsia="Palatino Linotype" w:hAnsi="Palatino Linotype" w:cs="Palatino Linotype"/>
        </w:rPr>
        <w:t xml:space="preserve">.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Por lo anterior, no se omite comentar que para el caso de que el o los documentos de los cuales se ordena su entrega, contienen datos personales susceptibles de ser testados, deberán ser entregados en </w:t>
      </w:r>
      <w:r w:rsidRPr="00595841">
        <w:rPr>
          <w:rFonts w:ascii="Palatino Linotype" w:eastAsia="Palatino Linotype" w:hAnsi="Palatino Linotype" w:cs="Palatino Linotype"/>
          <w:b/>
        </w:rPr>
        <w:t>versión pública</w:t>
      </w:r>
      <w:r w:rsidRPr="00595841">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rsidR="00B564A4" w:rsidRPr="00595841" w:rsidRDefault="00B564A4">
      <w:pPr>
        <w:ind w:right="899"/>
        <w:jc w:val="both"/>
        <w:rPr>
          <w:rFonts w:ascii="Palatino Linotype" w:eastAsia="Palatino Linotype" w:hAnsi="Palatino Linotype" w:cs="Palatino Linotype"/>
        </w:rPr>
      </w:pPr>
    </w:p>
    <w:p w:rsidR="00B564A4" w:rsidRPr="00595841" w:rsidRDefault="000E336B">
      <w:pPr>
        <w:ind w:left="851" w:right="901"/>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 xml:space="preserve">“Artículo 3. </w:t>
      </w:r>
      <w:r w:rsidRPr="00595841">
        <w:rPr>
          <w:rFonts w:ascii="Palatino Linotype" w:eastAsia="Palatino Linotype" w:hAnsi="Palatino Linotype" w:cs="Palatino Linotype"/>
          <w:i/>
          <w:sz w:val="22"/>
          <w:szCs w:val="22"/>
        </w:rPr>
        <w:t xml:space="preserve">Para los efectos de la presente Ley se entenderá por: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IX.</w:t>
      </w:r>
      <w:r w:rsidRPr="00595841">
        <w:rPr>
          <w:rFonts w:ascii="Palatino Linotype" w:eastAsia="Palatino Linotype" w:hAnsi="Palatino Linotype" w:cs="Palatino Linotype"/>
          <w:i/>
          <w:sz w:val="22"/>
          <w:szCs w:val="22"/>
        </w:rPr>
        <w:t xml:space="preserve"> </w:t>
      </w:r>
      <w:r w:rsidRPr="00595841">
        <w:rPr>
          <w:rFonts w:ascii="Palatino Linotype" w:eastAsia="Palatino Linotype" w:hAnsi="Palatino Linotype" w:cs="Palatino Linotype"/>
          <w:b/>
          <w:i/>
          <w:sz w:val="22"/>
          <w:szCs w:val="22"/>
        </w:rPr>
        <w:t xml:space="preserve">Datos personales: </w:t>
      </w:r>
      <w:r w:rsidRPr="00595841">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XX.</w:t>
      </w:r>
      <w:r w:rsidRPr="00595841">
        <w:rPr>
          <w:rFonts w:ascii="Palatino Linotype" w:eastAsia="Palatino Linotype" w:hAnsi="Palatino Linotype" w:cs="Palatino Linotype"/>
          <w:i/>
          <w:sz w:val="22"/>
          <w:szCs w:val="22"/>
        </w:rPr>
        <w:t xml:space="preserve"> </w:t>
      </w:r>
      <w:r w:rsidRPr="00595841">
        <w:rPr>
          <w:rFonts w:ascii="Palatino Linotype" w:eastAsia="Palatino Linotype" w:hAnsi="Palatino Linotype" w:cs="Palatino Linotype"/>
          <w:b/>
          <w:i/>
          <w:sz w:val="22"/>
          <w:szCs w:val="22"/>
        </w:rPr>
        <w:t>Información clasificada:</w:t>
      </w:r>
      <w:r w:rsidRPr="00595841">
        <w:rPr>
          <w:rFonts w:ascii="Palatino Linotype" w:eastAsia="Palatino Linotype" w:hAnsi="Palatino Linotype" w:cs="Palatino Linotype"/>
          <w:i/>
          <w:sz w:val="22"/>
          <w:szCs w:val="22"/>
        </w:rPr>
        <w:t xml:space="preserve"> Aquella considerada por la presente Ley como reservada o confidencial;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XXI.</w:t>
      </w:r>
      <w:r w:rsidRPr="00595841">
        <w:rPr>
          <w:rFonts w:ascii="Palatino Linotype" w:eastAsia="Palatino Linotype" w:hAnsi="Palatino Linotype" w:cs="Palatino Linotype"/>
          <w:i/>
          <w:sz w:val="22"/>
          <w:szCs w:val="22"/>
        </w:rPr>
        <w:t xml:space="preserve"> </w:t>
      </w:r>
      <w:r w:rsidRPr="00595841">
        <w:rPr>
          <w:rFonts w:ascii="Palatino Linotype" w:eastAsia="Palatino Linotype" w:hAnsi="Palatino Linotype" w:cs="Palatino Linotype"/>
          <w:b/>
          <w:i/>
          <w:sz w:val="22"/>
          <w:szCs w:val="22"/>
        </w:rPr>
        <w:t>Información confidencial</w:t>
      </w:r>
      <w:r w:rsidRPr="0059584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w:t>
      </w:r>
      <w:r w:rsidRPr="00595841">
        <w:rPr>
          <w:rFonts w:ascii="Palatino Linotype" w:eastAsia="Palatino Linotype" w:hAnsi="Palatino Linotype" w:cs="Palatino Linotype"/>
          <w:i/>
          <w:sz w:val="22"/>
          <w:szCs w:val="22"/>
        </w:rPr>
        <w:lastRenderedPageBreak/>
        <w:t xml:space="preserve">titularidad corresponda a particulares, sujetos de derecho internacional o a sujetos obligados cuando no involucren el ejercicio de recursos públicos;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XLV. Versión pública:</w:t>
      </w:r>
      <w:r w:rsidRPr="0059584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Artículo 51.</w:t>
      </w:r>
      <w:r w:rsidRPr="00595841">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95841">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595841">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rsidR="00B564A4" w:rsidRPr="00595841" w:rsidRDefault="000E336B">
      <w:pPr>
        <w:ind w:left="851" w:right="899"/>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Artículo 52.</w:t>
      </w:r>
      <w:r w:rsidRPr="00595841">
        <w:rPr>
          <w:rFonts w:ascii="Palatino Linotype" w:eastAsia="Palatino Linotype" w:hAnsi="Palatino Linotype" w:cs="Palatino Linotype"/>
          <w:i/>
          <w:sz w:val="22"/>
          <w:szCs w:val="22"/>
        </w:rPr>
        <w:t xml:space="preserve"> Las solicitudes de acceso a la información y las respuestas que se les dé, incluyendo, en su caso, </w:t>
      </w:r>
      <w:r w:rsidRPr="00595841">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95841">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rsidR="00B564A4" w:rsidRPr="00595841" w:rsidRDefault="000E336B">
      <w:pPr>
        <w:ind w:right="899" w:firstLine="708"/>
        <w:jc w:val="both"/>
        <w:rPr>
          <w:rFonts w:ascii="Palatino Linotype" w:eastAsia="Palatino Linotype" w:hAnsi="Palatino Linotype" w:cs="Palatino Linotype"/>
          <w:sz w:val="22"/>
          <w:szCs w:val="22"/>
        </w:rPr>
      </w:pPr>
      <w:r w:rsidRPr="00595841">
        <w:rPr>
          <w:rFonts w:ascii="Palatino Linotype" w:eastAsia="Palatino Linotype" w:hAnsi="Palatino Linotype" w:cs="Palatino Linotype"/>
          <w:sz w:val="22"/>
          <w:szCs w:val="22"/>
        </w:rPr>
        <w:t>(Énfasis añadido)</w:t>
      </w:r>
    </w:p>
    <w:p w:rsidR="00B564A4" w:rsidRPr="00595841" w:rsidRDefault="00B564A4">
      <w:pPr>
        <w:ind w:right="899" w:firstLine="708"/>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B564A4" w:rsidRPr="00595841" w:rsidRDefault="00B564A4">
      <w:pPr>
        <w:jc w:val="both"/>
        <w:rPr>
          <w:rFonts w:ascii="Palatino Linotype" w:eastAsia="Palatino Linotype" w:hAnsi="Palatino Linotype" w:cs="Palatino Linotype"/>
        </w:rPr>
      </w:pP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“Artículo 22.</w:t>
      </w:r>
      <w:r w:rsidRPr="00595841">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Artículo 38.</w:t>
      </w:r>
      <w:r w:rsidRPr="00595841">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w:t>
      </w:r>
      <w:r w:rsidRPr="00595841">
        <w:rPr>
          <w:rFonts w:ascii="Palatino Linotype" w:eastAsia="Palatino Linotype" w:hAnsi="Palatino Linotype" w:cs="Palatino Linotype"/>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95841">
        <w:rPr>
          <w:rFonts w:ascii="Palatino Linotype" w:eastAsia="Palatino Linotype" w:hAnsi="Palatino Linotype" w:cs="Palatino Linotype"/>
          <w:b/>
          <w:i/>
          <w:sz w:val="22"/>
          <w:szCs w:val="22"/>
        </w:rPr>
        <w:t>”</w:t>
      </w:r>
      <w:r w:rsidRPr="00595841">
        <w:rPr>
          <w:rFonts w:ascii="Palatino Linotype" w:eastAsia="Palatino Linotype" w:hAnsi="Palatino Linotype" w:cs="Palatino Linotype"/>
          <w:i/>
          <w:sz w:val="22"/>
          <w:szCs w:val="22"/>
        </w:rPr>
        <w:t xml:space="preserve"> </w:t>
      </w:r>
    </w:p>
    <w:p w:rsidR="00B564A4" w:rsidRPr="00595841" w:rsidRDefault="00B564A4">
      <w:pPr>
        <w:ind w:left="851" w:right="850"/>
        <w:jc w:val="both"/>
        <w:rPr>
          <w:rFonts w:ascii="Palatino Linotype" w:eastAsia="Palatino Linotype" w:hAnsi="Palatino Linotype" w:cs="Palatino Linotype"/>
          <w:i/>
          <w:sz w:val="22"/>
          <w:szCs w:val="22"/>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por lo que, todo dato personal susceptible de clasificación debe ser protegido.</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564A4" w:rsidRPr="00595841" w:rsidRDefault="00B564A4">
      <w:pPr>
        <w:jc w:val="both"/>
        <w:rPr>
          <w:rFonts w:ascii="Palatino Linotype" w:eastAsia="Palatino Linotype" w:hAnsi="Palatino Linotype" w:cs="Palatino Linotype"/>
        </w:rPr>
      </w:pP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 xml:space="preserve">“Artículo 49. </w:t>
      </w:r>
      <w:r w:rsidRPr="00595841">
        <w:rPr>
          <w:rFonts w:ascii="Palatino Linotype" w:eastAsia="Palatino Linotype" w:hAnsi="Palatino Linotype" w:cs="Palatino Linotype"/>
          <w:i/>
          <w:sz w:val="22"/>
          <w:szCs w:val="22"/>
        </w:rPr>
        <w:t>Los Comités de Transparencia tendrán las siguientes atribuciones: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VIII.</w:t>
      </w:r>
      <w:r w:rsidRPr="00595841">
        <w:rPr>
          <w:rFonts w:ascii="Palatino Linotype" w:eastAsia="Palatino Linotype" w:hAnsi="Palatino Linotype" w:cs="Palatino Linotype"/>
          <w:i/>
          <w:sz w:val="22"/>
          <w:szCs w:val="22"/>
        </w:rPr>
        <w:t xml:space="preserve"> Aprobar, modificar o revocar la clasificación de la información;</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Artículo 132.</w:t>
      </w:r>
      <w:r w:rsidRPr="00595841">
        <w:rPr>
          <w:rFonts w:ascii="Palatino Linotype" w:eastAsia="Palatino Linotype" w:hAnsi="Palatino Linotype" w:cs="Palatino Linotype"/>
          <w:i/>
          <w:sz w:val="22"/>
          <w:szCs w:val="22"/>
        </w:rPr>
        <w:t xml:space="preserve"> La clasificación de la información se llevará a cabo en el momento en que:</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I.</w:t>
      </w:r>
      <w:r w:rsidRPr="00595841">
        <w:rPr>
          <w:rFonts w:ascii="Palatino Linotype" w:eastAsia="Palatino Linotype" w:hAnsi="Palatino Linotype" w:cs="Palatino Linotype"/>
          <w:i/>
          <w:sz w:val="22"/>
          <w:szCs w:val="22"/>
        </w:rPr>
        <w:t xml:space="preserve"> Se reciba una solicitud de acceso a la información;</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II.</w:t>
      </w:r>
      <w:r w:rsidRPr="00595841">
        <w:rPr>
          <w:rFonts w:ascii="Palatino Linotype" w:eastAsia="Palatino Linotype" w:hAnsi="Palatino Linotype" w:cs="Palatino Linotype"/>
          <w:i/>
          <w:sz w:val="22"/>
          <w:szCs w:val="22"/>
        </w:rPr>
        <w:t xml:space="preserve"> Se determine mediante resolución de autoridad competente; o</w:t>
      </w:r>
    </w:p>
    <w:p w:rsidR="00B564A4" w:rsidRPr="00595841" w:rsidRDefault="000E336B">
      <w:pPr>
        <w:ind w:left="851" w:right="902"/>
        <w:jc w:val="both"/>
        <w:rPr>
          <w:rFonts w:ascii="Palatino Linotype" w:eastAsia="Palatino Linotype" w:hAnsi="Palatino Linotype" w:cs="Palatino Linotype"/>
          <w:b/>
          <w:i/>
          <w:sz w:val="22"/>
          <w:szCs w:val="22"/>
        </w:rPr>
      </w:pPr>
      <w:r w:rsidRPr="00595841">
        <w:rPr>
          <w:rFonts w:ascii="Palatino Linotype" w:eastAsia="Palatino Linotype" w:hAnsi="Palatino Linotype" w:cs="Palatino Linotype"/>
          <w:i/>
          <w:sz w:val="22"/>
          <w:szCs w:val="22"/>
        </w:rPr>
        <w:t>III. Se generen versiones públicas para dar cumplimiento a las obligaciones de transparencia previstas en esta Ley.</w:t>
      </w:r>
      <w:r w:rsidRPr="00595841">
        <w:rPr>
          <w:rFonts w:ascii="Palatino Linotype" w:eastAsia="Palatino Linotype" w:hAnsi="Palatino Linotype" w:cs="Palatino Linotype"/>
          <w:b/>
          <w:i/>
          <w:sz w:val="22"/>
          <w:szCs w:val="22"/>
        </w:rPr>
        <w:t>”</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“Segundo.-</w:t>
      </w:r>
      <w:r w:rsidRPr="00595841">
        <w:rPr>
          <w:rFonts w:ascii="Palatino Linotype" w:eastAsia="Palatino Linotype" w:hAnsi="Palatino Linotype" w:cs="Palatino Linotype"/>
          <w:i/>
          <w:sz w:val="22"/>
          <w:szCs w:val="22"/>
        </w:rPr>
        <w:t xml:space="preserve"> Para efectos de los presentes Lineamientos Generales, se entenderá por:</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XVIII.</w:t>
      </w:r>
      <w:r w:rsidRPr="00595841">
        <w:rPr>
          <w:rFonts w:ascii="Palatino Linotype" w:eastAsia="Palatino Linotype" w:hAnsi="Palatino Linotype" w:cs="Palatino Linotype"/>
          <w:i/>
          <w:sz w:val="22"/>
          <w:szCs w:val="22"/>
        </w:rPr>
        <w:t xml:space="preserve">  </w:t>
      </w:r>
      <w:r w:rsidRPr="00595841">
        <w:rPr>
          <w:rFonts w:ascii="Palatino Linotype" w:eastAsia="Palatino Linotype" w:hAnsi="Palatino Linotype" w:cs="Palatino Linotype"/>
          <w:b/>
          <w:i/>
          <w:sz w:val="22"/>
          <w:szCs w:val="22"/>
        </w:rPr>
        <w:t>Versión pública:</w:t>
      </w:r>
      <w:r w:rsidRPr="0059584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Cuarto.</w:t>
      </w:r>
      <w:r w:rsidRPr="0059584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Quinto.</w:t>
      </w:r>
      <w:r w:rsidRPr="0059584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w:t>
      </w:r>
      <w:r w:rsidRPr="00595841">
        <w:rPr>
          <w:rFonts w:ascii="Palatino Linotype" w:eastAsia="Palatino Linotype" w:hAnsi="Palatino Linotype" w:cs="Palatino Linotype"/>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Sexto.</w:t>
      </w:r>
      <w:r w:rsidRPr="0059584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Séptimo.</w:t>
      </w:r>
      <w:r w:rsidRPr="00595841">
        <w:rPr>
          <w:rFonts w:ascii="Palatino Linotype" w:eastAsia="Palatino Linotype" w:hAnsi="Palatino Linotype" w:cs="Palatino Linotype"/>
          <w:i/>
          <w:sz w:val="22"/>
          <w:szCs w:val="22"/>
        </w:rPr>
        <w:t xml:space="preserve"> La clasificación de la información se llevará a cabo en el momento en que:</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I.</w:t>
      </w:r>
      <w:r w:rsidRPr="00595841">
        <w:rPr>
          <w:rFonts w:ascii="Palatino Linotype" w:eastAsia="Palatino Linotype" w:hAnsi="Palatino Linotype" w:cs="Palatino Linotype"/>
          <w:i/>
          <w:sz w:val="22"/>
          <w:szCs w:val="22"/>
        </w:rPr>
        <w:t xml:space="preserve">        Se reciba una solicitud de acceso a la información;</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II.</w:t>
      </w:r>
      <w:r w:rsidRPr="00595841">
        <w:rPr>
          <w:rFonts w:ascii="Palatino Linotype" w:eastAsia="Palatino Linotype" w:hAnsi="Palatino Linotype" w:cs="Palatino Linotype"/>
          <w:i/>
          <w:sz w:val="22"/>
          <w:szCs w:val="22"/>
        </w:rPr>
        <w:t xml:space="preserve">       Se determine mediante resolución de autoridad competente, o</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III.</w:t>
      </w:r>
      <w:r w:rsidRPr="0059584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Octavo.</w:t>
      </w:r>
      <w:r w:rsidRPr="0059584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t>Noveno.</w:t>
      </w:r>
      <w:r w:rsidRPr="0059584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b/>
          <w:i/>
          <w:sz w:val="22"/>
          <w:szCs w:val="22"/>
        </w:rPr>
        <w:lastRenderedPageBreak/>
        <w:t>Décimo.</w:t>
      </w:r>
      <w:r w:rsidRPr="0059584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564A4" w:rsidRPr="00595841" w:rsidRDefault="000E336B">
      <w:pPr>
        <w:ind w:left="851" w:right="902"/>
        <w:jc w:val="both"/>
        <w:rPr>
          <w:rFonts w:ascii="Palatino Linotype" w:eastAsia="Palatino Linotype" w:hAnsi="Palatino Linotype" w:cs="Palatino Linotype"/>
          <w:i/>
          <w:sz w:val="22"/>
          <w:szCs w:val="22"/>
        </w:rPr>
      </w:pPr>
      <w:r w:rsidRPr="0059584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564A4" w:rsidRPr="00595841" w:rsidRDefault="000E336B">
      <w:pPr>
        <w:ind w:left="851" w:right="899"/>
        <w:jc w:val="both"/>
        <w:rPr>
          <w:rFonts w:ascii="Palatino Linotype" w:eastAsia="Palatino Linotype" w:hAnsi="Palatino Linotype" w:cs="Palatino Linotype"/>
          <w:b/>
          <w:i/>
          <w:sz w:val="22"/>
          <w:szCs w:val="22"/>
        </w:rPr>
      </w:pPr>
      <w:r w:rsidRPr="00595841">
        <w:rPr>
          <w:rFonts w:ascii="Palatino Linotype" w:eastAsia="Palatino Linotype" w:hAnsi="Palatino Linotype" w:cs="Palatino Linotype"/>
          <w:b/>
          <w:i/>
          <w:sz w:val="22"/>
          <w:szCs w:val="22"/>
        </w:rPr>
        <w:t>Décimo primero.</w:t>
      </w:r>
      <w:r w:rsidRPr="0059584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95841">
        <w:rPr>
          <w:rFonts w:ascii="Palatino Linotype" w:eastAsia="Palatino Linotype" w:hAnsi="Palatino Linotype" w:cs="Palatino Linotype"/>
          <w:b/>
          <w:i/>
          <w:sz w:val="22"/>
          <w:szCs w:val="22"/>
        </w:rPr>
        <w:t>”</w:t>
      </w:r>
    </w:p>
    <w:p w:rsidR="00B564A4" w:rsidRPr="00595841" w:rsidRDefault="00B564A4">
      <w:pPr>
        <w:ind w:left="851" w:right="899"/>
        <w:jc w:val="both"/>
        <w:rPr>
          <w:rFonts w:ascii="Palatino Linotype" w:eastAsia="Palatino Linotype" w:hAnsi="Palatino Linotype" w:cs="Palatino Linotype"/>
          <w:b/>
          <w:i/>
        </w:rPr>
      </w:pPr>
    </w:p>
    <w:p w:rsidR="00B564A4" w:rsidRPr="00595841" w:rsidRDefault="000E336B">
      <w:pPr>
        <w:spacing w:line="360" w:lineRule="auto"/>
        <w:jc w:val="both"/>
        <w:rPr>
          <w:rFonts w:ascii="Palatino Linotype" w:eastAsia="Palatino Linotype" w:hAnsi="Palatino Linotype" w:cs="Palatino Linotype"/>
        </w:rPr>
      </w:pPr>
      <w:r w:rsidRPr="0059584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B564A4" w:rsidRPr="00595841" w:rsidRDefault="00B564A4">
      <w:pPr>
        <w:spacing w:line="360" w:lineRule="auto"/>
        <w:ind w:right="-93"/>
        <w:jc w:val="both"/>
        <w:rPr>
          <w:rFonts w:ascii="Palatino Linotype" w:eastAsia="Palatino Linotype" w:hAnsi="Palatino Linotype" w:cs="Palatino Linotype"/>
        </w:rPr>
      </w:pPr>
    </w:p>
    <w:p w:rsidR="00B564A4" w:rsidRPr="00595841" w:rsidRDefault="000E336B">
      <w:pPr>
        <w:spacing w:line="360" w:lineRule="auto"/>
        <w:ind w:right="-91"/>
        <w:jc w:val="both"/>
        <w:rPr>
          <w:rFonts w:ascii="Palatino Linotype" w:eastAsia="Palatino Linotype" w:hAnsi="Palatino Linotype" w:cs="Palatino Linotype"/>
        </w:rPr>
      </w:pPr>
      <w:r w:rsidRPr="00595841">
        <w:rPr>
          <w:rFonts w:ascii="Palatino Linotype" w:eastAsia="Palatino Linotype" w:hAnsi="Palatino Linotype" w:cs="Palatino Linotype"/>
        </w:rPr>
        <w:t xml:space="preserve">Consecuentemente, se destaca que la versión pública que elabore </w:t>
      </w:r>
      <w:r w:rsidRPr="00595841">
        <w:rPr>
          <w:rFonts w:ascii="Palatino Linotype" w:eastAsia="Palatino Linotype" w:hAnsi="Palatino Linotype" w:cs="Palatino Linotype"/>
          <w:b/>
        </w:rPr>
        <w:t>EL SUJETO OBLIGADO</w:t>
      </w:r>
      <w:r w:rsidRPr="00595841">
        <w:rPr>
          <w:rFonts w:ascii="Palatino Linotype" w:eastAsia="Palatino Linotype" w:hAnsi="Palatino Linotype" w:cs="Palatino Linotype"/>
        </w:rPr>
        <w:t xml:space="preserve"> debe cumplir con las formalidades exigidas en la Ley, por lo que para tal efecto emitirá el </w:t>
      </w:r>
      <w:r w:rsidRPr="00595841">
        <w:rPr>
          <w:rFonts w:ascii="Palatino Linotype" w:eastAsia="Palatino Linotype" w:hAnsi="Palatino Linotype" w:cs="Palatino Linotype"/>
          <w:b/>
        </w:rPr>
        <w:t>Acuerdo del Comité de Transparencia</w:t>
      </w:r>
      <w:r w:rsidRPr="00595841">
        <w:rPr>
          <w:rFonts w:ascii="Palatino Linotype" w:eastAsia="Palatino Linotype" w:hAnsi="Palatino Linotype" w:cs="Palatino Linotype"/>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595841">
        <w:rPr>
          <w:rFonts w:ascii="Palatino Linotype" w:eastAsia="Palatino Linotype" w:hAnsi="Palatino Linotype" w:cs="Palatino Linotype"/>
        </w:rPr>
        <w:lastRenderedPageBreak/>
        <w:t>en la documentación respectiva, es decir, si no se exponen de manera puntual las razones de ello se estaría violentando desde un inicio el derecho de acceso a la información del solicitante.</w:t>
      </w:r>
    </w:p>
    <w:p w:rsidR="00B564A4" w:rsidRPr="00595841" w:rsidRDefault="00B564A4"/>
    <w:p w:rsidR="00B564A4" w:rsidRPr="00595841" w:rsidRDefault="000E336B">
      <w:pPr>
        <w:widowControl w:val="0"/>
        <w:tabs>
          <w:tab w:val="left" w:pos="1701"/>
          <w:tab w:val="left" w:pos="1843"/>
        </w:tabs>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En razón de lo anteriormente expuesto, este Instituto estima que las razones o motivos de inconformidad hechos valer por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devienen </w:t>
      </w:r>
      <w:r w:rsidRPr="00595841">
        <w:rPr>
          <w:rFonts w:ascii="Palatino Linotype" w:eastAsia="Palatino Linotype" w:hAnsi="Palatino Linotype" w:cs="Palatino Linotype"/>
          <w:b/>
          <w:color w:val="000000"/>
        </w:rPr>
        <w:t>fundadas</w:t>
      </w:r>
      <w:r w:rsidRPr="00595841">
        <w:rPr>
          <w:rFonts w:ascii="Palatino Linotype" w:eastAsia="Palatino Linotype" w:hAnsi="Palatino Linotype" w:cs="Palatino Linotype"/>
          <w:color w:val="000000"/>
        </w:rPr>
        <w:t xml:space="preserve"> y suficientes para </w:t>
      </w:r>
      <w:r w:rsidRPr="00595841">
        <w:rPr>
          <w:rFonts w:ascii="Palatino Linotype" w:eastAsia="Palatino Linotype" w:hAnsi="Palatino Linotype" w:cs="Palatino Linotype"/>
          <w:b/>
          <w:color w:val="000000"/>
        </w:rPr>
        <w:t>MODIFICAR</w:t>
      </w:r>
      <w:r w:rsidRPr="00595841">
        <w:rPr>
          <w:rFonts w:ascii="Palatino Linotype" w:eastAsia="Palatino Linotype" w:hAnsi="Palatino Linotype" w:cs="Palatino Linotype"/>
          <w:color w:val="000000"/>
        </w:rPr>
        <w:t xml:space="preserve"> la respuesta del </w:t>
      </w:r>
      <w:r w:rsidRPr="00595841">
        <w:rPr>
          <w:rFonts w:ascii="Palatino Linotype" w:eastAsia="Palatino Linotype" w:hAnsi="Palatino Linotype" w:cs="Palatino Linotype"/>
          <w:b/>
          <w:color w:val="000000"/>
        </w:rPr>
        <w:t>SUJETO OBLIGADO</w:t>
      </w:r>
      <w:r w:rsidRPr="00595841">
        <w:rPr>
          <w:rFonts w:ascii="Palatino Linotype" w:eastAsia="Palatino Linotype" w:hAnsi="Palatino Linotype" w:cs="Palatino Linotype"/>
          <w:color w:val="000000"/>
        </w:rPr>
        <w:t xml:space="preserve"> y ordenarle haga entrega de la información descrita en el presente Considerando.</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widowControl w:val="0"/>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B564A4" w:rsidRPr="00595841" w:rsidRDefault="00B564A4">
      <w:pPr>
        <w:widowControl w:val="0"/>
        <w:jc w:val="both"/>
        <w:rPr>
          <w:rFonts w:ascii="Palatino Linotype" w:eastAsia="Palatino Linotype" w:hAnsi="Palatino Linotype" w:cs="Palatino Linotype"/>
          <w:b/>
        </w:rPr>
      </w:pPr>
    </w:p>
    <w:p w:rsidR="00B564A4" w:rsidRPr="00595841" w:rsidRDefault="000E336B">
      <w:pPr>
        <w:jc w:val="center"/>
        <w:rPr>
          <w:rFonts w:ascii="Palatino Linotype" w:eastAsia="Palatino Linotype" w:hAnsi="Palatino Linotype" w:cs="Palatino Linotype"/>
          <w:b/>
          <w:sz w:val="28"/>
          <w:szCs w:val="28"/>
        </w:rPr>
      </w:pPr>
      <w:r w:rsidRPr="00595841">
        <w:rPr>
          <w:rFonts w:ascii="Palatino Linotype" w:eastAsia="Palatino Linotype" w:hAnsi="Palatino Linotype" w:cs="Palatino Linotype"/>
          <w:b/>
          <w:sz w:val="28"/>
          <w:szCs w:val="28"/>
        </w:rPr>
        <w:t>R E S U E L V E</w:t>
      </w:r>
    </w:p>
    <w:p w:rsidR="00B564A4" w:rsidRPr="00595841" w:rsidRDefault="00B564A4">
      <w:pPr>
        <w:jc w:val="center"/>
        <w:rPr>
          <w:rFonts w:ascii="Palatino Linotype" w:eastAsia="Palatino Linotype" w:hAnsi="Palatino Linotype" w:cs="Palatino Linotype"/>
          <w:b/>
          <w:sz w:val="28"/>
          <w:szCs w:val="28"/>
        </w:rPr>
      </w:pPr>
    </w:p>
    <w:p w:rsidR="00B564A4" w:rsidRPr="00595841" w:rsidRDefault="000E336B">
      <w:pP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PRIMERO</w:t>
      </w:r>
      <w:r w:rsidRPr="00595841">
        <w:rPr>
          <w:rFonts w:ascii="Palatino Linotype" w:eastAsia="Palatino Linotype" w:hAnsi="Palatino Linotype" w:cs="Palatino Linotype"/>
          <w:color w:val="000000"/>
          <w:sz w:val="28"/>
          <w:szCs w:val="28"/>
        </w:rPr>
        <w:t>.</w:t>
      </w:r>
      <w:r w:rsidRPr="00595841">
        <w:rPr>
          <w:rFonts w:ascii="Palatino Linotype" w:eastAsia="Palatino Linotype" w:hAnsi="Palatino Linotype" w:cs="Palatino Linotype"/>
          <w:color w:val="000000"/>
        </w:rPr>
        <w:t xml:space="preserve"> Resultan </w:t>
      </w:r>
      <w:r w:rsidRPr="00595841">
        <w:rPr>
          <w:rFonts w:ascii="Palatino Linotype" w:eastAsia="Palatino Linotype" w:hAnsi="Palatino Linotype" w:cs="Palatino Linotype"/>
          <w:b/>
          <w:color w:val="000000"/>
        </w:rPr>
        <w:t>fundadas</w:t>
      </w:r>
      <w:r w:rsidRPr="00595841">
        <w:rPr>
          <w:rFonts w:ascii="Palatino Linotype" w:eastAsia="Palatino Linotype" w:hAnsi="Palatino Linotype" w:cs="Palatino Linotype"/>
          <w:color w:val="000000"/>
        </w:rPr>
        <w:t xml:space="preserve"> las razones o motivos de inconformidad planteadas por </w:t>
      </w:r>
      <w:r w:rsidRPr="00595841">
        <w:rPr>
          <w:rFonts w:ascii="Palatino Linotype" w:eastAsia="Palatino Linotype" w:hAnsi="Palatino Linotype" w:cs="Palatino Linotype"/>
          <w:b/>
          <w:color w:val="000000"/>
        </w:rPr>
        <w:t>EL RECURRENTE</w:t>
      </w:r>
      <w:r w:rsidRPr="00595841">
        <w:rPr>
          <w:rFonts w:ascii="Palatino Linotype" w:eastAsia="Palatino Linotype" w:hAnsi="Palatino Linotype" w:cs="Palatino Linotype"/>
          <w:color w:val="000000"/>
        </w:rPr>
        <w:t xml:space="preserve">, en términos del Considerando </w:t>
      </w:r>
      <w:r w:rsidRPr="00595841">
        <w:rPr>
          <w:rFonts w:ascii="Palatino Linotype" w:eastAsia="Palatino Linotype" w:hAnsi="Palatino Linotype" w:cs="Palatino Linotype"/>
          <w:b/>
          <w:color w:val="000000"/>
        </w:rPr>
        <w:t>QUINTO</w:t>
      </w:r>
      <w:r w:rsidRPr="00595841">
        <w:rPr>
          <w:rFonts w:ascii="Palatino Linotype" w:eastAsia="Palatino Linotype" w:hAnsi="Palatino Linotype" w:cs="Palatino Linotype"/>
          <w:color w:val="000000"/>
        </w:rPr>
        <w:t xml:space="preserve"> de la presente resolución.</w:t>
      </w:r>
    </w:p>
    <w:p w:rsidR="00B564A4" w:rsidRPr="00595841" w:rsidRDefault="00B564A4">
      <w:pPr>
        <w:spacing w:line="360" w:lineRule="auto"/>
        <w:jc w:val="both"/>
        <w:rPr>
          <w:rFonts w:ascii="Palatino Linotype" w:eastAsia="Palatino Linotype" w:hAnsi="Palatino Linotype" w:cs="Palatino Linotype"/>
          <w:color w:val="000000"/>
        </w:rPr>
      </w:pPr>
    </w:p>
    <w:p w:rsidR="00B564A4" w:rsidRPr="00595841" w:rsidRDefault="000E336B">
      <w:pP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SEGUNDO</w:t>
      </w:r>
      <w:r w:rsidRPr="00595841">
        <w:rPr>
          <w:rFonts w:ascii="Palatino Linotype" w:eastAsia="Palatino Linotype" w:hAnsi="Palatino Linotype" w:cs="Palatino Linotype"/>
          <w:color w:val="000000"/>
          <w:sz w:val="28"/>
          <w:szCs w:val="28"/>
        </w:rPr>
        <w:t>.</w:t>
      </w:r>
      <w:r w:rsidRPr="00595841">
        <w:rPr>
          <w:rFonts w:ascii="Palatino Linotype" w:eastAsia="Palatino Linotype" w:hAnsi="Palatino Linotype" w:cs="Palatino Linotype"/>
          <w:color w:val="000000"/>
        </w:rPr>
        <w:t xml:space="preserve"> Se </w:t>
      </w:r>
      <w:r w:rsidRPr="00595841">
        <w:rPr>
          <w:rFonts w:ascii="Palatino Linotype" w:eastAsia="Palatino Linotype" w:hAnsi="Palatino Linotype" w:cs="Palatino Linotype"/>
          <w:b/>
          <w:color w:val="000000"/>
        </w:rPr>
        <w:t xml:space="preserve">MODIFICA </w:t>
      </w:r>
      <w:r w:rsidRPr="00595841">
        <w:rPr>
          <w:rFonts w:ascii="Palatino Linotype" w:eastAsia="Palatino Linotype" w:hAnsi="Palatino Linotype" w:cs="Palatino Linotype"/>
          <w:color w:val="000000"/>
        </w:rPr>
        <w:t xml:space="preserve">la respuesta proporcionada por </w:t>
      </w:r>
      <w:r w:rsidRPr="00595841">
        <w:rPr>
          <w:rFonts w:ascii="Palatino Linotype" w:eastAsia="Palatino Linotype" w:hAnsi="Palatino Linotype" w:cs="Palatino Linotype"/>
          <w:b/>
          <w:color w:val="000000"/>
        </w:rPr>
        <w:t xml:space="preserve">EL SUJETO OBLIGADO </w:t>
      </w:r>
      <w:r w:rsidRPr="00595841">
        <w:rPr>
          <w:rFonts w:ascii="Palatino Linotype" w:eastAsia="Palatino Linotype" w:hAnsi="Palatino Linotype" w:cs="Palatino Linotype"/>
          <w:color w:val="000000"/>
        </w:rPr>
        <w:t xml:space="preserve">y se </w:t>
      </w:r>
      <w:r w:rsidRPr="00595841">
        <w:rPr>
          <w:rFonts w:ascii="Palatino Linotype" w:eastAsia="Palatino Linotype" w:hAnsi="Palatino Linotype" w:cs="Palatino Linotype"/>
          <w:b/>
          <w:color w:val="000000"/>
        </w:rPr>
        <w:t xml:space="preserve">ordena </w:t>
      </w:r>
      <w:r w:rsidRPr="00595841">
        <w:rPr>
          <w:rFonts w:ascii="Palatino Linotype" w:eastAsia="Palatino Linotype" w:hAnsi="Palatino Linotype" w:cs="Palatino Linotype"/>
          <w:color w:val="000000"/>
        </w:rPr>
        <w:t xml:space="preserve">atienda la solicitud de información que dio origen al recurso de revisión </w:t>
      </w:r>
      <w:r w:rsidR="00C915AF" w:rsidRPr="00595841">
        <w:rPr>
          <w:rFonts w:ascii="Palatino Linotype" w:eastAsia="Palatino Linotype" w:hAnsi="Palatino Linotype" w:cs="Palatino Linotype"/>
          <w:b/>
          <w:color w:val="000000"/>
        </w:rPr>
        <w:t>05007</w:t>
      </w:r>
      <w:r w:rsidRPr="00595841">
        <w:rPr>
          <w:rFonts w:ascii="Palatino Linotype" w:eastAsia="Palatino Linotype" w:hAnsi="Palatino Linotype" w:cs="Palatino Linotype"/>
          <w:b/>
          <w:color w:val="000000"/>
        </w:rPr>
        <w:t>/INFOEM/IP/RR/2021</w:t>
      </w:r>
      <w:r w:rsidRPr="00595841">
        <w:rPr>
          <w:rFonts w:ascii="Palatino Linotype" w:eastAsia="Palatino Linotype" w:hAnsi="Palatino Linotype" w:cs="Palatino Linotype"/>
          <w:color w:val="000000"/>
        </w:rPr>
        <w:t xml:space="preserve">, en términos del Considerando </w:t>
      </w:r>
      <w:r w:rsidRPr="00595841">
        <w:rPr>
          <w:rFonts w:ascii="Palatino Linotype" w:eastAsia="Palatino Linotype" w:hAnsi="Palatino Linotype" w:cs="Palatino Linotype"/>
          <w:b/>
          <w:color w:val="000000"/>
        </w:rPr>
        <w:t>QUINTO</w:t>
      </w:r>
      <w:r w:rsidRPr="00595841">
        <w:rPr>
          <w:rFonts w:ascii="Palatino Linotype" w:eastAsia="Palatino Linotype" w:hAnsi="Palatino Linotype" w:cs="Palatino Linotype"/>
          <w:color w:val="000000"/>
        </w:rPr>
        <w:t xml:space="preserve"> de la </w:t>
      </w:r>
      <w:r w:rsidRPr="00595841">
        <w:rPr>
          <w:rFonts w:ascii="Palatino Linotype" w:eastAsia="Palatino Linotype" w:hAnsi="Palatino Linotype" w:cs="Palatino Linotype"/>
          <w:color w:val="000000"/>
        </w:rPr>
        <w:lastRenderedPageBreak/>
        <w:t>presente resolución, y haga entrega al</w:t>
      </w:r>
      <w:r w:rsidRPr="00595841">
        <w:rPr>
          <w:rFonts w:ascii="Palatino Linotype" w:eastAsia="Palatino Linotype" w:hAnsi="Palatino Linotype" w:cs="Palatino Linotype"/>
          <w:b/>
          <w:color w:val="000000"/>
        </w:rPr>
        <w:t xml:space="preserve"> RECURRENTE</w:t>
      </w:r>
      <w:r w:rsidRPr="00595841">
        <w:rPr>
          <w:rFonts w:ascii="Palatino Linotype" w:eastAsia="Palatino Linotype" w:hAnsi="Palatino Linotype" w:cs="Palatino Linotype"/>
          <w:color w:val="000000"/>
        </w:rPr>
        <w:t xml:space="preserve">, vía </w:t>
      </w:r>
      <w:r w:rsidRPr="00595841">
        <w:rPr>
          <w:rFonts w:ascii="Palatino Linotype" w:eastAsia="Palatino Linotype" w:hAnsi="Palatino Linotype" w:cs="Palatino Linotype"/>
          <w:b/>
          <w:color w:val="000000"/>
        </w:rPr>
        <w:t xml:space="preserve">SAIMEX </w:t>
      </w:r>
      <w:r w:rsidRPr="00595841">
        <w:rPr>
          <w:rFonts w:ascii="Palatino Linotype" w:eastAsia="Palatino Linotype" w:hAnsi="Palatino Linotype" w:cs="Palatino Linotype"/>
          <w:color w:val="000000"/>
        </w:rPr>
        <w:t xml:space="preserve">en </w:t>
      </w:r>
      <w:r w:rsidRPr="00595841">
        <w:rPr>
          <w:rFonts w:ascii="Palatino Linotype" w:eastAsia="Palatino Linotype" w:hAnsi="Palatino Linotype" w:cs="Palatino Linotype"/>
          <w:b/>
          <w:color w:val="000000"/>
        </w:rPr>
        <w:t>versión pública</w:t>
      </w:r>
      <w:r w:rsidRPr="00595841">
        <w:rPr>
          <w:rFonts w:ascii="Palatino Linotype" w:eastAsia="Palatino Linotype" w:hAnsi="Palatino Linotype" w:cs="Palatino Linotype"/>
          <w:color w:val="000000"/>
        </w:rPr>
        <w:t xml:space="preserve"> lo siguiente:</w:t>
      </w:r>
      <w:r w:rsidRPr="00595841">
        <w:rPr>
          <w:rFonts w:ascii="Palatino Linotype" w:eastAsia="Palatino Linotype" w:hAnsi="Palatino Linotype" w:cs="Palatino Linotype"/>
          <w:b/>
        </w:rPr>
        <w:t xml:space="preserve"> </w:t>
      </w:r>
    </w:p>
    <w:p w:rsidR="00B564A4" w:rsidRPr="00595841" w:rsidRDefault="00B564A4">
      <w:pPr>
        <w:jc w:val="both"/>
        <w:rPr>
          <w:rFonts w:ascii="Palatino Linotype" w:eastAsia="Palatino Linotype" w:hAnsi="Palatino Linotype" w:cs="Palatino Linotype"/>
          <w:b/>
          <w:sz w:val="22"/>
          <w:szCs w:val="22"/>
        </w:rPr>
      </w:pPr>
    </w:p>
    <w:p w:rsidR="00B564A4" w:rsidRPr="00595841" w:rsidRDefault="000E336B">
      <w:pPr>
        <w:ind w:left="851" w:right="899" w:hanging="142"/>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“El o los documentos donde conste el monto adeudado a cada uno de los proveedores al 20 de septiembre de 2021.</w:t>
      </w:r>
    </w:p>
    <w:p w:rsidR="00B564A4" w:rsidRPr="00595841" w:rsidRDefault="00B564A4">
      <w:pPr>
        <w:ind w:left="851" w:right="899" w:hanging="142"/>
        <w:jc w:val="both"/>
        <w:rPr>
          <w:rFonts w:ascii="Palatino Linotype" w:eastAsia="Palatino Linotype" w:hAnsi="Palatino Linotype" w:cs="Palatino Linotype"/>
          <w:i/>
          <w:color w:val="000000"/>
          <w:sz w:val="22"/>
          <w:szCs w:val="22"/>
        </w:rPr>
      </w:pPr>
    </w:p>
    <w:p w:rsidR="00B564A4" w:rsidRPr="00595841" w:rsidRDefault="000E336B">
      <w:pPr>
        <w:ind w:left="851" w:right="899"/>
        <w:jc w:val="both"/>
        <w:rPr>
          <w:rFonts w:ascii="Palatino Linotype" w:eastAsia="Palatino Linotype" w:hAnsi="Palatino Linotype" w:cs="Palatino Linotype"/>
          <w:i/>
          <w:color w:val="000000"/>
          <w:sz w:val="22"/>
          <w:szCs w:val="22"/>
        </w:rPr>
      </w:pPr>
      <w:r w:rsidRPr="00595841">
        <w:rPr>
          <w:rFonts w:ascii="Palatino Linotype" w:eastAsia="Palatino Linotype" w:hAnsi="Palatino Linotype" w:cs="Palatino Linotype"/>
          <w:i/>
          <w:color w:val="000000"/>
          <w:sz w:val="22"/>
          <w:szCs w:val="22"/>
        </w:rPr>
        <w:t xml:space="preserve">Debiendo notificar al </w:t>
      </w:r>
      <w:r w:rsidRPr="00595841">
        <w:rPr>
          <w:rFonts w:ascii="Palatino Linotype" w:eastAsia="Palatino Linotype" w:hAnsi="Palatino Linotype" w:cs="Palatino Linotype"/>
          <w:b/>
          <w:i/>
          <w:color w:val="000000"/>
          <w:sz w:val="22"/>
          <w:szCs w:val="22"/>
        </w:rPr>
        <w:t>RECURRENTE</w:t>
      </w:r>
      <w:r w:rsidRPr="00595841">
        <w:rPr>
          <w:rFonts w:ascii="Palatino Linotype" w:eastAsia="Palatino Linotype" w:hAnsi="Palatino Linotype" w:cs="Palatino Linotype"/>
          <w:i/>
          <w:color w:val="000000"/>
          <w:sz w:val="22"/>
          <w:szCs w:val="22"/>
        </w:rPr>
        <w:t xml:space="preserve"> el Acuerdo de Clasificación de la información que emita en su caso el Comité de Transparencia con motivo de la versión pública” </w:t>
      </w:r>
    </w:p>
    <w:p w:rsidR="00B564A4" w:rsidRPr="00595841" w:rsidRDefault="00B564A4">
      <w:pPr>
        <w:ind w:left="851" w:right="899" w:hanging="142"/>
        <w:jc w:val="both"/>
        <w:rPr>
          <w:rFonts w:ascii="Palatino Linotype" w:eastAsia="Palatino Linotype" w:hAnsi="Palatino Linotype" w:cs="Palatino Linotype"/>
          <w:i/>
          <w:color w:val="000000"/>
          <w:sz w:val="22"/>
          <w:szCs w:val="22"/>
        </w:rPr>
      </w:pPr>
    </w:p>
    <w:p w:rsidR="00B564A4" w:rsidRPr="00595841" w:rsidRDefault="000E336B">
      <w:pP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TERCERO.</w:t>
      </w:r>
      <w:r w:rsidRPr="00595841">
        <w:rPr>
          <w:rFonts w:ascii="Palatino Linotype" w:eastAsia="Palatino Linotype" w:hAnsi="Palatino Linotype" w:cs="Palatino Linotype"/>
          <w:b/>
          <w:color w:val="000000"/>
        </w:rPr>
        <w:t> Notifíquese</w:t>
      </w:r>
      <w:r w:rsidRPr="00595841">
        <w:rPr>
          <w:rFonts w:ascii="Palatino Linotype" w:eastAsia="Palatino Linotype" w:hAnsi="Palatino Linotype" w:cs="Palatino Linotype"/>
          <w:color w:val="000000"/>
        </w:rPr>
        <w:t xml:space="preserve"> al Titular de la Unidad de Transparencia del</w:t>
      </w:r>
      <w:r w:rsidRPr="00595841">
        <w:rPr>
          <w:rFonts w:ascii="Palatino Linotype" w:eastAsia="Palatino Linotype" w:hAnsi="Palatino Linotype" w:cs="Palatino Linotype"/>
          <w:b/>
          <w:color w:val="000000"/>
        </w:rPr>
        <w:t> SUJETO OBLIGADO</w:t>
      </w:r>
      <w:r w:rsidRPr="00595841">
        <w:rPr>
          <w:rFonts w:ascii="Palatino Linotype" w:eastAsia="Palatino Linotype" w:hAnsi="Palatino Linotype" w:cs="Palatino Linotype"/>
          <w:color w:val="000000"/>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564A4" w:rsidRPr="00595841" w:rsidRDefault="00B564A4">
      <w:pPr>
        <w:spacing w:line="360" w:lineRule="auto"/>
        <w:ind w:right="49"/>
        <w:jc w:val="both"/>
        <w:rPr>
          <w:rFonts w:ascii="Palatino Linotype" w:eastAsia="Palatino Linotype" w:hAnsi="Palatino Linotype" w:cs="Palatino Linotype"/>
          <w:b/>
          <w:color w:val="000000"/>
        </w:rPr>
      </w:pPr>
    </w:p>
    <w:p w:rsidR="00B564A4" w:rsidRPr="00595841" w:rsidRDefault="000E336B">
      <w:pPr>
        <w:spacing w:line="360" w:lineRule="auto"/>
        <w:ind w:right="49"/>
        <w:jc w:val="both"/>
        <w:rPr>
          <w:rFonts w:ascii="Palatino Linotype" w:eastAsia="Palatino Linotype" w:hAnsi="Palatino Linotype" w:cs="Palatino Linotype"/>
          <w:b/>
          <w:color w:val="000000"/>
        </w:rPr>
      </w:pPr>
      <w:r w:rsidRPr="00595841">
        <w:rPr>
          <w:rFonts w:ascii="Palatino Linotype" w:eastAsia="Palatino Linotype" w:hAnsi="Palatino Linotype" w:cs="Palatino Linotype"/>
          <w:b/>
          <w:color w:val="000000"/>
          <w:sz w:val="28"/>
          <w:szCs w:val="28"/>
        </w:rPr>
        <w:t xml:space="preserve">CUARTO. </w:t>
      </w:r>
      <w:r w:rsidRPr="00595841">
        <w:rPr>
          <w:rFonts w:ascii="Palatino Linotype" w:eastAsia="Palatino Linotype" w:hAnsi="Palatino Linotype" w:cs="Palatino Linotype"/>
          <w:b/>
          <w:color w:val="000000"/>
        </w:rPr>
        <w:t>Notifíquese</w:t>
      </w:r>
      <w:r w:rsidRPr="00595841">
        <w:rPr>
          <w:rFonts w:ascii="Palatino Linotype" w:eastAsia="Palatino Linotype" w:hAnsi="Palatino Linotype" w:cs="Palatino Linotype"/>
          <w:color w:val="000000"/>
        </w:rPr>
        <w:t xml:space="preserve"> al</w:t>
      </w:r>
      <w:r w:rsidRPr="00595841">
        <w:rPr>
          <w:rFonts w:ascii="Palatino Linotype" w:eastAsia="Palatino Linotype" w:hAnsi="Palatino Linotype" w:cs="Palatino Linotype"/>
          <w:b/>
          <w:color w:val="000000"/>
        </w:rPr>
        <w:t xml:space="preserve"> RECURRENTE</w:t>
      </w:r>
      <w:r w:rsidR="00C915AF" w:rsidRPr="00595841">
        <w:rPr>
          <w:rFonts w:ascii="Palatino Linotype" w:eastAsia="Palatino Linotype" w:hAnsi="Palatino Linotype" w:cs="Palatino Linotype"/>
          <w:b/>
          <w:color w:val="000000"/>
        </w:rPr>
        <w:t xml:space="preserve"> vía SAIMEX </w:t>
      </w:r>
      <w:r w:rsidR="00C915AF" w:rsidRPr="00595841">
        <w:rPr>
          <w:rFonts w:ascii="Palatino Linotype" w:eastAsia="Palatino Linotype" w:hAnsi="Palatino Linotype" w:cs="Palatino Linotype"/>
          <w:color w:val="000000"/>
        </w:rPr>
        <w:t>(Sistema de Acceso a la Información Mexiquense)</w:t>
      </w:r>
      <w:r w:rsidRPr="00595841">
        <w:rPr>
          <w:rFonts w:ascii="Palatino Linotype" w:eastAsia="Palatino Linotype" w:hAnsi="Palatino Linotype" w:cs="Palatino Linotype"/>
          <w:color w:val="000000"/>
        </w:rPr>
        <w:t xml:space="preserve"> la presente resolución.</w:t>
      </w:r>
    </w:p>
    <w:p w:rsidR="00B564A4" w:rsidRPr="00595841" w:rsidRDefault="00B564A4">
      <w:pPr>
        <w:widowControl w:val="0"/>
        <w:spacing w:line="360" w:lineRule="auto"/>
        <w:jc w:val="both"/>
        <w:rPr>
          <w:rFonts w:ascii="Palatino Linotype" w:eastAsia="Palatino Linotype" w:hAnsi="Palatino Linotype" w:cs="Palatino Linotype"/>
          <w:color w:val="000000"/>
        </w:rPr>
      </w:pPr>
    </w:p>
    <w:p w:rsidR="00B564A4" w:rsidRPr="00595841" w:rsidRDefault="000E336B">
      <w:pPr>
        <w:spacing w:line="360" w:lineRule="auto"/>
        <w:ind w:right="49"/>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QUINTO.</w:t>
      </w:r>
      <w:r w:rsidRPr="00595841">
        <w:rPr>
          <w:rFonts w:ascii="Palatino Linotype" w:eastAsia="Palatino Linotype" w:hAnsi="Palatino Linotype" w:cs="Palatino Linotype"/>
          <w:color w:val="000000"/>
        </w:rPr>
        <w:t xml:space="preserve"> </w:t>
      </w:r>
      <w:r w:rsidRPr="00595841">
        <w:rPr>
          <w:rFonts w:ascii="Palatino Linotype" w:eastAsia="Palatino Linotype" w:hAnsi="Palatino Linotype" w:cs="Palatino Linotype"/>
          <w:b/>
          <w:color w:val="000000"/>
        </w:rPr>
        <w:t>Hágase del conocimiento</w:t>
      </w:r>
      <w:r w:rsidRPr="00595841">
        <w:rPr>
          <w:rFonts w:ascii="Palatino Linotype" w:eastAsia="Palatino Linotype" w:hAnsi="Palatino Linotype" w:cs="Palatino Linotype"/>
          <w:color w:val="000000"/>
        </w:rPr>
        <w:t xml:space="preserve"> al </w:t>
      </w:r>
      <w:r w:rsidRPr="00595841">
        <w:rPr>
          <w:rFonts w:ascii="Palatino Linotype" w:eastAsia="Palatino Linotype" w:hAnsi="Palatino Linotype" w:cs="Palatino Linotype"/>
          <w:b/>
          <w:color w:val="000000"/>
        </w:rPr>
        <w:t>RECURRENTE</w:t>
      </w:r>
      <w:r w:rsidRPr="00595841">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B564A4" w:rsidRPr="00595841" w:rsidRDefault="00B564A4">
      <w:pPr>
        <w:spacing w:line="360" w:lineRule="auto"/>
        <w:ind w:right="49"/>
        <w:jc w:val="both"/>
        <w:rPr>
          <w:rFonts w:ascii="Palatino Linotype" w:eastAsia="Palatino Linotype" w:hAnsi="Palatino Linotype" w:cs="Palatino Linotype"/>
          <w:b/>
          <w:color w:val="000000"/>
          <w:sz w:val="28"/>
          <w:szCs w:val="28"/>
        </w:rPr>
      </w:pPr>
    </w:p>
    <w:p w:rsidR="00B564A4" w:rsidRPr="00595841" w:rsidRDefault="000E336B">
      <w:pPr>
        <w:spacing w:line="360" w:lineRule="auto"/>
        <w:ind w:right="49"/>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b/>
          <w:color w:val="000000"/>
          <w:sz w:val="28"/>
          <w:szCs w:val="28"/>
        </w:rPr>
        <w:t>SEXTO</w:t>
      </w:r>
      <w:r w:rsidRPr="00595841">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w:t>
      </w:r>
      <w:r w:rsidRPr="00595841">
        <w:rPr>
          <w:rFonts w:ascii="Palatino Linotype" w:eastAsia="Palatino Linotype" w:hAnsi="Palatino Linotype" w:cs="Palatino Linotype"/>
          <w:color w:val="000000"/>
        </w:rPr>
        <w:lastRenderedPageBreak/>
        <w:t>el Sujeto Obligado de manera fundada y motivada, podrá solicitar una ampliación de plazo para el cumplimiento de la presente resolución.</w:t>
      </w:r>
    </w:p>
    <w:p w:rsidR="00B564A4" w:rsidRPr="00595841" w:rsidRDefault="00B564A4">
      <w:pPr>
        <w:spacing w:line="360" w:lineRule="auto"/>
        <w:jc w:val="both"/>
        <w:rPr>
          <w:rFonts w:ascii="Palatino Linotype" w:eastAsia="Palatino Linotype" w:hAnsi="Palatino Linotype" w:cs="Palatino Linotype"/>
        </w:rPr>
      </w:pPr>
    </w:p>
    <w:p w:rsidR="00B564A4" w:rsidRPr="00595841" w:rsidRDefault="000E336B">
      <w:pPr>
        <w:spacing w:line="360" w:lineRule="auto"/>
        <w:jc w:val="both"/>
        <w:rPr>
          <w:rFonts w:ascii="Palatino Linotype" w:eastAsia="Palatino Linotype" w:hAnsi="Palatino Linotype" w:cs="Palatino Linotype"/>
          <w:color w:val="000000"/>
        </w:rPr>
      </w:pPr>
      <w:r w:rsidRPr="00595841">
        <w:rPr>
          <w:rFonts w:ascii="Palatino Linotype" w:eastAsia="Palatino Linotype" w:hAnsi="Palatino Linotype" w:cs="Palatino Linotype"/>
          <w:color w:val="000000"/>
        </w:rPr>
        <w:t xml:space="preserve">ASÍ LO RESUELVE, POR </w:t>
      </w:r>
      <w:r w:rsidR="0060595E" w:rsidRPr="00595841">
        <w:rPr>
          <w:rFonts w:ascii="Palatino Linotype" w:eastAsia="Palatino Linotype" w:hAnsi="Palatino Linotype" w:cs="Palatino Linotype"/>
          <w:color w:val="000000"/>
        </w:rPr>
        <w:t xml:space="preserve">UNANIMIDAD </w:t>
      </w:r>
      <w:r w:rsidRPr="00595841">
        <w:rPr>
          <w:rFonts w:ascii="Palatino Linotype" w:eastAsia="Palatino Linotype" w:hAnsi="Palatino Linotype" w:cs="Palatino Linotype"/>
          <w:color w:val="000000"/>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C915AF" w:rsidRPr="00595841">
        <w:rPr>
          <w:rFonts w:ascii="Palatino Linotype" w:eastAsia="Palatino Linotype" w:hAnsi="Palatino Linotype" w:cs="Palatino Linotype"/>
          <w:color w:val="000000"/>
        </w:rPr>
        <w:t xml:space="preserve">SEGUNDA </w:t>
      </w:r>
      <w:r w:rsidRPr="00595841">
        <w:rPr>
          <w:rFonts w:ascii="Palatino Linotype" w:eastAsia="Palatino Linotype" w:hAnsi="Palatino Linotype" w:cs="Palatino Linotype"/>
          <w:color w:val="000000"/>
        </w:rPr>
        <w:t xml:space="preserve">SESIÓN ORDINARIA CELEBRADA EL </w:t>
      </w:r>
      <w:r w:rsidR="00C915AF" w:rsidRPr="00595841">
        <w:rPr>
          <w:rFonts w:ascii="Palatino Linotype" w:eastAsia="Palatino Linotype" w:hAnsi="Palatino Linotype" w:cs="Palatino Linotype"/>
          <w:color w:val="000000"/>
        </w:rPr>
        <w:t xml:space="preserve">VEINTICUATRO </w:t>
      </w:r>
      <w:r w:rsidRPr="00595841">
        <w:rPr>
          <w:rFonts w:ascii="Palatino Linotype" w:eastAsia="Palatino Linotype" w:hAnsi="Palatino Linotype" w:cs="Palatino Linotype"/>
          <w:color w:val="000000"/>
        </w:rPr>
        <w:t>DE NOVIEMBRE DE DOS MIL VEINTIUNO, ANTE EL SECRETARIO TÉCNICO DEL PLENO, ALEXIS TAPIA RAMÍREZ.</w:t>
      </w:r>
    </w:p>
    <w:p w:rsidR="00B564A4" w:rsidRDefault="00C915AF">
      <w:pPr>
        <w:widowControl w:val="0"/>
        <w:spacing w:line="360" w:lineRule="auto"/>
        <w:jc w:val="both"/>
        <w:rPr>
          <w:rFonts w:ascii="Palatino Linotype" w:eastAsia="Palatino Linotype" w:hAnsi="Palatino Linotype" w:cs="Palatino Linotype"/>
          <w:sz w:val="20"/>
          <w:szCs w:val="20"/>
        </w:rPr>
      </w:pPr>
      <w:r w:rsidRPr="00595841">
        <w:rPr>
          <w:rFonts w:ascii="Palatino Linotype" w:eastAsia="Palatino Linotype" w:hAnsi="Palatino Linotype" w:cs="Palatino Linotype"/>
          <w:sz w:val="20"/>
          <w:szCs w:val="20"/>
        </w:rPr>
        <w:t>SCMM/BLA/DEMF/PMRE</w:t>
      </w:r>
    </w:p>
    <w:p w:rsidR="00B564A4" w:rsidRDefault="000E336B">
      <w:pPr>
        <w:spacing w:line="360" w:lineRule="auto"/>
        <w:rPr>
          <w:rFonts w:ascii="Palatino Linotype" w:eastAsia="Palatino Linotype" w:hAnsi="Palatino Linotype" w:cs="Palatino Linotype"/>
        </w:rPr>
      </w:pPr>
      <w:r>
        <w:br w:type="page"/>
      </w:r>
    </w:p>
    <w:p w:rsidR="00B564A4" w:rsidRDefault="00B564A4">
      <w:pPr>
        <w:spacing w:line="360" w:lineRule="auto"/>
        <w:jc w:val="both"/>
        <w:rPr>
          <w:rFonts w:ascii="Palatino Linotype" w:eastAsia="Palatino Linotype" w:hAnsi="Palatino Linotype" w:cs="Palatino Linotype"/>
        </w:rPr>
      </w:pPr>
    </w:p>
    <w:sectPr w:rsidR="00B564A4">
      <w:headerReference w:type="even" r:id="rId18"/>
      <w:headerReference w:type="default" r:id="rId19"/>
      <w:footerReference w:type="default" r:id="rId20"/>
      <w:headerReference w:type="first" r:id="rId21"/>
      <w:footerReference w:type="first" r:id="rId2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45A" w:rsidRDefault="00D2745A">
      <w:r>
        <w:separator/>
      </w:r>
    </w:p>
  </w:endnote>
  <w:endnote w:type="continuationSeparator" w:id="0">
    <w:p w:rsidR="00D2745A" w:rsidRDefault="00D2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A4" w:rsidRDefault="000E336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A029C">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A029C">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A4" w:rsidRDefault="000E336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A029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A029C">
      <w:rPr>
        <w:rFonts w:ascii="Palatino Linotype" w:eastAsia="Palatino Linotype" w:hAnsi="Palatino Linotype" w:cs="Palatino Linotype"/>
        <w:noProof/>
        <w:color w:val="000000"/>
        <w:sz w:val="22"/>
        <w:szCs w:val="22"/>
      </w:rPr>
      <w:t>31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45A" w:rsidRDefault="00D2745A">
      <w:r>
        <w:separator/>
      </w:r>
    </w:p>
  </w:footnote>
  <w:footnote w:type="continuationSeparator" w:id="0">
    <w:p w:rsidR="00D2745A" w:rsidRDefault="00D2745A">
      <w:r>
        <w:continuationSeparator/>
      </w:r>
    </w:p>
  </w:footnote>
  <w:footnote w:id="1">
    <w:p w:rsidR="00B564A4" w:rsidRDefault="000E336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20"/>
          <w:szCs w:val="20"/>
        </w:rPr>
        <w:t>Información Pública de Oficio Mexiquense.</w:t>
      </w:r>
      <w:r>
        <w:rPr>
          <w:rFonts w:ascii="Cambria" w:eastAsia="Cambria" w:hAnsi="Cambria" w:cs="Cambria"/>
          <w:color w:val="000000"/>
          <w:sz w:val="20"/>
          <w:szCs w:val="20"/>
        </w:rPr>
        <w:t xml:space="preserve"> </w:t>
      </w:r>
    </w:p>
  </w:footnote>
  <w:footnote w:id="2">
    <w:p w:rsidR="00B564A4" w:rsidRDefault="000E336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8"/>
          <w:szCs w:val="18"/>
        </w:rPr>
        <w:t>http://legislacion.edomex.gob.mx/sites/legislacion.edomex.gob.mx/files/files/pdf/gct/2021/mar121.pdf</w:t>
      </w:r>
    </w:p>
  </w:footnote>
  <w:footnote w:id="3">
    <w:p w:rsidR="00C915AF" w:rsidRDefault="00C915AF">
      <w:pPr>
        <w:pStyle w:val="Textonotapie"/>
      </w:pPr>
      <w:r>
        <w:rPr>
          <w:rStyle w:val="Refdenotaalpie"/>
        </w:rPr>
        <w:footnoteRef/>
      </w:r>
      <w:r>
        <w:t xml:space="preserve"> </w:t>
      </w:r>
      <w:r w:rsidRPr="00C915AF">
        <w:rPr>
          <w:rFonts w:ascii="Palatino Linotype" w:hAnsi="Palatino Linotype"/>
        </w:rPr>
        <w:t xml:space="preserve">Información Pública de Oficio Mexiquense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A4" w:rsidRDefault="00D2745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5AF" w:rsidRDefault="00D2745A">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2"/>
      <w:tblW w:w="9534" w:type="dxa"/>
      <w:tblInd w:w="-142" w:type="dxa"/>
      <w:tblLayout w:type="fixed"/>
      <w:tblLook w:val="0400" w:firstRow="0" w:lastRow="0" w:firstColumn="0" w:lastColumn="0" w:noHBand="0" w:noVBand="1"/>
    </w:tblPr>
    <w:tblGrid>
      <w:gridCol w:w="3261"/>
      <w:gridCol w:w="2551"/>
      <w:gridCol w:w="3722"/>
    </w:tblGrid>
    <w:tr w:rsidR="00B564A4">
      <w:tc>
        <w:tcPr>
          <w:tcW w:w="3261" w:type="dxa"/>
          <w:vMerge w:val="restart"/>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extent cx="1692162" cy="852673"/>
                <wp:effectExtent l="0" t="0" r="0" b="0"/>
                <wp:docPr id="3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B564A4" w:rsidRDefault="000E3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05007/INFOEM/IP/RR/2021</w:t>
          </w:r>
        </w:p>
      </w:tc>
    </w:tr>
    <w:tr w:rsidR="00B564A4">
      <w:tc>
        <w:tcPr>
          <w:tcW w:w="3261" w:type="dxa"/>
          <w:vMerge/>
        </w:tcPr>
        <w:p w:rsidR="00B564A4" w:rsidRDefault="00B564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rsidR="00B564A4" w:rsidRDefault="000E3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B564A4">
      <w:trPr>
        <w:trHeight w:val="228"/>
      </w:trPr>
      <w:tc>
        <w:tcPr>
          <w:tcW w:w="3261" w:type="dxa"/>
          <w:vMerge/>
        </w:tcPr>
        <w:p w:rsidR="00B564A4" w:rsidRDefault="00B564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B564A4" w:rsidRDefault="000E3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C915AF" w:rsidRDefault="00C915AF">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4A4" w:rsidRDefault="00B564A4">
    <w:pPr>
      <w:rPr>
        <w:rFonts w:ascii="Palatino Linotype" w:eastAsia="Palatino Linotype" w:hAnsi="Palatino Linotype" w:cs="Palatino Linotype"/>
        <w:sz w:val="28"/>
        <w:szCs w:val="28"/>
      </w:rPr>
    </w:pPr>
  </w:p>
  <w:tbl>
    <w:tblPr>
      <w:tblStyle w:val="1"/>
      <w:tblW w:w="10490" w:type="dxa"/>
      <w:tblInd w:w="-1276" w:type="dxa"/>
      <w:tblLayout w:type="fixed"/>
      <w:tblLook w:val="0400" w:firstRow="0" w:lastRow="0" w:firstColumn="0" w:lastColumn="0" w:noHBand="0" w:noVBand="1"/>
    </w:tblPr>
    <w:tblGrid>
      <w:gridCol w:w="4111"/>
      <w:gridCol w:w="2694"/>
      <w:gridCol w:w="3685"/>
    </w:tblGrid>
    <w:tr w:rsidR="00B564A4">
      <w:tc>
        <w:tcPr>
          <w:tcW w:w="4111" w:type="dxa"/>
          <w:vMerge w:val="restart"/>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noProof/>
              <w:sz w:val="28"/>
              <w:szCs w:val="28"/>
            </w:rPr>
            <w:drawing>
              <wp:inline distT="0" distB="0" distL="0" distR="0">
                <wp:extent cx="1692162" cy="852673"/>
                <wp:effectExtent l="0" t="0" r="0" b="0"/>
                <wp:docPr id="3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694"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B564A4" w:rsidRDefault="000E3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05007/INFOEM/IP/RR/2021</w:t>
          </w:r>
        </w:p>
      </w:tc>
    </w:tr>
    <w:tr w:rsidR="00B564A4">
      <w:tc>
        <w:tcPr>
          <w:tcW w:w="4111" w:type="dxa"/>
          <w:vMerge/>
          <w:shd w:val="clear" w:color="auto" w:fill="auto"/>
        </w:tcPr>
        <w:p w:rsidR="00B564A4" w:rsidRDefault="00B564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694"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B564A4" w:rsidRDefault="00BA029C">
          <w:pPr>
            <w:jc w:val="both"/>
            <w:rPr>
              <w:rFonts w:ascii="Palatino Linotype" w:eastAsia="Palatino Linotype" w:hAnsi="Palatino Linotype" w:cs="Palatino Linotype"/>
              <w:b/>
              <w:sz w:val="22"/>
              <w:szCs w:val="22"/>
            </w:rPr>
          </w:pPr>
          <w:r w:rsidRPr="00BA029C">
            <w:rPr>
              <w:rFonts w:ascii="Palatino Linotype" w:eastAsia="Palatino Linotype" w:hAnsi="Palatino Linotype" w:cs="Palatino Linotype"/>
              <w:b/>
              <w:sz w:val="22"/>
              <w:szCs w:val="22"/>
            </w:rPr>
            <w:t>XXXX XXXXXXX XXXXXXXXX XXXXXX</w:t>
          </w:r>
        </w:p>
      </w:tc>
    </w:tr>
    <w:tr w:rsidR="00B564A4">
      <w:trPr>
        <w:trHeight w:val="228"/>
      </w:trPr>
      <w:tc>
        <w:tcPr>
          <w:tcW w:w="4111" w:type="dxa"/>
          <w:vMerge/>
          <w:shd w:val="clear" w:color="auto" w:fill="auto"/>
        </w:tcPr>
        <w:p w:rsidR="00B564A4" w:rsidRDefault="00B564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694"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B564A4" w:rsidRDefault="000E3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B564A4">
      <w:tc>
        <w:tcPr>
          <w:tcW w:w="4111" w:type="dxa"/>
          <w:vMerge/>
          <w:shd w:val="clear" w:color="auto" w:fill="auto"/>
        </w:tcPr>
        <w:p w:rsidR="00B564A4" w:rsidRDefault="00B564A4">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694" w:type="dxa"/>
          <w:shd w:val="clear" w:color="auto" w:fill="auto"/>
        </w:tcPr>
        <w:p w:rsidR="00B564A4" w:rsidRDefault="000E336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B564A4" w:rsidRDefault="000E336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B564A4" w:rsidRDefault="00D2745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19.4pt;margin-top:13.2pt;width:540pt;height:10in;z-index:-251658752;mso-position-horizontal-relative:margin;mso-position-vertical-relative:margin">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65047"/>
    <w:multiLevelType w:val="multilevel"/>
    <w:tmpl w:val="12E2C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52E691A"/>
    <w:multiLevelType w:val="multilevel"/>
    <w:tmpl w:val="8FDC53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A4"/>
    <w:rsid w:val="00060FD9"/>
    <w:rsid w:val="000E336B"/>
    <w:rsid w:val="003741C8"/>
    <w:rsid w:val="00392A45"/>
    <w:rsid w:val="005836F6"/>
    <w:rsid w:val="00595841"/>
    <w:rsid w:val="0060595E"/>
    <w:rsid w:val="0064795A"/>
    <w:rsid w:val="00660CB5"/>
    <w:rsid w:val="0070124B"/>
    <w:rsid w:val="00785DC4"/>
    <w:rsid w:val="007A6DF4"/>
    <w:rsid w:val="009D7CA7"/>
    <w:rsid w:val="00AA6F53"/>
    <w:rsid w:val="00B07F71"/>
    <w:rsid w:val="00B564A4"/>
    <w:rsid w:val="00BA029C"/>
    <w:rsid w:val="00C915AF"/>
    <w:rsid w:val="00D2745A"/>
    <w:rsid w:val="00DD60ED"/>
    <w:rsid w:val="00E05757"/>
    <w:rsid w:val="00F06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D3F1AA-2908-4E58-A475-515CE28D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style>
  <w:style w:type="paragraph" w:customStyle="1" w:styleId="rteindent4">
    <w:name w:val="rteindent4"/>
    <w:basedOn w:val="Normal"/>
    <w:rsid w:val="00C064F7"/>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07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tmp"/><Relationship Id="rId2" Type="http://schemas.openxmlformats.org/officeDocument/2006/relationships/customXml" Target="../customXml/item2.xml"/><Relationship Id="rId16" Type="http://schemas.openxmlformats.org/officeDocument/2006/relationships/image" Target="media/image8.tm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tmp"/><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Zy6vZ5Fwof75kgwIFtBgm3kl2w==">AMUW2mXpsOhTAoEITUp8NcufA98Im5smvmH2f8m54zCG7t1MkpuKOB9vq5QkqBK8m9fKS8vcbl6Bx5Yu0RpGISyjZlKywyScMnkPrf92in3lcxybFGGVCOXbLobf5P5AzUa6Sp4Jd80m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69285C-70A1-49CF-9A5E-B772767F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6875</Words>
  <Characters>37815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2021-11-18T16:52:00Z</cp:lastPrinted>
  <dcterms:created xsi:type="dcterms:W3CDTF">2021-11-19T00:46:00Z</dcterms:created>
  <dcterms:modified xsi:type="dcterms:W3CDTF">2021-12-02T00:00:00Z</dcterms:modified>
</cp:coreProperties>
</file>