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5396" w:rsidRPr="00D84317" w:rsidRDefault="002E5396" w:rsidP="002E5396">
      <w:pPr>
        <w:spacing w:before="240" w:after="240" w:line="360" w:lineRule="auto"/>
        <w:jc w:val="both"/>
        <w:rPr>
          <w:rFonts w:ascii="Palatino Linotype" w:hAnsi="Palatino Linotype" w:cs="Arial"/>
        </w:rPr>
      </w:pPr>
      <w:r w:rsidRPr="00080788">
        <w:rPr>
          <w:rFonts w:ascii="Palatino Linotype" w:hAnsi="Palatino Linotype"/>
        </w:rPr>
        <w:t xml:space="preserve">Resolución del Pleno del Instituto de Transparencia, Acceso a la Información Pública y Protección de Datos Personales del Estado de México y Municipios, </w:t>
      </w:r>
      <w:r w:rsidRPr="00080788">
        <w:rPr>
          <w:rFonts w:ascii="Palatino Linotype" w:eastAsia="Calibri" w:hAnsi="Palatino Linotype" w:cs="Arial"/>
        </w:rPr>
        <w:t>con domicilio en Metepec, Estado de México,</w:t>
      </w:r>
      <w:r w:rsidRPr="00080788">
        <w:rPr>
          <w:rFonts w:ascii="Palatino Linotype" w:hAnsi="Palatino Linotype"/>
        </w:rPr>
        <w:t xml:space="preserve"> de fecha</w:t>
      </w:r>
      <w:r w:rsidRPr="00080788">
        <w:rPr>
          <w:rStyle w:val="apple-converted-space"/>
          <w:rFonts w:ascii="Palatino Linotype" w:hAnsi="Palatino Linotype" w:cs="Arial"/>
        </w:rPr>
        <w:t xml:space="preserve"> </w:t>
      </w:r>
      <w:r w:rsidR="00481306">
        <w:rPr>
          <w:rStyle w:val="apple-converted-space"/>
          <w:rFonts w:ascii="Palatino Linotype" w:hAnsi="Palatino Linotype" w:cs="Arial"/>
        </w:rPr>
        <w:t>veinticuatro de noviembre</w:t>
      </w:r>
      <w:r w:rsidR="002A6F11">
        <w:rPr>
          <w:rStyle w:val="normaltextrun"/>
          <w:rFonts w:ascii="Palatino Linotype" w:hAnsi="Palatino Linotype" w:cs="Arial"/>
        </w:rPr>
        <w:t xml:space="preserve"> del dos mil veintiuno</w:t>
      </w:r>
      <w:r w:rsidRPr="00D84317">
        <w:rPr>
          <w:rStyle w:val="normaltextrun"/>
          <w:rFonts w:ascii="Palatino Linotype" w:hAnsi="Palatino Linotype" w:cs="Arial"/>
        </w:rPr>
        <w:t>.</w:t>
      </w:r>
    </w:p>
    <w:p w:rsidR="002E5396" w:rsidRPr="00080788" w:rsidRDefault="002E5396" w:rsidP="002E5396">
      <w:pPr>
        <w:spacing w:before="240" w:after="240" w:line="360" w:lineRule="auto"/>
        <w:jc w:val="both"/>
        <w:rPr>
          <w:rFonts w:ascii="Palatino Linotype" w:hAnsi="Palatino Linotype" w:cs="Arial"/>
        </w:rPr>
      </w:pPr>
      <w:r w:rsidRPr="00080788">
        <w:rPr>
          <w:rFonts w:ascii="Palatino Linotype" w:hAnsi="Palatino Linotype" w:cs="Arial"/>
          <w:b/>
        </w:rPr>
        <w:t>Visto</w:t>
      </w:r>
      <w:r w:rsidRPr="00080788">
        <w:rPr>
          <w:rFonts w:ascii="Palatino Linotype" w:hAnsi="Palatino Linotype" w:cs="Arial"/>
        </w:rPr>
        <w:t xml:space="preserve"> el expediente relativo al recurso de revisión </w:t>
      </w:r>
      <w:r w:rsidR="0079175F">
        <w:rPr>
          <w:rFonts w:ascii="Palatino Linotype" w:hAnsi="Palatino Linotype" w:cs="Arial"/>
          <w:b/>
          <w:bCs/>
        </w:rPr>
        <w:t>0</w:t>
      </w:r>
      <w:r w:rsidR="00096212">
        <w:rPr>
          <w:rFonts w:ascii="Palatino Linotype" w:hAnsi="Palatino Linotype" w:cs="Arial"/>
          <w:b/>
          <w:bCs/>
        </w:rPr>
        <w:t>4664</w:t>
      </w:r>
      <w:r w:rsidR="002A6F11">
        <w:rPr>
          <w:rFonts w:ascii="Palatino Linotype" w:hAnsi="Palatino Linotype" w:cs="Arial"/>
          <w:b/>
          <w:bCs/>
        </w:rPr>
        <w:t>/INFOEM/IP/RR/2021</w:t>
      </w:r>
      <w:r w:rsidRPr="00080788">
        <w:rPr>
          <w:rFonts w:ascii="Palatino Linotype" w:hAnsi="Palatino Linotype" w:cs="Arial"/>
        </w:rPr>
        <w:t xml:space="preserve">, interpuesto por </w:t>
      </w:r>
      <w:r w:rsidR="003B6EC6">
        <w:rPr>
          <w:rFonts w:ascii="Palatino Linotype" w:hAnsi="Palatino Linotype" w:cs="Arial"/>
          <w:b/>
        </w:rPr>
        <w:t>XXXXX XXXXX XXXXX</w:t>
      </w:r>
      <w:r w:rsidR="00116785">
        <w:rPr>
          <w:rFonts w:ascii="Palatino Linotype" w:hAnsi="Palatino Linotype" w:cs="Arial"/>
        </w:rPr>
        <w:t xml:space="preserve">, en lo sucesivo </w:t>
      </w:r>
      <w:r w:rsidR="00C6202E">
        <w:rPr>
          <w:rFonts w:ascii="Palatino Linotype" w:hAnsi="Palatino Linotype" w:cs="Arial"/>
        </w:rPr>
        <w:t>el recurrente</w:t>
      </w:r>
      <w:r w:rsidRPr="00080788">
        <w:rPr>
          <w:rFonts w:ascii="Palatino Linotype" w:hAnsi="Palatino Linotype" w:cs="Arial"/>
        </w:rPr>
        <w:t xml:space="preserve"> en contra de la respuesta a su solicitud de </w:t>
      </w:r>
      <w:r w:rsidR="003F2267">
        <w:rPr>
          <w:rFonts w:ascii="Palatino Linotype" w:hAnsi="Palatino Linotype" w:cs="Arial"/>
        </w:rPr>
        <w:t>información con número de folio</w:t>
      </w:r>
      <w:r w:rsidR="003F2267">
        <w:rPr>
          <w:rFonts w:ascii="Verdana" w:hAnsi="Verdana"/>
          <w:b/>
          <w:bCs/>
          <w:color w:val="FF0000"/>
        </w:rPr>
        <w:t> </w:t>
      </w:r>
      <w:r w:rsidR="00096212" w:rsidRPr="00096212">
        <w:rPr>
          <w:rFonts w:ascii="Palatino Linotype" w:hAnsi="Palatino Linotype" w:cs="Arial"/>
          <w:b/>
        </w:rPr>
        <w:t>00259/TENANCIN/IP/2021</w:t>
      </w:r>
      <w:r w:rsidR="00116785">
        <w:rPr>
          <w:rFonts w:ascii="Palatino Linotype" w:hAnsi="Palatino Linotype" w:cs="Arial"/>
        </w:rPr>
        <w:t xml:space="preserve">, </w:t>
      </w:r>
      <w:r w:rsidR="00096212">
        <w:rPr>
          <w:rFonts w:ascii="Palatino Linotype" w:hAnsi="Palatino Linotype" w:cs="Arial"/>
        </w:rPr>
        <w:t>por parte del</w:t>
      </w:r>
      <w:r w:rsidR="003B19DA">
        <w:rPr>
          <w:rFonts w:ascii="Palatino Linotype" w:hAnsi="Palatino Linotype" w:cs="Arial"/>
        </w:rPr>
        <w:t xml:space="preserve"> </w:t>
      </w:r>
      <w:r w:rsidR="00096212">
        <w:rPr>
          <w:rFonts w:ascii="Palatino Linotype" w:hAnsi="Palatino Linotype" w:cs="Arial"/>
          <w:b/>
        </w:rPr>
        <w:t>Ayuntamiento de Tenancing</w:t>
      </w:r>
      <w:bookmarkStart w:id="0" w:name="_GoBack"/>
      <w:bookmarkEnd w:id="0"/>
      <w:r w:rsidR="00096212">
        <w:rPr>
          <w:rFonts w:ascii="Palatino Linotype" w:hAnsi="Palatino Linotype" w:cs="Arial"/>
          <w:b/>
        </w:rPr>
        <w:t>o</w:t>
      </w:r>
      <w:r w:rsidRPr="00080788">
        <w:rPr>
          <w:rFonts w:ascii="Palatino Linotype" w:hAnsi="Palatino Linotype" w:cs="Arial"/>
        </w:rPr>
        <w:t xml:space="preserve">, en lo sucesivo el </w:t>
      </w:r>
      <w:r w:rsidRPr="00080788">
        <w:rPr>
          <w:rFonts w:ascii="Palatino Linotype" w:hAnsi="Palatino Linotype" w:cs="Arial"/>
          <w:b/>
        </w:rPr>
        <w:t xml:space="preserve">Sujeto Obligado; </w:t>
      </w:r>
      <w:r w:rsidRPr="00080788">
        <w:rPr>
          <w:rFonts w:ascii="Palatino Linotype" w:hAnsi="Palatino Linotype" w:cs="Arial"/>
        </w:rPr>
        <w:t>se procede a dictar la presente resolución, con base en los siguientes:</w:t>
      </w:r>
    </w:p>
    <w:p w:rsidR="002E5396" w:rsidRPr="00080788" w:rsidRDefault="002E5396" w:rsidP="002E5396">
      <w:pPr>
        <w:pStyle w:val="Prrafodelista"/>
        <w:numPr>
          <w:ilvl w:val="0"/>
          <w:numId w:val="1"/>
        </w:numPr>
        <w:spacing w:before="240" w:after="240" w:line="360" w:lineRule="auto"/>
        <w:ind w:left="1077"/>
        <w:contextualSpacing/>
        <w:jc w:val="center"/>
        <w:rPr>
          <w:rFonts w:ascii="Palatino Linotype" w:hAnsi="Palatino Linotype" w:cs="Arial"/>
          <w:b/>
          <w:sz w:val="24"/>
          <w:szCs w:val="24"/>
        </w:rPr>
      </w:pPr>
      <w:r w:rsidRPr="00080788">
        <w:rPr>
          <w:rFonts w:ascii="Palatino Linotype" w:hAnsi="Palatino Linotype" w:cs="Arial"/>
          <w:b/>
          <w:sz w:val="24"/>
          <w:szCs w:val="24"/>
        </w:rPr>
        <w:t>A N T E C E D E N T E S:</w:t>
      </w:r>
    </w:p>
    <w:p w:rsidR="002E5396" w:rsidRPr="00EC5F74" w:rsidRDefault="002E5396" w:rsidP="002E5396">
      <w:pPr>
        <w:spacing w:before="240" w:after="240" w:line="360" w:lineRule="auto"/>
        <w:jc w:val="both"/>
        <w:rPr>
          <w:rFonts w:ascii="Palatino Linotype" w:hAnsi="Palatino Linotype" w:cs="Arial"/>
          <w:b/>
        </w:rPr>
      </w:pPr>
      <w:r w:rsidRPr="00080788">
        <w:rPr>
          <w:rFonts w:ascii="Palatino Linotype" w:hAnsi="Palatino Linotype" w:cs="Arial"/>
          <w:b/>
        </w:rPr>
        <w:t xml:space="preserve">1. Solicitud de acceso a la información. </w:t>
      </w:r>
      <w:r w:rsidR="00CE169F">
        <w:rPr>
          <w:rFonts w:ascii="Palatino Linotype" w:hAnsi="Palatino Linotype" w:cs="Arial"/>
        </w:rPr>
        <w:t xml:space="preserve">Con fecha </w:t>
      </w:r>
      <w:r w:rsidR="00096212">
        <w:rPr>
          <w:rFonts w:ascii="Palatino Linotype" w:hAnsi="Palatino Linotype" w:cs="Arial"/>
        </w:rPr>
        <w:t>once</w:t>
      </w:r>
      <w:r w:rsidR="003F2267">
        <w:rPr>
          <w:rFonts w:ascii="Palatino Linotype" w:hAnsi="Palatino Linotype" w:cs="Arial"/>
        </w:rPr>
        <w:t xml:space="preserve"> de agosto</w:t>
      </w:r>
      <w:r w:rsidR="009A47D5">
        <w:rPr>
          <w:rFonts w:ascii="Palatino Linotype" w:hAnsi="Palatino Linotype" w:cs="Arial"/>
        </w:rPr>
        <w:t xml:space="preserve"> de dos mi</w:t>
      </w:r>
      <w:r w:rsidR="00C6202E">
        <w:rPr>
          <w:rFonts w:ascii="Palatino Linotype" w:hAnsi="Palatino Linotype" w:cs="Arial"/>
        </w:rPr>
        <w:t>l veintiuno</w:t>
      </w:r>
      <w:r w:rsidRPr="00080788">
        <w:rPr>
          <w:rFonts w:ascii="Palatino Linotype" w:hAnsi="Palatino Linotype" w:cs="Arial"/>
        </w:rPr>
        <w:t xml:space="preserve">, la parte </w:t>
      </w:r>
      <w:r w:rsidRPr="00080788">
        <w:rPr>
          <w:rFonts w:ascii="Palatino Linotype" w:hAnsi="Palatino Linotype" w:cs="Arial"/>
          <w:b/>
        </w:rPr>
        <w:t>recurrente</w:t>
      </w:r>
      <w:r w:rsidRPr="00080788">
        <w:rPr>
          <w:rFonts w:ascii="Palatino Linotype" w:hAnsi="Palatino Linotype" w:cs="Arial"/>
        </w:rPr>
        <w:t xml:space="preserve"> formuló solicitud de acceso a información pública al </w:t>
      </w:r>
      <w:r w:rsidRPr="00080788">
        <w:rPr>
          <w:rFonts w:ascii="Palatino Linotype" w:hAnsi="Palatino Linotype" w:cs="Arial"/>
          <w:b/>
        </w:rPr>
        <w:t>Sujeto Obligado</w:t>
      </w:r>
      <w:r w:rsidRPr="00080788">
        <w:rPr>
          <w:rFonts w:ascii="Palatino Linotype" w:hAnsi="Palatino Linotype" w:cs="Arial"/>
        </w:rPr>
        <w:t xml:space="preserve"> a través del Sistema de Acceso a la Información Mexiquense, en adelante </w:t>
      </w:r>
      <w:r w:rsidRPr="00080788">
        <w:rPr>
          <w:rFonts w:ascii="Palatino Linotype" w:hAnsi="Palatino Linotype" w:cs="Arial"/>
          <w:b/>
        </w:rPr>
        <w:t>SAIMEX,</w:t>
      </w:r>
      <w:r w:rsidRPr="00080788">
        <w:rPr>
          <w:rFonts w:ascii="Palatino Linotype" w:hAnsi="Palatino Linotype" w:cs="Arial"/>
        </w:rPr>
        <w:t xml:space="preserve"> </w:t>
      </w:r>
      <w:r w:rsidRPr="00EC5F74">
        <w:rPr>
          <w:rFonts w:ascii="Palatino Linotype" w:hAnsi="Palatino Linotype" w:cs="Arial"/>
        </w:rPr>
        <w:t>requiriéndole lo siguiente:</w:t>
      </w:r>
    </w:p>
    <w:p w:rsidR="002E5396" w:rsidRDefault="002E5396" w:rsidP="00966DD3">
      <w:pPr>
        <w:spacing w:before="240" w:after="240"/>
        <w:ind w:left="851" w:right="902"/>
        <w:contextualSpacing/>
        <w:jc w:val="both"/>
        <w:rPr>
          <w:rFonts w:ascii="Palatino Linotype" w:hAnsi="Palatino Linotype"/>
          <w:i/>
          <w:color w:val="000000"/>
          <w:sz w:val="22"/>
          <w:szCs w:val="22"/>
        </w:rPr>
      </w:pPr>
      <w:r w:rsidRPr="00966DD3">
        <w:rPr>
          <w:rFonts w:ascii="Palatino Linotype" w:hAnsi="Palatino Linotype"/>
          <w:i/>
          <w:color w:val="000000"/>
          <w:sz w:val="22"/>
          <w:szCs w:val="22"/>
        </w:rPr>
        <w:t>“</w:t>
      </w:r>
      <w:r w:rsidR="00C373FC" w:rsidRPr="00C373FC">
        <w:rPr>
          <w:rFonts w:ascii="Palatino Linotype" w:hAnsi="Palatino Linotype"/>
          <w:i/>
          <w:color w:val="000000"/>
          <w:sz w:val="22"/>
          <w:szCs w:val="22"/>
        </w:rPr>
        <w:t>SOLICITO EL CERTIFICADO DE COMPETENCIA LABORAL DEL TESORERO MUNICIPAL, EXPEDIDA ANUALMENTE A ESTE AÑO.</w:t>
      </w:r>
      <w:r w:rsidR="00C373FC">
        <w:rPr>
          <w:rFonts w:ascii="Palatino Linotype" w:hAnsi="Palatino Linotype"/>
          <w:i/>
          <w:color w:val="000000"/>
          <w:sz w:val="22"/>
          <w:szCs w:val="22"/>
        </w:rPr>
        <w:t>”</w:t>
      </w:r>
      <w:r w:rsidRPr="00966DD3">
        <w:rPr>
          <w:rFonts w:ascii="Palatino Linotype" w:hAnsi="Palatino Linotype"/>
          <w:i/>
          <w:color w:val="000000"/>
          <w:sz w:val="22"/>
          <w:szCs w:val="22"/>
        </w:rPr>
        <w:t>(Sic)</w:t>
      </w:r>
    </w:p>
    <w:p w:rsidR="003F2267" w:rsidRDefault="003F2267" w:rsidP="00966DD3">
      <w:pPr>
        <w:spacing w:before="240" w:after="240"/>
        <w:ind w:left="851" w:right="902"/>
        <w:contextualSpacing/>
        <w:jc w:val="both"/>
        <w:rPr>
          <w:rFonts w:ascii="Palatino Linotype" w:hAnsi="Palatino Linotype"/>
          <w:i/>
          <w:color w:val="000000"/>
          <w:sz w:val="22"/>
          <w:szCs w:val="22"/>
        </w:rPr>
      </w:pPr>
    </w:p>
    <w:p w:rsidR="002E5396" w:rsidRPr="00080788" w:rsidRDefault="002E5396" w:rsidP="002E5396">
      <w:pPr>
        <w:spacing w:before="240" w:after="240" w:line="360" w:lineRule="auto"/>
        <w:jc w:val="both"/>
        <w:rPr>
          <w:rFonts w:ascii="Palatino Linotype" w:hAnsi="Palatino Linotype" w:cs="Arial"/>
        </w:rPr>
      </w:pPr>
      <w:r w:rsidRPr="00080788">
        <w:rPr>
          <w:rFonts w:ascii="Palatino Linotype" w:hAnsi="Palatino Linotype" w:cs="Arial"/>
          <w:b/>
        </w:rPr>
        <w:t xml:space="preserve">Modalidad elegida para la entrega de la información: </w:t>
      </w:r>
      <w:r w:rsidRPr="00080788">
        <w:rPr>
          <w:rFonts w:ascii="Palatino Linotype" w:hAnsi="Palatino Linotype" w:cs="Arial"/>
        </w:rPr>
        <w:t xml:space="preserve">a través del </w:t>
      </w:r>
      <w:r w:rsidRPr="00080788">
        <w:rPr>
          <w:rFonts w:ascii="Palatino Linotype" w:hAnsi="Palatino Linotype" w:cs="Arial"/>
          <w:b/>
        </w:rPr>
        <w:t>SAIMEX</w:t>
      </w:r>
      <w:r w:rsidRPr="00080788">
        <w:rPr>
          <w:rFonts w:ascii="Palatino Linotype" w:hAnsi="Palatino Linotype" w:cs="Arial"/>
        </w:rPr>
        <w:t>.</w:t>
      </w:r>
    </w:p>
    <w:p w:rsidR="00C373FC" w:rsidRDefault="002E5396" w:rsidP="00C373FC">
      <w:pPr>
        <w:spacing w:before="240" w:after="240" w:line="360" w:lineRule="auto"/>
        <w:jc w:val="both"/>
        <w:rPr>
          <w:rFonts w:ascii="Palatino Linotype" w:eastAsia="Palatino Linotype" w:hAnsi="Palatino Linotype" w:cs="Palatino Linotype"/>
        </w:rPr>
      </w:pPr>
      <w:r w:rsidRPr="00AA3766">
        <w:rPr>
          <w:rFonts w:ascii="Palatino Linotype" w:hAnsi="Palatino Linotype" w:cs="Arial"/>
          <w:b/>
        </w:rPr>
        <w:t xml:space="preserve">2. </w:t>
      </w:r>
      <w:r w:rsidR="00C373FC">
        <w:rPr>
          <w:rFonts w:ascii="Palatino Linotype" w:hAnsi="Palatino Linotype" w:cs="Arial"/>
          <w:b/>
        </w:rPr>
        <w:t xml:space="preserve">Prorroga. </w:t>
      </w:r>
      <w:r w:rsidR="00C373FC" w:rsidRPr="003A2E61">
        <w:rPr>
          <w:rFonts w:ascii="Palatino Linotype" w:eastAsia="Palatino Linotype" w:hAnsi="Palatino Linotype" w:cs="Palatino Linotype"/>
        </w:rPr>
        <w:t xml:space="preserve">De las constancias que obra en </w:t>
      </w:r>
      <w:r w:rsidR="00C373FC" w:rsidRPr="004D4E23">
        <w:rPr>
          <w:rFonts w:ascii="Palatino Linotype" w:eastAsia="Palatino Linotype" w:hAnsi="Palatino Linotype" w:cs="Palatino Linotype"/>
        </w:rPr>
        <w:t>el expediente electrónico del SAIMEX, se desprende que el responsable de la Unidad de Transparencia</w:t>
      </w:r>
      <w:r w:rsidR="00C373FC">
        <w:rPr>
          <w:rFonts w:ascii="Palatino Linotype" w:eastAsia="Palatino Linotype" w:hAnsi="Palatino Linotype" w:cs="Palatino Linotype"/>
        </w:rPr>
        <w:t>, el primero</w:t>
      </w:r>
      <w:r w:rsidR="00C373FC" w:rsidRPr="004D4E23">
        <w:rPr>
          <w:rFonts w:ascii="Palatino Linotype" w:eastAsia="Palatino Linotype" w:hAnsi="Palatino Linotype" w:cs="Palatino Linotype"/>
        </w:rPr>
        <w:t xml:space="preserve"> </w:t>
      </w:r>
      <w:r w:rsidR="00C373FC">
        <w:rPr>
          <w:rFonts w:ascii="Palatino Linotype" w:eastAsia="Palatino Linotype" w:hAnsi="Palatino Linotype" w:cs="Palatino Linotype"/>
        </w:rPr>
        <w:t xml:space="preserve">de septiembre del año dos mil veintiuno notificó una prórroga de siete días más a los </w:t>
      </w:r>
      <w:r w:rsidR="00C373FC">
        <w:rPr>
          <w:rFonts w:ascii="Palatino Linotype" w:eastAsia="Palatino Linotype" w:hAnsi="Palatino Linotype" w:cs="Palatino Linotype"/>
        </w:rPr>
        <w:lastRenderedPageBreak/>
        <w:t>quince días que señala el artículo 163 de la Ley de Transparencia y Acceso a la Información Pública vigente en la entidad; para emitir su respuesta correspondiente, argumentando lo siguiente:</w:t>
      </w:r>
    </w:p>
    <w:p w:rsidR="00C373FC" w:rsidRDefault="00C373FC" w:rsidP="00C373FC">
      <w:pPr>
        <w:ind w:left="851"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sidRPr="00E11D4D">
        <w:rPr>
          <w:rFonts w:ascii="Palatino Linotype" w:eastAsia="Palatino Linotype" w:hAnsi="Palatino Linotype" w:cs="Palatino Linotype"/>
          <w:i/>
          <w:sz w:val="22"/>
          <w:szCs w:val="22"/>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rsidR="00C373FC" w:rsidRDefault="00C373FC" w:rsidP="00C373FC">
      <w:pPr>
        <w:ind w:left="851" w:right="758"/>
        <w:jc w:val="both"/>
        <w:rPr>
          <w:rFonts w:ascii="Palatino Linotype" w:eastAsia="Palatino Linotype" w:hAnsi="Palatino Linotype" w:cs="Palatino Linotype"/>
          <w:i/>
          <w:sz w:val="22"/>
          <w:szCs w:val="22"/>
        </w:rPr>
      </w:pPr>
      <w:r w:rsidRPr="00C373FC">
        <w:rPr>
          <w:rFonts w:ascii="Palatino Linotype" w:eastAsia="Palatino Linotype" w:hAnsi="Palatino Linotype" w:cs="Palatino Linotype"/>
          <w:i/>
          <w:sz w:val="22"/>
          <w:szCs w:val="22"/>
        </w:rPr>
        <w:t>Con fundamento en el artículo 163 segundo párrafo de la Ley de Transparencia Local, se informa que su solicitud de prórroga ha sido aprobada durante la Vigésima Séptima Sesión Extraordinaria del Comité de Transparencia, se adjunta acta correspondiente.</w:t>
      </w:r>
    </w:p>
    <w:p w:rsidR="00C373FC" w:rsidRPr="00C373FC" w:rsidRDefault="00C373FC" w:rsidP="00C373FC">
      <w:pPr>
        <w:ind w:left="851" w:right="758"/>
        <w:jc w:val="both"/>
        <w:rPr>
          <w:rFonts w:ascii="Palatino Linotype" w:eastAsia="Palatino Linotype" w:hAnsi="Palatino Linotype" w:cs="Palatino Linotype"/>
          <w:i/>
          <w:sz w:val="22"/>
          <w:szCs w:val="22"/>
        </w:rPr>
      </w:pPr>
      <w:r w:rsidRPr="00C373FC">
        <w:rPr>
          <w:rFonts w:ascii="Palatino Linotype" w:eastAsia="Palatino Linotype" w:hAnsi="Palatino Linotype" w:cs="Palatino Linotype"/>
          <w:i/>
          <w:sz w:val="22"/>
          <w:szCs w:val="22"/>
        </w:rPr>
        <w:t>P. L. P. T. YEIMI ESMERALDA GONZÁLEZ VALDÉZ</w:t>
      </w:r>
    </w:p>
    <w:p w:rsidR="00C373FC" w:rsidRDefault="00C373FC" w:rsidP="00C373FC">
      <w:pPr>
        <w:ind w:left="851" w:right="758"/>
        <w:jc w:val="both"/>
        <w:rPr>
          <w:rFonts w:ascii="Palatino Linotype" w:eastAsia="Palatino Linotype" w:hAnsi="Palatino Linotype" w:cs="Palatino Linotype"/>
          <w:i/>
          <w:sz w:val="22"/>
          <w:szCs w:val="22"/>
        </w:rPr>
      </w:pPr>
      <w:r w:rsidRPr="00C373FC">
        <w:rPr>
          <w:rFonts w:ascii="Palatino Linotype" w:eastAsia="Palatino Linotype" w:hAnsi="Palatino Linotype" w:cs="Palatino Linotype"/>
          <w:i/>
          <w:sz w:val="22"/>
          <w:szCs w:val="22"/>
        </w:rPr>
        <w:t>Responsable de la Unidad de Transparencia</w:t>
      </w:r>
      <w:r>
        <w:rPr>
          <w:rFonts w:ascii="Palatino Linotype" w:eastAsia="Palatino Linotype" w:hAnsi="Palatino Linotype" w:cs="Palatino Linotype"/>
          <w:i/>
          <w:sz w:val="22"/>
          <w:szCs w:val="22"/>
        </w:rPr>
        <w:t>” (Sic)</w:t>
      </w:r>
    </w:p>
    <w:p w:rsidR="00C373FC" w:rsidRPr="00C373FC" w:rsidRDefault="00C373FC" w:rsidP="002E5396">
      <w:pPr>
        <w:spacing w:before="240" w:after="240" w:line="360" w:lineRule="auto"/>
        <w:jc w:val="both"/>
        <w:rPr>
          <w:rFonts w:ascii="Palatino Linotype" w:hAnsi="Palatino Linotype" w:cs="Arial"/>
        </w:rPr>
      </w:pPr>
      <w:r w:rsidRPr="00C373FC">
        <w:rPr>
          <w:rFonts w:ascii="Palatino Linotype" w:hAnsi="Palatino Linotype" w:cs="Arial"/>
        </w:rPr>
        <w:t>Adjuntando el archivo electrónico denominado</w:t>
      </w:r>
      <w:r>
        <w:rPr>
          <w:rFonts w:ascii="Palatino Linotype" w:hAnsi="Palatino Linotype" w:cs="Arial"/>
          <w:b/>
        </w:rPr>
        <w:t xml:space="preserve"> “</w:t>
      </w:r>
      <w:hyperlink r:id="rId8" w:tgtFrame="_blank" w:history="1">
        <w:r w:rsidRPr="00C373FC">
          <w:rPr>
            <w:rFonts w:ascii="Palatino Linotype" w:hAnsi="Palatino Linotype" w:cs="Arial"/>
          </w:rPr>
          <w:t>27MA SECT.pdf</w:t>
        </w:r>
      </w:hyperlink>
      <w:r w:rsidRPr="00C373FC">
        <w:rPr>
          <w:rFonts w:ascii="Palatino Linotype" w:hAnsi="Palatino Linotype" w:cs="Arial"/>
        </w:rPr>
        <w:t>”</w:t>
      </w:r>
      <w:r>
        <w:rPr>
          <w:rFonts w:ascii="Palatino Linotype" w:hAnsi="Palatino Linotype" w:cs="Arial"/>
        </w:rPr>
        <w:t xml:space="preserve">, el cual contiene el acta de la vigésima séptima sesión extraordinaria del Comité de Transparencia del Sujeto Obligado, por medio del cual se aprobó las ampliaciones del plazo para </w:t>
      </w:r>
      <w:r w:rsidRPr="00C373FC">
        <w:rPr>
          <w:rFonts w:ascii="Palatino Linotype" w:hAnsi="Palatino Linotype" w:cs="Arial"/>
        </w:rPr>
        <w:t>atender diversas solicitudes de información, entre ellas la número 00259/TENANCIN/IP/2021, que nos ocupa.</w:t>
      </w:r>
    </w:p>
    <w:p w:rsidR="002E5396" w:rsidRPr="00080788" w:rsidRDefault="00C373FC" w:rsidP="002E5396">
      <w:pPr>
        <w:spacing w:before="240" w:after="240" w:line="360" w:lineRule="auto"/>
        <w:jc w:val="both"/>
        <w:rPr>
          <w:rFonts w:ascii="Palatino Linotype" w:hAnsi="Palatino Linotype" w:cs="Arial"/>
        </w:rPr>
      </w:pPr>
      <w:r>
        <w:rPr>
          <w:rFonts w:ascii="Palatino Linotype" w:hAnsi="Palatino Linotype" w:cs="Arial"/>
          <w:b/>
        </w:rPr>
        <w:t xml:space="preserve">3. </w:t>
      </w:r>
      <w:r w:rsidR="002E5396" w:rsidRPr="00AA3766">
        <w:rPr>
          <w:rFonts w:ascii="Palatino Linotype" w:hAnsi="Palatino Linotype" w:cs="Arial"/>
          <w:b/>
        </w:rPr>
        <w:t xml:space="preserve">Respuesta. </w:t>
      </w:r>
      <w:r w:rsidR="003B19DA" w:rsidRPr="00AA3766">
        <w:rPr>
          <w:rFonts w:ascii="Palatino Linotype" w:hAnsi="Palatino Linotype" w:cs="Arial"/>
        </w:rPr>
        <w:t xml:space="preserve">Con </w:t>
      </w:r>
      <w:r w:rsidR="00EC5F74">
        <w:rPr>
          <w:rFonts w:ascii="Palatino Linotype" w:hAnsi="Palatino Linotype" w:cs="Arial"/>
        </w:rPr>
        <w:t xml:space="preserve">fecha </w:t>
      </w:r>
      <w:r>
        <w:rPr>
          <w:rFonts w:ascii="Palatino Linotype" w:hAnsi="Palatino Linotype" w:cs="Arial"/>
        </w:rPr>
        <w:t>diez</w:t>
      </w:r>
      <w:r w:rsidR="00EC5F74">
        <w:rPr>
          <w:rFonts w:ascii="Palatino Linotype" w:hAnsi="Palatino Linotype" w:cs="Arial"/>
        </w:rPr>
        <w:t xml:space="preserve"> de</w:t>
      </w:r>
      <w:r>
        <w:rPr>
          <w:rFonts w:ascii="Palatino Linotype" w:hAnsi="Palatino Linotype" w:cs="Arial"/>
        </w:rPr>
        <w:t xml:space="preserve"> septiembre</w:t>
      </w:r>
      <w:r w:rsidR="002A6F11">
        <w:rPr>
          <w:rFonts w:ascii="Palatino Linotype" w:hAnsi="Palatino Linotype" w:cs="Arial"/>
        </w:rPr>
        <w:t xml:space="preserve"> del dos mil veintiuno</w:t>
      </w:r>
      <w:r w:rsidR="002E5396" w:rsidRPr="00080788">
        <w:rPr>
          <w:rFonts w:ascii="Palatino Linotype" w:hAnsi="Palatino Linotype" w:cs="Arial"/>
        </w:rPr>
        <w:t xml:space="preserve"> el </w:t>
      </w:r>
      <w:r w:rsidR="002E5396" w:rsidRPr="00080788">
        <w:rPr>
          <w:rFonts w:ascii="Palatino Linotype" w:hAnsi="Palatino Linotype" w:cs="Arial"/>
          <w:b/>
        </w:rPr>
        <w:t>Sujeto Obligado</w:t>
      </w:r>
      <w:r w:rsidR="002E5396" w:rsidRPr="00080788">
        <w:rPr>
          <w:rFonts w:ascii="Palatino Linotype" w:hAnsi="Palatino Linotype" w:cs="Arial"/>
        </w:rPr>
        <w:t xml:space="preserve"> envió su respuesta a la solicitud de acceso a la información a través del SAIMEX, la cual versa como sigue:</w:t>
      </w:r>
    </w:p>
    <w:p w:rsidR="00C6202E" w:rsidRDefault="002E5396" w:rsidP="00BC5CBE">
      <w:pPr>
        <w:spacing w:before="240" w:after="240"/>
        <w:ind w:left="851" w:right="902"/>
        <w:contextualSpacing/>
        <w:jc w:val="both"/>
        <w:rPr>
          <w:rFonts w:ascii="Palatino Linotype" w:hAnsi="Palatino Linotype"/>
          <w:i/>
          <w:color w:val="000000"/>
          <w:sz w:val="22"/>
          <w:szCs w:val="22"/>
        </w:rPr>
      </w:pPr>
      <w:r w:rsidRPr="002F081A">
        <w:rPr>
          <w:rFonts w:ascii="Palatino Linotype" w:hAnsi="Palatino Linotype" w:cs="Arial"/>
          <w:i/>
          <w:sz w:val="22"/>
          <w:szCs w:val="22"/>
        </w:rPr>
        <w:t>“</w:t>
      </w:r>
      <w:r w:rsidR="00C373FC" w:rsidRPr="00C373FC">
        <w:rPr>
          <w:rFonts w:ascii="Palatino Linotype" w:hAnsi="Palatino Linotype"/>
          <w:i/>
          <w:color w:val="000000"/>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C373FC" w:rsidRPr="00C6202E" w:rsidRDefault="00C373FC" w:rsidP="00BC5CBE">
      <w:pPr>
        <w:spacing w:before="240" w:after="240"/>
        <w:ind w:left="851" w:right="902"/>
        <w:contextualSpacing/>
        <w:jc w:val="both"/>
        <w:rPr>
          <w:rFonts w:ascii="Palatino Linotype" w:hAnsi="Palatino Linotype"/>
          <w:i/>
          <w:color w:val="000000"/>
          <w:sz w:val="22"/>
          <w:szCs w:val="22"/>
        </w:rPr>
      </w:pPr>
      <w:r w:rsidRPr="00C373FC">
        <w:rPr>
          <w:rFonts w:ascii="Palatino Linotype" w:hAnsi="Palatino Linotype"/>
          <w:i/>
          <w:color w:val="000000"/>
          <w:sz w:val="22"/>
          <w:szCs w:val="22"/>
        </w:rPr>
        <w:t xml:space="preserve">Sirva este medio para enviarle un saludo, al mismo tiempo con fundamento en el artículo 53 fracciones II, V y VI de la Ley de Transparencia y Acceso a la Información Pública del Estado de México y Municipios, remito contestación del Servidor Público Habilitado a su solicitud de información identificada con folio No. 00259/TENANCIN/IP/2021, en archivo anexo PDF como se describe a </w:t>
      </w:r>
      <w:r w:rsidRPr="00C373FC">
        <w:rPr>
          <w:rFonts w:ascii="Palatino Linotype" w:hAnsi="Palatino Linotype"/>
          <w:i/>
          <w:color w:val="000000"/>
          <w:sz w:val="22"/>
          <w:szCs w:val="22"/>
        </w:rPr>
        <w:lastRenderedPageBreak/>
        <w:t>continuación: 1.- R S.H.P. 00259 tesorería y anexo Haciendo de su conocimiento que de acuerdo a lo establecido por los artículos 176 y 178 de la Ley de Transparencia y Acceso a la Información Pública del Estado de México y Municipios, podrá ejercer su segunda garantía del Derecho de Acceso a la Información pública, recurriendo la respuesta otorgada, ante el Instituto o ante la Unidad de Transparencia, dentro de los quince días hábiles posteriores a la fecha de recepción de la respuesta, por alguna de las causales establecidas en el artículo 179 de la Ley de Transparencia y Acceso a la Información Pública del Estado de México y Municipios, atendiendo los criterios señalados en los artículos 180 y 181 de la misma Ley. Sin otro particular por el momento, le reitero la seguridad de mi más atenta y distinguida consideración.</w:t>
      </w:r>
    </w:p>
    <w:p w:rsidR="00C373FC" w:rsidRPr="00C373FC" w:rsidRDefault="00224D6A" w:rsidP="00C373FC">
      <w:pPr>
        <w:ind w:left="851" w:right="758"/>
        <w:jc w:val="both"/>
        <w:rPr>
          <w:rFonts w:ascii="Palatino Linotype" w:eastAsia="Palatino Linotype" w:hAnsi="Palatino Linotype" w:cs="Palatino Linotype"/>
          <w:i/>
          <w:sz w:val="22"/>
          <w:szCs w:val="22"/>
        </w:rPr>
      </w:pPr>
      <w:r w:rsidRPr="002F081A">
        <w:rPr>
          <w:rFonts w:ascii="Palatino Linotype" w:hAnsi="Palatino Linotype"/>
          <w:i/>
          <w:color w:val="000000"/>
          <w:sz w:val="22"/>
          <w:szCs w:val="22"/>
        </w:rPr>
        <w:t>ATENTAMENTE</w:t>
      </w:r>
      <w:r w:rsidR="002A6F11" w:rsidRPr="002A6F11">
        <w:rPr>
          <w:rFonts w:ascii="Verdana" w:hAnsi="Verdana"/>
          <w:sz w:val="18"/>
          <w:szCs w:val="18"/>
          <w:lang w:val="es-MX" w:eastAsia="en-US"/>
        </w:rPr>
        <w:br/>
      </w:r>
      <w:r w:rsidR="00C373FC" w:rsidRPr="00C373FC">
        <w:rPr>
          <w:rFonts w:ascii="Palatino Linotype" w:eastAsia="Palatino Linotype" w:hAnsi="Palatino Linotype" w:cs="Palatino Linotype"/>
          <w:i/>
          <w:sz w:val="22"/>
          <w:szCs w:val="22"/>
        </w:rPr>
        <w:t>P. L. P. T. YEIMI ESMERALDA GONZÁLEZ VALDÉZ</w:t>
      </w:r>
    </w:p>
    <w:p w:rsidR="002E5396" w:rsidRPr="002A6F11" w:rsidRDefault="00C373FC" w:rsidP="00C373FC">
      <w:pPr>
        <w:spacing w:before="240" w:after="240"/>
        <w:ind w:left="851" w:right="902"/>
        <w:contextualSpacing/>
        <w:jc w:val="both"/>
        <w:rPr>
          <w:rFonts w:ascii="Palatino Linotype" w:hAnsi="Palatino Linotype"/>
          <w:i/>
          <w:color w:val="000000"/>
          <w:sz w:val="22"/>
          <w:szCs w:val="22"/>
        </w:rPr>
      </w:pPr>
      <w:r w:rsidRPr="00C373FC">
        <w:rPr>
          <w:rFonts w:ascii="Palatino Linotype" w:eastAsia="Palatino Linotype" w:hAnsi="Palatino Linotype" w:cs="Palatino Linotype"/>
          <w:i/>
          <w:sz w:val="22"/>
          <w:szCs w:val="22"/>
        </w:rPr>
        <w:t>Responsable de la Unidad de Transparencia</w:t>
      </w:r>
      <w:r w:rsidR="002E5396" w:rsidRPr="002F081A">
        <w:rPr>
          <w:rFonts w:ascii="Palatino Linotype" w:hAnsi="Palatino Linotype"/>
          <w:i/>
          <w:color w:val="000000"/>
          <w:sz w:val="22"/>
          <w:szCs w:val="22"/>
        </w:rPr>
        <w:t xml:space="preserve">” </w:t>
      </w:r>
      <w:r w:rsidR="002E5396" w:rsidRPr="002A6F11">
        <w:rPr>
          <w:rFonts w:ascii="Palatino Linotype" w:hAnsi="Palatino Linotype"/>
          <w:i/>
          <w:color w:val="000000"/>
          <w:sz w:val="22"/>
          <w:szCs w:val="22"/>
        </w:rPr>
        <w:t>(Sic)</w:t>
      </w:r>
    </w:p>
    <w:p w:rsidR="00224D6A" w:rsidRPr="00080788" w:rsidRDefault="00224D6A" w:rsidP="00224D6A">
      <w:pPr>
        <w:spacing w:before="240" w:after="240"/>
        <w:ind w:left="851" w:right="902"/>
        <w:contextualSpacing/>
        <w:jc w:val="both"/>
        <w:rPr>
          <w:rFonts w:ascii="Palatino Linotype" w:hAnsi="Palatino Linotype" w:cs="Arial"/>
          <w:i/>
        </w:rPr>
      </w:pPr>
    </w:p>
    <w:p w:rsidR="002A6F11" w:rsidRPr="00683278" w:rsidRDefault="002A6F11" w:rsidP="002A6F1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Adjuntando a su respuesta los archivos electrónicos</w:t>
      </w:r>
      <w:r w:rsidR="00C373FC">
        <w:rPr>
          <w:rFonts w:ascii="Palatino Linotype" w:eastAsia="Palatino Linotype" w:hAnsi="Palatino Linotype" w:cs="Palatino Linotype"/>
          <w:b/>
        </w:rPr>
        <w:t xml:space="preserve"> denominados</w:t>
      </w:r>
      <w:r>
        <w:rPr>
          <w:rFonts w:ascii="Palatino Linotype" w:eastAsia="Palatino Linotype" w:hAnsi="Palatino Linotype" w:cs="Palatino Linotype"/>
          <w:b/>
        </w:rPr>
        <w:t xml:space="preserve">: </w:t>
      </w:r>
      <w:r w:rsidRPr="002A6F11">
        <w:rPr>
          <w:rFonts w:ascii="Palatino Linotype" w:eastAsia="Palatino Linotype" w:hAnsi="Palatino Linotype" w:cs="Palatino Linotype"/>
        </w:rPr>
        <w:t>“</w:t>
      </w:r>
      <w:hyperlink r:id="rId9" w:tgtFrame="_blank" w:history="1">
        <w:r w:rsidR="00C373FC" w:rsidRPr="00C373FC">
          <w:rPr>
            <w:rFonts w:ascii="Palatino Linotype" w:eastAsia="Palatino Linotype" w:hAnsi="Palatino Linotype" w:cs="Palatino Linotype"/>
          </w:rPr>
          <w:t>OFICIO SOL. 0259 RECIBIDA DE TESORERIA 2021.pdf</w:t>
        </w:r>
      </w:hyperlink>
      <w:r w:rsidRPr="002A6F11">
        <w:rPr>
          <w:rFonts w:ascii="Palatino Linotype" w:eastAsia="Palatino Linotype" w:hAnsi="Palatino Linotype" w:cs="Palatino Linotype"/>
        </w:rPr>
        <w:t>” y “</w:t>
      </w:r>
      <w:hyperlink r:id="rId10" w:tgtFrame="_blank" w:history="1">
        <w:r w:rsidR="00C373FC" w:rsidRPr="00C373FC">
          <w:rPr>
            <w:rFonts w:ascii="Palatino Linotype" w:eastAsia="Palatino Linotype" w:hAnsi="Palatino Linotype" w:cs="Palatino Linotype"/>
          </w:rPr>
          <w:t>R259.pdf</w:t>
        </w:r>
      </w:hyperlink>
      <w:r w:rsidRPr="002A6F11">
        <w:rPr>
          <w:rFonts w:ascii="Palatino Linotype" w:eastAsia="Palatino Linotype" w:hAnsi="Palatino Linotype" w:cs="Palatino Linotype"/>
        </w:rPr>
        <w:t>”,</w:t>
      </w:r>
      <w:r>
        <w:rPr>
          <w:rFonts w:ascii="Palatino Linotype" w:eastAsia="Palatino Linotype" w:hAnsi="Palatino Linotype" w:cs="Palatino Linotype"/>
        </w:rPr>
        <w:t xml:space="preserve"> los cuales serán analizados y detallados en el apartado de</w:t>
      </w:r>
      <w:r w:rsidR="00C373FC">
        <w:rPr>
          <w:rFonts w:ascii="Palatino Linotype" w:eastAsia="Palatino Linotype" w:hAnsi="Palatino Linotype" w:cs="Palatino Linotype"/>
        </w:rPr>
        <w:t>l</w:t>
      </w:r>
      <w:r>
        <w:rPr>
          <w:rFonts w:ascii="Palatino Linotype" w:eastAsia="Palatino Linotype" w:hAnsi="Palatino Linotype" w:cs="Palatino Linotype"/>
        </w:rPr>
        <w:t xml:space="preserve"> estudio correspondiente.</w:t>
      </w:r>
    </w:p>
    <w:p w:rsidR="002E5396" w:rsidRPr="00080788" w:rsidRDefault="000D22E2" w:rsidP="002E5396">
      <w:pPr>
        <w:spacing w:before="240" w:after="240" w:line="360" w:lineRule="auto"/>
        <w:jc w:val="both"/>
        <w:rPr>
          <w:rFonts w:ascii="Palatino Linotype" w:hAnsi="Palatino Linotype" w:cs="Arial"/>
        </w:rPr>
      </w:pPr>
      <w:r>
        <w:rPr>
          <w:rFonts w:ascii="Palatino Linotype" w:hAnsi="Palatino Linotype" w:cs="Arial"/>
          <w:b/>
        </w:rPr>
        <w:t>4</w:t>
      </w:r>
      <w:r w:rsidR="002E5396" w:rsidRPr="00080788">
        <w:rPr>
          <w:rFonts w:ascii="Palatino Linotype" w:hAnsi="Palatino Linotype" w:cs="Arial"/>
          <w:b/>
        </w:rPr>
        <w:t xml:space="preserve">. Interposición del recurso de revisión. </w:t>
      </w:r>
      <w:r w:rsidR="00481306">
        <w:rPr>
          <w:rFonts w:ascii="Palatino Linotype" w:hAnsi="Palatino Linotype" w:cs="Arial"/>
        </w:rPr>
        <w:t>Inconforme el recurrente</w:t>
      </w:r>
      <w:r w:rsidR="002E5396" w:rsidRPr="00080788">
        <w:rPr>
          <w:rFonts w:ascii="Palatino Linotype" w:hAnsi="Palatino Linotype" w:cs="Arial"/>
        </w:rPr>
        <w:t xml:space="preserve"> con la respuesta del </w:t>
      </w:r>
      <w:r w:rsidR="002E5396" w:rsidRPr="00080788">
        <w:rPr>
          <w:rFonts w:ascii="Palatino Linotype" w:hAnsi="Palatino Linotype" w:cs="Arial"/>
          <w:b/>
        </w:rPr>
        <w:t>Sujeto Obligado</w:t>
      </w:r>
      <w:r w:rsidR="002E5396" w:rsidRPr="00080788">
        <w:rPr>
          <w:rFonts w:ascii="Palatino Linotype" w:hAnsi="Palatino Linotype" w:cs="Arial"/>
        </w:rPr>
        <w:t xml:space="preserve"> interpuso recurso de revisión a t</w:t>
      </w:r>
      <w:r w:rsidR="00AA3766">
        <w:rPr>
          <w:rFonts w:ascii="Palatino Linotype" w:hAnsi="Palatino Linotype" w:cs="Arial"/>
        </w:rPr>
        <w:t>ravés d</w:t>
      </w:r>
      <w:r>
        <w:rPr>
          <w:rFonts w:ascii="Palatino Linotype" w:hAnsi="Palatino Linotype" w:cs="Arial"/>
        </w:rPr>
        <w:t>el SAIMEX en fecha trece de septiembre</w:t>
      </w:r>
      <w:r w:rsidR="00205EF0">
        <w:rPr>
          <w:rFonts w:ascii="Palatino Linotype" w:hAnsi="Palatino Linotype" w:cs="Arial"/>
        </w:rPr>
        <w:t xml:space="preserve"> del dos mil veintiuno</w:t>
      </w:r>
      <w:r w:rsidR="002E5396" w:rsidRPr="00080788">
        <w:rPr>
          <w:rFonts w:ascii="Palatino Linotype" w:hAnsi="Palatino Linotype" w:cs="Arial"/>
        </w:rPr>
        <w:t>, a través del cual expresó lo siguiente:</w:t>
      </w:r>
    </w:p>
    <w:p w:rsidR="002E5396" w:rsidRPr="00080788" w:rsidRDefault="002E5396" w:rsidP="002E5396">
      <w:pPr>
        <w:spacing w:line="360" w:lineRule="auto"/>
        <w:rPr>
          <w:rFonts w:ascii="Palatino Linotype" w:hAnsi="Palatino Linotype" w:cs="Arial"/>
          <w:b/>
        </w:rPr>
      </w:pPr>
      <w:r w:rsidRPr="00080788">
        <w:rPr>
          <w:rFonts w:ascii="Palatino Linotype" w:hAnsi="Palatino Linotype" w:cs="Arial"/>
          <w:b/>
        </w:rPr>
        <w:t>a) Acto impugnado.</w:t>
      </w:r>
    </w:p>
    <w:p w:rsidR="002E5396" w:rsidRPr="002F081A" w:rsidRDefault="002E5396" w:rsidP="002E5396">
      <w:pPr>
        <w:spacing w:after="240"/>
        <w:ind w:left="851" w:right="900"/>
        <w:jc w:val="both"/>
        <w:rPr>
          <w:rFonts w:ascii="Palatino Linotype" w:hAnsi="Palatino Linotype"/>
          <w:i/>
          <w:color w:val="000000"/>
          <w:sz w:val="22"/>
          <w:szCs w:val="22"/>
        </w:rPr>
      </w:pPr>
      <w:r w:rsidRPr="002F081A">
        <w:rPr>
          <w:rFonts w:ascii="Palatino Linotype" w:hAnsi="Palatino Linotype"/>
          <w:i/>
          <w:color w:val="000000"/>
          <w:sz w:val="22"/>
          <w:szCs w:val="22"/>
        </w:rPr>
        <w:t>“</w:t>
      </w:r>
      <w:r w:rsidR="000D22E2" w:rsidRPr="000D22E2">
        <w:rPr>
          <w:rFonts w:ascii="Palatino Linotype" w:hAnsi="Palatino Linotype"/>
          <w:i/>
          <w:color w:val="000000"/>
          <w:sz w:val="22"/>
          <w:szCs w:val="22"/>
        </w:rPr>
        <w:t>CON FUNDAMENTO EN LOS ARTICULOS 12,59 FRACCIONES I. II, III Y VI DE LA LEY DE TRANSPARENCIA Y ACCESO A LA INFORMACION PUBLICA DEL ESTADO DE MEXICO Y MUNICIPIOS, DISPONEN QUE EL SERVIDOR PUBLICO HABILITADO, LOCALIZARA LA INFORMACION QUE LE SOLICITE LA UNIDAD DE TRANSPARENCIA PROPORCIONARA LA INFORMACION QUE OBRE EN LOS ARCHIVOS, Y VERIFICARA QUE EL CONTENIDO DE LA INFORMACION NO SE ENCUENTRE EN LOS SUPUESTOS DE INFORMACION CLASIFICADA. POR TANTO SOLICITO QUE ESTA AUTORIDAD REVISE MI SOLICITUD Y ME SEAN PROPORCIONADOS LOS DATOS.</w:t>
      </w:r>
      <w:r w:rsidRPr="002F081A">
        <w:rPr>
          <w:rFonts w:ascii="Palatino Linotype" w:hAnsi="Palatino Linotype"/>
          <w:i/>
          <w:color w:val="000000"/>
          <w:sz w:val="22"/>
          <w:szCs w:val="22"/>
        </w:rPr>
        <w:t>” (Sic)</w:t>
      </w:r>
    </w:p>
    <w:p w:rsidR="002E5396" w:rsidRPr="00080788" w:rsidRDefault="002E5396" w:rsidP="002E5396">
      <w:pPr>
        <w:spacing w:line="360" w:lineRule="auto"/>
        <w:jc w:val="both"/>
        <w:rPr>
          <w:rFonts w:ascii="Palatino Linotype" w:hAnsi="Palatino Linotype" w:cs="Arial"/>
          <w:b/>
        </w:rPr>
      </w:pPr>
      <w:r w:rsidRPr="00080788">
        <w:rPr>
          <w:rFonts w:ascii="Palatino Linotype" w:hAnsi="Palatino Linotype" w:cs="Arial"/>
          <w:b/>
        </w:rPr>
        <w:lastRenderedPageBreak/>
        <w:t>b) Motivos de inconformidad.</w:t>
      </w:r>
    </w:p>
    <w:p w:rsidR="002E5396" w:rsidRPr="002F081A" w:rsidRDefault="00EC5F74" w:rsidP="00BF5449">
      <w:pPr>
        <w:spacing w:after="240"/>
        <w:ind w:left="851" w:right="900"/>
        <w:jc w:val="both"/>
        <w:rPr>
          <w:rFonts w:ascii="Palatino Linotype" w:hAnsi="Palatino Linotype"/>
          <w:i/>
          <w:color w:val="000000"/>
          <w:sz w:val="22"/>
          <w:szCs w:val="22"/>
        </w:rPr>
      </w:pPr>
      <w:r w:rsidRPr="002F081A">
        <w:rPr>
          <w:rFonts w:ascii="Palatino Linotype" w:hAnsi="Palatino Linotype"/>
          <w:i/>
          <w:color w:val="000000"/>
          <w:sz w:val="22"/>
          <w:szCs w:val="22"/>
        </w:rPr>
        <w:t>“</w:t>
      </w:r>
      <w:r w:rsidR="000D22E2" w:rsidRPr="000D22E2">
        <w:rPr>
          <w:rFonts w:ascii="Palatino Linotype" w:hAnsi="Palatino Linotype"/>
          <w:i/>
          <w:color w:val="000000"/>
          <w:sz w:val="22"/>
          <w:szCs w:val="22"/>
        </w:rPr>
        <w:t>INFORMACION NO CORRESPONDIENTE.</w:t>
      </w:r>
      <w:r w:rsidRPr="002F081A">
        <w:rPr>
          <w:rFonts w:ascii="Palatino Linotype" w:hAnsi="Palatino Linotype"/>
          <w:i/>
          <w:color w:val="000000"/>
          <w:sz w:val="22"/>
          <w:szCs w:val="22"/>
        </w:rPr>
        <w:t>”</w:t>
      </w:r>
      <w:r w:rsidR="002E5396" w:rsidRPr="002F081A">
        <w:rPr>
          <w:rFonts w:ascii="Palatino Linotype" w:hAnsi="Palatino Linotype"/>
          <w:i/>
          <w:color w:val="000000"/>
          <w:sz w:val="22"/>
          <w:szCs w:val="22"/>
        </w:rPr>
        <w:t xml:space="preserve"> (Sic)</w:t>
      </w:r>
    </w:p>
    <w:p w:rsidR="000D22E2" w:rsidRPr="000D22E2" w:rsidRDefault="000D22E2" w:rsidP="000D22E2">
      <w:pPr>
        <w:spacing w:before="240" w:after="240" w:line="360" w:lineRule="auto"/>
        <w:contextualSpacing/>
        <w:jc w:val="both"/>
        <w:rPr>
          <w:rFonts w:ascii="Palatino Linotype" w:hAnsi="Palatino Linotype" w:cs="Arial"/>
        </w:rPr>
      </w:pPr>
      <w:r w:rsidRPr="000D22E2">
        <w:rPr>
          <w:rFonts w:ascii="Palatino Linotype" w:hAnsi="Palatino Linotype" w:cs="Arial"/>
        </w:rPr>
        <w:t>Adjuntando al acuse del Recurso de Revisión el archivo electrónico denominado “</w:t>
      </w:r>
      <w:hyperlink r:id="rId11" w:tgtFrame="_blank" w:history="1">
        <w:r w:rsidRPr="000D22E2">
          <w:rPr>
            <w:rFonts w:ascii="Palatino Linotype" w:hAnsi="Palatino Linotype"/>
          </w:rPr>
          <w:t>R259.pdf</w:t>
        </w:r>
      </w:hyperlink>
      <w:r w:rsidRPr="000D22E2">
        <w:rPr>
          <w:rFonts w:ascii="Palatino Linotype" w:hAnsi="Palatino Linotype" w:cs="Arial"/>
        </w:rPr>
        <w:t xml:space="preserve">”, el cual corresponde al archivo electrónico que adjunto el Sujeto Obligado a su respuesta. </w:t>
      </w:r>
    </w:p>
    <w:p w:rsidR="000D22E2" w:rsidRDefault="000D22E2" w:rsidP="003B19DA">
      <w:pPr>
        <w:spacing w:before="240" w:after="240" w:line="360" w:lineRule="auto"/>
        <w:contextualSpacing/>
        <w:jc w:val="both"/>
        <w:rPr>
          <w:rFonts w:ascii="Palatino Linotype" w:hAnsi="Palatino Linotype"/>
          <w:b/>
        </w:rPr>
      </w:pPr>
    </w:p>
    <w:p w:rsidR="003B19DA" w:rsidRDefault="000D22E2" w:rsidP="003B19DA">
      <w:pPr>
        <w:spacing w:before="240" w:after="240" w:line="360" w:lineRule="auto"/>
        <w:contextualSpacing/>
        <w:jc w:val="both"/>
        <w:rPr>
          <w:rFonts w:ascii="Palatino Linotype" w:eastAsia="Calibri" w:hAnsi="Palatino Linotype" w:cs="Arial"/>
        </w:rPr>
      </w:pPr>
      <w:r>
        <w:rPr>
          <w:rFonts w:ascii="Palatino Linotype" w:hAnsi="Palatino Linotype"/>
          <w:b/>
        </w:rPr>
        <w:t>5</w:t>
      </w:r>
      <w:r w:rsidR="002E5396" w:rsidRPr="00080788">
        <w:rPr>
          <w:rFonts w:ascii="Palatino Linotype" w:hAnsi="Palatino Linotype"/>
          <w:b/>
        </w:rPr>
        <w:t xml:space="preserve">. Turno. </w:t>
      </w:r>
      <w:r w:rsidR="003B19DA" w:rsidRPr="00911351">
        <w:rPr>
          <w:rFonts w:ascii="Palatino Linotype" w:hAnsi="Palatino Linotype"/>
        </w:rPr>
        <w:t xml:space="preserve">De conformidad con el artículo 185, fracción I de la </w:t>
      </w:r>
      <w:r w:rsidR="003B19DA" w:rsidRPr="00911351">
        <w:rPr>
          <w:rFonts w:ascii="Palatino Linotype" w:hAnsi="Palatino Linotype" w:cs="Arial"/>
        </w:rPr>
        <w:t xml:space="preserve">Ley de Transparencia y Acceso a la Información Pública del Estado de México y Municipios, el recurso de revisión número </w:t>
      </w:r>
      <w:r w:rsidR="00EC5F74">
        <w:rPr>
          <w:rFonts w:ascii="Palatino Linotype" w:hAnsi="Palatino Linotype" w:cs="Arial"/>
          <w:b/>
        </w:rPr>
        <w:t>0</w:t>
      </w:r>
      <w:r>
        <w:rPr>
          <w:rFonts w:ascii="Palatino Linotype" w:hAnsi="Palatino Linotype" w:cs="Arial"/>
          <w:b/>
        </w:rPr>
        <w:t>4664</w:t>
      </w:r>
      <w:r w:rsidR="002A6F11">
        <w:rPr>
          <w:rFonts w:ascii="Palatino Linotype" w:hAnsi="Palatino Linotype" w:cs="Arial"/>
          <w:b/>
        </w:rPr>
        <w:t>/INFOEM/IP/RR/2021</w:t>
      </w:r>
      <w:r w:rsidR="003B19DA">
        <w:rPr>
          <w:rFonts w:ascii="Palatino Linotype" w:hAnsi="Palatino Linotype" w:cs="Arial"/>
          <w:b/>
        </w:rPr>
        <w:t xml:space="preserve">, </w:t>
      </w:r>
      <w:r w:rsidR="003B19DA" w:rsidRPr="00553FFC">
        <w:rPr>
          <w:rFonts w:ascii="Palatino Linotype" w:eastAsia="Calibri" w:hAnsi="Palatino Linotype" w:cs="Arial"/>
        </w:rPr>
        <w:t xml:space="preserve">se turnó por el sistema electrónico del Instituto de Transparencia, Acceso a la Información Pública y Protección de Datos Personales del Estado de México y Municipios, </w:t>
      </w:r>
      <w:r w:rsidR="00C6202E">
        <w:rPr>
          <w:rFonts w:ascii="Palatino Linotype" w:hAnsi="Palatino Linotype" w:cs="Arial"/>
        </w:rPr>
        <w:t xml:space="preserve">a la </w:t>
      </w:r>
      <w:r w:rsidR="00C6202E">
        <w:rPr>
          <w:rFonts w:ascii="Palatino Linotype" w:eastAsia="Calibri" w:hAnsi="Palatino Linotype" w:cs="Arial"/>
        </w:rPr>
        <w:t>Comisionada</w:t>
      </w:r>
      <w:r w:rsidR="003B19DA" w:rsidRPr="00553FFC">
        <w:rPr>
          <w:rFonts w:ascii="Palatino Linotype" w:eastAsia="Calibri" w:hAnsi="Palatino Linotype" w:cs="Arial"/>
        </w:rPr>
        <w:t xml:space="preserve"> </w:t>
      </w:r>
      <w:r w:rsidR="00C6202E">
        <w:rPr>
          <w:rFonts w:ascii="Palatino Linotype" w:eastAsia="Calibri" w:hAnsi="Palatino Linotype" w:cs="Arial"/>
          <w:b/>
        </w:rPr>
        <w:t>Guadalupe Ramírez Peña</w:t>
      </w:r>
      <w:r w:rsidR="003B19DA" w:rsidRPr="00911351">
        <w:rPr>
          <w:rFonts w:ascii="Palatino Linotype" w:hAnsi="Palatino Linotype"/>
        </w:rPr>
        <w:t xml:space="preserve">, </w:t>
      </w:r>
      <w:r w:rsidR="003B19DA" w:rsidRPr="009F7D9F">
        <w:rPr>
          <w:rFonts w:ascii="Palatino Linotype" w:hAnsi="Palatino Linotype" w:cs="Arial"/>
        </w:rPr>
        <w:t xml:space="preserve">para su análisis, estudio, elaboración del proyecto y </w:t>
      </w:r>
      <w:r w:rsidR="003B19DA" w:rsidRPr="009F7D9F">
        <w:rPr>
          <w:rFonts w:ascii="Palatino Linotype" w:eastAsia="Calibri" w:hAnsi="Palatino Linotype" w:cs="Arial"/>
        </w:rPr>
        <w:t xml:space="preserve">presentación </w:t>
      </w:r>
      <w:r w:rsidR="003B19DA">
        <w:rPr>
          <w:rFonts w:ascii="Palatino Linotype" w:eastAsia="Calibri" w:hAnsi="Palatino Linotype" w:cs="Arial"/>
        </w:rPr>
        <w:t>ante el Pleno de este Instituto.</w:t>
      </w:r>
    </w:p>
    <w:p w:rsidR="00E4481D" w:rsidRDefault="00E4481D" w:rsidP="002E5396">
      <w:pPr>
        <w:spacing w:before="240" w:after="240" w:line="360" w:lineRule="auto"/>
        <w:contextualSpacing/>
        <w:jc w:val="both"/>
        <w:rPr>
          <w:rFonts w:ascii="Palatino Linotype" w:hAnsi="Palatino Linotype"/>
        </w:rPr>
      </w:pPr>
    </w:p>
    <w:p w:rsidR="002E5396" w:rsidRPr="00080788" w:rsidRDefault="00166305" w:rsidP="002E5396">
      <w:pPr>
        <w:spacing w:before="240" w:after="240" w:line="360" w:lineRule="auto"/>
        <w:contextualSpacing/>
        <w:jc w:val="both"/>
        <w:rPr>
          <w:rFonts w:ascii="Palatino Linotype" w:hAnsi="Palatino Linotype" w:cs="Arial"/>
        </w:rPr>
      </w:pPr>
      <w:r>
        <w:rPr>
          <w:rFonts w:ascii="Palatino Linotype" w:hAnsi="Palatino Linotype" w:cs="Arial"/>
          <w:b/>
        </w:rPr>
        <w:t>6</w:t>
      </w:r>
      <w:r w:rsidR="002E5396" w:rsidRPr="00080788">
        <w:rPr>
          <w:rFonts w:ascii="Palatino Linotype" w:hAnsi="Palatino Linotype" w:cs="Arial"/>
          <w:b/>
        </w:rPr>
        <w:t xml:space="preserve">. Admisión del recurso de revisión: </w:t>
      </w:r>
      <w:r w:rsidR="00EC5F74">
        <w:rPr>
          <w:rFonts w:ascii="Palatino Linotype" w:hAnsi="Palatino Linotype" w:cs="Arial"/>
        </w:rPr>
        <w:t xml:space="preserve">En fecha </w:t>
      </w:r>
      <w:r w:rsidR="000D22E2">
        <w:rPr>
          <w:rFonts w:ascii="Palatino Linotype" w:hAnsi="Palatino Linotype" w:cs="Arial"/>
        </w:rPr>
        <w:t>diecisiete</w:t>
      </w:r>
      <w:r w:rsidR="00763D10">
        <w:rPr>
          <w:rFonts w:ascii="Palatino Linotype" w:hAnsi="Palatino Linotype" w:cs="Arial"/>
        </w:rPr>
        <w:t xml:space="preserve"> de </w:t>
      </w:r>
      <w:r w:rsidR="00F470CE">
        <w:rPr>
          <w:rFonts w:ascii="Palatino Linotype" w:hAnsi="Palatino Linotype" w:cs="Arial"/>
        </w:rPr>
        <w:t>septiembre</w:t>
      </w:r>
      <w:r w:rsidR="00763D10">
        <w:rPr>
          <w:rFonts w:ascii="Palatino Linotype" w:hAnsi="Palatino Linotype" w:cs="Arial"/>
        </w:rPr>
        <w:t xml:space="preserve"> de</w:t>
      </w:r>
      <w:r w:rsidR="00E97D16">
        <w:rPr>
          <w:rFonts w:ascii="Palatino Linotype" w:hAnsi="Palatino Linotype" w:cs="Arial"/>
        </w:rPr>
        <w:t>l dos mil veintiuno</w:t>
      </w:r>
      <w:r w:rsidR="00481306">
        <w:rPr>
          <w:rFonts w:ascii="Palatino Linotype" w:hAnsi="Palatino Linotype" w:cs="Arial"/>
        </w:rPr>
        <w:t>, la Comisionada</w:t>
      </w:r>
      <w:r w:rsidR="002E5396" w:rsidRPr="00080788">
        <w:rPr>
          <w:rFonts w:ascii="Palatino Linotype" w:hAnsi="Palatino Linotype" w:cs="Arial"/>
        </w:rPr>
        <w:t xml:space="preserve"> ponente, admitió a trámite el recurso de revisión que ahora se resuelve, dando un plazo máximo de siete días hábiles para que las partes manifestaran lo que a su derecho resultara conveniente, ofrecieran pruebas, formularan alegatos y el Sujeto Obligado presentara su informe justificado. </w:t>
      </w:r>
    </w:p>
    <w:p w:rsidR="00EC5F74" w:rsidRDefault="00166305" w:rsidP="003B19DA">
      <w:pPr>
        <w:pStyle w:val="Prrafodelista"/>
        <w:widowControl w:val="0"/>
        <w:tabs>
          <w:tab w:val="left" w:pos="709"/>
        </w:tabs>
        <w:autoSpaceDE w:val="0"/>
        <w:autoSpaceDN w:val="0"/>
        <w:adjustRightInd w:val="0"/>
        <w:spacing w:before="120" w:after="240" w:line="360" w:lineRule="auto"/>
        <w:ind w:left="0"/>
        <w:jc w:val="both"/>
        <w:rPr>
          <w:rFonts w:ascii="Palatino Linotype" w:hAnsi="Palatino Linotype" w:cs="Arial"/>
          <w:sz w:val="24"/>
          <w:szCs w:val="24"/>
          <w:lang w:eastAsia="es-ES"/>
        </w:rPr>
      </w:pPr>
      <w:r>
        <w:rPr>
          <w:rFonts w:ascii="Palatino Linotype" w:hAnsi="Palatino Linotype" w:cs="Arial"/>
          <w:b/>
          <w:sz w:val="24"/>
          <w:szCs w:val="24"/>
        </w:rPr>
        <w:t>7</w:t>
      </w:r>
      <w:r w:rsidR="002E5396" w:rsidRPr="00080788">
        <w:rPr>
          <w:rFonts w:ascii="Palatino Linotype" w:hAnsi="Palatino Linotype" w:cs="Arial"/>
          <w:b/>
          <w:sz w:val="24"/>
          <w:szCs w:val="24"/>
        </w:rPr>
        <w:t>. Manifestaciones</w:t>
      </w:r>
      <w:r w:rsidR="002E5396" w:rsidRPr="00080788">
        <w:rPr>
          <w:rFonts w:ascii="Palatino Linotype" w:hAnsi="Palatino Linotype" w:cs="Arial"/>
          <w:sz w:val="24"/>
          <w:szCs w:val="24"/>
          <w:lang w:eastAsia="es-ES"/>
        </w:rPr>
        <w:t>:</w:t>
      </w:r>
      <w:r w:rsidR="002F081A">
        <w:rPr>
          <w:rFonts w:ascii="Palatino Linotype" w:hAnsi="Palatino Linotype" w:cs="Arial"/>
          <w:sz w:val="24"/>
          <w:szCs w:val="24"/>
          <w:lang w:eastAsia="es-ES"/>
        </w:rPr>
        <w:t xml:space="preserve"> </w:t>
      </w:r>
      <w:r w:rsidR="003B19DA" w:rsidRPr="00E2199D">
        <w:rPr>
          <w:rFonts w:ascii="Palatino Linotype" w:hAnsi="Palatino Linotype" w:cs="Arial"/>
          <w:sz w:val="24"/>
          <w:szCs w:val="24"/>
          <w:lang w:eastAsia="es-ES"/>
        </w:rPr>
        <w:t>De las constancias que integran el expediente en q</w:t>
      </w:r>
      <w:r w:rsidR="003B19DA">
        <w:rPr>
          <w:rFonts w:ascii="Palatino Linotype" w:hAnsi="Palatino Linotype" w:cs="Arial"/>
          <w:sz w:val="24"/>
          <w:szCs w:val="24"/>
          <w:lang w:eastAsia="es-ES"/>
        </w:rPr>
        <w:t xml:space="preserve">ue se actúa se advierte que </w:t>
      </w:r>
      <w:r w:rsidR="00C6202E">
        <w:rPr>
          <w:rFonts w:ascii="Palatino Linotype" w:hAnsi="Palatino Linotype" w:cs="Arial"/>
          <w:sz w:val="24"/>
          <w:szCs w:val="24"/>
          <w:lang w:eastAsia="es-ES"/>
        </w:rPr>
        <w:t>el recurrente</w:t>
      </w:r>
      <w:r w:rsidR="003B19DA" w:rsidRPr="00E2199D">
        <w:rPr>
          <w:rFonts w:ascii="Palatino Linotype" w:hAnsi="Palatino Linotype" w:cs="Arial"/>
          <w:sz w:val="24"/>
          <w:szCs w:val="24"/>
          <w:lang w:eastAsia="es-ES"/>
        </w:rPr>
        <w:t xml:space="preserve"> fue </w:t>
      </w:r>
      <w:r w:rsidR="00266653" w:rsidRPr="00E2199D">
        <w:rPr>
          <w:rFonts w:ascii="Palatino Linotype" w:hAnsi="Palatino Linotype" w:cs="Arial"/>
          <w:sz w:val="24"/>
          <w:szCs w:val="24"/>
          <w:lang w:eastAsia="es-ES"/>
        </w:rPr>
        <w:t>omis</w:t>
      </w:r>
      <w:r w:rsidR="00266653">
        <w:rPr>
          <w:rFonts w:ascii="Palatino Linotype" w:hAnsi="Palatino Linotype" w:cs="Arial"/>
          <w:sz w:val="24"/>
          <w:szCs w:val="24"/>
          <w:lang w:eastAsia="es-ES"/>
        </w:rPr>
        <w:t>o</w:t>
      </w:r>
      <w:r w:rsidR="003B19DA" w:rsidRPr="00E2199D">
        <w:rPr>
          <w:rFonts w:ascii="Palatino Linotype" w:hAnsi="Palatino Linotype" w:cs="Arial"/>
          <w:sz w:val="24"/>
          <w:szCs w:val="24"/>
          <w:lang w:eastAsia="es-ES"/>
        </w:rPr>
        <w:t xml:space="preserve"> en ofrecer pruebas o expresar alegatos; en términos del artículo 185 fracciones II de la ley</w:t>
      </w:r>
      <w:r w:rsidR="00EC5F74">
        <w:rPr>
          <w:rFonts w:ascii="Palatino Linotype" w:hAnsi="Palatino Linotype" w:cs="Arial"/>
          <w:sz w:val="24"/>
          <w:szCs w:val="24"/>
          <w:lang w:eastAsia="es-ES"/>
        </w:rPr>
        <w:t xml:space="preserve"> que nos ocupa.</w:t>
      </w:r>
    </w:p>
    <w:p w:rsidR="003B19DA" w:rsidRPr="00771004" w:rsidRDefault="003B19DA" w:rsidP="003B19DA">
      <w:pPr>
        <w:pStyle w:val="Prrafodelista"/>
        <w:widowControl w:val="0"/>
        <w:tabs>
          <w:tab w:val="left" w:pos="709"/>
        </w:tabs>
        <w:autoSpaceDE w:val="0"/>
        <w:autoSpaceDN w:val="0"/>
        <w:adjustRightInd w:val="0"/>
        <w:spacing w:before="120" w:after="240" w:line="360" w:lineRule="auto"/>
        <w:ind w:left="0"/>
        <w:jc w:val="both"/>
        <w:rPr>
          <w:rFonts w:ascii="Palatino Linotype" w:hAnsi="Palatino Linotype" w:cs="Arial"/>
          <w:sz w:val="24"/>
          <w:szCs w:val="24"/>
          <w:lang w:eastAsia="es-ES"/>
        </w:rPr>
      </w:pPr>
      <w:r w:rsidRPr="00771004">
        <w:rPr>
          <w:rFonts w:ascii="Palatino Linotype" w:hAnsi="Palatino Linotype" w:cs="Arial"/>
          <w:sz w:val="24"/>
          <w:szCs w:val="24"/>
          <w:lang w:eastAsia="es-ES"/>
        </w:rPr>
        <w:t>Por su parte, el Su</w:t>
      </w:r>
      <w:r w:rsidR="00EC5F74" w:rsidRPr="00771004">
        <w:rPr>
          <w:rFonts w:ascii="Palatino Linotype" w:hAnsi="Palatino Linotype" w:cs="Arial"/>
          <w:sz w:val="24"/>
          <w:szCs w:val="24"/>
          <w:lang w:eastAsia="es-ES"/>
        </w:rPr>
        <w:t xml:space="preserve">jeto Obligado en fecha </w:t>
      </w:r>
      <w:r w:rsidR="000D22E2">
        <w:rPr>
          <w:rFonts w:ascii="Palatino Linotype" w:hAnsi="Palatino Linotype" w:cs="Arial"/>
          <w:sz w:val="24"/>
          <w:szCs w:val="24"/>
          <w:lang w:eastAsia="es-ES"/>
        </w:rPr>
        <w:t>veintitrés</w:t>
      </w:r>
      <w:r w:rsidR="00F470CE">
        <w:rPr>
          <w:rFonts w:ascii="Palatino Linotype" w:hAnsi="Palatino Linotype" w:cs="Arial"/>
          <w:sz w:val="24"/>
          <w:szCs w:val="24"/>
          <w:lang w:eastAsia="es-ES"/>
        </w:rPr>
        <w:t xml:space="preserve"> de septiembre</w:t>
      </w:r>
      <w:r w:rsidR="00E97D16">
        <w:rPr>
          <w:rFonts w:ascii="Palatino Linotype" w:hAnsi="Palatino Linotype" w:cs="Arial"/>
          <w:sz w:val="24"/>
          <w:szCs w:val="24"/>
          <w:lang w:eastAsia="es-ES"/>
        </w:rPr>
        <w:t xml:space="preserve"> del dos mil </w:t>
      </w:r>
      <w:r w:rsidR="00E97D16">
        <w:rPr>
          <w:rFonts w:ascii="Palatino Linotype" w:hAnsi="Palatino Linotype" w:cs="Arial"/>
          <w:sz w:val="24"/>
          <w:szCs w:val="24"/>
          <w:lang w:eastAsia="es-ES"/>
        </w:rPr>
        <w:lastRenderedPageBreak/>
        <w:t>veintiuno</w:t>
      </w:r>
      <w:r w:rsidRPr="00771004">
        <w:rPr>
          <w:rFonts w:ascii="Palatino Linotype" w:hAnsi="Palatino Linotype" w:cs="Arial"/>
          <w:sz w:val="24"/>
          <w:szCs w:val="24"/>
          <w:lang w:eastAsia="es-ES"/>
        </w:rPr>
        <w:t>, remite en vía in</w:t>
      </w:r>
      <w:r w:rsidR="00EC5F74" w:rsidRPr="00771004">
        <w:rPr>
          <w:rFonts w:ascii="Palatino Linotype" w:hAnsi="Palatino Linotype" w:cs="Arial"/>
          <w:sz w:val="24"/>
          <w:szCs w:val="24"/>
          <w:lang w:eastAsia="es-ES"/>
        </w:rPr>
        <w:t xml:space="preserve">forme justificado </w:t>
      </w:r>
      <w:r w:rsidR="00E97D16">
        <w:rPr>
          <w:rFonts w:ascii="Palatino Linotype" w:hAnsi="Palatino Linotype" w:cs="Arial"/>
          <w:sz w:val="24"/>
          <w:szCs w:val="24"/>
          <w:lang w:eastAsia="es-ES"/>
        </w:rPr>
        <w:t>los</w:t>
      </w:r>
      <w:r w:rsidR="00EC5F74" w:rsidRPr="00771004">
        <w:rPr>
          <w:rFonts w:ascii="Palatino Linotype" w:hAnsi="Palatino Linotype" w:cs="Arial"/>
          <w:sz w:val="24"/>
          <w:szCs w:val="24"/>
          <w:lang w:eastAsia="es-ES"/>
        </w:rPr>
        <w:t xml:space="preserve"> archivo</w:t>
      </w:r>
      <w:r w:rsidR="00E97D16">
        <w:rPr>
          <w:rFonts w:ascii="Palatino Linotype" w:hAnsi="Palatino Linotype" w:cs="Arial"/>
          <w:sz w:val="24"/>
          <w:szCs w:val="24"/>
          <w:lang w:eastAsia="es-ES"/>
        </w:rPr>
        <w:t>s</w:t>
      </w:r>
      <w:r w:rsidR="00EC5F74" w:rsidRPr="00771004">
        <w:rPr>
          <w:rFonts w:ascii="Palatino Linotype" w:hAnsi="Palatino Linotype" w:cs="Arial"/>
          <w:sz w:val="24"/>
          <w:szCs w:val="24"/>
          <w:lang w:eastAsia="es-ES"/>
        </w:rPr>
        <w:t xml:space="preserve"> electrónico</w:t>
      </w:r>
      <w:r w:rsidR="00E97D16">
        <w:rPr>
          <w:rFonts w:ascii="Palatino Linotype" w:hAnsi="Palatino Linotype" w:cs="Arial"/>
          <w:sz w:val="24"/>
          <w:szCs w:val="24"/>
          <w:lang w:eastAsia="es-ES"/>
        </w:rPr>
        <w:t>s</w:t>
      </w:r>
      <w:r w:rsidR="00EC5F74" w:rsidRPr="00771004">
        <w:rPr>
          <w:rFonts w:ascii="Palatino Linotype" w:hAnsi="Palatino Linotype" w:cs="Arial"/>
          <w:sz w:val="24"/>
          <w:szCs w:val="24"/>
          <w:lang w:eastAsia="es-ES"/>
        </w:rPr>
        <w:t xml:space="preserve"> denominado</w:t>
      </w:r>
      <w:r w:rsidR="00E97D16">
        <w:rPr>
          <w:rFonts w:ascii="Palatino Linotype" w:hAnsi="Palatino Linotype" w:cs="Arial"/>
          <w:sz w:val="24"/>
          <w:szCs w:val="24"/>
          <w:lang w:eastAsia="es-ES"/>
        </w:rPr>
        <w:t>s</w:t>
      </w:r>
      <w:r w:rsidRPr="00771004">
        <w:rPr>
          <w:rFonts w:ascii="Palatino Linotype" w:hAnsi="Palatino Linotype" w:cs="Arial"/>
          <w:sz w:val="24"/>
          <w:szCs w:val="24"/>
          <w:lang w:eastAsia="es-ES"/>
        </w:rPr>
        <w:t>:</w:t>
      </w:r>
    </w:p>
    <w:p w:rsidR="00763D10" w:rsidRPr="006A7EE4" w:rsidRDefault="000D22E2" w:rsidP="00763D10">
      <w:pPr>
        <w:pStyle w:val="Prrafodelista"/>
        <w:widowControl w:val="0"/>
        <w:tabs>
          <w:tab w:val="left" w:pos="709"/>
        </w:tabs>
        <w:autoSpaceDE w:val="0"/>
        <w:autoSpaceDN w:val="0"/>
        <w:adjustRightInd w:val="0"/>
        <w:spacing w:before="120" w:after="240" w:line="360" w:lineRule="auto"/>
        <w:ind w:left="0"/>
        <w:jc w:val="both"/>
        <w:rPr>
          <w:rFonts w:ascii="Palatino Linotype" w:hAnsi="Palatino Linotype" w:cs="Arial"/>
          <w:sz w:val="24"/>
          <w:szCs w:val="24"/>
        </w:rPr>
      </w:pPr>
      <w:r>
        <w:rPr>
          <w:rFonts w:ascii="Palatino Linotype" w:hAnsi="Palatino Linotype"/>
          <w:sz w:val="24"/>
          <w:szCs w:val="24"/>
          <w:lang w:eastAsia="es-ES"/>
        </w:rPr>
        <w:t>“</w:t>
      </w:r>
      <w:hyperlink r:id="rId12" w:history="1">
        <w:r w:rsidRPr="000D22E2">
          <w:rPr>
            <w:rFonts w:ascii="Palatino Linotype" w:hAnsi="Palatino Linotype"/>
            <w:sz w:val="24"/>
            <w:szCs w:val="24"/>
            <w:lang w:eastAsia="es-ES"/>
          </w:rPr>
          <w:t>CERTIFICADO TESO.pdf</w:t>
        </w:r>
      </w:hyperlink>
      <w:r w:rsidR="00F470CE" w:rsidRPr="000D22E2">
        <w:rPr>
          <w:rFonts w:ascii="Palatino Linotype" w:hAnsi="Palatino Linotype"/>
          <w:sz w:val="24"/>
          <w:szCs w:val="24"/>
          <w:lang w:eastAsia="es-ES"/>
        </w:rPr>
        <w:t>”</w:t>
      </w:r>
      <w:r w:rsidR="00F470CE">
        <w:rPr>
          <w:rFonts w:ascii="Palatino Linotype" w:hAnsi="Palatino Linotype" w:cs="Arial"/>
          <w:sz w:val="24"/>
          <w:szCs w:val="24"/>
          <w:lang w:eastAsia="es-ES"/>
        </w:rPr>
        <w:t xml:space="preserve">  y </w:t>
      </w:r>
      <w:r w:rsidR="00F470CE" w:rsidRPr="000D22E2">
        <w:rPr>
          <w:rFonts w:ascii="Palatino Linotype" w:hAnsi="Palatino Linotype"/>
          <w:sz w:val="24"/>
          <w:szCs w:val="24"/>
          <w:lang w:eastAsia="es-ES"/>
        </w:rPr>
        <w:t>“</w:t>
      </w:r>
      <w:hyperlink r:id="rId13" w:history="1">
        <w:r w:rsidRPr="000D22E2">
          <w:rPr>
            <w:rFonts w:ascii="Palatino Linotype" w:hAnsi="Palatino Linotype"/>
            <w:sz w:val="24"/>
            <w:szCs w:val="24"/>
            <w:lang w:eastAsia="es-ES"/>
          </w:rPr>
          <w:t>MX-M464N_20210923_151955.pdf</w:t>
        </w:r>
      </w:hyperlink>
      <w:r w:rsidR="00F470CE" w:rsidRPr="000D22E2">
        <w:rPr>
          <w:rFonts w:ascii="Palatino Linotype" w:hAnsi="Palatino Linotype"/>
          <w:sz w:val="24"/>
          <w:szCs w:val="24"/>
          <w:lang w:eastAsia="es-ES"/>
        </w:rPr>
        <w:t>“,</w:t>
      </w:r>
      <w:r w:rsidR="003347C3">
        <w:rPr>
          <w:rFonts w:ascii="Palatino Linotype" w:hAnsi="Palatino Linotype" w:cs="Arial"/>
          <w:sz w:val="24"/>
          <w:szCs w:val="24"/>
          <w:lang w:eastAsia="es-ES"/>
        </w:rPr>
        <w:t>a</w:t>
      </w:r>
      <w:r w:rsidR="00771004" w:rsidRPr="00540979">
        <w:rPr>
          <w:rFonts w:ascii="Palatino Linotype" w:hAnsi="Palatino Linotype" w:cs="Arial"/>
          <w:sz w:val="24"/>
          <w:szCs w:val="24"/>
          <w:lang w:eastAsia="es-ES"/>
        </w:rPr>
        <w:t>rchivo</w:t>
      </w:r>
      <w:r w:rsidR="003347C3">
        <w:rPr>
          <w:rFonts w:ascii="Palatino Linotype" w:hAnsi="Palatino Linotype" w:cs="Arial"/>
          <w:sz w:val="24"/>
          <w:szCs w:val="24"/>
          <w:lang w:eastAsia="es-ES"/>
        </w:rPr>
        <w:t>s</w:t>
      </w:r>
      <w:r w:rsidR="00771004" w:rsidRPr="00540979">
        <w:rPr>
          <w:rFonts w:ascii="Palatino Linotype" w:hAnsi="Palatino Linotype" w:cs="Arial"/>
          <w:sz w:val="24"/>
          <w:szCs w:val="24"/>
        </w:rPr>
        <w:t xml:space="preserve"> que</w:t>
      </w:r>
      <w:r w:rsidR="003A0920">
        <w:rPr>
          <w:rFonts w:ascii="Palatino Linotype" w:hAnsi="Palatino Linotype" w:cs="Arial"/>
          <w:sz w:val="24"/>
          <w:szCs w:val="24"/>
        </w:rPr>
        <w:t xml:space="preserve"> </w:t>
      </w:r>
      <w:hyperlink r:id="rId14" w:history="1"/>
      <w:r w:rsidR="00763D10" w:rsidRPr="00540979">
        <w:rPr>
          <w:rFonts w:ascii="Palatino Linotype" w:hAnsi="Palatino Linotype" w:cs="Arial"/>
          <w:sz w:val="24"/>
          <w:szCs w:val="24"/>
        </w:rPr>
        <w:t>a</w:t>
      </w:r>
      <w:r w:rsidR="00DB61BC" w:rsidRPr="00540979">
        <w:rPr>
          <w:rFonts w:ascii="Palatino Linotype" w:hAnsi="Palatino Linotype" w:cs="Arial"/>
          <w:sz w:val="24"/>
          <w:szCs w:val="24"/>
        </w:rPr>
        <w:t>porta</w:t>
      </w:r>
      <w:r w:rsidR="00771004" w:rsidRPr="00540979">
        <w:rPr>
          <w:rFonts w:ascii="Palatino Linotype" w:hAnsi="Palatino Linotype" w:cs="Arial"/>
          <w:sz w:val="24"/>
          <w:szCs w:val="24"/>
        </w:rPr>
        <w:t>n</w:t>
      </w:r>
      <w:r w:rsidR="00DB61BC" w:rsidRPr="00540979">
        <w:rPr>
          <w:rFonts w:ascii="Palatino Linotype" w:hAnsi="Palatino Linotype" w:cs="Arial"/>
          <w:sz w:val="24"/>
          <w:szCs w:val="24"/>
        </w:rPr>
        <w:t xml:space="preserve"> </w:t>
      </w:r>
      <w:r w:rsidR="003A0920">
        <w:rPr>
          <w:rFonts w:ascii="Palatino Linotype" w:hAnsi="Palatino Linotype" w:cs="Arial"/>
          <w:sz w:val="24"/>
          <w:szCs w:val="24"/>
        </w:rPr>
        <w:t>el</w:t>
      </w:r>
      <w:r w:rsidR="003347C3">
        <w:rPr>
          <w:rFonts w:ascii="Palatino Linotype" w:hAnsi="Palatino Linotype" w:cs="Arial"/>
          <w:sz w:val="24"/>
          <w:szCs w:val="24"/>
        </w:rPr>
        <w:t>ementos novedosos a la respuesta</w:t>
      </w:r>
      <w:r w:rsidR="00641CF7" w:rsidRPr="00540979">
        <w:rPr>
          <w:rFonts w:ascii="Palatino Linotype" w:hAnsi="Palatino Linotype" w:cs="Arial"/>
          <w:sz w:val="24"/>
          <w:szCs w:val="24"/>
        </w:rPr>
        <w:t xml:space="preserve">, </w:t>
      </w:r>
      <w:r w:rsidR="003347C3">
        <w:rPr>
          <w:rFonts w:ascii="Palatino Linotype" w:hAnsi="Palatino Linotype" w:cs="Arial"/>
          <w:sz w:val="24"/>
          <w:szCs w:val="24"/>
        </w:rPr>
        <w:t>los</w:t>
      </w:r>
      <w:r w:rsidR="00540979" w:rsidRPr="00540979">
        <w:rPr>
          <w:rFonts w:ascii="Palatino Linotype" w:hAnsi="Palatino Linotype" w:cs="Arial"/>
          <w:sz w:val="24"/>
          <w:szCs w:val="24"/>
        </w:rPr>
        <w:t xml:space="preserve"> cual</w:t>
      </w:r>
      <w:r w:rsidR="003347C3">
        <w:rPr>
          <w:rFonts w:ascii="Palatino Linotype" w:hAnsi="Palatino Linotype" w:cs="Arial"/>
          <w:sz w:val="24"/>
          <w:szCs w:val="24"/>
        </w:rPr>
        <w:t>es</w:t>
      </w:r>
      <w:r w:rsidR="00540979" w:rsidRPr="00540979">
        <w:rPr>
          <w:rFonts w:ascii="Palatino Linotype" w:hAnsi="Palatino Linotype" w:cs="Arial"/>
          <w:sz w:val="24"/>
          <w:szCs w:val="24"/>
        </w:rPr>
        <w:t xml:space="preserve"> </w:t>
      </w:r>
      <w:r w:rsidR="00763D10" w:rsidRPr="00540979">
        <w:rPr>
          <w:rFonts w:ascii="Palatino Linotype" w:hAnsi="Palatino Linotype" w:cs="Arial"/>
          <w:sz w:val="24"/>
          <w:szCs w:val="24"/>
        </w:rPr>
        <w:t>en fecha</w:t>
      </w:r>
      <w:r>
        <w:rPr>
          <w:rFonts w:ascii="Palatino Linotype" w:hAnsi="Palatino Linotype" w:cs="Arial"/>
          <w:sz w:val="24"/>
          <w:szCs w:val="24"/>
        </w:rPr>
        <w:t xml:space="preserve"> veintiséis</w:t>
      </w:r>
      <w:r w:rsidR="00F470CE">
        <w:rPr>
          <w:rFonts w:ascii="Palatino Linotype" w:hAnsi="Palatino Linotype" w:cs="Arial"/>
          <w:sz w:val="24"/>
          <w:szCs w:val="24"/>
        </w:rPr>
        <w:t xml:space="preserve"> de octubre</w:t>
      </w:r>
      <w:r w:rsidR="00266653">
        <w:rPr>
          <w:rFonts w:ascii="Palatino Linotype" w:hAnsi="Palatino Linotype" w:cs="Arial"/>
          <w:sz w:val="24"/>
          <w:szCs w:val="24"/>
        </w:rPr>
        <w:t xml:space="preserve"> del </w:t>
      </w:r>
      <w:r w:rsidR="003347C3">
        <w:rPr>
          <w:rFonts w:ascii="Palatino Linotype" w:hAnsi="Palatino Linotype" w:cs="Arial"/>
          <w:sz w:val="24"/>
          <w:szCs w:val="24"/>
        </w:rPr>
        <w:t>dos mil veintiuno</w:t>
      </w:r>
      <w:r w:rsidR="00540979" w:rsidRPr="00540979">
        <w:rPr>
          <w:rFonts w:ascii="Palatino Linotype" w:hAnsi="Palatino Linotype" w:cs="Arial"/>
          <w:sz w:val="24"/>
          <w:szCs w:val="24"/>
        </w:rPr>
        <w:t>, se pus</w:t>
      </w:r>
      <w:r w:rsidR="00481306">
        <w:rPr>
          <w:rFonts w:ascii="Palatino Linotype" w:hAnsi="Palatino Linotype" w:cs="Arial"/>
          <w:sz w:val="24"/>
          <w:szCs w:val="24"/>
        </w:rPr>
        <w:t>ieron</w:t>
      </w:r>
      <w:r w:rsidR="00763D10" w:rsidRPr="00540979">
        <w:rPr>
          <w:rFonts w:ascii="Palatino Linotype" w:hAnsi="Palatino Linotype" w:cs="Arial"/>
          <w:sz w:val="24"/>
          <w:szCs w:val="24"/>
        </w:rPr>
        <w:t xml:space="preserve"> a la vista </w:t>
      </w:r>
      <w:r w:rsidR="00266653">
        <w:rPr>
          <w:rFonts w:ascii="Palatino Linotype" w:hAnsi="Palatino Linotype" w:cs="Arial"/>
          <w:sz w:val="24"/>
          <w:szCs w:val="24"/>
        </w:rPr>
        <w:t>d</w:t>
      </w:r>
      <w:r w:rsidR="00C6202E">
        <w:rPr>
          <w:rFonts w:ascii="Palatino Linotype" w:hAnsi="Palatino Linotype" w:cs="Arial"/>
          <w:sz w:val="24"/>
          <w:szCs w:val="24"/>
        </w:rPr>
        <w:t>el recurrente</w:t>
      </w:r>
      <w:r w:rsidR="00763D10" w:rsidRPr="00540979">
        <w:rPr>
          <w:rFonts w:ascii="Palatino Linotype" w:hAnsi="Palatino Linotype" w:cs="Arial"/>
          <w:sz w:val="24"/>
          <w:szCs w:val="24"/>
        </w:rPr>
        <w:t xml:space="preserve">, en términos de la fracción III del artículo 185 de la Ley de Transparencia y Acceso a la Información Pública del Estado de México y Municipios; para que en el término de tres días manifestara lo que a su derecho convenga respecto de lo manifestado por el Sujeto </w:t>
      </w:r>
      <w:r w:rsidR="00763D10" w:rsidRPr="006A7EE4">
        <w:rPr>
          <w:rFonts w:ascii="Palatino Linotype" w:hAnsi="Palatino Linotype" w:cs="Arial"/>
          <w:sz w:val="24"/>
          <w:szCs w:val="24"/>
        </w:rPr>
        <w:t xml:space="preserve">Obligado, por tener relación con la solicitud de acceso a la información </w:t>
      </w:r>
      <w:r w:rsidR="000E3843" w:rsidRPr="006A7EE4">
        <w:rPr>
          <w:rFonts w:ascii="Palatino Linotype" w:hAnsi="Palatino Linotype" w:cs="Arial"/>
          <w:sz w:val="24"/>
          <w:szCs w:val="24"/>
        </w:rPr>
        <w:t>d</w:t>
      </w:r>
      <w:r w:rsidR="00C6202E">
        <w:rPr>
          <w:rFonts w:ascii="Palatino Linotype" w:hAnsi="Palatino Linotype" w:cs="Arial"/>
          <w:sz w:val="24"/>
          <w:szCs w:val="24"/>
        </w:rPr>
        <w:t>el recurrente</w:t>
      </w:r>
      <w:r w:rsidR="00763D10" w:rsidRPr="006A7EE4">
        <w:rPr>
          <w:rFonts w:ascii="Palatino Linotype" w:hAnsi="Palatino Linotype" w:cs="Arial"/>
          <w:sz w:val="24"/>
          <w:szCs w:val="24"/>
        </w:rPr>
        <w:t>, sin que se pronunciara al respecto. Se hará referencia a los documentos referidos durante el estudio correspondiente.</w:t>
      </w:r>
    </w:p>
    <w:p w:rsidR="003B19DA" w:rsidRDefault="00166305" w:rsidP="00763D10">
      <w:pPr>
        <w:pStyle w:val="Prrafodelista"/>
        <w:widowControl w:val="0"/>
        <w:tabs>
          <w:tab w:val="left" w:pos="709"/>
        </w:tabs>
        <w:autoSpaceDE w:val="0"/>
        <w:autoSpaceDN w:val="0"/>
        <w:adjustRightInd w:val="0"/>
        <w:spacing w:before="120" w:after="240" w:line="360" w:lineRule="auto"/>
        <w:ind w:left="0"/>
        <w:jc w:val="both"/>
        <w:rPr>
          <w:rFonts w:ascii="Palatino Linotype" w:hAnsi="Palatino Linotype" w:cs="Arial"/>
          <w:sz w:val="24"/>
          <w:szCs w:val="24"/>
        </w:rPr>
      </w:pPr>
      <w:r>
        <w:rPr>
          <w:rFonts w:ascii="Palatino Linotype" w:hAnsi="Palatino Linotype" w:cs="Arial"/>
          <w:b/>
          <w:sz w:val="24"/>
          <w:szCs w:val="24"/>
        </w:rPr>
        <w:t>8</w:t>
      </w:r>
      <w:r w:rsidR="003B19DA" w:rsidRPr="006A7EE4">
        <w:rPr>
          <w:rFonts w:ascii="Palatino Linotype" w:hAnsi="Palatino Linotype" w:cs="Arial"/>
          <w:b/>
          <w:sz w:val="24"/>
          <w:szCs w:val="24"/>
        </w:rPr>
        <w:t>. Cierre de instrucción</w:t>
      </w:r>
      <w:r w:rsidR="003B19DA" w:rsidRPr="006A7EE4">
        <w:rPr>
          <w:rFonts w:ascii="Palatino Linotype" w:hAnsi="Palatino Linotype" w:cs="Arial"/>
          <w:sz w:val="24"/>
          <w:szCs w:val="24"/>
        </w:rPr>
        <w:t xml:space="preserve">. En </w:t>
      </w:r>
      <w:r w:rsidR="00771004" w:rsidRPr="006A7EE4">
        <w:rPr>
          <w:rFonts w:ascii="Palatino Linotype" w:hAnsi="Palatino Linotype" w:cs="Arial"/>
          <w:sz w:val="24"/>
          <w:szCs w:val="24"/>
        </w:rPr>
        <w:t xml:space="preserve">fecha </w:t>
      </w:r>
      <w:r w:rsidR="000D22E2">
        <w:rPr>
          <w:rFonts w:ascii="Palatino Linotype" w:hAnsi="Palatino Linotype" w:cs="Arial"/>
          <w:sz w:val="24"/>
          <w:szCs w:val="24"/>
        </w:rPr>
        <w:t>cuatro de noviembre</w:t>
      </w:r>
      <w:r w:rsidR="003347C3">
        <w:rPr>
          <w:rFonts w:ascii="Palatino Linotype" w:hAnsi="Palatino Linotype" w:cs="Arial"/>
          <w:sz w:val="24"/>
          <w:szCs w:val="24"/>
        </w:rPr>
        <w:t xml:space="preserve"> del dos mil veintiuno</w:t>
      </w:r>
      <w:r w:rsidR="000D22E2">
        <w:rPr>
          <w:rFonts w:ascii="Palatino Linotype" w:hAnsi="Palatino Linotype" w:cs="Arial"/>
          <w:sz w:val="24"/>
          <w:szCs w:val="24"/>
        </w:rPr>
        <w:t xml:space="preserve"> la Comisionada</w:t>
      </w:r>
      <w:r w:rsidR="003B19DA" w:rsidRPr="006A7EE4">
        <w:rPr>
          <w:rFonts w:ascii="Palatino Linotype" w:hAnsi="Palatino Linotype" w:cs="Arial"/>
          <w:sz w:val="24"/>
          <w:szCs w:val="24"/>
        </w:rPr>
        <w:t xml:space="preserve"> ponente determinó el cierre de instrucción en términos de la fracción VI del artículo 185 de la Ley de Transparencia y Acceso a la Información Pública del </w:t>
      </w:r>
      <w:r w:rsidR="003B19DA" w:rsidRPr="00763D10">
        <w:rPr>
          <w:rFonts w:ascii="Palatino Linotype" w:hAnsi="Palatino Linotype" w:cs="Arial"/>
          <w:sz w:val="24"/>
          <w:szCs w:val="24"/>
        </w:rPr>
        <w:t>Estado de México y Municipios.</w:t>
      </w:r>
    </w:p>
    <w:p w:rsidR="002E5396" w:rsidRPr="00080788" w:rsidRDefault="002E5396" w:rsidP="00266653">
      <w:pPr>
        <w:pStyle w:val="Prrafodelista"/>
        <w:numPr>
          <w:ilvl w:val="0"/>
          <w:numId w:val="1"/>
        </w:numPr>
        <w:spacing w:before="240" w:after="240" w:line="360" w:lineRule="auto"/>
        <w:ind w:left="1077"/>
        <w:contextualSpacing/>
        <w:jc w:val="center"/>
        <w:rPr>
          <w:rFonts w:ascii="Palatino Linotype" w:hAnsi="Palatino Linotype" w:cs="Arial"/>
          <w:b/>
          <w:sz w:val="24"/>
          <w:szCs w:val="24"/>
        </w:rPr>
      </w:pPr>
      <w:r w:rsidRPr="00080788">
        <w:rPr>
          <w:rFonts w:ascii="Palatino Linotype" w:hAnsi="Palatino Linotype" w:cs="Arial"/>
          <w:b/>
          <w:sz w:val="24"/>
          <w:szCs w:val="24"/>
        </w:rPr>
        <w:t>C O N S I D E R A N D O:</w:t>
      </w:r>
    </w:p>
    <w:p w:rsidR="002E5396" w:rsidRPr="00080788" w:rsidRDefault="002E5396" w:rsidP="002E5396">
      <w:pPr>
        <w:spacing w:before="240" w:after="240" w:line="360" w:lineRule="auto"/>
        <w:jc w:val="both"/>
        <w:rPr>
          <w:rFonts w:ascii="Palatino Linotype" w:hAnsi="Palatino Linotype"/>
          <w:shd w:val="clear" w:color="auto" w:fill="FFFFFF"/>
        </w:rPr>
      </w:pPr>
      <w:r w:rsidRPr="00080788">
        <w:rPr>
          <w:rFonts w:ascii="Palatino Linotype" w:hAnsi="Palatino Linotype" w:cs="Arial"/>
          <w:b/>
        </w:rPr>
        <w:t xml:space="preserve">Primero. Competencia. </w:t>
      </w:r>
      <w:r w:rsidRPr="00080788">
        <w:rPr>
          <w:rFonts w:ascii="Palatino Linotype" w:hAnsi="Palatino Linotype"/>
          <w:shd w:val="clear" w:color="auto" w:fill="FFFFFF"/>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w:t>
      </w:r>
      <w:r w:rsidR="00266653">
        <w:rPr>
          <w:rFonts w:ascii="Palatino Linotype" w:hAnsi="Palatino Linotype"/>
          <w:shd w:val="clear" w:color="auto" w:fill="FFFFFF"/>
        </w:rPr>
        <w:t>trigésimo, trigésimo primero y trigésimo segundo</w:t>
      </w:r>
      <w:r w:rsidRPr="00080788">
        <w:rPr>
          <w:rFonts w:ascii="Palatino Linotype" w:hAnsi="Palatino Linotype"/>
          <w:shd w:val="clear" w:color="auto" w:fill="FFFFFF"/>
        </w:rPr>
        <w:t xml:space="preserve">, fracciones IV y V de la Constitución Política del Estado Libre y Soberano de México; 1, 2, fracción II; 13,  29, 36, fracciones I y II; 176, 178, 179, 181 párrafo tercero y 185 de la Ley Transparencia y Acceso a la </w:t>
      </w:r>
      <w:r w:rsidRPr="00080788">
        <w:rPr>
          <w:rFonts w:ascii="Palatino Linotype" w:hAnsi="Palatino Linotype"/>
          <w:shd w:val="clear" w:color="auto" w:fill="FFFFFF"/>
        </w:rPr>
        <w:lastRenderedPageBreak/>
        <w:t>Información Pública del Estado de México y Municipios;</w:t>
      </w:r>
      <w:r w:rsidRPr="00080788">
        <w:rPr>
          <w:rStyle w:val="apple-converted-space"/>
          <w:rFonts w:ascii="Palatino Linotype" w:hAnsi="Palatino Linotype"/>
          <w:shd w:val="clear" w:color="auto" w:fill="FFFFFF"/>
        </w:rPr>
        <w:t xml:space="preserve"> </w:t>
      </w:r>
      <w:r w:rsidRPr="00080788">
        <w:rPr>
          <w:rFonts w:ascii="Palatino Linotype" w:hAnsi="Palatino Linotype" w:cs="Arial"/>
        </w:rPr>
        <w:t xml:space="preserve">9, fracciones I y XXIV y 11 </w:t>
      </w:r>
      <w:r w:rsidRPr="00080788">
        <w:rPr>
          <w:rFonts w:ascii="Palatino Linotype" w:hAnsi="Palatino Linotype"/>
          <w:shd w:val="clear" w:color="auto" w:fill="FFFFFF"/>
        </w:rPr>
        <w:t>del Reglamento Interior del Instituto de Transparencia, Acceso a la Información Pública y Protección de Datos Personales del Estado de México y Municipios.</w:t>
      </w:r>
    </w:p>
    <w:p w:rsidR="00266653" w:rsidRDefault="002E5396" w:rsidP="00266653">
      <w:pPr>
        <w:spacing w:before="240" w:after="240" w:line="360" w:lineRule="auto"/>
        <w:jc w:val="both"/>
        <w:rPr>
          <w:rFonts w:ascii="Palatino Linotype" w:eastAsia="Palatino Linotype" w:hAnsi="Palatino Linotype" w:cs="Palatino Linotype"/>
        </w:rPr>
      </w:pPr>
      <w:r w:rsidRPr="00080788">
        <w:rPr>
          <w:rFonts w:ascii="Palatino Linotype" w:hAnsi="Palatino Linotype" w:cs="Arial"/>
          <w:b/>
        </w:rPr>
        <w:t>Segundo. Oportunidad y Procedibilidad del Recurso de Revisión</w:t>
      </w:r>
      <w:r w:rsidRPr="00080788">
        <w:rPr>
          <w:rFonts w:ascii="Palatino Linotype" w:hAnsi="Palatino Linotype" w:cs="Arial"/>
        </w:rPr>
        <w:t xml:space="preserve">. De conformidad con los requisitos de Oportunidad y Procedibilidad que deben reunir los recursos de revisión interpuestos, previstos en los artículos 178 y 180 de la </w:t>
      </w:r>
      <w:r w:rsidRPr="00080788">
        <w:rPr>
          <w:rFonts w:ascii="Palatino Linotype" w:hAnsi="Palatino Linotype" w:cs="Arial"/>
          <w:lang w:eastAsia="es-MX"/>
        </w:rPr>
        <w:t xml:space="preserve">Ley de Transparencia y Acceso a la Información Pública del Estado de México y Municipios; en la especie se advierte que el presente medio de impugnación fue interpuesto dentro del plazo de quince días previsto en el primer artículo de referencia; toda vez que el Sujeto Obligado emitió su respuesta a la solicitud planteada </w:t>
      </w:r>
      <w:r w:rsidR="00FA544C">
        <w:rPr>
          <w:rFonts w:ascii="Palatino Linotype" w:hAnsi="Palatino Linotype" w:cs="Arial"/>
          <w:lang w:eastAsia="es-MX"/>
        </w:rPr>
        <w:t>po</w:t>
      </w:r>
      <w:r w:rsidR="00481306">
        <w:rPr>
          <w:rFonts w:ascii="Palatino Linotype" w:hAnsi="Palatino Linotype" w:cs="Arial"/>
          <w:lang w:eastAsia="es-MX"/>
        </w:rPr>
        <w:t>r el</w:t>
      </w:r>
      <w:r w:rsidR="00AA23D5">
        <w:rPr>
          <w:rFonts w:ascii="Palatino Linotype" w:hAnsi="Palatino Linotype" w:cs="Arial"/>
          <w:lang w:eastAsia="es-MX"/>
        </w:rPr>
        <w:t xml:space="preserve"> </w:t>
      </w:r>
      <w:r w:rsidR="00771004">
        <w:rPr>
          <w:rFonts w:ascii="Palatino Linotype" w:hAnsi="Palatino Linotype" w:cs="Arial"/>
          <w:lang w:eastAsia="es-MX"/>
        </w:rPr>
        <w:t xml:space="preserve">solicitante en fecha </w:t>
      </w:r>
      <w:r w:rsidR="000D22E2">
        <w:rPr>
          <w:rFonts w:ascii="Palatino Linotype" w:hAnsi="Palatino Linotype" w:cs="Arial"/>
          <w:lang w:eastAsia="es-MX"/>
        </w:rPr>
        <w:t>diez de septiembre</w:t>
      </w:r>
      <w:r w:rsidRPr="00080788">
        <w:rPr>
          <w:rFonts w:ascii="Palatino Linotype" w:hAnsi="Palatino Linotype" w:cs="Arial"/>
          <w:lang w:eastAsia="es-MX"/>
        </w:rPr>
        <w:t xml:space="preserve"> de</w:t>
      </w:r>
      <w:r w:rsidR="003347C3">
        <w:rPr>
          <w:rFonts w:ascii="Palatino Linotype" w:hAnsi="Palatino Linotype" w:cs="Arial"/>
          <w:lang w:eastAsia="es-MX"/>
        </w:rPr>
        <w:t>l</w:t>
      </w:r>
      <w:r w:rsidRPr="00080788">
        <w:rPr>
          <w:rFonts w:ascii="Palatino Linotype" w:hAnsi="Palatino Linotype" w:cs="Arial"/>
          <w:lang w:eastAsia="es-MX"/>
        </w:rPr>
        <w:t xml:space="preserve"> año dos</w:t>
      </w:r>
      <w:r w:rsidR="003347C3">
        <w:rPr>
          <w:rFonts w:ascii="Palatino Linotype" w:hAnsi="Palatino Linotype" w:cs="Arial"/>
          <w:lang w:eastAsia="es-MX"/>
        </w:rPr>
        <w:t xml:space="preserve"> mil veintiuno</w:t>
      </w:r>
      <w:r w:rsidR="00266653">
        <w:rPr>
          <w:rFonts w:ascii="Palatino Linotype" w:hAnsi="Palatino Linotype" w:cs="Arial"/>
          <w:lang w:eastAsia="es-MX"/>
        </w:rPr>
        <w:t xml:space="preserve"> </w:t>
      </w:r>
      <w:r w:rsidR="00266653" w:rsidRPr="00080788">
        <w:rPr>
          <w:rFonts w:ascii="Palatino Linotype" w:hAnsi="Palatino Linotype" w:cs="Arial"/>
          <w:lang w:eastAsia="es-MX"/>
        </w:rPr>
        <w:t xml:space="preserve">y el recurrente presentó </w:t>
      </w:r>
      <w:r w:rsidR="00266653">
        <w:rPr>
          <w:rFonts w:ascii="Palatino Linotype" w:hAnsi="Palatino Linotype" w:cs="Arial"/>
          <w:lang w:eastAsia="es-MX"/>
        </w:rPr>
        <w:t xml:space="preserve">su </w:t>
      </w:r>
      <w:r w:rsidR="00266653" w:rsidRPr="00080788">
        <w:rPr>
          <w:rFonts w:ascii="Palatino Linotype" w:hAnsi="Palatino Linotype" w:cs="Arial"/>
          <w:lang w:eastAsia="es-MX"/>
        </w:rPr>
        <w:t>rec</w:t>
      </w:r>
      <w:r w:rsidR="000D22E2">
        <w:rPr>
          <w:rFonts w:ascii="Palatino Linotype" w:hAnsi="Palatino Linotype" w:cs="Arial"/>
          <w:lang w:eastAsia="es-MX"/>
        </w:rPr>
        <w:t>urso de revisión el trece de septiembre</w:t>
      </w:r>
      <w:r w:rsidR="00266653">
        <w:rPr>
          <w:rFonts w:ascii="Palatino Linotype" w:hAnsi="Palatino Linotype" w:cs="Arial"/>
          <w:lang w:eastAsia="es-MX"/>
        </w:rPr>
        <w:t xml:space="preserve"> del mismo año, </w:t>
      </w:r>
      <w:r w:rsidR="000D22E2">
        <w:rPr>
          <w:rFonts w:ascii="Palatino Linotype" w:eastAsia="Palatino Linotype" w:hAnsi="Palatino Linotype" w:cs="Palatino Linotype"/>
        </w:rPr>
        <w:t>esto es al primer</w:t>
      </w:r>
      <w:r w:rsidR="00266653">
        <w:rPr>
          <w:rFonts w:ascii="Palatino Linotype" w:eastAsia="Palatino Linotype" w:hAnsi="Palatino Linotype" w:cs="Palatino Linotype"/>
        </w:rPr>
        <w:t xml:space="preserve"> día hábil siguiente de aquel en que tuvo conocimiento de la respuesta</w:t>
      </w:r>
      <w:r w:rsidR="00266653">
        <w:rPr>
          <w:rFonts w:ascii="Palatino Linotype" w:eastAsia="Palatino Linotype" w:hAnsi="Palatino Linotype" w:cs="Palatino Linotype"/>
          <w:highlight w:val="white"/>
        </w:rPr>
        <w:t>;</w:t>
      </w:r>
      <w:r w:rsidR="00266653">
        <w:rPr>
          <w:rFonts w:ascii="Palatino Linotype" w:eastAsia="Palatino Linotype" w:hAnsi="Palatino Linotype" w:cs="Palatino Linotype"/>
        </w:rPr>
        <w:t xml:space="preserve"> evidenciándose que la interposición del recurso se encuentra dentro de los márgenes temporales previstos en el citado precepto legal.</w:t>
      </w:r>
    </w:p>
    <w:p w:rsidR="000D22E2" w:rsidRDefault="000D22E2" w:rsidP="000D22E2">
      <w:pPr>
        <w:pStyle w:val="paragraph"/>
        <w:spacing w:before="0" w:beforeAutospacing="0" w:after="240" w:afterAutospacing="0" w:line="360" w:lineRule="auto"/>
        <w:ind w:right="-147"/>
        <w:contextualSpacing/>
        <w:jc w:val="both"/>
        <w:textAlignment w:val="baseline"/>
        <w:rPr>
          <w:rStyle w:val="normaltextrun"/>
          <w:rFonts w:ascii="Palatino Linotype" w:hAnsi="Palatino Linotype" w:cs="Segoe UI"/>
        </w:rPr>
      </w:pPr>
      <w:r w:rsidRPr="00FD07CE">
        <w:rPr>
          <w:rFonts w:ascii="Palatino Linotype" w:hAnsi="Palatino Linotype" w:cs="Arial"/>
        </w:rPr>
        <w:t xml:space="preserve">Así también, por </w:t>
      </w:r>
      <w:r w:rsidRPr="00080788">
        <w:rPr>
          <w:rFonts w:ascii="Palatino Linotype" w:hAnsi="Palatino Linotype" w:cs="Arial"/>
        </w:rPr>
        <w:t>cuanto hace a la procedibilidad del recurso de revisión una vez realizado el análisis del formato de interposición</w:t>
      </w:r>
      <w:r w:rsidRPr="00080788">
        <w:rPr>
          <w:rStyle w:val="normaltextrun"/>
          <w:rFonts w:ascii="Palatino Linotype" w:hAnsi="Palatino Linotype" w:cs="Segoe UI"/>
        </w:rPr>
        <w:t xml:space="preserve"> del recurso, se acreditan plenamente de todos y cada uno de los elementos formales exigidos por el artículo 180 de la</w:t>
      </w:r>
      <w:r w:rsidRPr="00080788">
        <w:rPr>
          <w:rStyle w:val="apple-converted-space"/>
          <w:rFonts w:ascii="Palatino Linotype" w:hAnsi="Palatino Linotype" w:cs="Segoe UI"/>
        </w:rPr>
        <w:t xml:space="preserve"> </w:t>
      </w:r>
      <w:r w:rsidRPr="00080788">
        <w:rPr>
          <w:rStyle w:val="normaltextrun"/>
          <w:rFonts w:ascii="Palatino Linotype" w:hAnsi="Palatino Linotype" w:cs="Segoe UI"/>
        </w:rPr>
        <w:t>Ley de Transparencia y Acceso a la Información Pública del Estado de México y Municipios, en atención a que fue presentado mediante el formato visible en</w:t>
      </w:r>
      <w:r w:rsidRPr="00080788">
        <w:rPr>
          <w:rStyle w:val="apple-converted-space"/>
          <w:rFonts w:ascii="Palatino Linotype" w:hAnsi="Palatino Linotype" w:cs="Segoe UI"/>
        </w:rPr>
        <w:t xml:space="preserve"> </w:t>
      </w:r>
      <w:r w:rsidRPr="00080788">
        <w:rPr>
          <w:rStyle w:val="normaltextrun"/>
          <w:rFonts w:ascii="Palatino Linotype" w:hAnsi="Palatino Linotype" w:cs="Segoe UI"/>
          <w:b/>
          <w:bCs/>
        </w:rPr>
        <w:t>EL</w:t>
      </w:r>
      <w:r w:rsidRPr="00080788">
        <w:rPr>
          <w:rStyle w:val="apple-converted-space"/>
          <w:rFonts w:ascii="Palatino Linotype" w:hAnsi="Palatino Linotype" w:cs="Segoe UI"/>
        </w:rPr>
        <w:t xml:space="preserve"> </w:t>
      </w:r>
      <w:r w:rsidRPr="00080788">
        <w:rPr>
          <w:rStyle w:val="normaltextrun"/>
          <w:rFonts w:ascii="Palatino Linotype" w:hAnsi="Palatino Linotype" w:cs="Segoe UI"/>
          <w:b/>
          <w:bCs/>
        </w:rPr>
        <w:t>SAIMEX</w:t>
      </w:r>
      <w:r w:rsidRPr="00080788">
        <w:rPr>
          <w:rStyle w:val="normaltextrun"/>
          <w:rFonts w:ascii="Palatino Linotype" w:hAnsi="Palatino Linotype" w:cs="Segoe UI"/>
        </w:rPr>
        <w:t>.</w:t>
      </w:r>
    </w:p>
    <w:p w:rsidR="004D6DE5" w:rsidRPr="00F470CE" w:rsidRDefault="004D6DE5" w:rsidP="004D6DE5">
      <w:pPr>
        <w:pStyle w:val="paragraph"/>
        <w:spacing w:before="0" w:beforeAutospacing="0" w:after="0" w:afterAutospacing="0" w:line="360" w:lineRule="auto"/>
        <w:ind w:right="-147"/>
        <w:contextualSpacing/>
        <w:jc w:val="both"/>
        <w:textAlignment w:val="baseline"/>
        <w:rPr>
          <w:rStyle w:val="normaltextrun"/>
          <w:rFonts w:ascii="Palatino Linotype" w:hAnsi="Palatino Linotype" w:cs="Segoe UI"/>
          <w:lang w:val="es-ES"/>
        </w:rPr>
      </w:pPr>
    </w:p>
    <w:p w:rsidR="007E6426" w:rsidRDefault="007E6426" w:rsidP="004D6DE5">
      <w:pPr>
        <w:pStyle w:val="paragraph"/>
        <w:spacing w:before="0" w:beforeAutospacing="0" w:after="0" w:afterAutospacing="0" w:line="360" w:lineRule="auto"/>
        <w:ind w:right="-147"/>
        <w:contextualSpacing/>
        <w:jc w:val="both"/>
        <w:textAlignment w:val="baseline"/>
        <w:rPr>
          <w:rStyle w:val="eop"/>
          <w:rFonts w:ascii="Palatino Linotype" w:hAnsi="Palatino Linotype" w:cs="Segoe UI"/>
        </w:rPr>
      </w:pPr>
      <w:r>
        <w:rPr>
          <w:rStyle w:val="normaltextrun"/>
          <w:rFonts w:ascii="Palatino Linotype" w:hAnsi="Palatino Linotype" w:cs="Segoe UI"/>
        </w:rPr>
        <w:t xml:space="preserve">Ahora </w:t>
      </w:r>
      <w:r w:rsidR="004D6DE5">
        <w:rPr>
          <w:rStyle w:val="normaltextrun"/>
          <w:rFonts w:ascii="Palatino Linotype" w:hAnsi="Palatino Linotype" w:cs="Segoe UI"/>
        </w:rPr>
        <w:t>bien,</w:t>
      </w:r>
      <w:r w:rsidRPr="00911351">
        <w:rPr>
          <w:rStyle w:val="normaltextrun"/>
          <w:rFonts w:ascii="Palatino Linotype" w:hAnsi="Palatino Linotype" w:cs="Segoe UI"/>
        </w:rPr>
        <w:t xml:space="preserve"> resulta procedente la interposición del </w:t>
      </w:r>
      <w:r w:rsidR="00854B1C">
        <w:rPr>
          <w:rStyle w:val="normaltextrun"/>
          <w:rFonts w:ascii="Palatino Linotype" w:hAnsi="Palatino Linotype" w:cs="Segoe UI"/>
        </w:rPr>
        <w:t xml:space="preserve">recurso, según lo aducido por </w:t>
      </w:r>
      <w:r w:rsidR="00C6202E">
        <w:rPr>
          <w:rStyle w:val="normaltextrun"/>
          <w:rFonts w:ascii="Palatino Linotype" w:hAnsi="Palatino Linotype" w:cs="Segoe UI"/>
        </w:rPr>
        <w:t>el recurrente</w:t>
      </w:r>
      <w:r w:rsidRPr="00911351">
        <w:rPr>
          <w:rStyle w:val="normaltextrun"/>
          <w:rFonts w:ascii="Palatino Linotype" w:hAnsi="Palatino Linotype" w:cs="Segoe UI"/>
        </w:rPr>
        <w:t xml:space="preserve"> en sus motivos de inconformidad, de acuerdo al artículo</w:t>
      </w:r>
      <w:r>
        <w:rPr>
          <w:rStyle w:val="apple-converted-space"/>
          <w:rFonts w:ascii="Palatino Linotype" w:hAnsi="Palatino Linotype" w:cs="Segoe UI"/>
        </w:rPr>
        <w:t xml:space="preserve"> </w:t>
      </w:r>
      <w:r>
        <w:rPr>
          <w:rStyle w:val="normaltextrun"/>
          <w:rFonts w:ascii="Palatino Linotype" w:hAnsi="Palatino Linotype" w:cs="Segoe UI"/>
        </w:rPr>
        <w:t>179</w:t>
      </w:r>
      <w:r w:rsidR="00581E90">
        <w:rPr>
          <w:rStyle w:val="normaltextrun"/>
          <w:rFonts w:ascii="Palatino Linotype" w:hAnsi="Palatino Linotype" w:cs="Segoe UI"/>
        </w:rPr>
        <w:t>,</w:t>
      </w:r>
      <w:r>
        <w:rPr>
          <w:rStyle w:val="normaltextrun"/>
          <w:rFonts w:ascii="Palatino Linotype" w:hAnsi="Palatino Linotype" w:cs="Segoe UI"/>
        </w:rPr>
        <w:t xml:space="preserve"> </w:t>
      </w:r>
      <w:r w:rsidR="00FC4004">
        <w:rPr>
          <w:rStyle w:val="normaltextrun"/>
          <w:rFonts w:ascii="Palatino Linotype" w:hAnsi="Palatino Linotype" w:cs="Segoe UI"/>
        </w:rPr>
        <w:t>fracción V</w:t>
      </w:r>
      <w:r w:rsidR="00D935A8">
        <w:rPr>
          <w:rStyle w:val="normaltextrun"/>
          <w:rFonts w:ascii="Palatino Linotype" w:hAnsi="Palatino Linotype" w:cs="Segoe UI"/>
        </w:rPr>
        <w:t>I</w:t>
      </w:r>
      <w:r>
        <w:rPr>
          <w:rStyle w:val="normaltextrun"/>
          <w:rFonts w:ascii="Palatino Linotype" w:hAnsi="Palatino Linotype" w:cs="Segoe UI"/>
        </w:rPr>
        <w:t xml:space="preserve"> </w:t>
      </w:r>
      <w:r>
        <w:rPr>
          <w:rStyle w:val="normaltextrun"/>
          <w:rFonts w:ascii="Palatino Linotype" w:hAnsi="Palatino Linotype" w:cs="Segoe UI"/>
        </w:rPr>
        <w:lastRenderedPageBreak/>
        <w:t xml:space="preserve">de la </w:t>
      </w:r>
      <w:r w:rsidRPr="00911351">
        <w:rPr>
          <w:rStyle w:val="normaltextrun"/>
          <w:rFonts w:ascii="Palatino Linotype" w:hAnsi="Palatino Linotype" w:cs="Segoe UI"/>
        </w:rPr>
        <w:t>Ley de Transparencia y Acceso a la Información Pública del Estado de México y Municipios</w:t>
      </w:r>
      <w:r>
        <w:rPr>
          <w:rStyle w:val="normaltextrun"/>
          <w:rFonts w:ascii="Palatino Linotype" w:hAnsi="Palatino Linotype" w:cs="Segoe UI"/>
        </w:rPr>
        <w:t>;</w:t>
      </w:r>
      <w:r w:rsidRPr="00911351">
        <w:rPr>
          <w:rStyle w:val="normaltextrun"/>
          <w:rFonts w:ascii="Palatino Linotype" w:hAnsi="Palatino Linotype" w:cs="Segoe UI"/>
        </w:rPr>
        <w:t xml:space="preserve"> que a la letra dice:</w:t>
      </w:r>
    </w:p>
    <w:p w:rsidR="00D935A8" w:rsidRDefault="007E6426" w:rsidP="00D935A8">
      <w:pPr>
        <w:pStyle w:val="paragraph"/>
        <w:spacing w:before="240" w:beforeAutospacing="0" w:after="240" w:afterAutospacing="0"/>
        <w:ind w:left="992" w:right="1043"/>
        <w:contextualSpacing/>
        <w:jc w:val="both"/>
        <w:textAlignment w:val="baseline"/>
        <w:rPr>
          <w:rFonts w:ascii="Palatino Linotype" w:hAnsi="Palatino Linotype"/>
          <w:i/>
          <w:sz w:val="22"/>
          <w:szCs w:val="22"/>
        </w:rPr>
      </w:pPr>
      <w:r w:rsidRPr="00911351">
        <w:rPr>
          <w:rStyle w:val="normaltextrun"/>
          <w:rFonts w:ascii="Palatino Linotype" w:hAnsi="Palatino Linotype" w:cs="Segoe UI"/>
          <w:b/>
          <w:bCs/>
          <w:i/>
          <w:iCs/>
          <w:sz w:val="22"/>
          <w:szCs w:val="22"/>
        </w:rPr>
        <w:t>“</w:t>
      </w:r>
      <w:r w:rsidRPr="00911351">
        <w:rPr>
          <w:rFonts w:ascii="Palatino Linotype" w:hAnsi="Palatino Linotype"/>
          <w:b/>
          <w:i/>
          <w:sz w:val="22"/>
          <w:szCs w:val="22"/>
        </w:rPr>
        <w:t>Artículo 179</w:t>
      </w:r>
      <w:r w:rsidRPr="00911351">
        <w:rPr>
          <w:rFonts w:ascii="Palatino Linotype" w:hAnsi="Palatino Linotype"/>
          <w:i/>
          <w:sz w:val="22"/>
          <w:szCs w:val="22"/>
        </w:rPr>
        <w:t xml:space="preserve">. </w:t>
      </w:r>
      <w:r w:rsidRPr="00911351">
        <w:rPr>
          <w:rFonts w:ascii="Palatino Linotype" w:hAnsi="Palatino Linotype"/>
          <w:b/>
          <w:i/>
          <w:sz w:val="22"/>
          <w:szCs w:val="22"/>
        </w:rPr>
        <w:t>El recurso de revisión</w:t>
      </w:r>
      <w:r w:rsidRPr="00911351">
        <w:rPr>
          <w:rFonts w:ascii="Palatino Linotype" w:hAnsi="Palatino Linotype"/>
          <w:i/>
          <w:sz w:val="22"/>
          <w:szCs w:val="22"/>
        </w:rPr>
        <w:t xml:space="preserve"> es un medio de protección que la Ley otorga a los particulares, para hacer valer su derecho de acceso a la información pública</w:t>
      </w:r>
      <w:r w:rsidRPr="00911351">
        <w:rPr>
          <w:rFonts w:ascii="Palatino Linotype" w:hAnsi="Palatino Linotype"/>
          <w:b/>
          <w:i/>
          <w:sz w:val="22"/>
          <w:szCs w:val="22"/>
        </w:rPr>
        <w:t>, y procederá en contra de las siguientes causas</w:t>
      </w:r>
      <w:r w:rsidRPr="00911351">
        <w:rPr>
          <w:rFonts w:ascii="Palatino Linotype" w:hAnsi="Palatino Linotype"/>
          <w:i/>
          <w:sz w:val="22"/>
          <w:szCs w:val="22"/>
        </w:rPr>
        <w:t>:</w:t>
      </w:r>
    </w:p>
    <w:p w:rsidR="00D935A8" w:rsidRDefault="00D935A8" w:rsidP="00D935A8">
      <w:pPr>
        <w:pStyle w:val="paragraph"/>
        <w:spacing w:before="240" w:beforeAutospacing="0" w:after="240" w:afterAutospacing="0"/>
        <w:ind w:left="992" w:right="1043"/>
        <w:contextualSpacing/>
        <w:jc w:val="both"/>
        <w:textAlignment w:val="baseline"/>
        <w:rPr>
          <w:rFonts w:ascii="Palatino Linotype" w:hAnsi="Palatino Linotype"/>
          <w:i/>
          <w:sz w:val="22"/>
          <w:szCs w:val="22"/>
        </w:rPr>
      </w:pPr>
      <w:r>
        <w:t>…</w:t>
      </w:r>
    </w:p>
    <w:p w:rsidR="007E6426" w:rsidRDefault="00D935A8" w:rsidP="00D935A8">
      <w:pPr>
        <w:pStyle w:val="paragraph"/>
        <w:spacing w:before="240" w:beforeAutospacing="0" w:after="240" w:afterAutospacing="0"/>
        <w:ind w:left="992" w:right="1043"/>
        <w:contextualSpacing/>
        <w:jc w:val="both"/>
        <w:textAlignment w:val="baseline"/>
        <w:rPr>
          <w:rFonts w:ascii="Palatino Linotype" w:hAnsi="Palatino Linotype"/>
          <w:i/>
          <w:sz w:val="22"/>
          <w:szCs w:val="22"/>
        </w:rPr>
      </w:pPr>
      <w:r w:rsidRPr="00D935A8">
        <w:rPr>
          <w:rFonts w:ascii="Palatino Linotype" w:hAnsi="Palatino Linotype"/>
          <w:i/>
          <w:sz w:val="22"/>
          <w:szCs w:val="22"/>
        </w:rPr>
        <w:t>VI. La entrega de información que no corresponda con lo solicitado</w:t>
      </w:r>
      <w:r w:rsidR="00AF3EE9" w:rsidRPr="00AF3EE9">
        <w:rPr>
          <w:rFonts w:ascii="Palatino Linotype" w:hAnsi="Palatino Linotype"/>
          <w:i/>
          <w:sz w:val="22"/>
          <w:szCs w:val="22"/>
        </w:rPr>
        <w:t>;</w:t>
      </w:r>
      <w:r w:rsidR="00AF3EE9">
        <w:rPr>
          <w:rFonts w:ascii="Palatino Linotype" w:hAnsi="Palatino Linotype"/>
          <w:i/>
          <w:sz w:val="22"/>
          <w:szCs w:val="22"/>
        </w:rPr>
        <w:t xml:space="preserve"> </w:t>
      </w:r>
      <w:r w:rsidR="00854B1C">
        <w:rPr>
          <w:rFonts w:ascii="Palatino Linotype" w:hAnsi="Palatino Linotype"/>
          <w:i/>
          <w:sz w:val="22"/>
          <w:szCs w:val="22"/>
        </w:rPr>
        <w:t>(</w:t>
      </w:r>
      <w:r w:rsidR="007E6426">
        <w:rPr>
          <w:rFonts w:ascii="Palatino Linotype" w:hAnsi="Palatino Linotype"/>
          <w:i/>
          <w:sz w:val="22"/>
          <w:szCs w:val="22"/>
        </w:rPr>
        <w:t>Sic)</w:t>
      </w:r>
    </w:p>
    <w:p w:rsidR="00D935A8" w:rsidRDefault="00D935A8" w:rsidP="00D935A8">
      <w:pPr>
        <w:pStyle w:val="paragraph"/>
        <w:spacing w:before="240" w:beforeAutospacing="0" w:after="240" w:afterAutospacing="0"/>
        <w:ind w:left="992" w:right="1043"/>
        <w:contextualSpacing/>
        <w:jc w:val="both"/>
        <w:textAlignment w:val="baseline"/>
        <w:rPr>
          <w:rFonts w:ascii="Palatino Linotype" w:hAnsi="Palatino Linotype"/>
          <w:i/>
          <w:sz w:val="22"/>
          <w:szCs w:val="22"/>
        </w:rPr>
      </w:pPr>
    </w:p>
    <w:p w:rsidR="00F15EDD" w:rsidRDefault="00AE03C3" w:rsidP="000D34A1">
      <w:pPr>
        <w:pStyle w:val="paragraph"/>
        <w:spacing w:before="0" w:beforeAutospacing="0" w:after="240" w:afterAutospacing="0" w:line="360" w:lineRule="auto"/>
        <w:ind w:right="-150"/>
        <w:jc w:val="both"/>
        <w:textAlignment w:val="baseline"/>
        <w:rPr>
          <w:rFonts w:ascii="Palatino Linotype" w:hAnsi="Palatino Linotype"/>
        </w:rPr>
      </w:pPr>
      <w:r w:rsidRPr="00080788">
        <w:rPr>
          <w:rFonts w:ascii="Palatino Linotype" w:hAnsi="Palatino Linotype" w:cs="Arial"/>
          <w:b/>
        </w:rPr>
        <w:t xml:space="preserve">Tercero. </w:t>
      </w:r>
      <w:r w:rsidR="000D34A1" w:rsidRPr="00452FB2">
        <w:rPr>
          <w:rFonts w:ascii="Palatino Linotype" w:hAnsi="Palatino Linotype" w:cs="Arial"/>
          <w:b/>
        </w:rPr>
        <w:t>Análisis de las causales de sobreseimiento.</w:t>
      </w:r>
      <w:r w:rsidR="000D34A1">
        <w:rPr>
          <w:rFonts w:ascii="Palatino Linotype" w:hAnsi="Palatino Linotype" w:cs="Arial"/>
          <w:b/>
        </w:rPr>
        <w:t xml:space="preserve"> </w:t>
      </w:r>
      <w:r w:rsidR="00F15EDD" w:rsidRPr="00EE6DBE">
        <w:rPr>
          <w:rFonts w:ascii="Palatino Linotype" w:hAnsi="Palatino Linotype"/>
        </w:rPr>
        <w:t xml:space="preserve">Es importante recordar que la materia de la solicitud </w:t>
      </w:r>
      <w:r w:rsidR="00266653">
        <w:rPr>
          <w:rFonts w:ascii="Palatino Linotype" w:hAnsi="Palatino Linotype"/>
        </w:rPr>
        <w:t>de acceso a la información d</w:t>
      </w:r>
      <w:r w:rsidR="00C6202E">
        <w:rPr>
          <w:rFonts w:ascii="Palatino Linotype" w:hAnsi="Palatino Linotype"/>
        </w:rPr>
        <w:t>el recurrente</w:t>
      </w:r>
      <w:r w:rsidR="00F15EDD" w:rsidRPr="00EE6DBE">
        <w:rPr>
          <w:rFonts w:ascii="Palatino Linotype" w:hAnsi="Palatino Linotype"/>
        </w:rPr>
        <w:t xml:space="preserve"> consistió en que el </w:t>
      </w:r>
      <w:r w:rsidR="00D935A8">
        <w:rPr>
          <w:rFonts w:ascii="Palatino Linotype" w:hAnsi="Palatino Linotype"/>
        </w:rPr>
        <w:t>Ayuntamiento de Tenancingo,</w:t>
      </w:r>
      <w:r w:rsidR="00F15EDD" w:rsidRPr="00EE6DBE">
        <w:rPr>
          <w:rFonts w:ascii="Palatino Linotype" w:hAnsi="Palatino Linotype"/>
        </w:rPr>
        <w:t xml:space="preserve"> le proporcionara vía SAIMEX, lo siguiente:</w:t>
      </w:r>
    </w:p>
    <w:p w:rsidR="00FC4004" w:rsidRDefault="00166305" w:rsidP="00166305">
      <w:pPr>
        <w:pStyle w:val="paragraph"/>
        <w:numPr>
          <w:ilvl w:val="0"/>
          <w:numId w:val="18"/>
        </w:numPr>
        <w:spacing w:before="0" w:beforeAutospacing="0" w:after="240" w:afterAutospacing="0" w:line="360" w:lineRule="auto"/>
        <w:ind w:right="-150"/>
        <w:jc w:val="both"/>
        <w:textAlignment w:val="baseline"/>
        <w:rPr>
          <w:rFonts w:ascii="Palatino Linotype" w:hAnsi="Palatino Linotype"/>
        </w:rPr>
      </w:pPr>
      <w:r>
        <w:rPr>
          <w:rFonts w:ascii="Palatino Linotype" w:hAnsi="Palatino Linotype"/>
        </w:rPr>
        <w:t>E</w:t>
      </w:r>
      <w:r w:rsidRPr="00166305">
        <w:rPr>
          <w:rFonts w:ascii="Palatino Linotype" w:hAnsi="Palatino Linotype"/>
        </w:rPr>
        <w:t>l certific</w:t>
      </w:r>
      <w:r>
        <w:rPr>
          <w:rFonts w:ascii="Palatino Linotype" w:hAnsi="Palatino Linotype"/>
        </w:rPr>
        <w:t>ado de competencia laboral del Tesorero M</w:t>
      </w:r>
      <w:r w:rsidRPr="00166305">
        <w:rPr>
          <w:rFonts w:ascii="Palatino Linotype" w:hAnsi="Palatino Linotype"/>
        </w:rPr>
        <w:t>unicipal, expedida anualmente a este año.</w:t>
      </w:r>
    </w:p>
    <w:p w:rsidR="00F15EDD" w:rsidRDefault="00F15EDD" w:rsidP="00C87077">
      <w:pPr>
        <w:autoSpaceDE w:val="0"/>
        <w:autoSpaceDN w:val="0"/>
        <w:adjustRightInd w:val="0"/>
        <w:spacing w:before="240" w:after="240" w:line="360" w:lineRule="auto"/>
        <w:jc w:val="both"/>
        <w:rPr>
          <w:rFonts w:ascii="Palatino Linotype" w:hAnsi="Palatino Linotype"/>
        </w:rPr>
      </w:pPr>
      <w:r w:rsidRPr="00F75AEC">
        <w:rPr>
          <w:rFonts w:ascii="Palatino Linotype" w:hAnsi="Palatino Linotype"/>
        </w:rPr>
        <w:t xml:space="preserve">Posteriormente el Sujeto Obligado da respuesta a la solicitud, </w:t>
      </w:r>
      <w:r w:rsidR="00EE6DBE">
        <w:rPr>
          <w:rFonts w:ascii="Palatino Linotype" w:hAnsi="Palatino Linotype"/>
        </w:rPr>
        <w:t>a través de los archivos electrónicos siguientes:</w:t>
      </w:r>
    </w:p>
    <w:p w:rsidR="00166305" w:rsidRDefault="00166305" w:rsidP="00F15EDD">
      <w:pPr>
        <w:autoSpaceDE w:val="0"/>
        <w:autoSpaceDN w:val="0"/>
        <w:adjustRightInd w:val="0"/>
        <w:spacing w:before="240" w:after="240" w:line="360" w:lineRule="auto"/>
        <w:jc w:val="both"/>
        <w:rPr>
          <w:rFonts w:ascii="Palatino Linotype" w:eastAsia="Palatino Linotype" w:hAnsi="Palatino Linotype" w:cs="Palatino Linotype"/>
        </w:rPr>
      </w:pPr>
      <w:r w:rsidRPr="002A6F11">
        <w:rPr>
          <w:rFonts w:ascii="Palatino Linotype" w:eastAsia="Palatino Linotype" w:hAnsi="Palatino Linotype" w:cs="Palatino Linotype"/>
        </w:rPr>
        <w:t>“</w:t>
      </w:r>
      <w:hyperlink r:id="rId15" w:tgtFrame="_blank" w:history="1">
        <w:r w:rsidRPr="00C373FC">
          <w:rPr>
            <w:rFonts w:ascii="Palatino Linotype" w:eastAsia="Palatino Linotype" w:hAnsi="Palatino Linotype" w:cs="Palatino Linotype"/>
          </w:rPr>
          <w:t>OFICIO SOL. 0259 RECIBIDA DE TESORERIA 2021.pdf</w:t>
        </w:r>
      </w:hyperlink>
      <w:r>
        <w:rPr>
          <w:rFonts w:ascii="Palatino Linotype" w:eastAsia="Palatino Linotype" w:hAnsi="Palatino Linotype" w:cs="Palatino Linotype"/>
        </w:rPr>
        <w:t>”, el cual contiene el oficio número PMT/TM/058/0870/2021, por medio del cual la Tesorería Municipal, informó al Secretar</w:t>
      </w:r>
      <w:r w:rsidR="00FF4888">
        <w:rPr>
          <w:rFonts w:ascii="Palatino Linotype" w:eastAsia="Palatino Linotype" w:hAnsi="Palatino Linotype" w:cs="Palatino Linotype"/>
        </w:rPr>
        <w:t>io</w:t>
      </w:r>
      <w:r>
        <w:rPr>
          <w:rFonts w:ascii="Palatino Linotype" w:eastAsia="Palatino Linotype" w:hAnsi="Palatino Linotype" w:cs="Palatino Linotype"/>
        </w:rPr>
        <w:t xml:space="preserve"> Técnico, ambos del Ayuntamiento de Tenancingo, que después de una búsqueda exhaustiva y minuciosa, en el archivo documental y sistemas de la Tesorería, adjuntó la información solicitada en formato “PDF” (archivo adjunto denominado</w:t>
      </w:r>
      <w:r w:rsidRPr="002A6F11">
        <w:rPr>
          <w:rFonts w:ascii="Palatino Linotype" w:eastAsia="Palatino Linotype" w:hAnsi="Palatino Linotype" w:cs="Palatino Linotype"/>
        </w:rPr>
        <w:t>“</w:t>
      </w:r>
      <w:hyperlink r:id="rId16" w:tgtFrame="_blank" w:history="1">
        <w:r w:rsidRPr="00C373FC">
          <w:rPr>
            <w:rFonts w:ascii="Palatino Linotype" w:eastAsia="Palatino Linotype" w:hAnsi="Palatino Linotype" w:cs="Palatino Linotype"/>
          </w:rPr>
          <w:t>R259.pdf</w:t>
        </w:r>
      </w:hyperlink>
      <w:r w:rsidRPr="002A6F11">
        <w:rPr>
          <w:rFonts w:ascii="Palatino Linotype" w:eastAsia="Palatino Linotype" w:hAnsi="Palatino Linotype" w:cs="Palatino Linotype"/>
        </w:rPr>
        <w:t>”</w:t>
      </w:r>
      <w:r>
        <w:rPr>
          <w:rFonts w:ascii="Palatino Linotype" w:eastAsia="Palatino Linotype" w:hAnsi="Palatino Linotype" w:cs="Palatino Linotype"/>
        </w:rPr>
        <w:t>).</w:t>
      </w:r>
    </w:p>
    <w:p w:rsidR="00166305" w:rsidRDefault="00166305" w:rsidP="00F15EDD">
      <w:pPr>
        <w:autoSpaceDE w:val="0"/>
        <w:autoSpaceDN w:val="0"/>
        <w:adjustRightInd w:val="0"/>
        <w:spacing w:before="240" w:after="240" w:line="360" w:lineRule="auto"/>
        <w:jc w:val="both"/>
        <w:rPr>
          <w:rFonts w:ascii="Palatino Linotype" w:eastAsia="Palatino Linotype" w:hAnsi="Palatino Linotype" w:cs="Palatino Linotype"/>
        </w:rPr>
      </w:pPr>
      <w:r w:rsidRPr="002A6F11">
        <w:rPr>
          <w:rFonts w:ascii="Palatino Linotype" w:eastAsia="Palatino Linotype" w:hAnsi="Palatino Linotype" w:cs="Palatino Linotype"/>
        </w:rPr>
        <w:t xml:space="preserve"> “</w:t>
      </w:r>
      <w:hyperlink r:id="rId17" w:tgtFrame="_blank" w:history="1">
        <w:r w:rsidRPr="00C373FC">
          <w:rPr>
            <w:rFonts w:ascii="Palatino Linotype" w:eastAsia="Palatino Linotype" w:hAnsi="Palatino Linotype" w:cs="Palatino Linotype"/>
          </w:rPr>
          <w:t>R259.pdf</w:t>
        </w:r>
      </w:hyperlink>
      <w:r w:rsidRPr="002A6F11">
        <w:rPr>
          <w:rFonts w:ascii="Palatino Linotype" w:eastAsia="Palatino Linotype" w:hAnsi="Palatino Linotype" w:cs="Palatino Linotype"/>
        </w:rPr>
        <w:t>”</w:t>
      </w:r>
      <w:r>
        <w:rPr>
          <w:rFonts w:ascii="Palatino Linotype" w:eastAsia="Palatino Linotype" w:hAnsi="Palatino Linotype" w:cs="Palatino Linotype"/>
        </w:rPr>
        <w:t>, el cual contiene en formato “PDF”</w:t>
      </w:r>
      <w:r w:rsidR="00FF4888">
        <w:rPr>
          <w:rFonts w:ascii="Palatino Linotype" w:eastAsia="Palatino Linotype" w:hAnsi="Palatino Linotype" w:cs="Palatino Linotype"/>
        </w:rPr>
        <w:t xml:space="preserve"> el nombramiento del Tesorero Municipal del Ayuntamiento de Tenancingo 2019-2021, del cuatro de mayo del año 2020.</w:t>
      </w:r>
    </w:p>
    <w:p w:rsidR="00FF3439" w:rsidRDefault="00F75AEC" w:rsidP="00F15EDD">
      <w:pPr>
        <w:autoSpaceDE w:val="0"/>
        <w:autoSpaceDN w:val="0"/>
        <w:adjustRightInd w:val="0"/>
        <w:spacing w:before="240" w:after="240" w:line="360" w:lineRule="auto"/>
        <w:jc w:val="both"/>
        <w:rPr>
          <w:rFonts w:ascii="Palatino Linotype" w:hAnsi="Palatino Linotype"/>
        </w:rPr>
      </w:pPr>
      <w:r>
        <w:rPr>
          <w:rFonts w:ascii="Palatino Linotype" w:hAnsi="Palatino Linotype"/>
        </w:rPr>
        <w:lastRenderedPageBreak/>
        <w:t>Inconforme</w:t>
      </w:r>
      <w:r w:rsidR="00F15EDD" w:rsidRPr="001E429E">
        <w:rPr>
          <w:rFonts w:ascii="Palatino Linotype" w:hAnsi="Palatino Linotype"/>
        </w:rPr>
        <w:t xml:space="preserve"> </w:t>
      </w:r>
      <w:r w:rsidR="00C6202E">
        <w:rPr>
          <w:rFonts w:ascii="Palatino Linotype" w:hAnsi="Palatino Linotype"/>
        </w:rPr>
        <w:t>el recurrente</w:t>
      </w:r>
      <w:r w:rsidR="00F15EDD">
        <w:rPr>
          <w:rFonts w:ascii="Palatino Linotype" w:hAnsi="Palatino Linotype"/>
        </w:rPr>
        <w:t xml:space="preserve"> </w:t>
      </w:r>
      <w:r>
        <w:rPr>
          <w:rFonts w:ascii="Palatino Linotype" w:hAnsi="Palatino Linotype"/>
        </w:rPr>
        <w:t xml:space="preserve">con la respuesta del Sujeto Obligado, se queja </w:t>
      </w:r>
      <w:r w:rsidR="00FF4888">
        <w:rPr>
          <w:rFonts w:ascii="Palatino Linotype" w:hAnsi="Palatino Linotype"/>
        </w:rPr>
        <w:t>medularmente porque la información que se le entregó en la respuesta no</w:t>
      </w:r>
      <w:r w:rsidR="00481306">
        <w:rPr>
          <w:rFonts w:ascii="Palatino Linotype" w:hAnsi="Palatino Linotype"/>
        </w:rPr>
        <w:t xml:space="preserve"> corresponde con lo que solicitó</w:t>
      </w:r>
      <w:r w:rsidR="00FF4888">
        <w:rPr>
          <w:rFonts w:ascii="Palatino Linotype" w:hAnsi="Palatino Linotype"/>
        </w:rPr>
        <w:t>.</w:t>
      </w:r>
    </w:p>
    <w:p w:rsidR="00F75AEC" w:rsidRDefault="00F15EDD" w:rsidP="00F15EDD">
      <w:pPr>
        <w:autoSpaceDE w:val="0"/>
        <w:autoSpaceDN w:val="0"/>
        <w:adjustRightInd w:val="0"/>
        <w:spacing w:before="240" w:after="240" w:line="360" w:lineRule="auto"/>
        <w:jc w:val="both"/>
        <w:rPr>
          <w:rFonts w:ascii="Palatino Linotype" w:hAnsi="Palatino Linotype"/>
        </w:rPr>
      </w:pPr>
      <w:r>
        <w:rPr>
          <w:rFonts w:ascii="Palatino Linotype" w:hAnsi="Palatino Linotype"/>
        </w:rPr>
        <w:t xml:space="preserve">Ante la interposición del Recurso de Revisión, el Sujeto Obligado </w:t>
      </w:r>
      <w:r w:rsidR="00F75AEC">
        <w:rPr>
          <w:rFonts w:ascii="Palatino Linotype" w:hAnsi="Palatino Linotype"/>
        </w:rPr>
        <w:t xml:space="preserve">remite en el apartado de manifestaciones </w:t>
      </w:r>
      <w:r w:rsidR="0084038C">
        <w:rPr>
          <w:rFonts w:ascii="Palatino Linotype" w:hAnsi="Palatino Linotype"/>
        </w:rPr>
        <w:t>los siguientes archivos electrónicos:</w:t>
      </w:r>
    </w:p>
    <w:p w:rsidR="00FF4888" w:rsidRDefault="00FF4888" w:rsidP="00FF4888">
      <w:pPr>
        <w:autoSpaceDE w:val="0"/>
        <w:autoSpaceDN w:val="0"/>
        <w:adjustRightInd w:val="0"/>
        <w:spacing w:before="240" w:after="240" w:line="360" w:lineRule="auto"/>
        <w:jc w:val="both"/>
        <w:rPr>
          <w:rFonts w:ascii="Palatino Linotype" w:eastAsia="Palatino Linotype" w:hAnsi="Palatino Linotype" w:cs="Palatino Linotype"/>
        </w:rPr>
      </w:pPr>
      <w:r>
        <w:rPr>
          <w:rFonts w:ascii="Palatino Linotype" w:hAnsi="Palatino Linotype" w:cs="Arial"/>
        </w:rPr>
        <w:t xml:space="preserve"> </w:t>
      </w:r>
      <w:r w:rsidRPr="000D22E2">
        <w:rPr>
          <w:rFonts w:ascii="Palatino Linotype" w:hAnsi="Palatino Linotype"/>
        </w:rPr>
        <w:t>“</w:t>
      </w:r>
      <w:hyperlink r:id="rId18" w:history="1">
        <w:r w:rsidRPr="000D22E2">
          <w:rPr>
            <w:rFonts w:ascii="Palatino Linotype" w:hAnsi="Palatino Linotype"/>
          </w:rPr>
          <w:t>MX-M464N_20210923_151955.pdf</w:t>
        </w:r>
      </w:hyperlink>
      <w:r w:rsidRPr="000D22E2">
        <w:rPr>
          <w:rFonts w:ascii="Palatino Linotype" w:hAnsi="Palatino Linotype"/>
        </w:rPr>
        <w:t>“</w:t>
      </w:r>
      <w:r>
        <w:rPr>
          <w:rFonts w:ascii="Palatino Linotype" w:hAnsi="Palatino Linotype"/>
        </w:rPr>
        <w:t xml:space="preserve">, </w:t>
      </w:r>
      <w:r>
        <w:rPr>
          <w:rFonts w:ascii="Palatino Linotype" w:eastAsia="Palatino Linotype" w:hAnsi="Palatino Linotype" w:cs="Palatino Linotype"/>
        </w:rPr>
        <w:t>el cual contiene el oficio número PMT/TM/058/0920/2021, por medio del cual la Tesorería Municipal, informó al Secretario Técnico, ambos del Ayuntamiento de Tenancingo, que después de una búsqueda exhaustiva y minuciosa, en el archivo documental y sistemas de la Tesorería, adjuntó la información solicitada en formato “PDF” (archivo adjunto denominado</w:t>
      </w:r>
      <w:r w:rsidRPr="002A6F11">
        <w:rPr>
          <w:rFonts w:ascii="Palatino Linotype" w:eastAsia="Palatino Linotype" w:hAnsi="Palatino Linotype" w:cs="Palatino Linotype"/>
        </w:rPr>
        <w:t>“</w:t>
      </w:r>
      <w:hyperlink r:id="rId19" w:tgtFrame="_blank" w:history="1">
        <w:r w:rsidRPr="00C373FC">
          <w:rPr>
            <w:rFonts w:ascii="Palatino Linotype" w:eastAsia="Palatino Linotype" w:hAnsi="Palatino Linotype" w:cs="Palatino Linotype"/>
          </w:rPr>
          <w:t>R259.pdf</w:t>
        </w:r>
      </w:hyperlink>
      <w:r w:rsidRPr="002A6F11">
        <w:rPr>
          <w:rFonts w:ascii="Palatino Linotype" w:eastAsia="Palatino Linotype" w:hAnsi="Palatino Linotype" w:cs="Palatino Linotype"/>
        </w:rPr>
        <w:t>”</w:t>
      </w:r>
      <w:r>
        <w:rPr>
          <w:rFonts w:ascii="Palatino Linotype" w:eastAsia="Palatino Linotype" w:hAnsi="Palatino Linotype" w:cs="Palatino Linotype"/>
        </w:rPr>
        <w:t>).</w:t>
      </w:r>
    </w:p>
    <w:p w:rsidR="00FF4888" w:rsidRDefault="00FF4888" w:rsidP="00FF4888">
      <w:pPr>
        <w:autoSpaceDE w:val="0"/>
        <w:autoSpaceDN w:val="0"/>
        <w:adjustRightInd w:val="0"/>
        <w:spacing w:before="240" w:after="240" w:line="360" w:lineRule="auto"/>
        <w:jc w:val="both"/>
        <w:rPr>
          <w:rFonts w:ascii="Palatino Linotype" w:eastAsia="Palatino Linotype" w:hAnsi="Palatino Linotype" w:cs="Palatino Linotype"/>
        </w:rPr>
      </w:pPr>
      <w:r>
        <w:rPr>
          <w:rFonts w:ascii="Palatino Linotype" w:hAnsi="Palatino Linotype"/>
        </w:rPr>
        <w:t>“</w:t>
      </w:r>
      <w:hyperlink r:id="rId20" w:history="1">
        <w:r w:rsidRPr="000D22E2">
          <w:rPr>
            <w:rFonts w:ascii="Palatino Linotype" w:hAnsi="Palatino Linotype"/>
          </w:rPr>
          <w:t>CERTIFICADO TESO.pdf</w:t>
        </w:r>
      </w:hyperlink>
      <w:r w:rsidRPr="000D22E2">
        <w:rPr>
          <w:rFonts w:ascii="Palatino Linotype" w:hAnsi="Palatino Linotype"/>
        </w:rPr>
        <w:t>”</w:t>
      </w:r>
      <w:r>
        <w:rPr>
          <w:rFonts w:ascii="Palatino Linotype" w:hAnsi="Palatino Linotype" w:cs="Arial"/>
        </w:rPr>
        <w:t xml:space="preserve">, </w:t>
      </w:r>
      <w:r>
        <w:rPr>
          <w:rFonts w:ascii="Palatino Linotype" w:eastAsia="Palatino Linotype" w:hAnsi="Palatino Linotype" w:cs="Palatino Linotype"/>
        </w:rPr>
        <w:t>el cual contiene en formato “PDF” el certificado de competencia laboral del Tesorero Municipal del Ayuntamiento de Tenancingo 2019-2021, del diez de diciembre del año 2020.</w:t>
      </w:r>
    </w:p>
    <w:p w:rsidR="00FF4888" w:rsidRDefault="00FF4888" w:rsidP="00C43202">
      <w:pPr>
        <w:autoSpaceDE w:val="0"/>
        <w:autoSpaceDN w:val="0"/>
        <w:adjustRightInd w:val="0"/>
        <w:spacing w:before="240" w:after="240" w:line="360" w:lineRule="auto"/>
        <w:jc w:val="both"/>
        <w:rPr>
          <w:rFonts w:ascii="Palatino Linotype" w:hAnsi="Palatino Linotype"/>
        </w:rPr>
      </w:pPr>
      <w:r>
        <w:rPr>
          <w:rFonts w:ascii="Palatino Linotype" w:hAnsi="Palatino Linotype"/>
        </w:rPr>
        <w:t>En ese sentido, si bien es cierto que el Sujeto Obligado dio respuesta en el término legal señalado para</w:t>
      </w:r>
      <w:r w:rsidR="00481306">
        <w:rPr>
          <w:rFonts w:ascii="Palatino Linotype" w:hAnsi="Palatino Linotype"/>
        </w:rPr>
        <w:t xml:space="preserve"> ello, lo cierto es, que entregó</w:t>
      </w:r>
      <w:r>
        <w:rPr>
          <w:rFonts w:ascii="Palatino Linotype" w:hAnsi="Palatino Linotype"/>
        </w:rPr>
        <w:t xml:space="preserve"> el nombramiento de su Tesorero Municipal, no así su Certificado de Competencia Laboral, lo que no corresponde a lo que se requirió en la solicitud de acceso a la información pública; sin embargo, en el apartado de manifestaciones en vía de informe justificado, </w:t>
      </w:r>
      <w:r w:rsidR="004655EA">
        <w:rPr>
          <w:rFonts w:ascii="Palatino Linotype" w:hAnsi="Palatino Linotype"/>
        </w:rPr>
        <w:t xml:space="preserve">el Sujeto Obligado a través de su Tesorero Municipal, </w:t>
      </w:r>
      <w:r>
        <w:rPr>
          <w:rFonts w:ascii="Palatino Linotype" w:hAnsi="Palatino Linotype"/>
        </w:rPr>
        <w:t>adjuntó el siguiente documento</w:t>
      </w:r>
      <w:r w:rsidR="004655EA">
        <w:rPr>
          <w:rFonts w:ascii="Palatino Linotype" w:hAnsi="Palatino Linotype"/>
        </w:rPr>
        <w:t xml:space="preserve"> en formato PDF</w:t>
      </w:r>
      <w:r>
        <w:rPr>
          <w:rFonts w:ascii="Palatino Linotype" w:hAnsi="Palatino Linotype"/>
        </w:rPr>
        <w:t>:</w:t>
      </w:r>
    </w:p>
    <w:p w:rsidR="00FF4888" w:rsidRDefault="00FF4888" w:rsidP="00C43202">
      <w:pPr>
        <w:autoSpaceDE w:val="0"/>
        <w:autoSpaceDN w:val="0"/>
        <w:adjustRightInd w:val="0"/>
        <w:spacing w:before="240" w:after="240" w:line="360" w:lineRule="auto"/>
        <w:jc w:val="both"/>
        <w:rPr>
          <w:rFonts w:ascii="Palatino Linotype" w:hAnsi="Palatino Linotype"/>
        </w:rPr>
      </w:pPr>
    </w:p>
    <w:p w:rsidR="00FF4888" w:rsidRDefault="00FF4888" w:rsidP="00C43202">
      <w:pPr>
        <w:autoSpaceDE w:val="0"/>
        <w:autoSpaceDN w:val="0"/>
        <w:adjustRightInd w:val="0"/>
        <w:spacing w:before="240" w:after="240" w:line="360" w:lineRule="auto"/>
        <w:jc w:val="both"/>
        <w:rPr>
          <w:rFonts w:ascii="Palatino Linotype" w:hAnsi="Palatino Linotype"/>
        </w:rPr>
      </w:pPr>
    </w:p>
    <w:p w:rsidR="004655EA" w:rsidRDefault="004655EA" w:rsidP="00C43202">
      <w:pPr>
        <w:autoSpaceDE w:val="0"/>
        <w:autoSpaceDN w:val="0"/>
        <w:adjustRightInd w:val="0"/>
        <w:spacing w:before="240" w:after="240" w:line="360" w:lineRule="auto"/>
        <w:jc w:val="both"/>
        <w:rPr>
          <w:rFonts w:ascii="Palatino Linotype" w:hAnsi="Palatino Linotype"/>
        </w:rPr>
      </w:pPr>
      <w:r>
        <w:rPr>
          <w:noProof/>
          <w:lang w:val="es-MX" w:eastAsia="es-MX"/>
        </w:rPr>
        <w:lastRenderedPageBreak/>
        <w:drawing>
          <wp:inline distT="0" distB="0" distL="0" distR="0" wp14:anchorId="10D2C227" wp14:editId="5F69AA0D">
            <wp:extent cx="5634990" cy="7526740"/>
            <wp:effectExtent l="0" t="0" r="381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7578" t="12106" r="21813"/>
                    <a:stretch/>
                  </pic:blipFill>
                  <pic:spPr bwMode="auto">
                    <a:xfrm>
                      <a:off x="0" y="0"/>
                      <a:ext cx="5664464" cy="7566108"/>
                    </a:xfrm>
                    <a:prstGeom prst="rect">
                      <a:avLst/>
                    </a:prstGeom>
                    <a:ln>
                      <a:noFill/>
                    </a:ln>
                    <a:extLst>
                      <a:ext uri="{53640926-AAD7-44D8-BBD7-CCE9431645EC}">
                        <a14:shadowObscured xmlns:a14="http://schemas.microsoft.com/office/drawing/2010/main"/>
                      </a:ext>
                    </a:extLst>
                  </pic:spPr>
                </pic:pic>
              </a:graphicData>
            </a:graphic>
          </wp:inline>
        </w:drawing>
      </w:r>
      <w:r w:rsidR="00D53C9E">
        <w:rPr>
          <w:rFonts w:ascii="Palatino Linotype" w:hAnsi="Palatino Linotype"/>
        </w:rPr>
        <w:t xml:space="preserve"> </w:t>
      </w:r>
    </w:p>
    <w:p w:rsidR="004655EA" w:rsidRDefault="004655EA" w:rsidP="00C43202">
      <w:pPr>
        <w:autoSpaceDE w:val="0"/>
        <w:autoSpaceDN w:val="0"/>
        <w:adjustRightInd w:val="0"/>
        <w:spacing w:before="240" w:after="240" w:line="360" w:lineRule="auto"/>
        <w:jc w:val="both"/>
        <w:rPr>
          <w:rFonts w:ascii="Palatino Linotype" w:hAnsi="Palatino Linotype"/>
        </w:rPr>
      </w:pPr>
      <w:r>
        <w:rPr>
          <w:rFonts w:ascii="Palatino Linotype" w:hAnsi="Palatino Linotype"/>
        </w:rPr>
        <w:lastRenderedPageBreak/>
        <w:t>El cual corresponde a la Certificación de Competencia Laboral del Tesorero Municipal del Ayuntamiento de Tenancingo 2019-2021, solicitado por el particular.</w:t>
      </w:r>
    </w:p>
    <w:p w:rsidR="004655EA" w:rsidRDefault="004655EA" w:rsidP="00C43202">
      <w:pPr>
        <w:autoSpaceDE w:val="0"/>
        <w:autoSpaceDN w:val="0"/>
        <w:adjustRightInd w:val="0"/>
        <w:spacing w:before="240" w:after="240" w:line="360" w:lineRule="auto"/>
        <w:jc w:val="both"/>
        <w:rPr>
          <w:rFonts w:ascii="Palatino Linotype" w:hAnsi="Palatino Linotype"/>
        </w:rPr>
      </w:pPr>
      <w:r>
        <w:rPr>
          <w:rFonts w:ascii="Palatino Linotype" w:hAnsi="Palatino Linotype"/>
        </w:rPr>
        <w:t xml:space="preserve">Ahora bien, es importante aclarar que en términos de lo señalado por los artículos 32 y </w:t>
      </w:r>
      <w:r w:rsidR="00887252">
        <w:rPr>
          <w:rFonts w:ascii="Palatino Linotype" w:hAnsi="Palatino Linotype"/>
        </w:rPr>
        <w:t xml:space="preserve">96 </w:t>
      </w:r>
      <w:r>
        <w:rPr>
          <w:rFonts w:ascii="Palatino Linotype" w:hAnsi="Palatino Linotype"/>
        </w:rPr>
        <w:t>de la Ley Orgánica Municipal del Estado de México, que señala:</w:t>
      </w:r>
    </w:p>
    <w:p w:rsidR="004655EA" w:rsidRDefault="004655EA" w:rsidP="004655EA">
      <w:pPr>
        <w:pStyle w:val="paragraph"/>
        <w:spacing w:before="240" w:beforeAutospacing="0" w:after="240" w:afterAutospacing="0"/>
        <w:ind w:left="992" w:right="1043"/>
        <w:contextualSpacing/>
        <w:jc w:val="both"/>
        <w:textAlignment w:val="baseline"/>
        <w:rPr>
          <w:rFonts w:ascii="Palatino Linotype" w:hAnsi="Palatino Linotype"/>
          <w:i/>
          <w:sz w:val="22"/>
          <w:szCs w:val="22"/>
        </w:rPr>
      </w:pPr>
      <w:r w:rsidRPr="004655EA">
        <w:rPr>
          <w:rFonts w:ascii="Palatino Linotype" w:hAnsi="Palatino Linotype"/>
          <w:b/>
          <w:i/>
          <w:sz w:val="22"/>
          <w:szCs w:val="22"/>
        </w:rPr>
        <w:t>Artículo 32. Para ocupar los cargos de</w:t>
      </w:r>
      <w:r w:rsidRPr="004655EA">
        <w:rPr>
          <w:rFonts w:ascii="Palatino Linotype" w:hAnsi="Palatino Linotype"/>
          <w:i/>
          <w:sz w:val="22"/>
          <w:szCs w:val="22"/>
        </w:rPr>
        <w:t xml:space="preserve"> Secretario; </w:t>
      </w:r>
      <w:r w:rsidRPr="004655EA">
        <w:rPr>
          <w:rFonts w:ascii="Palatino Linotype" w:hAnsi="Palatino Linotype"/>
          <w:b/>
          <w:i/>
          <w:sz w:val="22"/>
          <w:szCs w:val="22"/>
        </w:rPr>
        <w:t>Tesorero</w:t>
      </w:r>
      <w:r w:rsidRPr="004655EA">
        <w:rPr>
          <w:rFonts w:ascii="Palatino Linotype" w:hAnsi="Palatino Linotype"/>
          <w:i/>
          <w:sz w:val="22"/>
          <w:szCs w:val="22"/>
        </w:rPr>
        <w:t xml:space="preserve">; Director de Obras Públicas, de Desarrollo Económico, Director de Turismo, Coordinador General Municipal de Mejora Regulatoria, Ecología, Desarrollo Urbano, de Desarrollo Social, o equivalentes, titulares de las unidades administrativas, de Protección Civil y de los organismos auxiliares </w:t>
      </w:r>
      <w:r w:rsidRPr="004655EA">
        <w:rPr>
          <w:rFonts w:ascii="Palatino Linotype" w:hAnsi="Palatino Linotype"/>
          <w:b/>
          <w:i/>
          <w:sz w:val="22"/>
          <w:szCs w:val="22"/>
        </w:rPr>
        <w:t>se deberán satisfacer los siguientes requisitos:</w:t>
      </w:r>
      <w:r w:rsidRPr="004655EA">
        <w:rPr>
          <w:rFonts w:ascii="Palatino Linotype" w:hAnsi="Palatino Linotype"/>
          <w:i/>
          <w:sz w:val="22"/>
          <w:szCs w:val="22"/>
        </w:rPr>
        <w:t xml:space="preserve"> </w:t>
      </w:r>
    </w:p>
    <w:p w:rsidR="004655EA" w:rsidRDefault="004655EA" w:rsidP="004655EA">
      <w:pPr>
        <w:pStyle w:val="paragraph"/>
        <w:spacing w:before="240" w:beforeAutospacing="0" w:after="240" w:afterAutospacing="0"/>
        <w:ind w:left="992" w:right="1043"/>
        <w:contextualSpacing/>
        <w:jc w:val="both"/>
        <w:textAlignment w:val="baseline"/>
        <w:rPr>
          <w:rFonts w:ascii="Palatino Linotype" w:hAnsi="Palatino Linotype"/>
          <w:i/>
          <w:sz w:val="22"/>
          <w:szCs w:val="22"/>
        </w:rPr>
      </w:pPr>
      <w:r w:rsidRPr="004655EA">
        <w:rPr>
          <w:rFonts w:ascii="Palatino Linotype" w:hAnsi="Palatino Linotype"/>
          <w:i/>
          <w:sz w:val="22"/>
          <w:szCs w:val="22"/>
        </w:rPr>
        <w:t xml:space="preserve">I. Ser ciudadano del Estado en pleno uso de sus derechos; </w:t>
      </w:r>
    </w:p>
    <w:p w:rsidR="004655EA" w:rsidRDefault="004655EA" w:rsidP="004655EA">
      <w:pPr>
        <w:pStyle w:val="paragraph"/>
        <w:spacing w:before="240" w:beforeAutospacing="0" w:after="240" w:afterAutospacing="0"/>
        <w:ind w:left="992" w:right="1043"/>
        <w:contextualSpacing/>
        <w:jc w:val="both"/>
        <w:textAlignment w:val="baseline"/>
        <w:rPr>
          <w:rFonts w:ascii="Palatino Linotype" w:hAnsi="Palatino Linotype"/>
          <w:i/>
          <w:sz w:val="22"/>
          <w:szCs w:val="22"/>
        </w:rPr>
      </w:pPr>
      <w:r w:rsidRPr="004655EA">
        <w:rPr>
          <w:rFonts w:ascii="Palatino Linotype" w:hAnsi="Palatino Linotype"/>
          <w:i/>
          <w:sz w:val="22"/>
          <w:szCs w:val="22"/>
        </w:rPr>
        <w:t xml:space="preserve">II. No estar inhabilitado para desempeñar cargo, empleo, o comisión pública. III. No haber sido condenado en proceso penal, por delito intencional que amerite pena privativa de libertad; </w:t>
      </w:r>
    </w:p>
    <w:p w:rsidR="004655EA" w:rsidRDefault="004655EA" w:rsidP="004655EA">
      <w:pPr>
        <w:pStyle w:val="paragraph"/>
        <w:spacing w:before="240" w:beforeAutospacing="0" w:after="240" w:afterAutospacing="0"/>
        <w:ind w:left="992" w:right="1043"/>
        <w:contextualSpacing/>
        <w:jc w:val="both"/>
        <w:textAlignment w:val="baseline"/>
        <w:rPr>
          <w:rFonts w:ascii="Palatino Linotype" w:hAnsi="Palatino Linotype"/>
          <w:i/>
          <w:sz w:val="22"/>
          <w:szCs w:val="22"/>
        </w:rPr>
      </w:pPr>
      <w:r w:rsidRPr="004655EA">
        <w:rPr>
          <w:rFonts w:ascii="Palatino Linotype" w:hAnsi="Palatino Linotype"/>
          <w:i/>
          <w:sz w:val="22"/>
          <w:szCs w:val="22"/>
        </w:rPr>
        <w:t xml:space="preserve">IV. Contar con título profesional o acreditar experiencia mínima de un año en la materia, ante el Presidente o el Ayuntamiento, cuando sea el caso, para el desempeño de los cargos que así lo requieran; y </w:t>
      </w:r>
    </w:p>
    <w:p w:rsidR="004655EA" w:rsidRDefault="004655EA" w:rsidP="004655EA">
      <w:pPr>
        <w:pStyle w:val="paragraph"/>
        <w:spacing w:before="240" w:beforeAutospacing="0" w:after="240" w:afterAutospacing="0"/>
        <w:ind w:left="992" w:right="1043"/>
        <w:contextualSpacing/>
        <w:jc w:val="both"/>
        <w:textAlignment w:val="baseline"/>
        <w:rPr>
          <w:rFonts w:ascii="Palatino Linotype" w:hAnsi="Palatino Linotype"/>
          <w:i/>
          <w:sz w:val="22"/>
          <w:szCs w:val="22"/>
        </w:rPr>
      </w:pPr>
      <w:r w:rsidRPr="004655EA">
        <w:rPr>
          <w:rFonts w:ascii="Palatino Linotype" w:hAnsi="Palatino Linotype"/>
          <w:b/>
          <w:i/>
          <w:sz w:val="22"/>
          <w:szCs w:val="22"/>
        </w:rPr>
        <w:t>V</w:t>
      </w:r>
      <w:r w:rsidRPr="004655EA">
        <w:rPr>
          <w:rFonts w:ascii="Palatino Linotype" w:hAnsi="Palatino Linotype"/>
          <w:i/>
          <w:sz w:val="22"/>
          <w:szCs w:val="22"/>
        </w:rPr>
        <w:t xml:space="preserve">. En su caso, </w:t>
      </w:r>
      <w:r w:rsidRPr="004655EA">
        <w:rPr>
          <w:rFonts w:ascii="Palatino Linotype" w:hAnsi="Palatino Linotype"/>
          <w:b/>
          <w:i/>
          <w:sz w:val="22"/>
          <w:szCs w:val="22"/>
          <w:u w:val="single"/>
        </w:rPr>
        <w:t>contar con certificación de competencia laboral en la materia del cargo que se desempeñará, expedida por institución con reconocimiento de validez oficial. Este requisito podrá acreditarse dentro de los seis meses siguientes a la fecha en que inicien sus funciones.</w:t>
      </w:r>
      <w:r w:rsidRPr="004655EA">
        <w:rPr>
          <w:rFonts w:ascii="Palatino Linotype" w:hAnsi="Palatino Linotype"/>
          <w:i/>
          <w:sz w:val="22"/>
          <w:szCs w:val="22"/>
        </w:rPr>
        <w:t xml:space="preserve"> </w:t>
      </w:r>
    </w:p>
    <w:p w:rsidR="004655EA" w:rsidRDefault="004655EA" w:rsidP="004655EA">
      <w:pPr>
        <w:pStyle w:val="paragraph"/>
        <w:spacing w:before="240" w:beforeAutospacing="0" w:after="240" w:afterAutospacing="0"/>
        <w:ind w:left="992" w:right="1043"/>
        <w:contextualSpacing/>
        <w:jc w:val="both"/>
        <w:textAlignment w:val="baseline"/>
        <w:rPr>
          <w:rFonts w:ascii="Palatino Linotype" w:hAnsi="Palatino Linotype"/>
          <w:i/>
          <w:sz w:val="22"/>
          <w:szCs w:val="22"/>
        </w:rPr>
      </w:pPr>
      <w:r w:rsidRPr="004655EA">
        <w:rPr>
          <w:rFonts w:ascii="Palatino Linotype" w:hAnsi="Palatino Linotype"/>
          <w:i/>
          <w:sz w:val="22"/>
          <w:szCs w:val="22"/>
        </w:rPr>
        <w:t>Vencido el plazo a que se refiere el párrafo anterior, el Presidente Municipal informará al Cabildo sobre el cumplimiento de dicha certificación laboral para que, en su caso, el Ayuntamiento tome las medidas correspondientes respecto de aquellos servidores públicos que no hubiesen cumplido</w:t>
      </w:r>
      <w:r w:rsidR="00887252">
        <w:rPr>
          <w:rFonts w:ascii="Palatino Linotype" w:hAnsi="Palatino Linotype"/>
          <w:i/>
          <w:sz w:val="22"/>
          <w:szCs w:val="22"/>
        </w:rPr>
        <w:t>.</w:t>
      </w:r>
    </w:p>
    <w:p w:rsidR="00887252" w:rsidRDefault="00887252" w:rsidP="004655EA">
      <w:pPr>
        <w:pStyle w:val="paragraph"/>
        <w:spacing w:before="240" w:beforeAutospacing="0" w:after="240" w:afterAutospacing="0"/>
        <w:ind w:left="992" w:right="1043"/>
        <w:contextualSpacing/>
        <w:jc w:val="both"/>
        <w:textAlignment w:val="baseline"/>
        <w:rPr>
          <w:rFonts w:ascii="Palatino Linotype" w:hAnsi="Palatino Linotype"/>
          <w:i/>
          <w:sz w:val="22"/>
          <w:szCs w:val="22"/>
        </w:rPr>
      </w:pPr>
      <w:r>
        <w:rPr>
          <w:rFonts w:ascii="Palatino Linotype" w:hAnsi="Palatino Linotype"/>
          <w:i/>
          <w:sz w:val="22"/>
          <w:szCs w:val="22"/>
        </w:rPr>
        <w:t>…</w:t>
      </w:r>
    </w:p>
    <w:p w:rsidR="00887252" w:rsidRDefault="00887252" w:rsidP="004655EA">
      <w:pPr>
        <w:pStyle w:val="paragraph"/>
        <w:spacing w:before="240" w:beforeAutospacing="0" w:after="240" w:afterAutospacing="0"/>
        <w:ind w:left="992" w:right="1043"/>
        <w:contextualSpacing/>
        <w:jc w:val="both"/>
        <w:textAlignment w:val="baseline"/>
        <w:rPr>
          <w:rFonts w:ascii="Palatino Linotype" w:hAnsi="Palatino Linotype"/>
          <w:i/>
          <w:sz w:val="22"/>
          <w:szCs w:val="22"/>
        </w:rPr>
      </w:pPr>
      <w:r w:rsidRPr="00887252">
        <w:rPr>
          <w:rFonts w:ascii="Palatino Linotype" w:hAnsi="Palatino Linotype"/>
          <w:b/>
          <w:i/>
          <w:sz w:val="22"/>
          <w:szCs w:val="22"/>
        </w:rPr>
        <w:t>Artículo 96.- Para ser tesorero municipal se requiere, además de los requisitos del artículos 32 de esta Ley:</w:t>
      </w:r>
      <w:r w:rsidRPr="00887252">
        <w:rPr>
          <w:rFonts w:ascii="Palatino Linotype" w:hAnsi="Palatino Linotype"/>
          <w:i/>
          <w:sz w:val="22"/>
          <w:szCs w:val="22"/>
        </w:rPr>
        <w:t xml:space="preserve"> </w:t>
      </w:r>
    </w:p>
    <w:p w:rsidR="00887252" w:rsidRDefault="00887252" w:rsidP="004655EA">
      <w:pPr>
        <w:pStyle w:val="paragraph"/>
        <w:spacing w:before="240" w:beforeAutospacing="0" w:after="240" w:afterAutospacing="0"/>
        <w:ind w:left="992" w:right="1043"/>
        <w:contextualSpacing/>
        <w:jc w:val="both"/>
        <w:textAlignment w:val="baseline"/>
        <w:rPr>
          <w:rFonts w:ascii="Palatino Linotype" w:hAnsi="Palatino Linotype"/>
          <w:i/>
          <w:sz w:val="22"/>
          <w:szCs w:val="22"/>
        </w:rPr>
      </w:pPr>
      <w:r w:rsidRPr="00887252">
        <w:rPr>
          <w:rFonts w:ascii="Palatino Linotype" w:hAnsi="Palatino Linotype"/>
          <w:i/>
          <w:sz w:val="22"/>
          <w:szCs w:val="22"/>
        </w:rPr>
        <w:t xml:space="preserve">I. Tener los conocimientos suficientes para poder desempeñar el cargo, a juicio del Ayuntamiento; contar con título profesional en las áreas jurídicas, económicas o contables administrativas, con experiencia mínima de un año, con anterioridad a la fecha de su designación, y con certificación de competencia laboral en funciones expedida por el Instituto Hacendario del Estado de México o por alguna institución con reconocimiento de validez oficial, que asegure los conocimientos y habilidades para desempeñar el cargo, </w:t>
      </w:r>
      <w:r w:rsidRPr="00887252">
        <w:rPr>
          <w:rFonts w:ascii="Palatino Linotype" w:hAnsi="Palatino Linotype"/>
          <w:i/>
          <w:sz w:val="22"/>
          <w:szCs w:val="22"/>
        </w:rPr>
        <w:lastRenderedPageBreak/>
        <w:t xml:space="preserve">de conformidad con los aspectos técnicos y operativos aplicables al Estado de México; </w:t>
      </w:r>
    </w:p>
    <w:p w:rsidR="00887252" w:rsidRPr="00887252" w:rsidRDefault="00887252" w:rsidP="004655EA">
      <w:pPr>
        <w:pStyle w:val="paragraph"/>
        <w:spacing w:before="240" w:beforeAutospacing="0" w:after="240" w:afterAutospacing="0"/>
        <w:ind w:left="992" w:right="1043"/>
        <w:contextualSpacing/>
        <w:jc w:val="both"/>
        <w:textAlignment w:val="baseline"/>
        <w:rPr>
          <w:rFonts w:ascii="Palatino Linotype" w:hAnsi="Palatino Linotype"/>
          <w:b/>
          <w:i/>
          <w:sz w:val="22"/>
          <w:szCs w:val="22"/>
          <w:u w:val="single"/>
        </w:rPr>
      </w:pPr>
      <w:r w:rsidRPr="00887252">
        <w:rPr>
          <w:rFonts w:ascii="Palatino Linotype" w:hAnsi="Palatino Linotype"/>
          <w:b/>
          <w:i/>
          <w:sz w:val="22"/>
          <w:szCs w:val="22"/>
          <w:u w:val="single"/>
        </w:rPr>
        <w:t xml:space="preserve">El requisito de la certificación de competencia laboral, deberá acreditarse dentro de los seis meses siguientes a la fecha en que inicie funciones. </w:t>
      </w:r>
    </w:p>
    <w:p w:rsidR="00887252" w:rsidRDefault="00887252" w:rsidP="004655EA">
      <w:pPr>
        <w:pStyle w:val="paragraph"/>
        <w:spacing w:before="240" w:beforeAutospacing="0" w:after="240" w:afterAutospacing="0"/>
        <w:ind w:left="992" w:right="1043"/>
        <w:contextualSpacing/>
        <w:jc w:val="both"/>
        <w:textAlignment w:val="baseline"/>
        <w:rPr>
          <w:rFonts w:ascii="Palatino Linotype" w:hAnsi="Palatino Linotype"/>
          <w:i/>
          <w:sz w:val="22"/>
          <w:szCs w:val="22"/>
        </w:rPr>
      </w:pPr>
      <w:r w:rsidRPr="00887252">
        <w:rPr>
          <w:rFonts w:ascii="Palatino Linotype" w:hAnsi="Palatino Linotype"/>
          <w:i/>
          <w:sz w:val="22"/>
          <w:szCs w:val="22"/>
        </w:rPr>
        <w:t xml:space="preserve">II. Caucionar el manejo de los fondos municipales, por un monto equivalente al uno al millar del importe correspondiente a los ingresos propios del municipio y las participaciones que en ingresos federales y estatales le correspondieron en el ejercicio inmediato anterior; </w:t>
      </w:r>
    </w:p>
    <w:p w:rsidR="00887252" w:rsidRDefault="00887252" w:rsidP="004655EA">
      <w:pPr>
        <w:pStyle w:val="paragraph"/>
        <w:spacing w:before="240" w:beforeAutospacing="0" w:after="240" w:afterAutospacing="0"/>
        <w:ind w:left="992" w:right="1043"/>
        <w:contextualSpacing/>
        <w:jc w:val="both"/>
        <w:textAlignment w:val="baseline"/>
        <w:rPr>
          <w:rFonts w:ascii="Palatino Linotype" w:hAnsi="Palatino Linotype"/>
          <w:i/>
          <w:sz w:val="22"/>
          <w:szCs w:val="22"/>
        </w:rPr>
      </w:pPr>
      <w:r w:rsidRPr="00887252">
        <w:rPr>
          <w:rFonts w:ascii="Palatino Linotype" w:hAnsi="Palatino Linotype"/>
          <w:i/>
          <w:sz w:val="22"/>
          <w:szCs w:val="22"/>
        </w:rPr>
        <w:t>III. Derogada</w:t>
      </w:r>
      <w:r>
        <w:rPr>
          <w:rFonts w:ascii="Palatino Linotype" w:hAnsi="Palatino Linotype"/>
          <w:i/>
          <w:sz w:val="22"/>
          <w:szCs w:val="22"/>
        </w:rPr>
        <w:t>.</w:t>
      </w:r>
    </w:p>
    <w:p w:rsidR="00887252" w:rsidRPr="004655EA" w:rsidRDefault="00887252" w:rsidP="004655EA">
      <w:pPr>
        <w:pStyle w:val="paragraph"/>
        <w:spacing w:before="240" w:beforeAutospacing="0" w:after="240" w:afterAutospacing="0"/>
        <w:ind w:left="992" w:right="1043"/>
        <w:contextualSpacing/>
        <w:jc w:val="both"/>
        <w:textAlignment w:val="baseline"/>
        <w:rPr>
          <w:rFonts w:ascii="Palatino Linotype" w:hAnsi="Palatino Linotype"/>
          <w:i/>
          <w:sz w:val="22"/>
          <w:szCs w:val="22"/>
        </w:rPr>
      </w:pPr>
      <w:r w:rsidRPr="00887252">
        <w:rPr>
          <w:rFonts w:ascii="Palatino Linotype" w:hAnsi="Palatino Linotype"/>
          <w:i/>
          <w:sz w:val="22"/>
          <w:szCs w:val="22"/>
        </w:rPr>
        <w:t>IV. Cumplir con otros requisitos que señalen las leyes, o acuerde el ayuntamiento.</w:t>
      </w:r>
    </w:p>
    <w:p w:rsidR="00D37525" w:rsidRDefault="00D37525" w:rsidP="00D37525">
      <w:pPr>
        <w:autoSpaceDE w:val="0"/>
        <w:autoSpaceDN w:val="0"/>
        <w:adjustRightInd w:val="0"/>
        <w:spacing w:before="240" w:after="240" w:line="360" w:lineRule="auto"/>
        <w:contextualSpacing/>
        <w:jc w:val="both"/>
        <w:rPr>
          <w:rFonts w:ascii="Palatino Linotype" w:hAnsi="Palatino Linotype"/>
        </w:rPr>
      </w:pPr>
    </w:p>
    <w:p w:rsidR="004655EA" w:rsidRDefault="00887252" w:rsidP="00D37525">
      <w:pPr>
        <w:autoSpaceDE w:val="0"/>
        <w:autoSpaceDN w:val="0"/>
        <w:adjustRightInd w:val="0"/>
        <w:spacing w:before="240" w:after="240" w:line="360" w:lineRule="auto"/>
        <w:contextualSpacing/>
        <w:jc w:val="both"/>
        <w:rPr>
          <w:rFonts w:ascii="Palatino Linotype" w:hAnsi="Palatino Linotype"/>
        </w:rPr>
      </w:pPr>
      <w:r>
        <w:rPr>
          <w:rFonts w:ascii="Palatino Linotype" w:hAnsi="Palatino Linotype"/>
        </w:rPr>
        <w:t>En donde se advierte que El Tesorero Municipal, tiene seis meses para acreditar su competencia laborar, circunstancia que se actualizó en el presente asunto, en atención a que el nombramiento del Tesorero Municipal del Sujeto Obligado que remitió en respuesta, se advierte que</w:t>
      </w:r>
      <w:r w:rsidR="00481306">
        <w:rPr>
          <w:rFonts w:ascii="Palatino Linotype" w:hAnsi="Palatino Linotype"/>
        </w:rPr>
        <w:t xml:space="preserve"> comenzó sus funciones en el mes</w:t>
      </w:r>
      <w:r>
        <w:rPr>
          <w:rFonts w:ascii="Palatino Linotype" w:hAnsi="Palatino Linotype"/>
        </w:rPr>
        <w:t xml:space="preserve"> de mayo del dos mil veinte y la certificación de competencia laboral del Tesorero Municipal del Sujeto Obligado, que se remitió en el apartado de manifestaciones es de diciembre del dos mil veinte, lo que se entiende que dicha certificación de competencia laboral es la vigente que tiene el Ayuntamiento de Tenancingo al once de agosto del año 2021 (fecha de la solicitud).</w:t>
      </w:r>
    </w:p>
    <w:p w:rsidR="00D37525" w:rsidRDefault="00D37525" w:rsidP="00D37525">
      <w:pPr>
        <w:autoSpaceDE w:val="0"/>
        <w:autoSpaceDN w:val="0"/>
        <w:adjustRightInd w:val="0"/>
        <w:spacing w:before="240" w:after="240" w:line="360" w:lineRule="auto"/>
        <w:contextualSpacing/>
        <w:jc w:val="both"/>
        <w:rPr>
          <w:rFonts w:ascii="Palatino Linotype" w:hAnsi="Palatino Linotype"/>
        </w:rPr>
      </w:pPr>
    </w:p>
    <w:p w:rsidR="00887252" w:rsidRDefault="00887252" w:rsidP="00C43202">
      <w:pPr>
        <w:autoSpaceDE w:val="0"/>
        <w:autoSpaceDN w:val="0"/>
        <w:adjustRightInd w:val="0"/>
        <w:spacing w:before="240" w:after="240" w:line="360" w:lineRule="auto"/>
        <w:jc w:val="both"/>
        <w:rPr>
          <w:rFonts w:ascii="Palatino Linotype" w:hAnsi="Palatino Linotype"/>
        </w:rPr>
      </w:pPr>
      <w:r>
        <w:rPr>
          <w:rFonts w:ascii="Palatino Linotype" w:hAnsi="Palatino Linotype"/>
        </w:rPr>
        <w:t>Lo que se robustece, con la siguiente imagen del Directorio de la Administración Pública Municipal de Tenancingo 2019-2021, que tiene publicado en su página de internet oficial, consultada en la fecha diez de noviembre del año dos mil veintiuno, en donde el Tesorero M</w:t>
      </w:r>
      <w:r w:rsidR="00D37525">
        <w:rPr>
          <w:rFonts w:ascii="Palatino Linotype" w:hAnsi="Palatino Linotype"/>
        </w:rPr>
        <w:t xml:space="preserve">unicipal, </w:t>
      </w:r>
      <w:r>
        <w:rPr>
          <w:rFonts w:ascii="Palatino Linotype" w:hAnsi="Palatino Linotype"/>
        </w:rPr>
        <w:t xml:space="preserve">actualmente, corresponde al señalado en el Certificado de Competencia Laboral, referido: </w:t>
      </w:r>
    </w:p>
    <w:p w:rsidR="00D37525" w:rsidRDefault="00D37525" w:rsidP="00C43202">
      <w:pPr>
        <w:autoSpaceDE w:val="0"/>
        <w:autoSpaceDN w:val="0"/>
        <w:adjustRightInd w:val="0"/>
        <w:spacing w:before="240" w:after="240" w:line="360" w:lineRule="auto"/>
        <w:jc w:val="both"/>
        <w:rPr>
          <w:rFonts w:ascii="Palatino Linotype" w:hAnsi="Palatino Linotype"/>
        </w:rPr>
      </w:pPr>
      <w:r>
        <w:rPr>
          <w:noProof/>
          <w:lang w:val="es-MX" w:eastAsia="es-MX"/>
        </w:rPr>
        <w:lastRenderedPageBreak/>
        <w:drawing>
          <wp:inline distT="0" distB="0" distL="0" distR="0" wp14:anchorId="025F777F" wp14:editId="3D561241">
            <wp:extent cx="5641582" cy="1753737"/>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6538" t="6054" r="16343" b="63749"/>
                    <a:stretch/>
                  </pic:blipFill>
                  <pic:spPr bwMode="auto">
                    <a:xfrm>
                      <a:off x="0" y="0"/>
                      <a:ext cx="5658828" cy="1759098"/>
                    </a:xfrm>
                    <a:prstGeom prst="rect">
                      <a:avLst/>
                    </a:prstGeom>
                    <a:ln>
                      <a:noFill/>
                    </a:ln>
                    <a:extLst>
                      <a:ext uri="{53640926-AAD7-44D8-BBD7-CCE9431645EC}">
                        <a14:shadowObscured xmlns:a14="http://schemas.microsoft.com/office/drawing/2010/main"/>
                      </a:ext>
                    </a:extLst>
                  </pic:spPr>
                </pic:pic>
              </a:graphicData>
            </a:graphic>
          </wp:inline>
        </w:drawing>
      </w:r>
      <w:r>
        <w:rPr>
          <w:noProof/>
          <w:lang w:val="es-MX" w:eastAsia="es-MX"/>
        </w:rPr>
        <w:drawing>
          <wp:inline distT="0" distB="0" distL="0" distR="0" wp14:anchorId="57720490" wp14:editId="2CF6F6AD">
            <wp:extent cx="5581227" cy="859809"/>
            <wp:effectExtent l="0" t="0" r="63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2494" t="63773" r="34293" b="28497"/>
                    <a:stretch/>
                  </pic:blipFill>
                  <pic:spPr bwMode="auto">
                    <a:xfrm>
                      <a:off x="0" y="0"/>
                      <a:ext cx="5620400" cy="865844"/>
                    </a:xfrm>
                    <a:prstGeom prst="rect">
                      <a:avLst/>
                    </a:prstGeom>
                    <a:ln>
                      <a:noFill/>
                    </a:ln>
                    <a:extLst>
                      <a:ext uri="{53640926-AAD7-44D8-BBD7-CCE9431645EC}">
                        <a14:shadowObscured xmlns:a14="http://schemas.microsoft.com/office/drawing/2010/main"/>
                      </a:ext>
                    </a:extLst>
                  </pic:spPr>
                </pic:pic>
              </a:graphicData>
            </a:graphic>
          </wp:inline>
        </w:drawing>
      </w:r>
    </w:p>
    <w:p w:rsidR="00C65C6D" w:rsidRPr="00D26C76" w:rsidRDefault="00F15EDD" w:rsidP="00C65C6D">
      <w:pPr>
        <w:autoSpaceDE w:val="0"/>
        <w:autoSpaceDN w:val="0"/>
        <w:adjustRightInd w:val="0"/>
        <w:spacing w:before="240" w:after="240" w:line="360" w:lineRule="auto"/>
        <w:jc w:val="both"/>
        <w:rPr>
          <w:rFonts w:ascii="Palatino Linotype" w:eastAsia="Calibri" w:hAnsi="Palatino Linotype"/>
        </w:rPr>
      </w:pPr>
      <w:r w:rsidRPr="00A3483A">
        <w:rPr>
          <w:rFonts w:ascii="Palatino Linotype" w:hAnsi="Palatino Linotype"/>
        </w:rPr>
        <w:t>En conclus</w:t>
      </w:r>
      <w:r w:rsidR="00C62A48" w:rsidRPr="00A3483A">
        <w:rPr>
          <w:rFonts w:ascii="Palatino Linotype" w:hAnsi="Palatino Linotype"/>
        </w:rPr>
        <w:t xml:space="preserve">ión, se tiene </w:t>
      </w:r>
      <w:r w:rsidR="00E827A0" w:rsidRPr="00A3483A">
        <w:rPr>
          <w:rFonts w:ascii="Palatino Linotype" w:hAnsi="Palatino Linotype"/>
        </w:rPr>
        <w:t>que,</w:t>
      </w:r>
      <w:r w:rsidR="00C62A48" w:rsidRPr="00A3483A">
        <w:rPr>
          <w:rFonts w:ascii="Palatino Linotype" w:hAnsi="Palatino Linotype"/>
        </w:rPr>
        <w:t xml:space="preserve"> con </w:t>
      </w:r>
      <w:r w:rsidR="00E827A0" w:rsidRPr="00A3483A">
        <w:rPr>
          <w:rFonts w:ascii="Palatino Linotype" w:hAnsi="Palatino Linotype"/>
        </w:rPr>
        <w:t>los</w:t>
      </w:r>
      <w:r w:rsidR="00C62A48" w:rsidRPr="00A3483A">
        <w:rPr>
          <w:rFonts w:ascii="Palatino Linotype" w:hAnsi="Palatino Linotype"/>
        </w:rPr>
        <w:t xml:space="preserve"> archivo</w:t>
      </w:r>
      <w:r w:rsidR="00E827A0" w:rsidRPr="00A3483A">
        <w:rPr>
          <w:rFonts w:ascii="Palatino Linotype" w:hAnsi="Palatino Linotype"/>
        </w:rPr>
        <w:t>s</w:t>
      </w:r>
      <w:r w:rsidR="00C62A48" w:rsidRPr="00A3483A">
        <w:rPr>
          <w:rFonts w:ascii="Palatino Linotype" w:hAnsi="Palatino Linotype"/>
        </w:rPr>
        <w:t xml:space="preserve"> electrónico</w:t>
      </w:r>
      <w:r w:rsidR="00E827A0" w:rsidRPr="00A3483A">
        <w:rPr>
          <w:rFonts w:ascii="Palatino Linotype" w:hAnsi="Palatino Linotype"/>
        </w:rPr>
        <w:t>s</w:t>
      </w:r>
      <w:r w:rsidRPr="00A3483A">
        <w:rPr>
          <w:rFonts w:ascii="Palatino Linotype" w:hAnsi="Palatino Linotype"/>
        </w:rPr>
        <w:t xml:space="preserve"> enviado</w:t>
      </w:r>
      <w:r w:rsidR="00E827A0" w:rsidRPr="00A3483A">
        <w:rPr>
          <w:rFonts w:ascii="Palatino Linotype" w:hAnsi="Palatino Linotype"/>
        </w:rPr>
        <w:t>s</w:t>
      </w:r>
      <w:r w:rsidRPr="00A3483A">
        <w:rPr>
          <w:rFonts w:ascii="Palatino Linotype" w:hAnsi="Palatino Linotype"/>
        </w:rPr>
        <w:t xml:space="preserve"> por el Sujeto Obligado en </w:t>
      </w:r>
      <w:r w:rsidR="00C62A48" w:rsidRPr="00A3483A">
        <w:rPr>
          <w:rFonts w:ascii="Palatino Linotype" w:hAnsi="Palatino Linotype"/>
        </w:rPr>
        <w:t>el apartado de manifestaciones del Sistema de Acceso a la Información Mexiquense</w:t>
      </w:r>
      <w:r w:rsidR="00C65C6D" w:rsidRPr="00513B76">
        <w:rPr>
          <w:rFonts w:ascii="Palatino Linotype" w:hAnsi="Palatino Linotype"/>
        </w:rPr>
        <w:t xml:space="preserve">, </w:t>
      </w:r>
      <w:r w:rsidR="00C65C6D">
        <w:rPr>
          <w:rFonts w:ascii="Palatino Linotype" w:eastAsia="Calibri" w:hAnsi="Palatino Linotype" w:cs="Arial"/>
        </w:rPr>
        <w:t>modifica su respuesta inicial al subsanar</w:t>
      </w:r>
      <w:r w:rsidR="00C65C6D" w:rsidRPr="00513B76">
        <w:rPr>
          <w:rFonts w:ascii="Palatino Linotype" w:eastAsia="Calibri" w:hAnsi="Palatino Linotype" w:cs="Arial"/>
        </w:rPr>
        <w:t xml:space="preserve"> la omisión en que incurrió</w:t>
      </w:r>
      <w:r w:rsidR="00C65C6D">
        <w:rPr>
          <w:rFonts w:ascii="Palatino Linotype" w:eastAsia="Calibri" w:hAnsi="Palatino Linotype" w:cs="Arial"/>
        </w:rPr>
        <w:t xml:space="preserve">, al remitir </w:t>
      </w:r>
      <w:r w:rsidR="00D37525">
        <w:rPr>
          <w:rFonts w:ascii="Palatino Linotype" w:eastAsia="Calibri" w:hAnsi="Palatino Linotype" w:cs="Arial"/>
        </w:rPr>
        <w:t>la Certificación de Competencia Laboral de su Tesorero Municipal</w:t>
      </w:r>
      <w:r w:rsidR="00C65C6D" w:rsidRPr="00513B76">
        <w:rPr>
          <w:rFonts w:ascii="Palatino Linotype" w:eastAsia="Calibri" w:hAnsi="Palatino Linotype" w:cs="Arial"/>
        </w:rPr>
        <w:t>, e</w:t>
      </w:r>
      <w:r w:rsidR="00C65C6D" w:rsidRPr="00513B76">
        <w:rPr>
          <w:rFonts w:ascii="Palatino Linotype" w:eastAsia="Calibri" w:hAnsi="Palatino Linotype"/>
        </w:rPr>
        <w:t>n consecuencia, se actualiza la causal de sobrese</w:t>
      </w:r>
      <w:r w:rsidR="00C65C6D">
        <w:rPr>
          <w:rFonts w:ascii="Palatino Linotype" w:eastAsia="Calibri" w:hAnsi="Palatino Linotype"/>
        </w:rPr>
        <w:t>imiento prevista en la fracción III</w:t>
      </w:r>
      <w:r w:rsidR="00C65C6D" w:rsidRPr="00513B76">
        <w:rPr>
          <w:rFonts w:ascii="Palatino Linotype" w:eastAsia="Calibri" w:hAnsi="Palatino Linotype"/>
        </w:rPr>
        <w:t xml:space="preserve"> </w:t>
      </w:r>
      <w:r w:rsidR="00C65C6D">
        <w:rPr>
          <w:rFonts w:ascii="Palatino Linotype" w:eastAsia="Calibri" w:hAnsi="Palatino Linotype"/>
        </w:rPr>
        <w:t xml:space="preserve">del artículo 192 de la </w:t>
      </w:r>
      <w:r w:rsidR="00C65C6D">
        <w:rPr>
          <w:rFonts w:ascii="Palatino Linotype" w:eastAsia="Calibri" w:hAnsi="Palatino Linotype" w:cs="Arial"/>
        </w:rPr>
        <w:t>Ley de Transparencia y Acceso a la Información Pública del Estado de México y Municipios</w:t>
      </w:r>
      <w:r w:rsidR="00C65C6D">
        <w:rPr>
          <w:rFonts w:ascii="Palatino Linotype" w:eastAsia="Calibri" w:hAnsi="Palatino Linotype"/>
        </w:rPr>
        <w:t>, que dispone lo siguiente:</w:t>
      </w:r>
    </w:p>
    <w:p w:rsidR="00C65C6D" w:rsidRDefault="00C65C6D" w:rsidP="00C65C6D">
      <w:pPr>
        <w:autoSpaceDE w:val="0"/>
        <w:autoSpaceDN w:val="0"/>
        <w:adjustRightInd w:val="0"/>
        <w:spacing w:before="240" w:after="240"/>
        <w:ind w:left="992" w:right="1043"/>
        <w:contextualSpacing/>
        <w:jc w:val="both"/>
        <w:rPr>
          <w:rFonts w:ascii="Palatino Linotype" w:hAnsi="Palatino Linotype" w:cs="Bookman Old Style"/>
          <w:i/>
          <w:sz w:val="22"/>
          <w:szCs w:val="22"/>
        </w:rPr>
      </w:pPr>
      <w:r w:rsidRPr="00B33B44">
        <w:rPr>
          <w:rFonts w:ascii="Palatino Linotype" w:hAnsi="Palatino Linotype" w:cs="Bookman Old Style"/>
          <w:b/>
          <w:bCs/>
          <w:i/>
          <w:sz w:val="22"/>
          <w:szCs w:val="22"/>
        </w:rPr>
        <w:t xml:space="preserve">“Artículo 192. </w:t>
      </w:r>
      <w:r w:rsidRPr="00B33B44">
        <w:rPr>
          <w:rFonts w:ascii="Palatino Linotype" w:hAnsi="Palatino Linotype" w:cs="Bookman Old Style"/>
          <w:i/>
          <w:sz w:val="22"/>
          <w:szCs w:val="22"/>
        </w:rPr>
        <w:t>El recurso será sobreseído en todo o en parte cuando una vez admitido, se actualicen alguno de los siguientes supuestos:</w:t>
      </w:r>
    </w:p>
    <w:p w:rsidR="00C65C6D" w:rsidRPr="00B33B44" w:rsidRDefault="00C65C6D" w:rsidP="00C65C6D">
      <w:pPr>
        <w:autoSpaceDE w:val="0"/>
        <w:autoSpaceDN w:val="0"/>
        <w:adjustRightInd w:val="0"/>
        <w:spacing w:before="240" w:after="240"/>
        <w:ind w:left="992" w:right="1043"/>
        <w:contextualSpacing/>
        <w:jc w:val="both"/>
        <w:rPr>
          <w:rFonts w:ascii="Palatino Linotype" w:hAnsi="Palatino Linotype" w:cs="Bookman Old Style"/>
          <w:i/>
          <w:sz w:val="22"/>
          <w:szCs w:val="22"/>
        </w:rPr>
      </w:pPr>
      <w:r>
        <w:rPr>
          <w:rFonts w:ascii="Palatino Linotype" w:hAnsi="Palatino Linotype" w:cs="Bookman Old Style"/>
          <w:b/>
          <w:bCs/>
          <w:i/>
          <w:sz w:val="22"/>
          <w:szCs w:val="22"/>
        </w:rPr>
        <w:t>…</w:t>
      </w:r>
    </w:p>
    <w:p w:rsidR="00C65C6D" w:rsidRPr="00B33B44" w:rsidRDefault="00C65C6D" w:rsidP="00C65C6D">
      <w:pPr>
        <w:autoSpaceDE w:val="0"/>
        <w:autoSpaceDN w:val="0"/>
        <w:adjustRightInd w:val="0"/>
        <w:spacing w:before="240" w:after="240"/>
        <w:ind w:left="992" w:right="1043"/>
        <w:contextualSpacing/>
        <w:jc w:val="both"/>
        <w:rPr>
          <w:rFonts w:ascii="Palatino Linotype" w:hAnsi="Palatino Linotype" w:cs="Bookman Old Style"/>
          <w:b/>
          <w:i/>
          <w:sz w:val="22"/>
          <w:szCs w:val="22"/>
        </w:rPr>
      </w:pPr>
      <w:r w:rsidRPr="00D912A5">
        <w:rPr>
          <w:rFonts w:ascii="Palatino Linotype" w:hAnsi="Palatino Linotype" w:cs="Bookman Old Style"/>
          <w:b/>
          <w:bCs/>
          <w:i/>
          <w:sz w:val="22"/>
          <w:szCs w:val="22"/>
        </w:rPr>
        <w:t>III.</w:t>
      </w:r>
      <w:r w:rsidRPr="00D912A5">
        <w:rPr>
          <w:rFonts w:ascii="Palatino Linotype" w:hAnsi="Palatino Linotype" w:cs="Bookman Old Style"/>
          <w:b/>
          <w:i/>
          <w:sz w:val="22"/>
          <w:szCs w:val="22"/>
        </w:rPr>
        <w:t xml:space="preserve"> El sujeto obligado responsable del acto lo modifique o revoque de tal manera que el recurso de revisión quede sin materia</w:t>
      </w:r>
      <w:r>
        <w:rPr>
          <w:rFonts w:ascii="Palatino Linotype" w:hAnsi="Palatino Linotype" w:cs="Bookman Old Style"/>
          <w:b/>
          <w:i/>
          <w:sz w:val="22"/>
          <w:szCs w:val="22"/>
        </w:rPr>
        <w:t>…</w:t>
      </w:r>
      <w:r w:rsidRPr="00B33B44">
        <w:rPr>
          <w:rFonts w:ascii="Palatino Linotype" w:hAnsi="Palatino Linotype" w:cs="Bookman Old Style"/>
          <w:b/>
          <w:i/>
          <w:sz w:val="22"/>
          <w:szCs w:val="22"/>
        </w:rPr>
        <w:t>”. (Sic)</w:t>
      </w:r>
    </w:p>
    <w:p w:rsidR="00C65C6D" w:rsidRDefault="00C65C6D" w:rsidP="00C65C6D">
      <w:pPr>
        <w:spacing w:before="240" w:after="240" w:line="360" w:lineRule="auto"/>
        <w:contextualSpacing/>
        <w:jc w:val="both"/>
        <w:rPr>
          <w:rFonts w:ascii="Palatino Linotype" w:hAnsi="Palatino Linotype" w:cs="Bookman Old Style"/>
          <w:b/>
          <w:i/>
        </w:rPr>
      </w:pPr>
    </w:p>
    <w:p w:rsidR="00C65C6D" w:rsidRDefault="00C65C6D" w:rsidP="00C65C6D">
      <w:pPr>
        <w:spacing w:before="240" w:after="240" w:line="360" w:lineRule="auto"/>
        <w:jc w:val="both"/>
        <w:rPr>
          <w:rFonts w:ascii="Palatino Linotype" w:hAnsi="Palatino Linotype"/>
        </w:rPr>
      </w:pPr>
      <w:r>
        <w:rPr>
          <w:rFonts w:ascii="Palatino Linotype" w:hAnsi="Palatino Linotype"/>
        </w:rPr>
        <w:t>De lo establecido en el precepto legal citado se advierte que el sobreseimiento del recurso de revisión procede en los siguientes casos:</w:t>
      </w:r>
    </w:p>
    <w:p w:rsidR="00C65C6D" w:rsidRDefault="00C65C6D" w:rsidP="00C65C6D">
      <w:pPr>
        <w:spacing w:before="240" w:after="240" w:line="360" w:lineRule="auto"/>
        <w:jc w:val="both"/>
        <w:rPr>
          <w:rFonts w:ascii="Palatino Linotype" w:hAnsi="Palatino Linotype"/>
        </w:rPr>
      </w:pPr>
      <w:r>
        <w:rPr>
          <w:rFonts w:ascii="Palatino Linotype" w:hAnsi="Palatino Linotype"/>
        </w:rPr>
        <w:t>a) Cuando el sujeto obligado modifique el acto impugnado.</w:t>
      </w:r>
    </w:p>
    <w:p w:rsidR="00C65C6D" w:rsidRDefault="00C65C6D" w:rsidP="00C65C6D">
      <w:pPr>
        <w:spacing w:before="240" w:after="240" w:line="360" w:lineRule="auto"/>
        <w:jc w:val="both"/>
        <w:rPr>
          <w:rFonts w:ascii="Palatino Linotype" w:hAnsi="Palatino Linotype"/>
        </w:rPr>
      </w:pPr>
      <w:r>
        <w:rPr>
          <w:rFonts w:ascii="Palatino Linotype" w:hAnsi="Palatino Linotype"/>
        </w:rPr>
        <w:lastRenderedPageBreak/>
        <w:t>b) Cuando el sujeto obligado revoque el acto impugnado.</w:t>
      </w:r>
    </w:p>
    <w:p w:rsidR="00C65C6D" w:rsidRDefault="00C65C6D" w:rsidP="00C65C6D">
      <w:pPr>
        <w:spacing w:before="240" w:after="240" w:line="360" w:lineRule="auto"/>
        <w:jc w:val="both"/>
        <w:rPr>
          <w:rFonts w:ascii="Palatino Linotype" w:hAnsi="Palatino Linotype" w:cs="Arial"/>
        </w:rPr>
      </w:pPr>
      <w:r>
        <w:rPr>
          <w:rFonts w:ascii="Palatino Linotype" w:hAnsi="Palatino Linotype"/>
        </w:rPr>
        <w:t>Quedando en ambos casos el acto combatido sin materia o sin efectos.</w:t>
      </w:r>
    </w:p>
    <w:p w:rsidR="00C65C6D" w:rsidRDefault="00C65C6D" w:rsidP="00C65C6D">
      <w:pPr>
        <w:spacing w:before="240" w:after="240" w:line="360" w:lineRule="auto"/>
        <w:jc w:val="both"/>
        <w:rPr>
          <w:rFonts w:ascii="Palatino Linotype" w:hAnsi="Palatino Linotype"/>
        </w:rPr>
      </w:pPr>
      <w:r>
        <w:rPr>
          <w:rFonts w:ascii="Palatino Linotype" w:hAnsi="Palatino Linotype"/>
        </w:rPr>
        <w:t>Como se observa de lo anterior, un acto impugnado es modificado en aquellos casos en los que el Sujeto Obligado después de haber otorgado una respuesta, emite una diversa de manera posterior y en ésta subsana las deficiencias que hubiera tenido, quedando satisfecho el derecho subjetivo accionado por la parte recurrente.</w:t>
      </w:r>
    </w:p>
    <w:p w:rsidR="00C65C6D" w:rsidRDefault="00C65C6D" w:rsidP="00C65C6D">
      <w:pPr>
        <w:spacing w:before="240" w:after="240" w:line="360" w:lineRule="auto"/>
        <w:jc w:val="both"/>
        <w:rPr>
          <w:rFonts w:ascii="Palatino Linotype" w:hAnsi="Palatino Linotype"/>
        </w:rPr>
      </w:pPr>
      <w:r>
        <w:rPr>
          <w:rFonts w:ascii="Palatino Linotype" w:hAnsi="Palatino Linotype"/>
        </w:rPr>
        <w:t>Por lo que hace a la revocación, esta se actualiza cuando el sujeto obligado deja sin efectos la primera respuesta y en su lugar emite otra con las características y cualidades suficientes para dejar satisfecho el ejercicio del derecho al acceso a la información pública.</w:t>
      </w:r>
    </w:p>
    <w:p w:rsidR="00C65C6D" w:rsidRDefault="00C65C6D" w:rsidP="00C65C6D">
      <w:pPr>
        <w:spacing w:before="240" w:after="240" w:line="360" w:lineRule="auto"/>
        <w:contextualSpacing/>
        <w:jc w:val="both"/>
        <w:rPr>
          <w:rFonts w:ascii="Palatino Linotype" w:hAnsi="Palatino Linotype"/>
        </w:rPr>
      </w:pPr>
      <w:r>
        <w:rPr>
          <w:rFonts w:ascii="Palatino Linotype" w:hAnsi="Palatino Linotype"/>
        </w:rPr>
        <w:t>En ese tenor, un acto impugnado queda sin efectos, cuando aun existiendo jurídicamente (esto es, que no se ha modificado, ni revocado) ya no genera ninguna consecuencia legal.</w:t>
      </w:r>
    </w:p>
    <w:p w:rsidR="00C65C6D" w:rsidRDefault="00C65C6D" w:rsidP="00D37525">
      <w:pPr>
        <w:spacing w:before="240" w:after="240" w:line="360" w:lineRule="auto"/>
        <w:contextualSpacing/>
        <w:jc w:val="both"/>
        <w:rPr>
          <w:rFonts w:ascii="Palatino Linotype" w:hAnsi="Palatino Linotype"/>
        </w:rPr>
      </w:pPr>
    </w:p>
    <w:p w:rsidR="00C65C6D" w:rsidRDefault="00C65C6D" w:rsidP="00D37525">
      <w:pPr>
        <w:spacing w:before="240" w:after="240" w:line="360" w:lineRule="auto"/>
        <w:contextualSpacing/>
        <w:jc w:val="both"/>
        <w:rPr>
          <w:rFonts w:ascii="Palatino Linotype" w:hAnsi="Palatino Linotype"/>
        </w:rPr>
      </w:pPr>
      <w:r>
        <w:rPr>
          <w:rFonts w:ascii="Palatino Linotype" w:hAnsi="Palatino Linotype"/>
        </w:rPr>
        <w:t xml:space="preserve">En tanto, en el presente caso queda sin materia toda vez que en el Informe Justificado </w:t>
      </w:r>
      <w:r w:rsidRPr="00850BC3">
        <w:rPr>
          <w:rFonts w:ascii="Palatino Linotype" w:hAnsi="Palatino Linotype"/>
        </w:rPr>
        <w:t xml:space="preserve">el Sujeto Obligado modificó la </w:t>
      </w:r>
      <w:r>
        <w:rPr>
          <w:rFonts w:ascii="Palatino Linotype" w:hAnsi="Palatino Linotype"/>
        </w:rPr>
        <w:t xml:space="preserve">respuesta al </w:t>
      </w:r>
      <w:r w:rsidR="00D53C9E">
        <w:rPr>
          <w:rFonts w:ascii="Palatino Linotype" w:hAnsi="Palatino Linotype"/>
        </w:rPr>
        <w:t xml:space="preserve">remitir de maneta integra </w:t>
      </w:r>
      <w:r w:rsidR="00D37525">
        <w:rPr>
          <w:rFonts w:ascii="Palatino Linotype" w:eastAsia="Calibri" w:hAnsi="Palatino Linotype" w:cs="Arial"/>
        </w:rPr>
        <w:t>el Certificado de Competencia Laboral de su Tesorero Municipal</w:t>
      </w:r>
      <w:r w:rsidR="00D53C9E">
        <w:rPr>
          <w:rFonts w:ascii="Palatino Linotype" w:hAnsi="Palatino Linotype"/>
        </w:rPr>
        <w:t>.</w:t>
      </w:r>
    </w:p>
    <w:p w:rsidR="00D37525" w:rsidRDefault="00D37525" w:rsidP="00D37525">
      <w:pPr>
        <w:spacing w:before="240" w:after="240" w:line="360" w:lineRule="auto"/>
        <w:contextualSpacing/>
        <w:jc w:val="both"/>
        <w:rPr>
          <w:rFonts w:ascii="Palatino Linotype" w:hAnsi="Palatino Linotype"/>
        </w:rPr>
      </w:pPr>
    </w:p>
    <w:p w:rsidR="00C65C6D" w:rsidRPr="00F52682" w:rsidRDefault="00C65C6D" w:rsidP="00C65C6D">
      <w:pPr>
        <w:spacing w:before="240" w:after="240" w:line="360" w:lineRule="auto"/>
        <w:jc w:val="both"/>
        <w:rPr>
          <w:rFonts w:ascii="Palatino Linotype" w:hAnsi="Palatino Linotype"/>
        </w:rPr>
      </w:pPr>
      <w:r>
        <w:rPr>
          <w:rFonts w:ascii="Palatino Linotype" w:hAnsi="Palatino Linotype"/>
        </w:rPr>
        <w:t xml:space="preserve">De tal manera, es evidente que con ello queda sin materia el presente recurso de revisión, </w:t>
      </w:r>
      <w:r w:rsidRPr="00850BC3">
        <w:rPr>
          <w:rFonts w:ascii="Palatino Linotype" w:hAnsi="Palatino Linotype"/>
        </w:rPr>
        <w:t xml:space="preserve">ya que la inconformidad sobre </w:t>
      </w:r>
      <w:r w:rsidR="00D53C9E">
        <w:rPr>
          <w:rFonts w:ascii="Palatino Linotype" w:hAnsi="Palatino Linotype"/>
        </w:rPr>
        <w:t xml:space="preserve">que </w:t>
      </w:r>
      <w:r w:rsidR="00D37525">
        <w:rPr>
          <w:rFonts w:ascii="Palatino Linotype" w:hAnsi="Palatino Linotype"/>
        </w:rPr>
        <w:t>la información entregada no corresponde con lo solicitado</w:t>
      </w:r>
      <w:r w:rsidR="00D53C9E">
        <w:rPr>
          <w:rFonts w:ascii="Palatino Linotype" w:hAnsi="Palatino Linotype"/>
        </w:rPr>
        <w:t xml:space="preserve">, </w:t>
      </w:r>
      <w:r w:rsidR="00481306">
        <w:rPr>
          <w:rFonts w:ascii="Palatino Linotype" w:hAnsi="Palatino Linotype"/>
        </w:rPr>
        <w:t>se acreditó</w:t>
      </w:r>
      <w:r w:rsidRPr="00850BC3">
        <w:rPr>
          <w:rFonts w:ascii="Palatino Linotype" w:hAnsi="Palatino Linotype"/>
        </w:rPr>
        <w:t xml:space="preserve"> que</w:t>
      </w:r>
      <w:r>
        <w:rPr>
          <w:rFonts w:ascii="Palatino Linotype" w:hAnsi="Palatino Linotype"/>
        </w:rPr>
        <w:t xml:space="preserve"> la información </w:t>
      </w:r>
      <w:r w:rsidRPr="00F52682">
        <w:rPr>
          <w:rFonts w:ascii="Palatino Linotype" w:hAnsi="Palatino Linotype"/>
        </w:rPr>
        <w:t>entregada en el apartado de manifestaciones del SAIME</w:t>
      </w:r>
      <w:r w:rsidR="00D53C9E">
        <w:rPr>
          <w:rFonts w:ascii="Palatino Linotype" w:hAnsi="Palatino Linotype"/>
        </w:rPr>
        <w:t>X, que fue puesta a la vista d</w:t>
      </w:r>
      <w:r w:rsidR="00C6202E">
        <w:rPr>
          <w:rFonts w:ascii="Palatino Linotype" w:hAnsi="Palatino Linotype"/>
        </w:rPr>
        <w:t>el recurrente</w:t>
      </w:r>
      <w:r w:rsidRPr="00F52682">
        <w:rPr>
          <w:rFonts w:ascii="Palatino Linotype" w:hAnsi="Palatino Linotype"/>
        </w:rPr>
        <w:t xml:space="preserve">, </w:t>
      </w:r>
      <w:r w:rsidRPr="00F52682">
        <w:rPr>
          <w:rFonts w:ascii="Palatino Linotype" w:hAnsi="Palatino Linotype"/>
        </w:rPr>
        <w:lastRenderedPageBreak/>
        <w:t>ya no cobraría sentido; y si respecto de la misma no formuló alegato alguno dentro del plazo concedido para tal efecto se entiende que se encuentra satisfecho.</w:t>
      </w:r>
    </w:p>
    <w:p w:rsidR="00C65C6D" w:rsidRDefault="00C65C6D" w:rsidP="00C65C6D">
      <w:pPr>
        <w:spacing w:before="240" w:after="240" w:line="360" w:lineRule="auto"/>
        <w:jc w:val="both"/>
        <w:rPr>
          <w:rFonts w:ascii="Palatino Linotype" w:hAnsi="Palatino Linotype"/>
        </w:rPr>
      </w:pPr>
      <w:r w:rsidRPr="00850BC3">
        <w:rPr>
          <w:rFonts w:ascii="Palatino Linotype" w:hAnsi="Palatino Linotype"/>
        </w:rPr>
        <w:t>En resumen, el Sujeto Obligado dio respuesta completa a la solicitud de acces</w:t>
      </w:r>
      <w:r w:rsidR="00481306">
        <w:rPr>
          <w:rFonts w:ascii="Palatino Linotype" w:hAnsi="Palatino Linotype"/>
        </w:rPr>
        <w:t>o a la información pública del</w:t>
      </w:r>
      <w:r w:rsidRPr="00850BC3">
        <w:rPr>
          <w:rFonts w:ascii="Palatino Linotype" w:hAnsi="Palatino Linotype"/>
        </w:rPr>
        <w:t xml:space="preserve"> ahora recurrente; aunque ello haya sido de manera posterior a su respuesta inicial; dejando con ello sin materia el presente recurso de revisión, actualizándose entonces la ca</w:t>
      </w:r>
      <w:r>
        <w:rPr>
          <w:rFonts w:ascii="Palatino Linotype" w:hAnsi="Palatino Linotype"/>
        </w:rPr>
        <w:t>usal prevista en la fracción III</w:t>
      </w:r>
      <w:r w:rsidRPr="00850BC3">
        <w:rPr>
          <w:rFonts w:ascii="Palatino Linotype" w:hAnsi="Palatino Linotype"/>
        </w:rPr>
        <w:t xml:space="preserve"> del artículo 192 de la Ley de la Materia vigente en la Entidad, antes transcrita. </w:t>
      </w:r>
    </w:p>
    <w:p w:rsidR="00D53C9E" w:rsidRDefault="00C65C6D" w:rsidP="00C65C6D">
      <w:pPr>
        <w:spacing w:before="240" w:after="240" w:line="360" w:lineRule="auto"/>
        <w:jc w:val="both"/>
        <w:rPr>
          <w:rFonts w:ascii="Palatino Linotype" w:hAnsi="Palatino Linotype"/>
        </w:rPr>
      </w:pPr>
      <w:r>
        <w:rPr>
          <w:rFonts w:ascii="Palatino Linotype" w:hAnsi="Palatino Linotype"/>
        </w:rPr>
        <w:t xml:space="preserve">Siendo el </w:t>
      </w:r>
      <w:r>
        <w:rPr>
          <w:rFonts w:ascii="Palatino Linotype" w:hAnsi="Palatino Linotype"/>
          <w:i/>
        </w:rPr>
        <w:t>sobreseimiento</w:t>
      </w:r>
      <w:r>
        <w:rPr>
          <w:rFonts w:ascii="Palatino Linotype" w:hAnsi="Palatino Linotype"/>
        </w:rPr>
        <w:t xml:space="preserve"> un acto que da por terminado el procedimiento administrativo de impugnación sin resolver el fondo de la cuestión planteada, por presentarse causas que impiden a la autoridad referirse a lo sustancial de lo planteado por </w:t>
      </w:r>
      <w:r w:rsidR="00C6202E">
        <w:rPr>
          <w:rFonts w:ascii="Palatino Linotype" w:hAnsi="Palatino Linotype"/>
        </w:rPr>
        <w:t>el recurrente</w:t>
      </w:r>
      <w:r>
        <w:rPr>
          <w:rFonts w:ascii="Palatino Linotype" w:hAnsi="Palatino Linotype"/>
        </w:rPr>
        <w:t>, los efectos d</w:t>
      </w:r>
      <w:r w:rsidR="00481306">
        <w:rPr>
          <w:rFonts w:ascii="Palatino Linotype" w:hAnsi="Palatino Linotype"/>
        </w:rPr>
        <w:t>el sobreseimiento son</w:t>
      </w:r>
      <w:r>
        <w:rPr>
          <w:rFonts w:ascii="Palatino Linotype" w:hAnsi="Palatino Linotype"/>
        </w:rPr>
        <w:t xml:space="preserve"> dar por concluido el recurso administrativo sin entrar al estudio de fondo del asunto de que se trate; lo anterior con apoyo en el criterio del Poder Judicial de la Federación con rubro:</w:t>
      </w:r>
    </w:p>
    <w:p w:rsidR="00C65C6D" w:rsidRDefault="00C65C6D" w:rsidP="00C65C6D">
      <w:pPr>
        <w:spacing w:before="240" w:after="240" w:line="360" w:lineRule="auto"/>
        <w:jc w:val="both"/>
        <w:rPr>
          <w:rFonts w:ascii="Palatino Linotype" w:hAnsi="Palatino Linotype"/>
        </w:rPr>
      </w:pPr>
      <w:r>
        <w:rPr>
          <w:rFonts w:ascii="Palatino Linotype" w:hAnsi="Palatino Linotype"/>
          <w:sz w:val="22"/>
          <w:szCs w:val="22"/>
        </w:rPr>
        <w:t>“</w:t>
      </w:r>
      <w:r>
        <w:rPr>
          <w:rFonts w:ascii="Palatino Linotype" w:hAnsi="Palatino Linotype"/>
          <w:b/>
          <w:sz w:val="22"/>
          <w:szCs w:val="22"/>
        </w:rPr>
        <w:t>SOBRESEIMIENTO, NO PERMITE ENTRAR AL ESTUDIO DE LAS CUESTIONES DE FONDO”</w:t>
      </w:r>
      <w:r>
        <w:rPr>
          <w:rStyle w:val="Refdenotaalpie"/>
          <w:rFonts w:ascii="Palatino Linotype" w:hAnsi="Palatino Linotype"/>
          <w:b/>
        </w:rPr>
        <w:footnoteReference w:id="1"/>
      </w:r>
      <w:r>
        <w:rPr>
          <w:rFonts w:ascii="Palatino Linotype" w:hAnsi="Palatino Linotype"/>
          <w:b/>
        </w:rPr>
        <w:t>.</w:t>
      </w:r>
    </w:p>
    <w:p w:rsidR="00C65C6D" w:rsidRDefault="00C65C6D" w:rsidP="00C65C6D">
      <w:pPr>
        <w:spacing w:before="240" w:after="240" w:line="360" w:lineRule="auto"/>
        <w:jc w:val="both"/>
        <w:rPr>
          <w:rFonts w:ascii="Palatino Linotype" w:hAnsi="Palatino Linotype" w:cs="Arial"/>
        </w:rPr>
      </w:pPr>
      <w:r>
        <w:rPr>
          <w:rFonts w:ascii="Palatino Linotype" w:hAnsi="Palatino Linotype" w:cs="Arial"/>
        </w:rPr>
        <w:t>Cabe d</w:t>
      </w:r>
      <w:r w:rsidRPr="002F68E2">
        <w:rPr>
          <w:rFonts w:ascii="Palatino Linotype" w:hAnsi="Palatino Linotype" w:cs="Arial"/>
        </w:rPr>
        <w:t>estaca</w:t>
      </w:r>
      <w:r>
        <w:rPr>
          <w:rFonts w:ascii="Palatino Linotype" w:hAnsi="Palatino Linotype" w:cs="Arial"/>
        </w:rPr>
        <w:t xml:space="preserve">r que la decisión de este órgano colegiado de sobreseer el recurso de revisión no implica una limitación o negación a la justicia, según lo ha establecido el Poder Judicial Federal, en el criterio con rubro </w:t>
      </w:r>
      <w:r>
        <w:rPr>
          <w:rFonts w:ascii="Palatino Linotype" w:hAnsi="Palatino Linotype" w:cs="Arial"/>
          <w:sz w:val="22"/>
          <w:szCs w:val="22"/>
        </w:rPr>
        <w:t>“</w:t>
      </w:r>
      <w:r>
        <w:rPr>
          <w:rFonts w:ascii="Palatino Linotype" w:hAnsi="Palatino Linotype"/>
          <w:b/>
          <w:sz w:val="22"/>
          <w:szCs w:val="22"/>
        </w:rPr>
        <w:t xml:space="preserve">DESECHAMIENTO O </w:t>
      </w:r>
      <w:r>
        <w:rPr>
          <w:rFonts w:ascii="Palatino Linotype" w:hAnsi="Palatino Linotype"/>
          <w:b/>
          <w:sz w:val="22"/>
          <w:szCs w:val="22"/>
        </w:rPr>
        <w:lastRenderedPageBreak/>
        <w:t>SOBRESEIMIENTO EN EL JUICIO DE AMPARO. NO IMPLICA DENEGACIÓN DE JUSTICIA NI GENERA INSEGURIDAD JURÍDICA</w:t>
      </w:r>
      <w:r>
        <w:rPr>
          <w:rFonts w:ascii="Palatino Linotype" w:hAnsi="Palatino Linotype"/>
          <w:b/>
        </w:rPr>
        <w:t>”</w:t>
      </w:r>
      <w:r>
        <w:rPr>
          <w:rStyle w:val="Refdenotaalpie"/>
          <w:rFonts w:ascii="Palatino Linotype" w:hAnsi="Palatino Linotype"/>
          <w:b/>
        </w:rPr>
        <w:footnoteReference w:id="2"/>
      </w:r>
      <w:r>
        <w:rPr>
          <w:rFonts w:ascii="Palatino Linotype" w:hAnsi="Palatino Linotype" w:cs="Arial"/>
        </w:rPr>
        <w:t xml:space="preserve"> que es aplicable por analogía.</w:t>
      </w:r>
    </w:p>
    <w:p w:rsidR="00A3483A" w:rsidRPr="00911351" w:rsidRDefault="00A3483A" w:rsidP="00C65C6D">
      <w:pPr>
        <w:autoSpaceDE w:val="0"/>
        <w:autoSpaceDN w:val="0"/>
        <w:adjustRightInd w:val="0"/>
        <w:spacing w:before="240" w:after="240" w:line="360" w:lineRule="auto"/>
        <w:jc w:val="both"/>
        <w:rPr>
          <w:rFonts w:ascii="Palatino Linotype" w:hAnsi="Palatino Linotype" w:cs="Arial"/>
        </w:rPr>
      </w:pPr>
      <w:r w:rsidRPr="00911351">
        <w:rPr>
          <w:rFonts w:ascii="Palatino Linotype" w:hAnsi="Palatino Linotype" w:cs="Arial"/>
        </w:rPr>
        <w:t xml:space="preserve">Así, con fundamento en lo prescrito en los artículos 5 párrafos </w:t>
      </w:r>
      <w:r w:rsidR="00D53C9E">
        <w:rPr>
          <w:rFonts w:ascii="Palatino Linotype" w:hAnsi="Palatino Linotype" w:cs="Arial"/>
        </w:rPr>
        <w:t>trigésimo, trigésimo primero y trigésimo segundo</w:t>
      </w:r>
      <w:r w:rsidRPr="00911351">
        <w:rPr>
          <w:rFonts w:ascii="Palatino Linotype" w:hAnsi="Palatino Linotype" w:cs="Arial"/>
        </w:rPr>
        <w:t xml:space="preserve"> de la Constitución Política del Estado Libre y Soberano de México; 2, fracción II; 29, 36 fracciones I </w:t>
      </w:r>
      <w:r>
        <w:rPr>
          <w:rFonts w:ascii="Palatino Linotype" w:hAnsi="Palatino Linotype" w:cs="Arial"/>
        </w:rPr>
        <w:t>y II; 176, 178, 181,</w:t>
      </w:r>
      <w:r w:rsidRPr="00911351">
        <w:rPr>
          <w:rFonts w:ascii="Palatino Linotype" w:hAnsi="Palatino Linotype" w:cs="Arial"/>
        </w:rPr>
        <w:t xml:space="preserve"> 185 </w:t>
      </w:r>
      <w:r>
        <w:rPr>
          <w:rFonts w:ascii="Palatino Linotype" w:hAnsi="Palatino Linotype" w:cs="Arial"/>
        </w:rPr>
        <w:t xml:space="preserve">y </w:t>
      </w:r>
      <w:r>
        <w:rPr>
          <w:rFonts w:ascii="Palatino Linotype" w:hAnsi="Palatino Linotype" w:cs="Arial"/>
          <w:szCs w:val="22"/>
          <w:lang w:eastAsia="en-US"/>
        </w:rPr>
        <w:t xml:space="preserve">186 fracción II </w:t>
      </w:r>
      <w:r w:rsidRPr="00911351">
        <w:rPr>
          <w:rFonts w:ascii="Palatino Linotype" w:hAnsi="Palatino Linotype" w:cs="Arial"/>
        </w:rPr>
        <w:t>de la Ley de Transparencia y Acceso a la Información Pública del Estado de México y Municipios, este Pleno:</w:t>
      </w:r>
    </w:p>
    <w:p w:rsidR="00A3483A" w:rsidRPr="00385EEC" w:rsidRDefault="00A3483A" w:rsidP="00A3483A">
      <w:pPr>
        <w:spacing w:before="240" w:after="240" w:line="360" w:lineRule="auto"/>
        <w:ind w:left="360"/>
        <w:contextualSpacing/>
        <w:jc w:val="center"/>
        <w:rPr>
          <w:rFonts w:ascii="Palatino Linotype" w:hAnsi="Palatino Linotype" w:cs="Arial"/>
          <w:b/>
        </w:rPr>
      </w:pPr>
      <w:r>
        <w:rPr>
          <w:rFonts w:ascii="Palatino Linotype" w:hAnsi="Palatino Linotype" w:cs="Arial"/>
          <w:b/>
        </w:rPr>
        <w:t>III.</w:t>
      </w:r>
      <w:r w:rsidRPr="00385EEC">
        <w:rPr>
          <w:rFonts w:ascii="Palatino Linotype" w:hAnsi="Palatino Linotype" w:cs="Arial"/>
          <w:b/>
        </w:rPr>
        <w:t>R E S U E L V E:</w:t>
      </w:r>
    </w:p>
    <w:p w:rsidR="00C65C6D" w:rsidRDefault="00A3483A" w:rsidP="00C65C6D">
      <w:pPr>
        <w:spacing w:before="240" w:after="240" w:line="360" w:lineRule="auto"/>
        <w:contextualSpacing/>
        <w:jc w:val="both"/>
        <w:rPr>
          <w:rFonts w:ascii="Palatino Linotype" w:hAnsi="Palatino Linotype"/>
        </w:rPr>
      </w:pPr>
      <w:r w:rsidRPr="006A2D4B">
        <w:rPr>
          <w:rFonts w:ascii="Palatino Linotype" w:hAnsi="Palatino Linotype" w:cs="Arial"/>
          <w:b/>
          <w:bCs/>
          <w:shd w:val="clear" w:color="auto" w:fill="FFFFFF"/>
        </w:rPr>
        <w:t>Primero</w:t>
      </w:r>
      <w:r w:rsidRPr="006A2D4B">
        <w:rPr>
          <w:rFonts w:ascii="Palatino Linotype" w:hAnsi="Palatino Linotype" w:cs="Arial"/>
          <w:bCs/>
          <w:shd w:val="clear" w:color="auto" w:fill="FFFFFF"/>
        </w:rPr>
        <w:t xml:space="preserve">. Se </w:t>
      </w:r>
      <w:r w:rsidRPr="006A2D4B">
        <w:rPr>
          <w:rFonts w:ascii="Palatino Linotype" w:hAnsi="Palatino Linotype" w:cs="Arial"/>
          <w:b/>
          <w:bCs/>
          <w:shd w:val="clear" w:color="auto" w:fill="FFFFFF"/>
        </w:rPr>
        <w:t>SOBRESEE</w:t>
      </w:r>
      <w:r w:rsidRPr="006A2D4B">
        <w:rPr>
          <w:rFonts w:ascii="Palatino Linotype" w:hAnsi="Palatino Linotype" w:cs="Arial"/>
          <w:bCs/>
          <w:shd w:val="clear" w:color="auto" w:fill="FFFFFF"/>
        </w:rPr>
        <w:t xml:space="preserve"> el recurso de revisión número </w:t>
      </w:r>
      <w:r w:rsidRPr="006A2D4B">
        <w:rPr>
          <w:rFonts w:ascii="Palatino Linotype" w:hAnsi="Palatino Linotype" w:cs="Arial"/>
          <w:b/>
          <w:bCs/>
          <w:shd w:val="clear" w:color="auto" w:fill="FFFFFF"/>
        </w:rPr>
        <w:t>0</w:t>
      </w:r>
      <w:r w:rsidR="00D37525">
        <w:rPr>
          <w:rFonts w:ascii="Palatino Linotype" w:hAnsi="Palatino Linotype" w:cs="Arial"/>
          <w:b/>
          <w:bCs/>
          <w:shd w:val="clear" w:color="auto" w:fill="FFFFFF"/>
        </w:rPr>
        <w:t>4664</w:t>
      </w:r>
      <w:r>
        <w:rPr>
          <w:rFonts w:ascii="Palatino Linotype" w:hAnsi="Palatino Linotype" w:cs="Arial"/>
          <w:b/>
          <w:bCs/>
          <w:shd w:val="clear" w:color="auto" w:fill="FFFFFF"/>
        </w:rPr>
        <w:t>/INFOEM/IP/RR/2021</w:t>
      </w:r>
      <w:r w:rsidRPr="006A2D4B">
        <w:rPr>
          <w:rFonts w:ascii="Palatino Linotype" w:hAnsi="Palatino Linotype" w:cs="Arial"/>
          <w:b/>
        </w:rPr>
        <w:t>,</w:t>
      </w:r>
      <w:r w:rsidRPr="006A2D4B">
        <w:rPr>
          <w:rFonts w:ascii="Palatino Linotype" w:hAnsi="Palatino Linotype"/>
        </w:rPr>
        <w:t xml:space="preserve"> </w:t>
      </w:r>
      <w:r w:rsidR="00C65C6D">
        <w:rPr>
          <w:rFonts w:ascii="Palatino Linotype" w:hAnsi="Palatino Linotype"/>
        </w:rPr>
        <w:t>porque al modificar la respuesta el recurso de revisión quedó sin materia en términos del Considerando Tercero de la presente resolución.</w:t>
      </w:r>
    </w:p>
    <w:p w:rsidR="00A3483A" w:rsidRDefault="00A3483A" w:rsidP="00A3483A">
      <w:pPr>
        <w:spacing w:before="240" w:after="240" w:line="360" w:lineRule="auto"/>
        <w:contextualSpacing/>
        <w:jc w:val="both"/>
        <w:rPr>
          <w:rFonts w:ascii="Palatino Linotype" w:hAnsi="Palatino Linotype"/>
          <w:b/>
          <w:sz w:val="20"/>
          <w:szCs w:val="20"/>
        </w:rPr>
      </w:pPr>
    </w:p>
    <w:p w:rsidR="00A3483A" w:rsidRPr="006A2D4B" w:rsidRDefault="00D37525" w:rsidP="00A3483A">
      <w:pPr>
        <w:spacing w:before="240" w:after="240" w:line="360" w:lineRule="auto"/>
        <w:contextualSpacing/>
        <w:jc w:val="both"/>
        <w:rPr>
          <w:rFonts w:ascii="Palatino Linotype" w:hAnsi="Palatino Linotype" w:cs="Arial"/>
        </w:rPr>
      </w:pPr>
      <w:r>
        <w:rPr>
          <w:rFonts w:ascii="Palatino Linotype" w:hAnsi="Palatino Linotype" w:cs="Arial"/>
          <w:b/>
          <w:bCs/>
          <w:shd w:val="clear" w:color="auto" w:fill="FFFFFF"/>
        </w:rPr>
        <w:t xml:space="preserve">Segundo. Notifíquese vía SAIMEX, </w:t>
      </w:r>
      <w:r w:rsidR="00A3483A" w:rsidRPr="006A2D4B">
        <w:rPr>
          <w:rFonts w:ascii="Palatino Linotype" w:hAnsi="Palatino Linotype"/>
          <w:shd w:val="clear" w:color="auto" w:fill="FFFFFF"/>
        </w:rPr>
        <w:t>al Responsable de la Unidad de Transparencia del</w:t>
      </w:r>
      <w:r w:rsidR="00A3483A" w:rsidRPr="006A2D4B">
        <w:rPr>
          <w:rStyle w:val="apple-converted-space"/>
          <w:rFonts w:ascii="Palatino Linotype" w:hAnsi="Palatino Linotype"/>
          <w:bCs/>
          <w:shd w:val="clear" w:color="auto" w:fill="FFFFFF"/>
        </w:rPr>
        <w:t xml:space="preserve"> </w:t>
      </w:r>
      <w:r w:rsidR="00A3483A" w:rsidRPr="006A2D4B">
        <w:rPr>
          <w:rFonts w:ascii="Palatino Linotype" w:hAnsi="Palatino Linotype"/>
          <w:bCs/>
          <w:shd w:val="clear" w:color="auto" w:fill="FFFFFF"/>
        </w:rPr>
        <w:t>Sujeto Obligado la presente resolución, para su conocimiento</w:t>
      </w:r>
      <w:r w:rsidR="00A3483A" w:rsidRPr="006A2D4B">
        <w:rPr>
          <w:rFonts w:ascii="Palatino Linotype" w:hAnsi="Palatino Linotype"/>
          <w:shd w:val="clear" w:color="auto" w:fill="FFFFFF"/>
        </w:rPr>
        <w:t xml:space="preserve">, lo anterior en términos del artículo 189 de la </w:t>
      </w:r>
      <w:r w:rsidR="00A3483A" w:rsidRPr="006A2D4B">
        <w:rPr>
          <w:rFonts w:ascii="Palatino Linotype" w:hAnsi="Palatino Linotype" w:cs="Arial"/>
        </w:rPr>
        <w:t>Ley de Transparencia y Acceso a la Información Pública del Estado de México y Municipios.</w:t>
      </w:r>
    </w:p>
    <w:p w:rsidR="00A3483A" w:rsidRPr="006A2D4B" w:rsidRDefault="00A3483A" w:rsidP="00A3483A">
      <w:pPr>
        <w:spacing w:before="240" w:after="240" w:line="360" w:lineRule="auto"/>
        <w:contextualSpacing/>
        <w:jc w:val="both"/>
        <w:rPr>
          <w:rFonts w:ascii="Palatino Linotype" w:hAnsi="Palatino Linotype"/>
          <w:shd w:val="clear" w:color="auto" w:fill="FFFFFF"/>
        </w:rPr>
      </w:pPr>
    </w:p>
    <w:p w:rsidR="00A3483A" w:rsidRDefault="00504982" w:rsidP="00A3483A">
      <w:pPr>
        <w:spacing w:before="240" w:after="240" w:line="360" w:lineRule="auto"/>
        <w:jc w:val="both"/>
        <w:rPr>
          <w:rFonts w:ascii="Palatino Linotype" w:eastAsia="Palatino Linotype" w:hAnsi="Palatino Linotype" w:cs="Palatino Linotype"/>
        </w:rPr>
      </w:pPr>
      <w:r>
        <w:rPr>
          <w:rFonts w:ascii="Palatino Linotype" w:hAnsi="Palatino Linotype" w:cs="Arial"/>
          <w:b/>
        </w:rPr>
        <w:t xml:space="preserve">Tercero. Notifíquese a través </w:t>
      </w:r>
      <w:r w:rsidR="00D53C9E">
        <w:rPr>
          <w:rFonts w:ascii="Palatino Linotype" w:hAnsi="Palatino Linotype" w:cs="Arial"/>
        </w:rPr>
        <w:t xml:space="preserve"> </w:t>
      </w:r>
      <w:r>
        <w:rPr>
          <w:rFonts w:ascii="Palatino Linotype" w:hAnsi="Palatino Linotype" w:cs="Arial"/>
        </w:rPr>
        <w:t>del Sistema de Acceso a la Información Mexiquense, al</w:t>
      </w:r>
      <w:r w:rsidR="00C6202E">
        <w:rPr>
          <w:rFonts w:ascii="Palatino Linotype" w:hAnsi="Palatino Linotype" w:cs="Arial"/>
        </w:rPr>
        <w:t xml:space="preserve"> recurrente</w:t>
      </w:r>
      <w:r w:rsidR="00A3483A" w:rsidRPr="006A2D4B">
        <w:rPr>
          <w:rFonts w:ascii="Palatino Linotype" w:hAnsi="Palatino Linotype" w:cs="Arial"/>
        </w:rPr>
        <w:t xml:space="preserve"> la presente resolución; así como, que de conformidad con lo establecido en el artículo 196 de la Ley de Transparencia y Acceso a la Información Pública del Estado de México y Municipios, podrá impugnarla en la vía</w:t>
      </w:r>
      <w:r w:rsidR="00A3483A" w:rsidRPr="006A2D4B">
        <w:rPr>
          <w:rFonts w:ascii="Palatino Linotype" w:eastAsia="Palatino Linotype" w:hAnsi="Palatino Linotype" w:cs="Palatino Linotype"/>
        </w:rPr>
        <w:t xml:space="preserve"> Juicio de Amparo en los términos de las leyes aplicables.</w:t>
      </w:r>
    </w:p>
    <w:p w:rsidR="00D53C9E" w:rsidRDefault="00D53C9E" w:rsidP="00D53C9E">
      <w:pPr>
        <w:spacing w:line="360" w:lineRule="auto"/>
        <w:ind w:right="49"/>
        <w:jc w:val="both"/>
        <w:rPr>
          <w:rFonts w:ascii="Palatino Linotype" w:hAnsi="Palatino Linotype"/>
        </w:rPr>
      </w:pPr>
      <w:r>
        <w:rPr>
          <w:rFonts w:ascii="Palatino Linotype" w:hAnsi="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481306">
        <w:rPr>
          <w:rFonts w:ascii="Palatino Linotype" w:hAnsi="Palatino Linotype"/>
        </w:rPr>
        <w:t>VIGÉSIMA SEGUNDA</w:t>
      </w:r>
      <w:r w:rsidR="00D37525">
        <w:rPr>
          <w:rFonts w:ascii="Palatino Linotype" w:hAnsi="Palatino Linotype"/>
        </w:rPr>
        <w:t xml:space="preserve"> </w:t>
      </w:r>
      <w:r>
        <w:rPr>
          <w:rFonts w:ascii="Palatino Linotype" w:hAnsi="Palatino Linotype"/>
        </w:rPr>
        <w:t>SESI</w:t>
      </w:r>
      <w:r w:rsidR="00D37525">
        <w:rPr>
          <w:rFonts w:ascii="Palatino Linotype" w:hAnsi="Palatino Linotype"/>
        </w:rPr>
        <w:t xml:space="preserve">ÓN </w:t>
      </w:r>
      <w:r w:rsidR="00481306">
        <w:rPr>
          <w:rFonts w:ascii="Palatino Linotype" w:hAnsi="Palatino Linotype"/>
        </w:rPr>
        <w:t>ORDINARIA CELEBRADA EL VEINTICUATRO</w:t>
      </w:r>
      <w:r w:rsidR="00D37525">
        <w:rPr>
          <w:rFonts w:ascii="Palatino Linotype" w:hAnsi="Palatino Linotype"/>
        </w:rPr>
        <w:t xml:space="preserve"> DE NOVIEMBRE</w:t>
      </w:r>
      <w:r>
        <w:rPr>
          <w:rFonts w:ascii="Palatino Linotype" w:hAnsi="Palatino Linotype"/>
        </w:rPr>
        <w:t xml:space="preserve"> DE DOS MIL VEINTIUNO, ANTE EL SECRETARIO TÉCNICO DEL PLENO ALEXIS TAPIA RAMÍREZ.</w:t>
      </w:r>
    </w:p>
    <w:p w:rsidR="00D53C9E" w:rsidRPr="006A2D4B" w:rsidRDefault="00D53C9E" w:rsidP="00A3483A">
      <w:pPr>
        <w:spacing w:before="240" w:after="240" w:line="360" w:lineRule="auto"/>
        <w:jc w:val="both"/>
        <w:rPr>
          <w:rFonts w:ascii="Palatino Linotype" w:eastAsia="Palatino Linotype" w:hAnsi="Palatino Linotype" w:cs="Palatino Linotype"/>
        </w:rPr>
      </w:pPr>
    </w:p>
    <w:sectPr w:rsidR="00D53C9E" w:rsidRPr="006A2D4B" w:rsidSect="00546029">
      <w:headerReference w:type="default" r:id="rId23"/>
      <w:footerReference w:type="default" r:id="rId24"/>
      <w:headerReference w:type="first" r:id="rId25"/>
      <w:footerReference w:type="first" r:id="rId26"/>
      <w:pgSz w:w="12240" w:h="15840" w:code="1"/>
      <w:pgMar w:top="1417" w:right="1701" w:bottom="1417"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249FE" w:rsidRDefault="00E249FE" w:rsidP="00224D6A">
      <w:r>
        <w:separator/>
      </w:r>
    </w:p>
  </w:endnote>
  <w:endnote w:type="continuationSeparator" w:id="0">
    <w:p w:rsidR="00E249FE" w:rsidRDefault="00E249FE" w:rsidP="00224D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00006FF" w:usb1="4000205B" w:usb2="00000010" w:usb3="00000000" w:csb0="0000019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3C9E" w:rsidRPr="00F12350" w:rsidRDefault="00D53C9E" w:rsidP="00B276BE">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3B6EC6">
      <w:rPr>
        <w:rFonts w:ascii="Palatino Linotype" w:hAnsi="Palatino Linotype" w:cs="Arial"/>
        <w:b/>
        <w:bCs/>
        <w:noProof/>
        <w:sz w:val="20"/>
        <w:szCs w:val="20"/>
      </w:rPr>
      <w:t>2</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3B6EC6">
      <w:rPr>
        <w:rFonts w:ascii="Palatino Linotype" w:hAnsi="Palatino Linotype" w:cs="Arial"/>
        <w:b/>
        <w:bCs/>
        <w:noProof/>
        <w:sz w:val="20"/>
        <w:szCs w:val="20"/>
      </w:rPr>
      <w:t>16</w:t>
    </w:r>
    <w:r w:rsidRPr="00F12350">
      <w:rPr>
        <w:rFonts w:ascii="Palatino Linotype" w:hAnsi="Palatino Linotype" w:cs="Arial"/>
        <w:b/>
        <w:bCs/>
        <w:sz w:val="20"/>
        <w:szCs w:val="20"/>
      </w:rPr>
      <w:fldChar w:fldCharType="end"/>
    </w:r>
  </w:p>
  <w:p w:rsidR="00D53C9E" w:rsidRDefault="00D53C9E">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3C9E" w:rsidRPr="00F12350" w:rsidRDefault="00D53C9E" w:rsidP="00B276BE">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3B6EC6">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3B6EC6">
      <w:rPr>
        <w:rFonts w:ascii="Palatino Linotype" w:hAnsi="Palatino Linotype" w:cs="Arial"/>
        <w:b/>
        <w:bCs/>
        <w:noProof/>
        <w:sz w:val="20"/>
        <w:szCs w:val="20"/>
      </w:rPr>
      <w:t>16</w:t>
    </w:r>
    <w:r w:rsidRPr="00F12350">
      <w:rPr>
        <w:rFonts w:ascii="Palatino Linotype" w:hAnsi="Palatino Linotype" w:cs="Arial"/>
        <w:b/>
        <w:bCs/>
        <w:sz w:val="20"/>
        <w:szCs w:val="20"/>
      </w:rPr>
      <w:fldChar w:fldCharType="end"/>
    </w:r>
  </w:p>
  <w:p w:rsidR="00D53C9E" w:rsidRDefault="00D53C9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249FE" w:rsidRDefault="00E249FE" w:rsidP="00224D6A">
      <w:r>
        <w:separator/>
      </w:r>
    </w:p>
  </w:footnote>
  <w:footnote w:type="continuationSeparator" w:id="0">
    <w:p w:rsidR="00E249FE" w:rsidRDefault="00E249FE" w:rsidP="00224D6A">
      <w:r>
        <w:continuationSeparator/>
      </w:r>
    </w:p>
  </w:footnote>
  <w:footnote w:id="1">
    <w:p w:rsidR="00D53C9E" w:rsidRDefault="00D53C9E" w:rsidP="00C65C6D">
      <w:pPr>
        <w:pStyle w:val="Textonotapie"/>
        <w:spacing w:before="120" w:after="120"/>
        <w:jc w:val="both"/>
        <w:rPr>
          <w:rFonts w:ascii="Palatino Linotype" w:hAnsi="Palatino Linotype"/>
          <w:color w:val="000000"/>
          <w:sz w:val="18"/>
          <w:szCs w:val="18"/>
          <w:shd w:val="clear" w:color="auto" w:fill="FFFFFF"/>
        </w:rPr>
      </w:pPr>
      <w:r>
        <w:rPr>
          <w:rStyle w:val="Refdenotaalpie"/>
          <w:rFonts w:ascii="Palatino Linotype" w:hAnsi="Palatino Linotype"/>
        </w:rPr>
        <w:footnoteRef/>
      </w:r>
      <w:r>
        <w:rPr>
          <w:rFonts w:ascii="Palatino Linotype" w:hAnsi="Palatino Linotype"/>
          <w:sz w:val="18"/>
          <w:szCs w:val="18"/>
        </w:rPr>
        <w:t xml:space="preserve"> </w:t>
      </w:r>
      <w:r>
        <w:rPr>
          <w:rFonts w:ascii="Palatino Linotype" w:hAnsi="Palatino Linotype"/>
          <w:b/>
          <w:sz w:val="18"/>
          <w:szCs w:val="18"/>
        </w:rPr>
        <w:t>Localización</w:t>
      </w:r>
      <w:r>
        <w:rPr>
          <w:rFonts w:ascii="Palatino Linotype" w:hAnsi="Palatino Linotype"/>
          <w:sz w:val="18"/>
          <w:szCs w:val="18"/>
        </w:rPr>
        <w:t>: 2</w:t>
      </w:r>
      <w:r>
        <w:rPr>
          <w:rFonts w:ascii="Palatino Linotype" w:hAnsi="Palatino Linotype"/>
          <w:color w:val="000000"/>
          <w:sz w:val="18"/>
          <w:szCs w:val="18"/>
          <w:shd w:val="clear" w:color="auto" w:fill="FFFFFF"/>
        </w:rPr>
        <w:t>13609. II.2o.183 K. Tribunales Colegiados de Circuito. Octava Época. Semanario Judicial de la Federación. Tomo XIII, Febrero de 1994, Pág. 420</w:t>
      </w:r>
    </w:p>
    <w:p w:rsidR="00D53C9E" w:rsidRDefault="00D53C9E" w:rsidP="00C65C6D">
      <w:pPr>
        <w:pStyle w:val="Textonotapie"/>
        <w:spacing w:before="120" w:after="120"/>
        <w:jc w:val="both"/>
        <w:rPr>
          <w:rFonts w:ascii="Palatino Linotype" w:hAnsi="Palatino Linotype"/>
          <w:sz w:val="19"/>
          <w:szCs w:val="19"/>
        </w:rPr>
      </w:pPr>
      <w:r>
        <w:rPr>
          <w:rFonts w:ascii="Palatino Linotype" w:hAnsi="Palatino Linotype"/>
          <w:b/>
          <w:sz w:val="18"/>
          <w:szCs w:val="18"/>
        </w:rPr>
        <w:t>Cuerpo de tesis:</w:t>
      </w:r>
      <w:r>
        <w:rPr>
          <w:rFonts w:ascii="Palatino Linotype" w:hAnsi="Palatino Linotype"/>
          <w:sz w:val="18"/>
          <w:szCs w:val="18"/>
        </w:rPr>
        <w:t xml:space="preserve"> No causa agravio la sentencia que no se ocupa de los razonamientos tendientes a demostrar la inconstitucionalidad de los actos reclamados de las autoridades responsables, que constituyen el problema de fondo, si se decreta el sobreseimiento del juicio.</w:t>
      </w:r>
    </w:p>
  </w:footnote>
  <w:footnote w:id="2">
    <w:p w:rsidR="00D53C9E" w:rsidRDefault="00D53C9E" w:rsidP="00C65C6D">
      <w:pPr>
        <w:pStyle w:val="Textonotapie"/>
        <w:jc w:val="both"/>
        <w:rPr>
          <w:rFonts w:ascii="Palatino Linotype" w:hAnsi="Palatino Linotype"/>
          <w:sz w:val="19"/>
          <w:szCs w:val="19"/>
        </w:rPr>
      </w:pPr>
      <w:r>
        <w:rPr>
          <w:rStyle w:val="Refdenotaalpie"/>
          <w:rFonts w:ascii="Palatino Linotype" w:hAnsi="Palatino Linotype"/>
        </w:rPr>
        <w:footnoteRef/>
      </w:r>
      <w:r>
        <w:rPr>
          <w:rFonts w:ascii="Palatino Linotype" w:hAnsi="Palatino Linotype"/>
        </w:rPr>
        <w:t xml:space="preserve"> </w:t>
      </w:r>
      <w:r>
        <w:rPr>
          <w:rFonts w:ascii="Palatino Linotype" w:hAnsi="Palatino Linotype"/>
          <w:b/>
          <w:sz w:val="19"/>
          <w:szCs w:val="19"/>
        </w:rPr>
        <w:t>Cuerpo de la tesis</w:t>
      </w:r>
      <w:r>
        <w:rPr>
          <w:rFonts w:ascii="Palatino Linotype" w:hAnsi="Palatino Linotype"/>
          <w:sz w:val="19"/>
          <w:szCs w:val="19"/>
        </w:rPr>
        <w:t>: Cuando se desecha una demanda de amparo o se sobresee en el juicio, ello no implica denegar justicia ni genera inseguridad jurídica, ya que la obligación de los tribunales no es tramitar y resolver en el fondo todos los asuntos sometidos a su consideración en forma favorable a los intereses del solicitante, sino que se circunscribe a la posibilidad que tiene cualquier individuo de acudir ante los órganos jurisdiccionales, con su promoción (demanda), a la cual debe darse el trámite acorde a las formalidades rectoras del procedimiento respectivo, dentro de las cuales el legislador previó las causales de improcedencia y sobreseimiento. Así, cuando el juzgador o tribunal de amparo se funda en una de ellas para desechar o sobreseer en un juicio, imparte justicia, puesto que el acceso a ella no se ve menoscabado, sino que es efectivo, ni se deja en estado de indefensión al promovente, no obstante sea desfavorable, al no poder negar que se da respuesta a la petición de amparo, con independencia de que no comparta el sentido de la resolución, dado que de esa forma quien imparte justicia se pronuncia sobre la acción, diciendo así el derecho y permitiendo que impere el orden jurídico.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3C9E" w:rsidRDefault="00D53C9E" w:rsidP="00E72E93">
    <w:pPr>
      <w:pStyle w:val="Encabezado"/>
      <w:jc w:val="both"/>
    </w:pPr>
    <w:r>
      <w:rPr>
        <w:noProof/>
        <w:lang w:val="es-MX" w:eastAsia="es-MX"/>
      </w:rPr>
      <w:drawing>
        <wp:anchor distT="0" distB="0" distL="114300" distR="114300" simplePos="0" relativeHeight="251661312" behindDoc="1" locked="0" layoutInCell="1" allowOverlap="1" wp14:anchorId="34F6E400" wp14:editId="7E95AC7D">
          <wp:simplePos x="0" y="0"/>
          <wp:positionH relativeFrom="page">
            <wp:posOffset>425201</wp:posOffset>
          </wp:positionH>
          <wp:positionV relativeFrom="paragraph">
            <wp:posOffset>-313910</wp:posOffset>
          </wp:positionV>
          <wp:extent cx="7635600" cy="9943200"/>
          <wp:effectExtent l="0" t="0" r="3810" b="127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600" cy="9943200"/>
                  </a:xfrm>
                  <a:prstGeom prst="rect">
                    <a:avLst/>
                  </a:prstGeom>
                  <a:noFill/>
                </pic:spPr>
              </pic:pic>
            </a:graphicData>
          </a:graphic>
          <wp14:sizeRelH relativeFrom="page">
            <wp14:pctWidth>0</wp14:pctWidth>
          </wp14:sizeRelH>
          <wp14:sizeRelV relativeFrom="page">
            <wp14:pctHeight>0</wp14:pctHeight>
          </wp14:sizeRelV>
        </wp:anchor>
      </w:drawing>
    </w:r>
  </w:p>
  <w:tbl>
    <w:tblPr>
      <w:tblW w:w="5670" w:type="dxa"/>
      <w:tblInd w:w="3119" w:type="dxa"/>
      <w:tblLayout w:type="fixed"/>
      <w:tblLook w:val="04A0" w:firstRow="1" w:lastRow="0" w:firstColumn="1" w:lastColumn="0" w:noHBand="0" w:noVBand="1"/>
    </w:tblPr>
    <w:tblGrid>
      <w:gridCol w:w="2551"/>
      <w:gridCol w:w="3119"/>
    </w:tblGrid>
    <w:tr w:rsidR="00D53C9E" w:rsidTr="003A781E">
      <w:tc>
        <w:tcPr>
          <w:tcW w:w="2551" w:type="dxa"/>
          <w:vAlign w:val="center"/>
          <w:hideMark/>
        </w:tcPr>
        <w:p w:rsidR="00D53C9E" w:rsidRDefault="00D53C9E" w:rsidP="00E72E93">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119" w:type="dxa"/>
          <w:vAlign w:val="center"/>
          <w:hideMark/>
        </w:tcPr>
        <w:p w:rsidR="00D53C9E" w:rsidRDefault="000D22E2" w:rsidP="00E72E93">
          <w:pPr>
            <w:jc w:val="both"/>
            <w:rPr>
              <w:rFonts w:ascii="Palatino Linotype" w:hAnsi="Palatino Linotype"/>
              <w:b/>
              <w:sz w:val="22"/>
              <w:szCs w:val="22"/>
              <w:lang w:val="es-ES_tradnl"/>
            </w:rPr>
          </w:pPr>
          <w:r>
            <w:rPr>
              <w:rFonts w:ascii="Palatino Linotype" w:hAnsi="Palatino Linotype"/>
              <w:b/>
              <w:sz w:val="22"/>
              <w:szCs w:val="22"/>
              <w:lang w:val="es-ES_tradnl"/>
            </w:rPr>
            <w:t>04664</w:t>
          </w:r>
          <w:r w:rsidR="00D53C9E">
            <w:rPr>
              <w:rFonts w:ascii="Palatino Linotype" w:hAnsi="Palatino Linotype"/>
              <w:b/>
              <w:sz w:val="22"/>
              <w:szCs w:val="22"/>
              <w:lang w:val="es-ES_tradnl"/>
            </w:rPr>
            <w:t xml:space="preserve">/INFOEM/IP/RR/2021. </w:t>
          </w:r>
        </w:p>
      </w:tc>
    </w:tr>
    <w:tr w:rsidR="00D53C9E" w:rsidTr="003A781E">
      <w:trPr>
        <w:trHeight w:val="228"/>
      </w:trPr>
      <w:tc>
        <w:tcPr>
          <w:tcW w:w="2551" w:type="dxa"/>
          <w:vAlign w:val="center"/>
          <w:hideMark/>
        </w:tcPr>
        <w:p w:rsidR="00D53C9E" w:rsidRDefault="00D53C9E" w:rsidP="00E72E93">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119" w:type="dxa"/>
          <w:vAlign w:val="center"/>
          <w:hideMark/>
        </w:tcPr>
        <w:p w:rsidR="00D53C9E" w:rsidRDefault="000D22E2" w:rsidP="00E72E93">
          <w:pPr>
            <w:jc w:val="both"/>
            <w:rPr>
              <w:rFonts w:ascii="Palatino Linotype" w:hAnsi="Palatino Linotype"/>
              <w:b/>
              <w:sz w:val="22"/>
              <w:szCs w:val="22"/>
              <w:lang w:val="es-ES_tradnl"/>
            </w:rPr>
          </w:pPr>
          <w:r>
            <w:rPr>
              <w:rFonts w:ascii="Palatino Linotype" w:hAnsi="Palatino Linotype"/>
              <w:b/>
              <w:sz w:val="22"/>
              <w:szCs w:val="22"/>
              <w:lang w:val="es-ES_tradnl"/>
            </w:rPr>
            <w:t>Ayuntamiento de Tenancingo</w:t>
          </w:r>
          <w:r w:rsidR="00D53C9E">
            <w:rPr>
              <w:rFonts w:ascii="Palatino Linotype" w:hAnsi="Palatino Linotype"/>
              <w:b/>
              <w:sz w:val="22"/>
              <w:szCs w:val="22"/>
              <w:lang w:val="es-ES_tradnl"/>
            </w:rPr>
            <w:t>.</w:t>
          </w:r>
        </w:p>
      </w:tc>
    </w:tr>
    <w:tr w:rsidR="00D53C9E" w:rsidTr="003A781E">
      <w:tc>
        <w:tcPr>
          <w:tcW w:w="2551" w:type="dxa"/>
          <w:vAlign w:val="center"/>
          <w:hideMark/>
        </w:tcPr>
        <w:p w:rsidR="00D53C9E" w:rsidRDefault="00D53C9E" w:rsidP="00E72E93">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3119" w:type="dxa"/>
          <w:vAlign w:val="center"/>
          <w:hideMark/>
        </w:tcPr>
        <w:p w:rsidR="00D53C9E" w:rsidRDefault="00D53C9E" w:rsidP="00E72E93">
          <w:pPr>
            <w:ind w:right="-533"/>
            <w:jc w:val="both"/>
            <w:rPr>
              <w:rFonts w:ascii="Palatino Linotype" w:hAnsi="Palatino Linotype"/>
              <w:b/>
              <w:sz w:val="22"/>
              <w:szCs w:val="22"/>
              <w:lang w:val="es-ES_tradnl"/>
            </w:rPr>
          </w:pPr>
          <w:r>
            <w:rPr>
              <w:rFonts w:ascii="Palatino Linotype" w:hAnsi="Palatino Linotype"/>
              <w:b/>
              <w:sz w:val="22"/>
              <w:szCs w:val="22"/>
              <w:lang w:val="es-ES_tradnl"/>
            </w:rPr>
            <w:t>Guadalupe Ramírez Peña.</w:t>
          </w:r>
        </w:p>
      </w:tc>
    </w:tr>
  </w:tbl>
  <w:p w:rsidR="00D53C9E" w:rsidRDefault="00D53C9E" w:rsidP="00E4481D">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3C9E" w:rsidRDefault="00D53C9E" w:rsidP="00224D6A">
    <w:pPr>
      <w:pStyle w:val="Encabezado"/>
      <w:jc w:val="both"/>
    </w:pPr>
    <w:r>
      <w:rPr>
        <w:noProof/>
        <w:lang w:val="es-MX" w:eastAsia="es-MX"/>
      </w:rPr>
      <w:drawing>
        <wp:anchor distT="0" distB="0" distL="114300" distR="114300" simplePos="0" relativeHeight="251659264" behindDoc="1" locked="0" layoutInCell="1" allowOverlap="1" wp14:anchorId="11EDAEA5" wp14:editId="6651AD9B">
          <wp:simplePos x="0" y="0"/>
          <wp:positionH relativeFrom="page">
            <wp:posOffset>388371</wp:posOffset>
          </wp:positionH>
          <wp:positionV relativeFrom="paragraph">
            <wp:posOffset>-207369</wp:posOffset>
          </wp:positionV>
          <wp:extent cx="7635600" cy="9943200"/>
          <wp:effectExtent l="0" t="0" r="3810" b="127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600" cy="9943200"/>
                  </a:xfrm>
                  <a:prstGeom prst="rect">
                    <a:avLst/>
                  </a:prstGeom>
                  <a:noFill/>
                </pic:spPr>
              </pic:pic>
            </a:graphicData>
          </a:graphic>
          <wp14:sizeRelH relativeFrom="page">
            <wp14:pctWidth>0</wp14:pctWidth>
          </wp14:sizeRelH>
          <wp14:sizeRelV relativeFrom="page">
            <wp14:pctHeight>0</wp14:pctHeight>
          </wp14:sizeRelV>
        </wp:anchor>
      </w:drawing>
    </w:r>
  </w:p>
  <w:tbl>
    <w:tblPr>
      <w:tblW w:w="5670" w:type="dxa"/>
      <w:tblInd w:w="3119" w:type="dxa"/>
      <w:tblLayout w:type="fixed"/>
      <w:tblLook w:val="04A0" w:firstRow="1" w:lastRow="0" w:firstColumn="1" w:lastColumn="0" w:noHBand="0" w:noVBand="1"/>
    </w:tblPr>
    <w:tblGrid>
      <w:gridCol w:w="2551"/>
      <w:gridCol w:w="3119"/>
    </w:tblGrid>
    <w:tr w:rsidR="00D53C9E" w:rsidTr="004B7469">
      <w:tc>
        <w:tcPr>
          <w:tcW w:w="2551" w:type="dxa"/>
          <w:vAlign w:val="center"/>
          <w:hideMark/>
        </w:tcPr>
        <w:p w:rsidR="00D53C9E" w:rsidRDefault="00D53C9E" w:rsidP="00224D6A">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119" w:type="dxa"/>
          <w:vAlign w:val="center"/>
          <w:hideMark/>
        </w:tcPr>
        <w:p w:rsidR="00D53C9E" w:rsidRDefault="00096212" w:rsidP="00224D6A">
          <w:pPr>
            <w:jc w:val="both"/>
            <w:rPr>
              <w:rFonts w:ascii="Palatino Linotype" w:hAnsi="Palatino Linotype"/>
              <w:b/>
              <w:sz w:val="22"/>
              <w:szCs w:val="22"/>
              <w:lang w:val="es-ES_tradnl"/>
            </w:rPr>
          </w:pPr>
          <w:r>
            <w:rPr>
              <w:rFonts w:ascii="Palatino Linotype" w:hAnsi="Palatino Linotype"/>
              <w:b/>
              <w:sz w:val="22"/>
              <w:szCs w:val="22"/>
              <w:lang w:val="es-ES_tradnl"/>
            </w:rPr>
            <w:t>04664</w:t>
          </w:r>
          <w:r w:rsidR="00D53C9E">
            <w:rPr>
              <w:rFonts w:ascii="Palatino Linotype" w:hAnsi="Palatino Linotype"/>
              <w:b/>
              <w:sz w:val="22"/>
              <w:szCs w:val="22"/>
              <w:lang w:val="es-ES_tradnl"/>
            </w:rPr>
            <w:t xml:space="preserve">/INFOEM/IP/RR/2021 </w:t>
          </w:r>
        </w:p>
      </w:tc>
    </w:tr>
    <w:tr w:rsidR="00D53C9E" w:rsidTr="004B7469">
      <w:tc>
        <w:tcPr>
          <w:tcW w:w="2551" w:type="dxa"/>
          <w:vAlign w:val="center"/>
          <w:hideMark/>
        </w:tcPr>
        <w:p w:rsidR="00D53C9E" w:rsidRDefault="00D53C9E" w:rsidP="00224D6A">
          <w:pPr>
            <w:ind w:left="35" w:hanging="35"/>
            <w:rPr>
              <w:rFonts w:ascii="Palatino Linotype" w:hAnsi="Palatino Linotype"/>
              <w:b/>
              <w:sz w:val="22"/>
              <w:szCs w:val="22"/>
              <w:lang w:val="es-ES_tradnl"/>
            </w:rPr>
          </w:pPr>
          <w:r>
            <w:rPr>
              <w:rFonts w:ascii="Palatino Linotype" w:hAnsi="Palatino Linotype"/>
              <w:b/>
              <w:sz w:val="22"/>
              <w:szCs w:val="22"/>
              <w:lang w:val="es-ES_tradnl"/>
            </w:rPr>
            <w:t>Recurrente:</w:t>
          </w:r>
        </w:p>
      </w:tc>
      <w:tc>
        <w:tcPr>
          <w:tcW w:w="3119" w:type="dxa"/>
          <w:vAlign w:val="center"/>
          <w:hideMark/>
        </w:tcPr>
        <w:p w:rsidR="00D53C9E" w:rsidRDefault="003B6EC6" w:rsidP="00224D6A">
          <w:pPr>
            <w:jc w:val="both"/>
            <w:rPr>
              <w:rFonts w:ascii="Palatino Linotype" w:hAnsi="Palatino Linotype"/>
              <w:b/>
              <w:sz w:val="22"/>
              <w:szCs w:val="22"/>
              <w:lang w:val="es-ES_tradnl"/>
            </w:rPr>
          </w:pPr>
          <w:r>
            <w:rPr>
              <w:rFonts w:ascii="Palatino Linotype" w:hAnsi="Palatino Linotype"/>
              <w:b/>
              <w:sz w:val="22"/>
              <w:szCs w:val="22"/>
              <w:lang w:val="es-ES_tradnl"/>
            </w:rPr>
            <w:t>XXXXX XXXXX XXXXX</w:t>
          </w:r>
          <w:r w:rsidR="00D53C9E">
            <w:rPr>
              <w:rFonts w:ascii="Palatino Linotype" w:hAnsi="Palatino Linotype"/>
              <w:b/>
              <w:sz w:val="22"/>
              <w:szCs w:val="22"/>
              <w:lang w:val="es-ES_tradnl"/>
            </w:rPr>
            <w:t>.</w:t>
          </w:r>
        </w:p>
      </w:tc>
    </w:tr>
    <w:tr w:rsidR="00D53C9E" w:rsidTr="004B7469">
      <w:trPr>
        <w:trHeight w:val="228"/>
      </w:trPr>
      <w:tc>
        <w:tcPr>
          <w:tcW w:w="2551" w:type="dxa"/>
          <w:vAlign w:val="center"/>
          <w:hideMark/>
        </w:tcPr>
        <w:p w:rsidR="00D53C9E" w:rsidRDefault="00D53C9E" w:rsidP="00224D6A">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119" w:type="dxa"/>
          <w:vAlign w:val="center"/>
          <w:hideMark/>
        </w:tcPr>
        <w:p w:rsidR="00D53C9E" w:rsidRDefault="00096212" w:rsidP="00096212">
          <w:pPr>
            <w:ind w:right="-250"/>
            <w:jc w:val="both"/>
            <w:rPr>
              <w:rFonts w:ascii="Palatino Linotype" w:hAnsi="Palatino Linotype"/>
              <w:b/>
              <w:sz w:val="22"/>
              <w:szCs w:val="22"/>
              <w:lang w:val="es-ES_tradnl"/>
            </w:rPr>
          </w:pPr>
          <w:r>
            <w:rPr>
              <w:rFonts w:ascii="Palatino Linotype" w:hAnsi="Palatino Linotype"/>
              <w:b/>
              <w:sz w:val="22"/>
              <w:szCs w:val="22"/>
              <w:lang w:val="es-ES_tradnl"/>
            </w:rPr>
            <w:t>Ayuntamiento de Tenancingo</w:t>
          </w:r>
          <w:r w:rsidR="00D53C9E">
            <w:rPr>
              <w:rFonts w:ascii="Palatino Linotype" w:hAnsi="Palatino Linotype"/>
              <w:b/>
              <w:sz w:val="22"/>
              <w:szCs w:val="22"/>
              <w:lang w:val="es-ES_tradnl"/>
            </w:rPr>
            <w:t>.</w:t>
          </w:r>
        </w:p>
      </w:tc>
    </w:tr>
    <w:tr w:rsidR="00D53C9E" w:rsidTr="004B7469">
      <w:tc>
        <w:tcPr>
          <w:tcW w:w="2551" w:type="dxa"/>
          <w:vAlign w:val="center"/>
          <w:hideMark/>
        </w:tcPr>
        <w:p w:rsidR="00D53C9E" w:rsidRDefault="00D53C9E" w:rsidP="00224D6A">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3119" w:type="dxa"/>
          <w:vAlign w:val="center"/>
          <w:hideMark/>
        </w:tcPr>
        <w:p w:rsidR="00D53C9E" w:rsidRDefault="00D53C9E" w:rsidP="00224D6A">
          <w:pPr>
            <w:ind w:right="-533"/>
            <w:jc w:val="both"/>
            <w:rPr>
              <w:rFonts w:ascii="Palatino Linotype" w:hAnsi="Palatino Linotype"/>
              <w:b/>
              <w:sz w:val="22"/>
              <w:szCs w:val="22"/>
              <w:lang w:val="es-ES_tradnl"/>
            </w:rPr>
          </w:pPr>
          <w:r>
            <w:rPr>
              <w:rFonts w:ascii="Palatino Linotype" w:hAnsi="Palatino Linotype"/>
              <w:b/>
              <w:sz w:val="22"/>
              <w:szCs w:val="22"/>
              <w:lang w:val="es-ES_tradnl"/>
            </w:rPr>
            <w:t>Guadalupe Ramírez Peña.</w:t>
          </w:r>
        </w:p>
      </w:tc>
    </w:tr>
  </w:tbl>
  <w:p w:rsidR="00D53C9E" w:rsidRDefault="00D53C9E" w:rsidP="00224D6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402"/>
    <w:multiLevelType w:val="multilevel"/>
    <w:tmpl w:val="00000885"/>
    <w:lvl w:ilvl="0">
      <w:start w:val="1"/>
      <w:numFmt w:val="decimal"/>
      <w:lvlText w:val="%1."/>
      <w:lvlJc w:val="left"/>
      <w:pPr>
        <w:ind w:left="627" w:hanging="324"/>
      </w:pPr>
      <w:rPr>
        <w:rFonts w:ascii="Arial" w:hAnsi="Arial" w:cs="Arial"/>
        <w:b w:val="0"/>
        <w:bCs w:val="0"/>
        <w:w w:val="110"/>
      </w:rPr>
    </w:lvl>
    <w:lvl w:ilvl="1">
      <w:numFmt w:val="bullet"/>
      <w:lvlText w:val="•"/>
      <w:lvlJc w:val="left"/>
      <w:pPr>
        <w:ind w:left="1438" w:hanging="324"/>
      </w:pPr>
    </w:lvl>
    <w:lvl w:ilvl="2">
      <w:numFmt w:val="bullet"/>
      <w:lvlText w:val="•"/>
      <w:lvlJc w:val="left"/>
      <w:pPr>
        <w:ind w:left="2256" w:hanging="324"/>
      </w:pPr>
    </w:lvl>
    <w:lvl w:ilvl="3">
      <w:numFmt w:val="bullet"/>
      <w:lvlText w:val="•"/>
      <w:lvlJc w:val="left"/>
      <w:pPr>
        <w:ind w:left="3074" w:hanging="324"/>
      </w:pPr>
    </w:lvl>
    <w:lvl w:ilvl="4">
      <w:numFmt w:val="bullet"/>
      <w:lvlText w:val="•"/>
      <w:lvlJc w:val="left"/>
      <w:pPr>
        <w:ind w:left="3892" w:hanging="324"/>
      </w:pPr>
    </w:lvl>
    <w:lvl w:ilvl="5">
      <w:numFmt w:val="bullet"/>
      <w:lvlText w:val="•"/>
      <w:lvlJc w:val="left"/>
      <w:pPr>
        <w:ind w:left="4710" w:hanging="324"/>
      </w:pPr>
    </w:lvl>
    <w:lvl w:ilvl="6">
      <w:numFmt w:val="bullet"/>
      <w:lvlText w:val="•"/>
      <w:lvlJc w:val="left"/>
      <w:pPr>
        <w:ind w:left="5528" w:hanging="324"/>
      </w:pPr>
    </w:lvl>
    <w:lvl w:ilvl="7">
      <w:numFmt w:val="bullet"/>
      <w:lvlText w:val="•"/>
      <w:lvlJc w:val="left"/>
      <w:pPr>
        <w:ind w:left="6346" w:hanging="324"/>
      </w:pPr>
    </w:lvl>
    <w:lvl w:ilvl="8">
      <w:numFmt w:val="bullet"/>
      <w:lvlText w:val="•"/>
      <w:lvlJc w:val="left"/>
      <w:pPr>
        <w:ind w:left="7164" w:hanging="324"/>
      </w:pPr>
    </w:lvl>
  </w:abstractNum>
  <w:abstractNum w:abstractNumId="1" w15:restartNumberingAfterBreak="0">
    <w:nsid w:val="04695D5E"/>
    <w:multiLevelType w:val="hybridMultilevel"/>
    <w:tmpl w:val="4BFECD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EEE7F57"/>
    <w:multiLevelType w:val="hybridMultilevel"/>
    <w:tmpl w:val="EEDE53AA"/>
    <w:lvl w:ilvl="0" w:tplc="BD084DDC">
      <w:start w:val="5"/>
      <w:numFmt w:val="upperRoman"/>
      <w:lvlText w:val="%1."/>
      <w:lvlJc w:val="left"/>
      <w:pPr>
        <w:ind w:left="1713" w:hanging="72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3" w15:restartNumberingAfterBreak="0">
    <w:nsid w:val="18995210"/>
    <w:multiLevelType w:val="hybridMultilevel"/>
    <w:tmpl w:val="082A74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C494159"/>
    <w:multiLevelType w:val="hybridMultilevel"/>
    <w:tmpl w:val="7CF681D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5" w15:restartNumberingAfterBreak="0">
    <w:nsid w:val="23331724"/>
    <w:multiLevelType w:val="hybridMultilevel"/>
    <w:tmpl w:val="FCFE28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C591276"/>
    <w:multiLevelType w:val="hybridMultilevel"/>
    <w:tmpl w:val="F3AA743E"/>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DAA0CD7"/>
    <w:multiLevelType w:val="hybridMultilevel"/>
    <w:tmpl w:val="44B4350E"/>
    <w:lvl w:ilvl="0" w:tplc="080A0017">
      <w:start w:val="1"/>
      <w:numFmt w:val="lowerLetter"/>
      <w:lvlText w:val="%1)"/>
      <w:lvlJc w:val="left"/>
      <w:pPr>
        <w:ind w:left="720" w:hanging="360"/>
      </w:pPr>
      <w:rPr>
        <w:rFonts w:hint="default"/>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4317490"/>
    <w:multiLevelType w:val="hybridMultilevel"/>
    <w:tmpl w:val="60CA9754"/>
    <w:lvl w:ilvl="0" w:tplc="5EFE98EE">
      <w:start w:val="1"/>
      <w:numFmt w:val="decimal"/>
      <w:lvlText w:val="%1."/>
      <w:lvlJc w:val="left"/>
      <w:pPr>
        <w:ind w:left="5180" w:hanging="360"/>
      </w:pPr>
      <w:rPr>
        <w:rFonts w:hint="default"/>
        <w:b/>
        <w:i w:val="0"/>
        <w:sz w:val="24"/>
      </w:rPr>
    </w:lvl>
    <w:lvl w:ilvl="1" w:tplc="D8BE9144">
      <w:start w:val="1"/>
      <w:numFmt w:val="upperRoman"/>
      <w:lvlText w:val="%2."/>
      <w:lvlJc w:val="left"/>
      <w:pPr>
        <w:ind w:left="1800" w:hanging="720"/>
      </w:pPr>
      <w:rPr>
        <w:rFonts w:hint="default"/>
        <w:color w:val="auto"/>
      </w:rPr>
    </w:lvl>
    <w:lvl w:ilvl="2" w:tplc="080A0011">
      <w:start w:val="1"/>
      <w:numFmt w:val="decimal"/>
      <w:lvlText w:val="%3)"/>
      <w:lvlJc w:val="left"/>
      <w:pPr>
        <w:ind w:left="2340" w:hanging="360"/>
      </w:pPr>
      <w:rPr>
        <w:rFonts w:hint="default"/>
        <w:color w:val="auto"/>
      </w:rPr>
    </w:lvl>
    <w:lvl w:ilvl="3" w:tplc="A306CC5E">
      <w:start w:val="1"/>
      <w:numFmt w:val="decimal"/>
      <w:lvlText w:val="%4."/>
      <w:lvlJc w:val="left"/>
      <w:pPr>
        <w:ind w:left="928" w:hanging="360"/>
      </w:pPr>
      <w:rPr>
        <w:b/>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9C631F9"/>
    <w:multiLevelType w:val="hybridMultilevel"/>
    <w:tmpl w:val="BFBC12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E124630"/>
    <w:multiLevelType w:val="multilevel"/>
    <w:tmpl w:val="DB2EF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EAA1EF8"/>
    <w:multiLevelType w:val="multilevel"/>
    <w:tmpl w:val="A7CE1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1C40A8E"/>
    <w:multiLevelType w:val="hybridMultilevel"/>
    <w:tmpl w:val="68029E4C"/>
    <w:lvl w:ilvl="0" w:tplc="62860FFA">
      <w:start w:val="1"/>
      <w:numFmt w:val="upperRoman"/>
      <w:lvlText w:val="%1."/>
      <w:lvlJc w:val="left"/>
      <w:pPr>
        <w:ind w:left="1713" w:hanging="72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3" w15:restartNumberingAfterBreak="0">
    <w:nsid w:val="59927624"/>
    <w:multiLevelType w:val="hybridMultilevel"/>
    <w:tmpl w:val="C34815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687F14CE"/>
    <w:multiLevelType w:val="hybridMultilevel"/>
    <w:tmpl w:val="09F44904"/>
    <w:lvl w:ilvl="0" w:tplc="69E27CA2">
      <w:start w:val="1"/>
      <w:numFmt w:val="upperRoman"/>
      <w:lvlText w:val="%1."/>
      <w:lvlJc w:val="left"/>
      <w:pPr>
        <w:ind w:left="4265" w:hanging="720"/>
      </w:pPr>
    </w:lvl>
    <w:lvl w:ilvl="1" w:tplc="080A0019">
      <w:start w:val="1"/>
      <w:numFmt w:val="lowerLetter"/>
      <w:lvlText w:val="%2."/>
      <w:lvlJc w:val="left"/>
      <w:pPr>
        <w:ind w:left="4625" w:hanging="360"/>
      </w:pPr>
    </w:lvl>
    <w:lvl w:ilvl="2" w:tplc="080A001B">
      <w:start w:val="1"/>
      <w:numFmt w:val="lowerRoman"/>
      <w:lvlText w:val="%3."/>
      <w:lvlJc w:val="right"/>
      <w:pPr>
        <w:ind w:left="5345" w:hanging="180"/>
      </w:pPr>
    </w:lvl>
    <w:lvl w:ilvl="3" w:tplc="080A000F">
      <w:start w:val="1"/>
      <w:numFmt w:val="decimal"/>
      <w:lvlText w:val="%4."/>
      <w:lvlJc w:val="left"/>
      <w:pPr>
        <w:ind w:left="6065" w:hanging="360"/>
      </w:pPr>
    </w:lvl>
    <w:lvl w:ilvl="4" w:tplc="080A0019">
      <w:start w:val="1"/>
      <w:numFmt w:val="lowerLetter"/>
      <w:lvlText w:val="%5."/>
      <w:lvlJc w:val="left"/>
      <w:pPr>
        <w:ind w:left="6785" w:hanging="360"/>
      </w:pPr>
    </w:lvl>
    <w:lvl w:ilvl="5" w:tplc="080A001B">
      <w:start w:val="1"/>
      <w:numFmt w:val="lowerRoman"/>
      <w:lvlText w:val="%6."/>
      <w:lvlJc w:val="right"/>
      <w:pPr>
        <w:ind w:left="7505" w:hanging="180"/>
      </w:pPr>
    </w:lvl>
    <w:lvl w:ilvl="6" w:tplc="080A000F">
      <w:start w:val="1"/>
      <w:numFmt w:val="decimal"/>
      <w:lvlText w:val="%7."/>
      <w:lvlJc w:val="left"/>
      <w:pPr>
        <w:ind w:left="8225" w:hanging="360"/>
      </w:pPr>
    </w:lvl>
    <w:lvl w:ilvl="7" w:tplc="080A0019">
      <w:start w:val="1"/>
      <w:numFmt w:val="lowerLetter"/>
      <w:lvlText w:val="%8."/>
      <w:lvlJc w:val="left"/>
      <w:pPr>
        <w:ind w:left="8945" w:hanging="360"/>
      </w:pPr>
    </w:lvl>
    <w:lvl w:ilvl="8" w:tplc="080A001B">
      <w:start w:val="1"/>
      <w:numFmt w:val="lowerRoman"/>
      <w:lvlText w:val="%9."/>
      <w:lvlJc w:val="right"/>
      <w:pPr>
        <w:ind w:left="9665" w:hanging="180"/>
      </w:pPr>
    </w:lvl>
  </w:abstractNum>
  <w:abstractNum w:abstractNumId="15" w15:restartNumberingAfterBreak="0">
    <w:nsid w:val="6E8F2AC0"/>
    <w:multiLevelType w:val="hybridMultilevel"/>
    <w:tmpl w:val="7A602B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23811D9"/>
    <w:multiLevelType w:val="hybridMultilevel"/>
    <w:tmpl w:val="A5F082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7913187D"/>
    <w:multiLevelType w:val="hybridMultilevel"/>
    <w:tmpl w:val="BFBC12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num>
  <w:num w:numId="3">
    <w:abstractNumId w:val="0"/>
  </w:num>
  <w:num w:numId="4">
    <w:abstractNumId w:val="7"/>
  </w:num>
  <w:num w:numId="5">
    <w:abstractNumId w:val="3"/>
  </w:num>
  <w:num w:numId="6">
    <w:abstractNumId w:val="6"/>
  </w:num>
  <w:num w:numId="7">
    <w:abstractNumId w:val="8"/>
  </w:num>
  <w:num w:numId="8">
    <w:abstractNumId w:val="5"/>
  </w:num>
  <w:num w:numId="9">
    <w:abstractNumId w:val="4"/>
  </w:num>
  <w:num w:numId="10">
    <w:abstractNumId w:val="13"/>
  </w:num>
  <w:num w:numId="11">
    <w:abstractNumId w:val="12"/>
  </w:num>
  <w:num w:numId="12">
    <w:abstractNumId w:val="15"/>
  </w:num>
  <w:num w:numId="13">
    <w:abstractNumId w:val="9"/>
  </w:num>
  <w:num w:numId="14">
    <w:abstractNumId w:val="17"/>
  </w:num>
  <w:num w:numId="15">
    <w:abstractNumId w:val="2"/>
  </w:num>
  <w:num w:numId="16">
    <w:abstractNumId w:val="11"/>
  </w:num>
  <w:num w:numId="17">
    <w:abstractNumId w:val="1"/>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5396"/>
    <w:rsid w:val="000033B1"/>
    <w:rsid w:val="000065CB"/>
    <w:rsid w:val="0001561E"/>
    <w:rsid w:val="00015B46"/>
    <w:rsid w:val="00020628"/>
    <w:rsid w:val="00021168"/>
    <w:rsid w:val="000216E2"/>
    <w:rsid w:val="00022119"/>
    <w:rsid w:val="000237B7"/>
    <w:rsid w:val="000337DA"/>
    <w:rsid w:val="00037D72"/>
    <w:rsid w:val="0004608D"/>
    <w:rsid w:val="00062052"/>
    <w:rsid w:val="00066EA9"/>
    <w:rsid w:val="00072D95"/>
    <w:rsid w:val="000750A7"/>
    <w:rsid w:val="00076C9A"/>
    <w:rsid w:val="00080788"/>
    <w:rsid w:val="00096161"/>
    <w:rsid w:val="00096212"/>
    <w:rsid w:val="00097DC6"/>
    <w:rsid w:val="000A3261"/>
    <w:rsid w:val="000A7478"/>
    <w:rsid w:val="000B37AE"/>
    <w:rsid w:val="000D22E2"/>
    <w:rsid w:val="000D34A1"/>
    <w:rsid w:val="000D4727"/>
    <w:rsid w:val="000D4A20"/>
    <w:rsid w:val="000E0F0F"/>
    <w:rsid w:val="000E3843"/>
    <w:rsid w:val="000E4227"/>
    <w:rsid w:val="000E77F3"/>
    <w:rsid w:val="000F2D64"/>
    <w:rsid w:val="000F51C1"/>
    <w:rsid w:val="0010499F"/>
    <w:rsid w:val="0010633D"/>
    <w:rsid w:val="00113F0F"/>
    <w:rsid w:val="00114A6D"/>
    <w:rsid w:val="00114A9A"/>
    <w:rsid w:val="00116785"/>
    <w:rsid w:val="001342BD"/>
    <w:rsid w:val="0013433C"/>
    <w:rsid w:val="00142FA9"/>
    <w:rsid w:val="00146257"/>
    <w:rsid w:val="00153C0D"/>
    <w:rsid w:val="00161C08"/>
    <w:rsid w:val="001639B7"/>
    <w:rsid w:val="00166305"/>
    <w:rsid w:val="00170E33"/>
    <w:rsid w:val="00171420"/>
    <w:rsid w:val="001714D5"/>
    <w:rsid w:val="00173DD2"/>
    <w:rsid w:val="001778FE"/>
    <w:rsid w:val="00181755"/>
    <w:rsid w:val="00184165"/>
    <w:rsid w:val="00186A33"/>
    <w:rsid w:val="00190F13"/>
    <w:rsid w:val="0019247C"/>
    <w:rsid w:val="0019336E"/>
    <w:rsid w:val="0019366F"/>
    <w:rsid w:val="00195135"/>
    <w:rsid w:val="001A4769"/>
    <w:rsid w:val="001A5DB6"/>
    <w:rsid w:val="001A73AF"/>
    <w:rsid w:val="001B5585"/>
    <w:rsid w:val="001C16F6"/>
    <w:rsid w:val="001C54FE"/>
    <w:rsid w:val="001C66D4"/>
    <w:rsid w:val="001E04EA"/>
    <w:rsid w:val="001E35F1"/>
    <w:rsid w:val="001E571F"/>
    <w:rsid w:val="001F5725"/>
    <w:rsid w:val="001F72FB"/>
    <w:rsid w:val="002043EC"/>
    <w:rsid w:val="00205EF0"/>
    <w:rsid w:val="00206CFD"/>
    <w:rsid w:val="0021444D"/>
    <w:rsid w:val="00214E16"/>
    <w:rsid w:val="0022062A"/>
    <w:rsid w:val="00223B07"/>
    <w:rsid w:val="00224D6A"/>
    <w:rsid w:val="00226398"/>
    <w:rsid w:val="0022754A"/>
    <w:rsid w:val="00235A8C"/>
    <w:rsid w:val="002417A9"/>
    <w:rsid w:val="0024214B"/>
    <w:rsid w:val="00246A48"/>
    <w:rsid w:val="00252213"/>
    <w:rsid w:val="00266653"/>
    <w:rsid w:val="00266B48"/>
    <w:rsid w:val="00273EF3"/>
    <w:rsid w:val="00276DAD"/>
    <w:rsid w:val="00286483"/>
    <w:rsid w:val="00293A1F"/>
    <w:rsid w:val="00293CA1"/>
    <w:rsid w:val="00293EB6"/>
    <w:rsid w:val="002A05B6"/>
    <w:rsid w:val="002A11F8"/>
    <w:rsid w:val="002A6F11"/>
    <w:rsid w:val="002B0D00"/>
    <w:rsid w:val="002B3972"/>
    <w:rsid w:val="002C0440"/>
    <w:rsid w:val="002C20F6"/>
    <w:rsid w:val="002D5D7C"/>
    <w:rsid w:val="002D6562"/>
    <w:rsid w:val="002E0B73"/>
    <w:rsid w:val="002E1C93"/>
    <w:rsid w:val="002E5396"/>
    <w:rsid w:val="002F081A"/>
    <w:rsid w:val="003000C4"/>
    <w:rsid w:val="003132E1"/>
    <w:rsid w:val="00313ADE"/>
    <w:rsid w:val="003239B7"/>
    <w:rsid w:val="003241E5"/>
    <w:rsid w:val="0033087D"/>
    <w:rsid w:val="003347C3"/>
    <w:rsid w:val="00336113"/>
    <w:rsid w:val="00340981"/>
    <w:rsid w:val="003443C1"/>
    <w:rsid w:val="00345F68"/>
    <w:rsid w:val="00363976"/>
    <w:rsid w:val="00365264"/>
    <w:rsid w:val="00373C0A"/>
    <w:rsid w:val="00382DC3"/>
    <w:rsid w:val="00386076"/>
    <w:rsid w:val="00392DE2"/>
    <w:rsid w:val="00392F63"/>
    <w:rsid w:val="00394748"/>
    <w:rsid w:val="003A0920"/>
    <w:rsid w:val="003A10D3"/>
    <w:rsid w:val="003A24CA"/>
    <w:rsid w:val="003A386A"/>
    <w:rsid w:val="003A781E"/>
    <w:rsid w:val="003B0CBF"/>
    <w:rsid w:val="003B19DA"/>
    <w:rsid w:val="003B4C11"/>
    <w:rsid w:val="003B6EC6"/>
    <w:rsid w:val="003C1448"/>
    <w:rsid w:val="003C4A56"/>
    <w:rsid w:val="003E3A0E"/>
    <w:rsid w:val="003E67EC"/>
    <w:rsid w:val="003E7C61"/>
    <w:rsid w:val="003F2267"/>
    <w:rsid w:val="00410B33"/>
    <w:rsid w:val="00416F97"/>
    <w:rsid w:val="0042081B"/>
    <w:rsid w:val="00422958"/>
    <w:rsid w:val="00431776"/>
    <w:rsid w:val="00441DEC"/>
    <w:rsid w:val="0044607B"/>
    <w:rsid w:val="00452381"/>
    <w:rsid w:val="00452AA3"/>
    <w:rsid w:val="00455513"/>
    <w:rsid w:val="00461C88"/>
    <w:rsid w:val="00463004"/>
    <w:rsid w:val="004655EA"/>
    <w:rsid w:val="004728FD"/>
    <w:rsid w:val="00481306"/>
    <w:rsid w:val="004879EC"/>
    <w:rsid w:val="00490FD1"/>
    <w:rsid w:val="00497433"/>
    <w:rsid w:val="004A78DC"/>
    <w:rsid w:val="004B0649"/>
    <w:rsid w:val="004B0F26"/>
    <w:rsid w:val="004B7469"/>
    <w:rsid w:val="004C7BE4"/>
    <w:rsid w:val="004D295E"/>
    <w:rsid w:val="004D453C"/>
    <w:rsid w:val="004D63E3"/>
    <w:rsid w:val="004D6CB7"/>
    <w:rsid w:val="004D6DE5"/>
    <w:rsid w:val="004D6F01"/>
    <w:rsid w:val="004E51D4"/>
    <w:rsid w:val="004F31E2"/>
    <w:rsid w:val="004F5A47"/>
    <w:rsid w:val="004F6F27"/>
    <w:rsid w:val="00504982"/>
    <w:rsid w:val="00505840"/>
    <w:rsid w:val="005124BF"/>
    <w:rsid w:val="005165E9"/>
    <w:rsid w:val="00523D85"/>
    <w:rsid w:val="00526638"/>
    <w:rsid w:val="00530E63"/>
    <w:rsid w:val="005323AC"/>
    <w:rsid w:val="00537F89"/>
    <w:rsid w:val="00540979"/>
    <w:rsid w:val="005426EA"/>
    <w:rsid w:val="00546029"/>
    <w:rsid w:val="005507DC"/>
    <w:rsid w:val="00551415"/>
    <w:rsid w:val="00581E90"/>
    <w:rsid w:val="005975CD"/>
    <w:rsid w:val="00597C70"/>
    <w:rsid w:val="005B1C86"/>
    <w:rsid w:val="005C2B9A"/>
    <w:rsid w:val="005D0014"/>
    <w:rsid w:val="005E0477"/>
    <w:rsid w:val="005F0C47"/>
    <w:rsid w:val="0060122B"/>
    <w:rsid w:val="00625BB7"/>
    <w:rsid w:val="006302EB"/>
    <w:rsid w:val="0063409B"/>
    <w:rsid w:val="00636BF0"/>
    <w:rsid w:val="00640896"/>
    <w:rsid w:val="00641CF7"/>
    <w:rsid w:val="00642ED3"/>
    <w:rsid w:val="00651AE4"/>
    <w:rsid w:val="00651B2F"/>
    <w:rsid w:val="006671F4"/>
    <w:rsid w:val="00667C75"/>
    <w:rsid w:val="00673AC9"/>
    <w:rsid w:val="00673F19"/>
    <w:rsid w:val="00676C17"/>
    <w:rsid w:val="00686C66"/>
    <w:rsid w:val="0069454E"/>
    <w:rsid w:val="00695C47"/>
    <w:rsid w:val="006975B4"/>
    <w:rsid w:val="006A7EE4"/>
    <w:rsid w:val="006C60A8"/>
    <w:rsid w:val="006D0954"/>
    <w:rsid w:val="006E32F0"/>
    <w:rsid w:val="006F2A2A"/>
    <w:rsid w:val="006F37E6"/>
    <w:rsid w:val="006F40FE"/>
    <w:rsid w:val="00702C67"/>
    <w:rsid w:val="00713DD7"/>
    <w:rsid w:val="00720105"/>
    <w:rsid w:val="00722A61"/>
    <w:rsid w:val="0073045B"/>
    <w:rsid w:val="007372F8"/>
    <w:rsid w:val="00745A16"/>
    <w:rsid w:val="00747FEA"/>
    <w:rsid w:val="00752494"/>
    <w:rsid w:val="0075545F"/>
    <w:rsid w:val="00763D10"/>
    <w:rsid w:val="0077066B"/>
    <w:rsid w:val="00771004"/>
    <w:rsid w:val="00771FD8"/>
    <w:rsid w:val="00776053"/>
    <w:rsid w:val="00777D38"/>
    <w:rsid w:val="007826B6"/>
    <w:rsid w:val="00782D84"/>
    <w:rsid w:val="00787330"/>
    <w:rsid w:val="0079066D"/>
    <w:rsid w:val="0079175F"/>
    <w:rsid w:val="00795888"/>
    <w:rsid w:val="007A2EAF"/>
    <w:rsid w:val="007A6AB4"/>
    <w:rsid w:val="007B188B"/>
    <w:rsid w:val="007B1D27"/>
    <w:rsid w:val="007B6B59"/>
    <w:rsid w:val="007C08DD"/>
    <w:rsid w:val="007C26DD"/>
    <w:rsid w:val="007D2A34"/>
    <w:rsid w:val="007D3B62"/>
    <w:rsid w:val="007D70B1"/>
    <w:rsid w:val="007E06D7"/>
    <w:rsid w:val="007E28D4"/>
    <w:rsid w:val="007E5123"/>
    <w:rsid w:val="007E6426"/>
    <w:rsid w:val="007F09BB"/>
    <w:rsid w:val="0080178F"/>
    <w:rsid w:val="008029E6"/>
    <w:rsid w:val="008035A8"/>
    <w:rsid w:val="00815F59"/>
    <w:rsid w:val="00821319"/>
    <w:rsid w:val="00825D48"/>
    <w:rsid w:val="0084038C"/>
    <w:rsid w:val="008422E5"/>
    <w:rsid w:val="0085194C"/>
    <w:rsid w:val="00854B1C"/>
    <w:rsid w:val="008558D7"/>
    <w:rsid w:val="0085799A"/>
    <w:rsid w:val="0087361A"/>
    <w:rsid w:val="00880949"/>
    <w:rsid w:val="00881FC4"/>
    <w:rsid w:val="00887252"/>
    <w:rsid w:val="0089424B"/>
    <w:rsid w:val="008A0CDC"/>
    <w:rsid w:val="008A100D"/>
    <w:rsid w:val="008A3111"/>
    <w:rsid w:val="008B5639"/>
    <w:rsid w:val="008E0A94"/>
    <w:rsid w:val="008E520C"/>
    <w:rsid w:val="008E6621"/>
    <w:rsid w:val="008F324A"/>
    <w:rsid w:val="00901BCB"/>
    <w:rsid w:val="00921A6C"/>
    <w:rsid w:val="00924D37"/>
    <w:rsid w:val="00944CD5"/>
    <w:rsid w:val="00945457"/>
    <w:rsid w:val="00950BEC"/>
    <w:rsid w:val="00957724"/>
    <w:rsid w:val="009602E3"/>
    <w:rsid w:val="00966DD3"/>
    <w:rsid w:val="00976507"/>
    <w:rsid w:val="0098057B"/>
    <w:rsid w:val="009902CB"/>
    <w:rsid w:val="00997B8F"/>
    <w:rsid w:val="009A15B8"/>
    <w:rsid w:val="009A47D5"/>
    <w:rsid w:val="009B3DAD"/>
    <w:rsid w:val="009C49CD"/>
    <w:rsid w:val="009E1FAD"/>
    <w:rsid w:val="009E71E7"/>
    <w:rsid w:val="009F00A5"/>
    <w:rsid w:val="00A02EE8"/>
    <w:rsid w:val="00A0527F"/>
    <w:rsid w:val="00A11D70"/>
    <w:rsid w:val="00A26A48"/>
    <w:rsid w:val="00A32E26"/>
    <w:rsid w:val="00A3384C"/>
    <w:rsid w:val="00A34630"/>
    <w:rsid w:val="00A3483A"/>
    <w:rsid w:val="00A43706"/>
    <w:rsid w:val="00A7395C"/>
    <w:rsid w:val="00A80726"/>
    <w:rsid w:val="00A93289"/>
    <w:rsid w:val="00A9340E"/>
    <w:rsid w:val="00AA1D9C"/>
    <w:rsid w:val="00AA23D5"/>
    <w:rsid w:val="00AA3766"/>
    <w:rsid w:val="00AA5B9D"/>
    <w:rsid w:val="00AB3453"/>
    <w:rsid w:val="00AB4201"/>
    <w:rsid w:val="00AB4D6F"/>
    <w:rsid w:val="00AC2D4D"/>
    <w:rsid w:val="00AD0C26"/>
    <w:rsid w:val="00AD1F1D"/>
    <w:rsid w:val="00AD62E4"/>
    <w:rsid w:val="00AE03C3"/>
    <w:rsid w:val="00AF1553"/>
    <w:rsid w:val="00AF3687"/>
    <w:rsid w:val="00AF3EE9"/>
    <w:rsid w:val="00B00578"/>
    <w:rsid w:val="00B027BE"/>
    <w:rsid w:val="00B10115"/>
    <w:rsid w:val="00B124E5"/>
    <w:rsid w:val="00B17F12"/>
    <w:rsid w:val="00B20D9F"/>
    <w:rsid w:val="00B24AA0"/>
    <w:rsid w:val="00B276BE"/>
    <w:rsid w:val="00B307A8"/>
    <w:rsid w:val="00B44473"/>
    <w:rsid w:val="00B450CA"/>
    <w:rsid w:val="00B55F88"/>
    <w:rsid w:val="00B62D1E"/>
    <w:rsid w:val="00B94E90"/>
    <w:rsid w:val="00BB2A04"/>
    <w:rsid w:val="00BB2B3D"/>
    <w:rsid w:val="00BB4ED8"/>
    <w:rsid w:val="00BB61F7"/>
    <w:rsid w:val="00BB75C3"/>
    <w:rsid w:val="00BC3332"/>
    <w:rsid w:val="00BC5CBE"/>
    <w:rsid w:val="00BD09ED"/>
    <w:rsid w:val="00BD1EA0"/>
    <w:rsid w:val="00BD1F18"/>
    <w:rsid w:val="00BE545E"/>
    <w:rsid w:val="00BE5DED"/>
    <w:rsid w:val="00BF5449"/>
    <w:rsid w:val="00C01EF3"/>
    <w:rsid w:val="00C04AC7"/>
    <w:rsid w:val="00C055C3"/>
    <w:rsid w:val="00C05B60"/>
    <w:rsid w:val="00C1056D"/>
    <w:rsid w:val="00C12F96"/>
    <w:rsid w:val="00C17246"/>
    <w:rsid w:val="00C31A4E"/>
    <w:rsid w:val="00C3219F"/>
    <w:rsid w:val="00C367B8"/>
    <w:rsid w:val="00C373FC"/>
    <w:rsid w:val="00C407B9"/>
    <w:rsid w:val="00C41145"/>
    <w:rsid w:val="00C43202"/>
    <w:rsid w:val="00C52B7C"/>
    <w:rsid w:val="00C6202E"/>
    <w:rsid w:val="00C62A48"/>
    <w:rsid w:val="00C63420"/>
    <w:rsid w:val="00C65C6D"/>
    <w:rsid w:val="00C66BA8"/>
    <w:rsid w:val="00C706D2"/>
    <w:rsid w:val="00C76ABB"/>
    <w:rsid w:val="00C8338F"/>
    <w:rsid w:val="00C87077"/>
    <w:rsid w:val="00C910ED"/>
    <w:rsid w:val="00CA4A50"/>
    <w:rsid w:val="00CA6C81"/>
    <w:rsid w:val="00CA7CFD"/>
    <w:rsid w:val="00CC3412"/>
    <w:rsid w:val="00CC51B6"/>
    <w:rsid w:val="00CD4117"/>
    <w:rsid w:val="00CD4712"/>
    <w:rsid w:val="00CE169F"/>
    <w:rsid w:val="00CE3484"/>
    <w:rsid w:val="00D027C7"/>
    <w:rsid w:val="00D03D82"/>
    <w:rsid w:val="00D04AE4"/>
    <w:rsid w:val="00D04B37"/>
    <w:rsid w:val="00D129B1"/>
    <w:rsid w:val="00D135C7"/>
    <w:rsid w:val="00D213EC"/>
    <w:rsid w:val="00D215DE"/>
    <w:rsid w:val="00D24040"/>
    <w:rsid w:val="00D246B8"/>
    <w:rsid w:val="00D2638F"/>
    <w:rsid w:val="00D27626"/>
    <w:rsid w:val="00D35465"/>
    <w:rsid w:val="00D37525"/>
    <w:rsid w:val="00D46C55"/>
    <w:rsid w:val="00D50BF2"/>
    <w:rsid w:val="00D53C9E"/>
    <w:rsid w:val="00D564E9"/>
    <w:rsid w:val="00D60D50"/>
    <w:rsid w:val="00D642F2"/>
    <w:rsid w:val="00D66DC4"/>
    <w:rsid w:val="00D817CC"/>
    <w:rsid w:val="00D84317"/>
    <w:rsid w:val="00D86D06"/>
    <w:rsid w:val="00D935A8"/>
    <w:rsid w:val="00D95F0F"/>
    <w:rsid w:val="00DA4FC4"/>
    <w:rsid w:val="00DB61BC"/>
    <w:rsid w:val="00DC1614"/>
    <w:rsid w:val="00DC1FC8"/>
    <w:rsid w:val="00DC3DCD"/>
    <w:rsid w:val="00DD57B6"/>
    <w:rsid w:val="00DE25D7"/>
    <w:rsid w:val="00DE4E6A"/>
    <w:rsid w:val="00DE772D"/>
    <w:rsid w:val="00DE7A75"/>
    <w:rsid w:val="00DF3918"/>
    <w:rsid w:val="00DF4A44"/>
    <w:rsid w:val="00E00033"/>
    <w:rsid w:val="00E003BF"/>
    <w:rsid w:val="00E06B17"/>
    <w:rsid w:val="00E115C4"/>
    <w:rsid w:val="00E13192"/>
    <w:rsid w:val="00E17FB8"/>
    <w:rsid w:val="00E22A8D"/>
    <w:rsid w:val="00E22EA1"/>
    <w:rsid w:val="00E23E83"/>
    <w:rsid w:val="00E249FE"/>
    <w:rsid w:val="00E2702C"/>
    <w:rsid w:val="00E279AD"/>
    <w:rsid w:val="00E3118E"/>
    <w:rsid w:val="00E33B23"/>
    <w:rsid w:val="00E34595"/>
    <w:rsid w:val="00E4013E"/>
    <w:rsid w:val="00E4481D"/>
    <w:rsid w:val="00E479A9"/>
    <w:rsid w:val="00E53ECD"/>
    <w:rsid w:val="00E67840"/>
    <w:rsid w:val="00E72E93"/>
    <w:rsid w:val="00E827A0"/>
    <w:rsid w:val="00E84CD8"/>
    <w:rsid w:val="00E87E7E"/>
    <w:rsid w:val="00E9188C"/>
    <w:rsid w:val="00E96956"/>
    <w:rsid w:val="00E969C6"/>
    <w:rsid w:val="00E9748A"/>
    <w:rsid w:val="00E97D16"/>
    <w:rsid w:val="00EA040E"/>
    <w:rsid w:val="00EA28F2"/>
    <w:rsid w:val="00EC1780"/>
    <w:rsid w:val="00EC32C0"/>
    <w:rsid w:val="00EC5F74"/>
    <w:rsid w:val="00EC6D97"/>
    <w:rsid w:val="00ED39F1"/>
    <w:rsid w:val="00EE6DBE"/>
    <w:rsid w:val="00EF50C0"/>
    <w:rsid w:val="00EF5983"/>
    <w:rsid w:val="00EF7597"/>
    <w:rsid w:val="00F041BB"/>
    <w:rsid w:val="00F13931"/>
    <w:rsid w:val="00F15EDD"/>
    <w:rsid w:val="00F2486F"/>
    <w:rsid w:val="00F33C22"/>
    <w:rsid w:val="00F363AD"/>
    <w:rsid w:val="00F41009"/>
    <w:rsid w:val="00F4384F"/>
    <w:rsid w:val="00F470CE"/>
    <w:rsid w:val="00F56D15"/>
    <w:rsid w:val="00F677C7"/>
    <w:rsid w:val="00F706E0"/>
    <w:rsid w:val="00F75AEC"/>
    <w:rsid w:val="00F84DB8"/>
    <w:rsid w:val="00F86EFA"/>
    <w:rsid w:val="00F930F7"/>
    <w:rsid w:val="00FA544C"/>
    <w:rsid w:val="00FB268B"/>
    <w:rsid w:val="00FB2CEE"/>
    <w:rsid w:val="00FB32A7"/>
    <w:rsid w:val="00FB34FF"/>
    <w:rsid w:val="00FB75C0"/>
    <w:rsid w:val="00FC2357"/>
    <w:rsid w:val="00FC4004"/>
    <w:rsid w:val="00FC4A1A"/>
    <w:rsid w:val="00FE56B6"/>
    <w:rsid w:val="00FF3439"/>
    <w:rsid w:val="00FF488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15575B0-D91A-4563-B063-6085A1DB83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5396"/>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uiPriority w:val="1"/>
    <w:unhideWhenUsed/>
    <w:qFormat/>
    <w:rsid w:val="002E5396"/>
    <w:pPr>
      <w:autoSpaceDE w:val="0"/>
      <w:autoSpaceDN w:val="0"/>
      <w:adjustRightInd w:val="0"/>
      <w:ind w:left="93"/>
    </w:pPr>
    <w:rPr>
      <w:rFonts w:eastAsiaTheme="minorHAnsi"/>
      <w:sz w:val="23"/>
      <w:szCs w:val="23"/>
      <w:lang w:val="es-MX" w:eastAsia="en-US"/>
    </w:rPr>
  </w:style>
  <w:style w:type="character" w:customStyle="1" w:styleId="TextoindependienteCar">
    <w:name w:val="Texto independiente Car"/>
    <w:basedOn w:val="Fuentedeprrafopredeter"/>
    <w:link w:val="Textoindependiente"/>
    <w:uiPriority w:val="1"/>
    <w:rsid w:val="002E5396"/>
    <w:rPr>
      <w:rFonts w:ascii="Times New Roman" w:hAnsi="Times New Roman" w:cs="Times New Roman"/>
      <w:sz w:val="23"/>
      <w:szCs w:val="23"/>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E5396"/>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2E5396"/>
    <w:pPr>
      <w:ind w:left="708"/>
    </w:pPr>
    <w:rPr>
      <w:sz w:val="22"/>
      <w:szCs w:val="22"/>
      <w:lang w:eastAsia="en-US"/>
    </w:rPr>
  </w:style>
  <w:style w:type="paragraph" w:customStyle="1" w:styleId="paragraph">
    <w:name w:val="paragraph"/>
    <w:basedOn w:val="Normal"/>
    <w:rsid w:val="002E5396"/>
    <w:pPr>
      <w:spacing w:before="100" w:beforeAutospacing="1" w:after="100" w:afterAutospacing="1"/>
    </w:pPr>
    <w:rPr>
      <w:lang w:val="es-MX" w:eastAsia="es-MX"/>
    </w:rPr>
  </w:style>
  <w:style w:type="character" w:customStyle="1" w:styleId="normaltextrun">
    <w:name w:val="normaltextrun"/>
    <w:basedOn w:val="Fuentedeprrafopredeter"/>
    <w:rsid w:val="002E5396"/>
  </w:style>
  <w:style w:type="character" w:customStyle="1" w:styleId="apple-converted-space">
    <w:name w:val="apple-converted-space"/>
    <w:basedOn w:val="Fuentedeprrafopredeter"/>
    <w:rsid w:val="002E5396"/>
  </w:style>
  <w:style w:type="character" w:customStyle="1" w:styleId="eop">
    <w:name w:val="eop"/>
    <w:basedOn w:val="Fuentedeprrafopredeter"/>
    <w:rsid w:val="002E5396"/>
  </w:style>
  <w:style w:type="table" w:styleId="Tablaconcuadrcula">
    <w:name w:val="Table Grid"/>
    <w:basedOn w:val="Tablanormal"/>
    <w:uiPriority w:val="59"/>
    <w:rsid w:val="002E5396"/>
    <w:pPr>
      <w:spacing w:after="0" w:line="240" w:lineRule="auto"/>
    </w:pPr>
    <w:rPr>
      <w:rFonts w:eastAsiaTheme="minorEastAsia"/>
      <w:sz w:val="24"/>
      <w:szCs w:val="24"/>
      <w:lang w:val="es-ES_tradnl" w:eastAsia="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2E5396"/>
    <w:rPr>
      <w:color w:val="0000FF"/>
      <w:u w:val="single"/>
    </w:rPr>
  </w:style>
  <w:style w:type="paragraph" w:styleId="Encabezado">
    <w:name w:val="header"/>
    <w:basedOn w:val="Normal"/>
    <w:link w:val="EncabezadoCar"/>
    <w:uiPriority w:val="99"/>
    <w:unhideWhenUsed/>
    <w:rsid w:val="00224D6A"/>
    <w:pPr>
      <w:tabs>
        <w:tab w:val="center" w:pos="4419"/>
        <w:tab w:val="right" w:pos="8838"/>
      </w:tabs>
    </w:pPr>
  </w:style>
  <w:style w:type="character" w:customStyle="1" w:styleId="EncabezadoCar">
    <w:name w:val="Encabezado Car"/>
    <w:basedOn w:val="Fuentedeprrafopredeter"/>
    <w:link w:val="Encabezado"/>
    <w:uiPriority w:val="99"/>
    <w:rsid w:val="00224D6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224D6A"/>
    <w:pPr>
      <w:tabs>
        <w:tab w:val="center" w:pos="4419"/>
        <w:tab w:val="right" w:pos="8838"/>
      </w:tabs>
    </w:pPr>
  </w:style>
  <w:style w:type="character" w:customStyle="1" w:styleId="PiedepginaCar">
    <w:name w:val="Pie de página Car"/>
    <w:basedOn w:val="Fuentedeprrafopredeter"/>
    <w:link w:val="Piedepgina"/>
    <w:uiPriority w:val="99"/>
    <w:rsid w:val="00224D6A"/>
    <w:rPr>
      <w:rFonts w:ascii="Times New Roman" w:eastAsia="Times New Roman" w:hAnsi="Times New Roman" w:cs="Times New Roman"/>
      <w:sz w:val="24"/>
      <w:szCs w:val="24"/>
      <w:lang w:val="es-ES" w:eastAsia="es-ES"/>
    </w:rPr>
  </w:style>
  <w:style w:type="paragraph" w:styleId="Sinespaciado">
    <w:name w:val="No Spacing"/>
    <w:aliases w:val="Francesa"/>
    <w:link w:val="SinespaciadoCar"/>
    <w:uiPriority w:val="1"/>
    <w:qFormat/>
    <w:rsid w:val="001E35F1"/>
    <w:pPr>
      <w:spacing w:after="0" w:line="240" w:lineRule="auto"/>
    </w:pPr>
  </w:style>
  <w:style w:type="character" w:customStyle="1" w:styleId="SinespaciadoCar">
    <w:name w:val="Sin espaciado Car"/>
    <w:aliases w:val="Francesa Car"/>
    <w:link w:val="Sinespaciado"/>
    <w:uiPriority w:val="1"/>
    <w:locked/>
    <w:rsid w:val="001E35F1"/>
  </w:style>
  <w:style w:type="character" w:styleId="Textoennegrita">
    <w:name w:val="Strong"/>
    <w:uiPriority w:val="22"/>
    <w:qFormat/>
    <w:rsid w:val="00FE56B6"/>
    <w:rPr>
      <w:b/>
      <w:bCs/>
    </w:rPr>
  </w:style>
  <w:style w:type="paragraph" w:styleId="Textodeglobo">
    <w:name w:val="Balloon Text"/>
    <w:basedOn w:val="Normal"/>
    <w:link w:val="TextodegloboCar"/>
    <w:uiPriority w:val="99"/>
    <w:semiHidden/>
    <w:unhideWhenUsed/>
    <w:rsid w:val="00E72E9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72E93"/>
    <w:rPr>
      <w:rFonts w:ascii="Segoe UI" w:eastAsia="Times New Roman" w:hAnsi="Segoe UI" w:cs="Segoe UI"/>
      <w:sz w:val="18"/>
      <w:szCs w:val="18"/>
      <w:lang w:val="es-ES" w:eastAsia="es-ES"/>
    </w:rPr>
  </w:style>
  <w:style w:type="character" w:styleId="Nmerodelnea">
    <w:name w:val="line number"/>
    <w:basedOn w:val="Fuentedeprrafopredeter"/>
    <w:uiPriority w:val="99"/>
    <w:semiHidden/>
    <w:unhideWhenUsed/>
    <w:rsid w:val="00B276BE"/>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114A6D"/>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14A6D"/>
    <w:rPr>
      <w:rFonts w:ascii="Times New Roman" w:eastAsia="Times New Roman" w:hAnsi="Times New Roman" w:cs="Times New Roman"/>
      <w:sz w:val="20"/>
      <w:szCs w:val="20"/>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114A6D"/>
    <w:rPr>
      <w:vertAlign w:val="superscript"/>
    </w:rPr>
  </w:style>
  <w:style w:type="character" w:styleId="Hipervnculovisitado">
    <w:name w:val="FollowedHyperlink"/>
    <w:basedOn w:val="Fuentedeprrafopredeter"/>
    <w:uiPriority w:val="99"/>
    <w:semiHidden/>
    <w:unhideWhenUsed/>
    <w:rsid w:val="0078733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056921">
      <w:bodyDiv w:val="1"/>
      <w:marLeft w:val="0"/>
      <w:marRight w:val="0"/>
      <w:marTop w:val="0"/>
      <w:marBottom w:val="0"/>
      <w:divBdr>
        <w:top w:val="none" w:sz="0" w:space="0" w:color="auto"/>
        <w:left w:val="none" w:sz="0" w:space="0" w:color="auto"/>
        <w:bottom w:val="none" w:sz="0" w:space="0" w:color="auto"/>
        <w:right w:val="none" w:sz="0" w:space="0" w:color="auto"/>
      </w:divBdr>
    </w:div>
    <w:div w:id="300885249">
      <w:bodyDiv w:val="1"/>
      <w:marLeft w:val="0"/>
      <w:marRight w:val="0"/>
      <w:marTop w:val="0"/>
      <w:marBottom w:val="0"/>
      <w:divBdr>
        <w:top w:val="none" w:sz="0" w:space="0" w:color="auto"/>
        <w:left w:val="none" w:sz="0" w:space="0" w:color="auto"/>
        <w:bottom w:val="none" w:sz="0" w:space="0" w:color="auto"/>
        <w:right w:val="none" w:sz="0" w:space="0" w:color="auto"/>
      </w:divBdr>
    </w:div>
    <w:div w:id="311957216">
      <w:bodyDiv w:val="1"/>
      <w:marLeft w:val="0"/>
      <w:marRight w:val="0"/>
      <w:marTop w:val="0"/>
      <w:marBottom w:val="0"/>
      <w:divBdr>
        <w:top w:val="none" w:sz="0" w:space="0" w:color="auto"/>
        <w:left w:val="none" w:sz="0" w:space="0" w:color="auto"/>
        <w:bottom w:val="none" w:sz="0" w:space="0" w:color="auto"/>
        <w:right w:val="none" w:sz="0" w:space="0" w:color="auto"/>
      </w:divBdr>
    </w:div>
    <w:div w:id="382218733">
      <w:bodyDiv w:val="1"/>
      <w:marLeft w:val="0"/>
      <w:marRight w:val="0"/>
      <w:marTop w:val="0"/>
      <w:marBottom w:val="0"/>
      <w:divBdr>
        <w:top w:val="none" w:sz="0" w:space="0" w:color="auto"/>
        <w:left w:val="none" w:sz="0" w:space="0" w:color="auto"/>
        <w:bottom w:val="none" w:sz="0" w:space="0" w:color="auto"/>
        <w:right w:val="none" w:sz="0" w:space="0" w:color="auto"/>
      </w:divBdr>
    </w:div>
    <w:div w:id="508906201">
      <w:bodyDiv w:val="1"/>
      <w:marLeft w:val="0"/>
      <w:marRight w:val="0"/>
      <w:marTop w:val="0"/>
      <w:marBottom w:val="0"/>
      <w:divBdr>
        <w:top w:val="none" w:sz="0" w:space="0" w:color="auto"/>
        <w:left w:val="none" w:sz="0" w:space="0" w:color="auto"/>
        <w:bottom w:val="none" w:sz="0" w:space="0" w:color="auto"/>
        <w:right w:val="none" w:sz="0" w:space="0" w:color="auto"/>
      </w:divBdr>
    </w:div>
    <w:div w:id="515774719">
      <w:bodyDiv w:val="1"/>
      <w:marLeft w:val="0"/>
      <w:marRight w:val="0"/>
      <w:marTop w:val="0"/>
      <w:marBottom w:val="0"/>
      <w:divBdr>
        <w:top w:val="none" w:sz="0" w:space="0" w:color="auto"/>
        <w:left w:val="none" w:sz="0" w:space="0" w:color="auto"/>
        <w:bottom w:val="none" w:sz="0" w:space="0" w:color="auto"/>
        <w:right w:val="none" w:sz="0" w:space="0" w:color="auto"/>
      </w:divBdr>
    </w:div>
    <w:div w:id="567809210">
      <w:bodyDiv w:val="1"/>
      <w:marLeft w:val="0"/>
      <w:marRight w:val="0"/>
      <w:marTop w:val="0"/>
      <w:marBottom w:val="0"/>
      <w:divBdr>
        <w:top w:val="none" w:sz="0" w:space="0" w:color="auto"/>
        <w:left w:val="none" w:sz="0" w:space="0" w:color="auto"/>
        <w:bottom w:val="none" w:sz="0" w:space="0" w:color="auto"/>
        <w:right w:val="none" w:sz="0" w:space="0" w:color="auto"/>
      </w:divBdr>
    </w:div>
    <w:div w:id="600456613">
      <w:bodyDiv w:val="1"/>
      <w:marLeft w:val="0"/>
      <w:marRight w:val="0"/>
      <w:marTop w:val="0"/>
      <w:marBottom w:val="0"/>
      <w:divBdr>
        <w:top w:val="none" w:sz="0" w:space="0" w:color="auto"/>
        <w:left w:val="none" w:sz="0" w:space="0" w:color="auto"/>
        <w:bottom w:val="none" w:sz="0" w:space="0" w:color="auto"/>
        <w:right w:val="none" w:sz="0" w:space="0" w:color="auto"/>
      </w:divBdr>
    </w:div>
    <w:div w:id="662900695">
      <w:bodyDiv w:val="1"/>
      <w:marLeft w:val="0"/>
      <w:marRight w:val="0"/>
      <w:marTop w:val="0"/>
      <w:marBottom w:val="0"/>
      <w:divBdr>
        <w:top w:val="none" w:sz="0" w:space="0" w:color="auto"/>
        <w:left w:val="none" w:sz="0" w:space="0" w:color="auto"/>
        <w:bottom w:val="none" w:sz="0" w:space="0" w:color="auto"/>
        <w:right w:val="none" w:sz="0" w:space="0" w:color="auto"/>
      </w:divBdr>
    </w:div>
    <w:div w:id="723677420">
      <w:bodyDiv w:val="1"/>
      <w:marLeft w:val="0"/>
      <w:marRight w:val="0"/>
      <w:marTop w:val="0"/>
      <w:marBottom w:val="0"/>
      <w:divBdr>
        <w:top w:val="none" w:sz="0" w:space="0" w:color="auto"/>
        <w:left w:val="none" w:sz="0" w:space="0" w:color="auto"/>
        <w:bottom w:val="none" w:sz="0" w:space="0" w:color="auto"/>
        <w:right w:val="none" w:sz="0" w:space="0" w:color="auto"/>
      </w:divBdr>
    </w:div>
    <w:div w:id="742487295">
      <w:bodyDiv w:val="1"/>
      <w:marLeft w:val="0"/>
      <w:marRight w:val="0"/>
      <w:marTop w:val="0"/>
      <w:marBottom w:val="0"/>
      <w:divBdr>
        <w:top w:val="none" w:sz="0" w:space="0" w:color="auto"/>
        <w:left w:val="none" w:sz="0" w:space="0" w:color="auto"/>
        <w:bottom w:val="none" w:sz="0" w:space="0" w:color="auto"/>
        <w:right w:val="none" w:sz="0" w:space="0" w:color="auto"/>
      </w:divBdr>
    </w:div>
    <w:div w:id="832329647">
      <w:bodyDiv w:val="1"/>
      <w:marLeft w:val="0"/>
      <w:marRight w:val="0"/>
      <w:marTop w:val="0"/>
      <w:marBottom w:val="0"/>
      <w:divBdr>
        <w:top w:val="none" w:sz="0" w:space="0" w:color="auto"/>
        <w:left w:val="none" w:sz="0" w:space="0" w:color="auto"/>
        <w:bottom w:val="none" w:sz="0" w:space="0" w:color="auto"/>
        <w:right w:val="none" w:sz="0" w:space="0" w:color="auto"/>
      </w:divBdr>
    </w:div>
    <w:div w:id="836768855">
      <w:bodyDiv w:val="1"/>
      <w:marLeft w:val="0"/>
      <w:marRight w:val="0"/>
      <w:marTop w:val="0"/>
      <w:marBottom w:val="0"/>
      <w:divBdr>
        <w:top w:val="none" w:sz="0" w:space="0" w:color="auto"/>
        <w:left w:val="none" w:sz="0" w:space="0" w:color="auto"/>
        <w:bottom w:val="none" w:sz="0" w:space="0" w:color="auto"/>
        <w:right w:val="none" w:sz="0" w:space="0" w:color="auto"/>
      </w:divBdr>
    </w:div>
    <w:div w:id="850147686">
      <w:bodyDiv w:val="1"/>
      <w:marLeft w:val="0"/>
      <w:marRight w:val="0"/>
      <w:marTop w:val="0"/>
      <w:marBottom w:val="0"/>
      <w:divBdr>
        <w:top w:val="none" w:sz="0" w:space="0" w:color="auto"/>
        <w:left w:val="none" w:sz="0" w:space="0" w:color="auto"/>
        <w:bottom w:val="none" w:sz="0" w:space="0" w:color="auto"/>
        <w:right w:val="none" w:sz="0" w:space="0" w:color="auto"/>
      </w:divBdr>
    </w:div>
    <w:div w:id="867715009">
      <w:bodyDiv w:val="1"/>
      <w:marLeft w:val="0"/>
      <w:marRight w:val="0"/>
      <w:marTop w:val="0"/>
      <w:marBottom w:val="0"/>
      <w:divBdr>
        <w:top w:val="none" w:sz="0" w:space="0" w:color="auto"/>
        <w:left w:val="none" w:sz="0" w:space="0" w:color="auto"/>
        <w:bottom w:val="none" w:sz="0" w:space="0" w:color="auto"/>
        <w:right w:val="none" w:sz="0" w:space="0" w:color="auto"/>
      </w:divBdr>
    </w:div>
    <w:div w:id="877938250">
      <w:bodyDiv w:val="1"/>
      <w:marLeft w:val="0"/>
      <w:marRight w:val="0"/>
      <w:marTop w:val="0"/>
      <w:marBottom w:val="0"/>
      <w:divBdr>
        <w:top w:val="none" w:sz="0" w:space="0" w:color="auto"/>
        <w:left w:val="none" w:sz="0" w:space="0" w:color="auto"/>
        <w:bottom w:val="none" w:sz="0" w:space="0" w:color="auto"/>
        <w:right w:val="none" w:sz="0" w:space="0" w:color="auto"/>
      </w:divBdr>
    </w:div>
    <w:div w:id="897983042">
      <w:bodyDiv w:val="1"/>
      <w:marLeft w:val="0"/>
      <w:marRight w:val="0"/>
      <w:marTop w:val="0"/>
      <w:marBottom w:val="0"/>
      <w:divBdr>
        <w:top w:val="none" w:sz="0" w:space="0" w:color="auto"/>
        <w:left w:val="none" w:sz="0" w:space="0" w:color="auto"/>
        <w:bottom w:val="none" w:sz="0" w:space="0" w:color="auto"/>
        <w:right w:val="none" w:sz="0" w:space="0" w:color="auto"/>
      </w:divBdr>
    </w:div>
    <w:div w:id="905532406">
      <w:bodyDiv w:val="1"/>
      <w:marLeft w:val="0"/>
      <w:marRight w:val="0"/>
      <w:marTop w:val="0"/>
      <w:marBottom w:val="0"/>
      <w:divBdr>
        <w:top w:val="none" w:sz="0" w:space="0" w:color="auto"/>
        <w:left w:val="none" w:sz="0" w:space="0" w:color="auto"/>
        <w:bottom w:val="none" w:sz="0" w:space="0" w:color="auto"/>
        <w:right w:val="none" w:sz="0" w:space="0" w:color="auto"/>
      </w:divBdr>
    </w:div>
    <w:div w:id="1030762129">
      <w:bodyDiv w:val="1"/>
      <w:marLeft w:val="0"/>
      <w:marRight w:val="0"/>
      <w:marTop w:val="0"/>
      <w:marBottom w:val="0"/>
      <w:divBdr>
        <w:top w:val="none" w:sz="0" w:space="0" w:color="auto"/>
        <w:left w:val="none" w:sz="0" w:space="0" w:color="auto"/>
        <w:bottom w:val="none" w:sz="0" w:space="0" w:color="auto"/>
        <w:right w:val="none" w:sz="0" w:space="0" w:color="auto"/>
      </w:divBdr>
    </w:div>
    <w:div w:id="1120107820">
      <w:bodyDiv w:val="1"/>
      <w:marLeft w:val="0"/>
      <w:marRight w:val="0"/>
      <w:marTop w:val="0"/>
      <w:marBottom w:val="0"/>
      <w:divBdr>
        <w:top w:val="none" w:sz="0" w:space="0" w:color="auto"/>
        <w:left w:val="none" w:sz="0" w:space="0" w:color="auto"/>
        <w:bottom w:val="none" w:sz="0" w:space="0" w:color="auto"/>
        <w:right w:val="none" w:sz="0" w:space="0" w:color="auto"/>
      </w:divBdr>
    </w:div>
    <w:div w:id="1136532456">
      <w:bodyDiv w:val="1"/>
      <w:marLeft w:val="0"/>
      <w:marRight w:val="0"/>
      <w:marTop w:val="0"/>
      <w:marBottom w:val="0"/>
      <w:divBdr>
        <w:top w:val="none" w:sz="0" w:space="0" w:color="auto"/>
        <w:left w:val="none" w:sz="0" w:space="0" w:color="auto"/>
        <w:bottom w:val="none" w:sz="0" w:space="0" w:color="auto"/>
        <w:right w:val="none" w:sz="0" w:space="0" w:color="auto"/>
      </w:divBdr>
    </w:div>
    <w:div w:id="1187212983">
      <w:bodyDiv w:val="1"/>
      <w:marLeft w:val="0"/>
      <w:marRight w:val="0"/>
      <w:marTop w:val="0"/>
      <w:marBottom w:val="0"/>
      <w:divBdr>
        <w:top w:val="none" w:sz="0" w:space="0" w:color="auto"/>
        <w:left w:val="none" w:sz="0" w:space="0" w:color="auto"/>
        <w:bottom w:val="none" w:sz="0" w:space="0" w:color="auto"/>
        <w:right w:val="none" w:sz="0" w:space="0" w:color="auto"/>
      </w:divBdr>
    </w:div>
    <w:div w:id="1267814666">
      <w:bodyDiv w:val="1"/>
      <w:marLeft w:val="0"/>
      <w:marRight w:val="0"/>
      <w:marTop w:val="0"/>
      <w:marBottom w:val="0"/>
      <w:divBdr>
        <w:top w:val="none" w:sz="0" w:space="0" w:color="auto"/>
        <w:left w:val="none" w:sz="0" w:space="0" w:color="auto"/>
        <w:bottom w:val="none" w:sz="0" w:space="0" w:color="auto"/>
        <w:right w:val="none" w:sz="0" w:space="0" w:color="auto"/>
      </w:divBdr>
    </w:div>
    <w:div w:id="1413354029">
      <w:bodyDiv w:val="1"/>
      <w:marLeft w:val="0"/>
      <w:marRight w:val="0"/>
      <w:marTop w:val="0"/>
      <w:marBottom w:val="0"/>
      <w:divBdr>
        <w:top w:val="none" w:sz="0" w:space="0" w:color="auto"/>
        <w:left w:val="none" w:sz="0" w:space="0" w:color="auto"/>
        <w:bottom w:val="none" w:sz="0" w:space="0" w:color="auto"/>
        <w:right w:val="none" w:sz="0" w:space="0" w:color="auto"/>
      </w:divBdr>
    </w:div>
    <w:div w:id="1447698457">
      <w:bodyDiv w:val="1"/>
      <w:marLeft w:val="0"/>
      <w:marRight w:val="0"/>
      <w:marTop w:val="0"/>
      <w:marBottom w:val="0"/>
      <w:divBdr>
        <w:top w:val="none" w:sz="0" w:space="0" w:color="auto"/>
        <w:left w:val="none" w:sz="0" w:space="0" w:color="auto"/>
        <w:bottom w:val="none" w:sz="0" w:space="0" w:color="auto"/>
        <w:right w:val="none" w:sz="0" w:space="0" w:color="auto"/>
      </w:divBdr>
    </w:div>
    <w:div w:id="1563449153">
      <w:bodyDiv w:val="1"/>
      <w:marLeft w:val="0"/>
      <w:marRight w:val="0"/>
      <w:marTop w:val="0"/>
      <w:marBottom w:val="0"/>
      <w:divBdr>
        <w:top w:val="none" w:sz="0" w:space="0" w:color="auto"/>
        <w:left w:val="none" w:sz="0" w:space="0" w:color="auto"/>
        <w:bottom w:val="none" w:sz="0" w:space="0" w:color="auto"/>
        <w:right w:val="none" w:sz="0" w:space="0" w:color="auto"/>
      </w:divBdr>
    </w:div>
    <w:div w:id="1595481566">
      <w:bodyDiv w:val="1"/>
      <w:marLeft w:val="0"/>
      <w:marRight w:val="0"/>
      <w:marTop w:val="0"/>
      <w:marBottom w:val="0"/>
      <w:divBdr>
        <w:top w:val="none" w:sz="0" w:space="0" w:color="auto"/>
        <w:left w:val="none" w:sz="0" w:space="0" w:color="auto"/>
        <w:bottom w:val="none" w:sz="0" w:space="0" w:color="auto"/>
        <w:right w:val="none" w:sz="0" w:space="0" w:color="auto"/>
      </w:divBdr>
    </w:div>
    <w:div w:id="1607154074">
      <w:bodyDiv w:val="1"/>
      <w:marLeft w:val="0"/>
      <w:marRight w:val="0"/>
      <w:marTop w:val="0"/>
      <w:marBottom w:val="0"/>
      <w:divBdr>
        <w:top w:val="none" w:sz="0" w:space="0" w:color="auto"/>
        <w:left w:val="none" w:sz="0" w:space="0" w:color="auto"/>
        <w:bottom w:val="none" w:sz="0" w:space="0" w:color="auto"/>
        <w:right w:val="none" w:sz="0" w:space="0" w:color="auto"/>
      </w:divBdr>
    </w:div>
    <w:div w:id="1618175211">
      <w:bodyDiv w:val="1"/>
      <w:marLeft w:val="0"/>
      <w:marRight w:val="0"/>
      <w:marTop w:val="0"/>
      <w:marBottom w:val="0"/>
      <w:divBdr>
        <w:top w:val="none" w:sz="0" w:space="0" w:color="auto"/>
        <w:left w:val="none" w:sz="0" w:space="0" w:color="auto"/>
        <w:bottom w:val="none" w:sz="0" w:space="0" w:color="auto"/>
        <w:right w:val="none" w:sz="0" w:space="0" w:color="auto"/>
      </w:divBdr>
    </w:div>
    <w:div w:id="1627003270">
      <w:bodyDiv w:val="1"/>
      <w:marLeft w:val="0"/>
      <w:marRight w:val="0"/>
      <w:marTop w:val="0"/>
      <w:marBottom w:val="0"/>
      <w:divBdr>
        <w:top w:val="none" w:sz="0" w:space="0" w:color="auto"/>
        <w:left w:val="none" w:sz="0" w:space="0" w:color="auto"/>
        <w:bottom w:val="none" w:sz="0" w:space="0" w:color="auto"/>
        <w:right w:val="none" w:sz="0" w:space="0" w:color="auto"/>
      </w:divBdr>
    </w:div>
    <w:div w:id="1921334034">
      <w:bodyDiv w:val="1"/>
      <w:marLeft w:val="0"/>
      <w:marRight w:val="0"/>
      <w:marTop w:val="0"/>
      <w:marBottom w:val="0"/>
      <w:divBdr>
        <w:top w:val="none" w:sz="0" w:space="0" w:color="auto"/>
        <w:left w:val="none" w:sz="0" w:space="0" w:color="auto"/>
        <w:bottom w:val="none" w:sz="0" w:space="0" w:color="auto"/>
        <w:right w:val="none" w:sz="0" w:space="0" w:color="auto"/>
      </w:divBdr>
    </w:div>
    <w:div w:id="2021271048">
      <w:bodyDiv w:val="1"/>
      <w:marLeft w:val="0"/>
      <w:marRight w:val="0"/>
      <w:marTop w:val="0"/>
      <w:marBottom w:val="0"/>
      <w:divBdr>
        <w:top w:val="none" w:sz="0" w:space="0" w:color="auto"/>
        <w:left w:val="none" w:sz="0" w:space="0" w:color="auto"/>
        <w:bottom w:val="none" w:sz="0" w:space="0" w:color="auto"/>
        <w:right w:val="none" w:sz="0" w:space="0" w:color="auto"/>
      </w:divBdr>
    </w:div>
    <w:div w:id="2043821905">
      <w:bodyDiv w:val="1"/>
      <w:marLeft w:val="0"/>
      <w:marRight w:val="0"/>
      <w:marTop w:val="0"/>
      <w:marBottom w:val="0"/>
      <w:divBdr>
        <w:top w:val="none" w:sz="0" w:space="0" w:color="auto"/>
        <w:left w:val="none" w:sz="0" w:space="0" w:color="auto"/>
        <w:bottom w:val="none" w:sz="0" w:space="0" w:color="auto"/>
        <w:right w:val="none" w:sz="0" w:space="0" w:color="auto"/>
      </w:divBdr>
    </w:div>
    <w:div w:id="2045400488">
      <w:bodyDiv w:val="1"/>
      <w:marLeft w:val="0"/>
      <w:marRight w:val="0"/>
      <w:marTop w:val="0"/>
      <w:marBottom w:val="0"/>
      <w:divBdr>
        <w:top w:val="none" w:sz="0" w:space="0" w:color="auto"/>
        <w:left w:val="none" w:sz="0" w:space="0" w:color="auto"/>
        <w:bottom w:val="none" w:sz="0" w:space="0" w:color="auto"/>
        <w:right w:val="none" w:sz="0" w:space="0" w:color="auto"/>
      </w:divBdr>
    </w:div>
    <w:div w:id="2124492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1206549.page" TargetMode="External"/><Relationship Id="rId13" Type="http://schemas.openxmlformats.org/officeDocument/2006/relationships/hyperlink" Target="https://www.saimex.org.mx/saimex/solicitud/downloadAttach/1221880.page" TargetMode="External"/><Relationship Id="rId18" Type="http://schemas.openxmlformats.org/officeDocument/2006/relationships/hyperlink" Target="https://www.saimex.org.mx/saimex/solicitud/downloadAttach/1221880.page"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png"/><Relationship Id="rId7" Type="http://schemas.openxmlformats.org/officeDocument/2006/relationships/endnotes" Target="endnotes.xml"/><Relationship Id="rId12" Type="http://schemas.openxmlformats.org/officeDocument/2006/relationships/hyperlink" Target="https://www.saimex.org.mx/saimex/solicitud/downloadAttach/1221821.page" TargetMode="External"/><Relationship Id="rId17" Type="http://schemas.openxmlformats.org/officeDocument/2006/relationships/hyperlink" Target="https://www.saimex.org.mx/saimex/solicitud/downloadAttach/1213994.page"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www.saimex.org.mx/saimex/solicitud/downloadAttach/1213994.page" TargetMode="External"/><Relationship Id="rId20" Type="http://schemas.openxmlformats.org/officeDocument/2006/relationships/hyperlink" Target="https://www.saimex.org.mx/saimex/solicitud/downloadAttach/1221821.pag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1214367.page"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saimex.org.mx/saimex/solicitud/downloadAttach/1213993.page" TargetMode="External"/><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hyperlink" Target="https://www.saimex.org.mx/saimex/solicitud/downloadAttach/1213994.page" TargetMode="External"/><Relationship Id="rId19" Type="http://schemas.openxmlformats.org/officeDocument/2006/relationships/hyperlink" Target="https://www.saimex.org.mx/saimex/solicitud/downloadAttach/1213994.page" TargetMode="External"/><Relationship Id="rId4" Type="http://schemas.openxmlformats.org/officeDocument/2006/relationships/settings" Target="settings.xml"/><Relationship Id="rId9" Type="http://schemas.openxmlformats.org/officeDocument/2006/relationships/hyperlink" Target="https://www.saimex.org.mx/saimex/solicitud/downloadAttach/1213993.page" TargetMode="External"/><Relationship Id="rId14" Type="http://schemas.openxmlformats.org/officeDocument/2006/relationships/hyperlink" Target="https://www.saimex.org.mx/saimex/solicitud/downloadAttach/597297.page" TargetMode="External"/><Relationship Id="rId22" Type="http://schemas.openxmlformats.org/officeDocument/2006/relationships/image" Target="media/image2.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0C8372-C9B8-4CF0-92A9-675BD5290C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16</Pages>
  <Words>3713</Words>
  <Characters>20426</Characters>
  <Application>Microsoft Office Word</Application>
  <DocSecurity>0</DocSecurity>
  <Lines>170</Lines>
  <Paragraphs>48</Paragraphs>
  <ScaleCrop>false</ScaleCrop>
  <HeadingPairs>
    <vt:vector size="2" baseType="variant">
      <vt:variant>
        <vt:lpstr>Título</vt:lpstr>
      </vt:variant>
      <vt:variant>
        <vt:i4>1</vt:i4>
      </vt:variant>
    </vt:vector>
  </HeadingPairs>
  <TitlesOfParts>
    <vt:vector size="1" baseType="lpstr">
      <vt:lpstr/>
    </vt:vector>
  </TitlesOfParts>
  <Company>INFOEM</Company>
  <LinksUpToDate>false</LinksUpToDate>
  <CharactersWithSpaces>24091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Cuenta Microsoft</cp:lastModifiedBy>
  <cp:revision>6</cp:revision>
  <cp:lastPrinted>2019-06-25T14:14:00Z</cp:lastPrinted>
  <dcterms:created xsi:type="dcterms:W3CDTF">2021-11-10T15:29:00Z</dcterms:created>
  <dcterms:modified xsi:type="dcterms:W3CDTF">2021-11-30T16:10:00Z</dcterms:modified>
</cp:coreProperties>
</file>