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8B09B" w14:textId="7C921793" w:rsidR="00C43B1E" w:rsidRPr="00C84546" w:rsidRDefault="00C84546" w:rsidP="00C43B1E">
      <w:pPr>
        <w:spacing w:before="100" w:beforeAutospacing="1" w:after="100" w:afterAutospacing="1" w:line="360" w:lineRule="auto"/>
        <w:jc w:val="both"/>
        <w:rPr>
          <w:rFonts w:ascii="Palatino Linotype" w:hAnsi="Palatino Linotype"/>
        </w:rPr>
      </w:pPr>
      <w:r>
        <w:rPr>
          <w:rFonts w:ascii="Palatino Linotype" w:hAnsi="Palatino Linotype"/>
        </w:rPr>
        <w:t xml:space="preserve"> </w:t>
      </w:r>
      <w:r w:rsidR="00C43B1E" w:rsidRPr="00C84546">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D322E" w:rsidRPr="00C84546">
        <w:rPr>
          <w:rFonts w:ascii="Palatino Linotype" w:hAnsi="Palatino Linotype"/>
        </w:rPr>
        <w:t xml:space="preserve">de fecha </w:t>
      </w:r>
      <w:r w:rsidR="00EF0253" w:rsidRPr="00C84546">
        <w:rPr>
          <w:rFonts w:ascii="Palatino Linotype" w:hAnsi="Palatino Linotype"/>
        </w:rPr>
        <w:t>diez de noviembre</w:t>
      </w:r>
      <w:r w:rsidR="00DE334E" w:rsidRPr="00C84546">
        <w:rPr>
          <w:rFonts w:ascii="Palatino Linotype" w:hAnsi="Palatino Linotype"/>
        </w:rPr>
        <w:t xml:space="preserve"> </w:t>
      </w:r>
      <w:r w:rsidR="00C43B1E" w:rsidRPr="00C84546">
        <w:rPr>
          <w:rFonts w:ascii="Palatino Linotype" w:hAnsi="Palatino Linotype"/>
        </w:rPr>
        <w:t>de dos mil veintiuno.</w:t>
      </w:r>
    </w:p>
    <w:p w14:paraId="1D0C1635" w14:textId="40AC2C64" w:rsidR="00C43B1E" w:rsidRPr="00C84546" w:rsidRDefault="00C43B1E" w:rsidP="00C43B1E">
      <w:pPr>
        <w:spacing w:before="100" w:beforeAutospacing="1" w:after="100" w:afterAutospacing="1" w:line="360" w:lineRule="auto"/>
        <w:jc w:val="both"/>
        <w:rPr>
          <w:rFonts w:ascii="Palatino Linotype" w:hAnsi="Palatino Linotype"/>
        </w:rPr>
      </w:pPr>
      <w:r w:rsidRPr="00C84546">
        <w:rPr>
          <w:rFonts w:ascii="Palatino Linotype" w:hAnsi="Palatino Linotype"/>
          <w:b/>
        </w:rPr>
        <w:t>VISTO</w:t>
      </w:r>
      <w:r w:rsidRPr="00C84546">
        <w:rPr>
          <w:rFonts w:ascii="Palatino Linotype" w:hAnsi="Palatino Linotype"/>
        </w:rPr>
        <w:t xml:space="preserve"> el expediente formado con motivo del recurso de revisión </w:t>
      </w:r>
      <w:r w:rsidR="00EF0253" w:rsidRPr="00C84546">
        <w:rPr>
          <w:rFonts w:ascii="Palatino Linotype" w:hAnsi="Palatino Linotype"/>
          <w:b/>
        </w:rPr>
        <w:t>050</w:t>
      </w:r>
      <w:r w:rsidR="006726C4" w:rsidRPr="00C84546">
        <w:rPr>
          <w:rFonts w:ascii="Palatino Linotype" w:hAnsi="Palatino Linotype"/>
          <w:b/>
        </w:rPr>
        <w:t>27</w:t>
      </w:r>
      <w:r w:rsidRPr="00C84546">
        <w:rPr>
          <w:rFonts w:ascii="Palatino Linotype" w:hAnsi="Palatino Linotype"/>
          <w:b/>
        </w:rPr>
        <w:t>/INFOEM/IP/RR/2021</w:t>
      </w:r>
      <w:r w:rsidRPr="00C84546">
        <w:rPr>
          <w:rFonts w:ascii="Palatino Linotype" w:hAnsi="Palatino Linotype"/>
        </w:rPr>
        <w:t>, promovido por</w:t>
      </w:r>
      <w:r w:rsidR="00EF0253" w:rsidRPr="00C84546">
        <w:rPr>
          <w:rFonts w:ascii="Palatino Linotype" w:hAnsi="Palatino Linotype"/>
        </w:rPr>
        <w:t xml:space="preserve"> el C</w:t>
      </w:r>
      <w:r w:rsidR="00EF0253" w:rsidRPr="00C84546">
        <w:rPr>
          <w:rFonts w:ascii="Palatino Linotype" w:hAnsi="Palatino Linotype"/>
          <w:b/>
        </w:rPr>
        <w:t xml:space="preserve">. </w:t>
      </w:r>
      <w:r w:rsidR="00DF18CF">
        <w:rPr>
          <w:rFonts w:ascii="Palatino Linotype" w:hAnsi="Palatino Linotype"/>
          <w:b/>
        </w:rPr>
        <w:t>XXXX XXXXXXX XXXXXXXXX XXXXXX</w:t>
      </w:r>
      <w:r w:rsidR="0082556B" w:rsidRPr="00C84546">
        <w:rPr>
          <w:rFonts w:ascii="Palatino Linotype" w:hAnsi="Palatino Linotype"/>
        </w:rPr>
        <w:t xml:space="preserve">, </w:t>
      </w:r>
      <w:r w:rsidRPr="00C84546">
        <w:rPr>
          <w:rFonts w:ascii="Palatino Linotype" w:hAnsi="Palatino Linotype"/>
        </w:rPr>
        <w:t xml:space="preserve">a quien en lo sucesivo se le </w:t>
      </w:r>
      <w:r w:rsidR="00E04F43" w:rsidRPr="00C84546">
        <w:rPr>
          <w:rFonts w:ascii="Palatino Linotype" w:hAnsi="Palatino Linotype"/>
        </w:rPr>
        <w:t xml:space="preserve">nombrará </w:t>
      </w:r>
      <w:r w:rsidR="00DD11AE" w:rsidRPr="00C84546">
        <w:rPr>
          <w:rFonts w:ascii="Palatino Linotype" w:hAnsi="Palatino Linotype"/>
          <w:b/>
        </w:rPr>
        <w:t>EL</w:t>
      </w:r>
      <w:r w:rsidRPr="00C84546">
        <w:rPr>
          <w:rFonts w:ascii="Palatino Linotype" w:hAnsi="Palatino Linotype"/>
        </w:rPr>
        <w:t xml:space="preserve"> </w:t>
      </w:r>
      <w:r w:rsidRPr="00C84546">
        <w:rPr>
          <w:rFonts w:ascii="Palatino Linotype" w:hAnsi="Palatino Linotype" w:cs="Arial"/>
          <w:b/>
        </w:rPr>
        <w:t>RECURRENTE</w:t>
      </w:r>
      <w:r w:rsidRPr="00C84546">
        <w:rPr>
          <w:rFonts w:ascii="Palatino Linotype" w:hAnsi="Palatino Linotype"/>
        </w:rPr>
        <w:t xml:space="preserve">, en contra de la respuesta emitida por </w:t>
      </w:r>
      <w:r w:rsidR="002D322E" w:rsidRPr="00C84546">
        <w:rPr>
          <w:rFonts w:ascii="Palatino Linotype" w:hAnsi="Palatino Linotype"/>
        </w:rPr>
        <w:t>el</w:t>
      </w:r>
      <w:r w:rsidR="00DD11AE" w:rsidRPr="00C84546">
        <w:rPr>
          <w:rFonts w:ascii="Palatino Linotype" w:hAnsi="Palatino Linotype"/>
          <w:b/>
        </w:rPr>
        <w:t xml:space="preserve"> Ayuntamiento de</w:t>
      </w:r>
      <w:r w:rsidR="00EF0253" w:rsidRPr="00C84546">
        <w:rPr>
          <w:rFonts w:ascii="Palatino Linotype" w:hAnsi="Palatino Linotype"/>
          <w:b/>
        </w:rPr>
        <w:t xml:space="preserve"> </w:t>
      </w:r>
      <w:proofErr w:type="spellStart"/>
      <w:r w:rsidR="00EF0253" w:rsidRPr="00C84546">
        <w:rPr>
          <w:rFonts w:ascii="Palatino Linotype" w:hAnsi="Palatino Linotype"/>
          <w:b/>
        </w:rPr>
        <w:t>Ozumba</w:t>
      </w:r>
      <w:proofErr w:type="spellEnd"/>
      <w:r w:rsidRPr="00C84546">
        <w:rPr>
          <w:rFonts w:ascii="Palatino Linotype" w:hAnsi="Palatino Linotype"/>
        </w:rPr>
        <w:t>,</w:t>
      </w:r>
      <w:r w:rsidRPr="00C84546">
        <w:rPr>
          <w:rFonts w:ascii="Palatino Linotype" w:hAnsi="Palatino Linotype" w:cs="Arial"/>
          <w:b/>
        </w:rPr>
        <w:t xml:space="preserve"> </w:t>
      </w:r>
      <w:r w:rsidRPr="00C84546">
        <w:rPr>
          <w:rFonts w:ascii="Palatino Linotype" w:hAnsi="Palatino Linotype"/>
        </w:rPr>
        <w:t>en lo subsecuente</w:t>
      </w:r>
      <w:r w:rsidR="0082556B" w:rsidRPr="00C84546">
        <w:rPr>
          <w:rFonts w:ascii="Palatino Linotype" w:hAnsi="Palatino Linotype"/>
        </w:rPr>
        <w:t xml:space="preserve"> se le denominará</w:t>
      </w:r>
      <w:r w:rsidRPr="00C84546">
        <w:rPr>
          <w:rFonts w:ascii="Palatino Linotype" w:hAnsi="Palatino Linotype"/>
        </w:rPr>
        <w:t xml:space="preserve"> </w:t>
      </w:r>
      <w:r w:rsidRPr="00C84546">
        <w:rPr>
          <w:rFonts w:ascii="Palatino Linotype" w:hAnsi="Palatino Linotype"/>
          <w:b/>
        </w:rPr>
        <w:t>EL SUJETO OBLIGADO</w:t>
      </w:r>
      <w:r w:rsidRPr="00C84546">
        <w:rPr>
          <w:rFonts w:ascii="Palatino Linotype" w:hAnsi="Palatino Linotype"/>
        </w:rPr>
        <w:t>, se procede a dictar la presente resolución con base en lo siguiente:</w:t>
      </w:r>
    </w:p>
    <w:p w14:paraId="73BCB84E" w14:textId="77777777" w:rsidR="00C43B1E" w:rsidRPr="00C84546" w:rsidRDefault="00C43B1E" w:rsidP="00C43B1E">
      <w:pPr>
        <w:spacing w:before="100" w:beforeAutospacing="1" w:after="100" w:afterAutospacing="1" w:line="360" w:lineRule="auto"/>
        <w:jc w:val="center"/>
        <w:rPr>
          <w:rFonts w:ascii="Palatino Linotype" w:hAnsi="Palatino Linotype"/>
          <w:b/>
          <w:bCs/>
          <w:spacing w:val="60"/>
          <w:sz w:val="28"/>
        </w:rPr>
      </w:pPr>
      <w:r w:rsidRPr="00C84546">
        <w:rPr>
          <w:rFonts w:ascii="Palatino Linotype" w:hAnsi="Palatino Linotype"/>
          <w:b/>
          <w:bCs/>
          <w:spacing w:val="60"/>
          <w:sz w:val="28"/>
        </w:rPr>
        <w:t>RESULTANDO</w:t>
      </w:r>
    </w:p>
    <w:p w14:paraId="29F78C5C" w14:textId="46C32711" w:rsidR="00C43B1E" w:rsidRPr="00C84546" w:rsidRDefault="00C43B1E" w:rsidP="00C43B1E">
      <w:pPr>
        <w:pStyle w:val="Prrafodelista"/>
        <w:tabs>
          <w:tab w:val="left" w:pos="709"/>
        </w:tabs>
        <w:spacing w:before="100" w:beforeAutospacing="1" w:after="100" w:afterAutospacing="1" w:line="360" w:lineRule="auto"/>
        <w:ind w:left="0"/>
        <w:jc w:val="both"/>
        <w:rPr>
          <w:rFonts w:ascii="Palatino Linotype" w:hAnsi="Palatino Linotype"/>
          <w:b/>
        </w:rPr>
      </w:pPr>
      <w:r w:rsidRPr="00C84546">
        <w:rPr>
          <w:rFonts w:ascii="Palatino Linotype" w:hAnsi="Palatino Linotype"/>
          <w:b/>
          <w:sz w:val="28"/>
          <w:szCs w:val="28"/>
        </w:rPr>
        <w:t>I.</w:t>
      </w:r>
      <w:r w:rsidRPr="00C84546">
        <w:rPr>
          <w:rFonts w:ascii="Palatino Linotype" w:hAnsi="Palatino Linotype"/>
        </w:rPr>
        <w:t xml:space="preserve"> En </w:t>
      </w:r>
      <w:r w:rsidR="00EF0253" w:rsidRPr="00C84546">
        <w:rPr>
          <w:rFonts w:ascii="Palatino Linotype" w:hAnsi="Palatino Linotype" w:cs="Arial"/>
        </w:rPr>
        <w:t>fecha veinte</w:t>
      </w:r>
      <w:r w:rsidR="00DD11AE" w:rsidRPr="00C84546">
        <w:rPr>
          <w:rFonts w:ascii="Palatino Linotype" w:hAnsi="Palatino Linotype" w:cs="Arial"/>
        </w:rPr>
        <w:t xml:space="preserve"> </w:t>
      </w:r>
      <w:r w:rsidR="00B76384" w:rsidRPr="00C84546">
        <w:rPr>
          <w:rFonts w:ascii="Palatino Linotype" w:hAnsi="Palatino Linotype" w:cs="Arial"/>
        </w:rPr>
        <w:t>de</w:t>
      </w:r>
      <w:r w:rsidR="006726C4" w:rsidRPr="00C84546">
        <w:rPr>
          <w:rFonts w:ascii="Palatino Linotype" w:hAnsi="Palatino Linotype" w:cs="Arial"/>
        </w:rPr>
        <w:t xml:space="preserve"> septiembre</w:t>
      </w:r>
      <w:r w:rsidRPr="00C84546">
        <w:rPr>
          <w:rFonts w:ascii="Palatino Linotype" w:hAnsi="Palatino Linotype" w:cs="Arial"/>
        </w:rPr>
        <w:t xml:space="preserve"> </w:t>
      </w:r>
      <w:r w:rsidRPr="00C84546">
        <w:rPr>
          <w:rFonts w:ascii="Palatino Linotype" w:hAnsi="Palatino Linotype"/>
        </w:rPr>
        <w:t xml:space="preserve">de dos mil veintiuno, </w:t>
      </w:r>
      <w:r w:rsidR="006726C4" w:rsidRPr="00C84546">
        <w:rPr>
          <w:rFonts w:ascii="Palatino Linotype" w:hAnsi="Palatino Linotype" w:cs="Arial"/>
        </w:rPr>
        <w:t xml:space="preserve">se presentó en el </w:t>
      </w:r>
      <w:r w:rsidR="00DD11AE" w:rsidRPr="00C84546">
        <w:rPr>
          <w:rFonts w:ascii="Palatino Linotype" w:hAnsi="Palatino Linotype" w:cs="Arial"/>
        </w:rPr>
        <w:t xml:space="preserve"> </w:t>
      </w:r>
      <w:r w:rsidRPr="00C84546">
        <w:rPr>
          <w:rFonts w:ascii="Palatino Linotype" w:hAnsi="Palatino Linotype" w:cs="Arial"/>
        </w:rPr>
        <w:t xml:space="preserve">Sistema de Acceso a la Información Mexiquense, en lo subsecuente </w:t>
      </w:r>
      <w:r w:rsidRPr="00C84546">
        <w:rPr>
          <w:rFonts w:ascii="Palatino Linotype" w:hAnsi="Palatino Linotype" w:cs="Arial"/>
          <w:b/>
        </w:rPr>
        <w:t>EL SAIMEX,</w:t>
      </w:r>
      <w:r w:rsidRPr="00C84546">
        <w:rPr>
          <w:rFonts w:ascii="Palatino Linotype" w:hAnsi="Palatino Linotype"/>
        </w:rPr>
        <w:t xml:space="preserve"> ante </w:t>
      </w:r>
      <w:r w:rsidRPr="00C84546">
        <w:rPr>
          <w:rFonts w:ascii="Palatino Linotype" w:hAnsi="Palatino Linotype"/>
          <w:b/>
        </w:rPr>
        <w:t>EL SUJETO OBLIGADO</w:t>
      </w:r>
      <w:r w:rsidRPr="00C84546">
        <w:rPr>
          <w:rFonts w:ascii="Palatino Linotype" w:hAnsi="Palatino Linotype"/>
        </w:rPr>
        <w:t xml:space="preserve">, la solicitud de acceso a la información pública, a la que se le asignó el número </w:t>
      </w:r>
      <w:r w:rsidR="00EF0253" w:rsidRPr="00C84546">
        <w:rPr>
          <w:rFonts w:ascii="Palatino Linotype" w:hAnsi="Palatino Linotype"/>
          <w:b/>
        </w:rPr>
        <w:t>00102/OZUMBA/IP/2021</w:t>
      </w:r>
      <w:r w:rsidRPr="00C84546">
        <w:rPr>
          <w:rFonts w:ascii="Palatino Linotype" w:hAnsi="Palatino Linotype"/>
          <w:b/>
        </w:rPr>
        <w:t>,</w:t>
      </w:r>
      <w:r w:rsidRPr="00C84546">
        <w:rPr>
          <w:rFonts w:ascii="Palatino Linotype" w:hAnsi="Palatino Linotype"/>
        </w:rPr>
        <w:t xml:space="preserve"> mediante la cual requirió, lo siguiente:</w:t>
      </w:r>
    </w:p>
    <w:p w14:paraId="18D0815D" w14:textId="6C166A3B" w:rsidR="00C43B1E" w:rsidRPr="00C84546" w:rsidRDefault="00C43B1E" w:rsidP="00B76384">
      <w:pPr>
        <w:ind w:left="851" w:right="616"/>
        <w:jc w:val="both"/>
        <w:rPr>
          <w:rFonts w:ascii="Palatino Linotype" w:hAnsi="Palatino Linotype"/>
          <w:i/>
          <w:sz w:val="22"/>
          <w:szCs w:val="22"/>
        </w:rPr>
      </w:pPr>
      <w:r w:rsidRPr="00C84546">
        <w:rPr>
          <w:rFonts w:ascii="Palatino Linotype" w:hAnsi="Palatino Linotype"/>
          <w:i/>
          <w:sz w:val="22"/>
          <w:szCs w:val="22"/>
        </w:rPr>
        <w:t>“</w:t>
      </w:r>
      <w:r w:rsidR="00EF0253" w:rsidRPr="00C84546">
        <w:rPr>
          <w:rFonts w:ascii="Palatino Linotype" w:hAnsi="Palatino Linotype"/>
          <w:i/>
          <w:sz w:val="22"/>
          <w:szCs w:val="22"/>
        </w:rPr>
        <w:t>Solicito me informen cuánto se le debe a cada proveedor del Ayuntamiento</w:t>
      </w:r>
      <w:r w:rsidR="00933FFC" w:rsidRPr="00C84546">
        <w:rPr>
          <w:rFonts w:ascii="Palatino Linotype" w:hAnsi="Palatino Linotype"/>
          <w:i/>
          <w:sz w:val="22"/>
          <w:szCs w:val="22"/>
        </w:rPr>
        <w:t>.</w:t>
      </w:r>
      <w:r w:rsidRPr="00C84546">
        <w:rPr>
          <w:rFonts w:ascii="Palatino Linotype" w:hAnsi="Palatino Linotype"/>
          <w:i/>
          <w:sz w:val="22"/>
          <w:szCs w:val="22"/>
        </w:rPr>
        <w:t>” (Sic)</w:t>
      </w:r>
    </w:p>
    <w:p w14:paraId="11FF7B65" w14:textId="77777777" w:rsidR="00C43B1E" w:rsidRPr="00C84546" w:rsidRDefault="00C43B1E" w:rsidP="00C43B1E">
      <w:pPr>
        <w:spacing w:before="100" w:beforeAutospacing="1" w:after="100" w:afterAutospacing="1"/>
        <w:ind w:right="709"/>
        <w:jc w:val="both"/>
        <w:rPr>
          <w:rFonts w:ascii="Palatino Linotype" w:hAnsi="Palatino Linotype"/>
          <w:b/>
        </w:rPr>
      </w:pPr>
      <w:r w:rsidRPr="00C84546">
        <w:rPr>
          <w:rFonts w:ascii="Palatino Linotype" w:hAnsi="Palatino Linotype"/>
          <w:b/>
        </w:rPr>
        <w:t xml:space="preserve">Modalidad de entrega: </w:t>
      </w:r>
      <w:r w:rsidRPr="00C84546">
        <w:rPr>
          <w:rFonts w:ascii="Palatino Linotype" w:hAnsi="Palatino Linotype"/>
        </w:rPr>
        <w:t xml:space="preserve">vía </w:t>
      </w:r>
      <w:r w:rsidRPr="00C84546">
        <w:rPr>
          <w:rFonts w:ascii="Palatino Linotype" w:hAnsi="Palatino Linotype"/>
          <w:b/>
        </w:rPr>
        <w:t>SAIMEX</w:t>
      </w:r>
    </w:p>
    <w:p w14:paraId="00BD4A69" w14:textId="340BE0F2" w:rsidR="00465EB9" w:rsidRPr="00C84546" w:rsidRDefault="00EF0253" w:rsidP="00933FFC">
      <w:pPr>
        <w:widowControl w:val="0"/>
        <w:autoSpaceDE w:val="0"/>
        <w:autoSpaceDN w:val="0"/>
        <w:adjustRightInd w:val="0"/>
        <w:spacing w:line="360" w:lineRule="auto"/>
        <w:jc w:val="both"/>
        <w:rPr>
          <w:rFonts w:ascii="Palatino Linotype" w:hAnsi="Palatino Linotype"/>
          <w:color w:val="000000"/>
        </w:rPr>
      </w:pPr>
      <w:r w:rsidRPr="00C84546">
        <w:rPr>
          <w:rFonts w:ascii="Palatino Linotype" w:hAnsi="Palatino Linotype" w:cs="Arial"/>
          <w:b/>
          <w:sz w:val="28"/>
          <w:szCs w:val="28"/>
        </w:rPr>
        <w:t>II</w:t>
      </w:r>
      <w:r w:rsidRPr="00C84546">
        <w:rPr>
          <w:rFonts w:ascii="Palatino Linotype" w:hAnsi="Palatino Linotype"/>
          <w:b/>
          <w:bCs/>
          <w:color w:val="000000"/>
        </w:rPr>
        <w:t>.</w:t>
      </w:r>
      <w:r w:rsidR="00E04F43" w:rsidRPr="00C84546">
        <w:rPr>
          <w:rFonts w:ascii="Palatino Linotype" w:hAnsi="Palatino Linotype"/>
          <w:color w:val="000000"/>
        </w:rPr>
        <w:t xml:space="preserve"> Con base en las actuaciones </w:t>
      </w:r>
      <w:r w:rsidRPr="00C84546">
        <w:rPr>
          <w:rFonts w:ascii="Palatino Linotype" w:hAnsi="Palatino Linotype"/>
          <w:color w:val="000000"/>
        </w:rPr>
        <w:t xml:space="preserve">que obran en </w:t>
      </w:r>
      <w:r w:rsidRPr="00C84546">
        <w:rPr>
          <w:rFonts w:ascii="Palatino Linotype" w:hAnsi="Palatino Linotype"/>
          <w:b/>
          <w:bCs/>
          <w:color w:val="000000"/>
        </w:rPr>
        <w:t>EL SAIMEX</w:t>
      </w:r>
      <w:r w:rsidRPr="00C84546">
        <w:rPr>
          <w:rFonts w:ascii="Palatino Linotype" w:hAnsi="Palatino Linotype"/>
          <w:color w:val="000000"/>
        </w:rPr>
        <w:t xml:space="preserve">, se advierte que </w:t>
      </w:r>
      <w:r w:rsidRPr="00C84546">
        <w:rPr>
          <w:rFonts w:ascii="Palatino Linotype" w:hAnsi="Palatino Linotype"/>
          <w:b/>
          <w:bCs/>
          <w:color w:val="000000"/>
        </w:rPr>
        <w:t>EL SUJETO OBLIGADO</w:t>
      </w:r>
      <w:r w:rsidRPr="00C84546">
        <w:rPr>
          <w:rFonts w:ascii="Palatino Linotype" w:hAnsi="Palatino Linotype"/>
          <w:color w:val="000000"/>
        </w:rPr>
        <w:t xml:space="preserve"> fue omiso en rendir su respuesta, como puede apreciarse en la siguiente imagen: </w:t>
      </w:r>
    </w:p>
    <w:p w14:paraId="5DB92192" w14:textId="37FA3AF7" w:rsidR="00933FFC" w:rsidRPr="00C84546" w:rsidRDefault="003B55EA" w:rsidP="00933FFC">
      <w:pPr>
        <w:widowControl w:val="0"/>
        <w:autoSpaceDE w:val="0"/>
        <w:autoSpaceDN w:val="0"/>
        <w:adjustRightInd w:val="0"/>
        <w:spacing w:line="360" w:lineRule="auto"/>
        <w:jc w:val="both"/>
        <w:rPr>
          <w:rFonts w:ascii="Palatino Linotype" w:hAnsi="Palatino Linotype"/>
          <w:bCs/>
          <w:color w:val="000000" w:themeColor="text1"/>
        </w:rPr>
      </w:pPr>
      <w:r>
        <w:rPr>
          <w:noProof/>
          <w:lang w:eastAsia="es-MX"/>
        </w:rPr>
        <w:lastRenderedPageBreak/>
        <w:drawing>
          <wp:inline distT="0" distB="0" distL="0" distR="0" wp14:anchorId="15B4DF3D" wp14:editId="6BB83C73">
            <wp:extent cx="5612130" cy="67437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674370"/>
                    </a:xfrm>
                    <a:prstGeom prst="rect">
                      <a:avLst/>
                    </a:prstGeom>
                  </pic:spPr>
                </pic:pic>
              </a:graphicData>
            </a:graphic>
          </wp:inline>
        </w:drawing>
      </w:r>
    </w:p>
    <w:p w14:paraId="2A52FB3A" w14:textId="5868D31D" w:rsidR="00233845" w:rsidRPr="00C84546" w:rsidRDefault="00EF0253" w:rsidP="00233845">
      <w:pPr>
        <w:pStyle w:val="Prrafodelista"/>
        <w:tabs>
          <w:tab w:val="left" w:pos="709"/>
        </w:tabs>
        <w:spacing w:before="100" w:beforeAutospacing="1" w:after="100" w:afterAutospacing="1" w:line="360" w:lineRule="auto"/>
        <w:ind w:left="0"/>
        <w:jc w:val="both"/>
        <w:rPr>
          <w:rFonts w:ascii="Palatino Linotype" w:hAnsi="Palatino Linotype" w:cs="Arial"/>
        </w:rPr>
      </w:pPr>
      <w:r w:rsidRPr="00C84546">
        <w:rPr>
          <w:rFonts w:ascii="Palatino Linotype" w:hAnsi="Palatino Linotype" w:cs="Arial"/>
          <w:b/>
          <w:sz w:val="28"/>
          <w:szCs w:val="28"/>
        </w:rPr>
        <w:t>II</w:t>
      </w:r>
      <w:r w:rsidRPr="00C84546">
        <w:rPr>
          <w:rFonts w:ascii="Palatino Linotype" w:hAnsi="Palatino Linotype"/>
          <w:b/>
          <w:bCs/>
          <w:color w:val="000000"/>
        </w:rPr>
        <w:t xml:space="preserve">.  </w:t>
      </w:r>
      <w:r w:rsidRPr="00C84546">
        <w:rPr>
          <w:rFonts w:ascii="Palatino Linotype" w:hAnsi="Palatino Linotype"/>
          <w:color w:val="000000"/>
        </w:rPr>
        <w:t>Inconforme por la falta de respuesta del</w:t>
      </w:r>
      <w:r w:rsidRPr="00C84546">
        <w:rPr>
          <w:rFonts w:ascii="Palatino Linotype" w:hAnsi="Palatino Linotype"/>
          <w:b/>
          <w:bCs/>
          <w:color w:val="000000"/>
        </w:rPr>
        <w:t xml:space="preserve"> SUJETO OBLIGADO</w:t>
      </w:r>
      <w:r w:rsidRPr="00C84546">
        <w:rPr>
          <w:rFonts w:ascii="Palatino Linotype" w:hAnsi="Palatino Linotype"/>
          <w:color w:val="000000"/>
        </w:rPr>
        <w:t xml:space="preserve">, el doce de octubre de dos mil veintiuno, </w:t>
      </w:r>
      <w:r w:rsidRPr="00C84546">
        <w:rPr>
          <w:rFonts w:ascii="Palatino Linotype" w:hAnsi="Palatino Linotype"/>
          <w:b/>
          <w:bCs/>
          <w:color w:val="000000"/>
        </w:rPr>
        <w:t>EL RECURRENTE</w:t>
      </w:r>
      <w:r w:rsidRPr="00C84546">
        <w:rPr>
          <w:rFonts w:ascii="Palatino Linotype" w:hAnsi="Palatino Linotype"/>
          <w:color w:val="000000"/>
        </w:rPr>
        <w:t xml:space="preserve"> interpuso el recurso de revisión sujeto del presente estudio, el cual fue registrado en </w:t>
      </w:r>
      <w:r w:rsidRPr="00C84546">
        <w:rPr>
          <w:rFonts w:ascii="Palatino Linotype" w:hAnsi="Palatino Linotype"/>
          <w:b/>
          <w:bCs/>
          <w:color w:val="000000"/>
        </w:rPr>
        <w:t>EL SAIMEX</w:t>
      </w:r>
      <w:r w:rsidRPr="00C84546">
        <w:rPr>
          <w:rFonts w:ascii="Palatino Linotype" w:hAnsi="Palatino Linotype"/>
          <w:color w:val="000000"/>
        </w:rPr>
        <w:t xml:space="preserve"> y se le asignó el número de expediente al rubro citado, en el que señaló como acto impugnado:</w:t>
      </w:r>
    </w:p>
    <w:p w14:paraId="66F4327E" w14:textId="472C15F8" w:rsidR="00233845" w:rsidRPr="00C84546" w:rsidRDefault="00233845" w:rsidP="00DA2919">
      <w:pPr>
        <w:tabs>
          <w:tab w:val="left" w:pos="7936"/>
        </w:tabs>
        <w:ind w:left="851" w:right="902"/>
        <w:jc w:val="both"/>
        <w:rPr>
          <w:rFonts w:ascii="Palatino Linotype" w:hAnsi="Palatino Linotype" w:cs="Arial"/>
          <w:i/>
          <w:sz w:val="22"/>
          <w:szCs w:val="22"/>
          <w:lang w:eastAsia="es-MX"/>
        </w:rPr>
      </w:pPr>
      <w:r w:rsidRPr="00C84546">
        <w:rPr>
          <w:rFonts w:ascii="Palatino Linotype" w:hAnsi="Palatino Linotype" w:cs="Arial"/>
          <w:i/>
          <w:sz w:val="22"/>
          <w:szCs w:val="22"/>
          <w:lang w:eastAsia="es-MX"/>
        </w:rPr>
        <w:t>“</w:t>
      </w:r>
      <w:r w:rsidR="007E52FF" w:rsidRPr="00C84546">
        <w:rPr>
          <w:rFonts w:ascii="Palatino Linotype" w:hAnsi="Palatino Linotype" w:cs="Arial"/>
          <w:i/>
          <w:sz w:val="22"/>
          <w:szCs w:val="22"/>
          <w:lang w:eastAsia="es-MX"/>
        </w:rPr>
        <w:t>La falta de respuesta</w:t>
      </w:r>
      <w:r w:rsidR="002326A5" w:rsidRPr="00C84546">
        <w:rPr>
          <w:rFonts w:ascii="Palatino Linotype" w:hAnsi="Palatino Linotype" w:cs="Arial"/>
          <w:i/>
          <w:sz w:val="22"/>
          <w:szCs w:val="22"/>
          <w:lang w:eastAsia="es-MX"/>
        </w:rPr>
        <w:t xml:space="preserve">” </w:t>
      </w:r>
      <w:r w:rsidRPr="00C84546">
        <w:rPr>
          <w:rFonts w:ascii="Palatino Linotype" w:hAnsi="Palatino Linotype" w:cs="Arial"/>
          <w:i/>
          <w:sz w:val="22"/>
          <w:szCs w:val="22"/>
          <w:lang w:eastAsia="es-MX"/>
        </w:rPr>
        <w:t>(Sic)</w:t>
      </w:r>
    </w:p>
    <w:p w14:paraId="4141FDBD" w14:textId="77777777" w:rsidR="00233845" w:rsidRPr="00C84546" w:rsidRDefault="00233845" w:rsidP="00233845">
      <w:pPr>
        <w:pStyle w:val="Prrafodelista"/>
        <w:spacing w:before="100" w:beforeAutospacing="1" w:after="100" w:afterAutospacing="1" w:line="360" w:lineRule="auto"/>
        <w:ind w:left="0"/>
        <w:jc w:val="both"/>
        <w:rPr>
          <w:rFonts w:ascii="Palatino Linotype" w:hAnsi="Palatino Linotype"/>
        </w:rPr>
      </w:pPr>
      <w:r w:rsidRPr="00C84546">
        <w:rPr>
          <w:rFonts w:ascii="Palatino Linotype" w:hAnsi="Palatino Linotype" w:cs="Arial"/>
        </w:rPr>
        <w:t>Asimismo</w:t>
      </w:r>
      <w:r w:rsidRPr="00C84546">
        <w:rPr>
          <w:rFonts w:ascii="Palatino Linotype" w:hAnsi="Palatino Linotype"/>
        </w:rPr>
        <w:t>, indicó como razones o motivos de inconformidad:</w:t>
      </w:r>
    </w:p>
    <w:p w14:paraId="7DF2C6B9" w14:textId="05C06E67" w:rsidR="00DA2919" w:rsidRPr="00C84546" w:rsidRDefault="00233845" w:rsidP="00952193">
      <w:pPr>
        <w:ind w:left="851" w:right="616"/>
        <w:jc w:val="both"/>
        <w:rPr>
          <w:rFonts w:ascii="Palatino Linotype" w:hAnsi="Palatino Linotype" w:cs="Arial"/>
          <w:i/>
          <w:sz w:val="22"/>
          <w:szCs w:val="22"/>
          <w:lang w:eastAsia="es-MX"/>
        </w:rPr>
      </w:pPr>
      <w:r w:rsidRPr="00C84546">
        <w:rPr>
          <w:rFonts w:ascii="Palatino Linotype" w:hAnsi="Palatino Linotype" w:cs="Arial"/>
          <w:i/>
          <w:sz w:val="22"/>
          <w:szCs w:val="22"/>
          <w:lang w:eastAsia="es-MX"/>
        </w:rPr>
        <w:t>“</w:t>
      </w:r>
      <w:r w:rsidR="007E52FF" w:rsidRPr="00C84546">
        <w:rPr>
          <w:rFonts w:ascii="Palatino Linotype" w:hAnsi="Palatino Linotype" w:cs="Arial"/>
          <w:i/>
          <w:sz w:val="22"/>
          <w:szCs w:val="22"/>
          <w:lang w:eastAsia="es-MX"/>
        </w:rPr>
        <w:t>El sujeto obligado no me entregó la información solicitada y ya se venció el término para el efecto. Lo que pedí se encuentra en su BALANZA DE COMPROBACION DETALLADA actualizada al mes de septiembre de 2021.</w:t>
      </w:r>
      <w:r w:rsidR="00B40E76" w:rsidRPr="00C84546">
        <w:rPr>
          <w:rFonts w:ascii="Palatino Linotype" w:hAnsi="Palatino Linotype" w:cs="Arial"/>
          <w:i/>
          <w:sz w:val="22"/>
          <w:szCs w:val="22"/>
          <w:lang w:eastAsia="es-MX"/>
        </w:rPr>
        <w:t>”. (</w:t>
      </w:r>
      <w:r w:rsidRPr="00C84546">
        <w:rPr>
          <w:rFonts w:ascii="Palatino Linotype" w:hAnsi="Palatino Linotype" w:cs="Arial"/>
          <w:i/>
          <w:sz w:val="22"/>
          <w:szCs w:val="22"/>
          <w:lang w:eastAsia="es-MX"/>
        </w:rPr>
        <w:t>Sic)</w:t>
      </w:r>
    </w:p>
    <w:p w14:paraId="3264C90F" w14:textId="14CA8F36" w:rsidR="00233845" w:rsidRPr="00C84546" w:rsidRDefault="00233845" w:rsidP="00233845">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C84546">
        <w:rPr>
          <w:rFonts w:ascii="Palatino Linotype" w:hAnsi="Palatino Linotype" w:cs="Arial"/>
          <w:b/>
          <w:sz w:val="28"/>
          <w:szCs w:val="28"/>
        </w:rPr>
        <w:t xml:space="preserve">V. </w:t>
      </w:r>
      <w:r w:rsidRPr="00C84546">
        <w:rPr>
          <w:rFonts w:ascii="Palatino Linotype" w:hAnsi="Palatino Linotype" w:cs="Arial"/>
        </w:rPr>
        <w:t>En fecha</w:t>
      </w:r>
      <w:r w:rsidR="007E52FF" w:rsidRPr="00C84546">
        <w:rPr>
          <w:rFonts w:ascii="Palatino Linotype" w:hAnsi="Palatino Linotype" w:cs="Arial"/>
        </w:rPr>
        <w:t xml:space="preserve"> doce </w:t>
      </w:r>
      <w:r w:rsidR="00E5700A" w:rsidRPr="00C84546">
        <w:rPr>
          <w:rFonts w:ascii="Palatino Linotype" w:hAnsi="Palatino Linotype" w:cs="Arial"/>
        </w:rPr>
        <w:t xml:space="preserve">de </w:t>
      </w:r>
      <w:r w:rsidR="007E52FF" w:rsidRPr="00C84546">
        <w:rPr>
          <w:rFonts w:ascii="Palatino Linotype" w:hAnsi="Palatino Linotype" w:cs="Arial"/>
        </w:rPr>
        <w:t xml:space="preserve">octubre </w:t>
      </w:r>
      <w:r w:rsidRPr="00C84546">
        <w:rPr>
          <w:rFonts w:ascii="Palatino Linotype" w:hAnsi="Palatino Linotype"/>
        </w:rPr>
        <w:t>de dos mil veintiuno</w:t>
      </w:r>
      <w:r w:rsidRPr="00C84546">
        <w:rPr>
          <w:rFonts w:ascii="Palatino Linotype" w:hAnsi="Palatino Linotype" w:cs="Arial"/>
        </w:rPr>
        <w:t>, el recurso de que se trata se envió electrónicamente al Instituto de Transparencia, Acceso a la Información Pública</w:t>
      </w:r>
      <w:r w:rsidRPr="00C84546">
        <w:rPr>
          <w:rFonts w:ascii="Palatino Linotype" w:hAnsi="Palatino Linotype" w:cs="Arial"/>
          <w:lang w:val="es-ES_tradnl"/>
        </w:rPr>
        <w:t xml:space="preserve"> y </w:t>
      </w:r>
      <w:r w:rsidRPr="00C84546">
        <w:rPr>
          <w:rFonts w:ascii="Palatino Linotype" w:hAnsi="Palatino Linotype" w:cs="Arial"/>
        </w:rPr>
        <w:t>Protección</w:t>
      </w:r>
      <w:r w:rsidRPr="00C84546">
        <w:rPr>
          <w:rFonts w:ascii="Palatino Linotype" w:hAnsi="Palatino Linotype" w:cs="Arial"/>
          <w:lang w:val="es-ES_tradnl"/>
        </w:rPr>
        <w:t xml:space="preserve"> </w:t>
      </w:r>
      <w:r w:rsidRPr="00C84546">
        <w:rPr>
          <w:rFonts w:ascii="Palatino Linotype" w:hAnsi="Palatino Linotype" w:cs="Arial"/>
        </w:rPr>
        <w:t>de</w:t>
      </w:r>
      <w:r w:rsidRPr="00C84546">
        <w:rPr>
          <w:rFonts w:ascii="Palatino Linotype" w:hAnsi="Palatino Linotype" w:cs="Arial"/>
          <w:lang w:val="es-ES_tradnl"/>
        </w:rPr>
        <w:t xml:space="preserve"> </w:t>
      </w:r>
      <w:r w:rsidRPr="00C84546">
        <w:rPr>
          <w:rFonts w:ascii="Palatino Linotype" w:hAnsi="Palatino Linotype"/>
        </w:rPr>
        <w:t>Datos</w:t>
      </w:r>
      <w:r w:rsidRPr="00C84546">
        <w:rPr>
          <w:rFonts w:ascii="Palatino Linotype" w:hAnsi="Palatino Linotype" w:cs="Arial"/>
          <w:lang w:val="es-ES_tradnl"/>
        </w:rPr>
        <w:t xml:space="preserve"> </w:t>
      </w:r>
      <w:r w:rsidRPr="00C84546">
        <w:rPr>
          <w:rFonts w:ascii="Palatino Linotype" w:hAnsi="Palatino Linotype" w:cs="Arial"/>
        </w:rPr>
        <w:t>Personales</w:t>
      </w:r>
      <w:r w:rsidRPr="00C84546">
        <w:rPr>
          <w:rFonts w:ascii="Palatino Linotype" w:hAnsi="Palatino Linotype" w:cs="Arial"/>
          <w:lang w:val="es-ES_tradnl"/>
        </w:rPr>
        <w:t xml:space="preserve"> </w:t>
      </w:r>
      <w:r w:rsidRPr="00C84546">
        <w:rPr>
          <w:rFonts w:ascii="Palatino Linotype" w:hAnsi="Palatino Linotype" w:cs="Arial"/>
        </w:rPr>
        <w:t>del</w:t>
      </w:r>
      <w:r w:rsidRPr="00C84546">
        <w:rPr>
          <w:rFonts w:ascii="Palatino Linotype" w:hAnsi="Palatino Linotype" w:cs="Arial"/>
          <w:lang w:val="es-ES_tradnl"/>
        </w:rPr>
        <w:t xml:space="preserve"> </w:t>
      </w:r>
      <w:r w:rsidRPr="00C84546">
        <w:rPr>
          <w:rFonts w:ascii="Palatino Linotype" w:hAnsi="Palatino Linotype"/>
        </w:rPr>
        <w:t>Estado</w:t>
      </w:r>
      <w:r w:rsidRPr="00C84546">
        <w:rPr>
          <w:rFonts w:ascii="Palatino Linotype" w:hAnsi="Palatino Linotype" w:cs="Arial"/>
          <w:lang w:val="es-ES_tradnl"/>
        </w:rPr>
        <w:t xml:space="preserve"> de México y Municipios y con fundamento en el </w:t>
      </w:r>
      <w:r w:rsidRPr="00C84546">
        <w:rPr>
          <w:rFonts w:ascii="Palatino Linotype" w:hAnsi="Palatino Linotype" w:cs="Arial"/>
        </w:rPr>
        <w:t>artículo</w:t>
      </w:r>
      <w:r w:rsidRPr="00C84546">
        <w:rPr>
          <w:rFonts w:ascii="Palatino Linotype" w:hAnsi="Palatino Linotype" w:cs="Arial"/>
          <w:lang w:val="es-ES_tradnl"/>
        </w:rPr>
        <w:t xml:space="preserve"> 185, </w:t>
      </w:r>
      <w:r w:rsidRPr="00C84546">
        <w:rPr>
          <w:rFonts w:ascii="Palatino Linotype" w:hAnsi="Palatino Linotype" w:cs="Arial"/>
        </w:rPr>
        <w:t>fracción</w:t>
      </w:r>
      <w:r w:rsidRPr="00C84546">
        <w:rPr>
          <w:rFonts w:ascii="Palatino Linotype" w:hAnsi="Palatino Linotype" w:cs="Arial"/>
          <w:lang w:val="es-ES_tradnl"/>
        </w:rPr>
        <w:t xml:space="preserve"> I de la </w:t>
      </w:r>
      <w:r w:rsidRPr="00C84546">
        <w:rPr>
          <w:rFonts w:ascii="Palatino Linotype" w:hAnsi="Palatino Linotype"/>
        </w:rPr>
        <w:t>Ley de Transparencia y Acceso a la Información Pública del Estado de México y Municipios</w:t>
      </w:r>
      <w:r w:rsidRPr="00C84546">
        <w:rPr>
          <w:rFonts w:ascii="Palatino Linotype" w:hAnsi="Palatino Linotype" w:cs="Arial"/>
          <w:lang w:val="es-ES_tradnl"/>
        </w:rPr>
        <w:t>, se turnó, a través del</w:t>
      </w:r>
      <w:r w:rsidRPr="00C84546">
        <w:rPr>
          <w:rFonts w:ascii="Palatino Linotype" w:eastAsia="Arial Unicode MS" w:hAnsi="Palatino Linotype" w:cs="Arial"/>
          <w:lang w:val="es-ES_tradnl"/>
        </w:rPr>
        <w:t xml:space="preserve"> </w:t>
      </w:r>
      <w:r w:rsidRPr="00C84546">
        <w:rPr>
          <w:rFonts w:ascii="Palatino Linotype" w:eastAsia="Arial Unicode MS" w:hAnsi="Palatino Linotype" w:cs="Arial"/>
          <w:b/>
          <w:lang w:val="es-ES_tradnl"/>
        </w:rPr>
        <w:t>SAIMEX</w:t>
      </w:r>
      <w:r w:rsidRPr="00C84546">
        <w:rPr>
          <w:rFonts w:ascii="Palatino Linotype" w:hAnsi="Palatino Linotype"/>
        </w:rPr>
        <w:t>, a la</w:t>
      </w:r>
      <w:r w:rsidR="004E44D1" w:rsidRPr="00C84546">
        <w:rPr>
          <w:rFonts w:ascii="Palatino Linotype" w:hAnsi="Palatino Linotype"/>
        </w:rPr>
        <w:t xml:space="preserve"> Comisionada</w:t>
      </w:r>
      <w:r w:rsidR="00E04F43" w:rsidRPr="00C84546">
        <w:rPr>
          <w:rFonts w:ascii="Palatino Linotype" w:hAnsi="Palatino Linotype"/>
          <w:b/>
        </w:rPr>
        <w:t xml:space="preserve"> Sharon Cristina Morales Martínez</w:t>
      </w:r>
      <w:r w:rsidRPr="00C84546">
        <w:rPr>
          <w:rFonts w:ascii="Palatino Linotype" w:hAnsi="Palatino Linotype" w:cs="Arial"/>
          <w:b/>
          <w:lang w:val="es-ES_tradnl"/>
        </w:rPr>
        <w:t>,</w:t>
      </w:r>
      <w:r w:rsidRPr="00C84546">
        <w:rPr>
          <w:rFonts w:ascii="Palatino Linotype" w:hAnsi="Palatino Linotype" w:cs="Arial"/>
          <w:lang w:val="es-ES_tradnl"/>
        </w:rPr>
        <w:t xml:space="preserve"> a efecto de que decretara su admisión o </w:t>
      </w:r>
      <w:proofErr w:type="spellStart"/>
      <w:r w:rsidRPr="00C84546">
        <w:rPr>
          <w:rFonts w:ascii="Palatino Linotype" w:hAnsi="Palatino Linotype" w:cs="Arial"/>
          <w:lang w:val="es-ES_tradnl"/>
        </w:rPr>
        <w:t>desechamiento</w:t>
      </w:r>
      <w:proofErr w:type="spellEnd"/>
      <w:r w:rsidRPr="00C84546">
        <w:rPr>
          <w:rFonts w:ascii="Palatino Linotype" w:hAnsi="Palatino Linotype" w:cs="Arial"/>
          <w:lang w:val="es-ES_tradnl"/>
        </w:rPr>
        <w:t>.</w:t>
      </w:r>
    </w:p>
    <w:p w14:paraId="3A6656CD" w14:textId="782E44F3" w:rsidR="00BF649F" w:rsidRPr="00C84546" w:rsidRDefault="00BF649F" w:rsidP="008E0F96">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C84546">
        <w:rPr>
          <w:rFonts w:ascii="Palatino Linotype" w:hAnsi="Palatino Linotype" w:cs="Arial"/>
          <w:b/>
          <w:sz w:val="28"/>
          <w:szCs w:val="28"/>
        </w:rPr>
        <w:t>V</w:t>
      </w:r>
      <w:r w:rsidR="004E44D1" w:rsidRPr="00C84546">
        <w:rPr>
          <w:rFonts w:ascii="Palatino Linotype" w:hAnsi="Palatino Linotype" w:cs="Arial"/>
          <w:b/>
          <w:sz w:val="28"/>
          <w:szCs w:val="28"/>
        </w:rPr>
        <w:t>I</w:t>
      </w:r>
      <w:r w:rsidRPr="00C84546">
        <w:rPr>
          <w:rFonts w:ascii="Palatino Linotype" w:hAnsi="Palatino Linotype" w:cs="Arial"/>
          <w:b/>
          <w:sz w:val="28"/>
          <w:szCs w:val="28"/>
        </w:rPr>
        <w:t>.</w:t>
      </w:r>
      <w:r w:rsidR="0047609F" w:rsidRPr="00C84546">
        <w:rPr>
          <w:rFonts w:ascii="Palatino Linotype" w:hAnsi="Palatino Linotype" w:cs="Arial"/>
          <w:b/>
          <w:sz w:val="28"/>
          <w:szCs w:val="28"/>
        </w:rPr>
        <w:t xml:space="preserve"> </w:t>
      </w:r>
      <w:r w:rsidR="0047609F" w:rsidRPr="00C84546">
        <w:rPr>
          <w:rFonts w:ascii="Palatino Linotype" w:hAnsi="Palatino Linotype" w:cs="Arial"/>
        </w:rPr>
        <w:t>Posteriormente, e</w:t>
      </w:r>
      <w:r w:rsidRPr="00C84546">
        <w:rPr>
          <w:rFonts w:ascii="Palatino Linotype" w:hAnsi="Palatino Linotype" w:cs="Arial"/>
        </w:rPr>
        <w:t xml:space="preserve">n </w:t>
      </w:r>
      <w:r w:rsidR="00952193" w:rsidRPr="00C84546">
        <w:rPr>
          <w:rFonts w:ascii="Palatino Linotype" w:hAnsi="Palatino Linotype" w:cs="Arial"/>
        </w:rPr>
        <w:t>fecha</w:t>
      </w:r>
      <w:r w:rsidR="007B0F64" w:rsidRPr="00C84546">
        <w:rPr>
          <w:rFonts w:ascii="Palatino Linotype" w:hAnsi="Palatino Linotype" w:cs="Arial"/>
        </w:rPr>
        <w:t xml:space="preserve"> </w:t>
      </w:r>
      <w:r w:rsidR="007E52FF" w:rsidRPr="00C84546">
        <w:rPr>
          <w:rFonts w:ascii="Palatino Linotype" w:hAnsi="Palatino Linotype" w:cs="Arial"/>
        </w:rPr>
        <w:t>quince de octubre</w:t>
      </w:r>
      <w:r w:rsidRPr="00C84546">
        <w:rPr>
          <w:rFonts w:ascii="Palatino Linotype" w:hAnsi="Palatino Linotype" w:cs="Arial"/>
        </w:rPr>
        <w:t xml:space="preserve"> de dos mil veintiuno, atento a lo dispuesto en el artículo 185, fracciones I, II y IV, de la </w:t>
      </w:r>
      <w:r w:rsidRPr="00C84546">
        <w:rPr>
          <w:rFonts w:ascii="Palatino Linotype" w:hAnsi="Palatino Linotype"/>
        </w:rPr>
        <w:t xml:space="preserve">Ley de Transparencia y Acceso a la Información Pública del </w:t>
      </w:r>
      <w:r w:rsidRPr="00C84546">
        <w:rPr>
          <w:rFonts w:ascii="Palatino Linotype" w:hAnsi="Palatino Linotype" w:cs="Arial"/>
        </w:rPr>
        <w:t>Estado</w:t>
      </w:r>
      <w:r w:rsidRPr="00C84546">
        <w:rPr>
          <w:rFonts w:ascii="Palatino Linotype" w:hAnsi="Palatino Linotype"/>
        </w:rPr>
        <w:t xml:space="preserve"> de México y </w:t>
      </w:r>
      <w:r w:rsidRPr="00C84546">
        <w:rPr>
          <w:rFonts w:ascii="Palatino Linotype" w:hAnsi="Palatino Linotype" w:cs="Arial"/>
          <w:lang w:val="es-ES_tradnl"/>
        </w:rPr>
        <w:t>Municipios</w:t>
      </w:r>
      <w:r w:rsidRPr="00C84546">
        <w:rPr>
          <w:rFonts w:ascii="Palatino Linotype" w:hAnsi="Palatino Linotype"/>
        </w:rPr>
        <w:t>, se a</w:t>
      </w:r>
      <w:r w:rsidRPr="00C84546">
        <w:rPr>
          <w:rFonts w:ascii="Palatino Linotype" w:hAnsi="Palatino Linotype" w:cs="Arial"/>
        </w:rPr>
        <w:t xml:space="preserve">cordó la admisión a trámite del referido recurso de </w:t>
      </w:r>
      <w:r w:rsidRPr="00C84546">
        <w:rPr>
          <w:rFonts w:ascii="Palatino Linotype" w:hAnsi="Palatino Linotype" w:cs="Arial"/>
          <w:lang w:val="es-ES_tradnl"/>
        </w:rPr>
        <w:t>revisión;</w:t>
      </w:r>
      <w:r w:rsidRPr="00C84546">
        <w:rPr>
          <w:rFonts w:ascii="Palatino Linotype" w:hAnsi="Palatino Linotype" w:cs="Arial"/>
        </w:rPr>
        <w:t xml:space="preserve"> así como, la </w:t>
      </w:r>
      <w:r w:rsidRPr="00C84546">
        <w:rPr>
          <w:rFonts w:ascii="Palatino Linotype" w:hAnsi="Palatino Linotype" w:cs="Arial"/>
          <w:lang w:val="es-ES_tradnl"/>
        </w:rPr>
        <w:t>integración</w:t>
      </w:r>
      <w:r w:rsidRPr="00C84546">
        <w:rPr>
          <w:rFonts w:ascii="Palatino Linotype" w:hAnsi="Palatino Linotype" w:cs="Arial"/>
        </w:rPr>
        <w:t xml:space="preserve"> del expediente </w:t>
      </w:r>
      <w:r w:rsidRPr="00C84546">
        <w:rPr>
          <w:rFonts w:ascii="Palatino Linotype" w:hAnsi="Palatino Linotype" w:cs="Arial"/>
        </w:rPr>
        <w:lastRenderedPageBreak/>
        <w:t>respectivo, mismo que se puso a disposición de las partes, para que en el plaz</w:t>
      </w:r>
      <w:r w:rsidR="00F635D1" w:rsidRPr="00C84546">
        <w:rPr>
          <w:rFonts w:ascii="Palatino Linotype" w:hAnsi="Palatino Linotype" w:cs="Arial"/>
        </w:rPr>
        <w:t>o máximo de siete días hábiles,</w:t>
      </w:r>
      <w:r w:rsidR="002D322E" w:rsidRPr="00C84546">
        <w:rPr>
          <w:rFonts w:ascii="Palatino Linotype" w:hAnsi="Palatino Linotype" w:cs="Arial"/>
          <w:b/>
        </w:rPr>
        <w:t xml:space="preserve"> </w:t>
      </w:r>
      <w:r w:rsidR="00F635D1" w:rsidRPr="00C84546">
        <w:rPr>
          <w:rFonts w:ascii="Palatino Linotype" w:hAnsi="Palatino Linotype" w:cs="Arial"/>
          <w:b/>
        </w:rPr>
        <w:t xml:space="preserve">EL </w:t>
      </w:r>
      <w:r w:rsidR="002D322E" w:rsidRPr="00C84546">
        <w:rPr>
          <w:rFonts w:ascii="Palatino Linotype" w:hAnsi="Palatino Linotype" w:cs="Arial"/>
          <w:b/>
        </w:rPr>
        <w:t xml:space="preserve">RECURENTE </w:t>
      </w:r>
      <w:r w:rsidRPr="00C84546">
        <w:rPr>
          <w:rFonts w:ascii="Palatino Linotype" w:hAnsi="Palatino Linotype" w:cs="Arial"/>
        </w:rPr>
        <w:t xml:space="preserve"> realizara manifestaciones, alegatos y ofreciera las pruebas que a su derecho </w:t>
      </w:r>
      <w:r w:rsidRPr="00C84546">
        <w:rPr>
          <w:rFonts w:ascii="Palatino Linotype" w:hAnsi="Palatino Linotype" w:cs="Arial"/>
          <w:lang w:val="es-ES_tradnl"/>
        </w:rPr>
        <w:t>conviniera</w:t>
      </w:r>
      <w:r w:rsidRPr="00C84546">
        <w:rPr>
          <w:rFonts w:ascii="Palatino Linotype" w:hAnsi="Palatino Linotype" w:cs="Arial"/>
        </w:rPr>
        <w:t xml:space="preserve"> y, en el caso del</w:t>
      </w:r>
      <w:r w:rsidRPr="00C84546">
        <w:rPr>
          <w:rFonts w:ascii="Palatino Linotype" w:hAnsi="Palatino Linotype" w:cs="Arial"/>
          <w:b/>
        </w:rPr>
        <w:t xml:space="preserve"> SUJETO OBLIGADO</w:t>
      </w:r>
      <w:r w:rsidRPr="00C84546">
        <w:rPr>
          <w:rFonts w:ascii="Palatino Linotype" w:hAnsi="Palatino Linotype" w:cs="Arial"/>
        </w:rPr>
        <w:t>, para que exhibiera el Informe Justificado correspondiente.</w:t>
      </w:r>
    </w:p>
    <w:p w14:paraId="0CB0989B" w14:textId="63DCA344" w:rsidR="007E52FF" w:rsidRPr="00C84546" w:rsidRDefault="00952193" w:rsidP="00E5700A">
      <w:pPr>
        <w:pStyle w:val="Prrafodelista"/>
        <w:spacing w:before="240" w:after="240" w:line="360" w:lineRule="auto"/>
        <w:ind w:left="0"/>
        <w:jc w:val="both"/>
        <w:rPr>
          <w:rFonts w:ascii="Palatino Linotype" w:hAnsi="Palatino Linotype" w:cs="Arial"/>
        </w:rPr>
      </w:pPr>
      <w:r w:rsidRPr="00C84546">
        <w:rPr>
          <w:rFonts w:ascii="Palatino Linotype" w:hAnsi="Palatino Linotype" w:cs="Arial"/>
          <w:b/>
          <w:sz w:val="28"/>
          <w:szCs w:val="28"/>
        </w:rPr>
        <w:t>V</w:t>
      </w:r>
      <w:r w:rsidR="00BF649F" w:rsidRPr="00C84546">
        <w:rPr>
          <w:rFonts w:ascii="Palatino Linotype" w:hAnsi="Palatino Linotype" w:cs="Arial"/>
          <w:b/>
          <w:sz w:val="28"/>
          <w:szCs w:val="28"/>
        </w:rPr>
        <w:t>I</w:t>
      </w:r>
      <w:r w:rsidR="004E44D1" w:rsidRPr="00C84546">
        <w:rPr>
          <w:rFonts w:ascii="Palatino Linotype" w:hAnsi="Palatino Linotype" w:cs="Arial"/>
          <w:b/>
          <w:sz w:val="28"/>
          <w:szCs w:val="28"/>
        </w:rPr>
        <w:t>I</w:t>
      </w:r>
      <w:r w:rsidRPr="00C84546">
        <w:rPr>
          <w:rFonts w:ascii="Palatino Linotype" w:hAnsi="Palatino Linotype" w:cs="Arial"/>
          <w:b/>
          <w:sz w:val="28"/>
          <w:szCs w:val="28"/>
        </w:rPr>
        <w:t>.</w:t>
      </w:r>
      <w:r w:rsidRPr="00C84546">
        <w:rPr>
          <w:rFonts w:ascii="Palatino Linotype" w:hAnsi="Palatino Linotype" w:cs="Arial"/>
        </w:rPr>
        <w:t xml:space="preserve"> De las constancias que obran en el </w:t>
      </w:r>
      <w:r w:rsidRPr="00C84546">
        <w:rPr>
          <w:rFonts w:ascii="Palatino Linotype" w:hAnsi="Palatino Linotype" w:cs="Arial"/>
          <w:b/>
        </w:rPr>
        <w:t>SAIMEX</w:t>
      </w:r>
      <w:r w:rsidRPr="00C84546">
        <w:rPr>
          <w:rFonts w:ascii="Palatino Linotype" w:hAnsi="Palatino Linotype" w:cs="Arial"/>
        </w:rPr>
        <w:t>, se desprende que</w:t>
      </w:r>
      <w:r w:rsidR="00E5700A" w:rsidRPr="00C84546">
        <w:rPr>
          <w:rFonts w:ascii="Palatino Linotype" w:hAnsi="Palatino Linotype" w:cs="Arial"/>
        </w:rPr>
        <w:t xml:space="preserve"> </w:t>
      </w:r>
      <w:r w:rsidRPr="00C84546">
        <w:rPr>
          <w:rFonts w:ascii="Palatino Linotype" w:hAnsi="Palatino Linotype" w:cs="Arial"/>
          <w:b/>
        </w:rPr>
        <w:t xml:space="preserve">EL SUJETO OBLIGADO </w:t>
      </w:r>
      <w:r w:rsidR="007E52FF" w:rsidRPr="00C84546">
        <w:rPr>
          <w:rFonts w:ascii="Palatino Linotype" w:hAnsi="Palatino Linotype" w:cs="Arial"/>
        </w:rPr>
        <w:t xml:space="preserve">rindió el Informe Justificado </w:t>
      </w:r>
      <w:proofErr w:type="spellStart"/>
      <w:r w:rsidR="007E52FF" w:rsidRPr="00C84546">
        <w:rPr>
          <w:rFonts w:ascii="Palatino Linotype" w:hAnsi="Palatino Linotype" w:cs="Arial"/>
        </w:rPr>
        <w:t>corresondiente</w:t>
      </w:r>
      <w:proofErr w:type="spellEnd"/>
      <w:r w:rsidR="007E52FF" w:rsidRPr="00C84546">
        <w:rPr>
          <w:rFonts w:ascii="Palatino Linotype" w:hAnsi="Palatino Linotype" w:cs="Arial"/>
        </w:rPr>
        <w:t xml:space="preserve"> en fecha veintiuno de octubre</w:t>
      </w:r>
      <w:r w:rsidR="00A55ACE" w:rsidRPr="00C84546">
        <w:rPr>
          <w:rFonts w:ascii="Palatino Linotype" w:hAnsi="Palatino Linotype" w:cs="Arial"/>
        </w:rPr>
        <w:t xml:space="preserve"> del presente año</w:t>
      </w:r>
      <w:r w:rsidR="007E52FF" w:rsidRPr="00C84546">
        <w:rPr>
          <w:rFonts w:ascii="Palatino Linotype" w:hAnsi="Palatino Linotype" w:cs="Arial"/>
        </w:rPr>
        <w:t>, mismo que fue puesto a la vista</w:t>
      </w:r>
      <w:r w:rsidR="00E04F43" w:rsidRPr="00C84546">
        <w:rPr>
          <w:rFonts w:ascii="Palatino Linotype" w:hAnsi="Palatino Linotype" w:cs="Arial"/>
        </w:rPr>
        <w:t xml:space="preserve"> del </w:t>
      </w:r>
      <w:r w:rsidR="00E04F43" w:rsidRPr="00C84546">
        <w:rPr>
          <w:rFonts w:ascii="Palatino Linotype" w:hAnsi="Palatino Linotype" w:cs="Arial"/>
          <w:b/>
        </w:rPr>
        <w:t xml:space="preserve">RECURRENTE </w:t>
      </w:r>
      <w:r w:rsidR="007E52FF" w:rsidRPr="00C84546">
        <w:rPr>
          <w:rFonts w:ascii="Palatino Linotype" w:hAnsi="Palatino Linotype" w:cs="Arial"/>
        </w:rPr>
        <w:t xml:space="preserve"> el día veintiocho de octubre de dos mil veintiuno para </w:t>
      </w:r>
      <w:r w:rsidR="00E04F43" w:rsidRPr="00C84546">
        <w:rPr>
          <w:rFonts w:ascii="Palatino Linotype" w:hAnsi="Palatino Linotype" w:cs="Arial"/>
        </w:rPr>
        <w:t>que este realizara las manifestaciones que considerara pertinentes, es importante destacar que, el</w:t>
      </w:r>
      <w:r w:rsidR="00934ADE" w:rsidRPr="00C84546">
        <w:rPr>
          <w:rFonts w:ascii="Palatino Linotype" w:hAnsi="Palatino Linotype" w:cs="Arial"/>
        </w:rPr>
        <w:t xml:space="preserve"> Informe Justificado </w:t>
      </w:r>
      <w:r w:rsidR="007E52FF" w:rsidRPr="00C84546">
        <w:rPr>
          <w:rFonts w:ascii="Palatino Linotype" w:hAnsi="Palatino Linotype" w:cs="Arial"/>
        </w:rPr>
        <w:t xml:space="preserve">versa sobre lo que se puede apreciar en la imagen siguiente: </w:t>
      </w:r>
      <w:r w:rsidR="007E52FF" w:rsidRPr="00C84546">
        <w:rPr>
          <w:rFonts w:ascii="Palatino Linotype" w:hAnsi="Palatino Linotype" w:cs="Arial"/>
          <w:b/>
          <w:noProof/>
          <w:lang w:eastAsia="es-MX"/>
        </w:rPr>
        <w:drawing>
          <wp:inline distT="0" distB="0" distL="0" distR="0" wp14:anchorId="479BBD4B" wp14:editId="537BC41E">
            <wp:extent cx="5612130" cy="417195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ECEC8B.tmp"/>
                    <pic:cNvPicPr/>
                  </pic:nvPicPr>
                  <pic:blipFill>
                    <a:blip r:embed="rId9">
                      <a:extLst>
                        <a:ext uri="{28A0092B-C50C-407E-A947-70E740481C1C}">
                          <a14:useLocalDpi xmlns:a14="http://schemas.microsoft.com/office/drawing/2010/main" val="0"/>
                        </a:ext>
                      </a:extLst>
                    </a:blip>
                    <a:stretch>
                      <a:fillRect/>
                    </a:stretch>
                  </pic:blipFill>
                  <pic:spPr>
                    <a:xfrm>
                      <a:off x="0" y="0"/>
                      <a:ext cx="5612130" cy="4171950"/>
                    </a:xfrm>
                    <a:prstGeom prst="rect">
                      <a:avLst/>
                    </a:prstGeom>
                  </pic:spPr>
                </pic:pic>
              </a:graphicData>
            </a:graphic>
          </wp:inline>
        </w:drawing>
      </w:r>
    </w:p>
    <w:p w14:paraId="7471AD4E" w14:textId="5380FC67" w:rsidR="00542307" w:rsidRPr="00C84546" w:rsidRDefault="00E04F43" w:rsidP="007E52FF">
      <w:pPr>
        <w:pStyle w:val="Prrafodelista"/>
        <w:spacing w:before="240" w:after="240" w:line="360" w:lineRule="auto"/>
        <w:ind w:left="0"/>
        <w:jc w:val="both"/>
        <w:rPr>
          <w:rFonts w:ascii="Palatino Linotype" w:hAnsi="Palatino Linotype" w:cs="Arial"/>
        </w:rPr>
      </w:pPr>
      <w:r w:rsidRPr="00C84546">
        <w:rPr>
          <w:rFonts w:ascii="Palatino Linotype" w:hAnsi="Palatino Linotype" w:cs="Arial"/>
        </w:rPr>
        <w:lastRenderedPageBreak/>
        <w:t xml:space="preserve">De la imagen insertada </w:t>
      </w:r>
      <w:r w:rsidR="00934ADE" w:rsidRPr="00C84546">
        <w:rPr>
          <w:rFonts w:ascii="Palatino Linotype" w:hAnsi="Palatino Linotype" w:cs="Arial"/>
        </w:rPr>
        <w:t>se puede observar</w:t>
      </w:r>
      <w:r w:rsidRPr="00C84546">
        <w:rPr>
          <w:rFonts w:ascii="Palatino Linotype" w:hAnsi="Palatino Linotype" w:cs="Arial"/>
        </w:rPr>
        <w:t xml:space="preserve"> que,</w:t>
      </w:r>
      <w:r w:rsidR="007E52FF" w:rsidRPr="00C84546">
        <w:rPr>
          <w:rFonts w:ascii="Palatino Linotype" w:hAnsi="Palatino Linotype" w:cs="Arial"/>
        </w:rPr>
        <w:t xml:space="preserve"> </w:t>
      </w:r>
      <w:r w:rsidR="007E52FF" w:rsidRPr="00C84546">
        <w:rPr>
          <w:rFonts w:ascii="Palatino Linotype" w:hAnsi="Palatino Linotype" w:cs="Arial"/>
          <w:b/>
        </w:rPr>
        <w:t>EL SUJETO OBLIGADO</w:t>
      </w:r>
      <w:r w:rsidR="007E52FF" w:rsidRPr="00C84546">
        <w:rPr>
          <w:rFonts w:ascii="Palatino Linotype" w:hAnsi="Palatino Linotype" w:cs="Arial"/>
        </w:rPr>
        <w:t xml:space="preserve"> manifestó que hasta</w:t>
      </w:r>
      <w:r w:rsidRPr="00C84546">
        <w:rPr>
          <w:rFonts w:ascii="Palatino Linotype" w:hAnsi="Palatino Linotype" w:cs="Arial"/>
        </w:rPr>
        <w:t xml:space="preserve"> el veintidós de septiembre del año en curso, fecha en la cual se elaboró dicho informe,</w:t>
      </w:r>
      <w:r w:rsidR="007E52FF" w:rsidRPr="00C84546">
        <w:rPr>
          <w:rFonts w:ascii="Palatino Linotype" w:hAnsi="Palatino Linotype" w:cs="Arial"/>
        </w:rPr>
        <w:t xml:space="preserve"> no exi</w:t>
      </w:r>
      <w:r w:rsidR="00D82FC4" w:rsidRPr="00C84546">
        <w:rPr>
          <w:rFonts w:ascii="Palatino Linotype" w:hAnsi="Palatino Linotype" w:cs="Arial"/>
        </w:rPr>
        <w:t>sten adeudos de proveedores en ese</w:t>
      </w:r>
      <w:r w:rsidR="00380A91" w:rsidRPr="00C84546">
        <w:rPr>
          <w:rFonts w:ascii="Palatino Linotype" w:hAnsi="Palatino Linotype" w:cs="Arial"/>
        </w:rPr>
        <w:t xml:space="preserve"> </w:t>
      </w:r>
      <w:r w:rsidR="007E52FF" w:rsidRPr="00C84546">
        <w:rPr>
          <w:rFonts w:ascii="Palatino Linotype" w:hAnsi="Palatino Linotype" w:cs="Arial"/>
        </w:rPr>
        <w:t xml:space="preserve">Ayuntamiento. </w:t>
      </w:r>
    </w:p>
    <w:p w14:paraId="0D0C03F7" w14:textId="659D2AFE" w:rsidR="00E5700A" w:rsidRDefault="00EA3177" w:rsidP="00542307">
      <w:pPr>
        <w:pStyle w:val="Prrafodelista"/>
        <w:spacing w:before="240" w:after="240" w:line="360" w:lineRule="auto"/>
        <w:ind w:left="0"/>
        <w:jc w:val="both"/>
        <w:rPr>
          <w:rFonts w:ascii="Palatino Linotype" w:hAnsi="Palatino Linotype" w:cs="Arial"/>
          <w:noProof/>
          <w:lang w:eastAsia="es-MX"/>
        </w:rPr>
      </w:pPr>
      <w:r w:rsidRPr="00C84546">
        <w:rPr>
          <w:rFonts w:ascii="Palatino Linotype" w:hAnsi="Palatino Linotype" w:cs="Arial"/>
          <w:b/>
          <w:sz w:val="28"/>
          <w:szCs w:val="28"/>
        </w:rPr>
        <w:t>V</w:t>
      </w:r>
      <w:r w:rsidR="00542307" w:rsidRPr="00C84546">
        <w:rPr>
          <w:rFonts w:ascii="Palatino Linotype" w:hAnsi="Palatino Linotype" w:cs="Arial"/>
          <w:b/>
          <w:sz w:val="28"/>
          <w:szCs w:val="28"/>
        </w:rPr>
        <w:t>I</w:t>
      </w:r>
      <w:r w:rsidRPr="00C84546">
        <w:rPr>
          <w:rFonts w:ascii="Palatino Linotype" w:hAnsi="Palatino Linotype" w:cs="Arial"/>
          <w:b/>
          <w:sz w:val="28"/>
          <w:szCs w:val="28"/>
        </w:rPr>
        <w:t>I</w:t>
      </w:r>
      <w:r w:rsidR="00BE222C" w:rsidRPr="00C84546">
        <w:rPr>
          <w:rFonts w:ascii="Palatino Linotype" w:hAnsi="Palatino Linotype" w:cs="Arial"/>
          <w:b/>
          <w:sz w:val="28"/>
          <w:szCs w:val="28"/>
        </w:rPr>
        <w:t>I</w:t>
      </w:r>
      <w:r w:rsidRPr="00C84546">
        <w:rPr>
          <w:rFonts w:ascii="Palatino Linotype" w:hAnsi="Palatino Linotype" w:cs="Arial"/>
          <w:b/>
          <w:sz w:val="28"/>
          <w:szCs w:val="28"/>
        </w:rPr>
        <w:t>.</w:t>
      </w:r>
      <w:r w:rsidRPr="00C84546">
        <w:rPr>
          <w:rFonts w:ascii="Palatino Linotype" w:hAnsi="Palatino Linotype" w:cs="Arial"/>
        </w:rPr>
        <w:t xml:space="preserve"> </w:t>
      </w:r>
      <w:r w:rsidR="007E52FF" w:rsidRPr="00C84546">
        <w:rPr>
          <w:rFonts w:ascii="Palatino Linotype" w:hAnsi="Palatino Linotype" w:cs="Arial"/>
        </w:rPr>
        <w:t>Posteriormente, e</w:t>
      </w:r>
      <w:r w:rsidR="00E5700A" w:rsidRPr="00C84546">
        <w:rPr>
          <w:rFonts w:ascii="Palatino Linotype" w:hAnsi="Palatino Linotype"/>
          <w:color w:val="000000"/>
        </w:rPr>
        <w:t>n fecha</w:t>
      </w:r>
      <w:r w:rsidR="007E52FF" w:rsidRPr="00C84546">
        <w:rPr>
          <w:rFonts w:ascii="Palatino Linotype" w:hAnsi="Palatino Linotype"/>
          <w:color w:val="000000"/>
        </w:rPr>
        <w:t xml:space="preserve"> primero</w:t>
      </w:r>
      <w:r w:rsidR="00E5700A" w:rsidRPr="00C84546">
        <w:rPr>
          <w:rFonts w:ascii="Palatino Linotype" w:hAnsi="Palatino Linotype"/>
          <w:color w:val="000000"/>
        </w:rPr>
        <w:t xml:space="preserve"> de</w:t>
      </w:r>
      <w:r w:rsidR="007E52FF" w:rsidRPr="00C84546">
        <w:rPr>
          <w:rFonts w:ascii="Palatino Linotype" w:hAnsi="Palatino Linotype"/>
          <w:color w:val="000000"/>
        </w:rPr>
        <w:t xml:space="preserve"> noviembre</w:t>
      </w:r>
      <w:r w:rsidR="00E5700A" w:rsidRPr="00C84546">
        <w:rPr>
          <w:rFonts w:ascii="Palatino Linotype" w:hAnsi="Palatino Linotype"/>
          <w:color w:val="000000"/>
        </w:rPr>
        <w:t xml:space="preserve"> de dos mil veintiuno, mediante el </w:t>
      </w:r>
      <w:r w:rsidR="00E5700A" w:rsidRPr="00C84546">
        <w:rPr>
          <w:rFonts w:ascii="Palatino Linotype" w:hAnsi="Palatino Linotype"/>
          <w:b/>
          <w:bCs/>
          <w:color w:val="000000"/>
        </w:rPr>
        <w:t>SAIMEX</w:t>
      </w:r>
      <w:r w:rsidR="00E5700A" w:rsidRPr="00C84546">
        <w:rPr>
          <w:rFonts w:ascii="Palatino Linotype" w:hAnsi="Palatino Linotype"/>
          <w:color w:val="000000"/>
        </w:rPr>
        <w:t xml:space="preserve">, </w:t>
      </w:r>
      <w:r w:rsidR="00E5700A" w:rsidRPr="00C84546">
        <w:rPr>
          <w:rFonts w:ascii="Palatino Linotype" w:hAnsi="Palatino Linotype"/>
          <w:b/>
          <w:bCs/>
          <w:color w:val="000000"/>
        </w:rPr>
        <w:t>EL</w:t>
      </w:r>
      <w:r w:rsidR="00E5700A" w:rsidRPr="00C84546">
        <w:rPr>
          <w:rFonts w:ascii="Palatino Linotype" w:hAnsi="Palatino Linotype"/>
          <w:color w:val="000000"/>
        </w:rPr>
        <w:t xml:space="preserve"> </w:t>
      </w:r>
      <w:r w:rsidR="00E5700A" w:rsidRPr="00C84546">
        <w:rPr>
          <w:rFonts w:ascii="Palatino Linotype" w:hAnsi="Palatino Linotype"/>
          <w:b/>
          <w:bCs/>
          <w:color w:val="000000"/>
        </w:rPr>
        <w:t>RECURRENTE</w:t>
      </w:r>
      <w:r w:rsidR="00E5700A" w:rsidRPr="00C84546">
        <w:rPr>
          <w:rFonts w:ascii="Palatino Linotype" w:hAnsi="Palatino Linotype"/>
          <w:color w:val="000000"/>
        </w:rPr>
        <w:t xml:space="preserve"> presentó su desistimiento respecto del presente recurso, tal y como muestra a continuación:</w:t>
      </w:r>
      <w:r w:rsidR="007E52FF" w:rsidRPr="00C84546">
        <w:rPr>
          <w:rFonts w:ascii="Palatino Linotype" w:hAnsi="Palatino Linotype" w:cs="Arial"/>
          <w:noProof/>
          <w:lang w:eastAsia="es-MX"/>
        </w:rPr>
        <w:t xml:space="preserve"> </w:t>
      </w:r>
    </w:p>
    <w:p w14:paraId="59872FDC" w14:textId="6A835210" w:rsidR="00DF18CF" w:rsidRDefault="00DF18CF" w:rsidP="00542307">
      <w:pPr>
        <w:pStyle w:val="Prrafodelista"/>
        <w:spacing w:before="240" w:after="240" w:line="360" w:lineRule="auto"/>
        <w:ind w:left="0"/>
        <w:jc w:val="both"/>
        <w:rPr>
          <w:rFonts w:ascii="Palatino Linotype" w:hAnsi="Palatino Linotype"/>
          <w:noProof/>
          <w:color w:val="000000"/>
          <w:lang w:eastAsia="es-MX"/>
        </w:rPr>
      </w:pPr>
      <w:r>
        <w:rPr>
          <w:noProof/>
          <w:lang w:eastAsia="es-MX"/>
        </w:rPr>
        <w:lastRenderedPageBreak/>
        <w:drawing>
          <wp:inline distT="0" distB="0" distL="0" distR="0" wp14:anchorId="4AF00EE5" wp14:editId="628C24BD">
            <wp:extent cx="5612130" cy="5547360"/>
            <wp:effectExtent l="0" t="0" r="762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547360"/>
                    </a:xfrm>
                    <a:prstGeom prst="rect">
                      <a:avLst/>
                    </a:prstGeom>
                  </pic:spPr>
                </pic:pic>
              </a:graphicData>
            </a:graphic>
          </wp:inline>
        </w:drawing>
      </w:r>
    </w:p>
    <w:p w14:paraId="55C2C277" w14:textId="77777777" w:rsidR="00DF18CF" w:rsidRPr="00C84546" w:rsidRDefault="00DF18CF" w:rsidP="00542307">
      <w:pPr>
        <w:pStyle w:val="Prrafodelista"/>
        <w:spacing w:before="240" w:after="240" w:line="360" w:lineRule="auto"/>
        <w:ind w:left="0"/>
        <w:jc w:val="both"/>
        <w:rPr>
          <w:rFonts w:ascii="Palatino Linotype" w:hAnsi="Palatino Linotype"/>
          <w:color w:val="000000"/>
        </w:rPr>
      </w:pPr>
    </w:p>
    <w:p w14:paraId="0EA41D26" w14:textId="056C4FF9" w:rsidR="00A31AF6" w:rsidRPr="00C84546" w:rsidRDefault="00E5700A" w:rsidP="00542307">
      <w:pPr>
        <w:pStyle w:val="Prrafodelista"/>
        <w:spacing w:before="240" w:after="240" w:line="360" w:lineRule="auto"/>
        <w:ind w:left="0"/>
        <w:jc w:val="both"/>
        <w:rPr>
          <w:rFonts w:ascii="Palatino Linotype" w:hAnsi="Palatino Linotype"/>
        </w:rPr>
      </w:pPr>
      <w:r w:rsidRPr="00C84546">
        <w:rPr>
          <w:rFonts w:ascii="Palatino Linotype" w:hAnsi="Palatino Linotype" w:cs="Arial"/>
          <w:b/>
          <w:sz w:val="28"/>
          <w:szCs w:val="28"/>
        </w:rPr>
        <w:t>IX.</w:t>
      </w:r>
      <w:r w:rsidRPr="00C84546">
        <w:rPr>
          <w:rFonts w:ascii="Palatino Linotype" w:hAnsi="Palatino Linotype" w:cs="Arial"/>
        </w:rPr>
        <w:t xml:space="preserve"> </w:t>
      </w:r>
      <w:r w:rsidR="00EA3177" w:rsidRPr="00C84546">
        <w:rPr>
          <w:rFonts w:ascii="Palatino Linotype" w:hAnsi="Palatino Linotype" w:cs="Arial"/>
        </w:rPr>
        <w:t xml:space="preserve">Una vez </w:t>
      </w:r>
      <w:r w:rsidR="00EA3177" w:rsidRPr="00C84546">
        <w:rPr>
          <w:rFonts w:ascii="Palatino Linotype" w:hAnsi="Palatino Linotype" w:cs="Arial"/>
          <w:color w:val="000000" w:themeColor="text1"/>
        </w:rPr>
        <w:t>analizado</w:t>
      </w:r>
      <w:r w:rsidR="00EA3177" w:rsidRPr="00C84546">
        <w:rPr>
          <w:rFonts w:ascii="Palatino Linotype" w:hAnsi="Palatino Linotype" w:cs="Arial"/>
        </w:rPr>
        <w:t xml:space="preserve"> el estado pro</w:t>
      </w:r>
      <w:r w:rsidR="000624D8" w:rsidRPr="00C84546">
        <w:rPr>
          <w:rFonts w:ascii="Palatino Linotype" w:hAnsi="Palatino Linotype" w:cs="Arial"/>
        </w:rPr>
        <w:t>cesal que guarda</w:t>
      </w:r>
      <w:r w:rsidRPr="00C84546">
        <w:rPr>
          <w:rFonts w:ascii="Palatino Linotype" w:hAnsi="Palatino Linotype" w:cs="Arial"/>
        </w:rPr>
        <w:t>ba</w:t>
      </w:r>
      <w:r w:rsidR="00EA3177" w:rsidRPr="00C84546">
        <w:rPr>
          <w:rFonts w:ascii="Palatino Linotype" w:hAnsi="Palatino Linotype" w:cs="Arial"/>
        </w:rPr>
        <w:t xml:space="preserve"> el expediente, </w:t>
      </w:r>
      <w:r w:rsidR="00BE222C" w:rsidRPr="00C84546">
        <w:rPr>
          <w:rFonts w:ascii="Palatino Linotype" w:hAnsi="Palatino Linotype" w:cs="Arial"/>
        </w:rPr>
        <w:t xml:space="preserve">el </w:t>
      </w:r>
      <w:r w:rsidR="007E52FF" w:rsidRPr="00C84546">
        <w:rPr>
          <w:rFonts w:ascii="Palatino Linotype" w:hAnsi="Palatino Linotype" w:cs="Arial"/>
        </w:rPr>
        <w:t xml:space="preserve">tres </w:t>
      </w:r>
      <w:r w:rsidR="002A4368" w:rsidRPr="00C84546">
        <w:rPr>
          <w:rFonts w:ascii="Palatino Linotype" w:hAnsi="Palatino Linotype" w:cs="Arial"/>
        </w:rPr>
        <w:t xml:space="preserve">de </w:t>
      </w:r>
      <w:r w:rsidR="007E52FF" w:rsidRPr="00C84546">
        <w:rPr>
          <w:rFonts w:ascii="Palatino Linotype" w:hAnsi="Palatino Linotype" w:cs="Arial"/>
        </w:rPr>
        <w:t xml:space="preserve">noviembre </w:t>
      </w:r>
      <w:r w:rsidR="00EA3177" w:rsidRPr="00C84546">
        <w:rPr>
          <w:rFonts w:ascii="Palatino Linotype" w:hAnsi="Palatino Linotype" w:cs="Arial"/>
        </w:rPr>
        <w:t xml:space="preserve">de dos mil veintiuno, la Comisionada </w:t>
      </w:r>
      <w:r w:rsidR="00E04F43" w:rsidRPr="00C84546">
        <w:rPr>
          <w:rFonts w:ascii="Palatino Linotype" w:hAnsi="Palatino Linotype" w:cs="Arial"/>
          <w:b/>
        </w:rPr>
        <w:t xml:space="preserve">Sharon Cristina Morales Martínez </w:t>
      </w:r>
      <w:r w:rsidR="00EA3177" w:rsidRPr="00C84546">
        <w:rPr>
          <w:rFonts w:ascii="Palatino Linotype" w:hAnsi="Palatino Linotype" w:cs="Arial"/>
        </w:rPr>
        <w:t xml:space="preserve">acordó el cierre de instrucción; así </w:t>
      </w:r>
      <w:r w:rsidR="00EA3177" w:rsidRPr="00C84546">
        <w:rPr>
          <w:rFonts w:ascii="Palatino Linotype" w:hAnsi="Palatino Linotype" w:cs="Arial"/>
          <w:lang w:val="es-ES_tradnl"/>
        </w:rPr>
        <w:t>como,</w:t>
      </w:r>
      <w:r w:rsidR="00EA3177" w:rsidRPr="00C84546">
        <w:rPr>
          <w:rFonts w:ascii="Palatino Linotype" w:hAnsi="Palatino Linotype" w:cs="Arial"/>
        </w:rPr>
        <w:t xml:space="preserve"> la remisión del mismo a efecto </w:t>
      </w:r>
      <w:r w:rsidR="00EA3177" w:rsidRPr="00C84546">
        <w:rPr>
          <w:rFonts w:ascii="Palatino Linotype" w:hAnsi="Palatino Linotype" w:cs="Arial"/>
          <w:lang w:val="es-ES_tradnl"/>
        </w:rPr>
        <w:t>de</w:t>
      </w:r>
      <w:r w:rsidR="00EA3177" w:rsidRPr="00C84546">
        <w:rPr>
          <w:rFonts w:ascii="Palatino Linotype" w:hAnsi="Palatino Linotype" w:cs="Arial"/>
        </w:rPr>
        <w:t xml:space="preserve"> ser resuelto, de conformidad con lo establecido en el artículo 185, fracciones VI y VIII </w:t>
      </w:r>
      <w:r w:rsidR="00EA3177" w:rsidRPr="00C84546">
        <w:rPr>
          <w:rFonts w:ascii="Palatino Linotype" w:hAnsi="Palatino Linotype" w:cs="Arial"/>
        </w:rPr>
        <w:lastRenderedPageBreak/>
        <w:t>de la Ley de Transparencia y Acceso a la Información Pública del Estado de México y Municipios</w:t>
      </w:r>
      <w:r w:rsidR="002A4368" w:rsidRPr="00C84546">
        <w:rPr>
          <w:rFonts w:ascii="Palatino Linotype" w:hAnsi="Palatino Linotype"/>
        </w:rPr>
        <w:t xml:space="preserve">; y, </w:t>
      </w:r>
    </w:p>
    <w:p w14:paraId="61F714E9" w14:textId="64CF0DAE" w:rsidR="00EA3177" w:rsidRPr="00C84546" w:rsidRDefault="00EA3177" w:rsidP="00542307">
      <w:pPr>
        <w:pStyle w:val="Prrafodelista"/>
        <w:spacing w:before="240" w:after="240" w:line="360" w:lineRule="auto"/>
        <w:ind w:left="0"/>
        <w:jc w:val="center"/>
        <w:rPr>
          <w:rFonts w:ascii="Palatino Linotype" w:hAnsi="Palatino Linotype"/>
        </w:rPr>
      </w:pPr>
      <w:r w:rsidRPr="00C84546">
        <w:rPr>
          <w:rFonts w:ascii="Palatino Linotype" w:hAnsi="Palatino Linotype"/>
          <w:b/>
          <w:bCs/>
          <w:spacing w:val="60"/>
          <w:sz w:val="28"/>
        </w:rPr>
        <w:t>CONSIDERANDO</w:t>
      </w:r>
    </w:p>
    <w:p w14:paraId="28DC2220" w14:textId="77777777" w:rsidR="00DC362D" w:rsidRPr="00C84546" w:rsidRDefault="00EA3177" w:rsidP="00EA317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C84546">
        <w:rPr>
          <w:rFonts w:ascii="Palatino Linotype" w:hAnsi="Palatino Linotype"/>
          <w:b/>
          <w:sz w:val="28"/>
          <w:szCs w:val="28"/>
        </w:rPr>
        <w:t>PRIMERO</w:t>
      </w:r>
      <w:r w:rsidRPr="00C84546">
        <w:rPr>
          <w:rFonts w:ascii="Palatino Linotype" w:hAnsi="Palatino Linotype"/>
          <w:b/>
        </w:rPr>
        <w:t>. Competencia</w:t>
      </w:r>
      <w:r w:rsidRPr="00C84546">
        <w:rPr>
          <w:rFonts w:ascii="Palatino Linotype" w:hAnsi="Palatino Linotype"/>
        </w:rPr>
        <w:t>.</w:t>
      </w:r>
      <w:r w:rsidRPr="00C84546">
        <w:rPr>
          <w:rFonts w:ascii="Palatino Linotype" w:hAnsi="Palatino Linotype"/>
          <w:b/>
        </w:rPr>
        <w:t xml:space="preserve"> </w:t>
      </w:r>
    </w:p>
    <w:p w14:paraId="5EEA210F" w14:textId="2015F580" w:rsidR="00EA3177" w:rsidRPr="00C84546" w:rsidRDefault="00EA3177" w:rsidP="00EA317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C84546">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577FB1B" w14:textId="77777777" w:rsidR="00DC362D" w:rsidRPr="00C84546" w:rsidRDefault="00EA3177" w:rsidP="00EA317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C84546">
        <w:rPr>
          <w:rFonts w:ascii="Palatino Linotype" w:hAnsi="Palatino Linotype" w:cs="Arial"/>
          <w:b/>
          <w:sz w:val="28"/>
          <w:szCs w:val="28"/>
        </w:rPr>
        <w:t>SEGUNDO</w:t>
      </w:r>
      <w:r w:rsidRPr="00C84546">
        <w:rPr>
          <w:rFonts w:ascii="Palatino Linotype" w:hAnsi="Palatino Linotype" w:cs="Arial"/>
          <w:b/>
        </w:rPr>
        <w:t>. Interés.</w:t>
      </w:r>
      <w:r w:rsidRPr="00C84546">
        <w:rPr>
          <w:rFonts w:ascii="Palatino Linotype" w:hAnsi="Palatino Linotype" w:cs="Arial"/>
        </w:rPr>
        <w:t xml:space="preserve"> </w:t>
      </w:r>
    </w:p>
    <w:p w14:paraId="2E946E5F" w14:textId="66E8F8D9" w:rsidR="00EA3177" w:rsidRPr="00C84546" w:rsidRDefault="00EA3177" w:rsidP="00EA3177">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C84546">
        <w:rPr>
          <w:rFonts w:ascii="Palatino Linotype" w:hAnsi="Palatino Linotype" w:cs="Arial"/>
        </w:rPr>
        <w:t xml:space="preserve">El </w:t>
      </w:r>
      <w:r w:rsidRPr="00C84546">
        <w:rPr>
          <w:rFonts w:ascii="Palatino Linotype" w:hAnsi="Palatino Linotype"/>
        </w:rPr>
        <w:t>recurso</w:t>
      </w:r>
      <w:r w:rsidRPr="00C84546">
        <w:rPr>
          <w:rFonts w:ascii="Palatino Linotype" w:hAnsi="Palatino Linotype" w:cs="Arial"/>
        </w:rPr>
        <w:t xml:space="preserve"> de revisión fue </w:t>
      </w:r>
      <w:r w:rsidRPr="00C84546">
        <w:rPr>
          <w:rFonts w:ascii="Palatino Linotype" w:hAnsi="Palatino Linotype"/>
        </w:rPr>
        <w:t>interpuesto</w:t>
      </w:r>
      <w:r w:rsidRPr="00C84546">
        <w:rPr>
          <w:rFonts w:ascii="Palatino Linotype" w:hAnsi="Palatino Linotype" w:cs="Arial"/>
        </w:rPr>
        <w:t xml:space="preserve"> por parte legítima en atención a que fue </w:t>
      </w:r>
      <w:r w:rsidRPr="00C84546">
        <w:rPr>
          <w:rFonts w:ascii="Palatino Linotype" w:hAnsi="Palatino Linotype"/>
        </w:rPr>
        <w:t>presentado</w:t>
      </w:r>
      <w:r w:rsidRPr="00C84546">
        <w:rPr>
          <w:rFonts w:ascii="Palatino Linotype" w:hAnsi="Palatino Linotype" w:cs="Arial"/>
        </w:rPr>
        <w:t xml:space="preserve"> por </w:t>
      </w:r>
      <w:r w:rsidR="00C9153D" w:rsidRPr="00C84546">
        <w:rPr>
          <w:rFonts w:ascii="Palatino Linotype" w:hAnsi="Palatino Linotype" w:cs="Arial"/>
          <w:b/>
        </w:rPr>
        <w:t>EL</w:t>
      </w:r>
      <w:r w:rsidRPr="00C84546">
        <w:rPr>
          <w:rFonts w:ascii="Palatino Linotype" w:hAnsi="Palatino Linotype" w:cs="Arial"/>
          <w:b/>
        </w:rPr>
        <w:t xml:space="preserve"> RECURRENTE</w:t>
      </w:r>
      <w:r w:rsidRPr="00C84546">
        <w:rPr>
          <w:rFonts w:ascii="Palatino Linotype" w:hAnsi="Palatino Linotype" w:cs="Arial"/>
          <w:snapToGrid w:val="0"/>
        </w:rPr>
        <w:t xml:space="preserve">, </w:t>
      </w:r>
      <w:r w:rsidRPr="00C84546">
        <w:rPr>
          <w:rFonts w:ascii="Palatino Linotype" w:hAnsi="Palatino Linotype" w:cs="Arial"/>
        </w:rPr>
        <w:t>quien</w:t>
      </w:r>
      <w:r w:rsidRPr="00C84546">
        <w:rPr>
          <w:rFonts w:ascii="Palatino Linotype" w:hAnsi="Palatino Linotype" w:cs="Arial"/>
          <w:snapToGrid w:val="0"/>
        </w:rPr>
        <w:t xml:space="preserve"> </w:t>
      </w:r>
      <w:r w:rsidRPr="00C84546">
        <w:rPr>
          <w:rFonts w:ascii="Palatino Linotype" w:hAnsi="Palatino Linotype"/>
        </w:rPr>
        <w:t>formuló</w:t>
      </w:r>
      <w:r w:rsidRPr="00C84546">
        <w:rPr>
          <w:rFonts w:ascii="Palatino Linotype" w:hAnsi="Palatino Linotype" w:cs="Arial"/>
          <w:snapToGrid w:val="0"/>
        </w:rPr>
        <w:t xml:space="preserve"> la </w:t>
      </w:r>
      <w:r w:rsidRPr="00C84546">
        <w:rPr>
          <w:rFonts w:ascii="Palatino Linotype" w:hAnsi="Palatino Linotype" w:cs="Arial"/>
        </w:rPr>
        <w:t>solicitud</w:t>
      </w:r>
      <w:r w:rsidRPr="00C84546">
        <w:rPr>
          <w:rFonts w:ascii="Palatino Linotype" w:hAnsi="Palatino Linotype" w:cs="Arial"/>
          <w:snapToGrid w:val="0"/>
        </w:rPr>
        <w:t xml:space="preserve"> de información pública.</w:t>
      </w:r>
    </w:p>
    <w:p w14:paraId="129F85F6" w14:textId="77777777" w:rsidR="00DC362D" w:rsidRPr="00C84546" w:rsidRDefault="00EA3177" w:rsidP="00DC362D">
      <w:pPr>
        <w:pStyle w:val="NormalWeb"/>
        <w:spacing w:before="0" w:beforeAutospacing="0" w:after="0" w:afterAutospacing="0" w:line="360" w:lineRule="auto"/>
        <w:ind w:left="-57"/>
        <w:jc w:val="both"/>
        <w:rPr>
          <w:rFonts w:ascii="Palatino Linotype" w:hAnsi="Palatino Linotype" w:cs="Arial"/>
          <w:b/>
        </w:rPr>
      </w:pPr>
      <w:r w:rsidRPr="00C84546">
        <w:rPr>
          <w:rFonts w:ascii="Palatino Linotype" w:hAnsi="Palatino Linotype" w:cs="Arial"/>
          <w:b/>
          <w:sz w:val="28"/>
          <w:szCs w:val="28"/>
        </w:rPr>
        <w:t>TERCERO</w:t>
      </w:r>
      <w:r w:rsidRPr="00C84546">
        <w:rPr>
          <w:rFonts w:ascii="Palatino Linotype" w:hAnsi="Palatino Linotype" w:cs="Arial"/>
          <w:b/>
        </w:rPr>
        <w:t>. Oportunidad.</w:t>
      </w:r>
    </w:p>
    <w:p w14:paraId="1F8E0C25" w14:textId="0CE2DBC7" w:rsidR="00DC362D" w:rsidRPr="00C84546" w:rsidRDefault="00EA3177" w:rsidP="00DC362D">
      <w:pPr>
        <w:pStyle w:val="NormalWeb"/>
        <w:spacing w:before="0" w:beforeAutospacing="0" w:after="0" w:afterAutospacing="0" w:line="360" w:lineRule="auto"/>
        <w:ind w:left="-57"/>
        <w:jc w:val="both"/>
      </w:pPr>
      <w:r w:rsidRPr="00C84546">
        <w:rPr>
          <w:rFonts w:ascii="Palatino Linotype" w:hAnsi="Palatino Linotype" w:cs="Arial"/>
          <w:b/>
        </w:rPr>
        <w:lastRenderedPageBreak/>
        <w:t xml:space="preserve"> </w:t>
      </w:r>
      <w:r w:rsidR="00DC362D" w:rsidRPr="00C84546">
        <w:rPr>
          <w:rFonts w:ascii="Palatino Linotype" w:hAnsi="Palatino Linotype"/>
          <w:color w:val="000000"/>
        </w:rPr>
        <w:t>Es de precisar que la Ley de Transparencia y Acceso a la Información Pública del Estado de México y Municipios, describe el mecanismo de procedencia de los recursos de revisión, como se puede apreciar en el siguiente artículo:</w:t>
      </w:r>
    </w:p>
    <w:p w14:paraId="2774A5B5" w14:textId="77777777" w:rsidR="00DC362D" w:rsidRPr="00C84546" w:rsidRDefault="00DC362D" w:rsidP="00DC362D">
      <w:pPr>
        <w:spacing w:line="360" w:lineRule="auto"/>
      </w:pPr>
    </w:p>
    <w:p w14:paraId="4105E86C" w14:textId="77777777" w:rsidR="00DC362D" w:rsidRPr="00C84546" w:rsidRDefault="00DC362D" w:rsidP="00DC362D">
      <w:pPr>
        <w:pStyle w:val="NormalWeb"/>
        <w:spacing w:before="0" w:beforeAutospacing="0" w:after="0" w:afterAutospacing="0"/>
        <w:ind w:left="851" w:right="902"/>
        <w:jc w:val="both"/>
      </w:pPr>
      <w:r w:rsidRPr="00C84546">
        <w:rPr>
          <w:rFonts w:ascii="Palatino Linotype" w:hAnsi="Palatino Linotype"/>
          <w:b/>
          <w:bCs/>
          <w:i/>
          <w:iCs/>
          <w:color w:val="000000"/>
          <w:sz w:val="22"/>
          <w:szCs w:val="22"/>
        </w:rPr>
        <w:t>“Artículo 163.</w:t>
      </w:r>
      <w:r w:rsidRPr="00C84546">
        <w:rPr>
          <w:rFonts w:ascii="Palatino Linotype" w:hAnsi="Palatino Linotype"/>
          <w:i/>
          <w:iCs/>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AB23EA5" w14:textId="77777777" w:rsidR="00DC362D" w:rsidRPr="00C84546" w:rsidRDefault="00DC362D" w:rsidP="00DC362D"/>
    <w:p w14:paraId="4319F763" w14:textId="1421E64E" w:rsidR="00DC362D" w:rsidRPr="00C84546" w:rsidRDefault="00DC362D" w:rsidP="00DC362D">
      <w:pPr>
        <w:pStyle w:val="NormalWeb"/>
        <w:spacing w:before="0" w:beforeAutospacing="0" w:after="0" w:afterAutospacing="0"/>
        <w:ind w:left="851" w:right="902"/>
        <w:jc w:val="both"/>
      </w:pPr>
      <w:r w:rsidRPr="00C84546">
        <w:rPr>
          <w:rFonts w:ascii="Palatino Linotype" w:hAnsi="Palatino Linotype"/>
          <w:i/>
          <w:iCs/>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r w:rsidR="00934ADE" w:rsidRPr="00C84546">
        <w:rPr>
          <w:rFonts w:ascii="Palatino Linotype" w:hAnsi="Palatino Linotype"/>
          <w:i/>
          <w:iCs/>
          <w:color w:val="000000"/>
          <w:sz w:val="22"/>
          <w:szCs w:val="22"/>
        </w:rPr>
        <w:t>(Sic)</w:t>
      </w:r>
    </w:p>
    <w:p w14:paraId="56347AB0" w14:textId="77777777" w:rsidR="00DC362D" w:rsidRPr="00C84546" w:rsidRDefault="00DC362D" w:rsidP="00DC362D"/>
    <w:p w14:paraId="36539717" w14:textId="77777777" w:rsidR="00DC362D" w:rsidRPr="00C84546" w:rsidRDefault="00DC362D" w:rsidP="00DC362D">
      <w:pPr>
        <w:pStyle w:val="NormalWeb"/>
        <w:spacing w:before="0" w:beforeAutospacing="0" w:after="0" w:afterAutospacing="0" w:line="360" w:lineRule="auto"/>
        <w:jc w:val="both"/>
      </w:pPr>
      <w:r w:rsidRPr="00C84546">
        <w:rPr>
          <w:rFonts w:ascii="Palatino Linotype" w:hAnsi="Palatino Linotype"/>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3FD82F70" w14:textId="77777777" w:rsidR="00DC362D" w:rsidRPr="00C84546" w:rsidRDefault="00DC362D" w:rsidP="00DC362D">
      <w:pPr>
        <w:spacing w:line="360" w:lineRule="auto"/>
      </w:pPr>
    </w:p>
    <w:p w14:paraId="63A0AC9C" w14:textId="77777777" w:rsidR="00DC362D" w:rsidRPr="00C84546" w:rsidRDefault="00DC362D" w:rsidP="00DC362D">
      <w:pPr>
        <w:pStyle w:val="NormalWeb"/>
        <w:spacing w:before="0" w:beforeAutospacing="0" w:after="0" w:afterAutospacing="0" w:line="360" w:lineRule="auto"/>
        <w:jc w:val="both"/>
      </w:pPr>
      <w:r w:rsidRPr="00C84546">
        <w:rPr>
          <w:rFonts w:ascii="Palatino Linotype" w:hAnsi="Palatino Linotype"/>
          <w:color w:val="000000"/>
        </w:rPr>
        <w:t xml:space="preserve">Derivado de lo anterior, se constituye la figura jurídica de la </w:t>
      </w:r>
      <w:r w:rsidRPr="00C84546">
        <w:rPr>
          <w:rFonts w:ascii="Palatino Linotype" w:hAnsi="Palatino Linotype"/>
          <w:b/>
          <w:bCs/>
          <w:color w:val="000000"/>
        </w:rPr>
        <w:t>NEGATIVA FICTA</w:t>
      </w:r>
      <w:r w:rsidRPr="00C84546">
        <w:rPr>
          <w:rFonts w:ascii="Palatino Linotype" w:hAnsi="Palatino Linotype"/>
          <w:color w:val="000000"/>
        </w:rPr>
        <w:t>, cuya esencia consiste en atribuir un efecto negativo al silencio de la autoridad administrativa frente a las instancias y solicitudes que hagan los particulares.</w:t>
      </w:r>
    </w:p>
    <w:p w14:paraId="260ABD1B" w14:textId="77777777" w:rsidR="00DC362D" w:rsidRPr="00C84546" w:rsidRDefault="00DC362D" w:rsidP="00DC362D">
      <w:pPr>
        <w:spacing w:line="360" w:lineRule="auto"/>
      </w:pPr>
    </w:p>
    <w:p w14:paraId="050585E3" w14:textId="77777777" w:rsidR="00DC362D" w:rsidRPr="00C84546" w:rsidRDefault="00DC362D" w:rsidP="00DC362D">
      <w:pPr>
        <w:pStyle w:val="NormalWeb"/>
        <w:spacing w:before="0" w:beforeAutospacing="0" w:after="0" w:afterAutospacing="0" w:line="360" w:lineRule="auto"/>
        <w:jc w:val="both"/>
      </w:pPr>
      <w:r w:rsidRPr="00C84546">
        <w:rPr>
          <w:rFonts w:ascii="Palatino Linotype" w:hAnsi="Palatino Linotype"/>
          <w:color w:val="000000"/>
        </w:rPr>
        <w:t>Por su parte, el artículo 178 de la Ley de Transparencia y Acceso a la Información Pública del Estado de México y Municipios, establece:</w:t>
      </w:r>
    </w:p>
    <w:p w14:paraId="3FEDF71C" w14:textId="77777777" w:rsidR="00DC362D" w:rsidRPr="00C84546" w:rsidRDefault="00DC362D" w:rsidP="00DC362D"/>
    <w:p w14:paraId="272DB601" w14:textId="77777777" w:rsidR="00DC362D" w:rsidRPr="00C84546" w:rsidRDefault="00DC362D" w:rsidP="00DC362D">
      <w:pPr>
        <w:pStyle w:val="NormalWeb"/>
        <w:spacing w:before="0" w:beforeAutospacing="0" w:after="0" w:afterAutospacing="0"/>
        <w:ind w:left="851" w:right="901"/>
        <w:jc w:val="both"/>
      </w:pPr>
      <w:r w:rsidRPr="00C84546">
        <w:rPr>
          <w:rFonts w:ascii="Palatino Linotype" w:hAnsi="Palatino Linotype"/>
          <w:b/>
          <w:bCs/>
          <w:i/>
          <w:iCs/>
          <w:color w:val="000000"/>
          <w:sz w:val="22"/>
          <w:szCs w:val="22"/>
        </w:rPr>
        <w:t xml:space="preserve">“Artículo 178. </w:t>
      </w:r>
      <w:r w:rsidRPr="00C84546">
        <w:rPr>
          <w:rFonts w:ascii="Palatino Linotype" w:hAnsi="Palatino Linotype"/>
          <w:i/>
          <w:iCs/>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FAC0D1F" w14:textId="77777777" w:rsidR="00DC362D" w:rsidRPr="00C84546" w:rsidRDefault="00DC362D" w:rsidP="00DC362D"/>
    <w:p w14:paraId="2680200D" w14:textId="77777777" w:rsidR="00DC362D" w:rsidRPr="00C84546" w:rsidRDefault="00DC362D" w:rsidP="00DC362D">
      <w:pPr>
        <w:pStyle w:val="NormalWeb"/>
        <w:spacing w:before="0" w:beforeAutospacing="0" w:after="0" w:afterAutospacing="0"/>
        <w:ind w:left="851" w:right="901"/>
        <w:jc w:val="both"/>
      </w:pPr>
      <w:r w:rsidRPr="00C84546">
        <w:rPr>
          <w:rFonts w:ascii="Palatino Linotype" w:hAnsi="Palatino Linotype"/>
          <w:b/>
          <w:bCs/>
          <w:i/>
          <w:iCs/>
          <w:color w:val="000000"/>
          <w:sz w:val="22"/>
          <w:szCs w:val="22"/>
          <w:u w:val="single"/>
        </w:rPr>
        <w:t>A falta de respuesta del sujeto obligado, dentro de los plazos establecidos en esta Ley, a una solicitud de acceso a la información pública, el recurso podrá ser interpuesto en cualquier momento</w:t>
      </w:r>
      <w:r w:rsidRPr="00C84546">
        <w:rPr>
          <w:rFonts w:ascii="Palatino Linotype" w:hAnsi="Palatino Linotype"/>
          <w:i/>
          <w:iCs/>
          <w:color w:val="000000"/>
          <w:sz w:val="22"/>
          <w:szCs w:val="22"/>
        </w:rPr>
        <w:t>, acompañado con el documento que pruebe la fecha en que presentó la solicitud.</w:t>
      </w:r>
    </w:p>
    <w:p w14:paraId="1C5A58A2" w14:textId="77777777" w:rsidR="00DC362D" w:rsidRPr="00C84546" w:rsidRDefault="00DC362D" w:rsidP="00DC362D"/>
    <w:p w14:paraId="51070462" w14:textId="6A28CC9C" w:rsidR="00DC362D" w:rsidRPr="00C84546" w:rsidRDefault="00DC362D" w:rsidP="00DC362D">
      <w:pPr>
        <w:pStyle w:val="NormalWeb"/>
        <w:spacing w:before="0" w:beforeAutospacing="0" w:after="0" w:afterAutospacing="0"/>
        <w:ind w:left="851" w:right="901"/>
        <w:jc w:val="both"/>
      </w:pPr>
      <w:r w:rsidRPr="00C84546">
        <w:rPr>
          <w:rFonts w:ascii="Palatino Linotype" w:hAnsi="Palatino Linotype"/>
          <w:i/>
          <w:iCs/>
          <w:color w:val="000000"/>
          <w:sz w:val="22"/>
          <w:szCs w:val="22"/>
        </w:rPr>
        <w:t>En el caso de que se interponga ante la Unidad de Transparencia, ésta deberá remitir el recurso de revisión al Instituto a más tardar al día siguiente de haberlo recibido.”</w:t>
      </w:r>
      <w:r w:rsidR="00934ADE" w:rsidRPr="00C84546">
        <w:rPr>
          <w:rFonts w:ascii="Palatino Linotype" w:hAnsi="Palatino Linotype"/>
          <w:i/>
          <w:iCs/>
          <w:color w:val="000000"/>
          <w:sz w:val="22"/>
          <w:szCs w:val="22"/>
        </w:rPr>
        <w:t>(Sic)</w:t>
      </w:r>
    </w:p>
    <w:p w14:paraId="15401306" w14:textId="77777777" w:rsidR="00DC362D" w:rsidRPr="00C84546" w:rsidRDefault="00DC362D" w:rsidP="00DC362D">
      <w:pPr>
        <w:pStyle w:val="NormalWeb"/>
        <w:spacing w:before="0" w:beforeAutospacing="0" w:after="0" w:afterAutospacing="0"/>
        <w:ind w:left="851" w:right="901"/>
        <w:jc w:val="both"/>
      </w:pPr>
      <w:r w:rsidRPr="00C84546">
        <w:rPr>
          <w:rFonts w:ascii="Palatino Linotype" w:hAnsi="Palatino Linotype"/>
          <w:i/>
          <w:iCs/>
          <w:color w:val="000000"/>
          <w:sz w:val="22"/>
          <w:szCs w:val="22"/>
        </w:rPr>
        <w:t>(Énfasis añadido) </w:t>
      </w:r>
    </w:p>
    <w:p w14:paraId="5626847A" w14:textId="77777777" w:rsidR="00DC362D" w:rsidRPr="00C84546" w:rsidRDefault="00DC362D" w:rsidP="00DC362D"/>
    <w:p w14:paraId="4CC16ABC" w14:textId="20F35A9E" w:rsidR="0032378D" w:rsidRPr="00C84546" w:rsidRDefault="00DC362D" w:rsidP="00DC362D">
      <w:pPr>
        <w:pStyle w:val="NormalWeb"/>
        <w:spacing w:before="0" w:beforeAutospacing="0" w:after="0" w:afterAutospacing="0" w:line="360" w:lineRule="auto"/>
        <w:jc w:val="both"/>
        <w:rPr>
          <w:rFonts w:ascii="Palatino Linotype" w:hAnsi="Palatino Linotype"/>
          <w:color w:val="000000"/>
        </w:rPr>
      </w:pPr>
      <w:r w:rsidRPr="00C84546">
        <w:rPr>
          <w:rFonts w:ascii="Palatino Linotype" w:hAnsi="Palatino Linotype"/>
          <w:color w:val="000000"/>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C84546">
        <w:rPr>
          <w:rFonts w:ascii="Palatino Linotype" w:hAnsi="Palatino Linotype"/>
          <w:b/>
          <w:bCs/>
          <w:color w:val="000000"/>
        </w:rPr>
        <w:t>SUJETO OBLIGADO</w:t>
      </w:r>
      <w:r w:rsidRPr="00C84546">
        <w:rPr>
          <w:rFonts w:ascii="Palatino Linotype" w:hAnsi="Palatino Linotype"/>
          <w:color w:val="000000"/>
        </w:rPr>
        <w:t xml:space="preserve">; sin embargo, tratándose de </w:t>
      </w:r>
      <w:r w:rsidR="00A55ACE" w:rsidRPr="00C84546">
        <w:rPr>
          <w:rFonts w:ascii="Palatino Linotype" w:hAnsi="Palatino Linotype"/>
          <w:color w:val="000000"/>
        </w:rPr>
        <w:t xml:space="preserve">la </w:t>
      </w:r>
      <w:r w:rsidRPr="00C84546">
        <w:rPr>
          <w:rFonts w:ascii="Palatino Linotype" w:hAnsi="Palatino Linotype"/>
          <w:color w:val="000000"/>
        </w:rPr>
        <w:t>negativa ficta no existe resolución que se haga del conocimiento del particular a partir de la cual pueda computarse dicho término, por tal motivo es pertinente establecer</w:t>
      </w:r>
      <w:r w:rsidR="00A55ACE" w:rsidRPr="00C84546">
        <w:rPr>
          <w:rFonts w:ascii="Palatino Linotype" w:hAnsi="Palatino Linotype"/>
          <w:color w:val="000000"/>
        </w:rPr>
        <w:t xml:space="preserve"> que</w:t>
      </w:r>
      <w:r w:rsidRPr="00C84546">
        <w:rPr>
          <w:rFonts w:ascii="Palatino Linotype" w:hAnsi="Palatino Linotype"/>
          <w:color w:val="000000"/>
        </w:rPr>
        <w:t xml:space="preserve"> </w:t>
      </w:r>
      <w:r w:rsidRPr="00C84546">
        <w:rPr>
          <w:rFonts w:ascii="Palatino Linotype" w:hAnsi="Palatino Linotype"/>
          <w:b/>
          <w:bCs/>
          <w:color w:val="000000"/>
        </w:rPr>
        <w:t xml:space="preserve">EL RECURRENTE </w:t>
      </w:r>
      <w:r w:rsidRPr="00C84546">
        <w:rPr>
          <w:rFonts w:ascii="Palatino Linotype" w:hAnsi="Palatino Linotype"/>
          <w:color w:val="000000"/>
        </w:rPr>
        <w:t>está en la total libertad de presentar su medio de im</w:t>
      </w:r>
      <w:r w:rsidR="00934ADE" w:rsidRPr="00C84546">
        <w:rPr>
          <w:rFonts w:ascii="Palatino Linotype" w:hAnsi="Palatino Linotype"/>
          <w:color w:val="000000"/>
        </w:rPr>
        <w:t xml:space="preserve">pugnación en cualquier momento, pasado el plazo de quince días concedido al </w:t>
      </w:r>
      <w:r w:rsidR="00934ADE" w:rsidRPr="00C84546">
        <w:rPr>
          <w:rFonts w:ascii="Palatino Linotype" w:hAnsi="Palatino Linotype"/>
          <w:b/>
          <w:color w:val="000000"/>
        </w:rPr>
        <w:t>SUJETO OBLIGADO</w:t>
      </w:r>
      <w:r w:rsidR="00934ADE" w:rsidRPr="00C84546">
        <w:rPr>
          <w:rFonts w:ascii="Palatino Linotype" w:hAnsi="Palatino Linotype"/>
          <w:color w:val="000000"/>
        </w:rPr>
        <w:t xml:space="preserve"> para emitir un pronunciamiento sobre la solicitud. </w:t>
      </w:r>
    </w:p>
    <w:p w14:paraId="10019C76" w14:textId="77777777" w:rsidR="00DC362D" w:rsidRPr="00C84546" w:rsidRDefault="00DC362D" w:rsidP="00DC362D">
      <w:pPr>
        <w:pStyle w:val="NormalWeb"/>
        <w:spacing w:before="0" w:beforeAutospacing="0" w:after="0" w:afterAutospacing="0" w:line="360" w:lineRule="auto"/>
        <w:jc w:val="both"/>
      </w:pPr>
    </w:p>
    <w:p w14:paraId="7616179D" w14:textId="77777777" w:rsidR="00DC362D" w:rsidRPr="00C84546" w:rsidRDefault="00B472A6" w:rsidP="00C9153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C84546">
        <w:rPr>
          <w:rFonts w:ascii="Palatino Linotype" w:hAnsi="Palatino Linotype" w:cs="Arial"/>
          <w:b/>
          <w:sz w:val="28"/>
          <w:szCs w:val="28"/>
        </w:rPr>
        <w:t>CUARTO</w:t>
      </w:r>
      <w:r w:rsidRPr="00C84546">
        <w:rPr>
          <w:rFonts w:ascii="Palatino Linotype" w:hAnsi="Palatino Linotype" w:cs="Arial"/>
        </w:rPr>
        <w:t xml:space="preserve">. </w:t>
      </w:r>
      <w:proofErr w:type="spellStart"/>
      <w:r w:rsidRPr="00C84546">
        <w:rPr>
          <w:rFonts w:ascii="Palatino Linotype" w:hAnsi="Palatino Linotype" w:cs="Arial"/>
          <w:b/>
        </w:rPr>
        <w:t>Procedibilidad</w:t>
      </w:r>
      <w:proofErr w:type="spellEnd"/>
      <w:r w:rsidRPr="00C84546">
        <w:rPr>
          <w:rFonts w:ascii="Palatino Linotype" w:hAnsi="Palatino Linotype" w:cs="Arial"/>
        </w:rPr>
        <w:t xml:space="preserve">. </w:t>
      </w:r>
    </w:p>
    <w:p w14:paraId="6DFC57A4" w14:textId="10B7F88B" w:rsidR="00DC362D" w:rsidRPr="00C84546" w:rsidRDefault="00DC362D" w:rsidP="00DC362D">
      <w:pPr>
        <w:pStyle w:val="NormalWeb"/>
        <w:spacing w:before="240" w:beforeAutospacing="0" w:after="280" w:afterAutospacing="0" w:line="360" w:lineRule="auto"/>
        <w:jc w:val="both"/>
      </w:pPr>
      <w:r w:rsidRPr="00C84546">
        <w:rPr>
          <w:rFonts w:ascii="Palatino Linotype" w:hAnsi="Palatino Linotype"/>
          <w:color w:val="000000"/>
        </w:rPr>
        <w:t xml:space="preserve">Del análisis efectuado, se advierte que resulta procedente la interposición del recurso de revisión y se concluye la acreditación plena de todos y cada uno de los </w:t>
      </w:r>
      <w:r w:rsidRPr="00C84546">
        <w:rPr>
          <w:rFonts w:ascii="Palatino Linotype" w:hAnsi="Palatino Linotype"/>
          <w:color w:val="000000"/>
        </w:rPr>
        <w:lastRenderedPageBreak/>
        <w:t>elementos formales exigidos por el artículo 180 de la Ley de Transparencia y Acceso a la Información Pública del Estado de México</w:t>
      </w:r>
      <w:r w:rsidR="00A55ACE" w:rsidRPr="00C84546">
        <w:rPr>
          <w:rFonts w:ascii="Palatino Linotype" w:hAnsi="Palatino Linotype"/>
          <w:color w:val="000000"/>
        </w:rPr>
        <w:t xml:space="preserve"> y</w:t>
      </w:r>
      <w:r w:rsidRPr="00C84546">
        <w:rPr>
          <w:rFonts w:ascii="Palatino Linotype" w:hAnsi="Palatino Linotype"/>
          <w:color w:val="000000"/>
        </w:rPr>
        <w:t xml:space="preserve"> municipios, en atención a que fue presentado mediante el formato visible en el </w:t>
      </w:r>
      <w:r w:rsidRPr="00C84546">
        <w:rPr>
          <w:rFonts w:ascii="Palatino Linotype" w:hAnsi="Palatino Linotype"/>
          <w:b/>
          <w:color w:val="000000"/>
        </w:rPr>
        <w:t>SAIMEX.</w:t>
      </w:r>
      <w:r w:rsidRPr="00C84546">
        <w:rPr>
          <w:rFonts w:ascii="Palatino Linotype" w:hAnsi="Palatino Linotype"/>
          <w:color w:val="000000"/>
        </w:rPr>
        <w:t> </w:t>
      </w:r>
    </w:p>
    <w:p w14:paraId="2DBF4BED" w14:textId="77777777" w:rsidR="00DC362D" w:rsidRPr="00C84546" w:rsidRDefault="00247F83" w:rsidP="005E2C8F">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C84546">
        <w:rPr>
          <w:rFonts w:ascii="Palatino Linotype" w:hAnsi="Palatino Linotype" w:cs="Arial"/>
          <w:b/>
          <w:sz w:val="28"/>
          <w:szCs w:val="28"/>
        </w:rPr>
        <w:t>QUINTO.</w:t>
      </w:r>
      <w:r w:rsidR="00E5700A" w:rsidRPr="00C84546">
        <w:rPr>
          <w:rFonts w:ascii="Palatino Linotype" w:hAnsi="Palatino Linotype" w:cs="Arial"/>
          <w:b/>
        </w:rPr>
        <w:t xml:space="preserve"> Análisis de la causal de sobreseimiento</w:t>
      </w:r>
      <w:r w:rsidRPr="00C84546">
        <w:rPr>
          <w:rFonts w:ascii="Palatino Linotype" w:hAnsi="Palatino Linotype"/>
          <w:b/>
        </w:rPr>
        <w:t>.</w:t>
      </w:r>
      <w:r w:rsidR="008A0022" w:rsidRPr="00C84546">
        <w:rPr>
          <w:rFonts w:ascii="Palatino Linotype" w:hAnsi="Palatino Linotype" w:cs="Arial"/>
          <w:lang w:val="es-ES" w:eastAsia="es-MX"/>
        </w:rPr>
        <w:t xml:space="preserve"> </w:t>
      </w:r>
    </w:p>
    <w:p w14:paraId="4C4A5267" w14:textId="5E796789" w:rsidR="00D06096" w:rsidRPr="00C84546" w:rsidRDefault="007B10F1" w:rsidP="005E2C8F">
      <w:pPr>
        <w:tabs>
          <w:tab w:val="left" w:pos="2422"/>
        </w:tabs>
        <w:autoSpaceDE w:val="0"/>
        <w:autoSpaceDN w:val="0"/>
        <w:adjustRightInd w:val="0"/>
        <w:spacing w:before="100" w:beforeAutospacing="1" w:after="100" w:afterAutospacing="1" w:line="360" w:lineRule="auto"/>
        <w:ind w:right="49"/>
        <w:jc w:val="both"/>
        <w:rPr>
          <w:rFonts w:ascii="Palatino Linotype" w:eastAsiaTheme="minorEastAsia" w:hAnsi="Palatino Linotype" w:cs="Arial"/>
          <w:lang w:val="es-ES_tradnl"/>
        </w:rPr>
      </w:pPr>
      <w:r w:rsidRPr="00C84546">
        <w:rPr>
          <w:rFonts w:ascii="Palatino Linotype" w:hAnsi="Palatino Linotype" w:cs="Arial"/>
          <w:color w:val="000000" w:themeColor="text1"/>
        </w:rPr>
        <w:t xml:space="preserve">Una vez determinada la vía sobre la que versará el </w:t>
      </w:r>
      <w:r w:rsidRPr="00C84546">
        <w:rPr>
          <w:rFonts w:ascii="Palatino Linotype" w:hAnsi="Palatino Linotype" w:cs="Arial"/>
        </w:rPr>
        <w:t>presente</w:t>
      </w:r>
      <w:r w:rsidRPr="00C84546">
        <w:rPr>
          <w:rFonts w:ascii="Palatino Linotype" w:hAnsi="Palatino Linotype" w:cs="Arial"/>
          <w:color w:val="000000" w:themeColor="text1"/>
        </w:rPr>
        <w:t xml:space="preserve"> recurso y previa revisión del expediente electrónico, se advierte que </w:t>
      </w:r>
      <w:r w:rsidR="00C9153D" w:rsidRPr="00C84546">
        <w:rPr>
          <w:rFonts w:ascii="Palatino Linotype" w:hAnsi="Palatino Linotype"/>
          <w:b/>
          <w:color w:val="000000"/>
        </w:rPr>
        <w:t>EL</w:t>
      </w:r>
      <w:r w:rsidR="002D322E" w:rsidRPr="00C84546">
        <w:rPr>
          <w:rFonts w:ascii="Palatino Linotype" w:hAnsi="Palatino Linotype"/>
          <w:b/>
          <w:color w:val="000000"/>
        </w:rPr>
        <w:t xml:space="preserve"> RECURENTE </w:t>
      </w:r>
      <w:r w:rsidR="00A55ACE" w:rsidRPr="00C84546">
        <w:rPr>
          <w:rFonts w:ascii="Palatino Linotype" w:eastAsiaTheme="minorEastAsia" w:hAnsi="Palatino Linotype" w:cs="Arial"/>
          <w:lang w:val="es-ES_tradnl"/>
        </w:rPr>
        <w:t>solicitó</w:t>
      </w:r>
      <w:r w:rsidR="000E67D4" w:rsidRPr="00C84546">
        <w:rPr>
          <w:rFonts w:ascii="Palatino Linotype" w:eastAsiaTheme="minorEastAsia" w:hAnsi="Palatino Linotype" w:cs="Arial"/>
          <w:lang w:val="es-ES_tradnl"/>
        </w:rPr>
        <w:t xml:space="preserve"> lo siguiente: </w:t>
      </w:r>
    </w:p>
    <w:p w14:paraId="34EFDB89" w14:textId="1401221D" w:rsidR="000E67D4" w:rsidRPr="00C84546" w:rsidRDefault="000E67D4" w:rsidP="000E67D4">
      <w:pPr>
        <w:widowControl w:val="0"/>
        <w:tabs>
          <w:tab w:val="left" w:pos="1701"/>
          <w:tab w:val="left" w:pos="1843"/>
        </w:tabs>
        <w:autoSpaceDE w:val="0"/>
        <w:autoSpaceDN w:val="0"/>
        <w:adjustRightInd w:val="0"/>
        <w:ind w:left="851" w:right="618"/>
        <w:jc w:val="both"/>
        <w:rPr>
          <w:rFonts w:ascii="Palatino Linotype" w:eastAsiaTheme="minorEastAsia" w:hAnsi="Palatino Linotype" w:cs="Arial"/>
          <w:i/>
          <w:sz w:val="22"/>
          <w:lang w:val="es-ES_tradnl"/>
        </w:rPr>
      </w:pPr>
      <w:r w:rsidRPr="00C84546">
        <w:rPr>
          <w:rFonts w:ascii="Palatino Linotype" w:eastAsiaTheme="minorEastAsia" w:hAnsi="Palatino Linotype" w:cs="Arial"/>
          <w:i/>
          <w:sz w:val="22"/>
          <w:lang w:val="es-ES_tradnl"/>
        </w:rPr>
        <w:t>“</w:t>
      </w:r>
      <w:r w:rsidR="004B0EDC" w:rsidRPr="00C84546">
        <w:rPr>
          <w:rFonts w:ascii="Palatino Linotype" w:eastAsiaTheme="minorEastAsia" w:hAnsi="Palatino Linotype" w:cs="Arial"/>
          <w:i/>
          <w:sz w:val="22"/>
          <w:lang w:val="es-ES_tradnl"/>
        </w:rPr>
        <w:t>Solicito me informen cuánto se le debe a cada proveedor del Ayuntamiento</w:t>
      </w:r>
      <w:r w:rsidRPr="00C84546">
        <w:rPr>
          <w:rFonts w:ascii="Palatino Linotype" w:eastAsiaTheme="minorEastAsia" w:hAnsi="Palatino Linotype" w:cs="Arial"/>
          <w:i/>
          <w:sz w:val="22"/>
          <w:lang w:val="es-ES_tradnl"/>
        </w:rPr>
        <w:t>.”(Sic)</w:t>
      </w:r>
    </w:p>
    <w:p w14:paraId="5981C18A" w14:textId="77777777" w:rsidR="000E67D4" w:rsidRPr="00C84546" w:rsidRDefault="000E67D4" w:rsidP="000E67D4">
      <w:pPr>
        <w:widowControl w:val="0"/>
        <w:tabs>
          <w:tab w:val="left" w:pos="1701"/>
          <w:tab w:val="left" w:pos="1843"/>
        </w:tabs>
        <w:autoSpaceDE w:val="0"/>
        <w:autoSpaceDN w:val="0"/>
        <w:adjustRightInd w:val="0"/>
        <w:spacing w:line="360" w:lineRule="auto"/>
        <w:ind w:right="-518"/>
        <w:jc w:val="both"/>
        <w:rPr>
          <w:rFonts w:ascii="Palatino Linotype" w:eastAsiaTheme="minorEastAsia" w:hAnsi="Palatino Linotype" w:cs="Arial"/>
          <w:lang w:val="es-ES_tradnl"/>
        </w:rPr>
      </w:pPr>
    </w:p>
    <w:p w14:paraId="61F2AA5A" w14:textId="17CF9BD3" w:rsidR="00C9153D" w:rsidRPr="00C84546" w:rsidRDefault="00DC362D" w:rsidP="00C9153D">
      <w:pPr>
        <w:pStyle w:val="NormalWeb"/>
        <w:spacing w:before="0" w:beforeAutospacing="0" w:after="0" w:afterAutospacing="0" w:line="360" w:lineRule="auto"/>
        <w:jc w:val="both"/>
        <w:rPr>
          <w:rFonts w:ascii="Palatino Linotype" w:hAnsi="Palatino Linotype"/>
          <w:color w:val="000000"/>
        </w:rPr>
      </w:pPr>
      <w:r w:rsidRPr="00C84546">
        <w:rPr>
          <w:rFonts w:ascii="Palatino Linotype" w:hAnsi="Palatino Linotype"/>
          <w:color w:val="000000"/>
        </w:rPr>
        <w:t>Por su parte</w:t>
      </w:r>
      <w:r w:rsidR="00C9153D" w:rsidRPr="00C84546">
        <w:rPr>
          <w:rFonts w:ascii="Palatino Linotype" w:hAnsi="Palatino Linotype"/>
          <w:color w:val="000000"/>
        </w:rPr>
        <w:t xml:space="preserve">, </w:t>
      </w:r>
      <w:r w:rsidR="00C9153D" w:rsidRPr="00C84546">
        <w:rPr>
          <w:rFonts w:ascii="Palatino Linotype" w:hAnsi="Palatino Linotype"/>
          <w:b/>
          <w:bCs/>
          <w:color w:val="000000"/>
        </w:rPr>
        <w:t>EL SUJETO OBLIGADO</w:t>
      </w:r>
      <w:r w:rsidR="00C9153D" w:rsidRPr="00C84546">
        <w:rPr>
          <w:rFonts w:ascii="Palatino Linotype" w:hAnsi="Palatino Linotype"/>
          <w:color w:val="000000"/>
        </w:rPr>
        <w:t xml:space="preserve"> </w:t>
      </w:r>
      <w:r w:rsidRPr="00C84546">
        <w:rPr>
          <w:rFonts w:ascii="Palatino Linotype" w:hAnsi="Palatino Linotype"/>
          <w:color w:val="000000"/>
        </w:rPr>
        <w:t xml:space="preserve">fue omiso en dar contestación a dicha solicitud, motivo por el cual, </w:t>
      </w:r>
      <w:r w:rsidR="00C9153D" w:rsidRPr="00C84546">
        <w:rPr>
          <w:rFonts w:ascii="Palatino Linotype" w:hAnsi="Palatino Linotype"/>
          <w:b/>
          <w:color w:val="000000"/>
        </w:rPr>
        <w:t xml:space="preserve">EL RECURRENTE </w:t>
      </w:r>
      <w:r w:rsidR="00934ADE" w:rsidRPr="00C84546">
        <w:rPr>
          <w:rFonts w:ascii="Palatino Linotype" w:hAnsi="Palatino Linotype"/>
          <w:color w:val="000000"/>
        </w:rPr>
        <w:t>se inconformó</w:t>
      </w:r>
      <w:r w:rsidRPr="00C84546">
        <w:rPr>
          <w:rFonts w:ascii="Palatino Linotype" w:hAnsi="Palatino Linotype"/>
          <w:color w:val="000000"/>
        </w:rPr>
        <w:t xml:space="preserve"> </w:t>
      </w:r>
      <w:r w:rsidR="00C9153D" w:rsidRPr="00C84546">
        <w:rPr>
          <w:rFonts w:ascii="Palatino Linotype" w:hAnsi="Palatino Linotype"/>
          <w:color w:val="000000"/>
        </w:rPr>
        <w:t xml:space="preserve">manifestando lo siguiente: </w:t>
      </w:r>
    </w:p>
    <w:p w14:paraId="3F97F294" w14:textId="40DD5C29" w:rsidR="00C9153D" w:rsidRPr="00C84546" w:rsidRDefault="00C9153D" w:rsidP="00C9153D">
      <w:pPr>
        <w:widowControl w:val="0"/>
        <w:tabs>
          <w:tab w:val="left" w:pos="1701"/>
          <w:tab w:val="left" w:pos="1843"/>
        </w:tabs>
        <w:autoSpaceDE w:val="0"/>
        <w:autoSpaceDN w:val="0"/>
        <w:adjustRightInd w:val="0"/>
        <w:ind w:left="851" w:right="618"/>
        <w:jc w:val="both"/>
        <w:rPr>
          <w:rFonts w:ascii="Palatino Linotype" w:eastAsiaTheme="minorEastAsia" w:hAnsi="Palatino Linotype" w:cs="Arial"/>
          <w:i/>
          <w:sz w:val="22"/>
          <w:lang w:val="es-ES_tradnl"/>
        </w:rPr>
      </w:pPr>
      <w:r w:rsidRPr="00C84546">
        <w:rPr>
          <w:rFonts w:ascii="Palatino Linotype" w:eastAsiaTheme="minorEastAsia" w:hAnsi="Palatino Linotype" w:cs="Arial"/>
          <w:i/>
          <w:sz w:val="22"/>
          <w:lang w:val="es-ES_tradnl"/>
        </w:rPr>
        <w:t>“</w:t>
      </w:r>
      <w:r w:rsidR="00DC362D" w:rsidRPr="00C84546">
        <w:rPr>
          <w:rFonts w:ascii="Palatino Linotype" w:eastAsiaTheme="minorEastAsia" w:hAnsi="Palatino Linotype" w:cs="Arial"/>
          <w:i/>
          <w:sz w:val="22"/>
          <w:lang w:val="es-ES_tradnl"/>
        </w:rPr>
        <w:t>El sujeto obligado no me entregó la información solicitada y ya se venció el término para el efecto. Lo que pedí se encuentra en su BALANZA DE COMPROBACION DETALLADA actualizada al mes de septiembre de 2021</w:t>
      </w:r>
      <w:r w:rsidRPr="00C84546">
        <w:rPr>
          <w:rFonts w:ascii="Palatino Linotype" w:eastAsiaTheme="minorEastAsia" w:hAnsi="Palatino Linotype" w:cs="Arial"/>
          <w:i/>
          <w:sz w:val="22"/>
          <w:lang w:val="es-ES_tradnl"/>
        </w:rPr>
        <w:t>.”(Sic)</w:t>
      </w:r>
    </w:p>
    <w:p w14:paraId="022288A3" w14:textId="77777777" w:rsidR="00C9153D" w:rsidRPr="00C84546" w:rsidRDefault="00C9153D" w:rsidP="00C9153D">
      <w:pPr>
        <w:pStyle w:val="NormalWeb"/>
        <w:spacing w:before="0" w:beforeAutospacing="0" w:after="0" w:afterAutospacing="0" w:line="360" w:lineRule="auto"/>
        <w:jc w:val="both"/>
      </w:pPr>
    </w:p>
    <w:p w14:paraId="4E4CEFFC" w14:textId="11AB527C" w:rsidR="00DC362D" w:rsidRPr="00C84546" w:rsidRDefault="00DC362D" w:rsidP="00C9153D">
      <w:pPr>
        <w:pStyle w:val="NormalWeb"/>
        <w:spacing w:before="0" w:beforeAutospacing="0" w:after="0" w:afterAutospacing="0" w:line="360" w:lineRule="auto"/>
        <w:jc w:val="both"/>
        <w:rPr>
          <w:rFonts w:ascii="Palatino Linotype" w:hAnsi="Palatino Linotype"/>
          <w:color w:val="000000"/>
        </w:rPr>
      </w:pPr>
      <w:r w:rsidRPr="00C84546">
        <w:rPr>
          <w:rFonts w:ascii="Palatino Linotype" w:hAnsi="Palatino Linotype"/>
          <w:color w:val="000000"/>
        </w:rPr>
        <w:t>Una vez adm</w:t>
      </w:r>
      <w:r w:rsidR="00934ADE" w:rsidRPr="00C84546">
        <w:rPr>
          <w:rFonts w:ascii="Palatino Linotype" w:hAnsi="Palatino Linotype"/>
          <w:color w:val="000000"/>
        </w:rPr>
        <w:t>itido el presente recurso de rev</w:t>
      </w:r>
      <w:r w:rsidRPr="00C84546">
        <w:rPr>
          <w:rFonts w:ascii="Palatino Linotype" w:hAnsi="Palatino Linotype"/>
          <w:color w:val="000000"/>
        </w:rPr>
        <w:t xml:space="preserve">isión, y en el momento procesal oportuno </w:t>
      </w:r>
      <w:r w:rsidRPr="00C84546">
        <w:rPr>
          <w:rFonts w:ascii="Palatino Linotype" w:hAnsi="Palatino Linotype"/>
          <w:b/>
          <w:color w:val="000000"/>
        </w:rPr>
        <w:t>EL SUJETO OBLIGADO</w:t>
      </w:r>
      <w:r w:rsidRPr="00C84546">
        <w:rPr>
          <w:rFonts w:ascii="Palatino Linotype" w:hAnsi="Palatino Linotype"/>
          <w:color w:val="000000"/>
        </w:rPr>
        <w:t xml:space="preserve"> rindi</w:t>
      </w:r>
      <w:r w:rsidR="00934ADE" w:rsidRPr="00C84546">
        <w:rPr>
          <w:rFonts w:ascii="Palatino Linotype" w:hAnsi="Palatino Linotype"/>
          <w:color w:val="000000"/>
        </w:rPr>
        <w:t>ó el Informe J</w:t>
      </w:r>
      <w:r w:rsidRPr="00C84546">
        <w:rPr>
          <w:rFonts w:ascii="Palatino Linotype" w:hAnsi="Palatino Linotype"/>
          <w:color w:val="000000"/>
        </w:rPr>
        <w:t xml:space="preserve">ustificado </w:t>
      </w:r>
      <w:r w:rsidR="00934ADE" w:rsidRPr="00C84546">
        <w:rPr>
          <w:rFonts w:ascii="Palatino Linotype" w:hAnsi="Palatino Linotype"/>
          <w:color w:val="000000"/>
        </w:rPr>
        <w:t xml:space="preserve">correspondiente, </w:t>
      </w:r>
      <w:r w:rsidRPr="00C84546">
        <w:rPr>
          <w:rFonts w:ascii="Palatino Linotype" w:hAnsi="Palatino Linotype"/>
          <w:color w:val="000000"/>
        </w:rPr>
        <w:t>mediante el cual manifiesta no tener adeudos de proveedores a la fecha del veintidós de septiembre de  dos mil veintiuno.</w:t>
      </w:r>
      <w:r w:rsidR="00A55ACE" w:rsidRPr="00C84546">
        <w:rPr>
          <w:rStyle w:val="Refdenotaalpie"/>
          <w:rFonts w:ascii="Palatino Linotype" w:hAnsi="Palatino Linotype"/>
          <w:color w:val="000000"/>
        </w:rPr>
        <w:footnoteReference w:id="1"/>
      </w:r>
      <w:r w:rsidRPr="00C84546">
        <w:rPr>
          <w:rFonts w:ascii="Palatino Linotype" w:hAnsi="Palatino Linotype"/>
          <w:color w:val="000000"/>
        </w:rPr>
        <w:t xml:space="preserve"> </w:t>
      </w:r>
    </w:p>
    <w:p w14:paraId="789F854A" w14:textId="77777777" w:rsidR="00DC362D" w:rsidRPr="00C84546" w:rsidRDefault="00DC362D" w:rsidP="00C9153D">
      <w:pPr>
        <w:pStyle w:val="NormalWeb"/>
        <w:spacing w:before="0" w:beforeAutospacing="0" w:after="0" w:afterAutospacing="0" w:line="360" w:lineRule="auto"/>
        <w:jc w:val="both"/>
        <w:rPr>
          <w:rFonts w:ascii="Palatino Linotype" w:hAnsi="Palatino Linotype"/>
          <w:color w:val="000000"/>
        </w:rPr>
      </w:pPr>
    </w:p>
    <w:p w14:paraId="31C96297" w14:textId="253F8DF3" w:rsidR="00C9153D" w:rsidRPr="00C84546" w:rsidRDefault="00E520D0" w:rsidP="00BE555C">
      <w:pPr>
        <w:pStyle w:val="NormalWeb"/>
        <w:spacing w:before="0" w:beforeAutospacing="0" w:after="0" w:afterAutospacing="0" w:line="360" w:lineRule="auto"/>
        <w:jc w:val="both"/>
      </w:pPr>
      <w:r w:rsidRPr="00C84546">
        <w:rPr>
          <w:rFonts w:ascii="Palatino Linotype" w:hAnsi="Palatino Linotype"/>
          <w:color w:val="000000"/>
        </w:rPr>
        <w:lastRenderedPageBreak/>
        <w:t>En un acto posterior</w:t>
      </w:r>
      <w:r w:rsidR="00C9153D" w:rsidRPr="00C84546">
        <w:rPr>
          <w:rFonts w:ascii="Palatino Linotype" w:hAnsi="Palatino Linotype"/>
          <w:color w:val="000000"/>
        </w:rPr>
        <w:t xml:space="preserve">, </w:t>
      </w:r>
      <w:r w:rsidR="00C9153D" w:rsidRPr="00C84546">
        <w:rPr>
          <w:rFonts w:ascii="Palatino Linotype" w:hAnsi="Palatino Linotype"/>
          <w:b/>
          <w:bCs/>
          <w:color w:val="000000"/>
        </w:rPr>
        <w:t xml:space="preserve">EL RECURRENTE </w:t>
      </w:r>
      <w:r w:rsidR="00C9153D" w:rsidRPr="00C84546">
        <w:rPr>
          <w:rFonts w:ascii="Palatino Linotype" w:hAnsi="Palatino Linotype"/>
          <w:color w:val="000000"/>
        </w:rPr>
        <w:t>presentó su desistimiento con respecto a la acción intentada en el presente recurso de revisión, como se aprecia en la siguiente imagen:</w:t>
      </w:r>
    </w:p>
    <w:p w14:paraId="15D7F860" w14:textId="58B068D0" w:rsidR="00C9153D" w:rsidRPr="00C84546" w:rsidRDefault="00DF18CF" w:rsidP="00C9153D">
      <w:pPr>
        <w:pStyle w:val="NormalWeb"/>
        <w:spacing w:before="0" w:beforeAutospacing="0" w:after="0" w:afterAutospacing="0" w:line="360" w:lineRule="auto"/>
        <w:jc w:val="both"/>
      </w:pPr>
      <w:r>
        <w:rPr>
          <w:noProof/>
        </w:rPr>
        <w:drawing>
          <wp:inline distT="0" distB="0" distL="0" distR="0" wp14:anchorId="02B1E8AE" wp14:editId="55A62366">
            <wp:extent cx="5612130" cy="558165"/>
            <wp:effectExtent l="0" t="0" r="762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558165"/>
                    </a:xfrm>
                    <a:prstGeom prst="rect">
                      <a:avLst/>
                    </a:prstGeom>
                  </pic:spPr>
                </pic:pic>
              </a:graphicData>
            </a:graphic>
          </wp:inline>
        </w:drawing>
      </w:r>
    </w:p>
    <w:p w14:paraId="19604A3A" w14:textId="77777777" w:rsidR="00C9153D" w:rsidRPr="00C84546" w:rsidRDefault="00C9153D" w:rsidP="00C9153D">
      <w:pPr>
        <w:spacing w:line="360" w:lineRule="auto"/>
      </w:pPr>
    </w:p>
    <w:p w14:paraId="1768141C" w14:textId="77777777" w:rsidR="00934ADE" w:rsidRPr="00C84546" w:rsidRDefault="00934ADE" w:rsidP="00934ADE">
      <w:pPr>
        <w:pStyle w:val="NormalWeb"/>
        <w:spacing w:before="0" w:beforeAutospacing="0" w:after="0" w:afterAutospacing="0"/>
        <w:ind w:right="901"/>
        <w:jc w:val="both"/>
        <w:rPr>
          <w:rFonts w:ascii="Palatino Linotype" w:hAnsi="Palatino Linotype"/>
          <w:i/>
          <w:iCs/>
          <w:color w:val="000000"/>
          <w:sz w:val="22"/>
          <w:szCs w:val="22"/>
        </w:rPr>
      </w:pPr>
    </w:p>
    <w:p w14:paraId="52E2F3D5" w14:textId="1913A177" w:rsidR="00C9153D" w:rsidRPr="00C84546" w:rsidRDefault="00C9153D" w:rsidP="00E520D0">
      <w:pPr>
        <w:pStyle w:val="NormalWeb"/>
        <w:spacing w:before="0" w:beforeAutospacing="0" w:after="0" w:afterAutospacing="0" w:line="360" w:lineRule="auto"/>
        <w:jc w:val="both"/>
      </w:pPr>
      <w:r w:rsidRPr="00C84546">
        <w:rPr>
          <w:rFonts w:ascii="Palatino Linotype" w:hAnsi="Palatino Linotype"/>
          <w:color w:val="000000"/>
        </w:rPr>
        <w:t>En atención a</w:t>
      </w:r>
      <w:r w:rsidR="008E6446" w:rsidRPr="00C84546">
        <w:rPr>
          <w:rFonts w:ascii="Palatino Linotype" w:hAnsi="Palatino Linotype"/>
          <w:color w:val="000000"/>
        </w:rPr>
        <w:t xml:space="preserve"> ello</w:t>
      </w:r>
      <w:r w:rsidRPr="00C84546">
        <w:rPr>
          <w:rFonts w:ascii="Palatino Linotype" w:hAnsi="Palatino Linotype"/>
          <w:color w:val="000000"/>
        </w:rPr>
        <w:t xml:space="preserve">, esta Ponencia </w:t>
      </w:r>
      <w:proofErr w:type="spellStart"/>
      <w:r w:rsidRPr="00C84546">
        <w:rPr>
          <w:rFonts w:ascii="Palatino Linotype" w:hAnsi="Palatino Linotype"/>
          <w:color w:val="000000"/>
        </w:rPr>
        <w:t>Resolutora</w:t>
      </w:r>
      <w:proofErr w:type="spellEnd"/>
      <w:r w:rsidRPr="00C84546">
        <w:rPr>
          <w:rFonts w:ascii="Palatino Linotype" w:hAnsi="Palatino Linotype"/>
          <w:color w:val="000000"/>
        </w:rPr>
        <w:t xml:space="preserve"> advierte que en el presente caso, se actualiza la hipótesis prevista en el artículo 192, fracción I, de la Ley de Transparencia y Acceso a la Información Pública del Estado de México y Municipios, que dispone lo siguiente: </w:t>
      </w:r>
    </w:p>
    <w:p w14:paraId="67B10B2B" w14:textId="77777777" w:rsidR="00C9153D" w:rsidRPr="00C84546" w:rsidRDefault="00C9153D" w:rsidP="00C9153D"/>
    <w:p w14:paraId="0E066AD5" w14:textId="77777777" w:rsidR="00C9153D" w:rsidRPr="00C84546" w:rsidRDefault="00C9153D" w:rsidP="00C9153D">
      <w:pPr>
        <w:pStyle w:val="NormalWeb"/>
        <w:spacing w:before="0" w:beforeAutospacing="0" w:after="0" w:afterAutospacing="0"/>
        <w:ind w:left="851" w:right="901"/>
        <w:jc w:val="both"/>
      </w:pPr>
      <w:r w:rsidRPr="00C84546">
        <w:rPr>
          <w:rFonts w:ascii="Palatino Linotype" w:hAnsi="Palatino Linotype"/>
          <w:i/>
          <w:iCs/>
          <w:color w:val="000000"/>
          <w:sz w:val="22"/>
          <w:szCs w:val="22"/>
        </w:rPr>
        <w:t>“</w:t>
      </w:r>
      <w:r w:rsidRPr="00C84546">
        <w:rPr>
          <w:rFonts w:ascii="Palatino Linotype" w:hAnsi="Palatino Linotype"/>
          <w:b/>
          <w:bCs/>
          <w:i/>
          <w:iCs/>
          <w:color w:val="000000"/>
          <w:sz w:val="22"/>
          <w:szCs w:val="22"/>
        </w:rPr>
        <w:t>Artículo 192.</w:t>
      </w:r>
      <w:r w:rsidRPr="00C84546">
        <w:rPr>
          <w:rFonts w:ascii="Palatino Linotype" w:hAnsi="Palatino Linotype"/>
          <w:i/>
          <w:iCs/>
          <w:color w:val="000000"/>
          <w:sz w:val="22"/>
          <w:szCs w:val="22"/>
        </w:rPr>
        <w:t xml:space="preserve"> </w:t>
      </w:r>
      <w:r w:rsidRPr="00C84546">
        <w:rPr>
          <w:rFonts w:ascii="Palatino Linotype" w:hAnsi="Palatino Linotype"/>
          <w:b/>
          <w:bCs/>
          <w:i/>
          <w:iCs/>
          <w:color w:val="000000"/>
          <w:sz w:val="22"/>
          <w:szCs w:val="22"/>
          <w:u w:val="single"/>
        </w:rPr>
        <w:t>El recurso será sobreseído</w:t>
      </w:r>
      <w:r w:rsidRPr="00C84546">
        <w:rPr>
          <w:rFonts w:ascii="Palatino Linotype" w:hAnsi="Palatino Linotype"/>
          <w:i/>
          <w:iCs/>
          <w:color w:val="000000"/>
          <w:sz w:val="22"/>
          <w:szCs w:val="22"/>
        </w:rPr>
        <w:t xml:space="preserve">, en todo o en parte, </w:t>
      </w:r>
      <w:r w:rsidRPr="00C84546">
        <w:rPr>
          <w:rFonts w:ascii="Palatino Linotype" w:hAnsi="Palatino Linotype"/>
          <w:b/>
          <w:bCs/>
          <w:i/>
          <w:iCs/>
          <w:color w:val="000000"/>
          <w:sz w:val="22"/>
          <w:szCs w:val="22"/>
          <w:u w:val="single"/>
        </w:rPr>
        <w:t>cuando una vez admitido</w:t>
      </w:r>
      <w:r w:rsidRPr="00C84546">
        <w:rPr>
          <w:rFonts w:ascii="Palatino Linotype" w:hAnsi="Palatino Linotype"/>
          <w:i/>
          <w:iCs/>
          <w:color w:val="000000"/>
          <w:sz w:val="22"/>
          <w:szCs w:val="22"/>
        </w:rPr>
        <w:t>, se actualicen alguno de los siguientes supuestos:</w:t>
      </w:r>
    </w:p>
    <w:p w14:paraId="273D2AAC" w14:textId="77777777" w:rsidR="00C9153D" w:rsidRPr="00C84546" w:rsidRDefault="00C9153D" w:rsidP="00C9153D">
      <w:pPr>
        <w:pStyle w:val="NormalWeb"/>
        <w:spacing w:before="0" w:beforeAutospacing="0" w:after="0" w:afterAutospacing="0"/>
        <w:ind w:left="851" w:right="901"/>
        <w:jc w:val="both"/>
      </w:pPr>
      <w:r w:rsidRPr="00C84546">
        <w:rPr>
          <w:rFonts w:ascii="Palatino Linotype" w:hAnsi="Palatino Linotype"/>
          <w:b/>
          <w:bCs/>
          <w:i/>
          <w:iCs/>
          <w:color w:val="000000"/>
          <w:sz w:val="22"/>
          <w:szCs w:val="22"/>
        </w:rPr>
        <w:t>I.</w:t>
      </w:r>
      <w:r w:rsidRPr="00C84546">
        <w:rPr>
          <w:rFonts w:ascii="Palatino Linotype" w:hAnsi="Palatino Linotype"/>
          <w:i/>
          <w:iCs/>
          <w:color w:val="000000"/>
          <w:sz w:val="22"/>
          <w:szCs w:val="22"/>
        </w:rPr>
        <w:t xml:space="preserve"> </w:t>
      </w:r>
      <w:r w:rsidRPr="00C84546">
        <w:rPr>
          <w:rFonts w:ascii="Palatino Linotype" w:hAnsi="Palatino Linotype"/>
          <w:b/>
          <w:bCs/>
          <w:i/>
          <w:iCs/>
          <w:color w:val="000000"/>
          <w:sz w:val="22"/>
          <w:szCs w:val="22"/>
          <w:u w:val="single"/>
        </w:rPr>
        <w:t>El recurrente se desista expresamente del recurso</w:t>
      </w:r>
      <w:r w:rsidRPr="00C84546">
        <w:rPr>
          <w:rFonts w:ascii="Palatino Linotype" w:hAnsi="Palatino Linotype"/>
          <w:i/>
          <w:iCs/>
          <w:color w:val="000000"/>
          <w:sz w:val="22"/>
          <w:szCs w:val="22"/>
        </w:rPr>
        <w:t>;”</w:t>
      </w:r>
    </w:p>
    <w:p w14:paraId="709AD249" w14:textId="77777777" w:rsidR="00C9153D" w:rsidRPr="00C84546" w:rsidRDefault="00C9153D" w:rsidP="00C9153D">
      <w:pPr>
        <w:pStyle w:val="NormalWeb"/>
        <w:spacing w:before="0" w:beforeAutospacing="0" w:after="0" w:afterAutospacing="0"/>
        <w:ind w:left="851" w:right="901"/>
        <w:jc w:val="both"/>
      </w:pPr>
      <w:r w:rsidRPr="00C84546">
        <w:rPr>
          <w:rFonts w:ascii="Palatino Linotype" w:hAnsi="Palatino Linotype"/>
          <w:color w:val="000000"/>
          <w:sz w:val="22"/>
          <w:szCs w:val="22"/>
        </w:rPr>
        <w:t>(Énfasis añadido)</w:t>
      </w:r>
    </w:p>
    <w:p w14:paraId="7E82377F" w14:textId="77777777" w:rsidR="00C9153D" w:rsidRPr="00C84546" w:rsidRDefault="00C9153D" w:rsidP="00C9153D"/>
    <w:p w14:paraId="07564EA4" w14:textId="0DE06CF4" w:rsidR="00AC1D7B" w:rsidRPr="00C84546" w:rsidRDefault="00D82FC4" w:rsidP="00E520D0">
      <w:pPr>
        <w:pStyle w:val="NormalWeb"/>
        <w:spacing w:before="0" w:beforeAutospacing="0" w:after="0" w:afterAutospacing="0" w:line="360" w:lineRule="auto"/>
        <w:jc w:val="both"/>
        <w:rPr>
          <w:rFonts w:ascii="Palatino Linotype" w:hAnsi="Palatino Linotype"/>
          <w:color w:val="000000"/>
        </w:rPr>
      </w:pPr>
      <w:r w:rsidRPr="00C84546">
        <w:rPr>
          <w:rFonts w:ascii="Palatino Linotype" w:hAnsi="Palatino Linotype"/>
          <w:color w:val="000000"/>
        </w:rPr>
        <w:t xml:space="preserve">El citado </w:t>
      </w:r>
      <w:r w:rsidR="00E04F43" w:rsidRPr="00C84546">
        <w:rPr>
          <w:rFonts w:ascii="Palatino Linotype" w:hAnsi="Palatino Linotype"/>
          <w:color w:val="000000"/>
        </w:rPr>
        <w:t>precepto establece</w:t>
      </w:r>
      <w:r w:rsidR="00934ADE" w:rsidRPr="00C84546">
        <w:rPr>
          <w:rFonts w:ascii="Palatino Linotype" w:hAnsi="Palatino Linotype"/>
          <w:color w:val="000000"/>
        </w:rPr>
        <w:t xml:space="preserve"> como causal de sobreseimiento el desistimiento expreso del </w:t>
      </w:r>
      <w:r w:rsidR="008E6446" w:rsidRPr="00C84546">
        <w:rPr>
          <w:rFonts w:ascii="Palatino Linotype" w:hAnsi="Palatino Linotype"/>
          <w:b/>
          <w:color w:val="000000"/>
        </w:rPr>
        <w:t>RECURRENTE</w:t>
      </w:r>
      <w:r w:rsidR="00E04F43" w:rsidRPr="00C84546">
        <w:rPr>
          <w:rFonts w:ascii="Palatino Linotype" w:hAnsi="Palatino Linotype"/>
          <w:b/>
          <w:color w:val="000000"/>
        </w:rPr>
        <w:t xml:space="preserve">, </w:t>
      </w:r>
      <w:r w:rsidR="00E04F43" w:rsidRPr="00C84546">
        <w:rPr>
          <w:rFonts w:ascii="Palatino Linotype" w:hAnsi="Palatino Linotype"/>
          <w:color w:val="000000"/>
        </w:rPr>
        <w:t>por lo tanto dicha</w:t>
      </w:r>
      <w:r w:rsidR="00E04F43" w:rsidRPr="00C84546">
        <w:rPr>
          <w:rFonts w:ascii="Palatino Linotype" w:hAnsi="Palatino Linotype"/>
          <w:b/>
          <w:color w:val="000000"/>
        </w:rPr>
        <w:t xml:space="preserve">  </w:t>
      </w:r>
      <w:r w:rsidR="008E6446" w:rsidRPr="00C84546">
        <w:rPr>
          <w:rFonts w:ascii="Palatino Linotype" w:hAnsi="Palatino Linotype"/>
          <w:color w:val="000000"/>
        </w:rPr>
        <w:t xml:space="preserve">fracción resulta aplicable al caso que nos ocupa pues </w:t>
      </w:r>
      <w:r w:rsidR="008E6446" w:rsidRPr="00C84546">
        <w:rPr>
          <w:rFonts w:ascii="Palatino Linotype" w:hAnsi="Palatino Linotype"/>
          <w:b/>
          <w:color w:val="000000"/>
        </w:rPr>
        <w:t>EL</w:t>
      </w:r>
      <w:r w:rsidR="008E6446" w:rsidRPr="00C84546">
        <w:rPr>
          <w:rFonts w:ascii="Palatino Linotype" w:hAnsi="Palatino Linotype"/>
          <w:color w:val="000000"/>
        </w:rPr>
        <w:t xml:space="preserve"> </w:t>
      </w:r>
      <w:r w:rsidR="008E6446" w:rsidRPr="00C84546">
        <w:rPr>
          <w:rFonts w:ascii="Palatino Linotype" w:hAnsi="Palatino Linotype"/>
          <w:b/>
          <w:color w:val="000000"/>
        </w:rPr>
        <w:t>RECURRENTE</w:t>
      </w:r>
      <w:r w:rsidR="008E6446" w:rsidRPr="00C84546">
        <w:rPr>
          <w:rFonts w:ascii="Palatino Linotype" w:hAnsi="Palatino Linotype"/>
          <w:color w:val="000000"/>
        </w:rPr>
        <w:t xml:space="preserve"> por medio del </w:t>
      </w:r>
      <w:r w:rsidR="008E6446" w:rsidRPr="00C84546">
        <w:rPr>
          <w:rFonts w:ascii="Palatino Linotype" w:hAnsi="Palatino Linotype"/>
          <w:b/>
          <w:color w:val="000000"/>
        </w:rPr>
        <w:t>SAIMEX</w:t>
      </w:r>
      <w:r w:rsidR="00E04F43" w:rsidRPr="00C84546">
        <w:rPr>
          <w:rFonts w:ascii="Palatino Linotype" w:hAnsi="Palatino Linotype"/>
          <w:color w:val="000000"/>
        </w:rPr>
        <w:t xml:space="preserve"> manif</w:t>
      </w:r>
      <w:r w:rsidR="00A55ACE" w:rsidRPr="00C84546">
        <w:rPr>
          <w:rFonts w:ascii="Palatino Linotype" w:hAnsi="Palatino Linotype"/>
          <w:color w:val="000000"/>
        </w:rPr>
        <w:t>estó</w:t>
      </w:r>
      <w:r w:rsidR="008E6446" w:rsidRPr="00C84546">
        <w:rPr>
          <w:rFonts w:ascii="Palatino Linotype" w:hAnsi="Palatino Linotype"/>
          <w:color w:val="000000"/>
        </w:rPr>
        <w:t xml:space="preserve"> su deseo de no seguir con el proceso. </w:t>
      </w:r>
    </w:p>
    <w:p w14:paraId="21261C69" w14:textId="77777777" w:rsidR="008E6446" w:rsidRPr="00C84546" w:rsidRDefault="008E6446" w:rsidP="00E520D0">
      <w:pPr>
        <w:pStyle w:val="NormalWeb"/>
        <w:spacing w:before="0" w:beforeAutospacing="0" w:after="0" w:afterAutospacing="0" w:line="360" w:lineRule="auto"/>
        <w:jc w:val="both"/>
        <w:rPr>
          <w:rFonts w:ascii="Palatino Linotype" w:hAnsi="Palatino Linotype"/>
          <w:b/>
          <w:color w:val="000000"/>
        </w:rPr>
      </w:pPr>
    </w:p>
    <w:p w14:paraId="47E2AD93" w14:textId="456344E3" w:rsidR="008E6446" w:rsidRPr="00C84546" w:rsidRDefault="008E6446" w:rsidP="008E6446">
      <w:pPr>
        <w:pStyle w:val="NormalWeb"/>
        <w:spacing w:before="0" w:beforeAutospacing="0" w:after="0" w:afterAutospacing="0" w:line="360" w:lineRule="auto"/>
        <w:jc w:val="both"/>
      </w:pPr>
      <w:r w:rsidRPr="00C84546">
        <w:rPr>
          <w:rFonts w:ascii="Palatino Linotype" w:hAnsi="Palatino Linotype"/>
          <w:color w:val="000000"/>
        </w:rPr>
        <w:t xml:space="preserve">Por lo que se refiere a la formalidad que requiere el precepto citado, estableciendo que deberá tratarse de un desistimiento expreso, es pertinente aclarar que el desistimiento sólo pudo ser activado por </w:t>
      </w:r>
      <w:r w:rsidRPr="00C84546">
        <w:rPr>
          <w:rFonts w:ascii="Palatino Linotype" w:hAnsi="Palatino Linotype"/>
          <w:b/>
          <w:bCs/>
          <w:color w:val="000000"/>
        </w:rPr>
        <w:t>EL</w:t>
      </w:r>
      <w:r w:rsidRPr="00C84546">
        <w:rPr>
          <w:rFonts w:ascii="Palatino Linotype" w:hAnsi="Palatino Linotype"/>
          <w:color w:val="000000"/>
        </w:rPr>
        <w:t xml:space="preserve"> </w:t>
      </w:r>
      <w:r w:rsidRPr="00C84546">
        <w:rPr>
          <w:rFonts w:ascii="Palatino Linotype" w:hAnsi="Palatino Linotype"/>
          <w:b/>
          <w:bCs/>
          <w:color w:val="000000"/>
        </w:rPr>
        <w:t>RECURRENTE</w:t>
      </w:r>
      <w:r w:rsidRPr="00C84546">
        <w:rPr>
          <w:rFonts w:ascii="Palatino Linotype" w:hAnsi="Palatino Linotype"/>
          <w:color w:val="000000"/>
        </w:rPr>
        <w:t xml:space="preserve"> mediante el ingreso al Sistema de Acceso a la Información Mexiquense, con el uso de su clave de usuario y contrase</w:t>
      </w:r>
      <w:r w:rsidR="00E04F43" w:rsidRPr="00C84546">
        <w:rPr>
          <w:rFonts w:ascii="Palatino Linotype" w:hAnsi="Palatino Linotype"/>
          <w:color w:val="000000"/>
        </w:rPr>
        <w:t xml:space="preserve">ña, por lo que, no existe duda </w:t>
      </w:r>
      <w:r w:rsidRPr="00C84546">
        <w:rPr>
          <w:rFonts w:ascii="Palatino Linotype" w:hAnsi="Palatino Linotype"/>
          <w:color w:val="000000"/>
        </w:rPr>
        <w:t xml:space="preserve"> que se trata de un </w:t>
      </w:r>
      <w:r w:rsidRPr="00C84546">
        <w:rPr>
          <w:rFonts w:ascii="Palatino Linotype" w:hAnsi="Palatino Linotype"/>
          <w:b/>
          <w:bCs/>
          <w:color w:val="000000"/>
        </w:rPr>
        <w:t>desistimiento expreso</w:t>
      </w:r>
      <w:r w:rsidRPr="00C84546">
        <w:rPr>
          <w:rFonts w:ascii="Palatino Linotype" w:hAnsi="Palatino Linotype"/>
          <w:color w:val="000000"/>
        </w:rPr>
        <w:t xml:space="preserve">, por parte del </w:t>
      </w:r>
      <w:r w:rsidRPr="00C84546">
        <w:rPr>
          <w:rFonts w:ascii="Palatino Linotype" w:hAnsi="Palatino Linotype"/>
          <w:b/>
          <w:bCs/>
          <w:color w:val="000000"/>
        </w:rPr>
        <w:t>RECURRENTE</w:t>
      </w:r>
      <w:r w:rsidRPr="00C84546">
        <w:rPr>
          <w:rFonts w:ascii="Palatino Linotype" w:hAnsi="Palatino Linotype"/>
          <w:color w:val="000000"/>
        </w:rPr>
        <w:t>. </w:t>
      </w:r>
    </w:p>
    <w:p w14:paraId="76386C18" w14:textId="77777777" w:rsidR="008E6446" w:rsidRPr="00C84546" w:rsidRDefault="008E6446" w:rsidP="00E520D0">
      <w:pPr>
        <w:pStyle w:val="NormalWeb"/>
        <w:spacing w:before="0" w:beforeAutospacing="0" w:after="0" w:afterAutospacing="0" w:line="360" w:lineRule="auto"/>
        <w:jc w:val="both"/>
        <w:rPr>
          <w:rFonts w:ascii="Palatino Linotype" w:hAnsi="Palatino Linotype"/>
          <w:b/>
          <w:color w:val="000000"/>
        </w:rPr>
      </w:pPr>
    </w:p>
    <w:p w14:paraId="1D4BB544" w14:textId="29A05590" w:rsidR="00BF76D4" w:rsidRPr="00C84546" w:rsidRDefault="008E6446" w:rsidP="00E520D0">
      <w:pPr>
        <w:pStyle w:val="NormalWeb"/>
        <w:spacing w:before="0" w:beforeAutospacing="0" w:after="0" w:afterAutospacing="0" w:line="360" w:lineRule="auto"/>
        <w:jc w:val="both"/>
        <w:rPr>
          <w:rFonts w:ascii="Palatino Linotype" w:hAnsi="Palatino Linotype"/>
          <w:color w:val="000000"/>
        </w:rPr>
      </w:pPr>
      <w:r w:rsidRPr="00C84546">
        <w:rPr>
          <w:rFonts w:ascii="Palatino Linotype" w:hAnsi="Palatino Linotype"/>
          <w:color w:val="000000"/>
        </w:rPr>
        <w:t xml:space="preserve">Aunado a ello, </w:t>
      </w:r>
      <w:r w:rsidR="00BF76D4" w:rsidRPr="00C84546">
        <w:rPr>
          <w:rFonts w:ascii="Palatino Linotype" w:hAnsi="Palatino Linotype"/>
          <w:color w:val="000000"/>
        </w:rPr>
        <w:t xml:space="preserve">del expediente que obra en </w:t>
      </w:r>
      <w:r w:rsidR="00BF76D4" w:rsidRPr="00C84546">
        <w:rPr>
          <w:rFonts w:ascii="Palatino Linotype" w:hAnsi="Palatino Linotype"/>
          <w:b/>
          <w:color w:val="000000"/>
        </w:rPr>
        <w:t>EL SAIMEX</w:t>
      </w:r>
      <w:r w:rsidR="00BF76D4" w:rsidRPr="00C84546">
        <w:rPr>
          <w:rFonts w:ascii="Palatino Linotype" w:hAnsi="Palatino Linotype"/>
          <w:color w:val="000000"/>
        </w:rPr>
        <w:t xml:space="preserve"> </w:t>
      </w:r>
      <w:r w:rsidRPr="00C84546">
        <w:rPr>
          <w:rFonts w:ascii="Palatino Linotype" w:hAnsi="Palatino Linotype"/>
          <w:color w:val="000000"/>
        </w:rPr>
        <w:t xml:space="preserve">se advierte que </w:t>
      </w:r>
      <w:r w:rsidR="00BF76D4" w:rsidRPr="00C84546">
        <w:rPr>
          <w:rFonts w:ascii="Palatino Linotype" w:hAnsi="Palatino Linotype"/>
          <w:b/>
          <w:color w:val="000000"/>
        </w:rPr>
        <w:t>EL RECURRENTE</w:t>
      </w:r>
      <w:r w:rsidR="00A55ACE" w:rsidRPr="00C84546">
        <w:rPr>
          <w:rFonts w:ascii="Palatino Linotype" w:hAnsi="Palatino Linotype"/>
          <w:color w:val="000000"/>
        </w:rPr>
        <w:t xml:space="preserve"> expresamente manifestó</w:t>
      </w:r>
      <w:r w:rsidR="00BF76D4" w:rsidRPr="00C84546">
        <w:rPr>
          <w:rFonts w:ascii="Palatino Linotype" w:hAnsi="Palatino Linotype"/>
          <w:color w:val="000000"/>
        </w:rPr>
        <w:t xml:space="preserve"> lo siguiente: </w:t>
      </w:r>
    </w:p>
    <w:p w14:paraId="13EDB9D1" w14:textId="37C7E7A0" w:rsidR="00BF76D4" w:rsidRPr="00C84546" w:rsidRDefault="00DF18CF" w:rsidP="00E520D0">
      <w:pPr>
        <w:pStyle w:val="NormalWeb"/>
        <w:spacing w:before="0" w:beforeAutospacing="0" w:after="0" w:afterAutospacing="0" w:line="360" w:lineRule="auto"/>
        <w:jc w:val="both"/>
        <w:rPr>
          <w:rFonts w:ascii="Palatino Linotype" w:hAnsi="Palatino Linotype"/>
          <w:color w:val="000000"/>
        </w:rPr>
      </w:pPr>
      <w:bookmarkStart w:id="0" w:name="_GoBack"/>
      <w:r>
        <w:rPr>
          <w:noProof/>
        </w:rPr>
        <w:drawing>
          <wp:inline distT="0" distB="0" distL="0" distR="0" wp14:anchorId="0B0DC124" wp14:editId="29B737A7">
            <wp:extent cx="5524500" cy="353377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24500" cy="3533775"/>
                    </a:xfrm>
                    <a:prstGeom prst="rect">
                      <a:avLst/>
                    </a:prstGeom>
                  </pic:spPr>
                </pic:pic>
              </a:graphicData>
            </a:graphic>
          </wp:inline>
        </w:drawing>
      </w:r>
      <w:bookmarkEnd w:id="0"/>
      <w:r w:rsidR="004E0D6B" w:rsidRPr="00C84546">
        <w:rPr>
          <w:rFonts w:ascii="Palatino Linotype" w:hAnsi="Palatino Linotype"/>
          <w:color w:val="000000"/>
        </w:rPr>
        <w:t xml:space="preserve">       </w:t>
      </w:r>
    </w:p>
    <w:p w14:paraId="22FC1C09" w14:textId="77777777" w:rsidR="0082556B" w:rsidRPr="00C84546" w:rsidRDefault="0082556B" w:rsidP="00E520D0">
      <w:pPr>
        <w:pStyle w:val="NormalWeb"/>
        <w:spacing w:before="0" w:beforeAutospacing="0" w:after="0" w:afterAutospacing="0" w:line="360" w:lineRule="auto"/>
        <w:jc w:val="both"/>
        <w:rPr>
          <w:rFonts w:ascii="Palatino Linotype" w:hAnsi="Palatino Linotype"/>
          <w:color w:val="000000"/>
        </w:rPr>
      </w:pPr>
    </w:p>
    <w:p w14:paraId="7C75C28C" w14:textId="51337F4F" w:rsidR="00BF76D4" w:rsidRPr="00C84546" w:rsidRDefault="008E6446" w:rsidP="00E520D0">
      <w:pPr>
        <w:pStyle w:val="NormalWeb"/>
        <w:spacing w:before="0" w:beforeAutospacing="0" w:after="0" w:afterAutospacing="0" w:line="360" w:lineRule="auto"/>
        <w:jc w:val="both"/>
        <w:rPr>
          <w:rFonts w:ascii="Palatino Linotype" w:hAnsi="Palatino Linotype"/>
          <w:color w:val="000000"/>
        </w:rPr>
      </w:pPr>
      <w:r w:rsidRPr="00C84546">
        <w:rPr>
          <w:rFonts w:ascii="Palatino Linotype" w:hAnsi="Palatino Linotype"/>
          <w:color w:val="000000"/>
        </w:rPr>
        <w:t xml:space="preserve">En la </w:t>
      </w:r>
      <w:r w:rsidR="004E0D6B" w:rsidRPr="00C84546">
        <w:rPr>
          <w:rFonts w:ascii="Palatino Linotype" w:hAnsi="Palatino Linotype"/>
          <w:color w:val="000000"/>
        </w:rPr>
        <w:t xml:space="preserve">captura </w:t>
      </w:r>
      <w:r w:rsidR="00E04F43" w:rsidRPr="00C84546">
        <w:rPr>
          <w:rFonts w:ascii="Palatino Linotype" w:hAnsi="Palatino Linotype"/>
          <w:color w:val="000000"/>
        </w:rPr>
        <w:t xml:space="preserve">de pantalla </w:t>
      </w:r>
      <w:r w:rsidR="00F635D1" w:rsidRPr="00C84546">
        <w:rPr>
          <w:rFonts w:ascii="Palatino Linotype" w:hAnsi="Palatino Linotype"/>
          <w:color w:val="000000"/>
        </w:rPr>
        <w:t xml:space="preserve">arriba </w:t>
      </w:r>
      <w:r w:rsidR="004E0D6B" w:rsidRPr="00C84546">
        <w:rPr>
          <w:rFonts w:ascii="Palatino Linotype" w:hAnsi="Palatino Linotype"/>
          <w:color w:val="000000"/>
        </w:rPr>
        <w:t>insertada se puede</w:t>
      </w:r>
      <w:r w:rsidR="00E04F43" w:rsidRPr="00C84546">
        <w:rPr>
          <w:rFonts w:ascii="Palatino Linotype" w:hAnsi="Palatino Linotype"/>
          <w:color w:val="000000"/>
        </w:rPr>
        <w:t xml:space="preserve"> observar </w:t>
      </w:r>
      <w:r w:rsidR="004E0D6B" w:rsidRPr="00C84546">
        <w:rPr>
          <w:rFonts w:ascii="Palatino Linotype" w:hAnsi="Palatino Linotype"/>
          <w:color w:val="000000"/>
        </w:rPr>
        <w:t xml:space="preserve"> que el mismo </w:t>
      </w:r>
      <w:r w:rsidR="004E0D6B" w:rsidRPr="00C84546">
        <w:rPr>
          <w:rFonts w:ascii="Palatino Linotype" w:hAnsi="Palatino Linotype"/>
          <w:b/>
          <w:color w:val="000000"/>
        </w:rPr>
        <w:t>RECURRENTE</w:t>
      </w:r>
      <w:r w:rsidR="004E0D6B" w:rsidRPr="00C84546">
        <w:rPr>
          <w:rFonts w:ascii="Palatino Linotype" w:hAnsi="Palatino Linotype"/>
          <w:color w:val="000000"/>
        </w:rPr>
        <w:t xml:space="preserve"> </w:t>
      </w:r>
      <w:r w:rsidR="00BE555C" w:rsidRPr="00C84546">
        <w:rPr>
          <w:rFonts w:ascii="Palatino Linotype" w:hAnsi="Palatino Linotype"/>
          <w:color w:val="000000"/>
        </w:rPr>
        <w:t>manifiesta su intención para desistirse del recurso dado que la información solicitada le fue entregada</w:t>
      </w:r>
      <w:r w:rsidR="00E04F43" w:rsidRPr="00C84546">
        <w:rPr>
          <w:rFonts w:ascii="Palatino Linotype" w:hAnsi="Palatino Linotype"/>
          <w:color w:val="000000"/>
        </w:rPr>
        <w:t xml:space="preserve"> en el </w:t>
      </w:r>
      <w:r w:rsidR="00BE555C" w:rsidRPr="00C84546">
        <w:rPr>
          <w:rFonts w:ascii="Palatino Linotype" w:hAnsi="Palatino Linotype"/>
          <w:color w:val="000000"/>
        </w:rPr>
        <w:t>Informe J</w:t>
      </w:r>
      <w:r w:rsidRPr="00C84546">
        <w:rPr>
          <w:rFonts w:ascii="Palatino Linotype" w:hAnsi="Palatino Linotype"/>
          <w:color w:val="000000"/>
        </w:rPr>
        <w:t xml:space="preserve">ustificado, </w:t>
      </w:r>
      <w:r w:rsidR="00E04F43" w:rsidRPr="00C84546">
        <w:rPr>
          <w:rFonts w:ascii="Palatino Linotype" w:hAnsi="Palatino Linotype"/>
          <w:color w:val="000000"/>
        </w:rPr>
        <w:t xml:space="preserve">por ende, quedó </w:t>
      </w:r>
      <w:r w:rsidRPr="00C84546">
        <w:rPr>
          <w:rFonts w:ascii="Palatino Linotype" w:hAnsi="Palatino Linotype"/>
          <w:color w:val="000000"/>
        </w:rPr>
        <w:t xml:space="preserve">sin materia su pretensión. </w:t>
      </w:r>
    </w:p>
    <w:p w14:paraId="63225D32" w14:textId="77777777" w:rsidR="008E6446" w:rsidRPr="00C84546" w:rsidRDefault="008E6446" w:rsidP="008E6446">
      <w:pPr>
        <w:pStyle w:val="NormalWeb"/>
        <w:spacing w:before="0" w:beforeAutospacing="0" w:after="0" w:afterAutospacing="0" w:line="360" w:lineRule="auto"/>
        <w:jc w:val="both"/>
        <w:rPr>
          <w:rFonts w:ascii="Palatino Linotype" w:hAnsi="Palatino Linotype"/>
          <w:color w:val="000000"/>
        </w:rPr>
      </w:pPr>
    </w:p>
    <w:p w14:paraId="590B28E8" w14:textId="62AF9AB2" w:rsidR="004E0D6B" w:rsidRPr="00C84546" w:rsidRDefault="008E6446" w:rsidP="00E520D0">
      <w:pPr>
        <w:pStyle w:val="NormalWeb"/>
        <w:spacing w:before="0" w:beforeAutospacing="0" w:after="0" w:afterAutospacing="0" w:line="360" w:lineRule="auto"/>
        <w:jc w:val="both"/>
        <w:rPr>
          <w:rFonts w:ascii="Palatino Linotype" w:hAnsi="Palatino Linotype"/>
          <w:color w:val="000000"/>
        </w:rPr>
      </w:pPr>
      <w:r w:rsidRPr="00C84546">
        <w:rPr>
          <w:rFonts w:ascii="Palatino Linotype" w:hAnsi="Palatino Linotype"/>
          <w:color w:val="000000"/>
        </w:rPr>
        <w:t xml:space="preserve">Asimismo, de acuerdo con la Enciclopedia Jurídica Mexicana, del Instituto de Investigaciones Jurídicas de la Universidad Nacional Autónoma de México, el desistimiento se define como el "acto procesal mediante el cual se manifiesta el propósito de abandonar la instancia o de no continuar con el ejercicio de una acción, </w:t>
      </w:r>
      <w:r w:rsidRPr="00C84546">
        <w:rPr>
          <w:rFonts w:ascii="Palatino Linotype" w:hAnsi="Palatino Linotype"/>
          <w:color w:val="000000"/>
        </w:rPr>
        <w:lastRenderedPageBreak/>
        <w:t>la reclamación de un derecho o la realización de cualquier otro trámite de un procedimiento iniciado</w:t>
      </w:r>
      <w:r w:rsidR="00E04F43" w:rsidRPr="00C84546">
        <w:rPr>
          <w:rFonts w:ascii="Palatino Linotype" w:hAnsi="Palatino Linotype"/>
          <w:color w:val="000000"/>
        </w:rPr>
        <w:t>.</w:t>
      </w:r>
      <w:r w:rsidRPr="00C84546">
        <w:rPr>
          <w:rFonts w:ascii="Palatino Linotype" w:hAnsi="Palatino Linotype"/>
          <w:color w:val="000000"/>
        </w:rPr>
        <w:t xml:space="preserve">" En ese sentido, se entiende que </w:t>
      </w:r>
      <w:r w:rsidRPr="00C84546">
        <w:rPr>
          <w:rFonts w:ascii="Palatino Linotype" w:hAnsi="Palatino Linotype"/>
          <w:b/>
          <w:color w:val="000000"/>
        </w:rPr>
        <w:t>EL RECURRENTE</w:t>
      </w:r>
      <w:r w:rsidRPr="00C84546">
        <w:rPr>
          <w:rFonts w:ascii="Palatino Linotype" w:hAnsi="Palatino Linotype"/>
          <w:color w:val="000000"/>
        </w:rPr>
        <w:t xml:space="preserve"> al expresar su deseo desistirse de la acción, manifiesta también su intención de concluir el procedimiento pues al quedar sin mat</w:t>
      </w:r>
      <w:r w:rsidR="00A55ACE" w:rsidRPr="00C84546">
        <w:rPr>
          <w:rFonts w:ascii="Palatino Linotype" w:hAnsi="Palatino Linotype"/>
          <w:color w:val="000000"/>
        </w:rPr>
        <w:t>eria su requerimiento gracias al Informe emitido</w:t>
      </w:r>
      <w:r w:rsidRPr="00C84546">
        <w:rPr>
          <w:rFonts w:ascii="Palatino Linotype" w:hAnsi="Palatino Linotype"/>
          <w:color w:val="000000"/>
        </w:rPr>
        <w:t xml:space="preserve"> por </w:t>
      </w:r>
      <w:r w:rsidR="00E04F43" w:rsidRPr="00C84546">
        <w:rPr>
          <w:rFonts w:ascii="Palatino Linotype" w:hAnsi="Palatino Linotype"/>
          <w:b/>
          <w:color w:val="000000"/>
        </w:rPr>
        <w:t>EL SU</w:t>
      </w:r>
      <w:r w:rsidRPr="00C84546">
        <w:rPr>
          <w:rFonts w:ascii="Palatino Linotype" w:hAnsi="Palatino Linotype"/>
          <w:b/>
          <w:color w:val="000000"/>
        </w:rPr>
        <w:t>J</w:t>
      </w:r>
      <w:r w:rsidR="00E04F43" w:rsidRPr="00C84546">
        <w:rPr>
          <w:rFonts w:ascii="Palatino Linotype" w:hAnsi="Palatino Linotype"/>
          <w:b/>
          <w:color w:val="000000"/>
        </w:rPr>
        <w:t>E</w:t>
      </w:r>
      <w:r w:rsidRPr="00C84546">
        <w:rPr>
          <w:rFonts w:ascii="Palatino Linotype" w:hAnsi="Palatino Linotype"/>
          <w:b/>
          <w:color w:val="000000"/>
        </w:rPr>
        <w:t>TO OBLIGADO</w:t>
      </w:r>
      <w:r w:rsidR="008869A7" w:rsidRPr="00C84546">
        <w:rPr>
          <w:rFonts w:ascii="Palatino Linotype" w:hAnsi="Palatino Linotype"/>
          <w:color w:val="000000"/>
        </w:rPr>
        <w:t xml:space="preserve">, </w:t>
      </w:r>
      <w:r w:rsidRPr="00C84546">
        <w:rPr>
          <w:rFonts w:ascii="Palatino Linotype" w:hAnsi="Palatino Linotype"/>
          <w:color w:val="000000"/>
        </w:rPr>
        <w:t xml:space="preserve"> </w:t>
      </w:r>
      <w:r w:rsidR="008869A7" w:rsidRPr="00C84546">
        <w:rPr>
          <w:rFonts w:ascii="Palatino Linotype" w:hAnsi="Palatino Linotype"/>
          <w:color w:val="000000"/>
        </w:rPr>
        <w:t xml:space="preserve">y la aceptación </w:t>
      </w:r>
      <w:r w:rsidR="00A55ACE" w:rsidRPr="00C84546">
        <w:rPr>
          <w:rFonts w:ascii="Palatino Linotype" w:hAnsi="Palatino Linotype"/>
          <w:color w:val="000000"/>
        </w:rPr>
        <w:t xml:space="preserve">de la información contenida en el mismo </w:t>
      </w:r>
      <w:r w:rsidR="008869A7" w:rsidRPr="00C84546">
        <w:rPr>
          <w:rFonts w:ascii="Palatino Linotype" w:hAnsi="Palatino Linotype"/>
          <w:color w:val="000000"/>
        </w:rPr>
        <w:t xml:space="preserve">por parte del </w:t>
      </w:r>
      <w:r w:rsidR="008869A7" w:rsidRPr="00C84546">
        <w:rPr>
          <w:rFonts w:ascii="Palatino Linotype" w:hAnsi="Palatino Linotype"/>
          <w:b/>
          <w:color w:val="000000"/>
        </w:rPr>
        <w:t>RECURRENTE</w:t>
      </w:r>
      <w:r w:rsidRPr="00C84546">
        <w:rPr>
          <w:rFonts w:ascii="Palatino Linotype" w:hAnsi="Palatino Linotype"/>
          <w:color w:val="000000"/>
        </w:rPr>
        <w:t>, no hay</w:t>
      </w:r>
      <w:r w:rsidR="00A55ACE" w:rsidRPr="00C84546">
        <w:rPr>
          <w:rFonts w:ascii="Palatino Linotype" w:hAnsi="Palatino Linotype"/>
          <w:color w:val="000000"/>
        </w:rPr>
        <w:t xml:space="preserve"> </w:t>
      </w:r>
      <w:proofErr w:type="spellStart"/>
      <w:r w:rsidR="00A55ACE" w:rsidRPr="00C84546">
        <w:rPr>
          <w:rFonts w:ascii="Palatino Linotype" w:hAnsi="Palatino Linotype"/>
          <w:color w:val="000000"/>
        </w:rPr>
        <w:t>l</w:t>
      </w:r>
      <w:r w:rsidR="00083D1B" w:rsidRPr="00C84546">
        <w:rPr>
          <w:rFonts w:ascii="Palatino Linotype" w:hAnsi="Palatino Linotype"/>
          <w:color w:val="000000"/>
        </w:rPr>
        <w:t>itis</w:t>
      </w:r>
      <w:proofErr w:type="spellEnd"/>
      <w:r w:rsidR="00083D1B" w:rsidRPr="00C84546">
        <w:rPr>
          <w:rFonts w:ascii="Palatino Linotype" w:hAnsi="Palatino Linotype"/>
          <w:color w:val="000000"/>
        </w:rPr>
        <w:t xml:space="preserve"> sobre la cual pueda versar el recurso de revisión. </w:t>
      </w:r>
      <w:r w:rsidRPr="00C84546">
        <w:rPr>
          <w:rFonts w:ascii="Palatino Linotype" w:hAnsi="Palatino Linotype"/>
          <w:color w:val="000000"/>
        </w:rPr>
        <w:t xml:space="preserve"> </w:t>
      </w:r>
    </w:p>
    <w:p w14:paraId="30C9B20D" w14:textId="77777777" w:rsidR="008E6446" w:rsidRPr="00C84546" w:rsidRDefault="008E6446" w:rsidP="00E520D0">
      <w:pPr>
        <w:pStyle w:val="NormalWeb"/>
        <w:spacing w:before="0" w:beforeAutospacing="0" w:after="0" w:afterAutospacing="0" w:line="360" w:lineRule="auto"/>
        <w:jc w:val="both"/>
        <w:rPr>
          <w:rFonts w:ascii="Palatino Linotype" w:hAnsi="Palatino Linotype"/>
          <w:color w:val="000000"/>
        </w:rPr>
      </w:pPr>
    </w:p>
    <w:p w14:paraId="64980270" w14:textId="77777777" w:rsidR="00C9153D" w:rsidRPr="00C84546" w:rsidRDefault="00C9153D" w:rsidP="00E520D0">
      <w:pPr>
        <w:pStyle w:val="NormalWeb"/>
        <w:spacing w:before="0" w:beforeAutospacing="0" w:after="0" w:afterAutospacing="0" w:line="360" w:lineRule="auto"/>
        <w:jc w:val="both"/>
      </w:pPr>
      <w:r w:rsidRPr="00C84546">
        <w:rPr>
          <w:rFonts w:ascii="Palatino Linotype" w:hAnsi="Palatino Linotype"/>
          <w:color w:val="000000"/>
        </w:rPr>
        <w:t xml:space="preserve">En consecuencia, se determina </w:t>
      </w:r>
      <w:r w:rsidRPr="00C84546">
        <w:rPr>
          <w:rFonts w:ascii="Palatino Linotype" w:hAnsi="Palatino Linotype"/>
          <w:b/>
          <w:bCs/>
          <w:color w:val="000000"/>
        </w:rPr>
        <w:t>SOBRESEER</w:t>
      </w:r>
      <w:r w:rsidRPr="00C84546">
        <w:rPr>
          <w:rFonts w:ascii="Palatino Linotype" w:hAnsi="Palatino Linotype"/>
          <w:color w:val="000000"/>
        </w:rPr>
        <w:t xml:space="preserve"> el presente recurso de revisión, en términos del artículo 186, fracción I, de la Ley de Transparencia y Acceso a la Información Pública del Estado de México y Municipios:</w:t>
      </w:r>
    </w:p>
    <w:p w14:paraId="36A273E8" w14:textId="77777777" w:rsidR="00C9153D" w:rsidRPr="00C84546" w:rsidRDefault="00C9153D" w:rsidP="00C9153D"/>
    <w:p w14:paraId="1145505E" w14:textId="77777777" w:rsidR="00C9153D" w:rsidRPr="00C84546" w:rsidRDefault="00C9153D" w:rsidP="00C9153D">
      <w:pPr>
        <w:pStyle w:val="NormalWeb"/>
        <w:spacing w:before="0" w:beforeAutospacing="0" w:after="0" w:afterAutospacing="0"/>
        <w:ind w:left="851" w:right="901"/>
        <w:jc w:val="both"/>
      </w:pPr>
      <w:r w:rsidRPr="00C84546">
        <w:rPr>
          <w:rFonts w:ascii="Palatino Linotype" w:hAnsi="Palatino Linotype"/>
          <w:i/>
          <w:iCs/>
          <w:color w:val="000000"/>
          <w:sz w:val="22"/>
          <w:szCs w:val="22"/>
        </w:rPr>
        <w:t>“</w:t>
      </w:r>
      <w:r w:rsidRPr="00C84546">
        <w:rPr>
          <w:rFonts w:ascii="Palatino Linotype" w:hAnsi="Palatino Linotype"/>
          <w:b/>
          <w:bCs/>
          <w:i/>
          <w:iCs/>
          <w:color w:val="000000"/>
          <w:sz w:val="22"/>
          <w:szCs w:val="22"/>
        </w:rPr>
        <w:t xml:space="preserve">Artículo 186. </w:t>
      </w:r>
      <w:r w:rsidRPr="00C84546">
        <w:rPr>
          <w:rFonts w:ascii="Palatino Linotype" w:hAnsi="Palatino Linotype"/>
          <w:b/>
          <w:bCs/>
          <w:i/>
          <w:iCs/>
          <w:color w:val="000000"/>
          <w:sz w:val="22"/>
          <w:szCs w:val="22"/>
          <w:u w:val="single"/>
        </w:rPr>
        <w:t>Las resoluciones del Instituto podrán</w:t>
      </w:r>
      <w:r w:rsidRPr="00C84546">
        <w:rPr>
          <w:rFonts w:ascii="Palatino Linotype" w:hAnsi="Palatino Linotype"/>
          <w:i/>
          <w:iCs/>
          <w:color w:val="000000"/>
          <w:sz w:val="22"/>
          <w:szCs w:val="22"/>
        </w:rPr>
        <w:t>: </w:t>
      </w:r>
    </w:p>
    <w:p w14:paraId="2B28EBC2" w14:textId="77777777" w:rsidR="00C9153D" w:rsidRPr="00C84546" w:rsidRDefault="00C9153D" w:rsidP="00C9153D">
      <w:pPr>
        <w:pStyle w:val="NormalWeb"/>
        <w:spacing w:before="0" w:beforeAutospacing="0" w:after="0" w:afterAutospacing="0"/>
        <w:ind w:left="851" w:right="901"/>
        <w:jc w:val="both"/>
      </w:pPr>
      <w:r w:rsidRPr="00C84546">
        <w:rPr>
          <w:rFonts w:ascii="Palatino Linotype" w:hAnsi="Palatino Linotype"/>
          <w:b/>
          <w:bCs/>
          <w:i/>
          <w:iCs/>
          <w:color w:val="000000"/>
          <w:sz w:val="22"/>
          <w:szCs w:val="22"/>
        </w:rPr>
        <w:t xml:space="preserve">I. </w:t>
      </w:r>
      <w:r w:rsidRPr="00C84546">
        <w:rPr>
          <w:rFonts w:ascii="Palatino Linotype" w:hAnsi="Palatino Linotype"/>
          <w:i/>
          <w:iCs/>
          <w:color w:val="000000"/>
          <w:sz w:val="22"/>
          <w:szCs w:val="22"/>
        </w:rPr>
        <w:t xml:space="preserve">Desechar o </w:t>
      </w:r>
      <w:r w:rsidRPr="00C84546">
        <w:rPr>
          <w:rFonts w:ascii="Palatino Linotype" w:hAnsi="Palatino Linotype"/>
          <w:b/>
          <w:bCs/>
          <w:i/>
          <w:iCs/>
          <w:color w:val="000000"/>
          <w:sz w:val="22"/>
          <w:szCs w:val="22"/>
          <w:u w:val="single"/>
        </w:rPr>
        <w:t>sobreseer el recurso</w:t>
      </w:r>
      <w:r w:rsidRPr="00C84546">
        <w:rPr>
          <w:rFonts w:ascii="Palatino Linotype" w:hAnsi="Palatino Linotype"/>
          <w:i/>
          <w:iCs/>
          <w:color w:val="000000"/>
          <w:sz w:val="22"/>
          <w:szCs w:val="22"/>
        </w:rPr>
        <w:t>;” </w:t>
      </w:r>
    </w:p>
    <w:p w14:paraId="5BE94180" w14:textId="77777777" w:rsidR="00C9153D" w:rsidRPr="00C84546" w:rsidRDefault="00C9153D" w:rsidP="00C9153D">
      <w:pPr>
        <w:pStyle w:val="NormalWeb"/>
        <w:spacing w:before="0" w:beforeAutospacing="0" w:after="0" w:afterAutospacing="0"/>
        <w:ind w:left="851" w:right="901"/>
        <w:jc w:val="both"/>
      </w:pPr>
      <w:r w:rsidRPr="00C84546">
        <w:rPr>
          <w:rFonts w:ascii="Palatino Linotype" w:hAnsi="Palatino Linotype"/>
          <w:color w:val="000000"/>
          <w:sz w:val="22"/>
          <w:szCs w:val="22"/>
        </w:rPr>
        <w:t>(Énfasis añadido)</w:t>
      </w:r>
    </w:p>
    <w:p w14:paraId="1E82A50B" w14:textId="77777777" w:rsidR="00C9153D" w:rsidRPr="00C84546" w:rsidRDefault="00C9153D" w:rsidP="00C9153D"/>
    <w:p w14:paraId="15024CCC" w14:textId="77777777" w:rsidR="00C9153D" w:rsidRPr="00C84546" w:rsidRDefault="00C9153D" w:rsidP="00E520D0">
      <w:pPr>
        <w:pStyle w:val="NormalWeb"/>
        <w:spacing w:before="0" w:beforeAutospacing="0" w:after="0" w:afterAutospacing="0" w:line="360" w:lineRule="auto"/>
        <w:jc w:val="both"/>
      </w:pPr>
      <w:r w:rsidRPr="00C84546">
        <w:rPr>
          <w:rFonts w:ascii="Palatino Linotype" w:hAnsi="Palatino Linotype"/>
          <w:color w:val="000000"/>
        </w:rPr>
        <w:t xml:space="preserve">Derivado de lo anterior, es conveniente referir que este Órgano Garante no se pronuncia de las razones o motivos de inconformidad expuestos por </w:t>
      </w:r>
      <w:r w:rsidRPr="00C84546">
        <w:rPr>
          <w:rFonts w:ascii="Palatino Linotype" w:hAnsi="Palatino Linotype"/>
          <w:b/>
          <w:bCs/>
          <w:color w:val="000000"/>
        </w:rPr>
        <w:t>EL RECURRENTE</w:t>
      </w:r>
      <w:r w:rsidRPr="00C84546">
        <w:rPr>
          <w:rFonts w:ascii="Palatino Linotype" w:hAnsi="Palatino Linotype"/>
          <w:color w:val="000000"/>
        </w:rPr>
        <w:t>, siendo aplicable la jurisprudencia de la décima época visible en el Semanario Judicial de la Federación y su Gaceta. Instancia: Segunda Sala. Tesis 2a</w:t>
      </w:r>
      <w:proofErr w:type="gramStart"/>
      <w:r w:rsidRPr="00C84546">
        <w:rPr>
          <w:rFonts w:ascii="Palatino Linotype" w:hAnsi="Palatino Linotype"/>
          <w:color w:val="000000"/>
        </w:rPr>
        <w:t>./</w:t>
      </w:r>
      <w:proofErr w:type="gramEnd"/>
      <w:r w:rsidRPr="00C84546">
        <w:rPr>
          <w:rFonts w:ascii="Palatino Linotype" w:hAnsi="Palatino Linotype"/>
          <w:color w:val="000000"/>
        </w:rPr>
        <w:t>J. 82/2016 (10a.) bajo el número de registro 2012059 cuyo rubro y texto esgrime:</w:t>
      </w:r>
    </w:p>
    <w:p w14:paraId="1448F19F" w14:textId="77777777" w:rsidR="00C9153D" w:rsidRPr="00C84546" w:rsidRDefault="00C9153D" w:rsidP="00E520D0">
      <w:pPr>
        <w:spacing w:line="360" w:lineRule="auto"/>
      </w:pPr>
    </w:p>
    <w:p w14:paraId="4D6A2D7D" w14:textId="77777777" w:rsidR="00C9153D" w:rsidRPr="00C84546" w:rsidRDefault="00C9153D" w:rsidP="00C9153D">
      <w:pPr>
        <w:pStyle w:val="NormalWeb"/>
        <w:spacing w:before="0" w:beforeAutospacing="0" w:after="0" w:afterAutospacing="0"/>
        <w:ind w:left="851" w:right="901"/>
        <w:jc w:val="both"/>
      </w:pPr>
      <w:r w:rsidRPr="00C84546">
        <w:rPr>
          <w:rFonts w:ascii="Palatino Linotype" w:hAnsi="Palatino Linotype"/>
          <w:b/>
          <w:bCs/>
          <w:i/>
          <w:iCs/>
          <w:color w:val="000000"/>
          <w:sz w:val="22"/>
          <w:szCs w:val="22"/>
        </w:rPr>
        <w:t>“DESISTIMIENTO DE LA ACCIÓN DE AMPARO. SUS CONSECUENCIAS.</w:t>
      </w:r>
    </w:p>
    <w:p w14:paraId="2E20FE78" w14:textId="1D2D8CA4" w:rsidR="00C9153D" w:rsidRPr="00C84546" w:rsidRDefault="00C9153D" w:rsidP="00E520D0">
      <w:pPr>
        <w:pStyle w:val="NormalWeb"/>
        <w:spacing w:before="0" w:beforeAutospacing="0" w:after="0" w:afterAutospacing="0"/>
        <w:ind w:left="851" w:right="901"/>
        <w:jc w:val="both"/>
        <w:rPr>
          <w:rFonts w:ascii="Palatino Linotype" w:hAnsi="Palatino Linotype"/>
          <w:i/>
          <w:iCs/>
          <w:color w:val="000000"/>
          <w:sz w:val="22"/>
          <w:szCs w:val="22"/>
        </w:rPr>
      </w:pPr>
      <w:r w:rsidRPr="00C84546">
        <w:rPr>
          <w:rFonts w:ascii="Palatino Linotype" w:hAnsi="Palatino Linotype"/>
          <w:i/>
          <w:iCs/>
          <w:color w:val="000000"/>
          <w:sz w:val="22"/>
          <w:szCs w:val="22"/>
        </w:rPr>
        <w:t xml:space="preserve">El desistimiento de la acción de amparo consiste en la declaración de voluntad del quejoso de no proseguir con el juicio, el cual, debidamente ratificado, conlleva emitir una resolución con la </w:t>
      </w:r>
      <w:r w:rsidRPr="00C84546">
        <w:rPr>
          <w:rFonts w:ascii="Palatino Linotype" w:hAnsi="Palatino Linotype"/>
          <w:b/>
          <w:bCs/>
          <w:i/>
          <w:iCs/>
          <w:color w:val="000000"/>
          <w:sz w:val="22"/>
          <w:szCs w:val="22"/>
        </w:rPr>
        <w:t>que finaliza la instancia</w:t>
      </w:r>
      <w:r w:rsidRPr="00C84546">
        <w:rPr>
          <w:rFonts w:ascii="Palatino Linotype" w:hAnsi="Palatino Linotype"/>
          <w:i/>
          <w:iCs/>
          <w:color w:val="000000"/>
          <w:sz w:val="22"/>
          <w:szCs w:val="22"/>
        </w:rPr>
        <w:t xml:space="preserve"> de amparo, </w:t>
      </w:r>
      <w:r w:rsidRPr="00C84546">
        <w:rPr>
          <w:rFonts w:ascii="Palatino Linotype" w:hAnsi="Palatino Linotype"/>
          <w:b/>
          <w:bCs/>
          <w:i/>
          <w:iCs/>
          <w:color w:val="000000"/>
          <w:sz w:val="22"/>
          <w:szCs w:val="22"/>
        </w:rPr>
        <w:t>independientemente de la etapa en que se encuentre (desde el inicio del juicio hasta antes de que cause ejecutoria la sentencia que se dicte)</w:t>
      </w:r>
      <w:r w:rsidRPr="00C84546">
        <w:rPr>
          <w:rFonts w:ascii="Palatino Linotype" w:hAnsi="Palatino Linotype"/>
          <w:i/>
          <w:iCs/>
          <w:color w:val="000000"/>
          <w:sz w:val="22"/>
          <w:szCs w:val="22"/>
        </w:rPr>
        <w:t xml:space="preserve"> y </w:t>
      </w:r>
      <w:r w:rsidRPr="00C84546">
        <w:rPr>
          <w:rFonts w:ascii="Palatino Linotype" w:hAnsi="Palatino Linotype"/>
          <w:b/>
          <w:bCs/>
          <w:i/>
          <w:iCs/>
          <w:color w:val="000000"/>
          <w:sz w:val="22"/>
          <w:szCs w:val="22"/>
        </w:rPr>
        <w:t xml:space="preserve">sin </w:t>
      </w:r>
      <w:r w:rsidRPr="00C84546">
        <w:rPr>
          <w:rFonts w:ascii="Palatino Linotype" w:hAnsi="Palatino Linotype"/>
          <w:b/>
          <w:bCs/>
          <w:i/>
          <w:iCs/>
          <w:color w:val="000000"/>
          <w:sz w:val="22"/>
          <w:szCs w:val="22"/>
        </w:rPr>
        <w:lastRenderedPageBreak/>
        <w:t>necesidad de examinar los conceptos de violación o, en su caso, los agravios.</w:t>
      </w:r>
      <w:r w:rsidR="00E520D0" w:rsidRPr="00C84546">
        <w:t>”</w:t>
      </w:r>
      <w:r w:rsidR="00E520D0" w:rsidRPr="00C84546">
        <w:rPr>
          <w:rFonts w:ascii="Palatino Linotype" w:hAnsi="Palatino Linotype"/>
          <w:i/>
          <w:iCs/>
          <w:color w:val="000000"/>
          <w:sz w:val="22"/>
          <w:szCs w:val="22"/>
        </w:rPr>
        <w:t xml:space="preserve"> (S</w:t>
      </w:r>
      <w:r w:rsidRPr="00C84546">
        <w:rPr>
          <w:rFonts w:ascii="Palatino Linotype" w:hAnsi="Palatino Linotype"/>
          <w:i/>
          <w:iCs/>
          <w:color w:val="000000"/>
          <w:sz w:val="22"/>
          <w:szCs w:val="22"/>
        </w:rPr>
        <w:t>ic)</w:t>
      </w:r>
    </w:p>
    <w:p w14:paraId="77793BC7" w14:textId="2B6A3A66" w:rsidR="00E520D0" w:rsidRPr="00C84546" w:rsidRDefault="00E520D0" w:rsidP="00E520D0">
      <w:pPr>
        <w:pStyle w:val="NormalWeb"/>
        <w:spacing w:before="0" w:beforeAutospacing="0" w:after="0" w:afterAutospacing="0"/>
        <w:ind w:left="851" w:right="901"/>
        <w:jc w:val="both"/>
      </w:pPr>
      <w:r w:rsidRPr="00C84546">
        <w:rPr>
          <w:rFonts w:ascii="Palatino Linotype" w:hAnsi="Palatino Linotype"/>
          <w:i/>
          <w:iCs/>
          <w:color w:val="000000"/>
          <w:sz w:val="22"/>
          <w:szCs w:val="22"/>
        </w:rPr>
        <w:t>(Énfasis añadid)</w:t>
      </w:r>
    </w:p>
    <w:p w14:paraId="42CF1AFC" w14:textId="77777777" w:rsidR="00C9153D" w:rsidRPr="00C84546" w:rsidRDefault="00C9153D" w:rsidP="00C9153D"/>
    <w:p w14:paraId="1E4B03C6" w14:textId="605EEF1E" w:rsidR="00C9153D" w:rsidRPr="00C84546" w:rsidRDefault="0082556B" w:rsidP="00E520D0">
      <w:pPr>
        <w:pStyle w:val="NormalWeb"/>
        <w:spacing w:before="0" w:beforeAutospacing="0" w:after="0" w:afterAutospacing="0" w:line="360" w:lineRule="auto"/>
        <w:ind w:right="51"/>
        <w:jc w:val="both"/>
        <w:rPr>
          <w:rFonts w:ascii="Palatino Linotype" w:hAnsi="Palatino Linotype"/>
          <w:color w:val="000000"/>
        </w:rPr>
      </w:pPr>
      <w:r w:rsidRPr="00C84546">
        <w:rPr>
          <w:rFonts w:ascii="Palatino Linotype" w:hAnsi="Palatino Linotype"/>
          <w:color w:val="000000"/>
        </w:rPr>
        <w:t>Por lo que</w:t>
      </w:r>
      <w:r w:rsidR="00C9153D" w:rsidRPr="00C84546">
        <w:rPr>
          <w:rFonts w:ascii="Palatino Linotype" w:hAnsi="Palatino Linotype"/>
          <w:color w:val="000000"/>
        </w:rPr>
        <w:t>, se concluye que la manifestación de la voluntad de</w:t>
      </w:r>
      <w:r w:rsidRPr="00C84546">
        <w:rPr>
          <w:rFonts w:ascii="Palatino Linotype" w:hAnsi="Palatino Linotype"/>
          <w:color w:val="000000"/>
        </w:rPr>
        <w:t>l</w:t>
      </w:r>
      <w:r w:rsidR="00C9153D" w:rsidRPr="00C84546">
        <w:rPr>
          <w:rFonts w:ascii="Palatino Linotype" w:hAnsi="Palatino Linotype"/>
          <w:color w:val="000000"/>
        </w:rPr>
        <w:t xml:space="preserve"> </w:t>
      </w:r>
      <w:proofErr w:type="spellStart"/>
      <w:r w:rsidRPr="00C84546">
        <w:rPr>
          <w:rFonts w:ascii="Palatino Linotype" w:hAnsi="Palatino Linotype"/>
          <w:color w:val="000000"/>
        </w:rPr>
        <w:t>promovente</w:t>
      </w:r>
      <w:proofErr w:type="spellEnd"/>
      <w:r w:rsidRPr="00C84546">
        <w:rPr>
          <w:rFonts w:ascii="Palatino Linotype" w:hAnsi="Palatino Linotype"/>
          <w:color w:val="000000"/>
        </w:rPr>
        <w:t xml:space="preserve"> </w:t>
      </w:r>
      <w:r w:rsidR="00C9153D" w:rsidRPr="00C84546">
        <w:rPr>
          <w:rFonts w:ascii="Palatino Linotype" w:hAnsi="Palatino Linotype"/>
          <w:color w:val="000000"/>
        </w:rPr>
        <w:t xml:space="preserve">respecto a desistirse de la acción ejercida, se entiende que este acepta de manera expresa que el procedimiento concluya sin </w:t>
      </w:r>
      <w:r w:rsidRPr="00C84546">
        <w:rPr>
          <w:rFonts w:ascii="Palatino Linotype" w:hAnsi="Palatino Linotype"/>
          <w:color w:val="000000"/>
        </w:rPr>
        <w:t xml:space="preserve">que existan </w:t>
      </w:r>
      <w:r w:rsidR="00C9153D" w:rsidRPr="00C84546">
        <w:rPr>
          <w:rFonts w:ascii="Palatino Linotype" w:hAnsi="Palatino Linotype"/>
          <w:color w:val="000000"/>
        </w:rPr>
        <w:t>consecuencias de derecho; asimismo, como lo señala la tesis aislada, el desistimiento del recurso por parte del actor gen</w:t>
      </w:r>
      <w:r w:rsidRPr="00C84546">
        <w:rPr>
          <w:rFonts w:ascii="Palatino Linotype" w:hAnsi="Palatino Linotype"/>
          <w:color w:val="000000"/>
        </w:rPr>
        <w:t xml:space="preserve">era que el Órgano </w:t>
      </w:r>
      <w:proofErr w:type="spellStart"/>
      <w:r w:rsidRPr="00C84546">
        <w:rPr>
          <w:rFonts w:ascii="Palatino Linotype" w:hAnsi="Palatino Linotype"/>
          <w:color w:val="000000"/>
        </w:rPr>
        <w:t>Resolutor</w:t>
      </w:r>
      <w:proofErr w:type="spellEnd"/>
      <w:r w:rsidRPr="00C84546">
        <w:rPr>
          <w:rFonts w:ascii="Palatino Linotype" w:hAnsi="Palatino Linotype"/>
          <w:color w:val="000000"/>
        </w:rPr>
        <w:t>, no entre al análisis de los planteamientos señalados</w:t>
      </w:r>
      <w:r w:rsidR="00C9153D" w:rsidRPr="00C84546">
        <w:rPr>
          <w:rFonts w:ascii="Palatino Linotype" w:hAnsi="Palatino Linotype"/>
          <w:color w:val="000000"/>
        </w:rPr>
        <w:t xml:space="preserve"> en la Litis y únicamente realizar el análisis respecto a las actuaciones que subsistan, sin necesidad de examinar los agravios planteados.</w:t>
      </w:r>
    </w:p>
    <w:p w14:paraId="1B4D7A1E" w14:textId="77777777" w:rsidR="00A55ACE" w:rsidRPr="00C84546" w:rsidRDefault="00A55ACE" w:rsidP="00E520D0">
      <w:pPr>
        <w:pStyle w:val="NormalWeb"/>
        <w:spacing w:before="0" w:beforeAutospacing="0" w:after="0" w:afterAutospacing="0" w:line="360" w:lineRule="auto"/>
        <w:ind w:right="51"/>
        <w:jc w:val="both"/>
        <w:rPr>
          <w:rFonts w:ascii="Palatino Linotype" w:hAnsi="Palatino Linotype"/>
          <w:color w:val="000000"/>
        </w:rPr>
      </w:pPr>
    </w:p>
    <w:p w14:paraId="42DF984D" w14:textId="77777777" w:rsidR="00182A80" w:rsidRPr="00C84546" w:rsidRDefault="00182A80" w:rsidP="00E520D0">
      <w:pPr>
        <w:pStyle w:val="NormalWeb"/>
        <w:spacing w:before="0" w:beforeAutospacing="0" w:after="0" w:afterAutospacing="0" w:line="360" w:lineRule="auto"/>
        <w:ind w:right="51"/>
        <w:jc w:val="both"/>
        <w:rPr>
          <w:rFonts w:ascii="Palatino Linotype" w:hAnsi="Palatino Linotype"/>
        </w:rPr>
      </w:pPr>
      <w:r w:rsidRPr="00C84546">
        <w:rPr>
          <w:rFonts w:ascii="Palatino Linotype" w:hAnsi="Palatino Linotype"/>
        </w:rPr>
        <w:t xml:space="preserve">Sirve como apoyo a lo anterior, la jurisprudencia emitida por la Segunda Sala de la Suprema Corte de Justicia de la Nación, que señala lo siguiente: </w:t>
      </w:r>
    </w:p>
    <w:p w14:paraId="06529F81" w14:textId="0D3B6F43" w:rsidR="00A55ACE" w:rsidRPr="00C84546" w:rsidRDefault="00182A80" w:rsidP="00182A80">
      <w:pPr>
        <w:pStyle w:val="NormalWeb"/>
        <w:spacing w:before="0" w:beforeAutospacing="0" w:after="0" w:afterAutospacing="0" w:line="360" w:lineRule="auto"/>
        <w:ind w:left="851" w:right="616"/>
        <w:jc w:val="both"/>
        <w:rPr>
          <w:rFonts w:ascii="Palatino Linotype" w:hAnsi="Palatino Linotype"/>
          <w:i/>
        </w:rPr>
      </w:pPr>
      <w:r w:rsidRPr="00C84546">
        <w:rPr>
          <w:rFonts w:ascii="Palatino Linotype" w:hAnsi="Palatino Linotype"/>
          <w:b/>
          <w:i/>
        </w:rPr>
        <w:t>“SOBRESEIMIENTO. NO PERMITE ENTRAR AL ESTUDIO DE LAS CUESTIONES DE FONDO.</w:t>
      </w:r>
      <w:r w:rsidRPr="00C84546">
        <w:rPr>
          <w:rFonts w:ascii="Palatino Linotype" w:hAnsi="Palatino Linotype"/>
          <w:i/>
        </w:rPr>
        <w:t xml:space="preserve"> No causa agravio la sentencia que no se ocupa de los razonamientos tendientes a demostrar la violación de garantías individuales por los actos reclamados de las autoridades responsables, que constituyen el problema de fondo, si se decreta el sobreseimiento del juicio.”(Sic)</w:t>
      </w:r>
    </w:p>
    <w:p w14:paraId="3C280581" w14:textId="77777777" w:rsidR="00182A80" w:rsidRPr="00C84546" w:rsidRDefault="00182A80" w:rsidP="00182A80">
      <w:pPr>
        <w:pStyle w:val="NormalWeb"/>
        <w:spacing w:before="0" w:beforeAutospacing="0" w:after="0" w:afterAutospacing="0" w:line="360" w:lineRule="auto"/>
        <w:ind w:left="851" w:right="616"/>
        <w:jc w:val="both"/>
        <w:rPr>
          <w:rFonts w:ascii="Palatino Linotype" w:hAnsi="Palatino Linotype"/>
          <w:i/>
        </w:rPr>
      </w:pPr>
    </w:p>
    <w:p w14:paraId="2509B97C" w14:textId="6895B71F" w:rsidR="00C9153D" w:rsidRPr="00C84546" w:rsidRDefault="00182A80" w:rsidP="00E520D0">
      <w:pPr>
        <w:widowControl w:val="0"/>
        <w:tabs>
          <w:tab w:val="left" w:pos="1701"/>
          <w:tab w:val="left" w:pos="1843"/>
        </w:tabs>
        <w:autoSpaceDE w:val="0"/>
        <w:autoSpaceDN w:val="0"/>
        <w:adjustRightInd w:val="0"/>
        <w:spacing w:line="360" w:lineRule="auto"/>
        <w:ind w:right="-518"/>
        <w:jc w:val="both"/>
        <w:rPr>
          <w:rFonts w:ascii="Palatino Linotype" w:eastAsiaTheme="minorEastAsia" w:hAnsi="Palatino Linotype" w:cs="Arial"/>
          <w:lang w:val="es-ES_tradnl"/>
        </w:rPr>
      </w:pPr>
      <w:r w:rsidRPr="00C84546">
        <w:rPr>
          <w:rFonts w:ascii="Palatino Linotype" w:eastAsiaTheme="minorEastAsia" w:hAnsi="Palatino Linotype" w:cs="Arial"/>
          <w:lang w:val="es-ES_tradnl"/>
        </w:rPr>
        <w:t>Ambas tesis citadas con anterioridad, versan en el m</w:t>
      </w:r>
      <w:r w:rsidR="005676CC" w:rsidRPr="00C84546">
        <w:rPr>
          <w:rFonts w:ascii="Palatino Linotype" w:eastAsiaTheme="minorEastAsia" w:hAnsi="Palatino Linotype" w:cs="Arial"/>
          <w:lang w:val="es-ES_tradnl"/>
        </w:rPr>
        <w:t xml:space="preserve">ismo sentido, estableciendo que al existir un desistimiento expreso por parte del </w:t>
      </w:r>
      <w:r w:rsidR="005676CC" w:rsidRPr="00C84546">
        <w:rPr>
          <w:rFonts w:ascii="Palatino Linotype" w:eastAsiaTheme="minorEastAsia" w:hAnsi="Palatino Linotype" w:cs="Arial"/>
          <w:b/>
          <w:lang w:val="es-ES_tradnl"/>
        </w:rPr>
        <w:t xml:space="preserve">RECURRENTE </w:t>
      </w:r>
      <w:r w:rsidR="005676CC" w:rsidRPr="00C84546">
        <w:rPr>
          <w:rFonts w:ascii="Palatino Linotype" w:eastAsiaTheme="minorEastAsia" w:hAnsi="Palatino Linotype" w:cs="Arial"/>
          <w:lang w:val="es-ES_tradnl"/>
        </w:rPr>
        <w:t>y, en consecuencia un sobreseimiento</w:t>
      </w:r>
      <w:r w:rsidR="0071218A" w:rsidRPr="00C84546">
        <w:rPr>
          <w:rFonts w:ascii="Palatino Linotype" w:eastAsiaTheme="minorEastAsia" w:hAnsi="Palatino Linotype" w:cs="Arial"/>
          <w:lang w:val="es-ES_tradnl"/>
        </w:rPr>
        <w:t xml:space="preserve">, el procedimiento finaliza independientemente de la etapa en la que se encuentra y por lo tanto no es materia de la presente resolución el estudio de las cuestiones de fondo del asunto. </w:t>
      </w:r>
    </w:p>
    <w:p w14:paraId="529F1719" w14:textId="77777777" w:rsidR="0071218A" w:rsidRPr="00C84546" w:rsidRDefault="0071218A" w:rsidP="00E520D0">
      <w:pPr>
        <w:widowControl w:val="0"/>
        <w:tabs>
          <w:tab w:val="left" w:pos="1701"/>
          <w:tab w:val="left" w:pos="1843"/>
        </w:tabs>
        <w:autoSpaceDE w:val="0"/>
        <w:autoSpaceDN w:val="0"/>
        <w:adjustRightInd w:val="0"/>
        <w:spacing w:line="360" w:lineRule="auto"/>
        <w:ind w:right="-518"/>
        <w:jc w:val="both"/>
        <w:rPr>
          <w:rFonts w:ascii="Palatino Linotype" w:eastAsiaTheme="minorEastAsia" w:hAnsi="Palatino Linotype" w:cs="Arial"/>
          <w:lang w:val="es-ES_tradnl"/>
        </w:rPr>
      </w:pPr>
    </w:p>
    <w:p w14:paraId="3C45F712" w14:textId="05CE84DF" w:rsidR="0071218A" w:rsidRPr="00C84546" w:rsidRDefault="0071218A" w:rsidP="00E520D0">
      <w:pPr>
        <w:widowControl w:val="0"/>
        <w:tabs>
          <w:tab w:val="left" w:pos="1701"/>
          <w:tab w:val="left" w:pos="1843"/>
        </w:tabs>
        <w:autoSpaceDE w:val="0"/>
        <w:autoSpaceDN w:val="0"/>
        <w:adjustRightInd w:val="0"/>
        <w:spacing w:line="360" w:lineRule="auto"/>
        <w:ind w:right="-518"/>
        <w:jc w:val="both"/>
        <w:rPr>
          <w:rFonts w:ascii="Palatino Linotype" w:eastAsiaTheme="minorEastAsia" w:hAnsi="Palatino Linotype" w:cs="Arial"/>
          <w:lang w:val="es-ES_tradnl"/>
        </w:rPr>
      </w:pPr>
      <w:r w:rsidRPr="00C84546">
        <w:rPr>
          <w:rFonts w:ascii="Palatino Linotype" w:eastAsiaTheme="minorEastAsia" w:hAnsi="Palatino Linotype" w:cs="Arial"/>
          <w:lang w:val="es-ES_tradnl"/>
        </w:rPr>
        <w:t xml:space="preserve">En ese sentido y atendiendo al caso en concreto, </w:t>
      </w:r>
      <w:r w:rsidR="00E04F43" w:rsidRPr="00C84546">
        <w:rPr>
          <w:rFonts w:ascii="Palatino Linotype" w:eastAsiaTheme="minorEastAsia" w:hAnsi="Palatino Linotype" w:cs="Arial"/>
          <w:lang w:val="es-ES_tradnl"/>
        </w:rPr>
        <w:t>d</w:t>
      </w:r>
      <w:r w:rsidRPr="00C84546">
        <w:rPr>
          <w:rFonts w:ascii="Palatino Linotype" w:eastAsiaTheme="minorEastAsia" w:hAnsi="Palatino Linotype" w:cs="Arial"/>
          <w:lang w:val="es-ES_tradnl"/>
        </w:rPr>
        <w:t xml:space="preserve">icho estudio resulta igualmente innecesario, dado que el mismo </w:t>
      </w:r>
      <w:r w:rsidRPr="00C84546">
        <w:rPr>
          <w:rFonts w:ascii="Palatino Linotype" w:eastAsiaTheme="minorEastAsia" w:hAnsi="Palatino Linotype" w:cs="Arial"/>
          <w:b/>
          <w:lang w:val="es-ES_tradnl"/>
        </w:rPr>
        <w:t xml:space="preserve">RECURRENTE </w:t>
      </w:r>
      <w:r w:rsidRPr="00C84546">
        <w:rPr>
          <w:rFonts w:ascii="Palatino Linotype" w:eastAsiaTheme="minorEastAsia" w:hAnsi="Palatino Linotype" w:cs="Arial"/>
          <w:lang w:val="es-ES_tradnl"/>
        </w:rPr>
        <w:t xml:space="preserve">manifiesta su conformidad con la información obtenida vía Informe Justificado al desistirse de continuar con el procedimiento. </w:t>
      </w:r>
    </w:p>
    <w:p w14:paraId="48BE2555" w14:textId="77777777" w:rsidR="00182A80" w:rsidRPr="00C84546" w:rsidRDefault="00182A80" w:rsidP="00E520D0">
      <w:pPr>
        <w:widowControl w:val="0"/>
        <w:tabs>
          <w:tab w:val="left" w:pos="1701"/>
          <w:tab w:val="left" w:pos="1843"/>
        </w:tabs>
        <w:autoSpaceDE w:val="0"/>
        <w:autoSpaceDN w:val="0"/>
        <w:adjustRightInd w:val="0"/>
        <w:spacing w:line="360" w:lineRule="auto"/>
        <w:ind w:right="-518"/>
        <w:jc w:val="both"/>
        <w:rPr>
          <w:rFonts w:ascii="Palatino Linotype" w:eastAsiaTheme="minorEastAsia" w:hAnsi="Palatino Linotype" w:cs="Arial"/>
          <w:lang w:val="es-ES_tradnl"/>
        </w:rPr>
      </w:pPr>
    </w:p>
    <w:p w14:paraId="739F9FFA" w14:textId="42AC5EE4" w:rsidR="00083D1B" w:rsidRPr="00C84546" w:rsidRDefault="001F19BC" w:rsidP="00F635D1">
      <w:pPr>
        <w:widowControl w:val="0"/>
        <w:autoSpaceDE w:val="0"/>
        <w:autoSpaceDN w:val="0"/>
        <w:adjustRightInd w:val="0"/>
        <w:spacing w:line="360" w:lineRule="auto"/>
        <w:jc w:val="both"/>
        <w:rPr>
          <w:rFonts w:ascii="Palatino Linotype" w:eastAsia="Calibri" w:hAnsi="Palatino Linotype" w:cs="Arial"/>
          <w:color w:val="000000" w:themeColor="text1"/>
        </w:rPr>
      </w:pPr>
      <w:r w:rsidRPr="00C84546">
        <w:rPr>
          <w:rFonts w:ascii="Palatino Linotype" w:eastAsia="Calibri" w:hAnsi="Palatino Linotype" w:cs="Arial"/>
          <w:color w:val="000000" w:themeColor="text1"/>
        </w:rPr>
        <w:t xml:space="preserve">Así, con </w:t>
      </w:r>
      <w:r w:rsidRPr="00C84546">
        <w:rPr>
          <w:rFonts w:ascii="Palatino Linotype" w:hAnsi="Palatino Linotype" w:cs="Arial"/>
          <w:color w:val="000000" w:themeColor="text1"/>
        </w:rPr>
        <w:t>fundamento</w:t>
      </w:r>
      <w:r w:rsidRPr="00C84546">
        <w:rPr>
          <w:rFonts w:ascii="Palatino Linotype" w:eastAsia="Calibri" w:hAnsi="Palatino Linotype" w:cs="Arial"/>
          <w:color w:val="000000" w:themeColor="text1"/>
        </w:rPr>
        <w:t xml:space="preserve"> en lo prescrito en los artículos 5, </w:t>
      </w:r>
      <w:r w:rsidRPr="00C84546">
        <w:rPr>
          <w:rFonts w:ascii="Palatino Linotype" w:eastAsia="Calibri" w:hAnsi="Palatino Linotype" w:cs="Arial"/>
          <w:color w:val="000000" w:themeColor="text1"/>
          <w:lang w:val="es-ES_tradnl"/>
        </w:rPr>
        <w:t xml:space="preserve">párrafos </w:t>
      </w:r>
      <w:bookmarkStart w:id="1" w:name="_Hlk65874252"/>
      <w:r w:rsidRPr="00C84546">
        <w:rPr>
          <w:rFonts w:ascii="Palatino Linotype" w:eastAsia="Calibri" w:hAnsi="Palatino Linotype" w:cs="Arial"/>
          <w:color w:val="000000" w:themeColor="text1"/>
          <w:lang w:val="es-ES_tradnl"/>
        </w:rPr>
        <w:t>trigésimo, trigésimo primero y trigésimo segundo</w:t>
      </w:r>
      <w:bookmarkEnd w:id="1"/>
      <w:r w:rsidRPr="00C84546">
        <w:rPr>
          <w:rFonts w:ascii="Palatino Linotype" w:hAnsi="Palatino Linotype" w:cs="Arial"/>
          <w:color w:val="000000" w:themeColor="text1"/>
        </w:rPr>
        <w:t>,</w:t>
      </w:r>
      <w:r w:rsidRPr="00C84546">
        <w:rPr>
          <w:rFonts w:ascii="Palatino Linotype" w:hAnsi="Palatino Linotype"/>
          <w:color w:val="000000" w:themeColor="text1"/>
        </w:rPr>
        <w:t xml:space="preserve"> fracciones IV y V,</w:t>
      </w:r>
      <w:r w:rsidRPr="00C84546">
        <w:rPr>
          <w:rFonts w:ascii="Palatino Linotype" w:eastAsia="Calibri" w:hAnsi="Palatino Linotype" w:cs="Arial"/>
          <w:color w:val="000000" w:themeColor="text1"/>
        </w:rPr>
        <w:t xml:space="preserve"> de la Constitución Política del Estado Libre y Soberano de </w:t>
      </w:r>
      <w:r w:rsidRPr="00C84546">
        <w:rPr>
          <w:rFonts w:ascii="Palatino Linotype" w:hAnsi="Palatino Linotype" w:cs="Arial"/>
          <w:color w:val="000000" w:themeColor="text1"/>
          <w:lang w:val="es-ES_tradnl"/>
        </w:rPr>
        <w:t>México</w:t>
      </w:r>
      <w:r w:rsidRPr="00C84546">
        <w:rPr>
          <w:rFonts w:ascii="Palatino Linotype" w:eastAsia="Calibri" w:hAnsi="Palatino Linotype" w:cs="Arial"/>
          <w:color w:val="000000" w:themeColor="text1"/>
        </w:rPr>
        <w:t xml:space="preserve">, y los artículos </w:t>
      </w:r>
      <w:r w:rsidRPr="00C84546">
        <w:rPr>
          <w:rFonts w:ascii="Palatino Linotype" w:hAnsi="Palatino Linotype"/>
          <w:color w:val="000000" w:themeColor="text1"/>
        </w:rPr>
        <w:t xml:space="preserve">2, </w:t>
      </w:r>
      <w:r w:rsidRPr="00C84546">
        <w:rPr>
          <w:rFonts w:ascii="Palatino Linotype" w:hAnsi="Palatino Linotype" w:cs="Arial"/>
          <w:color w:val="000000" w:themeColor="text1"/>
        </w:rPr>
        <w:t>fracción</w:t>
      </w:r>
      <w:r w:rsidRPr="00C84546">
        <w:rPr>
          <w:rFonts w:ascii="Palatino Linotype" w:hAnsi="Palatino Linotype"/>
          <w:color w:val="000000" w:themeColor="text1"/>
        </w:rPr>
        <w:t xml:space="preserve"> II, 9, </w:t>
      </w:r>
      <w:r w:rsidRPr="00C84546">
        <w:rPr>
          <w:rFonts w:ascii="Palatino Linotype" w:hAnsi="Palatino Linotype" w:cs="Arial"/>
          <w:color w:val="000000" w:themeColor="text1"/>
          <w:lang w:val="es-ES_tradnl"/>
        </w:rPr>
        <w:t>29</w:t>
      </w:r>
      <w:r w:rsidRPr="00C84546">
        <w:rPr>
          <w:rFonts w:ascii="Palatino Linotype" w:hAnsi="Palatino Linotype"/>
          <w:color w:val="000000" w:themeColor="text1"/>
        </w:rPr>
        <w:t>, 36, fracciones I y II, 176, 178, 179, 181, 185, fracción I, 186 y 188,</w:t>
      </w:r>
      <w:r w:rsidRPr="00C84546">
        <w:rPr>
          <w:rFonts w:ascii="Palatino Linotype" w:eastAsia="Calibri" w:hAnsi="Palatino Linotype" w:cs="Arial"/>
          <w:color w:val="000000" w:themeColor="text1"/>
        </w:rPr>
        <w:t xml:space="preserve"> de la Ley de Transparencia y Acceso a la Información Pública del Estado de México y </w:t>
      </w:r>
      <w:r w:rsidRPr="00C84546">
        <w:rPr>
          <w:rFonts w:ascii="Palatino Linotype" w:hAnsi="Palatino Linotype" w:cs="Arial"/>
          <w:color w:val="000000" w:themeColor="text1"/>
        </w:rPr>
        <w:t>Municipios</w:t>
      </w:r>
      <w:r w:rsidRPr="00C84546">
        <w:rPr>
          <w:rFonts w:ascii="Palatino Linotype" w:eastAsia="Calibri" w:hAnsi="Palatino Linotype" w:cs="Arial"/>
          <w:color w:val="000000" w:themeColor="text1"/>
        </w:rPr>
        <w:t xml:space="preserve">, </w:t>
      </w:r>
      <w:r w:rsidRPr="00C84546">
        <w:rPr>
          <w:rFonts w:ascii="Palatino Linotype" w:hAnsi="Palatino Linotype"/>
          <w:color w:val="000000" w:themeColor="text1"/>
        </w:rPr>
        <w:t>este</w:t>
      </w:r>
      <w:r w:rsidR="00A31AF6" w:rsidRPr="00C84546">
        <w:rPr>
          <w:rFonts w:ascii="Palatino Linotype" w:eastAsia="Calibri" w:hAnsi="Palatino Linotype" w:cs="Arial"/>
          <w:color w:val="000000" w:themeColor="text1"/>
        </w:rPr>
        <w:t xml:space="preserve"> Pleno:</w:t>
      </w:r>
    </w:p>
    <w:p w14:paraId="56082038" w14:textId="6A9E3BA7" w:rsidR="00E520D0" w:rsidRPr="00C84546" w:rsidRDefault="00AE360E" w:rsidP="00F635D1">
      <w:pPr>
        <w:spacing w:before="100" w:beforeAutospacing="1" w:after="100" w:afterAutospacing="1" w:line="360" w:lineRule="auto"/>
        <w:jc w:val="center"/>
        <w:rPr>
          <w:rFonts w:ascii="Palatino Linotype" w:eastAsia="Calibri" w:hAnsi="Palatino Linotype" w:cs="Arial"/>
          <w:b/>
          <w:sz w:val="28"/>
          <w:lang w:val="pt-BR"/>
        </w:rPr>
      </w:pPr>
      <w:r w:rsidRPr="00C84546">
        <w:rPr>
          <w:rFonts w:ascii="Palatino Linotype" w:eastAsia="Calibri" w:hAnsi="Palatino Linotype" w:cs="Arial"/>
          <w:b/>
          <w:sz w:val="28"/>
          <w:lang w:val="pt-BR"/>
        </w:rPr>
        <w:t>R E S U E L V E</w:t>
      </w:r>
    </w:p>
    <w:p w14:paraId="68D6F0FE" w14:textId="0AEA4EAB" w:rsidR="00AE360E" w:rsidRPr="00C84546" w:rsidRDefault="00AE360E" w:rsidP="00AE360E">
      <w:pPr>
        <w:spacing w:before="100" w:beforeAutospacing="1" w:after="100" w:afterAutospacing="1" w:line="360" w:lineRule="auto"/>
        <w:jc w:val="both"/>
        <w:rPr>
          <w:rFonts w:ascii="Palatino Linotype" w:eastAsia="Calibri" w:hAnsi="Palatino Linotype" w:cs="Arial"/>
        </w:rPr>
      </w:pPr>
      <w:r w:rsidRPr="00C84546">
        <w:rPr>
          <w:rFonts w:ascii="Palatino Linotype" w:eastAsia="Calibri" w:hAnsi="Palatino Linotype" w:cs="Arial"/>
          <w:b/>
          <w:sz w:val="28"/>
          <w:lang w:val="pt-BR"/>
        </w:rPr>
        <w:t>PRIMERO</w:t>
      </w:r>
      <w:r w:rsidRPr="00C84546">
        <w:rPr>
          <w:rFonts w:ascii="Palatino Linotype" w:eastAsia="Calibri" w:hAnsi="Palatino Linotype" w:cs="Arial"/>
          <w:lang w:val="pt-BR"/>
        </w:rPr>
        <w:t xml:space="preserve">. </w:t>
      </w:r>
      <w:r w:rsidR="00E520D0" w:rsidRPr="00C84546">
        <w:rPr>
          <w:rFonts w:ascii="Palatino Linotype" w:eastAsia="Calibri" w:hAnsi="Palatino Linotype" w:cs="Arial"/>
        </w:rPr>
        <w:t xml:space="preserve">Se </w:t>
      </w:r>
      <w:r w:rsidR="00E520D0" w:rsidRPr="00C84546">
        <w:rPr>
          <w:rFonts w:ascii="Palatino Linotype" w:eastAsia="Calibri" w:hAnsi="Palatino Linotype" w:cs="Arial"/>
          <w:b/>
        </w:rPr>
        <w:t>SOBRESEE</w:t>
      </w:r>
      <w:r w:rsidR="00E520D0" w:rsidRPr="00C84546">
        <w:rPr>
          <w:rFonts w:ascii="Palatino Linotype" w:eastAsia="Calibri" w:hAnsi="Palatino Linotype" w:cs="Arial"/>
        </w:rPr>
        <w:t xml:space="preserve"> el recurso de revisión número </w:t>
      </w:r>
      <w:r w:rsidR="00BE555C" w:rsidRPr="00C84546">
        <w:rPr>
          <w:rFonts w:ascii="Palatino Linotype" w:eastAsia="Calibri" w:hAnsi="Palatino Linotype" w:cs="Arial"/>
          <w:b/>
        </w:rPr>
        <w:t>05027</w:t>
      </w:r>
      <w:r w:rsidR="00E520D0" w:rsidRPr="00C84546">
        <w:rPr>
          <w:rFonts w:ascii="Palatino Linotype" w:eastAsia="Calibri" w:hAnsi="Palatino Linotype" w:cs="Arial"/>
          <w:b/>
        </w:rPr>
        <w:t>/INFOEM/IP/RR2021</w:t>
      </w:r>
      <w:r w:rsidR="00E520D0" w:rsidRPr="00C84546">
        <w:rPr>
          <w:rFonts w:ascii="Palatino Linotype" w:eastAsia="Calibri" w:hAnsi="Palatino Linotype" w:cs="Arial"/>
        </w:rPr>
        <w:t xml:space="preserve">, por haberse desistido expresamente </w:t>
      </w:r>
      <w:r w:rsidR="00E520D0" w:rsidRPr="00C84546">
        <w:rPr>
          <w:rFonts w:ascii="Palatino Linotype" w:eastAsia="Calibri" w:hAnsi="Palatino Linotype" w:cs="Arial"/>
          <w:b/>
        </w:rPr>
        <w:t>EL RECURRENTE</w:t>
      </w:r>
      <w:r w:rsidR="00E520D0" w:rsidRPr="00C84546">
        <w:rPr>
          <w:rFonts w:ascii="Palatino Linotype" w:eastAsia="Calibri" w:hAnsi="Palatino Linotype" w:cs="Arial"/>
        </w:rPr>
        <w:t xml:space="preserve"> en términos del Considerando </w:t>
      </w:r>
      <w:r w:rsidR="00E520D0" w:rsidRPr="00C84546">
        <w:rPr>
          <w:rFonts w:ascii="Palatino Linotype" w:eastAsia="Calibri" w:hAnsi="Palatino Linotype" w:cs="Arial"/>
          <w:b/>
        </w:rPr>
        <w:t>QUINTO</w:t>
      </w:r>
      <w:r w:rsidR="00E520D0" w:rsidRPr="00C84546">
        <w:rPr>
          <w:rFonts w:ascii="Palatino Linotype" w:eastAsia="Calibri" w:hAnsi="Palatino Linotype" w:cs="Arial"/>
        </w:rPr>
        <w:t xml:space="preserve"> de la presente resolución </w:t>
      </w:r>
    </w:p>
    <w:p w14:paraId="48F770BB" w14:textId="53A6D5E6" w:rsidR="00AE360E" w:rsidRPr="00C84546" w:rsidRDefault="00AE360E" w:rsidP="00AE360E">
      <w:pPr>
        <w:spacing w:line="360" w:lineRule="auto"/>
        <w:jc w:val="both"/>
        <w:rPr>
          <w:rFonts w:ascii="Palatino Linotype" w:eastAsia="Calibri" w:hAnsi="Palatino Linotype" w:cs="Arial"/>
          <w:i/>
        </w:rPr>
      </w:pPr>
      <w:r w:rsidRPr="00C84546">
        <w:rPr>
          <w:rFonts w:ascii="Palatino Linotype" w:eastAsia="Calibri" w:hAnsi="Palatino Linotype" w:cs="Arial"/>
          <w:b/>
          <w:sz w:val="28"/>
        </w:rPr>
        <w:t>SEGUNDO</w:t>
      </w:r>
      <w:r w:rsidRPr="00C84546">
        <w:rPr>
          <w:rFonts w:ascii="Palatino Linotype" w:eastAsia="Calibri" w:hAnsi="Palatino Linotype" w:cs="Arial"/>
        </w:rPr>
        <w:t xml:space="preserve">. </w:t>
      </w:r>
      <w:r w:rsidRPr="00C84546">
        <w:rPr>
          <w:rFonts w:ascii="Palatino Linotype" w:eastAsia="Calibri" w:hAnsi="Palatino Linotype" w:cs="Arial"/>
          <w:b/>
        </w:rPr>
        <w:t>Notifíquese</w:t>
      </w:r>
      <w:r w:rsidRPr="00C84546">
        <w:rPr>
          <w:rFonts w:ascii="Palatino Linotype" w:eastAsia="Calibri" w:hAnsi="Palatino Linotype" w:cs="Arial"/>
        </w:rPr>
        <w:t xml:space="preserve"> a la o el Titular de la Unidad de Transparencia del </w:t>
      </w:r>
      <w:r w:rsidRPr="00C84546">
        <w:rPr>
          <w:rFonts w:ascii="Palatino Linotype" w:eastAsia="Calibri" w:hAnsi="Palatino Linotype" w:cs="Arial"/>
          <w:b/>
        </w:rPr>
        <w:t>SUJETO OBLIGADO</w:t>
      </w:r>
      <w:r w:rsidRPr="00C84546">
        <w:rPr>
          <w:rFonts w:ascii="Palatino Linotype" w:eastAsia="Calibri" w:hAnsi="Palatino Linotype" w:cs="Arial"/>
        </w:rPr>
        <w:t>, para</w:t>
      </w:r>
      <w:r w:rsidR="00E520D0" w:rsidRPr="00C84546">
        <w:rPr>
          <w:rFonts w:ascii="Palatino Linotype" w:eastAsia="Calibri" w:hAnsi="Palatino Linotype" w:cs="Arial"/>
        </w:rPr>
        <w:t xml:space="preserve"> su conocimiento</w:t>
      </w:r>
      <w:r w:rsidRPr="00C84546">
        <w:rPr>
          <w:rFonts w:ascii="Palatino Linotype" w:eastAsia="Calibri" w:hAnsi="Palatino Linotype" w:cs="Arial"/>
        </w:rPr>
        <w:t>.</w:t>
      </w:r>
    </w:p>
    <w:p w14:paraId="57AC8D60" w14:textId="14699E62" w:rsidR="00AE360E" w:rsidRPr="00C84546" w:rsidRDefault="00E520D0" w:rsidP="00AE360E">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zCs w:val="17"/>
          <w:lang w:eastAsia="es-ES_tradnl"/>
        </w:rPr>
      </w:pPr>
      <w:r w:rsidRPr="00C84546">
        <w:rPr>
          <w:rFonts w:ascii="Palatino Linotype" w:eastAsia="Calibri" w:hAnsi="Palatino Linotype" w:cs="Arial"/>
          <w:b/>
          <w:sz w:val="28"/>
        </w:rPr>
        <w:t>TERCERO</w:t>
      </w:r>
      <w:r w:rsidR="00AE360E" w:rsidRPr="00C84546">
        <w:rPr>
          <w:rFonts w:ascii="Palatino Linotype" w:eastAsia="Calibri" w:hAnsi="Palatino Linotype" w:cs="Arial"/>
        </w:rPr>
        <w:t xml:space="preserve">. </w:t>
      </w:r>
      <w:r w:rsidR="00AE360E" w:rsidRPr="00C84546">
        <w:rPr>
          <w:rFonts w:ascii="Palatino Linotype" w:hAnsi="Palatino Linotype"/>
          <w:b/>
          <w:szCs w:val="17"/>
          <w:lang w:eastAsia="es-ES_tradnl"/>
        </w:rPr>
        <w:t>Notifíquese</w:t>
      </w:r>
      <w:r w:rsidR="00AE360E" w:rsidRPr="00C84546">
        <w:rPr>
          <w:rFonts w:ascii="Palatino Linotype" w:hAnsi="Palatino Linotype"/>
          <w:szCs w:val="17"/>
          <w:lang w:eastAsia="es-ES_tradnl"/>
        </w:rPr>
        <w:t xml:space="preserve"> al</w:t>
      </w:r>
      <w:r w:rsidR="00AE360E" w:rsidRPr="00C84546">
        <w:rPr>
          <w:rFonts w:ascii="Palatino Linotype" w:hAnsi="Palatino Linotype" w:cs="Arial"/>
          <w:b/>
        </w:rPr>
        <w:t xml:space="preserve"> RECURRENTE</w:t>
      </w:r>
      <w:r w:rsidR="00AE360E" w:rsidRPr="00C84546">
        <w:rPr>
          <w:rFonts w:ascii="Palatino Linotype" w:hAnsi="Palatino Linotype"/>
          <w:szCs w:val="17"/>
          <w:lang w:eastAsia="es-ES_tradnl"/>
        </w:rPr>
        <w:t xml:space="preserve"> </w:t>
      </w:r>
      <w:r w:rsidRPr="00C84546">
        <w:rPr>
          <w:rFonts w:ascii="Palatino Linotype" w:hAnsi="Palatino Linotype"/>
          <w:szCs w:val="17"/>
          <w:lang w:eastAsia="es-ES_tradnl"/>
        </w:rPr>
        <w:t xml:space="preserve">vía </w:t>
      </w:r>
      <w:r w:rsidRPr="00C84546">
        <w:rPr>
          <w:rFonts w:ascii="Palatino Linotype" w:hAnsi="Palatino Linotype"/>
          <w:b/>
          <w:szCs w:val="17"/>
          <w:lang w:eastAsia="es-ES_tradnl"/>
        </w:rPr>
        <w:t>SAIMEX</w:t>
      </w:r>
      <w:r w:rsidRPr="00C84546">
        <w:rPr>
          <w:rFonts w:ascii="Palatino Linotype" w:hAnsi="Palatino Linotype"/>
          <w:szCs w:val="17"/>
          <w:lang w:eastAsia="es-ES_tradnl"/>
        </w:rPr>
        <w:t xml:space="preserve"> </w:t>
      </w:r>
      <w:r w:rsidR="00AE360E" w:rsidRPr="00C84546">
        <w:rPr>
          <w:rFonts w:ascii="Palatino Linotype" w:hAnsi="Palatino Linotype"/>
          <w:szCs w:val="17"/>
          <w:lang w:eastAsia="es-ES_tradnl"/>
        </w:rPr>
        <w:t>la presente resolución.</w:t>
      </w:r>
    </w:p>
    <w:p w14:paraId="11B874BE" w14:textId="29979EE4" w:rsidR="00AE360E" w:rsidRPr="00C84546" w:rsidRDefault="00E520D0" w:rsidP="00AE360E">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zCs w:val="17"/>
          <w:lang w:eastAsia="es-ES_tradnl"/>
        </w:rPr>
      </w:pPr>
      <w:r w:rsidRPr="00C84546">
        <w:rPr>
          <w:rFonts w:ascii="Palatino Linotype" w:eastAsia="Calibri" w:hAnsi="Palatino Linotype" w:cs="Arial"/>
          <w:b/>
          <w:sz w:val="28"/>
        </w:rPr>
        <w:t>CUARTO</w:t>
      </w:r>
      <w:r w:rsidR="00AE360E" w:rsidRPr="00C84546">
        <w:rPr>
          <w:rFonts w:ascii="Palatino Linotype" w:eastAsia="Calibri" w:hAnsi="Palatino Linotype" w:cs="Arial"/>
        </w:rPr>
        <w:t xml:space="preserve">. </w:t>
      </w:r>
      <w:r w:rsidR="00AE360E" w:rsidRPr="00C84546">
        <w:rPr>
          <w:rFonts w:ascii="Palatino Linotype" w:hAnsi="Palatino Linotype"/>
          <w:b/>
          <w:szCs w:val="17"/>
          <w:lang w:eastAsia="es-ES_tradnl"/>
        </w:rPr>
        <w:t>Hágase</w:t>
      </w:r>
      <w:r w:rsidR="00AE360E" w:rsidRPr="00C84546">
        <w:rPr>
          <w:rFonts w:ascii="Palatino Linotype" w:hAnsi="Palatino Linotype"/>
          <w:szCs w:val="17"/>
          <w:lang w:eastAsia="es-ES_tradnl"/>
        </w:rPr>
        <w:t xml:space="preserve"> </w:t>
      </w:r>
      <w:r w:rsidR="00AE360E" w:rsidRPr="00C84546">
        <w:rPr>
          <w:rFonts w:ascii="Palatino Linotype" w:hAnsi="Palatino Linotype"/>
          <w:b/>
          <w:szCs w:val="17"/>
          <w:lang w:eastAsia="es-ES_tradnl"/>
        </w:rPr>
        <w:t>del conocimiento</w:t>
      </w:r>
      <w:r w:rsidR="00AE360E" w:rsidRPr="00C84546">
        <w:rPr>
          <w:rFonts w:ascii="Palatino Linotype" w:hAnsi="Palatino Linotype"/>
          <w:szCs w:val="17"/>
          <w:lang w:eastAsia="es-ES_tradnl"/>
        </w:rPr>
        <w:t xml:space="preserve"> </w:t>
      </w:r>
      <w:r w:rsidR="00AE360E" w:rsidRPr="00C84546">
        <w:rPr>
          <w:rFonts w:ascii="Palatino Linotype" w:hAnsi="Palatino Linotype"/>
        </w:rPr>
        <w:t xml:space="preserve">del </w:t>
      </w:r>
      <w:r w:rsidR="00AE360E" w:rsidRPr="00C84546">
        <w:rPr>
          <w:rFonts w:ascii="Palatino Linotype" w:hAnsi="Palatino Linotype" w:cs="Arial"/>
          <w:b/>
        </w:rPr>
        <w:t>RECURRENTE</w:t>
      </w:r>
      <w:r w:rsidR="00AE360E" w:rsidRPr="00C84546">
        <w:rPr>
          <w:rFonts w:ascii="Palatino Linotype" w:hAnsi="Palatino Linotype"/>
        </w:rPr>
        <w:t xml:space="preserve"> </w:t>
      </w:r>
      <w:r w:rsidR="00AE360E" w:rsidRPr="00C84546">
        <w:rPr>
          <w:rFonts w:ascii="Palatino Linotype" w:hAnsi="Palatino Linotype"/>
          <w:szCs w:val="17"/>
          <w:lang w:eastAsia="es-ES_tradnl"/>
        </w:rPr>
        <w:t xml:space="preserve">que, de conformidad </w:t>
      </w:r>
      <w:r w:rsidR="00AE360E" w:rsidRPr="00C84546">
        <w:rPr>
          <w:rFonts w:ascii="Palatino Linotype" w:hAnsi="Palatino Linotype" w:cs="Arial"/>
        </w:rPr>
        <w:t>con</w:t>
      </w:r>
      <w:r w:rsidR="00AE360E" w:rsidRPr="00C84546">
        <w:rPr>
          <w:rFonts w:ascii="Palatino Linotype" w:hAnsi="Palatino Linotype"/>
          <w:szCs w:val="17"/>
          <w:lang w:eastAsia="es-ES_tradnl"/>
        </w:rPr>
        <w:t xml:space="preserve"> lo </w:t>
      </w:r>
      <w:r w:rsidR="00AE360E" w:rsidRPr="00C84546">
        <w:rPr>
          <w:rFonts w:ascii="Palatino Linotype" w:hAnsi="Palatino Linotype" w:cs="Arial"/>
        </w:rPr>
        <w:t>establecido</w:t>
      </w:r>
      <w:r w:rsidR="00AE360E" w:rsidRPr="00C84546">
        <w:rPr>
          <w:rFonts w:ascii="Palatino Linotype" w:hAnsi="Palatino Linotype"/>
          <w:szCs w:val="17"/>
          <w:lang w:eastAsia="es-ES_tradnl"/>
        </w:rPr>
        <w:t xml:space="preserve"> en el artículo 196 de la Ley de </w:t>
      </w:r>
      <w:r w:rsidR="00AE360E" w:rsidRPr="00C84546">
        <w:rPr>
          <w:rFonts w:ascii="Palatino Linotype" w:hAnsi="Palatino Linotype" w:cs="Arial"/>
        </w:rPr>
        <w:t>Transparencia</w:t>
      </w:r>
      <w:r w:rsidR="00AE360E" w:rsidRPr="00C84546">
        <w:rPr>
          <w:rFonts w:ascii="Palatino Linotype" w:hAnsi="Palatino Linotype"/>
          <w:szCs w:val="17"/>
          <w:lang w:eastAsia="es-ES_tradnl"/>
        </w:rPr>
        <w:t xml:space="preserve"> y </w:t>
      </w:r>
      <w:r w:rsidR="00AE360E" w:rsidRPr="00C84546">
        <w:rPr>
          <w:rFonts w:ascii="Palatino Linotype" w:hAnsi="Palatino Linotype" w:cs="Arial"/>
        </w:rPr>
        <w:t>Acceso</w:t>
      </w:r>
      <w:r w:rsidR="00AE360E" w:rsidRPr="00C84546">
        <w:rPr>
          <w:rFonts w:ascii="Palatino Linotype" w:hAnsi="Palatino Linotype"/>
          <w:szCs w:val="17"/>
          <w:lang w:eastAsia="es-ES_tradnl"/>
        </w:rPr>
        <w:t xml:space="preserve"> a la Información </w:t>
      </w:r>
      <w:r w:rsidR="00AE360E" w:rsidRPr="00C84546">
        <w:rPr>
          <w:rFonts w:ascii="Palatino Linotype" w:hAnsi="Palatino Linotype"/>
          <w:lang w:eastAsia="es-ES_tradnl"/>
        </w:rPr>
        <w:t>Pública</w:t>
      </w:r>
      <w:r w:rsidR="00AE360E" w:rsidRPr="00C84546">
        <w:rPr>
          <w:rFonts w:ascii="Palatino Linotype" w:hAnsi="Palatino Linotype"/>
          <w:szCs w:val="17"/>
          <w:lang w:eastAsia="es-ES_tradnl"/>
        </w:rPr>
        <w:t xml:space="preserve"> del Estado de México y Municipios, podrá impugnarla vía Juicio de Amparo </w:t>
      </w:r>
      <w:r w:rsidR="00AE360E" w:rsidRPr="00C84546">
        <w:rPr>
          <w:rFonts w:ascii="Palatino Linotype" w:hAnsi="Palatino Linotype"/>
          <w:szCs w:val="17"/>
          <w:lang w:eastAsia="es-ES_tradnl"/>
        </w:rPr>
        <w:lastRenderedPageBreak/>
        <w:t>en los términos de las leyes aplicables.</w:t>
      </w:r>
    </w:p>
    <w:p w14:paraId="61904B69" w14:textId="2E150E9F" w:rsidR="003505EC" w:rsidRPr="00C84546" w:rsidRDefault="007C3064" w:rsidP="002F0CE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84546">
        <w:rPr>
          <w:rFonts w:ascii="Palatino Linotype" w:hAnsi="Palatino Linotype" w:cs="Arial"/>
        </w:rPr>
        <w:t>ASÍ LO RESUELVE, POR UNANIMIDAD DE VOTOS EL PLENO DEL</w:t>
      </w:r>
      <w:r w:rsidRPr="00C84546">
        <w:rPr>
          <w:rFonts w:ascii="Palatino Linotype" w:eastAsia="Arial Unicode MS" w:hAnsi="Palatino Linotype" w:cs="Arial"/>
        </w:rPr>
        <w:t xml:space="preserve"> INSTITUTO DE </w:t>
      </w:r>
      <w:r w:rsidRPr="00C84546">
        <w:rPr>
          <w:rFonts w:ascii="Palatino Linotype" w:hAnsi="Palatino Linotype"/>
          <w:lang w:eastAsia="en-US"/>
        </w:rPr>
        <w:t>TRANSPARENCIA</w:t>
      </w:r>
      <w:r w:rsidRPr="00C84546">
        <w:rPr>
          <w:rFonts w:ascii="Palatino Linotype" w:eastAsia="Arial Unicode MS" w:hAnsi="Palatino Linotype" w:cs="Arial"/>
        </w:rPr>
        <w:t>, ACCESO A LA INFORMACIÓN PÚBLICA Y PROTECCIÓN DE DATOS PERSONALES DEL ESTADO DE MÉXICO Y MUNICIPIOS</w:t>
      </w:r>
      <w:r w:rsidRPr="00C84546">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757CFD" w:rsidRPr="00C84546">
        <w:rPr>
          <w:rFonts w:ascii="Palatino Linotype" w:hAnsi="Palatino Linotype" w:cs="Arial"/>
        </w:rPr>
        <w:t xml:space="preserve">CUADRAGÉSIMA </w:t>
      </w:r>
      <w:r w:rsidRPr="00C84546">
        <w:rPr>
          <w:rFonts w:ascii="Palatino Linotype" w:hAnsi="Palatino Linotype" w:cs="Arial"/>
        </w:rPr>
        <w:t xml:space="preserve">SESIÓN ORDINARIA CELEBRADA EL </w:t>
      </w:r>
      <w:r w:rsidR="00757CFD" w:rsidRPr="00C84546">
        <w:rPr>
          <w:rFonts w:ascii="Palatino Linotype" w:hAnsi="Palatino Linotype" w:cs="Arial"/>
        </w:rPr>
        <w:t xml:space="preserve">DIEZ DE NOVIEMBRE </w:t>
      </w:r>
      <w:r w:rsidRPr="00C84546">
        <w:rPr>
          <w:rFonts w:ascii="Palatino Linotype" w:hAnsi="Palatino Linotype" w:cs="Arial"/>
        </w:rPr>
        <w:t>DE DOS MIL VEINTIUNO, ANTE EL SECRETARIO TÉCNICO DEL PLENO, ALEXIS TAPIA RAMÍREZ.</w:t>
      </w:r>
    </w:p>
    <w:p w14:paraId="2854C53B" w14:textId="70E8BF87" w:rsidR="0066320D" w:rsidRDefault="0066320D" w:rsidP="001F19BC">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r w:rsidRPr="00C84546">
        <w:rPr>
          <w:rFonts w:ascii="Palatino Linotype" w:hAnsi="Palatino Linotype" w:cs="Arial"/>
          <w:sz w:val="20"/>
        </w:rPr>
        <w:t>SCMM/BLA/DEMF/AMV/PMRE</w:t>
      </w:r>
      <w:r>
        <w:rPr>
          <w:rFonts w:ascii="Palatino Linotype" w:hAnsi="Palatino Linotype" w:cs="Arial"/>
          <w:sz w:val="20"/>
        </w:rPr>
        <w:br w:type="page"/>
      </w:r>
    </w:p>
    <w:p w14:paraId="7DD5CDD1" w14:textId="77777777" w:rsidR="0066320D" w:rsidRPr="0066320D" w:rsidRDefault="0066320D" w:rsidP="002F0CEC">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p>
    <w:p w14:paraId="127E0D5B" w14:textId="77777777" w:rsidR="0066320D" w:rsidRPr="002F0CEC" w:rsidRDefault="0066320D" w:rsidP="002F0CEC">
      <w:pPr>
        <w:widowControl w:val="0"/>
        <w:autoSpaceDE w:val="0"/>
        <w:autoSpaceDN w:val="0"/>
        <w:adjustRightInd w:val="0"/>
        <w:spacing w:before="100" w:beforeAutospacing="1" w:after="100" w:afterAutospacing="1" w:line="360" w:lineRule="auto"/>
        <w:jc w:val="both"/>
        <w:rPr>
          <w:rFonts w:ascii="Palatino Linotype" w:hAnsi="Palatino Linotype" w:cs="Arial"/>
        </w:rPr>
      </w:pPr>
    </w:p>
    <w:sectPr w:rsidR="0066320D" w:rsidRPr="002F0CEC" w:rsidSect="00580276">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7EC09" w14:textId="77777777" w:rsidR="009E5E3F" w:rsidRDefault="009E5E3F" w:rsidP="00C43B1E">
      <w:r>
        <w:separator/>
      </w:r>
    </w:p>
  </w:endnote>
  <w:endnote w:type="continuationSeparator" w:id="0">
    <w:p w14:paraId="55AAEED4" w14:textId="77777777" w:rsidR="009E5E3F" w:rsidRDefault="009E5E3F" w:rsidP="00C4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E2099" w14:textId="77777777" w:rsidR="00990133" w:rsidRPr="0010196A" w:rsidRDefault="00990133" w:rsidP="00990133">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B55EA">
      <w:rPr>
        <w:rFonts w:ascii="Palatino Linotype" w:hAnsi="Palatino Linotype" w:cs="Arial"/>
        <w:bCs/>
        <w:noProof/>
        <w:sz w:val="22"/>
        <w:szCs w:val="22"/>
      </w:rPr>
      <w:t>16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B55EA">
      <w:rPr>
        <w:rFonts w:ascii="Palatino Linotype" w:hAnsi="Palatino Linotype" w:cs="Arial"/>
        <w:bCs/>
        <w:noProof/>
        <w:sz w:val="22"/>
        <w:szCs w:val="22"/>
      </w:rPr>
      <w:t>16</w:t>
    </w:r>
    <w:r w:rsidRPr="0010196A">
      <w:rPr>
        <w:rFonts w:ascii="Palatino Linotype" w:hAnsi="Palatino Linotype" w:cs="Arial"/>
        <w:bCs/>
        <w:sz w:val="22"/>
        <w:szCs w:val="22"/>
      </w:rPr>
      <w:fldChar w:fldCharType="end"/>
    </w:r>
  </w:p>
  <w:p w14:paraId="14F4C9F1" w14:textId="77777777" w:rsidR="00990133" w:rsidRDefault="009901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032A5" w14:textId="77777777" w:rsidR="00AC6088" w:rsidRPr="0010196A" w:rsidRDefault="00AC6088" w:rsidP="00AC608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B55E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B55EA">
      <w:rPr>
        <w:rFonts w:ascii="Palatino Linotype" w:hAnsi="Palatino Linotype" w:cs="Arial"/>
        <w:bCs/>
        <w:noProof/>
        <w:sz w:val="22"/>
        <w:szCs w:val="22"/>
      </w:rPr>
      <w:t>16</w:t>
    </w:r>
    <w:r w:rsidRPr="0010196A">
      <w:rPr>
        <w:rFonts w:ascii="Palatino Linotype" w:hAnsi="Palatino Linotype" w:cs="Arial"/>
        <w:bCs/>
        <w:sz w:val="22"/>
        <w:szCs w:val="22"/>
      </w:rPr>
      <w:fldChar w:fldCharType="end"/>
    </w:r>
  </w:p>
  <w:p w14:paraId="291CA067" w14:textId="77777777" w:rsidR="00AC6088" w:rsidRDefault="00AC60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60874" w14:textId="77777777" w:rsidR="009E5E3F" w:rsidRDefault="009E5E3F" w:rsidP="00C43B1E">
      <w:r>
        <w:separator/>
      </w:r>
    </w:p>
  </w:footnote>
  <w:footnote w:type="continuationSeparator" w:id="0">
    <w:p w14:paraId="24EFBA25" w14:textId="77777777" w:rsidR="009E5E3F" w:rsidRDefault="009E5E3F" w:rsidP="00C43B1E">
      <w:r>
        <w:continuationSeparator/>
      </w:r>
    </w:p>
  </w:footnote>
  <w:footnote w:id="1">
    <w:p w14:paraId="74882301" w14:textId="550DB046" w:rsidR="00A55ACE" w:rsidRDefault="00A55ACE">
      <w:pPr>
        <w:pStyle w:val="Textonotapie"/>
      </w:pPr>
      <w:r>
        <w:rPr>
          <w:rStyle w:val="Refdenotaalpie"/>
        </w:rPr>
        <w:footnoteRef/>
      </w:r>
      <w:r w:rsidRPr="00A55ACE">
        <w:rPr>
          <w:rFonts w:ascii="Palatino Linotype" w:hAnsi="Palatino Linotype"/>
        </w:rPr>
        <w:t xml:space="preserve"> Fecha del </w:t>
      </w:r>
      <w:r>
        <w:rPr>
          <w:rFonts w:ascii="Palatino Linotype" w:hAnsi="Palatino Linotype"/>
        </w:rPr>
        <w:t xml:space="preserve">oficio número </w:t>
      </w:r>
      <w:r w:rsidRPr="00A55ACE">
        <w:rPr>
          <w:rFonts w:ascii="Palatino Linotype" w:hAnsi="Palatino Linotype"/>
          <w:i/>
        </w:rPr>
        <w:t>TES/OZUM/159/2021</w:t>
      </w:r>
      <w:r>
        <w:rPr>
          <w:rFonts w:ascii="Palatino Linotype" w:hAnsi="Palatino Linotype"/>
        </w:rPr>
        <w:t xml:space="preserve"> </w:t>
      </w:r>
      <w:r w:rsidRPr="00A55ACE">
        <w:rPr>
          <w:rFonts w:ascii="Palatino Linotype" w:hAnsi="Palatino Linotype"/>
        </w:rPr>
        <w:t>mediante el cual se rinde el Informe Justificado</w:t>
      </w:r>
      <w:r>
        <w:rPr>
          <w:rFonts w:ascii="Palatino Linotype" w:hAnsi="Palatino Linotype"/>
        </w:rPr>
        <w:t xml:space="preserve">. </w:t>
      </w:r>
      <w:r w:rsidRPr="00A55ACE">
        <w:rPr>
          <w:rFonts w:ascii="Palatino Linotype" w:hAnsi="Palatino Linotyp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2"/>
      <w:gridCol w:w="3401"/>
    </w:tblGrid>
    <w:tr w:rsidR="00C43B1E" w:rsidRPr="008F2CCC" w14:paraId="7D081D9C" w14:textId="77777777" w:rsidTr="00D409FF">
      <w:tc>
        <w:tcPr>
          <w:tcW w:w="3403" w:type="dxa"/>
          <w:vMerge w:val="restart"/>
          <w:shd w:val="clear" w:color="auto" w:fill="auto"/>
        </w:tcPr>
        <w:p w14:paraId="21595BF8" w14:textId="77777777" w:rsidR="00C43B1E" w:rsidRPr="008F2CCC" w:rsidRDefault="00C43B1E" w:rsidP="00C43B1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0892B24" wp14:editId="6948C83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7C2A0ECF" w14:textId="77777777" w:rsidR="00C43B1E" w:rsidRPr="008F2CCC" w:rsidRDefault="00C43B1E" w:rsidP="00C43B1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7487139B" w14:textId="381D92D8" w:rsidR="00C43B1E" w:rsidRPr="00B335A1" w:rsidRDefault="00EF0253" w:rsidP="00C43B1E">
          <w:pPr>
            <w:jc w:val="both"/>
            <w:rPr>
              <w:rFonts w:ascii="Palatino Linotype" w:hAnsi="Palatino Linotype"/>
              <w:b/>
              <w:sz w:val="22"/>
              <w:szCs w:val="22"/>
              <w:lang w:val="es-ES_tradnl"/>
            </w:rPr>
          </w:pPr>
          <w:r>
            <w:rPr>
              <w:rFonts w:ascii="Palatino Linotype" w:hAnsi="Palatino Linotype"/>
              <w:b/>
              <w:sz w:val="22"/>
              <w:szCs w:val="22"/>
              <w:lang w:val="es-ES_tradnl"/>
            </w:rPr>
            <w:t>050</w:t>
          </w:r>
          <w:r w:rsidR="006726C4">
            <w:rPr>
              <w:rFonts w:ascii="Palatino Linotype" w:hAnsi="Palatino Linotype"/>
              <w:b/>
              <w:sz w:val="22"/>
              <w:szCs w:val="22"/>
              <w:lang w:val="es-ES_tradnl"/>
            </w:rPr>
            <w:t>27</w:t>
          </w:r>
          <w:r w:rsidR="00C43B1E" w:rsidRPr="00B335A1">
            <w:rPr>
              <w:rFonts w:ascii="Palatino Linotype" w:hAnsi="Palatino Linotype"/>
              <w:b/>
              <w:sz w:val="22"/>
              <w:szCs w:val="22"/>
              <w:lang w:val="es-ES_tradnl"/>
            </w:rPr>
            <w:t>/INFOEM/IP/RR/2021</w:t>
          </w:r>
        </w:p>
      </w:tc>
    </w:tr>
    <w:tr w:rsidR="00C43B1E" w:rsidRPr="008F2CCC" w14:paraId="4341FF46" w14:textId="77777777" w:rsidTr="00D409FF">
      <w:trPr>
        <w:trHeight w:val="228"/>
      </w:trPr>
      <w:tc>
        <w:tcPr>
          <w:tcW w:w="3403" w:type="dxa"/>
          <w:vMerge/>
          <w:shd w:val="clear" w:color="auto" w:fill="auto"/>
        </w:tcPr>
        <w:p w14:paraId="75B0BFB7" w14:textId="77777777" w:rsidR="00C43B1E" w:rsidRPr="008F2CCC" w:rsidRDefault="00C43B1E" w:rsidP="00C43B1E">
          <w:pPr>
            <w:rPr>
              <w:rFonts w:ascii="Palatino Linotype" w:hAnsi="Palatino Linotype"/>
              <w:b/>
              <w:sz w:val="22"/>
              <w:szCs w:val="22"/>
              <w:lang w:val="es-ES_tradnl"/>
            </w:rPr>
          </w:pPr>
        </w:p>
      </w:tc>
      <w:tc>
        <w:tcPr>
          <w:tcW w:w="2552" w:type="dxa"/>
          <w:shd w:val="clear" w:color="auto" w:fill="auto"/>
        </w:tcPr>
        <w:p w14:paraId="18B7D049" w14:textId="77777777" w:rsidR="00C43B1E" w:rsidRPr="008F2CCC" w:rsidRDefault="00C43B1E" w:rsidP="00C43B1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5EBE3D49" w14:textId="6C442B3B" w:rsidR="00C43B1E" w:rsidRPr="00B335A1" w:rsidRDefault="002D322E" w:rsidP="00EF0253">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w:t>
          </w:r>
          <w:r w:rsidR="006726C4">
            <w:rPr>
              <w:rFonts w:ascii="Palatino Linotype" w:hAnsi="Palatino Linotype"/>
              <w:b/>
              <w:sz w:val="22"/>
              <w:szCs w:val="22"/>
              <w:lang w:val="es-ES_tradnl"/>
            </w:rPr>
            <w:t xml:space="preserve">de </w:t>
          </w:r>
          <w:proofErr w:type="spellStart"/>
          <w:r w:rsidR="00EF0253">
            <w:rPr>
              <w:rFonts w:ascii="Palatino Linotype" w:hAnsi="Palatino Linotype"/>
              <w:b/>
              <w:sz w:val="22"/>
              <w:szCs w:val="22"/>
              <w:lang w:val="es-ES_tradnl"/>
            </w:rPr>
            <w:t>Ozumba</w:t>
          </w:r>
          <w:proofErr w:type="spellEnd"/>
        </w:p>
      </w:tc>
    </w:tr>
    <w:tr w:rsidR="00C43B1E" w:rsidRPr="008F2CCC" w14:paraId="697BC47A" w14:textId="77777777" w:rsidTr="00D409FF">
      <w:tc>
        <w:tcPr>
          <w:tcW w:w="3403" w:type="dxa"/>
          <w:vMerge/>
          <w:shd w:val="clear" w:color="auto" w:fill="auto"/>
        </w:tcPr>
        <w:p w14:paraId="55EAED88" w14:textId="77777777" w:rsidR="00C43B1E" w:rsidRPr="008F2CCC" w:rsidRDefault="00C43B1E" w:rsidP="00C43B1E">
          <w:pPr>
            <w:rPr>
              <w:rFonts w:ascii="Palatino Linotype" w:hAnsi="Palatino Linotype"/>
              <w:b/>
              <w:sz w:val="22"/>
              <w:szCs w:val="22"/>
              <w:lang w:val="es-ES_tradnl"/>
            </w:rPr>
          </w:pPr>
        </w:p>
      </w:tc>
      <w:tc>
        <w:tcPr>
          <w:tcW w:w="2552" w:type="dxa"/>
          <w:shd w:val="clear" w:color="auto" w:fill="auto"/>
        </w:tcPr>
        <w:p w14:paraId="30A750BA" w14:textId="77777777" w:rsidR="00C43B1E" w:rsidRPr="008F2CCC" w:rsidRDefault="00C43B1E" w:rsidP="00C43B1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1DD0ACA4" w14:textId="77777777" w:rsidR="00C43B1E" w:rsidRPr="008F2CCC" w:rsidRDefault="00C43B1E" w:rsidP="00C43B1E">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4C2D5F4D" w14:textId="77777777" w:rsidR="00C43B1E" w:rsidRDefault="00C43B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403"/>
      <w:gridCol w:w="2552"/>
      <w:gridCol w:w="3401"/>
    </w:tblGrid>
    <w:tr w:rsidR="00580276" w:rsidRPr="008F2CCC" w14:paraId="346BE54B" w14:textId="77777777" w:rsidTr="007522F9">
      <w:tc>
        <w:tcPr>
          <w:tcW w:w="3403" w:type="dxa"/>
          <w:vMerge w:val="restart"/>
          <w:shd w:val="clear" w:color="auto" w:fill="auto"/>
        </w:tcPr>
        <w:p w14:paraId="75D927DA" w14:textId="77777777" w:rsidR="00580276" w:rsidRPr="008F2CCC" w:rsidRDefault="00580276" w:rsidP="0058027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FE5FCEE" wp14:editId="65252521">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26DADFC4" w14:textId="77777777" w:rsidR="00580276" w:rsidRPr="008F2CCC" w:rsidRDefault="00580276" w:rsidP="0058027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35C72890" w14:textId="488DCC5D" w:rsidR="00580276" w:rsidRPr="00B335A1" w:rsidRDefault="00EF0253" w:rsidP="00580276">
          <w:pPr>
            <w:jc w:val="both"/>
            <w:rPr>
              <w:rFonts w:ascii="Palatino Linotype" w:hAnsi="Palatino Linotype"/>
              <w:b/>
              <w:sz w:val="22"/>
              <w:szCs w:val="22"/>
              <w:lang w:val="es-ES_tradnl"/>
            </w:rPr>
          </w:pPr>
          <w:r>
            <w:rPr>
              <w:rFonts w:ascii="Palatino Linotype" w:hAnsi="Palatino Linotype"/>
              <w:b/>
              <w:sz w:val="22"/>
              <w:szCs w:val="22"/>
              <w:lang w:val="es-ES_tradnl"/>
            </w:rPr>
            <w:t>050</w:t>
          </w:r>
          <w:r w:rsidR="006726C4">
            <w:rPr>
              <w:rFonts w:ascii="Palatino Linotype" w:hAnsi="Palatino Linotype"/>
              <w:b/>
              <w:sz w:val="22"/>
              <w:szCs w:val="22"/>
              <w:lang w:val="es-ES_tradnl"/>
            </w:rPr>
            <w:t>27</w:t>
          </w:r>
          <w:r w:rsidR="00580276" w:rsidRPr="00B335A1">
            <w:rPr>
              <w:rFonts w:ascii="Palatino Linotype" w:hAnsi="Palatino Linotype"/>
              <w:b/>
              <w:sz w:val="22"/>
              <w:szCs w:val="22"/>
              <w:lang w:val="es-ES_tradnl"/>
            </w:rPr>
            <w:t>/INFOEM/IP/RR/2021</w:t>
          </w:r>
        </w:p>
      </w:tc>
    </w:tr>
    <w:tr w:rsidR="00580276" w:rsidRPr="008F2CCC" w14:paraId="0984AB84" w14:textId="77777777" w:rsidTr="007522F9">
      <w:tc>
        <w:tcPr>
          <w:tcW w:w="3403" w:type="dxa"/>
          <w:vMerge/>
          <w:shd w:val="clear" w:color="auto" w:fill="auto"/>
        </w:tcPr>
        <w:p w14:paraId="2A4844F1" w14:textId="77777777" w:rsidR="00580276" w:rsidRPr="008F2CCC" w:rsidRDefault="00580276" w:rsidP="00580276">
          <w:pPr>
            <w:rPr>
              <w:rFonts w:ascii="Palatino Linotype" w:hAnsi="Palatino Linotype"/>
              <w:b/>
              <w:sz w:val="22"/>
              <w:szCs w:val="22"/>
              <w:lang w:val="es-ES_tradnl"/>
            </w:rPr>
          </w:pPr>
        </w:p>
      </w:tc>
      <w:tc>
        <w:tcPr>
          <w:tcW w:w="2552" w:type="dxa"/>
          <w:shd w:val="clear" w:color="auto" w:fill="auto"/>
        </w:tcPr>
        <w:p w14:paraId="31898B19" w14:textId="77777777" w:rsidR="00580276" w:rsidRPr="008F2CCC" w:rsidRDefault="00580276" w:rsidP="0058027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04AA04BE" w14:textId="6F57DD6A" w:rsidR="00580276" w:rsidRPr="00B335A1" w:rsidRDefault="00DF18CF" w:rsidP="002D322E">
          <w:pPr>
            <w:jc w:val="both"/>
            <w:rPr>
              <w:rFonts w:ascii="Palatino Linotype" w:hAnsi="Palatino Linotype"/>
              <w:b/>
              <w:sz w:val="22"/>
              <w:szCs w:val="22"/>
              <w:lang w:val="es-ES_tradnl"/>
            </w:rPr>
          </w:pPr>
          <w:r w:rsidRPr="00DF18CF">
            <w:rPr>
              <w:rFonts w:ascii="Palatino Linotype" w:hAnsi="Palatino Linotype"/>
              <w:b/>
              <w:sz w:val="22"/>
              <w:szCs w:val="22"/>
              <w:lang w:val="es-ES_tradnl"/>
            </w:rPr>
            <w:t>XXXX XXXXXXX XXXXXXXXX XXXXXX</w:t>
          </w:r>
        </w:p>
      </w:tc>
    </w:tr>
    <w:tr w:rsidR="00580276" w:rsidRPr="008F2CCC" w14:paraId="608A8270" w14:textId="77777777" w:rsidTr="007522F9">
      <w:trPr>
        <w:trHeight w:val="228"/>
      </w:trPr>
      <w:tc>
        <w:tcPr>
          <w:tcW w:w="3403" w:type="dxa"/>
          <w:vMerge/>
          <w:shd w:val="clear" w:color="auto" w:fill="auto"/>
        </w:tcPr>
        <w:p w14:paraId="41B4AD29" w14:textId="77777777" w:rsidR="00580276" w:rsidRPr="008F2CCC" w:rsidRDefault="00580276" w:rsidP="00580276">
          <w:pPr>
            <w:rPr>
              <w:rFonts w:ascii="Palatino Linotype" w:hAnsi="Palatino Linotype"/>
              <w:b/>
              <w:sz w:val="22"/>
              <w:szCs w:val="22"/>
              <w:lang w:val="es-ES_tradnl"/>
            </w:rPr>
          </w:pPr>
        </w:p>
      </w:tc>
      <w:tc>
        <w:tcPr>
          <w:tcW w:w="2552" w:type="dxa"/>
          <w:shd w:val="clear" w:color="auto" w:fill="auto"/>
        </w:tcPr>
        <w:p w14:paraId="4B63DF4D" w14:textId="77777777" w:rsidR="00580276" w:rsidRPr="008F2CCC" w:rsidRDefault="00580276" w:rsidP="0058027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517A6BE8" w14:textId="3A768699" w:rsidR="00580276" w:rsidRPr="00B335A1" w:rsidRDefault="002D322E" w:rsidP="00EF0253">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sidR="00EF0253">
            <w:rPr>
              <w:rFonts w:ascii="Palatino Linotype" w:hAnsi="Palatino Linotype"/>
              <w:b/>
              <w:sz w:val="22"/>
              <w:szCs w:val="22"/>
              <w:lang w:val="es-ES_tradnl"/>
            </w:rPr>
            <w:t>Ozumba</w:t>
          </w:r>
          <w:proofErr w:type="spellEnd"/>
        </w:p>
      </w:tc>
    </w:tr>
    <w:tr w:rsidR="00580276" w:rsidRPr="008F2CCC" w14:paraId="1BB7A948" w14:textId="77777777" w:rsidTr="007522F9">
      <w:tc>
        <w:tcPr>
          <w:tcW w:w="3403" w:type="dxa"/>
          <w:vMerge/>
          <w:shd w:val="clear" w:color="auto" w:fill="auto"/>
        </w:tcPr>
        <w:p w14:paraId="3CBAF6C0" w14:textId="77777777" w:rsidR="00580276" w:rsidRPr="008F2CCC" w:rsidRDefault="00580276" w:rsidP="00580276">
          <w:pPr>
            <w:rPr>
              <w:rFonts w:ascii="Palatino Linotype" w:hAnsi="Palatino Linotype"/>
              <w:b/>
              <w:sz w:val="22"/>
              <w:szCs w:val="22"/>
              <w:lang w:val="es-ES_tradnl"/>
            </w:rPr>
          </w:pPr>
        </w:p>
      </w:tc>
      <w:tc>
        <w:tcPr>
          <w:tcW w:w="2552" w:type="dxa"/>
          <w:shd w:val="clear" w:color="auto" w:fill="auto"/>
        </w:tcPr>
        <w:p w14:paraId="6B990B73" w14:textId="77777777" w:rsidR="00580276" w:rsidRPr="008F2CCC" w:rsidRDefault="00580276" w:rsidP="00580276">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6959239A" w14:textId="13AC8CE4" w:rsidR="00580276" w:rsidRPr="008F2CCC" w:rsidRDefault="00580276" w:rsidP="00580276">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CF3657D" w14:textId="77777777" w:rsidR="00580276" w:rsidRDefault="0058027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33B3"/>
    <w:multiLevelType w:val="hybridMultilevel"/>
    <w:tmpl w:val="3410B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26074F"/>
    <w:multiLevelType w:val="hybridMultilevel"/>
    <w:tmpl w:val="01FC6C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427AE2"/>
    <w:multiLevelType w:val="multilevel"/>
    <w:tmpl w:val="FA00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F2805"/>
    <w:multiLevelType w:val="hybridMultilevel"/>
    <w:tmpl w:val="F2D80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2F31B4"/>
    <w:multiLevelType w:val="multilevel"/>
    <w:tmpl w:val="17CA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031"/>
    <w:multiLevelType w:val="hybridMultilevel"/>
    <w:tmpl w:val="6B726D42"/>
    <w:lvl w:ilvl="0" w:tplc="080A0015">
      <w:start w:val="1"/>
      <w:numFmt w:val="upp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15:restartNumberingAfterBreak="0">
    <w:nsid w:val="2190453D"/>
    <w:multiLevelType w:val="multilevel"/>
    <w:tmpl w:val="E7E8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3F3ACC"/>
    <w:multiLevelType w:val="hybridMultilevel"/>
    <w:tmpl w:val="B88444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3E7028C"/>
    <w:multiLevelType w:val="hybridMultilevel"/>
    <w:tmpl w:val="DA62A0A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1D5098"/>
    <w:multiLevelType w:val="hybridMultilevel"/>
    <w:tmpl w:val="55D43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7F63D70"/>
    <w:multiLevelType w:val="hybridMultilevel"/>
    <w:tmpl w:val="2CDC81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CD566C9"/>
    <w:multiLevelType w:val="hybridMultilevel"/>
    <w:tmpl w:val="B9DE2A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B653547"/>
    <w:multiLevelType w:val="hybridMultilevel"/>
    <w:tmpl w:val="21BEFFBC"/>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num w:numId="1">
    <w:abstractNumId w:val="9"/>
  </w:num>
  <w:num w:numId="2">
    <w:abstractNumId w:val="1"/>
  </w:num>
  <w:num w:numId="3">
    <w:abstractNumId w:val="8"/>
  </w:num>
  <w:num w:numId="4">
    <w:abstractNumId w:val="12"/>
  </w:num>
  <w:num w:numId="5">
    <w:abstractNumId w:val="10"/>
  </w:num>
  <w:num w:numId="6">
    <w:abstractNumId w:val="7"/>
  </w:num>
  <w:num w:numId="7">
    <w:abstractNumId w:val="5"/>
  </w:num>
  <w:num w:numId="8">
    <w:abstractNumId w:val="3"/>
  </w:num>
  <w:num w:numId="9">
    <w:abstractNumId w:val="0"/>
  </w:num>
  <w:num w:numId="10">
    <w:abstractNumId w:val="11"/>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B1E"/>
    <w:rsid w:val="0004025A"/>
    <w:rsid w:val="00041978"/>
    <w:rsid w:val="00045659"/>
    <w:rsid w:val="000624D8"/>
    <w:rsid w:val="00066D3B"/>
    <w:rsid w:val="00083D1B"/>
    <w:rsid w:val="000867C9"/>
    <w:rsid w:val="0009273C"/>
    <w:rsid w:val="000C3450"/>
    <w:rsid w:val="000E67D4"/>
    <w:rsid w:val="000F22FF"/>
    <w:rsid w:val="00125FCE"/>
    <w:rsid w:val="00167586"/>
    <w:rsid w:val="0017092F"/>
    <w:rsid w:val="001744A5"/>
    <w:rsid w:val="00174780"/>
    <w:rsid w:val="00182A80"/>
    <w:rsid w:val="001B132A"/>
    <w:rsid w:val="001B5A83"/>
    <w:rsid w:val="001F064A"/>
    <w:rsid w:val="001F19BC"/>
    <w:rsid w:val="00207B7E"/>
    <w:rsid w:val="002105B3"/>
    <w:rsid w:val="00210BA2"/>
    <w:rsid w:val="00222F3B"/>
    <w:rsid w:val="002326A5"/>
    <w:rsid w:val="00233845"/>
    <w:rsid w:val="00247F83"/>
    <w:rsid w:val="002618A6"/>
    <w:rsid w:val="0029629F"/>
    <w:rsid w:val="002A19C2"/>
    <w:rsid w:val="002A4368"/>
    <w:rsid w:val="002B2BA7"/>
    <w:rsid w:val="002D25F5"/>
    <w:rsid w:val="002D322E"/>
    <w:rsid w:val="002F039D"/>
    <w:rsid w:val="002F0CEC"/>
    <w:rsid w:val="0030563E"/>
    <w:rsid w:val="0032378D"/>
    <w:rsid w:val="00325A8E"/>
    <w:rsid w:val="00325DCE"/>
    <w:rsid w:val="003331D1"/>
    <w:rsid w:val="0035047F"/>
    <w:rsid w:val="003505EC"/>
    <w:rsid w:val="003547B4"/>
    <w:rsid w:val="003576B0"/>
    <w:rsid w:val="00365D29"/>
    <w:rsid w:val="00380A91"/>
    <w:rsid w:val="0038462C"/>
    <w:rsid w:val="00395D79"/>
    <w:rsid w:val="00396041"/>
    <w:rsid w:val="003A154E"/>
    <w:rsid w:val="003B55EA"/>
    <w:rsid w:val="003C5706"/>
    <w:rsid w:val="003D11A8"/>
    <w:rsid w:val="003D5367"/>
    <w:rsid w:val="003D770B"/>
    <w:rsid w:val="003D7B24"/>
    <w:rsid w:val="00403898"/>
    <w:rsid w:val="0040750B"/>
    <w:rsid w:val="0041460B"/>
    <w:rsid w:val="004324D0"/>
    <w:rsid w:val="00465EB9"/>
    <w:rsid w:val="00471353"/>
    <w:rsid w:val="0047609F"/>
    <w:rsid w:val="00483C7B"/>
    <w:rsid w:val="00493069"/>
    <w:rsid w:val="00493C69"/>
    <w:rsid w:val="004A1318"/>
    <w:rsid w:val="004A7989"/>
    <w:rsid w:val="004B0EDC"/>
    <w:rsid w:val="004D3485"/>
    <w:rsid w:val="004D6A78"/>
    <w:rsid w:val="004E0D6B"/>
    <w:rsid w:val="004E44D1"/>
    <w:rsid w:val="00536DC7"/>
    <w:rsid w:val="00540882"/>
    <w:rsid w:val="00542307"/>
    <w:rsid w:val="00546C02"/>
    <w:rsid w:val="00563245"/>
    <w:rsid w:val="005676CC"/>
    <w:rsid w:val="0057110F"/>
    <w:rsid w:val="00572754"/>
    <w:rsid w:val="00580276"/>
    <w:rsid w:val="0058552F"/>
    <w:rsid w:val="00595897"/>
    <w:rsid w:val="005A71F6"/>
    <w:rsid w:val="005E0F64"/>
    <w:rsid w:val="005E2B8A"/>
    <w:rsid w:val="005E2C8F"/>
    <w:rsid w:val="005F4443"/>
    <w:rsid w:val="0063196F"/>
    <w:rsid w:val="0066320D"/>
    <w:rsid w:val="006726C4"/>
    <w:rsid w:val="00672D80"/>
    <w:rsid w:val="006B0652"/>
    <w:rsid w:val="006B4898"/>
    <w:rsid w:val="006F0CCC"/>
    <w:rsid w:val="0071218A"/>
    <w:rsid w:val="00740D1F"/>
    <w:rsid w:val="00753F3B"/>
    <w:rsid w:val="00757CFD"/>
    <w:rsid w:val="00760803"/>
    <w:rsid w:val="007938EF"/>
    <w:rsid w:val="007A2186"/>
    <w:rsid w:val="007B0F64"/>
    <w:rsid w:val="007B10F1"/>
    <w:rsid w:val="007C0158"/>
    <w:rsid w:val="007C3064"/>
    <w:rsid w:val="007E52FF"/>
    <w:rsid w:val="007F1FD7"/>
    <w:rsid w:val="007F23A3"/>
    <w:rsid w:val="00804909"/>
    <w:rsid w:val="0081088F"/>
    <w:rsid w:val="0081109C"/>
    <w:rsid w:val="008149C6"/>
    <w:rsid w:val="0082556B"/>
    <w:rsid w:val="00844CEC"/>
    <w:rsid w:val="00850D7E"/>
    <w:rsid w:val="00867F3D"/>
    <w:rsid w:val="008713A2"/>
    <w:rsid w:val="00880F1C"/>
    <w:rsid w:val="00884BCE"/>
    <w:rsid w:val="008869A7"/>
    <w:rsid w:val="00891729"/>
    <w:rsid w:val="00892ED1"/>
    <w:rsid w:val="00896F4F"/>
    <w:rsid w:val="008A0022"/>
    <w:rsid w:val="008A47EE"/>
    <w:rsid w:val="008A5EB8"/>
    <w:rsid w:val="008B496C"/>
    <w:rsid w:val="008E0F96"/>
    <w:rsid w:val="008E1AB6"/>
    <w:rsid w:val="008E6446"/>
    <w:rsid w:val="008E7AD9"/>
    <w:rsid w:val="008E7C80"/>
    <w:rsid w:val="00912B8F"/>
    <w:rsid w:val="009253A8"/>
    <w:rsid w:val="00933FFC"/>
    <w:rsid w:val="00934ADE"/>
    <w:rsid w:val="00943227"/>
    <w:rsid w:val="009459E1"/>
    <w:rsid w:val="00946832"/>
    <w:rsid w:val="00952193"/>
    <w:rsid w:val="00963A4A"/>
    <w:rsid w:val="0097734B"/>
    <w:rsid w:val="00983C1E"/>
    <w:rsid w:val="00990133"/>
    <w:rsid w:val="009E5E3F"/>
    <w:rsid w:val="009F44C4"/>
    <w:rsid w:val="00A0109C"/>
    <w:rsid w:val="00A16B7A"/>
    <w:rsid w:val="00A31AF6"/>
    <w:rsid w:val="00A55ACE"/>
    <w:rsid w:val="00A86CA4"/>
    <w:rsid w:val="00A927A1"/>
    <w:rsid w:val="00AA7C79"/>
    <w:rsid w:val="00AB2162"/>
    <w:rsid w:val="00AB5732"/>
    <w:rsid w:val="00AC1D7B"/>
    <w:rsid w:val="00AC6088"/>
    <w:rsid w:val="00AD2E00"/>
    <w:rsid w:val="00AD5DB5"/>
    <w:rsid w:val="00AE360E"/>
    <w:rsid w:val="00B04CE2"/>
    <w:rsid w:val="00B13BA7"/>
    <w:rsid w:val="00B3033A"/>
    <w:rsid w:val="00B40E76"/>
    <w:rsid w:val="00B432A7"/>
    <w:rsid w:val="00B472A6"/>
    <w:rsid w:val="00B50169"/>
    <w:rsid w:val="00B54C13"/>
    <w:rsid w:val="00B62AE2"/>
    <w:rsid w:val="00B71504"/>
    <w:rsid w:val="00B76384"/>
    <w:rsid w:val="00B97DD8"/>
    <w:rsid w:val="00BA1B0E"/>
    <w:rsid w:val="00BE058B"/>
    <w:rsid w:val="00BE222C"/>
    <w:rsid w:val="00BE555C"/>
    <w:rsid w:val="00BF649F"/>
    <w:rsid w:val="00BF76D4"/>
    <w:rsid w:val="00C012CA"/>
    <w:rsid w:val="00C1373F"/>
    <w:rsid w:val="00C1498B"/>
    <w:rsid w:val="00C43B1E"/>
    <w:rsid w:val="00C44DC5"/>
    <w:rsid w:val="00C83D4F"/>
    <w:rsid w:val="00C84546"/>
    <w:rsid w:val="00C9153D"/>
    <w:rsid w:val="00CA4A0A"/>
    <w:rsid w:val="00CA7014"/>
    <w:rsid w:val="00CB1552"/>
    <w:rsid w:val="00CB371E"/>
    <w:rsid w:val="00CD5530"/>
    <w:rsid w:val="00CE1E94"/>
    <w:rsid w:val="00CE7F4B"/>
    <w:rsid w:val="00D01046"/>
    <w:rsid w:val="00D019ED"/>
    <w:rsid w:val="00D06096"/>
    <w:rsid w:val="00D06113"/>
    <w:rsid w:val="00D23A60"/>
    <w:rsid w:val="00D5690F"/>
    <w:rsid w:val="00D82FC4"/>
    <w:rsid w:val="00D84E1E"/>
    <w:rsid w:val="00D93BA7"/>
    <w:rsid w:val="00DA24BA"/>
    <w:rsid w:val="00DA2919"/>
    <w:rsid w:val="00DC362D"/>
    <w:rsid w:val="00DC78FE"/>
    <w:rsid w:val="00DD11AE"/>
    <w:rsid w:val="00DE334E"/>
    <w:rsid w:val="00DE6F14"/>
    <w:rsid w:val="00DF18CF"/>
    <w:rsid w:val="00DF5C8B"/>
    <w:rsid w:val="00E04F43"/>
    <w:rsid w:val="00E06329"/>
    <w:rsid w:val="00E457B6"/>
    <w:rsid w:val="00E520D0"/>
    <w:rsid w:val="00E53347"/>
    <w:rsid w:val="00E5700A"/>
    <w:rsid w:val="00E82AD5"/>
    <w:rsid w:val="00E90349"/>
    <w:rsid w:val="00E9408E"/>
    <w:rsid w:val="00EA3177"/>
    <w:rsid w:val="00EC09F5"/>
    <w:rsid w:val="00EC2E4A"/>
    <w:rsid w:val="00ED0287"/>
    <w:rsid w:val="00EE32E7"/>
    <w:rsid w:val="00EF0253"/>
    <w:rsid w:val="00EF3AB1"/>
    <w:rsid w:val="00EF6E28"/>
    <w:rsid w:val="00F06BCF"/>
    <w:rsid w:val="00F16A52"/>
    <w:rsid w:val="00F422C4"/>
    <w:rsid w:val="00F467C4"/>
    <w:rsid w:val="00F61304"/>
    <w:rsid w:val="00F635D1"/>
    <w:rsid w:val="00F94CF8"/>
    <w:rsid w:val="00FB4757"/>
    <w:rsid w:val="00FD060B"/>
    <w:rsid w:val="00FF26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725519"/>
  <w15:chartTrackingRefBased/>
  <w15:docId w15:val="{52A7A44B-9F5C-4099-B3EA-8115BA13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B1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3B1E"/>
    <w:pPr>
      <w:tabs>
        <w:tab w:val="center" w:pos="4419"/>
        <w:tab w:val="right" w:pos="8838"/>
      </w:tabs>
    </w:pPr>
  </w:style>
  <w:style w:type="character" w:customStyle="1" w:styleId="EncabezadoCar">
    <w:name w:val="Encabezado Car"/>
    <w:basedOn w:val="Fuentedeprrafopredeter"/>
    <w:link w:val="Encabezado"/>
    <w:uiPriority w:val="99"/>
    <w:rsid w:val="00C43B1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C43B1E"/>
    <w:pPr>
      <w:tabs>
        <w:tab w:val="center" w:pos="4419"/>
        <w:tab w:val="right" w:pos="8838"/>
      </w:tabs>
    </w:pPr>
  </w:style>
  <w:style w:type="character" w:customStyle="1" w:styleId="PiedepginaCar">
    <w:name w:val="Pie de página Car"/>
    <w:basedOn w:val="Fuentedeprrafopredeter"/>
    <w:link w:val="Piedepgina"/>
    <w:uiPriority w:val="99"/>
    <w:rsid w:val="00C43B1E"/>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B1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43B1E"/>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0563E"/>
    <w:rPr>
      <w:sz w:val="16"/>
      <w:szCs w:val="16"/>
    </w:rPr>
  </w:style>
  <w:style w:type="paragraph" w:styleId="Textocomentario">
    <w:name w:val="annotation text"/>
    <w:basedOn w:val="Normal"/>
    <w:link w:val="TextocomentarioCar"/>
    <w:uiPriority w:val="99"/>
    <w:semiHidden/>
    <w:unhideWhenUsed/>
    <w:rsid w:val="0030563E"/>
    <w:rPr>
      <w:sz w:val="20"/>
      <w:szCs w:val="20"/>
    </w:rPr>
  </w:style>
  <w:style w:type="character" w:customStyle="1" w:styleId="TextocomentarioCar">
    <w:name w:val="Texto comentario Car"/>
    <w:basedOn w:val="Fuentedeprrafopredeter"/>
    <w:link w:val="Textocomentario"/>
    <w:uiPriority w:val="99"/>
    <w:semiHidden/>
    <w:rsid w:val="0030563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0563E"/>
    <w:rPr>
      <w:b/>
      <w:bCs/>
    </w:rPr>
  </w:style>
  <w:style w:type="character" w:customStyle="1" w:styleId="AsuntodelcomentarioCar">
    <w:name w:val="Asunto del comentario Car"/>
    <w:basedOn w:val="TextocomentarioCar"/>
    <w:link w:val="Asuntodelcomentario"/>
    <w:uiPriority w:val="99"/>
    <w:semiHidden/>
    <w:rsid w:val="0030563E"/>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30563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563E"/>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884BCE"/>
    <w:rPr>
      <w:color w:val="0563C1" w:themeColor="hyperlink"/>
      <w:u w:val="single"/>
    </w:rPr>
  </w:style>
  <w:style w:type="paragraph" w:styleId="Textonotapie">
    <w:name w:val="footnote text"/>
    <w:basedOn w:val="Normal"/>
    <w:link w:val="TextonotapieCar"/>
    <w:uiPriority w:val="99"/>
    <w:semiHidden/>
    <w:unhideWhenUsed/>
    <w:rsid w:val="00247F83"/>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247F83"/>
    <w:rPr>
      <w:sz w:val="20"/>
      <w:szCs w:val="20"/>
    </w:rPr>
  </w:style>
  <w:style w:type="character" w:styleId="Refdenotaalpie">
    <w:name w:val="footnote reference"/>
    <w:basedOn w:val="Fuentedeprrafopredeter"/>
    <w:uiPriority w:val="99"/>
    <w:semiHidden/>
    <w:unhideWhenUsed/>
    <w:rsid w:val="00247F83"/>
    <w:rPr>
      <w:vertAlign w:val="superscript"/>
    </w:rPr>
  </w:style>
  <w:style w:type="paragraph" w:styleId="Textonotaalfinal">
    <w:name w:val="endnote text"/>
    <w:basedOn w:val="Normal"/>
    <w:link w:val="TextonotaalfinalCar"/>
    <w:uiPriority w:val="99"/>
    <w:semiHidden/>
    <w:unhideWhenUsed/>
    <w:rsid w:val="00850D7E"/>
    <w:rPr>
      <w:sz w:val="20"/>
      <w:szCs w:val="20"/>
    </w:rPr>
  </w:style>
  <w:style w:type="character" w:customStyle="1" w:styleId="TextonotaalfinalCar">
    <w:name w:val="Texto nota al final Car"/>
    <w:basedOn w:val="Fuentedeprrafopredeter"/>
    <w:link w:val="Textonotaalfinal"/>
    <w:uiPriority w:val="99"/>
    <w:semiHidden/>
    <w:rsid w:val="00850D7E"/>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850D7E"/>
    <w:rPr>
      <w:vertAlign w:val="superscript"/>
    </w:rPr>
  </w:style>
  <w:style w:type="paragraph" w:styleId="NormalWeb">
    <w:name w:val="Normal (Web)"/>
    <w:basedOn w:val="Normal"/>
    <w:uiPriority w:val="99"/>
    <w:unhideWhenUsed/>
    <w:rsid w:val="004A1318"/>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2413">
      <w:bodyDiv w:val="1"/>
      <w:marLeft w:val="0"/>
      <w:marRight w:val="0"/>
      <w:marTop w:val="0"/>
      <w:marBottom w:val="0"/>
      <w:divBdr>
        <w:top w:val="none" w:sz="0" w:space="0" w:color="auto"/>
        <w:left w:val="none" w:sz="0" w:space="0" w:color="auto"/>
        <w:bottom w:val="none" w:sz="0" w:space="0" w:color="auto"/>
        <w:right w:val="none" w:sz="0" w:space="0" w:color="auto"/>
      </w:divBdr>
    </w:div>
    <w:div w:id="199901076">
      <w:bodyDiv w:val="1"/>
      <w:marLeft w:val="0"/>
      <w:marRight w:val="0"/>
      <w:marTop w:val="0"/>
      <w:marBottom w:val="0"/>
      <w:divBdr>
        <w:top w:val="none" w:sz="0" w:space="0" w:color="auto"/>
        <w:left w:val="none" w:sz="0" w:space="0" w:color="auto"/>
        <w:bottom w:val="none" w:sz="0" w:space="0" w:color="auto"/>
        <w:right w:val="none" w:sz="0" w:space="0" w:color="auto"/>
      </w:divBdr>
    </w:div>
    <w:div w:id="258637135">
      <w:bodyDiv w:val="1"/>
      <w:marLeft w:val="0"/>
      <w:marRight w:val="0"/>
      <w:marTop w:val="0"/>
      <w:marBottom w:val="0"/>
      <w:divBdr>
        <w:top w:val="none" w:sz="0" w:space="0" w:color="auto"/>
        <w:left w:val="none" w:sz="0" w:space="0" w:color="auto"/>
        <w:bottom w:val="none" w:sz="0" w:space="0" w:color="auto"/>
        <w:right w:val="none" w:sz="0" w:space="0" w:color="auto"/>
      </w:divBdr>
    </w:div>
    <w:div w:id="455219813">
      <w:bodyDiv w:val="1"/>
      <w:marLeft w:val="0"/>
      <w:marRight w:val="0"/>
      <w:marTop w:val="0"/>
      <w:marBottom w:val="0"/>
      <w:divBdr>
        <w:top w:val="none" w:sz="0" w:space="0" w:color="auto"/>
        <w:left w:val="none" w:sz="0" w:space="0" w:color="auto"/>
        <w:bottom w:val="none" w:sz="0" w:space="0" w:color="auto"/>
        <w:right w:val="none" w:sz="0" w:space="0" w:color="auto"/>
      </w:divBdr>
    </w:div>
    <w:div w:id="607276543">
      <w:bodyDiv w:val="1"/>
      <w:marLeft w:val="0"/>
      <w:marRight w:val="0"/>
      <w:marTop w:val="0"/>
      <w:marBottom w:val="0"/>
      <w:divBdr>
        <w:top w:val="none" w:sz="0" w:space="0" w:color="auto"/>
        <w:left w:val="none" w:sz="0" w:space="0" w:color="auto"/>
        <w:bottom w:val="none" w:sz="0" w:space="0" w:color="auto"/>
        <w:right w:val="none" w:sz="0" w:space="0" w:color="auto"/>
      </w:divBdr>
    </w:div>
    <w:div w:id="1175144219">
      <w:bodyDiv w:val="1"/>
      <w:marLeft w:val="0"/>
      <w:marRight w:val="0"/>
      <w:marTop w:val="0"/>
      <w:marBottom w:val="0"/>
      <w:divBdr>
        <w:top w:val="none" w:sz="0" w:space="0" w:color="auto"/>
        <w:left w:val="none" w:sz="0" w:space="0" w:color="auto"/>
        <w:bottom w:val="none" w:sz="0" w:space="0" w:color="auto"/>
        <w:right w:val="none" w:sz="0" w:space="0" w:color="auto"/>
      </w:divBdr>
    </w:div>
    <w:div w:id="1505052962">
      <w:bodyDiv w:val="1"/>
      <w:marLeft w:val="0"/>
      <w:marRight w:val="0"/>
      <w:marTop w:val="0"/>
      <w:marBottom w:val="0"/>
      <w:divBdr>
        <w:top w:val="none" w:sz="0" w:space="0" w:color="auto"/>
        <w:left w:val="none" w:sz="0" w:space="0" w:color="auto"/>
        <w:bottom w:val="none" w:sz="0" w:space="0" w:color="auto"/>
        <w:right w:val="none" w:sz="0" w:space="0" w:color="auto"/>
      </w:divBdr>
    </w:div>
    <w:div w:id="1590038250">
      <w:bodyDiv w:val="1"/>
      <w:marLeft w:val="0"/>
      <w:marRight w:val="0"/>
      <w:marTop w:val="0"/>
      <w:marBottom w:val="0"/>
      <w:divBdr>
        <w:top w:val="none" w:sz="0" w:space="0" w:color="auto"/>
        <w:left w:val="none" w:sz="0" w:space="0" w:color="auto"/>
        <w:bottom w:val="none" w:sz="0" w:space="0" w:color="auto"/>
        <w:right w:val="none" w:sz="0" w:space="0" w:color="auto"/>
      </w:divBdr>
    </w:div>
    <w:div w:id="1731265076">
      <w:bodyDiv w:val="1"/>
      <w:marLeft w:val="0"/>
      <w:marRight w:val="0"/>
      <w:marTop w:val="0"/>
      <w:marBottom w:val="0"/>
      <w:divBdr>
        <w:top w:val="none" w:sz="0" w:space="0" w:color="auto"/>
        <w:left w:val="none" w:sz="0" w:space="0" w:color="auto"/>
        <w:bottom w:val="none" w:sz="0" w:space="0" w:color="auto"/>
        <w:right w:val="none" w:sz="0" w:space="0" w:color="auto"/>
      </w:divBdr>
    </w:div>
    <w:div w:id="1895190334">
      <w:bodyDiv w:val="1"/>
      <w:marLeft w:val="0"/>
      <w:marRight w:val="0"/>
      <w:marTop w:val="0"/>
      <w:marBottom w:val="0"/>
      <w:divBdr>
        <w:top w:val="none" w:sz="0" w:space="0" w:color="auto"/>
        <w:left w:val="none" w:sz="0" w:space="0" w:color="auto"/>
        <w:bottom w:val="none" w:sz="0" w:space="0" w:color="auto"/>
        <w:right w:val="none" w:sz="0" w:space="0" w:color="auto"/>
      </w:divBdr>
    </w:div>
    <w:div w:id="194230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27115-B665-4548-801B-F5DDA99E9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2106</TotalTime>
  <Pages>16</Pages>
  <Words>2667</Words>
  <Characters>14674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71</cp:revision>
  <cp:lastPrinted>2021-10-13T18:02:00Z</cp:lastPrinted>
  <dcterms:created xsi:type="dcterms:W3CDTF">2021-09-21T17:38:00Z</dcterms:created>
  <dcterms:modified xsi:type="dcterms:W3CDTF">2021-12-06T23:34:00Z</dcterms:modified>
</cp:coreProperties>
</file>