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127F" w14:textId="77777777" w:rsidR="00576FD0" w:rsidRDefault="00576FD0" w:rsidP="00F65D12">
      <w:pPr>
        <w:tabs>
          <w:tab w:val="left" w:pos="6237"/>
        </w:tabs>
        <w:spacing w:after="0" w:line="360" w:lineRule="auto"/>
        <w:rPr>
          <w:rFonts w:eastAsia="Calibri" w:cs="Tahoma"/>
          <w:bCs/>
          <w:color w:val="000000"/>
        </w:rPr>
      </w:pPr>
    </w:p>
    <w:p w14:paraId="0801A9CE" w14:textId="13FA046D" w:rsidR="00576FD0" w:rsidRPr="0045792E" w:rsidRDefault="00576FD0" w:rsidP="00F65D12">
      <w:pPr>
        <w:spacing w:after="0" w:line="360" w:lineRule="auto"/>
        <w:rPr>
          <w:rFonts w:eastAsia="Times New Roman" w:cs="Tahoma"/>
          <w:bCs/>
          <w:color w:val="auto"/>
          <w:lang w:eastAsia="es-ES"/>
        </w:rPr>
      </w:pPr>
      <w:r w:rsidRPr="0045792E">
        <w:rPr>
          <w:rFonts w:eastAsia="Calibri" w:cs="Tahoma"/>
          <w:bCs/>
          <w:color w:val="000000"/>
        </w:rPr>
        <w:t xml:space="preserve">Resolución del Pleno del Instituto de Transparencia, Acceso a la Información Pública y </w:t>
      </w:r>
      <w:r w:rsidRPr="0045792E">
        <w:rPr>
          <w:rFonts w:eastAsia="Times New Roman" w:cs="Tahoma"/>
          <w:bCs/>
          <w:color w:val="auto"/>
          <w:lang w:eastAsia="es-ES"/>
        </w:rPr>
        <w:t xml:space="preserve">Protección de Datos Personales del Estado de México y Municipios, con domicilio en Metepec, Estado de México, de fecha </w:t>
      </w:r>
      <w:r w:rsidR="00AA7899">
        <w:rPr>
          <w:rFonts w:eastAsia="Times New Roman" w:cs="Tahoma"/>
          <w:bCs/>
          <w:color w:val="auto"/>
          <w:lang w:eastAsia="es-ES"/>
        </w:rPr>
        <w:t>ocho de diciembre</w:t>
      </w:r>
      <w:r w:rsidRPr="0045792E">
        <w:rPr>
          <w:rFonts w:eastAsia="Times New Roman" w:cs="Tahoma"/>
          <w:bCs/>
          <w:color w:val="auto"/>
          <w:lang w:eastAsia="es-ES"/>
        </w:rPr>
        <w:t xml:space="preserve"> de dos mil veintiuno.</w:t>
      </w:r>
    </w:p>
    <w:p w14:paraId="42DBF01E" w14:textId="77777777" w:rsidR="00576FD0" w:rsidRPr="0045792E" w:rsidRDefault="00576FD0" w:rsidP="00F65D12">
      <w:pPr>
        <w:tabs>
          <w:tab w:val="left" w:pos="2839"/>
        </w:tabs>
        <w:spacing w:after="0" w:line="360" w:lineRule="auto"/>
        <w:rPr>
          <w:rFonts w:eastAsia="Times New Roman" w:cs="Tahoma"/>
          <w:bCs/>
          <w:color w:val="auto"/>
          <w:lang w:eastAsia="es-ES"/>
        </w:rPr>
      </w:pPr>
    </w:p>
    <w:p w14:paraId="0A979627" w14:textId="3B18E28C" w:rsidR="00576FD0" w:rsidRPr="0045792E" w:rsidRDefault="00576FD0" w:rsidP="00F65D12">
      <w:pPr>
        <w:spacing w:after="0" w:line="360" w:lineRule="auto"/>
        <w:rPr>
          <w:rFonts w:eastAsia="Calibri" w:cs="Tahoma"/>
          <w:bCs/>
          <w:color w:val="0D0D0D"/>
        </w:rPr>
      </w:pPr>
      <w:r w:rsidRPr="0045792E">
        <w:rPr>
          <w:rFonts w:eastAsia="Times New Roman" w:cs="Tahoma"/>
          <w:b/>
          <w:bCs/>
          <w:color w:val="auto"/>
          <w:lang w:eastAsia="es-ES"/>
        </w:rPr>
        <w:t>VISTO</w:t>
      </w:r>
      <w:r w:rsidR="00ED1453">
        <w:rPr>
          <w:rFonts w:eastAsia="Times New Roman" w:cs="Tahoma"/>
          <w:b/>
          <w:bCs/>
          <w:color w:val="auto"/>
          <w:lang w:eastAsia="es-ES"/>
        </w:rPr>
        <w:t>S</w:t>
      </w:r>
      <w:r w:rsidR="00ED1453">
        <w:rPr>
          <w:rFonts w:eastAsia="Calibri" w:cs="Tahoma"/>
          <w:bCs/>
          <w:color w:val="0D0D0D"/>
        </w:rPr>
        <w:t xml:space="preserve"> </w:t>
      </w:r>
      <w:r w:rsidRPr="0045792E">
        <w:rPr>
          <w:rFonts w:eastAsia="Calibri" w:cs="Tahoma"/>
          <w:bCs/>
          <w:color w:val="0D0D0D"/>
        </w:rPr>
        <w:t>l</w:t>
      </w:r>
      <w:r w:rsidR="00ED1453">
        <w:rPr>
          <w:rFonts w:eastAsia="Calibri" w:cs="Tahoma"/>
          <w:bCs/>
          <w:color w:val="0D0D0D"/>
        </w:rPr>
        <w:t>os</w:t>
      </w:r>
      <w:r w:rsidRPr="0045792E">
        <w:rPr>
          <w:rFonts w:eastAsia="Calibri" w:cs="Tahoma"/>
          <w:bCs/>
          <w:color w:val="0D0D0D"/>
        </w:rPr>
        <w:t xml:space="preserve"> expediente</w:t>
      </w:r>
      <w:r w:rsidR="00ED1453">
        <w:rPr>
          <w:rFonts w:eastAsia="Calibri" w:cs="Tahoma"/>
          <w:bCs/>
          <w:color w:val="0D0D0D"/>
        </w:rPr>
        <w:t>s</w:t>
      </w:r>
      <w:r w:rsidRPr="0045792E">
        <w:rPr>
          <w:rFonts w:eastAsia="Calibri" w:cs="Tahoma"/>
          <w:bCs/>
          <w:color w:val="0D0D0D"/>
        </w:rPr>
        <w:t xml:space="preserve"> conformado</w:t>
      </w:r>
      <w:r w:rsidR="00ED1453">
        <w:rPr>
          <w:rFonts w:eastAsia="Calibri" w:cs="Tahoma"/>
          <w:bCs/>
          <w:color w:val="0D0D0D"/>
        </w:rPr>
        <w:t>s</w:t>
      </w:r>
      <w:r w:rsidRPr="0045792E">
        <w:rPr>
          <w:rFonts w:eastAsia="Calibri" w:cs="Tahoma"/>
          <w:bCs/>
          <w:color w:val="0D0D0D"/>
        </w:rPr>
        <w:t xml:space="preserve"> con motivo de</w:t>
      </w:r>
      <w:r w:rsidR="00ED1453">
        <w:rPr>
          <w:rFonts w:eastAsia="Calibri" w:cs="Tahoma"/>
          <w:bCs/>
          <w:color w:val="0D0D0D"/>
        </w:rPr>
        <w:t xml:space="preserve"> </w:t>
      </w:r>
      <w:r w:rsidRPr="0045792E">
        <w:rPr>
          <w:rFonts w:eastAsia="Calibri" w:cs="Tahoma"/>
          <w:bCs/>
          <w:color w:val="0D0D0D"/>
        </w:rPr>
        <w:t>l</w:t>
      </w:r>
      <w:r w:rsidR="00ED1453">
        <w:rPr>
          <w:rFonts w:eastAsia="Calibri" w:cs="Tahoma"/>
          <w:bCs/>
          <w:color w:val="0D0D0D"/>
        </w:rPr>
        <w:t>os</w:t>
      </w:r>
      <w:r w:rsidRPr="0045792E">
        <w:rPr>
          <w:rFonts w:eastAsia="Calibri" w:cs="Tahoma"/>
          <w:bCs/>
          <w:color w:val="0D0D0D"/>
        </w:rPr>
        <w:t xml:space="preserve"> Recurso</w:t>
      </w:r>
      <w:r w:rsidR="00ED1453">
        <w:rPr>
          <w:rFonts w:eastAsia="Calibri" w:cs="Tahoma"/>
          <w:bCs/>
          <w:color w:val="0D0D0D"/>
        </w:rPr>
        <w:t>s</w:t>
      </w:r>
      <w:r w:rsidRPr="0045792E">
        <w:rPr>
          <w:rFonts w:eastAsia="Calibri" w:cs="Tahoma"/>
          <w:bCs/>
          <w:color w:val="0D0D0D"/>
        </w:rPr>
        <w:t xml:space="preserve"> de Revisión </w:t>
      </w:r>
      <w:r w:rsidR="00AA7899">
        <w:rPr>
          <w:rFonts w:eastAsia="Calibri" w:cs="Tahoma"/>
          <w:b/>
          <w:color w:val="000000"/>
        </w:rPr>
        <w:t>05641</w:t>
      </w:r>
      <w:r w:rsidR="00EF1A3C" w:rsidRPr="00443E48">
        <w:rPr>
          <w:rFonts w:eastAsia="Calibri" w:cs="Tahoma"/>
          <w:b/>
          <w:color w:val="000000"/>
        </w:rPr>
        <w:t>/INFOEM/IP/RR/2021</w:t>
      </w:r>
      <w:r w:rsidRPr="00DE048E">
        <w:rPr>
          <w:rFonts w:eastAsia="Calibri" w:cs="Tahoma"/>
          <w:bCs/>
          <w:color w:val="000000"/>
        </w:rPr>
        <w:t>, interpuesto</w:t>
      </w:r>
      <w:r w:rsidR="000539B5">
        <w:rPr>
          <w:rFonts w:eastAsia="Calibri" w:cs="Tahoma"/>
          <w:bCs/>
          <w:color w:val="000000"/>
        </w:rPr>
        <w:t>s</w:t>
      </w:r>
      <w:r w:rsidRPr="00DE048E">
        <w:rPr>
          <w:rFonts w:eastAsia="Calibri" w:cs="Tahoma"/>
          <w:bCs/>
          <w:color w:val="000000"/>
        </w:rPr>
        <w:t xml:space="preserve"> por </w:t>
      </w:r>
      <w:r w:rsidR="00AA7899">
        <w:rPr>
          <w:rFonts w:eastAsia="Calibri" w:cs="Tahoma"/>
        </w:rPr>
        <w:t>un</w:t>
      </w:r>
      <w:r w:rsidRPr="00DE048E">
        <w:rPr>
          <w:rFonts w:eastAsia="Calibri" w:cs="Tahoma"/>
          <w:bCs/>
          <w:color w:val="0D0D0D"/>
        </w:rPr>
        <w:t xml:space="preserve"> Recurrente o Particular, en contra de la respuesta del Sujeto Obligado, </w:t>
      </w:r>
      <w:r w:rsidR="00EF1A3C" w:rsidRPr="00DE048E">
        <w:rPr>
          <w:rFonts w:eastAsia="Calibri" w:cs="Tahoma"/>
          <w:bCs/>
          <w:color w:val="000000"/>
        </w:rPr>
        <w:t xml:space="preserve">Ayuntamiento de </w:t>
      </w:r>
      <w:r w:rsidR="00AA7899">
        <w:rPr>
          <w:rFonts w:eastAsia="Calibri" w:cs="Tahoma"/>
          <w:bCs/>
          <w:color w:val="000000"/>
        </w:rPr>
        <w:t>Otzoloapan</w:t>
      </w:r>
      <w:r w:rsidRPr="00DE048E">
        <w:rPr>
          <w:rFonts w:eastAsia="Calibri" w:cs="Tahoma"/>
          <w:bCs/>
          <w:color w:val="000000"/>
        </w:rPr>
        <w:t xml:space="preserve">, a la solicitud de acceso a la información </w:t>
      </w:r>
      <w:r w:rsidR="00AA7899" w:rsidRPr="00AA7899">
        <w:rPr>
          <w:rFonts w:eastAsia="Calibri" w:cs="Tahoma"/>
          <w:color w:val="000000"/>
        </w:rPr>
        <w:t>00075/OTZOLOAP/IP/2021</w:t>
      </w:r>
      <w:r w:rsidRPr="00DE048E">
        <w:rPr>
          <w:rFonts w:eastAsia="Calibri" w:cs="Tahoma"/>
          <w:bCs/>
          <w:color w:val="000000"/>
        </w:rPr>
        <w:t>,</w:t>
      </w:r>
      <w:r w:rsidRPr="00D56786">
        <w:rPr>
          <w:rFonts w:eastAsia="Calibri" w:cs="Tahoma"/>
          <w:bCs/>
          <w:color w:val="000000"/>
        </w:rPr>
        <w:t xml:space="preserve"> se emite la presente Resolución, con base en los Antecedentes y Considerandos que se exponen a continuación:</w:t>
      </w:r>
    </w:p>
    <w:p w14:paraId="7468152E" w14:textId="77777777" w:rsidR="00576FD0" w:rsidRPr="0045792E" w:rsidRDefault="00576FD0" w:rsidP="00F65D12">
      <w:pPr>
        <w:spacing w:after="0" w:line="360" w:lineRule="auto"/>
      </w:pPr>
    </w:p>
    <w:p w14:paraId="58017CB2" w14:textId="77777777" w:rsidR="00576FD0" w:rsidRPr="0045792E" w:rsidRDefault="00576FD0" w:rsidP="00F65D12">
      <w:pPr>
        <w:tabs>
          <w:tab w:val="center" w:pos="4522"/>
          <w:tab w:val="left" w:pos="7245"/>
        </w:tabs>
        <w:spacing w:after="0" w:line="360" w:lineRule="auto"/>
        <w:jc w:val="center"/>
        <w:rPr>
          <w:rFonts w:eastAsia="Calibri" w:cs="Tahoma"/>
          <w:b/>
          <w:color w:val="000000"/>
        </w:rPr>
      </w:pPr>
      <w:r w:rsidRPr="0045792E">
        <w:rPr>
          <w:rFonts w:eastAsia="Calibri" w:cs="Tahoma"/>
          <w:b/>
          <w:color w:val="000000"/>
        </w:rPr>
        <w:t>A N T E C E D E N T E S:</w:t>
      </w:r>
    </w:p>
    <w:p w14:paraId="4C19A396" w14:textId="77777777" w:rsidR="00576FD0" w:rsidRPr="0045792E" w:rsidRDefault="00576FD0" w:rsidP="00F65D12">
      <w:pPr>
        <w:spacing w:after="0" w:line="360" w:lineRule="auto"/>
      </w:pPr>
    </w:p>
    <w:p w14:paraId="0EA5930D" w14:textId="0AF2D568" w:rsidR="00576FD0" w:rsidRPr="0045792E" w:rsidRDefault="00576FD0" w:rsidP="00F65D12">
      <w:pPr>
        <w:tabs>
          <w:tab w:val="left" w:pos="567"/>
        </w:tabs>
        <w:spacing w:after="0" w:line="360" w:lineRule="auto"/>
        <w:rPr>
          <w:rFonts w:eastAsia="Times New Roman" w:cs="Tahoma"/>
          <w:b/>
          <w:color w:val="auto"/>
          <w:lang w:eastAsia="es-ES"/>
        </w:rPr>
      </w:pPr>
      <w:r w:rsidRPr="0045792E">
        <w:rPr>
          <w:rFonts w:eastAsia="Times New Roman" w:cs="Tahoma"/>
          <w:b/>
          <w:color w:val="auto"/>
          <w:lang w:eastAsia="es-ES"/>
        </w:rPr>
        <w:t>I. Presentación de la</w:t>
      </w:r>
      <w:r w:rsidR="00577097">
        <w:rPr>
          <w:rFonts w:eastAsia="Times New Roman" w:cs="Tahoma"/>
          <w:b/>
          <w:color w:val="auto"/>
          <w:lang w:eastAsia="es-ES"/>
        </w:rPr>
        <w:t>s</w:t>
      </w:r>
      <w:r w:rsidRPr="0045792E">
        <w:rPr>
          <w:rFonts w:eastAsia="Times New Roman" w:cs="Tahoma"/>
          <w:b/>
          <w:color w:val="auto"/>
          <w:lang w:eastAsia="es-ES"/>
        </w:rPr>
        <w:t xml:space="preserve"> solicitud</w:t>
      </w:r>
      <w:r w:rsidR="00577097">
        <w:rPr>
          <w:rFonts w:eastAsia="Times New Roman" w:cs="Tahoma"/>
          <w:b/>
          <w:color w:val="auto"/>
          <w:lang w:eastAsia="es-ES"/>
        </w:rPr>
        <w:t>es</w:t>
      </w:r>
      <w:r w:rsidRPr="0045792E">
        <w:rPr>
          <w:rFonts w:eastAsia="Times New Roman" w:cs="Tahoma"/>
          <w:b/>
          <w:color w:val="auto"/>
          <w:lang w:eastAsia="es-ES"/>
        </w:rPr>
        <w:t xml:space="preserve"> de información:</w:t>
      </w:r>
    </w:p>
    <w:p w14:paraId="0107203C" w14:textId="77777777" w:rsidR="00576FD0" w:rsidRPr="0045792E" w:rsidRDefault="00576FD0" w:rsidP="00F65D12">
      <w:pPr>
        <w:tabs>
          <w:tab w:val="left" w:pos="567"/>
        </w:tabs>
        <w:spacing w:after="0" w:line="360" w:lineRule="auto"/>
        <w:rPr>
          <w:rFonts w:eastAsia="Times New Roman" w:cs="Tahoma"/>
          <w:color w:val="auto"/>
          <w:lang w:eastAsia="es-ES"/>
        </w:rPr>
      </w:pPr>
    </w:p>
    <w:p w14:paraId="096C4E5B" w14:textId="24CA4524" w:rsidR="00576FD0" w:rsidRPr="0045792E" w:rsidRDefault="00576FD0" w:rsidP="00F65D12">
      <w:pPr>
        <w:spacing w:after="0" w:line="360" w:lineRule="auto"/>
        <w:rPr>
          <w:rFonts w:eastAsia="Times New Roman" w:cs="Tahoma"/>
          <w:bCs/>
          <w:color w:val="auto"/>
          <w:lang w:eastAsia="es-ES"/>
        </w:rPr>
      </w:pPr>
      <w:r w:rsidRPr="0045792E">
        <w:rPr>
          <w:rFonts w:eastAsia="Times New Roman" w:cs="Tahoma"/>
          <w:color w:val="auto"/>
          <w:lang w:eastAsia="es-ES"/>
        </w:rPr>
        <w:t xml:space="preserve">Con fecha </w:t>
      </w:r>
      <w:r w:rsidR="00B8293F">
        <w:rPr>
          <w:rFonts w:eastAsia="Times New Roman" w:cs="Tahoma"/>
          <w:color w:val="auto"/>
          <w:lang w:eastAsia="es-ES"/>
        </w:rPr>
        <w:t>diecinueve de octubre</w:t>
      </w:r>
      <w:r w:rsidR="00D771D9">
        <w:rPr>
          <w:rFonts w:eastAsia="Times New Roman" w:cs="Tahoma"/>
          <w:color w:val="auto"/>
          <w:lang w:eastAsia="es-ES"/>
        </w:rPr>
        <w:t xml:space="preserve"> de dos mil veintiuno</w:t>
      </w:r>
      <w:r w:rsidRPr="0045792E">
        <w:rPr>
          <w:rFonts w:eastAsia="Times New Roman" w:cs="Tahoma"/>
          <w:color w:val="auto"/>
          <w:lang w:eastAsia="es-ES"/>
        </w:rPr>
        <w:t xml:space="preserve">, la Particular presentó </w:t>
      </w:r>
      <w:r w:rsidR="00B8293F">
        <w:rPr>
          <w:rFonts w:eastAsia="Times New Roman" w:cs="Tahoma"/>
          <w:color w:val="auto"/>
          <w:lang w:eastAsia="es-ES"/>
        </w:rPr>
        <w:t>una</w:t>
      </w:r>
      <w:r w:rsidR="000539B5">
        <w:rPr>
          <w:rFonts w:eastAsia="Times New Roman" w:cs="Tahoma"/>
          <w:color w:val="auto"/>
          <w:lang w:eastAsia="es-ES"/>
        </w:rPr>
        <w:t xml:space="preserve"> </w:t>
      </w:r>
      <w:r w:rsidRPr="0045792E">
        <w:rPr>
          <w:rFonts w:eastAsia="Times New Roman" w:cs="Tahoma"/>
          <w:color w:val="auto"/>
          <w:lang w:eastAsia="es-ES"/>
        </w:rPr>
        <w:t xml:space="preserve">solicitud de acceso a la información pública, a través del Sistema de Acceso a la Información Mexiquense (SAIMEX), ante el </w:t>
      </w:r>
      <w:r w:rsidR="00EF1A3C">
        <w:rPr>
          <w:rFonts w:eastAsia="Calibri" w:cs="Tahoma"/>
          <w:color w:val="000000"/>
        </w:rPr>
        <w:t xml:space="preserve">Ayuntamiento de </w:t>
      </w:r>
      <w:r w:rsidR="00AA7899">
        <w:rPr>
          <w:rFonts w:eastAsia="Calibri" w:cs="Tahoma"/>
          <w:color w:val="000000"/>
        </w:rPr>
        <w:t>Otzoloapan</w:t>
      </w:r>
      <w:r>
        <w:rPr>
          <w:rFonts w:eastAsia="Calibri" w:cs="Tahoma"/>
          <w:color w:val="000000"/>
        </w:rPr>
        <w:t>,</w:t>
      </w:r>
      <w:r w:rsidRPr="0045792E">
        <w:rPr>
          <w:rFonts w:eastAsia="Calibri" w:cs="Tahoma"/>
          <w:bCs/>
          <w:color w:val="000000"/>
        </w:rPr>
        <w:t xml:space="preserve"> </w:t>
      </w:r>
      <w:r w:rsidRPr="0045792E">
        <w:rPr>
          <w:rFonts w:eastAsia="Times New Roman" w:cs="Tahoma"/>
          <w:bCs/>
          <w:color w:val="auto"/>
          <w:lang w:eastAsia="es-ES"/>
        </w:rPr>
        <w:t>en los términos siguientes:</w:t>
      </w:r>
    </w:p>
    <w:p w14:paraId="1B06A126" w14:textId="77777777" w:rsidR="00576FD0" w:rsidRPr="0045792E" w:rsidRDefault="00576FD0" w:rsidP="00F65D12">
      <w:pPr>
        <w:spacing w:after="0" w:line="360" w:lineRule="auto"/>
        <w:rPr>
          <w:rFonts w:eastAsia="Times New Roman" w:cs="Tahoma"/>
          <w:bCs/>
          <w:color w:val="auto"/>
          <w:lang w:eastAsia="es-ES"/>
        </w:rPr>
      </w:pPr>
    </w:p>
    <w:p w14:paraId="47E1C5C4" w14:textId="7ECB4D11" w:rsidR="005E66BF" w:rsidRPr="003D5B55" w:rsidRDefault="00B8293F" w:rsidP="00F65D12">
      <w:pPr>
        <w:tabs>
          <w:tab w:val="left" w:pos="4667"/>
        </w:tabs>
        <w:spacing w:after="0" w:line="360" w:lineRule="auto"/>
        <w:ind w:left="567" w:right="567"/>
        <w:rPr>
          <w:rFonts w:cs="Tahoma"/>
          <w:b/>
          <w:bCs/>
          <w:i/>
          <w:sz w:val="20"/>
          <w:szCs w:val="20"/>
        </w:rPr>
      </w:pPr>
      <w:r w:rsidRPr="003D5B55">
        <w:rPr>
          <w:rFonts w:cs="Tahoma"/>
          <w:b/>
          <w:bCs/>
          <w:i/>
          <w:sz w:val="20"/>
          <w:szCs w:val="20"/>
        </w:rPr>
        <w:t xml:space="preserve"> </w:t>
      </w:r>
      <w:r w:rsidR="005E66BF" w:rsidRPr="003D5B55">
        <w:rPr>
          <w:rFonts w:cs="Tahoma"/>
          <w:b/>
          <w:bCs/>
          <w:i/>
          <w:sz w:val="20"/>
          <w:szCs w:val="20"/>
        </w:rPr>
        <w:t>“DESCRIPCIÓN CLARA Y PRECISA DE LA INFORMACIÓN SOLICITADA</w:t>
      </w:r>
    </w:p>
    <w:p w14:paraId="3B6CC2DA" w14:textId="70140E8C" w:rsidR="005E66BF" w:rsidRPr="00D638C2" w:rsidRDefault="00B8293F" w:rsidP="00F65D12">
      <w:pPr>
        <w:spacing w:after="0" w:line="360" w:lineRule="auto"/>
        <w:ind w:left="567" w:right="567"/>
        <w:rPr>
          <w:rFonts w:cs="Tahoma"/>
          <w:bCs/>
          <w:i/>
          <w:sz w:val="20"/>
          <w:szCs w:val="20"/>
        </w:rPr>
      </w:pPr>
      <w:r w:rsidRPr="00B8293F">
        <w:rPr>
          <w:rFonts w:cs="Tahoma"/>
          <w:bCs/>
          <w:i/>
          <w:sz w:val="20"/>
          <w:szCs w:val="20"/>
        </w:rPr>
        <w:t>Solicito los recibos de honorarios que se hayan generado este año.</w:t>
      </w:r>
      <w:r w:rsidR="005E66BF" w:rsidRPr="00D638C2">
        <w:rPr>
          <w:rFonts w:cs="Tahoma"/>
          <w:bCs/>
          <w:i/>
          <w:sz w:val="20"/>
          <w:szCs w:val="20"/>
        </w:rPr>
        <w:t xml:space="preserve">” (Sic.) </w:t>
      </w:r>
    </w:p>
    <w:p w14:paraId="44CB2312" w14:textId="5276023E" w:rsidR="005E66BF" w:rsidRDefault="005E66BF" w:rsidP="00F65D12">
      <w:pPr>
        <w:tabs>
          <w:tab w:val="left" w:pos="4667"/>
        </w:tabs>
        <w:spacing w:after="0" w:line="360" w:lineRule="auto"/>
        <w:ind w:left="567" w:right="567"/>
        <w:rPr>
          <w:rFonts w:cs="Tahoma"/>
          <w:b/>
          <w:bCs/>
          <w:i/>
          <w:sz w:val="20"/>
          <w:szCs w:val="20"/>
        </w:rPr>
      </w:pPr>
      <w:r w:rsidRPr="003D5B55">
        <w:rPr>
          <w:rFonts w:cs="Tahoma"/>
          <w:b/>
          <w:bCs/>
          <w:i/>
          <w:sz w:val="20"/>
          <w:szCs w:val="20"/>
        </w:rPr>
        <w:t xml:space="preserve"> </w:t>
      </w:r>
    </w:p>
    <w:p w14:paraId="29C4CDD9" w14:textId="77777777" w:rsidR="00202057" w:rsidRPr="00A7101A" w:rsidRDefault="00202057" w:rsidP="00F65D12">
      <w:pPr>
        <w:tabs>
          <w:tab w:val="left" w:pos="4667"/>
        </w:tabs>
        <w:spacing w:after="0" w:line="360" w:lineRule="auto"/>
        <w:ind w:left="567"/>
        <w:rPr>
          <w:rFonts w:cs="Tahoma"/>
          <w:bCs/>
          <w:i/>
          <w:sz w:val="20"/>
          <w:szCs w:val="20"/>
        </w:rPr>
      </w:pPr>
      <w:r w:rsidRPr="00A7101A">
        <w:rPr>
          <w:rFonts w:cs="Tahoma"/>
          <w:b/>
          <w:bCs/>
          <w:i/>
          <w:sz w:val="20"/>
          <w:szCs w:val="20"/>
        </w:rPr>
        <w:t>“MODALIDAD DE ENTREGA</w:t>
      </w:r>
    </w:p>
    <w:p w14:paraId="7E19CDA1" w14:textId="77777777" w:rsidR="00202057" w:rsidRDefault="00202057" w:rsidP="00F65D12">
      <w:pPr>
        <w:spacing w:after="0" w:line="360" w:lineRule="auto"/>
        <w:ind w:left="567" w:right="567"/>
        <w:rPr>
          <w:rFonts w:cs="Tahoma"/>
          <w:bCs/>
          <w:i/>
          <w:sz w:val="20"/>
          <w:szCs w:val="20"/>
        </w:rPr>
      </w:pPr>
      <w:r w:rsidRPr="00A7101A">
        <w:rPr>
          <w:rFonts w:cs="Tahoma"/>
          <w:bCs/>
          <w:i/>
          <w:sz w:val="20"/>
          <w:szCs w:val="20"/>
        </w:rPr>
        <w:t>A través del SAIMEX”</w:t>
      </w:r>
    </w:p>
    <w:p w14:paraId="3EF2847C" w14:textId="77777777" w:rsidR="00202057" w:rsidRPr="00DC1783" w:rsidRDefault="00202057" w:rsidP="00F65D12">
      <w:pPr>
        <w:spacing w:after="0" w:line="360" w:lineRule="auto"/>
        <w:rPr>
          <w:rFonts w:cs="Tahoma"/>
          <w:b/>
          <w:bCs/>
          <w:i/>
          <w:iCs/>
          <w:color w:val="0D0D0D" w:themeColor="text1" w:themeTint="F2"/>
        </w:rPr>
      </w:pPr>
    </w:p>
    <w:p w14:paraId="152D92BB" w14:textId="7CCBA6F2" w:rsidR="00576FD0" w:rsidRDefault="00576FD0" w:rsidP="00F65D12">
      <w:pPr>
        <w:tabs>
          <w:tab w:val="left" w:pos="567"/>
        </w:tabs>
        <w:spacing w:after="0" w:line="360" w:lineRule="auto"/>
        <w:rPr>
          <w:rFonts w:eastAsia="Times New Roman" w:cs="Tahoma"/>
          <w:b/>
          <w:color w:val="auto"/>
          <w:szCs w:val="24"/>
          <w:lang w:eastAsia="es-ES"/>
        </w:rPr>
      </w:pPr>
      <w:r w:rsidRPr="0045792E">
        <w:rPr>
          <w:rFonts w:eastAsia="Times New Roman" w:cs="Tahoma"/>
          <w:b/>
          <w:color w:val="auto"/>
          <w:szCs w:val="24"/>
          <w:lang w:eastAsia="es-ES"/>
        </w:rPr>
        <w:t>II. Respuesta del Sujeto Obligado.</w:t>
      </w:r>
    </w:p>
    <w:p w14:paraId="2BD09052" w14:textId="77777777" w:rsidR="00B44933" w:rsidRPr="0045792E" w:rsidRDefault="00B44933" w:rsidP="00F65D12">
      <w:pPr>
        <w:tabs>
          <w:tab w:val="left" w:pos="567"/>
        </w:tabs>
        <w:spacing w:after="0" w:line="360" w:lineRule="auto"/>
        <w:rPr>
          <w:rFonts w:eastAsia="Times New Roman" w:cs="Tahoma"/>
          <w:i/>
          <w:color w:val="auto"/>
          <w:sz w:val="20"/>
          <w:lang w:eastAsia="es-ES"/>
        </w:rPr>
      </w:pPr>
    </w:p>
    <w:p w14:paraId="29B3BEE0" w14:textId="3AA1DF55" w:rsidR="002C49AF" w:rsidRDefault="00576FD0" w:rsidP="00F65D12">
      <w:pPr>
        <w:spacing w:after="0" w:line="360" w:lineRule="auto"/>
        <w:rPr>
          <w:rFonts w:cs="Tahoma"/>
        </w:rPr>
      </w:pPr>
      <w:r w:rsidRPr="0045792E">
        <w:rPr>
          <w:rFonts w:cs="Tahoma"/>
        </w:rPr>
        <w:lastRenderedPageBreak/>
        <w:t xml:space="preserve">Con fecha </w:t>
      </w:r>
      <w:r w:rsidR="00B8293F">
        <w:rPr>
          <w:rFonts w:cs="Tahoma"/>
        </w:rPr>
        <w:t xml:space="preserve">tres de noviembre </w:t>
      </w:r>
      <w:r w:rsidRPr="0045792E">
        <w:rPr>
          <w:rFonts w:cs="Tahoma"/>
        </w:rPr>
        <w:t xml:space="preserve">de dos mil veintiuno, el </w:t>
      </w:r>
      <w:r w:rsidR="00EF1A3C">
        <w:rPr>
          <w:rFonts w:cs="Tahoma"/>
        </w:rPr>
        <w:t xml:space="preserve">Ayuntamiento de </w:t>
      </w:r>
      <w:r w:rsidR="00B8293F">
        <w:rPr>
          <w:rFonts w:cs="Tahoma"/>
        </w:rPr>
        <w:t>Otzoloapan</w:t>
      </w:r>
      <w:r w:rsidRPr="0045792E">
        <w:rPr>
          <w:rFonts w:cs="Tahoma"/>
          <w:bCs/>
        </w:rPr>
        <w:t>,</w:t>
      </w:r>
      <w:r w:rsidRPr="0045792E">
        <w:rPr>
          <w:rFonts w:cs="Tahoma"/>
        </w:rPr>
        <w:t xml:space="preserve"> notificó a </w:t>
      </w:r>
      <w:r w:rsidR="00CE0D1C">
        <w:rPr>
          <w:rFonts w:cs="Tahoma"/>
        </w:rPr>
        <w:t>al</w:t>
      </w:r>
      <w:r w:rsidRPr="0045792E">
        <w:rPr>
          <w:rFonts w:cs="Tahoma"/>
        </w:rPr>
        <w:t xml:space="preserve"> Solicitante, a través el Sistema de Acceso a la Información Mexiquense (SAIMEX), la respuesta a la solicitud de información</w:t>
      </w:r>
      <w:r w:rsidR="00B8293F">
        <w:rPr>
          <w:rFonts w:cs="Tahoma"/>
        </w:rPr>
        <w:t>,</w:t>
      </w:r>
      <w:r w:rsidR="00CE0D1C">
        <w:rPr>
          <w:rFonts w:cs="Tahoma"/>
        </w:rPr>
        <w:t xml:space="preserve"> a través del oficio sin número, de la misma fecha de notificación, emitido por la Unidad de Transparencia </w:t>
      </w:r>
      <w:r w:rsidR="00B8293F">
        <w:rPr>
          <w:rFonts w:cs="Tahoma"/>
        </w:rPr>
        <w:t xml:space="preserve"> en </w:t>
      </w:r>
      <w:r w:rsidR="002C49AF">
        <w:rPr>
          <w:rFonts w:cs="Tahoma"/>
        </w:rPr>
        <w:t xml:space="preserve">los </w:t>
      </w:r>
      <w:r w:rsidR="00B8293F">
        <w:rPr>
          <w:rFonts w:cs="Tahoma"/>
        </w:rPr>
        <w:t xml:space="preserve">términos </w:t>
      </w:r>
      <w:r w:rsidR="002C49AF">
        <w:rPr>
          <w:rFonts w:cs="Tahoma"/>
        </w:rPr>
        <w:t>siguientes:</w:t>
      </w:r>
    </w:p>
    <w:p w14:paraId="621A2383" w14:textId="6FAE5078" w:rsidR="00950BF9" w:rsidRDefault="009A294F" w:rsidP="00F65D12">
      <w:pPr>
        <w:spacing w:after="0" w:line="360" w:lineRule="auto"/>
        <w:rPr>
          <w:rFonts w:cs="Tahoma"/>
        </w:rPr>
      </w:pPr>
      <w:r>
        <w:rPr>
          <w:rFonts w:cs="Tahoma"/>
        </w:rPr>
        <w:t xml:space="preserve"> </w:t>
      </w:r>
    </w:p>
    <w:p w14:paraId="7581239B" w14:textId="77777777" w:rsidR="004F7AF9" w:rsidRDefault="004F7AF9" w:rsidP="00F65D12">
      <w:pPr>
        <w:spacing w:after="0" w:line="360" w:lineRule="auto"/>
        <w:ind w:left="567" w:right="567"/>
        <w:rPr>
          <w:rFonts w:cs="Tahoma"/>
          <w:i/>
          <w:iCs/>
          <w:sz w:val="20"/>
          <w:szCs w:val="20"/>
        </w:rPr>
      </w:pPr>
      <w:r w:rsidRPr="00964942">
        <w:rPr>
          <w:rFonts w:cs="Tahoma"/>
          <w:i/>
          <w:iCs/>
          <w:sz w:val="20"/>
          <w:szCs w:val="20"/>
        </w:rPr>
        <w:t>“…</w:t>
      </w:r>
    </w:p>
    <w:p w14:paraId="7808BAD3" w14:textId="70D676AB" w:rsidR="00314B82" w:rsidRDefault="00314B82" w:rsidP="00F65D12">
      <w:pPr>
        <w:spacing w:after="0" w:line="360" w:lineRule="auto"/>
        <w:ind w:left="567" w:right="567"/>
        <w:rPr>
          <w:rFonts w:cs="Tahoma"/>
          <w:i/>
          <w:iCs/>
          <w:sz w:val="20"/>
          <w:szCs w:val="20"/>
        </w:rPr>
      </w:pPr>
      <w:r w:rsidRPr="00314B82">
        <w:rPr>
          <w:rFonts w:cs="Tahoma"/>
          <w:i/>
          <w:iCs/>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F42C4A" w14:textId="77777777" w:rsidR="00314B82" w:rsidRPr="00964942" w:rsidRDefault="00314B82" w:rsidP="00F65D12">
      <w:pPr>
        <w:spacing w:after="0" w:line="360" w:lineRule="auto"/>
        <w:ind w:left="567" w:right="567"/>
        <w:rPr>
          <w:rFonts w:cs="Tahoma"/>
          <w:i/>
          <w:iCs/>
          <w:sz w:val="20"/>
          <w:szCs w:val="20"/>
        </w:rPr>
      </w:pPr>
    </w:p>
    <w:p w14:paraId="763FF6D4" w14:textId="27ABEE4B" w:rsidR="004F7AF9" w:rsidRDefault="00B8293F" w:rsidP="00F65D12">
      <w:pPr>
        <w:spacing w:after="0" w:line="360" w:lineRule="auto"/>
        <w:ind w:left="567" w:right="567"/>
        <w:rPr>
          <w:rFonts w:cs="Tahoma"/>
          <w:i/>
          <w:iCs/>
          <w:sz w:val="20"/>
          <w:szCs w:val="20"/>
        </w:rPr>
      </w:pPr>
      <w:r w:rsidRPr="00B8293F">
        <w:rPr>
          <w:rFonts w:cs="Tahoma"/>
          <w:i/>
          <w:iCs/>
          <w:sz w:val="20"/>
          <w:szCs w:val="20"/>
        </w:rPr>
        <w:t>No se han pagado honorarios en todo el año.</w:t>
      </w:r>
      <w:r w:rsidR="004F7AF9" w:rsidRPr="00964942">
        <w:rPr>
          <w:rFonts w:cs="Tahoma"/>
          <w:i/>
          <w:iCs/>
          <w:sz w:val="20"/>
          <w:szCs w:val="20"/>
        </w:rPr>
        <w:t xml:space="preserve"> </w:t>
      </w:r>
    </w:p>
    <w:p w14:paraId="0EED173C" w14:textId="77777777" w:rsidR="004F7AF9" w:rsidRPr="00964942" w:rsidRDefault="004F7AF9" w:rsidP="00F65D12">
      <w:pPr>
        <w:spacing w:after="0" w:line="360" w:lineRule="auto"/>
        <w:ind w:left="567" w:right="567"/>
        <w:rPr>
          <w:rFonts w:cs="Tahoma"/>
          <w:i/>
          <w:iCs/>
          <w:sz w:val="20"/>
          <w:szCs w:val="20"/>
        </w:rPr>
      </w:pPr>
      <w:r w:rsidRPr="00964942">
        <w:rPr>
          <w:rFonts w:cs="Tahoma"/>
          <w:i/>
          <w:iCs/>
          <w:sz w:val="20"/>
          <w:szCs w:val="20"/>
        </w:rPr>
        <w:t xml:space="preserve">...” (Sic) </w:t>
      </w:r>
    </w:p>
    <w:p w14:paraId="11F31BB0" w14:textId="77777777" w:rsidR="004F7AF9" w:rsidRDefault="004F7AF9" w:rsidP="00F65D12">
      <w:pPr>
        <w:spacing w:after="0" w:line="360" w:lineRule="auto"/>
        <w:rPr>
          <w:rFonts w:cs="Tahoma"/>
        </w:rPr>
      </w:pPr>
    </w:p>
    <w:p w14:paraId="4F404171" w14:textId="52F25179" w:rsidR="00576FD0" w:rsidRPr="0045792E" w:rsidRDefault="00576FD0" w:rsidP="00F65D12">
      <w:pPr>
        <w:autoSpaceDE w:val="0"/>
        <w:autoSpaceDN w:val="0"/>
        <w:adjustRightInd w:val="0"/>
        <w:spacing w:after="0" w:line="360" w:lineRule="auto"/>
        <w:rPr>
          <w:rFonts w:eastAsia="Times New Roman" w:cs="Tahoma"/>
          <w:b/>
          <w:color w:val="auto"/>
          <w:lang w:eastAsia="es-ES"/>
        </w:rPr>
      </w:pPr>
      <w:r w:rsidRPr="0045792E">
        <w:rPr>
          <w:rFonts w:eastAsia="Times New Roman" w:cs="Tahoma"/>
          <w:b/>
          <w:color w:val="auto"/>
          <w:lang w:eastAsia="es-ES"/>
        </w:rPr>
        <w:t xml:space="preserve">III. Interposición del Recurso de Revisión. </w:t>
      </w:r>
    </w:p>
    <w:p w14:paraId="6F1B7AD4" w14:textId="77777777" w:rsidR="00576FD0" w:rsidRPr="0045792E" w:rsidRDefault="00576FD0" w:rsidP="00F65D12">
      <w:pPr>
        <w:widowControl w:val="0"/>
        <w:autoSpaceDE w:val="0"/>
        <w:autoSpaceDN w:val="0"/>
        <w:adjustRightInd w:val="0"/>
        <w:spacing w:after="0" w:line="360" w:lineRule="auto"/>
        <w:rPr>
          <w:rFonts w:eastAsia="Times New Roman" w:cs="Tahoma"/>
          <w:color w:val="auto"/>
          <w:lang w:eastAsia="es-ES"/>
        </w:rPr>
      </w:pPr>
    </w:p>
    <w:p w14:paraId="0C441965" w14:textId="540EFAC8" w:rsidR="00576FD0" w:rsidRPr="0045792E" w:rsidRDefault="00576FD0" w:rsidP="00F65D12">
      <w:pPr>
        <w:widowControl w:val="0"/>
        <w:autoSpaceDE w:val="0"/>
        <w:autoSpaceDN w:val="0"/>
        <w:adjustRightInd w:val="0"/>
        <w:spacing w:after="0" w:line="360" w:lineRule="auto"/>
        <w:rPr>
          <w:rFonts w:eastAsia="Times New Roman" w:cs="Tahoma"/>
          <w:color w:val="auto"/>
          <w:lang w:eastAsia="es-ES"/>
        </w:rPr>
      </w:pPr>
      <w:r w:rsidRPr="0045792E">
        <w:rPr>
          <w:rFonts w:eastAsia="Times New Roman" w:cs="Tahoma"/>
          <w:color w:val="auto"/>
          <w:lang w:eastAsia="es-ES"/>
        </w:rPr>
        <w:t xml:space="preserve">Con fecha </w:t>
      </w:r>
      <w:r w:rsidR="00B8293F">
        <w:rPr>
          <w:rFonts w:eastAsia="Times New Roman" w:cs="Tahoma"/>
          <w:color w:val="auto"/>
          <w:lang w:eastAsia="es-ES"/>
        </w:rPr>
        <w:t>doce de noviembre</w:t>
      </w:r>
      <w:r w:rsidR="00350036">
        <w:rPr>
          <w:rFonts w:eastAsia="Times New Roman" w:cs="Tahoma"/>
          <w:color w:val="auto"/>
          <w:lang w:eastAsia="es-ES"/>
        </w:rPr>
        <w:t xml:space="preserve"> </w:t>
      </w:r>
      <w:r w:rsidR="00777BCA">
        <w:rPr>
          <w:rFonts w:eastAsia="Times New Roman" w:cs="Tahoma"/>
          <w:color w:val="auto"/>
          <w:lang w:eastAsia="es-ES"/>
        </w:rPr>
        <w:t>de dos mil veintiuno, se recibi</w:t>
      </w:r>
      <w:r w:rsidR="00B8293F">
        <w:rPr>
          <w:rFonts w:eastAsia="Times New Roman" w:cs="Tahoma"/>
          <w:color w:val="auto"/>
          <w:lang w:eastAsia="es-ES"/>
        </w:rPr>
        <w:t>ó</w:t>
      </w:r>
      <w:r w:rsidRPr="0045792E">
        <w:rPr>
          <w:rFonts w:eastAsia="Times New Roman" w:cs="Tahoma"/>
          <w:color w:val="auto"/>
          <w:lang w:eastAsia="es-ES"/>
        </w:rPr>
        <w:t xml:space="preserve"> en este </w:t>
      </w:r>
      <w:r w:rsidRPr="0045792E">
        <w:rPr>
          <w:rFonts w:eastAsia="Calibri" w:cs="Tahoma"/>
          <w:color w:val="auto"/>
        </w:rPr>
        <w:t xml:space="preserve">Instituto, a través del </w:t>
      </w:r>
      <w:r w:rsidRPr="0045792E">
        <w:rPr>
          <w:rFonts w:eastAsia="Times New Roman" w:cs="Tahoma"/>
          <w:color w:val="auto"/>
          <w:lang w:val="es-ES" w:eastAsia="es-ES"/>
        </w:rPr>
        <w:t>Sistema de Acceso a la Información Mexiquense (SAIMEX)</w:t>
      </w:r>
      <w:r w:rsidRPr="0045792E">
        <w:rPr>
          <w:rFonts w:eastAsia="Times New Roman" w:cs="Tahoma"/>
          <w:color w:val="auto"/>
          <w:lang w:eastAsia="es-ES"/>
        </w:rPr>
        <w:t xml:space="preserve">, </w:t>
      </w:r>
      <w:r w:rsidR="00B8293F">
        <w:rPr>
          <w:rFonts w:eastAsia="Times New Roman" w:cs="Tahoma"/>
          <w:color w:val="auto"/>
          <w:lang w:eastAsia="es-ES"/>
        </w:rPr>
        <w:t xml:space="preserve">el </w:t>
      </w:r>
      <w:r w:rsidRPr="0045792E">
        <w:rPr>
          <w:rFonts w:eastAsia="Times New Roman" w:cs="Tahoma"/>
          <w:color w:val="auto"/>
          <w:lang w:eastAsia="es-ES"/>
        </w:rPr>
        <w:t xml:space="preserve">Recurso de Revisión interpuesto por la parte Recurrente, en contra de la respuesta del Sujeto Obligado, en los </w:t>
      </w:r>
      <w:r w:rsidR="00777BCA">
        <w:rPr>
          <w:rFonts w:eastAsia="Times New Roman" w:cs="Tahoma"/>
          <w:color w:val="auto"/>
          <w:lang w:eastAsia="es-ES"/>
        </w:rPr>
        <w:t xml:space="preserve">que se advierte </w:t>
      </w:r>
      <w:r w:rsidR="00B8293F">
        <w:rPr>
          <w:rFonts w:eastAsia="Times New Roman" w:cs="Tahoma"/>
          <w:color w:val="auto"/>
          <w:lang w:eastAsia="es-ES"/>
        </w:rPr>
        <w:t>como</w:t>
      </w:r>
      <w:r w:rsidR="00777BCA">
        <w:rPr>
          <w:rFonts w:eastAsia="Times New Roman" w:cs="Tahoma"/>
          <w:color w:val="auto"/>
          <w:lang w:eastAsia="es-ES"/>
        </w:rPr>
        <w:t xml:space="preserve"> razones o motivos de inconformidad, los </w:t>
      </w:r>
      <w:r w:rsidR="00B8293F">
        <w:rPr>
          <w:rFonts w:eastAsia="Times New Roman" w:cs="Tahoma"/>
          <w:color w:val="auto"/>
          <w:lang w:eastAsia="es-ES"/>
        </w:rPr>
        <w:t>siguientes</w:t>
      </w:r>
      <w:r w:rsidRPr="0045792E">
        <w:rPr>
          <w:rFonts w:eastAsia="Times New Roman" w:cs="Tahoma"/>
          <w:color w:val="auto"/>
          <w:lang w:eastAsia="es-ES"/>
        </w:rPr>
        <w:t>:</w:t>
      </w:r>
    </w:p>
    <w:p w14:paraId="2B8EED44" w14:textId="77777777" w:rsidR="00576FD0" w:rsidRPr="0045792E" w:rsidRDefault="00576FD0" w:rsidP="00F65D12">
      <w:pPr>
        <w:widowControl w:val="0"/>
        <w:autoSpaceDE w:val="0"/>
        <w:autoSpaceDN w:val="0"/>
        <w:adjustRightInd w:val="0"/>
        <w:spacing w:after="0" w:line="360" w:lineRule="auto"/>
        <w:rPr>
          <w:rFonts w:eastAsia="Times New Roman" w:cs="Tahoma"/>
          <w:color w:val="auto"/>
          <w:lang w:eastAsia="es-ES"/>
        </w:rPr>
      </w:pPr>
    </w:p>
    <w:p w14:paraId="25311EAC" w14:textId="77777777" w:rsidR="00576FD0" w:rsidRPr="0045792E" w:rsidRDefault="00576FD0" w:rsidP="00F65D12">
      <w:pPr>
        <w:tabs>
          <w:tab w:val="left" w:pos="4667"/>
        </w:tabs>
        <w:spacing w:after="0" w:line="360" w:lineRule="auto"/>
        <w:ind w:left="567" w:right="567"/>
        <w:rPr>
          <w:rFonts w:eastAsia="Times New Roman" w:cs="Tahoma"/>
          <w:bCs/>
          <w:i/>
          <w:color w:val="auto"/>
          <w:sz w:val="20"/>
          <w:szCs w:val="20"/>
          <w:lang w:eastAsia="es-ES"/>
        </w:rPr>
      </w:pPr>
      <w:r w:rsidRPr="0045792E">
        <w:rPr>
          <w:rFonts w:eastAsia="Times New Roman" w:cs="Tahoma"/>
          <w:b/>
          <w:bCs/>
          <w:i/>
          <w:color w:val="auto"/>
          <w:sz w:val="20"/>
          <w:szCs w:val="20"/>
          <w:lang w:eastAsia="es-ES"/>
        </w:rPr>
        <w:t>“ACTO IMPUGNADO</w:t>
      </w:r>
    </w:p>
    <w:p w14:paraId="68728592" w14:textId="4325AD1F" w:rsidR="00576FD0" w:rsidRPr="0045792E" w:rsidRDefault="00B8293F" w:rsidP="00F65D12">
      <w:pPr>
        <w:autoSpaceDE w:val="0"/>
        <w:autoSpaceDN w:val="0"/>
        <w:adjustRightInd w:val="0"/>
        <w:spacing w:after="0" w:line="360" w:lineRule="auto"/>
        <w:ind w:left="567" w:right="567"/>
        <w:rPr>
          <w:rFonts w:eastAsia="Times New Roman" w:cs="Tahoma"/>
          <w:i/>
          <w:color w:val="auto"/>
          <w:sz w:val="20"/>
          <w:szCs w:val="20"/>
          <w:lang w:eastAsia="es-ES"/>
        </w:rPr>
      </w:pPr>
      <w:r w:rsidRPr="00B8293F">
        <w:rPr>
          <w:rFonts w:eastAsia="Times New Roman" w:cs="Tahoma"/>
          <w:i/>
          <w:color w:val="auto"/>
          <w:sz w:val="20"/>
          <w:szCs w:val="20"/>
          <w:lang w:eastAsia="es-ES"/>
        </w:rPr>
        <w:t>Solicito recurso de revisión por la supuesta inexistencia de la información</w:t>
      </w:r>
      <w:r w:rsidR="00576FD0" w:rsidRPr="0045792E">
        <w:rPr>
          <w:rFonts w:eastAsia="Times New Roman" w:cs="Tahoma"/>
          <w:i/>
          <w:color w:val="auto"/>
          <w:sz w:val="20"/>
          <w:szCs w:val="20"/>
          <w:lang w:eastAsia="es-ES"/>
        </w:rPr>
        <w:t>” (Sic.)</w:t>
      </w:r>
    </w:p>
    <w:p w14:paraId="0C7B311F" w14:textId="77777777" w:rsidR="00576FD0" w:rsidRDefault="00576FD0" w:rsidP="00F65D12">
      <w:pPr>
        <w:autoSpaceDE w:val="0"/>
        <w:autoSpaceDN w:val="0"/>
        <w:adjustRightInd w:val="0"/>
        <w:spacing w:after="0" w:line="360" w:lineRule="auto"/>
        <w:ind w:left="567" w:right="567"/>
        <w:rPr>
          <w:rFonts w:eastAsia="Times New Roman" w:cs="Tahoma"/>
          <w:i/>
          <w:color w:val="auto"/>
          <w:sz w:val="20"/>
          <w:szCs w:val="20"/>
          <w:lang w:eastAsia="es-ES"/>
        </w:rPr>
      </w:pPr>
    </w:p>
    <w:p w14:paraId="6D182822" w14:textId="77777777" w:rsidR="00576FD0" w:rsidRPr="0045792E" w:rsidRDefault="00576FD0" w:rsidP="00F65D12">
      <w:pPr>
        <w:autoSpaceDE w:val="0"/>
        <w:autoSpaceDN w:val="0"/>
        <w:adjustRightInd w:val="0"/>
        <w:spacing w:after="0" w:line="360" w:lineRule="auto"/>
        <w:ind w:left="567" w:right="567"/>
        <w:rPr>
          <w:rFonts w:eastAsia="Times New Roman" w:cs="Tahoma"/>
          <w:b/>
          <w:i/>
          <w:color w:val="auto"/>
          <w:sz w:val="20"/>
          <w:szCs w:val="20"/>
          <w:lang w:eastAsia="es-ES"/>
        </w:rPr>
      </w:pPr>
      <w:r w:rsidRPr="0045792E">
        <w:rPr>
          <w:rFonts w:eastAsia="Times New Roman" w:cs="Tahoma"/>
          <w:b/>
          <w:i/>
          <w:color w:val="auto"/>
          <w:sz w:val="20"/>
          <w:szCs w:val="20"/>
          <w:lang w:eastAsia="es-ES"/>
        </w:rPr>
        <w:t>“RAZONES O MOTIVOS DE LA INCONFORMIDAD</w:t>
      </w:r>
    </w:p>
    <w:p w14:paraId="52C89131" w14:textId="7A25F6DA" w:rsidR="00576FD0" w:rsidRPr="0045792E" w:rsidRDefault="00B8293F" w:rsidP="00F65D12">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B8293F">
        <w:rPr>
          <w:rFonts w:eastAsia="Times New Roman" w:cs="Tahoma"/>
          <w:i/>
          <w:color w:val="auto"/>
          <w:sz w:val="20"/>
          <w:szCs w:val="20"/>
          <w:lang w:eastAsia="es-ES"/>
        </w:rPr>
        <w:t>Solicito recurso de revisión por la supuesta inexistencia de la información</w:t>
      </w:r>
      <w:r w:rsidR="00576FD0">
        <w:rPr>
          <w:rFonts w:eastAsia="Times New Roman" w:cs="Tahoma"/>
          <w:i/>
          <w:color w:val="auto"/>
          <w:sz w:val="20"/>
          <w:szCs w:val="20"/>
          <w:lang w:eastAsia="es-ES"/>
        </w:rPr>
        <w:t>”</w:t>
      </w:r>
      <w:r w:rsidR="00576FD0" w:rsidRPr="0045792E">
        <w:rPr>
          <w:rFonts w:eastAsia="Times New Roman" w:cs="Tahoma"/>
          <w:i/>
          <w:color w:val="auto"/>
          <w:sz w:val="20"/>
          <w:szCs w:val="20"/>
          <w:lang w:eastAsia="es-ES"/>
        </w:rPr>
        <w:t xml:space="preserve"> (Sic.)</w:t>
      </w:r>
    </w:p>
    <w:p w14:paraId="7376F3EB" w14:textId="77777777" w:rsidR="00576FD0" w:rsidRPr="0045792E" w:rsidRDefault="00576FD0" w:rsidP="00F65D12">
      <w:pPr>
        <w:widowControl w:val="0"/>
        <w:autoSpaceDE w:val="0"/>
        <w:autoSpaceDN w:val="0"/>
        <w:adjustRightInd w:val="0"/>
        <w:spacing w:after="0" w:line="360" w:lineRule="auto"/>
        <w:ind w:left="567" w:right="567"/>
        <w:rPr>
          <w:rFonts w:eastAsia="Times New Roman" w:cs="Tahoma"/>
          <w:i/>
          <w:color w:val="auto"/>
          <w:sz w:val="20"/>
          <w:szCs w:val="20"/>
          <w:lang w:eastAsia="es-ES"/>
        </w:rPr>
      </w:pPr>
    </w:p>
    <w:p w14:paraId="35786686" w14:textId="1B28681D" w:rsidR="00576FD0" w:rsidRDefault="00576FD0" w:rsidP="00F65D12">
      <w:pPr>
        <w:spacing w:after="0" w:line="360" w:lineRule="auto"/>
        <w:rPr>
          <w:rFonts w:eastAsia="Batang" w:cs="Tahoma"/>
          <w:b/>
          <w:bCs/>
          <w:color w:val="auto"/>
          <w:lang w:eastAsia="es-ES"/>
        </w:rPr>
      </w:pPr>
      <w:r w:rsidRPr="0045792E">
        <w:rPr>
          <w:rFonts w:eastAsia="Times New Roman" w:cs="Tahoma"/>
          <w:b/>
          <w:color w:val="auto"/>
          <w:lang w:eastAsia="es-ES"/>
        </w:rPr>
        <w:t xml:space="preserve">IV. </w:t>
      </w:r>
      <w:r w:rsidRPr="0045792E">
        <w:rPr>
          <w:rFonts w:eastAsia="Batang" w:cs="Tahoma"/>
          <w:b/>
          <w:bCs/>
          <w:color w:val="auto"/>
          <w:lang w:eastAsia="es-ES"/>
        </w:rPr>
        <w:t xml:space="preserve">Trámite del </w:t>
      </w:r>
      <w:r w:rsidRPr="0045792E">
        <w:rPr>
          <w:rFonts w:eastAsia="Times New Roman" w:cs="Tahoma"/>
          <w:b/>
          <w:color w:val="auto"/>
          <w:lang w:eastAsia="es-ES"/>
        </w:rPr>
        <w:t>Recurso</w:t>
      </w:r>
      <w:r w:rsidR="00B8293F">
        <w:rPr>
          <w:rFonts w:eastAsia="Times New Roman" w:cs="Tahoma"/>
          <w:b/>
          <w:color w:val="auto"/>
          <w:lang w:eastAsia="es-ES"/>
        </w:rPr>
        <w:t xml:space="preserve"> </w:t>
      </w:r>
      <w:r w:rsidRPr="0045792E">
        <w:rPr>
          <w:rFonts w:eastAsia="Times New Roman" w:cs="Tahoma"/>
          <w:b/>
          <w:color w:val="auto"/>
          <w:lang w:eastAsia="es-ES"/>
        </w:rPr>
        <w:t xml:space="preserve">de Revisión </w:t>
      </w:r>
      <w:r w:rsidRPr="0045792E">
        <w:rPr>
          <w:rFonts w:eastAsia="Batang" w:cs="Tahoma"/>
          <w:b/>
          <w:bCs/>
          <w:color w:val="auto"/>
          <w:lang w:eastAsia="es-ES"/>
        </w:rPr>
        <w:t>ante el Instituto.</w:t>
      </w:r>
    </w:p>
    <w:p w14:paraId="0F7D627E" w14:textId="77777777" w:rsidR="008E7375" w:rsidRPr="0045792E" w:rsidRDefault="008E7375" w:rsidP="00F65D12">
      <w:pPr>
        <w:spacing w:after="0" w:line="360" w:lineRule="auto"/>
        <w:rPr>
          <w:rFonts w:eastAsia="Batang" w:cs="Tahoma"/>
          <w:b/>
          <w:bCs/>
          <w:color w:val="auto"/>
          <w:lang w:eastAsia="es-ES"/>
        </w:rPr>
      </w:pPr>
    </w:p>
    <w:p w14:paraId="78416023" w14:textId="3290F7E4" w:rsidR="00B4339E" w:rsidRDefault="00576FD0" w:rsidP="00F65D12">
      <w:pPr>
        <w:spacing w:after="0" w:line="360" w:lineRule="auto"/>
        <w:rPr>
          <w:rFonts w:eastAsia="Batang" w:cs="Tahoma"/>
          <w:bCs/>
          <w:color w:val="auto"/>
          <w:lang w:eastAsia="es-ES"/>
        </w:rPr>
      </w:pPr>
      <w:r w:rsidRPr="0045792E">
        <w:rPr>
          <w:rFonts w:eastAsia="Batang" w:cs="Tahoma"/>
          <w:b/>
          <w:bCs/>
          <w:color w:val="auto"/>
          <w:lang w:eastAsia="es-ES"/>
        </w:rPr>
        <w:t xml:space="preserve">a) Turno del </w:t>
      </w:r>
      <w:r w:rsidRPr="0045792E">
        <w:rPr>
          <w:rFonts w:eastAsia="Times New Roman" w:cs="Tahoma"/>
          <w:b/>
          <w:color w:val="auto"/>
          <w:lang w:eastAsia="es-ES"/>
        </w:rPr>
        <w:t>Recurso de Revisión</w:t>
      </w:r>
      <w:r w:rsidRPr="0045792E">
        <w:rPr>
          <w:rFonts w:eastAsia="Batang" w:cs="Tahoma"/>
          <w:b/>
          <w:bCs/>
          <w:color w:val="auto"/>
          <w:lang w:eastAsia="es-ES"/>
        </w:rPr>
        <w:t xml:space="preserve">. </w:t>
      </w:r>
      <w:r w:rsidR="00B4339E" w:rsidRPr="007C2D7F">
        <w:rPr>
          <w:rFonts w:eastAsia="Batang" w:cs="Tahoma"/>
          <w:bCs/>
          <w:color w:val="auto"/>
          <w:lang w:eastAsia="es-ES"/>
        </w:rPr>
        <w:t xml:space="preserve">El </w:t>
      </w:r>
      <w:r w:rsidR="00B8293F">
        <w:rPr>
          <w:rFonts w:eastAsia="Batang" w:cs="Tahoma"/>
          <w:bCs/>
          <w:color w:val="auto"/>
          <w:lang w:eastAsia="es-ES"/>
        </w:rPr>
        <w:t>doce de noviembre</w:t>
      </w:r>
      <w:r w:rsidR="00B4339E" w:rsidRPr="00593AD5">
        <w:rPr>
          <w:rFonts w:eastAsia="Batang" w:cs="Tahoma"/>
          <w:bCs/>
          <w:color w:val="auto"/>
          <w:lang w:eastAsia="es-ES"/>
        </w:rPr>
        <w:t xml:space="preserve"> de dos mil veintiuno</w:t>
      </w:r>
      <w:r w:rsidR="00B4339E" w:rsidRPr="007C2D7F">
        <w:rPr>
          <w:rFonts w:eastAsia="Batang" w:cs="Tahoma"/>
          <w:bCs/>
          <w:color w:val="auto"/>
          <w:lang w:eastAsia="es-ES"/>
        </w:rPr>
        <w:t xml:space="preserve">, </w:t>
      </w:r>
      <w:r w:rsidR="00B8293F" w:rsidRPr="00B8293F">
        <w:rPr>
          <w:rFonts w:eastAsia="Batang" w:cs="Tahoma"/>
          <w:bCs/>
          <w:color w:val="auto"/>
          <w:lang w:eastAsia="es-ES"/>
        </w:rPr>
        <w:t xml:space="preserve">el Sistema de Acceso a la Información Mexiquense (SAIMEX), asignó el número de expediente </w:t>
      </w:r>
      <w:r w:rsidR="00B8293F" w:rsidRPr="00B8293F">
        <w:rPr>
          <w:rFonts w:eastAsia="Batang" w:cs="Tahoma"/>
          <w:b/>
          <w:bCs/>
          <w:color w:val="auto"/>
          <w:lang w:eastAsia="es-ES"/>
        </w:rPr>
        <w:t>05</w:t>
      </w:r>
      <w:r w:rsidR="00B8293F">
        <w:rPr>
          <w:rFonts w:eastAsia="Batang" w:cs="Tahoma"/>
          <w:b/>
          <w:bCs/>
          <w:color w:val="auto"/>
          <w:lang w:eastAsia="es-ES"/>
        </w:rPr>
        <w:t>641</w:t>
      </w:r>
      <w:r w:rsidR="00B8293F" w:rsidRPr="00B8293F">
        <w:rPr>
          <w:rFonts w:eastAsia="Batang" w:cs="Tahoma"/>
          <w:b/>
          <w:bCs/>
          <w:color w:val="auto"/>
          <w:lang w:eastAsia="es-ES"/>
        </w:rPr>
        <w:t>/INFOEM/IP/RR/2020</w:t>
      </w:r>
      <w:r w:rsidR="00B8293F" w:rsidRPr="00B8293F">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E82A98F" w14:textId="77777777" w:rsidR="00B8293F" w:rsidRPr="007C2D7F" w:rsidRDefault="00B8293F" w:rsidP="00F65D12">
      <w:pPr>
        <w:spacing w:after="0" w:line="360" w:lineRule="auto"/>
        <w:rPr>
          <w:rFonts w:eastAsia="Batang" w:cs="Tahoma"/>
          <w:bCs/>
          <w:color w:val="auto"/>
          <w:lang w:eastAsia="es-ES"/>
        </w:rPr>
      </w:pPr>
    </w:p>
    <w:p w14:paraId="5D6B5CAA" w14:textId="6614D97F" w:rsidR="00576FD0" w:rsidRPr="0045792E" w:rsidRDefault="00576FD0" w:rsidP="00F65D12">
      <w:pPr>
        <w:spacing w:after="0" w:line="360" w:lineRule="auto"/>
        <w:rPr>
          <w:rFonts w:eastAsia="Times New Roman" w:cs="Tahoma"/>
          <w:bCs/>
          <w:color w:val="auto"/>
          <w:lang w:eastAsia="es-ES"/>
        </w:rPr>
      </w:pPr>
      <w:r w:rsidRPr="0045792E">
        <w:rPr>
          <w:rFonts w:eastAsia="Batang" w:cs="Tahoma"/>
          <w:b/>
          <w:bCs/>
          <w:color w:val="auto"/>
          <w:lang w:eastAsia="es-ES"/>
        </w:rPr>
        <w:t xml:space="preserve">b) Admisión del </w:t>
      </w:r>
      <w:r w:rsidRPr="0045792E">
        <w:rPr>
          <w:rFonts w:eastAsia="Times New Roman" w:cs="Tahoma"/>
          <w:b/>
          <w:color w:val="auto"/>
          <w:lang w:eastAsia="es-ES"/>
        </w:rPr>
        <w:t>Recurso de Revisión</w:t>
      </w:r>
      <w:r w:rsidRPr="0045792E">
        <w:rPr>
          <w:rFonts w:eastAsia="Batang" w:cs="Tahoma"/>
          <w:b/>
          <w:bCs/>
          <w:color w:val="auto"/>
          <w:lang w:val="es-ES_tradnl" w:eastAsia="es-ES"/>
        </w:rPr>
        <w:t xml:space="preserve">. </w:t>
      </w:r>
      <w:r w:rsidRPr="0045792E">
        <w:rPr>
          <w:rFonts w:eastAsia="Batang" w:cs="Tahoma"/>
          <w:bCs/>
          <w:color w:val="auto"/>
          <w:lang w:val="es-ES_tradnl" w:eastAsia="es-ES"/>
        </w:rPr>
        <w:t xml:space="preserve">El </w:t>
      </w:r>
      <w:r w:rsidR="00B8293F">
        <w:rPr>
          <w:rFonts w:eastAsia="Batang" w:cs="Tahoma"/>
          <w:bCs/>
          <w:color w:val="auto"/>
          <w:lang w:val="es-ES_tradnl" w:eastAsia="es-ES"/>
        </w:rPr>
        <w:t>dieciocho de noviembre</w:t>
      </w:r>
      <w:r w:rsidRPr="0045792E">
        <w:rPr>
          <w:rFonts w:eastAsia="Batang" w:cs="Tahoma"/>
          <w:bCs/>
          <w:color w:val="auto"/>
          <w:lang w:val="es-ES_tradnl" w:eastAsia="es-ES"/>
        </w:rPr>
        <w:t xml:space="preserve"> de dos mil veintiuno,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w:t>
      </w:r>
      <w:r w:rsidR="00A006A9">
        <w:rPr>
          <w:rFonts w:eastAsia="Batang" w:cs="Tahoma"/>
          <w:bCs/>
          <w:color w:val="auto"/>
          <w:lang w:val="es-ES_tradnl" w:eastAsia="es-ES"/>
        </w:rPr>
        <w:t xml:space="preserve"> </w:t>
      </w:r>
      <w:r w:rsidR="00B8293F">
        <w:rPr>
          <w:rFonts w:eastAsia="Batang" w:cs="Tahoma"/>
          <w:bCs/>
          <w:color w:val="auto"/>
          <w:lang w:val="es-ES_tradnl" w:eastAsia="es-ES"/>
        </w:rPr>
        <w:t>diecinueve del</w:t>
      </w:r>
      <w:r w:rsidR="00A006A9">
        <w:rPr>
          <w:rFonts w:eastAsia="Batang" w:cs="Tahoma"/>
          <w:bCs/>
          <w:color w:val="auto"/>
          <w:lang w:val="es-ES_tradnl" w:eastAsia="es-ES"/>
        </w:rPr>
        <w:t xml:space="preserve"> mismo m</w:t>
      </w:r>
      <w:r w:rsidR="00E402FA">
        <w:rPr>
          <w:rFonts w:eastAsia="Batang" w:cs="Tahoma"/>
          <w:bCs/>
          <w:color w:val="auto"/>
          <w:lang w:val="es-ES_tradnl" w:eastAsia="es-ES"/>
        </w:rPr>
        <w:t>es y año</w:t>
      </w:r>
      <w:r w:rsidRPr="0045792E">
        <w:rPr>
          <w:rFonts w:eastAsia="Batang" w:cs="Tahoma"/>
          <w:bCs/>
          <w:color w:val="auto"/>
          <w:lang w:val="es-ES_tradnl" w:eastAsia="es-ES"/>
        </w:rPr>
        <w:t>, a través del Sistema de Acceso a la Información Mexiquense (SAIMEX), en el que se les otorgó un plazo de siete días hábiles posteriores a la misma, para que manifestaran lo que a su derecho conviniera y formularan alegatos.</w:t>
      </w:r>
    </w:p>
    <w:p w14:paraId="7ACEE0DD" w14:textId="77777777" w:rsidR="00576FD0" w:rsidRPr="0045792E" w:rsidRDefault="00576FD0" w:rsidP="00F65D12">
      <w:pPr>
        <w:spacing w:after="0" w:line="360" w:lineRule="auto"/>
        <w:rPr>
          <w:b/>
          <w:bCs/>
        </w:rPr>
      </w:pPr>
    </w:p>
    <w:p w14:paraId="4AEA90BC" w14:textId="77777777" w:rsidR="006844F7" w:rsidRPr="006844F7" w:rsidRDefault="00576FD0" w:rsidP="00F65D12">
      <w:pPr>
        <w:widowControl w:val="0"/>
        <w:spacing w:after="0" w:line="360" w:lineRule="auto"/>
        <w:rPr>
          <w:bCs/>
          <w:iCs/>
          <w:lang w:val="es-ES_tradnl"/>
        </w:rPr>
      </w:pPr>
      <w:r w:rsidRPr="0045792E">
        <w:rPr>
          <w:b/>
          <w:bCs/>
        </w:rPr>
        <w:t xml:space="preserve">c) </w:t>
      </w:r>
      <w:r w:rsidRPr="0045792E">
        <w:rPr>
          <w:b/>
          <w:lang w:val="es-ES_tradnl"/>
        </w:rPr>
        <w:t xml:space="preserve">Informe Justificado. </w:t>
      </w:r>
      <w:r w:rsidR="006844F7" w:rsidRPr="006844F7">
        <w:rPr>
          <w:bCs/>
        </w:rPr>
        <w:t>Las partes fueron omisas en presentar alegatos o manifestaciones.</w:t>
      </w:r>
    </w:p>
    <w:p w14:paraId="45C1D893" w14:textId="02CE99AF" w:rsidR="004A178F" w:rsidRDefault="004A178F" w:rsidP="00F65D12">
      <w:pPr>
        <w:widowControl w:val="0"/>
        <w:spacing w:after="0" w:line="360" w:lineRule="auto"/>
        <w:rPr>
          <w:bCs/>
          <w:iCs/>
          <w:lang w:val="es-ES"/>
        </w:rPr>
      </w:pPr>
    </w:p>
    <w:p w14:paraId="7010EABF" w14:textId="049D5A6B" w:rsidR="00576FD0" w:rsidRPr="0045792E" w:rsidRDefault="006844F7" w:rsidP="00F65D12">
      <w:pPr>
        <w:spacing w:after="0" w:line="360" w:lineRule="auto"/>
        <w:rPr>
          <w:rFonts w:eastAsia="Times New Roman" w:cs="Tahoma"/>
          <w:color w:val="auto"/>
          <w:szCs w:val="24"/>
          <w:lang w:val="es-ES" w:eastAsia="es-ES"/>
        </w:rPr>
      </w:pPr>
      <w:r>
        <w:rPr>
          <w:rFonts w:eastAsia="Times New Roman" w:cs="Tahoma"/>
          <w:b/>
          <w:color w:val="auto"/>
          <w:szCs w:val="24"/>
          <w:lang w:eastAsia="es-ES"/>
        </w:rPr>
        <w:t>d</w:t>
      </w:r>
      <w:r w:rsidR="00576FD0" w:rsidRPr="0045792E">
        <w:rPr>
          <w:rFonts w:eastAsia="Times New Roman" w:cs="Tahoma"/>
          <w:b/>
          <w:color w:val="auto"/>
          <w:szCs w:val="24"/>
          <w:lang w:eastAsia="es-ES"/>
        </w:rPr>
        <w:t>) Cierre de instrucción.</w:t>
      </w:r>
      <w:r w:rsidR="00576FD0" w:rsidRPr="0045792E">
        <w:rPr>
          <w:rFonts w:eastAsia="Times New Roman" w:cs="Tahoma"/>
          <w:color w:val="auto"/>
          <w:szCs w:val="24"/>
          <w:lang w:eastAsia="es-ES"/>
        </w:rPr>
        <w:t xml:space="preserve"> El </w:t>
      </w:r>
      <w:r>
        <w:rPr>
          <w:rFonts w:eastAsia="Times New Roman" w:cs="Tahoma"/>
          <w:color w:val="auto"/>
          <w:szCs w:val="24"/>
          <w:lang w:val="es-ES" w:eastAsia="es-ES"/>
        </w:rPr>
        <w:t>tres de diciembre</w:t>
      </w:r>
      <w:r w:rsidR="00576FD0" w:rsidRPr="0045792E">
        <w:rPr>
          <w:rFonts w:eastAsia="Times New Roman" w:cs="Tahoma"/>
          <w:color w:val="auto"/>
          <w:szCs w:val="24"/>
          <w:lang w:val="es-ES" w:eastAsia="es-ES"/>
        </w:rPr>
        <w:t xml:space="preserve"> de dos mil veintiuno</w:t>
      </w:r>
      <w:r w:rsidR="00576FD0" w:rsidRPr="0045792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576FD0" w:rsidRPr="0045792E">
        <w:rPr>
          <w:rFonts w:eastAsia="Times New Roman" w:cs="Tahoma"/>
          <w:color w:val="auto"/>
          <w:szCs w:val="20"/>
          <w:lang w:val="es-ES" w:eastAsia="es-ES"/>
        </w:rPr>
        <w:t>Sistema de Acceso a la Información Mexiquense (SAIMEX)</w:t>
      </w:r>
      <w:r w:rsidR="00576FD0" w:rsidRPr="0045792E">
        <w:rPr>
          <w:rFonts w:eastAsia="Times New Roman" w:cs="Tahoma"/>
          <w:color w:val="auto"/>
          <w:szCs w:val="24"/>
          <w:lang w:eastAsia="es-ES"/>
        </w:rPr>
        <w:t>.</w:t>
      </w:r>
    </w:p>
    <w:p w14:paraId="540A97B3" w14:textId="77777777" w:rsidR="00576FD0" w:rsidRPr="0045792E" w:rsidRDefault="00576FD0" w:rsidP="00F65D12">
      <w:pPr>
        <w:spacing w:after="0" w:line="360" w:lineRule="auto"/>
        <w:rPr>
          <w:rFonts w:eastAsia="Times New Roman" w:cs="Tahoma"/>
          <w:color w:val="auto"/>
          <w:szCs w:val="24"/>
          <w:lang w:eastAsia="es-ES"/>
        </w:rPr>
      </w:pPr>
    </w:p>
    <w:p w14:paraId="356A80AD" w14:textId="77777777" w:rsidR="00576FD0" w:rsidRPr="0045792E" w:rsidRDefault="00576FD0" w:rsidP="00F65D12">
      <w:pPr>
        <w:spacing w:after="0" w:line="360" w:lineRule="auto"/>
        <w:rPr>
          <w:rFonts w:eastAsia="Times New Roman" w:cs="Tahoma"/>
          <w:color w:val="000000"/>
          <w:szCs w:val="24"/>
          <w:lang w:eastAsia="es-ES"/>
        </w:rPr>
      </w:pPr>
      <w:r w:rsidRPr="0045792E">
        <w:rPr>
          <w:rFonts w:eastAsia="Times New Roman" w:cs="Tahoma"/>
          <w:color w:val="000000"/>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51D72DBC" w14:textId="77777777" w:rsidR="00576FD0" w:rsidRPr="0045792E" w:rsidRDefault="00576FD0" w:rsidP="00F65D12">
      <w:pPr>
        <w:spacing w:after="0" w:line="360" w:lineRule="auto"/>
      </w:pPr>
    </w:p>
    <w:p w14:paraId="47026AAD" w14:textId="77777777" w:rsidR="00576FD0" w:rsidRPr="0045792E" w:rsidRDefault="00576FD0" w:rsidP="00F65D12">
      <w:pPr>
        <w:spacing w:after="0" w:line="360" w:lineRule="auto"/>
        <w:jc w:val="center"/>
        <w:rPr>
          <w:rFonts w:eastAsia="Times New Roman" w:cs="Tahoma"/>
          <w:b/>
          <w:color w:val="auto"/>
          <w:lang w:val="es-ES" w:eastAsia="es-ES"/>
        </w:rPr>
      </w:pPr>
      <w:r w:rsidRPr="0045792E">
        <w:rPr>
          <w:rFonts w:eastAsia="Times New Roman" w:cs="Tahoma"/>
          <w:b/>
          <w:color w:val="auto"/>
          <w:lang w:val="es-ES" w:eastAsia="es-ES"/>
        </w:rPr>
        <w:t>C O N S I D E R A N D O S:</w:t>
      </w:r>
    </w:p>
    <w:p w14:paraId="42C33F78" w14:textId="77777777" w:rsidR="00576FD0" w:rsidRPr="0045792E" w:rsidRDefault="00576FD0" w:rsidP="00F65D12">
      <w:pPr>
        <w:spacing w:after="0" w:line="360" w:lineRule="auto"/>
        <w:rPr>
          <w:bCs/>
          <w:lang w:val="es-ES_tradnl" w:eastAsia="es-ES"/>
        </w:rPr>
      </w:pPr>
    </w:p>
    <w:p w14:paraId="5766C984" w14:textId="77777777" w:rsidR="00576FD0" w:rsidRPr="0045792E" w:rsidRDefault="00576FD0" w:rsidP="00F65D12">
      <w:pPr>
        <w:spacing w:after="0" w:line="360" w:lineRule="auto"/>
        <w:rPr>
          <w:rFonts w:eastAsia="Calibri" w:cs="Tahoma"/>
          <w:b/>
          <w:color w:val="000000"/>
          <w:szCs w:val="24"/>
          <w:lang w:val="es-ES" w:eastAsia="es-MX"/>
        </w:rPr>
      </w:pPr>
      <w:r w:rsidRPr="0045792E">
        <w:rPr>
          <w:rFonts w:eastAsia="Calibri" w:cs="Tahoma"/>
          <w:b/>
          <w:color w:val="000000"/>
          <w:szCs w:val="24"/>
          <w:lang w:val="es-ES" w:eastAsia="es-MX"/>
        </w:rPr>
        <w:t>PRIMERO. Competencia.</w:t>
      </w:r>
    </w:p>
    <w:p w14:paraId="1D4DAE83" w14:textId="77777777" w:rsidR="00576FD0" w:rsidRPr="0045792E" w:rsidRDefault="00576FD0" w:rsidP="00F65D12">
      <w:pPr>
        <w:spacing w:after="0" w:line="360" w:lineRule="auto"/>
        <w:rPr>
          <w:rFonts w:eastAsia="Calibri" w:cs="Tahoma"/>
          <w:b/>
          <w:color w:val="000000"/>
          <w:szCs w:val="24"/>
          <w:lang w:val="es-ES" w:eastAsia="es-MX"/>
        </w:rPr>
      </w:pPr>
    </w:p>
    <w:p w14:paraId="482C9E19" w14:textId="5CC15895" w:rsidR="00576FD0" w:rsidRPr="0045792E" w:rsidRDefault="00576FD0" w:rsidP="00F65D12">
      <w:pPr>
        <w:spacing w:after="0" w:line="360" w:lineRule="auto"/>
        <w:rPr>
          <w:rFonts w:eastAsia="Calibri" w:cs="Tahoma"/>
          <w:color w:val="000000"/>
          <w:szCs w:val="24"/>
          <w:lang w:eastAsia="es-MX"/>
        </w:rPr>
      </w:pPr>
      <w:r w:rsidRPr="0045792E">
        <w:rPr>
          <w:rFonts w:eastAsia="Calibri" w:cs="Tahoma"/>
          <w:color w:val="000000"/>
          <w:szCs w:val="24"/>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14B82">
        <w:rPr>
          <w:rFonts w:eastAsia="Calibri" w:cs="Tahoma"/>
          <w:color w:val="000000"/>
          <w:szCs w:val="24"/>
          <w:lang w:eastAsia="es-MX"/>
        </w:rPr>
        <w:t>trigésimo,</w:t>
      </w:r>
      <w:r w:rsidRPr="0045792E">
        <w:rPr>
          <w:rFonts w:eastAsia="Calibri" w:cs="Tahoma"/>
          <w:color w:val="000000"/>
          <w:szCs w:val="24"/>
          <w:lang w:eastAsia="es-MX"/>
        </w:rPr>
        <w:t xml:space="preserve"> trigésimo primero</w:t>
      </w:r>
      <w:r w:rsidR="00314B82">
        <w:rPr>
          <w:rFonts w:eastAsia="Calibri" w:cs="Tahoma"/>
          <w:color w:val="000000"/>
          <w:szCs w:val="24"/>
          <w:lang w:eastAsia="es-MX"/>
        </w:rPr>
        <w:t xml:space="preserve"> y trigésimo segundo</w:t>
      </w:r>
      <w:r w:rsidRPr="0045792E">
        <w:rPr>
          <w:rFonts w:eastAsia="Calibri" w:cs="Tahoma"/>
          <w:color w:val="000000"/>
          <w:szCs w:val="24"/>
          <w:lang w:eastAsia="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B9FBFF" w14:textId="77777777" w:rsidR="00576FD0" w:rsidRPr="0045792E" w:rsidRDefault="00576FD0" w:rsidP="00F65D12">
      <w:pPr>
        <w:spacing w:after="0" w:line="360" w:lineRule="auto"/>
        <w:rPr>
          <w:rFonts w:eastAsia="Times New Roman" w:cs="Tahoma"/>
          <w:bCs/>
          <w:color w:val="auto"/>
          <w:lang w:eastAsia="es-ES"/>
        </w:rPr>
      </w:pPr>
    </w:p>
    <w:p w14:paraId="64055A73" w14:textId="77777777" w:rsidR="00576FD0" w:rsidRDefault="00576FD0" w:rsidP="00F65D12">
      <w:pPr>
        <w:autoSpaceDE w:val="0"/>
        <w:autoSpaceDN w:val="0"/>
        <w:adjustRightInd w:val="0"/>
        <w:spacing w:after="0" w:line="360" w:lineRule="auto"/>
        <w:rPr>
          <w:rFonts w:eastAsia="Times New Roman" w:cs="Tahoma"/>
          <w:color w:val="auto"/>
          <w:szCs w:val="24"/>
          <w:lang w:val="es-ES" w:eastAsia="es-ES"/>
        </w:rPr>
      </w:pPr>
      <w:r w:rsidRPr="0045792E">
        <w:rPr>
          <w:rFonts w:eastAsia="Calibri" w:cs="Tahoma"/>
          <w:b/>
          <w:color w:val="000000"/>
          <w:szCs w:val="24"/>
          <w:lang w:val="es-ES" w:eastAsia="es-MX"/>
        </w:rPr>
        <w:t>SEGUNDO</w:t>
      </w:r>
      <w:r w:rsidRPr="0045792E">
        <w:rPr>
          <w:rFonts w:eastAsia="Calibri" w:cs="Tahoma"/>
          <w:color w:val="000000"/>
          <w:szCs w:val="24"/>
          <w:lang w:val="es-ES" w:eastAsia="es-MX"/>
        </w:rPr>
        <w:t xml:space="preserve">. </w:t>
      </w:r>
      <w:r w:rsidRPr="0045792E">
        <w:rPr>
          <w:rFonts w:eastAsia="Times New Roman" w:cs="Tahoma"/>
          <w:b/>
          <w:color w:val="auto"/>
          <w:szCs w:val="24"/>
          <w:lang w:val="es-ES" w:eastAsia="es-ES"/>
        </w:rPr>
        <w:t>Causales de improcedencia y sobreseimiento.</w:t>
      </w:r>
      <w:r w:rsidRPr="0045792E">
        <w:rPr>
          <w:rFonts w:eastAsia="Times New Roman" w:cs="Tahoma"/>
          <w:color w:val="auto"/>
          <w:szCs w:val="24"/>
          <w:lang w:val="es-ES" w:eastAsia="es-ES"/>
        </w:rPr>
        <w:t xml:space="preserve"> </w:t>
      </w:r>
    </w:p>
    <w:p w14:paraId="5A3D28D8" w14:textId="77777777" w:rsidR="00845D81" w:rsidRPr="0045792E" w:rsidRDefault="00845D81" w:rsidP="00F65D12">
      <w:pPr>
        <w:autoSpaceDE w:val="0"/>
        <w:autoSpaceDN w:val="0"/>
        <w:adjustRightInd w:val="0"/>
        <w:spacing w:after="0" w:line="360" w:lineRule="auto"/>
        <w:rPr>
          <w:rFonts w:eastAsia="Times New Roman" w:cs="Tahoma"/>
          <w:color w:val="auto"/>
          <w:szCs w:val="24"/>
          <w:lang w:val="es-ES" w:eastAsia="es-ES"/>
        </w:rPr>
      </w:pPr>
    </w:p>
    <w:p w14:paraId="0EDE3E2D" w14:textId="77777777" w:rsidR="00576FD0" w:rsidRPr="0045792E" w:rsidRDefault="00576FD0" w:rsidP="00F65D12">
      <w:pPr>
        <w:autoSpaceDE w:val="0"/>
        <w:autoSpaceDN w:val="0"/>
        <w:adjustRightInd w:val="0"/>
        <w:spacing w:after="0" w:line="360" w:lineRule="auto"/>
        <w:rPr>
          <w:rFonts w:eastAsia="Times New Roman" w:cs="Tahoma"/>
          <w:color w:val="auto"/>
          <w:szCs w:val="24"/>
          <w:lang w:val="es-ES" w:eastAsia="es-ES"/>
        </w:rPr>
      </w:pPr>
      <w:r w:rsidRPr="0045792E">
        <w:rPr>
          <w:rFonts w:eastAsia="Times New Roman" w:cs="Tahoma"/>
          <w:color w:val="auto"/>
          <w:szCs w:val="24"/>
          <w:lang w:val="es-ES" w:eastAsia="es-ES"/>
        </w:rPr>
        <w:t xml:space="preserve">De las constancias que forma parte del Recurso de Revisión que se analiza, se advierte que previo al estudio del fondo de la </w:t>
      </w:r>
      <w:r w:rsidRPr="0045792E">
        <w:rPr>
          <w:rFonts w:eastAsia="Times New Roman" w:cs="Tahoma"/>
          <w:i/>
          <w:color w:val="auto"/>
          <w:szCs w:val="24"/>
          <w:lang w:val="es-ES" w:eastAsia="es-ES"/>
        </w:rPr>
        <w:t>litis</w:t>
      </w:r>
      <w:r w:rsidRPr="0045792E">
        <w:rPr>
          <w:rFonts w:eastAsia="Times New Roman" w:cs="Tahoma"/>
          <w:color w:val="auto"/>
          <w:szCs w:val="24"/>
          <w:lang w:val="es-ES" w:eastAsia="es-ES"/>
        </w:rPr>
        <w:t>, es necesario estudiar las causales de improcedencia y sobreseimiento que se adviertan, para determinar lo que en Derecho proceda.</w:t>
      </w:r>
    </w:p>
    <w:p w14:paraId="7F03FBDE" w14:textId="77777777" w:rsidR="00576FD0" w:rsidRPr="0045792E" w:rsidRDefault="00576FD0" w:rsidP="00F65D12">
      <w:pPr>
        <w:autoSpaceDE w:val="0"/>
        <w:autoSpaceDN w:val="0"/>
        <w:adjustRightInd w:val="0"/>
        <w:spacing w:after="0" w:line="360" w:lineRule="auto"/>
        <w:rPr>
          <w:rFonts w:eastAsia="Times New Roman" w:cs="Tahoma"/>
          <w:color w:val="auto"/>
          <w:szCs w:val="24"/>
          <w:lang w:val="es-ES" w:eastAsia="es-ES"/>
        </w:rPr>
      </w:pPr>
    </w:p>
    <w:p w14:paraId="56E26457" w14:textId="77777777" w:rsidR="00576FD0" w:rsidRPr="0045792E" w:rsidRDefault="00576FD0" w:rsidP="00F65D12">
      <w:pPr>
        <w:autoSpaceDE w:val="0"/>
        <w:autoSpaceDN w:val="0"/>
        <w:adjustRightInd w:val="0"/>
        <w:spacing w:after="0" w:line="360" w:lineRule="auto"/>
        <w:rPr>
          <w:rFonts w:eastAsia="Calibri" w:cs="Tahoma"/>
          <w:color w:val="000000"/>
          <w:szCs w:val="24"/>
          <w:lang w:val="es-ES" w:eastAsia="es-MX"/>
        </w:rPr>
      </w:pPr>
      <w:r w:rsidRPr="0045792E">
        <w:rPr>
          <w:rFonts w:eastAsia="Calibri" w:cs="Tahoma"/>
          <w:b/>
          <w:color w:val="000000"/>
          <w:szCs w:val="24"/>
          <w:lang w:val="es-ES" w:eastAsia="es-MX"/>
        </w:rPr>
        <w:lastRenderedPageBreak/>
        <w:t>Causales de improcedencia.</w:t>
      </w:r>
      <w:r w:rsidRPr="0045792E">
        <w:rPr>
          <w:rFonts w:eastAsia="Calibri" w:cs="Tahoma"/>
          <w:color w:val="000000"/>
          <w:szCs w:val="24"/>
          <w:lang w:val="es-ES" w:eastAsia="es-MX"/>
        </w:rPr>
        <w:t xml:space="preserve"> </w:t>
      </w:r>
    </w:p>
    <w:p w14:paraId="46303EA3" w14:textId="77777777" w:rsidR="00576FD0" w:rsidRPr="0045792E" w:rsidRDefault="00576FD0" w:rsidP="00F65D12">
      <w:pPr>
        <w:autoSpaceDE w:val="0"/>
        <w:autoSpaceDN w:val="0"/>
        <w:adjustRightInd w:val="0"/>
        <w:spacing w:after="0" w:line="360" w:lineRule="auto"/>
        <w:rPr>
          <w:rFonts w:eastAsia="Calibri" w:cs="Tahoma"/>
          <w:color w:val="000000"/>
          <w:szCs w:val="24"/>
          <w:lang w:val="es-ES" w:eastAsia="es-MX"/>
        </w:rPr>
      </w:pPr>
    </w:p>
    <w:p w14:paraId="43DFD5AC" w14:textId="77777777" w:rsidR="00576FD0" w:rsidRPr="0045792E" w:rsidRDefault="00576FD0" w:rsidP="00F65D12">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14:paraId="7D14F4E2" w14:textId="77777777" w:rsidR="00576FD0" w:rsidRPr="0045792E" w:rsidRDefault="00576FD0" w:rsidP="00F65D12">
      <w:pPr>
        <w:autoSpaceDE w:val="0"/>
        <w:autoSpaceDN w:val="0"/>
        <w:adjustRightInd w:val="0"/>
        <w:spacing w:after="0" w:line="360" w:lineRule="auto"/>
        <w:rPr>
          <w:rFonts w:eastAsia="Calibri" w:cs="Tahoma"/>
          <w:color w:val="000000"/>
          <w:lang w:eastAsia="es-MX"/>
        </w:rPr>
      </w:pPr>
    </w:p>
    <w:p w14:paraId="2803744B" w14:textId="77777777" w:rsidR="00576FD0" w:rsidRPr="0045792E" w:rsidRDefault="00576FD0" w:rsidP="00F65D12">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 xml:space="preserve">En el presente caso, </w:t>
      </w:r>
      <w:r w:rsidRPr="0045792E">
        <w:rPr>
          <w:rFonts w:eastAsia="Calibri" w:cs="Tahoma"/>
          <w:b/>
          <w:color w:val="000000"/>
          <w:lang w:eastAsia="es-MX"/>
        </w:rPr>
        <w:t>no se actualiza ninguna de las causales de improcedencia</w:t>
      </w:r>
      <w:r w:rsidRPr="0045792E">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7913432" w14:textId="77777777" w:rsidR="00576FD0" w:rsidRPr="0045792E" w:rsidRDefault="00576FD0" w:rsidP="00F65D12">
      <w:pPr>
        <w:autoSpaceDE w:val="0"/>
        <w:autoSpaceDN w:val="0"/>
        <w:adjustRightInd w:val="0"/>
        <w:spacing w:after="0" w:line="360" w:lineRule="auto"/>
        <w:rPr>
          <w:rFonts w:eastAsia="Calibri" w:cs="Tahoma"/>
          <w:color w:val="000000"/>
          <w:lang w:eastAsia="es-MX"/>
        </w:rPr>
      </w:pPr>
    </w:p>
    <w:p w14:paraId="088C1891" w14:textId="3039DD33" w:rsidR="00576FD0" w:rsidRDefault="00576FD0" w:rsidP="00F65D12">
      <w:pPr>
        <w:autoSpaceDE w:val="0"/>
        <w:autoSpaceDN w:val="0"/>
        <w:adjustRightInd w:val="0"/>
        <w:spacing w:after="0" w:line="360" w:lineRule="auto"/>
        <w:rPr>
          <w:rFonts w:eastAsia="Calibri" w:cs="Tahoma"/>
          <w:color w:val="000000"/>
          <w:lang w:eastAsia="es-MX"/>
        </w:rPr>
      </w:pPr>
      <w:r w:rsidRPr="0045792E">
        <w:rPr>
          <w:rFonts w:eastAsia="Calibri" w:cs="Tahoma"/>
          <w:color w:val="000000"/>
          <w:lang w:eastAsia="es-MX"/>
        </w:rPr>
        <w:t xml:space="preserve">Asimismo, se actualiza la causal de procedencia señalada en el artículo 179, fracción </w:t>
      </w:r>
      <w:r w:rsidR="00D46199">
        <w:rPr>
          <w:rFonts w:eastAsia="Calibri" w:cs="Tahoma"/>
          <w:color w:val="000000"/>
          <w:lang w:eastAsia="es-MX"/>
        </w:rPr>
        <w:t>II</w:t>
      </w:r>
      <w:r w:rsidR="00A2729A">
        <w:rPr>
          <w:rFonts w:eastAsia="Calibri" w:cs="Tahoma"/>
          <w:color w:val="000000"/>
          <w:lang w:eastAsia="es-MX"/>
        </w:rPr>
        <w:t>I</w:t>
      </w:r>
      <w:r w:rsidRPr="0045792E">
        <w:rPr>
          <w:rFonts w:eastAsia="Calibri" w:cs="Tahoma"/>
          <w:color w:val="000000"/>
          <w:lang w:eastAsia="es-MX"/>
        </w:rPr>
        <w:t xml:space="preserve">, de la Ley de la materia, toda vez que el Solicitante se inconformó con la </w:t>
      </w:r>
      <w:r w:rsidR="00D46199" w:rsidRPr="00D46199">
        <w:rPr>
          <w:rFonts w:eastAsia="Calibri" w:cs="Tahoma"/>
          <w:color w:val="000000"/>
          <w:lang w:eastAsia="es-MX"/>
        </w:rPr>
        <w:t>declaración de inexistencia de la información</w:t>
      </w:r>
      <w:r w:rsidR="00A2729A">
        <w:rPr>
          <w:rFonts w:eastAsia="Calibri" w:cs="Tahoma"/>
          <w:color w:val="000000"/>
          <w:lang w:eastAsia="es-MX"/>
        </w:rPr>
        <w:t>.</w:t>
      </w:r>
    </w:p>
    <w:p w14:paraId="7FE361C4" w14:textId="77777777" w:rsidR="00A2729A" w:rsidRPr="0045792E" w:rsidRDefault="00A2729A" w:rsidP="00F65D12">
      <w:pPr>
        <w:autoSpaceDE w:val="0"/>
        <w:autoSpaceDN w:val="0"/>
        <w:adjustRightInd w:val="0"/>
        <w:spacing w:after="0" w:line="360" w:lineRule="auto"/>
        <w:rPr>
          <w:rFonts w:eastAsia="Calibri" w:cs="Tahoma"/>
          <w:color w:val="000000"/>
          <w:lang w:eastAsia="es-MX"/>
        </w:rPr>
      </w:pPr>
    </w:p>
    <w:p w14:paraId="55F9BF81" w14:textId="77777777" w:rsidR="00576FD0" w:rsidRPr="0045792E" w:rsidRDefault="00576FD0" w:rsidP="00F65D12">
      <w:pPr>
        <w:spacing w:after="0" w:line="360" w:lineRule="auto"/>
        <w:rPr>
          <w:rFonts w:eastAsia="Times New Roman" w:cs="Tahoma"/>
          <w:b/>
          <w:bCs/>
          <w:iCs/>
          <w:color w:val="auto"/>
          <w:lang w:val="es-ES" w:eastAsia="es-ES"/>
        </w:rPr>
      </w:pPr>
      <w:r w:rsidRPr="0045792E">
        <w:rPr>
          <w:rFonts w:eastAsia="Times New Roman" w:cs="Tahoma"/>
          <w:b/>
          <w:bCs/>
          <w:iCs/>
          <w:color w:val="auto"/>
          <w:lang w:val="es-ES" w:eastAsia="es-ES"/>
        </w:rPr>
        <w:t xml:space="preserve">TERCERO. Determinación de la Controversia. </w:t>
      </w:r>
    </w:p>
    <w:p w14:paraId="2ACDA9A6" w14:textId="77777777" w:rsidR="00C60D8D" w:rsidRDefault="00C60D8D" w:rsidP="00F65D12">
      <w:pPr>
        <w:spacing w:after="0" w:line="360" w:lineRule="auto"/>
        <w:rPr>
          <w:lang w:val="es-ES"/>
        </w:rPr>
      </w:pPr>
    </w:p>
    <w:p w14:paraId="087957DA" w14:textId="42123615" w:rsidR="0055763D" w:rsidRPr="003D5950" w:rsidRDefault="003D5950" w:rsidP="00F65D12">
      <w:pPr>
        <w:spacing w:after="0" w:line="360" w:lineRule="auto"/>
        <w:rPr>
          <w:lang w:val="es-ES"/>
        </w:rPr>
      </w:pPr>
      <w:r w:rsidRPr="003D5950">
        <w:rPr>
          <w:iCs/>
          <w:lang w:val="es-ES"/>
        </w:rPr>
        <w:t>Una vez realizado el estudio de las constancias que integran el expediente en que se actúa</w:t>
      </w:r>
      <w:r>
        <w:rPr>
          <w:iCs/>
          <w:lang w:val="es-ES"/>
        </w:rPr>
        <w:t>, se desprende que el Recurrente</w:t>
      </w:r>
      <w:r w:rsidR="00147EB2" w:rsidRPr="00147EB2">
        <w:rPr>
          <w:lang w:val="es-ES"/>
        </w:rPr>
        <w:t xml:space="preserve">, requirió, los recibos de </w:t>
      </w:r>
      <w:r>
        <w:rPr>
          <w:lang w:val="es-ES"/>
        </w:rPr>
        <w:t xml:space="preserve">pago por concepto de honorarios, </w:t>
      </w:r>
      <w:r>
        <w:rPr>
          <w:lang w:val="es-ES"/>
        </w:rPr>
        <w:lastRenderedPageBreak/>
        <w:t>expedidos por el Ayuntamiento de Otzoloapan, del primero de enero  al diecinueve de octubre de dos mil veintiuno</w:t>
      </w:r>
      <w:r w:rsidR="00147EB2">
        <w:rPr>
          <w:lang w:val="es-ES"/>
        </w:rPr>
        <w:t xml:space="preserve">. </w:t>
      </w:r>
      <w:r>
        <w:rPr>
          <w:lang w:val="es-ES"/>
        </w:rPr>
        <w:t>En respuesta, el Ente Recurrido</w:t>
      </w:r>
      <w:r w:rsidR="00147EB2" w:rsidRPr="00147EB2">
        <w:rPr>
          <w:lang w:val="es-ES"/>
        </w:rPr>
        <w:t xml:space="preserve"> </w:t>
      </w:r>
      <w:r w:rsidR="00147EB2">
        <w:rPr>
          <w:lang w:val="es-ES"/>
        </w:rPr>
        <w:t>señaló que</w:t>
      </w:r>
      <w:r w:rsidR="00147EB2" w:rsidRPr="00147EB2">
        <w:t xml:space="preserve"> </w:t>
      </w:r>
      <w:r w:rsidR="00147EB2">
        <w:rPr>
          <w:lang w:val="es-ES"/>
        </w:rPr>
        <w:t>n</w:t>
      </w:r>
      <w:r w:rsidR="00147EB2" w:rsidRPr="00147EB2">
        <w:rPr>
          <w:lang w:val="es-ES"/>
        </w:rPr>
        <w:t xml:space="preserve">o se </w:t>
      </w:r>
      <w:r>
        <w:rPr>
          <w:lang w:val="es-ES"/>
        </w:rPr>
        <w:t>habían</w:t>
      </w:r>
      <w:r w:rsidR="00147EB2" w:rsidRPr="00147EB2">
        <w:rPr>
          <w:lang w:val="es-ES"/>
        </w:rPr>
        <w:t xml:space="preserve"> pagado honorarios </w:t>
      </w:r>
      <w:r>
        <w:rPr>
          <w:lang w:val="es-ES"/>
        </w:rPr>
        <w:t>durante el año solicitado</w:t>
      </w:r>
      <w:r w:rsidR="00147EB2">
        <w:rPr>
          <w:lang w:val="es-ES"/>
        </w:rPr>
        <w:t xml:space="preserve">; </w:t>
      </w:r>
      <w:r w:rsidR="00147EB2">
        <w:rPr>
          <w:rFonts w:cs="Tahoma"/>
          <w:bCs/>
          <w:iCs/>
          <w:lang w:val="es-ES_tradnl"/>
        </w:rPr>
        <w:t>ante</w:t>
      </w:r>
      <w:r w:rsidR="0055763D">
        <w:rPr>
          <w:rFonts w:cs="Tahoma"/>
          <w:bCs/>
          <w:iCs/>
          <w:lang w:val="es-ES_tradnl"/>
        </w:rPr>
        <w:t xml:space="preserve"> dicha circunstancia, el Recurrente se inconformó con la </w:t>
      </w:r>
      <w:r w:rsidR="00147EB2">
        <w:rPr>
          <w:rFonts w:cs="Tahoma"/>
          <w:bCs/>
          <w:iCs/>
          <w:lang w:val="es-ES_tradnl"/>
        </w:rPr>
        <w:t>declaración de inexistencia de la información solicitada</w:t>
      </w:r>
      <w:r w:rsidR="0055763D">
        <w:rPr>
          <w:rFonts w:cs="Tahoma"/>
          <w:bCs/>
          <w:iCs/>
          <w:lang w:val="es-ES_tradnl"/>
        </w:rPr>
        <w:t xml:space="preserve">, lo cual actualiza la causal de procedencia, establecida en el artículo 179, fracción </w:t>
      </w:r>
      <w:r w:rsidR="00147EB2">
        <w:rPr>
          <w:rFonts w:cs="Tahoma"/>
          <w:bCs/>
          <w:iCs/>
          <w:lang w:val="es-ES_tradnl"/>
        </w:rPr>
        <w:t>III</w:t>
      </w:r>
      <w:r w:rsidR="0055763D">
        <w:rPr>
          <w:rFonts w:cs="Tahoma"/>
          <w:bCs/>
          <w:iCs/>
          <w:lang w:val="es-ES_tradnl"/>
        </w:rPr>
        <w:t>, de la Ley de Transparencia y Acceso a la Información Pública del Estado de México y Municipios.</w:t>
      </w:r>
      <w:r w:rsidR="0055763D">
        <w:rPr>
          <w:lang w:val="es-ES_tradnl"/>
        </w:rPr>
        <w:t xml:space="preserve"> </w:t>
      </w:r>
      <w:r w:rsidR="0055763D">
        <w:rPr>
          <w:rFonts w:cs="Tahoma"/>
          <w:bCs/>
          <w:iCs/>
          <w:color w:val="000000"/>
        </w:rPr>
        <w:t xml:space="preserve">Así las cosas, una vez interpuesto y notificado el Recurso de Revisión a las partes, </w:t>
      </w:r>
      <w:r w:rsidR="00147EB2">
        <w:rPr>
          <w:rFonts w:cs="Tahoma"/>
          <w:bCs/>
          <w:iCs/>
          <w:color w:val="000000"/>
        </w:rPr>
        <w:t>estas fueron omisas en presentar manifestaciones o alegatos que en derecho corresponden</w:t>
      </w:r>
      <w:r w:rsidR="0055763D">
        <w:rPr>
          <w:rFonts w:cs="Tahoma"/>
          <w:bCs/>
          <w:iCs/>
          <w:color w:val="000000"/>
        </w:rPr>
        <w:t>.</w:t>
      </w:r>
    </w:p>
    <w:p w14:paraId="777D0453" w14:textId="77777777" w:rsidR="0055763D" w:rsidRDefault="0055763D" w:rsidP="00F65D12">
      <w:pPr>
        <w:spacing w:after="0" w:line="360" w:lineRule="auto"/>
        <w:rPr>
          <w:lang w:val="es-ES"/>
        </w:rPr>
      </w:pPr>
    </w:p>
    <w:p w14:paraId="4C9D46C2" w14:textId="4CF0A3D4" w:rsidR="00004A15" w:rsidRDefault="00004A15" w:rsidP="00F65D12">
      <w:pPr>
        <w:tabs>
          <w:tab w:val="left" w:pos="4962"/>
        </w:tabs>
        <w:spacing w:after="0" w:line="360" w:lineRule="auto"/>
        <w:rPr>
          <w:rFonts w:eastAsia="Calibri" w:cs="Tahoma"/>
          <w:iCs/>
          <w:color w:val="000000"/>
        </w:rPr>
      </w:pPr>
      <w:r>
        <w:rPr>
          <w:rFonts w:eastAsia="Calibri" w:cs="Tahoma"/>
          <w:iCs/>
          <w:color w:val="000000"/>
        </w:rPr>
        <w:t>Lo anterior, se desprende de las documentales que obran en el expediente de referencia, materia de la presente Resolución, consistentes en: la solicitud de acceso a la información; la</w:t>
      </w:r>
      <w:r w:rsidR="001B5891">
        <w:rPr>
          <w:rFonts w:eastAsia="Calibri" w:cs="Tahoma"/>
          <w:iCs/>
          <w:color w:val="000000"/>
        </w:rPr>
        <w:t xml:space="preserve"> respuesta</w:t>
      </w:r>
      <w:r>
        <w:rPr>
          <w:rFonts w:eastAsia="Calibri" w:cs="Tahoma"/>
          <w:iCs/>
          <w:color w:val="000000"/>
        </w:rPr>
        <w:t xml:space="preserve"> del Sujeto Oblig</w:t>
      </w:r>
      <w:r w:rsidR="001B5891">
        <w:rPr>
          <w:rFonts w:eastAsia="Calibri" w:cs="Tahoma"/>
          <w:iCs/>
          <w:color w:val="000000"/>
        </w:rPr>
        <w:t>ado y</w:t>
      </w:r>
      <w:r>
        <w:rPr>
          <w:rFonts w:eastAsia="Calibri" w:cs="Tahoma"/>
          <w:iCs/>
          <w:color w:val="000000"/>
        </w:rPr>
        <w:t xml:space="preserve"> </w:t>
      </w:r>
      <w:r w:rsidR="001B5891">
        <w:rPr>
          <w:rFonts w:eastAsia="Calibri" w:cs="Tahoma"/>
          <w:iCs/>
          <w:color w:val="000000"/>
        </w:rPr>
        <w:t>e</w:t>
      </w:r>
      <w:r>
        <w:rPr>
          <w:rFonts w:eastAsia="Calibri" w:cs="Tahoma"/>
          <w:bCs/>
          <w:iCs/>
          <w:color w:val="000000"/>
        </w:rPr>
        <w:t>l escrito</w:t>
      </w:r>
      <w:r w:rsidR="001B5891">
        <w:rPr>
          <w:rFonts w:eastAsia="Calibri" w:cs="Tahoma"/>
          <w:bCs/>
          <w:iCs/>
          <w:color w:val="000000"/>
        </w:rPr>
        <w:t xml:space="preserve"> recursa</w:t>
      </w:r>
      <w:r>
        <w:rPr>
          <w:rFonts w:eastAsia="Calibri" w:cs="Tahoma"/>
          <w:bCs/>
          <w:iCs/>
          <w:color w:val="000000"/>
        </w:rPr>
        <w:t>l</w:t>
      </w:r>
      <w:r>
        <w:rPr>
          <w:rFonts w:eastAsia="Calibri" w:cs="Tahoma"/>
          <w:iCs/>
          <w:color w:val="000000"/>
        </w:rPr>
        <w:t>, instrumentales que se toman en cuenta a efecto de resolver el presente medio de impugnación, conforme a lo dispuesto por el artículo 185, fracción IV, de la Ley de Transparencia y Acceso a la Información Pública del Estado de México y Municipios.</w:t>
      </w:r>
    </w:p>
    <w:p w14:paraId="4DE03A95" w14:textId="77777777" w:rsidR="00576FD0" w:rsidRPr="0045792E" w:rsidRDefault="00576FD0" w:rsidP="00F65D12">
      <w:pPr>
        <w:autoSpaceDE w:val="0"/>
        <w:autoSpaceDN w:val="0"/>
        <w:adjustRightInd w:val="0"/>
        <w:spacing w:after="0" w:line="360" w:lineRule="auto"/>
        <w:rPr>
          <w:rFonts w:eastAsia="Times New Roman" w:cs="Tahoma"/>
          <w:bCs/>
          <w:color w:val="auto"/>
          <w:lang w:val="es-ES" w:eastAsia="es-ES"/>
        </w:rPr>
      </w:pPr>
    </w:p>
    <w:p w14:paraId="2E345313" w14:textId="77777777" w:rsidR="00576FD0" w:rsidRPr="0045792E" w:rsidRDefault="00576FD0" w:rsidP="00F65D12">
      <w:pPr>
        <w:spacing w:after="0" w:line="360" w:lineRule="auto"/>
        <w:rPr>
          <w:rFonts w:eastAsia="Times New Roman" w:cs="Tahoma"/>
          <w:b/>
          <w:bCs/>
          <w:iCs/>
          <w:color w:val="auto"/>
          <w:lang w:eastAsia="es-ES"/>
        </w:rPr>
      </w:pPr>
      <w:r w:rsidRPr="0045792E">
        <w:rPr>
          <w:rFonts w:eastAsia="Times New Roman" w:cs="Tahoma"/>
          <w:b/>
          <w:bCs/>
          <w:iCs/>
          <w:color w:val="auto"/>
          <w:lang w:val="es-ES" w:eastAsia="es-ES"/>
        </w:rPr>
        <w:t xml:space="preserve">CUARTO. </w:t>
      </w:r>
      <w:r w:rsidRPr="0045792E">
        <w:rPr>
          <w:rFonts w:eastAsia="Times New Roman" w:cs="Tahoma"/>
          <w:b/>
          <w:bCs/>
          <w:iCs/>
          <w:color w:val="auto"/>
          <w:lang w:eastAsia="es-ES"/>
        </w:rPr>
        <w:t>Marco normativo aplicable en materia de transparencia y acceso a la información pública.</w:t>
      </w:r>
    </w:p>
    <w:p w14:paraId="2863DDCA" w14:textId="77777777" w:rsidR="00576FD0" w:rsidRPr="0045792E" w:rsidRDefault="00576FD0" w:rsidP="00F65D12">
      <w:pPr>
        <w:spacing w:after="0" w:line="360" w:lineRule="auto"/>
        <w:rPr>
          <w:rFonts w:eastAsia="Times New Roman" w:cs="Tahoma"/>
          <w:b/>
          <w:bCs/>
          <w:iCs/>
          <w:color w:val="auto"/>
          <w:lang w:eastAsia="es-ES"/>
        </w:rPr>
      </w:pPr>
    </w:p>
    <w:p w14:paraId="1A4058B7" w14:textId="77777777" w:rsidR="00576FD0" w:rsidRPr="0045792E" w:rsidRDefault="00576FD0" w:rsidP="00F65D1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981F27" w14:textId="77777777" w:rsidR="00576FD0" w:rsidRPr="0045792E" w:rsidRDefault="00576FD0" w:rsidP="00F65D12">
      <w:pPr>
        <w:spacing w:after="0" w:line="360" w:lineRule="auto"/>
        <w:rPr>
          <w:rFonts w:eastAsia="Times New Roman" w:cs="Tahoma"/>
          <w:bCs/>
          <w:iCs/>
          <w:color w:val="auto"/>
          <w:lang w:eastAsia="es-ES"/>
        </w:rPr>
      </w:pPr>
    </w:p>
    <w:p w14:paraId="33EFD743" w14:textId="77777777" w:rsidR="00576FD0" w:rsidRPr="0045792E" w:rsidRDefault="00576FD0" w:rsidP="00F65D12">
      <w:pPr>
        <w:spacing w:after="0" w:line="360" w:lineRule="auto"/>
        <w:rPr>
          <w:rFonts w:eastAsia="Times New Roman" w:cs="Tahoma"/>
          <w:bCs/>
          <w:iCs/>
          <w:color w:val="auto"/>
          <w:lang w:eastAsia="es-ES"/>
        </w:rPr>
      </w:pPr>
      <w:r w:rsidRPr="0045792E">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BC9B612" w14:textId="77777777" w:rsidR="009062EB" w:rsidRDefault="009062EB" w:rsidP="00F65D12">
      <w:pPr>
        <w:spacing w:after="0" w:line="360" w:lineRule="auto"/>
        <w:rPr>
          <w:rFonts w:eastAsia="Times New Roman" w:cs="Tahoma"/>
          <w:bCs/>
          <w:iCs/>
          <w:color w:val="auto"/>
          <w:lang w:eastAsia="es-ES"/>
        </w:rPr>
      </w:pPr>
    </w:p>
    <w:p w14:paraId="186A2EDB" w14:textId="77777777" w:rsidR="00576FD0" w:rsidRPr="0045792E" w:rsidRDefault="00576FD0" w:rsidP="00F65D12">
      <w:pPr>
        <w:spacing w:after="0" w:line="360" w:lineRule="auto"/>
        <w:rPr>
          <w:rFonts w:eastAsia="Times New Roman" w:cs="Tahoma"/>
          <w:bCs/>
          <w:iCs/>
          <w:color w:val="auto"/>
          <w:lang w:eastAsia="es-ES"/>
        </w:rPr>
      </w:pPr>
      <w:r w:rsidRPr="0045792E">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C943424" w14:textId="77777777" w:rsidR="00576FD0" w:rsidRPr="0045792E" w:rsidRDefault="00576FD0" w:rsidP="00F65D12">
      <w:pPr>
        <w:spacing w:after="0" w:line="360" w:lineRule="auto"/>
        <w:rPr>
          <w:rFonts w:eastAsia="Times New Roman" w:cs="Tahoma"/>
          <w:bCs/>
          <w:iCs/>
          <w:color w:val="auto"/>
          <w:lang w:eastAsia="es-ES"/>
        </w:rPr>
      </w:pPr>
    </w:p>
    <w:p w14:paraId="1CA125D8" w14:textId="77777777" w:rsidR="00576FD0" w:rsidRPr="0045792E" w:rsidRDefault="00576FD0" w:rsidP="00F65D12">
      <w:pPr>
        <w:spacing w:after="0" w:line="360" w:lineRule="auto"/>
        <w:rPr>
          <w:rFonts w:eastAsia="Times New Roman" w:cs="Tahoma"/>
          <w:bCs/>
          <w:iCs/>
          <w:color w:val="auto"/>
          <w:lang w:eastAsia="es-ES"/>
        </w:rPr>
      </w:pPr>
      <w:r w:rsidRPr="0045792E">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6D357DFF" w14:textId="77777777" w:rsidR="00576FD0" w:rsidRPr="0045792E" w:rsidRDefault="00576FD0" w:rsidP="00F65D12">
      <w:pPr>
        <w:spacing w:after="0" w:line="360" w:lineRule="auto"/>
        <w:rPr>
          <w:rFonts w:eastAsia="Times New Roman" w:cs="Tahoma"/>
          <w:bCs/>
          <w:iCs/>
          <w:color w:val="auto"/>
          <w:lang w:eastAsia="es-ES"/>
        </w:rPr>
      </w:pPr>
    </w:p>
    <w:p w14:paraId="382F981F" w14:textId="77777777" w:rsidR="00576FD0" w:rsidRPr="0045792E" w:rsidRDefault="00576FD0" w:rsidP="00F65D1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12, que, quienes generen, recopilen, administren, manejen, procesen, archiven o conserven información pública serán responsables de la misma.</w:t>
      </w:r>
    </w:p>
    <w:p w14:paraId="14EBBA1A" w14:textId="77777777" w:rsidR="00576FD0" w:rsidRPr="0045792E" w:rsidRDefault="00576FD0" w:rsidP="00F65D12">
      <w:pPr>
        <w:spacing w:after="0" w:line="360" w:lineRule="auto"/>
        <w:rPr>
          <w:rFonts w:eastAsia="Times New Roman" w:cs="Tahoma"/>
          <w:bCs/>
          <w:iCs/>
          <w:color w:val="auto"/>
          <w:lang w:eastAsia="es-ES"/>
        </w:rPr>
      </w:pPr>
    </w:p>
    <w:p w14:paraId="324F2CF2" w14:textId="77777777" w:rsidR="00576FD0" w:rsidRDefault="00576FD0" w:rsidP="00F65D1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58D1908B" w14:textId="77777777" w:rsidR="00C60D8D" w:rsidRPr="0045792E" w:rsidRDefault="00C60D8D" w:rsidP="00F65D12">
      <w:pPr>
        <w:spacing w:after="0" w:line="360" w:lineRule="auto"/>
        <w:rPr>
          <w:rFonts w:eastAsia="Times New Roman" w:cs="Tahoma"/>
          <w:bCs/>
          <w:iCs/>
          <w:color w:val="auto"/>
          <w:lang w:eastAsia="es-ES"/>
        </w:rPr>
      </w:pPr>
    </w:p>
    <w:p w14:paraId="0C2EA739" w14:textId="77777777" w:rsidR="00576FD0" w:rsidRPr="0045792E" w:rsidRDefault="00576FD0" w:rsidP="00F65D12">
      <w:pPr>
        <w:spacing w:after="0" w:line="360" w:lineRule="auto"/>
        <w:rPr>
          <w:rFonts w:eastAsia="Times New Roman" w:cs="Tahoma"/>
          <w:bCs/>
          <w:iCs/>
          <w:color w:val="auto"/>
          <w:lang w:eastAsia="es-ES"/>
        </w:rPr>
      </w:pPr>
      <w:r w:rsidRPr="0045792E">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4D1E7AE" w14:textId="77777777" w:rsidR="00576FD0" w:rsidRPr="0045792E" w:rsidRDefault="00576FD0" w:rsidP="00F65D12">
      <w:pPr>
        <w:spacing w:after="0" w:line="360" w:lineRule="auto"/>
        <w:rPr>
          <w:rFonts w:eastAsia="Times New Roman" w:cs="Tahoma"/>
          <w:bCs/>
          <w:iCs/>
          <w:color w:val="auto"/>
          <w:lang w:eastAsia="es-ES"/>
        </w:rPr>
      </w:pPr>
    </w:p>
    <w:p w14:paraId="33B20455" w14:textId="0B496A19" w:rsidR="00576FD0" w:rsidRPr="00A04344" w:rsidRDefault="00576FD0" w:rsidP="00F65D12">
      <w:pPr>
        <w:spacing w:after="0" w:line="360" w:lineRule="auto"/>
        <w:rPr>
          <w:rFonts w:eastAsia="Times New Roman" w:cs="Tahoma"/>
          <w:color w:val="auto"/>
          <w:lang w:eastAsia="es-ES"/>
        </w:rPr>
      </w:pPr>
      <w:r w:rsidRPr="00A04344">
        <w:rPr>
          <w:rFonts w:eastAsia="Times New Roman" w:cs="Tahoma"/>
          <w:color w:val="auto"/>
          <w:lang w:eastAsia="es-ES"/>
        </w:rPr>
        <w:t>El artículo 92, fracci</w:t>
      </w:r>
      <w:r w:rsidR="0055763D">
        <w:rPr>
          <w:rFonts w:eastAsia="Times New Roman" w:cs="Tahoma"/>
          <w:color w:val="auto"/>
          <w:lang w:eastAsia="es-ES"/>
        </w:rPr>
        <w:t>o</w:t>
      </w:r>
      <w:r w:rsidRPr="00A04344">
        <w:rPr>
          <w:rFonts w:eastAsia="Times New Roman" w:cs="Tahoma"/>
          <w:color w:val="auto"/>
          <w:lang w:eastAsia="es-ES"/>
        </w:rPr>
        <w:t>n</w:t>
      </w:r>
      <w:r w:rsidR="0055763D">
        <w:rPr>
          <w:rFonts w:eastAsia="Times New Roman" w:cs="Tahoma"/>
          <w:color w:val="auto"/>
          <w:lang w:eastAsia="es-ES"/>
        </w:rPr>
        <w:t>es</w:t>
      </w:r>
      <w:r w:rsidRPr="00A04344">
        <w:rPr>
          <w:rFonts w:eastAsia="Times New Roman" w:cs="Tahoma"/>
          <w:color w:val="auto"/>
          <w:lang w:eastAsia="es-ES"/>
        </w:rPr>
        <w:t xml:space="preserve"> VIII</w:t>
      </w:r>
      <w:r w:rsidR="0055763D">
        <w:rPr>
          <w:rFonts w:eastAsia="Times New Roman" w:cs="Tahoma"/>
          <w:color w:val="auto"/>
          <w:lang w:eastAsia="es-ES"/>
        </w:rPr>
        <w:t xml:space="preserve"> y XI</w:t>
      </w:r>
      <w:r w:rsidRPr="00A04344">
        <w:rPr>
          <w:rFonts w:eastAsia="Times New Roman" w:cs="Tahoma"/>
          <w:color w:val="auto"/>
          <w:lang w:eastAsia="es-ES"/>
        </w:rPr>
        <w:t xml:space="preserve">, </w:t>
      </w:r>
      <w:r w:rsidRPr="00A04344">
        <w:rPr>
          <w:rFonts w:eastAsia="Calibri" w:cs="Tahoma"/>
          <w:color w:val="auto"/>
          <w:lang w:val="es-ES" w:eastAsia="es-ES_tradnl"/>
        </w:rPr>
        <w:t xml:space="preserve">que, la información sobre las </w:t>
      </w:r>
      <w:r w:rsidRPr="00A04344">
        <w:rPr>
          <w:rFonts w:eastAsia="Calibri" w:cs="Tahoma"/>
          <w:bCs/>
          <w:color w:val="auto"/>
          <w:lang w:val="es-ES" w:eastAsia="es-ES_tradnl"/>
        </w:rPr>
        <w:t>remuneraciones de todos los servidores públicos de base o de confianza</w:t>
      </w:r>
      <w:r w:rsidR="0055763D">
        <w:rPr>
          <w:rFonts w:eastAsia="Calibri" w:cs="Tahoma"/>
          <w:bCs/>
          <w:color w:val="auto"/>
          <w:lang w:val="es-ES" w:eastAsia="es-ES_tradnl"/>
        </w:rPr>
        <w:t xml:space="preserve">, y las contrataciones de servicios profesionales por honorarios, </w:t>
      </w:r>
      <w:r w:rsidRPr="00A04344">
        <w:rPr>
          <w:rFonts w:eastAsia="Calibri" w:cs="Tahoma"/>
          <w:color w:val="auto"/>
          <w:lang w:val="es-ES" w:eastAsia="es-ES_tradnl"/>
        </w:rPr>
        <w:t>corresponde</w:t>
      </w:r>
      <w:r w:rsidR="0055763D">
        <w:rPr>
          <w:rFonts w:eastAsia="Calibri" w:cs="Tahoma"/>
          <w:color w:val="auto"/>
          <w:lang w:val="es-ES" w:eastAsia="es-ES_tradnl"/>
        </w:rPr>
        <w:t>n</w:t>
      </w:r>
      <w:r w:rsidRPr="00A04344">
        <w:rPr>
          <w:rFonts w:eastAsia="Calibri" w:cs="Tahoma"/>
          <w:color w:val="auto"/>
          <w:lang w:val="es-ES" w:eastAsia="es-ES_tradnl"/>
        </w:rPr>
        <w:t xml:space="preserve"> a una Obligación Común de Transparencia para los Sujetos Obligados.</w:t>
      </w:r>
    </w:p>
    <w:p w14:paraId="4F5D101D" w14:textId="77777777" w:rsidR="00576FD0" w:rsidRPr="0045792E" w:rsidRDefault="00576FD0" w:rsidP="00F65D12">
      <w:pPr>
        <w:spacing w:after="0" w:line="360" w:lineRule="auto"/>
        <w:rPr>
          <w:rFonts w:eastAsia="Times New Roman" w:cs="Tahoma"/>
          <w:b/>
          <w:bCs/>
          <w:iCs/>
          <w:color w:val="auto"/>
          <w:lang w:val="es-ES" w:eastAsia="es-ES"/>
        </w:rPr>
      </w:pPr>
    </w:p>
    <w:p w14:paraId="403FFD34" w14:textId="77777777" w:rsidR="00576FD0" w:rsidRPr="0045792E" w:rsidRDefault="00576FD0" w:rsidP="00F65D12">
      <w:pPr>
        <w:spacing w:after="0" w:line="360" w:lineRule="auto"/>
        <w:rPr>
          <w:rFonts w:eastAsia="Times New Roman" w:cs="Tahoma"/>
          <w:b/>
          <w:bCs/>
          <w:iCs/>
          <w:color w:val="auto"/>
          <w:lang w:val="es-ES" w:eastAsia="es-ES"/>
        </w:rPr>
      </w:pPr>
      <w:r w:rsidRPr="00A2729A">
        <w:rPr>
          <w:rFonts w:eastAsia="Times New Roman" w:cs="Tahoma"/>
          <w:b/>
          <w:bCs/>
          <w:iCs/>
          <w:color w:val="auto"/>
          <w:lang w:val="es-ES" w:eastAsia="es-ES"/>
        </w:rPr>
        <w:t>Quinto. Estudio de Fondo.</w:t>
      </w:r>
    </w:p>
    <w:p w14:paraId="71E19778" w14:textId="77777777" w:rsidR="00576FD0" w:rsidRPr="0045792E" w:rsidRDefault="00576FD0" w:rsidP="00F65D12">
      <w:pPr>
        <w:autoSpaceDE w:val="0"/>
        <w:autoSpaceDN w:val="0"/>
        <w:adjustRightInd w:val="0"/>
        <w:spacing w:after="0" w:line="360" w:lineRule="auto"/>
        <w:rPr>
          <w:rFonts w:eastAsia="Times New Roman" w:cs="Tahoma"/>
          <w:bCs/>
          <w:color w:val="auto"/>
          <w:lang w:val="es-ES" w:eastAsia="es-ES"/>
        </w:rPr>
      </w:pPr>
    </w:p>
    <w:p w14:paraId="7F4611D5" w14:textId="5C011F02" w:rsidR="00A80763" w:rsidRDefault="009062EB" w:rsidP="00F65D12">
      <w:pPr>
        <w:spacing w:after="0" w:line="360" w:lineRule="auto"/>
        <w:rPr>
          <w:rFonts w:eastAsia="Times New Roman" w:cs="Tahoma"/>
          <w:bCs/>
          <w:iCs/>
          <w:color w:val="auto"/>
          <w:lang w:eastAsia="es-ES"/>
        </w:rPr>
      </w:pPr>
      <w:r w:rsidRPr="009062EB">
        <w:rPr>
          <w:rFonts w:eastAsia="Times New Roman" w:cs="Tahoma"/>
          <w:bCs/>
          <w:iCs/>
          <w:color w:val="auto"/>
          <w:lang w:eastAsia="es-ES"/>
        </w:rPr>
        <w:t>Expuestas las posturas de las partes, se procede al análisis del agravio hecho valer por el Peticionario, para lo cual, en principio es necesario contextualizar la solicitud de información, referente a los recibos de pago por honorarios</w:t>
      </w:r>
      <w:r>
        <w:rPr>
          <w:rFonts w:eastAsia="Times New Roman" w:cs="Tahoma"/>
          <w:bCs/>
          <w:iCs/>
          <w:color w:val="auto"/>
          <w:lang w:eastAsia="es-ES"/>
        </w:rPr>
        <w:t>, expedidos por el Ayuntamiento durante la presente anualidad.</w:t>
      </w:r>
    </w:p>
    <w:p w14:paraId="145AA237" w14:textId="77777777" w:rsidR="009062EB" w:rsidRDefault="009062EB" w:rsidP="00F65D12">
      <w:pPr>
        <w:spacing w:after="0" w:line="360" w:lineRule="auto"/>
        <w:rPr>
          <w:rFonts w:eastAsia="Calibri" w:cs="Tahoma"/>
          <w:color w:val="000000"/>
        </w:rPr>
      </w:pPr>
    </w:p>
    <w:p w14:paraId="524CAFE7" w14:textId="77777777" w:rsidR="009062EB" w:rsidRDefault="009062EB" w:rsidP="00F65D12">
      <w:pPr>
        <w:spacing w:after="0" w:line="360" w:lineRule="auto"/>
        <w:ind w:right="-93"/>
        <w:rPr>
          <w:rFonts w:eastAsia="Calibri" w:cs="Tahoma"/>
          <w:bCs/>
        </w:rPr>
      </w:pPr>
      <w:r w:rsidRPr="00EC2AFA">
        <w:rPr>
          <w:rFonts w:eastAsia="Calibri" w:cs="Tahoma"/>
          <w:bCs/>
        </w:rPr>
        <w:t xml:space="preserve">Al respecto, </w:t>
      </w:r>
      <w:r>
        <w:rPr>
          <w:rFonts w:eastAsia="Calibri" w:cs="Tahoma"/>
          <w:bCs/>
        </w:rPr>
        <w:t>los artículos 6°, 14 y 15 de la Ley de Trabajo de los Servidores Públicos del Estado de México y Municipios, establecen lo siguiente:</w:t>
      </w:r>
    </w:p>
    <w:p w14:paraId="63051E9C" w14:textId="77777777" w:rsidR="009062EB" w:rsidRDefault="009062EB" w:rsidP="00F65D12">
      <w:pPr>
        <w:spacing w:after="0" w:line="360" w:lineRule="auto"/>
        <w:ind w:right="-93"/>
        <w:rPr>
          <w:rFonts w:eastAsia="Calibri" w:cs="Tahoma"/>
          <w:bCs/>
        </w:rPr>
      </w:pPr>
    </w:p>
    <w:p w14:paraId="567443E0" w14:textId="77777777" w:rsidR="009062EB" w:rsidRDefault="009062EB" w:rsidP="00F65D12">
      <w:pPr>
        <w:pStyle w:val="Prrafodelista"/>
        <w:numPr>
          <w:ilvl w:val="0"/>
          <w:numId w:val="23"/>
        </w:numPr>
        <w:spacing w:after="0" w:line="360" w:lineRule="auto"/>
        <w:ind w:right="-93"/>
        <w:rPr>
          <w:rFonts w:eastAsia="Calibri" w:cs="Tahoma"/>
          <w:bCs/>
        </w:rPr>
      </w:pPr>
      <w:r>
        <w:rPr>
          <w:rFonts w:eastAsia="Calibri" w:cs="Tahoma"/>
          <w:bCs/>
        </w:rPr>
        <w:t xml:space="preserve">Los servidores públicos se clasifican en generales y de confianza, los cuales, de acuerdo con la duración de sus relaciones, pueden ser </w:t>
      </w:r>
      <w:r w:rsidRPr="00D83740">
        <w:rPr>
          <w:rFonts w:eastAsia="Calibri" w:cs="Tahoma"/>
          <w:b/>
          <w:bCs/>
        </w:rPr>
        <w:t>por tiempo u obra determinada</w:t>
      </w:r>
      <w:r>
        <w:rPr>
          <w:rFonts w:eastAsia="Calibri" w:cs="Tahoma"/>
          <w:bCs/>
        </w:rPr>
        <w:t>, o por tiempo indeterminado.</w:t>
      </w:r>
    </w:p>
    <w:p w14:paraId="455CD638" w14:textId="77777777" w:rsidR="009062EB" w:rsidRDefault="009062EB" w:rsidP="00F65D12">
      <w:pPr>
        <w:pStyle w:val="Prrafodelista"/>
        <w:spacing w:after="0" w:line="360" w:lineRule="auto"/>
        <w:ind w:right="-93"/>
        <w:rPr>
          <w:rFonts w:eastAsia="Calibri" w:cs="Tahoma"/>
          <w:bCs/>
        </w:rPr>
      </w:pPr>
    </w:p>
    <w:p w14:paraId="15930720" w14:textId="77777777" w:rsidR="009062EB" w:rsidRDefault="009062EB" w:rsidP="00F65D12">
      <w:pPr>
        <w:pStyle w:val="Prrafodelista"/>
        <w:numPr>
          <w:ilvl w:val="0"/>
          <w:numId w:val="23"/>
        </w:numPr>
        <w:spacing w:after="0" w:line="360" w:lineRule="auto"/>
        <w:ind w:right="-93"/>
        <w:rPr>
          <w:rFonts w:eastAsia="Calibri" w:cs="Tahoma"/>
          <w:bCs/>
        </w:rPr>
      </w:pPr>
      <w:r>
        <w:rPr>
          <w:rFonts w:eastAsia="Calibri" w:cs="Tahoma"/>
          <w:bCs/>
        </w:rPr>
        <w:t>Sólo se podrá contratar la prestación de servicios por tiempo determinado, cuando tenga por objeto sustituir interinamente a un servidor público, cuando sea necesario para realizar labores que se prestan de manera esporádica y cuando por la carga de trabajo, haya rezago y se establezca un programa especial para desahogarlo.</w:t>
      </w:r>
    </w:p>
    <w:p w14:paraId="448515DD" w14:textId="77777777" w:rsidR="009062EB" w:rsidRPr="00F76FAA" w:rsidRDefault="009062EB" w:rsidP="00F65D12">
      <w:pPr>
        <w:pStyle w:val="Prrafodelista"/>
        <w:spacing w:after="0" w:line="360" w:lineRule="auto"/>
        <w:rPr>
          <w:rFonts w:eastAsia="Calibri" w:cs="Tahoma"/>
          <w:bCs/>
        </w:rPr>
      </w:pPr>
    </w:p>
    <w:p w14:paraId="40A4A4D0" w14:textId="77777777" w:rsidR="009062EB" w:rsidRPr="00F76FAA" w:rsidRDefault="009062EB" w:rsidP="00F65D12">
      <w:pPr>
        <w:pStyle w:val="Prrafodelista"/>
        <w:numPr>
          <w:ilvl w:val="0"/>
          <w:numId w:val="23"/>
        </w:numPr>
        <w:spacing w:after="0" w:line="360" w:lineRule="auto"/>
        <w:ind w:right="-93"/>
        <w:rPr>
          <w:rFonts w:eastAsia="Calibri" w:cs="Tahoma"/>
          <w:bCs/>
        </w:rPr>
      </w:pPr>
      <w:r>
        <w:rPr>
          <w:rFonts w:eastAsia="Calibri" w:cs="Tahoma"/>
          <w:bCs/>
        </w:rPr>
        <w:t>También, se podrá establecer una relación laboral por obra determinada y su duración será hasta en tanto subsista la misma.</w:t>
      </w:r>
      <w:r w:rsidRPr="00F76FAA">
        <w:rPr>
          <w:rFonts w:eastAsia="Calibri" w:cs="Tahoma"/>
          <w:bCs/>
        </w:rPr>
        <w:t xml:space="preserve"> </w:t>
      </w:r>
    </w:p>
    <w:p w14:paraId="07539E20" w14:textId="77777777" w:rsidR="009062EB" w:rsidRDefault="009062EB" w:rsidP="00F65D12">
      <w:pPr>
        <w:spacing w:after="0" w:line="360" w:lineRule="auto"/>
        <w:ind w:right="-93"/>
        <w:rPr>
          <w:rFonts w:eastAsia="Calibri" w:cs="Tahoma"/>
          <w:bCs/>
        </w:rPr>
      </w:pPr>
    </w:p>
    <w:p w14:paraId="2DE5EDF2" w14:textId="6C9C885F" w:rsidR="009062EB" w:rsidRDefault="009062EB" w:rsidP="00F65D12">
      <w:pPr>
        <w:spacing w:after="0" w:line="360" w:lineRule="auto"/>
        <w:ind w:right="-93"/>
        <w:rPr>
          <w:rFonts w:eastAsia="Calibri" w:cs="Tahoma"/>
          <w:bCs/>
        </w:rPr>
      </w:pPr>
      <w:r>
        <w:rPr>
          <w:rFonts w:eastAsia="Calibri" w:cs="Tahoma"/>
          <w:bCs/>
        </w:rPr>
        <w:t>En ese orden de ideas, el Manual para la Planeación, Programación y Presupuesto de Egresos Municipal, pa</w:t>
      </w:r>
      <w:r w:rsidR="007F1554">
        <w:rPr>
          <w:rFonts w:eastAsia="Calibri" w:cs="Tahoma"/>
          <w:bCs/>
        </w:rPr>
        <w:t>ra el Ejercicio Fiscal dos mil veintiuno</w:t>
      </w:r>
      <w:r>
        <w:rPr>
          <w:rFonts w:eastAsia="Calibri" w:cs="Tahoma"/>
          <w:bCs/>
        </w:rPr>
        <w:t xml:space="preserve">, en su apartado Glosario de Términos, establece que los servidores públicos son todos aquellos que prestan sus servicios en la </w:t>
      </w:r>
      <w:r>
        <w:rPr>
          <w:rFonts w:eastAsia="Calibri" w:cs="Tahoma"/>
          <w:bCs/>
        </w:rPr>
        <w:lastRenderedPageBreak/>
        <w:t xml:space="preserve">Administración Pública Estatal y Municipal, sean de carácter permanente o </w:t>
      </w:r>
      <w:r>
        <w:rPr>
          <w:rFonts w:eastAsia="Calibri" w:cs="Tahoma"/>
          <w:b/>
          <w:bCs/>
        </w:rPr>
        <w:t xml:space="preserve">transitorio; </w:t>
      </w:r>
      <w:r>
        <w:rPr>
          <w:rFonts w:eastAsia="Calibri" w:cs="Tahoma"/>
          <w:bCs/>
        </w:rPr>
        <w:t>además dicho ordenamiento, establece la estructura del Clasificador por Objeto del Gasto, que establece el Concepto, así como, la partida genérica y específica, entre las cuales se encuentran las siguientes:</w:t>
      </w:r>
    </w:p>
    <w:p w14:paraId="68E618DB" w14:textId="77777777" w:rsidR="009062EB" w:rsidRDefault="009062EB" w:rsidP="00F65D12">
      <w:pPr>
        <w:spacing w:after="0" w:line="360" w:lineRule="auto"/>
        <w:ind w:right="-93"/>
        <w:rPr>
          <w:rFonts w:eastAsia="Calibri" w:cs="Tahoma"/>
          <w:bCs/>
        </w:rPr>
      </w:pPr>
    </w:p>
    <w:p w14:paraId="5E546F62" w14:textId="77777777" w:rsidR="009062EB" w:rsidRDefault="009062EB" w:rsidP="00F65D12">
      <w:pPr>
        <w:pStyle w:val="Prrafodelista"/>
        <w:numPr>
          <w:ilvl w:val="0"/>
          <w:numId w:val="24"/>
        </w:numPr>
        <w:spacing w:after="0" w:line="360" w:lineRule="auto"/>
        <w:ind w:right="-93"/>
        <w:rPr>
          <w:rFonts w:eastAsia="Calibri" w:cs="Tahoma"/>
          <w:b/>
          <w:bCs/>
        </w:rPr>
      </w:pPr>
      <w:r>
        <w:rPr>
          <w:rFonts w:eastAsia="Calibri" w:cs="Tahoma"/>
          <w:b/>
          <w:bCs/>
        </w:rPr>
        <w:t xml:space="preserve">Remuneraciones al Personal de Carácter Transitorio (1200): </w:t>
      </w:r>
      <w:r>
        <w:rPr>
          <w:rFonts w:eastAsia="Calibri" w:cs="Tahoma"/>
          <w:bCs/>
        </w:rPr>
        <w:t>Asignaciones destinadas a cubrir las percepciones correspondientes al personal eventual, se subdivide en:</w:t>
      </w:r>
    </w:p>
    <w:p w14:paraId="6841FD08" w14:textId="77777777" w:rsidR="009062EB" w:rsidRDefault="009062EB" w:rsidP="00F65D12">
      <w:pPr>
        <w:pStyle w:val="Prrafodelista"/>
        <w:spacing w:after="0" w:line="360" w:lineRule="auto"/>
        <w:ind w:right="-93"/>
        <w:rPr>
          <w:rFonts w:eastAsia="Calibri" w:cs="Tahoma"/>
          <w:b/>
          <w:bCs/>
        </w:rPr>
      </w:pPr>
    </w:p>
    <w:p w14:paraId="46951477" w14:textId="25823595" w:rsidR="009062EB" w:rsidRPr="007F1554" w:rsidRDefault="009062EB" w:rsidP="00AB4206">
      <w:pPr>
        <w:pStyle w:val="Prrafodelista"/>
        <w:numPr>
          <w:ilvl w:val="0"/>
          <w:numId w:val="26"/>
        </w:numPr>
        <w:spacing w:after="0" w:line="360" w:lineRule="auto"/>
        <w:ind w:right="-93"/>
        <w:rPr>
          <w:rFonts w:eastAsia="Calibri" w:cs="Tahoma"/>
          <w:b/>
          <w:bCs/>
        </w:rPr>
      </w:pPr>
      <w:r>
        <w:rPr>
          <w:rFonts w:eastAsia="Calibri" w:cs="Tahoma"/>
          <w:b/>
          <w:bCs/>
        </w:rPr>
        <w:t xml:space="preserve">Honorarios asimilables a salario (1210 y 1211): </w:t>
      </w:r>
      <w:r>
        <w:rPr>
          <w:rFonts w:eastAsia="Calibri" w:cs="Tahoma"/>
          <w:bCs/>
        </w:rPr>
        <w:t>Asignaciones destinadas a cubrir el pago por la prestación de servicios contratados, por personas físicas, como profesionistas, técnicos, expertos y peritos, por estudios, obras o trabajos determinados, o bien, para que re</w:t>
      </w:r>
      <w:r w:rsidR="007F1554">
        <w:rPr>
          <w:rFonts w:eastAsia="Calibri" w:cs="Tahoma"/>
          <w:bCs/>
        </w:rPr>
        <w:t>alicen una actividad específica, y</w:t>
      </w:r>
    </w:p>
    <w:p w14:paraId="7BE0DD8F" w14:textId="77777777" w:rsidR="0051291D" w:rsidRDefault="0051291D" w:rsidP="00F65D12">
      <w:pPr>
        <w:spacing w:after="0" w:line="360" w:lineRule="auto"/>
        <w:rPr>
          <w:rFonts w:eastAsia="Calibri" w:cs="Times New Roman"/>
          <w:bCs/>
          <w:iCs/>
          <w:color w:val="000000"/>
          <w:lang w:val="es-ES"/>
        </w:rPr>
      </w:pPr>
    </w:p>
    <w:p w14:paraId="0518841D" w14:textId="16F30F22" w:rsidR="000735E9" w:rsidRDefault="007F1554" w:rsidP="00F65D12">
      <w:pPr>
        <w:spacing w:after="0" w:line="360" w:lineRule="auto"/>
        <w:rPr>
          <w:rFonts w:eastAsia="Times New Roman" w:cs="Times New Roman"/>
          <w:color w:val="auto"/>
          <w:lang w:eastAsia="es-ES"/>
        </w:rPr>
      </w:pPr>
      <w:r w:rsidRPr="007F1554">
        <w:rPr>
          <w:rFonts w:eastAsia="Calibri" w:cs="Times New Roman"/>
          <w:bCs/>
          <w:iCs/>
          <w:color w:val="000000"/>
        </w:rPr>
        <w:t>Por otra parte, en</w:t>
      </w:r>
      <w:r>
        <w:rPr>
          <w:rFonts w:eastAsia="Times New Roman" w:cs="Tahoma"/>
          <w:bCs/>
          <w:color w:val="auto"/>
          <w:lang w:eastAsia="es-ES"/>
        </w:rPr>
        <w:t xml:space="preserve"> l</w:t>
      </w:r>
      <w:r w:rsidR="0051291D" w:rsidRPr="0051291D">
        <w:rPr>
          <w:rFonts w:eastAsia="Times New Roman" w:cs="Tahoma"/>
          <w:bCs/>
          <w:color w:val="auto"/>
          <w:lang w:eastAsia="es-ES"/>
        </w:rPr>
        <w:t xml:space="preserve">as Políticas para la Integración del Informe Trimestral de los Sujetos de Fiscalización </w:t>
      </w:r>
      <w:r>
        <w:rPr>
          <w:rFonts w:eastAsia="Times New Roman" w:cs="Tahoma"/>
          <w:bCs/>
          <w:color w:val="auto"/>
          <w:lang w:eastAsia="es-ES"/>
        </w:rPr>
        <w:t xml:space="preserve">Municipales, </w:t>
      </w:r>
      <w:r w:rsidR="0051291D" w:rsidRPr="0051291D">
        <w:rPr>
          <w:rFonts w:eastAsia="Times New Roman" w:cs="Tahoma"/>
          <w:bCs/>
          <w:color w:val="auto"/>
          <w:lang w:eastAsia="es-ES"/>
        </w:rPr>
        <w:t xml:space="preserve">para el ejercicio fiscal dos mil veintiuno, entre los formatos que maneja en el </w:t>
      </w:r>
      <w:r w:rsidR="0051291D" w:rsidRPr="0051291D">
        <w:rPr>
          <w:rFonts w:eastAsia="Times New Roman" w:cs="Tahoma"/>
          <w:b/>
          <w:color w:val="auto"/>
          <w:lang w:eastAsia="es-ES"/>
        </w:rPr>
        <w:t>Módulo 4</w:t>
      </w:r>
      <w:r w:rsidR="00504C44">
        <w:rPr>
          <w:rFonts w:eastAsia="Times New Roman" w:cs="Tahoma"/>
          <w:bCs/>
          <w:color w:val="auto"/>
          <w:lang w:eastAsia="es-ES"/>
        </w:rPr>
        <w:t xml:space="preserve">, se advierte que se encuentran </w:t>
      </w:r>
      <w:r w:rsidR="0051291D" w:rsidRPr="0051291D">
        <w:rPr>
          <w:rFonts w:eastAsia="Times New Roman" w:cs="Tahoma"/>
          <w:bCs/>
          <w:color w:val="auto"/>
          <w:lang w:val="es-ES_tradnl" w:eastAsia="es-ES"/>
        </w:rPr>
        <w:t xml:space="preserve">los Comprobantes Fiscales Digitales por Internet por concepto de </w:t>
      </w:r>
      <w:r w:rsidR="000735E9">
        <w:rPr>
          <w:rFonts w:eastAsia="Times New Roman" w:cs="Tahoma"/>
          <w:bCs/>
          <w:color w:val="auto"/>
          <w:lang w:val="es-ES_tradnl" w:eastAsia="es-ES"/>
        </w:rPr>
        <w:t>honorarios</w:t>
      </w:r>
      <w:r>
        <w:rPr>
          <w:rFonts w:eastAsia="Times New Roman" w:cs="Tahoma"/>
          <w:bCs/>
          <w:color w:val="auto"/>
          <w:lang w:eastAsia="es-ES"/>
        </w:rPr>
        <w:t xml:space="preserve"> </w:t>
      </w:r>
      <w:r w:rsidR="00F32684">
        <w:rPr>
          <w:rFonts w:eastAsia="Times New Roman" w:cs="Tahoma"/>
          <w:bCs/>
          <w:color w:val="auto"/>
          <w:lang w:eastAsia="es-ES"/>
        </w:rPr>
        <w:t xml:space="preserve">(CFDI); además, </w:t>
      </w:r>
      <w:r w:rsidRPr="007F1554">
        <w:rPr>
          <w:rFonts w:eastAsia="Times New Roman" w:cs="Tahoma"/>
          <w:bCs/>
          <w:color w:val="auto"/>
          <w:lang w:eastAsia="es-ES"/>
        </w:rPr>
        <w:t>señala</w:t>
      </w:r>
      <w:r w:rsidR="00F32684">
        <w:rPr>
          <w:rFonts w:eastAsia="Times New Roman" w:cs="Tahoma"/>
          <w:bCs/>
          <w:color w:val="auto"/>
          <w:lang w:eastAsia="es-ES"/>
        </w:rPr>
        <w:t>n</w:t>
      </w:r>
      <w:r w:rsidRPr="007F1554">
        <w:rPr>
          <w:rFonts w:eastAsia="Times New Roman" w:cs="Tahoma"/>
          <w:bCs/>
          <w:color w:val="auto"/>
          <w:lang w:eastAsia="es-ES"/>
        </w:rPr>
        <w:t xml:space="preserve"> que únicamente serán entregados, en caso de que el Ayuntamiento cuente con personal de asimilados a salario y eventuales.</w:t>
      </w:r>
    </w:p>
    <w:p w14:paraId="70EF3936" w14:textId="77777777" w:rsidR="000735E9" w:rsidRDefault="000735E9" w:rsidP="00F65D12">
      <w:pPr>
        <w:spacing w:after="0" w:line="360" w:lineRule="auto"/>
        <w:rPr>
          <w:rFonts w:eastAsia="Times New Roman" w:cs="Times New Roman"/>
          <w:color w:val="auto"/>
          <w:lang w:eastAsia="es-ES"/>
        </w:rPr>
      </w:pPr>
    </w:p>
    <w:p w14:paraId="1092B5F4" w14:textId="105B6663" w:rsidR="00F32684" w:rsidRDefault="00F32684" w:rsidP="00F65D12">
      <w:pPr>
        <w:spacing w:after="0" w:line="360" w:lineRule="auto"/>
        <w:ind w:right="-93"/>
        <w:rPr>
          <w:rFonts w:eastAsia="Calibri" w:cs="Tahoma"/>
          <w:bCs/>
          <w:lang w:val="es-ES_tradnl"/>
        </w:rPr>
      </w:pPr>
      <w:r>
        <w:rPr>
          <w:rFonts w:eastAsia="Calibri" w:cs="Tahoma"/>
          <w:bCs/>
          <w:lang w:val="es-ES_tradnl"/>
        </w:rPr>
        <w:t xml:space="preserve">Conforme a lo analizado, se advierte que la pretensión del Particular, es </w:t>
      </w:r>
      <w:r w:rsidRPr="003305E8">
        <w:rPr>
          <w:rFonts w:eastAsia="Calibri" w:cs="Tahoma"/>
          <w:b/>
          <w:bCs/>
          <w:lang w:val="es-ES_tradnl"/>
        </w:rPr>
        <w:t xml:space="preserve">obtener los recibos de pago de aquellos servidores públicos transitorios, </w:t>
      </w:r>
      <w:r>
        <w:rPr>
          <w:rFonts w:eastAsia="Calibri" w:cs="Tahoma"/>
          <w:bCs/>
          <w:lang w:val="es-ES_tradnl"/>
        </w:rPr>
        <w:t xml:space="preserve">que estuvieran laborando para el Sujeto Obligado, del primero </w:t>
      </w:r>
      <w:r w:rsidR="004E6D65">
        <w:rPr>
          <w:rFonts w:eastAsia="Calibri" w:cs="Tahoma"/>
          <w:bCs/>
          <w:lang w:val="es-ES_tradnl"/>
        </w:rPr>
        <w:t>de enero al diecinueve de octubre de dos mil veintiuno</w:t>
      </w:r>
      <w:r>
        <w:rPr>
          <w:rFonts w:eastAsia="Calibri" w:cs="Tahoma"/>
          <w:bCs/>
          <w:lang w:val="es-ES_tradnl"/>
        </w:rPr>
        <w:t>, es decir, que hayan sido contratados por tiempo determinado u obra determinada (cuyo sueldo es en base a honorarios asimilables a salario).</w:t>
      </w:r>
    </w:p>
    <w:p w14:paraId="1C4852AC" w14:textId="77777777" w:rsidR="00552C17" w:rsidRDefault="00552C17" w:rsidP="00F65D12">
      <w:pPr>
        <w:spacing w:after="0" w:line="360" w:lineRule="auto"/>
        <w:rPr>
          <w:rFonts w:eastAsia="Times New Roman" w:cs="Tahoma"/>
          <w:bCs/>
          <w:color w:val="auto"/>
          <w:lang w:eastAsia="es-ES"/>
        </w:rPr>
      </w:pPr>
    </w:p>
    <w:p w14:paraId="1D98629C" w14:textId="77777777" w:rsidR="00552C17" w:rsidRDefault="00552C17" w:rsidP="00F65D12">
      <w:pPr>
        <w:spacing w:after="0" w:line="360" w:lineRule="auto"/>
        <w:rPr>
          <w:rFonts w:eastAsia="Times New Roman" w:cs="Tahoma"/>
          <w:bCs/>
          <w:color w:val="auto"/>
          <w:lang w:eastAsia="es-ES"/>
        </w:rPr>
      </w:pPr>
    </w:p>
    <w:p w14:paraId="42DD174A" w14:textId="573F5613" w:rsidR="004E6D65" w:rsidRDefault="004E6D65" w:rsidP="00F65D12">
      <w:pPr>
        <w:spacing w:after="0" w:line="360" w:lineRule="auto"/>
        <w:rPr>
          <w:rFonts w:eastAsia="Times New Roman" w:cs="Tahoma"/>
          <w:bCs/>
          <w:color w:val="auto"/>
          <w:lang w:eastAsia="es-ES"/>
        </w:rPr>
      </w:pPr>
      <w:r>
        <w:rPr>
          <w:rFonts w:eastAsia="Times New Roman" w:cs="Tahoma"/>
          <w:bCs/>
          <w:color w:val="auto"/>
          <w:lang w:eastAsia="es-ES"/>
        </w:rPr>
        <w:t xml:space="preserve">Ahora bien, de las constancias que obran en el expediente electrónico del Sistema de Acceso a la Información Mexiquense, se advierte que la Unidad de Transparencia turno la solicitud de información a Rocío Velázquez Matías, misma que contestó el requerimiento de información; sobre dicha servidora pública, se realizó una búsqueda en el Portal de Información Pública de Oficio Mexiquense del Sujeto Obligado, en específico en la fracción VII </w:t>
      </w:r>
      <w:r w:rsidR="008C36A6">
        <w:rPr>
          <w:rFonts w:eastAsia="Times New Roman" w:cs="Tahoma"/>
          <w:bCs/>
          <w:color w:val="auto"/>
          <w:lang w:eastAsia="es-ES"/>
        </w:rPr>
        <w:t>“</w:t>
      </w:r>
      <w:r w:rsidR="008C36A6" w:rsidRPr="008C36A6">
        <w:rPr>
          <w:rFonts w:eastAsia="Times New Roman" w:cs="Tahoma"/>
          <w:bCs/>
          <w:color w:val="auto"/>
          <w:lang w:eastAsia="es-ES"/>
        </w:rPr>
        <w:t>El directorio de todos los servidores públicos</w:t>
      </w:r>
      <w:r w:rsidR="008C36A6">
        <w:rPr>
          <w:rFonts w:eastAsia="Times New Roman" w:cs="Tahoma"/>
          <w:bCs/>
          <w:color w:val="auto"/>
          <w:lang w:eastAsia="es-ES"/>
        </w:rPr>
        <w:t xml:space="preserve">” (consultado el primero de diciembre de dos mil veintiuno, en la liga </w:t>
      </w:r>
      <w:hyperlink r:id="rId8" w:history="1">
        <w:r w:rsidR="008C36A6" w:rsidRPr="00922B81">
          <w:rPr>
            <w:rStyle w:val="Hipervnculo"/>
            <w:rFonts w:eastAsia="Times New Roman" w:cs="Tahoma"/>
            <w:bCs/>
            <w:lang w:eastAsia="es-ES"/>
          </w:rPr>
          <w:t>https://www.ipomex.org.mx/ipo3/lgt/indice/OTZOLOAPAN/art_92_vii/1/0/26060.web</w:t>
        </w:r>
      </w:hyperlink>
      <w:r w:rsidR="008C36A6">
        <w:rPr>
          <w:rFonts w:eastAsia="Times New Roman" w:cs="Tahoma"/>
          <w:bCs/>
          <w:color w:val="auto"/>
          <w:lang w:eastAsia="es-ES"/>
        </w:rPr>
        <w:t>, a las diez horas), del cual se advierte que la trabajadora señalada es la Tesorera Municipal.</w:t>
      </w:r>
    </w:p>
    <w:p w14:paraId="36D34461" w14:textId="77777777" w:rsidR="004E6D65" w:rsidRDefault="004E6D65" w:rsidP="00F65D12">
      <w:pPr>
        <w:spacing w:after="0" w:line="360" w:lineRule="auto"/>
        <w:rPr>
          <w:rFonts w:eastAsia="Times New Roman" w:cs="Tahoma"/>
          <w:bCs/>
          <w:color w:val="auto"/>
          <w:lang w:eastAsia="es-ES"/>
        </w:rPr>
      </w:pPr>
    </w:p>
    <w:p w14:paraId="18910D33" w14:textId="0D275D6A" w:rsidR="000735E9" w:rsidRDefault="008C36A6" w:rsidP="00F65D12">
      <w:pPr>
        <w:spacing w:after="0" w:line="360" w:lineRule="auto"/>
        <w:jc w:val="center"/>
        <w:rPr>
          <w:rFonts w:eastAsia="Times New Roman" w:cs="Times New Roman"/>
          <w:color w:val="auto"/>
          <w:lang w:eastAsia="es-ES"/>
        </w:rPr>
      </w:pPr>
      <w:r>
        <w:rPr>
          <w:noProof/>
          <w:lang w:eastAsia="es-MX"/>
        </w:rPr>
        <w:drawing>
          <wp:inline distT="0" distB="0" distL="0" distR="0" wp14:anchorId="39646975" wp14:editId="2C1CFA33">
            <wp:extent cx="5117224" cy="14478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5600" cy="1450170"/>
                    </a:xfrm>
                    <a:prstGeom prst="rect">
                      <a:avLst/>
                    </a:prstGeom>
                  </pic:spPr>
                </pic:pic>
              </a:graphicData>
            </a:graphic>
          </wp:inline>
        </w:drawing>
      </w:r>
    </w:p>
    <w:p w14:paraId="3A375864" w14:textId="77777777" w:rsidR="00E9155C" w:rsidRDefault="00E9155C" w:rsidP="00F65D12">
      <w:pPr>
        <w:spacing w:after="0" w:line="360" w:lineRule="auto"/>
        <w:jc w:val="center"/>
        <w:rPr>
          <w:rFonts w:eastAsia="Times New Roman" w:cs="Times New Roman"/>
          <w:color w:val="auto"/>
          <w:lang w:eastAsia="es-ES"/>
        </w:rPr>
      </w:pPr>
    </w:p>
    <w:p w14:paraId="40DE433F" w14:textId="02C75E6E" w:rsidR="00E9155C" w:rsidRPr="00B95B62" w:rsidRDefault="00E9155C" w:rsidP="00F65D12">
      <w:pPr>
        <w:spacing w:after="0" w:line="360" w:lineRule="auto"/>
        <w:rPr>
          <w:rFonts w:eastAsia="Calibri" w:cs="Tahoma"/>
          <w:bCs/>
          <w:iCs/>
        </w:rPr>
      </w:pPr>
      <w:r>
        <w:rPr>
          <w:rFonts w:eastAsia="Calibri" w:cs="Tahoma"/>
          <w:bCs/>
          <w:iCs/>
          <w:lang w:val="es-ES"/>
        </w:rPr>
        <w:t>Así, es</w:t>
      </w:r>
      <w:r w:rsidRPr="00B95B62">
        <w:rPr>
          <w:rFonts w:eastAsia="Calibri" w:cs="Tahoma"/>
          <w:bCs/>
          <w:iCs/>
          <w:lang w:val="es-ES"/>
        </w:rPr>
        <w:t xml:space="preserve"> oportuno </w:t>
      </w:r>
      <w:r w:rsidRPr="00B95B62">
        <w:rPr>
          <w:rFonts w:eastAsia="Calibri" w:cs="Tahoma"/>
          <w:bCs/>
          <w:iCs/>
        </w:rPr>
        <w:t xml:space="preserve">hacer referencia al </w:t>
      </w:r>
      <w:r w:rsidRPr="00B95B62">
        <w:rPr>
          <w:rFonts w:eastAsia="Calibri" w:cs="Tahoma"/>
          <w:b/>
          <w:bCs/>
          <w:iCs/>
        </w:rPr>
        <w:t>procedimiento de búsqueda que deben de seguir los Sujetos Obligados para localizar la información</w:t>
      </w:r>
      <w:r w:rsidRPr="00B95B62">
        <w:rPr>
          <w:rFonts w:eastAsia="Calibri" w:cs="Tahoma"/>
          <w:bCs/>
          <w:iCs/>
        </w:rPr>
        <w:t>, el cual se encuentra previsto en los artículos 160 y 162 de la Ley de Transparencia y Acceso a la Información Pública del Estado de México y Municipios, mismo que es el siguiente:</w:t>
      </w:r>
    </w:p>
    <w:p w14:paraId="29C6AED7" w14:textId="77777777" w:rsidR="00E9155C" w:rsidRPr="00B95B62" w:rsidRDefault="00E9155C" w:rsidP="00F65D12">
      <w:pPr>
        <w:spacing w:after="0" w:line="360" w:lineRule="auto"/>
        <w:rPr>
          <w:rFonts w:eastAsia="Calibri" w:cs="Tahoma"/>
          <w:bCs/>
          <w:iCs/>
        </w:rPr>
      </w:pPr>
    </w:p>
    <w:p w14:paraId="462E379C" w14:textId="77777777" w:rsidR="00E9155C" w:rsidRPr="00B95B62" w:rsidRDefault="00E9155C" w:rsidP="00F65D12">
      <w:pPr>
        <w:numPr>
          <w:ilvl w:val="0"/>
          <w:numId w:val="20"/>
        </w:numPr>
        <w:spacing w:after="0" w:line="360" w:lineRule="auto"/>
        <w:rPr>
          <w:rFonts w:eastAsia="Calibri" w:cs="Tahoma"/>
          <w:bCs/>
          <w:iCs/>
          <w:lang w:val="es-ES"/>
        </w:rPr>
      </w:pPr>
      <w:r w:rsidRPr="00B95B62">
        <w:rPr>
          <w:rFonts w:eastAsia="Calibri" w:cs="Tahoma"/>
          <w:bCs/>
          <w:iCs/>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B95B62">
        <w:rPr>
          <w:rFonts w:eastAsia="Calibri" w:cs="Tahoma"/>
          <w:bCs/>
          <w:iCs/>
          <w:lang w:val="es-ES"/>
        </w:rPr>
        <w:lastRenderedPageBreak/>
        <w:t>que dichas áreas realicen una búsqueda exhaustiva y razonable de la información requerida, y</w:t>
      </w:r>
    </w:p>
    <w:p w14:paraId="76183CC7" w14:textId="77777777" w:rsidR="00E9155C" w:rsidRPr="00B95B62" w:rsidRDefault="00E9155C" w:rsidP="00F65D12">
      <w:pPr>
        <w:spacing w:after="0" w:line="360" w:lineRule="auto"/>
        <w:rPr>
          <w:rFonts w:eastAsia="Calibri" w:cs="Tahoma"/>
          <w:bCs/>
          <w:iCs/>
          <w:lang w:val="es-ES"/>
        </w:rPr>
      </w:pPr>
    </w:p>
    <w:p w14:paraId="1AE087B8" w14:textId="77777777" w:rsidR="00E9155C" w:rsidRPr="00B95B62" w:rsidRDefault="00E9155C" w:rsidP="00F65D12">
      <w:pPr>
        <w:numPr>
          <w:ilvl w:val="0"/>
          <w:numId w:val="20"/>
        </w:numPr>
        <w:spacing w:after="0" w:line="360" w:lineRule="auto"/>
        <w:rPr>
          <w:rFonts w:eastAsia="Calibri" w:cs="Tahoma"/>
          <w:bCs/>
          <w:iCs/>
          <w:lang w:val="es-ES"/>
        </w:rPr>
      </w:pPr>
      <w:r w:rsidRPr="00B95B62">
        <w:rPr>
          <w:rFonts w:eastAsia="Calibri" w:cs="Tahoma"/>
          <w:bCs/>
          <w:i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2C36733" w14:textId="77777777" w:rsidR="00E9155C" w:rsidRPr="00B95B62" w:rsidRDefault="00E9155C" w:rsidP="00F65D12">
      <w:pPr>
        <w:spacing w:after="0" w:line="360" w:lineRule="auto"/>
        <w:rPr>
          <w:rFonts w:eastAsia="Calibri" w:cs="Tahoma"/>
          <w:bCs/>
          <w:iCs/>
        </w:rPr>
      </w:pPr>
    </w:p>
    <w:p w14:paraId="0D5AE2B3" w14:textId="1224FE6A" w:rsidR="00E9155C" w:rsidRDefault="00E9155C" w:rsidP="00F65D12">
      <w:pPr>
        <w:spacing w:after="0" w:line="360" w:lineRule="auto"/>
        <w:rPr>
          <w:rFonts w:eastAsia="Calibri" w:cs="Tahoma"/>
          <w:bCs/>
          <w:iCs/>
        </w:rPr>
      </w:pPr>
      <w:r>
        <w:rPr>
          <w:rFonts w:eastAsia="Calibri" w:cs="Tahoma"/>
          <w:bCs/>
          <w:iCs/>
        </w:rPr>
        <w:t>En ese sentido</w:t>
      </w:r>
      <w:r w:rsidRPr="00B95B62">
        <w:rPr>
          <w:rFonts w:eastAsia="Calibri" w:cs="Tahoma"/>
          <w:bCs/>
          <w:iCs/>
        </w:rPr>
        <w:t xml:space="preserve">, a efecto de determinar si el Sujeto Obligado siguió el procedimiento antes descrito, es necesario traer a colación </w:t>
      </w:r>
      <w:r>
        <w:rPr>
          <w:rFonts w:eastAsia="Calibri" w:cs="Tahoma"/>
          <w:bCs/>
          <w:iCs/>
        </w:rPr>
        <w:t xml:space="preserve">los artículos </w:t>
      </w:r>
      <w:r w:rsidR="001A0605">
        <w:rPr>
          <w:rFonts w:eastAsia="Calibri" w:cs="Tahoma"/>
          <w:bCs/>
          <w:iCs/>
        </w:rPr>
        <w:t>46, fracción II, del Bando Municipal de Policía y Buen Gobierno dos mil veintiuno, del Ayuntamiento de Otzoloapan,</w:t>
      </w:r>
      <w:r>
        <w:rPr>
          <w:rFonts w:eastAsia="Calibri" w:cs="Tahoma"/>
          <w:bCs/>
          <w:iCs/>
        </w:rPr>
        <w:t xml:space="preserve"> que precisa que el Sujeto Obligado para el ejercicio de sus funciones, se conforma de diversas unidades administrativas, entre las cuales se encuentra la </w:t>
      </w:r>
      <w:r w:rsidR="001A0605">
        <w:rPr>
          <w:rFonts w:eastAsia="Calibri" w:cs="Tahoma"/>
          <w:b/>
          <w:bCs/>
          <w:iCs/>
        </w:rPr>
        <w:t>Tesorería Municipal</w:t>
      </w:r>
      <w:r w:rsidRPr="00C454B5">
        <w:rPr>
          <w:rFonts w:eastAsia="Calibri" w:cs="Tahoma"/>
          <w:b/>
          <w:bCs/>
          <w:iCs/>
        </w:rPr>
        <w:t xml:space="preserve"> </w:t>
      </w:r>
      <w:r w:rsidR="001A0605">
        <w:rPr>
          <w:rFonts w:eastAsia="Calibri" w:cs="Tahoma"/>
          <w:bCs/>
          <w:iCs/>
        </w:rPr>
        <w:t xml:space="preserve">que </w:t>
      </w:r>
      <w:r w:rsidR="001A5F74">
        <w:rPr>
          <w:rFonts w:eastAsia="Calibri" w:cs="Tahoma"/>
          <w:bCs/>
          <w:iCs/>
        </w:rPr>
        <w:t>es la encargada</w:t>
      </w:r>
      <w:r w:rsidR="001A0605">
        <w:rPr>
          <w:rFonts w:eastAsia="Calibri" w:cs="Tahoma"/>
          <w:bCs/>
          <w:iCs/>
        </w:rPr>
        <w:t xml:space="preserve"> </w:t>
      </w:r>
      <w:r w:rsidR="007568D8">
        <w:rPr>
          <w:rFonts w:eastAsia="Calibri" w:cs="Tahoma"/>
          <w:bCs/>
          <w:iCs/>
        </w:rPr>
        <w:t>de presentar los Informes Trimestrales al Órgano Superior de Fiscalización del Estado de México; de administrar la hacienda pública municipal</w:t>
      </w:r>
      <w:r w:rsidR="001A5F74">
        <w:rPr>
          <w:rFonts w:eastAsia="Calibri" w:cs="Tahoma"/>
          <w:bCs/>
          <w:iCs/>
        </w:rPr>
        <w:t xml:space="preserve"> y</w:t>
      </w:r>
      <w:r w:rsidR="007568D8">
        <w:rPr>
          <w:rFonts w:eastAsia="Calibri" w:cs="Tahoma"/>
          <w:bCs/>
          <w:iCs/>
        </w:rPr>
        <w:t xml:space="preserve"> </w:t>
      </w:r>
      <w:r w:rsidR="001A5F74">
        <w:rPr>
          <w:rFonts w:eastAsia="Calibri" w:cs="Tahoma"/>
          <w:bCs/>
          <w:iCs/>
        </w:rPr>
        <w:t xml:space="preserve">de llevar los registros contables, financieros y administrativos de egresos, </w:t>
      </w:r>
      <w:r w:rsidR="007568D8">
        <w:rPr>
          <w:rFonts w:eastAsia="Calibri" w:cs="Tahoma"/>
          <w:bCs/>
          <w:iCs/>
        </w:rPr>
        <w:t>de conformidad con el artículo 2°, fracción XI, de la Ley Superior de Fiscalización del Estado de México</w:t>
      </w:r>
      <w:r w:rsidR="001A5F74">
        <w:rPr>
          <w:rFonts w:eastAsia="Calibri" w:cs="Tahoma"/>
          <w:bCs/>
          <w:iCs/>
        </w:rPr>
        <w:t xml:space="preserve"> y 95 de la Ley Orgánica Municipal del Estado de México. </w:t>
      </w:r>
    </w:p>
    <w:p w14:paraId="472B1428" w14:textId="77777777" w:rsidR="00E9155C" w:rsidRDefault="00E9155C" w:rsidP="00F65D12">
      <w:pPr>
        <w:tabs>
          <w:tab w:val="left" w:pos="4962"/>
        </w:tabs>
        <w:spacing w:after="0" w:line="360" w:lineRule="auto"/>
        <w:rPr>
          <w:rFonts w:eastAsia="Times New Roman" w:cs="Times New Roman"/>
          <w:color w:val="auto"/>
          <w:lang w:eastAsia="es-ES"/>
        </w:rPr>
      </w:pPr>
    </w:p>
    <w:p w14:paraId="7F6D15BB" w14:textId="6FAEF10B" w:rsidR="001A5F74" w:rsidRPr="00945C4A" w:rsidRDefault="001A5F74" w:rsidP="00F65D12">
      <w:pPr>
        <w:spacing w:after="0" w:line="360" w:lineRule="auto"/>
        <w:rPr>
          <w:rFonts w:eastAsia="Calibri" w:cs="Tahoma"/>
          <w:bCs/>
          <w:iCs/>
        </w:rPr>
      </w:pPr>
      <w:r w:rsidRPr="00B95B62">
        <w:rPr>
          <w:rFonts w:eastAsia="Calibri" w:cs="Tahoma"/>
          <w:bCs/>
          <w:iCs/>
        </w:rPr>
        <w:t>Conforme a lo anterior, se advierte que el Ente Recurrido cuenta con área</w:t>
      </w:r>
      <w:r>
        <w:rPr>
          <w:rFonts w:eastAsia="Calibri" w:cs="Tahoma"/>
          <w:bCs/>
          <w:iCs/>
        </w:rPr>
        <w:t xml:space="preserve"> competente </w:t>
      </w:r>
      <w:r w:rsidRPr="00B95B62">
        <w:rPr>
          <w:rFonts w:eastAsia="Calibri" w:cs="Tahoma"/>
          <w:bCs/>
          <w:iCs/>
        </w:rPr>
        <w:t xml:space="preserve">para conocer de la información, a saber, la </w:t>
      </w:r>
      <w:r w:rsidR="00F65D12">
        <w:rPr>
          <w:rFonts w:eastAsia="Calibri" w:cs="Tahoma"/>
          <w:bCs/>
          <w:iCs/>
        </w:rPr>
        <w:t>Tesorería Municipal,</w:t>
      </w:r>
      <w:r w:rsidRPr="00B95B62">
        <w:rPr>
          <w:rFonts w:eastAsia="Calibri" w:cs="Tahoma"/>
          <w:bCs/>
          <w:iCs/>
        </w:rPr>
        <w:t xml:space="preserve"> </w:t>
      </w:r>
      <w:r w:rsidR="00F65D12">
        <w:rPr>
          <w:rFonts w:eastAsia="Calibri" w:cs="Tahoma"/>
          <w:bCs/>
          <w:iCs/>
        </w:rPr>
        <w:t>de integrar y proporcionar los Informes Trimestrales del Órgano Superior de Fiscalización del Estado de México</w:t>
      </w:r>
      <w:r w:rsidRPr="00B95B62">
        <w:rPr>
          <w:rFonts w:eastAsia="Calibri" w:cs="Tahoma"/>
          <w:bCs/>
          <w:iCs/>
        </w:rPr>
        <w:t>; por lo que, se colige que el Sujeto Obligado</w:t>
      </w:r>
      <w:r>
        <w:rPr>
          <w:rFonts w:eastAsia="Calibri" w:cs="Tahoma"/>
          <w:bCs/>
          <w:iCs/>
        </w:rPr>
        <w:t xml:space="preserve"> </w:t>
      </w:r>
      <w:r w:rsidRPr="00B95B62">
        <w:rPr>
          <w:rFonts w:eastAsia="Calibri" w:cs="Tahoma"/>
          <w:bCs/>
          <w:iCs/>
        </w:rPr>
        <w:t xml:space="preserve">cumplió con </w:t>
      </w:r>
      <w:r>
        <w:rPr>
          <w:rFonts w:eastAsia="Calibri" w:cs="Tahoma"/>
          <w:bCs/>
          <w:iCs/>
        </w:rPr>
        <w:t xml:space="preserve">parte de </w:t>
      </w:r>
      <w:r w:rsidRPr="00B95B62">
        <w:rPr>
          <w:rFonts w:eastAsia="Calibri" w:cs="Tahoma"/>
          <w:bCs/>
          <w:iCs/>
        </w:rPr>
        <w:t>lo establecido en el artículo 162 de la Ley de la materia</w:t>
      </w:r>
      <w:r>
        <w:rPr>
          <w:rFonts w:eastAsia="Calibri" w:cs="Tahoma"/>
          <w:bCs/>
          <w:iCs/>
        </w:rPr>
        <w:t>.</w:t>
      </w:r>
    </w:p>
    <w:p w14:paraId="5AB12150" w14:textId="77777777" w:rsidR="00E9155C" w:rsidRDefault="00E9155C" w:rsidP="00F65D12">
      <w:pPr>
        <w:tabs>
          <w:tab w:val="left" w:pos="4962"/>
        </w:tabs>
        <w:spacing w:after="0" w:line="360" w:lineRule="auto"/>
        <w:rPr>
          <w:rFonts w:eastAsia="Times New Roman" w:cs="Times New Roman"/>
          <w:color w:val="auto"/>
          <w:lang w:eastAsia="es-ES"/>
        </w:rPr>
      </w:pPr>
    </w:p>
    <w:p w14:paraId="43D88503" w14:textId="29677E4E" w:rsidR="00F65D12" w:rsidRPr="00F65D12" w:rsidRDefault="00F65D12" w:rsidP="00F65D12">
      <w:pPr>
        <w:spacing w:after="0" w:line="360" w:lineRule="auto"/>
        <w:ind w:right="-93"/>
        <w:rPr>
          <w:rFonts w:eastAsia="Times New Roman" w:cs="Tahoma"/>
          <w:color w:val="auto"/>
          <w:lang w:eastAsia="es-ES"/>
        </w:rPr>
      </w:pPr>
      <w:r w:rsidRPr="00F65D12">
        <w:rPr>
          <w:rFonts w:eastAsia="Calibri" w:cs="Tahoma"/>
          <w:bCs/>
          <w:color w:val="auto"/>
        </w:rPr>
        <w:t xml:space="preserve">Ahora bien, </w:t>
      </w:r>
      <w:r>
        <w:rPr>
          <w:rFonts w:eastAsia="Calibri" w:cs="Tahoma"/>
          <w:bCs/>
          <w:color w:val="auto"/>
        </w:rPr>
        <w:t>dicha área</w:t>
      </w:r>
      <w:r w:rsidRPr="00F65D12">
        <w:rPr>
          <w:rFonts w:eastAsia="Calibri" w:cs="Tahoma"/>
          <w:bCs/>
          <w:color w:val="auto"/>
        </w:rPr>
        <w:t xml:space="preserve">, precisó </w:t>
      </w:r>
      <w:r>
        <w:rPr>
          <w:rFonts w:eastAsia="Calibri" w:cs="Tahoma"/>
          <w:bCs/>
          <w:color w:val="auto"/>
        </w:rPr>
        <w:t>que no se había realizado ningún pago durante el dos mil veintiuno por concepto de honorarios; a</w:t>
      </w:r>
      <w:r w:rsidRPr="00F65D12">
        <w:rPr>
          <w:rFonts w:eastAsia="Calibri" w:cs="Tahoma"/>
          <w:bCs/>
          <w:color w:val="auto"/>
        </w:rPr>
        <w:t xml:space="preserve">l respecto, cabe señalar que </w:t>
      </w:r>
      <w:r w:rsidRPr="00F65D12">
        <w:rPr>
          <w:rFonts w:eastAsia="Times New Roman" w:cs="Tahoma"/>
          <w:color w:val="auto"/>
          <w:lang w:eastAsia="es-ES"/>
        </w:rPr>
        <w:t xml:space="preserve">este Instituto, no tiene </w:t>
      </w:r>
      <w:r w:rsidRPr="00F65D12">
        <w:rPr>
          <w:rFonts w:eastAsia="Times New Roman" w:cs="Tahoma"/>
          <w:color w:val="auto"/>
          <w:lang w:eastAsia="es-ES"/>
        </w:rPr>
        <w:lastRenderedPageBreak/>
        <w:t>atribuciones para pronunciarse sobre la veracidad de la información; apoya lo anterior, el Criterio histórico 31/10, emitido por el Pleno del entonces Instituto Federal de Acceso a la Información y Protección de Datos, que a continuación se cita:</w:t>
      </w:r>
    </w:p>
    <w:p w14:paraId="64739DDA" w14:textId="77777777" w:rsidR="00F65D12" w:rsidRPr="00F65D12" w:rsidRDefault="00F65D12" w:rsidP="00F65D12">
      <w:pPr>
        <w:spacing w:after="0" w:line="360" w:lineRule="auto"/>
        <w:rPr>
          <w:rFonts w:eastAsia="Times New Roman" w:cs="Tahoma"/>
          <w:color w:val="auto"/>
          <w:lang w:eastAsia="es-ES"/>
        </w:rPr>
      </w:pPr>
    </w:p>
    <w:p w14:paraId="427BA543" w14:textId="77777777" w:rsidR="00F65D12" w:rsidRPr="00F65D12" w:rsidRDefault="00F65D12" w:rsidP="00F65D12">
      <w:pPr>
        <w:spacing w:after="0" w:line="360" w:lineRule="auto"/>
        <w:ind w:left="567" w:right="567"/>
        <w:rPr>
          <w:rFonts w:eastAsia="Times New Roman" w:cs="Tahoma"/>
          <w:i/>
          <w:color w:val="auto"/>
          <w:sz w:val="20"/>
          <w:szCs w:val="20"/>
          <w:lang w:eastAsia="es-ES"/>
        </w:rPr>
      </w:pPr>
      <w:r w:rsidRPr="00F65D12">
        <w:rPr>
          <w:rFonts w:eastAsia="Times New Roman" w:cs="Tahoma"/>
          <w:b/>
          <w:i/>
          <w:color w:val="auto"/>
          <w:sz w:val="20"/>
          <w:szCs w:val="20"/>
          <w:lang w:eastAsia="es-ES"/>
        </w:rPr>
        <w:t xml:space="preserve">“El Instituto Federal de Acceso a la Información y Protección de Datos </w:t>
      </w:r>
      <w:r w:rsidRPr="00F65D12">
        <w:rPr>
          <w:rFonts w:eastAsia="Times New Roman" w:cs="Tahoma"/>
          <w:b/>
          <w:i/>
          <w:color w:val="auto"/>
          <w:sz w:val="20"/>
          <w:szCs w:val="20"/>
          <w:u w:val="single"/>
          <w:lang w:eastAsia="es-ES"/>
        </w:rPr>
        <w:t xml:space="preserve">no cuenta con facultades para pronunciarse respecto de la veracidad de los documentos proporcionados por los sujetos obligados. </w:t>
      </w:r>
      <w:r w:rsidRPr="00F65D12">
        <w:rPr>
          <w:rFonts w:eastAsia="Times New Roman" w:cs="Tahoma"/>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857F1A6" w14:textId="77777777" w:rsidR="00E9155C" w:rsidRPr="000735E9" w:rsidRDefault="00E9155C" w:rsidP="00F65D12">
      <w:pPr>
        <w:tabs>
          <w:tab w:val="left" w:pos="4962"/>
        </w:tabs>
        <w:spacing w:after="0" w:line="360" w:lineRule="auto"/>
        <w:rPr>
          <w:rFonts w:eastAsia="Times New Roman" w:cs="Times New Roman"/>
          <w:color w:val="auto"/>
          <w:lang w:eastAsia="es-ES"/>
        </w:rPr>
      </w:pPr>
    </w:p>
    <w:p w14:paraId="7A9005F3" w14:textId="481A1625" w:rsidR="00DC376D" w:rsidRDefault="004F35F1" w:rsidP="00F65D12">
      <w:pPr>
        <w:spacing w:after="0" w:line="360" w:lineRule="auto"/>
        <w:rPr>
          <w:rFonts w:eastAsia="Times New Roman" w:cs="Tahoma"/>
          <w:bCs/>
          <w:color w:val="auto"/>
          <w:lang w:eastAsia="es-ES"/>
        </w:rPr>
      </w:pPr>
      <w:r>
        <w:rPr>
          <w:rFonts w:eastAsia="Times New Roman" w:cs="Tahoma"/>
          <w:bCs/>
          <w:color w:val="auto"/>
          <w:lang w:eastAsia="es-ES"/>
        </w:rPr>
        <w:t>Además, este Instituto realizó una búsqueda de información pública y localizó el Presupuesto de Egresos Global Calendarizado de Otzoloapan, del primero de enero al treinta y uno de diciembre de dos mil veintiuno (consultado el primero de diciembre de dos mil veintiuno,</w:t>
      </w:r>
      <w:r w:rsidR="00DC376D">
        <w:rPr>
          <w:rFonts w:eastAsia="Times New Roman" w:cs="Tahoma"/>
          <w:bCs/>
          <w:color w:val="auto"/>
          <w:lang w:eastAsia="es-ES"/>
        </w:rPr>
        <w:t xml:space="preserve"> a las trece horas,</w:t>
      </w:r>
      <w:r>
        <w:rPr>
          <w:rFonts w:eastAsia="Times New Roman" w:cs="Tahoma"/>
          <w:bCs/>
          <w:color w:val="auto"/>
          <w:lang w:eastAsia="es-ES"/>
        </w:rPr>
        <w:t xml:space="preserve"> en</w:t>
      </w:r>
      <w:r w:rsidR="00DC376D">
        <w:rPr>
          <w:rFonts w:eastAsia="Times New Roman" w:cs="Tahoma"/>
          <w:bCs/>
          <w:color w:val="auto"/>
          <w:lang w:eastAsia="es-ES"/>
        </w:rPr>
        <w:t xml:space="preserve"> la página electrónica</w:t>
      </w:r>
      <w:r>
        <w:rPr>
          <w:rFonts w:eastAsia="Times New Roman" w:cs="Tahoma"/>
          <w:bCs/>
          <w:color w:val="auto"/>
          <w:lang w:eastAsia="es-ES"/>
        </w:rPr>
        <w:t xml:space="preserve"> </w:t>
      </w:r>
      <w:hyperlink r:id="rId10" w:history="1">
        <w:r w:rsidR="00DC376D" w:rsidRPr="00922B81">
          <w:rPr>
            <w:rStyle w:val="Hipervnculo"/>
            <w:rFonts w:eastAsia="Times New Roman" w:cs="Tahoma"/>
            <w:bCs/>
            <w:lang w:eastAsia="es-ES"/>
          </w:rPr>
          <w:t>https://25ca56a0-05a4-4835-a3b9-6dcdd10ce5d8.filesusr.com/ugd/120beb_8ecad1e7fe5c48f1906dde9d57987a49.pdf</w:t>
        </w:r>
      </w:hyperlink>
      <w:r>
        <w:rPr>
          <w:rFonts w:eastAsia="Times New Roman" w:cs="Tahoma"/>
          <w:bCs/>
          <w:color w:val="auto"/>
          <w:lang w:eastAsia="es-ES"/>
        </w:rPr>
        <w:t>)</w:t>
      </w:r>
      <w:r w:rsidR="00DC376D">
        <w:rPr>
          <w:rFonts w:eastAsia="Times New Roman" w:cs="Tahoma"/>
          <w:bCs/>
          <w:color w:val="auto"/>
          <w:lang w:eastAsia="es-ES"/>
        </w:rPr>
        <w:t xml:space="preserve">, del cual se desprende que el Sujeto Obligado no asignó o autorizó presupuesto alguno para el pago de remuneraciones al personal eventual, o bien, por concepto de honorarios asimilables a salarios, pues </w:t>
      </w:r>
      <w:r w:rsidR="00552C17">
        <w:rPr>
          <w:rFonts w:eastAsia="Times New Roman" w:cs="Tahoma"/>
          <w:bCs/>
          <w:color w:val="auto"/>
          <w:lang w:eastAsia="es-ES"/>
        </w:rPr>
        <w:t>no aparecen las partidas en el Presupuesto, a saber, 1200, 1210 y 1211, tal como se muestra en el siguiente extracto:</w:t>
      </w:r>
    </w:p>
    <w:p w14:paraId="2D430280" w14:textId="77777777" w:rsidR="009D36BD" w:rsidRDefault="009D36BD" w:rsidP="00F65D12">
      <w:pPr>
        <w:spacing w:after="0" w:line="360" w:lineRule="auto"/>
        <w:rPr>
          <w:rFonts w:eastAsia="Times New Roman" w:cs="Tahoma"/>
          <w:bCs/>
          <w:color w:val="auto"/>
          <w:lang w:eastAsia="es-ES"/>
        </w:rPr>
      </w:pPr>
    </w:p>
    <w:p w14:paraId="7CC3C09E" w14:textId="77777777" w:rsidR="00390C12" w:rsidRDefault="00390C12" w:rsidP="00F65D12">
      <w:pPr>
        <w:spacing w:after="0" w:line="360" w:lineRule="auto"/>
        <w:rPr>
          <w:rFonts w:eastAsia="Times New Roman" w:cs="Tahoma"/>
          <w:bCs/>
          <w:color w:val="auto"/>
          <w:lang w:eastAsia="es-ES"/>
        </w:rPr>
      </w:pPr>
    </w:p>
    <w:p w14:paraId="7EC3A5B7" w14:textId="3DA2E7E2" w:rsidR="009D36BD" w:rsidRDefault="00552C17" w:rsidP="00F65D12">
      <w:pPr>
        <w:spacing w:after="0" w:line="360" w:lineRule="auto"/>
        <w:rPr>
          <w:rFonts w:eastAsia="Times New Roman" w:cs="Tahoma"/>
          <w:bCs/>
          <w:color w:val="auto"/>
          <w:lang w:eastAsia="es-ES"/>
        </w:rPr>
      </w:pPr>
      <w:r>
        <w:rPr>
          <w:noProof/>
          <w:lang w:eastAsia="es-MX"/>
        </w:rPr>
        <w:drawing>
          <wp:inline distT="0" distB="0" distL="0" distR="0" wp14:anchorId="2DA69AB3" wp14:editId="0674A1BD">
            <wp:extent cx="5791835" cy="17443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44345"/>
                    </a:xfrm>
                    <a:prstGeom prst="rect">
                      <a:avLst/>
                    </a:prstGeom>
                  </pic:spPr>
                </pic:pic>
              </a:graphicData>
            </a:graphic>
          </wp:inline>
        </w:drawing>
      </w:r>
    </w:p>
    <w:p w14:paraId="32B946AE" w14:textId="77777777" w:rsidR="009D36BD" w:rsidRDefault="009D36BD" w:rsidP="00F65D12">
      <w:pPr>
        <w:spacing w:after="0" w:line="360" w:lineRule="auto"/>
        <w:rPr>
          <w:rFonts w:eastAsia="Times New Roman" w:cs="Tahoma"/>
          <w:bCs/>
          <w:color w:val="auto"/>
          <w:lang w:eastAsia="es-ES"/>
        </w:rPr>
      </w:pPr>
    </w:p>
    <w:p w14:paraId="5B5A75E3" w14:textId="0407C1CA" w:rsidR="00FC05FD" w:rsidRPr="00FC05FD" w:rsidRDefault="00FC05FD" w:rsidP="00FC05FD">
      <w:pPr>
        <w:spacing w:after="0" w:line="360" w:lineRule="auto"/>
        <w:rPr>
          <w:rFonts w:eastAsia="Times New Roman" w:cs="Tahoma"/>
          <w:color w:val="auto"/>
          <w:lang w:val="es-ES" w:eastAsia="es-ES"/>
        </w:rPr>
      </w:pPr>
      <w:r w:rsidRPr="00FC05FD">
        <w:rPr>
          <w:rFonts w:eastAsia="Times New Roman" w:cs="Tahoma"/>
          <w:color w:val="auto"/>
          <w:lang w:val="es-ES" w:eastAsia="es-ES"/>
        </w:rPr>
        <w:t>Conforme a lo anterior, se advierte que el Sujeto Obligado no cuenta con presupuesto alguno para pagar remuneraciones al personal eventual</w:t>
      </w:r>
      <w:r>
        <w:rPr>
          <w:rFonts w:eastAsia="Times New Roman" w:cs="Tahoma"/>
          <w:color w:val="auto"/>
          <w:lang w:val="es-ES" w:eastAsia="es-ES"/>
        </w:rPr>
        <w:t xml:space="preserve"> o bien, para el pago por honorarios</w:t>
      </w:r>
      <w:r w:rsidRPr="00FC05FD">
        <w:rPr>
          <w:rFonts w:eastAsia="Times New Roman" w:cs="Tahoma"/>
          <w:color w:val="auto"/>
          <w:lang w:val="es-ES" w:eastAsia="es-ES"/>
        </w:rPr>
        <w:t xml:space="preserve">, durante todo el </w:t>
      </w:r>
      <w:r>
        <w:rPr>
          <w:rFonts w:eastAsia="Times New Roman" w:cs="Tahoma"/>
          <w:color w:val="auto"/>
          <w:lang w:val="es-ES" w:eastAsia="es-ES"/>
        </w:rPr>
        <w:t>dos mil veintiuno</w:t>
      </w:r>
      <w:r w:rsidRPr="00FC05FD">
        <w:rPr>
          <w:rFonts w:eastAsia="Times New Roman" w:cs="Tahoma"/>
          <w:color w:val="auto"/>
          <w:lang w:val="es-ES" w:eastAsia="es-ES"/>
        </w:rPr>
        <w:t xml:space="preserve">; por tal situación, </w:t>
      </w:r>
      <w:r>
        <w:rPr>
          <w:rFonts w:eastAsia="Times New Roman" w:cs="Tahoma"/>
          <w:color w:val="auto"/>
          <w:lang w:val="es-ES" w:eastAsia="es-ES"/>
        </w:rPr>
        <w:t>la Tesorería Municipal</w:t>
      </w:r>
      <w:r w:rsidRPr="00FC05FD">
        <w:rPr>
          <w:rFonts w:eastAsia="Times New Roman" w:cs="Tahoma"/>
          <w:color w:val="auto"/>
          <w:lang w:val="es-ES" w:eastAsia="es-ES"/>
        </w:rPr>
        <w:t xml:space="preserve"> aludió a que la información era inexistente, ya que no </w:t>
      </w:r>
      <w:r>
        <w:rPr>
          <w:rFonts w:eastAsia="Times New Roman" w:cs="Tahoma"/>
          <w:color w:val="auto"/>
          <w:lang w:val="es-ES" w:eastAsia="es-ES"/>
        </w:rPr>
        <w:t>había pagado honorarios durante el presente año</w:t>
      </w:r>
      <w:r w:rsidRPr="00FC05FD">
        <w:rPr>
          <w:rFonts w:eastAsia="Times New Roman" w:cs="Tahoma"/>
          <w:color w:val="auto"/>
          <w:lang w:val="es-ES" w:eastAsia="es-ES"/>
        </w:rPr>
        <w:t>; al respecto, el Criterio 14/17, emitido por el Instituto Nacional de Transparencia, Acceso a la Información Pública y Protección de Datos Personales en el Estado de México y Municipios, señala lo siguiente:</w:t>
      </w:r>
    </w:p>
    <w:p w14:paraId="386959FC" w14:textId="77777777" w:rsidR="00FC05FD" w:rsidRPr="00FC05FD" w:rsidRDefault="00FC05FD" w:rsidP="00FC05FD">
      <w:pPr>
        <w:spacing w:after="0" w:line="360" w:lineRule="auto"/>
        <w:rPr>
          <w:rFonts w:eastAsia="Times New Roman" w:cs="Tahoma"/>
          <w:color w:val="auto"/>
          <w:lang w:eastAsia="es-ES"/>
        </w:rPr>
      </w:pPr>
    </w:p>
    <w:p w14:paraId="3CADEE31" w14:textId="77777777" w:rsidR="00FC05FD" w:rsidRPr="00FC05FD" w:rsidRDefault="00FC05FD" w:rsidP="00FC05FD">
      <w:pPr>
        <w:spacing w:after="0" w:line="360" w:lineRule="auto"/>
        <w:ind w:left="567" w:right="567"/>
        <w:rPr>
          <w:rFonts w:eastAsia="Times New Roman" w:cs="Tahoma"/>
          <w:bCs/>
          <w:i/>
          <w:color w:val="auto"/>
          <w:sz w:val="20"/>
          <w:szCs w:val="20"/>
          <w:lang w:val="es-ES" w:eastAsia="es-ES"/>
        </w:rPr>
      </w:pPr>
      <w:r w:rsidRPr="00FC05FD">
        <w:rPr>
          <w:rFonts w:eastAsia="Times New Roman" w:cs="Tahoma"/>
          <w:bCs/>
          <w:i/>
          <w:color w:val="auto"/>
          <w:sz w:val="20"/>
          <w:szCs w:val="20"/>
          <w:lang w:val="es-ES" w:eastAsia="es-ES"/>
        </w:rPr>
        <w:t>“</w:t>
      </w:r>
      <w:r w:rsidRPr="00FC05FD">
        <w:rPr>
          <w:rFonts w:eastAsia="Times New Roman" w:cs="Tahoma"/>
          <w:b/>
          <w:bCs/>
          <w:i/>
          <w:color w:val="auto"/>
          <w:sz w:val="20"/>
          <w:szCs w:val="20"/>
          <w:lang w:val="es-ES" w:eastAsia="es-ES"/>
        </w:rPr>
        <w:t xml:space="preserve">Inexistencia. </w:t>
      </w:r>
      <w:r w:rsidRPr="00FC05FD">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779798E0" w14:textId="77777777" w:rsidR="00FC05FD" w:rsidRPr="00FC05FD" w:rsidRDefault="00FC05FD" w:rsidP="00FC05FD">
      <w:pPr>
        <w:spacing w:after="0" w:line="360" w:lineRule="auto"/>
        <w:rPr>
          <w:rFonts w:eastAsia="Times New Roman" w:cs="Tahoma"/>
          <w:color w:val="auto"/>
          <w:lang w:eastAsia="es-ES"/>
        </w:rPr>
      </w:pPr>
    </w:p>
    <w:p w14:paraId="0DD0C9BB" w14:textId="77777777" w:rsidR="00FC05FD" w:rsidRPr="00FC05FD" w:rsidRDefault="00FC05FD" w:rsidP="00FC05FD">
      <w:pPr>
        <w:spacing w:after="0" w:line="360" w:lineRule="auto"/>
        <w:rPr>
          <w:rFonts w:eastAsia="Times New Roman" w:cs="Tahoma"/>
          <w:color w:val="auto"/>
          <w:lang w:eastAsia="es-ES"/>
        </w:rPr>
      </w:pPr>
      <w:r w:rsidRPr="00FC05FD">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14:paraId="1DD7C442" w14:textId="77777777" w:rsidR="00FC05FD" w:rsidRPr="00FC05FD" w:rsidRDefault="00FC05FD" w:rsidP="00FC05FD">
      <w:pPr>
        <w:spacing w:after="0" w:line="360" w:lineRule="auto"/>
        <w:rPr>
          <w:rFonts w:eastAsia="Times New Roman" w:cs="Tahoma"/>
          <w:color w:val="auto"/>
          <w:lang w:val="es-ES" w:eastAsia="es-ES"/>
        </w:rPr>
      </w:pPr>
    </w:p>
    <w:p w14:paraId="7990C9BA" w14:textId="77777777" w:rsidR="00FC05FD" w:rsidRPr="00FC05FD" w:rsidRDefault="00FC05FD" w:rsidP="00FC05FD">
      <w:pPr>
        <w:spacing w:after="0" w:line="360" w:lineRule="auto"/>
        <w:rPr>
          <w:rFonts w:eastAsia="Times New Roman" w:cs="Tahoma"/>
          <w:color w:val="auto"/>
          <w:lang w:val="es-ES" w:eastAsia="es-ES"/>
        </w:rPr>
      </w:pPr>
      <w:r w:rsidRPr="00FC05FD">
        <w:rPr>
          <w:rFonts w:eastAsia="Times New Roman" w:cs="Tahoma"/>
          <w:color w:val="auto"/>
          <w:lang w:val="es-ES" w:eastAsia="es-ES"/>
        </w:rPr>
        <w:t xml:space="preserve">En ese orden de ideas, según Trujillo, Humberto (2019), en el “Diccionario de Transparencia y Acceso a la Información Pública” (p. 171), la inexistencia de la información, es cuando la </w:t>
      </w:r>
      <w:r w:rsidRPr="00FC05FD">
        <w:rPr>
          <w:rFonts w:eastAsia="Times New Roman" w:cs="Tahoma"/>
          <w:color w:val="auto"/>
          <w:lang w:val="es-ES" w:eastAsia="es-ES"/>
        </w:rPr>
        <w:lastRenderedPageBreak/>
        <w:t>información requerida no se encuentra en los archivos públicos, reservados o clasificados, de los sujetos obligados.</w:t>
      </w:r>
    </w:p>
    <w:p w14:paraId="4297D5CA" w14:textId="77777777" w:rsidR="00FC05FD" w:rsidRPr="00FC05FD" w:rsidRDefault="00FC05FD" w:rsidP="00FC05FD">
      <w:pPr>
        <w:spacing w:after="0" w:line="360" w:lineRule="auto"/>
        <w:rPr>
          <w:rFonts w:eastAsia="Times New Roman" w:cs="Tahoma"/>
          <w:color w:val="auto"/>
          <w:lang w:val="es-ES" w:eastAsia="es-ES"/>
        </w:rPr>
      </w:pPr>
    </w:p>
    <w:p w14:paraId="55F16B8A" w14:textId="77777777" w:rsidR="00FC05FD" w:rsidRPr="00FC05FD" w:rsidRDefault="00FC05FD" w:rsidP="00FC05FD">
      <w:pPr>
        <w:spacing w:after="0" w:line="360" w:lineRule="auto"/>
        <w:rPr>
          <w:rFonts w:eastAsia="Times New Roman" w:cs="Tahoma"/>
          <w:color w:val="auto"/>
          <w:lang w:eastAsia="es-ES"/>
        </w:rPr>
      </w:pPr>
      <w:r w:rsidRPr="00FC05FD">
        <w:rPr>
          <w:rFonts w:eastAsia="Times New Roman" w:cs="Tahoma"/>
          <w:color w:val="auto"/>
          <w:lang w:val="es-ES" w:eastAsia="es-ES"/>
        </w:rPr>
        <w:t>Así</w:t>
      </w:r>
      <w:r w:rsidRPr="00FC05FD">
        <w:rPr>
          <w:rFonts w:eastAsia="Times New Roman" w:cs="Tahoma"/>
          <w:color w:val="auto"/>
          <w:lang w:eastAsia="es-ES"/>
        </w:rPr>
        <w:t xml:space="preserve">, es posible concluir que la </w:t>
      </w:r>
      <w:r w:rsidRPr="00FC05FD">
        <w:rPr>
          <w:rFonts w:eastAsia="Times New Roman" w:cs="Tahoma"/>
          <w:b/>
          <w:color w:val="auto"/>
          <w:lang w:eastAsia="es-ES"/>
        </w:rPr>
        <w:t>inexistencia</w:t>
      </w:r>
      <w:r w:rsidRPr="00FC05FD">
        <w:rPr>
          <w:rFonts w:eastAsia="Times New Roman" w:cs="Tahoma"/>
          <w:color w:val="auto"/>
          <w:lang w:eastAsia="es-ES"/>
        </w:rPr>
        <w:t xml:space="preserve"> presupone la competencia del sujeto obligado para conocer de la información, pero por alguna circunstancia, la documentación solicitada no obra en sus archivos.</w:t>
      </w:r>
    </w:p>
    <w:p w14:paraId="29B78013" w14:textId="77777777" w:rsidR="00FC05FD" w:rsidRPr="00FC05FD" w:rsidRDefault="00FC05FD" w:rsidP="00FC05FD">
      <w:pPr>
        <w:spacing w:after="0" w:line="360" w:lineRule="auto"/>
        <w:rPr>
          <w:rFonts w:eastAsia="Times New Roman" w:cs="Tahoma"/>
          <w:bCs/>
          <w:color w:val="auto"/>
          <w:lang w:eastAsia="es-ES"/>
        </w:rPr>
      </w:pPr>
    </w:p>
    <w:p w14:paraId="7FB924CD" w14:textId="49DC27A5" w:rsidR="00FC05FD" w:rsidRPr="00FC05FD" w:rsidRDefault="00FC05FD" w:rsidP="00FC05FD">
      <w:pPr>
        <w:spacing w:after="0" w:line="360" w:lineRule="auto"/>
        <w:rPr>
          <w:rFonts w:eastAsia="Times New Roman" w:cs="Tahoma"/>
          <w:bCs/>
          <w:color w:val="auto"/>
          <w:lang w:eastAsia="es-ES"/>
        </w:rPr>
      </w:pPr>
      <w:r w:rsidRPr="00FC05FD">
        <w:rPr>
          <w:rFonts w:eastAsia="Times New Roman" w:cs="Tahoma"/>
          <w:bCs/>
          <w:color w:val="auto"/>
          <w:lang w:eastAsia="es-ES"/>
        </w:rPr>
        <w:t xml:space="preserve">Para tal situación, no basta con que los sujetos obligados señalen dicha circunstancia, sino que también debe de precisar las razones por las cuales no cuentan con lo peticionado, es decir, las circunstancias que dan lugar a la inexistencia, lo cual aconteció, en el presente caso, pues indicó los motivos por los cuales no contaba con los recibos de pago peticionados, a saber, </w:t>
      </w:r>
      <w:r>
        <w:rPr>
          <w:rFonts w:eastAsia="Times New Roman" w:cs="Tahoma"/>
          <w:bCs/>
          <w:color w:val="auto"/>
          <w:lang w:eastAsia="es-ES"/>
        </w:rPr>
        <w:t>que no se habían realizado pago por honorarios.</w:t>
      </w:r>
    </w:p>
    <w:p w14:paraId="2C965B07" w14:textId="77777777" w:rsidR="00FC05FD" w:rsidRDefault="00FC05FD" w:rsidP="00F65D12">
      <w:pPr>
        <w:spacing w:after="0" w:line="360" w:lineRule="auto"/>
        <w:rPr>
          <w:rFonts w:eastAsia="Times New Roman" w:cs="Tahoma"/>
          <w:bCs/>
          <w:color w:val="auto"/>
          <w:lang w:eastAsia="es-ES"/>
        </w:rPr>
      </w:pPr>
    </w:p>
    <w:p w14:paraId="1F2EE50D" w14:textId="270798AD" w:rsidR="00FC05FD" w:rsidRDefault="007D0C42" w:rsidP="00F65D12">
      <w:pPr>
        <w:spacing w:after="0" w:line="360" w:lineRule="auto"/>
        <w:rPr>
          <w:rFonts w:eastAsia="Times New Roman" w:cs="Tahoma"/>
          <w:bCs/>
          <w:color w:val="auto"/>
          <w:lang w:eastAsia="es-ES"/>
        </w:rPr>
      </w:pPr>
      <w:r>
        <w:rPr>
          <w:rFonts w:eastAsia="Times New Roman" w:cs="Tahoma"/>
          <w:bCs/>
          <w:color w:val="auto"/>
          <w:lang w:eastAsia="es-ES"/>
        </w:rPr>
        <w:t xml:space="preserve">En ese contexto, </w:t>
      </w:r>
      <w:r w:rsidRPr="007D0C42">
        <w:rPr>
          <w:rFonts w:eastAsia="Times New Roman" w:cs="Tahoma"/>
          <w:bCs/>
          <w:color w:val="auto"/>
          <w:lang w:eastAsia="es-ES"/>
        </w:rPr>
        <w:t xml:space="preserve">este Instituto realizó una búsqueda de información pública en el Portal de Información Pública de Oficio Mexiquense del Ayuntamiento </w:t>
      </w:r>
      <w:r>
        <w:rPr>
          <w:rFonts w:eastAsia="Times New Roman" w:cs="Tahoma"/>
          <w:bCs/>
          <w:color w:val="auto"/>
          <w:lang w:eastAsia="es-ES"/>
        </w:rPr>
        <w:t>Otzoloapan</w:t>
      </w:r>
      <w:r w:rsidRPr="007D0C42">
        <w:rPr>
          <w:rFonts w:eastAsia="Times New Roman" w:cs="Tahoma"/>
          <w:bCs/>
          <w:color w:val="auto"/>
          <w:lang w:eastAsia="es-ES"/>
        </w:rPr>
        <w:t xml:space="preserve">, </w:t>
      </w:r>
      <w:r>
        <w:rPr>
          <w:rFonts w:eastAsia="Times New Roman" w:cs="Tahoma"/>
          <w:bCs/>
          <w:color w:val="auto"/>
          <w:lang w:eastAsia="es-ES"/>
        </w:rPr>
        <w:t xml:space="preserve">y su página oficial </w:t>
      </w:r>
      <w:r w:rsidRPr="007D0C42">
        <w:rPr>
          <w:rFonts w:eastAsia="Times New Roman" w:cs="Tahoma"/>
          <w:bCs/>
          <w:color w:val="auto"/>
          <w:lang w:eastAsia="es-ES"/>
        </w:rPr>
        <w:t xml:space="preserve">(consultada el </w:t>
      </w:r>
      <w:r>
        <w:rPr>
          <w:rFonts w:eastAsia="Times New Roman" w:cs="Tahoma"/>
          <w:bCs/>
          <w:color w:val="auto"/>
          <w:lang w:eastAsia="es-ES"/>
        </w:rPr>
        <w:t>primero de diciembre</w:t>
      </w:r>
      <w:r w:rsidRPr="007D0C42">
        <w:rPr>
          <w:rFonts w:eastAsia="Times New Roman" w:cs="Tahoma"/>
          <w:bCs/>
          <w:color w:val="auto"/>
          <w:lang w:eastAsia="es-ES"/>
        </w:rPr>
        <w:t xml:space="preserve"> de dos mil </w:t>
      </w:r>
      <w:r>
        <w:rPr>
          <w:rFonts w:eastAsia="Times New Roman" w:cs="Tahoma"/>
          <w:bCs/>
          <w:color w:val="auto"/>
          <w:lang w:eastAsia="es-ES"/>
        </w:rPr>
        <w:t>veintinueve,</w:t>
      </w:r>
      <w:r w:rsidRPr="007D0C42">
        <w:rPr>
          <w:rFonts w:eastAsia="Times New Roman" w:cs="Tahoma"/>
          <w:bCs/>
          <w:color w:val="auto"/>
          <w:lang w:eastAsia="es-ES"/>
        </w:rPr>
        <w:t xml:space="preserve"> a las doce horas, en la</w:t>
      </w:r>
      <w:r>
        <w:rPr>
          <w:rFonts w:eastAsia="Times New Roman" w:cs="Tahoma"/>
          <w:bCs/>
          <w:color w:val="auto"/>
          <w:lang w:eastAsia="es-ES"/>
        </w:rPr>
        <w:t>s</w:t>
      </w:r>
      <w:r w:rsidRPr="007D0C42">
        <w:rPr>
          <w:rFonts w:eastAsia="Times New Roman" w:cs="Tahoma"/>
          <w:bCs/>
          <w:color w:val="auto"/>
          <w:lang w:eastAsia="es-ES"/>
        </w:rPr>
        <w:t xml:space="preserve"> página</w:t>
      </w:r>
      <w:r>
        <w:rPr>
          <w:rFonts w:eastAsia="Times New Roman" w:cs="Tahoma"/>
          <w:bCs/>
          <w:color w:val="auto"/>
          <w:lang w:eastAsia="es-ES"/>
        </w:rPr>
        <w:t>s</w:t>
      </w:r>
      <w:r w:rsidRPr="007D0C42">
        <w:rPr>
          <w:rFonts w:eastAsia="Times New Roman" w:cs="Tahoma"/>
          <w:bCs/>
          <w:color w:val="auto"/>
          <w:lang w:eastAsia="es-ES"/>
        </w:rPr>
        <w:t xml:space="preserve"> electrónica</w:t>
      </w:r>
      <w:r>
        <w:rPr>
          <w:rFonts w:eastAsia="Times New Roman" w:cs="Tahoma"/>
          <w:bCs/>
          <w:color w:val="auto"/>
          <w:lang w:eastAsia="es-ES"/>
        </w:rPr>
        <w:t>s</w:t>
      </w:r>
      <w:r w:rsidRPr="007D0C42">
        <w:rPr>
          <w:rFonts w:eastAsia="Times New Roman" w:cs="Tahoma"/>
          <w:bCs/>
          <w:color w:val="auto"/>
          <w:lang w:eastAsia="es-ES"/>
        </w:rPr>
        <w:t xml:space="preserve"> </w:t>
      </w:r>
      <w:hyperlink r:id="rId12" w:history="1">
        <w:r w:rsidRPr="00922B81">
          <w:rPr>
            <w:rStyle w:val="Hipervnculo"/>
            <w:rFonts w:eastAsia="Times New Roman" w:cs="Tahoma"/>
            <w:bCs/>
            <w:lang w:eastAsia="es-ES"/>
          </w:rPr>
          <w:t>https://www.ipomex.org.mx/ipo3/lgt/indice/OTZOLOAPAN.web</w:t>
        </w:r>
      </w:hyperlink>
      <w:r>
        <w:rPr>
          <w:rFonts w:eastAsia="Times New Roman" w:cs="Tahoma"/>
          <w:bCs/>
          <w:color w:val="auto"/>
          <w:lang w:eastAsia="es-ES"/>
        </w:rPr>
        <w:t xml:space="preserve"> y </w:t>
      </w:r>
      <w:hyperlink r:id="rId13" w:history="1">
        <w:r w:rsidRPr="00922B81">
          <w:rPr>
            <w:rStyle w:val="Hipervnculo"/>
            <w:rFonts w:eastAsia="Times New Roman" w:cs="Tahoma"/>
            <w:bCs/>
            <w:lang w:eastAsia="es-ES"/>
          </w:rPr>
          <w:t>https://www.otzoloapan.gob.mx/</w:t>
        </w:r>
      </w:hyperlink>
      <w:r>
        <w:rPr>
          <w:rFonts w:eastAsia="Times New Roman" w:cs="Tahoma"/>
          <w:bCs/>
          <w:color w:val="auto"/>
          <w:lang w:eastAsia="es-ES"/>
        </w:rPr>
        <w:t>)</w:t>
      </w:r>
      <w:r w:rsidRPr="007D0C42">
        <w:rPr>
          <w:rFonts w:eastAsia="Times New Roman" w:cs="Tahoma"/>
          <w:bCs/>
          <w:color w:val="auto"/>
          <w:lang w:eastAsia="es-ES"/>
        </w:rPr>
        <w:t>,</w:t>
      </w:r>
      <w:r>
        <w:rPr>
          <w:rFonts w:eastAsia="Times New Roman" w:cs="Tahoma"/>
          <w:bCs/>
          <w:color w:val="auto"/>
          <w:lang w:eastAsia="es-ES"/>
        </w:rPr>
        <w:t xml:space="preserve"> y no se localizó algún indicio de que el sujeto Obligado haya </w:t>
      </w:r>
      <w:r w:rsidR="00612FC4">
        <w:rPr>
          <w:rFonts w:eastAsia="Times New Roman" w:cs="Tahoma"/>
          <w:bCs/>
          <w:color w:val="auto"/>
          <w:lang w:eastAsia="es-ES"/>
        </w:rPr>
        <w:t>contratado a personal por honorarios durante el dos mil veintiuno, ni en años anteriores.</w:t>
      </w:r>
    </w:p>
    <w:p w14:paraId="6515DE77" w14:textId="77777777" w:rsidR="00FC05FD" w:rsidRDefault="00FC05FD" w:rsidP="00F65D12">
      <w:pPr>
        <w:spacing w:after="0" w:line="360" w:lineRule="auto"/>
        <w:rPr>
          <w:rFonts w:eastAsia="Times New Roman" w:cs="Tahoma"/>
          <w:bCs/>
          <w:color w:val="auto"/>
          <w:lang w:eastAsia="es-ES"/>
        </w:rPr>
      </w:pPr>
    </w:p>
    <w:p w14:paraId="2FFE02DC" w14:textId="2B8D7920" w:rsidR="00612FC4" w:rsidRPr="00DE2A9C" w:rsidRDefault="00612FC4" w:rsidP="00DE2A9C">
      <w:pPr>
        <w:spacing w:after="0" w:line="360" w:lineRule="auto"/>
        <w:ind w:right="-93"/>
      </w:pPr>
      <w:r>
        <w:rPr>
          <w:rFonts w:eastAsia="Calibri" w:cs="Tahoma"/>
          <w:bCs/>
        </w:rPr>
        <w:t xml:space="preserve">Así, se logra desprender que lo peticionado por el ahora Recurrente, </w:t>
      </w:r>
      <w:r>
        <w:rPr>
          <w:rFonts w:eastAsia="Calibri" w:cs="Tahoma"/>
          <w:b/>
          <w:bCs/>
        </w:rPr>
        <w:t xml:space="preserve">es inexistente, </w:t>
      </w:r>
      <w:r>
        <w:rPr>
          <w:rFonts w:eastAsia="Calibri" w:cs="Tahoma"/>
          <w:bCs/>
        </w:rPr>
        <w:t>pues el Sujeto Obligado no realizó ningún pago por honorarios, pues este no presupuesto</w:t>
      </w:r>
      <w:r w:rsidR="00DE2A9C">
        <w:rPr>
          <w:rFonts w:eastAsia="Calibri" w:cs="Tahoma"/>
          <w:bCs/>
        </w:rPr>
        <w:t xml:space="preserve"> algún monto para contratar a personal eventual o transitorio.</w:t>
      </w:r>
    </w:p>
    <w:p w14:paraId="130464A8" w14:textId="77777777" w:rsidR="00FC05FD" w:rsidRDefault="00FC05FD" w:rsidP="00F65D12">
      <w:pPr>
        <w:spacing w:after="0" w:line="360" w:lineRule="auto"/>
        <w:rPr>
          <w:rFonts w:eastAsia="Times New Roman" w:cs="Tahoma"/>
          <w:bCs/>
          <w:color w:val="auto"/>
          <w:lang w:eastAsia="es-ES"/>
        </w:rPr>
      </w:pPr>
    </w:p>
    <w:p w14:paraId="213B0905" w14:textId="5BA6ECC9" w:rsidR="00DE2A9C" w:rsidRPr="00DE2A9C" w:rsidRDefault="00DE2A9C" w:rsidP="00DE2A9C">
      <w:pPr>
        <w:spacing w:after="0" w:line="360" w:lineRule="auto"/>
        <w:rPr>
          <w:rFonts w:eastAsia="Times New Roman" w:cs="Tahoma"/>
          <w:color w:val="auto"/>
          <w:lang w:val="es-ES" w:eastAsia="es-ES"/>
        </w:rPr>
      </w:pPr>
      <w:r w:rsidRPr="00DE2A9C">
        <w:rPr>
          <w:rFonts w:eastAsia="Times New Roman" w:cs="Tahoma"/>
          <w:color w:val="auto"/>
          <w:lang w:val="es-ES" w:eastAsia="es-ES"/>
        </w:rPr>
        <w:t xml:space="preserve">Por tales consideraciones, se desprende que desde respuesta, el Ayuntamiento de </w:t>
      </w:r>
      <w:r>
        <w:rPr>
          <w:rFonts w:eastAsia="Times New Roman" w:cs="Tahoma"/>
          <w:color w:val="auto"/>
          <w:lang w:val="es-ES" w:eastAsia="es-ES"/>
        </w:rPr>
        <w:t>Otzoloapan</w:t>
      </w:r>
      <w:r w:rsidRPr="00DE2A9C">
        <w:rPr>
          <w:rFonts w:eastAsia="Times New Roman" w:cs="Tahoma"/>
          <w:color w:val="auto"/>
          <w:lang w:val="es-ES" w:eastAsia="es-ES"/>
        </w:rPr>
        <w:t xml:space="preserve">, precisó las razones por las cuales no contaba con lo peticionado, a saber, que </w:t>
      </w:r>
      <w:r>
        <w:rPr>
          <w:rFonts w:eastAsia="Times New Roman" w:cs="Tahoma"/>
          <w:color w:val="auto"/>
          <w:lang w:val="es-ES" w:eastAsia="es-ES"/>
        </w:rPr>
        <w:t xml:space="preserve">había realizado </w:t>
      </w:r>
      <w:r>
        <w:rPr>
          <w:rFonts w:eastAsia="Times New Roman" w:cs="Tahoma"/>
          <w:color w:val="auto"/>
          <w:lang w:val="es-ES" w:eastAsia="es-ES"/>
        </w:rPr>
        <w:lastRenderedPageBreak/>
        <w:t>pago por honorarios</w:t>
      </w:r>
      <w:r w:rsidRPr="00DE2A9C">
        <w:rPr>
          <w:rFonts w:eastAsia="Times New Roman" w:cs="Tahoma"/>
          <w:color w:val="auto"/>
          <w:lang w:val="es-ES" w:eastAsia="es-ES"/>
        </w:rPr>
        <w:t xml:space="preserve">, dentro del ejercicio fiscal </w:t>
      </w:r>
      <w:r>
        <w:rPr>
          <w:rFonts w:eastAsia="Times New Roman" w:cs="Tahoma"/>
          <w:color w:val="auto"/>
          <w:lang w:val="es-ES" w:eastAsia="es-ES"/>
        </w:rPr>
        <w:t>dos mil veintiuno</w:t>
      </w:r>
      <w:r w:rsidRPr="00DE2A9C">
        <w:rPr>
          <w:rFonts w:eastAsia="Times New Roman" w:cs="Tahoma"/>
          <w:color w:val="auto"/>
          <w:lang w:val="es-ES" w:eastAsia="es-ES"/>
        </w:rPr>
        <w:t xml:space="preserve">; </w:t>
      </w:r>
      <w:r w:rsidRPr="00DE2A9C">
        <w:rPr>
          <w:rFonts w:eastAsia="Times New Roman" w:cs="Tahoma"/>
          <w:lang w:eastAsia="es-ES"/>
        </w:rPr>
        <w:t xml:space="preserve">al respecto, se trae a colación, el </w:t>
      </w:r>
      <w:r w:rsidRPr="00DE2A9C">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70D5BC09" w14:textId="77777777" w:rsidR="00DE2A9C" w:rsidRPr="00DE2A9C" w:rsidRDefault="00DE2A9C" w:rsidP="00DE2A9C">
      <w:pPr>
        <w:spacing w:after="0" w:line="360" w:lineRule="auto"/>
        <w:rPr>
          <w:rFonts w:eastAsia="Times New Roman" w:cs="Tahoma"/>
          <w:color w:val="auto"/>
          <w:lang w:val="es-ES" w:eastAsia="es-ES"/>
        </w:rPr>
      </w:pPr>
    </w:p>
    <w:p w14:paraId="529BA073" w14:textId="77777777" w:rsidR="00DE2A9C" w:rsidRPr="00DE2A9C" w:rsidRDefault="00DE2A9C" w:rsidP="00DE2A9C">
      <w:pPr>
        <w:spacing w:after="0" w:line="360" w:lineRule="auto"/>
        <w:rPr>
          <w:rFonts w:eastAsia="Times New Roman" w:cs="Tahoma"/>
          <w:bCs/>
          <w:color w:val="auto"/>
          <w:lang w:eastAsia="es-ES"/>
        </w:rPr>
      </w:pPr>
      <w:r w:rsidRPr="00DE2A9C">
        <w:rPr>
          <w:rFonts w:eastAsia="Times New Roman" w:cs="Tahoma"/>
          <w:color w:val="auto"/>
          <w:lang w:val="es-ES" w:eastAsia="es-ES"/>
        </w:rPr>
        <w:t xml:space="preserve">De la misma manera, </w:t>
      </w:r>
      <w:r w:rsidRPr="00DE2A9C">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7674D4B" w14:textId="77777777" w:rsidR="00DE2A9C" w:rsidRPr="00DE2A9C" w:rsidRDefault="00DE2A9C" w:rsidP="00DE2A9C">
      <w:pPr>
        <w:spacing w:after="0" w:line="360" w:lineRule="auto"/>
        <w:rPr>
          <w:rFonts w:eastAsia="Times New Roman" w:cs="Tahoma"/>
          <w:color w:val="auto"/>
          <w:lang w:val="es-ES" w:eastAsia="es-ES"/>
        </w:rPr>
      </w:pPr>
    </w:p>
    <w:p w14:paraId="110D1735" w14:textId="163A3816" w:rsidR="00DE2A9C" w:rsidRPr="00DE2A9C" w:rsidRDefault="00DE2A9C" w:rsidP="00DE2A9C">
      <w:pPr>
        <w:spacing w:after="0" w:line="360" w:lineRule="auto"/>
        <w:rPr>
          <w:rFonts w:eastAsia="Times New Roman" w:cs="Tahoma"/>
          <w:color w:val="auto"/>
          <w:lang w:val="es-ES" w:eastAsia="es-ES"/>
        </w:rPr>
      </w:pPr>
      <w:r w:rsidRPr="00DE2A9C">
        <w:rPr>
          <w:rFonts w:eastAsia="Times New Roman" w:cs="Tahoma"/>
          <w:color w:val="auto"/>
          <w:lang w:val="es-ES" w:eastAsia="es-ES"/>
        </w:rPr>
        <w:t xml:space="preserve">Así, dicho criterio aplica al caso en concreto, ya que, de la información pública se advierte que el Sujeto Obligado no </w:t>
      </w:r>
      <w:r>
        <w:rPr>
          <w:rFonts w:eastAsia="Times New Roman" w:cs="Tahoma"/>
          <w:color w:val="auto"/>
          <w:lang w:val="es-ES" w:eastAsia="es-ES"/>
        </w:rPr>
        <w:t>presupuesto, ni erogó</w:t>
      </w:r>
      <w:r w:rsidRPr="00DE2A9C">
        <w:rPr>
          <w:rFonts w:eastAsia="Times New Roman" w:cs="Tahoma"/>
          <w:color w:val="auto"/>
          <w:lang w:val="es-ES" w:eastAsia="es-ES"/>
        </w:rPr>
        <w:t xml:space="preserve"> </w:t>
      </w:r>
      <w:r>
        <w:rPr>
          <w:rFonts w:eastAsia="Times New Roman" w:cs="Tahoma"/>
          <w:color w:val="auto"/>
          <w:lang w:val="es-ES" w:eastAsia="es-ES"/>
        </w:rPr>
        <w:t>algún</w:t>
      </w:r>
      <w:r w:rsidRPr="00DE2A9C">
        <w:rPr>
          <w:rFonts w:eastAsia="Times New Roman" w:cs="Tahoma"/>
          <w:color w:val="auto"/>
          <w:lang w:val="es-ES" w:eastAsia="es-ES"/>
        </w:rPr>
        <w:t xml:space="preserve"> recurso del erario público para pagar remuner</w:t>
      </w:r>
      <w:r w:rsidR="00350BF8">
        <w:rPr>
          <w:rFonts w:eastAsia="Times New Roman" w:cs="Tahoma"/>
          <w:color w:val="auto"/>
          <w:lang w:val="es-ES" w:eastAsia="es-ES"/>
        </w:rPr>
        <w:t>aciones al personal transitorio</w:t>
      </w:r>
      <w:r w:rsidRPr="00DE2A9C">
        <w:rPr>
          <w:rFonts w:eastAsia="Times New Roman" w:cs="Tahoma"/>
          <w:color w:val="auto"/>
          <w:lang w:val="es-ES" w:eastAsia="es-ES"/>
        </w:rPr>
        <w:t xml:space="preserve">; por lo cual, se considera que el Sujeto Obligado, </w:t>
      </w:r>
      <w:r w:rsidRPr="00DE2A9C">
        <w:rPr>
          <w:rFonts w:eastAsia="Times New Roman" w:cs="Tahoma"/>
          <w:b/>
          <w:color w:val="auto"/>
          <w:lang w:val="es-ES" w:eastAsia="es-ES"/>
        </w:rPr>
        <w:t>señaló las razones por las cuales no contaba con lo requerido</w:t>
      </w:r>
      <w:r w:rsidR="00350BF8">
        <w:rPr>
          <w:rFonts w:eastAsia="Times New Roman" w:cs="Tahoma"/>
          <w:b/>
          <w:color w:val="auto"/>
          <w:lang w:val="es-ES" w:eastAsia="es-ES"/>
        </w:rPr>
        <w:t xml:space="preserve"> y cumplió</w:t>
      </w:r>
      <w:r w:rsidRPr="00DE2A9C">
        <w:rPr>
          <w:rFonts w:eastAsia="Times New Roman" w:cs="Tahoma"/>
          <w:b/>
          <w:color w:val="auto"/>
          <w:lang w:val="es-ES" w:eastAsia="es-ES"/>
        </w:rPr>
        <w:t xml:space="preserve"> con el segundo párrafo, del artículo 19 de la Ley de Transparencia y Acceso a la Información Pública del Estado de México y Municipios</w:t>
      </w:r>
      <w:r w:rsidRPr="00DE2A9C">
        <w:rPr>
          <w:rFonts w:eastAsia="Times New Roman" w:cs="Tahoma"/>
          <w:color w:val="auto"/>
          <w:lang w:val="es-ES" w:eastAsia="es-ES"/>
        </w:rPr>
        <w:t xml:space="preserve">. Así, se concluye que el agravio hecho valer por el Particular deviene de </w:t>
      </w:r>
      <w:r w:rsidRPr="00DE2A9C">
        <w:rPr>
          <w:rFonts w:eastAsia="Times New Roman" w:cs="Tahoma"/>
          <w:b/>
          <w:color w:val="auto"/>
          <w:lang w:val="es-ES" w:eastAsia="es-ES"/>
        </w:rPr>
        <w:t>INFUNDADO.</w:t>
      </w:r>
    </w:p>
    <w:p w14:paraId="2A964A50" w14:textId="77777777" w:rsidR="00FC05FD" w:rsidRPr="00DE2A9C" w:rsidRDefault="00FC05FD" w:rsidP="00F65D12">
      <w:pPr>
        <w:spacing w:after="0" w:line="360" w:lineRule="auto"/>
        <w:rPr>
          <w:rFonts w:eastAsia="Times New Roman" w:cs="Tahoma"/>
          <w:color w:val="auto"/>
          <w:lang w:val="es-ES" w:eastAsia="es-ES"/>
        </w:rPr>
      </w:pPr>
    </w:p>
    <w:p w14:paraId="35611A38" w14:textId="77777777" w:rsidR="00576FD0" w:rsidRPr="0045792E" w:rsidRDefault="00576FD0" w:rsidP="00F65D12">
      <w:pPr>
        <w:spacing w:after="0" w:line="360" w:lineRule="auto"/>
        <w:contextualSpacing/>
        <w:rPr>
          <w:rFonts w:eastAsia="Calibri" w:cs="Tahoma"/>
          <w:b/>
          <w:color w:val="000000"/>
        </w:rPr>
      </w:pPr>
      <w:r w:rsidRPr="0045792E">
        <w:rPr>
          <w:rFonts w:eastAsia="Calibri" w:cs="Tahoma"/>
          <w:b/>
          <w:color w:val="000000"/>
        </w:rPr>
        <w:t xml:space="preserve">SEXTO. Decisión. </w:t>
      </w:r>
    </w:p>
    <w:p w14:paraId="14331D81" w14:textId="4BE8D71A" w:rsidR="00576FD0" w:rsidRDefault="00576FD0" w:rsidP="00350BF8">
      <w:pPr>
        <w:spacing w:after="0" w:line="360" w:lineRule="auto"/>
        <w:contextualSpacing/>
        <w:rPr>
          <w:rFonts w:eastAsia="Calibri" w:cs="Tahoma"/>
          <w:b/>
          <w:color w:val="000000"/>
        </w:rPr>
      </w:pPr>
    </w:p>
    <w:p w14:paraId="30226CC5" w14:textId="19D417CC" w:rsidR="00350BF8" w:rsidRPr="00683F29" w:rsidRDefault="00350BF8" w:rsidP="00350BF8">
      <w:pPr>
        <w:spacing w:after="0" w:line="360" w:lineRule="auto"/>
        <w:rPr>
          <w:rFonts w:eastAsia="Calibri" w:cs="Tahoma"/>
          <w:iCs/>
          <w:lang w:eastAsia="es-ES_tradnl"/>
        </w:rPr>
      </w:pPr>
      <w:r w:rsidRPr="00683F29">
        <w:rPr>
          <w:rFonts w:cs="Tahoma"/>
        </w:rPr>
        <w:t xml:space="preserve">Con fundamento en el artículo 186, fracción I, de la Ley de Transparencia y Acceso a la Información Pública del Estado de México y Municipios, este Instituto considera procedente </w:t>
      </w:r>
      <w:r w:rsidRPr="00683F29">
        <w:rPr>
          <w:rFonts w:cs="Tahoma"/>
          <w:b/>
        </w:rPr>
        <w:t xml:space="preserve">CONFIRMAR </w:t>
      </w:r>
      <w:r w:rsidRPr="00683F29">
        <w:rPr>
          <w:rFonts w:cs="Tahoma"/>
        </w:rPr>
        <w:t xml:space="preserve">la respuesta otorgada </w:t>
      </w:r>
      <w:r>
        <w:rPr>
          <w:rFonts w:cs="Tahoma"/>
        </w:rPr>
        <w:t xml:space="preserve">por el Ayuntamiento de Otzoloapan. </w:t>
      </w:r>
    </w:p>
    <w:p w14:paraId="6E26F12B" w14:textId="77777777" w:rsidR="00D03B99" w:rsidRDefault="00D03B99" w:rsidP="00F65D12">
      <w:pPr>
        <w:autoSpaceDE w:val="0"/>
        <w:autoSpaceDN w:val="0"/>
        <w:adjustRightInd w:val="0"/>
        <w:spacing w:after="0" w:line="360" w:lineRule="auto"/>
        <w:rPr>
          <w:rFonts w:eastAsia="Calibri" w:cs="Tahoma"/>
          <w:bCs/>
          <w:iCs/>
          <w:color w:val="000000"/>
        </w:rPr>
      </w:pPr>
    </w:p>
    <w:p w14:paraId="7CC16594" w14:textId="77777777" w:rsidR="00390C12" w:rsidRPr="00D03B99" w:rsidRDefault="00390C12" w:rsidP="00F65D12">
      <w:pPr>
        <w:autoSpaceDE w:val="0"/>
        <w:autoSpaceDN w:val="0"/>
        <w:adjustRightInd w:val="0"/>
        <w:spacing w:after="0" w:line="360" w:lineRule="auto"/>
        <w:rPr>
          <w:rFonts w:eastAsia="Calibri" w:cs="Tahoma"/>
          <w:bCs/>
          <w:iCs/>
          <w:color w:val="000000"/>
        </w:rPr>
      </w:pPr>
    </w:p>
    <w:p w14:paraId="3C4F9DC2" w14:textId="77777777" w:rsidR="00B53E44" w:rsidRPr="0071556D" w:rsidRDefault="00B53E44" w:rsidP="00F65D12">
      <w:pPr>
        <w:spacing w:after="0" w:line="360" w:lineRule="auto"/>
        <w:rPr>
          <w:rFonts w:eastAsia="Calibri" w:cs="Tahoma"/>
          <w:b/>
          <w:bCs/>
          <w:color w:val="000000"/>
        </w:rPr>
      </w:pPr>
      <w:r w:rsidRPr="0071556D">
        <w:rPr>
          <w:rFonts w:eastAsia="Calibri" w:cs="Tahoma"/>
          <w:b/>
          <w:bCs/>
          <w:color w:val="000000"/>
        </w:rPr>
        <w:t>Términos de la Resolución para conocimiento del Particular.</w:t>
      </w:r>
    </w:p>
    <w:p w14:paraId="5563E428" w14:textId="77777777" w:rsidR="00B53E44" w:rsidRPr="0071556D" w:rsidRDefault="00B53E44" w:rsidP="00F65D12">
      <w:pPr>
        <w:spacing w:after="0" w:line="360" w:lineRule="auto"/>
        <w:rPr>
          <w:rFonts w:eastAsia="Calibri" w:cs="Tahoma"/>
          <w:b/>
          <w:bCs/>
          <w:color w:val="000000"/>
        </w:rPr>
      </w:pPr>
    </w:p>
    <w:p w14:paraId="2262EC75" w14:textId="7AB94395" w:rsidR="00390C12" w:rsidRDefault="00B53E44" w:rsidP="00350BF8">
      <w:pPr>
        <w:spacing w:after="0" w:line="360" w:lineRule="auto"/>
        <w:rPr>
          <w:rFonts w:eastAsia="Calibri" w:cs="Tahoma"/>
          <w:bCs/>
          <w:color w:val="000000"/>
        </w:rPr>
      </w:pPr>
      <w:r w:rsidRPr="0071556D">
        <w:rPr>
          <w:rFonts w:eastAsia="Calibri" w:cs="Tahoma"/>
          <w:bCs/>
          <w:color w:val="000000"/>
        </w:rPr>
        <w:t xml:space="preserve">Se le hace del conocimiento </w:t>
      </w:r>
      <w:r w:rsidR="00D03B99">
        <w:rPr>
          <w:rFonts w:eastAsia="Calibri" w:cs="Tahoma"/>
          <w:bCs/>
          <w:color w:val="000000"/>
        </w:rPr>
        <w:t>al</w:t>
      </w:r>
      <w:r w:rsidRPr="0071556D">
        <w:rPr>
          <w:rFonts w:eastAsia="Calibri" w:cs="Tahoma"/>
          <w:bCs/>
          <w:color w:val="000000"/>
        </w:rPr>
        <w:t xml:space="preserve"> Particular, que, en el presente caso, </w:t>
      </w:r>
      <w:r w:rsidR="00350BF8">
        <w:rPr>
          <w:rFonts w:eastAsia="Calibri" w:cs="Tahoma"/>
          <w:bCs/>
          <w:color w:val="000000"/>
        </w:rPr>
        <w:t xml:space="preserve">no </w:t>
      </w:r>
      <w:r w:rsidRPr="0071556D">
        <w:rPr>
          <w:rFonts w:eastAsia="Calibri" w:cs="Tahoma"/>
          <w:bCs/>
          <w:color w:val="000000"/>
        </w:rPr>
        <w:t xml:space="preserve">se le da </w:t>
      </w:r>
      <w:r w:rsidR="000972E0">
        <w:rPr>
          <w:rFonts w:eastAsia="Calibri" w:cs="Tahoma"/>
          <w:bCs/>
          <w:color w:val="000000"/>
        </w:rPr>
        <w:t>la</w:t>
      </w:r>
      <w:r>
        <w:rPr>
          <w:rFonts w:eastAsia="Calibri" w:cs="Tahoma"/>
          <w:bCs/>
          <w:color w:val="000000"/>
        </w:rPr>
        <w:t xml:space="preserve"> razón pues el Suj</w:t>
      </w:r>
      <w:r w:rsidR="00350BF8">
        <w:rPr>
          <w:rFonts w:eastAsia="Calibri" w:cs="Tahoma"/>
          <w:bCs/>
          <w:color w:val="000000"/>
        </w:rPr>
        <w:t>eto Obligado, a través de la Tesorería Municipal, le indicó las razones por las cuales la información era inexistente, a saber, porque no se habían pagado honorarios durante el presente año</w:t>
      </w:r>
      <w:r w:rsidR="00390C12">
        <w:rPr>
          <w:rFonts w:eastAsia="Calibri" w:cs="Tahoma"/>
          <w:bCs/>
          <w:color w:val="000000"/>
        </w:rPr>
        <w:t>, situación que se acreditó con el hecho de que no presupuestó recursos públicos para la contratación de personal transitorio o eventual.</w:t>
      </w:r>
    </w:p>
    <w:p w14:paraId="10A009C9" w14:textId="77777777" w:rsidR="00390C12" w:rsidRDefault="00390C12" w:rsidP="00350BF8">
      <w:pPr>
        <w:spacing w:after="0" w:line="360" w:lineRule="auto"/>
        <w:rPr>
          <w:rFonts w:eastAsia="Calibri" w:cs="Tahoma"/>
          <w:bCs/>
          <w:color w:val="000000"/>
        </w:rPr>
      </w:pPr>
    </w:p>
    <w:p w14:paraId="6EA3032E" w14:textId="49A49A16" w:rsidR="00350BF8" w:rsidRPr="00350BF8" w:rsidRDefault="00350BF8" w:rsidP="00350BF8">
      <w:pPr>
        <w:spacing w:after="0" w:line="360" w:lineRule="auto"/>
        <w:rPr>
          <w:rFonts w:eastAsia="Calibri" w:cs="Tahoma"/>
          <w:bCs/>
          <w:iCs/>
          <w:color w:val="auto"/>
          <w:lang w:val="es-ES_tradnl"/>
        </w:rPr>
      </w:pPr>
      <w:r w:rsidRPr="00350BF8">
        <w:rPr>
          <w:rFonts w:eastAsia="Calibri" w:cs="Tahoma"/>
          <w:bCs/>
          <w:iCs/>
          <w:color w:val="auto"/>
          <w:lang w:val="es-ES_tradnl"/>
        </w:rPr>
        <w:t xml:space="preserve">La labor </w:t>
      </w:r>
      <w:r w:rsidR="00390C12">
        <w:rPr>
          <w:rFonts w:eastAsia="Calibri" w:cs="Tahoma"/>
          <w:bCs/>
          <w:iCs/>
          <w:color w:val="auto"/>
          <w:lang w:val="es-ES_tradnl"/>
        </w:rPr>
        <w:t>del Instituto de Transparencia, Acceso a la Información Pública y Protección de Datos Personales del Estado de México y Municipios</w:t>
      </w:r>
      <w:r w:rsidRPr="00350BF8">
        <w:rPr>
          <w:rFonts w:eastAsia="Calibri" w:cs="Tahoma"/>
          <w:bCs/>
          <w:iCs/>
          <w:color w:val="auto"/>
          <w:lang w:val="es-ES_tradnl"/>
        </w:rPr>
        <w:t>, es apoyar a la población a acceder a la información pública y garantizar la protección de los datos personales.</w:t>
      </w:r>
    </w:p>
    <w:p w14:paraId="66A5E11F" w14:textId="77777777" w:rsidR="007E494A" w:rsidRDefault="007E494A" w:rsidP="00F65D12">
      <w:pPr>
        <w:spacing w:after="0" w:line="360" w:lineRule="auto"/>
        <w:rPr>
          <w:rFonts w:eastAsia="Calibri" w:cs="Tahoma"/>
          <w:bCs/>
          <w:iCs/>
        </w:rPr>
      </w:pPr>
    </w:p>
    <w:p w14:paraId="30519CA9" w14:textId="77777777" w:rsidR="00B53E44" w:rsidRPr="00601386" w:rsidRDefault="00B53E44" w:rsidP="00F65D12">
      <w:pPr>
        <w:spacing w:after="0" w:line="360" w:lineRule="auto"/>
        <w:ind w:right="-28"/>
        <w:rPr>
          <w:rFonts w:eastAsia="Calibri" w:cs="Tahoma"/>
          <w:bCs/>
          <w:color w:val="auto"/>
        </w:rPr>
      </w:pPr>
      <w:r w:rsidRPr="00601386">
        <w:rPr>
          <w:rFonts w:eastAsia="Calibri" w:cs="Tahoma"/>
          <w:bCs/>
          <w:color w:val="auto"/>
        </w:rPr>
        <w:t>Por lo expuesto y fundado, este Pleno:</w:t>
      </w:r>
    </w:p>
    <w:p w14:paraId="060C845E" w14:textId="77777777" w:rsidR="00576FD0" w:rsidRPr="0045792E" w:rsidRDefault="00576FD0" w:rsidP="00F65D12">
      <w:pPr>
        <w:spacing w:after="0" w:line="360" w:lineRule="auto"/>
      </w:pPr>
    </w:p>
    <w:p w14:paraId="293EC352" w14:textId="77777777" w:rsidR="00576FD0" w:rsidRPr="0045792E" w:rsidRDefault="00576FD0" w:rsidP="00F65D12">
      <w:pPr>
        <w:spacing w:after="0" w:line="360" w:lineRule="auto"/>
        <w:ind w:right="-28"/>
        <w:jc w:val="center"/>
        <w:rPr>
          <w:rFonts w:eastAsia="Calibri" w:cs="Tahoma"/>
          <w:b/>
          <w:bCs/>
          <w:color w:val="auto"/>
        </w:rPr>
      </w:pPr>
      <w:r w:rsidRPr="0045792E">
        <w:rPr>
          <w:rFonts w:eastAsia="Calibri" w:cs="Tahoma"/>
          <w:b/>
          <w:bCs/>
          <w:color w:val="auto"/>
        </w:rPr>
        <w:t>R E S U E L V E:</w:t>
      </w:r>
    </w:p>
    <w:p w14:paraId="67D7EAF7" w14:textId="77777777" w:rsidR="00576FD0" w:rsidRPr="0045792E" w:rsidRDefault="00576FD0" w:rsidP="00F65D12">
      <w:pPr>
        <w:spacing w:after="0" w:line="360" w:lineRule="auto"/>
        <w:rPr>
          <w:lang w:val="es-ES" w:eastAsia="es-ES_tradnl"/>
        </w:rPr>
      </w:pPr>
    </w:p>
    <w:p w14:paraId="5B95764C" w14:textId="7DA56427" w:rsidR="00390C12" w:rsidRPr="00390C12" w:rsidRDefault="00390C12" w:rsidP="00390C12">
      <w:pPr>
        <w:spacing w:after="0" w:line="360" w:lineRule="auto"/>
        <w:contextualSpacing/>
        <w:rPr>
          <w:rFonts w:eastAsia="Calibri" w:cs="Tahoma"/>
          <w:bCs/>
          <w:iCs/>
          <w:color w:val="auto"/>
        </w:rPr>
      </w:pPr>
      <w:r w:rsidRPr="00390C12">
        <w:rPr>
          <w:rFonts w:eastAsia="Calibri" w:cs="Tahoma"/>
          <w:b/>
          <w:bCs/>
          <w:iCs/>
          <w:color w:val="auto"/>
        </w:rPr>
        <w:t xml:space="preserve">PRIMERO. </w:t>
      </w:r>
      <w:r w:rsidRPr="00390C12">
        <w:rPr>
          <w:rFonts w:eastAsia="Calibri" w:cs="Tahoma"/>
          <w:bCs/>
          <w:iCs/>
          <w:color w:val="auto"/>
        </w:rPr>
        <w:t xml:space="preserve">Se </w:t>
      </w:r>
      <w:r w:rsidRPr="00390C12">
        <w:rPr>
          <w:rFonts w:eastAsia="Calibri" w:cs="Tahoma"/>
          <w:b/>
          <w:bCs/>
          <w:iCs/>
          <w:color w:val="auto"/>
        </w:rPr>
        <w:t>CONFIRMA</w:t>
      </w:r>
      <w:r w:rsidRPr="00390C12">
        <w:rPr>
          <w:rFonts w:eastAsia="Calibri" w:cs="Tahoma"/>
          <w:bCs/>
          <w:iCs/>
          <w:color w:val="auto"/>
        </w:rPr>
        <w:t xml:space="preserve"> la respuesta del Sujeto Obligado</w:t>
      </w:r>
      <w:r w:rsidRPr="00390C12">
        <w:rPr>
          <w:rFonts w:eastAsia="Calibri" w:cs="Tahoma"/>
          <w:b/>
          <w:bCs/>
          <w:iCs/>
          <w:color w:val="auto"/>
        </w:rPr>
        <w:t xml:space="preserve"> </w:t>
      </w:r>
      <w:r w:rsidRPr="00390C12">
        <w:rPr>
          <w:rFonts w:eastAsia="Calibri" w:cs="Tahoma"/>
          <w:bCs/>
          <w:iCs/>
          <w:color w:val="auto"/>
        </w:rPr>
        <w:t xml:space="preserve">a la solicitud de información </w:t>
      </w:r>
      <w:r w:rsidR="00892BA1" w:rsidRPr="00892BA1">
        <w:rPr>
          <w:rFonts w:eastAsia="Calibri" w:cs="Tahoma"/>
          <w:b/>
          <w:bCs/>
          <w:iCs/>
          <w:color w:val="auto"/>
        </w:rPr>
        <w:t>00075/OTZOLOAP/IP/2021</w:t>
      </w:r>
      <w:r w:rsidRPr="00390C12">
        <w:rPr>
          <w:rFonts w:eastAsia="Calibri" w:cs="Tahoma"/>
          <w:b/>
          <w:bCs/>
          <w:iCs/>
          <w:color w:val="auto"/>
        </w:rPr>
        <w:t xml:space="preserve">, </w:t>
      </w:r>
      <w:r w:rsidRPr="00390C12">
        <w:rPr>
          <w:rFonts w:eastAsia="Calibri" w:cs="Tahoma"/>
          <w:bCs/>
          <w:iCs/>
          <w:color w:val="auto"/>
        </w:rPr>
        <w:t xml:space="preserve">por resultar </w:t>
      </w:r>
      <w:r w:rsidRPr="00390C12">
        <w:rPr>
          <w:rFonts w:eastAsia="Calibri" w:cs="Tahoma"/>
          <w:b/>
          <w:iCs/>
          <w:color w:val="auto"/>
        </w:rPr>
        <w:t>INFUNDADAS</w:t>
      </w:r>
      <w:r w:rsidRPr="00390C12">
        <w:rPr>
          <w:rFonts w:eastAsia="Calibri" w:cs="Tahoma"/>
          <w:bCs/>
          <w:iCs/>
          <w:color w:val="auto"/>
        </w:rPr>
        <w:t xml:space="preserve"> las razones o motivos de inconformidad, hechos valer por el Recurrente, en términos del Considerando </w:t>
      </w:r>
      <w:r w:rsidRPr="00390C12">
        <w:rPr>
          <w:rFonts w:eastAsia="Calibri" w:cs="Tahoma"/>
          <w:b/>
          <w:bCs/>
          <w:iCs/>
          <w:color w:val="auto"/>
        </w:rPr>
        <w:t xml:space="preserve">QUINTO y SEXTO </w:t>
      </w:r>
      <w:r w:rsidRPr="00390C12">
        <w:rPr>
          <w:rFonts w:eastAsia="Calibri" w:cs="Tahoma"/>
          <w:bCs/>
          <w:iCs/>
          <w:color w:val="auto"/>
        </w:rPr>
        <w:t xml:space="preserve">de esta Resolución. </w:t>
      </w:r>
    </w:p>
    <w:p w14:paraId="0FE81EF9" w14:textId="77777777" w:rsidR="00390C12" w:rsidRPr="00390C12" w:rsidRDefault="00390C12" w:rsidP="00390C12">
      <w:pPr>
        <w:spacing w:after="0" w:line="360" w:lineRule="auto"/>
        <w:ind w:right="113"/>
        <w:rPr>
          <w:rFonts w:eastAsia="Times New Roman" w:cs="Times New Roman"/>
          <w:i/>
          <w:color w:val="auto"/>
          <w:lang w:eastAsia="es-ES"/>
        </w:rPr>
      </w:pPr>
    </w:p>
    <w:p w14:paraId="56F8F65F" w14:textId="77777777" w:rsidR="00390C12" w:rsidRPr="00390C12" w:rsidRDefault="00390C12" w:rsidP="00390C12">
      <w:pPr>
        <w:spacing w:after="0" w:line="360" w:lineRule="auto"/>
        <w:contextualSpacing/>
        <w:rPr>
          <w:rFonts w:eastAsia="Calibri" w:cs="Tahoma"/>
          <w:bCs/>
          <w:iCs/>
          <w:color w:val="000000"/>
        </w:rPr>
      </w:pPr>
      <w:r w:rsidRPr="00390C12">
        <w:rPr>
          <w:rFonts w:eastAsia="Calibri" w:cs="Tahoma"/>
          <w:b/>
          <w:bCs/>
          <w:iCs/>
          <w:color w:val="000000"/>
        </w:rPr>
        <w:t xml:space="preserve">SEGUNDO. NOTIFÍQUESE </w:t>
      </w:r>
      <w:bookmarkStart w:id="0" w:name="_Hlk52989194"/>
      <w:r w:rsidRPr="00390C12">
        <w:rPr>
          <w:rFonts w:eastAsia="Calibri" w:cs="Tahoma"/>
          <w:bCs/>
          <w:iCs/>
          <w:color w:val="000000"/>
        </w:rPr>
        <w:t>la presente Resolución al Titular de la Unidad de Transparencia del Sujeto Obligado.</w:t>
      </w:r>
    </w:p>
    <w:p w14:paraId="28107208" w14:textId="77777777" w:rsidR="00390C12" w:rsidRPr="00390C12" w:rsidRDefault="00390C12" w:rsidP="00390C12">
      <w:pPr>
        <w:spacing w:after="0" w:line="360" w:lineRule="auto"/>
        <w:contextualSpacing/>
        <w:rPr>
          <w:rFonts w:eastAsia="Calibri" w:cs="Tahoma"/>
          <w:bCs/>
          <w:i/>
          <w:iCs/>
          <w:color w:val="000000"/>
        </w:rPr>
      </w:pPr>
    </w:p>
    <w:bookmarkEnd w:id="0"/>
    <w:p w14:paraId="19F35661" w14:textId="37D40F72" w:rsidR="00390C12" w:rsidRPr="00390C12" w:rsidRDefault="00390C12" w:rsidP="00390C12">
      <w:pPr>
        <w:spacing w:after="0" w:line="360" w:lineRule="auto"/>
        <w:contextualSpacing/>
        <w:rPr>
          <w:rFonts w:eastAsia="Calibri" w:cs="Tahoma"/>
          <w:b/>
          <w:bCs/>
          <w:iCs/>
          <w:color w:val="000000"/>
        </w:rPr>
      </w:pPr>
      <w:r w:rsidRPr="00390C12">
        <w:rPr>
          <w:rFonts w:eastAsia="Calibri" w:cs="Tahoma"/>
          <w:b/>
          <w:bCs/>
          <w:iCs/>
          <w:color w:val="000000"/>
        </w:rPr>
        <w:lastRenderedPageBreak/>
        <w:t xml:space="preserve">TERCERO. NOTIFÍQUESE </w:t>
      </w:r>
      <w:r w:rsidRPr="00390C12">
        <w:rPr>
          <w:rFonts w:eastAsia="Calibri" w:cs="Tahoma"/>
          <w:iCs/>
          <w:color w:val="000000"/>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Asimismo que podrá interponer el medio de defensa establecido en los artículos 159 y 160 de la Ley General de Transparencia y Acceso a la Información Pública.</w:t>
      </w:r>
    </w:p>
    <w:p w14:paraId="25A3D7DA" w14:textId="77777777" w:rsidR="00FB0387" w:rsidRPr="0085196E" w:rsidRDefault="00FB0387" w:rsidP="00F65D12">
      <w:pPr>
        <w:spacing w:after="0" w:line="360" w:lineRule="auto"/>
        <w:ind w:right="-93"/>
        <w:rPr>
          <w:rFonts w:eastAsia="Calibri" w:cs="Tahoma"/>
          <w:b/>
          <w:bCs/>
          <w:color w:val="auto"/>
        </w:rPr>
      </w:pPr>
    </w:p>
    <w:p w14:paraId="66BDAB8E" w14:textId="77777777" w:rsidR="00525A81" w:rsidRPr="00525A81" w:rsidRDefault="00525A81" w:rsidP="00F65D12">
      <w:pPr>
        <w:spacing w:after="0" w:line="360" w:lineRule="auto"/>
        <w:rPr>
          <w:rFonts w:eastAsia="Calibri" w:cs="Tahoma"/>
          <w:bCs/>
          <w:color w:val="auto"/>
        </w:rPr>
      </w:pPr>
      <w:r w:rsidRPr="00525A81">
        <w:rPr>
          <w:rFonts w:eastAsia="Times New Roman" w:cs="Tahoma"/>
          <w:color w:val="auto"/>
          <w:lang w:eastAsia="es-MX"/>
        </w:rPr>
        <w:t xml:space="preserve">ASÍ, POR </w:t>
      </w:r>
      <w:r w:rsidRPr="00525A81">
        <w:rPr>
          <w:rFonts w:eastAsia="Times New Roman" w:cs="Tahoma"/>
          <w:b/>
          <w:bCs/>
          <w:color w:val="auto"/>
          <w:lang w:eastAsia="es-MX"/>
        </w:rPr>
        <w:t>UNANIMIDAD</w:t>
      </w:r>
      <w:r w:rsidRPr="00525A81">
        <w:rPr>
          <w:rFonts w:eastAsia="Times New Roman" w:cs="Tahoma"/>
          <w:color w:val="auto"/>
          <w:lang w:eastAsia="es-MX"/>
        </w:rPr>
        <w:t xml:space="preserve"> DE VOTOS, LO RESOLVIERON Y FIRMAN LOS COMISIONADOS DEL INSTITUTO DE TRANSPARENCIA, ACCESO A LA INFORMACIÓN PÚBLICA Y PROTECCIÓN DE DATOS PERSONALES DEL ESTADO DE MÉXICO Y MUNICIPIOS, JOSÉ MARTÍNEZ VILCHIS, MARÍA DEL ROSARIO MEJÍA AYALA, SHARON CRISTINA MORALES MARTÍNEZ, GUADALUPE RAMÍREZ PEÑA Y LUIS GUSTAVO PARRA NORIEGA, EN LA CUADRAGÉSIMA CUARTA SESIÓN ORDINARIA, CELEBRADA EL OCHO DE DICIEMBRE DE DOS MIL VEINTIUNO, ANTE EL SECRETARIO TÉCNICO DEL PLENO, ALEXIS TAPIA RAMÍREZ.</w:t>
      </w:r>
    </w:p>
    <w:p w14:paraId="53D056D2" w14:textId="77777777" w:rsidR="00175467" w:rsidRDefault="00175467" w:rsidP="00F65D12">
      <w:pPr>
        <w:spacing w:after="0" w:line="360" w:lineRule="auto"/>
        <w:jc w:val="left"/>
        <w:rPr>
          <w:rFonts w:eastAsia="Calibri" w:cs="Tahoma"/>
          <w:bCs/>
          <w:color w:val="auto"/>
        </w:rPr>
      </w:pPr>
    </w:p>
    <w:p w14:paraId="7A9F9E10" w14:textId="77777777" w:rsidR="00175467" w:rsidRDefault="00175467" w:rsidP="00F65D12">
      <w:pPr>
        <w:spacing w:after="0" w:line="360" w:lineRule="auto"/>
        <w:jc w:val="left"/>
        <w:rPr>
          <w:rFonts w:eastAsia="Calibri" w:cs="Tahoma"/>
          <w:bCs/>
          <w:color w:val="auto"/>
        </w:rPr>
      </w:pPr>
    </w:p>
    <w:p w14:paraId="587FBB9B" w14:textId="77777777" w:rsidR="00175467" w:rsidRDefault="00175467" w:rsidP="00F65D12">
      <w:pPr>
        <w:spacing w:after="0" w:line="360" w:lineRule="auto"/>
        <w:jc w:val="left"/>
        <w:rPr>
          <w:rFonts w:eastAsia="Calibri" w:cs="Tahoma"/>
          <w:bCs/>
          <w:color w:val="auto"/>
        </w:rPr>
      </w:pPr>
    </w:p>
    <w:p w14:paraId="374D0373" w14:textId="77777777" w:rsidR="00175467" w:rsidRDefault="00175467" w:rsidP="00F65D12">
      <w:pPr>
        <w:spacing w:after="0" w:line="360" w:lineRule="auto"/>
        <w:jc w:val="left"/>
        <w:rPr>
          <w:rFonts w:eastAsia="Calibri" w:cs="Tahoma"/>
          <w:bCs/>
          <w:color w:val="auto"/>
        </w:rPr>
      </w:pPr>
    </w:p>
    <w:p w14:paraId="208A19F6" w14:textId="77777777" w:rsidR="00175467" w:rsidRDefault="00175467" w:rsidP="00F65D12">
      <w:pPr>
        <w:spacing w:after="0" w:line="360" w:lineRule="auto"/>
        <w:jc w:val="left"/>
        <w:rPr>
          <w:rFonts w:eastAsia="Calibri" w:cs="Tahoma"/>
          <w:bCs/>
          <w:color w:val="auto"/>
        </w:rPr>
      </w:pPr>
    </w:p>
    <w:p w14:paraId="6D12BB45" w14:textId="77777777" w:rsidR="00175467" w:rsidRDefault="00175467" w:rsidP="00F65D12">
      <w:pPr>
        <w:spacing w:after="0" w:line="360" w:lineRule="auto"/>
        <w:jc w:val="left"/>
        <w:rPr>
          <w:rFonts w:eastAsia="Calibri" w:cs="Tahoma"/>
          <w:bCs/>
          <w:color w:val="auto"/>
        </w:rPr>
      </w:pPr>
    </w:p>
    <w:sectPr w:rsidR="00175467" w:rsidSect="00AE20F2">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53A2" w14:textId="77777777" w:rsidR="005D3F26" w:rsidRDefault="005D3F26" w:rsidP="00576FD0">
      <w:pPr>
        <w:spacing w:after="0" w:line="240" w:lineRule="auto"/>
      </w:pPr>
      <w:r>
        <w:separator/>
      </w:r>
    </w:p>
  </w:endnote>
  <w:endnote w:type="continuationSeparator" w:id="0">
    <w:p w14:paraId="7C943DED" w14:textId="77777777" w:rsidR="005D3F26" w:rsidRDefault="005D3F26" w:rsidP="0057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14:paraId="3AC6FD0E" w14:textId="77777777" w:rsidR="00612FC4" w:rsidRDefault="00612F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EE6DB19" w14:textId="77777777" w:rsidR="00612FC4" w:rsidRDefault="00612FC4">
    <w:pPr>
      <w:pStyle w:val="Piedepgina"/>
    </w:pPr>
  </w:p>
  <w:p w14:paraId="79704630" w14:textId="77777777" w:rsidR="00612FC4" w:rsidRDefault="00612F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14:paraId="68931CF1" w14:textId="77777777" w:rsidR="00612FC4" w:rsidRDefault="00612F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5608">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5608">
              <w:rPr>
                <w:b/>
                <w:bCs/>
                <w:noProof/>
              </w:rPr>
              <w:t>17</w:t>
            </w:r>
            <w:r>
              <w:rPr>
                <w:b/>
                <w:bCs/>
                <w:sz w:val="24"/>
                <w:szCs w:val="24"/>
              </w:rPr>
              <w:fldChar w:fldCharType="end"/>
            </w:r>
          </w:p>
        </w:sdtContent>
      </w:sdt>
    </w:sdtContent>
  </w:sdt>
  <w:p w14:paraId="6ECA3EE3" w14:textId="77777777" w:rsidR="00612FC4" w:rsidRDefault="00612FC4">
    <w:pPr>
      <w:pStyle w:val="Piedepgina"/>
    </w:pPr>
  </w:p>
  <w:p w14:paraId="5FDB7589" w14:textId="77777777" w:rsidR="00612FC4" w:rsidRDefault="00612F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14:paraId="159D4AC6" w14:textId="77777777" w:rsidR="00612FC4" w:rsidRDefault="00612FC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256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25608">
              <w:rPr>
                <w:b/>
                <w:bCs/>
                <w:noProof/>
              </w:rPr>
              <w:t>17</w:t>
            </w:r>
            <w:r>
              <w:rPr>
                <w:b/>
                <w:bCs/>
                <w:sz w:val="24"/>
                <w:szCs w:val="24"/>
              </w:rPr>
              <w:fldChar w:fldCharType="end"/>
            </w:r>
          </w:p>
        </w:sdtContent>
      </w:sdt>
    </w:sdtContent>
  </w:sdt>
  <w:p w14:paraId="4E4A3F15" w14:textId="77777777" w:rsidR="00612FC4" w:rsidRDefault="00612FC4">
    <w:pPr>
      <w:pStyle w:val="Piedepgina"/>
    </w:pPr>
  </w:p>
  <w:p w14:paraId="1162E877" w14:textId="77777777" w:rsidR="00612FC4" w:rsidRDefault="00612F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0444" w14:textId="77777777" w:rsidR="005D3F26" w:rsidRDefault="005D3F26" w:rsidP="00576FD0">
      <w:pPr>
        <w:spacing w:after="0" w:line="240" w:lineRule="auto"/>
      </w:pPr>
      <w:r>
        <w:separator/>
      </w:r>
    </w:p>
  </w:footnote>
  <w:footnote w:type="continuationSeparator" w:id="0">
    <w:p w14:paraId="2CC8FD4C" w14:textId="77777777" w:rsidR="005D3F26" w:rsidRDefault="005D3F26" w:rsidP="00576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415"/>
      <w:gridCol w:w="7083"/>
    </w:tblGrid>
    <w:tr w:rsidR="00612FC4" w:rsidRPr="005C106F" w14:paraId="2C30C966" w14:textId="77777777" w:rsidTr="00AE20F2">
      <w:trPr>
        <w:trHeight w:val="902"/>
      </w:trPr>
      <w:tc>
        <w:tcPr>
          <w:tcW w:w="2415" w:type="dxa"/>
          <w:shd w:val="clear" w:color="auto" w:fill="auto"/>
        </w:tcPr>
        <w:p w14:paraId="36B0D696" w14:textId="77777777" w:rsidR="00612FC4" w:rsidRPr="005C106F" w:rsidRDefault="00612FC4" w:rsidP="00AE20F2">
          <w:pPr>
            <w:tabs>
              <w:tab w:val="right" w:pos="4273"/>
            </w:tabs>
            <w:rPr>
              <w:rFonts w:ascii="Garamond" w:eastAsia="Calibri" w:hAnsi="Garamond"/>
              <w:sz w:val="16"/>
              <w:szCs w:val="16"/>
            </w:rPr>
          </w:pPr>
        </w:p>
      </w:tc>
      <w:tc>
        <w:tcPr>
          <w:tcW w:w="7083" w:type="dxa"/>
          <w:shd w:val="clear" w:color="auto" w:fill="auto"/>
        </w:tcPr>
        <w:tbl>
          <w:tblPr>
            <w:tblStyle w:val="Tablaconcuadrcula"/>
            <w:tblW w:w="6781" w:type="dxa"/>
            <w:tblInd w:w="1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377"/>
          </w:tblGrid>
          <w:tr w:rsidR="00612FC4" w14:paraId="169401CB" w14:textId="77777777" w:rsidTr="00AE20F2">
            <w:trPr>
              <w:trHeight w:val="142"/>
            </w:trPr>
            <w:tc>
              <w:tcPr>
                <w:tcW w:w="2404" w:type="dxa"/>
              </w:tcPr>
              <w:p w14:paraId="39250272"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14:paraId="5BDBB3F7" w14:textId="77777777" w:rsidR="00612FC4" w:rsidRPr="00A168EB" w:rsidRDefault="00612FC4" w:rsidP="00AE20F2">
                <w:pPr>
                  <w:tabs>
                    <w:tab w:val="right" w:pos="8838"/>
                  </w:tabs>
                  <w:ind w:left="-28" w:right="683"/>
                  <w:rPr>
                    <w:rFonts w:eastAsia="Calibri" w:cs="Tahoma"/>
                    <w:bCs/>
                  </w:rPr>
                </w:pPr>
                <w:r w:rsidRPr="00A50B6C">
                  <w:rPr>
                    <w:rFonts w:eastAsia="Calibri" w:cs="Tahoma"/>
                    <w:bCs/>
                    <w:lang w:val="es-MX"/>
                  </w:rPr>
                  <w:t>04256/INFOEM/IP/RR/2020</w:t>
                </w:r>
              </w:p>
            </w:tc>
          </w:tr>
          <w:tr w:rsidR="00612FC4" w14:paraId="143AF189" w14:textId="77777777" w:rsidTr="00AE20F2">
            <w:trPr>
              <w:trHeight w:val="278"/>
            </w:trPr>
            <w:tc>
              <w:tcPr>
                <w:tcW w:w="2404" w:type="dxa"/>
              </w:tcPr>
              <w:p w14:paraId="47159446"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Sujeto Obligado:</w:t>
                </w:r>
              </w:p>
            </w:tc>
            <w:tc>
              <w:tcPr>
                <w:tcW w:w="4377" w:type="dxa"/>
              </w:tcPr>
              <w:p w14:paraId="21E61EDE" w14:textId="77777777" w:rsidR="00612FC4" w:rsidRPr="00A168EB" w:rsidRDefault="00612FC4" w:rsidP="00AE20F2">
                <w:pPr>
                  <w:tabs>
                    <w:tab w:val="right" w:pos="8838"/>
                  </w:tabs>
                  <w:ind w:right="116"/>
                  <w:rPr>
                    <w:rFonts w:eastAsia="Calibri" w:cs="Tahoma"/>
                    <w:lang w:val="es-MX"/>
                  </w:rPr>
                </w:pPr>
                <w:r w:rsidRPr="00A50B6C">
                  <w:rPr>
                    <w:rFonts w:eastAsia="Calibri" w:cs="Tahoma"/>
                    <w:bCs/>
                    <w:lang w:val="es-MX"/>
                  </w:rPr>
                  <w:t>Ayuntamiento de Tianguistenco</w:t>
                </w:r>
              </w:p>
            </w:tc>
          </w:tr>
          <w:tr w:rsidR="00612FC4" w14:paraId="2371B6BE" w14:textId="77777777" w:rsidTr="00AE20F2">
            <w:trPr>
              <w:trHeight w:val="278"/>
            </w:trPr>
            <w:tc>
              <w:tcPr>
                <w:tcW w:w="2404" w:type="dxa"/>
              </w:tcPr>
              <w:p w14:paraId="3450C1CD"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14:paraId="1927B5AF" w14:textId="77777777" w:rsidR="00612FC4" w:rsidRPr="001B5FB6" w:rsidRDefault="00612FC4" w:rsidP="00AE20F2">
                <w:pPr>
                  <w:tabs>
                    <w:tab w:val="right" w:pos="8838"/>
                  </w:tabs>
                  <w:ind w:right="-32"/>
                  <w:rPr>
                    <w:rFonts w:eastAsia="Calibri" w:cs="Tahoma"/>
                    <w:b/>
                    <w:lang w:val="es-MX"/>
                  </w:rPr>
                </w:pPr>
                <w:r w:rsidRPr="001B5FB6">
                  <w:rPr>
                    <w:rFonts w:eastAsia="Calibri" w:cs="Tahoma"/>
                    <w:lang w:val="es-MX"/>
                  </w:rPr>
                  <w:t>Luis Gustavo Parra Noriega</w:t>
                </w:r>
              </w:p>
            </w:tc>
          </w:tr>
        </w:tbl>
        <w:p w14:paraId="5C7C6B64" w14:textId="77777777" w:rsidR="00612FC4" w:rsidRPr="005C106F" w:rsidRDefault="00612FC4" w:rsidP="00AE20F2">
          <w:pPr>
            <w:tabs>
              <w:tab w:val="right" w:pos="8838"/>
            </w:tabs>
            <w:ind w:left="-28"/>
            <w:rPr>
              <w:rFonts w:ascii="Arial" w:eastAsia="Calibri" w:hAnsi="Arial" w:cs="Arial"/>
              <w:b/>
            </w:rPr>
          </w:pPr>
        </w:p>
      </w:tc>
    </w:tr>
  </w:tbl>
  <w:p w14:paraId="66AB215F" w14:textId="77777777" w:rsidR="00612FC4" w:rsidRDefault="005D3F26">
    <w:pPr>
      <w:pStyle w:val="Encabezado"/>
    </w:pPr>
    <w:r>
      <w:rPr>
        <w:noProof/>
      </w:rPr>
      <w:pict w14:anchorId="27B4F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87235" o:spid="_x0000_s1026"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p w14:paraId="4E2C391D" w14:textId="77777777" w:rsidR="00612FC4" w:rsidRDefault="00612F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4A0" w:firstRow="1" w:lastRow="0" w:firstColumn="1" w:lastColumn="0" w:noHBand="0" w:noVBand="1"/>
    </w:tblPr>
    <w:tblGrid>
      <w:gridCol w:w="2093"/>
      <w:gridCol w:w="7193"/>
    </w:tblGrid>
    <w:tr w:rsidR="00612FC4" w:rsidRPr="005C106F" w14:paraId="6BC7F807" w14:textId="77777777" w:rsidTr="00D14C1D">
      <w:trPr>
        <w:trHeight w:val="70"/>
      </w:trPr>
      <w:tc>
        <w:tcPr>
          <w:tcW w:w="2093" w:type="dxa"/>
          <w:shd w:val="clear" w:color="auto" w:fill="auto"/>
        </w:tcPr>
        <w:p w14:paraId="0D7FA96F" w14:textId="77777777" w:rsidR="00612FC4" w:rsidRPr="005C106F" w:rsidRDefault="00612FC4" w:rsidP="00AE20F2">
          <w:pPr>
            <w:tabs>
              <w:tab w:val="right" w:pos="4273"/>
            </w:tabs>
            <w:rPr>
              <w:rFonts w:ascii="Garamond" w:eastAsia="Calibri" w:hAnsi="Garamond"/>
              <w:sz w:val="16"/>
              <w:szCs w:val="16"/>
            </w:rPr>
          </w:pPr>
        </w:p>
      </w:tc>
      <w:tc>
        <w:tcPr>
          <w:tcW w:w="7193" w:type="dxa"/>
          <w:shd w:val="clear" w:color="auto" w:fill="auto"/>
        </w:tcPr>
        <w:p w14:paraId="5FB8B377" w14:textId="77777777" w:rsidR="00612FC4" w:rsidRDefault="00612FC4"/>
        <w:tbl>
          <w:tblPr>
            <w:tblStyle w:val="Tablaconcuadrcula"/>
            <w:tblW w:w="5974" w:type="dxa"/>
            <w:tblInd w:w="1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3"/>
            <w:gridCol w:w="3281"/>
          </w:tblGrid>
          <w:tr w:rsidR="00612FC4" w14:paraId="347939C1" w14:textId="77777777" w:rsidTr="00AA7899">
            <w:trPr>
              <w:trHeight w:val="128"/>
            </w:trPr>
            <w:tc>
              <w:tcPr>
                <w:tcW w:w="2693" w:type="dxa"/>
              </w:tcPr>
              <w:p w14:paraId="7593D28D"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Recurso de Revisión:</w:t>
                </w:r>
              </w:p>
            </w:tc>
            <w:tc>
              <w:tcPr>
                <w:tcW w:w="3281" w:type="dxa"/>
              </w:tcPr>
              <w:p w14:paraId="24DFB03F" w14:textId="639D6251" w:rsidR="00612FC4" w:rsidRPr="00576FD0" w:rsidRDefault="00612FC4" w:rsidP="00AA7899">
                <w:pPr>
                  <w:tabs>
                    <w:tab w:val="right" w:pos="8838"/>
                  </w:tabs>
                  <w:ind w:left="-28" w:right="181"/>
                  <w:rPr>
                    <w:rFonts w:eastAsia="Calibri" w:cs="Tahoma"/>
                  </w:rPr>
                </w:pPr>
                <w:r w:rsidRPr="00576FD0">
                  <w:rPr>
                    <w:rFonts w:eastAsia="Calibri" w:cs="Tahoma"/>
                    <w:lang w:val="es-MX"/>
                  </w:rPr>
                  <w:t>0</w:t>
                </w:r>
                <w:r>
                  <w:rPr>
                    <w:rFonts w:eastAsia="Calibri" w:cs="Tahoma"/>
                    <w:lang w:val="es-MX"/>
                  </w:rPr>
                  <w:t>5641</w:t>
                </w:r>
                <w:r w:rsidRPr="00576FD0">
                  <w:rPr>
                    <w:rFonts w:eastAsia="Calibri" w:cs="Tahoma"/>
                    <w:lang w:val="es-MX"/>
                  </w:rPr>
                  <w:t>/INFOEM/IP/RR/2021</w:t>
                </w:r>
                <w:r>
                  <w:rPr>
                    <w:rFonts w:eastAsia="Calibri" w:cs="Tahoma"/>
                    <w:lang w:val="es-MX"/>
                  </w:rPr>
                  <w:t xml:space="preserve"> </w:t>
                </w:r>
              </w:p>
            </w:tc>
          </w:tr>
          <w:tr w:rsidR="00612FC4" w14:paraId="06DA9E9A" w14:textId="77777777" w:rsidTr="00AA7899">
            <w:trPr>
              <w:trHeight w:val="251"/>
            </w:trPr>
            <w:tc>
              <w:tcPr>
                <w:tcW w:w="2693" w:type="dxa"/>
              </w:tcPr>
              <w:p w14:paraId="29A964ED"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Sujeto Obligado:</w:t>
                </w:r>
              </w:p>
            </w:tc>
            <w:tc>
              <w:tcPr>
                <w:tcW w:w="3281" w:type="dxa"/>
              </w:tcPr>
              <w:p w14:paraId="62919A55" w14:textId="54942B7C" w:rsidR="00612FC4" w:rsidRPr="00576FD0" w:rsidRDefault="00612FC4" w:rsidP="00D14C1D">
                <w:pPr>
                  <w:tabs>
                    <w:tab w:val="right" w:pos="8838"/>
                  </w:tabs>
                  <w:ind w:left="-28" w:right="39"/>
                  <w:rPr>
                    <w:rFonts w:eastAsia="Calibri" w:cs="Tahoma"/>
                    <w:lang w:val="es-MX"/>
                  </w:rPr>
                </w:pPr>
                <w:r w:rsidRPr="00AA7899">
                  <w:rPr>
                    <w:rFonts w:eastAsia="Calibri" w:cs="Tahoma"/>
                    <w:lang w:val="es-MX"/>
                  </w:rPr>
                  <w:t>Ayuntamiento de Otzoloapan</w:t>
                </w:r>
              </w:p>
            </w:tc>
          </w:tr>
          <w:tr w:rsidR="00612FC4" w14:paraId="45F52267" w14:textId="77777777" w:rsidTr="00AA7899">
            <w:trPr>
              <w:trHeight w:val="251"/>
            </w:trPr>
            <w:tc>
              <w:tcPr>
                <w:tcW w:w="2693" w:type="dxa"/>
              </w:tcPr>
              <w:p w14:paraId="0C0326C2"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Comisionado Ponente:</w:t>
                </w:r>
              </w:p>
            </w:tc>
            <w:tc>
              <w:tcPr>
                <w:tcW w:w="3281" w:type="dxa"/>
              </w:tcPr>
              <w:p w14:paraId="6FF2856A" w14:textId="77777777" w:rsidR="00612FC4" w:rsidRPr="001B5FB6" w:rsidRDefault="00612FC4" w:rsidP="00D14C1D">
                <w:pPr>
                  <w:tabs>
                    <w:tab w:val="right" w:pos="8838"/>
                  </w:tabs>
                  <w:ind w:left="-28" w:right="181"/>
                  <w:rPr>
                    <w:rFonts w:eastAsia="Calibri" w:cs="Tahoma"/>
                    <w:b/>
                    <w:lang w:val="es-MX"/>
                  </w:rPr>
                </w:pPr>
                <w:r w:rsidRPr="001B5FB6">
                  <w:rPr>
                    <w:rFonts w:eastAsia="Calibri" w:cs="Tahoma"/>
                    <w:lang w:val="es-MX"/>
                  </w:rPr>
                  <w:t>Luis Gustavo Parra Noriega</w:t>
                </w:r>
              </w:p>
            </w:tc>
          </w:tr>
        </w:tbl>
        <w:p w14:paraId="68359CA9" w14:textId="77777777" w:rsidR="00612FC4" w:rsidRPr="005C106F" w:rsidRDefault="00612FC4" w:rsidP="00AE20F2">
          <w:pPr>
            <w:tabs>
              <w:tab w:val="right" w:pos="8838"/>
            </w:tabs>
            <w:ind w:left="-28"/>
            <w:rPr>
              <w:rFonts w:ascii="Arial" w:eastAsia="Calibri" w:hAnsi="Arial" w:cs="Arial"/>
              <w:b/>
            </w:rPr>
          </w:pPr>
        </w:p>
      </w:tc>
    </w:tr>
  </w:tbl>
  <w:p w14:paraId="71830F50" w14:textId="77777777" w:rsidR="00612FC4" w:rsidRDefault="005D3F26" w:rsidP="00AE20F2">
    <w:r>
      <w:rPr>
        <w:noProof/>
      </w:rPr>
      <w:pict w14:anchorId="64641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87236" o:spid="_x0000_s1027" type="#_x0000_t75" style="position:absolute;left:0;text-align:left;margin-left:-99.35pt;margin-top:-128.9pt;width:663.5pt;height:12in;z-index:-251655168;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right"/>
      <w:tblLayout w:type="fixed"/>
      <w:tblLook w:val="04A0" w:firstRow="1" w:lastRow="0" w:firstColumn="1" w:lastColumn="0" w:noHBand="0" w:noVBand="1"/>
    </w:tblPr>
    <w:tblGrid>
      <w:gridCol w:w="2305"/>
      <w:gridCol w:w="7193"/>
    </w:tblGrid>
    <w:tr w:rsidR="00612FC4" w:rsidRPr="005C106F" w14:paraId="214E3C48" w14:textId="77777777" w:rsidTr="00AE20F2">
      <w:trPr>
        <w:trHeight w:val="902"/>
        <w:jc w:val="right"/>
      </w:trPr>
      <w:tc>
        <w:tcPr>
          <w:tcW w:w="2305" w:type="dxa"/>
          <w:shd w:val="clear" w:color="auto" w:fill="auto"/>
        </w:tcPr>
        <w:p w14:paraId="019BE6D8" w14:textId="77777777" w:rsidR="00612FC4" w:rsidRPr="005C106F" w:rsidRDefault="00612FC4" w:rsidP="00AE20F2">
          <w:pPr>
            <w:tabs>
              <w:tab w:val="right" w:pos="4273"/>
            </w:tabs>
            <w:rPr>
              <w:rFonts w:ascii="Garamond" w:eastAsia="Calibri" w:hAnsi="Garamond"/>
              <w:sz w:val="16"/>
              <w:szCs w:val="16"/>
            </w:rPr>
          </w:pPr>
        </w:p>
      </w:tc>
      <w:tc>
        <w:tcPr>
          <w:tcW w:w="7193" w:type="dxa"/>
          <w:shd w:val="clear" w:color="auto" w:fill="auto"/>
        </w:tcPr>
        <w:tbl>
          <w:tblPr>
            <w:tblStyle w:val="Tablaconcuadrcula"/>
            <w:tblW w:w="5957" w:type="dxa"/>
            <w:tblInd w:w="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122"/>
          </w:tblGrid>
          <w:tr w:rsidR="00612FC4" w14:paraId="485F3240" w14:textId="77777777" w:rsidTr="00AA7899">
            <w:trPr>
              <w:trHeight w:val="139"/>
            </w:trPr>
            <w:tc>
              <w:tcPr>
                <w:tcW w:w="2835" w:type="dxa"/>
              </w:tcPr>
              <w:p w14:paraId="54F399A7"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Recurso de Revisión:</w:t>
                </w:r>
              </w:p>
            </w:tc>
            <w:tc>
              <w:tcPr>
                <w:tcW w:w="3122" w:type="dxa"/>
              </w:tcPr>
              <w:p w14:paraId="205A6EF3" w14:textId="0C464249" w:rsidR="00612FC4" w:rsidRPr="00576FD0" w:rsidRDefault="00612FC4" w:rsidP="00AA7899">
                <w:pPr>
                  <w:tabs>
                    <w:tab w:val="left" w:pos="2295"/>
                    <w:tab w:val="right" w:pos="8838"/>
                  </w:tabs>
                  <w:ind w:left="-28" w:right="188"/>
                  <w:rPr>
                    <w:rFonts w:eastAsia="Calibri" w:cs="Tahoma"/>
                  </w:rPr>
                </w:pPr>
                <w:r w:rsidRPr="00576FD0">
                  <w:rPr>
                    <w:rFonts w:eastAsia="Calibri" w:cs="Tahoma"/>
                    <w:lang w:val="es-MX"/>
                  </w:rPr>
                  <w:t>0</w:t>
                </w:r>
                <w:r>
                  <w:rPr>
                    <w:rFonts w:eastAsia="Calibri" w:cs="Tahoma"/>
                    <w:lang w:val="es-MX"/>
                  </w:rPr>
                  <w:t>5641</w:t>
                </w:r>
                <w:r w:rsidRPr="00576FD0">
                  <w:rPr>
                    <w:rFonts w:eastAsia="Calibri" w:cs="Tahoma"/>
                    <w:lang w:val="es-MX"/>
                  </w:rPr>
                  <w:t>/INFOEM/IP/RR/2021</w:t>
                </w:r>
                <w:r>
                  <w:rPr>
                    <w:rFonts w:eastAsia="Calibri" w:cs="Tahoma"/>
                    <w:lang w:val="es-MX"/>
                  </w:rPr>
                  <w:t xml:space="preserve"> </w:t>
                </w:r>
              </w:p>
            </w:tc>
          </w:tr>
          <w:tr w:rsidR="00612FC4" w14:paraId="19DDE8E6" w14:textId="77777777" w:rsidTr="00AA7899">
            <w:trPr>
              <w:trHeight w:val="139"/>
            </w:trPr>
            <w:tc>
              <w:tcPr>
                <w:tcW w:w="2835" w:type="dxa"/>
              </w:tcPr>
              <w:p w14:paraId="07179027"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Recurrente:</w:t>
                </w:r>
              </w:p>
            </w:tc>
            <w:tc>
              <w:tcPr>
                <w:tcW w:w="3122" w:type="dxa"/>
              </w:tcPr>
              <w:p w14:paraId="2E01E5E9" w14:textId="59EF6090" w:rsidR="00612FC4" w:rsidRPr="00D56786" w:rsidRDefault="00612FC4" w:rsidP="00BB7198">
                <w:pPr>
                  <w:tabs>
                    <w:tab w:val="right" w:pos="8838"/>
                  </w:tabs>
                  <w:ind w:right="188"/>
                  <w:rPr>
                    <w:rFonts w:eastAsia="Calibri" w:cs="Tahoma"/>
                    <w:lang w:val="es-MX"/>
                  </w:rPr>
                </w:pPr>
              </w:p>
            </w:tc>
          </w:tr>
          <w:tr w:rsidR="00612FC4" w14:paraId="3A6B4508" w14:textId="77777777" w:rsidTr="00AA7899">
            <w:trPr>
              <w:trHeight w:val="273"/>
            </w:trPr>
            <w:tc>
              <w:tcPr>
                <w:tcW w:w="2835" w:type="dxa"/>
              </w:tcPr>
              <w:p w14:paraId="713C7D71"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Sujeto Obligado:</w:t>
                </w:r>
              </w:p>
            </w:tc>
            <w:tc>
              <w:tcPr>
                <w:tcW w:w="3122" w:type="dxa"/>
              </w:tcPr>
              <w:p w14:paraId="38A5599A" w14:textId="1564DFEE" w:rsidR="00612FC4" w:rsidRPr="00576FD0" w:rsidRDefault="00612FC4" w:rsidP="00BB7198">
                <w:pPr>
                  <w:tabs>
                    <w:tab w:val="right" w:pos="8838"/>
                  </w:tabs>
                  <w:ind w:right="188"/>
                  <w:rPr>
                    <w:rFonts w:eastAsia="Calibri" w:cs="Tahoma"/>
                    <w:lang w:val="es-MX"/>
                  </w:rPr>
                </w:pPr>
                <w:r w:rsidRPr="00AA7899">
                  <w:rPr>
                    <w:rFonts w:eastAsia="Calibri" w:cs="Tahoma"/>
                    <w:lang w:val="es-MX"/>
                  </w:rPr>
                  <w:t>Ayuntamiento de Otzoloapan</w:t>
                </w:r>
              </w:p>
            </w:tc>
          </w:tr>
          <w:tr w:rsidR="00612FC4" w14:paraId="210EF79C" w14:textId="77777777" w:rsidTr="00AA7899">
            <w:trPr>
              <w:trHeight w:val="273"/>
            </w:trPr>
            <w:tc>
              <w:tcPr>
                <w:tcW w:w="2835" w:type="dxa"/>
              </w:tcPr>
              <w:p w14:paraId="404426D0" w14:textId="77777777" w:rsidR="00612FC4" w:rsidRPr="001B5FB6" w:rsidRDefault="00612FC4" w:rsidP="00AE20F2">
                <w:pPr>
                  <w:tabs>
                    <w:tab w:val="right" w:pos="8838"/>
                  </w:tabs>
                  <w:ind w:right="-105"/>
                  <w:rPr>
                    <w:rFonts w:eastAsia="Calibri" w:cs="Tahoma"/>
                    <w:b/>
                    <w:lang w:val="es-MX"/>
                  </w:rPr>
                </w:pPr>
                <w:r w:rsidRPr="001B5FB6">
                  <w:rPr>
                    <w:rFonts w:eastAsia="Calibri" w:cs="Tahoma"/>
                    <w:b/>
                    <w:lang w:val="es-MX"/>
                  </w:rPr>
                  <w:t>Comisionado Ponente:</w:t>
                </w:r>
              </w:p>
            </w:tc>
            <w:tc>
              <w:tcPr>
                <w:tcW w:w="3122" w:type="dxa"/>
              </w:tcPr>
              <w:p w14:paraId="1191CA6A" w14:textId="77777777" w:rsidR="00612FC4" w:rsidRPr="001B5FB6" w:rsidRDefault="00612FC4" w:rsidP="00BB7198">
                <w:pPr>
                  <w:tabs>
                    <w:tab w:val="right" w:pos="8838"/>
                  </w:tabs>
                  <w:ind w:right="188"/>
                  <w:rPr>
                    <w:rFonts w:eastAsia="Calibri" w:cs="Tahoma"/>
                    <w:b/>
                    <w:lang w:val="es-MX"/>
                  </w:rPr>
                </w:pPr>
                <w:r w:rsidRPr="001B5FB6">
                  <w:rPr>
                    <w:rFonts w:eastAsia="Calibri" w:cs="Tahoma"/>
                    <w:lang w:val="es-MX"/>
                  </w:rPr>
                  <w:t>Luis Gustavo Parra Noriega</w:t>
                </w:r>
              </w:p>
            </w:tc>
          </w:tr>
        </w:tbl>
        <w:p w14:paraId="563DF0DD" w14:textId="77777777" w:rsidR="00612FC4" w:rsidRPr="005C106F" w:rsidRDefault="00612FC4" w:rsidP="00AE20F2">
          <w:pPr>
            <w:tabs>
              <w:tab w:val="right" w:pos="8838"/>
            </w:tabs>
            <w:ind w:left="-28"/>
            <w:rPr>
              <w:rFonts w:ascii="Arial" w:eastAsia="Calibri" w:hAnsi="Arial" w:cs="Arial"/>
              <w:b/>
            </w:rPr>
          </w:pPr>
        </w:p>
      </w:tc>
    </w:tr>
  </w:tbl>
  <w:p w14:paraId="516B6282" w14:textId="77777777" w:rsidR="00612FC4" w:rsidRDefault="005D3F26" w:rsidP="00AE20F2">
    <w:pPr>
      <w:pStyle w:val="Encabezado"/>
    </w:pPr>
    <w:r>
      <w:rPr>
        <w:noProof/>
      </w:rPr>
      <w:pict w14:anchorId="7020D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87234" o:spid="_x0000_s1025" type="#_x0000_t75" style="position:absolute;left:0;text-align:left;margin-left:-104.6pt;margin-top:-123.5pt;width:663.5pt;height:12in;z-index:-251657216;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8ED"/>
    <w:multiLevelType w:val="hybridMultilevel"/>
    <w:tmpl w:val="F0105FF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A464966"/>
    <w:multiLevelType w:val="hybridMultilevel"/>
    <w:tmpl w:val="29ECA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1F5BAF"/>
    <w:multiLevelType w:val="hybridMultilevel"/>
    <w:tmpl w:val="22068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F64023"/>
    <w:multiLevelType w:val="hybridMultilevel"/>
    <w:tmpl w:val="68920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9E40EF"/>
    <w:multiLevelType w:val="hybridMultilevel"/>
    <w:tmpl w:val="7028192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BA8290F"/>
    <w:multiLevelType w:val="hybridMultilevel"/>
    <w:tmpl w:val="34A61998"/>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B0A5E"/>
    <w:multiLevelType w:val="hybridMultilevel"/>
    <w:tmpl w:val="F24CD75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2C3DE1"/>
    <w:multiLevelType w:val="hybridMultilevel"/>
    <w:tmpl w:val="204EB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752A63"/>
    <w:multiLevelType w:val="hybridMultilevel"/>
    <w:tmpl w:val="A76C8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982B70"/>
    <w:multiLevelType w:val="hybridMultilevel"/>
    <w:tmpl w:val="A1C8F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BF0975"/>
    <w:multiLevelType w:val="hybridMultilevel"/>
    <w:tmpl w:val="1996E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103B89"/>
    <w:multiLevelType w:val="hybridMultilevel"/>
    <w:tmpl w:val="5A86485E"/>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81E0348"/>
    <w:multiLevelType w:val="hybridMultilevel"/>
    <w:tmpl w:val="34A61998"/>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355389"/>
    <w:multiLevelType w:val="hybridMultilevel"/>
    <w:tmpl w:val="C4DC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93E19D1"/>
    <w:multiLevelType w:val="hybridMultilevel"/>
    <w:tmpl w:val="4C26B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D412C2"/>
    <w:multiLevelType w:val="hybridMultilevel"/>
    <w:tmpl w:val="BCA48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23"/>
  </w:num>
  <w:num w:numId="5">
    <w:abstractNumId w:val="18"/>
  </w:num>
  <w:num w:numId="6">
    <w:abstractNumId w:val="12"/>
  </w:num>
  <w:num w:numId="7">
    <w:abstractNumId w:val="15"/>
  </w:num>
  <w:num w:numId="8">
    <w:abstractNumId w:val="10"/>
  </w:num>
  <w:num w:numId="9">
    <w:abstractNumId w:val="2"/>
  </w:num>
  <w:num w:numId="10">
    <w:abstractNumId w:val="17"/>
  </w:num>
  <w:num w:numId="11">
    <w:abstractNumId w:val="11"/>
  </w:num>
  <w:num w:numId="12">
    <w:abstractNumId w:val="7"/>
  </w:num>
  <w:num w:numId="13">
    <w:abstractNumId w:val="24"/>
  </w:num>
  <w:num w:numId="14">
    <w:abstractNumId w:val="25"/>
  </w:num>
  <w:num w:numId="15">
    <w:abstractNumId w:val="22"/>
  </w:num>
  <w:num w:numId="16">
    <w:abstractNumId w:val="2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num>
  <w:num w:numId="23">
    <w:abstractNumId w:val="4"/>
  </w:num>
  <w:num w:numId="24">
    <w:abstractNumId w:val="1"/>
  </w:num>
  <w:num w:numId="25">
    <w:abstractNumId w:val="0"/>
  </w:num>
  <w:num w:numId="2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D0"/>
    <w:rsid w:val="00004A15"/>
    <w:rsid w:val="00006BE6"/>
    <w:rsid w:val="00017802"/>
    <w:rsid w:val="00024DC1"/>
    <w:rsid w:val="00040ED5"/>
    <w:rsid w:val="0004369C"/>
    <w:rsid w:val="00052F90"/>
    <w:rsid w:val="000539B5"/>
    <w:rsid w:val="00061DF8"/>
    <w:rsid w:val="00061F55"/>
    <w:rsid w:val="00063F67"/>
    <w:rsid w:val="00073593"/>
    <w:rsid w:val="000735E9"/>
    <w:rsid w:val="00084CF9"/>
    <w:rsid w:val="00086234"/>
    <w:rsid w:val="00096177"/>
    <w:rsid w:val="00096A24"/>
    <w:rsid w:val="000972E0"/>
    <w:rsid w:val="000A67E4"/>
    <w:rsid w:val="000B15EE"/>
    <w:rsid w:val="000C4F39"/>
    <w:rsid w:val="000D0C59"/>
    <w:rsid w:val="000D3C4C"/>
    <w:rsid w:val="000D6E95"/>
    <w:rsid w:val="000E0EE0"/>
    <w:rsid w:val="000E18B0"/>
    <w:rsid w:val="000F03A1"/>
    <w:rsid w:val="000F18DF"/>
    <w:rsid w:val="000F480E"/>
    <w:rsid w:val="000F6651"/>
    <w:rsid w:val="00111881"/>
    <w:rsid w:val="00111E10"/>
    <w:rsid w:val="00115F6A"/>
    <w:rsid w:val="00126586"/>
    <w:rsid w:val="001278C6"/>
    <w:rsid w:val="00134559"/>
    <w:rsid w:val="00137A1D"/>
    <w:rsid w:val="00140630"/>
    <w:rsid w:val="00147EB2"/>
    <w:rsid w:val="00154E45"/>
    <w:rsid w:val="00166C46"/>
    <w:rsid w:val="00175467"/>
    <w:rsid w:val="001764F2"/>
    <w:rsid w:val="00180F37"/>
    <w:rsid w:val="0018412C"/>
    <w:rsid w:val="00186F78"/>
    <w:rsid w:val="00197DC9"/>
    <w:rsid w:val="001A0605"/>
    <w:rsid w:val="001A1FAC"/>
    <w:rsid w:val="001A5907"/>
    <w:rsid w:val="001A5F74"/>
    <w:rsid w:val="001B0CA4"/>
    <w:rsid w:val="001B5891"/>
    <w:rsid w:val="001B7D21"/>
    <w:rsid w:val="001C36CC"/>
    <w:rsid w:val="001C4AC4"/>
    <w:rsid w:val="001C61A5"/>
    <w:rsid w:val="001C6661"/>
    <w:rsid w:val="001D2B75"/>
    <w:rsid w:val="001D5B6E"/>
    <w:rsid w:val="001D7B6A"/>
    <w:rsid w:val="001E31A8"/>
    <w:rsid w:val="001E6BBB"/>
    <w:rsid w:val="001E7509"/>
    <w:rsid w:val="001F6F19"/>
    <w:rsid w:val="00202057"/>
    <w:rsid w:val="00204C39"/>
    <w:rsid w:val="00211C04"/>
    <w:rsid w:val="00213573"/>
    <w:rsid w:val="00217E0A"/>
    <w:rsid w:val="00220A7B"/>
    <w:rsid w:val="00222D5D"/>
    <w:rsid w:val="002316D8"/>
    <w:rsid w:val="00236972"/>
    <w:rsid w:val="00240C4E"/>
    <w:rsid w:val="0024111C"/>
    <w:rsid w:val="0024180B"/>
    <w:rsid w:val="0024206E"/>
    <w:rsid w:val="002454CD"/>
    <w:rsid w:val="00257F27"/>
    <w:rsid w:val="00262E65"/>
    <w:rsid w:val="0026552A"/>
    <w:rsid w:val="00267D26"/>
    <w:rsid w:val="002901AD"/>
    <w:rsid w:val="002945A6"/>
    <w:rsid w:val="00294AA4"/>
    <w:rsid w:val="00296AC3"/>
    <w:rsid w:val="002A15E8"/>
    <w:rsid w:val="002B4AB4"/>
    <w:rsid w:val="002B68CE"/>
    <w:rsid w:val="002B7DC0"/>
    <w:rsid w:val="002C120D"/>
    <w:rsid w:val="002C159C"/>
    <w:rsid w:val="002C46C3"/>
    <w:rsid w:val="002C49AF"/>
    <w:rsid w:val="002D4F49"/>
    <w:rsid w:val="002E4D31"/>
    <w:rsid w:val="002F0958"/>
    <w:rsid w:val="002F70B5"/>
    <w:rsid w:val="0030255B"/>
    <w:rsid w:val="0031204B"/>
    <w:rsid w:val="00314B82"/>
    <w:rsid w:val="00317305"/>
    <w:rsid w:val="003224AD"/>
    <w:rsid w:val="00324722"/>
    <w:rsid w:val="0032784B"/>
    <w:rsid w:val="00350036"/>
    <w:rsid w:val="003507A9"/>
    <w:rsid w:val="0035097B"/>
    <w:rsid w:val="00350BF8"/>
    <w:rsid w:val="00351070"/>
    <w:rsid w:val="003573FD"/>
    <w:rsid w:val="00360C03"/>
    <w:rsid w:val="00361901"/>
    <w:rsid w:val="00372787"/>
    <w:rsid w:val="0037735D"/>
    <w:rsid w:val="003814B9"/>
    <w:rsid w:val="00381FDE"/>
    <w:rsid w:val="00390C12"/>
    <w:rsid w:val="003A0C2B"/>
    <w:rsid w:val="003B0723"/>
    <w:rsid w:val="003B2307"/>
    <w:rsid w:val="003B538D"/>
    <w:rsid w:val="003C43D2"/>
    <w:rsid w:val="003D2D75"/>
    <w:rsid w:val="003D3BF0"/>
    <w:rsid w:val="003D4173"/>
    <w:rsid w:val="003D5950"/>
    <w:rsid w:val="003D5DD6"/>
    <w:rsid w:val="003E3F4D"/>
    <w:rsid w:val="003F0595"/>
    <w:rsid w:val="003F1D7D"/>
    <w:rsid w:val="003F4747"/>
    <w:rsid w:val="003F5145"/>
    <w:rsid w:val="00401BD0"/>
    <w:rsid w:val="004102CC"/>
    <w:rsid w:val="00411131"/>
    <w:rsid w:val="00414014"/>
    <w:rsid w:val="004160F6"/>
    <w:rsid w:val="00416E0D"/>
    <w:rsid w:val="004173A2"/>
    <w:rsid w:val="004229B1"/>
    <w:rsid w:val="004317ED"/>
    <w:rsid w:val="004322E5"/>
    <w:rsid w:val="00440763"/>
    <w:rsid w:val="00442E3A"/>
    <w:rsid w:val="00443E48"/>
    <w:rsid w:val="00444943"/>
    <w:rsid w:val="00445381"/>
    <w:rsid w:val="00457C73"/>
    <w:rsid w:val="0046110A"/>
    <w:rsid w:val="00471CF0"/>
    <w:rsid w:val="0047524D"/>
    <w:rsid w:val="0047566D"/>
    <w:rsid w:val="00480197"/>
    <w:rsid w:val="004A000C"/>
    <w:rsid w:val="004A178F"/>
    <w:rsid w:val="004A65BB"/>
    <w:rsid w:val="004A76C9"/>
    <w:rsid w:val="004B2F31"/>
    <w:rsid w:val="004B4E10"/>
    <w:rsid w:val="004C1954"/>
    <w:rsid w:val="004C2C4E"/>
    <w:rsid w:val="004D0742"/>
    <w:rsid w:val="004D3C18"/>
    <w:rsid w:val="004E13AB"/>
    <w:rsid w:val="004E39E3"/>
    <w:rsid w:val="004E6D65"/>
    <w:rsid w:val="004F35F1"/>
    <w:rsid w:val="004F489E"/>
    <w:rsid w:val="004F5F45"/>
    <w:rsid w:val="004F7AF9"/>
    <w:rsid w:val="00504495"/>
    <w:rsid w:val="00504893"/>
    <w:rsid w:val="00504C44"/>
    <w:rsid w:val="005113DB"/>
    <w:rsid w:val="0051291D"/>
    <w:rsid w:val="00515497"/>
    <w:rsid w:val="005172FE"/>
    <w:rsid w:val="005237FF"/>
    <w:rsid w:val="00525A81"/>
    <w:rsid w:val="00536AF5"/>
    <w:rsid w:val="0054123C"/>
    <w:rsid w:val="00550F26"/>
    <w:rsid w:val="005523C7"/>
    <w:rsid w:val="00552C17"/>
    <w:rsid w:val="0055763D"/>
    <w:rsid w:val="005661B6"/>
    <w:rsid w:val="00571238"/>
    <w:rsid w:val="00573AB4"/>
    <w:rsid w:val="005754C0"/>
    <w:rsid w:val="00576FD0"/>
    <w:rsid w:val="00577097"/>
    <w:rsid w:val="00581D5C"/>
    <w:rsid w:val="00582061"/>
    <w:rsid w:val="005A0AD4"/>
    <w:rsid w:val="005A3EF0"/>
    <w:rsid w:val="005B0B88"/>
    <w:rsid w:val="005B174F"/>
    <w:rsid w:val="005C10E5"/>
    <w:rsid w:val="005C1CAA"/>
    <w:rsid w:val="005C6F9D"/>
    <w:rsid w:val="005D153F"/>
    <w:rsid w:val="005D3CA8"/>
    <w:rsid w:val="005D3F26"/>
    <w:rsid w:val="005E3F8F"/>
    <w:rsid w:val="005E66BF"/>
    <w:rsid w:val="005F47E4"/>
    <w:rsid w:val="006041C8"/>
    <w:rsid w:val="0061092B"/>
    <w:rsid w:val="006115FD"/>
    <w:rsid w:val="00611FA2"/>
    <w:rsid w:val="00612FC4"/>
    <w:rsid w:val="0061421E"/>
    <w:rsid w:val="006171EA"/>
    <w:rsid w:val="006207E8"/>
    <w:rsid w:val="00625608"/>
    <w:rsid w:val="00626DF9"/>
    <w:rsid w:val="00633D3A"/>
    <w:rsid w:val="00647B0D"/>
    <w:rsid w:val="00650A4D"/>
    <w:rsid w:val="00662B1C"/>
    <w:rsid w:val="00665D15"/>
    <w:rsid w:val="006703A7"/>
    <w:rsid w:val="006720DA"/>
    <w:rsid w:val="00680077"/>
    <w:rsid w:val="00683F12"/>
    <w:rsid w:val="006844F7"/>
    <w:rsid w:val="006960C3"/>
    <w:rsid w:val="006A4B82"/>
    <w:rsid w:val="006A6C85"/>
    <w:rsid w:val="006B153D"/>
    <w:rsid w:val="006B22CA"/>
    <w:rsid w:val="006B6C56"/>
    <w:rsid w:val="006C3DCA"/>
    <w:rsid w:val="006C4C66"/>
    <w:rsid w:val="006D1FD7"/>
    <w:rsid w:val="006E188A"/>
    <w:rsid w:val="006E4B21"/>
    <w:rsid w:val="006F5B9E"/>
    <w:rsid w:val="00704FD4"/>
    <w:rsid w:val="00706BD5"/>
    <w:rsid w:val="00726263"/>
    <w:rsid w:val="00734878"/>
    <w:rsid w:val="007476E4"/>
    <w:rsid w:val="00750200"/>
    <w:rsid w:val="0075054C"/>
    <w:rsid w:val="00754013"/>
    <w:rsid w:val="007568D8"/>
    <w:rsid w:val="00760E7F"/>
    <w:rsid w:val="00761C98"/>
    <w:rsid w:val="007629D4"/>
    <w:rsid w:val="0076764B"/>
    <w:rsid w:val="00775979"/>
    <w:rsid w:val="00775E24"/>
    <w:rsid w:val="00777BCA"/>
    <w:rsid w:val="0078249D"/>
    <w:rsid w:val="007837DE"/>
    <w:rsid w:val="00787099"/>
    <w:rsid w:val="007902DD"/>
    <w:rsid w:val="0079320A"/>
    <w:rsid w:val="007A36E5"/>
    <w:rsid w:val="007A7041"/>
    <w:rsid w:val="007B63A2"/>
    <w:rsid w:val="007C2234"/>
    <w:rsid w:val="007D0C42"/>
    <w:rsid w:val="007D15BC"/>
    <w:rsid w:val="007E494A"/>
    <w:rsid w:val="007E5816"/>
    <w:rsid w:val="007E73D5"/>
    <w:rsid w:val="007F1554"/>
    <w:rsid w:val="007F20F1"/>
    <w:rsid w:val="007F2920"/>
    <w:rsid w:val="007F68DE"/>
    <w:rsid w:val="007F737D"/>
    <w:rsid w:val="00802B16"/>
    <w:rsid w:val="0080581A"/>
    <w:rsid w:val="00807DC2"/>
    <w:rsid w:val="00807FC8"/>
    <w:rsid w:val="00813AB9"/>
    <w:rsid w:val="00817A0B"/>
    <w:rsid w:val="00827EAE"/>
    <w:rsid w:val="00833E4B"/>
    <w:rsid w:val="00836569"/>
    <w:rsid w:val="008441F8"/>
    <w:rsid w:val="00844CA1"/>
    <w:rsid w:val="00845D81"/>
    <w:rsid w:val="00846AF8"/>
    <w:rsid w:val="008573BA"/>
    <w:rsid w:val="00863A6A"/>
    <w:rsid w:val="00867C3C"/>
    <w:rsid w:val="00867D0B"/>
    <w:rsid w:val="00885FBA"/>
    <w:rsid w:val="00892BA1"/>
    <w:rsid w:val="00892D53"/>
    <w:rsid w:val="008979AD"/>
    <w:rsid w:val="00897DB8"/>
    <w:rsid w:val="008A7970"/>
    <w:rsid w:val="008B38B6"/>
    <w:rsid w:val="008C36A6"/>
    <w:rsid w:val="008C3FCA"/>
    <w:rsid w:val="008D3F5F"/>
    <w:rsid w:val="008E7375"/>
    <w:rsid w:val="008F0CD1"/>
    <w:rsid w:val="008F12D5"/>
    <w:rsid w:val="0090180F"/>
    <w:rsid w:val="00903CAB"/>
    <w:rsid w:val="009062EB"/>
    <w:rsid w:val="00910D6A"/>
    <w:rsid w:val="00911930"/>
    <w:rsid w:val="00914B84"/>
    <w:rsid w:val="00917525"/>
    <w:rsid w:val="00920DAE"/>
    <w:rsid w:val="00926FBB"/>
    <w:rsid w:val="009313C9"/>
    <w:rsid w:val="009428E6"/>
    <w:rsid w:val="00947641"/>
    <w:rsid w:val="00950211"/>
    <w:rsid w:val="00950BF9"/>
    <w:rsid w:val="009517D5"/>
    <w:rsid w:val="00951BAB"/>
    <w:rsid w:val="009562D2"/>
    <w:rsid w:val="00960250"/>
    <w:rsid w:val="00964942"/>
    <w:rsid w:val="009701A8"/>
    <w:rsid w:val="00980978"/>
    <w:rsid w:val="00981CBC"/>
    <w:rsid w:val="009865C0"/>
    <w:rsid w:val="0098752D"/>
    <w:rsid w:val="00993F80"/>
    <w:rsid w:val="009A294F"/>
    <w:rsid w:val="009B71FF"/>
    <w:rsid w:val="009C2F28"/>
    <w:rsid w:val="009C336E"/>
    <w:rsid w:val="009D15FA"/>
    <w:rsid w:val="009D33A1"/>
    <w:rsid w:val="009D36BD"/>
    <w:rsid w:val="009D4226"/>
    <w:rsid w:val="009D6A26"/>
    <w:rsid w:val="009E260E"/>
    <w:rsid w:val="009E2B08"/>
    <w:rsid w:val="009E38F5"/>
    <w:rsid w:val="009F1ABD"/>
    <w:rsid w:val="009F258C"/>
    <w:rsid w:val="009F3C01"/>
    <w:rsid w:val="00A006A9"/>
    <w:rsid w:val="00A01E34"/>
    <w:rsid w:val="00A070D4"/>
    <w:rsid w:val="00A14C97"/>
    <w:rsid w:val="00A14FDB"/>
    <w:rsid w:val="00A2440D"/>
    <w:rsid w:val="00A2729A"/>
    <w:rsid w:val="00A319A0"/>
    <w:rsid w:val="00A329BD"/>
    <w:rsid w:val="00A60CF9"/>
    <w:rsid w:val="00A639B0"/>
    <w:rsid w:val="00A64738"/>
    <w:rsid w:val="00A739D2"/>
    <w:rsid w:val="00A80763"/>
    <w:rsid w:val="00A87542"/>
    <w:rsid w:val="00AA7512"/>
    <w:rsid w:val="00AA7899"/>
    <w:rsid w:val="00AB4206"/>
    <w:rsid w:val="00AB6A7F"/>
    <w:rsid w:val="00AC5434"/>
    <w:rsid w:val="00AD1E10"/>
    <w:rsid w:val="00AD587E"/>
    <w:rsid w:val="00AD617E"/>
    <w:rsid w:val="00AE20F2"/>
    <w:rsid w:val="00AE42BE"/>
    <w:rsid w:val="00AF0DD7"/>
    <w:rsid w:val="00AF3D84"/>
    <w:rsid w:val="00B030E8"/>
    <w:rsid w:val="00B17617"/>
    <w:rsid w:val="00B26C5B"/>
    <w:rsid w:val="00B32868"/>
    <w:rsid w:val="00B3597D"/>
    <w:rsid w:val="00B36747"/>
    <w:rsid w:val="00B40514"/>
    <w:rsid w:val="00B429F5"/>
    <w:rsid w:val="00B4339E"/>
    <w:rsid w:val="00B44933"/>
    <w:rsid w:val="00B4511E"/>
    <w:rsid w:val="00B53E44"/>
    <w:rsid w:val="00B5472A"/>
    <w:rsid w:val="00B730A0"/>
    <w:rsid w:val="00B735A6"/>
    <w:rsid w:val="00B741FD"/>
    <w:rsid w:val="00B757C2"/>
    <w:rsid w:val="00B8293F"/>
    <w:rsid w:val="00B83234"/>
    <w:rsid w:val="00B8396B"/>
    <w:rsid w:val="00B9346F"/>
    <w:rsid w:val="00BA0F56"/>
    <w:rsid w:val="00BA43F8"/>
    <w:rsid w:val="00BA69E7"/>
    <w:rsid w:val="00BB338B"/>
    <w:rsid w:val="00BB358A"/>
    <w:rsid w:val="00BB6C8E"/>
    <w:rsid w:val="00BB7198"/>
    <w:rsid w:val="00BC5249"/>
    <w:rsid w:val="00BC6D6D"/>
    <w:rsid w:val="00BE1704"/>
    <w:rsid w:val="00BE4DF9"/>
    <w:rsid w:val="00BF0F18"/>
    <w:rsid w:val="00C03469"/>
    <w:rsid w:val="00C06F30"/>
    <w:rsid w:val="00C13AF6"/>
    <w:rsid w:val="00C24C1E"/>
    <w:rsid w:val="00C32D6F"/>
    <w:rsid w:val="00C3563A"/>
    <w:rsid w:val="00C36D15"/>
    <w:rsid w:val="00C41884"/>
    <w:rsid w:val="00C41967"/>
    <w:rsid w:val="00C4294F"/>
    <w:rsid w:val="00C530DA"/>
    <w:rsid w:val="00C54B32"/>
    <w:rsid w:val="00C60D8D"/>
    <w:rsid w:val="00C62650"/>
    <w:rsid w:val="00C66B8E"/>
    <w:rsid w:val="00C70D9E"/>
    <w:rsid w:val="00C736B8"/>
    <w:rsid w:val="00C747F2"/>
    <w:rsid w:val="00C749FB"/>
    <w:rsid w:val="00C75091"/>
    <w:rsid w:val="00C90D2F"/>
    <w:rsid w:val="00C91558"/>
    <w:rsid w:val="00C967A5"/>
    <w:rsid w:val="00C96B70"/>
    <w:rsid w:val="00CA08D8"/>
    <w:rsid w:val="00CA1D7C"/>
    <w:rsid w:val="00CA292F"/>
    <w:rsid w:val="00CB3E0F"/>
    <w:rsid w:val="00CB6214"/>
    <w:rsid w:val="00CC37D0"/>
    <w:rsid w:val="00CC464E"/>
    <w:rsid w:val="00CD626F"/>
    <w:rsid w:val="00CE0D1C"/>
    <w:rsid w:val="00CE79BE"/>
    <w:rsid w:val="00CF012C"/>
    <w:rsid w:val="00CF0EAB"/>
    <w:rsid w:val="00D003DC"/>
    <w:rsid w:val="00D00F96"/>
    <w:rsid w:val="00D03B99"/>
    <w:rsid w:val="00D10C17"/>
    <w:rsid w:val="00D14C1D"/>
    <w:rsid w:val="00D21EF9"/>
    <w:rsid w:val="00D271ED"/>
    <w:rsid w:val="00D31304"/>
    <w:rsid w:val="00D330B8"/>
    <w:rsid w:val="00D36E50"/>
    <w:rsid w:val="00D436BE"/>
    <w:rsid w:val="00D46199"/>
    <w:rsid w:val="00D557D4"/>
    <w:rsid w:val="00D7008C"/>
    <w:rsid w:val="00D759C0"/>
    <w:rsid w:val="00D763C5"/>
    <w:rsid w:val="00D771D9"/>
    <w:rsid w:val="00D805C8"/>
    <w:rsid w:val="00D81C93"/>
    <w:rsid w:val="00D871A9"/>
    <w:rsid w:val="00D9121A"/>
    <w:rsid w:val="00D919A2"/>
    <w:rsid w:val="00D92EF6"/>
    <w:rsid w:val="00D973A3"/>
    <w:rsid w:val="00DA4EB2"/>
    <w:rsid w:val="00DA73FB"/>
    <w:rsid w:val="00DB084C"/>
    <w:rsid w:val="00DB1313"/>
    <w:rsid w:val="00DB137A"/>
    <w:rsid w:val="00DB2AFA"/>
    <w:rsid w:val="00DC1187"/>
    <w:rsid w:val="00DC1C8A"/>
    <w:rsid w:val="00DC376D"/>
    <w:rsid w:val="00DD0138"/>
    <w:rsid w:val="00DD0EBE"/>
    <w:rsid w:val="00DD7117"/>
    <w:rsid w:val="00DE048E"/>
    <w:rsid w:val="00DE2A9C"/>
    <w:rsid w:val="00DE2FAE"/>
    <w:rsid w:val="00DF083D"/>
    <w:rsid w:val="00DF08F7"/>
    <w:rsid w:val="00DF2DCC"/>
    <w:rsid w:val="00E0434B"/>
    <w:rsid w:val="00E075B2"/>
    <w:rsid w:val="00E10F6D"/>
    <w:rsid w:val="00E11F87"/>
    <w:rsid w:val="00E2275B"/>
    <w:rsid w:val="00E32493"/>
    <w:rsid w:val="00E356C6"/>
    <w:rsid w:val="00E402FA"/>
    <w:rsid w:val="00E5496E"/>
    <w:rsid w:val="00E6217A"/>
    <w:rsid w:val="00E71FD8"/>
    <w:rsid w:val="00E72B45"/>
    <w:rsid w:val="00E73587"/>
    <w:rsid w:val="00E75A26"/>
    <w:rsid w:val="00E87F2C"/>
    <w:rsid w:val="00E9155C"/>
    <w:rsid w:val="00EA30E1"/>
    <w:rsid w:val="00EB10FD"/>
    <w:rsid w:val="00EC29C0"/>
    <w:rsid w:val="00EC5C85"/>
    <w:rsid w:val="00ED03BE"/>
    <w:rsid w:val="00ED1453"/>
    <w:rsid w:val="00ED36D9"/>
    <w:rsid w:val="00ED5CCF"/>
    <w:rsid w:val="00EE204A"/>
    <w:rsid w:val="00EF1A3C"/>
    <w:rsid w:val="00F12486"/>
    <w:rsid w:val="00F14266"/>
    <w:rsid w:val="00F16BE3"/>
    <w:rsid w:val="00F16FDF"/>
    <w:rsid w:val="00F203AF"/>
    <w:rsid w:val="00F21735"/>
    <w:rsid w:val="00F30A84"/>
    <w:rsid w:val="00F32684"/>
    <w:rsid w:val="00F369A9"/>
    <w:rsid w:val="00F41E61"/>
    <w:rsid w:val="00F458B0"/>
    <w:rsid w:val="00F56A4A"/>
    <w:rsid w:val="00F65D12"/>
    <w:rsid w:val="00F72031"/>
    <w:rsid w:val="00F72DA1"/>
    <w:rsid w:val="00F85EEB"/>
    <w:rsid w:val="00F87351"/>
    <w:rsid w:val="00F94219"/>
    <w:rsid w:val="00FA0A28"/>
    <w:rsid w:val="00FA55BD"/>
    <w:rsid w:val="00FB0387"/>
    <w:rsid w:val="00FB494D"/>
    <w:rsid w:val="00FC05FD"/>
    <w:rsid w:val="00FC42AF"/>
    <w:rsid w:val="00FC6617"/>
    <w:rsid w:val="00FE23E2"/>
    <w:rsid w:val="00FE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85E9"/>
  <w15:docId w15:val="{DCEE626D-9EE9-4AAF-9089-C49946A3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DC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6F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6FD0"/>
    <w:rPr>
      <w:rFonts w:ascii="Palatino Linotype" w:hAnsi="Palatino Linotype"/>
      <w:color w:val="000000" w:themeColor="text1"/>
    </w:rPr>
  </w:style>
  <w:style w:type="paragraph" w:styleId="Piedepgina">
    <w:name w:val="footer"/>
    <w:basedOn w:val="Normal"/>
    <w:link w:val="PiedepginaCar"/>
    <w:uiPriority w:val="99"/>
    <w:unhideWhenUsed/>
    <w:rsid w:val="00576F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6FD0"/>
    <w:rPr>
      <w:rFonts w:ascii="Palatino Linotype" w:hAnsi="Palatino Linotype"/>
      <w:color w:val="000000" w:themeColor="text1"/>
    </w:rPr>
  </w:style>
  <w:style w:type="table" w:styleId="Tablaconcuadrcula">
    <w:name w:val="Table Grid"/>
    <w:basedOn w:val="Tablanormal"/>
    <w:uiPriority w:val="59"/>
    <w:rsid w:val="00576FD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6FD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76FD0"/>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76FD0"/>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576FD0"/>
    <w:rPr>
      <w:color w:val="605E5C"/>
      <w:shd w:val="clear" w:color="auto" w:fill="E1DFDD"/>
    </w:rPr>
  </w:style>
  <w:style w:type="paragraph" w:styleId="Revisin">
    <w:name w:val="Revision"/>
    <w:hidden/>
    <w:uiPriority w:val="99"/>
    <w:semiHidden/>
    <w:rsid w:val="00576FD0"/>
    <w:pPr>
      <w:spacing w:after="0" w:line="240" w:lineRule="auto"/>
    </w:pPr>
    <w:rPr>
      <w:rFonts w:ascii="Palatino Linotype" w:hAnsi="Palatino Linotype"/>
      <w:color w:val="000000" w:themeColor="text1"/>
    </w:rPr>
  </w:style>
  <w:style w:type="character" w:customStyle="1" w:styleId="gmaildefault">
    <w:name w:val="gmail_default"/>
    <w:basedOn w:val="Fuentedeprrafopredeter"/>
    <w:rsid w:val="00576FD0"/>
  </w:style>
  <w:style w:type="character" w:styleId="Hipervnculovisitado">
    <w:name w:val="FollowedHyperlink"/>
    <w:basedOn w:val="Fuentedeprrafopredeter"/>
    <w:uiPriority w:val="99"/>
    <w:semiHidden/>
    <w:unhideWhenUsed/>
    <w:rsid w:val="00BB6C8E"/>
    <w:rPr>
      <w:color w:val="954F72" w:themeColor="followedHyperlink"/>
      <w:u w:val="single"/>
    </w:rPr>
  </w:style>
  <w:style w:type="character" w:customStyle="1" w:styleId="markedcontent">
    <w:name w:val="markedcontent"/>
    <w:basedOn w:val="Fuentedeprrafopredeter"/>
    <w:rsid w:val="00AB6A7F"/>
  </w:style>
  <w:style w:type="paragraph" w:styleId="Textodeglobo">
    <w:name w:val="Balloon Text"/>
    <w:basedOn w:val="Normal"/>
    <w:link w:val="TextodegloboCar"/>
    <w:uiPriority w:val="99"/>
    <w:semiHidden/>
    <w:unhideWhenUsed/>
    <w:rsid w:val="003F1D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D7D"/>
    <w:rPr>
      <w:rFonts w:ascii="Tahoma" w:hAnsi="Tahoma" w:cs="Tahoma"/>
      <w:color w:val="000000" w:themeColor="text1"/>
      <w:sz w:val="16"/>
      <w:szCs w:val="16"/>
    </w:rPr>
  </w:style>
  <w:style w:type="paragraph" w:styleId="Sinespaciado">
    <w:name w:val="No Spacing"/>
    <w:aliases w:val="Francesa,INAI"/>
    <w:link w:val="SinespaciadoCar"/>
    <w:uiPriority w:val="1"/>
    <w:qFormat/>
    <w:rsid w:val="00504893"/>
    <w:pPr>
      <w:spacing w:after="0" w:line="240" w:lineRule="auto"/>
      <w:jc w:val="both"/>
    </w:pPr>
    <w:rPr>
      <w:rFonts w:ascii="Palatino Linotype" w:hAnsi="Palatino Linotype"/>
      <w:color w:val="000000" w:themeColor="text1"/>
    </w:rPr>
  </w:style>
  <w:style w:type="character" w:customStyle="1" w:styleId="SinespaciadoCar">
    <w:name w:val="Sin espaciado Car"/>
    <w:aliases w:val="Francesa Car,INAI Car"/>
    <w:link w:val="Sinespaciado"/>
    <w:uiPriority w:val="1"/>
    <w:locked/>
    <w:rsid w:val="00504893"/>
    <w:rPr>
      <w:rFonts w:ascii="Palatino Linotype" w:hAnsi="Palatino Linotype"/>
      <w:color w:val="000000" w:themeColor="text1"/>
    </w:rPr>
  </w:style>
  <w:style w:type="character" w:customStyle="1" w:styleId="Mencinsinresolver2">
    <w:name w:val="Mención sin resolver2"/>
    <w:basedOn w:val="Fuentedeprrafopredeter"/>
    <w:uiPriority w:val="99"/>
    <w:semiHidden/>
    <w:unhideWhenUsed/>
    <w:rsid w:val="00B32868"/>
    <w:rPr>
      <w:color w:val="605E5C"/>
      <w:shd w:val="clear" w:color="auto" w:fill="E1DFDD"/>
    </w:rPr>
  </w:style>
  <w:style w:type="paragraph" w:styleId="Textonotapie">
    <w:name w:val="footnote text"/>
    <w:basedOn w:val="Normal"/>
    <w:link w:val="TextonotapieCar"/>
    <w:uiPriority w:val="99"/>
    <w:semiHidden/>
    <w:unhideWhenUsed/>
    <w:rsid w:val="005D3C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3CA8"/>
    <w:rPr>
      <w:rFonts w:ascii="Palatino Linotype" w:hAnsi="Palatino Linotype"/>
      <w:color w:val="000000" w:themeColor="text1"/>
      <w:sz w:val="20"/>
      <w:szCs w:val="20"/>
    </w:rPr>
  </w:style>
  <w:style w:type="character" w:styleId="Refdenotaalpie">
    <w:name w:val="footnote reference"/>
    <w:aliases w:val="Ref,de nota al pie,ftref,BVI fnr,16 Point,Superscript 6 Point,(Diplomarbeit FZ),Footnote Reference,Texto de nota al pie,Footnotes refss,Appel note de bas de page,Footnote number,referencia nota al pie,f,4_G,Texto nota al pie"/>
    <w:basedOn w:val="Fuentedeprrafopredeter"/>
    <w:uiPriority w:val="99"/>
    <w:semiHidden/>
    <w:unhideWhenUsed/>
    <w:qFormat/>
    <w:rsid w:val="005D3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707">
      <w:bodyDiv w:val="1"/>
      <w:marLeft w:val="0"/>
      <w:marRight w:val="0"/>
      <w:marTop w:val="0"/>
      <w:marBottom w:val="0"/>
      <w:divBdr>
        <w:top w:val="none" w:sz="0" w:space="0" w:color="auto"/>
        <w:left w:val="none" w:sz="0" w:space="0" w:color="auto"/>
        <w:bottom w:val="none" w:sz="0" w:space="0" w:color="auto"/>
        <w:right w:val="none" w:sz="0" w:space="0" w:color="auto"/>
      </w:divBdr>
    </w:div>
    <w:div w:id="48455393">
      <w:bodyDiv w:val="1"/>
      <w:marLeft w:val="0"/>
      <w:marRight w:val="0"/>
      <w:marTop w:val="0"/>
      <w:marBottom w:val="0"/>
      <w:divBdr>
        <w:top w:val="none" w:sz="0" w:space="0" w:color="auto"/>
        <w:left w:val="none" w:sz="0" w:space="0" w:color="auto"/>
        <w:bottom w:val="none" w:sz="0" w:space="0" w:color="auto"/>
        <w:right w:val="none" w:sz="0" w:space="0" w:color="auto"/>
      </w:divBdr>
    </w:div>
    <w:div w:id="71128374">
      <w:bodyDiv w:val="1"/>
      <w:marLeft w:val="0"/>
      <w:marRight w:val="0"/>
      <w:marTop w:val="0"/>
      <w:marBottom w:val="0"/>
      <w:divBdr>
        <w:top w:val="none" w:sz="0" w:space="0" w:color="auto"/>
        <w:left w:val="none" w:sz="0" w:space="0" w:color="auto"/>
        <w:bottom w:val="none" w:sz="0" w:space="0" w:color="auto"/>
        <w:right w:val="none" w:sz="0" w:space="0" w:color="auto"/>
      </w:divBdr>
    </w:div>
    <w:div w:id="153952830">
      <w:bodyDiv w:val="1"/>
      <w:marLeft w:val="0"/>
      <w:marRight w:val="0"/>
      <w:marTop w:val="0"/>
      <w:marBottom w:val="0"/>
      <w:divBdr>
        <w:top w:val="none" w:sz="0" w:space="0" w:color="auto"/>
        <w:left w:val="none" w:sz="0" w:space="0" w:color="auto"/>
        <w:bottom w:val="none" w:sz="0" w:space="0" w:color="auto"/>
        <w:right w:val="none" w:sz="0" w:space="0" w:color="auto"/>
      </w:divBdr>
    </w:div>
    <w:div w:id="172847065">
      <w:bodyDiv w:val="1"/>
      <w:marLeft w:val="0"/>
      <w:marRight w:val="0"/>
      <w:marTop w:val="0"/>
      <w:marBottom w:val="0"/>
      <w:divBdr>
        <w:top w:val="none" w:sz="0" w:space="0" w:color="auto"/>
        <w:left w:val="none" w:sz="0" w:space="0" w:color="auto"/>
        <w:bottom w:val="none" w:sz="0" w:space="0" w:color="auto"/>
        <w:right w:val="none" w:sz="0" w:space="0" w:color="auto"/>
      </w:divBdr>
    </w:div>
    <w:div w:id="284039904">
      <w:bodyDiv w:val="1"/>
      <w:marLeft w:val="0"/>
      <w:marRight w:val="0"/>
      <w:marTop w:val="0"/>
      <w:marBottom w:val="0"/>
      <w:divBdr>
        <w:top w:val="none" w:sz="0" w:space="0" w:color="auto"/>
        <w:left w:val="none" w:sz="0" w:space="0" w:color="auto"/>
        <w:bottom w:val="none" w:sz="0" w:space="0" w:color="auto"/>
        <w:right w:val="none" w:sz="0" w:space="0" w:color="auto"/>
      </w:divBdr>
    </w:div>
    <w:div w:id="389547092">
      <w:bodyDiv w:val="1"/>
      <w:marLeft w:val="0"/>
      <w:marRight w:val="0"/>
      <w:marTop w:val="0"/>
      <w:marBottom w:val="0"/>
      <w:divBdr>
        <w:top w:val="none" w:sz="0" w:space="0" w:color="auto"/>
        <w:left w:val="none" w:sz="0" w:space="0" w:color="auto"/>
        <w:bottom w:val="none" w:sz="0" w:space="0" w:color="auto"/>
        <w:right w:val="none" w:sz="0" w:space="0" w:color="auto"/>
      </w:divBdr>
    </w:div>
    <w:div w:id="585771753">
      <w:bodyDiv w:val="1"/>
      <w:marLeft w:val="0"/>
      <w:marRight w:val="0"/>
      <w:marTop w:val="0"/>
      <w:marBottom w:val="0"/>
      <w:divBdr>
        <w:top w:val="none" w:sz="0" w:space="0" w:color="auto"/>
        <w:left w:val="none" w:sz="0" w:space="0" w:color="auto"/>
        <w:bottom w:val="none" w:sz="0" w:space="0" w:color="auto"/>
        <w:right w:val="none" w:sz="0" w:space="0" w:color="auto"/>
      </w:divBdr>
    </w:div>
    <w:div w:id="600184315">
      <w:bodyDiv w:val="1"/>
      <w:marLeft w:val="0"/>
      <w:marRight w:val="0"/>
      <w:marTop w:val="0"/>
      <w:marBottom w:val="0"/>
      <w:divBdr>
        <w:top w:val="none" w:sz="0" w:space="0" w:color="auto"/>
        <w:left w:val="none" w:sz="0" w:space="0" w:color="auto"/>
        <w:bottom w:val="none" w:sz="0" w:space="0" w:color="auto"/>
        <w:right w:val="none" w:sz="0" w:space="0" w:color="auto"/>
      </w:divBdr>
    </w:div>
    <w:div w:id="682391148">
      <w:bodyDiv w:val="1"/>
      <w:marLeft w:val="0"/>
      <w:marRight w:val="0"/>
      <w:marTop w:val="0"/>
      <w:marBottom w:val="0"/>
      <w:divBdr>
        <w:top w:val="none" w:sz="0" w:space="0" w:color="auto"/>
        <w:left w:val="none" w:sz="0" w:space="0" w:color="auto"/>
        <w:bottom w:val="none" w:sz="0" w:space="0" w:color="auto"/>
        <w:right w:val="none" w:sz="0" w:space="0" w:color="auto"/>
      </w:divBdr>
    </w:div>
    <w:div w:id="724566743">
      <w:bodyDiv w:val="1"/>
      <w:marLeft w:val="0"/>
      <w:marRight w:val="0"/>
      <w:marTop w:val="0"/>
      <w:marBottom w:val="0"/>
      <w:divBdr>
        <w:top w:val="none" w:sz="0" w:space="0" w:color="auto"/>
        <w:left w:val="none" w:sz="0" w:space="0" w:color="auto"/>
        <w:bottom w:val="none" w:sz="0" w:space="0" w:color="auto"/>
        <w:right w:val="none" w:sz="0" w:space="0" w:color="auto"/>
      </w:divBdr>
    </w:div>
    <w:div w:id="875581395">
      <w:bodyDiv w:val="1"/>
      <w:marLeft w:val="0"/>
      <w:marRight w:val="0"/>
      <w:marTop w:val="0"/>
      <w:marBottom w:val="0"/>
      <w:divBdr>
        <w:top w:val="none" w:sz="0" w:space="0" w:color="auto"/>
        <w:left w:val="none" w:sz="0" w:space="0" w:color="auto"/>
        <w:bottom w:val="none" w:sz="0" w:space="0" w:color="auto"/>
        <w:right w:val="none" w:sz="0" w:space="0" w:color="auto"/>
      </w:divBdr>
    </w:div>
    <w:div w:id="977304547">
      <w:bodyDiv w:val="1"/>
      <w:marLeft w:val="0"/>
      <w:marRight w:val="0"/>
      <w:marTop w:val="0"/>
      <w:marBottom w:val="0"/>
      <w:divBdr>
        <w:top w:val="none" w:sz="0" w:space="0" w:color="auto"/>
        <w:left w:val="none" w:sz="0" w:space="0" w:color="auto"/>
        <w:bottom w:val="none" w:sz="0" w:space="0" w:color="auto"/>
        <w:right w:val="none" w:sz="0" w:space="0" w:color="auto"/>
      </w:divBdr>
    </w:div>
    <w:div w:id="1077706279">
      <w:bodyDiv w:val="1"/>
      <w:marLeft w:val="0"/>
      <w:marRight w:val="0"/>
      <w:marTop w:val="0"/>
      <w:marBottom w:val="0"/>
      <w:divBdr>
        <w:top w:val="none" w:sz="0" w:space="0" w:color="auto"/>
        <w:left w:val="none" w:sz="0" w:space="0" w:color="auto"/>
        <w:bottom w:val="none" w:sz="0" w:space="0" w:color="auto"/>
        <w:right w:val="none" w:sz="0" w:space="0" w:color="auto"/>
      </w:divBdr>
    </w:div>
    <w:div w:id="1214854662">
      <w:bodyDiv w:val="1"/>
      <w:marLeft w:val="0"/>
      <w:marRight w:val="0"/>
      <w:marTop w:val="0"/>
      <w:marBottom w:val="0"/>
      <w:divBdr>
        <w:top w:val="none" w:sz="0" w:space="0" w:color="auto"/>
        <w:left w:val="none" w:sz="0" w:space="0" w:color="auto"/>
        <w:bottom w:val="none" w:sz="0" w:space="0" w:color="auto"/>
        <w:right w:val="none" w:sz="0" w:space="0" w:color="auto"/>
      </w:divBdr>
    </w:div>
    <w:div w:id="1291978675">
      <w:bodyDiv w:val="1"/>
      <w:marLeft w:val="0"/>
      <w:marRight w:val="0"/>
      <w:marTop w:val="0"/>
      <w:marBottom w:val="0"/>
      <w:divBdr>
        <w:top w:val="none" w:sz="0" w:space="0" w:color="auto"/>
        <w:left w:val="none" w:sz="0" w:space="0" w:color="auto"/>
        <w:bottom w:val="none" w:sz="0" w:space="0" w:color="auto"/>
        <w:right w:val="none" w:sz="0" w:space="0" w:color="auto"/>
      </w:divBdr>
    </w:div>
    <w:div w:id="1565750034">
      <w:bodyDiv w:val="1"/>
      <w:marLeft w:val="0"/>
      <w:marRight w:val="0"/>
      <w:marTop w:val="0"/>
      <w:marBottom w:val="0"/>
      <w:divBdr>
        <w:top w:val="none" w:sz="0" w:space="0" w:color="auto"/>
        <w:left w:val="none" w:sz="0" w:space="0" w:color="auto"/>
        <w:bottom w:val="none" w:sz="0" w:space="0" w:color="auto"/>
        <w:right w:val="none" w:sz="0" w:space="0" w:color="auto"/>
      </w:divBdr>
    </w:div>
    <w:div w:id="1587030213">
      <w:bodyDiv w:val="1"/>
      <w:marLeft w:val="0"/>
      <w:marRight w:val="0"/>
      <w:marTop w:val="0"/>
      <w:marBottom w:val="0"/>
      <w:divBdr>
        <w:top w:val="none" w:sz="0" w:space="0" w:color="auto"/>
        <w:left w:val="none" w:sz="0" w:space="0" w:color="auto"/>
        <w:bottom w:val="none" w:sz="0" w:space="0" w:color="auto"/>
        <w:right w:val="none" w:sz="0" w:space="0" w:color="auto"/>
      </w:divBdr>
    </w:div>
    <w:div w:id="1600410144">
      <w:bodyDiv w:val="1"/>
      <w:marLeft w:val="0"/>
      <w:marRight w:val="0"/>
      <w:marTop w:val="0"/>
      <w:marBottom w:val="0"/>
      <w:divBdr>
        <w:top w:val="none" w:sz="0" w:space="0" w:color="auto"/>
        <w:left w:val="none" w:sz="0" w:space="0" w:color="auto"/>
        <w:bottom w:val="none" w:sz="0" w:space="0" w:color="auto"/>
        <w:right w:val="none" w:sz="0" w:space="0" w:color="auto"/>
      </w:divBdr>
    </w:div>
    <w:div w:id="1661540975">
      <w:bodyDiv w:val="1"/>
      <w:marLeft w:val="0"/>
      <w:marRight w:val="0"/>
      <w:marTop w:val="0"/>
      <w:marBottom w:val="0"/>
      <w:divBdr>
        <w:top w:val="none" w:sz="0" w:space="0" w:color="auto"/>
        <w:left w:val="none" w:sz="0" w:space="0" w:color="auto"/>
        <w:bottom w:val="none" w:sz="0" w:space="0" w:color="auto"/>
        <w:right w:val="none" w:sz="0" w:space="0" w:color="auto"/>
      </w:divBdr>
    </w:div>
    <w:div w:id="1744836831">
      <w:bodyDiv w:val="1"/>
      <w:marLeft w:val="0"/>
      <w:marRight w:val="0"/>
      <w:marTop w:val="0"/>
      <w:marBottom w:val="0"/>
      <w:divBdr>
        <w:top w:val="none" w:sz="0" w:space="0" w:color="auto"/>
        <w:left w:val="none" w:sz="0" w:space="0" w:color="auto"/>
        <w:bottom w:val="none" w:sz="0" w:space="0" w:color="auto"/>
        <w:right w:val="none" w:sz="0" w:space="0" w:color="auto"/>
      </w:divBdr>
    </w:div>
    <w:div w:id="1746604203">
      <w:bodyDiv w:val="1"/>
      <w:marLeft w:val="0"/>
      <w:marRight w:val="0"/>
      <w:marTop w:val="0"/>
      <w:marBottom w:val="0"/>
      <w:divBdr>
        <w:top w:val="none" w:sz="0" w:space="0" w:color="auto"/>
        <w:left w:val="none" w:sz="0" w:space="0" w:color="auto"/>
        <w:bottom w:val="none" w:sz="0" w:space="0" w:color="auto"/>
        <w:right w:val="none" w:sz="0" w:space="0" w:color="auto"/>
      </w:divBdr>
    </w:div>
    <w:div w:id="1834099996">
      <w:bodyDiv w:val="1"/>
      <w:marLeft w:val="0"/>
      <w:marRight w:val="0"/>
      <w:marTop w:val="0"/>
      <w:marBottom w:val="0"/>
      <w:divBdr>
        <w:top w:val="none" w:sz="0" w:space="0" w:color="auto"/>
        <w:left w:val="none" w:sz="0" w:space="0" w:color="auto"/>
        <w:bottom w:val="none" w:sz="0" w:space="0" w:color="auto"/>
        <w:right w:val="none" w:sz="0" w:space="0" w:color="auto"/>
      </w:divBdr>
    </w:div>
    <w:div w:id="1847211387">
      <w:bodyDiv w:val="1"/>
      <w:marLeft w:val="0"/>
      <w:marRight w:val="0"/>
      <w:marTop w:val="0"/>
      <w:marBottom w:val="0"/>
      <w:divBdr>
        <w:top w:val="none" w:sz="0" w:space="0" w:color="auto"/>
        <w:left w:val="none" w:sz="0" w:space="0" w:color="auto"/>
        <w:bottom w:val="none" w:sz="0" w:space="0" w:color="auto"/>
        <w:right w:val="none" w:sz="0" w:space="0" w:color="auto"/>
      </w:divBdr>
    </w:div>
    <w:div w:id="1884749910">
      <w:bodyDiv w:val="1"/>
      <w:marLeft w:val="0"/>
      <w:marRight w:val="0"/>
      <w:marTop w:val="0"/>
      <w:marBottom w:val="0"/>
      <w:divBdr>
        <w:top w:val="none" w:sz="0" w:space="0" w:color="auto"/>
        <w:left w:val="none" w:sz="0" w:space="0" w:color="auto"/>
        <w:bottom w:val="none" w:sz="0" w:space="0" w:color="auto"/>
        <w:right w:val="none" w:sz="0" w:space="0" w:color="auto"/>
      </w:divBdr>
    </w:div>
    <w:div w:id="1912040468">
      <w:bodyDiv w:val="1"/>
      <w:marLeft w:val="0"/>
      <w:marRight w:val="0"/>
      <w:marTop w:val="0"/>
      <w:marBottom w:val="0"/>
      <w:divBdr>
        <w:top w:val="none" w:sz="0" w:space="0" w:color="auto"/>
        <w:left w:val="none" w:sz="0" w:space="0" w:color="auto"/>
        <w:bottom w:val="none" w:sz="0" w:space="0" w:color="auto"/>
        <w:right w:val="none" w:sz="0" w:space="0" w:color="auto"/>
      </w:divBdr>
    </w:div>
    <w:div w:id="1949391832">
      <w:bodyDiv w:val="1"/>
      <w:marLeft w:val="0"/>
      <w:marRight w:val="0"/>
      <w:marTop w:val="0"/>
      <w:marBottom w:val="0"/>
      <w:divBdr>
        <w:top w:val="none" w:sz="0" w:space="0" w:color="auto"/>
        <w:left w:val="none" w:sz="0" w:space="0" w:color="auto"/>
        <w:bottom w:val="none" w:sz="0" w:space="0" w:color="auto"/>
        <w:right w:val="none" w:sz="0" w:space="0" w:color="auto"/>
      </w:divBdr>
    </w:div>
    <w:div w:id="19540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TZOLOAPAN/art_92_vii/1/0/26060.web" TargetMode="External"/><Relationship Id="rId13" Type="http://schemas.openxmlformats.org/officeDocument/2006/relationships/hyperlink" Target="https://www.otzoloapan.gob.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omex.org.mx/ipo3/lgt/indice/OTZOLOAPAN.we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25ca56a0-05a4-4835-a3b9-6dcdd10ce5d8.filesusr.com/ugd/120beb_8ecad1e7fe5c48f1906dde9d57987a49.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620E-DCB9-476A-9E6A-7F40FB79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4055</Words>
  <Characters>22304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Sandra Ivette Razo De La Paz</cp:lastModifiedBy>
  <cp:revision>4</cp:revision>
  <dcterms:created xsi:type="dcterms:W3CDTF">2021-12-02T17:23:00Z</dcterms:created>
  <dcterms:modified xsi:type="dcterms:W3CDTF">2021-12-02T19:53:00Z</dcterms:modified>
</cp:coreProperties>
</file>