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692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51"/>
        <w:gridCol w:w="4473"/>
        <w:tblGridChange w:id="0">
          <w:tblGrid>
            <w:gridCol w:w="2451"/>
            <w:gridCol w:w="4473"/>
          </w:tblGrid>
        </w:tblGridChange>
      </w:tblGrid>
      <w:tr>
        <w:trPr>
          <w:cantSplit w:val="0"/>
          <w:trHeight w:val="82" w:hRule="atLeast"/>
          <w:tblHeader w:val="0"/>
        </w:trPr>
        <w:tc>
          <w:tcPr/>
          <w:p w:rsidR="00000000" w:rsidDel="00000000" w:rsidP="00000000" w:rsidRDefault="00000000" w:rsidRPr="00000000" w14:paraId="00000003">
            <w:pPr>
              <w:tabs>
                <w:tab w:val="right" w:pos="8838"/>
              </w:tabs>
              <w:ind w:right="-105"/>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w:t>
            </w:r>
          </w:p>
        </w:tc>
        <w:tc>
          <w:tcPr/>
          <w:p w:rsidR="00000000" w:rsidDel="00000000" w:rsidP="00000000" w:rsidRDefault="00000000" w:rsidRPr="00000000" w14:paraId="00000004">
            <w:pPr>
              <w:tabs>
                <w:tab w:val="right" w:pos="8838"/>
              </w:tabs>
              <w:ind w:left="-28"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04089/INFOEM/IP/2021</w:t>
            </w:r>
          </w:p>
        </w:tc>
      </w:tr>
      <w:tr>
        <w:trPr>
          <w:cantSplit w:val="0"/>
          <w:trHeight w:val="82" w:hRule="atLeast"/>
          <w:tblHeader w:val="0"/>
        </w:trPr>
        <w:tc>
          <w:tcPr/>
          <w:p w:rsidR="00000000" w:rsidDel="00000000" w:rsidP="00000000" w:rsidRDefault="00000000" w:rsidRPr="00000000" w14:paraId="00000005">
            <w:pPr>
              <w:tabs>
                <w:tab w:val="right" w:pos="8838"/>
              </w:tabs>
              <w:ind w:right="-105"/>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006">
            <w:pPr>
              <w:tabs>
                <w:tab w:val="right" w:pos="8838"/>
              </w:tabs>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xxxxxxxxxxxxxxxxxxxxxxxxx</w:t>
            </w:r>
          </w:p>
        </w:tc>
      </w:tr>
      <w:tr>
        <w:trPr>
          <w:cantSplit w:val="0"/>
          <w:trHeight w:val="162" w:hRule="atLeast"/>
          <w:tblHeader w:val="0"/>
        </w:trPr>
        <w:tc>
          <w:tcPr/>
          <w:p w:rsidR="00000000" w:rsidDel="00000000" w:rsidP="00000000" w:rsidRDefault="00000000" w:rsidRPr="00000000" w14:paraId="00000007">
            <w:pPr>
              <w:tabs>
                <w:tab w:val="right" w:pos="8838"/>
              </w:tabs>
              <w:ind w:right="-105"/>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008">
            <w:pPr>
              <w:tabs>
                <w:tab w:val="right" w:pos="8838"/>
              </w:tabs>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Instituto de Seguridad Social del Estado de México y Municipios</w:t>
            </w:r>
          </w:p>
        </w:tc>
      </w:tr>
      <w:tr>
        <w:trPr>
          <w:cantSplit w:val="0"/>
          <w:trHeight w:val="47" w:hRule="atLeast"/>
          <w:tblHeader w:val="0"/>
        </w:trPr>
        <w:tc>
          <w:tcPr/>
          <w:p w:rsidR="00000000" w:rsidDel="00000000" w:rsidP="00000000" w:rsidRDefault="00000000" w:rsidRPr="00000000" w14:paraId="00000009">
            <w:pPr>
              <w:tabs>
                <w:tab w:val="right" w:pos="8838"/>
              </w:tabs>
              <w:ind w:right="-105"/>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00A">
            <w:pPr>
              <w:tabs>
                <w:tab w:val="right" w:pos="8838"/>
              </w:tabs>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r w:rsidDel="00000000" w:rsidR="00000000" w:rsidRPr="00000000">
              <w:rPr>
                <w:rtl w:val="0"/>
              </w:rPr>
            </w:r>
          </w:p>
        </w:tc>
      </w:tr>
    </w:tbl>
    <w:p w:rsidR="00000000" w:rsidDel="00000000" w:rsidP="00000000" w:rsidRDefault="00000000" w:rsidRPr="00000000" w14:paraId="0000000B">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de fecha veinticuatro de noviembre de dos mil veintiuno. </w:t>
      </w:r>
    </w:p>
    <w:p w:rsidR="00000000" w:rsidDel="00000000" w:rsidP="00000000" w:rsidRDefault="00000000" w:rsidRPr="00000000" w14:paraId="0000000D">
      <w:pPr>
        <w:spacing w:line="360" w:lineRule="auto"/>
        <w:ind w:right="4585"/>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0E">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VISTO</w:t>
      </w:r>
      <w:r w:rsidDel="00000000" w:rsidR="00000000" w:rsidRPr="00000000">
        <w:rPr>
          <w:rFonts w:ascii="Palatino Linotype" w:cs="Palatino Linotype" w:eastAsia="Palatino Linotype" w:hAnsi="Palatino Linotype"/>
          <w:sz w:val="24"/>
          <w:szCs w:val="24"/>
          <w:rtl w:val="0"/>
        </w:rPr>
        <w:t xml:space="preserve"> el expediente conformado con motivo del Recurso de Revisión</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04089/ISSEMYM/IP/2021; interpuesto por  la </w:t>
      </w:r>
      <w:r w:rsidDel="00000000" w:rsidR="00000000" w:rsidRPr="00000000">
        <w:rPr>
          <w:rFonts w:ascii="Palatino Linotype" w:cs="Palatino Linotype" w:eastAsia="Palatino Linotype" w:hAnsi="Palatino Linotype"/>
          <w:sz w:val="28"/>
          <w:szCs w:val="28"/>
          <w:rtl w:val="0"/>
        </w:rPr>
        <w:t xml:space="preserve">c. </w:t>
      </w:r>
      <w:r w:rsidDel="00000000" w:rsidR="00000000" w:rsidRPr="00000000">
        <w:rPr>
          <w:rFonts w:ascii="Palatino Linotype" w:cs="Palatino Linotype" w:eastAsia="Palatino Linotype" w:hAnsi="Palatino Linotype"/>
          <w:sz w:val="24"/>
          <w:szCs w:val="24"/>
          <w:rtl w:val="0"/>
        </w:rPr>
        <w:t xml:space="preserve">xxxxxxxxxxxxxxxxxxxxxxxxx, en lo sucesivo se le denominará la Recurrente o Particular, en contra de la respuesta del Sujeto Obligado Instituto de Seguridad Social del Estado de México y Municipios, se emite la presente Resolución, con base en los Antecedentes y Considerandos que a continuación se exponen:</w:t>
      </w:r>
    </w:p>
    <w:p w:rsidR="00000000" w:rsidDel="00000000" w:rsidP="00000000" w:rsidRDefault="00000000" w:rsidRPr="00000000" w14:paraId="0000000F">
      <w:pPr>
        <w:tabs>
          <w:tab w:val="center" w:pos="4522"/>
          <w:tab w:val="left" w:pos="7245"/>
          <w:tab w:val="right" w:pos="9044"/>
        </w:tabs>
        <w:spacing w:line="360"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10">
      <w:pPr>
        <w:tabs>
          <w:tab w:val="center" w:pos="4522"/>
          <w:tab w:val="left" w:pos="7245"/>
          <w:tab w:val="right" w:pos="9044"/>
        </w:tabs>
        <w:spacing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ANTECEDENTES</w:t>
      </w:r>
    </w:p>
    <w:p w:rsidR="00000000" w:rsidDel="00000000" w:rsidP="00000000" w:rsidRDefault="00000000" w:rsidRPr="00000000" w14:paraId="00000011">
      <w:pPr>
        <w:tabs>
          <w:tab w:val="center" w:pos="4522"/>
          <w:tab w:val="left" w:pos="7245"/>
          <w:tab w:val="right" w:pos="9044"/>
        </w:tabs>
        <w:spacing w:line="360"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0" w:before="0" w:line="360" w:lineRule="auto"/>
        <w:ind w:left="1080" w:right="0" w:hanging="108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Presentación de la solicitud de información. </w:t>
      </w:r>
    </w:p>
    <w:p w:rsidR="00000000" w:rsidDel="00000000" w:rsidP="00000000" w:rsidRDefault="00000000" w:rsidRPr="00000000" w14:paraId="00000013">
      <w:pPr>
        <w:tabs>
          <w:tab w:val="left" w:pos="567"/>
        </w:tabs>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14">
      <w:pPr>
        <w:tabs>
          <w:tab w:val="left" w:pos="4667"/>
        </w:tabs>
        <w:spacing w:line="360" w:lineRule="auto"/>
        <w:ind w:right="-28"/>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fecha veintiuno de julio de dos mil veintiuno, la Particular presentó una solicitud de acceso a la información pública, número 00544/ISSEMYM/IP/2021 a través del SAIMEX, ante el Instituto de Seguridad Social del Estado de México y Municipios, mediante la cual requirió lo siguiente: </w:t>
      </w:r>
    </w:p>
    <w:p w:rsidR="00000000" w:rsidDel="00000000" w:rsidP="00000000" w:rsidRDefault="00000000" w:rsidRPr="00000000" w14:paraId="00000015">
      <w:pPr>
        <w:tabs>
          <w:tab w:val="left" w:pos="4667"/>
        </w:tabs>
        <w:spacing w:line="360" w:lineRule="auto"/>
        <w:ind w:right="567"/>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6">
      <w:pPr>
        <w:tabs>
          <w:tab w:val="left" w:pos="4667"/>
        </w:tabs>
        <w:spacing w:line="360" w:lineRule="auto"/>
        <w:ind w:left="567" w:right="567" w:firstLine="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DESCRIPCIÓN CLARA Y PRECISA DE LA INFORMACIÓN SOLICITADA</w:t>
      </w:r>
    </w:p>
    <w:p w:rsidR="00000000" w:rsidDel="00000000" w:rsidP="00000000" w:rsidRDefault="00000000" w:rsidRPr="00000000" w14:paraId="00000017">
      <w:pPr>
        <w:tabs>
          <w:tab w:val="left" w:pos="4667"/>
        </w:tabs>
        <w:spacing w:line="360" w:lineRule="auto"/>
        <w:ind w:left="567" w:right="567"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ab/>
      </w:r>
    </w:p>
    <w:p w:rsidR="00000000" w:rsidDel="00000000" w:rsidP="00000000" w:rsidRDefault="00000000" w:rsidRPr="00000000" w14:paraId="00000018">
      <w:pPr>
        <w:tabs>
          <w:tab w:val="left" w:pos="4667"/>
        </w:tabs>
        <w:spacing w:line="360" w:lineRule="auto"/>
        <w:ind w:left="567" w:right="567"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“SOLICITO COPIA SIMPLE EN FISICO Y DE MANERA ELECTRONICA, DE LOS EXPEDIENTES CLINICOS COMPLETOS, DE MI ESPOSO DE NOMBRE, […] CON NUMERO DE CLAVE DE ISSEMYM  […] QUIEN FUE ATENDIDO EN EL HOSPITAL REGIONAL DE TENANCINGO Y POSTERIORMENTE TRASLADADO EN EL HOSPITAL REGIONAL DE TLANEPANTLA Y QUE FALLECIERA </w:t>
      </w:r>
      <w:r w:rsidDel="00000000" w:rsidR="00000000" w:rsidRPr="00000000">
        <w:rPr>
          <w:rFonts w:ascii="Palatino Linotype" w:cs="Palatino Linotype" w:eastAsia="Palatino Linotype" w:hAnsi="Palatino Linotype"/>
          <w:sz w:val="24"/>
          <w:szCs w:val="24"/>
          <w:rtl w:val="0"/>
        </w:rPr>
        <w:t xml:space="preserve">xxxxxxxxxxxxxxxxxxxxxxxxx</w:t>
      </w:r>
      <w:r w:rsidDel="00000000" w:rsidR="00000000" w:rsidRPr="00000000">
        <w:rPr>
          <w:rFonts w:ascii="Palatino Linotype" w:cs="Palatino Linotype" w:eastAsia="Palatino Linotype" w:hAnsi="Palatino Linotype"/>
          <w:i w:val="1"/>
          <w:sz w:val="24"/>
          <w:szCs w:val="24"/>
          <w:rtl w:val="0"/>
        </w:rPr>
        <w:t xml:space="preserve"> YA QUE ME SON REQUERIDOS DICHOS EXPEDIENTES PARA REALIZAR TRAMITES ANTE DIFERENTES ASEGURADORAS DONDE SE ME DESIGNO COMO BENEFICIARIA DE DICHOS SEGUROS ESPERANDO UNA RESPUESTA FAVORABLE A DICHA SOLICTUD QUEDO A SUS ORDENES AL SIGUENTE NUMERO </w:t>
      </w:r>
      <w:r w:rsidDel="00000000" w:rsidR="00000000" w:rsidRPr="00000000">
        <w:rPr>
          <w:rFonts w:ascii="Palatino Linotype" w:cs="Palatino Linotype" w:eastAsia="Palatino Linotype" w:hAnsi="Palatino Linotype"/>
          <w:sz w:val="24"/>
          <w:szCs w:val="24"/>
          <w:rtl w:val="0"/>
        </w:rPr>
        <w:t xml:space="preserve">xxxxxxxxxxxxxxxxxxxxxxxxx</w:t>
      </w:r>
      <w:r w:rsidDel="00000000" w:rsidR="00000000" w:rsidRPr="00000000">
        <w:rPr>
          <w:rFonts w:ascii="Palatino Linotype" w:cs="Palatino Linotype" w:eastAsia="Palatino Linotype" w:hAnsi="Palatino Linotype"/>
          <w:i w:val="1"/>
          <w:sz w:val="24"/>
          <w:szCs w:val="24"/>
          <w:rtl w:val="0"/>
        </w:rPr>
        <w:t xml:space="preserve"> … (sic)</w:t>
      </w:r>
    </w:p>
    <w:p w:rsidR="00000000" w:rsidDel="00000000" w:rsidP="00000000" w:rsidRDefault="00000000" w:rsidRPr="00000000" w14:paraId="00000019">
      <w:pPr>
        <w:tabs>
          <w:tab w:val="left" w:pos="4667"/>
        </w:tabs>
        <w:spacing w:line="360" w:lineRule="auto"/>
        <w:ind w:left="567" w:right="567" w:firstLine="0"/>
        <w:jc w:val="both"/>
        <w:rPr>
          <w:rFonts w:ascii="Palatino Linotype" w:cs="Palatino Linotype" w:eastAsia="Palatino Linotype" w:hAnsi="Palatino Linotype"/>
          <w:b w:val="1"/>
          <w:i w:val="1"/>
          <w:sz w:val="24"/>
          <w:szCs w:val="24"/>
        </w:rPr>
      </w:pPr>
      <w:r w:rsidDel="00000000" w:rsidR="00000000" w:rsidRPr="00000000">
        <w:rPr>
          <w:rtl w:val="0"/>
        </w:rPr>
      </w:r>
    </w:p>
    <w:p w:rsidR="00000000" w:rsidDel="00000000" w:rsidP="00000000" w:rsidRDefault="00000000" w:rsidRPr="00000000" w14:paraId="0000001A">
      <w:pPr>
        <w:tabs>
          <w:tab w:val="left" w:pos="4667"/>
        </w:tabs>
        <w:spacing w:line="360" w:lineRule="auto"/>
        <w:ind w:left="567" w:right="567" w:firstLine="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MODALIDAD DE ENTREGA</w:t>
      </w:r>
    </w:p>
    <w:p w:rsidR="00000000" w:rsidDel="00000000" w:rsidP="00000000" w:rsidRDefault="00000000" w:rsidRPr="00000000" w14:paraId="0000001B">
      <w:pPr>
        <w:tabs>
          <w:tab w:val="left" w:pos="4667"/>
        </w:tabs>
        <w:spacing w:line="360" w:lineRule="auto"/>
        <w:ind w:left="567" w:right="567"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Copias Simples(con costo).</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tabs>
          <w:tab w:val="left" w:pos="567"/>
        </w:tabs>
        <w:spacing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II. Solicitud de aclaración.</w:t>
      </w:r>
    </w:p>
    <w:p w:rsidR="00000000" w:rsidDel="00000000" w:rsidP="00000000" w:rsidRDefault="00000000" w:rsidRPr="00000000" w14:paraId="0000001E">
      <w:pPr>
        <w:tabs>
          <w:tab w:val="left" w:pos="567"/>
        </w:tabs>
        <w:spacing w:line="360" w:lineRule="auto"/>
        <w:jc w:val="both"/>
        <w:rPr>
          <w:rFonts w:ascii="Palatino Linotype" w:cs="Palatino Linotype" w:eastAsia="Palatino Linotype" w:hAnsi="Palatino Linotype"/>
          <w:b w:val="1"/>
          <w:color w:val="ff0000"/>
          <w:sz w:val="24"/>
          <w:szCs w:val="24"/>
        </w:rPr>
      </w:pPr>
      <w:r w:rsidDel="00000000" w:rsidR="00000000" w:rsidRPr="00000000">
        <w:rPr>
          <w:rtl w:val="0"/>
        </w:rPr>
      </w:r>
    </w:p>
    <w:p w:rsidR="00000000" w:rsidDel="00000000" w:rsidP="00000000" w:rsidRDefault="00000000" w:rsidRPr="00000000" w14:paraId="0000001F">
      <w:pPr>
        <w:tabs>
          <w:tab w:val="left" w:pos="4667"/>
        </w:tabs>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fecha tres de agosto de dos mil veintiuno, el Sujeto Obligado solicitó a la Particular una aclaración sobre su solicitud de información, en términos de un archivo en formato </w:t>
      </w:r>
      <w:r w:rsidDel="00000000" w:rsidR="00000000" w:rsidRPr="00000000">
        <w:rPr>
          <w:rFonts w:ascii="Palatino Linotype" w:cs="Palatino Linotype" w:eastAsia="Palatino Linotype" w:hAnsi="Palatino Linotype"/>
          <w:i w:val="1"/>
          <w:sz w:val="24"/>
          <w:szCs w:val="24"/>
          <w:rtl w:val="0"/>
        </w:rPr>
        <w:t xml:space="preserve">pdf</w:t>
      </w:r>
      <w:r w:rsidDel="00000000" w:rsidR="00000000" w:rsidRPr="00000000">
        <w:rPr>
          <w:rFonts w:ascii="Palatino Linotype" w:cs="Palatino Linotype" w:eastAsia="Palatino Linotype" w:hAnsi="Palatino Linotype"/>
          <w:sz w:val="24"/>
          <w:szCs w:val="24"/>
          <w:rtl w:val="0"/>
        </w:rPr>
        <w:t xml:space="preserve">, en el que medularmente le solicitó lo siguiente:</w:t>
      </w:r>
    </w:p>
    <w:p w:rsidR="00000000" w:rsidDel="00000000" w:rsidP="00000000" w:rsidRDefault="00000000" w:rsidRPr="00000000" w14:paraId="00000020">
      <w:pPr>
        <w:tabs>
          <w:tab w:val="left" w:pos="4667"/>
        </w:tabs>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1">
      <w:pPr>
        <w:tabs>
          <w:tab w:val="left" w:pos="4667"/>
        </w:tabs>
        <w:spacing w:line="360" w:lineRule="auto"/>
        <w:ind w:left="567" w:right="616"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22">
      <w:pPr>
        <w:tabs>
          <w:tab w:val="left" w:pos="4667"/>
        </w:tabs>
        <w:spacing w:line="360" w:lineRule="auto"/>
        <w:ind w:left="567" w:right="616" w:firstLine="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d) Requerimiento para que el solicitante presente documento, mediante el cual acredite su personalidad como titular de los datos personales o su representante legal, o en su caso, los datos no claros de la solicitud, respecto de la cual requiere su acceso, rectificación o cancelación.</w:t>
      </w:r>
    </w:p>
    <w:p w:rsidR="00000000" w:rsidDel="00000000" w:rsidP="00000000" w:rsidRDefault="00000000" w:rsidRPr="00000000" w14:paraId="00000023">
      <w:pPr>
        <w:tabs>
          <w:tab w:val="left" w:pos="4667"/>
        </w:tabs>
        <w:spacing w:line="360" w:lineRule="auto"/>
        <w:ind w:left="567" w:right="616"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24">
      <w:pPr>
        <w:tabs>
          <w:tab w:val="left" w:pos="4667"/>
        </w:tabs>
        <w:spacing w:line="360" w:lineRule="auto"/>
        <w:ind w:left="567" w:right="616"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Por lo anterior, se requiere a el Particular </w:t>
      </w:r>
      <w:r w:rsidDel="00000000" w:rsidR="00000000" w:rsidRPr="00000000">
        <w:rPr>
          <w:rFonts w:ascii="Palatino Linotype" w:cs="Palatino Linotype" w:eastAsia="Palatino Linotype" w:hAnsi="Palatino Linotype"/>
          <w:b w:val="1"/>
          <w:i w:val="1"/>
          <w:sz w:val="24"/>
          <w:szCs w:val="24"/>
          <w:rtl w:val="0"/>
        </w:rPr>
        <w:t xml:space="preserve">presentar a través del Sistema de Acceso a la Información Mexiquense SAIMEX, el documento a través del cual acredite la representación del […], </w:t>
      </w:r>
      <w:r w:rsidDel="00000000" w:rsidR="00000000" w:rsidRPr="00000000">
        <w:rPr>
          <w:rFonts w:ascii="Palatino Linotype" w:cs="Palatino Linotype" w:eastAsia="Palatino Linotype" w:hAnsi="Palatino Linotype"/>
          <w:i w:val="1"/>
          <w:sz w:val="24"/>
          <w:szCs w:val="24"/>
          <w:rtl w:val="0"/>
        </w:rPr>
        <w:t xml:space="preserve">mediante poder notarial especial, o carta poder firmada ante dos testigos especificando que la representación se lo otorgó para el trámite de acceso a datos personales ante el Instituto de Seguridad Social del Estado de México y Municipios; antes del fallecimiento, destacando que en caso de tratarse de datos personales concernientes a personas fallecidas o de quienes hayan sido declaradas judicialmente su presunción de muerte, </w:t>
      </w:r>
      <w:r w:rsidDel="00000000" w:rsidR="00000000" w:rsidRPr="00000000">
        <w:rPr>
          <w:rFonts w:ascii="Palatino Linotype" w:cs="Palatino Linotype" w:eastAsia="Palatino Linotype" w:hAnsi="Palatino Linotype"/>
          <w:b w:val="1"/>
          <w:i w:val="1"/>
          <w:sz w:val="24"/>
          <w:szCs w:val="24"/>
          <w:rtl w:val="0"/>
        </w:rPr>
        <w:t xml:space="preserve">la persona que acredite tener legalmente la representación </w:t>
      </w:r>
      <w:r w:rsidDel="00000000" w:rsidR="00000000" w:rsidRPr="00000000">
        <w:rPr>
          <w:rFonts w:ascii="Palatino Linotype" w:cs="Palatino Linotype" w:eastAsia="Palatino Linotype" w:hAnsi="Palatino Linotype"/>
          <w:i w:val="1"/>
          <w:sz w:val="24"/>
          <w:szCs w:val="24"/>
          <w:rtl w:val="0"/>
        </w:rPr>
        <w:t xml:space="preserve">de conformidad con las leyes aplicables, podrá ejercer los derechos ARCO; </w:t>
      </w:r>
      <w:r w:rsidDel="00000000" w:rsidR="00000000" w:rsidRPr="00000000">
        <w:rPr>
          <w:rFonts w:ascii="Palatino Linotype" w:cs="Palatino Linotype" w:eastAsia="Palatino Linotype" w:hAnsi="Palatino Linotype"/>
          <w:b w:val="1"/>
          <w:i w:val="1"/>
          <w:sz w:val="24"/>
          <w:szCs w:val="24"/>
          <w:rtl w:val="0"/>
        </w:rPr>
        <w:t xml:space="preserve">siempre que el titular de los derechos hubiere expresado fehacientemente su voluntad, en tal sentido, </w:t>
      </w:r>
      <w:r w:rsidDel="00000000" w:rsidR="00000000" w:rsidRPr="00000000">
        <w:rPr>
          <w:rFonts w:ascii="Palatino Linotype" w:cs="Palatino Linotype" w:eastAsia="Palatino Linotype" w:hAnsi="Palatino Linotype"/>
          <w:i w:val="1"/>
          <w:sz w:val="24"/>
          <w:szCs w:val="24"/>
          <w:rtl w:val="0"/>
        </w:rPr>
        <w:t xml:space="preserve">que exista un mandato judicial para dicho efecto, o que el titular haya autorizado dentro de una cláusula del testamento a las personas que podrán ejercer sus derechos ARCO al momento del fallecimiento, con la finalidad de iniciar la búsqueda en los archivos del Instituto de Seguridad Social del Estado de México y Municipios.</w:t>
      </w:r>
    </w:p>
    <w:p w:rsidR="00000000" w:rsidDel="00000000" w:rsidP="00000000" w:rsidRDefault="00000000" w:rsidRPr="00000000" w14:paraId="00000025">
      <w:pPr>
        <w:tabs>
          <w:tab w:val="left" w:pos="4667"/>
        </w:tabs>
        <w:spacing w:line="360" w:lineRule="auto"/>
        <w:ind w:left="567" w:right="616"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26">
      <w:pPr>
        <w:tabs>
          <w:tab w:val="left" w:pos="4667"/>
        </w:tabs>
        <w:spacing w:line="360" w:lineRule="auto"/>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 </w:t>
      </w:r>
    </w:p>
    <w:p w:rsidR="00000000" w:rsidDel="00000000" w:rsidP="00000000" w:rsidRDefault="00000000" w:rsidRPr="00000000" w14:paraId="00000027">
      <w:pPr>
        <w:tabs>
          <w:tab w:val="left" w:pos="4667"/>
        </w:tabs>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III.  Aclaración.</w:t>
      </w:r>
      <w:r w:rsidDel="00000000" w:rsidR="00000000" w:rsidRPr="00000000">
        <w:rPr>
          <w:rtl w:val="0"/>
        </w:rPr>
      </w:r>
    </w:p>
    <w:p w:rsidR="00000000" w:rsidDel="00000000" w:rsidP="00000000" w:rsidRDefault="00000000" w:rsidRPr="00000000" w14:paraId="00000028">
      <w:pPr>
        <w:tabs>
          <w:tab w:val="left" w:pos="4667"/>
        </w:tabs>
        <w:spacing w:line="360" w:lineRule="auto"/>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29">
      <w:pPr>
        <w:tabs>
          <w:tab w:val="left" w:pos="4667"/>
        </w:tabs>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fecha trece de agosto de dos mil veintiuno, a través del Sistema de Acceso, Rectificación, Cancelación y Oposición de Datos Personales del Estado de México (SARCOEM), la particular refirió “</w:t>
      </w:r>
      <w:r w:rsidDel="00000000" w:rsidR="00000000" w:rsidRPr="00000000">
        <w:rPr>
          <w:rFonts w:ascii="Palatino Linotype" w:cs="Palatino Linotype" w:eastAsia="Palatino Linotype" w:hAnsi="Palatino Linotype"/>
          <w:i w:val="1"/>
          <w:sz w:val="24"/>
          <w:szCs w:val="24"/>
          <w:rtl w:val="0"/>
        </w:rPr>
        <w:t xml:space="preserve">… DE ACUERDO A LA SOLICITUD DE ACLARACION QUE ME FUERA SOLICITADA EN FECHA 02 DE AGOSTO DEL PRESENTE AÑO, ADJUNTO A USTEDES, ACTA DE MATRIMONIO, QUE ME UNE CON MI DIFUNTO ESPOSO, ASI COMO LA VOLUNTAD ANTICIPADA DE OTORGARME UN SEGURO DE VIDA, ES POR ELLO QUE ME SOLICITAN EN LA ASEGURADORA TODO EL EXPEDIENTE CLINICO, DE MANERA ELECTRONICA Y DE MANERA FISICA, ESPERANDO SU RESPUESTA FAVORABLE</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2A">
      <w:pPr>
        <w:tabs>
          <w:tab w:val="left" w:pos="4667"/>
        </w:tabs>
        <w:spacing w:line="360" w:lineRule="auto"/>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2B">
      <w:pPr>
        <w:tabs>
          <w:tab w:val="left" w:pos="567"/>
        </w:tabs>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567"/>
        </w:tabs>
        <w:spacing w:after="0" w:before="0" w:line="360" w:lineRule="auto"/>
        <w:ind w:left="720" w:right="0" w:hanging="72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Respuesta del Sujeto Obligado. </w:t>
      </w:r>
    </w:p>
    <w:p w:rsidR="00000000" w:rsidDel="00000000" w:rsidP="00000000" w:rsidRDefault="00000000" w:rsidRPr="00000000" w14:paraId="0000002D">
      <w:pPr>
        <w:tabs>
          <w:tab w:val="left" w:pos="567"/>
        </w:tabs>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E">
      <w:pPr>
        <w:spacing w:line="360" w:lineRule="auto"/>
        <w:ind w:right="-28"/>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fecha dieciocho de agosto de dos mil veintiuno, mediante el Sistema de Acceso a la Información Mexiquense (SAIMEX), la Unidad de Transparencia del  Instituto de Seguridad Social del Estado de México dio respuesta a la particular remitiendo </w:t>
      </w:r>
      <w:r w:rsidDel="00000000" w:rsidR="00000000" w:rsidRPr="00000000">
        <w:rPr>
          <w:rFonts w:ascii="Palatino Linotype" w:cs="Palatino Linotype" w:eastAsia="Palatino Linotype" w:hAnsi="Palatino Linotype"/>
          <w:color w:val="000000"/>
          <w:sz w:val="24"/>
          <w:szCs w:val="24"/>
          <w:rtl w:val="0"/>
        </w:rPr>
        <w:t xml:space="preserve">el acuerdo mediante el cual se determina no dar curso a la solicitud, debido a que no fueron presentados los requerimientos solicitados de conformidad con el artículo 111 de la Ley de Protección de Datos Personales en Posesión de Sujetos Obligados del Estado de México y Municipios; así como en el artículo 59 de los Lineamientos por los que se establecen las políticas, criterios y procedimientos que deberán observar los Sujetos Obligados, para proveer la aplicación e implementación de la Ley de Protección de Datos Personales del Estado de México, que expide el Pleno del Instituto de Transparencia, Acceso a la Información Pública y Protección de Datos Personales del Estado de México y Municipios.</w:t>
      </w:r>
      <w:r w:rsidDel="00000000" w:rsidR="00000000" w:rsidRPr="00000000">
        <w:rPr>
          <w:rtl w:val="0"/>
        </w:rPr>
      </w:r>
    </w:p>
    <w:p w:rsidR="00000000" w:rsidDel="00000000" w:rsidP="00000000" w:rsidRDefault="00000000" w:rsidRPr="00000000" w14:paraId="0000002F">
      <w:pPr>
        <w:spacing w:line="360" w:lineRule="auto"/>
        <w:ind w:left="708" w:right="-28"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30">
      <w:pPr>
        <w:spacing w:line="360" w:lineRule="auto"/>
        <w:ind w:right="-28"/>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Anexos. Adjunto a su respues el Sujeto Obligado remite el archivo denominado “ACUERDO DE DESECHAMIENTO 544.IP.pdf” de cuyo contenido destqaca: </w:t>
      </w:r>
    </w:p>
    <w:p w:rsidR="00000000" w:rsidDel="00000000" w:rsidP="00000000" w:rsidRDefault="00000000" w:rsidRPr="00000000" w14:paraId="00000031">
      <w:pPr>
        <w:spacing w:line="360" w:lineRule="auto"/>
        <w:ind w:right="-28"/>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68" w:right="-28"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considerando lo dispuesto en el artículo 111, de la Ley de Protección de Datos Personales en Posesión de Sujetos Obligados del Estado de México y Municipios, y tóda vez que no se desahogaron los requerimientos anteriormente mencionados, se determina no dar curso a la solicitud de acceso a datos personales, quedando a salvo sus derechos para volver a presentarla; informando que podrá ingresar una nueva solicitud de acceso a datos personales, acreditando el consentimiento y la representación del titular de los datos personales, proporcionando para tal efecto un poder notarial especial, o carta poder firmada ante dos testigos especificando que la representación se le otorgó para el trámite de acceso a datos personales ante el Instituto de Seguridad Social del Estado de México y Municipios;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68" w:right="-2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68" w:right="-28"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de conformidad con el artículo 159 antes citado, se da por ordenamiento el archivo de la presente  solicitud  como concluida; y,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68" w:right="-2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68" w:right="-28"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tiene el derecho a interponer recurso de revisión respectivo, en un término de quince días hábiles, contados a partir del día hábil siguiente a la notificación del presente acuerdo.</w:t>
      </w:r>
    </w:p>
    <w:p w:rsidR="00000000" w:rsidDel="00000000" w:rsidP="00000000" w:rsidRDefault="00000000" w:rsidRPr="00000000" w14:paraId="00000037">
      <w:pPr>
        <w:ind w:left="708" w:right="-28"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38">
      <w:pPr>
        <w:ind w:left="708" w:right="-28"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9">
      <w:pPr>
        <w:spacing w:line="360" w:lineRule="auto"/>
        <w:ind w:right="53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39"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IV. Interposición del Recurso de Revisión. </w:t>
      </w:r>
    </w:p>
    <w:p w:rsidR="00000000" w:rsidDel="00000000" w:rsidP="00000000" w:rsidRDefault="00000000" w:rsidRPr="00000000" w14:paraId="0000003B">
      <w:pPr>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fecha diecinueve de agosto de dos mil veintiuno, se recibió en este Instituto, a través del Sistema de Acceso a la Información Mexiquense (SAIMEX), el Recurso de Revisión, interpuesto por la Particular, en contra de la respuesta del Sujeto Obligado, en los mismos términos como se muestra a continuación: </w:t>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E">
      <w:pPr>
        <w:spacing w:line="360" w:lineRule="auto"/>
        <w:ind w:left="567" w:right="539" w:firstLine="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Acto Impugnado:</w:t>
      </w:r>
    </w:p>
    <w:p w:rsidR="00000000" w:rsidDel="00000000" w:rsidP="00000000" w:rsidRDefault="00000000" w:rsidRPr="00000000" w14:paraId="0000003F">
      <w:pPr>
        <w:spacing w:line="360" w:lineRule="auto"/>
        <w:ind w:left="567" w:right="539"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“SE ME NEGO LA INFORMACIÓN.”</w:t>
      </w:r>
    </w:p>
    <w:p w:rsidR="00000000" w:rsidDel="00000000" w:rsidP="00000000" w:rsidRDefault="00000000" w:rsidRPr="00000000" w14:paraId="00000040">
      <w:pPr>
        <w:spacing w:line="360" w:lineRule="auto"/>
        <w:ind w:left="567" w:right="539"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41">
      <w:pPr>
        <w:spacing w:line="360" w:lineRule="auto"/>
        <w:ind w:left="567" w:right="539" w:firstLine="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Razones o motivos de la inconformidad:</w:t>
      </w:r>
    </w:p>
    <w:p w:rsidR="00000000" w:rsidDel="00000000" w:rsidP="00000000" w:rsidRDefault="00000000" w:rsidRPr="00000000" w14:paraId="00000042">
      <w:pPr>
        <w:ind w:left="567" w:right="539"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“Que el día 2 de agosto del año en curso, solicite copias simples de todo el expediente clínico, así como de manera electrónica (cd) de mi esposo de nombre </w:t>
      </w:r>
      <w:r w:rsidDel="00000000" w:rsidR="00000000" w:rsidRPr="00000000">
        <w:rPr>
          <w:rFonts w:ascii="Palatino Linotype" w:cs="Palatino Linotype" w:eastAsia="Palatino Linotype" w:hAnsi="Palatino Linotype"/>
          <w:sz w:val="24"/>
          <w:szCs w:val="24"/>
          <w:rtl w:val="0"/>
        </w:rPr>
        <w:t xml:space="preserve">xxxxxxxxxxxxxxxxxxxxxxxxx</w:t>
      </w:r>
      <w:r w:rsidDel="00000000" w:rsidR="00000000" w:rsidRPr="00000000">
        <w:rPr>
          <w:rFonts w:ascii="Palatino Linotype" w:cs="Palatino Linotype" w:eastAsia="Palatino Linotype" w:hAnsi="Palatino Linotype"/>
          <w:i w:val="1"/>
          <w:sz w:val="24"/>
          <w:szCs w:val="24"/>
          <w:rtl w:val="0"/>
        </w:rPr>
        <w:t xml:space="preserve"> quien fuera atendido en el Hospital Regional de Tenancingo y en el Hospital Regional de Tlalnepantla, solicitud que me fuera asignado el siguiente Folio : 00544/ISSEMYM/IP/2021 Posteriormente la Unidad de Transparencia del Sujeto Obligado, me requirió complementar mi solicitud, debido a que no anexé el documento mediante el cual mi finado esposo </w:t>
      </w:r>
      <w:r w:rsidDel="00000000" w:rsidR="00000000" w:rsidRPr="00000000">
        <w:rPr>
          <w:rFonts w:ascii="Palatino Linotype" w:cs="Palatino Linotype" w:eastAsia="Palatino Linotype" w:hAnsi="Palatino Linotype"/>
          <w:sz w:val="24"/>
          <w:szCs w:val="24"/>
          <w:rtl w:val="0"/>
        </w:rPr>
        <w:t xml:space="preserve">xxxxxxxxxxxxxxxxxxxxxxxxx</w:t>
      </w:r>
      <w:r w:rsidDel="00000000" w:rsidR="00000000" w:rsidRPr="00000000">
        <w:rPr>
          <w:rFonts w:ascii="Palatino Linotype" w:cs="Palatino Linotype" w:eastAsia="Palatino Linotype" w:hAnsi="Palatino Linotype"/>
          <w:i w:val="1"/>
          <w:sz w:val="24"/>
          <w:szCs w:val="24"/>
          <w:rtl w:val="0"/>
        </w:rPr>
        <w:t xml:space="preserve">, haya expresado su voluntad para que yo pudiera acceder a sus datos personales, es importante mencionar que no cuento con el referido documento en los términos solicitados, no obstante, el Artículo 106 de la Ley de Acceso a Datos Personales del Estado de México se señala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de lo anterior se destaca que, que la información que se solicita es precisamente para el trámite del cobro del seguro, lo que resulta contradictorio con la fundamentación invocada por la responsable en atención a que no se están ejerciendo Derechos ARCO. Asimismo,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y jurídico. por tal motivo como lo acredito en este momento como lo es con, acta de matrimonio que me une con mi esposo, así como la póliza del seguro de vida, donde aparezco como beneficiaria del mismo, de igual manera la carta testamentaria del issemym, donde de la misma forma me designa como beneficiaria, es por ello que solicito que me sea otorgada dicha información,.”</w:t>
      </w:r>
    </w:p>
    <w:p w:rsidR="00000000" w:rsidDel="00000000" w:rsidP="00000000" w:rsidRDefault="00000000" w:rsidRPr="00000000" w14:paraId="00000043">
      <w:pPr>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Anexos. </w:t>
      </w:r>
      <w:r w:rsidDel="00000000" w:rsidR="00000000" w:rsidRPr="00000000">
        <w:rPr>
          <w:rFonts w:ascii="Palatino Linotype" w:cs="Palatino Linotype" w:eastAsia="Palatino Linotype" w:hAnsi="Palatino Linotype"/>
          <w:sz w:val="24"/>
          <w:szCs w:val="24"/>
          <w:rtl w:val="0"/>
        </w:rPr>
        <w:t xml:space="preserve">Adjunto al formato de su recurso de revisión la particular</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remitió al Sujeto Obligado documentales privadas diversas, entre las que se encuentran póliza de seguro contratada con la empresa GNP,  acta de matrimonio de la solicitante y el titular de los datos personales, así como carta testamentaria expedida por el ISSEMyM de la cual se precisa como beneficiaria a la ahora recurrente. </w:t>
      </w:r>
    </w:p>
    <w:p w:rsidR="00000000" w:rsidDel="00000000" w:rsidP="00000000" w:rsidRDefault="00000000" w:rsidRPr="00000000" w14:paraId="00000045">
      <w:pPr>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IV. Trámite del Recurso de Revisión ante el Instituto.</w:t>
      </w:r>
    </w:p>
    <w:p w:rsidR="00000000" w:rsidDel="00000000" w:rsidP="00000000" w:rsidRDefault="00000000" w:rsidRPr="00000000" w14:paraId="00000047">
      <w:pPr>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 Turno del Recurso de Revisión. </w:t>
      </w:r>
    </w:p>
    <w:p w:rsidR="00000000" w:rsidDel="00000000" w:rsidP="00000000" w:rsidRDefault="00000000" w:rsidRPr="00000000" w14:paraId="00000049">
      <w:pPr>
        <w:tabs>
          <w:tab w:val="right" w:pos="8838"/>
        </w:tabs>
        <w:spacing w:line="360" w:lineRule="auto"/>
        <w:ind w:left="-28" w:right="171"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A">
      <w:pPr>
        <w:tabs>
          <w:tab w:val="right" w:pos="8838"/>
        </w:tabs>
        <w:spacing w:line="360" w:lineRule="auto"/>
        <w:ind w:left="-28" w:right="171" w:firstLine="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Con fecha diecinueve de agosto de dos mil veintiuno, el Sistema de Acceso a la Información Mexiquense (SAIMEX), asignó el número de expediente </w:t>
      </w:r>
      <w:r w:rsidDel="00000000" w:rsidR="00000000" w:rsidRPr="00000000">
        <w:rPr>
          <w:rFonts w:ascii="Palatino Linotype" w:cs="Palatino Linotype" w:eastAsia="Palatino Linotype" w:hAnsi="Palatino Linotype"/>
          <w:b w:val="1"/>
          <w:sz w:val="24"/>
          <w:szCs w:val="24"/>
          <w:rtl w:val="0"/>
        </w:rPr>
        <w:t xml:space="preserve">04089/ISSEMYM/IP/2021, </w:t>
      </w:r>
      <w:r w:rsidDel="00000000" w:rsidR="00000000" w:rsidRPr="00000000">
        <w:rPr>
          <w:rFonts w:ascii="Palatino Linotype" w:cs="Palatino Linotype" w:eastAsia="Palatino Linotype" w:hAnsi="Palatino Linotype"/>
          <w:sz w:val="24"/>
          <w:szCs w:val="24"/>
          <w:rtl w:val="0"/>
        </w:rPr>
        <w:t xml:space="preserve">al medio de impugnación que nos ocupa, con base en el sistema aprobado por el Pleno de este Órgano Garante y lo turnó al entonces Comisionado Javier Martínez Cruz, para los efectos del artículo 185, fracción I,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4B">
      <w:pPr>
        <w:spacing w:line="360" w:lineRule="auto"/>
        <w:ind w:right="-28"/>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C">
      <w:pPr>
        <w:spacing w:line="360" w:lineRule="auto"/>
        <w:ind w:right="-28"/>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b) Returno. </w:t>
      </w: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b w:val="1"/>
          <w:sz w:val="24"/>
          <w:szCs w:val="24"/>
          <w:rtl w:val="0"/>
        </w:rPr>
        <w:t xml:space="preserve">veintitrés de agosto de dos mil veintiuno, en la Segunda Sesión Extraordinaria</w:t>
      </w:r>
      <w:r w:rsidDel="00000000" w:rsidR="00000000" w:rsidRPr="00000000">
        <w:rPr>
          <w:rFonts w:ascii="Palatino Linotype" w:cs="Palatino Linotype" w:eastAsia="Palatino Linotype" w:hAnsi="Palatino Linotype"/>
          <w:sz w:val="24"/>
          <w:szCs w:val="24"/>
          <w:rtl w:val="0"/>
        </w:rPr>
        <w:t xml:space="preserve">, el Pleno del Instituto aprobó el returno del recurso de revisión indicado al rubro a la Ponencia de la </w:t>
      </w:r>
      <w:r w:rsidDel="00000000" w:rsidR="00000000" w:rsidRPr="00000000">
        <w:rPr>
          <w:rFonts w:ascii="Palatino Linotype" w:cs="Palatino Linotype" w:eastAsia="Palatino Linotype" w:hAnsi="Palatino Linotype"/>
          <w:b w:val="1"/>
          <w:sz w:val="24"/>
          <w:szCs w:val="24"/>
          <w:rtl w:val="0"/>
        </w:rPr>
        <w:t xml:space="preserve">Comisionada Guadalupe Ramírez Peña</w:t>
      </w:r>
      <w:r w:rsidDel="00000000" w:rsidR="00000000" w:rsidRPr="00000000">
        <w:rPr>
          <w:rFonts w:ascii="Palatino Linotype" w:cs="Palatino Linotype" w:eastAsia="Palatino Linotype" w:hAnsi="Palatino Linotype"/>
          <w:sz w:val="24"/>
          <w:szCs w:val="24"/>
          <w:rtl w:val="0"/>
        </w:rPr>
        <w:t xml:space="preserve"> para su estudio y resolución</w:t>
      </w: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 Admisión del Recurso de Revisión. </w:t>
      </w:r>
    </w:p>
    <w:p w:rsidR="00000000" w:rsidDel="00000000" w:rsidP="00000000" w:rsidRDefault="00000000" w:rsidRPr="00000000" w14:paraId="0000004F">
      <w:pPr>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50">
      <w:pPr>
        <w:tabs>
          <w:tab w:val="right" w:pos="8838"/>
        </w:tabs>
        <w:spacing w:line="360" w:lineRule="auto"/>
        <w:ind w:left="-28" w:right="171"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fecha veintidós de septiembre de dos mil veintiuno, se acordó la admisión del Recurso de Revisión</w:t>
      </w:r>
      <w:r w:rsidDel="00000000" w:rsidR="00000000" w:rsidRPr="00000000">
        <w:rPr>
          <w:rFonts w:ascii="Palatino Linotype" w:cs="Palatino Linotype" w:eastAsia="Palatino Linotype" w:hAnsi="Palatino Linotype"/>
          <w:b w:val="1"/>
          <w:sz w:val="24"/>
          <w:szCs w:val="24"/>
          <w:rtl w:val="0"/>
        </w:rPr>
        <w:t xml:space="preserve"> </w:t>
        <w:tab/>
        <w:t xml:space="preserve">04089/ISSEMYM/IP/2021 i</w:t>
      </w:r>
      <w:r w:rsidDel="00000000" w:rsidR="00000000" w:rsidRPr="00000000">
        <w:rPr>
          <w:rFonts w:ascii="Palatino Linotype" w:cs="Palatino Linotype" w:eastAsia="Palatino Linotype" w:hAnsi="Palatino Linotype"/>
          <w:sz w:val="24"/>
          <w:szCs w:val="24"/>
          <w:rtl w:val="0"/>
        </w:rPr>
        <w:t xml:space="preserve">nterpuesto por la Recurrente en contra de la respuesta emitida por el Instituto de Seguridad Social del Estado de México y Municipios, en términos del artículo 185, fracciones I y II de la Ley de Transparencia y Acceso a la Información Pública del Estado de México y Municipios, la cual fue notificada a las partes el mismo día, a través del Sistema de Acceso a la Información Mexiquense (SAIMEX), en el que se les otorgó un plazo de siete días hábiles posteriores a dichas notificaciones para que manifestaran lo que a su derecho conviniera y formularan alegatos.</w:t>
      </w:r>
    </w:p>
    <w:p w:rsidR="00000000" w:rsidDel="00000000" w:rsidP="00000000" w:rsidRDefault="00000000" w:rsidRPr="00000000" w14:paraId="00000051">
      <w:pPr>
        <w:tabs>
          <w:tab w:val="right" w:pos="8838"/>
        </w:tabs>
        <w:spacing w:line="360" w:lineRule="auto"/>
        <w:ind w:left="-28" w:right="171"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54">
      <w:pPr>
        <w:spacing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 Manifestaciones.   </w:t>
      </w:r>
      <w:r w:rsidDel="00000000" w:rsidR="00000000" w:rsidRPr="00000000">
        <w:rPr>
          <w:rFonts w:ascii="Palatino Linotype" w:cs="Palatino Linotype" w:eastAsia="Palatino Linotype" w:hAnsi="Palatino Linotype"/>
          <w:sz w:val="24"/>
          <w:szCs w:val="24"/>
          <w:rtl w:val="0"/>
        </w:rPr>
        <w:t xml:space="preserve">En fecha veinticuatro de septiembre de dos mil veintiuno, la Recurrente manifestó expresamente su interés de conciliar el presente asunto, mediante un documento en formato pdf, en el que expreso textualmente lo siguiente:</w:t>
      </w: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b w:val="1"/>
          <w:color w:val="ff0000"/>
          <w:sz w:val="24"/>
          <w:szCs w:val="24"/>
        </w:rPr>
      </w:pPr>
      <w:r w:rsidDel="00000000" w:rsidR="00000000" w:rsidRPr="00000000">
        <w:rPr>
          <w:rtl w:val="0"/>
        </w:rPr>
      </w:r>
    </w:p>
    <w:p w:rsidR="00000000" w:rsidDel="00000000" w:rsidP="00000000" w:rsidRDefault="00000000" w:rsidRPr="00000000" w14:paraId="00000056">
      <w:pPr>
        <w:spacing w:line="360" w:lineRule="auto"/>
        <w:jc w:val="center"/>
        <w:rPr>
          <w:rFonts w:ascii="Palatino Linotype" w:cs="Palatino Linotype" w:eastAsia="Palatino Linotype" w:hAnsi="Palatino Linotype"/>
          <w:b w:val="1"/>
          <w:color w:val="ff0000"/>
          <w:sz w:val="24"/>
          <w:szCs w:val="24"/>
        </w:rPr>
      </w:pPr>
      <w:r w:rsidDel="00000000" w:rsidR="00000000" w:rsidRPr="00000000">
        <w:rPr>
          <w:rFonts w:ascii="Palatino Linotype" w:cs="Palatino Linotype" w:eastAsia="Palatino Linotype" w:hAnsi="Palatino Linotype"/>
          <w:b w:val="1"/>
          <w:color w:val="ff0000"/>
          <w:sz w:val="24"/>
          <w:szCs w:val="24"/>
        </w:rPr>
        <w:drawing>
          <wp:inline distB="0" distT="0" distL="0" distR="0">
            <wp:extent cx="5743575" cy="4086225"/>
            <wp:effectExtent b="0" l="0" r="0" t="0"/>
            <wp:docPr id="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43575" cy="408622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b w:val="1"/>
          <w:color w:val="ff0000"/>
          <w:sz w:val="24"/>
          <w:szCs w:val="24"/>
        </w:rPr>
      </w:pPr>
      <w:r w:rsidDel="00000000" w:rsidR="00000000" w:rsidRPr="00000000">
        <w:rPr>
          <w:rtl w:val="0"/>
        </w:rPr>
      </w:r>
    </w:p>
    <w:p w:rsidR="00000000" w:rsidDel="00000000" w:rsidP="00000000" w:rsidRDefault="00000000" w:rsidRPr="00000000" w14:paraId="00000058">
      <w:pPr>
        <w:spacing w:line="360" w:lineRule="auto"/>
        <w:jc w:val="both"/>
        <w:rPr>
          <w:rFonts w:ascii="Palatino Linotype" w:cs="Palatino Linotype" w:eastAsia="Palatino Linotype" w:hAnsi="Palatino Linotype"/>
          <w:b w:val="1"/>
          <w:color w:val="ff0000"/>
          <w:sz w:val="24"/>
          <w:szCs w:val="24"/>
        </w:rPr>
      </w:pP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b w:val="1"/>
          <w:color w:val="ff0000"/>
          <w:sz w:val="24"/>
          <w:szCs w:val="24"/>
        </w:rPr>
      </w:pPr>
      <w:r w:rsidDel="00000000" w:rsidR="00000000" w:rsidRPr="00000000">
        <w:rPr>
          <w:rtl w:val="0"/>
        </w:rPr>
      </w:r>
    </w:p>
    <w:p w:rsidR="00000000" w:rsidDel="00000000" w:rsidP="00000000" w:rsidRDefault="00000000" w:rsidRPr="00000000" w14:paraId="0000005A">
      <w:pPr>
        <w:spacing w:line="360" w:lineRule="auto"/>
        <w:jc w:val="both"/>
        <w:rPr>
          <w:rFonts w:ascii="Palatino Linotype" w:cs="Palatino Linotype" w:eastAsia="Palatino Linotype" w:hAnsi="Palatino Linotype"/>
          <w:b w:val="1"/>
          <w:color w:val="ff0000"/>
          <w:sz w:val="24"/>
          <w:szCs w:val="24"/>
        </w:rPr>
      </w:pPr>
      <w:r w:rsidDel="00000000" w:rsidR="00000000" w:rsidRPr="00000000">
        <w:rPr>
          <w:rtl w:val="0"/>
        </w:rPr>
      </w:r>
    </w:p>
    <w:p w:rsidR="00000000" w:rsidDel="00000000" w:rsidP="00000000" w:rsidRDefault="00000000" w:rsidRPr="00000000" w14:paraId="0000005B">
      <w:pPr>
        <w:spacing w:line="360" w:lineRule="auto"/>
        <w:jc w:val="both"/>
        <w:rPr>
          <w:rFonts w:ascii="Palatino Linotype" w:cs="Palatino Linotype" w:eastAsia="Palatino Linotype" w:hAnsi="Palatino Linotype"/>
          <w:b w:val="1"/>
          <w:color w:val="ff0000"/>
          <w:sz w:val="24"/>
          <w:szCs w:val="24"/>
        </w:rPr>
      </w:pP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b w:val="1"/>
          <w:color w:val="ff0000"/>
          <w:sz w:val="24"/>
          <w:szCs w:val="24"/>
        </w:rPr>
      </w:pP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 solicitud de conciliación por parte del Sujeto Obligado.</w:t>
      </w:r>
    </w:p>
    <w:p w:rsidR="00000000" w:rsidDel="00000000" w:rsidP="00000000" w:rsidRDefault="00000000" w:rsidRPr="00000000" w14:paraId="0000005E">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Mediante escrito de fecha veinticuatro  de septiembre de dos mil veintiuno, el Sujeto Obligado a través del SAIMEX remitió un documento en formato pdf, en el  que el Responsable de la Unidad de Transparencia, expresamente manifestó su deseo de conciliar el presente asunto en los siguientes términos:</w:t>
      </w:r>
    </w:p>
    <w:p w:rsidR="00000000" w:rsidDel="00000000" w:rsidP="00000000" w:rsidRDefault="00000000" w:rsidRPr="00000000" w14:paraId="0000005F">
      <w:pPr>
        <w:spacing w:line="360" w:lineRule="auto"/>
        <w:ind w:left="720" w:right="616" w:firstLine="0"/>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60">
      <w:pPr>
        <w:spacing w:line="360" w:lineRule="auto"/>
        <w:jc w:val="center"/>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color w:val="ff0000"/>
          <w:sz w:val="24"/>
          <w:szCs w:val="24"/>
        </w:rPr>
        <w:drawing>
          <wp:inline distB="0" distT="0" distL="0" distR="0">
            <wp:extent cx="3819525" cy="5105400"/>
            <wp:effectExtent b="0" l="0" r="0" t="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819525"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fecha tres de noviembre del año dos mil veinte, se notificó a las partes el acuerdo mediante el cual se señalaron las quince horas con treinta minutos del cuatro de noviembre del año dos mil veintiuno, con la finalidad de celebrar la audiencia de conciliación a través del sistema ZOOM (software para reuniones y videoconferencias).</w:t>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fecha once de noviembre de la presente anualidad, el Sujeto Obligado adjunto el archivo electrónico denominado: “ACUSE DE RECIBIDO RR_544.IP.pdf”, el cual contiene una constancia original con firmas autógrafas, en donde se advierte que derivado de la audiencia de conciliación de fecha cuatro de noviembre del 2021, la parte recurrente llegó a un acuerdo con el Sujeto Obligado, recibiendo la recurrente en ese acto las documentales solicitadas. </w:t>
      </w:r>
    </w:p>
    <w:p w:rsidR="00000000" w:rsidDel="00000000" w:rsidP="00000000" w:rsidRDefault="00000000" w:rsidRPr="00000000" w14:paraId="00000064">
      <w:pPr>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5">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e) Cierre de instrucción.</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fecha diecinueve de noviembre de dos mil veintiuno,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rsidR="00000000" w:rsidDel="00000000" w:rsidP="00000000" w:rsidRDefault="00000000" w:rsidRPr="00000000" w14:paraId="00000068">
      <w:pPr>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razón a que fue debidamente sustanciado el expediente electrónico y no existe diligencia pendiente de desahogo, se emite la resolución que conforme a Derecho proceda, de acuerdo con los siguientes:</w:t>
      </w:r>
    </w:p>
    <w:p w:rsidR="00000000" w:rsidDel="00000000" w:rsidP="00000000" w:rsidRDefault="00000000" w:rsidRPr="00000000" w14:paraId="0000006A">
      <w:pPr>
        <w:spacing w:line="360"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B">
      <w:pPr>
        <w:spacing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CONSIDERANDOS</w:t>
      </w:r>
    </w:p>
    <w:p w:rsidR="00000000" w:rsidDel="00000000" w:rsidP="00000000" w:rsidRDefault="00000000" w:rsidRPr="00000000" w14:paraId="0000006C">
      <w:pPr>
        <w:spacing w:line="3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D">
      <w:pPr>
        <w:spacing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PRIMERO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Competencia. </w:t>
      </w:r>
      <w:r w:rsidDel="00000000" w:rsidR="00000000" w:rsidRPr="00000000">
        <w:rPr>
          <w:rFonts w:ascii="Palatino Linotype" w:cs="Palatino Linotype" w:eastAsia="Palatino Linotype" w:hAnsi="Palatino Linotype"/>
          <w:sz w:val="24"/>
          <w:szCs w:val="24"/>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Interés. </w:t>
      </w:r>
      <w:r w:rsidDel="00000000" w:rsidR="00000000" w:rsidRPr="00000000">
        <w:rPr>
          <w:rFonts w:ascii="Palatino Linotype" w:cs="Palatino Linotype" w:eastAsia="Palatino Linotype" w:hAnsi="Palatino Linotype"/>
          <w:sz w:val="24"/>
          <w:szCs w:val="24"/>
          <w:rtl w:val="0"/>
        </w:rPr>
        <w:t xml:space="preserve">El recurso de revisión fue interpuesto por la parte legitima en atención a que fueron presentados por la Recurrente, quien fue la misma persona que formuló la solicitud de información pública. </w:t>
      </w:r>
    </w:p>
    <w:p w:rsidR="00000000" w:rsidDel="00000000" w:rsidP="00000000" w:rsidRDefault="00000000" w:rsidRPr="00000000" w14:paraId="00000070">
      <w:pPr>
        <w:tabs>
          <w:tab w:val="left" w:pos="8647"/>
        </w:tabs>
        <w:spacing w:after="240" w:before="24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Oportunidad. </w:t>
      </w:r>
      <w:r w:rsidDel="00000000" w:rsidR="00000000" w:rsidRPr="00000000">
        <w:rPr>
          <w:rFonts w:ascii="Palatino Linotype" w:cs="Palatino Linotype" w:eastAsia="Palatino Linotype" w:hAnsi="Palatino Linotype"/>
          <w:sz w:val="24"/>
          <w:szCs w:val="24"/>
          <w:rtl w:val="0"/>
        </w:rPr>
        <w:t xml:space="preserve">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por la solicitante en fecha dieciocho de agosto de año dos mil veintiuno y la recurrente presentó su recurso de revisión el diecinueve de agosto del mismo año; esto es al primer día hábil siguiente de aquel en que tuvo conocimiento de la respuesta; evidenciándose que la interposición del recurso se encuentra dentro de los márgenes temporales previstos en el citado precepto legal.</w:t>
      </w:r>
    </w:p>
    <w:p w:rsidR="00000000" w:rsidDel="00000000" w:rsidP="00000000" w:rsidRDefault="00000000" w:rsidRPr="00000000" w14:paraId="00000071">
      <w:pPr>
        <w:tabs>
          <w:tab w:val="left" w:pos="8647"/>
        </w:tabs>
        <w:spacing w:after="240" w:before="24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Cuestiones de previo y especial pronunciamiento. </w:t>
      </w:r>
      <w:r w:rsidDel="00000000" w:rsidR="00000000" w:rsidRPr="00000000">
        <w:rPr>
          <w:rFonts w:ascii="Palatino Linotype" w:cs="Palatino Linotype" w:eastAsia="Palatino Linotype" w:hAnsi="Palatino Linotype"/>
          <w:sz w:val="24"/>
          <w:szCs w:val="24"/>
          <w:rtl w:val="0"/>
        </w:rPr>
        <w:t xml:space="preserve">En primer término, es importante establecer la materia de la solicitud, para determinar si se trata de una solicitud de acceso a la información como fue ingresada, o bien, si es de acceso a datos personales, en virtud de que la recurrente al momento de formular su solicitud lo realizó vía el Sistema de Acceso a la Información Mexiquense.</w:t>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por principio de cuentas debemos precisar que el derecho de acceso a la información pública tiene su sustento en los artículos 6, apartado A, fracción IV de la Constitución Política de los Estados Unidos Mexicanos; con relación en los artículos 1, 2 y 4 de la Ley de Transparencia y Acceso a la Información Pública del Estado de México y Municipios.</w:t>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cual, implica transparentar el ejercicio de la función pública, facilitar el acceso de los particulares a la información pública que los Sujetos Obligados generen, posean o administren en ejercicio de sus atribuciones, mediante procedimientos sencillos y expeditos, de manera oportuna y gratuita, privilegiando el principio de máxima publicidad de la información. </w:t>
      </w:r>
    </w:p>
    <w:p w:rsidR="00000000" w:rsidDel="00000000" w:rsidP="00000000" w:rsidRDefault="00000000" w:rsidRPr="00000000" w14:paraId="00000074">
      <w:pPr>
        <w:spacing w:after="240" w:before="240" w:line="360" w:lineRule="auto"/>
        <w:jc w:val="both"/>
        <w:rPr>
          <w:rFonts w:ascii="Palatino Linotype" w:cs="Palatino Linotype" w:eastAsia="Palatino Linotype" w:hAnsi="Palatino Linotype"/>
          <w:sz w:val="24"/>
          <w:szCs w:val="24"/>
        </w:rPr>
      </w:pPr>
      <w:bookmarkStart w:colFirst="0" w:colLast="0" w:name="_heading=h.gjdgxs" w:id="0"/>
      <w:bookmarkEnd w:id="0"/>
      <w:r w:rsidDel="00000000" w:rsidR="00000000" w:rsidRPr="00000000">
        <w:rPr>
          <w:rFonts w:ascii="Palatino Linotype" w:cs="Palatino Linotype" w:eastAsia="Palatino Linotype" w:hAnsi="Palatino Linotype"/>
          <w:sz w:val="24"/>
          <w:szCs w:val="24"/>
          <w:rtl w:val="0"/>
        </w:rPr>
        <w:t xml:space="preserve">Por ello, los Sujetos Obligados deben poner en práctica, políticas y programas de acceso a la información que se apeguen a principios de simplicidad, rapidez, y gratuidad del procedimiento, de auxilio y orientación a los particulares, así como la atención adecuada a las personas con discapacidad y a los hablantes de la lengua indígena, a través del procedimiento previsto en los artículos 150, 152, 153 y 155 de la Ley de Transparencia y Acceso a la Información Pública del Estado de México y Municipios.</w:t>
      </w:r>
    </w:p>
    <w:p w:rsidR="00000000" w:rsidDel="00000000" w:rsidP="00000000" w:rsidRDefault="00000000" w:rsidRPr="00000000" w14:paraId="00000075">
      <w:pPr>
        <w:spacing w:after="240" w:before="240" w:line="360" w:lineRule="auto"/>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rtl w:val="0"/>
        </w:rPr>
        <w:t xml:space="preserve">En ese sentido debe quedar claro que u</w:t>
      </w:r>
      <w:r w:rsidDel="00000000" w:rsidR="00000000" w:rsidRPr="00000000">
        <w:rPr>
          <w:rFonts w:ascii="Palatino Linotype" w:cs="Palatino Linotype" w:eastAsia="Palatino Linotype" w:hAnsi="Palatino Linotype"/>
          <w:sz w:val="24"/>
          <w:szCs w:val="24"/>
          <w:highlight w:val="white"/>
          <w:rtl w:val="0"/>
        </w:rPr>
        <w:t xml:space="preserve">na solicitud de información es un requerimiento formulado ante los sujetos obligados, a través de la cual se abre la posibilidad de consultar, sin necesidad de acreditar ningún tipo de interés, los documentos generados, administrados y resguardados por ellos, tal cual se encuentran en sus archivos. Por lo tanto, los sujetos obligados no tienen la responsabilidad de elaborar resúmenes, cálculos ni investigaciones que impliquen el procesamiento de los datos. En contraste, deben buscar y entregar la información requerida, de acuerdo con la Ley de Transparencia local.</w:t>
      </w:r>
    </w:p>
    <w:p w:rsidR="00000000" w:rsidDel="00000000" w:rsidP="00000000" w:rsidRDefault="00000000" w:rsidRPr="00000000" w14:paraId="00000076">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por lo que respecta al procedimiento de acceso a los datos personales debe destacarse que, de igual forma que el derecho de acceso a la información pública tiene su sustento en los artículos 6, apartado A, fracción II  y 16 párrafo segundo de la Constitución Política de los Estados Unidos Mexicanos, los cuales establecen medularmente que la información que se refiere a la vida privada y los datos personales será protegida en los términos y con las excepciones que fijen las leyes, siendo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rsidR="00000000" w:rsidDel="00000000" w:rsidP="00000000" w:rsidRDefault="00000000" w:rsidRPr="00000000" w14:paraId="00000077">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Procedimiento que, además, está regulado en la Ley de Protección de Datos Personales del Estado de México en específico en los artículos 25 y 26 que establecen que el titular por si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las cosas, tenemos que cuando hablamos de una solicitud de derechos ARCO se refiere a aquel derecho que tiene un titular de datos personales, para solicitar el acceso, rectificación, cancelación, oposición y portabilidad sobre el tratamiento de sus datos, ante el Sujeto Obligado que esté en posesión de los mismos.</w:t>
      </w:r>
    </w:p>
    <w:p w:rsidR="00000000" w:rsidDel="00000000" w:rsidP="00000000" w:rsidRDefault="00000000" w:rsidRPr="00000000" w14:paraId="00000079">
      <w:pPr>
        <w:spacing w:after="240" w:before="240" w:line="360" w:lineRule="auto"/>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sz w:val="24"/>
          <w:szCs w:val="24"/>
          <w:rtl w:val="0"/>
        </w:rPr>
        <w:t xml:space="preserve">Es importante señalar, que para estar en posibilidad de realizar una solicitud de derechos ARCO, el titular o su representante legal deben acreditar su identidad o representación, respectivamente</w:t>
      </w:r>
      <w:r w:rsidDel="00000000" w:rsidR="00000000" w:rsidRPr="00000000">
        <w:rPr>
          <w:rFonts w:ascii="Palatino Linotype" w:cs="Palatino Linotype" w:eastAsia="Palatino Linotype" w:hAnsi="Palatino Linotype"/>
          <w:color w:val="ff0000"/>
          <w:sz w:val="24"/>
          <w:szCs w:val="24"/>
          <w:rtl w:val="0"/>
        </w:rPr>
        <w:t xml:space="preserve">.</w:t>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así, que del análisis a la solicitud se advierte que la recurrente requiere obtener: “</w:t>
      </w:r>
      <w:r w:rsidDel="00000000" w:rsidR="00000000" w:rsidRPr="00000000">
        <w:rPr>
          <w:rFonts w:ascii="Palatino Linotype" w:cs="Palatino Linotype" w:eastAsia="Palatino Linotype" w:hAnsi="Palatino Linotype"/>
          <w:i w:val="1"/>
          <w:sz w:val="24"/>
          <w:szCs w:val="24"/>
          <w:rtl w:val="0"/>
        </w:rPr>
        <w:t xml:space="preserve">COPIA SIMPLE EN FISICO Y DE MANERA ELECTRONICA, DE LOS EXPEDIENTES CLINICOS COMPLETOS, DE MI ESPOSO DE NOMBRE”</w:t>
      </w:r>
      <w:r w:rsidDel="00000000" w:rsidR="00000000" w:rsidRPr="00000000">
        <w:rPr>
          <w:rFonts w:ascii="Palatino Linotype" w:cs="Palatino Linotype" w:eastAsia="Palatino Linotype" w:hAnsi="Palatino Linotype"/>
          <w:sz w:val="24"/>
          <w:szCs w:val="24"/>
          <w:rtl w:val="0"/>
        </w:rPr>
        <w:t xml:space="preserve">; es decir, que la particular en su calidad de esposa de la persona referida en la solicitud de acceso a la información requiere tener acceso datos personales del titular de ellos.</w:t>
      </w:r>
    </w:p>
    <w:p w:rsidR="00000000" w:rsidDel="00000000" w:rsidP="00000000" w:rsidRDefault="00000000" w:rsidRPr="00000000" w14:paraId="0000007B">
      <w:pPr>
        <w:spacing w:after="280" w:before="28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atendiendo a la solicitud, el procedimiento de acceso a la información pública no es la vía para su tramitación, por lo que se deberá atender en términos del ejercicio del derecho de acceso a datos personales, toda vez que este Instituto, al igual que otros Óranos Garantes como es el Instituto Nacional de Acceso a la Información y Protección de Datos (INAI) se han pronunciado por la procedencia de los recursos de revisión según la materia de la solicitud. </w:t>
      </w:r>
    </w:p>
    <w:p w:rsidR="00000000" w:rsidDel="00000000" w:rsidP="00000000" w:rsidRDefault="00000000" w:rsidRPr="00000000" w14:paraId="0000007C">
      <w:pPr>
        <w:spacing w:after="280" w:before="28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Discernimiento que encuentra apoyo en el criterio </w:t>
      </w:r>
      <w:r w:rsidDel="00000000" w:rsidR="00000000" w:rsidRPr="00000000">
        <w:rPr>
          <w:rFonts w:ascii="Palatino Linotype" w:cs="Palatino Linotype" w:eastAsia="Palatino Linotype" w:hAnsi="Palatino Linotype"/>
          <w:b w:val="1"/>
          <w:sz w:val="24"/>
          <w:szCs w:val="24"/>
          <w:rtl w:val="0"/>
        </w:rPr>
        <w:t xml:space="preserve">008/2009</w:t>
      </w:r>
      <w:r w:rsidDel="00000000" w:rsidR="00000000" w:rsidRPr="00000000">
        <w:rPr>
          <w:rFonts w:ascii="Palatino Linotype" w:cs="Palatino Linotype" w:eastAsia="Palatino Linotype" w:hAnsi="Palatino Linotype"/>
          <w:sz w:val="24"/>
          <w:szCs w:val="24"/>
          <w:rtl w:val="0"/>
        </w:rPr>
        <w:t xml:space="preserve"> del INAI, que a la letra dispone:</w:t>
      </w:r>
    </w:p>
    <w:p w:rsidR="00000000" w:rsidDel="00000000" w:rsidP="00000000" w:rsidRDefault="00000000" w:rsidRPr="00000000" w14:paraId="0000007D">
      <w:pPr>
        <w:tabs>
          <w:tab w:val="left" w:pos="7655"/>
        </w:tabs>
        <w:spacing w:after="120" w:lineRule="auto"/>
        <w:ind w:left="851" w:right="902" w:firstLine="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Fonts w:ascii="Palatino Linotype" w:cs="Palatino Linotype" w:eastAsia="Palatino Linotype" w:hAnsi="Palatino Linotype"/>
          <w:b w:val="1"/>
          <w:i w:val="1"/>
          <w:sz w:val="24"/>
          <w:szCs w:val="24"/>
          <w:rtl w:val="0"/>
        </w:rPr>
        <w:t xml:space="preserve">Las dependencias y entidades deberán dar trámite a las solicitudes aun cuando la vía en la que fueron presentadas -acceso a datos personales o información pública- no corresponda con la naturaleza de la materia de la misma.</w:t>
      </w:r>
      <w:r w:rsidDel="00000000" w:rsidR="00000000" w:rsidRPr="00000000">
        <w:rPr>
          <w:rFonts w:ascii="Palatino Linotype" w:cs="Palatino Linotype" w:eastAsia="Palatino Linotype" w:hAnsi="Palatino Linotype"/>
          <w:i w:val="1"/>
          <w:sz w:val="24"/>
          <w:szCs w:val="24"/>
          <w:rtl w:val="0"/>
        </w:rPr>
        <w:t xml:space="preserve"> </w:t>
      </w:r>
      <w:r w:rsidDel="00000000" w:rsidR="00000000" w:rsidRPr="00000000">
        <w:rPr>
          <w:rFonts w:ascii="Palatino Linotype" w:cs="Palatino Linotype" w:eastAsia="Palatino Linotype" w:hAnsi="Palatino Linotype"/>
          <w:b w:val="1"/>
          <w:i w:val="1"/>
          <w:sz w:val="24"/>
          <w:szCs w:val="24"/>
          <w:rtl w:val="0"/>
        </w:rPr>
        <w:t xml:space="preserve">Todas aquellas solicitudes cuyo objetivo sea allegarse de información pública y que sean ingresadas por la vía de acceso a datos personales, así como el caso contrario, </w:t>
      </w:r>
      <w:r w:rsidDel="00000000" w:rsidR="00000000" w:rsidRPr="00000000">
        <w:rPr>
          <w:rFonts w:ascii="Palatino Linotype" w:cs="Palatino Linotype" w:eastAsia="Palatino Linotype" w:hAnsi="Palatino Linotype"/>
          <w:b w:val="1"/>
          <w:i w:val="1"/>
          <w:sz w:val="24"/>
          <w:szCs w:val="24"/>
          <w:u w:val="single"/>
          <w:rtl w:val="0"/>
        </w:rPr>
        <w:t xml:space="preserve">deberán ser tramitadas por las dependencias y entidades de conformidad con la naturaleza de la información de que se trate</w:t>
      </w:r>
      <w:r w:rsidDel="00000000" w:rsidR="00000000" w:rsidRPr="00000000">
        <w:rPr>
          <w:rFonts w:ascii="Palatino Linotype" w:cs="Palatino Linotype" w:eastAsia="Palatino Linotype" w:hAnsi="Palatino Linotype"/>
          <w:b w:val="1"/>
          <w:i w:val="1"/>
          <w:sz w:val="24"/>
          <w:szCs w:val="24"/>
          <w:rtl w:val="0"/>
        </w:rPr>
        <w:t xml:space="preserve">, sin necesidad de que el particular requiera presentar una nueva solicitud.</w:t>
      </w:r>
    </w:p>
    <w:p w:rsidR="00000000" w:rsidDel="00000000" w:rsidP="00000000" w:rsidRDefault="00000000" w:rsidRPr="00000000" w14:paraId="0000007E">
      <w:pPr>
        <w:tabs>
          <w:tab w:val="left" w:pos="7655"/>
        </w:tabs>
        <w:spacing w:after="120" w:lineRule="auto"/>
        <w:ind w:left="851" w:right="902"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w:t>
      </w:r>
      <w:r w:rsidDel="00000000" w:rsidR="00000000" w:rsidRPr="00000000">
        <w:rPr>
          <w:rFonts w:ascii="Palatino Linotype" w:cs="Palatino Linotype" w:eastAsia="Palatino Linotype" w:hAnsi="Palatino Linotype"/>
          <w:b w:val="1"/>
          <w:i w:val="1"/>
          <w:sz w:val="24"/>
          <w:szCs w:val="24"/>
          <w:rtl w:val="0"/>
        </w:rPr>
        <w:t xml:space="preserve">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7F">
      <w:pPr>
        <w:spacing w:after="280" w:before="280" w:line="360" w:lineRule="auto"/>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sz w:val="24"/>
          <w:szCs w:val="24"/>
          <w:rtl w:val="0"/>
        </w:rPr>
        <w:t xml:space="preserve">Lo anterior, bajo el principio  de expeditez</w:t>
      </w:r>
      <w:r w:rsidDel="00000000" w:rsidR="00000000" w:rsidRPr="00000000">
        <w:rPr>
          <w:rFonts w:ascii="Palatino Linotype" w:cs="Palatino Linotype" w:eastAsia="Palatino Linotype" w:hAnsi="Palatino Linotype"/>
          <w:sz w:val="24"/>
          <w:szCs w:val="24"/>
          <w:vertAlign w:val="superscript"/>
        </w:rPr>
        <w:footnoteReference w:customMarkFollows="0" w:id="0"/>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que consiste en que la impartición de justicia debe estar libre de estorbos, lo que significa que el poder público —en cualquiera de sus manifestaciones: Ejecutivo, Legislativo o Judicial— no puede supeditar el acceso a los tribunales a la satisfacción de condiciones innecesarias, excesivas y carentes de razonabilidad o proporcionalidad”, </w:t>
      </w:r>
      <w:r w:rsidDel="00000000" w:rsidR="00000000" w:rsidRPr="00000000">
        <w:rPr>
          <w:rFonts w:ascii="Palatino Linotype" w:cs="Palatino Linotype" w:eastAsia="Palatino Linotype" w:hAnsi="Palatino Linotype"/>
          <w:sz w:val="24"/>
          <w:szCs w:val="24"/>
          <w:rtl w:val="0"/>
        </w:rPr>
        <w:t xml:space="preserve">determina  procedente dar trámite a la solicitud formulada por la recurrente bajo el procedimiento de acceso a los datos personales previsto en la Ley de Protección de Datos Personales en Posesión de Sujetos Obligados del Estado de México y Municipios, de conformidad con el artículo 1 de la Ley referida la misma tiene por objeto garantizar la protección de los datos personales que se encuentren en posesión de los sujetos obligados, de tal forma, en la resolución del presente asunto resulta aplicable la Ley de Protección de Datos Personales en Posesión de Sujetos Obligados del Estado de México y Municipios.</w:t>
      </w:r>
      <w:r w:rsidDel="00000000" w:rsidR="00000000" w:rsidRPr="00000000">
        <w:rPr>
          <w:rtl w:val="0"/>
        </w:rPr>
      </w:r>
    </w:p>
    <w:p w:rsidR="00000000" w:rsidDel="00000000" w:rsidP="00000000" w:rsidRDefault="00000000" w:rsidRPr="00000000" w14:paraId="00000080">
      <w:pPr>
        <w:spacing w:after="280" w:before="280" w:line="360" w:lineRule="auto"/>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sz w:val="24"/>
          <w:szCs w:val="24"/>
          <w:rtl w:val="0"/>
        </w:rPr>
        <w:t xml:space="preserve">Hechas las apuntaciones anteriores, bajo el entendido de la naturaleza de la información solicitada en el presente asunto, es pertinente dar curso al presente recurso de revisión, dentro de este marco</w:t>
      </w:r>
      <w:r w:rsidDel="00000000" w:rsidR="00000000" w:rsidRPr="00000000">
        <w:rPr>
          <w:rFonts w:ascii="Palatino Linotype" w:cs="Palatino Linotype" w:eastAsia="Palatino Linotype" w:hAnsi="Palatino Linotype"/>
          <w:color w:val="ff0000"/>
          <w:sz w:val="24"/>
          <w:szCs w:val="24"/>
          <w:rtl w:val="0"/>
        </w:rPr>
        <w:t xml:space="preserve">. </w:t>
      </w:r>
    </w:p>
    <w:p w:rsidR="00000000" w:rsidDel="00000000" w:rsidP="00000000" w:rsidRDefault="00000000" w:rsidRPr="00000000" w14:paraId="00000081">
      <w:pPr>
        <w:spacing w:after="280" w:before="28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tenor, resulta procedente la interposición del presente recurso, de acuerdo a lo dispuesto en el artículo 129 de “Ley de Protección de Datos Personales en Posesión de Sujetos Obligados del Estado de México y Municipios”, que a la letra dice:</w:t>
      </w:r>
    </w:p>
    <w:p w:rsidR="00000000" w:rsidDel="00000000" w:rsidP="00000000" w:rsidRDefault="00000000" w:rsidRPr="00000000" w14:paraId="00000082">
      <w:pPr>
        <w:spacing w:after="120" w:lineRule="auto"/>
        <w:ind w:left="851" w:right="900"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w:t>
      </w:r>
      <w:r w:rsidDel="00000000" w:rsidR="00000000" w:rsidRPr="00000000">
        <w:rPr>
          <w:rFonts w:ascii="Palatino Linotype" w:cs="Palatino Linotype" w:eastAsia="Palatino Linotype" w:hAnsi="Palatino Linotype"/>
          <w:i w:val="1"/>
          <w:sz w:val="24"/>
          <w:szCs w:val="24"/>
          <w:rtl w:val="0"/>
        </w:rPr>
        <w:t xml:space="preserve">Artículo 129. El recurso de revisión procederá en los supuestos siguientes:</w:t>
      </w:r>
    </w:p>
    <w:p w:rsidR="00000000" w:rsidDel="00000000" w:rsidP="00000000" w:rsidRDefault="00000000" w:rsidRPr="00000000" w14:paraId="00000083">
      <w:pPr>
        <w:spacing w:after="120" w:lineRule="auto"/>
        <w:ind w:left="1134" w:right="94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84">
      <w:pPr>
        <w:spacing w:after="120" w:lineRule="auto"/>
        <w:ind w:left="1134" w:right="941" w:firstLine="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i w:val="1"/>
          <w:sz w:val="24"/>
          <w:szCs w:val="24"/>
          <w:u w:val="single"/>
          <w:rtl w:val="0"/>
        </w:rPr>
        <w:t xml:space="preserve">VI. Se niegue total o parcialmente el acceso, rectificación, cancelación u oposición de datos personales o los derechos relacionados con la materia</w:t>
      </w:r>
      <w:r w:rsidDel="00000000" w:rsidR="00000000" w:rsidRPr="00000000">
        <w:rPr>
          <w:rFonts w:ascii="Palatino Linotype" w:cs="Palatino Linotype" w:eastAsia="Palatino Linotype" w:hAnsi="Palatino Linotype"/>
          <w:b w:val="1"/>
          <w:i w:val="1"/>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(Sic)</w:t>
      </w:r>
      <w:r w:rsidDel="00000000" w:rsidR="00000000" w:rsidRPr="00000000">
        <w:rPr>
          <w:rtl w:val="0"/>
        </w:rPr>
      </w:r>
    </w:p>
    <w:p w:rsidR="00000000" w:rsidDel="00000000" w:rsidP="00000000" w:rsidRDefault="00000000" w:rsidRPr="00000000" w14:paraId="00000085">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se cubrieron los requisitos de procedibilidad y de oportunidad que requiere la Ley en la materia para el análisis del recurso de revisión.</w:t>
      </w:r>
    </w:p>
    <w:p w:rsidR="00000000" w:rsidDel="00000000" w:rsidP="00000000" w:rsidRDefault="00000000" w:rsidRPr="00000000" w14:paraId="00000086">
      <w:pPr>
        <w:spacing w:line="360" w:lineRule="auto"/>
        <w:jc w:val="both"/>
        <w:rPr>
          <w:rFonts w:ascii="Palatino Linotype" w:cs="Palatino Linotype" w:eastAsia="Palatino Linotype" w:hAnsi="Palatino Linotype"/>
          <w:sz w:val="24"/>
          <w:szCs w:val="24"/>
          <w:highlight w:val="white"/>
        </w:rPr>
      </w:pPr>
      <w:r w:rsidDel="00000000" w:rsidR="00000000" w:rsidRPr="00000000">
        <w:rPr>
          <w:rtl w:val="0"/>
        </w:rPr>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Legitimación. </w:t>
      </w:r>
      <w:r w:rsidDel="00000000" w:rsidR="00000000" w:rsidRPr="00000000">
        <w:rPr>
          <w:rFonts w:ascii="Palatino Linotype" w:cs="Palatino Linotype" w:eastAsia="Palatino Linotype" w:hAnsi="Palatino Linotype"/>
          <w:sz w:val="24"/>
          <w:szCs w:val="24"/>
          <w:rtl w:val="0"/>
        </w:rPr>
        <w:t xml:space="preserve">El recurso de revisión fue interpuesto por la Recurrente, quien, a su vez, formuló la solicitud de acceso a la información pública </w:t>
      </w:r>
      <w:r w:rsidDel="00000000" w:rsidR="00000000" w:rsidRPr="00000000">
        <w:rPr>
          <w:rFonts w:ascii="Palatino Linotype" w:cs="Palatino Linotype" w:eastAsia="Palatino Linotype" w:hAnsi="Palatino Linotype"/>
          <w:b w:val="1"/>
          <w:sz w:val="24"/>
          <w:szCs w:val="24"/>
          <w:rtl w:val="0"/>
        </w:rPr>
        <w:t xml:space="preserve">04089/ISSEMYM/IP/2021, ante el Sujeto Obligado responsable, de conformidad con lo establecido en los artículos 98 y 106 párrafos tercero y cuarto, </w:t>
      </w:r>
      <w:r w:rsidDel="00000000" w:rsidR="00000000" w:rsidRPr="00000000">
        <w:rPr>
          <w:rFonts w:ascii="Palatino Linotype" w:cs="Palatino Linotype" w:eastAsia="Palatino Linotype" w:hAnsi="Palatino Linotype"/>
          <w:sz w:val="24"/>
          <w:szCs w:val="24"/>
          <w:rtl w:val="0"/>
        </w:rPr>
        <w:t xml:space="preserve">de la Ley de Protección de Datos Personales en Posesión de Sujetos Obligados del Estado de México y Municipios.</w:t>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Sirviendo de sustento a lo anterior, la Tesis Aislada con número de registro 2012855, emitida por el Primer Tribunal Colegiado de Circuito publicada en la Gaceta del Seminario Judicial de la Federación, Décima Época, página 2942, </w:t>
      </w:r>
      <w:r w:rsidDel="00000000" w:rsidR="00000000" w:rsidRPr="00000000">
        <w:rPr>
          <w:rFonts w:ascii="Palatino Linotype" w:cs="Palatino Linotype" w:eastAsia="Palatino Linotype" w:hAnsi="Palatino Linotype"/>
          <w:b w:val="1"/>
          <w:sz w:val="24"/>
          <w:szCs w:val="24"/>
          <w:rtl w:val="0"/>
        </w:rPr>
        <w:t xml:space="preserve">“INTERÉS JURÍDICO E INTERÉS LEGÍTIMO EN EL JUICIO DE AMPARO”. </w:t>
      </w:r>
    </w:p>
    <w:p w:rsidR="00000000" w:rsidDel="00000000" w:rsidP="00000000" w:rsidRDefault="00000000" w:rsidRPr="00000000" w14:paraId="00000089">
      <w:pPr>
        <w:spacing w:line="360" w:lineRule="auto"/>
        <w:jc w:val="both"/>
        <w:rPr>
          <w:rFonts w:ascii="Palatino Linotype" w:cs="Palatino Linotype" w:eastAsia="Palatino Linotype" w:hAnsi="Palatino Linotype"/>
          <w:sz w:val="24"/>
          <w:szCs w:val="24"/>
          <w:highlight w:val="white"/>
        </w:rPr>
      </w:pPr>
      <w:r w:rsidDel="00000000" w:rsidR="00000000" w:rsidRPr="00000000">
        <w:rPr>
          <w:rtl w:val="0"/>
        </w:rPr>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SEXTO. Análisis de las causales de Sobreseimiento. </w:t>
      </w:r>
      <w:r w:rsidDel="00000000" w:rsidR="00000000" w:rsidRPr="00000000">
        <w:rPr>
          <w:rFonts w:ascii="Palatino Linotype" w:cs="Palatino Linotype" w:eastAsia="Palatino Linotype" w:hAnsi="Palatino Linotype"/>
          <w:sz w:val="24"/>
          <w:szCs w:val="24"/>
          <w:rtl w:val="0"/>
        </w:rPr>
        <w:t xml:space="preserve">Tal y como quedo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en el antecedente uno de la presente resolución, la entonces solicitante, requirió al Sujeto Obligado: </w:t>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Expediente Clínico de su finado esposo. </w:t>
      </w:r>
    </w:p>
    <w:p w:rsidR="00000000" w:rsidDel="00000000" w:rsidP="00000000" w:rsidRDefault="00000000" w:rsidRPr="00000000" w14:paraId="0000008C">
      <w:pPr>
        <w:spacing w:after="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D">
      <w:pPr>
        <w:spacing w:after="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Posteriormente el Sujeto Obligado requirió a la solicitante aclarara su solicitud, en el sentido de que presentara a través del Sistema de Acceso a la Información Mexiquense denominado SAIMEX, el documento a través del cual acredite su personalidad o la representación del titular de los datos peronales, por lo que respecta a la representación a través de un poder notarial especial o carta poder firmada ante dos testigos, en el que se especifique que es para el trámite de acceso a datos personales ante el Sujeto Obligado previo al fallecimiento de su esposo. En el término de diez días y con el apercibimiento para el caso de no desahogar la prevención se tendrá por no presentada la solicitud quedando a salvo sus derechos para del titular o su representante para presentar nuevamente su solicitud.</w:t>
      </w:r>
    </w:p>
    <w:p w:rsidR="00000000" w:rsidDel="00000000" w:rsidP="00000000" w:rsidRDefault="00000000" w:rsidRPr="00000000" w14:paraId="0000008E">
      <w:pPr>
        <w:spacing w:after="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su aclaración de la solicitante, presenta a través sistema de acceso a la información mexiquense los archivos electrónicos descritos en el punto tres de los antecedentes del presente fallo, los que consisten en los documentos siguientes:</w:t>
      </w:r>
    </w:p>
    <w:p w:rsidR="00000000" w:rsidDel="00000000" w:rsidP="00000000" w:rsidRDefault="00000000" w:rsidRPr="00000000" w14:paraId="0000008F">
      <w:pPr>
        <w:spacing w:after="240" w:line="360" w:lineRule="auto"/>
        <w:ind w:left="708"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 Acta de matrimonio de la persona descrita en la solicitud de acceso a la información que se analiza y la solicitante</w:t>
      </w:r>
    </w:p>
    <w:p w:rsidR="00000000" w:rsidDel="00000000" w:rsidP="00000000" w:rsidRDefault="00000000" w:rsidRPr="00000000" w14:paraId="00000090">
      <w:pPr>
        <w:spacing w:after="240" w:line="360" w:lineRule="auto"/>
        <w:ind w:left="708"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  póliza de seguro por parte de la empresa denominada GNP cuyo titular asegurado corresponde con el titular de dos datos en los cuales se intenta ejercer el derecho de acceso a datos personales. </w:t>
      </w:r>
    </w:p>
    <w:p w:rsidR="00000000" w:rsidDel="00000000" w:rsidP="00000000" w:rsidRDefault="00000000" w:rsidRPr="00000000" w14:paraId="00000091">
      <w:pPr>
        <w:spacing w:after="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través de los cuales la recurrente dice acreditar su personalidad para acceder a los datos personales de su esposo finado. </w:t>
      </w:r>
    </w:p>
    <w:p w:rsidR="00000000" w:rsidDel="00000000" w:rsidP="00000000" w:rsidRDefault="00000000" w:rsidRPr="00000000" w14:paraId="00000092">
      <w:pPr>
        <w:spacing w:after="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respuesta, el Titular de la Unidad de Transparencia remitió un acuerdo mediante el cual se le notifica a la solicitante la determinación de no dar curso a su solicitud, debido a que no fueron presentados los requerimientos solicitados de conformidad con el artículo 111 de la Ley de Protección de Datos Personales en Posesión de Sujetos Obligados del Estado de México y Municipios; así como en el artículo 59 de los Lineamientos por los que se establecen las políticas, criterios y procedimientos que deberán observar los Sujetos Obligados, para proveer la aplicación e implementación de la Ley de Protección de Datos Personales del Estado de México, que expide el Pleno del Instituto de Transparencia, Acceso a la Información Pública y Protección de Datos Personales del Estado de México y Municipios.</w:t>
      </w:r>
    </w:p>
    <w:p w:rsidR="00000000" w:rsidDel="00000000" w:rsidP="00000000" w:rsidRDefault="00000000" w:rsidRPr="00000000" w14:paraId="00000093">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Inconforme, el particular manifestó como agravios que se le negó la información, ya que, con motivo para realizar los trámites de indemnización por fallecimiento por riesgo de trabajo de su esposo, ingreso la solicitud. </w:t>
      </w:r>
    </w:p>
    <w:p w:rsidR="00000000" w:rsidDel="00000000" w:rsidP="00000000" w:rsidRDefault="00000000" w:rsidRPr="00000000" w14:paraId="00000094">
      <w:pPr>
        <w:spacing w:after="240" w:before="240" w:line="360" w:lineRule="auto"/>
        <w:ind w:left="708"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 Acta de matrimonio de la persona descrita en la solicitud de acceso a la información que se analiza y la solicitante.</w:t>
      </w:r>
    </w:p>
    <w:p w:rsidR="00000000" w:rsidDel="00000000" w:rsidP="00000000" w:rsidRDefault="00000000" w:rsidRPr="00000000" w14:paraId="00000095">
      <w:pPr>
        <w:spacing w:after="240" w:line="360" w:lineRule="auto"/>
        <w:ind w:left="708"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 Póliza de Seguro xxxxxxxxxxxxxxxxxxxxxxxxx por parte de la empresa GNP en favor del beneficiario. </w:t>
      </w:r>
    </w:p>
    <w:p w:rsidR="00000000" w:rsidDel="00000000" w:rsidP="00000000" w:rsidRDefault="00000000" w:rsidRPr="00000000" w14:paraId="00000096">
      <w:pPr>
        <w:spacing w:after="240" w:line="360" w:lineRule="auto"/>
        <w:ind w:left="708"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5. Carta testamentaria del Instituto de Seguridad Social del Estado de México y Municipios en favor del titular de los datos personales. </w:t>
      </w:r>
    </w:p>
    <w:p w:rsidR="00000000" w:rsidDel="00000000" w:rsidP="00000000" w:rsidRDefault="00000000" w:rsidRPr="00000000" w14:paraId="00000097">
      <w:pPr>
        <w:spacing w:after="240" w:before="240" w:line="360" w:lineRule="auto"/>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98">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señaló que no cuenta el documento en donde su finado esposo haya expresado su voluntad para que la solicitante pudiera acceder a sus datos personales, no obstante, en términos de lo señalado por el articulo el artículo 106 de la Ley de Acceso a Datos Personales del Estado de México que señala: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w:t>
      </w:r>
    </w:p>
    <w:p w:rsidR="00000000" w:rsidDel="00000000" w:rsidP="00000000" w:rsidRDefault="00000000" w:rsidRPr="00000000" w14:paraId="00000099">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destaca que, que la información que se solicita es precisamente el “Expediente Clínico”, </w:t>
      </w:r>
      <w:r w:rsidDel="00000000" w:rsidR="00000000" w:rsidRPr="00000000">
        <w:rPr>
          <w:rFonts w:ascii="Palatino Linotype" w:cs="Palatino Linotype" w:eastAsia="Palatino Linotype" w:hAnsi="Palatino Linotype"/>
          <w:i w:val="1"/>
          <w:sz w:val="24"/>
          <w:szCs w:val="24"/>
          <w:rtl w:val="0"/>
        </w:rPr>
        <w:t xml:space="preserve">lo que resulta contradictorio con la fundamentación invocada por la responsable en atención a que no se están ejerciendo Derechos ARCO. Asimismo, de acuerdo con el Artículo 122 de la Ley antes citada, el cual menciona que “La interposición de un recurso de revisión de datos personales concernientes a personas fallecidas, podrá realizarla la persona que acredite tener un interés jurídico o legítimo”, por lo tanto, señala que acreditó tener un interés legítimo y jurídico, tal y como quedó demostrado con los documentos que adjuntó en el desahogo del requerimiento de aclaración a la solicitud que realizó;”</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9A">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Una vez admitido el recurso de revisión y declarado abierto el periodo de manifestaciones, las partes manifestaron su voluntad de conciliar; ante ello la Comisionada Ponente con fundamento en el artículo 132, fracción II, de la Ley de Protección de Datos Personales en Posesión de Sujetos Obligados del Estado de México y Municipios, ante la Situación Generada por el Virus Sars-Cov2 (Covid-19), señalo las quince horas con treinta minutos (15:30 hrs) del día cuatro de noviembre de la presente anualidad, para que a través del sistema ZOOM (software para reuniones y videoconferencias), se realizara la audiencia de conciliación.</w:t>
      </w:r>
    </w:p>
    <w:p w:rsidR="00000000" w:rsidDel="00000000" w:rsidP="00000000" w:rsidRDefault="00000000" w:rsidRPr="00000000" w14:paraId="0000009B">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Una vez que se llevó a cabo la audiencia de conciliación, la Comisionada Ponente emitió el siguiente acuerdo:</w:t>
      </w:r>
    </w:p>
    <w:p w:rsidR="00000000" w:rsidDel="00000000" w:rsidP="00000000" w:rsidRDefault="00000000" w:rsidRPr="00000000" w14:paraId="0000009C">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676900" cy="7105650"/>
            <wp:effectExtent b="0" l="0" r="0" t="0"/>
            <wp:docPr id="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676900" cy="710565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240" w:before="240" w:line="360" w:lineRule="auto"/>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9E">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base en lo anterior, se acredita que las partes llegaron al acuerdo que establece el artículo 132 fracción V de la Ley de Protección de Datos Personales en Posesión de los Sujetos Obligados del Estado de México y Municipios</w:t>
      </w:r>
      <w:r w:rsidDel="00000000" w:rsidR="00000000" w:rsidRPr="00000000">
        <w:rPr>
          <w:rFonts w:ascii="Palatino Linotype" w:cs="Palatino Linotype" w:eastAsia="Palatino Linotype" w:hAnsi="Palatino Linotype"/>
          <w:sz w:val="24"/>
          <w:szCs w:val="24"/>
          <w:vertAlign w:val="superscript"/>
        </w:rPr>
        <w:footnoteReference w:customMarkFollows="0" w:id="1"/>
      </w:r>
      <w:r w:rsidDel="00000000" w:rsidR="00000000" w:rsidRPr="00000000">
        <w:rPr>
          <w:rFonts w:ascii="Palatino Linotype" w:cs="Palatino Linotype" w:eastAsia="Palatino Linotype" w:hAnsi="Palatino Linotype"/>
          <w:sz w:val="24"/>
          <w:szCs w:val="24"/>
          <w:rtl w:val="0"/>
        </w:rPr>
        <w:t xml:space="preserve">, teniendo que durante la celebración de la Audiencia de Conciliación la Recurrente aceptaba y recibía en Copias simples  y en medio digital el expediente clínico de su esposo fallecido, a través del documento identificado como “ACUSE DE RECIBIDO RR_544.IP.pdf”, que contiene la manifestación de la parte Recurrente de que se le entregó la información señalada, contando con la firma, como se aprecia en la siguiente imagen:</w:t>
      </w:r>
    </w:p>
    <w:p w:rsidR="00000000" w:rsidDel="00000000" w:rsidP="00000000" w:rsidRDefault="00000000" w:rsidRPr="00000000" w14:paraId="0000009F">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4657725" cy="6410325"/>
            <wp:effectExtent b="0" l="0" r="0" t="0"/>
            <wp:docPr id="1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657725" cy="641032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240" w:before="240" w:line="360" w:lineRule="auto"/>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A1">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este Órgano Garante advierte que en el presente caso se actualiza la causal de sobreseimiento prevista en la fracción V del artículo 139, en correlación con el 132, fracciones V y VI, todos de la Ley de Protección de Datos Personales en Posesión de los Sujetos Obligados del Estado de México y Municipios, que a la letra dice:</w:t>
      </w:r>
    </w:p>
    <w:p w:rsidR="00000000" w:rsidDel="00000000" w:rsidP="00000000" w:rsidRDefault="00000000" w:rsidRPr="00000000" w14:paraId="000000A2">
      <w:pPr>
        <w:spacing w:after="120" w:lineRule="auto"/>
        <w:ind w:left="1134" w:right="94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Fonts w:ascii="Palatino Linotype" w:cs="Palatino Linotype" w:eastAsia="Palatino Linotype" w:hAnsi="Palatino Linotype"/>
          <w:b w:val="1"/>
          <w:i w:val="1"/>
          <w:sz w:val="24"/>
          <w:szCs w:val="24"/>
          <w:rtl w:val="0"/>
        </w:rPr>
        <w:t xml:space="preserve">Artículo 132.</w:t>
      </w:r>
      <w:r w:rsidDel="00000000" w:rsidR="00000000" w:rsidRPr="00000000">
        <w:rPr>
          <w:rFonts w:ascii="Palatino Linotype" w:cs="Palatino Linotype" w:eastAsia="Palatino Linotype" w:hAnsi="Palatino Linotype"/>
          <w:i w:val="1"/>
          <w:sz w:val="24"/>
          <w:szCs w:val="24"/>
          <w:rtl w:val="0"/>
        </w:rPr>
        <w:t xml:space="preserve"> Admitido el recurso de revisión y sin perjuicio de lo dispuesto por la Ley General, el Instituto promoverá la conciliación entre las partes, de conformidad con el procedimiento siguiente:</w:t>
      </w:r>
    </w:p>
    <w:p w:rsidR="00000000" w:rsidDel="00000000" w:rsidP="00000000" w:rsidRDefault="00000000" w:rsidRPr="00000000" w14:paraId="000000A3">
      <w:pPr>
        <w:spacing w:after="120" w:lineRule="auto"/>
        <w:ind w:left="1134" w:right="94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A4">
      <w:pPr>
        <w:spacing w:after="120" w:lineRule="auto"/>
        <w:ind w:left="1134" w:right="94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V. De llegar a un acuerdo, éste se hará constar por escrito y tendrá efectos vinculantes. </w:t>
      </w:r>
    </w:p>
    <w:p w:rsidR="00000000" w:rsidDel="00000000" w:rsidP="00000000" w:rsidRDefault="00000000" w:rsidRPr="00000000" w14:paraId="000000A5">
      <w:pPr>
        <w:spacing w:after="120" w:lineRule="auto"/>
        <w:ind w:left="1134" w:right="941" w:firstLine="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El recurso de revisión quedará sin materia y el Instituto, deberán verificar el cumplimiento del acuerdo respectivo. </w:t>
      </w:r>
    </w:p>
    <w:p w:rsidR="00000000" w:rsidDel="00000000" w:rsidP="00000000" w:rsidRDefault="00000000" w:rsidRPr="00000000" w14:paraId="000000A6">
      <w:pPr>
        <w:spacing w:after="120" w:lineRule="auto"/>
        <w:ind w:left="1134" w:right="94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VI. El cumplimiento del acuerdo dará por concluido la sustanciación del recurso de revisión, en caso contrario, el Instituto reanudará el procedimiento.</w:t>
      </w:r>
    </w:p>
    <w:p w:rsidR="00000000" w:rsidDel="00000000" w:rsidP="00000000" w:rsidRDefault="00000000" w:rsidRPr="00000000" w14:paraId="000000A7">
      <w:pPr>
        <w:spacing w:after="120" w:lineRule="auto"/>
        <w:ind w:left="1134" w:right="94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A8">
      <w:pPr>
        <w:spacing w:after="120" w:lineRule="auto"/>
        <w:ind w:left="1134" w:right="94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Artículo 139.</w:t>
      </w:r>
      <w:r w:rsidDel="00000000" w:rsidR="00000000" w:rsidRPr="00000000">
        <w:rPr>
          <w:rFonts w:ascii="Palatino Linotype" w:cs="Palatino Linotype" w:eastAsia="Palatino Linotype" w:hAnsi="Palatino Linotype"/>
          <w:i w:val="1"/>
          <w:sz w:val="24"/>
          <w:szCs w:val="24"/>
          <w:rtl w:val="0"/>
        </w:rPr>
        <w:t xml:space="preserve"> El recurso de revisión sólo podrá ser sobreseído cuando:</w:t>
      </w:r>
    </w:p>
    <w:p w:rsidR="00000000" w:rsidDel="00000000" w:rsidP="00000000" w:rsidRDefault="00000000" w:rsidRPr="00000000" w14:paraId="000000A9">
      <w:pPr>
        <w:spacing w:after="120" w:lineRule="auto"/>
        <w:ind w:left="1134" w:right="94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AA">
      <w:pPr>
        <w:spacing w:after="120" w:lineRule="auto"/>
        <w:ind w:left="1134" w:right="94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V. Quede sin materia el recurso de revisión.” (Sic)</w:t>
      </w:r>
    </w:p>
    <w:p w:rsidR="00000000" w:rsidDel="00000000" w:rsidP="00000000" w:rsidRDefault="00000000" w:rsidRPr="00000000" w14:paraId="000000AB">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debido a que como se afirmó en líneas que anteceden, las partes mediante la celebración de la Audiencia de Conciliación llegaron a un acuerdo a través de la cual la Recurrente, aceptó que se le entregara la información que ha sido precisada en líneas anteriores, quedando sin materia, ya que un acto impugnado queda sin efectos, cuando aun existiendo jurídicamente (esto es, que no se ha modificado, ni revocado), ya no genera ninguna consecuencia legal.</w:t>
      </w:r>
    </w:p>
    <w:p w:rsidR="00000000" w:rsidDel="00000000" w:rsidP="00000000" w:rsidRDefault="00000000" w:rsidRPr="00000000" w14:paraId="000000AC">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tanto que, un acto impugnado queda sin materia, cuando  sido satisfecha la pretensión de lo pedido o exigido por la Recurrente de manera que el Sujeto Obligado mediante la entrega de los documentos y del Acuerdo al que llegó con la hoy Recurrente, es que se queda sin materia, es decir, el motivo de conflicto entre las partes simple y llanamente no existe.</w:t>
      </w:r>
    </w:p>
    <w:p w:rsidR="00000000" w:rsidDel="00000000" w:rsidP="00000000" w:rsidRDefault="00000000" w:rsidRPr="00000000" w14:paraId="000000AD">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Cabe precisar que esta Ponencia no se pronuncia acerca del acto impugnado o razones o motivos de inconformidad, pues como quedó asentado en líneas anteriores, el presente ocurso ha quedado sin materia, lo que impide estudiar y pronunciarse al respecto.</w:t>
      </w:r>
    </w:p>
    <w:p w:rsidR="00000000" w:rsidDel="00000000" w:rsidP="00000000" w:rsidRDefault="00000000" w:rsidRPr="00000000" w14:paraId="000000AE">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anterior, se tuvo por atendida la solicitud de acceso a datos personales y se dio por terminado el Recurso de Revisión, pues el motivo de inconformidad ya fue subsanado con la entrega de la información. </w:t>
      </w:r>
    </w:p>
    <w:p w:rsidR="00000000" w:rsidDel="00000000" w:rsidP="00000000" w:rsidRDefault="00000000" w:rsidRPr="00000000" w14:paraId="000000AF">
      <w:pPr>
        <w:spacing w:line="360" w:lineRule="auto"/>
        <w:jc w:val="both"/>
        <w:rPr>
          <w:rFonts w:ascii="Palatino Linotype" w:cs="Palatino Linotype" w:eastAsia="Palatino Linotype" w:hAnsi="Palatino Linotype"/>
          <w:sz w:val="24"/>
          <w:szCs w:val="24"/>
          <w:u w:val="single"/>
        </w:rPr>
      </w:pPr>
      <w:r w:rsidDel="00000000" w:rsidR="00000000" w:rsidRPr="00000000">
        <w:rPr>
          <w:rtl w:val="0"/>
        </w:rPr>
      </w:r>
    </w:p>
    <w:p w:rsidR="00000000" w:rsidDel="00000000" w:rsidP="00000000" w:rsidRDefault="00000000" w:rsidRPr="00000000" w14:paraId="000000B0">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expuesto y fundado, este Pleno:</w:t>
      </w:r>
    </w:p>
    <w:p w:rsidR="00000000" w:rsidDel="00000000" w:rsidP="00000000" w:rsidRDefault="00000000" w:rsidRPr="00000000" w14:paraId="000000B2">
      <w:pPr>
        <w:spacing w:line="360" w:lineRule="auto"/>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B3">
      <w:pPr>
        <w:spacing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 E S U E L V E</w:t>
      </w:r>
    </w:p>
    <w:p w:rsidR="00000000" w:rsidDel="00000000" w:rsidP="00000000" w:rsidRDefault="00000000" w:rsidRPr="00000000" w14:paraId="000000B4">
      <w:pPr>
        <w:spacing w:line="3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B5">
      <w:pPr>
        <w:spacing w:line="360" w:lineRule="auto"/>
        <w:ind w:right="11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Se </w:t>
      </w:r>
      <w:r w:rsidDel="00000000" w:rsidR="00000000" w:rsidRPr="00000000">
        <w:rPr>
          <w:rFonts w:ascii="Palatino Linotype" w:cs="Palatino Linotype" w:eastAsia="Palatino Linotype" w:hAnsi="Palatino Linotype"/>
          <w:b w:val="1"/>
          <w:sz w:val="24"/>
          <w:szCs w:val="24"/>
          <w:rtl w:val="0"/>
        </w:rPr>
        <w:t xml:space="preserve">SOBRESEE</w:t>
      </w:r>
      <w:r w:rsidDel="00000000" w:rsidR="00000000" w:rsidRPr="00000000">
        <w:rPr>
          <w:rFonts w:ascii="Palatino Linotype" w:cs="Palatino Linotype" w:eastAsia="Palatino Linotype" w:hAnsi="Palatino Linotype"/>
          <w:sz w:val="24"/>
          <w:szCs w:val="24"/>
          <w:rtl w:val="0"/>
        </w:rPr>
        <w:t xml:space="preserve"> el Recurso de Revisión </w:t>
      </w:r>
      <w:r w:rsidDel="00000000" w:rsidR="00000000" w:rsidRPr="00000000">
        <w:rPr>
          <w:rFonts w:ascii="Palatino Linotype" w:cs="Palatino Linotype" w:eastAsia="Palatino Linotype" w:hAnsi="Palatino Linotype"/>
          <w:b w:val="1"/>
          <w:sz w:val="24"/>
          <w:szCs w:val="24"/>
          <w:rtl w:val="0"/>
        </w:rPr>
        <w:tab/>
      </w:r>
      <w:r w:rsidDel="00000000" w:rsidR="00000000" w:rsidRPr="00000000">
        <w:rPr>
          <w:rFonts w:ascii="Palatino Linotype" w:cs="Palatino Linotype" w:eastAsia="Palatino Linotype" w:hAnsi="Palatino Linotype"/>
          <w:sz w:val="24"/>
          <w:szCs w:val="24"/>
          <w:rtl w:val="0"/>
        </w:rPr>
        <w:t xml:space="preserve">04089/ISSEMYM/IP/2021, por que el Sujeto Obligado entregó la información solicitada y dejó sin materia el presente Recurso de Revisión, en términos de los artículos 137, fracción I y 139, fracción IV, de la Ley de Protección de Datos Personales en Posesión de Sujetos Obligados del Estado de México y Municipios, de conformidad con el Considerando </w:t>
      </w:r>
      <w:r w:rsidDel="00000000" w:rsidR="00000000" w:rsidRPr="00000000">
        <w:rPr>
          <w:rFonts w:ascii="Palatino Linotype" w:cs="Palatino Linotype" w:eastAsia="Palatino Linotype" w:hAnsi="Palatino Linotype"/>
          <w:b w:val="1"/>
          <w:sz w:val="24"/>
          <w:szCs w:val="24"/>
          <w:rtl w:val="0"/>
        </w:rPr>
        <w:t xml:space="preserve">Sexto </w:t>
      </w:r>
      <w:r w:rsidDel="00000000" w:rsidR="00000000" w:rsidRPr="00000000">
        <w:rPr>
          <w:rFonts w:ascii="Palatino Linotype" w:cs="Palatino Linotype" w:eastAsia="Palatino Linotype" w:hAnsi="Palatino Linotype"/>
          <w:sz w:val="24"/>
          <w:szCs w:val="24"/>
          <w:rtl w:val="0"/>
        </w:rPr>
        <w:t xml:space="preserve">de la presente Resolución.</w:t>
      </w:r>
    </w:p>
    <w:p w:rsidR="00000000" w:rsidDel="00000000" w:rsidP="00000000" w:rsidRDefault="00000000" w:rsidRPr="00000000" w14:paraId="000000B6">
      <w:pPr>
        <w:spacing w:line="360" w:lineRule="auto"/>
        <w:ind w:right="113"/>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B7">
      <w:pPr>
        <w:spacing w:line="360" w:lineRule="auto"/>
        <w:ind w:right="113"/>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SEGUNDO.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 </w:t>
      </w:r>
      <w:r w:rsidDel="00000000" w:rsidR="00000000" w:rsidRPr="00000000">
        <w:rPr>
          <w:rFonts w:ascii="Palatino Linotype" w:cs="Palatino Linotype" w:eastAsia="Palatino Linotype" w:hAnsi="Palatino Linotype"/>
          <w:sz w:val="24"/>
          <w:szCs w:val="24"/>
          <w:rtl w:val="0"/>
        </w:rPr>
        <w:t xml:space="preserve">la presente resolución</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al Titular de la Unidad de Transparencia del Sujeto Obligado </w:t>
      </w:r>
      <w:r w:rsidDel="00000000" w:rsidR="00000000" w:rsidRPr="00000000">
        <w:rPr>
          <w:rFonts w:ascii="Palatino Linotype" w:cs="Palatino Linotype" w:eastAsia="Palatino Linotype" w:hAnsi="Palatino Linotype"/>
          <w:color w:val="222222"/>
          <w:sz w:val="24"/>
          <w:szCs w:val="24"/>
          <w:highlight w:val="white"/>
          <w:rtl w:val="0"/>
        </w:rPr>
        <w:t xml:space="preserve">vía Sistema de Acceso a la Información Mexiquense (SAIMEX)</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tl w:val="0"/>
        </w:rPr>
      </w:r>
    </w:p>
    <w:p w:rsidR="00000000" w:rsidDel="00000000" w:rsidP="00000000" w:rsidRDefault="00000000" w:rsidRPr="00000000" w14:paraId="000000B8">
      <w:pPr>
        <w:spacing w:line="360" w:lineRule="auto"/>
        <w:ind w:right="33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 </w:t>
      </w:r>
      <w:r w:rsidDel="00000000" w:rsidR="00000000" w:rsidRPr="00000000">
        <w:rPr>
          <w:rFonts w:ascii="Palatino Linotype" w:cs="Palatino Linotype" w:eastAsia="Palatino Linotype" w:hAnsi="Palatino Linotype"/>
          <w:sz w:val="24"/>
          <w:szCs w:val="24"/>
          <w:rtl w:val="0"/>
        </w:rPr>
        <w:t xml:space="preserve">al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la presente resolución </w:t>
      </w:r>
      <w:r w:rsidDel="00000000" w:rsidR="00000000" w:rsidRPr="00000000">
        <w:rPr>
          <w:rFonts w:ascii="Palatino Linotype" w:cs="Palatino Linotype" w:eastAsia="Palatino Linotype" w:hAnsi="Palatino Linotype"/>
          <w:color w:val="222222"/>
          <w:sz w:val="24"/>
          <w:szCs w:val="24"/>
          <w:highlight w:val="white"/>
          <w:rtl w:val="0"/>
        </w:rPr>
        <w:t xml:space="preserve">vía Sistema de Acceso a la Información Mexiquense (SAIMEX)</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asimismo, se hace de su conocimiento que de conformidad con lo establecido en el artículo 142 de la Ley de Protección de Datos Personales en Posesión de Sujetos Obligados del Estado de México y Municipios podrá promover el Juicio de Amparo en los términos de las leyes aplicables.</w:t>
      </w:r>
    </w:p>
    <w:p w:rsidR="00000000" w:rsidDel="00000000" w:rsidP="00000000" w:rsidRDefault="00000000" w:rsidRPr="00000000" w14:paraId="000000BA">
      <w:pPr>
        <w:spacing w:line="360" w:lineRule="auto"/>
        <w:jc w:val="both"/>
        <w:rPr>
          <w:rFonts w:ascii="Palatino Linotype" w:cs="Palatino Linotype" w:eastAsia="Palatino Linotype" w:hAnsi="Palatino Linotype"/>
          <w:b w:val="1"/>
          <w:color w:val="ff0000"/>
          <w:sz w:val="24"/>
          <w:szCs w:val="24"/>
        </w:rPr>
      </w:pPr>
      <w:r w:rsidDel="00000000" w:rsidR="00000000" w:rsidRPr="00000000">
        <w:rPr>
          <w:rtl w:val="0"/>
        </w:rPr>
      </w:r>
    </w:p>
    <w:p w:rsidR="00000000" w:rsidDel="00000000" w:rsidP="00000000" w:rsidRDefault="00000000" w:rsidRPr="00000000" w14:paraId="000000BB">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VEINTICUATRO DE NOVIEMBRE DE DOS MIL VEINTIUNO, ANTE EL SECRETARIO TÉCNICO DEL PLENO ALEXIS TAPIA RAMÍREZ.</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Palatino Linotype" w:cs="Palatino Linotype" w:eastAsia="Palatino Linotype" w:hAnsi="Palatino Linotype"/>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Palatino Linotype" w:cs="Palatino Linotype" w:eastAsia="Palatino Linotype" w:hAnsi="Palatino Linotype"/>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spacing w:after="0" w:before="240" w:line="360" w:lineRule="auto"/>
        <w:jc w:val="both"/>
        <w:rPr>
          <w:rFonts w:ascii="Palatino Linotype" w:cs="Palatino Linotype" w:eastAsia="Palatino Linotype" w:hAnsi="Palatino Linotype"/>
          <w:b w:val="1"/>
          <w:color w:val="ff0000"/>
          <w:sz w:val="24"/>
          <w:szCs w:val="24"/>
          <w:highlight w:val="white"/>
        </w:rPr>
      </w:pPr>
      <w:r w:rsidDel="00000000" w:rsidR="00000000" w:rsidRPr="00000000">
        <w:rPr>
          <w:rtl w:val="0"/>
        </w:rPr>
      </w:r>
    </w:p>
    <w:p w:rsidR="00000000" w:rsidDel="00000000" w:rsidP="00000000" w:rsidRDefault="00000000" w:rsidRPr="00000000" w14:paraId="000000C2">
      <w:pPr>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C6">
      <w:pPr>
        <w:spacing w:after="240" w:before="240" w:lineRule="auto"/>
        <w:ind w:left="993" w:right="1041"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C7">
      <w:pPr>
        <w:tabs>
          <w:tab w:val="left" w:pos="4962"/>
        </w:tabs>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C8">
      <w:pPr>
        <w:tabs>
          <w:tab w:val="left" w:pos="4962"/>
        </w:tabs>
        <w:spacing w:line="360" w:lineRule="auto"/>
        <w:jc w:val="both"/>
        <w:rPr>
          <w:rFonts w:ascii="Palatino Linotype" w:cs="Palatino Linotype" w:eastAsia="Palatino Linotype" w:hAnsi="Palatino Linotype"/>
          <w:b w:val="1"/>
          <w:sz w:val="24"/>
          <w:szCs w:val="24"/>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18" w:top="80" w:left="1588" w:right="1608" w:header="709" w:footer="91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Página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Página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BONILLLA LÓPEZ Miguel. </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Los principios Constitucionales del Juicio de Amparo II.</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México. 2009. UNAM. </w:t>
      </w:r>
    </w:p>
  </w:footnote>
  <w:footnote w:id="1">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16"/>
          <w:szCs w:val="16"/>
          <w:u w:val="none"/>
          <w:shd w:fill="auto" w:val="clear"/>
          <w:vertAlign w:val="baseline"/>
          <w:rtl w:val="0"/>
        </w:rPr>
        <w:t xml:space="preserve">Artículo 132.</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Admitido el recurso de revisión y sin perjuicio de lo dispuesto por la Ley General, el Instituto promoverá la conciliación entre las partes, de conformidad con el procedimiento siguiente:</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6"/>
          <w:szCs w:val="16"/>
          <w:u w:val="none"/>
          <w:shd w:fill="auto" w:val="clear"/>
          <w:vertAlign w:val="baseline"/>
          <w:rtl w:val="0"/>
        </w:rPr>
        <w:t xml:space="preserve">V.</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16"/>
          <w:szCs w:val="16"/>
          <w:u w:val="none"/>
          <w:shd w:fill="auto" w:val="clear"/>
          <w:vertAlign w:val="baseline"/>
          <w:rtl w:val="0"/>
        </w:rPr>
        <w:t xml:space="preserve">De llegar a un acuerdo, éste se hará constar por escrito y tendrá efectos vinculantes.</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El recurso de revisión quedará sin materia y el Instituto, deberán verificar el cumplimiento del acuerdo respectivo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tl w:val="0"/>
      </w:rPr>
    </w:r>
  </w:p>
  <w:tbl>
    <w:tblPr>
      <w:tblStyle w:val="Table2"/>
      <w:tblW w:w="9568.0" w:type="dxa"/>
      <w:jc w:val="left"/>
      <w:tblInd w:w="0.0" w:type="dxa"/>
      <w:tblLayout w:type="fixed"/>
      <w:tblLook w:val="0400"/>
    </w:tblPr>
    <w:tblGrid>
      <w:gridCol w:w="2835"/>
      <w:gridCol w:w="6733"/>
      <w:tblGridChange w:id="0">
        <w:tblGrid>
          <w:gridCol w:w="2835"/>
          <w:gridCol w:w="6733"/>
        </w:tblGrid>
      </w:tblGridChange>
    </w:tblGrid>
    <w:tr>
      <w:trPr>
        <w:cantSplit w:val="0"/>
        <w:trHeight w:val="1435" w:hRule="atLeast"/>
        <w:tblHeader w:val="0"/>
      </w:trPr>
      <w:tc>
        <w:tcPr>
          <w:shd w:fill="auto" w:val="clear"/>
        </w:tcPr>
        <w:p w:rsidR="00000000" w:rsidDel="00000000" w:rsidP="00000000" w:rsidRDefault="00000000" w:rsidRPr="00000000" w14:paraId="000000CE">
          <w:pPr>
            <w:tabs>
              <w:tab w:val="right" w:pos="4273"/>
            </w:tabs>
            <w:rPr>
              <w:rFonts w:ascii="Garamond" w:cs="Garamond" w:eastAsia="Garamond" w:hAnsi="Garamond"/>
              <w:sz w:val="16"/>
              <w:szCs w:val="16"/>
            </w:rPr>
          </w:pPr>
          <w:r w:rsidDel="00000000" w:rsidR="00000000" w:rsidRPr="00000000">
            <w:rPr>
              <w:rtl w:val="0"/>
            </w:rPr>
          </w:r>
        </w:p>
      </w:tc>
      <w:tc>
        <w:tcPr>
          <w:shd w:fill="auto" w:val="clear"/>
        </w:tcPr>
        <w:p w:rsidR="00000000" w:rsidDel="00000000" w:rsidP="00000000" w:rsidRDefault="00000000" w:rsidRPr="00000000" w14:paraId="000000CF">
          <w:pPr>
            <w:tabs>
              <w:tab w:val="right" w:pos="8838"/>
            </w:tabs>
            <w:ind w:left="-28" w:firstLine="0"/>
            <w:jc w:val="both"/>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Pr>
      <w:pict>
        <v:shape id="WordPictureWatermark1" style="position:absolute;width:663.5pt;height:864.0pt;rotation:0;z-index:-503316481;mso-position-horizontal-relative:margin;mso-position-horizontal:absolute;margin-left:-111.7pt;mso-position-vertical-relative:margin;mso-position-vertical:absolute;margin-top:-135.95pt;" alt="" type="#_x0000_t75">
          <v:imagedata cropbottom="0f" cropleft="0f" cropright="0f" croptop="0f" r:id="rId1" o:title="image3.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7015.999999999999" w:type="dxa"/>
      <w:jc w:val="left"/>
      <w:tblInd w:w="2552.0" w:type="dxa"/>
      <w:tblLayout w:type="fixed"/>
      <w:tblLook w:val="0400"/>
    </w:tblPr>
    <w:tblGrid>
      <w:gridCol w:w="283"/>
      <w:gridCol w:w="6733"/>
      <w:tblGridChange w:id="0">
        <w:tblGrid>
          <w:gridCol w:w="283"/>
          <w:gridCol w:w="6733"/>
        </w:tblGrid>
      </w:tblGridChange>
    </w:tblGrid>
    <w:tr>
      <w:trPr>
        <w:cantSplit w:val="0"/>
        <w:trHeight w:val="1435" w:hRule="atLeast"/>
        <w:tblHeader w:val="0"/>
      </w:trPr>
      <w:tc>
        <w:tcPr>
          <w:shd w:fill="auto" w:val="clear"/>
        </w:tcPr>
        <w:p w:rsidR="00000000" w:rsidDel="00000000" w:rsidP="00000000" w:rsidRDefault="00000000" w:rsidRPr="00000000" w14:paraId="000000D2">
          <w:pPr>
            <w:tabs>
              <w:tab w:val="right" w:pos="4273"/>
            </w:tabs>
            <w:rPr>
              <w:rFonts w:ascii="Garamond" w:cs="Garamond" w:eastAsia="Garamond" w:hAnsi="Garamond"/>
              <w:sz w:val="16"/>
              <w:szCs w:val="16"/>
            </w:rPr>
          </w:pPr>
          <w:r w:rsidDel="00000000" w:rsidR="00000000" w:rsidRPr="00000000">
            <w:rPr>
              <w:rtl w:val="0"/>
            </w:rPr>
          </w:r>
        </w:p>
      </w:tc>
      <w:tc>
        <w:tcPr>
          <w:shd w:fill="auto" w:val="clear"/>
        </w:tcPr>
        <w:p w:rsidR="00000000" w:rsidDel="00000000" w:rsidP="00000000" w:rsidRDefault="00000000" w:rsidRPr="00000000" w14:paraId="000000D3">
          <w:pPr>
            <w:rPr/>
          </w:pPr>
          <w:r w:rsidDel="00000000" w:rsidR="00000000" w:rsidRPr="00000000">
            <w:rPr>
              <w:rtl w:val="0"/>
            </w:rPr>
          </w:r>
        </w:p>
        <w:tbl>
          <w:tblPr>
            <w:tblStyle w:val="Table4"/>
            <w:tblW w:w="1067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27"/>
            <w:gridCol w:w="3972"/>
            <w:gridCol w:w="3972"/>
            <w:tblGridChange w:id="0">
              <w:tblGrid>
                <w:gridCol w:w="2727"/>
                <w:gridCol w:w="3972"/>
                <w:gridCol w:w="3972"/>
              </w:tblGrid>
            </w:tblGridChange>
          </w:tblGrid>
          <w:tr>
            <w:trPr>
              <w:cantSplit w:val="0"/>
              <w:trHeight w:val="144" w:hRule="atLeast"/>
              <w:tblHeader w:val="0"/>
            </w:trPr>
            <w:tc>
              <w:tcPr/>
              <w:p w:rsidR="00000000" w:rsidDel="00000000" w:rsidP="00000000" w:rsidRDefault="00000000" w:rsidRPr="00000000" w14:paraId="000000D4">
                <w:pPr>
                  <w:tabs>
                    <w:tab w:val="right" w:pos="8838"/>
                  </w:tabs>
                  <w:ind w:right="-10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p w:rsidR="00000000" w:rsidDel="00000000" w:rsidP="00000000" w:rsidRDefault="00000000" w:rsidRPr="00000000" w14:paraId="000000D5">
                <w:pPr>
                  <w:tabs>
                    <w:tab w:val="right" w:pos="8838"/>
                  </w:tabs>
                  <w:ind w:left="-28" w:right="17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4"/>
                    <w:szCs w:val="24"/>
                    <w:rtl w:val="0"/>
                  </w:rPr>
                  <w:t xml:space="preserve">04089/INFOEM/IP/2021</w:t>
                </w:r>
                <w:r w:rsidDel="00000000" w:rsidR="00000000" w:rsidRPr="00000000">
                  <w:rPr>
                    <w:rtl w:val="0"/>
                  </w:rPr>
                </w:r>
              </w:p>
            </w:tc>
            <w:tc>
              <w:tcPr/>
              <w:p w:rsidR="00000000" w:rsidDel="00000000" w:rsidP="00000000" w:rsidRDefault="00000000" w:rsidRPr="00000000" w14:paraId="000000D6">
                <w:pPr>
                  <w:tabs>
                    <w:tab w:val="right" w:pos="8838"/>
                  </w:tabs>
                  <w:ind w:left="-28" w:right="171" w:firstLine="0"/>
                  <w:jc w:val="both"/>
                  <w:rPr>
                    <w:rFonts w:ascii="Palatino Linotype" w:cs="Palatino Linotype" w:eastAsia="Palatino Linotype" w:hAnsi="Palatino Linotype"/>
                    <w:sz w:val="22"/>
                    <w:szCs w:val="22"/>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0D7">
                <w:pPr>
                  <w:tabs>
                    <w:tab w:val="right" w:pos="8838"/>
                  </w:tabs>
                  <w:ind w:right="-10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p w:rsidR="00000000" w:rsidDel="00000000" w:rsidP="00000000" w:rsidRDefault="00000000" w:rsidRPr="00000000" w14:paraId="000000D8">
                <w:pPr>
                  <w:tabs>
                    <w:tab w:val="left" w:pos="2834"/>
                    <w:tab w:val="right" w:pos="8838"/>
                  </w:tabs>
                  <w:ind w:right="171"/>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4"/>
                    <w:szCs w:val="24"/>
                    <w:rtl w:val="0"/>
                  </w:rPr>
                  <w:t xml:space="preserve">Instituto de Seguridad Social del Estado de México y Municipios</w:t>
                </w:r>
                <w:r w:rsidDel="00000000" w:rsidR="00000000" w:rsidRPr="00000000">
                  <w:rPr>
                    <w:rtl w:val="0"/>
                  </w:rPr>
                </w:r>
              </w:p>
            </w:tc>
            <w:tc>
              <w:tcPr/>
              <w:p w:rsidR="00000000" w:rsidDel="00000000" w:rsidP="00000000" w:rsidRDefault="00000000" w:rsidRPr="00000000" w14:paraId="000000D9">
                <w:pPr>
                  <w:tabs>
                    <w:tab w:val="left" w:pos="2834"/>
                    <w:tab w:val="right" w:pos="8838"/>
                  </w:tabs>
                  <w:ind w:right="171"/>
                  <w:jc w:val="both"/>
                  <w:rPr>
                    <w:rFonts w:ascii="Palatino Linotype" w:cs="Palatino Linotype" w:eastAsia="Palatino Linotype" w:hAnsi="Palatino Linotype"/>
                    <w:sz w:val="24"/>
                    <w:szCs w:val="24"/>
                  </w:rPr>
                </w:pPr>
                <w:r w:rsidDel="00000000" w:rsidR="00000000" w:rsidRPr="00000000">
                  <w:rPr>
                    <w:rtl w:val="0"/>
                  </w:rPr>
                </w:r>
              </w:p>
            </w:tc>
          </w:tr>
          <w:tr>
            <w:trPr>
              <w:cantSplit w:val="0"/>
              <w:trHeight w:val="586" w:hRule="atLeast"/>
              <w:tblHeader w:val="0"/>
            </w:trPr>
            <w:tc>
              <w:tcPr/>
              <w:p w:rsidR="00000000" w:rsidDel="00000000" w:rsidP="00000000" w:rsidRDefault="00000000" w:rsidRPr="00000000" w14:paraId="000000DA">
                <w:pPr>
                  <w:tabs>
                    <w:tab w:val="right" w:pos="8838"/>
                  </w:tabs>
                  <w:ind w:right="-10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p w:rsidR="00000000" w:rsidDel="00000000" w:rsidP="00000000" w:rsidRDefault="00000000" w:rsidRPr="00000000" w14:paraId="000000DB">
                <w:pPr>
                  <w:tabs>
                    <w:tab w:val="right" w:pos="8838"/>
                  </w:tabs>
                  <w:ind w:right="171"/>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Guadalupe Ramírez Peña</w:t>
                </w:r>
                <w:r w:rsidDel="00000000" w:rsidR="00000000" w:rsidRPr="00000000">
                  <w:rPr>
                    <w:rtl w:val="0"/>
                  </w:rPr>
                </w:r>
              </w:p>
            </w:tc>
            <w:tc>
              <w:tcPr/>
              <w:p w:rsidR="00000000" w:rsidDel="00000000" w:rsidP="00000000" w:rsidRDefault="00000000" w:rsidRPr="00000000" w14:paraId="000000DC">
                <w:pPr>
                  <w:tabs>
                    <w:tab w:val="right" w:pos="8838"/>
                  </w:tabs>
                  <w:ind w:right="171"/>
                  <w:jc w:val="both"/>
                  <w:rPr>
                    <w:rFonts w:ascii="Palatino Linotype" w:cs="Palatino Linotype" w:eastAsia="Palatino Linotype" w:hAnsi="Palatino Linotype"/>
                    <w:sz w:val="22"/>
                    <w:szCs w:val="22"/>
                  </w:rPr>
                </w:pPr>
                <w:r w:rsidDel="00000000" w:rsidR="00000000" w:rsidRPr="00000000">
                  <w:rPr>
                    <w:rtl w:val="0"/>
                  </w:rPr>
                </w:r>
              </w:p>
            </w:tc>
          </w:tr>
        </w:tbl>
        <w:p w:rsidR="00000000" w:rsidDel="00000000" w:rsidP="00000000" w:rsidRDefault="00000000" w:rsidRPr="00000000" w14:paraId="000000DD">
          <w:pPr>
            <w:tabs>
              <w:tab w:val="right" w:pos="8838"/>
            </w:tabs>
            <w:ind w:left="-28" w:firstLine="0"/>
            <w:jc w:val="both"/>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Pr>
      <w:drawing>
        <wp:anchor allowOverlap="1" behindDoc="1" distB="0" distT="0" distL="0" distR="0" hidden="0" layoutInCell="1" locked="0" relativeHeight="0" simplePos="0">
          <wp:simplePos x="0" y="0"/>
          <wp:positionH relativeFrom="margin">
            <wp:posOffset>-1285239</wp:posOffset>
          </wp:positionH>
          <wp:positionV relativeFrom="margin">
            <wp:posOffset>-1688464</wp:posOffset>
          </wp:positionV>
          <wp:extent cx="8426450" cy="10972800"/>
          <wp:effectExtent b="0" l="0" r="0" t="0"/>
          <wp:wrapNone/>
          <wp:docPr id="7"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8426450" cy="109728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4"/>
      <w:numFmt w:val="upperRoman"/>
      <w:lvlText w:val="%1."/>
      <w:lvlJc w:val="left"/>
      <w:pPr>
        <w:ind w:left="720" w:hanging="72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rsid w:val="00326E8D"/>
    <w:pPr>
      <w:spacing w:after="0" w:line="240" w:lineRule="auto"/>
    </w:pPr>
    <w:rPr>
      <w:rFonts w:ascii="Times New Roman" w:cs="Times New Roman" w:eastAsia="Times New Roman" w:hAnsi="Times New Roman"/>
      <w:sz w:val="20"/>
      <w:szCs w:val="20"/>
      <w:lang w:eastAsia="es-ES" w:val="es-ES_tradnl"/>
    </w:rPr>
  </w:style>
  <w:style w:type="paragraph" w:styleId="Ttulo1">
    <w:name w:val="heading 1"/>
    <w:basedOn w:val="Normal"/>
    <w:next w:val="Normal"/>
    <w:link w:val="Ttulo1Car"/>
    <w:uiPriority w:val="9"/>
    <w:qFormat w:val="1"/>
    <w:rsid w:val="00B31222"/>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semiHidden w:val="1"/>
    <w:unhideWhenUsed w:val="1"/>
    <w:qFormat w:val="1"/>
    <w:rsid w:val="00480149"/>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link w:val="Ttulo3Car"/>
    <w:uiPriority w:val="9"/>
    <w:semiHidden w:val="1"/>
    <w:unhideWhenUsed w:val="1"/>
    <w:qFormat w:val="1"/>
    <w:rsid w:val="001623ED"/>
    <w:pPr>
      <w:keepNext w:val="1"/>
      <w:keepLines w:val="1"/>
      <w:spacing w:before="40"/>
      <w:outlineLvl w:val="2"/>
    </w:pPr>
    <w:rPr>
      <w:rFonts w:asciiTheme="majorHAnsi" w:cstheme="majorBidi" w:eastAsiaTheme="majorEastAsia" w:hAnsiTheme="majorHAnsi"/>
      <w:color w:val="1f3763" w:themeColor="accent1" w:themeShade="00007F"/>
      <w:sz w:val="24"/>
      <w:szCs w:val="24"/>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B31222"/>
    <w:rPr>
      <w:rFonts w:asciiTheme="majorHAnsi" w:cstheme="majorBidi" w:eastAsiaTheme="majorEastAsia" w:hAnsiTheme="majorHAnsi"/>
      <w:color w:val="2f5496" w:themeColor="accent1" w:themeShade="0000BF"/>
      <w:sz w:val="32"/>
      <w:szCs w:val="32"/>
      <w:lang w:eastAsia="es-ES" w:val="es-ES"/>
    </w:rPr>
  </w:style>
  <w:style w:type="paragraph" w:styleId="Encabezado">
    <w:name w:val="header"/>
    <w:basedOn w:val="Normal"/>
    <w:link w:val="EncabezadoCar"/>
    <w:uiPriority w:val="99"/>
    <w:unhideWhenUsed w:val="1"/>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cs="Times New Roman" w:eastAsia="Times New Roman" w:hAnsi="Times New Roman"/>
      <w:sz w:val="20"/>
      <w:szCs w:val="20"/>
      <w:lang w:eastAsia="es-ES" w:val="es-ES"/>
    </w:rPr>
  </w:style>
  <w:style w:type="paragraph" w:styleId="Piedepgina">
    <w:name w:val="footer"/>
    <w:basedOn w:val="Normal"/>
    <w:link w:val="PiedepginaCar"/>
    <w:uiPriority w:val="99"/>
    <w:unhideWhenUsed w:val="1"/>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cs="Times New Roman" w:eastAsia="Times New Roman" w:hAnsi="Times New Roman"/>
      <w:sz w:val="20"/>
      <w:szCs w:val="20"/>
      <w:lang w:eastAsia="es-ES"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B31222"/>
    <w:pPr>
      <w:ind w:left="720"/>
      <w:contextualSpacing w:val="1"/>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val="1"/>
    <w:rsid w:val="00B31222"/>
    <w:rPr>
      <w:rFonts w:ascii="Century Gothic" w:cs="Times New Roman" w:eastAsia="Times New Roman" w:hAnsi="Century Gothic"/>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val="1"/>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val="1"/>
    <w:qFormat w:val="1"/>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val="1"/>
    <w:qFormat w:val="1"/>
    <w:rsid w:val="00B31222"/>
    <w:rPr>
      <w:rFonts w:ascii="Calibri" w:eastAsia="Calibri" w:hAnsi="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cs="Times New Roman" w:eastAsia="Calibri" w:hAnsi="Calibri"/>
      <w:sz w:val="20"/>
      <w:szCs w:val="20"/>
    </w:rPr>
  </w:style>
  <w:style w:type="character" w:styleId="Hipervnculovisitado">
    <w:name w:val="FollowedHyperlink"/>
    <w:basedOn w:val="Fuentedeprrafopredeter"/>
    <w:uiPriority w:val="99"/>
    <w:semiHidden w:val="1"/>
    <w:unhideWhenUsed w:val="1"/>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deglobo">
    <w:name w:val="Balloon Text"/>
    <w:basedOn w:val="Normal"/>
    <w:link w:val="TextodegloboCar"/>
    <w:uiPriority w:val="99"/>
    <w:semiHidden w:val="1"/>
    <w:unhideWhenUsed w:val="1"/>
    <w:rsid w:val="00B3122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B31222"/>
    <w:rPr>
      <w:rFonts w:ascii="Segoe UI" w:cs="Segoe UI" w:eastAsia="Times New Roman" w:hAnsi="Segoe UI"/>
      <w:sz w:val="18"/>
      <w:szCs w:val="18"/>
      <w:lang w:eastAsia="es-ES" w:val="es-ES"/>
    </w:rPr>
  </w:style>
  <w:style w:type="character" w:styleId="Refdecomentario">
    <w:name w:val="annotation reference"/>
    <w:basedOn w:val="Fuentedeprrafopredeter"/>
    <w:uiPriority w:val="99"/>
    <w:semiHidden w:val="1"/>
    <w:unhideWhenUsed w:val="1"/>
    <w:rsid w:val="00B31222"/>
    <w:rPr>
      <w:sz w:val="16"/>
      <w:szCs w:val="16"/>
    </w:rPr>
  </w:style>
  <w:style w:type="paragraph" w:styleId="Textocomentario">
    <w:name w:val="annotation text"/>
    <w:basedOn w:val="Normal"/>
    <w:link w:val="TextocomentarioCar"/>
    <w:uiPriority w:val="99"/>
    <w:semiHidden w:val="1"/>
    <w:unhideWhenUsed w:val="1"/>
    <w:rsid w:val="00B31222"/>
  </w:style>
  <w:style w:type="character" w:styleId="TextocomentarioCar" w:customStyle="1">
    <w:name w:val="Texto comentario Car"/>
    <w:basedOn w:val="Fuentedeprrafopredeter"/>
    <w:link w:val="Textocomentario"/>
    <w:uiPriority w:val="99"/>
    <w:semiHidden w:val="1"/>
    <w:rsid w:val="00B31222"/>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B31222"/>
    <w:rPr>
      <w:b w:val="1"/>
      <w:bCs w:val="1"/>
    </w:rPr>
  </w:style>
  <w:style w:type="character" w:styleId="AsuntodelcomentarioCar" w:customStyle="1">
    <w:name w:val="Asunto del comentario Car"/>
    <w:basedOn w:val="TextocomentarioCar"/>
    <w:link w:val="Asuntodelcomentario"/>
    <w:uiPriority w:val="99"/>
    <w:semiHidden w:val="1"/>
    <w:rsid w:val="00B31222"/>
    <w:rPr>
      <w:rFonts w:ascii="Times New Roman" w:cs="Times New Roman" w:eastAsia="Times New Roman" w:hAnsi="Times New Roman"/>
      <w:b w:val="1"/>
      <w:bCs w:val="1"/>
      <w:sz w:val="20"/>
      <w:szCs w:val="20"/>
      <w:lang w:eastAsia="es-ES" w:val="es-ES"/>
    </w:rPr>
  </w:style>
  <w:style w:type="character" w:styleId="Mencionar1" w:customStyle="1">
    <w:name w:val="Mencionar1"/>
    <w:basedOn w:val="Fuentedeprrafopredeter"/>
    <w:uiPriority w:val="99"/>
    <w:semiHidden w:val="1"/>
    <w:unhideWhenUsed w:val="1"/>
    <w:rsid w:val="00B31222"/>
    <w:rPr>
      <w:color w:val="2b579a"/>
      <w:shd w:color="auto" w:fill="e6e6e6" w:val="clear"/>
    </w:rPr>
  </w:style>
  <w:style w:type="character" w:styleId="Mencionar2" w:customStyle="1">
    <w:name w:val="Mencionar2"/>
    <w:basedOn w:val="Fuentedeprrafopredeter"/>
    <w:uiPriority w:val="99"/>
    <w:semiHidden w:val="1"/>
    <w:unhideWhenUsed w:val="1"/>
    <w:rsid w:val="00B31222"/>
    <w:rPr>
      <w:color w:val="2b579a"/>
      <w:shd w:color="auto" w:fill="e6e6e6" w:val="clear"/>
    </w:rPr>
  </w:style>
  <w:style w:type="character" w:styleId="maestrofonttexto" w:customStyle="1">
    <w:name w:val="maestro_fonttexto"/>
    <w:basedOn w:val="Fuentedeprrafopredeter"/>
    <w:rsid w:val="00B31222"/>
  </w:style>
  <w:style w:type="character" w:styleId="Textoennegrita">
    <w:name w:val="Strong"/>
    <w:qFormat w:val="1"/>
    <w:rsid w:val="00B31222"/>
    <w:rPr>
      <w:b w:val="1"/>
      <w:bCs w:val="1"/>
    </w:rPr>
  </w:style>
  <w:style w:type="paragraph" w:styleId="HTMLconformatoprevio">
    <w:name w:val="HTML Preformatted"/>
    <w:basedOn w:val="Normal"/>
    <w:link w:val="HTMLconformatoprevioCar"/>
    <w:uiPriority w:val="99"/>
    <w:semiHidden w:val="1"/>
    <w:unhideWhenUsed w:val="1"/>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lang w:eastAsia="es-MX"/>
    </w:rPr>
  </w:style>
  <w:style w:type="character" w:styleId="HTMLconformatoprevioCar" w:customStyle="1">
    <w:name w:val="HTML con formato previo Car"/>
    <w:basedOn w:val="Fuentedeprrafopredeter"/>
    <w:link w:val="HTMLconformatoprevio"/>
    <w:uiPriority w:val="99"/>
    <w:semiHidden w:val="1"/>
    <w:rsid w:val="00B31222"/>
    <w:rPr>
      <w:rFonts w:ascii="Courier New" w:cs="Courier New" w:eastAsia="Times New Roman" w:hAnsi="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cs="Arial" w:hAnsi="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val="1"/>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cs="Times New Roman" w:eastAsia="Times New Roman" w:hAnsi="Times New Roman"/>
      <w:sz w:val="20"/>
      <w:szCs w:val="20"/>
      <w:lang w:eastAsia="es-ES" w:val="es-ES"/>
    </w:rPr>
  </w:style>
  <w:style w:type="paragraph" w:styleId="Sinespaciado">
    <w:name w:val="No Spacing"/>
    <w:aliases w:val="INAI,Francesa"/>
    <w:link w:val="SinespaciadoCar"/>
    <w:uiPriority w:val="1"/>
    <w:qFormat w:val="1"/>
    <w:rsid w:val="00B31222"/>
    <w:pPr>
      <w:spacing w:after="0" w:line="240" w:lineRule="auto"/>
      <w:ind w:left="567" w:right="567"/>
      <w:jc w:val="both"/>
    </w:pPr>
    <w:rPr>
      <w:rFonts w:ascii="Arial" w:cs="Times New Roman" w:eastAsia="Batang" w:hAnsi="Arial"/>
      <w:sz w:val="20"/>
      <w:szCs w:val="24"/>
      <w:lang w:eastAsia="es-ES"/>
    </w:rPr>
  </w:style>
  <w:style w:type="character" w:styleId="SinespaciadoCar" w:customStyle="1">
    <w:name w:val="Sin espaciado Car"/>
    <w:aliases w:val="INAI Car,Francesa Car"/>
    <w:basedOn w:val="Fuentedeprrafopredeter"/>
    <w:link w:val="Sinespaciado"/>
    <w:uiPriority w:val="1"/>
    <w:rsid w:val="00B31222"/>
    <w:rPr>
      <w:rFonts w:ascii="Arial" w:cs="Times New Roman" w:eastAsia="Batang" w:hAnsi="Arial"/>
      <w:sz w:val="20"/>
      <w:szCs w:val="24"/>
      <w:lang w:eastAsia="es-ES"/>
    </w:rPr>
  </w:style>
  <w:style w:type="paragraph" w:styleId="Lista">
    <w:name w:val="List"/>
    <w:basedOn w:val="Normal"/>
    <w:uiPriority w:val="99"/>
    <w:unhideWhenUsed w:val="1"/>
    <w:rsid w:val="00B31222"/>
    <w:pPr>
      <w:ind w:left="283" w:hanging="283"/>
      <w:contextualSpacing w:val="1"/>
    </w:pPr>
  </w:style>
  <w:style w:type="paragraph" w:styleId="Lista2">
    <w:name w:val="List 2"/>
    <w:basedOn w:val="Normal"/>
    <w:uiPriority w:val="99"/>
    <w:unhideWhenUsed w:val="1"/>
    <w:rsid w:val="00B31222"/>
    <w:pPr>
      <w:ind w:left="566" w:hanging="283"/>
      <w:contextualSpacing w:val="1"/>
    </w:pPr>
  </w:style>
  <w:style w:type="paragraph" w:styleId="Lista3">
    <w:name w:val="List 3"/>
    <w:basedOn w:val="Normal"/>
    <w:uiPriority w:val="99"/>
    <w:unhideWhenUsed w:val="1"/>
    <w:rsid w:val="00B31222"/>
    <w:pPr>
      <w:ind w:left="849" w:hanging="283"/>
      <w:contextualSpacing w:val="1"/>
    </w:pPr>
  </w:style>
  <w:style w:type="paragraph" w:styleId="Lista4">
    <w:name w:val="List 4"/>
    <w:basedOn w:val="Normal"/>
    <w:uiPriority w:val="99"/>
    <w:unhideWhenUsed w:val="1"/>
    <w:rsid w:val="00B31222"/>
    <w:pPr>
      <w:ind w:left="1132" w:hanging="283"/>
      <w:contextualSpacing w:val="1"/>
    </w:pPr>
  </w:style>
  <w:style w:type="paragraph" w:styleId="Saludo">
    <w:name w:val="Salutation"/>
    <w:basedOn w:val="Normal"/>
    <w:next w:val="Normal"/>
    <w:link w:val="SaludoCar"/>
    <w:uiPriority w:val="99"/>
    <w:unhideWhenUsed w:val="1"/>
    <w:rsid w:val="00B31222"/>
  </w:style>
  <w:style w:type="character" w:styleId="SaludoCar" w:customStyle="1">
    <w:name w:val="Saludo Car"/>
    <w:basedOn w:val="Fuentedeprrafopredeter"/>
    <w:link w:val="Saludo"/>
    <w:uiPriority w:val="99"/>
    <w:rsid w:val="00B31222"/>
    <w:rPr>
      <w:rFonts w:ascii="Times New Roman" w:cs="Times New Roman" w:eastAsia="Times New Roman" w:hAnsi="Times New Roman"/>
      <w:sz w:val="20"/>
      <w:szCs w:val="20"/>
      <w:lang w:eastAsia="es-ES" w:val="es-ES"/>
    </w:rPr>
  </w:style>
  <w:style w:type="paragraph" w:styleId="Listaconvietas2">
    <w:name w:val="List Bullet 2"/>
    <w:basedOn w:val="Normal"/>
    <w:uiPriority w:val="99"/>
    <w:unhideWhenUsed w:val="1"/>
    <w:rsid w:val="00B31222"/>
    <w:pPr>
      <w:numPr>
        <w:numId w:val="1"/>
      </w:numPr>
      <w:contextualSpacing w:val="1"/>
    </w:pPr>
  </w:style>
  <w:style w:type="paragraph" w:styleId="Puesto">
    <w:name w:val="Title"/>
    <w:basedOn w:val="Normal"/>
    <w:next w:val="Normal"/>
    <w:link w:val="PuestoCar"/>
    <w:uiPriority w:val="10"/>
    <w:qFormat w:val="1"/>
    <w:rsid w:val="00B31222"/>
    <w:pPr>
      <w:contextualSpacing w:val="1"/>
    </w:pPr>
    <w:rPr>
      <w:rFonts w:asciiTheme="majorHAnsi" w:cstheme="majorBidi" w:eastAsiaTheme="majorEastAsia" w:hAnsiTheme="majorHAnsi"/>
      <w:spacing w:val="-10"/>
      <w:kern w:val="28"/>
      <w:sz w:val="56"/>
      <w:szCs w:val="56"/>
    </w:rPr>
  </w:style>
  <w:style w:type="character" w:styleId="PuestoCar" w:customStyle="1">
    <w:name w:val="Puesto Car"/>
    <w:basedOn w:val="Fuentedeprrafopredeter"/>
    <w:link w:val="Puesto"/>
    <w:uiPriority w:val="10"/>
    <w:rsid w:val="00B31222"/>
    <w:rPr>
      <w:rFonts w:asciiTheme="majorHAnsi" w:cstheme="majorBidi" w:eastAsiaTheme="majorEastAsia" w:hAnsiTheme="majorHAnsi"/>
      <w:spacing w:val="-10"/>
      <w:kern w:val="28"/>
      <w:sz w:val="56"/>
      <w:szCs w:val="56"/>
      <w:lang w:eastAsia="es-ES" w:val="es-ES"/>
    </w:rPr>
  </w:style>
  <w:style w:type="paragraph" w:styleId="Sangradetextonormal">
    <w:name w:val="Body Text Indent"/>
    <w:basedOn w:val="Normal"/>
    <w:link w:val="SangradetextonormalCar"/>
    <w:uiPriority w:val="99"/>
    <w:unhideWhenUsed w:val="1"/>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cs="Times New Roman" w:eastAsia="Times New Roman" w:hAnsi="Times New Roman"/>
      <w:sz w:val="20"/>
      <w:szCs w:val="20"/>
      <w:lang w:eastAsia="es-ES" w:val="es-ES"/>
    </w:rPr>
  </w:style>
  <w:style w:type="paragraph" w:styleId="Textoindependienteprimerasangra2">
    <w:name w:val="Body Text First Indent 2"/>
    <w:basedOn w:val="Sangradetextonormal"/>
    <w:link w:val="Textoindependienteprimerasangra2Car"/>
    <w:uiPriority w:val="99"/>
    <w:unhideWhenUsed w:val="1"/>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cs="Times New Roman" w:eastAsia="Times New Roman" w:hAnsi="Times New Roman"/>
      <w:sz w:val="20"/>
      <w:szCs w:val="20"/>
      <w:lang w:eastAsia="es-ES" w:val="es-ES"/>
    </w:rPr>
  </w:style>
  <w:style w:type="character" w:styleId="Mencionar3" w:customStyle="1">
    <w:name w:val="Mencionar3"/>
    <w:basedOn w:val="Fuentedeprrafopredeter"/>
    <w:uiPriority w:val="99"/>
    <w:semiHidden w:val="1"/>
    <w:unhideWhenUsed w:val="1"/>
    <w:rsid w:val="00A47916"/>
    <w:rPr>
      <w:color w:val="2b579a"/>
      <w:shd w:color="auto" w:fill="e6e6e6" w:val="clear"/>
    </w:rPr>
  </w:style>
  <w:style w:type="character" w:styleId="Mencionar4" w:customStyle="1">
    <w:name w:val="Mencionar4"/>
    <w:basedOn w:val="Fuentedeprrafopredeter"/>
    <w:uiPriority w:val="99"/>
    <w:semiHidden w:val="1"/>
    <w:unhideWhenUsed w:val="1"/>
    <w:rsid w:val="00802515"/>
    <w:rPr>
      <w:color w:val="2b579a"/>
      <w:shd w:color="auto" w:fill="e6e6e6" w:val="clear"/>
    </w:rPr>
  </w:style>
  <w:style w:type="character" w:styleId="maestrofonttexto1" w:customStyle="1">
    <w:name w:val="maestro_fonttexto1"/>
    <w:basedOn w:val="Fuentedeprrafopredeter"/>
    <w:rsid w:val="00C25238"/>
    <w:rPr>
      <w:rFonts w:ascii="Arial" w:cs="Arial" w:hAnsi="Arial" w:hint="default"/>
      <w:sz w:val="15"/>
      <w:szCs w:val="15"/>
    </w:rPr>
  </w:style>
  <w:style w:type="character" w:styleId="apple-converted-space" w:customStyle="1">
    <w:name w:val="apple-converted-space"/>
    <w:basedOn w:val="Fuentedeprrafopredeter"/>
    <w:rsid w:val="00436FD3"/>
  </w:style>
  <w:style w:type="character" w:styleId="Puesto1" w:customStyle="1">
    <w:name w:val="Puesto1"/>
    <w:basedOn w:val="Fuentedeprrafopredeter"/>
    <w:rsid w:val="00BE474A"/>
  </w:style>
  <w:style w:type="table" w:styleId="TableNormal" w:customStyle="1">
    <w:name w:val="Table Normal"/>
    <w:uiPriority w:val="2"/>
    <w:semiHidden w:val="1"/>
    <w:unhideWhenUsed w:val="1"/>
    <w:qFormat w:val="1"/>
    <w:rsid w:val="00592717"/>
    <w:pPr>
      <w:widowControl w:val="0"/>
      <w:spacing w:after="0" w:line="240" w:lineRule="auto"/>
    </w:pPr>
    <w:rPr>
      <w:lang w:val="en-US"/>
    </w:rPr>
    <w:tblPr>
      <w:tblInd w:w="0.0" w:type="dxa"/>
      <w:tblCellMar>
        <w:top w:w="0.0" w:type="dxa"/>
        <w:left w:w="0.0" w:type="dxa"/>
        <w:bottom w:w="0.0" w:type="dxa"/>
        <w:right w:w="0.0" w:type="dxa"/>
      </w:tblCellMar>
    </w:tblPr>
  </w:style>
  <w:style w:type="paragraph" w:styleId="TableParagraph" w:customStyle="1">
    <w:name w:val="Table Paragraph"/>
    <w:basedOn w:val="Normal"/>
    <w:uiPriority w:val="1"/>
    <w:qFormat w:val="1"/>
    <w:rsid w:val="00592717"/>
    <w:pPr>
      <w:widowControl w:val="0"/>
    </w:pPr>
    <w:rPr>
      <w:rFonts w:asciiTheme="minorHAnsi" w:cstheme="minorBidi" w:eastAsiaTheme="minorHAnsi" w:hAnsiTheme="minorHAnsi"/>
      <w:sz w:val="22"/>
      <w:szCs w:val="22"/>
      <w:lang w:eastAsia="en-US" w:val="en-US"/>
    </w:rPr>
  </w:style>
  <w:style w:type="character" w:styleId="Ttulo3Car" w:customStyle="1">
    <w:name w:val="Título 3 Car"/>
    <w:basedOn w:val="Fuentedeprrafopredeter"/>
    <w:link w:val="Ttulo3"/>
    <w:uiPriority w:val="9"/>
    <w:semiHidden w:val="1"/>
    <w:rsid w:val="001623ED"/>
    <w:rPr>
      <w:rFonts w:asciiTheme="majorHAnsi" w:cstheme="majorBidi" w:eastAsiaTheme="majorEastAsia" w:hAnsiTheme="majorHAnsi"/>
      <w:color w:val="1f3763" w:themeColor="accent1" w:themeShade="00007F"/>
      <w:sz w:val="24"/>
      <w:szCs w:val="24"/>
      <w:lang w:eastAsia="es-ES" w:val="es-ES_tradnl"/>
    </w:rPr>
  </w:style>
  <w:style w:type="paragraph" w:styleId="Body1" w:customStyle="1">
    <w:name w:val="Body 1"/>
    <w:rsid w:val="00161626"/>
    <w:pPr>
      <w:spacing w:after="200" w:line="276" w:lineRule="auto"/>
      <w:outlineLvl w:val="0"/>
    </w:pPr>
    <w:rPr>
      <w:rFonts w:ascii="Helvetica" w:cs="Times New Roman" w:eastAsia="Arial Unicode MS" w:hAnsi="Helvetica"/>
      <w:color w:val="000000"/>
      <w:szCs w:val="20"/>
      <w:u w:color="000000"/>
      <w:lang w:eastAsia="es-MX"/>
    </w:rPr>
  </w:style>
  <w:style w:type="character" w:styleId="UnresolvedMention" w:customStyle="1">
    <w:name w:val="Unresolved Mention"/>
    <w:basedOn w:val="Fuentedeprrafopredeter"/>
    <w:uiPriority w:val="99"/>
    <w:semiHidden w:val="1"/>
    <w:unhideWhenUsed w:val="1"/>
    <w:rsid w:val="00F560DE"/>
    <w:rPr>
      <w:color w:val="605e5c"/>
      <w:shd w:color="auto" w:fill="e1dfdd" w:val="clear"/>
    </w:rPr>
  </w:style>
  <w:style w:type="character" w:styleId="Ttulo2Car" w:customStyle="1">
    <w:name w:val="Título 2 Car"/>
    <w:basedOn w:val="Fuentedeprrafopredeter"/>
    <w:link w:val="Ttulo2"/>
    <w:uiPriority w:val="9"/>
    <w:semiHidden w:val="1"/>
    <w:rsid w:val="00480149"/>
    <w:rPr>
      <w:rFonts w:asciiTheme="majorHAnsi" w:cstheme="majorBidi" w:eastAsiaTheme="majorEastAsia" w:hAnsiTheme="majorHAnsi"/>
      <w:color w:val="2f5496" w:themeColor="accent1" w:themeShade="0000BF"/>
      <w:sz w:val="26"/>
      <w:szCs w:val="26"/>
      <w:lang w:eastAsia="es-ES" w:val="es-ES_tradnl"/>
    </w:rPr>
  </w:style>
  <w:style w:type="paragraph" w:styleId="NormalWeb">
    <w:name w:val="Normal (Web)"/>
    <w:basedOn w:val="Normal"/>
    <w:uiPriority w:val="99"/>
    <w:unhideWhenUsed w:val="1"/>
    <w:rsid w:val="006E7B42"/>
    <w:rPr>
      <w:sz w:val="24"/>
      <w:szCs w:val="24"/>
    </w:rPr>
  </w:style>
  <w:style w:type="character" w:styleId="A0" w:customStyle="1">
    <w:name w:val="A0"/>
    <w:uiPriority w:val="99"/>
    <w:rsid w:val="003314C6"/>
    <w:rPr>
      <w:rFonts w:cs="AvenirNext LT Pro Regular"/>
      <w:color w:val="000000"/>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dTL88BjOprnkOp+ue696JFERdg==">AMUW2mXLhx1l5NthG6HfKQVGKg/t32ejc0T9asr4OONV9EIUW2JvMRGmz79FPoijNWMy9lbzcp7Fjq8MMhm6+CgTsUxsWB7ZWf7cJ8yVZBHdhGa2eQRsrzkDxEilI+aoNR/N+lLU2fFh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2021-11-25T15:32:00Z</dcterms:created>
  <dc:creator>USUARIO INFOEM</dc:creator>
</cp:coreProperties>
</file>