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73" w:rsidRPr="003C1BF2" w:rsidRDefault="00951173" w:rsidP="003C1BF2">
      <w:pPr>
        <w:shd w:val="clear" w:color="auto" w:fill="FFFFFF"/>
        <w:spacing w:before="240" w:line="360" w:lineRule="auto"/>
        <w:jc w:val="both"/>
        <w:rPr>
          <w:rFonts w:ascii="Palatino Linotype" w:eastAsia="Times New Roman" w:hAnsi="Palatino Linotype" w:cs="Arial"/>
          <w:sz w:val="24"/>
          <w:szCs w:val="24"/>
          <w:lang w:eastAsia="es-MX"/>
        </w:rPr>
      </w:pPr>
      <w:r w:rsidRPr="003C1BF2">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1BF2" w:rsidRPr="003C1BF2">
        <w:rPr>
          <w:rFonts w:ascii="Palatino Linotype" w:eastAsia="Times New Roman" w:hAnsi="Palatino Linotype" w:cs="Arial"/>
          <w:sz w:val="24"/>
          <w:szCs w:val="24"/>
          <w:lang w:eastAsia="es-MX"/>
        </w:rPr>
        <w:t>veinte</w:t>
      </w:r>
      <w:r w:rsidRPr="003C1BF2">
        <w:rPr>
          <w:rFonts w:ascii="Palatino Linotype" w:eastAsia="Times New Roman" w:hAnsi="Palatino Linotype" w:cs="Arial"/>
          <w:sz w:val="24"/>
          <w:szCs w:val="24"/>
          <w:lang w:eastAsia="es-MX"/>
        </w:rPr>
        <w:t xml:space="preserve"> de octubre de dos mil veintiuno.</w:t>
      </w:r>
    </w:p>
    <w:p w:rsidR="00951173" w:rsidRPr="003C1BF2" w:rsidRDefault="00951173" w:rsidP="003C1BF2">
      <w:pPr>
        <w:pStyle w:val="Sinespaciado"/>
        <w:spacing w:line="360" w:lineRule="auto"/>
      </w:pPr>
    </w:p>
    <w:p w:rsidR="00951173" w:rsidRPr="003C1BF2" w:rsidRDefault="006C05D1" w:rsidP="003C1BF2">
      <w:pPr>
        <w:spacing w:line="360" w:lineRule="auto"/>
        <w:jc w:val="both"/>
        <w:rPr>
          <w:rFonts w:ascii="Times New Roman" w:eastAsia="Times New Roman" w:hAnsi="Times New Roman" w:cs="Times New Roman"/>
          <w:sz w:val="24"/>
          <w:szCs w:val="24"/>
          <w:lang w:eastAsia="es-MX"/>
        </w:rPr>
      </w:pPr>
      <w:r>
        <w:rPr>
          <w:rFonts w:ascii="Palatino Linotype" w:hAnsi="Palatino Linotype" w:cs="Arial"/>
          <w:b/>
          <w:noProof/>
          <w:sz w:val="24"/>
          <w:szCs w:val="24"/>
          <w:lang w:eastAsia="es-MX"/>
        </w:rPr>
        <w:drawing>
          <wp:anchor distT="0" distB="0" distL="114300" distR="114300" simplePos="0" relativeHeight="251665408" behindDoc="1" locked="0" layoutInCell="1" allowOverlap="1" wp14:anchorId="2F278BDE" wp14:editId="1B2D879C">
            <wp:simplePos x="0" y="0"/>
            <wp:positionH relativeFrom="column">
              <wp:posOffset>543698</wp:posOffset>
            </wp:positionH>
            <wp:positionV relativeFrom="paragraph">
              <wp:posOffset>1205281</wp:posOffset>
            </wp:positionV>
            <wp:extent cx="4480452" cy="3924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951173" w:rsidRPr="003C1BF2">
        <w:rPr>
          <w:rFonts w:ascii="Palatino Linotype" w:hAnsi="Palatino Linotype" w:cs="Arial"/>
          <w:b/>
          <w:sz w:val="24"/>
          <w:szCs w:val="24"/>
        </w:rPr>
        <w:t>VISTO</w:t>
      </w:r>
      <w:r w:rsidR="00951173" w:rsidRPr="003C1BF2">
        <w:rPr>
          <w:rFonts w:ascii="Palatino Linotype" w:hAnsi="Palatino Linotype" w:cs="Arial"/>
          <w:sz w:val="24"/>
          <w:szCs w:val="24"/>
        </w:rPr>
        <w:t xml:space="preserve"> el expediente electrónico formado con motivo del recurso de revisión número </w:t>
      </w:r>
      <w:r w:rsidR="00951173" w:rsidRPr="003C1BF2">
        <w:rPr>
          <w:rFonts w:ascii="Palatino Linotype" w:hAnsi="Palatino Linotype" w:cs="Arial"/>
          <w:b/>
          <w:bCs/>
          <w:sz w:val="24"/>
          <w:szCs w:val="24"/>
          <w:lang w:eastAsia="es-MX"/>
        </w:rPr>
        <w:t>04824/INFOEM/IP/RR/2021</w:t>
      </w:r>
      <w:r w:rsidR="00951173" w:rsidRPr="003C1BF2">
        <w:rPr>
          <w:rFonts w:ascii="Palatino Linotype" w:hAnsi="Palatino Linotype" w:cs="Arial"/>
          <w:sz w:val="24"/>
          <w:szCs w:val="24"/>
        </w:rPr>
        <w:t xml:space="preserve"> interpuestos por el</w:t>
      </w:r>
      <w:r w:rsidR="00951173" w:rsidRPr="003C1BF2">
        <w:rPr>
          <w:rFonts w:ascii="Palatino Linotype" w:hAnsi="Palatino Linotype" w:cs="Arial"/>
          <w:b/>
          <w:sz w:val="24"/>
          <w:szCs w:val="24"/>
        </w:rPr>
        <w:t xml:space="preserve"> Recurrente</w:t>
      </w:r>
      <w:r w:rsidR="00951173" w:rsidRPr="003C1BF2">
        <w:rPr>
          <w:rFonts w:ascii="Palatino Linotype" w:hAnsi="Palatino Linotype" w:cs="Arial"/>
          <w:sz w:val="24"/>
          <w:szCs w:val="24"/>
        </w:rPr>
        <w:t>, en contra del</w:t>
      </w:r>
      <w:r w:rsidR="00951173" w:rsidRPr="003C1BF2">
        <w:rPr>
          <w:rFonts w:ascii="Palatino Linotype" w:hAnsi="Palatino Linotype" w:cs="Arial"/>
          <w:b/>
          <w:sz w:val="24"/>
          <w:szCs w:val="24"/>
        </w:rPr>
        <w:t xml:space="preserve"> Sujeto Obligado</w:t>
      </w:r>
      <w:r w:rsidR="00951173" w:rsidRPr="003C1BF2">
        <w:rPr>
          <w:rFonts w:ascii="Palatino Linotype" w:hAnsi="Palatino Linotype" w:cs="Arial"/>
          <w:sz w:val="24"/>
          <w:szCs w:val="24"/>
        </w:rPr>
        <w:t xml:space="preserve"> denominado </w:t>
      </w:r>
      <w:r w:rsidR="00951173" w:rsidRPr="003C1BF2">
        <w:rPr>
          <w:rFonts w:ascii="Palatino Linotype" w:hAnsi="Palatino Linotype" w:cs="Arial"/>
          <w:b/>
          <w:sz w:val="24"/>
          <w:szCs w:val="24"/>
        </w:rPr>
        <w:t xml:space="preserve">Ayuntamiento de </w:t>
      </w:r>
      <w:r w:rsidR="00951173" w:rsidRPr="003C1BF2">
        <w:rPr>
          <w:rFonts w:ascii="Palatino Linotype" w:eastAsia="Times New Roman" w:hAnsi="Palatino Linotype" w:cs="Times New Roman"/>
          <w:b/>
          <w:bCs/>
          <w:sz w:val="24"/>
          <w:szCs w:val="24"/>
          <w:lang w:eastAsia="es-MX"/>
        </w:rPr>
        <w:t>Tepetlaoxtoc</w:t>
      </w:r>
      <w:r w:rsidR="00951173" w:rsidRPr="003C1BF2">
        <w:rPr>
          <w:rFonts w:ascii="Palatino Linotype" w:hAnsi="Palatino Linotype" w:cs="Arial"/>
          <w:sz w:val="24"/>
          <w:szCs w:val="24"/>
        </w:rPr>
        <w:t>,</w:t>
      </w:r>
      <w:r w:rsidR="00951173" w:rsidRPr="003C1BF2">
        <w:rPr>
          <w:rFonts w:ascii="Palatino Linotype" w:hAnsi="Palatino Linotype" w:cs="Arial"/>
          <w:b/>
          <w:sz w:val="24"/>
          <w:szCs w:val="24"/>
        </w:rPr>
        <w:t xml:space="preserve"> </w:t>
      </w:r>
      <w:r w:rsidR="00951173" w:rsidRPr="003C1BF2">
        <w:rPr>
          <w:rFonts w:ascii="Palatino Linotype" w:hAnsi="Palatino Linotype" w:cs="Arial"/>
          <w:sz w:val="24"/>
          <w:szCs w:val="24"/>
        </w:rPr>
        <w:t>se procede a dictar la presente resolución.</w:t>
      </w:r>
    </w:p>
    <w:p w:rsidR="00951173" w:rsidRPr="003C1BF2" w:rsidRDefault="00951173" w:rsidP="003C1BF2">
      <w:pPr>
        <w:spacing w:before="240" w:after="240" w:line="360" w:lineRule="auto"/>
        <w:jc w:val="center"/>
        <w:rPr>
          <w:rFonts w:ascii="Palatino Linotype" w:hAnsi="Palatino Linotype"/>
          <w:b/>
          <w:sz w:val="24"/>
          <w:szCs w:val="24"/>
        </w:rPr>
      </w:pPr>
      <w:r w:rsidRPr="003C1BF2">
        <w:rPr>
          <w:rFonts w:ascii="Palatino Linotype" w:hAnsi="Palatino Linotype"/>
          <w:b/>
          <w:sz w:val="24"/>
          <w:szCs w:val="24"/>
        </w:rPr>
        <w:t>A N T E C E D E N T E S   D E L   A S U N T O</w:t>
      </w:r>
    </w:p>
    <w:p w:rsidR="00951173" w:rsidRPr="003C1BF2" w:rsidRDefault="00951173" w:rsidP="003C1BF2">
      <w:pPr>
        <w:pStyle w:val="Sinespaciado"/>
        <w:spacing w:line="360" w:lineRule="auto"/>
      </w:pPr>
    </w:p>
    <w:p w:rsidR="00951173" w:rsidRPr="003C1BF2" w:rsidRDefault="00951173" w:rsidP="003C1BF2">
      <w:pPr>
        <w:spacing w:before="240" w:after="240" w:line="360" w:lineRule="auto"/>
        <w:jc w:val="both"/>
        <w:rPr>
          <w:rFonts w:ascii="Palatino Linotype" w:hAnsi="Palatino Linotype"/>
          <w:sz w:val="24"/>
          <w:szCs w:val="24"/>
        </w:rPr>
      </w:pPr>
      <w:r w:rsidRPr="003C1BF2">
        <w:rPr>
          <w:rFonts w:ascii="Palatino Linotype" w:hAnsi="Palatino Linotype" w:cs="Arial"/>
          <w:b/>
          <w:sz w:val="24"/>
          <w:szCs w:val="24"/>
        </w:rPr>
        <w:t>1.</w:t>
      </w:r>
      <w:r w:rsidRPr="003C1BF2">
        <w:rPr>
          <w:rFonts w:ascii="Palatino Linotype" w:hAnsi="Palatino Linotype" w:cs="Arial"/>
          <w:sz w:val="24"/>
          <w:szCs w:val="24"/>
        </w:rPr>
        <w:t xml:space="preserve"> </w:t>
      </w:r>
      <w:r w:rsidRPr="003C1BF2">
        <w:rPr>
          <w:rFonts w:ascii="Palatino Linotype" w:hAnsi="Palatino Linotype"/>
          <w:b/>
          <w:sz w:val="24"/>
          <w:szCs w:val="24"/>
        </w:rPr>
        <w:t>De la Solicitud de Información.</w:t>
      </w:r>
    </w:p>
    <w:p w:rsidR="00951173" w:rsidRPr="003C1BF2" w:rsidRDefault="00951173" w:rsidP="003C1BF2">
      <w:pPr>
        <w:spacing w:before="240" w:line="360" w:lineRule="auto"/>
        <w:jc w:val="both"/>
        <w:rPr>
          <w:rFonts w:ascii="Palatino Linotype" w:hAnsi="Palatino Linotype" w:cs="Arial"/>
          <w:sz w:val="24"/>
          <w:szCs w:val="24"/>
        </w:rPr>
      </w:pPr>
      <w:r w:rsidRPr="003C1BF2">
        <w:rPr>
          <w:rFonts w:ascii="Palatino Linotype" w:hAnsi="Palatino Linotype" w:cs="Arial"/>
          <w:sz w:val="24"/>
          <w:szCs w:val="24"/>
        </w:rPr>
        <w:t xml:space="preserve">Con fecha dieciséis de julio de dos mil veintiuno, </w:t>
      </w:r>
      <w:r w:rsidRPr="003C1BF2">
        <w:rPr>
          <w:rFonts w:ascii="Palatino Linotype" w:hAnsi="Palatino Linotype" w:cs="Arial"/>
          <w:b/>
          <w:sz w:val="24"/>
          <w:szCs w:val="24"/>
        </w:rPr>
        <w:t>El Recurrente</w:t>
      </w:r>
      <w:r w:rsidRPr="003C1BF2">
        <w:rPr>
          <w:rFonts w:ascii="Palatino Linotype" w:hAnsi="Palatino Linotype" w:cs="Arial"/>
          <w:sz w:val="24"/>
          <w:szCs w:val="24"/>
        </w:rPr>
        <w:t>, presentó a través del Sistema de Acceso a la Información Mexiquense (</w:t>
      </w:r>
      <w:r w:rsidRPr="003C1BF2">
        <w:rPr>
          <w:rFonts w:ascii="Palatino Linotype" w:hAnsi="Palatino Linotype" w:cs="Arial"/>
          <w:b/>
          <w:sz w:val="24"/>
          <w:szCs w:val="24"/>
        </w:rPr>
        <w:t>SAIMEX)</w:t>
      </w:r>
      <w:r w:rsidRPr="003C1BF2">
        <w:rPr>
          <w:rFonts w:ascii="Palatino Linotype" w:hAnsi="Palatino Linotype" w:cs="Arial"/>
          <w:sz w:val="24"/>
          <w:szCs w:val="24"/>
        </w:rPr>
        <w:t xml:space="preserve"> ante </w:t>
      </w:r>
      <w:r w:rsidRPr="003C1BF2">
        <w:rPr>
          <w:rFonts w:ascii="Palatino Linotype" w:hAnsi="Palatino Linotype" w:cs="Arial"/>
          <w:b/>
          <w:sz w:val="24"/>
          <w:szCs w:val="24"/>
        </w:rPr>
        <w:t>El Sujeto Obligado</w:t>
      </w:r>
      <w:r w:rsidRPr="003C1BF2">
        <w:rPr>
          <w:rFonts w:ascii="Palatino Linotype" w:hAnsi="Palatino Linotype" w:cs="Arial"/>
          <w:sz w:val="24"/>
          <w:szCs w:val="24"/>
        </w:rPr>
        <w:t>, solicitud de acceso a la información pública, registrada bajo el número de expediente</w:t>
      </w:r>
      <w:r w:rsidRPr="003C1BF2">
        <w:rPr>
          <w:rFonts w:ascii="Palatino Linotype" w:hAnsi="Palatino Linotype" w:cs="Arial"/>
          <w:b/>
          <w:sz w:val="24"/>
          <w:szCs w:val="24"/>
        </w:rPr>
        <w:t xml:space="preserve"> </w:t>
      </w:r>
      <w:r w:rsidRPr="003C1BF2">
        <w:rPr>
          <w:rFonts w:ascii="Palatino Linotype" w:hAnsi="Palatino Linotype"/>
          <w:b/>
          <w:color w:val="000000"/>
          <w:sz w:val="24"/>
          <w:szCs w:val="24"/>
        </w:rPr>
        <w:t>00</w:t>
      </w:r>
      <w:r w:rsidR="008772E7" w:rsidRPr="003C1BF2">
        <w:rPr>
          <w:rFonts w:ascii="Palatino Linotype" w:hAnsi="Palatino Linotype"/>
          <w:b/>
          <w:color w:val="000000"/>
          <w:sz w:val="24"/>
          <w:szCs w:val="24"/>
        </w:rPr>
        <w:t>079</w:t>
      </w:r>
      <w:r w:rsidRPr="003C1BF2">
        <w:rPr>
          <w:rFonts w:ascii="Palatino Linotype" w:hAnsi="Palatino Linotype"/>
          <w:b/>
          <w:color w:val="000000"/>
          <w:sz w:val="24"/>
          <w:szCs w:val="24"/>
        </w:rPr>
        <w:t>/</w:t>
      </w:r>
      <w:r w:rsidR="008772E7" w:rsidRPr="003C1BF2">
        <w:rPr>
          <w:rFonts w:ascii="Palatino Linotype" w:hAnsi="Palatino Linotype"/>
          <w:b/>
          <w:color w:val="000000"/>
          <w:sz w:val="24"/>
          <w:szCs w:val="24"/>
        </w:rPr>
        <w:t>TEPETLA</w:t>
      </w:r>
      <w:r w:rsidRPr="003C1BF2">
        <w:rPr>
          <w:rFonts w:ascii="Palatino Linotype" w:hAnsi="Palatino Linotype"/>
          <w:b/>
          <w:color w:val="000000"/>
          <w:sz w:val="24"/>
          <w:szCs w:val="24"/>
        </w:rPr>
        <w:t>O/IP/2021</w:t>
      </w:r>
      <w:r w:rsidRPr="003C1BF2">
        <w:rPr>
          <w:rFonts w:ascii="Palatino Linotype" w:hAnsi="Palatino Linotype" w:cs="Arial"/>
          <w:sz w:val="24"/>
          <w:szCs w:val="24"/>
          <w:lang w:eastAsia="es-MX"/>
        </w:rPr>
        <w:t>,</w:t>
      </w:r>
      <w:r w:rsidRPr="003C1BF2">
        <w:rPr>
          <w:rFonts w:ascii="Palatino Linotype" w:hAnsi="Palatino Linotype" w:cs="Arial"/>
          <w:b/>
          <w:sz w:val="24"/>
          <w:szCs w:val="24"/>
          <w:lang w:eastAsia="es-MX"/>
        </w:rPr>
        <w:t xml:space="preserve"> </w:t>
      </w:r>
      <w:r w:rsidRPr="003C1BF2">
        <w:rPr>
          <w:rFonts w:ascii="Palatino Linotype" w:hAnsi="Palatino Linotype" w:cs="Arial"/>
          <w:sz w:val="24"/>
          <w:szCs w:val="24"/>
        </w:rPr>
        <w:t>mediante la cual solicitó información en el tenor siguiente:</w:t>
      </w:r>
    </w:p>
    <w:p w:rsidR="00287B60" w:rsidRPr="003C1BF2" w:rsidRDefault="008772E7" w:rsidP="008772E7">
      <w:pPr>
        <w:jc w:val="both"/>
        <w:rPr>
          <w:rFonts w:ascii="Palatino Linotype" w:hAnsi="Palatino Linotype"/>
          <w:i/>
          <w:color w:val="000000"/>
          <w:sz w:val="24"/>
          <w:szCs w:val="24"/>
        </w:rPr>
      </w:pPr>
      <w:r w:rsidRPr="003C1BF2">
        <w:rPr>
          <w:rFonts w:ascii="Palatino Linotype" w:hAnsi="Palatino Linotype"/>
          <w:i/>
          <w:color w:val="000000"/>
          <w:sz w:val="24"/>
          <w:szCs w:val="24"/>
        </w:rPr>
        <w:t xml:space="preserve">Solicito recibos de </w:t>
      </w:r>
      <w:proofErr w:type="spellStart"/>
      <w:r w:rsidRPr="003C1BF2">
        <w:rPr>
          <w:rFonts w:ascii="Palatino Linotype" w:hAnsi="Palatino Linotype"/>
          <w:i/>
          <w:color w:val="000000"/>
          <w:sz w:val="24"/>
          <w:szCs w:val="24"/>
        </w:rPr>
        <w:t>nomina</w:t>
      </w:r>
      <w:proofErr w:type="spellEnd"/>
      <w:r w:rsidRPr="003C1BF2">
        <w:rPr>
          <w:rFonts w:ascii="Palatino Linotype" w:hAnsi="Palatino Linotype"/>
          <w:i/>
          <w:color w:val="000000"/>
          <w:sz w:val="24"/>
          <w:szCs w:val="24"/>
        </w:rPr>
        <w:t xml:space="preserve"> de la segunda quincena de agosto de 2021 de La presidenta municipal, Titular de la Tesorería municipal, Titular de la Secretaria del Ayuntamiento, Titular de la Unidad de Transparencia, Titular de la Dirección Jurídica y Titular de la Unidad de Planeación de este H. Ayuntamiento.(Sic.)</w:t>
      </w:r>
    </w:p>
    <w:p w:rsidR="008772E7" w:rsidRPr="003C1BF2" w:rsidRDefault="008772E7" w:rsidP="008772E7">
      <w:pPr>
        <w:spacing w:line="360" w:lineRule="auto"/>
        <w:ind w:right="851"/>
        <w:jc w:val="both"/>
        <w:rPr>
          <w:rFonts w:ascii="Palatino Linotype" w:eastAsia="Times New Roman" w:hAnsi="Palatino Linotype" w:cs="Times New Roman"/>
          <w:sz w:val="24"/>
          <w:szCs w:val="24"/>
          <w:lang w:val="es-ES_tradnl" w:eastAsia="es-ES"/>
        </w:rPr>
      </w:pPr>
      <w:r w:rsidRPr="003C1BF2">
        <w:rPr>
          <w:rFonts w:ascii="Palatino Linotype" w:eastAsia="Times New Roman" w:hAnsi="Palatino Linotype" w:cs="Times New Roman"/>
          <w:sz w:val="24"/>
          <w:szCs w:val="24"/>
          <w:lang w:val="es-ES_tradnl" w:eastAsia="es-ES"/>
        </w:rPr>
        <w:t xml:space="preserve">Modalidad de entrega: A través del </w:t>
      </w:r>
      <w:r w:rsidRPr="003C1BF2">
        <w:rPr>
          <w:rFonts w:ascii="Palatino Linotype" w:eastAsia="Times New Roman" w:hAnsi="Palatino Linotype" w:cs="Times New Roman"/>
          <w:b/>
          <w:sz w:val="24"/>
          <w:szCs w:val="24"/>
          <w:lang w:val="es-ES_tradnl" w:eastAsia="es-ES"/>
        </w:rPr>
        <w:t>SAIMEX</w:t>
      </w:r>
      <w:r w:rsidRPr="003C1BF2">
        <w:rPr>
          <w:rFonts w:ascii="Palatino Linotype" w:eastAsia="Times New Roman" w:hAnsi="Palatino Linotype" w:cs="Times New Roman"/>
          <w:sz w:val="24"/>
          <w:szCs w:val="24"/>
          <w:lang w:val="es-ES_tradnl" w:eastAsia="es-ES"/>
        </w:rPr>
        <w:t>.</w:t>
      </w:r>
    </w:p>
    <w:p w:rsidR="008772E7" w:rsidRPr="00377955" w:rsidRDefault="008772E7" w:rsidP="008772E7">
      <w:pPr>
        <w:spacing w:line="360" w:lineRule="auto"/>
        <w:ind w:right="851"/>
        <w:jc w:val="both"/>
        <w:rPr>
          <w:rFonts w:ascii="Palatino Linotype" w:eastAsia="Times New Roman" w:hAnsi="Palatino Linotype" w:cs="Times New Roman"/>
          <w:sz w:val="24"/>
          <w:szCs w:val="24"/>
          <w:lang w:val="es-ES_tradnl" w:eastAsia="es-ES"/>
        </w:rPr>
      </w:pPr>
    </w:p>
    <w:p w:rsidR="00CE3C1E" w:rsidRDefault="00CE3C1E" w:rsidP="008772E7">
      <w:pPr>
        <w:spacing w:before="240" w:line="360" w:lineRule="auto"/>
        <w:jc w:val="both"/>
        <w:rPr>
          <w:rFonts w:ascii="Palatino Linotype" w:hAnsi="Palatino Linotype" w:cs="Arial"/>
          <w:b/>
          <w:sz w:val="28"/>
        </w:rPr>
      </w:pPr>
    </w:p>
    <w:p w:rsidR="003C1BF2" w:rsidRDefault="003C1BF2" w:rsidP="008772E7">
      <w:pPr>
        <w:spacing w:before="240" w:line="360" w:lineRule="auto"/>
        <w:jc w:val="both"/>
        <w:rPr>
          <w:rFonts w:ascii="Palatino Linotype" w:hAnsi="Palatino Linotype" w:cs="Arial"/>
          <w:b/>
          <w:sz w:val="28"/>
        </w:rPr>
        <w:sectPr w:rsidR="003C1BF2">
          <w:headerReference w:type="default" r:id="rId8"/>
          <w:pgSz w:w="12240" w:h="15840"/>
          <w:pgMar w:top="1417" w:right="1701" w:bottom="1417" w:left="1701" w:header="708" w:footer="708" w:gutter="0"/>
          <w:cols w:space="708"/>
          <w:docGrid w:linePitch="360"/>
        </w:sectPr>
      </w:pPr>
    </w:p>
    <w:p w:rsidR="008772E7" w:rsidRPr="00E609DF" w:rsidRDefault="008772E7" w:rsidP="008772E7">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2.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772E7" w:rsidRDefault="006C05D1" w:rsidP="003C1BF2">
      <w:pPr>
        <w:spacing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67456" behindDoc="1" locked="0" layoutInCell="1" allowOverlap="1" wp14:anchorId="2F278BDE" wp14:editId="1B2D879C">
            <wp:simplePos x="0" y="0"/>
            <wp:positionH relativeFrom="column">
              <wp:posOffset>494271</wp:posOffset>
            </wp:positionH>
            <wp:positionV relativeFrom="paragraph">
              <wp:posOffset>698963</wp:posOffset>
            </wp:positionV>
            <wp:extent cx="4480452" cy="3924300"/>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772E7" w:rsidRPr="0050510E">
        <w:rPr>
          <w:rFonts w:ascii="Palatino Linotype" w:hAnsi="Palatino Linotype" w:cs="Arial"/>
          <w:sz w:val="24"/>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w:t>
      </w:r>
      <w:r w:rsidR="008772E7">
        <w:rPr>
          <w:rFonts w:ascii="Palatino Linotype" w:hAnsi="Palatino Linotype" w:cs="Arial"/>
          <w:sz w:val="24"/>
          <w:szCs w:val="24"/>
        </w:rPr>
        <w:t>Tepetlaoxtoc</w:t>
      </w:r>
      <w:r w:rsidR="008772E7" w:rsidRPr="0050510E">
        <w:rPr>
          <w:rFonts w:ascii="Palatino Linotype" w:hAnsi="Palatino Linotype" w:cs="Arial"/>
          <w:sz w:val="24"/>
          <w:szCs w:val="24"/>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rsidR="008772E7" w:rsidRDefault="008772E7" w:rsidP="003C1BF2">
      <w:pPr>
        <w:spacing w:line="360" w:lineRule="auto"/>
        <w:ind w:right="851"/>
        <w:jc w:val="both"/>
        <w:rPr>
          <w:rFonts w:ascii="Palatino Linotype" w:hAnsi="Palatino Linotype" w:cs="Arial"/>
          <w:b/>
          <w:sz w:val="28"/>
          <w:szCs w:val="20"/>
        </w:rPr>
      </w:pPr>
    </w:p>
    <w:p w:rsidR="008772E7" w:rsidRPr="00AA60C2" w:rsidRDefault="008772E7" w:rsidP="003C1BF2">
      <w:pPr>
        <w:spacing w:line="360" w:lineRule="auto"/>
        <w:ind w:right="851"/>
        <w:jc w:val="both"/>
        <w:rPr>
          <w:rFonts w:ascii="Palatino Linotype" w:hAnsi="Palatino Linotype" w:cs="Arial"/>
          <w:b/>
          <w:sz w:val="28"/>
          <w:szCs w:val="20"/>
        </w:rPr>
      </w:pPr>
      <w:r>
        <w:rPr>
          <w:rFonts w:ascii="Palatino Linotype" w:hAnsi="Palatino Linotype" w:cs="Arial"/>
          <w:b/>
          <w:sz w:val="28"/>
          <w:szCs w:val="20"/>
        </w:rPr>
        <w:t>3</w:t>
      </w:r>
      <w:r w:rsidRPr="00AA60C2">
        <w:rPr>
          <w:rFonts w:ascii="Palatino Linotype" w:hAnsi="Palatino Linotype" w:cs="Arial"/>
          <w:b/>
          <w:sz w:val="28"/>
          <w:szCs w:val="20"/>
        </w:rPr>
        <w:t xml:space="preserve">. Interposición del Recurso de Revisión. </w:t>
      </w:r>
    </w:p>
    <w:p w:rsidR="008772E7" w:rsidRPr="00894CD4" w:rsidRDefault="008772E7" w:rsidP="003C1BF2">
      <w:pPr>
        <w:spacing w:line="360" w:lineRule="auto"/>
        <w:ind w:right="49"/>
        <w:jc w:val="both"/>
        <w:rPr>
          <w:rFonts w:ascii="Palatino Linotype" w:hAnsi="Palatino Linotype" w:cs="Arial"/>
          <w:sz w:val="24"/>
          <w:szCs w:val="20"/>
        </w:rPr>
      </w:pPr>
      <w:r w:rsidRPr="00AA60C2">
        <w:rPr>
          <w:rFonts w:ascii="Palatino Linotype" w:hAnsi="Palatino Linotype" w:cs="Arial"/>
          <w:sz w:val="24"/>
          <w:szCs w:val="20"/>
        </w:rPr>
        <w:t xml:space="preserve">Con fecha </w:t>
      </w:r>
      <w:r>
        <w:rPr>
          <w:rFonts w:ascii="Palatino Linotype" w:hAnsi="Palatino Linotype" w:cs="Arial"/>
          <w:sz w:val="24"/>
          <w:szCs w:val="20"/>
        </w:rPr>
        <w:t>diez</w:t>
      </w:r>
      <w:r w:rsidRPr="00AA60C2">
        <w:rPr>
          <w:rFonts w:ascii="Palatino Linotype" w:hAnsi="Palatino Linotype" w:cs="Arial"/>
          <w:sz w:val="24"/>
          <w:szCs w:val="20"/>
        </w:rPr>
        <w:t xml:space="preserve"> de septiembre de dos mil veintiuno se recibió en este Instituto, a través del Sistema de Acceso a la Información Mexiquense (SAIMEX), el Recurso de Revisión interpuesto por la parte Recurrente en contra de la omisión de la respuesta del Sujeto Obligado; lo anterior, en los siguientes términos: </w:t>
      </w:r>
    </w:p>
    <w:p w:rsidR="008772E7" w:rsidRPr="008772E7" w:rsidRDefault="008772E7" w:rsidP="003C1BF2">
      <w:pPr>
        <w:spacing w:line="360" w:lineRule="auto"/>
        <w:ind w:right="851"/>
        <w:jc w:val="both"/>
        <w:rPr>
          <w:rFonts w:ascii="Palatino Linotype" w:hAnsi="Palatino Linotype"/>
          <w:i/>
          <w:color w:val="000000"/>
          <w:sz w:val="24"/>
          <w:szCs w:val="24"/>
        </w:rPr>
      </w:pPr>
      <w:r w:rsidRPr="008772E7">
        <w:rPr>
          <w:rFonts w:ascii="Palatino Linotype" w:hAnsi="Palatino Linotype"/>
          <w:i/>
          <w:color w:val="000000"/>
          <w:sz w:val="24"/>
          <w:szCs w:val="24"/>
        </w:rPr>
        <w:t>“ACTO IMPUGNADO</w:t>
      </w:r>
    </w:p>
    <w:p w:rsidR="008772E7" w:rsidRPr="008772E7" w:rsidRDefault="008772E7" w:rsidP="003C1BF2">
      <w:pPr>
        <w:spacing w:after="0" w:line="360" w:lineRule="auto"/>
        <w:jc w:val="both"/>
        <w:rPr>
          <w:rFonts w:ascii="Palatino Linotype" w:eastAsia="Times New Roman" w:hAnsi="Palatino Linotype" w:cs="Times New Roman"/>
          <w:i/>
          <w:sz w:val="24"/>
          <w:szCs w:val="24"/>
          <w:lang w:eastAsia="es-MX"/>
        </w:rPr>
      </w:pPr>
      <w:r w:rsidRPr="008772E7">
        <w:rPr>
          <w:rFonts w:ascii="Palatino Linotype" w:hAnsi="Palatino Linotype"/>
          <w:color w:val="000000"/>
          <w:sz w:val="24"/>
          <w:szCs w:val="24"/>
        </w:rPr>
        <w:t>De acuerdo a lo estipulado en los artículos 176, 178 179 fracción I y VII el Sujeto Obligado Ayuntamiento de Tepetlaoxtoc hace omisión a la entrega de información solicitada.</w:t>
      </w:r>
      <w:r w:rsidRPr="008772E7">
        <w:rPr>
          <w:rFonts w:ascii="Palatino Linotype" w:hAnsi="Palatino Linotype"/>
          <w:i/>
          <w:color w:val="000000"/>
          <w:sz w:val="24"/>
          <w:szCs w:val="24"/>
        </w:rPr>
        <w:t>” (Sic.)</w:t>
      </w:r>
    </w:p>
    <w:p w:rsidR="008772E7" w:rsidRPr="008772E7" w:rsidRDefault="008772E7" w:rsidP="003C1BF2">
      <w:pPr>
        <w:spacing w:line="360" w:lineRule="auto"/>
        <w:jc w:val="both"/>
        <w:rPr>
          <w:rFonts w:ascii="Palatino Linotype" w:hAnsi="Palatino Linotype" w:cs="Arial"/>
          <w:sz w:val="24"/>
          <w:szCs w:val="24"/>
        </w:rPr>
      </w:pPr>
    </w:p>
    <w:p w:rsidR="008772E7" w:rsidRPr="008772E7" w:rsidRDefault="008772E7" w:rsidP="003C1BF2">
      <w:pPr>
        <w:spacing w:line="360" w:lineRule="auto"/>
        <w:ind w:right="851"/>
        <w:jc w:val="both"/>
        <w:rPr>
          <w:rFonts w:ascii="Palatino Linotype" w:hAnsi="Palatino Linotype"/>
          <w:i/>
          <w:color w:val="000000"/>
          <w:sz w:val="24"/>
          <w:szCs w:val="24"/>
        </w:rPr>
      </w:pPr>
      <w:r w:rsidRPr="008772E7">
        <w:rPr>
          <w:rFonts w:ascii="Palatino Linotype" w:hAnsi="Palatino Linotype"/>
          <w:i/>
          <w:color w:val="000000"/>
          <w:sz w:val="24"/>
          <w:szCs w:val="24"/>
        </w:rPr>
        <w:t>“RAZONES O MOTIVOS DE LA INCONFORMIDAD</w:t>
      </w:r>
    </w:p>
    <w:p w:rsidR="008772E7" w:rsidRPr="008772E7" w:rsidRDefault="008772E7" w:rsidP="003C1BF2">
      <w:pPr>
        <w:spacing w:after="0" w:line="360" w:lineRule="auto"/>
        <w:jc w:val="both"/>
        <w:rPr>
          <w:rFonts w:ascii="Palatino Linotype" w:eastAsia="Times New Roman" w:hAnsi="Palatino Linotype" w:cs="Times New Roman"/>
          <w:i/>
          <w:sz w:val="24"/>
          <w:szCs w:val="24"/>
          <w:lang w:eastAsia="es-MX"/>
        </w:rPr>
      </w:pPr>
      <w:r w:rsidRPr="008772E7">
        <w:rPr>
          <w:rFonts w:ascii="Palatino Linotype" w:hAnsi="Palatino Linotype"/>
          <w:color w:val="000000"/>
          <w:sz w:val="24"/>
          <w:szCs w:val="24"/>
        </w:rPr>
        <w:t>De acuerdo a lo estipulado en los artículos 176, 178 179 fracción I y VII el Sujeto Obligado Ayuntamiento de Tepetlaoxtoc hace omisión a la entrega de información solicitada.</w:t>
      </w:r>
      <w:r w:rsidRPr="008772E7">
        <w:rPr>
          <w:rFonts w:ascii="Palatino Linotype" w:hAnsi="Palatino Linotype"/>
          <w:i/>
          <w:color w:val="000000"/>
          <w:sz w:val="24"/>
          <w:szCs w:val="24"/>
        </w:rPr>
        <w:t>” (Sic.)</w:t>
      </w:r>
    </w:p>
    <w:p w:rsidR="008772E7" w:rsidRDefault="008772E7" w:rsidP="003C1BF2">
      <w:pPr>
        <w:spacing w:line="360" w:lineRule="auto"/>
        <w:jc w:val="both"/>
        <w:rPr>
          <w:rFonts w:ascii="Palatino Linotype" w:hAnsi="Palatino Linotype" w:cs="Arial"/>
          <w:sz w:val="24"/>
          <w:szCs w:val="24"/>
        </w:rPr>
      </w:pPr>
    </w:p>
    <w:p w:rsidR="00EB5BA9" w:rsidRDefault="00EB5BA9" w:rsidP="003C1BF2">
      <w:pPr>
        <w:spacing w:line="360" w:lineRule="auto"/>
        <w:jc w:val="both"/>
        <w:rPr>
          <w:rFonts w:ascii="Palatino Linotype" w:hAnsi="Palatino Linotype" w:cs="Arial"/>
          <w:sz w:val="24"/>
          <w:szCs w:val="24"/>
        </w:rPr>
      </w:pPr>
    </w:p>
    <w:p w:rsidR="008772E7" w:rsidRPr="00AA60C2" w:rsidRDefault="006C05D1" w:rsidP="003C1BF2">
      <w:pPr>
        <w:spacing w:line="360" w:lineRule="auto"/>
        <w:ind w:right="851"/>
        <w:jc w:val="both"/>
        <w:rPr>
          <w:rFonts w:ascii="Palatino Linotype" w:hAnsi="Palatino Linotype"/>
          <w:b/>
          <w:color w:val="000000"/>
          <w:sz w:val="28"/>
          <w:szCs w:val="24"/>
        </w:rPr>
      </w:pPr>
      <w:r>
        <w:rPr>
          <w:rFonts w:ascii="Palatino Linotype" w:hAnsi="Palatino Linotype" w:cs="Arial"/>
          <w:b/>
          <w:noProof/>
          <w:sz w:val="24"/>
          <w:szCs w:val="24"/>
          <w:lang w:eastAsia="es-MX"/>
        </w:rPr>
        <w:drawing>
          <wp:anchor distT="0" distB="0" distL="114300" distR="114300" simplePos="0" relativeHeight="251669504" behindDoc="1" locked="0" layoutInCell="1" allowOverlap="1" wp14:anchorId="2F278BDE" wp14:editId="1B2D879C">
            <wp:simplePos x="0" y="0"/>
            <wp:positionH relativeFrom="column">
              <wp:posOffset>486033</wp:posOffset>
            </wp:positionH>
            <wp:positionV relativeFrom="paragraph">
              <wp:posOffset>77505</wp:posOffset>
            </wp:positionV>
            <wp:extent cx="4480452" cy="3924300"/>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8772E7">
        <w:rPr>
          <w:rFonts w:ascii="Palatino Linotype" w:hAnsi="Palatino Linotype"/>
          <w:b/>
          <w:color w:val="000000"/>
          <w:sz w:val="28"/>
          <w:szCs w:val="24"/>
        </w:rPr>
        <w:t>4</w:t>
      </w:r>
      <w:r w:rsidR="008772E7" w:rsidRPr="00AA60C2">
        <w:rPr>
          <w:rFonts w:ascii="Palatino Linotype" w:hAnsi="Palatino Linotype"/>
          <w:b/>
          <w:color w:val="000000"/>
          <w:sz w:val="28"/>
          <w:szCs w:val="24"/>
        </w:rPr>
        <w:t>. Trámite del Recurso de Revisión ante este Instituto.</w:t>
      </w:r>
    </w:p>
    <w:p w:rsidR="008772E7" w:rsidRPr="00377955" w:rsidRDefault="008772E7" w:rsidP="003C1BF2">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Turno del Medio de Impugnación.</w:t>
      </w:r>
      <w:r>
        <w:rPr>
          <w:rFonts w:ascii="Palatino Linotype" w:hAnsi="Palatino Linotype"/>
          <w:color w:val="000000"/>
          <w:sz w:val="24"/>
          <w:szCs w:val="24"/>
        </w:rPr>
        <w:t xml:space="preserve">  El veintisiete de septiembre de dos mil veintiuno, el Sistema de Acceso a la Información Mexiquense (SAIMEX), asignó el número de expediente </w:t>
      </w:r>
      <w:r>
        <w:rPr>
          <w:rFonts w:ascii="Palatino Linotype" w:hAnsi="Palatino Linotype" w:cs="Arial"/>
          <w:b/>
          <w:bCs/>
          <w:sz w:val="24"/>
          <w:lang w:eastAsia="es-MX"/>
        </w:rPr>
        <w:t xml:space="preserve"> </w:t>
      </w:r>
      <w:r w:rsidRPr="00E52DC8">
        <w:rPr>
          <w:rFonts w:ascii="Palatino Linotype" w:hAnsi="Palatino Linotype" w:cs="Arial"/>
          <w:b/>
          <w:bCs/>
          <w:sz w:val="24"/>
          <w:lang w:eastAsia="es-MX"/>
        </w:rPr>
        <w:t>04</w:t>
      </w:r>
      <w:r>
        <w:rPr>
          <w:rFonts w:ascii="Palatino Linotype" w:hAnsi="Palatino Linotype" w:cs="Arial"/>
          <w:b/>
          <w:bCs/>
          <w:sz w:val="24"/>
          <w:lang w:eastAsia="es-MX"/>
        </w:rPr>
        <w:t>824</w:t>
      </w:r>
      <w:r w:rsidRPr="00E52DC8">
        <w:rPr>
          <w:rFonts w:ascii="Palatino Linotype" w:hAnsi="Palatino Linotype" w:cs="Arial"/>
          <w:b/>
          <w:bCs/>
          <w:sz w:val="24"/>
          <w:lang w:eastAsia="es-MX"/>
        </w:rPr>
        <w:t>/INFOEM/IP/RR/2021</w:t>
      </w:r>
      <w:r>
        <w:rPr>
          <w:rFonts w:ascii="Palatino Linotype" w:hAnsi="Palatino Linotype" w:cs="Arial"/>
          <w:b/>
          <w:bCs/>
          <w:sz w:val="24"/>
          <w:lang w:eastAsia="es-MX"/>
        </w:rPr>
        <w:t xml:space="preserve">, </w:t>
      </w:r>
      <w:r>
        <w:rPr>
          <w:rFonts w:ascii="Palatino Linotype" w:hAnsi="Palatino Linotype" w:cs="Arial"/>
          <w:bCs/>
          <w:sz w:val="24"/>
          <w:lang w:eastAsia="es-MX"/>
        </w:rPr>
        <w:t xml:space="preserve">al medio de impugnación que nos atañe, con base en el sistema aprobado por el Pleno de este Órgano Garante y lo turnó a la Comisionada Ponente Guadalupe Ramírez Peña, para los efectos del artículo 185 fracción I de la Ley de Transparencia y Acceso a la Información Pública del Estado de México y Municipios. </w:t>
      </w:r>
    </w:p>
    <w:p w:rsidR="008772E7" w:rsidRPr="00EB0E47" w:rsidRDefault="008772E7" w:rsidP="003C1BF2">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Admisión del Recurso de Revisión.</w:t>
      </w:r>
      <w:r>
        <w:rPr>
          <w:rFonts w:ascii="Palatino Linotype" w:hAnsi="Palatino Linotype"/>
          <w:color w:val="000000"/>
          <w:sz w:val="24"/>
          <w:szCs w:val="24"/>
        </w:rPr>
        <w:t xml:space="preserve"> El </w:t>
      </w:r>
      <w:r w:rsidR="00EB0E47">
        <w:rPr>
          <w:rFonts w:ascii="Palatino Linotype" w:hAnsi="Palatino Linotype"/>
          <w:color w:val="000000"/>
          <w:sz w:val="24"/>
          <w:szCs w:val="24"/>
        </w:rPr>
        <w:t>cuatro</w:t>
      </w:r>
      <w:r>
        <w:rPr>
          <w:rFonts w:ascii="Palatino Linotype" w:hAnsi="Palatino Linotype"/>
          <w:color w:val="000000"/>
          <w:sz w:val="24"/>
          <w:szCs w:val="24"/>
        </w:rPr>
        <w:t xml:space="preserve"> de </w:t>
      </w:r>
      <w:r w:rsidR="00EB0E47">
        <w:rPr>
          <w:rFonts w:ascii="Palatino Linotype" w:hAnsi="Palatino Linotype"/>
          <w:color w:val="000000"/>
          <w:sz w:val="24"/>
          <w:szCs w:val="24"/>
        </w:rPr>
        <w:t>octu</w:t>
      </w:r>
      <w:r>
        <w:rPr>
          <w:rFonts w:ascii="Palatino Linotype" w:hAnsi="Palatino Linotype"/>
          <w:color w:val="000000"/>
          <w:sz w:val="24"/>
          <w:szCs w:val="24"/>
        </w:rPr>
        <w:t xml:space="preserve">bre de dos mil veintiuno, se acordó la admisión del Recurso de Revisión interpuesto por el Recurrente en contra del Sujeto Obligado, en términos del artículo 185 fracciones I y II de la </w:t>
      </w:r>
      <w:r>
        <w:rPr>
          <w:rFonts w:ascii="Palatino Linotype" w:hAnsi="Palatino Linotype" w:cs="Arial"/>
          <w:bCs/>
          <w:sz w:val="24"/>
          <w:lang w:eastAsia="es-MX"/>
        </w:rPr>
        <w:t xml:space="preserve">Ley de Transparencia y Acceso a la Información Pública del Estado de México y Municipios, el cual fue notificado a las partes, el mismo día, a través del Sistema de Acceso a la Información </w:t>
      </w:r>
      <w:r>
        <w:rPr>
          <w:rFonts w:ascii="Palatino Linotype" w:hAnsi="Palatino Linotype" w:cs="Arial"/>
          <w:bCs/>
          <w:sz w:val="24"/>
          <w:lang w:eastAsia="es-MX"/>
        </w:rPr>
        <w:lastRenderedPageBreak/>
        <w:t xml:space="preserve">Mexiquense (SAIMEX), en el que se les otorgó un plazo de siete días hábiles posteriores a la misma, para que manifestaran lo que a su derecho conviniera y formularan alegatos. </w:t>
      </w:r>
    </w:p>
    <w:p w:rsidR="00EB0E47" w:rsidRPr="0005053A" w:rsidRDefault="00EB0E47" w:rsidP="003C1BF2">
      <w:pPr>
        <w:pStyle w:val="Prrafodelista"/>
        <w:numPr>
          <w:ilvl w:val="0"/>
          <w:numId w:val="1"/>
        </w:numPr>
        <w:spacing w:line="360" w:lineRule="auto"/>
        <w:ind w:left="284" w:right="851"/>
        <w:jc w:val="both"/>
        <w:rPr>
          <w:rFonts w:ascii="Palatino Linotype" w:hAnsi="Palatino Linotype"/>
          <w:b/>
          <w:color w:val="000000"/>
          <w:sz w:val="24"/>
          <w:szCs w:val="24"/>
        </w:rPr>
      </w:pPr>
      <w:r>
        <w:rPr>
          <w:rFonts w:ascii="Palatino Linotype" w:hAnsi="Palatino Linotype"/>
          <w:b/>
          <w:color w:val="000000"/>
          <w:sz w:val="24"/>
          <w:szCs w:val="24"/>
        </w:rPr>
        <w:t>I</w:t>
      </w:r>
      <w:r w:rsidRPr="0005053A">
        <w:rPr>
          <w:rFonts w:ascii="Palatino Linotype" w:hAnsi="Palatino Linotype"/>
          <w:b/>
          <w:color w:val="000000"/>
          <w:sz w:val="24"/>
          <w:szCs w:val="24"/>
        </w:rPr>
        <w:t>nforme Justificado</w:t>
      </w:r>
      <w:r>
        <w:rPr>
          <w:rFonts w:ascii="Palatino Linotype" w:hAnsi="Palatino Linotype"/>
          <w:b/>
          <w:color w:val="000000"/>
          <w:sz w:val="24"/>
          <w:szCs w:val="24"/>
        </w:rPr>
        <w:t>.</w:t>
      </w:r>
    </w:p>
    <w:p w:rsidR="00EB0E47" w:rsidRPr="00FB409A" w:rsidRDefault="006C05D1" w:rsidP="003C1BF2">
      <w:pPr>
        <w:spacing w:line="360" w:lineRule="auto"/>
        <w:ind w:right="851"/>
        <w:jc w:val="both"/>
        <w:rPr>
          <w:rFonts w:ascii="Palatino Linotype" w:hAnsi="Palatino Linotype"/>
          <w:i/>
          <w:color w:val="000000"/>
          <w:sz w:val="24"/>
          <w:szCs w:val="24"/>
        </w:rPr>
      </w:pPr>
      <w:r>
        <w:rPr>
          <w:rFonts w:ascii="Palatino Linotype" w:hAnsi="Palatino Linotype" w:cs="Arial"/>
          <w:b/>
          <w:noProof/>
          <w:sz w:val="24"/>
          <w:szCs w:val="24"/>
          <w:lang w:eastAsia="es-MX"/>
        </w:rPr>
        <w:drawing>
          <wp:anchor distT="0" distB="0" distL="114300" distR="114300" simplePos="0" relativeHeight="251671552" behindDoc="1" locked="0" layoutInCell="1" allowOverlap="1" wp14:anchorId="2F278BDE" wp14:editId="1B2D879C">
            <wp:simplePos x="0" y="0"/>
            <wp:positionH relativeFrom="column">
              <wp:posOffset>486032</wp:posOffset>
            </wp:positionH>
            <wp:positionV relativeFrom="paragraph">
              <wp:posOffset>334181</wp:posOffset>
            </wp:positionV>
            <wp:extent cx="4480452" cy="3924300"/>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sidRPr="00F65379">
        <w:rPr>
          <w:rFonts w:ascii="Palatino Linotype" w:hAnsi="Palatino Linotype" w:cs="Arial"/>
          <w:bCs/>
          <w:sz w:val="24"/>
          <w:lang w:eastAsia="es-MX"/>
        </w:rPr>
        <w:t>Las partes fueron omisas en emitir manifestaciones o alegatos.</w:t>
      </w:r>
    </w:p>
    <w:p w:rsidR="00EB0E47" w:rsidRPr="00894CD4" w:rsidRDefault="00EB0E47" w:rsidP="003C1BF2">
      <w:pPr>
        <w:pStyle w:val="Prrafodelista"/>
        <w:numPr>
          <w:ilvl w:val="0"/>
          <w:numId w:val="1"/>
        </w:numPr>
        <w:spacing w:line="360" w:lineRule="auto"/>
        <w:ind w:right="851"/>
        <w:jc w:val="both"/>
        <w:rPr>
          <w:rFonts w:ascii="Palatino Linotype" w:hAnsi="Palatino Linotype" w:cs="Arial"/>
          <w:b/>
          <w:bCs/>
          <w:sz w:val="24"/>
          <w:lang w:eastAsia="es-MX"/>
        </w:rPr>
      </w:pPr>
      <w:r w:rsidRPr="002F42B7">
        <w:rPr>
          <w:rFonts w:ascii="Palatino Linotype" w:hAnsi="Palatino Linotype" w:cs="Arial"/>
          <w:b/>
          <w:bCs/>
          <w:sz w:val="24"/>
          <w:lang w:eastAsia="es-MX"/>
        </w:rPr>
        <w:t xml:space="preserve">Cierre de instrucción. </w:t>
      </w:r>
      <w:r w:rsidRPr="00894CD4">
        <w:rPr>
          <w:rFonts w:ascii="Palatino Linotype" w:hAnsi="Palatino Linotype" w:cs="Arial"/>
          <w:bCs/>
          <w:sz w:val="24"/>
          <w:lang w:eastAsia="es-MX"/>
        </w:rPr>
        <w:t xml:space="preserve">El </w:t>
      </w:r>
      <w:r>
        <w:rPr>
          <w:rFonts w:ascii="Palatino Linotype" w:hAnsi="Palatino Linotype" w:cs="Arial"/>
          <w:bCs/>
          <w:sz w:val="24"/>
          <w:lang w:eastAsia="es-MX"/>
        </w:rPr>
        <w:t>catorce de octu</w:t>
      </w:r>
      <w:r w:rsidRPr="00894CD4">
        <w:rPr>
          <w:rFonts w:ascii="Palatino Linotype" w:hAnsi="Palatino Linotype" w:cs="Arial"/>
          <w:bCs/>
          <w:sz w:val="24"/>
          <w:lang w:eastAsia="es-MX"/>
        </w:rPr>
        <w:t xml:space="preserve">bre, al no existir diligencias pendientes por desahogar ,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DF36C3">
        <w:rPr>
          <w:rFonts w:ascii="Palatino Linotype" w:hAnsi="Palatino Linotype" w:cs="Arial"/>
          <w:bCs/>
          <w:sz w:val="24"/>
          <w:lang w:eastAsia="es-MX"/>
        </w:rPr>
        <w:t>catorce de octubre</w:t>
      </w:r>
      <w:r w:rsidRPr="00894CD4">
        <w:rPr>
          <w:rFonts w:ascii="Palatino Linotype" w:hAnsi="Palatino Linotype" w:cs="Arial"/>
          <w:bCs/>
          <w:sz w:val="24"/>
          <w:lang w:eastAsia="es-MX"/>
        </w:rPr>
        <w:t xml:space="preserve"> del presente año, a través del Sistema de Acceso a la Información Mexiquense (SAIMEX).</w:t>
      </w:r>
    </w:p>
    <w:p w:rsidR="00EB0E47" w:rsidRDefault="00EB0E47" w:rsidP="003C1BF2">
      <w:pPr>
        <w:pStyle w:val="Prrafodelista"/>
        <w:spacing w:line="360" w:lineRule="auto"/>
        <w:ind w:right="851"/>
        <w:jc w:val="both"/>
        <w:rPr>
          <w:rFonts w:ascii="Palatino Linotype" w:hAnsi="Palatino Linotype" w:cs="Arial"/>
          <w:bCs/>
          <w:sz w:val="24"/>
          <w:lang w:eastAsia="es-MX"/>
        </w:rPr>
      </w:pPr>
    </w:p>
    <w:p w:rsidR="00EB0E47" w:rsidRDefault="00EB0E47" w:rsidP="003C1BF2">
      <w:pPr>
        <w:pStyle w:val="Prrafodelista"/>
        <w:spacing w:line="360" w:lineRule="auto"/>
        <w:ind w:left="0" w:right="851"/>
        <w:jc w:val="both"/>
        <w:rPr>
          <w:rFonts w:ascii="Palatino Linotype" w:hAnsi="Palatino Linotype" w:cs="Arial"/>
          <w:bCs/>
          <w:sz w:val="24"/>
          <w:lang w:eastAsia="es-MX"/>
        </w:rPr>
      </w:pPr>
      <w:r>
        <w:rPr>
          <w:rFonts w:ascii="Palatino Linotype" w:hAnsi="Palatino Linotype" w:cs="Arial"/>
          <w:bCs/>
          <w:sz w:val="24"/>
          <w:lang w:eastAsia="es-MX"/>
        </w:rPr>
        <w:t>En razón de que fue debidamente sustanciado e integrado el expediente electrónico y no existe diligencia pendiente de desahogo, se emite la resolución que conforme a Derecho le corresponda, de acuerdo a los siguientes:</w:t>
      </w:r>
    </w:p>
    <w:p w:rsidR="00EB0E47" w:rsidRDefault="00EB0E47" w:rsidP="00EB0E47">
      <w:pPr>
        <w:pStyle w:val="Prrafodelista"/>
        <w:spacing w:line="360" w:lineRule="auto"/>
        <w:ind w:left="0" w:right="851"/>
        <w:jc w:val="both"/>
        <w:rPr>
          <w:rFonts w:ascii="Palatino Linotype" w:hAnsi="Palatino Linotype" w:cs="Arial"/>
          <w:bCs/>
          <w:sz w:val="24"/>
          <w:lang w:eastAsia="es-MX"/>
        </w:rPr>
      </w:pPr>
    </w:p>
    <w:p w:rsidR="006C05D1" w:rsidRDefault="006C05D1" w:rsidP="00EB0E47">
      <w:pPr>
        <w:pStyle w:val="Prrafodelista"/>
        <w:spacing w:line="360" w:lineRule="auto"/>
        <w:ind w:left="0" w:right="851"/>
        <w:jc w:val="both"/>
        <w:rPr>
          <w:rFonts w:ascii="Palatino Linotype" w:hAnsi="Palatino Linotype" w:cs="Arial"/>
          <w:bCs/>
          <w:sz w:val="24"/>
          <w:lang w:eastAsia="es-MX"/>
        </w:rPr>
      </w:pPr>
    </w:p>
    <w:p w:rsidR="006C05D1" w:rsidRDefault="006C05D1" w:rsidP="00EB0E47">
      <w:pPr>
        <w:pStyle w:val="Prrafodelista"/>
        <w:spacing w:line="360" w:lineRule="auto"/>
        <w:ind w:left="0" w:right="851"/>
        <w:jc w:val="both"/>
        <w:rPr>
          <w:rFonts w:ascii="Palatino Linotype" w:hAnsi="Palatino Linotype" w:cs="Arial"/>
          <w:bCs/>
          <w:sz w:val="24"/>
          <w:lang w:eastAsia="es-MX"/>
        </w:rPr>
      </w:pPr>
    </w:p>
    <w:p w:rsidR="006C05D1" w:rsidRDefault="006C05D1" w:rsidP="00EB0E47">
      <w:pPr>
        <w:pStyle w:val="Prrafodelista"/>
        <w:spacing w:line="360" w:lineRule="auto"/>
        <w:ind w:left="0" w:right="851"/>
        <w:jc w:val="both"/>
        <w:rPr>
          <w:rFonts w:ascii="Palatino Linotype" w:hAnsi="Palatino Linotype" w:cs="Arial"/>
          <w:bCs/>
          <w:sz w:val="24"/>
          <w:lang w:eastAsia="es-MX"/>
        </w:rPr>
      </w:pPr>
    </w:p>
    <w:p w:rsidR="006C05D1" w:rsidRDefault="006C05D1" w:rsidP="00EB0E47">
      <w:pPr>
        <w:pStyle w:val="Prrafodelista"/>
        <w:spacing w:line="360" w:lineRule="auto"/>
        <w:ind w:left="0" w:right="851"/>
        <w:jc w:val="both"/>
        <w:rPr>
          <w:rFonts w:ascii="Palatino Linotype" w:hAnsi="Palatino Linotype" w:cs="Arial"/>
          <w:bCs/>
          <w:sz w:val="24"/>
          <w:lang w:eastAsia="es-MX"/>
        </w:rPr>
      </w:pPr>
    </w:p>
    <w:p w:rsidR="00EB0E47" w:rsidRPr="00D8451A" w:rsidRDefault="00EB0E47" w:rsidP="00EB0E47">
      <w:pPr>
        <w:pStyle w:val="Prrafodelista"/>
        <w:spacing w:line="360" w:lineRule="auto"/>
        <w:ind w:right="851"/>
        <w:jc w:val="center"/>
        <w:rPr>
          <w:rFonts w:ascii="Palatino Linotype" w:hAnsi="Palatino Linotype" w:cs="Arial"/>
          <w:b/>
          <w:bCs/>
          <w:sz w:val="24"/>
          <w:lang w:eastAsia="es-MX"/>
        </w:rPr>
      </w:pPr>
      <w:r w:rsidRPr="00D8451A">
        <w:rPr>
          <w:rFonts w:ascii="Palatino Linotype" w:hAnsi="Palatino Linotype" w:cs="Arial"/>
          <w:b/>
          <w:bCs/>
          <w:sz w:val="24"/>
          <w:lang w:eastAsia="es-MX"/>
        </w:rPr>
        <w:lastRenderedPageBreak/>
        <w:t>CONSIDERANDOS</w:t>
      </w:r>
    </w:p>
    <w:p w:rsidR="00EB0E47" w:rsidRDefault="00EB0E47" w:rsidP="00EB0E47">
      <w:pPr>
        <w:pStyle w:val="Prrafodelista"/>
        <w:spacing w:line="360" w:lineRule="auto"/>
        <w:ind w:left="0" w:right="851"/>
        <w:jc w:val="both"/>
        <w:rPr>
          <w:rFonts w:ascii="Palatino Linotype" w:hAnsi="Palatino Linotype" w:cs="Arial"/>
          <w:b/>
          <w:bCs/>
          <w:sz w:val="24"/>
          <w:lang w:eastAsia="es-MX"/>
        </w:rPr>
      </w:pPr>
    </w:p>
    <w:p w:rsidR="00EB0E47" w:rsidRPr="00D8451A" w:rsidRDefault="00EB0E47" w:rsidP="00EB0E47">
      <w:pPr>
        <w:pStyle w:val="Prrafodelista"/>
        <w:spacing w:line="360" w:lineRule="auto"/>
        <w:ind w:left="0" w:right="851"/>
        <w:jc w:val="both"/>
        <w:rPr>
          <w:rFonts w:ascii="Palatino Linotype" w:hAnsi="Palatino Linotype" w:cs="Arial"/>
          <w:b/>
          <w:bCs/>
          <w:sz w:val="24"/>
          <w:lang w:eastAsia="es-MX"/>
        </w:rPr>
      </w:pPr>
      <w:r w:rsidRPr="00D8451A">
        <w:rPr>
          <w:rFonts w:ascii="Palatino Linotype" w:hAnsi="Palatino Linotype" w:cs="Arial"/>
          <w:b/>
          <w:bCs/>
          <w:sz w:val="24"/>
          <w:lang w:eastAsia="es-MX"/>
        </w:rPr>
        <w:t>PRIMERO. Competencia.</w:t>
      </w:r>
    </w:p>
    <w:p w:rsidR="00EB0E47" w:rsidRPr="00E609DF" w:rsidRDefault="006C05D1" w:rsidP="00EB0E47">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73600" behindDoc="1" locked="0" layoutInCell="1" allowOverlap="1" wp14:anchorId="2F278BDE" wp14:editId="1B2D879C">
            <wp:simplePos x="0" y="0"/>
            <wp:positionH relativeFrom="column">
              <wp:posOffset>486033</wp:posOffset>
            </wp:positionH>
            <wp:positionV relativeFrom="paragraph">
              <wp:posOffset>1372595</wp:posOffset>
            </wp:positionV>
            <wp:extent cx="4480452" cy="3924300"/>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sidRPr="00E609DF">
        <w:rPr>
          <w:rFonts w:ascii="Palatino Linotype" w:hAnsi="Palatino Linotype" w:cs="Arial"/>
          <w:sz w:val="24"/>
          <w:szCs w:val="24"/>
        </w:rPr>
        <w:t>Este Instituto de Transparencia, Acceso a la Información Pública y Protección de Datos Personales del Estado de México y Municipios, es competente para conocer y</w:t>
      </w:r>
      <w:r w:rsidR="00EB0E47">
        <w:rPr>
          <w:rFonts w:ascii="Palatino Linotype" w:hAnsi="Palatino Linotype" w:cs="Arial"/>
          <w:sz w:val="24"/>
          <w:szCs w:val="24"/>
        </w:rPr>
        <w:t xml:space="preserve"> </w:t>
      </w:r>
      <w:r w:rsidR="00EB0E47" w:rsidRPr="00E609DF">
        <w:rPr>
          <w:rFonts w:ascii="Palatino Linotype" w:hAnsi="Palatino Linotype" w:cs="Arial"/>
          <w:sz w:val="24"/>
          <w:szCs w:val="24"/>
        </w:rPr>
        <w:t>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w:t>
      </w:r>
      <w:r w:rsidRPr="006C05D1">
        <w:rPr>
          <w:rFonts w:ascii="Palatino Linotype" w:hAnsi="Palatino Linotype" w:cs="Arial"/>
          <w:b/>
          <w:noProof/>
          <w:sz w:val="24"/>
          <w:szCs w:val="24"/>
          <w:lang w:eastAsia="es-MX"/>
        </w:rPr>
        <w:t xml:space="preserve"> </w:t>
      </w:r>
      <w:r w:rsidR="00EB0E47" w:rsidRPr="00E609DF">
        <w:rPr>
          <w:rFonts w:ascii="Palatino Linotype" w:hAnsi="Palatino Linotype" w:cs="Arial"/>
          <w:sz w:val="24"/>
          <w:szCs w:val="24"/>
        </w:rPr>
        <w:t xml:space="preserve">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B0E47" w:rsidRDefault="00EB0E47" w:rsidP="00EB0E47">
      <w:pPr>
        <w:pStyle w:val="Prrafodelista"/>
        <w:autoSpaceDE w:val="0"/>
        <w:autoSpaceDN w:val="0"/>
        <w:adjustRightInd w:val="0"/>
        <w:spacing w:line="360" w:lineRule="auto"/>
        <w:ind w:left="0"/>
        <w:jc w:val="both"/>
        <w:rPr>
          <w:rFonts w:ascii="Palatino Linotype" w:hAnsi="Palatino Linotype" w:cs="Arial"/>
          <w:b/>
          <w:sz w:val="24"/>
          <w:szCs w:val="24"/>
        </w:rPr>
      </w:pPr>
    </w:p>
    <w:p w:rsidR="00EB0E47" w:rsidRPr="006B607A" w:rsidRDefault="00EB0E47" w:rsidP="00EB0E47">
      <w:pPr>
        <w:pStyle w:val="Prrafodelista"/>
        <w:autoSpaceDE w:val="0"/>
        <w:autoSpaceDN w:val="0"/>
        <w:adjustRightInd w:val="0"/>
        <w:spacing w:line="360" w:lineRule="auto"/>
        <w:ind w:left="0"/>
        <w:jc w:val="both"/>
        <w:rPr>
          <w:rFonts w:ascii="Palatino Linotype" w:hAnsi="Palatino Linotype" w:cs="Arial"/>
          <w:b/>
          <w:sz w:val="24"/>
          <w:szCs w:val="24"/>
        </w:rPr>
      </w:pPr>
      <w:r w:rsidRPr="006B607A">
        <w:rPr>
          <w:rFonts w:ascii="Palatino Linotype" w:hAnsi="Palatino Linotype" w:cs="Arial"/>
          <w:b/>
          <w:sz w:val="24"/>
          <w:szCs w:val="24"/>
        </w:rPr>
        <w:t xml:space="preserve">SEGUNDO. Sobre los alcances del recurso de revisión. </w:t>
      </w:r>
    </w:p>
    <w:p w:rsidR="00EB0E47" w:rsidRPr="006B607A" w:rsidRDefault="00EB0E47" w:rsidP="00EB0E47">
      <w:pPr>
        <w:spacing w:after="0" w:line="360" w:lineRule="auto"/>
        <w:jc w:val="both"/>
        <w:rPr>
          <w:rFonts w:ascii="Palatino Linotype" w:hAnsi="Palatino Linotype" w:cs="Arial"/>
          <w:sz w:val="24"/>
          <w:szCs w:val="24"/>
        </w:rPr>
      </w:pPr>
      <w:r w:rsidRPr="006B607A">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w:t>
      </w:r>
      <w:r>
        <w:rPr>
          <w:rFonts w:ascii="Palatino Linotype" w:hAnsi="Palatino Linotype" w:cs="Arial"/>
          <w:sz w:val="24"/>
          <w:szCs w:val="24"/>
        </w:rPr>
        <w:t xml:space="preserve">ico y Municipios, </w:t>
      </w:r>
      <w:r w:rsidRPr="006B607A">
        <w:rPr>
          <w:rFonts w:ascii="Palatino Linotype" w:hAnsi="Palatino Linotype" w:cs="Arial"/>
          <w:sz w:val="24"/>
          <w:szCs w:val="24"/>
        </w:rPr>
        <w:t xml:space="preserve">el cual será analizado conforme a las actuaciones que obren en el expediente electrónico, con la finalidad de reparar cualquier posible </w:t>
      </w:r>
      <w:r w:rsidRPr="006B607A">
        <w:rPr>
          <w:rFonts w:ascii="Palatino Linotype" w:hAnsi="Palatino Linotype" w:cs="Arial"/>
          <w:sz w:val="24"/>
          <w:szCs w:val="24"/>
        </w:rPr>
        <w:lastRenderedPageBreak/>
        <w:t>afectación al derecho de acceso a la información pública y garantizando el principio rector de máxima publicidad.</w:t>
      </w:r>
    </w:p>
    <w:p w:rsidR="00EB0E47" w:rsidRDefault="00EB0E47" w:rsidP="00EB0E47">
      <w:pPr>
        <w:spacing w:after="0" w:line="360" w:lineRule="auto"/>
        <w:jc w:val="both"/>
        <w:rPr>
          <w:rFonts w:ascii="Palatino Linotype" w:hAnsi="Palatino Linotype" w:cs="Arial"/>
          <w:b/>
          <w:sz w:val="24"/>
          <w:szCs w:val="24"/>
        </w:rPr>
      </w:pPr>
    </w:p>
    <w:p w:rsidR="00EB0E47" w:rsidRPr="00F65379" w:rsidRDefault="00EB0E47" w:rsidP="00EB0E47">
      <w:pPr>
        <w:spacing w:after="0" w:line="360" w:lineRule="auto"/>
        <w:jc w:val="both"/>
        <w:rPr>
          <w:rFonts w:ascii="Palatino Linotype" w:hAnsi="Palatino Linotype" w:cs="Arial"/>
          <w:b/>
          <w:sz w:val="24"/>
          <w:szCs w:val="24"/>
        </w:rPr>
      </w:pPr>
      <w:r>
        <w:rPr>
          <w:rFonts w:ascii="Palatino Linotype" w:hAnsi="Palatino Linotype" w:cs="Arial"/>
          <w:b/>
          <w:sz w:val="24"/>
          <w:szCs w:val="24"/>
        </w:rPr>
        <w:t>T</w:t>
      </w:r>
      <w:r w:rsidRPr="00E609DF">
        <w:rPr>
          <w:rFonts w:ascii="Palatino Linotype" w:hAnsi="Palatino Linotype" w:cs="Arial"/>
          <w:b/>
          <w:sz w:val="24"/>
          <w:szCs w:val="24"/>
        </w:rPr>
        <w:t>ERCERO. De las causas de improcedencia y sobreseimiento.</w:t>
      </w:r>
    </w:p>
    <w:p w:rsidR="00EB0E47" w:rsidRPr="00E609DF" w:rsidRDefault="00EB0E47" w:rsidP="00EB0E47">
      <w:pPr>
        <w:spacing w:after="0" w:line="360" w:lineRule="auto"/>
        <w:jc w:val="both"/>
        <w:rPr>
          <w:rFonts w:ascii="Palatino Linotype" w:hAnsi="Palatino Linotype" w:cs="Arial"/>
          <w:sz w:val="24"/>
          <w:szCs w:val="24"/>
        </w:rPr>
      </w:pPr>
      <w:r w:rsidRPr="00E609DF">
        <w:rPr>
          <w:rFonts w:ascii="Palatino Linotype" w:hAnsi="Palatino Linotype" w:cs="Arial"/>
          <w:sz w:val="24"/>
          <w:szCs w:val="24"/>
        </w:rPr>
        <w:t xml:space="preserve">La razón por la cual se constituye el Recurso de Revisión en cuestión, es menester dar cuenta a un estudio previo respecto a las causales de improcedencia y sobreseimiento de la Litis, para determinar su procedencia. </w:t>
      </w:r>
    </w:p>
    <w:p w:rsidR="00EB0E47" w:rsidRPr="00E609DF" w:rsidRDefault="00EB0E47" w:rsidP="00EB0E47">
      <w:pPr>
        <w:spacing w:after="0" w:line="360" w:lineRule="auto"/>
        <w:jc w:val="both"/>
        <w:rPr>
          <w:rFonts w:ascii="Palatino Linotype" w:hAnsi="Palatino Linotype" w:cs="Arial"/>
          <w:b/>
          <w:sz w:val="24"/>
          <w:szCs w:val="24"/>
        </w:rPr>
      </w:pPr>
      <w:r w:rsidRPr="00E609DF">
        <w:rPr>
          <w:rFonts w:ascii="Palatino Linotype" w:hAnsi="Palatino Linotype" w:cs="Arial"/>
          <w:b/>
          <w:sz w:val="24"/>
          <w:szCs w:val="24"/>
        </w:rPr>
        <w:t>Causales de improcedencia.</w:t>
      </w:r>
    </w:p>
    <w:p w:rsidR="00EB0E47" w:rsidRPr="00AC0A86" w:rsidRDefault="006C05D1" w:rsidP="00EB0E47">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75648" behindDoc="1" locked="0" layoutInCell="1" allowOverlap="1" wp14:anchorId="2F278BDE" wp14:editId="1B2D879C">
            <wp:simplePos x="0" y="0"/>
            <wp:positionH relativeFrom="column">
              <wp:posOffset>568411</wp:posOffset>
            </wp:positionH>
            <wp:positionV relativeFrom="paragraph">
              <wp:posOffset>-635</wp:posOffset>
            </wp:positionV>
            <wp:extent cx="4480452" cy="392430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sidRPr="00AC0A86">
        <w:rPr>
          <w:rFonts w:ascii="Palatino Linotype" w:hAnsi="Palatino Linotype" w:cs="Arial"/>
          <w:sz w:val="24"/>
          <w:szCs w:val="24"/>
        </w:rPr>
        <w:t>En el ejercicio de la Transparencia y Acceso a la Información Pública, en los medios de impugnación de la materia, se advierten diversos supuestos de improcedencia, los cuales deben estudiarse con la finalidad de dar cumplimiento a los principios plasmados en el artículo 9 de Ley de Transparencia y Acceso a la Información Pública de</w:t>
      </w:r>
      <w:r w:rsidR="00EB0E47">
        <w:rPr>
          <w:rFonts w:ascii="Palatino Linotype" w:hAnsi="Palatino Linotype" w:cs="Arial"/>
          <w:sz w:val="24"/>
          <w:szCs w:val="24"/>
        </w:rPr>
        <w:t>l Estado de México y Municipios.</w:t>
      </w:r>
      <w:r w:rsidR="00EB0E47" w:rsidRPr="00AC0A86">
        <w:rPr>
          <w:rFonts w:ascii="Palatino Linotype" w:hAnsi="Palatino Linotype" w:cs="Arial"/>
          <w:sz w:val="24"/>
          <w:szCs w:val="24"/>
        </w:rPr>
        <w:t xml:space="preserve"> </w:t>
      </w:r>
    </w:p>
    <w:p w:rsidR="00EB0E47"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Por lo tanto, en el actual caso, no se logra actualizar  alguna causal que motive dicha  determinación, establecida en el artículo 191 de la Ley de Transparencia y Acceso a la Información Pública del Estado de México y Municipios.</w:t>
      </w: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Además, de que el Medio de Impugnación fue presentado en tiempo, toda vez que ante la ausencia de la respuesta del Ente Recurrido, se constituyó la </w:t>
      </w:r>
      <w:r w:rsidRPr="00AC0A86">
        <w:rPr>
          <w:rFonts w:ascii="Palatino Linotype" w:hAnsi="Palatino Linotype" w:cs="Arial"/>
          <w:b/>
          <w:sz w:val="24"/>
          <w:szCs w:val="24"/>
        </w:rPr>
        <w:t xml:space="preserve">negativa ficta, </w:t>
      </w:r>
      <w:r w:rsidRPr="00AC0A86">
        <w:rPr>
          <w:rFonts w:ascii="Palatino Linotype" w:hAnsi="Palatino Linotype" w:cs="Arial"/>
          <w:sz w:val="24"/>
          <w:szCs w:val="24"/>
        </w:rPr>
        <w:t xml:space="preserve">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Municipios. </w:t>
      </w: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lastRenderedPageBreak/>
        <w:t>Conforme a lo anterior, se actualiza la causal de procedencia señalada en el artículo 179 fracción VII de la Ley de Transparencia y Acceso a la Información Pública del</w:t>
      </w:r>
      <w:r>
        <w:rPr>
          <w:rFonts w:ascii="Palatino Linotype" w:hAnsi="Palatino Linotype" w:cs="Arial"/>
          <w:sz w:val="24"/>
          <w:szCs w:val="24"/>
        </w:rPr>
        <w:t xml:space="preserve"> </w:t>
      </w:r>
      <w:r w:rsidRPr="00AC0A86">
        <w:rPr>
          <w:rFonts w:ascii="Palatino Linotype" w:hAnsi="Palatino Linotype" w:cs="Arial"/>
          <w:sz w:val="24"/>
          <w:szCs w:val="24"/>
        </w:rPr>
        <w:t>Estado de México y Municipios, toda  vez que el Solicitante se inconformo por la falta de respuesta a sus solicitud respecto al Acceso a la Información Pública.</w:t>
      </w:r>
    </w:p>
    <w:p w:rsidR="00EB0E47" w:rsidRDefault="00EB0E47" w:rsidP="00EB0E47">
      <w:pPr>
        <w:pStyle w:val="Prrafodelista"/>
        <w:autoSpaceDE w:val="0"/>
        <w:autoSpaceDN w:val="0"/>
        <w:adjustRightInd w:val="0"/>
        <w:spacing w:line="360" w:lineRule="auto"/>
        <w:ind w:left="0"/>
        <w:jc w:val="both"/>
        <w:rPr>
          <w:rFonts w:ascii="Palatino Linotype" w:hAnsi="Palatino Linotype" w:cs="Arial"/>
          <w:b/>
          <w:sz w:val="24"/>
          <w:szCs w:val="24"/>
        </w:rPr>
      </w:pP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b/>
          <w:sz w:val="24"/>
          <w:szCs w:val="24"/>
        </w:rPr>
        <w:t xml:space="preserve">Causales de Sobreseimiento. </w:t>
      </w:r>
    </w:p>
    <w:p w:rsidR="00EB0E47" w:rsidRPr="00AC0A86" w:rsidRDefault="006C05D1" w:rsidP="00EB0E47">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77696" behindDoc="1" locked="0" layoutInCell="1" allowOverlap="1" wp14:anchorId="2F278BDE" wp14:editId="1B2D879C">
            <wp:simplePos x="0" y="0"/>
            <wp:positionH relativeFrom="column">
              <wp:posOffset>650789</wp:posOffset>
            </wp:positionH>
            <wp:positionV relativeFrom="paragraph">
              <wp:posOffset>250310</wp:posOffset>
            </wp:positionV>
            <wp:extent cx="4480452" cy="3924300"/>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sidRPr="00AC0A86">
        <w:rPr>
          <w:rFonts w:ascii="Palatino Linotype" w:hAnsi="Palatino Linotype"/>
          <w:sz w:val="24"/>
          <w:szCs w:val="24"/>
        </w:rPr>
        <w:t xml:space="preserve">De igual forma este Instituto está obligado, en analizar si se conforma una causal de sobreseimiento de conformidad al artículo 192 de la </w:t>
      </w:r>
      <w:r w:rsidR="00EB0E47" w:rsidRPr="00AC0A86">
        <w:rPr>
          <w:rFonts w:ascii="Palatino Linotype" w:hAnsi="Palatino Linotype" w:cs="Arial"/>
          <w:sz w:val="24"/>
          <w:szCs w:val="24"/>
        </w:rPr>
        <w:t xml:space="preserve">Ley de Transparencia y Acceso a la Información Pública del Estado de México y Municipios, de este modo se confirma la no existencia de alguna motivación de sobreseimiento. </w:t>
      </w: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Además, de que el Medio de Impugnación fue presentado en tiempo, toda vez que ante la ausencia de la respuesta del Ente Recurrido, se constituyó la </w:t>
      </w:r>
      <w:r w:rsidRPr="00AC0A86">
        <w:rPr>
          <w:rFonts w:ascii="Palatino Linotype" w:hAnsi="Palatino Linotype" w:cs="Arial"/>
          <w:b/>
          <w:sz w:val="24"/>
          <w:szCs w:val="24"/>
        </w:rPr>
        <w:t xml:space="preserve">negativa ficta, </w:t>
      </w:r>
      <w:r w:rsidRPr="00AC0A86">
        <w:rPr>
          <w:rFonts w:ascii="Palatino Linotype" w:hAnsi="Palatino Linotype" w:cs="Arial"/>
          <w:sz w:val="24"/>
          <w:szCs w:val="24"/>
        </w:rPr>
        <w:t xml:space="preserve">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Municipios. </w:t>
      </w:r>
    </w:p>
    <w:p w:rsidR="00EB0E47" w:rsidRPr="00AC0A86"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 xml:space="preserve">Conforme a lo anterior, se actualiza la causal de procedencia señalada en el artículo 179 fracción VII de la Ley de Transparencia y Acceso a la Información Pública del Estado de México y Municipios, toda  vez que el Solicitante se inconformo por la falta de respuesta a sus solicitud respecto al Acceso a la Información Pública. </w:t>
      </w:r>
    </w:p>
    <w:p w:rsidR="00EB0E47" w:rsidRPr="003D272D" w:rsidRDefault="00EB0E47" w:rsidP="00EB0E47">
      <w:pPr>
        <w:pStyle w:val="Prrafodelista"/>
        <w:autoSpaceDE w:val="0"/>
        <w:autoSpaceDN w:val="0"/>
        <w:adjustRightInd w:val="0"/>
        <w:spacing w:line="360" w:lineRule="auto"/>
        <w:ind w:left="0"/>
        <w:jc w:val="both"/>
        <w:rPr>
          <w:rFonts w:ascii="Palatino Linotype" w:hAnsi="Palatino Linotype" w:cs="Arial"/>
          <w:sz w:val="24"/>
          <w:szCs w:val="24"/>
        </w:rPr>
      </w:pPr>
      <w:r w:rsidRPr="00AC0A86">
        <w:rPr>
          <w:rFonts w:ascii="Palatino Linotype" w:hAnsi="Palatino Linotype" w:cs="Arial"/>
          <w:sz w:val="24"/>
          <w:szCs w:val="24"/>
        </w:rPr>
        <w:t>En este tenor de ideas, se considera procedente incursionar al fondo del presente asunto.</w:t>
      </w:r>
    </w:p>
    <w:p w:rsidR="00EB0E47" w:rsidRDefault="00EB0E47" w:rsidP="00EB0E47">
      <w:pPr>
        <w:spacing w:after="0" w:line="360" w:lineRule="auto"/>
        <w:jc w:val="both"/>
        <w:rPr>
          <w:rFonts w:ascii="Palatino Linotype" w:hAnsi="Palatino Linotype" w:cs="Arial"/>
          <w:b/>
          <w:sz w:val="24"/>
          <w:szCs w:val="24"/>
        </w:rPr>
      </w:pPr>
    </w:p>
    <w:p w:rsidR="00EB0E47" w:rsidRDefault="00EB0E47" w:rsidP="00EB0E47">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C</w:t>
      </w:r>
      <w:r w:rsidRPr="00AC0A86">
        <w:rPr>
          <w:rFonts w:ascii="Palatino Linotype" w:hAnsi="Palatino Linotype" w:cs="Arial"/>
          <w:b/>
          <w:sz w:val="24"/>
          <w:szCs w:val="24"/>
        </w:rPr>
        <w:t>UARTO.</w:t>
      </w:r>
      <w:r w:rsidRPr="00AC0A86">
        <w:rPr>
          <w:rFonts w:ascii="Palatino Linotype" w:hAnsi="Palatino Linotype" w:cs="Arial"/>
          <w:sz w:val="24"/>
          <w:szCs w:val="24"/>
        </w:rPr>
        <w:t xml:space="preserve"> </w:t>
      </w:r>
      <w:r>
        <w:rPr>
          <w:rFonts w:ascii="Palatino Linotype" w:hAnsi="Palatino Linotype" w:cs="Arial"/>
          <w:b/>
          <w:sz w:val="24"/>
          <w:szCs w:val="24"/>
        </w:rPr>
        <w:t>Estudio y Resolución de la Controversia</w:t>
      </w:r>
      <w:r w:rsidRPr="00AC0A86">
        <w:rPr>
          <w:rFonts w:ascii="Palatino Linotype" w:hAnsi="Palatino Linotype" w:cs="Arial"/>
          <w:b/>
          <w:sz w:val="24"/>
          <w:szCs w:val="24"/>
        </w:rPr>
        <w:t>.</w:t>
      </w:r>
    </w:p>
    <w:p w:rsidR="00EB0E47" w:rsidRDefault="00EB0E47" w:rsidP="00EB0E47">
      <w:pPr>
        <w:spacing w:after="0" w:line="360" w:lineRule="auto"/>
        <w:jc w:val="both"/>
        <w:rPr>
          <w:rFonts w:ascii="Palatino Linotype" w:hAnsi="Palatino Linotype" w:cs="Arial"/>
          <w:sz w:val="24"/>
          <w:szCs w:val="24"/>
        </w:rPr>
      </w:pPr>
      <w:r>
        <w:rPr>
          <w:rFonts w:ascii="Palatino Linotype" w:hAnsi="Palatino Linotype" w:cs="Arial"/>
          <w:sz w:val="24"/>
          <w:szCs w:val="24"/>
        </w:rPr>
        <w:t>Expuestas las posturas de las partes, se procede al análisis del agravio hecho valer por el ahora Recurrente, concerniente a la falta de respuesta del Ayuntamiento de Tepetlaoxtoc, a la solicitud de información presentada por el recurrente.</w:t>
      </w:r>
    </w:p>
    <w:p w:rsidR="00EB0E47" w:rsidRDefault="006C05D1" w:rsidP="00EB0E47">
      <w:pPr>
        <w:pStyle w:val="Prrafodelista"/>
        <w:spacing w:line="360" w:lineRule="auto"/>
        <w:ind w:left="0" w:right="-93"/>
        <w:jc w:val="both"/>
        <w:rPr>
          <w:rFonts w:ascii="Palatino Linotype" w:hAnsi="Palatino Linotype"/>
          <w:color w:val="000000"/>
          <w:sz w:val="24"/>
          <w:szCs w:val="24"/>
        </w:rPr>
      </w:pPr>
      <w:r>
        <w:rPr>
          <w:rFonts w:ascii="Palatino Linotype" w:hAnsi="Palatino Linotype" w:cs="Arial"/>
          <w:b/>
          <w:noProof/>
          <w:sz w:val="24"/>
          <w:szCs w:val="24"/>
          <w:lang w:eastAsia="es-MX"/>
        </w:rPr>
        <w:drawing>
          <wp:anchor distT="0" distB="0" distL="114300" distR="114300" simplePos="0" relativeHeight="251679744" behindDoc="1" locked="0" layoutInCell="1" allowOverlap="1" wp14:anchorId="2F278BDE" wp14:editId="1B2D879C">
            <wp:simplePos x="0" y="0"/>
            <wp:positionH relativeFrom="column">
              <wp:posOffset>601362</wp:posOffset>
            </wp:positionH>
            <wp:positionV relativeFrom="paragraph">
              <wp:posOffset>382115</wp:posOffset>
            </wp:positionV>
            <wp:extent cx="4480452" cy="3924300"/>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Pr>
          <w:rFonts w:ascii="Palatino Linotype" w:hAnsi="Palatino Linotype" w:cs="Arial"/>
          <w:sz w:val="24"/>
          <w:szCs w:val="24"/>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los cuales mencionan:</w:t>
      </w:r>
    </w:p>
    <w:p w:rsidR="00EB0E47" w:rsidRPr="0016556A" w:rsidRDefault="00EB0E47" w:rsidP="00EB0E47">
      <w:pPr>
        <w:pStyle w:val="Prrafodelista"/>
        <w:numPr>
          <w:ilvl w:val="0"/>
          <w:numId w:val="2"/>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Proveer lo necesario para garantizar a toda persona el derecho de acceso a la información pública, a través de procedimientos sencillos, expeditos, oportunos y gratuitos;</w:t>
      </w:r>
    </w:p>
    <w:p w:rsidR="00EB0E47" w:rsidRPr="0016556A" w:rsidRDefault="00EB0E47" w:rsidP="00EB0E47">
      <w:pPr>
        <w:pStyle w:val="Prrafodelista"/>
        <w:numPr>
          <w:ilvl w:val="0"/>
          <w:numId w:val="2"/>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Transparentar la gestión pública, mediante la difusión de la información generada por los Sujetos Obligados, y;</w:t>
      </w:r>
    </w:p>
    <w:p w:rsidR="00EB0E47" w:rsidRPr="0016556A" w:rsidRDefault="00EB0E47" w:rsidP="00EB0E47">
      <w:pPr>
        <w:pStyle w:val="Prrafodelista"/>
        <w:numPr>
          <w:ilvl w:val="0"/>
          <w:numId w:val="2"/>
        </w:numPr>
        <w:spacing w:after="0" w:line="360" w:lineRule="auto"/>
        <w:jc w:val="both"/>
        <w:rPr>
          <w:rFonts w:ascii="Palatino Linotype" w:hAnsi="Palatino Linotype" w:cs="Arial"/>
          <w:sz w:val="24"/>
          <w:szCs w:val="24"/>
        </w:rPr>
      </w:pPr>
      <w:r w:rsidRPr="0016556A">
        <w:rPr>
          <w:rFonts w:ascii="Palatino Linotype" w:hAnsi="Palatino Linotype" w:cs="Arial"/>
          <w:sz w:val="24"/>
          <w:szCs w:val="24"/>
        </w:rPr>
        <w:t>Promover, fomentar y difundir la cultura de la transparencia en el ejercicio de la función pública, el acceso a la información y participación ciudadana, así como, la rendición de cuentas.</w:t>
      </w:r>
    </w:p>
    <w:p w:rsidR="00EB0E47" w:rsidRDefault="00EB0E47" w:rsidP="00EB0E47">
      <w:pPr>
        <w:spacing w:after="0" w:line="360" w:lineRule="auto"/>
        <w:jc w:val="both"/>
        <w:rPr>
          <w:rFonts w:ascii="Palatino Linotype" w:hAnsi="Palatino Linotype" w:cs="Arial"/>
          <w:sz w:val="24"/>
          <w:szCs w:val="24"/>
        </w:rPr>
      </w:pPr>
      <w:r>
        <w:rPr>
          <w:rFonts w:ascii="Palatino Linotype" w:hAnsi="Palatino Linotype" w:cs="Arial"/>
          <w:sz w:val="24"/>
          <w:szCs w:val="24"/>
        </w:rPr>
        <w:t>Conforme a lo anterior, se desprende de los objetivos de la Ley de la materia, son establecer las bases que regirán las formas para garantizar el derecho de acceso a la información, mediante procesos sencillos y expeditos, la promoción, fomentación y difusión de la cultura de transparencia y rendición de cuentas, mediante el establecimiento de políticas públicas y mecanismos que garanticen la publicidad de información oportuna, verificable, comprensible, actualizada y completa.</w:t>
      </w:r>
    </w:p>
    <w:p w:rsidR="00EB0E47" w:rsidRDefault="006C05D1" w:rsidP="00EB0E47">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w:lastRenderedPageBreak/>
        <w:drawing>
          <wp:anchor distT="0" distB="0" distL="114300" distR="114300" simplePos="0" relativeHeight="251681792" behindDoc="1" locked="0" layoutInCell="1" allowOverlap="1" wp14:anchorId="2F278BDE" wp14:editId="1B2D879C">
            <wp:simplePos x="0" y="0"/>
            <wp:positionH relativeFrom="column">
              <wp:posOffset>650240</wp:posOffset>
            </wp:positionH>
            <wp:positionV relativeFrom="paragraph">
              <wp:posOffset>1224932</wp:posOffset>
            </wp:positionV>
            <wp:extent cx="4480452" cy="3924300"/>
            <wp:effectExtent l="0" t="0" r="0"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Pr>
          <w:rFonts w:ascii="Palatino Linotype" w:hAnsi="Palatino Linotype" w:cs="Arial"/>
          <w:sz w:val="24"/>
          <w:szCs w:val="24"/>
        </w:rPr>
        <w:t>En ese orden de ideas, para la atención de las solicitudes de acceso a la información, debe privilegiarse el principio de máxima publicidad, el cual dispone de toda la información en posesión de los sujetos obligados será pública, completa, oportuna y accesible, sujeta a un claro régimen de excepciones que deberán estar definidas a ser legítimas y estrictamente necesarias en una sociedad democrática.</w:t>
      </w:r>
    </w:p>
    <w:p w:rsidR="00EB0E47" w:rsidRDefault="00EB0E47" w:rsidP="00EB0E47">
      <w:pPr>
        <w:spacing w:after="0" w:line="360" w:lineRule="auto"/>
        <w:jc w:val="both"/>
        <w:rPr>
          <w:rFonts w:ascii="Palatino Linotype" w:hAnsi="Palatino Linotype" w:cs="Arial"/>
          <w:sz w:val="24"/>
          <w:szCs w:val="24"/>
        </w:rPr>
      </w:pPr>
      <w:r>
        <w:rPr>
          <w:rFonts w:ascii="Palatino Linotype" w:hAnsi="Palatino Linotype" w:cs="Arial"/>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w:t>
      </w:r>
    </w:p>
    <w:p w:rsidR="00EB0E47" w:rsidRDefault="00EB0E47" w:rsidP="00EB0E47">
      <w:pPr>
        <w:spacing w:after="0" w:line="360" w:lineRule="auto"/>
        <w:jc w:val="both"/>
        <w:rPr>
          <w:rFonts w:ascii="Palatino Linotype" w:hAnsi="Palatino Linotype" w:cs="Arial"/>
          <w:sz w:val="24"/>
          <w:szCs w:val="24"/>
        </w:rPr>
      </w:pPr>
    </w:p>
    <w:p w:rsidR="00EB0E47" w:rsidRPr="000D5534" w:rsidRDefault="00EB0E47" w:rsidP="00EB0E47">
      <w:pPr>
        <w:pStyle w:val="Prrafodelista"/>
        <w:numPr>
          <w:ilvl w:val="0"/>
          <w:numId w:val="3"/>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a la información.</w:t>
      </w:r>
    </w:p>
    <w:p w:rsidR="00EB0E47" w:rsidRPr="000D5534" w:rsidRDefault="00EB0E47" w:rsidP="00EB0E47">
      <w:pPr>
        <w:pStyle w:val="Prrafodelista"/>
        <w:numPr>
          <w:ilvl w:val="0"/>
          <w:numId w:val="3"/>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 xml:space="preserve">Los Sujetos Obligados podrán requerirle a los solicitantes, que completen, corrijan o amplíen su solicitud de información, cuando resulten los datos proporcionados insuficientes, incorrectos, incorrectos, incompletos o erróneos; solicitar dicha aclaración, interrumpirá el pazo para dar respuesta y comenzará a computarse al día siguiente al desahogo de esta. </w:t>
      </w:r>
    </w:p>
    <w:p w:rsidR="00EB0E47" w:rsidRPr="000D5534" w:rsidRDefault="00EB0E47" w:rsidP="00EB0E47">
      <w:pPr>
        <w:pStyle w:val="Prrafodelista"/>
        <w:numPr>
          <w:ilvl w:val="0"/>
          <w:numId w:val="3"/>
        </w:numPr>
        <w:spacing w:after="0" w:line="360" w:lineRule="auto"/>
        <w:jc w:val="both"/>
        <w:rPr>
          <w:rFonts w:ascii="Palatino Linotype" w:hAnsi="Palatino Linotype" w:cs="Arial"/>
          <w:sz w:val="24"/>
          <w:szCs w:val="24"/>
        </w:rPr>
      </w:pPr>
      <w:r>
        <w:rPr>
          <w:rFonts w:ascii="Palatino Linotype" w:hAnsi="Palatino Linotype" w:cs="Arial"/>
          <w:sz w:val="24"/>
          <w:szCs w:val="24"/>
        </w:rPr>
        <w:t>L</w:t>
      </w:r>
      <w:r w:rsidRPr="000D5534">
        <w:rPr>
          <w:rFonts w:ascii="Palatino Linotype" w:hAnsi="Palatino Linotype" w:cs="Arial"/>
          <w:sz w:val="24"/>
          <w:szCs w:val="24"/>
        </w:rPr>
        <w:t xml:space="preserve">as respuestas a los requerimientos de información deberán notificarse al interesado en el menor tiempo posible, que no podrá exceder quince días contados a partir del día siguiente a la presentación de ésta. Excepcionalmente, el plazo referido podrá ampliarse por siete días hábiles </w:t>
      </w:r>
      <w:r w:rsidRPr="000D5534">
        <w:rPr>
          <w:rFonts w:ascii="Palatino Linotype" w:hAnsi="Palatino Linotype" w:cs="Arial"/>
          <w:sz w:val="24"/>
          <w:szCs w:val="24"/>
        </w:rPr>
        <w:lastRenderedPageBreak/>
        <w:t xml:space="preserve">más cuando existan razones fundadas y motivadas, a través del Comité de Transparencia. </w:t>
      </w:r>
    </w:p>
    <w:p w:rsidR="00EB0E47" w:rsidRPr="00894CD4" w:rsidRDefault="006C05D1" w:rsidP="00EB0E47">
      <w:pPr>
        <w:pStyle w:val="Prrafodelista"/>
        <w:numPr>
          <w:ilvl w:val="0"/>
          <w:numId w:val="3"/>
        </w:num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83840" behindDoc="1" locked="0" layoutInCell="1" allowOverlap="1" wp14:anchorId="2F278BDE" wp14:editId="1B2D879C">
            <wp:simplePos x="0" y="0"/>
            <wp:positionH relativeFrom="column">
              <wp:posOffset>576649</wp:posOffset>
            </wp:positionH>
            <wp:positionV relativeFrom="paragraph">
              <wp:posOffset>377053</wp:posOffset>
            </wp:positionV>
            <wp:extent cx="4480452" cy="3924300"/>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0E47" w:rsidRPr="000D5534">
        <w:rPr>
          <w:rFonts w:ascii="Palatino Linotype" w:hAnsi="Palatino Linotype" w:cs="Arial"/>
          <w:sz w:val="24"/>
          <w:szCs w:val="24"/>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documentales que se obren en sus archivos o que estén constreñidos a elaborar;</w:t>
      </w:r>
    </w:p>
    <w:p w:rsidR="00EB0E47" w:rsidRDefault="00EB0E47" w:rsidP="00EB0E47">
      <w:pPr>
        <w:pStyle w:val="Prrafodelista"/>
        <w:numPr>
          <w:ilvl w:val="0"/>
          <w:numId w:val="3"/>
        </w:numPr>
        <w:spacing w:after="0" w:line="360" w:lineRule="auto"/>
        <w:jc w:val="both"/>
        <w:rPr>
          <w:rFonts w:ascii="Palatino Linotype" w:hAnsi="Palatino Linotype" w:cs="Arial"/>
          <w:sz w:val="24"/>
          <w:szCs w:val="24"/>
        </w:rPr>
      </w:pPr>
      <w:r w:rsidRPr="000D5534">
        <w:rPr>
          <w:rFonts w:ascii="Palatino Linotype" w:hAnsi="Palatino Linotype" w:cs="Arial"/>
          <w:sz w:val="24"/>
          <w:szCs w:val="24"/>
        </w:rPr>
        <w:t>El acceso se dará en la modalidad de entrega y en su caso, de envío elegido por el solicitante, cuando no pueda entregare en dicha modalidad el Sujeto Obligado deberá ofrecer otras; por lo cual, tendrá que fundamentar y motivar la necesidad de modificar el medio de entrega.</w:t>
      </w:r>
    </w:p>
    <w:p w:rsidR="00EB0E47" w:rsidRDefault="00EB0E47" w:rsidP="00EB0E47">
      <w:pPr>
        <w:pStyle w:val="Prrafodelista"/>
        <w:spacing w:after="0" w:line="360" w:lineRule="auto"/>
        <w:jc w:val="both"/>
        <w:rPr>
          <w:rFonts w:ascii="Palatino Linotype" w:hAnsi="Palatino Linotype" w:cs="Arial"/>
          <w:sz w:val="24"/>
          <w:szCs w:val="24"/>
        </w:rPr>
      </w:pPr>
    </w:p>
    <w:p w:rsidR="00EB0E47" w:rsidRDefault="00EB0E47" w:rsidP="00EB0E47">
      <w:pPr>
        <w:pStyle w:val="Prrafodelista"/>
        <w:spacing w:after="0" w:line="360" w:lineRule="auto"/>
        <w:ind w:left="0" w:hanging="11"/>
        <w:jc w:val="both"/>
        <w:rPr>
          <w:rFonts w:ascii="Palatino Linotype" w:hAnsi="Palatino Linotype" w:cs="Arial"/>
          <w:sz w:val="24"/>
          <w:szCs w:val="24"/>
        </w:rPr>
      </w:pPr>
      <w:r w:rsidRPr="00EB0E47">
        <w:rPr>
          <w:rFonts w:ascii="Palatino Linotype" w:hAnsi="Palatino Linotype" w:cs="Arial"/>
          <w:sz w:val="24"/>
          <w:szCs w:val="24"/>
        </w:rPr>
        <w:t xml:space="preserve">Una vez establecido lo anterior, es de indicar que el agravio del Particular consistió en que, a la fecha de interposición del Recurso de Revisión el Ayuntamiento de </w:t>
      </w:r>
      <w:r w:rsidR="00BA665A">
        <w:rPr>
          <w:rFonts w:ascii="Palatino Linotype" w:hAnsi="Palatino Linotype" w:cs="Arial"/>
          <w:sz w:val="24"/>
          <w:szCs w:val="24"/>
        </w:rPr>
        <w:t>Tepetlaoxtoc</w:t>
      </w:r>
      <w:r w:rsidRPr="00EB0E47">
        <w:rPr>
          <w:rFonts w:ascii="Palatino Linotype" w:hAnsi="Palatino Linotype" w:cs="Arial"/>
          <w:sz w:val="24"/>
          <w:szCs w:val="24"/>
        </w:rPr>
        <w:t xml:space="preserve">, no había registrado respuesta al requerimiento de acceso a la información, el cual se presentó el </w:t>
      </w:r>
      <w:r w:rsidR="00BA665A">
        <w:rPr>
          <w:rFonts w:ascii="Palatino Linotype" w:hAnsi="Palatino Linotype" w:cs="Arial"/>
          <w:sz w:val="24"/>
          <w:szCs w:val="24"/>
        </w:rPr>
        <w:t>cuatro de octu</w:t>
      </w:r>
      <w:r w:rsidRPr="00EB0E47">
        <w:rPr>
          <w:rFonts w:ascii="Palatino Linotype" w:hAnsi="Palatino Linotype" w:cs="Arial"/>
          <w:sz w:val="24"/>
          <w:szCs w:val="24"/>
        </w:rPr>
        <w:t xml:space="preserve">bre de dos mil veintiuno. </w:t>
      </w:r>
    </w:p>
    <w:p w:rsidR="008772E7" w:rsidRDefault="00EB0E47" w:rsidP="00EB0E47">
      <w:pPr>
        <w:pStyle w:val="Prrafodelista"/>
        <w:spacing w:after="0" w:line="360" w:lineRule="auto"/>
        <w:ind w:left="0" w:hanging="11"/>
        <w:jc w:val="both"/>
        <w:rPr>
          <w:rFonts w:ascii="Palatino Linotype" w:hAnsi="Palatino Linotype" w:cs="Arial"/>
          <w:sz w:val="24"/>
          <w:szCs w:val="24"/>
        </w:rPr>
      </w:pPr>
      <w:r w:rsidRPr="00EB0E47">
        <w:rPr>
          <w:rFonts w:ascii="Palatino Linotype" w:hAnsi="Palatino Linotype" w:cs="Arial"/>
          <w:sz w:val="24"/>
          <w:szCs w:val="24"/>
        </w:rPr>
        <w:t xml:space="preserve">En ese orden de ideas, el plazo con el que el Sujeto Obligado contaba para emitir contestación al requerimiento informativo comenzó a correr el </w:t>
      </w:r>
      <w:r w:rsidR="00BA665A">
        <w:rPr>
          <w:rFonts w:ascii="Palatino Linotype" w:hAnsi="Palatino Linotype" w:cs="Arial"/>
          <w:sz w:val="24"/>
          <w:szCs w:val="24"/>
        </w:rPr>
        <w:t>cinco</w:t>
      </w:r>
      <w:r w:rsidRPr="00EB0E47">
        <w:rPr>
          <w:rFonts w:ascii="Palatino Linotype" w:hAnsi="Palatino Linotype" w:cs="Arial"/>
          <w:sz w:val="24"/>
          <w:szCs w:val="24"/>
        </w:rPr>
        <w:t xml:space="preserve"> de</w:t>
      </w:r>
      <w:r w:rsidR="00BA665A">
        <w:rPr>
          <w:rFonts w:ascii="Palatino Linotype" w:hAnsi="Palatino Linotype" w:cs="Arial"/>
          <w:sz w:val="24"/>
          <w:szCs w:val="24"/>
        </w:rPr>
        <w:t xml:space="preserve"> octubre feneciendo el catorce de octubre de conformidad con los artículos 3° fracción X y 159 de la Ley de Transparencia y Acceso a la Información Pública del Estado de México y Municipios, así como de los días laborales de este Instituto, para el año dos mil veintiuno y enero dos mil veintidós.</w:t>
      </w:r>
    </w:p>
    <w:p w:rsidR="00BA665A" w:rsidRDefault="00BA665A" w:rsidP="00EB0E47">
      <w:pPr>
        <w:pStyle w:val="Prrafodelista"/>
        <w:spacing w:after="0" w:line="360" w:lineRule="auto"/>
        <w:ind w:left="0" w:hanging="11"/>
        <w:jc w:val="both"/>
        <w:rPr>
          <w:rFonts w:ascii="Palatino Linotype" w:hAnsi="Palatino Linotype" w:cs="Arial"/>
          <w:sz w:val="24"/>
          <w:szCs w:val="24"/>
        </w:rPr>
      </w:pPr>
    </w:p>
    <w:p w:rsidR="00BA665A" w:rsidRDefault="00BA665A" w:rsidP="00EB0E47">
      <w:pPr>
        <w:pStyle w:val="Prrafodelista"/>
        <w:spacing w:after="0" w:line="360" w:lineRule="auto"/>
        <w:ind w:left="0" w:hanging="11"/>
        <w:jc w:val="both"/>
        <w:rPr>
          <w:rFonts w:ascii="Palatino Linotype" w:hAnsi="Palatino Linotype" w:cs="Arial"/>
          <w:sz w:val="24"/>
          <w:szCs w:val="24"/>
        </w:rPr>
      </w:pPr>
      <w:r>
        <w:rPr>
          <w:rFonts w:ascii="Palatino Linotype" w:hAnsi="Palatino Linotype" w:cs="Arial"/>
          <w:sz w:val="24"/>
          <w:szCs w:val="24"/>
        </w:rPr>
        <w:lastRenderedPageBreak/>
        <w:t>Así, este instituto verificó que en efecto, no se registró respuesta a la solicitud de información del ahora Recurrente, en el Sistema de Acceso a la Información Mexiquense (SAIMEX), tal como se observa a continuación:</w:t>
      </w:r>
    </w:p>
    <w:p w:rsidR="00BA665A" w:rsidRDefault="006C05D1" w:rsidP="00BA665A">
      <w:pPr>
        <w:pStyle w:val="Prrafodelista"/>
        <w:spacing w:after="0" w:line="360" w:lineRule="auto"/>
        <w:ind w:left="0" w:hanging="11"/>
        <w:jc w:val="center"/>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85888" behindDoc="1" locked="0" layoutInCell="1" allowOverlap="1" wp14:anchorId="2F278BDE" wp14:editId="1B2D879C">
            <wp:simplePos x="0" y="0"/>
            <wp:positionH relativeFrom="column">
              <wp:posOffset>774357</wp:posOffset>
            </wp:positionH>
            <wp:positionV relativeFrom="paragraph">
              <wp:posOffset>833069</wp:posOffset>
            </wp:positionV>
            <wp:extent cx="4480452" cy="3924300"/>
            <wp:effectExtent l="0" t="0" r="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BA665A">
        <w:rPr>
          <w:noProof/>
          <w:lang w:eastAsia="es-MX"/>
        </w:rPr>
        <w:drawing>
          <wp:inline distT="0" distB="0" distL="0" distR="0" wp14:anchorId="1E5FDFF1" wp14:editId="5FB2B75E">
            <wp:extent cx="5953125" cy="8046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1" t="31382" r="29566" b="60846"/>
                    <a:stretch/>
                  </pic:blipFill>
                  <pic:spPr bwMode="auto">
                    <a:xfrm>
                      <a:off x="0" y="0"/>
                      <a:ext cx="6070205" cy="820478"/>
                    </a:xfrm>
                    <a:prstGeom prst="rect">
                      <a:avLst/>
                    </a:prstGeom>
                    <a:ln>
                      <a:noFill/>
                    </a:ln>
                    <a:extLst>
                      <a:ext uri="{53640926-AAD7-44D8-BBD7-CCE9431645EC}">
                        <a14:shadowObscured xmlns:a14="http://schemas.microsoft.com/office/drawing/2010/main"/>
                      </a:ext>
                    </a:extLst>
                  </pic:spPr>
                </pic:pic>
              </a:graphicData>
            </a:graphic>
          </wp:inline>
        </w:drawing>
      </w:r>
    </w:p>
    <w:p w:rsidR="00EB5BA9" w:rsidRDefault="00EB5BA9" w:rsidP="00EB5BA9">
      <w:pPr>
        <w:spacing w:after="0" w:line="360" w:lineRule="auto"/>
        <w:jc w:val="both"/>
        <w:rPr>
          <w:rFonts w:ascii="Palatino Linotype" w:hAnsi="Palatino Linotype" w:cs="Arial"/>
          <w:sz w:val="24"/>
          <w:szCs w:val="24"/>
        </w:rPr>
      </w:pPr>
    </w:p>
    <w:p w:rsidR="00EB5BA9" w:rsidRDefault="00EB5BA9" w:rsidP="00EB5BA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se colige que, tal como lo precisó la Recurrente, el Ayuntamiento de </w:t>
      </w:r>
      <w:proofErr w:type="spellStart"/>
      <w:r>
        <w:rPr>
          <w:rFonts w:ascii="Palatino Linotype" w:hAnsi="Palatino Linotype" w:cs="Arial"/>
          <w:sz w:val="24"/>
          <w:szCs w:val="24"/>
        </w:rPr>
        <w:t>Tepetlaoxtoc</w:t>
      </w:r>
      <w:proofErr w:type="spellEnd"/>
      <w:r>
        <w:rPr>
          <w:rFonts w:ascii="Palatino Linotype" w:hAnsi="Palatino Linotype" w:cs="Arial"/>
          <w:sz w:val="24"/>
          <w:szCs w:val="24"/>
        </w:rPr>
        <w:t xml:space="preserve">, no emitió respuesta para dar contestación a la solicitud de acceso a la información pública, dentro de los plazos establecidos en el artículo 163 de la Ley de Transparencia y Acceso a la Información Pública del Estado de México y Municipios toda vez que, tenía hasta el veinticuatro de septiembre de dos mil veintiuno, para realizar dicha situación, por lo que es evidente que el agravio es FUNDADO, inclusive a la fecha no ha emitido contestación alguna. </w:t>
      </w:r>
    </w:p>
    <w:p w:rsidR="00BA665A" w:rsidRDefault="00EB5BA9" w:rsidP="003C1BF2">
      <w:pPr>
        <w:pStyle w:val="Prrafodelista"/>
        <w:spacing w:after="0" w:line="360" w:lineRule="auto"/>
        <w:ind w:left="0" w:right="-93" w:hanging="11"/>
        <w:jc w:val="both"/>
        <w:rPr>
          <w:rFonts w:ascii="Palatino Linotype" w:hAnsi="Palatino Linotype" w:cs="Arial"/>
          <w:sz w:val="24"/>
          <w:szCs w:val="24"/>
        </w:rPr>
      </w:pPr>
      <w:r>
        <w:rPr>
          <w:rFonts w:ascii="Palatino Linotype" w:hAnsi="Palatino Linotype" w:cs="Arial"/>
          <w:sz w:val="24"/>
          <w:szCs w:val="24"/>
        </w:rPr>
        <w:t>Con base en lo expuesto, es procedente ORDENAR al Sujeto Obligado, que emita respuesta que a derecho corresponda al requerimiento de información; no obstante, para tal circunstancia es necesario analizar si cuenta con competencia para conocer lo peticionado.</w:t>
      </w:r>
    </w:p>
    <w:p w:rsidR="00EB5BA9" w:rsidRPr="00975145" w:rsidRDefault="00EB5BA9" w:rsidP="003C1BF2">
      <w:pPr>
        <w:shd w:val="clear" w:color="auto" w:fill="FFFFFF"/>
        <w:spacing w:before="240" w:after="240" w:line="360" w:lineRule="auto"/>
        <w:ind w:right="-93" w:hanging="142"/>
        <w:jc w:val="both"/>
        <w:rPr>
          <w:rFonts w:ascii="Palatino Linotype" w:eastAsia="Times New Roman" w:hAnsi="Palatino Linotype" w:cs="Calibri"/>
          <w:i/>
          <w:iCs/>
          <w:color w:val="222222"/>
          <w:lang w:eastAsia="es-MX"/>
        </w:rPr>
      </w:pPr>
      <w:r>
        <w:rPr>
          <w:rFonts w:ascii="Palatino Linotype" w:eastAsia="Times New Roman" w:hAnsi="Palatino Linotype" w:cs="Calibri"/>
          <w:color w:val="222222"/>
          <w:sz w:val="24"/>
          <w:szCs w:val="24"/>
          <w:lang w:eastAsia="es-MX"/>
        </w:rPr>
        <w:t xml:space="preserve">  </w:t>
      </w:r>
      <w:r w:rsidRPr="00975145">
        <w:rPr>
          <w:rFonts w:ascii="Palatino Linotype" w:eastAsia="Times New Roman" w:hAnsi="Palatino Linotype" w:cs="Calibri"/>
          <w:color w:val="222222"/>
          <w:sz w:val="24"/>
          <w:szCs w:val="24"/>
          <w:lang w:eastAsia="es-MX"/>
        </w:rPr>
        <w:t>De tal manera que la Litis que ocupa a este recurso, se circunscribe a determinar si la información proporcionada en respuesta es suficiente para satisfacer la solicitud del particular y si la misma fue emitida en términos de la Ley de la materia además de determinar si la información solicitada es generada, administrada por el Sujeto Obligado, conjuntamente de tratarse de información pública. </w:t>
      </w:r>
    </w:p>
    <w:p w:rsidR="00EB5BA9" w:rsidRDefault="006C05D1" w:rsidP="003C1BF2">
      <w:pPr>
        <w:spacing w:line="360" w:lineRule="auto"/>
        <w:ind w:right="-93"/>
        <w:jc w:val="both"/>
        <w:rPr>
          <w:rFonts w:ascii="Palatino Linotype" w:hAnsi="Palatino Linotype"/>
          <w:color w:val="000000"/>
          <w:sz w:val="24"/>
          <w:lang w:val="es-ES_tradnl"/>
        </w:rPr>
      </w:pPr>
      <w:r>
        <w:rPr>
          <w:rFonts w:ascii="Palatino Linotype" w:hAnsi="Palatino Linotype" w:cs="Arial"/>
          <w:b/>
          <w:noProof/>
          <w:sz w:val="24"/>
          <w:szCs w:val="24"/>
          <w:lang w:eastAsia="es-MX"/>
        </w:rPr>
        <w:lastRenderedPageBreak/>
        <w:drawing>
          <wp:anchor distT="0" distB="0" distL="114300" distR="114300" simplePos="0" relativeHeight="251687936" behindDoc="1" locked="0" layoutInCell="1" allowOverlap="1" wp14:anchorId="2F278BDE" wp14:editId="1B2D879C">
            <wp:simplePos x="0" y="0"/>
            <wp:positionH relativeFrom="column">
              <wp:posOffset>741405</wp:posOffset>
            </wp:positionH>
            <wp:positionV relativeFrom="paragraph">
              <wp:posOffset>1514132</wp:posOffset>
            </wp:positionV>
            <wp:extent cx="4480452" cy="39243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EB5BA9">
        <w:rPr>
          <w:rFonts w:ascii="Palatino Linotype" w:hAnsi="Palatino Linotype"/>
          <w:color w:val="000000"/>
          <w:sz w:val="24"/>
          <w:lang w:val="es-ES_tradnl"/>
        </w:rPr>
        <w:t>Conforme a lo anterior, se desprende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EB5BA9" w:rsidRDefault="00EB5BA9" w:rsidP="003C1BF2">
      <w:pPr>
        <w:spacing w:line="360" w:lineRule="auto"/>
        <w:ind w:right="-93"/>
        <w:jc w:val="both"/>
        <w:rPr>
          <w:rFonts w:ascii="Palatino Linotype" w:hAnsi="Palatino Linotype"/>
          <w:color w:val="000000"/>
          <w:sz w:val="24"/>
          <w:lang w:val="es-ES_tradnl"/>
        </w:rPr>
      </w:pPr>
      <w:r>
        <w:rPr>
          <w:rFonts w:ascii="Palatino Linotype" w:hAnsi="Palatino Linotype"/>
          <w:color w:val="000000"/>
          <w:sz w:val="24"/>
          <w:lang w:val="es-ES_tradnl"/>
        </w:rPr>
        <w:t xml:space="preserve">En ese orden de ideas, para la atención de solicitudes de acceso a la información, debe privilegiarse el principio de máxima publicidad el cual dispone que toda información en posesión de los sujetos obligados será pública, completa, oportuna y accesible, sujeta a un claro régimen de excepciones que deberán estar definidas y ser legitimadas y estrictamente necesarias en una sociedad democrática. </w:t>
      </w:r>
    </w:p>
    <w:p w:rsidR="00EB5BA9" w:rsidRDefault="00EB5BA9" w:rsidP="003C1BF2">
      <w:pPr>
        <w:pStyle w:val="Prrafodelista"/>
        <w:spacing w:after="0" w:line="360" w:lineRule="auto"/>
        <w:ind w:left="0" w:right="-93" w:hanging="11"/>
        <w:jc w:val="both"/>
        <w:rPr>
          <w:rFonts w:ascii="Palatino Linotype" w:hAnsi="Palatino Linotype" w:cs="Arial"/>
          <w:sz w:val="24"/>
          <w:szCs w:val="24"/>
          <w:lang w:val="es-ES"/>
        </w:rPr>
      </w:pPr>
      <w:r w:rsidRPr="00AD67C3">
        <w:rPr>
          <w:rFonts w:ascii="Palatino Linotype" w:hAnsi="Palatino Linotype" w:cs="Arial"/>
          <w:sz w:val="24"/>
          <w:szCs w:val="24"/>
          <w:lang w:val="es-ES"/>
        </w:rPr>
        <w:t xml:space="preserve">Por lo que respecta a la información solicitada, </w:t>
      </w:r>
      <w:r>
        <w:rPr>
          <w:rFonts w:ascii="Palatino Linotype" w:hAnsi="Palatino Linotype" w:cs="Arial"/>
          <w:sz w:val="24"/>
          <w:szCs w:val="24"/>
          <w:lang w:val="es-ES"/>
        </w:rPr>
        <w:t xml:space="preserve">se tiene que hacer referencia en las obligaciones y atribuciones de los Ayuntamientos, </w:t>
      </w:r>
      <w:r w:rsidRPr="00AD67C3">
        <w:rPr>
          <w:rFonts w:ascii="Palatino Linotype" w:hAnsi="Palatino Linotype" w:cs="Arial"/>
          <w:sz w:val="24"/>
          <w:szCs w:val="24"/>
          <w:lang w:val="es-ES"/>
        </w:rPr>
        <w:t xml:space="preserve">la </w:t>
      </w:r>
      <w:r>
        <w:rPr>
          <w:rFonts w:ascii="Palatino Linotype" w:hAnsi="Palatino Linotype" w:cs="Arial"/>
          <w:sz w:val="24"/>
          <w:szCs w:val="24"/>
          <w:lang w:val="es-ES"/>
        </w:rPr>
        <w:t>Constitución Política de los Estados Unidos mexicanos</w:t>
      </w:r>
      <w:r w:rsidRPr="00AD67C3">
        <w:rPr>
          <w:rFonts w:ascii="Palatino Linotype" w:hAnsi="Palatino Linotype" w:cs="Arial"/>
          <w:sz w:val="24"/>
          <w:szCs w:val="24"/>
          <w:lang w:val="es-ES"/>
        </w:rPr>
        <w:t>, establece lo siguiente:</w:t>
      </w:r>
    </w:p>
    <w:p w:rsidR="003C1BF2" w:rsidRDefault="003C1BF2" w:rsidP="000553E5">
      <w:pPr>
        <w:ind w:left="851" w:right="900"/>
        <w:rPr>
          <w:rFonts w:ascii="Palatino Linotype" w:hAnsi="Palatino Linotype" w:cs="Arial"/>
          <w:i/>
          <w:sz w:val="24"/>
          <w:szCs w:val="24"/>
          <w:lang w:val="es-ES"/>
        </w:rPr>
      </w:pPr>
    </w:p>
    <w:p w:rsidR="000553E5" w:rsidRPr="00C41759" w:rsidRDefault="000553E5" w:rsidP="000553E5">
      <w:pPr>
        <w:ind w:left="851" w:right="900"/>
        <w:rPr>
          <w:rFonts w:ascii="Palatino Linotype" w:hAnsi="Palatino Linotype" w:cs="Arial"/>
          <w:i/>
          <w:sz w:val="24"/>
          <w:szCs w:val="24"/>
          <w:lang w:val="es-ES"/>
        </w:rPr>
      </w:pPr>
      <w:r w:rsidRPr="00C41759">
        <w:rPr>
          <w:rFonts w:ascii="Palatino Linotype" w:hAnsi="Palatino Linotype" w:cs="Arial"/>
          <w:i/>
          <w:sz w:val="24"/>
          <w:szCs w:val="24"/>
          <w:lang w:val="es-ES"/>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0553E5" w:rsidRPr="00A22ABA" w:rsidRDefault="000553E5" w:rsidP="000553E5">
      <w:pPr>
        <w:ind w:left="851"/>
        <w:rPr>
          <w:rFonts w:ascii="Palatino Linotype" w:hAnsi="Palatino Linotype" w:cs="Arial"/>
          <w:i/>
          <w:sz w:val="24"/>
          <w:szCs w:val="24"/>
          <w:lang w:val="es-ES"/>
        </w:rPr>
      </w:pPr>
      <w:r w:rsidRPr="00A22ABA">
        <w:rPr>
          <w:rFonts w:ascii="Palatino Linotype" w:hAnsi="Palatino Linotype" w:cs="Arial"/>
          <w:i/>
          <w:sz w:val="24"/>
          <w:szCs w:val="24"/>
          <w:lang w:val="es-ES"/>
        </w:rPr>
        <w:t>…</w:t>
      </w:r>
    </w:p>
    <w:p w:rsidR="000553E5" w:rsidRPr="00A22ABA" w:rsidRDefault="000553E5" w:rsidP="000553E5">
      <w:pPr>
        <w:pStyle w:val="Prrafodelista"/>
        <w:spacing w:after="0" w:line="360" w:lineRule="auto"/>
        <w:ind w:left="851" w:right="900"/>
        <w:jc w:val="both"/>
        <w:rPr>
          <w:rFonts w:ascii="Palatino Linotype" w:hAnsi="Palatino Linotype"/>
          <w:i/>
          <w:sz w:val="24"/>
          <w:szCs w:val="24"/>
        </w:rPr>
      </w:pPr>
      <w:r w:rsidRPr="00A22ABA">
        <w:rPr>
          <w:rFonts w:ascii="Palatino Linotype" w:hAnsi="Palatino Linotype"/>
          <w:i/>
          <w:sz w:val="24"/>
          <w:szCs w:val="24"/>
        </w:rPr>
        <w:t>II. Los municipios estarán investidos de personalidad jurídica y manejarán su patrimonio conforme a la ley.</w:t>
      </w:r>
    </w:p>
    <w:p w:rsidR="0027356C" w:rsidRPr="00A22ABA" w:rsidRDefault="0027356C" w:rsidP="000553E5">
      <w:pPr>
        <w:pStyle w:val="Prrafodelista"/>
        <w:spacing w:after="0" w:line="360" w:lineRule="auto"/>
        <w:ind w:left="851" w:right="900"/>
        <w:jc w:val="both"/>
        <w:rPr>
          <w:rFonts w:ascii="Palatino Linotype" w:hAnsi="Palatino Linotype" w:cs="Arial"/>
          <w:i/>
          <w:sz w:val="24"/>
          <w:szCs w:val="24"/>
        </w:rPr>
        <w:sectPr w:rsidR="0027356C" w:rsidRPr="00A22ABA" w:rsidSect="00CE3C1E">
          <w:type w:val="continuous"/>
          <w:pgSz w:w="12240" w:h="15840"/>
          <w:pgMar w:top="1417" w:right="1701" w:bottom="1417" w:left="1701" w:header="708" w:footer="708" w:gutter="0"/>
          <w:cols w:space="708"/>
          <w:docGrid w:linePitch="360"/>
        </w:sectPr>
      </w:pPr>
      <w:r w:rsidRPr="00A22ABA">
        <w:rPr>
          <w:rFonts w:ascii="Palatino Linotype" w:hAnsi="Palatino Linotype" w:cs="Arial"/>
          <w:i/>
          <w:sz w:val="24"/>
          <w:szCs w:val="24"/>
        </w:rPr>
        <w:t>LEY ORGÁNICA MUNICIPAL DEL ESTADO DE MÉXICO</w:t>
      </w:r>
    </w:p>
    <w:p w:rsidR="0027356C" w:rsidRPr="00A22ABA" w:rsidRDefault="0027356C" w:rsidP="0027356C">
      <w:pPr>
        <w:pStyle w:val="Prrafodelista"/>
        <w:spacing w:after="0" w:line="360" w:lineRule="auto"/>
        <w:ind w:left="851" w:right="900"/>
        <w:jc w:val="both"/>
        <w:rPr>
          <w:rFonts w:ascii="Palatino Linotype" w:hAnsi="Palatino Linotype"/>
          <w:sz w:val="24"/>
          <w:szCs w:val="24"/>
        </w:rPr>
        <w:sectPr w:rsidR="0027356C" w:rsidRPr="00A22ABA" w:rsidSect="0027356C">
          <w:type w:val="continuous"/>
          <w:pgSz w:w="12240" w:h="15840"/>
          <w:pgMar w:top="1417" w:right="1701" w:bottom="1417" w:left="1701" w:header="708" w:footer="708" w:gutter="0"/>
          <w:cols w:space="708"/>
          <w:docGrid w:linePitch="360"/>
        </w:sectPr>
      </w:pPr>
      <w:r w:rsidRPr="00A22ABA">
        <w:rPr>
          <w:rFonts w:ascii="Palatino Linotype" w:hAnsi="Palatino Linotype"/>
          <w:sz w:val="24"/>
          <w:szCs w:val="24"/>
        </w:rPr>
        <w:lastRenderedPageBreak/>
        <w:t>Artículo 6.- Los municipios del Estado son 125, con la denominación y cabeceras municipales que a continuación se especifican:</w:t>
      </w:r>
    </w:p>
    <w:p w:rsidR="0027356C" w:rsidRPr="00A22ABA" w:rsidRDefault="006C05D1" w:rsidP="0027356C">
      <w:pPr>
        <w:pStyle w:val="Prrafodelista"/>
        <w:spacing w:after="0" w:line="360" w:lineRule="auto"/>
        <w:ind w:left="851" w:right="900"/>
        <w:jc w:val="both"/>
        <w:rPr>
          <w:rFonts w:ascii="Palatino Linotype" w:hAnsi="Palatino Linotype" w:cs="Arial"/>
          <w:i/>
          <w:sz w:val="24"/>
          <w:szCs w:val="24"/>
        </w:rPr>
        <w:sectPr w:rsidR="0027356C" w:rsidRPr="00A22ABA" w:rsidSect="0027356C">
          <w:type w:val="continuous"/>
          <w:pgSz w:w="12240" w:h="15840"/>
          <w:pgMar w:top="1417" w:right="1701" w:bottom="1417" w:left="1701" w:header="708" w:footer="708" w:gutter="0"/>
          <w:cols w:space="708"/>
          <w:docGrid w:linePitch="360"/>
        </w:sectPr>
      </w:pPr>
      <w:r>
        <w:rPr>
          <w:rFonts w:ascii="Palatino Linotype" w:hAnsi="Palatino Linotype" w:cs="Arial"/>
          <w:b/>
          <w:noProof/>
          <w:sz w:val="24"/>
          <w:szCs w:val="24"/>
          <w:lang w:eastAsia="es-MX"/>
        </w:rPr>
        <w:drawing>
          <wp:anchor distT="0" distB="0" distL="114300" distR="114300" simplePos="0" relativeHeight="251689984" behindDoc="1" locked="0" layoutInCell="1" allowOverlap="1" wp14:anchorId="2F278BDE" wp14:editId="1B2D879C">
            <wp:simplePos x="0" y="0"/>
            <wp:positionH relativeFrom="column">
              <wp:posOffset>650789</wp:posOffset>
            </wp:positionH>
            <wp:positionV relativeFrom="paragraph">
              <wp:posOffset>282643</wp:posOffset>
            </wp:positionV>
            <wp:extent cx="4480452" cy="3924300"/>
            <wp:effectExtent l="0" t="0" r="0"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27356C" w:rsidRPr="00A22ABA">
        <w:rPr>
          <w:rFonts w:ascii="Palatino Linotype" w:hAnsi="Palatino Linotype" w:cs="Arial"/>
          <w:i/>
          <w:sz w:val="24"/>
          <w:szCs w:val="24"/>
        </w:rPr>
        <w:t>(…)</w:t>
      </w:r>
    </w:p>
    <w:p w:rsidR="00A22ABA" w:rsidRPr="00F30EE8" w:rsidRDefault="0027356C" w:rsidP="0027356C">
      <w:pPr>
        <w:pStyle w:val="Prrafodelista"/>
        <w:spacing w:after="0" w:line="360" w:lineRule="auto"/>
        <w:ind w:left="851" w:right="900"/>
        <w:jc w:val="both"/>
        <w:rPr>
          <w:rFonts w:ascii="Palatino Linotype" w:hAnsi="Palatino Linotype"/>
          <w:i/>
          <w:sz w:val="24"/>
          <w:szCs w:val="24"/>
        </w:rPr>
        <w:sectPr w:rsidR="00A22ABA"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TEPETLAOXTOC</w:t>
      </w:r>
    </w:p>
    <w:p w:rsidR="00A22ABA" w:rsidRPr="00F30EE8" w:rsidRDefault="00A22ABA" w:rsidP="0027356C">
      <w:pPr>
        <w:pStyle w:val="Prrafodelista"/>
        <w:spacing w:after="0" w:line="360" w:lineRule="auto"/>
        <w:ind w:left="851" w:right="900"/>
        <w:jc w:val="both"/>
        <w:rPr>
          <w:rFonts w:ascii="Palatino Linotype" w:hAnsi="Palatino Linotype" w:cs="Arial"/>
          <w:i/>
          <w:sz w:val="24"/>
          <w:szCs w:val="24"/>
        </w:rPr>
        <w:sectPr w:rsidR="00A22ABA"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cs="Arial"/>
          <w:i/>
          <w:sz w:val="24"/>
          <w:szCs w:val="24"/>
        </w:rPr>
        <w:t xml:space="preserve">BANDO DE GOBIERNO 2020 MUNICIPIO DE TEPETLAOXTOC APLICABLE A 2021. </w:t>
      </w:r>
    </w:p>
    <w:p w:rsidR="00A22ABA" w:rsidRPr="00F30EE8" w:rsidRDefault="00A22ABA" w:rsidP="0027356C">
      <w:pPr>
        <w:pStyle w:val="Prrafodelista"/>
        <w:spacing w:after="0" w:line="360" w:lineRule="auto"/>
        <w:ind w:left="851" w:right="900"/>
        <w:jc w:val="both"/>
        <w:rPr>
          <w:rFonts w:ascii="Palatino Linotype" w:hAnsi="Palatino Linotype"/>
          <w:i/>
          <w:sz w:val="24"/>
          <w:szCs w:val="24"/>
        </w:rPr>
        <w:sectPr w:rsidR="00A22ABA"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ARTÍCULO 48. Para el estudio, planeación y despacho de los asuntos en los diversos rubros de la administración pública municipal, auxiliarán al titular del Ejecutivo las siguientes dependencias:</w:t>
      </w:r>
    </w:p>
    <w:p w:rsidR="005922F3" w:rsidRPr="00F30EE8" w:rsidRDefault="00A22ABA" w:rsidP="0027356C">
      <w:pPr>
        <w:pStyle w:val="Prrafodelista"/>
        <w:spacing w:after="0" w:line="360" w:lineRule="auto"/>
        <w:ind w:left="851" w:right="900"/>
        <w:jc w:val="both"/>
        <w:rPr>
          <w:rFonts w:ascii="Palatino Linotype" w:hAnsi="Palatino Linotype" w:cs="Arial"/>
          <w:i/>
          <w:sz w:val="24"/>
          <w:szCs w:val="24"/>
        </w:rPr>
        <w:sectPr w:rsidR="005922F3"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cs="Arial"/>
          <w:i/>
          <w:sz w:val="24"/>
          <w:szCs w:val="24"/>
        </w:rPr>
        <w:t xml:space="preserve">(…) </w:t>
      </w:r>
    </w:p>
    <w:p w:rsidR="00F30EE8" w:rsidRPr="00F30EE8" w:rsidRDefault="005922F3" w:rsidP="0027356C">
      <w:pPr>
        <w:pStyle w:val="Prrafodelista"/>
        <w:spacing w:after="0" w:line="360" w:lineRule="auto"/>
        <w:ind w:left="851" w:right="900"/>
        <w:jc w:val="both"/>
        <w:rPr>
          <w:rFonts w:ascii="Palatino Linotype" w:hAnsi="Palatino Linotype"/>
          <w:i/>
          <w:sz w:val="24"/>
          <w:szCs w:val="24"/>
        </w:rPr>
        <w:sectPr w:rsidR="00F30EE8"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1. PRESIDENCIA MUNICIPAL</w:t>
      </w:r>
    </w:p>
    <w:p w:rsidR="005922F3" w:rsidRPr="00F30EE8" w:rsidRDefault="00F30EE8" w:rsidP="00F30EE8">
      <w:pPr>
        <w:pStyle w:val="Prrafodelista"/>
        <w:spacing w:after="0" w:line="360" w:lineRule="auto"/>
        <w:ind w:left="851" w:right="900"/>
        <w:jc w:val="both"/>
        <w:rPr>
          <w:rFonts w:ascii="Palatino Linotype" w:hAnsi="Palatino Linotype"/>
          <w:i/>
          <w:sz w:val="24"/>
          <w:szCs w:val="24"/>
        </w:rPr>
        <w:sectPr w:rsidR="005922F3"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1.3.Consejería Jurídica</w:t>
      </w:r>
    </w:p>
    <w:p w:rsidR="005922F3" w:rsidRPr="00F30EE8" w:rsidRDefault="005922F3" w:rsidP="0027356C">
      <w:pPr>
        <w:pStyle w:val="Prrafodelista"/>
        <w:spacing w:after="0" w:line="360" w:lineRule="auto"/>
        <w:ind w:left="851" w:right="900"/>
        <w:jc w:val="both"/>
        <w:rPr>
          <w:rFonts w:ascii="Palatino Linotype" w:hAnsi="Palatino Linotype"/>
          <w:i/>
          <w:sz w:val="24"/>
          <w:szCs w:val="24"/>
        </w:rPr>
        <w:sectPr w:rsidR="005922F3"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2. SECRETARÍA DEL H. AYUNTAMIENTO</w:t>
      </w:r>
    </w:p>
    <w:p w:rsidR="00F30EE8" w:rsidRPr="00F30EE8" w:rsidRDefault="005922F3" w:rsidP="0027356C">
      <w:pPr>
        <w:pStyle w:val="Prrafodelista"/>
        <w:spacing w:after="0" w:line="360" w:lineRule="auto"/>
        <w:ind w:left="851" w:right="900"/>
        <w:jc w:val="both"/>
        <w:rPr>
          <w:rFonts w:ascii="Palatino Linotype" w:hAnsi="Palatino Linotype"/>
          <w:i/>
          <w:sz w:val="24"/>
          <w:szCs w:val="24"/>
        </w:rPr>
        <w:sectPr w:rsidR="00F30EE8"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3. TESORERÍA MUNICIPAL</w:t>
      </w:r>
    </w:p>
    <w:p w:rsidR="00A22ABA" w:rsidRPr="00F30EE8" w:rsidRDefault="00F30EE8" w:rsidP="0027356C">
      <w:pPr>
        <w:pStyle w:val="Prrafodelista"/>
        <w:spacing w:after="0" w:line="360" w:lineRule="auto"/>
        <w:ind w:left="851" w:right="900"/>
        <w:jc w:val="both"/>
        <w:rPr>
          <w:rFonts w:ascii="Palatino Linotype" w:hAnsi="Palatino Linotype" w:cs="Arial"/>
          <w:i/>
          <w:sz w:val="24"/>
          <w:szCs w:val="24"/>
        </w:rPr>
        <w:sectPr w:rsidR="00A22ABA"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3.3.Jefatura de Planeación</w:t>
      </w:r>
    </w:p>
    <w:p w:rsidR="005922F3" w:rsidRPr="00F30EE8" w:rsidRDefault="00A22ABA" w:rsidP="0027356C">
      <w:pPr>
        <w:pStyle w:val="Prrafodelista"/>
        <w:spacing w:after="0" w:line="360" w:lineRule="auto"/>
        <w:ind w:left="851" w:right="900"/>
        <w:jc w:val="both"/>
        <w:rPr>
          <w:rFonts w:ascii="Palatino Linotype" w:hAnsi="Palatino Linotype"/>
          <w:i/>
          <w:sz w:val="24"/>
          <w:szCs w:val="24"/>
        </w:rPr>
        <w:sectPr w:rsidR="005922F3" w:rsidRPr="00F30EE8"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14. DIRECCIÓN DE AMINISTRACIÓN. 14.1. EL DEPARTAMENTO DE RECURSOS HUMANOS.</w:t>
      </w:r>
    </w:p>
    <w:p w:rsidR="00094019" w:rsidRPr="005922F3" w:rsidRDefault="005922F3" w:rsidP="0027356C">
      <w:pPr>
        <w:pStyle w:val="Prrafodelista"/>
        <w:spacing w:after="0" w:line="360" w:lineRule="auto"/>
        <w:ind w:left="851" w:right="900"/>
        <w:jc w:val="both"/>
        <w:rPr>
          <w:rFonts w:ascii="Palatino Linotype" w:hAnsi="Palatino Linotype"/>
          <w:i/>
          <w:sz w:val="24"/>
          <w:szCs w:val="24"/>
        </w:rPr>
        <w:sectPr w:rsidR="00094019" w:rsidRPr="005922F3" w:rsidSect="0027356C">
          <w:type w:val="continuous"/>
          <w:pgSz w:w="12240" w:h="15840"/>
          <w:pgMar w:top="1417" w:right="1701" w:bottom="1417" w:left="1701" w:header="708" w:footer="708" w:gutter="0"/>
          <w:cols w:space="708"/>
          <w:docGrid w:linePitch="360"/>
        </w:sectPr>
      </w:pPr>
      <w:r w:rsidRPr="00F30EE8">
        <w:rPr>
          <w:rFonts w:ascii="Palatino Linotype" w:hAnsi="Palatino Linotype"/>
          <w:i/>
          <w:sz w:val="24"/>
          <w:szCs w:val="24"/>
        </w:rPr>
        <w:t>ARTICULO 298. El gobierno municipal garantizará el derecho a la información estableciendo los procedimientos de conformidad a las leyes y reglamentos aplicables a la materia. Para cumplir con lo establecido en las normas, el H. Ayuntamiento contará con: I. Una Unidad de Transparencia;</w:t>
      </w:r>
    </w:p>
    <w:p w:rsidR="00094019" w:rsidRPr="003C1BF2" w:rsidRDefault="006C05D1" w:rsidP="00094019">
      <w:pPr>
        <w:autoSpaceDE w:val="0"/>
        <w:autoSpaceDN w:val="0"/>
        <w:adjustRightInd w:val="0"/>
        <w:spacing w:before="240" w:line="360" w:lineRule="auto"/>
        <w:jc w:val="both"/>
        <w:rPr>
          <w:rFonts w:ascii="Palatino Linotype" w:hAnsi="Palatino Linotype"/>
          <w:sz w:val="24"/>
          <w:lang w:eastAsia="es-MX"/>
        </w:rPr>
      </w:pPr>
      <w:r>
        <w:rPr>
          <w:rFonts w:ascii="Palatino Linotype" w:hAnsi="Palatino Linotype" w:cs="Arial"/>
          <w:b/>
          <w:noProof/>
          <w:sz w:val="24"/>
          <w:szCs w:val="24"/>
          <w:lang w:eastAsia="es-MX"/>
        </w:rPr>
        <w:lastRenderedPageBreak/>
        <w:drawing>
          <wp:anchor distT="0" distB="0" distL="114300" distR="114300" simplePos="0" relativeHeight="251692032" behindDoc="1" locked="0" layoutInCell="1" allowOverlap="1" wp14:anchorId="2F278BDE" wp14:editId="1B2D879C">
            <wp:simplePos x="0" y="0"/>
            <wp:positionH relativeFrom="column">
              <wp:posOffset>617838</wp:posOffset>
            </wp:positionH>
            <wp:positionV relativeFrom="paragraph">
              <wp:posOffset>693592</wp:posOffset>
            </wp:positionV>
            <wp:extent cx="4480452" cy="3924300"/>
            <wp:effectExtent l="0" t="0" r="0" b="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94019" w:rsidRPr="003C1BF2">
        <w:rPr>
          <w:rFonts w:ascii="Palatino Linotype" w:hAnsi="Palatino Linotype"/>
          <w:sz w:val="24"/>
          <w:lang w:eastAsia="es-MX"/>
        </w:rPr>
        <w:t xml:space="preserve">En tal sentido, es de indicar que la solicitud de información fue realizada a manera de cuestionamientos, y si bien, el ejercicio del Derecho de Acceso a la Información consiste en la entrega de los documentos que obren en los archivos de los Sujetos Obligados y estos no están obligados a procesar respuestas, ello en términos del artículo 12 de la Ley de Transparencia y Acceso a la Información Pública del Estado de México y Municipios, también lo es que, cuando los cuestionamientos puedan ser atendidos con un documento que haya sido generado por el Sujeto Obligado se deberá entregar este y no considerar que este se trata de un derecho de petición; esto de conformidad con el Criterio 16/17 emitido por el Instituto Nacional de Transparencia y Acceso a la Información y Protección de Datos Personales: </w:t>
      </w:r>
    </w:p>
    <w:p w:rsidR="00094019" w:rsidRPr="003C1BF2" w:rsidRDefault="00094019" w:rsidP="003C1BF2">
      <w:pPr>
        <w:pStyle w:val="Prrafodelista"/>
        <w:spacing w:before="240" w:after="240" w:line="360" w:lineRule="auto"/>
        <w:ind w:left="1134" w:right="900" w:firstLine="11"/>
        <w:jc w:val="both"/>
        <w:rPr>
          <w:rFonts w:ascii="Palatino Linotype" w:hAnsi="Palatino Linotype" w:cs="Arial"/>
          <w:i/>
          <w:sz w:val="24"/>
        </w:rPr>
      </w:pPr>
      <w:r w:rsidRPr="003C1BF2">
        <w:rPr>
          <w:rFonts w:ascii="Palatino Linotype" w:hAnsi="Palatino Linotype" w:cs="Arial"/>
          <w:b/>
          <w:bCs/>
          <w:i/>
          <w:sz w:val="24"/>
        </w:rPr>
        <w:t xml:space="preserve">Expresión documental. </w:t>
      </w:r>
      <w:r w:rsidRPr="003C1BF2">
        <w:rPr>
          <w:rFonts w:ascii="Palatino Linotype" w:hAnsi="Palatino Linotype" w:cs="Arial"/>
          <w:bCs/>
          <w:i/>
          <w:sz w:val="24"/>
        </w:rPr>
        <w:t>Cuando</w:t>
      </w:r>
      <w:r w:rsidRPr="003C1BF2">
        <w:rPr>
          <w:rFonts w:ascii="Palatino Linotype" w:hAnsi="Palatino Linotype" w:cs="Arial"/>
          <w:i/>
          <w:sz w:val="24"/>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3C1BF2" w:rsidRPr="003C1BF2" w:rsidRDefault="003C1BF2" w:rsidP="003C1BF2">
      <w:pPr>
        <w:pStyle w:val="Prrafodelista"/>
        <w:spacing w:before="240" w:after="240" w:line="360" w:lineRule="auto"/>
        <w:ind w:left="0"/>
        <w:jc w:val="both"/>
        <w:rPr>
          <w:rFonts w:ascii="Palatino Linotype" w:hAnsi="Palatino Linotype" w:cs="Arial"/>
          <w:sz w:val="24"/>
        </w:rPr>
      </w:pPr>
    </w:p>
    <w:p w:rsidR="00094019" w:rsidRPr="003C1BF2" w:rsidRDefault="00094019" w:rsidP="003C1BF2">
      <w:pPr>
        <w:pStyle w:val="Prrafodelista"/>
        <w:spacing w:before="240" w:after="240" w:line="360" w:lineRule="auto"/>
        <w:ind w:left="0"/>
        <w:jc w:val="both"/>
        <w:rPr>
          <w:rFonts w:ascii="Palatino Linotype" w:hAnsi="Palatino Linotype" w:cs="Arial"/>
          <w:sz w:val="24"/>
        </w:rPr>
        <w:sectPr w:rsidR="00094019" w:rsidRPr="003C1BF2" w:rsidSect="00094019">
          <w:headerReference w:type="default" r:id="rId10"/>
          <w:footerReference w:type="default" r:id="rId11"/>
          <w:headerReference w:type="first" r:id="rId12"/>
          <w:type w:val="continuous"/>
          <w:pgSz w:w="12240" w:h="15840"/>
          <w:pgMar w:top="1417" w:right="1701" w:bottom="1417" w:left="1701" w:header="708" w:footer="708" w:gutter="0"/>
          <w:cols w:space="708"/>
          <w:titlePg/>
          <w:docGrid w:linePitch="360"/>
        </w:sectPr>
      </w:pPr>
      <w:r w:rsidRPr="003C1BF2">
        <w:rPr>
          <w:rFonts w:ascii="Palatino Linotype" w:hAnsi="Palatino Linotype" w:cs="Arial"/>
          <w:sz w:val="24"/>
        </w:rPr>
        <w:t xml:space="preserve">De lo previo se puede advertir que cuando el Solicitante, no identifica de forma precisa algún documento, los Sujetos Obligados deben de otorgar la expresión documental que dé cuenta de lo solicitado; en el presente caso, de enunciativa, los documentos que puedan satisfacer el derecho de acceso a la información del </w:t>
      </w:r>
      <w:r w:rsidRPr="003C1BF2">
        <w:rPr>
          <w:rFonts w:ascii="Palatino Linotype" w:hAnsi="Palatino Linotype" w:cs="Arial"/>
          <w:sz w:val="24"/>
        </w:rPr>
        <w:lastRenderedPageBreak/>
        <w:t>Particular son, de manera enunciativa, la facturas, cheques,  contratos y comprobantes que acredite los pagos realizados en cuestión a los Recursos de Revisión derivados de la respuesta del Sujeto Obligado de la cual se emitió por las soli</w:t>
      </w:r>
      <w:r w:rsidR="006C05D1">
        <w:rPr>
          <w:rFonts w:ascii="Palatino Linotype" w:hAnsi="Palatino Linotype" w:cs="Arial"/>
          <w:sz w:val="24"/>
        </w:rPr>
        <w:t>citudes de Información Pública.</w:t>
      </w:r>
    </w:p>
    <w:p w:rsidR="00094019" w:rsidRPr="00AD67C3" w:rsidRDefault="006C05D1" w:rsidP="00094019">
      <w:pPr>
        <w:spacing w:before="240" w:after="240" w:line="360" w:lineRule="auto"/>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94080" behindDoc="1" locked="0" layoutInCell="1" allowOverlap="1" wp14:anchorId="2F278BDE" wp14:editId="1B2D879C">
            <wp:simplePos x="0" y="0"/>
            <wp:positionH relativeFrom="column">
              <wp:posOffset>733167</wp:posOffset>
            </wp:positionH>
            <wp:positionV relativeFrom="paragraph">
              <wp:posOffset>562095</wp:posOffset>
            </wp:positionV>
            <wp:extent cx="4480452" cy="3924300"/>
            <wp:effectExtent l="0" t="0" r="0" b="0"/>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94019" w:rsidRPr="00AD67C3">
        <w:rPr>
          <w:rFonts w:ascii="Palatino Linotype" w:hAnsi="Palatino Linotype" w:cs="Arial"/>
          <w:sz w:val="24"/>
          <w:szCs w:val="24"/>
        </w:rPr>
        <w:t>Por lo anterior, es importante de precisar que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94019" w:rsidRDefault="00094019" w:rsidP="003C1BF2">
      <w:pPr>
        <w:pStyle w:val="Prrafodelista"/>
        <w:spacing w:after="0" w:line="360" w:lineRule="auto"/>
        <w:ind w:left="0" w:right="49"/>
        <w:jc w:val="both"/>
        <w:rPr>
          <w:rFonts w:ascii="Palatino Linotype" w:hAnsi="Palatino Linotype" w:cs="Arial"/>
          <w:sz w:val="24"/>
          <w:szCs w:val="24"/>
        </w:rPr>
        <w:sectPr w:rsidR="00094019" w:rsidSect="0027356C">
          <w:type w:val="continuous"/>
          <w:pgSz w:w="12240" w:h="15840"/>
          <w:pgMar w:top="1417" w:right="1701" w:bottom="1417" w:left="1701" w:header="708" w:footer="708" w:gutter="0"/>
          <w:cols w:space="708"/>
          <w:docGrid w:linePitch="360"/>
        </w:sectPr>
      </w:pPr>
      <w:r w:rsidRPr="00AD67C3">
        <w:rPr>
          <w:rFonts w:ascii="Palatino Linotype" w:hAnsi="Palatino Linotype" w:cs="Arial"/>
          <w:sz w:val="24"/>
          <w:szCs w:val="24"/>
        </w:rPr>
        <w:t>Como se mencionó con anterioridad el derecho de acceso a la información pública, consiste en que la información solicitada conste en un soporte documental teniendo como soporte el criterio antes citado respecto a la documental, esta consta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3C1BF2" w:rsidRDefault="003C1BF2" w:rsidP="00094019">
      <w:pPr>
        <w:ind w:left="851" w:right="851"/>
        <w:jc w:val="both"/>
        <w:rPr>
          <w:rFonts w:ascii="Palatino Linotype" w:hAnsi="Palatino Linotype" w:cs="Arial"/>
          <w:i/>
          <w:sz w:val="24"/>
          <w:szCs w:val="24"/>
        </w:rPr>
      </w:pPr>
    </w:p>
    <w:p w:rsidR="00094019" w:rsidRPr="00AD67C3" w:rsidRDefault="00094019" w:rsidP="00094019">
      <w:pPr>
        <w:ind w:left="851" w:right="851"/>
        <w:jc w:val="both"/>
        <w:rPr>
          <w:rFonts w:ascii="Palatino Linotype" w:hAnsi="Palatino Linotype" w:cs="Arial"/>
          <w:i/>
          <w:sz w:val="24"/>
          <w:szCs w:val="24"/>
        </w:rPr>
      </w:pPr>
      <w:r w:rsidRPr="00AD67C3">
        <w:rPr>
          <w:rFonts w:ascii="Palatino Linotype" w:hAnsi="Palatino Linotype" w:cs="Arial"/>
          <w:i/>
          <w:sz w:val="24"/>
          <w:szCs w:val="24"/>
        </w:rPr>
        <w:t>“</w:t>
      </w:r>
      <w:r w:rsidRPr="00AD67C3">
        <w:rPr>
          <w:rFonts w:ascii="Palatino Linotype" w:hAnsi="Palatino Linotype" w:cs="Arial"/>
          <w:b/>
          <w:i/>
          <w:sz w:val="24"/>
          <w:szCs w:val="24"/>
        </w:rPr>
        <w:t xml:space="preserve">Artículo 3. </w:t>
      </w:r>
      <w:r w:rsidRPr="00AD67C3">
        <w:rPr>
          <w:rFonts w:ascii="Palatino Linotype" w:hAnsi="Palatino Linotype" w:cs="Arial"/>
          <w:i/>
          <w:sz w:val="24"/>
          <w:szCs w:val="24"/>
        </w:rPr>
        <w:t>Para los efectos de la presente Ley se entenderá por:</w:t>
      </w:r>
    </w:p>
    <w:p w:rsidR="00094019" w:rsidRPr="00AD67C3" w:rsidRDefault="00094019" w:rsidP="00094019">
      <w:pPr>
        <w:ind w:left="851" w:right="851"/>
        <w:jc w:val="both"/>
        <w:rPr>
          <w:rFonts w:ascii="Palatino Linotype" w:hAnsi="Palatino Linotype" w:cs="Arial"/>
          <w:i/>
          <w:sz w:val="24"/>
          <w:szCs w:val="24"/>
        </w:rPr>
      </w:pPr>
      <w:r>
        <w:rPr>
          <w:noProof/>
          <w:lang w:eastAsia="es-MX"/>
        </w:rPr>
        <w:lastRenderedPageBreak/>
        <w:drawing>
          <wp:anchor distT="0" distB="0" distL="114300" distR="114300" simplePos="0" relativeHeight="251659264" behindDoc="1" locked="0" layoutInCell="1" allowOverlap="1" wp14:anchorId="64391E37" wp14:editId="7E491EEF">
            <wp:simplePos x="0" y="0"/>
            <wp:positionH relativeFrom="page">
              <wp:posOffset>108585</wp:posOffset>
            </wp:positionH>
            <wp:positionV relativeFrom="paragraph">
              <wp:posOffset>430530</wp:posOffset>
            </wp:positionV>
            <wp:extent cx="7635240" cy="8456831"/>
            <wp:effectExtent l="0" t="0" r="381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944"/>
                    <a:stretch/>
                  </pic:blipFill>
                  <pic:spPr bwMode="auto">
                    <a:xfrm>
                      <a:off x="0" y="0"/>
                      <a:ext cx="7635240" cy="8456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67C3">
        <w:rPr>
          <w:rFonts w:ascii="Palatino Linotype" w:hAnsi="Palatino Linotype" w:cs="Arial"/>
          <w:i/>
          <w:sz w:val="24"/>
          <w:szCs w:val="24"/>
        </w:rPr>
        <w:t>(…)</w:t>
      </w:r>
    </w:p>
    <w:p w:rsidR="00094019" w:rsidRDefault="00094019" w:rsidP="003C1BF2">
      <w:pPr>
        <w:spacing w:before="240" w:after="240" w:line="360" w:lineRule="auto"/>
        <w:ind w:left="851" w:right="1750"/>
        <w:jc w:val="both"/>
        <w:rPr>
          <w:rFonts w:ascii="Palatino Linotype" w:hAnsi="Palatino Linotype" w:cs="Arial"/>
          <w:sz w:val="24"/>
          <w:szCs w:val="24"/>
        </w:rPr>
      </w:pPr>
      <w:r w:rsidRPr="00AD67C3">
        <w:rPr>
          <w:rFonts w:ascii="Palatino Linotype" w:hAnsi="Palatino Linotype" w:cs="Arial"/>
          <w:b/>
          <w:i/>
          <w:sz w:val="24"/>
          <w:szCs w:val="24"/>
        </w:rPr>
        <w:t>XI. Documento:</w:t>
      </w:r>
      <w:r w:rsidRPr="00AD67C3">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D67C3">
        <w:rPr>
          <w:rFonts w:ascii="Palatino Linotype" w:hAnsi="Palatino Linotype" w:cs="Arial"/>
          <w:b/>
          <w:i/>
          <w:sz w:val="24"/>
          <w:szCs w:val="24"/>
        </w:rPr>
        <w:t>Los documentos podrán estar en cualquier medio, sea escrito, impreso, sonoro, visual, electr</w:t>
      </w:r>
      <w:r>
        <w:rPr>
          <w:rFonts w:ascii="Palatino Linotype" w:hAnsi="Palatino Linotype" w:cs="Arial"/>
          <w:b/>
          <w:i/>
          <w:sz w:val="24"/>
          <w:szCs w:val="24"/>
        </w:rPr>
        <w:t>ónico, informático u holográfico.</w:t>
      </w:r>
      <w:r w:rsidRPr="00B73782">
        <w:rPr>
          <w:rFonts w:ascii="Palatino Linotype" w:hAnsi="Palatino Linotype" w:cs="Arial"/>
          <w:sz w:val="24"/>
          <w:szCs w:val="24"/>
        </w:rPr>
        <w:t xml:space="preserve"> </w:t>
      </w:r>
    </w:p>
    <w:p w:rsidR="00094019" w:rsidRDefault="00094019" w:rsidP="00094019">
      <w:pPr>
        <w:spacing w:before="240" w:after="240" w:line="360" w:lineRule="auto"/>
        <w:jc w:val="both"/>
        <w:rPr>
          <w:rFonts w:ascii="Palatino Linotype" w:hAnsi="Palatino Linotype" w:cs="Arial"/>
          <w:bCs/>
          <w:sz w:val="24"/>
          <w:szCs w:val="24"/>
        </w:rPr>
      </w:pPr>
      <w:r w:rsidRPr="00AD67C3">
        <w:rPr>
          <w:rFonts w:ascii="Palatino Linotype" w:hAnsi="Palatino Linotype" w:cs="Arial"/>
          <w:sz w:val="24"/>
          <w:szCs w:val="24"/>
        </w:rPr>
        <w:t>De una interpretación sistemática de los artículos transcritos, se desprende primeramente que el</w:t>
      </w:r>
      <w:r w:rsidRPr="00AD67C3">
        <w:rPr>
          <w:rFonts w:ascii="Palatino Linotype" w:hAnsi="Palatino Linotype" w:cs="Arial"/>
          <w:bCs/>
          <w:sz w:val="24"/>
          <w:szCs w:val="24"/>
        </w:rPr>
        <w:t xml:space="preserve"> registro contable del efecto patrimonial y presupuestal de las operaciones financieras se realizará conforme al sistema y a las disposiciones que se aprueben en materia de planeación, programación, </w:t>
      </w:r>
      <w:r>
        <w:rPr>
          <w:rFonts w:ascii="Palatino Linotype" w:hAnsi="Palatino Linotype" w:cs="Arial"/>
          <w:bCs/>
          <w:sz w:val="24"/>
          <w:szCs w:val="24"/>
        </w:rPr>
        <w:t>p</w:t>
      </w:r>
      <w:r w:rsidRPr="00AD67C3">
        <w:rPr>
          <w:rFonts w:ascii="Palatino Linotype" w:hAnsi="Palatino Linotype" w:cs="Arial"/>
          <w:bCs/>
          <w:sz w:val="24"/>
          <w:szCs w:val="24"/>
        </w:rPr>
        <w:t>resupuestación</w:t>
      </w:r>
      <w:bookmarkStart w:id="0" w:name="_GoBack"/>
      <w:bookmarkEnd w:id="0"/>
      <w:r w:rsidRPr="00AD67C3">
        <w:rPr>
          <w:rFonts w:ascii="Palatino Linotype" w:hAnsi="Palatino Linotype" w:cs="Arial"/>
          <w:bCs/>
          <w:sz w:val="24"/>
          <w:szCs w:val="24"/>
        </w:rPr>
        <w:t>, evaluación y contabilidad gubernamental.</w:t>
      </w:r>
      <w:r>
        <w:rPr>
          <w:rFonts w:ascii="Palatino Linotype" w:hAnsi="Palatino Linotype" w:cs="Arial"/>
          <w:bCs/>
          <w:sz w:val="24"/>
          <w:szCs w:val="24"/>
        </w:rPr>
        <w:t xml:space="preserve"> </w:t>
      </w:r>
    </w:p>
    <w:p w:rsidR="00094019" w:rsidRPr="00B73782" w:rsidRDefault="00094019" w:rsidP="00094019">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AD67C3">
        <w:rPr>
          <w:rFonts w:ascii="Palatino Linotype" w:hAnsi="Palatino Linotype" w:cs="Arial"/>
          <w:sz w:val="24"/>
          <w:szCs w:val="24"/>
          <w:lang w:eastAsia="es-MX"/>
        </w:rPr>
        <w:t>; sin embargo,</w:t>
      </w:r>
      <w:r w:rsidRPr="009638C3">
        <w:rPr>
          <w:rFonts w:ascii="Palatino Linotype" w:hAnsi="Palatino Linotype" w:cs="Arial"/>
          <w:sz w:val="24"/>
          <w:szCs w:val="24"/>
          <w:lang w:eastAsia="es-MX"/>
        </w:rPr>
        <w:t xml:space="preserve"> </w:t>
      </w:r>
      <w:r w:rsidRPr="00AD67C3">
        <w:rPr>
          <w:rFonts w:ascii="Palatino Linotype" w:hAnsi="Palatino Linotype" w:cs="Arial"/>
          <w:sz w:val="24"/>
          <w:szCs w:val="24"/>
          <w:lang w:eastAsia="es-MX"/>
        </w:rPr>
        <w:t>el “Glosario de Términos Administrativos”, emitido por el Instituto Nacional de Administración Pública, A.C. y el “Glosario de Términos para el Proceso de</w:t>
      </w:r>
      <w:r>
        <w:rPr>
          <w:rFonts w:ascii="Palatino Linotype" w:hAnsi="Palatino Linotype" w:cs="Arial"/>
          <w:sz w:val="24"/>
          <w:szCs w:val="24"/>
          <w:lang w:eastAsia="es-MX"/>
        </w:rPr>
        <w:t xml:space="preserve"> </w:t>
      </w:r>
      <w:r w:rsidRPr="00AD67C3">
        <w:rPr>
          <w:rFonts w:ascii="Palatino Linotype" w:hAnsi="Palatino Linotype" w:cs="Arial"/>
          <w:sz w:val="24"/>
          <w:szCs w:val="24"/>
          <w:lang w:eastAsia="es-MX"/>
        </w:rPr>
        <w:t xml:space="preserve">Planeación, Programación, Presupuestación y Evaluación en la Administración Pública”, elaborado por el Grupo de Trabajo de Sistemas de Información Financiera, </w:t>
      </w:r>
      <w:r w:rsidRPr="00AD67C3">
        <w:rPr>
          <w:rFonts w:ascii="Palatino Linotype" w:hAnsi="Palatino Linotype" w:cs="Arial"/>
          <w:sz w:val="24"/>
          <w:szCs w:val="24"/>
          <w:lang w:eastAsia="es-MX"/>
        </w:rPr>
        <w:lastRenderedPageBreak/>
        <w:t xml:space="preserve">Contable y Presupuestal de la Comisión Permanente de Funcionarios Fiscales del Instituto para el Desarrollo Técnico de las Haciendas Públicas (INDETEC) señalan las siguientes definiciones de las palabras registro contable y registro presupuestario: </w:t>
      </w:r>
    </w:p>
    <w:p w:rsidR="00094019" w:rsidRPr="00AD67C3" w:rsidRDefault="00094019" w:rsidP="00094019">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 xml:space="preserve">“REGISTRO CONTABLE </w:t>
      </w:r>
    </w:p>
    <w:p w:rsidR="00094019" w:rsidRPr="00AD67C3" w:rsidRDefault="006C05D1" w:rsidP="00094019">
      <w:pPr>
        <w:ind w:left="851" w:right="851"/>
        <w:jc w:val="both"/>
        <w:rPr>
          <w:rFonts w:ascii="Palatino Linotype" w:hAnsi="Palatino Linotype" w:cs="Arial"/>
          <w:i/>
          <w:sz w:val="24"/>
          <w:szCs w:val="24"/>
        </w:rPr>
      </w:pPr>
      <w:r>
        <w:rPr>
          <w:rFonts w:ascii="Palatino Linotype" w:hAnsi="Palatino Linotype" w:cs="Arial"/>
          <w:b/>
          <w:noProof/>
          <w:sz w:val="24"/>
          <w:szCs w:val="24"/>
          <w:lang w:eastAsia="es-MX"/>
        </w:rPr>
        <w:drawing>
          <wp:anchor distT="0" distB="0" distL="114300" distR="114300" simplePos="0" relativeHeight="251696128" behindDoc="1" locked="0" layoutInCell="1" allowOverlap="1" wp14:anchorId="2F278BDE" wp14:editId="1B2D879C">
            <wp:simplePos x="0" y="0"/>
            <wp:positionH relativeFrom="column">
              <wp:posOffset>527222</wp:posOffset>
            </wp:positionH>
            <wp:positionV relativeFrom="paragraph">
              <wp:posOffset>505855</wp:posOffset>
            </wp:positionV>
            <wp:extent cx="4480452" cy="39243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094019" w:rsidRPr="00AD67C3">
        <w:rPr>
          <w:rFonts w:ascii="Palatino Linotype" w:hAnsi="Palatino Linotype" w:cs="Arial"/>
          <w:i/>
          <w:sz w:val="24"/>
          <w:szCs w:val="24"/>
          <w:lang w:eastAsia="es-MX"/>
        </w:rPr>
        <w:t xml:space="preserve">Asiento que se realiza en los libros de contabilidad de las actividades relacionadas con el ingreso y egresos de un ente económico.” </w:t>
      </w:r>
      <w:r w:rsidR="00094019" w:rsidRPr="00AD67C3">
        <w:rPr>
          <w:rFonts w:ascii="Palatino Linotype" w:hAnsi="Palatino Linotype" w:cs="Arial"/>
          <w:i/>
          <w:sz w:val="24"/>
          <w:szCs w:val="24"/>
        </w:rPr>
        <w:t>(Sic)</w:t>
      </w:r>
    </w:p>
    <w:p w:rsidR="00094019" w:rsidRPr="00AD67C3" w:rsidRDefault="00094019" w:rsidP="00094019">
      <w:pPr>
        <w:ind w:left="851" w:right="851"/>
        <w:jc w:val="both"/>
        <w:rPr>
          <w:rFonts w:ascii="Palatino Linotype" w:hAnsi="Palatino Linotype" w:cs="Arial"/>
          <w:b/>
          <w:i/>
          <w:sz w:val="24"/>
          <w:szCs w:val="24"/>
          <w:lang w:eastAsia="es-MX"/>
        </w:rPr>
      </w:pPr>
      <w:r w:rsidRPr="00AD67C3">
        <w:rPr>
          <w:rFonts w:ascii="Palatino Linotype" w:hAnsi="Palatino Linotype" w:cs="Arial"/>
          <w:b/>
          <w:i/>
          <w:sz w:val="24"/>
          <w:szCs w:val="24"/>
          <w:lang w:eastAsia="es-MX"/>
        </w:rPr>
        <w:t>“REGISTRO PRESUPUESTARIO</w:t>
      </w:r>
    </w:p>
    <w:p w:rsidR="00094019" w:rsidRPr="00AD67C3" w:rsidRDefault="00094019" w:rsidP="00094019">
      <w:pPr>
        <w:ind w:left="851" w:right="851"/>
        <w:jc w:val="both"/>
        <w:rPr>
          <w:rFonts w:ascii="Palatino Linotype" w:hAnsi="Palatino Linotype" w:cs="Arial"/>
          <w:i/>
          <w:sz w:val="24"/>
          <w:szCs w:val="24"/>
        </w:rPr>
      </w:pPr>
      <w:r w:rsidRPr="00AD67C3">
        <w:rPr>
          <w:rFonts w:ascii="Palatino Linotype" w:hAnsi="Palatino Linotype" w:cs="Arial"/>
          <w:i/>
          <w:sz w:val="24"/>
          <w:szCs w:val="24"/>
          <w:lang w:eastAsia="es-MX"/>
        </w:rPr>
        <w:t xml:space="preserve">Asiento contable de las erogaciones realizadas por las dependencias y entidades con relación a la asignación, modificación y ejercicio de los recursos presupuestarios que se les hayan autorizado.” </w:t>
      </w:r>
      <w:r w:rsidRPr="00AD67C3">
        <w:rPr>
          <w:rFonts w:ascii="Palatino Linotype" w:hAnsi="Palatino Linotype" w:cs="Arial"/>
          <w:i/>
          <w:sz w:val="24"/>
          <w:szCs w:val="24"/>
        </w:rPr>
        <w:t>(Sic)</w:t>
      </w:r>
    </w:p>
    <w:p w:rsidR="00094019" w:rsidRDefault="00094019" w:rsidP="00094019">
      <w:pPr>
        <w:spacing w:before="240" w:after="240" w:line="360" w:lineRule="auto"/>
        <w:jc w:val="both"/>
        <w:rPr>
          <w:rFonts w:ascii="Palatino Linotype" w:hAnsi="Palatino Linotype" w:cs="Arial"/>
          <w:bCs/>
          <w:sz w:val="24"/>
          <w:szCs w:val="24"/>
        </w:rPr>
      </w:pPr>
    </w:p>
    <w:p w:rsidR="00094019" w:rsidRPr="00AD67C3" w:rsidRDefault="00094019" w:rsidP="00094019">
      <w:pPr>
        <w:spacing w:before="240" w:after="240" w:line="360" w:lineRule="auto"/>
        <w:jc w:val="both"/>
        <w:rPr>
          <w:rFonts w:ascii="Palatino Linotype" w:hAnsi="Palatino Linotype" w:cs="Arial"/>
          <w:bCs/>
          <w:sz w:val="24"/>
          <w:szCs w:val="24"/>
        </w:rPr>
      </w:pPr>
      <w:r w:rsidRPr="00AD67C3">
        <w:rPr>
          <w:rFonts w:ascii="Palatino Linotype" w:hAnsi="Palatino Linotype" w:cs="Arial"/>
          <w:bCs/>
          <w:sz w:val="24"/>
          <w:szCs w:val="24"/>
        </w:rPr>
        <w:t>Por otra parte, se establece que el sistema de contabilidad sobre base acumulativa total se sustentará en los principios de contabilidad gubernamental.</w:t>
      </w:r>
    </w:p>
    <w:p w:rsidR="00094019" w:rsidRPr="00AD67C3" w:rsidRDefault="00094019" w:rsidP="00094019">
      <w:pPr>
        <w:autoSpaceDE w:val="0"/>
        <w:autoSpaceDN w:val="0"/>
        <w:adjustRightInd w:val="0"/>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Correlativo a lo anterior, es preciso referir una definición de </w:t>
      </w:r>
      <w:r w:rsidRPr="00AD67C3">
        <w:rPr>
          <w:rFonts w:ascii="Palatino Linotype" w:hAnsi="Palatino Linotype" w:cs="Arial"/>
          <w:i/>
          <w:sz w:val="24"/>
          <w:szCs w:val="24"/>
          <w:lang w:eastAsia="es-MX"/>
        </w:rPr>
        <w:t>póliza contable</w:t>
      </w:r>
      <w:r w:rsidRPr="00AD67C3">
        <w:rPr>
          <w:rFonts w:ascii="Palatino Linotype" w:hAnsi="Palatino Linotype" w:cs="Arial"/>
          <w:sz w:val="24"/>
          <w:szCs w:val="24"/>
          <w:lang w:eastAsia="es-MX"/>
        </w:rPr>
        <w:t xml:space="preserve">, la cual, primeramente, no está definida en el Código Financiero del Estado de México y Municipios; no obstante, los ya mencionados Glosarios la definen como: </w:t>
      </w:r>
    </w:p>
    <w:p w:rsidR="00094019" w:rsidRDefault="00094019" w:rsidP="00094019">
      <w:pPr>
        <w:spacing w:before="240" w:after="240" w:line="360" w:lineRule="auto"/>
        <w:jc w:val="both"/>
        <w:rPr>
          <w:rFonts w:ascii="Palatino Linotype" w:hAnsi="Palatino Linotype" w:cs="Arial"/>
          <w:i/>
          <w:sz w:val="24"/>
          <w:szCs w:val="24"/>
          <w:lang w:eastAsia="es-MX"/>
        </w:rPr>
        <w:sectPr w:rsidR="00094019"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i/>
          <w:sz w:val="24"/>
          <w:szCs w:val="24"/>
          <w:lang w:eastAsia="es-MX"/>
        </w:rPr>
        <w:t>“</w:t>
      </w:r>
      <w:r w:rsidRPr="00AD67C3">
        <w:rPr>
          <w:rFonts w:ascii="Palatino Linotype" w:hAnsi="Palatino Linotype" w:cs="Arial"/>
          <w:b/>
          <w:i/>
          <w:sz w:val="24"/>
          <w:szCs w:val="24"/>
          <w:lang w:eastAsia="es-MX"/>
        </w:rPr>
        <w:t>PÓLIZA CONTABLE</w:t>
      </w:r>
      <w:r w:rsidRPr="00094019">
        <w:rPr>
          <w:rFonts w:ascii="Palatino Linotype" w:hAnsi="Palatino Linotype" w:cs="Arial"/>
          <w:i/>
          <w:sz w:val="24"/>
          <w:szCs w:val="24"/>
          <w:lang w:eastAsia="es-MX"/>
        </w:rPr>
        <w:t xml:space="preserve"> </w:t>
      </w:r>
    </w:p>
    <w:p w:rsidR="005E0010" w:rsidRDefault="00094019" w:rsidP="00094019">
      <w:pPr>
        <w:spacing w:before="240" w:after="240" w:line="360" w:lineRule="auto"/>
        <w:jc w:val="both"/>
        <w:rPr>
          <w:rFonts w:ascii="Palatino Linotype" w:hAnsi="Palatino Linotype" w:cs="Arial"/>
          <w:i/>
          <w:sz w:val="24"/>
          <w:szCs w:val="24"/>
          <w:lang w:eastAsia="es-MX"/>
        </w:rPr>
        <w:sectPr w:rsidR="005E0010"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i/>
          <w:sz w:val="24"/>
          <w:szCs w:val="24"/>
          <w:lang w:eastAsia="es-MX"/>
        </w:rPr>
        <w:t>Documento en el cual se asientan en forma individual todas y cada una de las operaciones desarrolladas por una institución, así como la información necesaria para la identificación de dichas operaciones.” (sic)</w:t>
      </w:r>
    </w:p>
    <w:p w:rsidR="005E0010" w:rsidRPr="00AD67C3" w:rsidRDefault="006C05D1" w:rsidP="005E0010">
      <w:pPr>
        <w:spacing w:before="240" w:after="240" w:line="360" w:lineRule="auto"/>
        <w:jc w:val="both"/>
        <w:rPr>
          <w:rFonts w:ascii="Palatino Linotype" w:hAnsi="Palatino Linotype" w:cs="Arial"/>
          <w:sz w:val="24"/>
          <w:szCs w:val="24"/>
          <w:lang w:eastAsia="es-MX"/>
        </w:rPr>
      </w:pPr>
      <w:r>
        <w:rPr>
          <w:rFonts w:ascii="Palatino Linotype" w:hAnsi="Palatino Linotype" w:cs="Arial"/>
          <w:b/>
          <w:noProof/>
          <w:sz w:val="24"/>
          <w:szCs w:val="24"/>
          <w:lang w:eastAsia="es-MX"/>
        </w:rPr>
        <w:lastRenderedPageBreak/>
        <w:drawing>
          <wp:anchor distT="0" distB="0" distL="114300" distR="114300" simplePos="0" relativeHeight="251698176" behindDoc="1" locked="0" layoutInCell="1" allowOverlap="1" wp14:anchorId="2F278BDE" wp14:editId="1B2D879C">
            <wp:simplePos x="0" y="0"/>
            <wp:positionH relativeFrom="column">
              <wp:posOffset>659027</wp:posOffset>
            </wp:positionH>
            <wp:positionV relativeFrom="paragraph">
              <wp:posOffset>1507266</wp:posOffset>
            </wp:positionV>
            <wp:extent cx="4480452" cy="3924300"/>
            <wp:effectExtent l="0" t="0" r="0" b="0"/>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cs="Arial"/>
          <w:sz w:val="24"/>
          <w:szCs w:val="24"/>
          <w:lang w:eastAsia="es-MX"/>
        </w:rPr>
        <w:t xml:space="preserve">Así, se advierte que la </w:t>
      </w:r>
      <w:r w:rsidR="005E0010" w:rsidRPr="00AD67C3">
        <w:rPr>
          <w:rFonts w:ascii="Palatino Linotype" w:hAnsi="Palatino Linotype" w:cs="Arial"/>
          <w:i/>
          <w:sz w:val="24"/>
          <w:szCs w:val="24"/>
          <w:lang w:eastAsia="es-MX"/>
        </w:rPr>
        <w:t>póliza contable</w:t>
      </w:r>
      <w:r w:rsidR="005E0010" w:rsidRPr="00AD67C3">
        <w:rPr>
          <w:rFonts w:ascii="Palatino Linotype" w:hAnsi="Palatino Linotype" w:cs="Arial"/>
          <w:sz w:val="24"/>
          <w:szCs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5E0010" w:rsidRPr="00AD67C3" w:rsidRDefault="005E0010" w:rsidP="005E0010">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 xml:space="preserve">En este sentido, existen diversos tipos de pólizas contables de acuerdo a las operaciones realizadas, dentro de las cuales, encontramos las llamadas </w:t>
      </w:r>
      <w:r w:rsidRPr="00AD67C3">
        <w:rPr>
          <w:rFonts w:ascii="Palatino Linotype" w:hAnsi="Palatino Linotype" w:cs="Arial"/>
          <w:i/>
          <w:sz w:val="24"/>
          <w:szCs w:val="24"/>
          <w:lang w:eastAsia="es-MX"/>
        </w:rPr>
        <w:t>pólizas de egresos</w:t>
      </w:r>
      <w:r w:rsidRPr="00AD67C3">
        <w:rPr>
          <w:rFonts w:ascii="Palatino Linotype" w:hAnsi="Palatino Linotype" w:cs="Arial"/>
          <w:sz w:val="24"/>
          <w:szCs w:val="24"/>
          <w:lang w:eastAsia="es-MX"/>
        </w:rPr>
        <w:t xml:space="preserve">, son aquellas en las cuales se anotan diariamente las operaciones que representan gastos, es decir, salidas de dinero para el Sujeto Obligado, las que además, deben encontrarse acompañadas de las documentales que sirven de soporte de dicho movimiento. </w:t>
      </w:r>
    </w:p>
    <w:p w:rsidR="005E0010" w:rsidRPr="00AD67C3" w:rsidRDefault="005E0010" w:rsidP="005E0010">
      <w:pPr>
        <w:spacing w:before="240" w:after="240" w:line="360" w:lineRule="auto"/>
        <w:jc w:val="both"/>
        <w:rPr>
          <w:rFonts w:ascii="Palatino Linotype" w:hAnsi="Palatino Linotype"/>
          <w:sz w:val="24"/>
          <w:szCs w:val="24"/>
          <w:lang w:eastAsia="es-MX"/>
        </w:rPr>
      </w:pPr>
      <w:r w:rsidRPr="001D041C">
        <w:rPr>
          <w:rStyle w:val="Hipervnculo"/>
          <w:rFonts w:ascii="Palatino Linotype" w:hAnsi="Palatino Linotype" w:cs="Arial"/>
          <w:bCs/>
          <w:color w:val="000000" w:themeColor="text1"/>
          <w:sz w:val="24"/>
          <w:szCs w:val="24"/>
        </w:rPr>
        <w:t xml:space="preserve">En tal virtud, por lo que hace la negativa a la respuesta del Sujeto Obligado, es de señalar que el Derecho de Acceso a la Información no se satisface, debido que no cumple con los principios de Congruencia y Exhaustividad, recayendo específicamente en el principio de Exhaustividad.  Al respecto, resulta crucial el Criterio 02/17, emitido por el Pleno del </w:t>
      </w:r>
      <w:r w:rsidRPr="00AD67C3">
        <w:rPr>
          <w:rFonts w:ascii="Palatino Linotype" w:hAnsi="Palatino Linotype"/>
          <w:sz w:val="24"/>
          <w:szCs w:val="24"/>
          <w:lang w:eastAsia="es-MX"/>
        </w:rPr>
        <w:t>Instituto Nacional de Transparencia y Acceso a la Información y Protección de Datos Personales, de título y texto siguientes:</w:t>
      </w:r>
    </w:p>
    <w:p w:rsidR="005E0010" w:rsidRPr="00AD67C3" w:rsidRDefault="005E0010" w:rsidP="005E0010">
      <w:pPr>
        <w:pStyle w:val="Prrafodelista"/>
        <w:ind w:left="851" w:right="851"/>
        <w:jc w:val="both"/>
        <w:rPr>
          <w:rFonts w:ascii="Palatino Linotype" w:hAnsi="Palatino Linotype" w:cs="Arial"/>
          <w:i/>
        </w:rPr>
      </w:pPr>
      <w:r w:rsidRPr="00AD67C3">
        <w:rPr>
          <w:rFonts w:ascii="Palatino Linotype" w:hAnsi="Palatino Linotype" w:cs="Arial"/>
          <w:b/>
          <w:i/>
        </w:rPr>
        <w:t xml:space="preserve">Congruencia y exhaustividad. Sus alcances para garantizar el derecho de acceso a la información. </w:t>
      </w:r>
      <w:r w:rsidRPr="00AD67C3">
        <w:rPr>
          <w:rFonts w:ascii="Palatino Linotype" w:hAnsi="Palatino Linotype" w:cs="Arial"/>
          <w:i/>
        </w:rPr>
        <w:t xml:space="preserve">De conformidad con el artículo </w:t>
      </w:r>
      <w:r w:rsidRPr="00AD67C3">
        <w:rPr>
          <w:rFonts w:ascii="Palatino Linotype" w:hAnsi="Palatino Linotype"/>
          <w:i/>
          <w:lang w:val="es-ES_tradnl"/>
        </w:rPr>
        <w:t>3 de la Ley Federal de</w:t>
      </w:r>
      <w:r>
        <w:rPr>
          <w:rFonts w:ascii="Palatino Linotype" w:hAnsi="Palatino Linotype"/>
          <w:i/>
          <w:lang w:val="es-ES_tradnl"/>
        </w:rPr>
        <w:t xml:space="preserve"> </w:t>
      </w:r>
      <w:r w:rsidRPr="00AD67C3">
        <w:rPr>
          <w:rFonts w:ascii="Palatino Linotype" w:hAnsi="Palatino Linotype"/>
          <w:i/>
          <w:lang w:val="es-ES_tradnl"/>
        </w:rPr>
        <w:t>Procedimiento Administrativo</w:t>
      </w:r>
      <w:r w:rsidRPr="00AD67C3">
        <w:rPr>
          <w:rFonts w:ascii="Palatino Linotype" w:hAnsi="Palatino Linotype" w:cs="Arial"/>
          <w:i/>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w:t>
      </w:r>
      <w:r w:rsidRPr="00AD67C3">
        <w:rPr>
          <w:rFonts w:ascii="Palatino Linotype" w:hAnsi="Palatino Linotype" w:cs="Arial"/>
          <w:i/>
        </w:rPr>
        <w:lastRenderedPageBreak/>
        <w:t>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E0010" w:rsidRPr="00AD67C3" w:rsidRDefault="005E0010" w:rsidP="005E0010">
      <w:pPr>
        <w:pStyle w:val="Prrafodelista"/>
        <w:autoSpaceDE w:val="0"/>
        <w:autoSpaceDN w:val="0"/>
        <w:adjustRightInd w:val="0"/>
        <w:spacing w:line="360" w:lineRule="auto"/>
        <w:ind w:left="0"/>
        <w:jc w:val="both"/>
        <w:rPr>
          <w:rFonts w:ascii="Palatino Linotype" w:hAnsi="Palatino Linotype" w:cs="Arial"/>
        </w:rPr>
      </w:pPr>
    </w:p>
    <w:p w:rsidR="005E0010" w:rsidRPr="00AD67C3" w:rsidRDefault="006C05D1" w:rsidP="005E0010">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cs="Arial"/>
          <w:b/>
          <w:noProof/>
          <w:sz w:val="24"/>
          <w:szCs w:val="24"/>
          <w:lang w:eastAsia="es-MX"/>
        </w:rPr>
        <w:drawing>
          <wp:anchor distT="0" distB="0" distL="114300" distR="114300" simplePos="0" relativeHeight="251700224" behindDoc="1" locked="0" layoutInCell="1" allowOverlap="1" wp14:anchorId="2F278BDE" wp14:editId="1B2D879C">
            <wp:simplePos x="0" y="0"/>
            <wp:positionH relativeFrom="column">
              <wp:posOffset>601362</wp:posOffset>
            </wp:positionH>
            <wp:positionV relativeFrom="paragraph">
              <wp:posOffset>534326</wp:posOffset>
            </wp:positionV>
            <wp:extent cx="4480452" cy="3924300"/>
            <wp:effectExtent l="0" t="0" r="0"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sz w:val="24"/>
          <w:szCs w:val="24"/>
          <w:lang w:val="es-ES"/>
        </w:rPr>
        <w:t xml:space="preserve">De lo que se concluye, que el </w:t>
      </w:r>
      <w:r w:rsidR="005E0010" w:rsidRPr="001D041C">
        <w:rPr>
          <w:rFonts w:ascii="Palatino Linotype" w:hAnsi="Palatino Linotype"/>
          <w:bCs/>
          <w:color w:val="000000"/>
          <w:sz w:val="24"/>
          <w:szCs w:val="24"/>
        </w:rPr>
        <w:t>Ayuntamiento de Solidaridad</w:t>
      </w:r>
      <w:r w:rsidR="005E0010" w:rsidRPr="001D041C">
        <w:rPr>
          <w:rFonts w:ascii="Palatino Linotype" w:hAnsi="Palatino Linotype"/>
          <w:sz w:val="24"/>
          <w:szCs w:val="24"/>
          <w:lang w:val="es-ES"/>
        </w:rPr>
        <w:t xml:space="preserve"> </w:t>
      </w:r>
      <w:r w:rsidR="005E0010" w:rsidRPr="00AD67C3">
        <w:rPr>
          <w:rFonts w:ascii="Palatino Linotype" w:hAnsi="Palatino Linotype"/>
          <w:sz w:val="24"/>
          <w:szCs w:val="24"/>
          <w:lang w:val="es-ES"/>
        </w:rPr>
        <w:t>tiene la obligación de contar con la información solicitada, por lo que deberá de hacer entrega de la misma o en su defecto emitir un acuerdo de inexistencia emitido por el Comité de Transparencia en el que explique las razones del porque no cuenta con la información de manera fundada y motivada.</w:t>
      </w:r>
    </w:p>
    <w:p w:rsidR="005E0010" w:rsidRDefault="005E0010" w:rsidP="005E0010">
      <w:pPr>
        <w:spacing w:before="240" w:after="240" w:line="360" w:lineRule="auto"/>
        <w:jc w:val="both"/>
        <w:rPr>
          <w:rFonts w:ascii="Palatino Linotype" w:hAnsi="Palatino Linotype"/>
          <w:sz w:val="24"/>
          <w:szCs w:val="24"/>
          <w:lang w:val="es-ES"/>
        </w:rPr>
      </w:pPr>
      <w:r w:rsidRPr="00AD67C3">
        <w:rPr>
          <w:rFonts w:ascii="Palatino Linotype" w:hAnsi="Palatino Linotype"/>
          <w:sz w:val="24"/>
          <w:szCs w:val="24"/>
          <w:lang w:val="es-ES"/>
        </w:rPr>
        <w:t>Luego entonces, en el supuesto de que el Sujeto Obligado no cuente con la información solicitada, deberá de emitir su acuerdo de inexistencia de conformidad con el artículo 19 de la Ley de Transparencia y Acceso a la Información Pública de</w:t>
      </w:r>
      <w:r>
        <w:rPr>
          <w:rFonts w:ascii="Palatino Linotype" w:hAnsi="Palatino Linotype"/>
          <w:sz w:val="24"/>
          <w:szCs w:val="24"/>
          <w:lang w:val="es-ES"/>
        </w:rPr>
        <w:t>l Estado de México y Municipios.</w:t>
      </w:r>
    </w:p>
    <w:p w:rsidR="005E0010" w:rsidRDefault="005E0010" w:rsidP="005E0010">
      <w:pPr>
        <w:spacing w:before="240" w:after="240" w:line="360" w:lineRule="auto"/>
        <w:jc w:val="both"/>
        <w:rPr>
          <w:rFonts w:ascii="Palatino Linotype" w:hAnsi="Palatino Linotype" w:cs="Arial"/>
          <w:b/>
          <w:i/>
          <w:sz w:val="24"/>
          <w:szCs w:val="24"/>
          <w:lang w:eastAsia="es-MX"/>
        </w:rPr>
        <w:sectPr w:rsidR="005E0010" w:rsidSect="009172DE">
          <w:type w:val="continuous"/>
          <w:pgSz w:w="12240" w:h="15840"/>
          <w:pgMar w:top="1417" w:right="1701" w:bottom="1417" w:left="1701" w:header="708" w:footer="708" w:gutter="0"/>
          <w:cols w:space="708"/>
          <w:docGrid w:linePitch="360"/>
        </w:sectPr>
      </w:pPr>
    </w:p>
    <w:p w:rsidR="005E0010" w:rsidRPr="00AD67C3" w:rsidRDefault="005E0010" w:rsidP="005E0010">
      <w:pPr>
        <w:spacing w:before="240" w:after="240" w:line="360" w:lineRule="auto"/>
        <w:jc w:val="both"/>
        <w:rPr>
          <w:rFonts w:ascii="Palatino Linotype" w:hAnsi="Palatino Linotype" w:cs="Arial"/>
          <w:sz w:val="24"/>
          <w:szCs w:val="24"/>
        </w:rPr>
      </w:pPr>
      <w:r w:rsidRPr="00AD67C3">
        <w:rPr>
          <w:rFonts w:ascii="Palatino Linotype" w:hAnsi="Palatino Linotype"/>
          <w:b/>
          <w:sz w:val="24"/>
          <w:szCs w:val="24"/>
        </w:rPr>
        <w:t xml:space="preserve">QUINTO. Versión Pública. </w:t>
      </w:r>
      <w:r w:rsidRPr="00AD67C3">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w:t>
      </w:r>
      <w:r>
        <w:rPr>
          <w:rFonts w:ascii="Palatino Linotype" w:hAnsi="Palatino Linotype" w:cs="Arial"/>
          <w:sz w:val="24"/>
          <w:szCs w:val="24"/>
          <w:lang w:eastAsia="es-CO"/>
        </w:rPr>
        <w:t xml:space="preserve"> </w:t>
      </w:r>
      <w:r w:rsidRPr="00AD67C3">
        <w:rPr>
          <w:rFonts w:ascii="Palatino Linotype" w:hAnsi="Palatino Linotype" w:cs="Arial"/>
          <w:sz w:val="24"/>
          <w:szCs w:val="24"/>
          <w:lang w:eastAsia="es-CO"/>
        </w:rPr>
        <w:t>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5E0010" w:rsidRPr="00AD67C3" w:rsidRDefault="006C05D1" w:rsidP="005E0010">
      <w:pPr>
        <w:spacing w:before="240" w:after="240" w:line="360" w:lineRule="auto"/>
        <w:jc w:val="both"/>
        <w:rPr>
          <w:rFonts w:ascii="Palatino Linotype" w:hAnsi="Palatino Linotype" w:cs="Arial"/>
          <w:bCs/>
          <w:sz w:val="24"/>
          <w:szCs w:val="24"/>
        </w:rPr>
      </w:pPr>
      <w:r>
        <w:rPr>
          <w:rFonts w:ascii="Palatino Linotype" w:hAnsi="Palatino Linotype" w:cs="Arial"/>
          <w:b/>
          <w:noProof/>
          <w:sz w:val="24"/>
          <w:szCs w:val="24"/>
          <w:lang w:eastAsia="es-MX"/>
        </w:rPr>
        <w:lastRenderedPageBreak/>
        <w:drawing>
          <wp:anchor distT="0" distB="0" distL="114300" distR="114300" simplePos="0" relativeHeight="251702272" behindDoc="1" locked="0" layoutInCell="1" allowOverlap="1" wp14:anchorId="2F278BDE" wp14:editId="1B2D879C">
            <wp:simplePos x="0" y="0"/>
            <wp:positionH relativeFrom="column">
              <wp:posOffset>634314</wp:posOffset>
            </wp:positionH>
            <wp:positionV relativeFrom="paragraph">
              <wp:posOffset>513304</wp:posOffset>
            </wp:positionV>
            <wp:extent cx="4480452" cy="3924300"/>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sz w:val="24"/>
          <w:szCs w:val="24"/>
        </w:rPr>
        <w:t xml:space="preserve">Considerando que se ordena la entrega de la información </w:t>
      </w:r>
      <w:r w:rsidR="005E0010" w:rsidRPr="00AD67C3">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005E0010" w:rsidRPr="00AD67C3">
        <w:rPr>
          <w:rFonts w:ascii="Palatino Linotype" w:hAnsi="Palatino Linotype" w:cs="Arial"/>
          <w:bCs/>
          <w:sz w:val="24"/>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RFC, CURP, dirección y/o domicilio particular.</w:t>
      </w:r>
    </w:p>
    <w:p w:rsidR="005E0010" w:rsidRPr="00AD67C3" w:rsidRDefault="005E0010" w:rsidP="005E0010">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5E0010" w:rsidRPr="00AD67C3" w:rsidRDefault="005E0010" w:rsidP="005E0010">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Ahora bien, las personas físicas tramitan su inscripción en el registro con el propósito de realizar —mediante esa clave de identificación— operaciones o</w:t>
      </w:r>
      <w:r>
        <w:rPr>
          <w:rFonts w:ascii="Palatino Linotype" w:hAnsi="Palatino Linotype" w:cs="Arial"/>
          <w:sz w:val="24"/>
          <w:szCs w:val="24"/>
          <w:lang w:eastAsia="es-MX"/>
        </w:rPr>
        <w:t xml:space="preserve"> </w:t>
      </w:r>
      <w:r w:rsidRPr="00AD67C3">
        <w:rPr>
          <w:rFonts w:ascii="Palatino Linotype" w:hAnsi="Palatino Linotype" w:cs="Arial"/>
          <w:sz w:val="24"/>
          <w:szCs w:val="24"/>
          <w:lang w:eastAsia="es-MX"/>
        </w:rPr>
        <w:t>actividades de naturaleza fiscal, la cual, les permite hacerse identificables respecto de una situación fiscal determinada.</w:t>
      </w:r>
    </w:p>
    <w:p w:rsidR="005E0010" w:rsidRPr="00AD67C3" w:rsidRDefault="005E0010" w:rsidP="005E0010">
      <w:pPr>
        <w:spacing w:before="240" w:after="240" w:line="360" w:lineRule="auto"/>
        <w:jc w:val="both"/>
        <w:rPr>
          <w:rFonts w:ascii="Palatino Linotype" w:hAnsi="Palatino Linotype" w:cs="Arial"/>
          <w:sz w:val="24"/>
          <w:szCs w:val="24"/>
          <w:lang w:eastAsia="es-MX"/>
        </w:rPr>
      </w:pPr>
      <w:r w:rsidRPr="00AD67C3">
        <w:rPr>
          <w:rFonts w:ascii="Palatino Linotype" w:hAnsi="Palatino Linotype" w:cs="Arial"/>
          <w:sz w:val="24"/>
          <w:szCs w:val="24"/>
          <w:lang w:eastAsia="es-MX"/>
        </w:rPr>
        <w:t>Lo anterior es compartido por el entonces Instituto Nacional de Transparencia, Acceso a la Información y Protección de Datos Personales (INAI) a través del Criterio 19/17, el cual es del tenor literal siguiente:</w:t>
      </w:r>
    </w:p>
    <w:p w:rsidR="005E0010" w:rsidRPr="00AD67C3" w:rsidRDefault="005E0010" w:rsidP="005E0010">
      <w:pPr>
        <w:autoSpaceDE w:val="0"/>
        <w:autoSpaceDN w:val="0"/>
        <w:adjustRightInd w:val="0"/>
        <w:spacing w:before="240" w:after="240"/>
        <w:ind w:left="851" w:right="900"/>
        <w:jc w:val="both"/>
        <w:rPr>
          <w:rFonts w:ascii="Palatino Linotype" w:hAnsi="Palatino Linotype" w:cs="Arial"/>
          <w:bCs/>
          <w:i/>
          <w:sz w:val="24"/>
          <w:szCs w:val="24"/>
        </w:rPr>
      </w:pPr>
      <w:r w:rsidRPr="00AD67C3">
        <w:rPr>
          <w:rFonts w:ascii="Palatino Linotype" w:hAnsi="Palatino Linotype" w:cs="Arial"/>
          <w:b/>
          <w:bCs/>
          <w:i/>
          <w:sz w:val="24"/>
          <w:szCs w:val="24"/>
        </w:rPr>
        <w:lastRenderedPageBreak/>
        <w:t xml:space="preserve">“Registro Federal de Contribuyentes (RFC) de personas físicas. </w:t>
      </w:r>
      <w:r w:rsidRPr="00AD67C3">
        <w:rPr>
          <w:rFonts w:ascii="Palatino Linotype" w:hAnsi="Palatino Linotype" w:cs="Arial"/>
          <w:bCs/>
          <w:i/>
          <w:sz w:val="24"/>
          <w:szCs w:val="24"/>
        </w:rPr>
        <w:t>E</w:t>
      </w:r>
      <w:r w:rsidRPr="00AD67C3">
        <w:rPr>
          <w:rFonts w:ascii="Palatino Linotype" w:hAnsi="Palatino Linotype" w:cs="Arial"/>
          <w:i/>
          <w:sz w:val="24"/>
          <w:szCs w:val="24"/>
        </w:rPr>
        <w:t>l RFC es una clave de carácter fiscal, única e irrepetible, que permite identificar al titular, su edad y fecha de nacimiento, por lo que es un dato personal de carácter confidencial.”</w:t>
      </w:r>
      <w:r w:rsidRPr="00AD67C3">
        <w:rPr>
          <w:rFonts w:ascii="Palatino Linotype" w:hAnsi="Palatino Linotype" w:cs="Arial"/>
          <w:bCs/>
          <w:i/>
          <w:sz w:val="24"/>
          <w:szCs w:val="24"/>
        </w:rPr>
        <w:t xml:space="preserve"> (Sic)</w:t>
      </w:r>
    </w:p>
    <w:p w:rsidR="005E0010" w:rsidRPr="00AD67C3" w:rsidRDefault="006C05D1" w:rsidP="005E0010">
      <w:pPr>
        <w:spacing w:before="240" w:after="240" w:line="360" w:lineRule="auto"/>
        <w:jc w:val="both"/>
        <w:rPr>
          <w:rFonts w:ascii="Palatino Linotype" w:hAnsi="Palatino Linotype" w:cs="Arial"/>
          <w:sz w:val="24"/>
          <w:szCs w:val="24"/>
          <w:lang w:eastAsia="es-MX"/>
        </w:rPr>
      </w:pPr>
      <w:r>
        <w:rPr>
          <w:rFonts w:ascii="Palatino Linotype" w:hAnsi="Palatino Linotype" w:cs="Arial"/>
          <w:b/>
          <w:noProof/>
          <w:sz w:val="24"/>
          <w:szCs w:val="24"/>
          <w:lang w:eastAsia="es-MX"/>
        </w:rPr>
        <w:drawing>
          <wp:anchor distT="0" distB="0" distL="114300" distR="114300" simplePos="0" relativeHeight="251704320" behindDoc="1" locked="0" layoutInCell="1" allowOverlap="1" wp14:anchorId="2F278BDE" wp14:editId="1B2D879C">
            <wp:simplePos x="0" y="0"/>
            <wp:positionH relativeFrom="column">
              <wp:posOffset>782595</wp:posOffset>
            </wp:positionH>
            <wp:positionV relativeFrom="paragraph">
              <wp:posOffset>520906</wp:posOffset>
            </wp:positionV>
            <wp:extent cx="4480452" cy="3924300"/>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cs="Arial"/>
          <w:sz w:val="24"/>
          <w:szCs w:val="24"/>
          <w:lang w:eastAsia="es-MX"/>
        </w:rPr>
        <w:t xml:space="preserve">Así, el RFC se vincula al nombre de su titular y permite identificar la edad de la persona, su fecha de nacimiento, así como su </w:t>
      </w:r>
      <w:proofErr w:type="spellStart"/>
      <w:r w:rsidR="005E0010" w:rsidRPr="00AD67C3">
        <w:rPr>
          <w:rFonts w:ascii="Palatino Linotype" w:hAnsi="Palatino Linotype" w:cs="Arial"/>
          <w:sz w:val="24"/>
          <w:szCs w:val="24"/>
          <w:lang w:eastAsia="es-MX"/>
        </w:rPr>
        <w:t>homoclave</w:t>
      </w:r>
      <w:proofErr w:type="spellEnd"/>
      <w:r w:rsidR="005E0010" w:rsidRPr="00AD67C3">
        <w:rPr>
          <w:rFonts w:ascii="Palatino Linotype" w:hAnsi="Palatino Linotype" w:cs="Arial"/>
          <w:sz w:val="24"/>
          <w:szCs w:val="24"/>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E0010" w:rsidRDefault="005E0010" w:rsidP="005E0010">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sz w:val="24"/>
          <w:szCs w:val="24"/>
          <w:lang w:eastAsia="es-MX"/>
        </w:rPr>
        <w:t xml:space="preserve">En cuanto a la </w:t>
      </w:r>
      <w:r w:rsidRPr="00AD67C3">
        <w:rPr>
          <w:rFonts w:ascii="Palatino Linotype" w:hAnsi="Palatino Linotype" w:cs="Arial"/>
          <w:sz w:val="24"/>
          <w:szCs w:val="24"/>
        </w:rPr>
        <w:t xml:space="preserve">CURP en virtud de que éste se </w:t>
      </w:r>
      <w:r w:rsidRPr="00AD67C3">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E0010" w:rsidRPr="00AD67C3" w:rsidRDefault="005E0010" w:rsidP="005E001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w:t>
      </w:r>
      <w:r w:rsidRPr="00AD67C3">
        <w:rPr>
          <w:rFonts w:ascii="Palatino Linotype" w:hAnsi="Palatino Linotype" w:cs="Arial"/>
          <w:sz w:val="24"/>
          <w:szCs w:val="24"/>
        </w:rPr>
        <w:t xml:space="preserve">rgumento que es compartido por el entonces </w:t>
      </w:r>
      <w:r w:rsidRPr="00AD67C3">
        <w:rPr>
          <w:rFonts w:ascii="Palatino Linotype" w:hAnsi="Palatino Linotype" w:cs="Arial"/>
          <w:sz w:val="24"/>
          <w:szCs w:val="24"/>
          <w:lang w:eastAsia="es-MX"/>
        </w:rPr>
        <w:t>Instituto Nacional de Transparencia, Acceso a la Información y Protección de Datos Personales (INAI)</w:t>
      </w:r>
      <w:r w:rsidRPr="00AD67C3">
        <w:rPr>
          <w:rFonts w:ascii="Palatino Linotype" w:hAnsi="Palatino Linotype" w:cs="Arial"/>
          <w:bCs/>
          <w:sz w:val="24"/>
          <w:szCs w:val="24"/>
        </w:rPr>
        <w:t xml:space="preserve">, conforme al </w:t>
      </w:r>
      <w:r w:rsidRPr="00AD67C3">
        <w:rPr>
          <w:rFonts w:ascii="Palatino Linotype" w:hAnsi="Palatino Linotype" w:cs="Arial"/>
          <w:sz w:val="24"/>
          <w:szCs w:val="24"/>
        </w:rPr>
        <w:t xml:space="preserve">criterio número 18/17, el cual refiere: </w:t>
      </w:r>
    </w:p>
    <w:p w:rsidR="005E0010" w:rsidRDefault="005E0010" w:rsidP="005E0010">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p>
    <w:p w:rsidR="005E0010" w:rsidRPr="00AD67C3" w:rsidRDefault="005E0010" w:rsidP="005E0010">
      <w:pPr>
        <w:autoSpaceDE w:val="0"/>
        <w:autoSpaceDN w:val="0"/>
        <w:adjustRightInd w:val="0"/>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5E0010" w:rsidRPr="00AD67C3" w:rsidRDefault="006C05D1" w:rsidP="005E0010">
      <w:pPr>
        <w:spacing w:before="240" w:after="240" w:line="360" w:lineRule="auto"/>
        <w:jc w:val="both"/>
        <w:rPr>
          <w:rFonts w:ascii="Palatino Linotype" w:hAnsi="Palatino Linotype" w:cs="Arial"/>
          <w:i/>
          <w:iCs/>
          <w:sz w:val="24"/>
          <w:szCs w:val="24"/>
          <w:lang w:eastAsia="es-MX"/>
        </w:rPr>
      </w:pPr>
      <w:r>
        <w:rPr>
          <w:rFonts w:ascii="Palatino Linotype" w:hAnsi="Palatino Linotype" w:cs="Arial"/>
          <w:b/>
          <w:noProof/>
          <w:sz w:val="24"/>
          <w:szCs w:val="24"/>
          <w:lang w:eastAsia="es-MX"/>
        </w:rPr>
        <w:lastRenderedPageBreak/>
        <w:drawing>
          <wp:anchor distT="0" distB="0" distL="114300" distR="114300" simplePos="0" relativeHeight="251706368" behindDoc="1" locked="0" layoutInCell="1" allowOverlap="1" wp14:anchorId="2F278BDE" wp14:editId="1B2D879C">
            <wp:simplePos x="0" y="0"/>
            <wp:positionH relativeFrom="column">
              <wp:posOffset>683260</wp:posOffset>
            </wp:positionH>
            <wp:positionV relativeFrom="paragraph">
              <wp:posOffset>903485</wp:posOffset>
            </wp:positionV>
            <wp:extent cx="4480452" cy="392430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cs="Arial"/>
          <w:sz w:val="24"/>
          <w:szCs w:val="24"/>
          <w:lang w:eastAsia="es-CO"/>
        </w:rPr>
        <w:t xml:space="preserve">El domicilio de los particulares, en razón de el mismo </w:t>
      </w:r>
      <w:r w:rsidR="005E0010" w:rsidRPr="00AD67C3">
        <w:rPr>
          <w:rFonts w:ascii="Palatino Linotype" w:hAnsi="Palatino Linotype" w:cs="Arial"/>
          <w:sz w:val="24"/>
          <w:szCs w:val="24"/>
        </w:rPr>
        <w:t>si se trata de una persona física (domicilio particular), conforme a lo dispuesto por el artículo 2.17 del Código Civil del Estado de México</w:t>
      </w:r>
      <w:r w:rsidR="005E0010" w:rsidRPr="00AD67C3">
        <w:rPr>
          <w:rFonts w:ascii="Palatino Linotype" w:hAnsi="Palatino Linotype" w:cs="Arial"/>
          <w:sz w:val="24"/>
          <w:szCs w:val="24"/>
          <w:lang w:eastAsia="es-MX"/>
        </w:rPr>
        <w:t>, se considera como</w:t>
      </w:r>
      <w:r w:rsidR="005E0010" w:rsidRPr="00AD67C3">
        <w:rPr>
          <w:rFonts w:ascii="Palatino Linotype" w:hAnsi="Palatino Linotype" w:cs="Arial"/>
          <w:i/>
          <w:iCs/>
          <w:sz w:val="24"/>
          <w:szCs w:val="24"/>
          <w:lang w:eastAsia="es-MX"/>
        </w:rPr>
        <w:t xml:space="preserve"> el lugar donde reside con el propósito de establecerse en él; a falta de éste, el lugar en que tiene el principal asiento de sus negocios; y a falta de uno y otro, el lugar en que se halle.</w:t>
      </w:r>
      <w:r w:rsidRPr="006C05D1">
        <w:rPr>
          <w:rFonts w:ascii="Palatino Linotype" w:hAnsi="Palatino Linotype" w:cs="Arial"/>
          <w:b/>
          <w:noProof/>
          <w:sz w:val="24"/>
          <w:szCs w:val="24"/>
          <w:lang w:eastAsia="es-MX"/>
        </w:rPr>
        <w:t xml:space="preserve"> </w:t>
      </w:r>
    </w:p>
    <w:p w:rsidR="005E0010" w:rsidRPr="00AD67C3" w:rsidRDefault="005E0010" w:rsidP="005E0010">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w:t>
      </w:r>
      <w:r>
        <w:rPr>
          <w:rFonts w:ascii="Palatino Linotype" w:hAnsi="Palatino Linotype" w:cs="Arial"/>
          <w:sz w:val="24"/>
          <w:szCs w:val="24"/>
        </w:rPr>
        <w:t xml:space="preserve"> </w:t>
      </w:r>
      <w:r w:rsidRPr="00AD67C3">
        <w:rPr>
          <w:rFonts w:ascii="Palatino Linotype" w:hAnsi="Palatino Linotype" w:cs="Arial"/>
          <w:sz w:val="24"/>
          <w:szCs w:val="24"/>
        </w:rPr>
        <w:t>Municipios, en virtud de que constituye información que incide en la intimidad de un individuo identificado.</w:t>
      </w:r>
    </w:p>
    <w:p w:rsidR="005E0010" w:rsidRPr="00AD67C3" w:rsidRDefault="005E0010" w:rsidP="005E0010">
      <w:pPr>
        <w:autoSpaceDE w:val="0"/>
        <w:autoSpaceDN w:val="0"/>
        <w:adjustRightInd w:val="0"/>
        <w:spacing w:after="240" w:line="360" w:lineRule="auto"/>
        <w:ind w:right="50"/>
        <w:jc w:val="both"/>
        <w:rPr>
          <w:rFonts w:ascii="Palatino Linotype" w:hAnsi="Palatino Linotype" w:cs="Arial"/>
          <w:sz w:val="24"/>
          <w:szCs w:val="24"/>
        </w:rPr>
      </w:pPr>
      <w:r w:rsidRPr="00AD67C3">
        <w:rPr>
          <w:rFonts w:ascii="Palatino Linotype" w:hAnsi="Palatino Linotype" w:cs="Arial"/>
          <w:bCs/>
          <w:sz w:val="24"/>
          <w:szCs w:val="24"/>
        </w:rPr>
        <w:t>Al respecto, los</w:t>
      </w:r>
      <w:r w:rsidRPr="00AD67C3">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rsidR="005E0010" w:rsidRPr="00AD67C3" w:rsidRDefault="005E0010" w:rsidP="005E0010">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Artículo 3. Para los efectos de la presente Ley se entenderá por:</w:t>
      </w:r>
    </w:p>
    <w:p w:rsidR="005E0010" w:rsidRPr="00AD67C3" w:rsidRDefault="005E0010" w:rsidP="005E0010">
      <w:pPr>
        <w:autoSpaceDE w:val="0"/>
        <w:autoSpaceDN w:val="0"/>
        <w:adjustRightInd w:val="0"/>
        <w:ind w:left="851" w:right="902"/>
        <w:jc w:val="both"/>
        <w:rPr>
          <w:rFonts w:ascii="Palatino Linotype" w:hAnsi="Palatino Linotype" w:cs="Arial"/>
          <w:b/>
          <w:i/>
          <w:sz w:val="24"/>
          <w:szCs w:val="24"/>
        </w:rPr>
      </w:pPr>
      <w:r w:rsidRPr="00AD67C3">
        <w:rPr>
          <w:rFonts w:ascii="Palatino Linotype" w:hAnsi="Palatino Linotype" w:cs="Arial"/>
          <w:b/>
          <w:i/>
          <w:sz w:val="24"/>
          <w:szCs w:val="24"/>
        </w:rPr>
        <w:t>…</w:t>
      </w:r>
    </w:p>
    <w:p w:rsidR="005E0010" w:rsidRPr="00AD67C3" w:rsidRDefault="005E0010" w:rsidP="005E0010">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IX. Datos personales:</w:t>
      </w:r>
      <w:r w:rsidRPr="00AD67C3">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w:t>
      </w:r>
    </w:p>
    <w:p w:rsidR="005E0010" w:rsidRPr="00AD67C3" w:rsidRDefault="005E0010" w:rsidP="005E0010">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w:t>
      </w:r>
    </w:p>
    <w:p w:rsidR="005E0010" w:rsidRPr="00AD67C3" w:rsidRDefault="005E0010" w:rsidP="005E0010">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XX. Información clasificada:</w:t>
      </w:r>
      <w:r w:rsidRPr="00AD67C3">
        <w:rPr>
          <w:rFonts w:ascii="Palatino Linotype" w:hAnsi="Palatino Linotype" w:cs="Arial"/>
          <w:i/>
          <w:sz w:val="24"/>
          <w:szCs w:val="24"/>
        </w:rPr>
        <w:t xml:space="preserve"> Aquella considerada por la presente Ley como reservada o confidencial;</w:t>
      </w:r>
    </w:p>
    <w:p w:rsidR="005E0010" w:rsidRPr="00AD67C3" w:rsidRDefault="005E0010" w:rsidP="005E0010">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b/>
          <w:i/>
          <w:sz w:val="24"/>
          <w:szCs w:val="24"/>
        </w:rPr>
        <w:t>XXI. Información confidencial:</w:t>
      </w:r>
      <w:r w:rsidRPr="00AD67C3">
        <w:rPr>
          <w:rFonts w:ascii="Palatino Linotype" w:hAnsi="Palatino Linotype" w:cs="Arial"/>
          <w:i/>
          <w:sz w:val="24"/>
          <w:szCs w:val="24"/>
        </w:rPr>
        <w:t xml:space="preserve"> Se considera como información confidencial los secretos bancario, fiduciario, industrial, comercial, fiscal, </w:t>
      </w:r>
      <w:r w:rsidRPr="00AD67C3">
        <w:rPr>
          <w:rFonts w:ascii="Palatino Linotype" w:hAnsi="Palatino Linotype" w:cs="Arial"/>
          <w:i/>
          <w:sz w:val="24"/>
          <w:szCs w:val="24"/>
        </w:rPr>
        <w:lastRenderedPageBreak/>
        <w:t>bursátil y postal, cuya titularidad corresponda a particulares, sujetos de derecho internacional o a sujetos obligados cuando no involucren el ejercicio de recursos públicos;</w:t>
      </w:r>
    </w:p>
    <w:p w:rsidR="005E0010" w:rsidRPr="00AD67C3" w:rsidRDefault="006C05D1" w:rsidP="005E0010">
      <w:pPr>
        <w:autoSpaceDE w:val="0"/>
        <w:autoSpaceDN w:val="0"/>
        <w:adjustRightInd w:val="0"/>
        <w:ind w:left="851" w:right="902"/>
        <w:jc w:val="both"/>
        <w:rPr>
          <w:rFonts w:ascii="Palatino Linotype" w:hAnsi="Palatino Linotype" w:cs="Arial"/>
          <w:i/>
          <w:sz w:val="24"/>
          <w:szCs w:val="24"/>
        </w:rPr>
      </w:pPr>
      <w:r>
        <w:rPr>
          <w:rFonts w:ascii="Palatino Linotype" w:hAnsi="Palatino Linotype" w:cs="Arial"/>
          <w:b/>
          <w:noProof/>
          <w:sz w:val="24"/>
          <w:szCs w:val="24"/>
          <w:lang w:eastAsia="es-MX"/>
        </w:rPr>
        <w:drawing>
          <wp:anchor distT="0" distB="0" distL="114300" distR="114300" simplePos="0" relativeHeight="251708416" behindDoc="1" locked="0" layoutInCell="1" allowOverlap="1" wp14:anchorId="2F278BDE" wp14:editId="1B2D879C">
            <wp:simplePos x="0" y="0"/>
            <wp:positionH relativeFrom="column">
              <wp:posOffset>667265</wp:posOffset>
            </wp:positionH>
            <wp:positionV relativeFrom="paragraph">
              <wp:posOffset>101085</wp:posOffset>
            </wp:positionV>
            <wp:extent cx="4480452" cy="3924300"/>
            <wp:effectExtent l="0" t="0" r="0" b="0"/>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5E0010" w:rsidRPr="00AD67C3">
        <w:rPr>
          <w:rFonts w:ascii="Palatino Linotype" w:hAnsi="Palatino Linotype" w:cs="Arial"/>
          <w:b/>
          <w:i/>
          <w:sz w:val="24"/>
          <w:szCs w:val="24"/>
        </w:rPr>
        <w:t>…</w:t>
      </w:r>
    </w:p>
    <w:p w:rsidR="005E0010" w:rsidRPr="00AD67C3" w:rsidRDefault="005E0010" w:rsidP="005E0010">
      <w:pPr>
        <w:autoSpaceDE w:val="0"/>
        <w:autoSpaceDN w:val="0"/>
        <w:adjustRightInd w:val="0"/>
        <w:ind w:left="851" w:right="902"/>
        <w:jc w:val="both"/>
        <w:rPr>
          <w:rFonts w:ascii="Palatino Linotype" w:hAnsi="Palatino Linotype"/>
          <w:i/>
          <w:sz w:val="24"/>
          <w:szCs w:val="24"/>
        </w:rPr>
      </w:pPr>
      <w:r w:rsidRPr="00AD67C3">
        <w:rPr>
          <w:rFonts w:ascii="Palatino Linotype" w:hAnsi="Palatino Linotype"/>
          <w:b/>
          <w:i/>
          <w:sz w:val="24"/>
          <w:szCs w:val="24"/>
        </w:rPr>
        <w:t>XXXII. Protección de Datos Personales:</w:t>
      </w:r>
      <w:r w:rsidRPr="00AD67C3">
        <w:rPr>
          <w:rFonts w:ascii="Palatino Linotype" w:hAnsi="Palatino Linotype"/>
          <w:i/>
          <w:sz w:val="24"/>
          <w:szCs w:val="24"/>
        </w:rPr>
        <w:t xml:space="preserve"> Derecho humano que tutela la privacidad de datos personales en poder de los sujetos obligados y sujetos particulares;</w:t>
      </w:r>
    </w:p>
    <w:p w:rsidR="005E0010" w:rsidRPr="00AD67C3" w:rsidRDefault="005E0010" w:rsidP="005E0010">
      <w:pPr>
        <w:autoSpaceDE w:val="0"/>
        <w:autoSpaceDN w:val="0"/>
        <w:adjustRightInd w:val="0"/>
        <w:ind w:left="851" w:right="902"/>
        <w:jc w:val="both"/>
        <w:rPr>
          <w:rFonts w:ascii="Palatino Linotype" w:hAnsi="Palatino Linotype" w:cs="Arial"/>
          <w:i/>
          <w:sz w:val="24"/>
          <w:szCs w:val="24"/>
        </w:rPr>
      </w:pPr>
      <w:r w:rsidRPr="00AD67C3">
        <w:rPr>
          <w:rFonts w:ascii="Palatino Linotype" w:hAnsi="Palatino Linotype" w:cs="Arial"/>
          <w:i/>
          <w:sz w:val="24"/>
          <w:szCs w:val="24"/>
        </w:rPr>
        <w:t>…</w:t>
      </w:r>
    </w:p>
    <w:p w:rsidR="00AD7F5F" w:rsidRDefault="00AD7F5F" w:rsidP="005E0010">
      <w:pPr>
        <w:spacing w:before="240" w:after="240" w:line="360" w:lineRule="auto"/>
        <w:jc w:val="both"/>
        <w:rPr>
          <w:rFonts w:ascii="Palatino Linotype" w:hAnsi="Palatino Linotype" w:cs="Arial"/>
          <w:sz w:val="24"/>
          <w:szCs w:val="24"/>
          <w:lang w:eastAsia="es-MX"/>
        </w:rPr>
        <w:sectPr w:rsidR="00AD7F5F" w:rsidSect="009172DE">
          <w:type w:val="continuous"/>
          <w:pgSz w:w="12240" w:h="15840"/>
          <w:pgMar w:top="1417" w:right="1701" w:bottom="1417" w:left="1701" w:header="708" w:footer="708" w:gutter="0"/>
          <w:cols w:space="708"/>
          <w:docGrid w:linePitch="360"/>
        </w:sectPr>
      </w:pPr>
    </w:p>
    <w:p w:rsidR="00AD7F5F" w:rsidRDefault="00AD7F5F" w:rsidP="005E0010">
      <w:pPr>
        <w:spacing w:before="240" w:after="240" w:line="360" w:lineRule="auto"/>
        <w:jc w:val="both"/>
        <w:rPr>
          <w:rFonts w:ascii="Palatino Linotype" w:hAnsi="Palatino Linotype" w:cs="Arial"/>
          <w:i/>
          <w:sz w:val="24"/>
          <w:szCs w:val="24"/>
        </w:rPr>
        <w:sectPr w:rsidR="00AD7F5F"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b/>
          <w:i/>
          <w:sz w:val="24"/>
          <w:szCs w:val="24"/>
        </w:rPr>
        <w:t>XLV. Versión pública</w:t>
      </w:r>
      <w:r w:rsidRPr="00AD67C3">
        <w:rPr>
          <w:rFonts w:ascii="Palatino Linotype" w:hAnsi="Palatino Linotype" w:cs="Arial"/>
          <w:i/>
          <w:sz w:val="24"/>
          <w:szCs w:val="24"/>
        </w:rPr>
        <w:t>: Documento en el que se elimine, suprime o borra la información clasificada como reservada o confidencial para permitir su acceso.</w:t>
      </w:r>
    </w:p>
    <w:p w:rsidR="00AD7F5F" w:rsidRDefault="00AD7F5F" w:rsidP="00AD7F5F">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6.</w:t>
      </w:r>
      <w:r w:rsidRPr="00AD67C3">
        <w:rPr>
          <w:rFonts w:ascii="Palatino Linotype" w:hAnsi="Palatino Linotype"/>
          <w:i/>
          <w:sz w:val="24"/>
          <w:szCs w:val="24"/>
        </w:rPr>
        <w:t xml:space="preserve"> Los datos personales son irrenunciables, intransferibles e indelegables, por lo que los sujetos obligados no deberán proporcionar o hacer pública la información que contenga, con excepción de aquellos casos </w:t>
      </w: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i/>
          <w:sz w:val="24"/>
          <w:szCs w:val="24"/>
        </w:rPr>
        <w:t>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D7F5F" w:rsidRPr="00AD67C3" w:rsidRDefault="00AD7F5F" w:rsidP="00AD7F5F">
      <w:pPr>
        <w:ind w:left="851" w:right="902"/>
        <w:contextualSpacing/>
        <w:jc w:val="both"/>
        <w:rPr>
          <w:rFonts w:ascii="Palatino Linotype" w:hAnsi="Palatino Linotype" w:cs="Arial"/>
          <w:bCs/>
          <w:i/>
          <w:noProof/>
          <w:sz w:val="24"/>
          <w:szCs w:val="24"/>
        </w:rPr>
      </w:pP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49.</w:t>
      </w:r>
      <w:r w:rsidRPr="00AD67C3">
        <w:rPr>
          <w:rFonts w:ascii="Palatino Linotype" w:hAnsi="Palatino Linotype"/>
          <w:i/>
          <w:sz w:val="24"/>
          <w:szCs w:val="24"/>
        </w:rPr>
        <w:t xml:space="preserve"> Los Comités de Transparencia tendrán las siguientes atribuciones:</w:t>
      </w: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i/>
          <w:sz w:val="24"/>
          <w:szCs w:val="24"/>
        </w:rPr>
        <w:t>…</w:t>
      </w: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b/>
          <w:i/>
          <w:sz w:val="24"/>
          <w:szCs w:val="24"/>
        </w:rPr>
        <w:t>VIII</w:t>
      </w:r>
      <w:r w:rsidRPr="00AD67C3">
        <w:rPr>
          <w:rFonts w:ascii="Palatino Linotype" w:hAnsi="Palatino Linotype"/>
          <w:i/>
          <w:sz w:val="24"/>
          <w:szCs w:val="24"/>
        </w:rPr>
        <w:t>. Aprobar, modificar o revocar la clasificación de la información;</w:t>
      </w:r>
    </w:p>
    <w:p w:rsidR="00AD7F5F" w:rsidRPr="00AD67C3" w:rsidRDefault="00AD7F5F" w:rsidP="00AD7F5F">
      <w:pPr>
        <w:ind w:left="851" w:right="902"/>
        <w:contextualSpacing/>
        <w:jc w:val="both"/>
        <w:rPr>
          <w:rFonts w:ascii="Palatino Linotype" w:hAnsi="Palatino Linotype" w:cs="Arial"/>
          <w:bCs/>
          <w:i/>
          <w:noProof/>
          <w:sz w:val="24"/>
          <w:szCs w:val="24"/>
        </w:rPr>
      </w:pPr>
      <w:r w:rsidRPr="00AD67C3">
        <w:rPr>
          <w:rFonts w:ascii="Palatino Linotype" w:hAnsi="Palatino Linotype"/>
          <w:i/>
          <w:sz w:val="24"/>
          <w:szCs w:val="24"/>
        </w:rPr>
        <w:t>…</w:t>
      </w:r>
    </w:p>
    <w:p w:rsidR="00AD7F5F" w:rsidRPr="00AD67C3" w:rsidRDefault="00AD7F5F" w:rsidP="00AD7F5F">
      <w:pPr>
        <w:ind w:left="851" w:right="902"/>
        <w:contextualSpacing/>
        <w:jc w:val="both"/>
        <w:rPr>
          <w:rFonts w:ascii="Palatino Linotype" w:hAnsi="Palatino Linotype"/>
          <w:i/>
          <w:sz w:val="24"/>
          <w:szCs w:val="24"/>
        </w:rPr>
      </w:pPr>
    </w:p>
    <w:p w:rsidR="00AD7F5F" w:rsidRPr="00AD67C3" w:rsidRDefault="00AD7F5F" w:rsidP="00AD7F5F">
      <w:pPr>
        <w:ind w:left="851" w:right="902"/>
        <w:contextualSpacing/>
        <w:jc w:val="both"/>
        <w:rPr>
          <w:rFonts w:ascii="Palatino Linotype" w:hAnsi="Palatino Linotype" w:cs="Arial"/>
          <w:b/>
          <w:bCs/>
          <w:i/>
          <w:noProof/>
          <w:sz w:val="24"/>
          <w:szCs w:val="24"/>
        </w:rPr>
      </w:pPr>
      <w:r w:rsidRPr="00AD67C3">
        <w:rPr>
          <w:rFonts w:ascii="Palatino Linotype" w:hAnsi="Palatino Linotype"/>
          <w:b/>
          <w:i/>
          <w:sz w:val="24"/>
          <w:szCs w:val="24"/>
        </w:rPr>
        <w:t>Artículo 137</w:t>
      </w:r>
      <w:r w:rsidRPr="00AD67C3">
        <w:rPr>
          <w:rFonts w:ascii="Palatino Linotype" w:hAnsi="Palatino Linotype"/>
          <w:i/>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D7F5F" w:rsidRPr="00AD67C3" w:rsidRDefault="00AD7F5F" w:rsidP="00AD7F5F">
      <w:pPr>
        <w:ind w:left="851" w:right="902"/>
        <w:contextualSpacing/>
        <w:jc w:val="both"/>
        <w:rPr>
          <w:rFonts w:ascii="Palatino Linotype" w:hAnsi="Palatino Linotype" w:cs="Arial"/>
          <w:b/>
          <w:bCs/>
          <w:i/>
          <w:noProof/>
          <w:sz w:val="24"/>
          <w:szCs w:val="24"/>
        </w:rPr>
      </w:pP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b/>
          <w:i/>
          <w:sz w:val="24"/>
          <w:szCs w:val="24"/>
        </w:rPr>
        <w:t>Artículo 143</w:t>
      </w:r>
      <w:r w:rsidRPr="00AD67C3">
        <w:rPr>
          <w:rFonts w:ascii="Palatino Linotype" w:hAnsi="Palatino Linotype"/>
          <w:i/>
          <w:sz w:val="24"/>
          <w:szCs w:val="24"/>
        </w:rPr>
        <w:t>. Para los efectos de esta Ley se considera información confidencial, la clasificada como tal, de manera permanente, por su naturaleza, cuando:</w:t>
      </w:r>
    </w:p>
    <w:p w:rsidR="00AD7F5F" w:rsidRPr="00AD67C3" w:rsidRDefault="00AD7F5F" w:rsidP="00AD7F5F">
      <w:pPr>
        <w:ind w:left="851" w:right="902"/>
        <w:contextualSpacing/>
        <w:jc w:val="both"/>
        <w:rPr>
          <w:rFonts w:ascii="Palatino Linotype" w:hAnsi="Palatino Linotype"/>
          <w:i/>
          <w:sz w:val="24"/>
          <w:szCs w:val="24"/>
        </w:rPr>
      </w:pPr>
    </w:p>
    <w:p w:rsidR="00AD7F5F" w:rsidRPr="00AD67C3" w:rsidRDefault="00AD7F5F" w:rsidP="00AD7F5F">
      <w:pPr>
        <w:ind w:left="851" w:right="902"/>
        <w:contextualSpacing/>
        <w:jc w:val="both"/>
        <w:rPr>
          <w:rFonts w:ascii="Palatino Linotype" w:hAnsi="Palatino Linotype"/>
          <w:i/>
          <w:sz w:val="24"/>
          <w:szCs w:val="24"/>
        </w:rPr>
      </w:pPr>
      <w:r w:rsidRPr="00AD67C3">
        <w:rPr>
          <w:rFonts w:ascii="Palatino Linotype" w:hAnsi="Palatino Linotype"/>
          <w:i/>
          <w:sz w:val="24"/>
          <w:szCs w:val="24"/>
        </w:rPr>
        <w:t>I. Se refiera a la información privada y los datos personales concernientes a una persona física o jurídico colectiva identificada o identificable</w:t>
      </w:r>
    </w:p>
    <w:p w:rsidR="00AD7F5F" w:rsidRPr="00AD67C3" w:rsidRDefault="00AD7F5F" w:rsidP="00AD7F5F">
      <w:pPr>
        <w:spacing w:before="240" w:after="240"/>
        <w:ind w:left="993" w:right="1610"/>
        <w:contextualSpacing/>
        <w:jc w:val="both"/>
        <w:rPr>
          <w:rFonts w:ascii="Palatino Linotype" w:hAnsi="Palatino Linotype"/>
          <w:i/>
          <w:sz w:val="24"/>
          <w:szCs w:val="24"/>
        </w:rPr>
      </w:pPr>
      <w:r w:rsidRPr="00AD67C3">
        <w:rPr>
          <w:rFonts w:ascii="Palatino Linotype" w:hAnsi="Palatino Linotype"/>
          <w:i/>
          <w:sz w:val="24"/>
          <w:szCs w:val="24"/>
        </w:rPr>
        <w:t>…</w:t>
      </w:r>
    </w:p>
    <w:p w:rsidR="00AD7F5F" w:rsidRPr="00AD67C3" w:rsidRDefault="006C05D1" w:rsidP="00AD7F5F">
      <w:pPr>
        <w:spacing w:before="240" w:after="240"/>
        <w:ind w:left="993" w:right="1610"/>
        <w:contextualSpacing/>
        <w:jc w:val="both"/>
        <w:rPr>
          <w:rFonts w:ascii="Palatino Linotype" w:hAnsi="Palatino Linotype"/>
          <w:i/>
          <w:sz w:val="24"/>
          <w:szCs w:val="24"/>
        </w:rPr>
      </w:pPr>
      <w:r>
        <w:rPr>
          <w:rFonts w:ascii="Palatino Linotype" w:hAnsi="Palatino Linotype" w:cs="Arial"/>
          <w:b/>
          <w:noProof/>
          <w:sz w:val="24"/>
          <w:szCs w:val="24"/>
          <w:lang w:eastAsia="es-MX"/>
        </w:rPr>
        <w:drawing>
          <wp:anchor distT="0" distB="0" distL="114300" distR="114300" simplePos="0" relativeHeight="251710464" behindDoc="1" locked="0" layoutInCell="1" allowOverlap="1" wp14:anchorId="2F278BDE" wp14:editId="1B2D879C">
            <wp:simplePos x="0" y="0"/>
            <wp:positionH relativeFrom="column">
              <wp:posOffset>683740</wp:posOffset>
            </wp:positionH>
            <wp:positionV relativeFrom="paragraph">
              <wp:posOffset>67636</wp:posOffset>
            </wp:positionV>
            <wp:extent cx="4480452" cy="3924300"/>
            <wp:effectExtent l="0" t="0" r="0" b="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p>
    <w:p w:rsidR="00AD7F5F" w:rsidRDefault="00AD7F5F" w:rsidP="005E0010">
      <w:pPr>
        <w:spacing w:before="240" w:after="240" w:line="360" w:lineRule="auto"/>
        <w:jc w:val="both"/>
        <w:rPr>
          <w:rFonts w:ascii="Palatino Linotype" w:hAnsi="Palatino Linotype" w:cs="Arial"/>
          <w:sz w:val="24"/>
          <w:szCs w:val="24"/>
        </w:rPr>
        <w:sectPr w:rsidR="00AD7F5F" w:rsidSect="009172DE">
          <w:type w:val="continuous"/>
          <w:pgSz w:w="12240" w:h="15840"/>
          <w:pgMar w:top="1417" w:right="1701" w:bottom="1417" w:left="1701" w:header="708" w:footer="708" w:gutter="0"/>
          <w:cols w:space="708"/>
          <w:docGrid w:linePitch="360"/>
        </w:sectPr>
      </w:pPr>
      <w:r w:rsidRPr="00AD67C3">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w:t>
      </w:r>
    </w:p>
    <w:p w:rsidR="00AD7F5F" w:rsidRPr="00AD67C3" w:rsidRDefault="00AD7F5F" w:rsidP="00AD7F5F">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14.</w:t>
      </w:r>
      <w:r w:rsidRPr="00AD67C3">
        <w:rPr>
          <w:rFonts w:ascii="Palatino Linotype" w:eastAsia="Arial Unicode MS" w:hAnsi="Palatino Linotype" w:cs="Arial"/>
          <w:i/>
          <w:sz w:val="24"/>
          <w:szCs w:val="24"/>
        </w:rPr>
        <w:t xml:space="preserve"> Todo tratamiento de datos personales que efectúen los sujetos obligados deberá estar justificado en la Ley.</w:t>
      </w:r>
    </w:p>
    <w:p w:rsidR="00AD7F5F" w:rsidRPr="00AD67C3" w:rsidRDefault="00AD7F5F" w:rsidP="00AD7F5F">
      <w:pPr>
        <w:tabs>
          <w:tab w:val="left" w:pos="7655"/>
          <w:tab w:val="left" w:pos="7938"/>
        </w:tabs>
        <w:ind w:left="851" w:right="902"/>
        <w:jc w:val="both"/>
        <w:rPr>
          <w:rFonts w:ascii="Palatino Linotype" w:eastAsia="Arial Unicode MS" w:hAnsi="Palatino Linotype" w:cs="Arial"/>
          <w:b/>
          <w:i/>
          <w:sz w:val="24"/>
          <w:szCs w:val="24"/>
        </w:rPr>
      </w:pPr>
      <w:r w:rsidRPr="00AD67C3">
        <w:rPr>
          <w:rFonts w:ascii="Palatino Linotype" w:eastAsia="Arial Unicode MS" w:hAnsi="Palatino Linotype" w:cs="Arial"/>
          <w:i/>
          <w:sz w:val="24"/>
          <w:szCs w:val="24"/>
        </w:rPr>
        <w:t>No se considerará como una finalidad distinta a aquélla para la que fueron obtenidos, el tratamiento de los datos con fines estadísticos o científicos.</w:t>
      </w:r>
    </w:p>
    <w:p w:rsidR="00AD7F5F" w:rsidRPr="00AD67C3" w:rsidRDefault="00AD7F5F" w:rsidP="00AD7F5F">
      <w:pPr>
        <w:tabs>
          <w:tab w:val="left" w:pos="7655"/>
          <w:tab w:val="left" w:pos="7938"/>
        </w:tabs>
        <w:ind w:left="851" w:right="902"/>
        <w:jc w:val="both"/>
        <w:rPr>
          <w:rFonts w:ascii="Palatino Linotype" w:eastAsia="Arial Unicode MS" w:hAnsi="Palatino Linotype" w:cs="Arial"/>
          <w:b/>
          <w:i/>
          <w:sz w:val="24"/>
          <w:szCs w:val="24"/>
        </w:rPr>
      </w:pPr>
    </w:p>
    <w:p w:rsidR="00AD7F5F" w:rsidRPr="00AD67C3" w:rsidRDefault="00AD7F5F" w:rsidP="00AD7F5F">
      <w:pPr>
        <w:tabs>
          <w:tab w:val="left" w:pos="7655"/>
          <w:tab w:val="left" w:pos="7938"/>
        </w:tabs>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b/>
          <w:i/>
          <w:sz w:val="24"/>
          <w:szCs w:val="24"/>
        </w:rPr>
        <w:t>Artículo 58.</w:t>
      </w:r>
      <w:r w:rsidRPr="00AD67C3">
        <w:rPr>
          <w:rFonts w:ascii="Palatino Linotype" w:eastAsia="Arial Unicode MS" w:hAnsi="Palatino Linotype" w:cs="Arial"/>
          <w:i/>
          <w:sz w:val="24"/>
          <w:szCs w:val="24"/>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w:t>
      </w:r>
      <w:r w:rsidRPr="00AD67C3">
        <w:rPr>
          <w:rFonts w:ascii="Palatino Linotype" w:eastAsia="Arial Unicode MS" w:hAnsi="Palatino Linotype" w:cs="Arial"/>
          <w:i/>
          <w:sz w:val="24"/>
          <w:szCs w:val="24"/>
        </w:rPr>
        <w:lastRenderedPageBreak/>
        <w:t>autorizado, de conformidad con lo dispuesto en los lineamientos que al efecto se expidan</w:t>
      </w:r>
    </w:p>
    <w:p w:rsidR="00AD7F5F" w:rsidRPr="00AD67C3" w:rsidRDefault="00AD7F5F" w:rsidP="00AD7F5F">
      <w:pPr>
        <w:tabs>
          <w:tab w:val="left" w:pos="7655"/>
          <w:tab w:val="left" w:pos="7938"/>
        </w:tabs>
        <w:ind w:left="851" w:right="902"/>
        <w:jc w:val="both"/>
        <w:rPr>
          <w:rFonts w:ascii="Palatino Linotype" w:eastAsia="Arial Unicode MS" w:hAnsi="Palatino Linotype" w:cs="Arial"/>
          <w:i/>
          <w:sz w:val="24"/>
          <w:szCs w:val="24"/>
        </w:rPr>
      </w:pPr>
    </w:p>
    <w:p w:rsidR="00AD7F5F" w:rsidRPr="00AD67C3" w:rsidRDefault="00AD7F5F" w:rsidP="00AD7F5F">
      <w:pPr>
        <w:tabs>
          <w:tab w:val="left" w:pos="7655"/>
          <w:tab w:val="left" w:pos="7938"/>
        </w:tabs>
        <w:autoSpaceDE w:val="0"/>
        <w:autoSpaceDN w:val="0"/>
        <w:adjustRightInd w:val="0"/>
        <w:ind w:left="851" w:right="902"/>
        <w:jc w:val="both"/>
        <w:rPr>
          <w:rFonts w:ascii="Palatino Linotype" w:eastAsia="Arial Unicode MS" w:hAnsi="Palatino Linotype" w:cs="Arial"/>
          <w:i/>
          <w:sz w:val="24"/>
          <w:szCs w:val="24"/>
        </w:rPr>
      </w:pPr>
      <w:r w:rsidRPr="00AD67C3">
        <w:rPr>
          <w:rFonts w:ascii="Palatino Linotype" w:eastAsia="Arial Unicode MS" w:hAnsi="Palatino Linotype" w:cs="Arial"/>
          <w:i/>
          <w:sz w:val="24"/>
          <w:szCs w:val="24"/>
        </w:rPr>
        <w:t>…” (Sic)</w:t>
      </w:r>
    </w:p>
    <w:p w:rsidR="00AD7F5F" w:rsidRPr="00AD67C3" w:rsidRDefault="006C05D1" w:rsidP="00AD7F5F">
      <w:pPr>
        <w:autoSpaceDE w:val="0"/>
        <w:autoSpaceDN w:val="0"/>
        <w:adjustRightInd w:val="0"/>
        <w:ind w:left="567" w:right="-1"/>
        <w:jc w:val="both"/>
        <w:rPr>
          <w:rFonts w:ascii="Palatino Linotype" w:hAnsi="Palatino Linotype" w:cs="Arial"/>
          <w:i/>
          <w:sz w:val="24"/>
          <w:szCs w:val="24"/>
        </w:rPr>
      </w:pPr>
      <w:r>
        <w:rPr>
          <w:rFonts w:ascii="Palatino Linotype" w:hAnsi="Palatino Linotype" w:cs="Arial"/>
          <w:b/>
          <w:noProof/>
          <w:sz w:val="24"/>
          <w:szCs w:val="24"/>
          <w:lang w:eastAsia="es-MX"/>
        </w:rPr>
        <w:drawing>
          <wp:anchor distT="0" distB="0" distL="114300" distR="114300" simplePos="0" relativeHeight="251712512" behindDoc="1" locked="0" layoutInCell="1" allowOverlap="1" wp14:anchorId="2F278BDE" wp14:editId="1B2D879C">
            <wp:simplePos x="0" y="0"/>
            <wp:positionH relativeFrom="column">
              <wp:posOffset>659027</wp:posOffset>
            </wp:positionH>
            <wp:positionV relativeFrom="paragraph">
              <wp:posOffset>167434</wp:posOffset>
            </wp:positionV>
            <wp:extent cx="4480452" cy="3924300"/>
            <wp:effectExtent l="0" t="0" r="0"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p>
    <w:p w:rsidR="00AD7F5F" w:rsidRDefault="00AD7F5F" w:rsidP="00AD7F5F">
      <w:pPr>
        <w:spacing w:before="240" w:after="240" w:line="360" w:lineRule="auto"/>
        <w:jc w:val="both"/>
        <w:rPr>
          <w:rFonts w:ascii="Palatino Linotype" w:hAnsi="Palatino Linotype" w:cs="Arial"/>
          <w:sz w:val="24"/>
          <w:szCs w:val="24"/>
        </w:rPr>
      </w:pPr>
      <w:r w:rsidRPr="00AD67C3">
        <w:rPr>
          <w:rFonts w:ascii="Palatino Linotype" w:hAnsi="Palatino Linotype" w:cs="Arial"/>
          <w:sz w:val="24"/>
          <w:szCs w:val="24"/>
        </w:rPr>
        <w:t>De este modo, en armonía entre los principios constitucionales de máxima publicidad y de protección de datos personales, la ley permite la elaboración de</w:t>
      </w:r>
      <w:r>
        <w:rPr>
          <w:rFonts w:ascii="Palatino Linotype" w:hAnsi="Palatino Linotype" w:cs="Arial"/>
          <w:sz w:val="24"/>
          <w:szCs w:val="24"/>
        </w:rPr>
        <w:t xml:space="preserve"> </w:t>
      </w:r>
      <w:r w:rsidRPr="00AD67C3">
        <w:rPr>
          <w:rFonts w:ascii="Palatino Linotype" w:hAnsi="Palatino Linotype" w:cs="Arial"/>
          <w:sz w:val="24"/>
          <w:szCs w:val="24"/>
        </w:rPr>
        <w:t xml:space="preserve">versiones públicas en las que se suprima aquella información relacionada con la vida privada de los particulares. </w:t>
      </w:r>
    </w:p>
    <w:p w:rsidR="00AD7F5F" w:rsidRPr="00AD67C3" w:rsidRDefault="00AD7F5F" w:rsidP="00AD7F5F">
      <w:pPr>
        <w:spacing w:before="240" w:after="240" w:line="360" w:lineRule="auto"/>
        <w:jc w:val="both"/>
        <w:rPr>
          <w:rFonts w:ascii="Palatino Linotype" w:hAnsi="Palatino Linotype" w:cs="Arial"/>
          <w:sz w:val="24"/>
          <w:szCs w:val="24"/>
          <w:lang w:eastAsia="es-CO"/>
        </w:rPr>
      </w:pPr>
      <w:r w:rsidRPr="00AD67C3">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D67C3">
        <w:rPr>
          <w:rFonts w:ascii="Palatino Linotype" w:hAnsi="Palatino Linotype" w:cs="Arial"/>
          <w:b/>
          <w:sz w:val="24"/>
          <w:szCs w:val="24"/>
          <w:lang w:eastAsia="es-CO"/>
        </w:rPr>
        <w:t>Sujeto Obligado</w:t>
      </w:r>
      <w:r w:rsidRPr="00AD67C3">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cs="Arial"/>
          <w:sz w:val="24"/>
          <w:szCs w:val="24"/>
          <w:lang w:eastAsia="es-CO"/>
        </w:rPr>
        <w:t xml:space="preserve">se aprecian determinados datos </w:t>
      </w:r>
      <w:r w:rsidRPr="00AD67C3">
        <w:rPr>
          <w:rFonts w:ascii="Palatino Linotype" w:hAnsi="Palatino Linotype" w:cs="Arial"/>
          <w:sz w:val="24"/>
          <w:szCs w:val="24"/>
          <w:lang w:eastAsia="es-CO"/>
        </w:rPr>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D7F5F" w:rsidRPr="00AD67C3" w:rsidRDefault="00AD7F5F" w:rsidP="00AD7F5F">
      <w:pPr>
        <w:spacing w:before="240" w:line="360" w:lineRule="auto"/>
        <w:jc w:val="both"/>
        <w:rPr>
          <w:rFonts w:ascii="Palatino Linotype" w:hAnsi="Palatino Linotype"/>
          <w:sz w:val="24"/>
          <w:szCs w:val="24"/>
          <w:lang w:val="es-ES"/>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w:t>
      </w:r>
      <w:r w:rsidRPr="00AD67C3">
        <w:rPr>
          <w:rFonts w:ascii="Palatino Linotype" w:hAnsi="Palatino Linotype" w:cs="Arial"/>
          <w:sz w:val="24"/>
          <w:szCs w:val="24"/>
        </w:rPr>
        <w:lastRenderedPageBreak/>
        <w:t xml:space="preserve">181, 185 de la Ley de Transparencia y Acceso a la Información Pública del Estado de México y Municipios. </w:t>
      </w:r>
    </w:p>
    <w:p w:rsidR="00AD7F5F" w:rsidRDefault="006C05D1" w:rsidP="003C1BF2">
      <w:pPr>
        <w:spacing w:line="360" w:lineRule="auto"/>
        <w:jc w:val="both"/>
        <w:rPr>
          <w:rFonts w:ascii="Palatino Linotype" w:hAnsi="Palatino Linotype"/>
          <w:color w:val="000000"/>
          <w:sz w:val="24"/>
          <w:szCs w:val="24"/>
        </w:rPr>
      </w:pPr>
      <w:r>
        <w:rPr>
          <w:rFonts w:ascii="Palatino Linotype" w:hAnsi="Palatino Linotype" w:cs="Arial"/>
          <w:b/>
          <w:noProof/>
          <w:sz w:val="24"/>
          <w:szCs w:val="24"/>
          <w:lang w:eastAsia="es-MX"/>
        </w:rPr>
        <w:drawing>
          <wp:anchor distT="0" distB="0" distL="114300" distR="114300" simplePos="0" relativeHeight="251714560" behindDoc="1" locked="0" layoutInCell="1" allowOverlap="1" wp14:anchorId="2F278BDE" wp14:editId="1B2D879C">
            <wp:simplePos x="0" y="0"/>
            <wp:positionH relativeFrom="column">
              <wp:posOffset>584886</wp:posOffset>
            </wp:positionH>
            <wp:positionV relativeFrom="paragraph">
              <wp:posOffset>503178</wp:posOffset>
            </wp:positionV>
            <wp:extent cx="4480452" cy="392430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AD7F5F" w:rsidRPr="00237DFB">
        <w:rPr>
          <w:rFonts w:ascii="Palatino Linotype" w:hAnsi="Palatino Linotype"/>
          <w:sz w:val="24"/>
          <w:szCs w:val="24"/>
        </w:rPr>
        <w:t xml:space="preserve">Conforme a lo anterior, se logra vislumbrar que el Sujeto Obligado, es competente para conocer de la información peticionada, al poder llevar a cabo acciones directas con la </w:t>
      </w:r>
      <w:r w:rsidR="00AD7F5F" w:rsidRPr="00237DFB">
        <w:rPr>
          <w:rFonts w:ascii="Palatino Linotype" w:hAnsi="Palatino Linotype"/>
          <w:color w:val="000000"/>
          <w:sz w:val="24"/>
          <w:szCs w:val="24"/>
        </w:rPr>
        <w:t>contratación del servicio de mantenimiento y limpieza para escuelas</w:t>
      </w:r>
      <w:r w:rsidR="00AD7F5F">
        <w:rPr>
          <w:rFonts w:ascii="Palatino Linotype" w:hAnsi="Palatino Linotype"/>
          <w:color w:val="000000"/>
          <w:sz w:val="24"/>
          <w:szCs w:val="24"/>
        </w:rPr>
        <w:t xml:space="preserve">, sin embargo se hace notar que el Sujeto Obligado no realiza lo que en términos del artículo 167 de la Ley de Transparencia y Acceso a la Información Pública del Estado de México y Municipios el cual no determina </w:t>
      </w:r>
      <w:r w:rsidR="00AD7F5F" w:rsidRPr="00FB30A8">
        <w:rPr>
          <w:rFonts w:ascii="Palatino Linotype" w:hAnsi="Palatino Linotype"/>
          <w:color w:val="000000"/>
          <w:sz w:val="24"/>
          <w:szCs w:val="24"/>
        </w:rPr>
        <w:t>notoria incompetencia dent</w:t>
      </w:r>
      <w:r w:rsidR="00AD7F5F">
        <w:rPr>
          <w:rFonts w:ascii="Palatino Linotype" w:hAnsi="Palatino Linotype"/>
          <w:color w:val="000000"/>
          <w:sz w:val="24"/>
          <w:szCs w:val="24"/>
        </w:rPr>
        <w:t>ro del ámbito de aplicación</w:t>
      </w:r>
      <w:r w:rsidR="00AD7F5F" w:rsidRPr="00FB30A8">
        <w:rPr>
          <w:rFonts w:ascii="Palatino Linotype" w:hAnsi="Palatino Linotype"/>
          <w:color w:val="000000"/>
          <w:sz w:val="24"/>
          <w:szCs w:val="24"/>
        </w:rPr>
        <w:t xml:space="preserve"> </w:t>
      </w:r>
      <w:r w:rsidR="00AD7F5F">
        <w:rPr>
          <w:rFonts w:ascii="Palatino Linotype" w:hAnsi="Palatino Linotype"/>
          <w:color w:val="000000"/>
          <w:sz w:val="24"/>
          <w:szCs w:val="24"/>
        </w:rPr>
        <w:t>y la orientación correspondiente</w:t>
      </w:r>
      <w:r w:rsidR="00AD7F5F" w:rsidRPr="00FB30A8">
        <w:rPr>
          <w:rFonts w:ascii="Palatino Linotype" w:hAnsi="Palatino Linotype"/>
          <w:color w:val="000000"/>
          <w:sz w:val="24"/>
          <w:szCs w:val="24"/>
        </w:rPr>
        <w:t xml:space="preserve"> al solicitante, el o los sujetos </w:t>
      </w:r>
      <w:r w:rsidR="00AD7F5F">
        <w:rPr>
          <w:noProof/>
          <w:lang w:eastAsia="es-MX"/>
        </w:rPr>
        <w:drawing>
          <wp:anchor distT="0" distB="0" distL="114300" distR="114300" simplePos="0" relativeHeight="251661312" behindDoc="1" locked="0" layoutInCell="1" allowOverlap="1" wp14:anchorId="736E9429" wp14:editId="7436E31A">
            <wp:simplePos x="0" y="0"/>
            <wp:positionH relativeFrom="page">
              <wp:posOffset>47625</wp:posOffset>
            </wp:positionH>
            <wp:positionV relativeFrom="paragraph">
              <wp:posOffset>10622915</wp:posOffset>
            </wp:positionV>
            <wp:extent cx="7634605" cy="8456295"/>
            <wp:effectExtent l="0" t="0" r="444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49" t="19351" r="749" b="-4407"/>
                    <a:stretch/>
                  </pic:blipFill>
                  <pic:spPr bwMode="auto">
                    <a:xfrm>
                      <a:off x="0" y="0"/>
                      <a:ext cx="7634605" cy="845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F5F" w:rsidRPr="00FB30A8">
        <w:rPr>
          <w:rFonts w:ascii="Palatino Linotype" w:hAnsi="Palatino Linotype"/>
          <w:color w:val="000000"/>
          <w:sz w:val="24"/>
          <w:szCs w:val="24"/>
        </w:rPr>
        <w:t>obligados competentes.</w:t>
      </w:r>
    </w:p>
    <w:p w:rsidR="00AD7F5F" w:rsidRDefault="00AD7F5F" w:rsidP="00AD7F5F">
      <w:pPr>
        <w:spacing w:line="360" w:lineRule="auto"/>
        <w:jc w:val="both"/>
        <w:rPr>
          <w:rFonts w:ascii="Palatino Linotype" w:hAnsi="Palatino Linotype"/>
          <w:b/>
          <w:sz w:val="24"/>
          <w:szCs w:val="24"/>
        </w:rPr>
      </w:pPr>
    </w:p>
    <w:p w:rsidR="00AD7F5F" w:rsidRPr="00206A16" w:rsidRDefault="00AD7F5F" w:rsidP="00AD7F5F">
      <w:pPr>
        <w:spacing w:line="360" w:lineRule="auto"/>
        <w:jc w:val="both"/>
        <w:rPr>
          <w:rFonts w:ascii="Palatino Linotype" w:hAnsi="Palatino Linotype"/>
          <w:b/>
          <w:sz w:val="24"/>
          <w:szCs w:val="24"/>
        </w:rPr>
      </w:pPr>
      <w:r w:rsidRPr="00206A16">
        <w:rPr>
          <w:rFonts w:ascii="Palatino Linotype" w:hAnsi="Palatino Linotype"/>
          <w:b/>
          <w:sz w:val="24"/>
          <w:szCs w:val="24"/>
        </w:rPr>
        <w:t>SEXT</w:t>
      </w:r>
      <w:r>
        <w:rPr>
          <w:rFonts w:ascii="Palatino Linotype" w:hAnsi="Palatino Linotype"/>
          <w:b/>
          <w:sz w:val="24"/>
          <w:szCs w:val="24"/>
        </w:rPr>
        <w:t>O</w:t>
      </w:r>
      <w:r w:rsidRPr="00206A16">
        <w:rPr>
          <w:rFonts w:ascii="Palatino Linotype" w:hAnsi="Palatino Linotype"/>
          <w:b/>
          <w:sz w:val="24"/>
          <w:szCs w:val="24"/>
        </w:rPr>
        <w:t xml:space="preserve">. </w:t>
      </w:r>
      <w:r w:rsidRPr="00206A16">
        <w:rPr>
          <w:rFonts w:ascii="Palatino Linotype" w:hAnsi="Palatino Linotype"/>
          <w:b/>
          <w:sz w:val="24"/>
          <w:szCs w:val="24"/>
          <w:lang w:val="es-ES_tradnl"/>
        </w:rPr>
        <w:t>VISTA A LA CONTRALORÍA INTERNA Y ÓRGANO DE CONTROL Y VIGILANCIA.</w:t>
      </w:r>
    </w:p>
    <w:p w:rsidR="00AD7F5F" w:rsidRDefault="00AD7F5F" w:rsidP="00AD7F5F">
      <w:pPr>
        <w:spacing w:line="360" w:lineRule="auto"/>
        <w:jc w:val="both"/>
        <w:rPr>
          <w:rFonts w:ascii="Palatino Linotype" w:hAnsi="Palatino Linotype"/>
          <w:color w:val="000000"/>
          <w:sz w:val="24"/>
          <w:szCs w:val="24"/>
        </w:rPr>
      </w:pPr>
      <w:r>
        <w:rPr>
          <w:rFonts w:ascii="Palatino Linotype" w:hAnsi="Palatino Linotype"/>
          <w:sz w:val="24"/>
          <w:szCs w:val="24"/>
        </w:rPr>
        <w:t xml:space="preserve">En el estudio, ha quedado acreditado que el Ayuntamiento de Valle de Chalco Solidaridad omitió dar respuesta en el plazo señalado 163 de la </w:t>
      </w:r>
      <w:r>
        <w:rPr>
          <w:rFonts w:ascii="Palatino Linotype" w:hAnsi="Palatino Linotype"/>
          <w:color w:val="000000"/>
          <w:sz w:val="24"/>
          <w:szCs w:val="24"/>
        </w:rPr>
        <w:t>Ley de Transparencia y Acceso a la Información Pública del Estado de México y Municipios.</w:t>
      </w:r>
    </w:p>
    <w:p w:rsidR="00AD7F5F" w:rsidRDefault="00AD7F5F" w:rsidP="00AD7F5F">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Al respecto, el artículo 36 fracción X del ordenamiento jurídico en cita establece que es atribución de este Instituto hacer del conocimiento del Órgano Interno de Control o equivalente de cada Sujeto Obligado de las infracciones a esta Ley. En este sentido, de conformidad con lo previsto en el artículo 222 fracción II de dicho ordenamiento, son causas de responsabilidad administrativa los incumplimientos de las obligaciones establecida en la Ley de la materia, entre otras conductas, la falta de </w:t>
      </w:r>
      <w:r>
        <w:rPr>
          <w:rFonts w:ascii="Palatino Linotype" w:hAnsi="Palatino Linotype"/>
          <w:color w:val="000000"/>
          <w:sz w:val="24"/>
          <w:szCs w:val="24"/>
        </w:rPr>
        <w:lastRenderedPageBreak/>
        <w:t xml:space="preserve">respuesta a las solicitudes de información en los plazos señalados, a saber, que específicamente en este caso compete </w:t>
      </w:r>
      <w:r w:rsidRPr="008C4105">
        <w:rPr>
          <w:rFonts w:ascii="Palatino Linotype" w:hAnsi="Palatino Linotype"/>
          <w:color w:val="000000"/>
          <w:sz w:val="24"/>
          <w:szCs w:val="24"/>
        </w:rPr>
        <w:t xml:space="preserve">dentro de los tres días hábiles posteriores a la </w:t>
      </w:r>
      <w:r w:rsidR="006C05D1">
        <w:rPr>
          <w:rFonts w:ascii="Palatino Linotype" w:hAnsi="Palatino Linotype" w:cs="Arial"/>
          <w:b/>
          <w:noProof/>
          <w:sz w:val="24"/>
          <w:szCs w:val="24"/>
          <w:lang w:eastAsia="es-MX"/>
        </w:rPr>
        <w:drawing>
          <wp:anchor distT="0" distB="0" distL="114300" distR="114300" simplePos="0" relativeHeight="251716608" behindDoc="1" locked="0" layoutInCell="1" allowOverlap="1" wp14:anchorId="2F278BDE" wp14:editId="1B2D879C">
            <wp:simplePos x="0" y="0"/>
            <wp:positionH relativeFrom="column">
              <wp:posOffset>560173</wp:posOffset>
            </wp:positionH>
            <wp:positionV relativeFrom="paragraph">
              <wp:posOffset>959640</wp:posOffset>
            </wp:positionV>
            <wp:extent cx="4480452" cy="3924300"/>
            <wp:effectExtent l="0" t="0" r="0" b="0"/>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Pr="008C4105">
        <w:rPr>
          <w:rFonts w:ascii="Palatino Linotype" w:hAnsi="Palatino Linotype"/>
          <w:color w:val="000000"/>
          <w:sz w:val="24"/>
          <w:szCs w:val="24"/>
        </w:rPr>
        <w:t>recepción de la solicitud</w:t>
      </w:r>
      <w:r>
        <w:rPr>
          <w:rFonts w:ascii="Palatino Linotype" w:hAnsi="Palatino Linotype"/>
          <w:color w:val="000000"/>
          <w:sz w:val="24"/>
          <w:szCs w:val="24"/>
        </w:rPr>
        <w:t xml:space="preserve">. </w:t>
      </w:r>
    </w:p>
    <w:p w:rsidR="00AD7F5F" w:rsidRDefault="00AD7F5F" w:rsidP="00AD7F5F">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AD7F5F" w:rsidRDefault="00AD7F5F" w:rsidP="00AD7F5F">
      <w:pPr>
        <w:spacing w:before="240" w:after="240" w:line="360" w:lineRule="auto"/>
        <w:jc w:val="both"/>
        <w:rPr>
          <w:rFonts w:ascii="Palatino Linotype" w:hAnsi="Palatino Linotype" w:cs="Arial"/>
          <w:sz w:val="24"/>
          <w:szCs w:val="24"/>
          <w:lang w:eastAsia="es-MX"/>
        </w:rPr>
        <w:sectPr w:rsidR="00AD7F5F" w:rsidSect="009172DE">
          <w:type w:val="continuous"/>
          <w:pgSz w:w="12240" w:h="15840"/>
          <w:pgMar w:top="1417" w:right="1701" w:bottom="1417" w:left="1701" w:header="708" w:footer="708" w:gutter="0"/>
          <w:cols w:space="708"/>
          <w:docGrid w:linePitch="360"/>
        </w:sectPr>
      </w:pPr>
    </w:p>
    <w:p w:rsidR="00AD7F5F" w:rsidRDefault="00AD7F5F" w:rsidP="00AD7F5F">
      <w:pPr>
        <w:spacing w:before="240" w:after="240" w:line="360" w:lineRule="auto"/>
        <w:jc w:val="both"/>
        <w:rPr>
          <w:rFonts w:ascii="Palatino Linotype" w:hAnsi="Palatino Linotype"/>
          <w:sz w:val="24"/>
          <w:szCs w:val="24"/>
        </w:rPr>
        <w:sectPr w:rsidR="00AD7F5F" w:rsidSect="009172DE">
          <w:type w:val="continuous"/>
          <w:pgSz w:w="12240" w:h="15840"/>
          <w:pgMar w:top="1417" w:right="1701" w:bottom="1417" w:left="1701" w:header="708" w:footer="708" w:gutter="0"/>
          <w:cols w:space="708"/>
          <w:docGrid w:linePitch="360"/>
        </w:sectPr>
      </w:pPr>
      <w:r>
        <w:rPr>
          <w:rFonts w:ascii="Palatino Linotype" w:hAnsi="Palatino Linotype"/>
          <w:sz w:val="24"/>
          <w:szCs w:val="24"/>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Vigilancia de este Instituto.</w:t>
      </w:r>
    </w:p>
    <w:p w:rsidR="00AD7F5F" w:rsidRPr="00AD67C3" w:rsidRDefault="00AD7F5F" w:rsidP="00AD7F5F">
      <w:pPr>
        <w:spacing w:before="240" w:line="360" w:lineRule="auto"/>
        <w:jc w:val="both"/>
        <w:rPr>
          <w:rFonts w:ascii="Palatino Linotype" w:hAnsi="Palatino Linotype"/>
          <w:sz w:val="24"/>
          <w:szCs w:val="24"/>
          <w:lang w:val="es-ES"/>
        </w:rPr>
      </w:pPr>
      <w:r w:rsidRPr="00AD67C3">
        <w:rPr>
          <w:rFonts w:ascii="Palatino Linotype" w:hAnsi="Palatino Linotype" w:cs="Arial"/>
          <w:sz w:val="24"/>
          <w:szCs w:val="24"/>
        </w:rPr>
        <w:t xml:space="preserve">Así, con fundamento en lo prescrito en los artículos 5 </w:t>
      </w:r>
      <w:r w:rsidRPr="00AD67C3">
        <w:rPr>
          <w:rFonts w:ascii="Palatino Linotype" w:hAnsi="Palatino Linotype"/>
          <w:sz w:val="24"/>
          <w:szCs w:val="24"/>
          <w:shd w:val="clear" w:color="auto" w:fill="FFFFFF"/>
        </w:rPr>
        <w:t xml:space="preserve">párrafos vigésimo segundo, vigésimo tercero y vigésimo cuarto fracciones IV y V </w:t>
      </w:r>
      <w:r w:rsidRPr="00AD67C3">
        <w:rPr>
          <w:rFonts w:ascii="Palatino Linotype" w:hAnsi="Palatino Linotype" w:cs="Arial"/>
          <w:sz w:val="24"/>
          <w:szCs w:val="24"/>
        </w:rPr>
        <w:t xml:space="preserve">de la Constitución Política del Estado Libre y Soberano de México; 2, fracción II; 29, 36 fracciones I y II; 176, 178, 181, 185 de la Ley de Transparencia y Acceso a la Información Pública del Estado de México y Municipios. </w:t>
      </w:r>
    </w:p>
    <w:p w:rsidR="00AD7F5F" w:rsidRDefault="00AD7F5F" w:rsidP="00AD7F5F">
      <w:pPr>
        <w:jc w:val="both"/>
        <w:rPr>
          <w:rFonts w:ascii="Palatino Linotype" w:hAnsi="Palatino Linotype"/>
          <w:sz w:val="24"/>
          <w:szCs w:val="24"/>
          <w:lang w:val="es-ES"/>
        </w:rPr>
      </w:pPr>
      <w:r w:rsidRPr="00AD67C3">
        <w:rPr>
          <w:rFonts w:ascii="Palatino Linotype" w:hAnsi="Palatino Linotype"/>
          <w:sz w:val="24"/>
          <w:szCs w:val="24"/>
          <w:lang w:val="es-ES"/>
        </w:rPr>
        <w:t>Por lo expuesto y fundado, este Pleno:</w:t>
      </w:r>
    </w:p>
    <w:p w:rsidR="00AD7F5F" w:rsidRDefault="00AD7F5F" w:rsidP="00AD7F5F">
      <w:pPr>
        <w:spacing w:before="240" w:after="240" w:line="360" w:lineRule="auto"/>
        <w:jc w:val="both"/>
        <w:rPr>
          <w:rFonts w:ascii="Palatino Linotype" w:hAnsi="Palatino Linotype" w:cs="Arial"/>
          <w:sz w:val="24"/>
          <w:szCs w:val="24"/>
          <w:lang w:eastAsia="es-MX"/>
        </w:rPr>
        <w:sectPr w:rsidR="00AD7F5F" w:rsidSect="009172DE">
          <w:type w:val="continuous"/>
          <w:pgSz w:w="12240" w:h="15840"/>
          <w:pgMar w:top="1417" w:right="1701" w:bottom="1417" w:left="1701" w:header="708" w:footer="708" w:gutter="0"/>
          <w:cols w:space="708"/>
          <w:docGrid w:linePitch="360"/>
        </w:sectPr>
      </w:pPr>
    </w:p>
    <w:p w:rsidR="003C1BF2" w:rsidRDefault="003C1BF2" w:rsidP="00AD7F5F">
      <w:pPr>
        <w:ind w:left="-142" w:right="-93"/>
        <w:contextualSpacing/>
        <w:jc w:val="center"/>
        <w:rPr>
          <w:rFonts w:ascii="Palatino Linotype" w:hAnsi="Palatino Linotype"/>
          <w:b/>
          <w:sz w:val="28"/>
          <w:szCs w:val="24"/>
        </w:rPr>
      </w:pPr>
    </w:p>
    <w:p w:rsidR="00AD7F5F" w:rsidRPr="006E3AD8" w:rsidRDefault="00AD7F5F" w:rsidP="00AD7F5F">
      <w:pPr>
        <w:ind w:left="-142" w:right="-93"/>
        <w:contextualSpacing/>
        <w:jc w:val="center"/>
        <w:rPr>
          <w:rFonts w:ascii="Palatino Linotype" w:hAnsi="Palatino Linotype"/>
          <w:b/>
          <w:sz w:val="28"/>
          <w:szCs w:val="24"/>
        </w:rPr>
      </w:pPr>
      <w:r>
        <w:rPr>
          <w:rFonts w:ascii="Palatino Linotype" w:hAnsi="Palatino Linotype"/>
          <w:b/>
          <w:sz w:val="28"/>
          <w:szCs w:val="24"/>
        </w:rPr>
        <w:t>R</w:t>
      </w:r>
      <w:r w:rsidRPr="006E3AD8">
        <w:rPr>
          <w:rFonts w:ascii="Palatino Linotype" w:hAnsi="Palatino Linotype"/>
          <w:b/>
          <w:sz w:val="28"/>
          <w:szCs w:val="24"/>
        </w:rPr>
        <w:t>E S U E L V E:</w:t>
      </w:r>
    </w:p>
    <w:p w:rsidR="00AD7F5F" w:rsidRDefault="00AD7F5F" w:rsidP="00AD7F5F">
      <w:pPr>
        <w:shd w:val="clear" w:color="auto" w:fill="FFFFFF"/>
        <w:spacing w:line="300" w:lineRule="atLeast"/>
        <w:jc w:val="both"/>
        <w:rPr>
          <w:rFonts w:ascii="Palatino Linotype" w:hAnsi="Palatino Linotype"/>
          <w:b/>
          <w:sz w:val="24"/>
          <w:szCs w:val="24"/>
        </w:rPr>
      </w:pPr>
    </w:p>
    <w:p w:rsidR="00AD7F5F" w:rsidRPr="006E3939" w:rsidRDefault="00AD7F5F" w:rsidP="003C1BF2">
      <w:pPr>
        <w:shd w:val="clear" w:color="auto" w:fill="FFFFFF"/>
        <w:spacing w:line="360" w:lineRule="auto"/>
        <w:jc w:val="both"/>
        <w:rPr>
          <w:rFonts w:ascii="Times New Roman" w:eastAsia="Times New Roman" w:hAnsi="Times New Roman" w:cs="Times New Roman"/>
          <w:color w:val="222222"/>
          <w:szCs w:val="20"/>
          <w:lang w:eastAsia="es-MX"/>
        </w:rPr>
      </w:pPr>
      <w:r>
        <w:rPr>
          <w:rFonts w:ascii="Palatino Linotype" w:hAnsi="Palatino Linotype"/>
          <w:b/>
          <w:sz w:val="24"/>
          <w:szCs w:val="24"/>
          <w:lang w:val="es-ES"/>
        </w:rPr>
        <w:t>P</w:t>
      </w:r>
      <w:r w:rsidRPr="006E3939">
        <w:rPr>
          <w:rFonts w:ascii="Palatino Linotype" w:eastAsia="Times New Roman" w:hAnsi="Palatino Linotype" w:cs="Times New Roman"/>
          <w:b/>
          <w:bCs/>
          <w:color w:val="222222"/>
          <w:sz w:val="24"/>
          <w:lang w:eastAsia="es-MX"/>
        </w:rPr>
        <w:t>RIMERO. </w:t>
      </w:r>
      <w:r w:rsidRPr="006E3939">
        <w:rPr>
          <w:rFonts w:ascii="Palatino Linotype" w:eastAsia="Times New Roman" w:hAnsi="Palatino Linotype" w:cs="Times New Roman"/>
          <w:color w:val="222222"/>
          <w:sz w:val="24"/>
          <w:lang w:eastAsia="es-MX"/>
        </w:rPr>
        <w:t>Resultan </w:t>
      </w:r>
      <w:r w:rsidRPr="006E3939">
        <w:rPr>
          <w:rFonts w:ascii="Palatino Linotype" w:eastAsia="Times New Roman" w:hAnsi="Palatino Linotype" w:cs="Times New Roman"/>
          <w:b/>
          <w:bCs/>
          <w:color w:val="222222"/>
          <w:sz w:val="24"/>
          <w:lang w:eastAsia="es-MX"/>
        </w:rPr>
        <w:t>FUNDADAS</w:t>
      </w:r>
      <w:r w:rsidRPr="006E3939">
        <w:rPr>
          <w:rFonts w:ascii="Palatino Linotype" w:eastAsia="Times New Roman" w:hAnsi="Palatino Linotype" w:cs="Times New Roman"/>
          <w:color w:val="222222"/>
          <w:sz w:val="24"/>
          <w:lang w:eastAsia="es-MX"/>
        </w:rPr>
        <w:t xml:space="preserve"> las razones o motivos de inconformidad hechos valer por la Particular en el Recurso de Revisión con </w:t>
      </w:r>
      <w:r w:rsidR="006C05D1">
        <w:rPr>
          <w:rFonts w:ascii="Palatino Linotype" w:hAnsi="Palatino Linotype" w:cs="Arial"/>
          <w:b/>
          <w:noProof/>
          <w:sz w:val="24"/>
          <w:szCs w:val="24"/>
          <w:lang w:eastAsia="es-MX"/>
        </w:rPr>
        <w:lastRenderedPageBreak/>
        <w:drawing>
          <wp:anchor distT="0" distB="0" distL="114300" distR="114300" simplePos="0" relativeHeight="251718656" behindDoc="1" locked="0" layoutInCell="1" allowOverlap="1" wp14:anchorId="2F278BDE" wp14:editId="1B2D879C">
            <wp:simplePos x="0" y="0"/>
            <wp:positionH relativeFrom="column">
              <wp:posOffset>1159527</wp:posOffset>
            </wp:positionH>
            <wp:positionV relativeFrom="paragraph">
              <wp:posOffset>-183103</wp:posOffset>
            </wp:positionV>
            <wp:extent cx="4480452" cy="3924300"/>
            <wp:effectExtent l="0" t="0" r="0" b="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Pr="006E3939">
        <w:rPr>
          <w:rFonts w:ascii="Palatino Linotype" w:eastAsia="Times New Roman" w:hAnsi="Palatino Linotype" w:cs="Times New Roman"/>
          <w:color w:val="222222"/>
          <w:sz w:val="24"/>
          <w:lang w:eastAsia="es-MX"/>
        </w:rPr>
        <w:t>número </w:t>
      </w:r>
      <w:r w:rsidRPr="006E3939">
        <w:rPr>
          <w:rFonts w:ascii="Palatino Linotype" w:eastAsia="Times New Roman" w:hAnsi="Palatino Linotype" w:cs="Times New Roman"/>
          <w:color w:val="0D0D0D"/>
          <w:sz w:val="24"/>
          <w:lang w:eastAsia="es-MX"/>
        </w:rPr>
        <w:t>0</w:t>
      </w:r>
      <w:r>
        <w:rPr>
          <w:rFonts w:ascii="Palatino Linotype" w:eastAsia="Times New Roman" w:hAnsi="Palatino Linotype" w:cs="Times New Roman"/>
          <w:color w:val="0D0D0D"/>
          <w:sz w:val="24"/>
          <w:lang w:eastAsia="es-MX"/>
        </w:rPr>
        <w:t>4824</w:t>
      </w:r>
      <w:r w:rsidRPr="006E3939">
        <w:rPr>
          <w:rFonts w:ascii="Palatino Linotype" w:eastAsia="Times New Roman" w:hAnsi="Palatino Linotype" w:cs="Times New Roman"/>
          <w:color w:val="0D0D0D"/>
          <w:sz w:val="24"/>
          <w:lang w:eastAsia="es-MX"/>
        </w:rPr>
        <w:t>/INFOEM/IP/RR/2021,</w:t>
      </w:r>
      <w:r w:rsidRPr="006E3939">
        <w:rPr>
          <w:rFonts w:ascii="Palatino Linotype" w:eastAsia="Times New Roman" w:hAnsi="Palatino Linotype" w:cs="Times New Roman"/>
          <w:b/>
          <w:bCs/>
          <w:color w:val="0D0D0D"/>
          <w:sz w:val="24"/>
          <w:lang w:eastAsia="es-MX"/>
        </w:rPr>
        <w:t> </w:t>
      </w:r>
      <w:r w:rsidRPr="006E3939">
        <w:rPr>
          <w:rFonts w:ascii="Palatino Linotype" w:eastAsia="Times New Roman" w:hAnsi="Palatino Linotype" w:cs="Times New Roman"/>
          <w:color w:val="222222"/>
          <w:sz w:val="24"/>
          <w:lang w:eastAsia="es-MX"/>
        </w:rPr>
        <w:t>en términos del considerando </w:t>
      </w:r>
      <w:r>
        <w:rPr>
          <w:rFonts w:ascii="Palatino Linotype" w:eastAsia="Times New Roman" w:hAnsi="Palatino Linotype" w:cs="Times New Roman"/>
          <w:b/>
          <w:bCs/>
          <w:color w:val="222222"/>
          <w:sz w:val="24"/>
          <w:lang w:eastAsia="es-MX"/>
        </w:rPr>
        <w:t xml:space="preserve">CUARTO </w:t>
      </w:r>
      <w:r w:rsidRPr="006E3939">
        <w:rPr>
          <w:rFonts w:ascii="Palatino Linotype" w:eastAsia="Times New Roman" w:hAnsi="Palatino Linotype" w:cs="Times New Roman"/>
          <w:color w:val="222222"/>
          <w:sz w:val="24"/>
          <w:lang w:eastAsia="es-MX"/>
        </w:rPr>
        <w:t>de la presente Resolución.</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 </w:t>
      </w:r>
    </w:p>
    <w:p w:rsidR="00AD7F5F" w:rsidRPr="006E3939" w:rsidRDefault="006C05D1" w:rsidP="003C1BF2">
      <w:pPr>
        <w:shd w:val="clear" w:color="auto" w:fill="FFFFFF"/>
        <w:spacing w:after="0" w:line="360" w:lineRule="auto"/>
        <w:jc w:val="both"/>
        <w:rPr>
          <w:rFonts w:ascii="Times New Roman" w:eastAsia="Times New Roman" w:hAnsi="Times New Roman" w:cs="Times New Roman"/>
          <w:color w:val="222222"/>
          <w:szCs w:val="20"/>
          <w:lang w:eastAsia="es-MX"/>
        </w:rPr>
      </w:pPr>
      <w:r>
        <w:rPr>
          <w:rFonts w:ascii="Palatino Linotype" w:hAnsi="Palatino Linotype" w:cs="Arial"/>
          <w:b/>
          <w:noProof/>
          <w:sz w:val="24"/>
          <w:szCs w:val="24"/>
          <w:lang w:eastAsia="es-MX"/>
        </w:rPr>
        <w:drawing>
          <wp:anchor distT="0" distB="0" distL="114300" distR="114300" simplePos="0" relativeHeight="251720704" behindDoc="1" locked="0" layoutInCell="1" allowOverlap="1" wp14:anchorId="70FBCB52" wp14:editId="06B402C7">
            <wp:simplePos x="0" y="0"/>
            <wp:positionH relativeFrom="column">
              <wp:posOffset>-454746</wp:posOffset>
            </wp:positionH>
            <wp:positionV relativeFrom="paragraph">
              <wp:posOffset>126880</wp:posOffset>
            </wp:positionV>
            <wp:extent cx="4480452" cy="3924300"/>
            <wp:effectExtent l="0" t="0"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AD7F5F" w:rsidRPr="006E3939">
        <w:rPr>
          <w:rFonts w:ascii="Palatino Linotype" w:eastAsia="Times New Roman" w:hAnsi="Palatino Linotype" w:cs="Times New Roman"/>
          <w:b/>
          <w:bCs/>
          <w:color w:val="222222"/>
          <w:sz w:val="24"/>
          <w:lang w:eastAsia="es-MX"/>
        </w:rPr>
        <w:t>SEGUNDO.</w:t>
      </w:r>
      <w:r w:rsidR="00AD7F5F" w:rsidRPr="006E3939">
        <w:rPr>
          <w:rFonts w:ascii="Palatino Linotype" w:eastAsia="Times New Roman" w:hAnsi="Palatino Linotype" w:cs="Times New Roman"/>
          <w:color w:val="222222"/>
          <w:sz w:val="24"/>
          <w:lang w:eastAsia="es-MX"/>
        </w:rPr>
        <w:t> Se </w:t>
      </w:r>
      <w:r w:rsidR="00AD7F5F" w:rsidRPr="006E3939">
        <w:rPr>
          <w:rFonts w:ascii="Palatino Linotype" w:eastAsia="Times New Roman" w:hAnsi="Palatino Linotype" w:cs="Times New Roman"/>
          <w:b/>
          <w:bCs/>
          <w:color w:val="222222"/>
          <w:sz w:val="24"/>
          <w:lang w:eastAsia="es-MX"/>
        </w:rPr>
        <w:t>ORDENA </w:t>
      </w:r>
      <w:r w:rsidR="00AD7F5F" w:rsidRPr="006E3939">
        <w:rPr>
          <w:rFonts w:ascii="Palatino Linotype" w:eastAsia="Times New Roman" w:hAnsi="Palatino Linotype" w:cs="Times New Roman"/>
          <w:color w:val="222222"/>
          <w:sz w:val="24"/>
          <w:lang w:eastAsia="es-MX"/>
        </w:rPr>
        <w:t>al Sujeto Obligado, a efecto de que dé trámite a las solicit</w:t>
      </w:r>
      <w:r w:rsidR="00AD7F5F">
        <w:rPr>
          <w:rFonts w:ascii="Palatino Linotype" w:eastAsia="Times New Roman" w:hAnsi="Palatino Linotype" w:cs="Times New Roman"/>
          <w:color w:val="222222"/>
          <w:sz w:val="24"/>
          <w:lang w:eastAsia="es-MX"/>
        </w:rPr>
        <w:t>udes de acceso a la información</w:t>
      </w:r>
      <w:r w:rsidR="00AD7F5F">
        <w:rPr>
          <w:rFonts w:ascii="Verdana" w:hAnsi="Verdana"/>
          <w:b/>
          <w:bCs/>
          <w:color w:val="FF0000"/>
        </w:rPr>
        <w:t> </w:t>
      </w:r>
      <w:r w:rsidR="00AD7F5F" w:rsidRPr="0050510E">
        <w:rPr>
          <w:rFonts w:ascii="Palatino Linotype" w:hAnsi="Palatino Linotype"/>
          <w:b/>
          <w:color w:val="000000"/>
          <w:sz w:val="24"/>
          <w:szCs w:val="24"/>
        </w:rPr>
        <w:t>00</w:t>
      </w:r>
      <w:r w:rsidR="00AD7F5F">
        <w:rPr>
          <w:rFonts w:ascii="Palatino Linotype" w:hAnsi="Palatino Linotype"/>
          <w:b/>
          <w:color w:val="000000"/>
          <w:sz w:val="24"/>
          <w:szCs w:val="24"/>
        </w:rPr>
        <w:t>079</w:t>
      </w:r>
      <w:r w:rsidR="00AD7F5F" w:rsidRPr="0050510E">
        <w:rPr>
          <w:rFonts w:ascii="Palatino Linotype" w:hAnsi="Palatino Linotype"/>
          <w:b/>
          <w:color w:val="000000"/>
          <w:sz w:val="24"/>
          <w:szCs w:val="24"/>
        </w:rPr>
        <w:t>/</w:t>
      </w:r>
      <w:r w:rsidR="00AD7F5F">
        <w:rPr>
          <w:rFonts w:ascii="Palatino Linotype" w:hAnsi="Palatino Linotype"/>
          <w:b/>
          <w:color w:val="000000"/>
          <w:sz w:val="24"/>
          <w:szCs w:val="24"/>
        </w:rPr>
        <w:t>TEPETLA</w:t>
      </w:r>
      <w:r w:rsidR="00AD7F5F" w:rsidRPr="0050510E">
        <w:rPr>
          <w:rFonts w:ascii="Palatino Linotype" w:hAnsi="Palatino Linotype"/>
          <w:b/>
          <w:color w:val="000000"/>
          <w:sz w:val="24"/>
          <w:szCs w:val="24"/>
        </w:rPr>
        <w:t>O/IP/2021</w:t>
      </w:r>
      <w:r w:rsidR="00AD7F5F" w:rsidRPr="006E3939">
        <w:rPr>
          <w:rFonts w:ascii="Palatino Linotype" w:eastAsia="Times New Roman" w:hAnsi="Palatino Linotype" w:cs="Times New Roman"/>
          <w:color w:val="222222"/>
          <w:sz w:val="24"/>
          <w:lang w:eastAsia="es-MX"/>
        </w:rPr>
        <w:t> y,</w:t>
      </w:r>
      <w:r w:rsidR="00AD7F5F" w:rsidRPr="006E3939">
        <w:rPr>
          <w:rFonts w:ascii="Palatino Linotype" w:eastAsia="Times New Roman" w:hAnsi="Palatino Linotype" w:cs="Times New Roman"/>
          <w:b/>
          <w:bCs/>
          <w:color w:val="222222"/>
          <w:sz w:val="24"/>
          <w:lang w:eastAsia="es-MX"/>
        </w:rPr>
        <w:t> </w:t>
      </w:r>
      <w:r w:rsidR="00AD7F5F" w:rsidRPr="006E3939">
        <w:rPr>
          <w:rFonts w:ascii="Palatino Linotype" w:eastAsia="Times New Roman" w:hAnsi="Palatino Linotype" w:cs="Times New Roman"/>
          <w:color w:val="222222"/>
          <w:sz w:val="24"/>
          <w:lang w:eastAsia="es-MX"/>
        </w:rPr>
        <w:t>a través del </w:t>
      </w:r>
      <w:r w:rsidR="00AD7F5F" w:rsidRPr="006E3939">
        <w:rPr>
          <w:rFonts w:ascii="Palatino Linotype" w:eastAsia="Times New Roman" w:hAnsi="Palatino Linotype" w:cs="Times New Roman"/>
          <w:color w:val="222222"/>
          <w:sz w:val="24"/>
          <w:lang w:val="es-ES" w:eastAsia="es-MX"/>
        </w:rPr>
        <w:t>Sistema de Acceso a la Información Mexiquense (SAIMEX), dé la respuesta que conforme a derecho corresponda.</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8"/>
          <w:szCs w:val="24"/>
          <w:lang w:val="es-ES" w:eastAsia="es-MX"/>
        </w:rPr>
        <w:t>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val="es-ES" w:eastAsia="es-MX"/>
        </w:rPr>
        <w:t>TERCERO</w:t>
      </w:r>
      <w:r w:rsidRPr="006E3939">
        <w:rPr>
          <w:rFonts w:ascii="Palatino Linotype" w:eastAsia="Times New Roman" w:hAnsi="Palatino Linotype" w:cs="Times New Roman"/>
          <w:b/>
          <w:bCs/>
          <w:color w:val="222222"/>
          <w:sz w:val="24"/>
          <w:lang w:eastAsia="es-MX"/>
        </w:rPr>
        <w:t>. </w:t>
      </w:r>
      <w:r w:rsidRPr="006E3939">
        <w:rPr>
          <w:rFonts w:ascii="Palatino Linotype" w:eastAsia="Times New Roman" w:hAnsi="Palatino Linotype" w:cs="Times New Roman"/>
          <w:color w:val="222222"/>
          <w:sz w:val="24"/>
          <w:lang w:val="es-ES_tradnl" w:eastAsia="es-MX"/>
        </w:rPr>
        <w:t>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 </w:t>
      </w:r>
    </w:p>
    <w:p w:rsidR="00AD7F5F" w:rsidRDefault="00AD7F5F" w:rsidP="003C1BF2">
      <w:pPr>
        <w:shd w:val="clear" w:color="auto" w:fill="FFFFFF"/>
        <w:spacing w:after="0" w:line="360" w:lineRule="auto"/>
        <w:jc w:val="both"/>
        <w:rPr>
          <w:rFonts w:ascii="Palatino Linotype" w:eastAsia="Times New Roman" w:hAnsi="Palatino Linotype" w:cs="Times New Roman"/>
          <w:color w:val="222222"/>
          <w:sz w:val="24"/>
          <w:lang w:eastAsia="es-MX"/>
        </w:rPr>
      </w:pPr>
      <w:r w:rsidRPr="006E3939">
        <w:rPr>
          <w:rFonts w:ascii="Palatino Linotype" w:eastAsia="Times New Roman" w:hAnsi="Palatino Linotype" w:cs="Times New Roman"/>
          <w:b/>
          <w:bCs/>
          <w:color w:val="222222"/>
          <w:sz w:val="24"/>
          <w:lang w:eastAsia="es-MX"/>
        </w:rPr>
        <w:t>CUARTO. NOTIFÍQUESE </w:t>
      </w:r>
      <w:r w:rsidRPr="006E3939">
        <w:rPr>
          <w:rFonts w:ascii="Palatino Linotype" w:eastAsia="Times New Roman" w:hAnsi="Palatino Linotype" w:cs="Times New Roman"/>
          <w:color w:val="222222"/>
          <w:sz w:val="24"/>
          <w:lang w:eastAsia="es-MX"/>
        </w:rPr>
        <w:t xml:space="preserve">la presente resolución al Titular de la Unidad de Transparencia del Sujeto Obligado, para que conforme al artículo 186 último párrafo, 189 </w:t>
      </w:r>
      <w:proofErr w:type="gramStart"/>
      <w:r w:rsidRPr="006E3939">
        <w:rPr>
          <w:rFonts w:ascii="Palatino Linotype" w:eastAsia="Times New Roman" w:hAnsi="Palatino Linotype" w:cs="Times New Roman"/>
          <w:color w:val="222222"/>
          <w:sz w:val="24"/>
          <w:lang w:eastAsia="es-MX"/>
        </w:rPr>
        <w:t>segundo</w:t>
      </w:r>
      <w:proofErr w:type="gramEnd"/>
      <w:r w:rsidRPr="006E3939">
        <w:rPr>
          <w:rFonts w:ascii="Palatino Linotype" w:eastAsia="Times New Roman" w:hAnsi="Palatino Linotype" w:cs="Times New Roman"/>
          <w:color w:val="222222"/>
          <w:sz w:val="24"/>
          <w:lang w:eastAsia="es-MX"/>
        </w:rPr>
        <w:t xml:space="preserve"> párrafo y 194 de la Ley de Transparencia y Acceso a la </w:t>
      </w:r>
      <w:r w:rsidRPr="00894CD4">
        <w:rPr>
          <w:rFonts w:ascii="Palatino Linotype" w:eastAsia="Times New Roman" w:hAnsi="Palatino Linotype" w:cs="Times New Roman"/>
          <w:color w:val="222222"/>
          <w:lang w:eastAsia="es-MX"/>
        </w:rPr>
        <w:t xml:space="preserve">Información Pública del Estado de México y Municipios; dé </w:t>
      </w:r>
      <w:r w:rsidRPr="00894CD4">
        <w:rPr>
          <w:rFonts w:ascii="Palatino Linotype" w:eastAsia="Times New Roman" w:hAnsi="Palatino Linotype" w:cs="Times New Roman"/>
          <w:color w:val="222222"/>
          <w:sz w:val="24"/>
          <w:lang w:eastAsia="es-MX"/>
        </w:rPr>
        <w:t>cumplimiento</w:t>
      </w:r>
      <w:r w:rsidRPr="00894CD4">
        <w:rPr>
          <w:rFonts w:ascii="Palatino Linotype" w:eastAsia="Times New Roman" w:hAnsi="Palatino Linotype" w:cs="Times New Roman"/>
          <w:color w:val="222222"/>
          <w:sz w:val="28"/>
          <w:lang w:eastAsia="es-MX"/>
        </w:rPr>
        <w:t xml:space="preserve"> </w:t>
      </w:r>
      <w:r w:rsidRPr="00894CD4">
        <w:rPr>
          <w:rFonts w:ascii="Palatino Linotype" w:eastAsia="Times New Roman" w:hAnsi="Palatino Linotype" w:cs="Times New Roman"/>
          <w:color w:val="222222"/>
          <w:sz w:val="24"/>
          <w:lang w:eastAsia="es-MX"/>
        </w:rPr>
        <w:t>a lo</w:t>
      </w:r>
      <w:r w:rsidRPr="00894CD4">
        <w:rPr>
          <w:rFonts w:ascii="Palatino Linotype" w:eastAsia="Times New Roman" w:hAnsi="Palatino Linotype" w:cs="Times New Roman"/>
          <w:color w:val="222222"/>
          <w:lang w:eastAsia="es-MX"/>
        </w:rPr>
        <w:t xml:space="preserve"> </w:t>
      </w:r>
      <w:r w:rsidRPr="00894CD4">
        <w:rPr>
          <w:rFonts w:ascii="Palatino Linotype" w:eastAsia="Times New Roman" w:hAnsi="Palatino Linotype" w:cs="Times New Roman"/>
          <w:color w:val="222222"/>
          <w:sz w:val="24"/>
          <w:lang w:eastAsia="es-MX"/>
        </w:rPr>
        <w:t>ordenado</w:t>
      </w:r>
      <w:r w:rsidRPr="006E3939">
        <w:rPr>
          <w:rFonts w:ascii="Palatino Linotype" w:eastAsia="Times New Roman" w:hAnsi="Palatino Linotype" w:cs="Times New Roman"/>
          <w:color w:val="222222"/>
          <w:sz w:val="24"/>
          <w:lang w:eastAsia="es-MX"/>
        </w:rPr>
        <w:t xml:space="preserve"> </w:t>
      </w:r>
    </w:p>
    <w:p w:rsidR="00AD7F5F" w:rsidRPr="00894CD4" w:rsidRDefault="00AD7F5F" w:rsidP="003C1BF2">
      <w:pPr>
        <w:shd w:val="clear" w:color="auto" w:fill="FFFFFF"/>
        <w:spacing w:after="0" w:line="360" w:lineRule="auto"/>
        <w:jc w:val="both"/>
        <w:rPr>
          <w:rFonts w:ascii="Palatino Linotype" w:eastAsia="Times New Roman" w:hAnsi="Palatino Linotype" w:cs="Times New Roman"/>
          <w:color w:val="222222"/>
          <w:lang w:eastAsia="es-MX"/>
        </w:rPr>
      </w:pPr>
      <w:r w:rsidRPr="006E3939">
        <w:rPr>
          <w:rFonts w:ascii="Palatino Linotype" w:eastAsia="Times New Roman" w:hAnsi="Palatino Linotype" w:cs="Times New Roman"/>
          <w:color w:val="222222"/>
          <w:sz w:val="24"/>
          <w:lang w:eastAsia="es-MX"/>
        </w:rPr>
        <w:t>dentro del plazo de diez días hábiles, e informe a este Instituto en un plazo de tres días hábiles siguientes sobre el cumplimiento dado a la presente.</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4"/>
          <w:lang w:eastAsia="es-MX"/>
        </w:rPr>
        <w:t>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val="es-ES" w:eastAsia="es-MX"/>
        </w:rPr>
        <w:t>QUINTO</w:t>
      </w:r>
      <w:r w:rsidRPr="006E3939">
        <w:rPr>
          <w:rFonts w:ascii="Palatino Linotype" w:eastAsia="Times New Roman" w:hAnsi="Palatino Linotype" w:cs="Times New Roman"/>
          <w:color w:val="222222"/>
          <w:sz w:val="24"/>
          <w:lang w:val="es-ES" w:eastAsia="es-MX"/>
        </w:rPr>
        <w:t>.</w:t>
      </w:r>
      <w:r>
        <w:rPr>
          <w:rFonts w:ascii="Palatino Linotype" w:eastAsia="Times New Roman" w:hAnsi="Palatino Linotype" w:cs="Times New Roman"/>
          <w:color w:val="222222"/>
          <w:sz w:val="24"/>
          <w:lang w:val="es-ES" w:eastAsia="es-MX"/>
        </w:rPr>
        <w:t xml:space="preserve"> </w:t>
      </w:r>
      <w:r w:rsidRPr="006E3939">
        <w:rPr>
          <w:rFonts w:ascii="Palatino Linotype" w:eastAsia="Times New Roman" w:hAnsi="Palatino Linotype" w:cs="Times New Roman"/>
          <w:b/>
          <w:bCs/>
          <w:color w:val="222222"/>
          <w:sz w:val="24"/>
          <w:lang w:eastAsia="es-MX"/>
        </w:rPr>
        <w:t>NOTIFÍQUESE</w:t>
      </w:r>
      <w:r w:rsidRPr="006E3939">
        <w:rPr>
          <w:rFonts w:ascii="Palatino Linotype" w:eastAsia="Times New Roman" w:hAnsi="Palatino Linotype" w:cs="Times New Roman"/>
          <w:color w:val="222222"/>
          <w:sz w:val="24"/>
          <w:lang w:eastAsia="es-MX"/>
        </w:rPr>
        <w:t> al Recurrente la presente Resolución</w:t>
      </w:r>
      <w:r w:rsidRPr="006E3939">
        <w:rPr>
          <w:rFonts w:ascii="Palatino Linotype" w:eastAsia="Times New Roman" w:hAnsi="Palatino Linotype" w:cs="Times New Roman"/>
          <w:color w:val="222222"/>
          <w:sz w:val="24"/>
          <w:lang w:val="es-ES" w:eastAsia="es-MX"/>
        </w:rPr>
        <w:t>, </w:t>
      </w:r>
      <w:r>
        <w:rPr>
          <w:rFonts w:ascii="Palatino Linotype" w:eastAsia="Times New Roman" w:hAnsi="Palatino Linotype" w:cs="Times New Roman"/>
          <w:color w:val="222222"/>
          <w:sz w:val="24"/>
          <w:lang w:eastAsia="es-MX"/>
        </w:rPr>
        <w:t xml:space="preserve">asimismo, se </w:t>
      </w:r>
      <w:r w:rsidRPr="006E3939">
        <w:rPr>
          <w:rFonts w:ascii="Palatino Linotype" w:eastAsia="Times New Roman" w:hAnsi="Palatino Linotype" w:cs="Times New Roman"/>
          <w:color w:val="222222"/>
          <w:sz w:val="24"/>
          <w:lang w:eastAsia="es-MX"/>
        </w:rPr>
        <w:t xml:space="preserve">hace de su conocimiento que de conformidad con lo establecido en el artículo 196 de la Ley de Transparencia y Acceso a la Información Pública del Estado de México y </w:t>
      </w:r>
      <w:r w:rsidRPr="006E3939">
        <w:rPr>
          <w:rFonts w:ascii="Palatino Linotype" w:eastAsia="Times New Roman" w:hAnsi="Palatino Linotype" w:cs="Times New Roman"/>
          <w:color w:val="222222"/>
          <w:sz w:val="24"/>
          <w:lang w:eastAsia="es-MX"/>
        </w:rPr>
        <w:lastRenderedPageBreak/>
        <w:t>Municipios podrá promover el Juicio de Amparo en los términos de las leyes aplicables.</w:t>
      </w:r>
      <w:r w:rsidRPr="00A4301A">
        <w:rPr>
          <w:noProof/>
        </w:rPr>
        <w:t xml:space="preserve">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color w:val="222222"/>
          <w:sz w:val="24"/>
          <w:lang w:eastAsia="es-MX"/>
        </w:rPr>
        <w:t>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222222"/>
          <w:sz w:val="24"/>
          <w:lang w:eastAsia="es-MX"/>
        </w:rPr>
        <w:t>SEXTO.</w:t>
      </w:r>
      <w:r w:rsidRPr="006E3939">
        <w:rPr>
          <w:rFonts w:ascii="Palatino Linotype" w:eastAsia="Times New Roman" w:hAnsi="Palatino Linotype" w:cs="Times New Roman"/>
          <w:color w:val="222222"/>
          <w:sz w:val="24"/>
          <w:lang w:eastAsia="es-MX"/>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AD7F5F" w:rsidRPr="006E3939" w:rsidRDefault="006C05D1" w:rsidP="003C1BF2">
      <w:pPr>
        <w:shd w:val="clear" w:color="auto" w:fill="FFFFFF"/>
        <w:spacing w:after="0" w:line="360" w:lineRule="auto"/>
        <w:jc w:val="both"/>
        <w:rPr>
          <w:rFonts w:ascii="Times New Roman" w:eastAsia="Times New Roman" w:hAnsi="Times New Roman" w:cs="Times New Roman"/>
          <w:color w:val="222222"/>
          <w:szCs w:val="20"/>
          <w:lang w:eastAsia="es-MX"/>
        </w:rPr>
      </w:pPr>
      <w:r>
        <w:rPr>
          <w:rFonts w:ascii="Palatino Linotype" w:hAnsi="Palatino Linotype" w:cs="Arial"/>
          <w:b/>
          <w:noProof/>
          <w:sz w:val="24"/>
          <w:szCs w:val="24"/>
          <w:lang w:eastAsia="es-MX"/>
        </w:rPr>
        <w:drawing>
          <wp:anchor distT="0" distB="0" distL="114300" distR="114300" simplePos="0" relativeHeight="251722752" behindDoc="1" locked="0" layoutInCell="1" allowOverlap="1" wp14:anchorId="70FBCB52" wp14:editId="06B402C7">
            <wp:simplePos x="0" y="0"/>
            <wp:positionH relativeFrom="column">
              <wp:posOffset>527222</wp:posOffset>
            </wp:positionH>
            <wp:positionV relativeFrom="paragraph">
              <wp:posOffset>198326</wp:posOffset>
            </wp:positionV>
            <wp:extent cx="4480452" cy="3924300"/>
            <wp:effectExtent l="0" t="0" r="0" b="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452" cy="3924300"/>
                    </a:xfrm>
                    <a:prstGeom prst="rect">
                      <a:avLst/>
                    </a:prstGeom>
                    <a:noFill/>
                  </pic:spPr>
                </pic:pic>
              </a:graphicData>
            </a:graphic>
            <wp14:sizeRelH relativeFrom="page">
              <wp14:pctWidth>0</wp14:pctWidth>
            </wp14:sizeRelH>
            <wp14:sizeRelV relativeFrom="page">
              <wp14:pctHeight>0</wp14:pctHeight>
            </wp14:sizeRelV>
          </wp:anchor>
        </w:drawing>
      </w:r>
      <w:r w:rsidR="00AD7F5F" w:rsidRPr="006E3939">
        <w:rPr>
          <w:rFonts w:ascii="Palatino Linotype" w:eastAsia="Times New Roman" w:hAnsi="Palatino Linotype" w:cs="Times New Roman"/>
          <w:color w:val="000000"/>
          <w:sz w:val="24"/>
          <w:lang w:eastAsia="es-MX"/>
        </w:rPr>
        <w:t> </w:t>
      </w:r>
    </w:p>
    <w:p w:rsidR="00AD7F5F" w:rsidRPr="006E3939" w:rsidRDefault="00AD7F5F" w:rsidP="003C1BF2">
      <w:pPr>
        <w:shd w:val="clear" w:color="auto" w:fill="FFFFFF"/>
        <w:spacing w:after="0" w:line="360" w:lineRule="auto"/>
        <w:jc w:val="both"/>
        <w:rPr>
          <w:rFonts w:ascii="Times New Roman" w:eastAsia="Times New Roman" w:hAnsi="Times New Roman" w:cs="Times New Roman"/>
          <w:color w:val="222222"/>
          <w:szCs w:val="20"/>
          <w:lang w:eastAsia="es-MX"/>
        </w:rPr>
      </w:pPr>
      <w:r w:rsidRPr="006E3939">
        <w:rPr>
          <w:rFonts w:ascii="Palatino Linotype" w:eastAsia="Times New Roman" w:hAnsi="Palatino Linotype" w:cs="Times New Roman"/>
          <w:b/>
          <w:bCs/>
          <w:color w:val="000000"/>
          <w:sz w:val="24"/>
          <w:lang w:eastAsia="es-MX"/>
        </w:rPr>
        <w:t>SÉPTIMO. </w:t>
      </w:r>
      <w:r w:rsidRPr="006E3939">
        <w:rPr>
          <w:rFonts w:ascii="Palatino Linotype" w:eastAsia="Times New Roman" w:hAnsi="Palatino Linotype" w:cs="Times New Roman"/>
          <w:color w:val="222222"/>
          <w:sz w:val="24"/>
          <w:lang w:eastAsia="es-MX"/>
        </w:rPr>
        <w:t>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S</w:t>
      </w:r>
      <w:r>
        <w:rPr>
          <w:rFonts w:ascii="Palatino Linotype" w:eastAsia="Times New Roman" w:hAnsi="Palatino Linotype" w:cs="Times New Roman"/>
          <w:color w:val="222222"/>
          <w:sz w:val="24"/>
          <w:lang w:eastAsia="es-MX"/>
        </w:rPr>
        <w:t>EXT</w:t>
      </w:r>
      <w:r w:rsidRPr="006E3939">
        <w:rPr>
          <w:rFonts w:ascii="Palatino Linotype" w:eastAsia="Times New Roman" w:hAnsi="Palatino Linotype" w:cs="Times New Roman"/>
          <w:color w:val="222222"/>
          <w:sz w:val="24"/>
          <w:lang w:eastAsia="es-MX"/>
        </w:rPr>
        <w:t>O</w:t>
      </w:r>
      <w:r w:rsidRPr="006E3939">
        <w:rPr>
          <w:rFonts w:ascii="Palatino Linotype" w:eastAsia="Times New Roman" w:hAnsi="Palatino Linotype" w:cs="Times New Roman"/>
          <w:b/>
          <w:bCs/>
          <w:color w:val="222222"/>
          <w:sz w:val="24"/>
          <w:lang w:eastAsia="es-MX"/>
        </w:rPr>
        <w:t> </w:t>
      </w:r>
      <w:r w:rsidRPr="006E3939">
        <w:rPr>
          <w:rFonts w:ascii="Palatino Linotype" w:eastAsia="Times New Roman" w:hAnsi="Palatino Linotype" w:cs="Times New Roman"/>
          <w:color w:val="222222"/>
          <w:sz w:val="24"/>
          <w:lang w:eastAsia="es-MX"/>
        </w:rPr>
        <w:t>de la presente Resolución.</w:t>
      </w:r>
    </w:p>
    <w:p w:rsidR="00AD7F5F" w:rsidRDefault="00AD7F5F" w:rsidP="00AD7F5F">
      <w:pPr>
        <w:spacing w:after="0" w:line="360" w:lineRule="auto"/>
        <w:jc w:val="both"/>
        <w:rPr>
          <w:rFonts w:ascii="Palatino Linotype" w:hAnsi="Palatino Linotype" w:cs="Arial"/>
          <w:sz w:val="24"/>
          <w:szCs w:val="24"/>
          <w:lang w:val="es-ES_tradnl"/>
        </w:rPr>
      </w:pPr>
    </w:p>
    <w:p w:rsidR="005E0010" w:rsidRDefault="003C1BF2" w:rsidP="00AD7F5F">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r>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-108071</wp:posOffset>
                </wp:positionH>
                <wp:positionV relativeFrom="paragraph">
                  <wp:posOffset>3117919</wp:posOffset>
                </wp:positionV>
                <wp:extent cx="5815913" cy="980302"/>
                <wp:effectExtent l="0" t="0" r="33020" b="29845"/>
                <wp:wrapNone/>
                <wp:docPr id="58" name="Conector recto 58"/>
                <wp:cNvGraphicFramePr/>
                <a:graphic xmlns:a="http://schemas.openxmlformats.org/drawingml/2006/main">
                  <a:graphicData uri="http://schemas.microsoft.com/office/word/2010/wordprocessingShape">
                    <wps:wsp>
                      <wps:cNvCnPr/>
                      <wps:spPr>
                        <a:xfrm>
                          <a:off x="0" y="0"/>
                          <a:ext cx="5815913" cy="980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297B2" id="Conector recto 5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5pt,245.5pt" to="449.45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" strokecolor="black [3200]" strokeweight=".5pt">
                <v:stroke joinstyle="miter"/>
              </v:line>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-979</wp:posOffset>
                </wp:positionH>
                <wp:positionV relativeFrom="paragraph">
                  <wp:posOffset>2862545</wp:posOffset>
                </wp:positionV>
                <wp:extent cx="5923005" cy="947351"/>
                <wp:effectExtent l="0" t="0" r="20955" b="24765"/>
                <wp:wrapNone/>
                <wp:docPr id="57" name="Conector recto 57"/>
                <wp:cNvGraphicFramePr/>
                <a:graphic xmlns:a="http://schemas.openxmlformats.org/drawingml/2006/main">
                  <a:graphicData uri="http://schemas.microsoft.com/office/word/2010/wordprocessingShape">
                    <wps:wsp>
                      <wps:cNvCnPr/>
                      <wps:spPr>
                        <a:xfrm>
                          <a:off x="0" y="0"/>
                          <a:ext cx="5923005" cy="9473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FA1DF" id="Conector recto 5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225.4pt" to="466.3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" strokecolor="black [3200]" strokeweight=".5pt">
                <v:stroke joinstyle="miter"/>
              </v:line>
            </w:pict>
          </mc:Fallback>
        </mc:AlternateContent>
      </w:r>
      <w:r w:rsidR="00AD7F5F" w:rsidRPr="00AD67C3">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w:t>
      </w:r>
      <w:r w:rsidR="00AD7F5F">
        <w:rPr>
          <w:rFonts w:ascii="Palatino Linotype" w:hAnsi="Palatino Linotype" w:cs="Arial"/>
          <w:sz w:val="24"/>
          <w:szCs w:val="24"/>
          <w:lang w:val="es-ES_tradnl"/>
        </w:rPr>
        <w:t xml:space="preserve"> </w:t>
      </w:r>
      <w:r w:rsidR="00AD7F5F" w:rsidRPr="00AD67C3">
        <w:rPr>
          <w:rFonts w:ascii="Palatino Linotype" w:hAnsi="Palatino Linotype" w:cs="Arial"/>
          <w:sz w:val="24"/>
          <w:szCs w:val="24"/>
          <w:lang w:val="es-ES_tradnl"/>
        </w:rPr>
        <w:t xml:space="preserve">VILCHIS, MARÍA DEL ROSARIO MEJÍA AYALA, SHARON CRISTINA MORALES MARTÍNEZ, GUADALUPE RAMÍREZ PEÑA Y GUADALUPE RAMÍREZ PEÑA; EN LA </w:t>
      </w:r>
      <w:r w:rsidR="00AD7F5F" w:rsidRPr="007E69C8">
        <w:rPr>
          <w:rFonts w:ascii="Palatino Linotype" w:hAnsi="Palatino Linotype" w:cs="Arial"/>
          <w:sz w:val="24"/>
          <w:szCs w:val="24"/>
          <w:lang w:val="es-ES_tradnl"/>
        </w:rPr>
        <w:t xml:space="preserve">TRIGÉSIMA </w:t>
      </w:r>
      <w:r>
        <w:rPr>
          <w:rFonts w:ascii="Palatino Linotype" w:hAnsi="Palatino Linotype" w:cs="Arial"/>
          <w:sz w:val="24"/>
          <w:szCs w:val="24"/>
          <w:lang w:val="es-ES_tradnl"/>
        </w:rPr>
        <w:t>SÉPTIMA</w:t>
      </w:r>
      <w:r w:rsidR="00AD7F5F" w:rsidRPr="007E69C8">
        <w:rPr>
          <w:rFonts w:ascii="Palatino Linotype" w:hAnsi="Palatino Linotype" w:cs="Arial"/>
          <w:sz w:val="24"/>
          <w:szCs w:val="24"/>
          <w:lang w:val="es-ES_tradnl"/>
        </w:rPr>
        <w:t xml:space="preserve"> SESIÓN ORDINARIA CELEBRADA EL </w:t>
      </w:r>
      <w:r>
        <w:rPr>
          <w:rFonts w:ascii="Palatino Linotype" w:hAnsi="Palatino Linotype" w:cs="Arial"/>
          <w:sz w:val="24"/>
          <w:szCs w:val="24"/>
          <w:lang w:val="es-ES_tradnl"/>
        </w:rPr>
        <w:t>VEINTE</w:t>
      </w:r>
      <w:r w:rsidR="00AD7F5F" w:rsidRPr="007E69C8">
        <w:rPr>
          <w:rFonts w:ascii="Palatino Linotype" w:hAnsi="Palatino Linotype" w:cs="Arial"/>
          <w:sz w:val="24"/>
          <w:szCs w:val="24"/>
          <w:lang w:val="es-ES_tradnl"/>
        </w:rPr>
        <w:t xml:space="preserve"> DE </w:t>
      </w:r>
      <w:r w:rsidR="00AD7F5F">
        <w:rPr>
          <w:rFonts w:ascii="Palatino Linotype" w:hAnsi="Palatino Linotype" w:cs="Arial"/>
          <w:sz w:val="24"/>
          <w:szCs w:val="24"/>
          <w:lang w:val="es-ES_tradnl"/>
        </w:rPr>
        <w:t>OCTU</w:t>
      </w:r>
      <w:r w:rsidR="00AD7F5F" w:rsidRPr="007E69C8">
        <w:rPr>
          <w:rFonts w:ascii="Palatino Linotype" w:hAnsi="Palatino Linotype" w:cs="Arial"/>
          <w:sz w:val="24"/>
          <w:szCs w:val="24"/>
          <w:lang w:val="es-ES_tradnl"/>
        </w:rPr>
        <w:t>BRE DE DOS MIL VEINTIUNO,</w:t>
      </w:r>
      <w:r w:rsidR="00AD7F5F" w:rsidRPr="00AD67C3">
        <w:rPr>
          <w:rFonts w:ascii="Palatino Linotype" w:hAnsi="Palatino Linotype" w:cs="Arial"/>
          <w:sz w:val="24"/>
          <w:szCs w:val="24"/>
          <w:lang w:val="es-ES_tradnl"/>
        </w:rPr>
        <w:t xml:space="preserve"> ANTE EL SECRETARIO TÉCNICO </w:t>
      </w:r>
      <w:r w:rsidR="006C05D1">
        <w:rPr>
          <w:rFonts w:ascii="Palatino Linotype" w:hAnsi="Palatino Linotype" w:cs="Arial"/>
          <w:sz w:val="24"/>
          <w:szCs w:val="24"/>
          <w:lang w:val="es-ES_tradnl"/>
        </w:rPr>
        <w:t>DEL PLENO, ALEXIS TAPIA RA</w:t>
      </w:r>
    </w:p>
    <w:p w:rsidR="00094019" w:rsidRDefault="00094019" w:rsidP="005E0010">
      <w:pPr>
        <w:spacing w:before="240" w:after="240" w:line="360" w:lineRule="auto"/>
        <w:jc w:val="both"/>
        <w:rPr>
          <w:rFonts w:ascii="Palatino Linotype" w:hAnsi="Palatino Linotype" w:cs="Arial"/>
          <w:b/>
          <w:i/>
          <w:sz w:val="24"/>
          <w:szCs w:val="24"/>
          <w:lang w:eastAsia="es-MX"/>
        </w:rPr>
        <w:sectPr w:rsidR="00094019" w:rsidSect="005E0010">
          <w:pgSz w:w="12240" w:h="15840"/>
          <w:pgMar w:top="1417" w:right="1701" w:bottom="1417" w:left="1701" w:header="708" w:footer="708" w:gutter="0"/>
          <w:cols w:space="708"/>
          <w:docGrid w:linePitch="360"/>
        </w:sectPr>
      </w:pPr>
    </w:p>
    <w:p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rsidR="00094019" w:rsidRPr="009638C3" w:rsidRDefault="00094019" w:rsidP="00094019">
      <w:pPr>
        <w:spacing w:before="240" w:after="240" w:line="360" w:lineRule="auto"/>
        <w:jc w:val="both"/>
        <w:rPr>
          <w:rFonts w:ascii="Palatino Linotype" w:hAnsi="Palatino Linotype" w:cs="Arial"/>
          <w:bCs/>
          <w:sz w:val="24"/>
          <w:szCs w:val="24"/>
        </w:rPr>
        <w:sectPr w:rsidR="00094019" w:rsidRPr="009638C3" w:rsidSect="00094019">
          <w:pgSz w:w="12240" w:h="15840"/>
          <w:pgMar w:top="1417" w:right="1701" w:bottom="1417" w:left="1701" w:header="708" w:footer="708" w:gutter="0"/>
          <w:cols w:space="708"/>
          <w:docGrid w:linePitch="360"/>
        </w:sectPr>
      </w:pPr>
    </w:p>
    <w:p w:rsidR="000553E5" w:rsidRPr="00131A13" w:rsidRDefault="000553E5" w:rsidP="003C1BF2">
      <w:pPr>
        <w:spacing w:after="0" w:line="360" w:lineRule="auto"/>
        <w:ind w:right="900"/>
        <w:jc w:val="both"/>
        <w:rPr>
          <w:rFonts w:ascii="Palatino Linotype" w:hAnsi="Palatino Linotype" w:cs="Arial"/>
          <w:i/>
          <w:sz w:val="24"/>
          <w:szCs w:val="24"/>
        </w:rPr>
      </w:pPr>
    </w:p>
    <w:sectPr w:rsidR="000553E5" w:rsidRPr="00131A13" w:rsidSect="0027356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73" w:rsidRDefault="00951173" w:rsidP="00951173">
      <w:pPr>
        <w:spacing w:after="0" w:line="240" w:lineRule="auto"/>
      </w:pPr>
      <w:r>
        <w:separator/>
      </w:r>
    </w:p>
  </w:endnote>
  <w:endnote w:type="continuationSeparator" w:id="0">
    <w:p w:rsidR="00951173" w:rsidRDefault="00951173" w:rsidP="0095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15666"/>
      <w:docPartObj>
        <w:docPartGallery w:val="Page Numbers (Bottom of Page)"/>
        <w:docPartUnique/>
      </w:docPartObj>
    </w:sdtPr>
    <w:sdtEndPr/>
    <w:sdtContent>
      <w:p w:rsidR="00094019" w:rsidRDefault="00094019">
        <w:pPr>
          <w:pStyle w:val="Piedepgina"/>
          <w:jc w:val="right"/>
        </w:pPr>
        <w:r>
          <w:fldChar w:fldCharType="begin"/>
        </w:r>
        <w:r>
          <w:instrText>PAGE   \* MERGEFORMAT</w:instrText>
        </w:r>
        <w:r>
          <w:fldChar w:fldCharType="separate"/>
        </w:r>
        <w:r w:rsidR="00EC7A41" w:rsidRPr="00EC7A41">
          <w:rPr>
            <w:noProof/>
            <w:lang w:val="es-ES"/>
          </w:rPr>
          <w:t>22</w:t>
        </w:r>
        <w:r>
          <w:fldChar w:fldCharType="end"/>
        </w:r>
      </w:p>
    </w:sdtContent>
  </w:sdt>
  <w:p w:rsidR="00094019" w:rsidRDefault="00094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73" w:rsidRDefault="00951173" w:rsidP="00951173">
      <w:pPr>
        <w:spacing w:after="0" w:line="240" w:lineRule="auto"/>
      </w:pPr>
      <w:r>
        <w:separator/>
      </w:r>
    </w:p>
  </w:footnote>
  <w:footnote w:type="continuationSeparator" w:id="0">
    <w:p w:rsidR="00951173" w:rsidRDefault="00951173" w:rsidP="00951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51173" w:rsidRPr="00B4142F" w:rsidTr="00390968">
      <w:trPr>
        <w:trHeight w:val="227"/>
      </w:trPr>
      <w:tc>
        <w:tcPr>
          <w:tcW w:w="5529" w:type="dxa"/>
          <w:hideMark/>
        </w:tcPr>
        <w:p w:rsidR="00951173" w:rsidRDefault="00951173" w:rsidP="0095117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51173" w:rsidRPr="00B4142F" w:rsidRDefault="00951173" w:rsidP="0027356C">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w:t>
          </w:r>
          <w:r w:rsidR="0027356C">
            <w:rPr>
              <w:rFonts w:ascii="Palatino Linotype" w:hAnsi="Palatino Linotype" w:cs="Arial"/>
              <w:bCs/>
              <w:sz w:val="24"/>
              <w:lang w:eastAsia="es-MX"/>
            </w:rPr>
            <w:t>82</w:t>
          </w:r>
          <w:r>
            <w:rPr>
              <w:rFonts w:ascii="Palatino Linotype" w:hAnsi="Palatino Linotype" w:cs="Arial"/>
              <w:bCs/>
              <w:sz w:val="24"/>
              <w:lang w:eastAsia="es-MX"/>
            </w:rPr>
            <w:t>4</w:t>
          </w:r>
          <w:r w:rsidRPr="00B91FC5">
            <w:rPr>
              <w:rFonts w:ascii="Palatino Linotype" w:hAnsi="Palatino Linotype" w:cs="Arial"/>
              <w:bCs/>
              <w:sz w:val="24"/>
              <w:lang w:eastAsia="es-MX"/>
            </w:rPr>
            <w:t>/INFOEM/IP/RR/2021</w:t>
          </w:r>
        </w:p>
      </w:tc>
    </w:tr>
    <w:tr w:rsidR="00951173" w:rsidRPr="00F06FED" w:rsidTr="00390968">
      <w:trPr>
        <w:trHeight w:val="196"/>
      </w:trPr>
      <w:tc>
        <w:tcPr>
          <w:tcW w:w="5529" w:type="dxa"/>
          <w:hideMark/>
        </w:tcPr>
        <w:p w:rsidR="00951173" w:rsidRDefault="00951173" w:rsidP="00951173">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51173" w:rsidRPr="00F06FED" w:rsidRDefault="00951173" w:rsidP="00951173">
          <w:pPr>
            <w:spacing w:after="120"/>
            <w:ind w:left="-486" w:right="214" w:firstLine="567"/>
            <w:jc w:val="right"/>
            <w:rPr>
              <w:rFonts w:ascii="Palatino Linotype" w:hAnsi="Palatino Linotype" w:cs="Arial"/>
            </w:rPr>
          </w:pPr>
        </w:p>
      </w:tc>
    </w:tr>
    <w:tr w:rsidR="00951173" w:rsidTr="00390968">
      <w:trPr>
        <w:trHeight w:val="242"/>
      </w:trPr>
      <w:tc>
        <w:tcPr>
          <w:tcW w:w="5529" w:type="dxa"/>
          <w:hideMark/>
        </w:tcPr>
        <w:p w:rsidR="00951173" w:rsidRDefault="00951173" w:rsidP="00951173">
          <w:pPr>
            <w:spacing w:after="0"/>
            <w:ind w:right="204"/>
            <w:jc w:val="right"/>
            <w:rPr>
              <w:rFonts w:ascii="Palatino Linotype" w:hAnsi="Palatino Linotype" w:cs="Arial"/>
              <w:b/>
              <w:szCs w:val="20"/>
            </w:rPr>
          </w:pPr>
          <w:r>
            <w:rPr>
              <w:noProof/>
              <w:lang w:eastAsia="es-MX"/>
            </w:rPr>
            <w:drawing>
              <wp:anchor distT="0" distB="0" distL="114300" distR="114300" simplePos="0" relativeHeight="251659264" behindDoc="1" locked="0" layoutInCell="0" allowOverlap="1" wp14:anchorId="3A74934F" wp14:editId="2543FFDD">
                <wp:simplePos x="0" y="0"/>
                <wp:positionH relativeFrom="margin">
                  <wp:posOffset>-200025</wp:posOffset>
                </wp:positionH>
                <wp:positionV relativeFrom="margin">
                  <wp:posOffset>-575310</wp:posOffset>
                </wp:positionV>
                <wp:extent cx="1851879" cy="896848"/>
                <wp:effectExtent l="0" t="0" r="0" b="0"/>
                <wp:wrapNone/>
                <wp:docPr id="2" name="Imagen 2"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951173" w:rsidRPr="00EB5BA9" w:rsidRDefault="00EB5BA9" w:rsidP="00EB5BA9">
          <w:pPr>
            <w:spacing w:after="0"/>
            <w:ind w:left="-495" w:right="214" w:firstLine="567"/>
            <w:jc w:val="right"/>
            <w:rPr>
              <w:rFonts w:ascii="Palatino Linotype" w:hAnsi="Palatino Linotype" w:cs="Arial"/>
              <w:sz w:val="24"/>
              <w:szCs w:val="24"/>
            </w:rPr>
          </w:pPr>
          <w:r w:rsidRPr="00EB5BA9">
            <w:rPr>
              <w:rFonts w:ascii="Palatino Linotype" w:hAnsi="Palatino Linotype"/>
              <w:bCs/>
              <w:color w:val="000000"/>
              <w:sz w:val="24"/>
              <w:szCs w:val="24"/>
            </w:rPr>
            <w:t xml:space="preserve">Ayuntamiento de </w:t>
          </w:r>
          <w:proofErr w:type="spellStart"/>
          <w:r w:rsidRPr="00EB5BA9">
            <w:rPr>
              <w:rFonts w:ascii="Palatino Linotype" w:hAnsi="Palatino Linotype"/>
              <w:bCs/>
              <w:color w:val="000000"/>
              <w:sz w:val="24"/>
              <w:szCs w:val="24"/>
            </w:rPr>
            <w:t>Tepetlaoxtoc</w:t>
          </w:r>
          <w:proofErr w:type="spellEnd"/>
          <w:r w:rsidR="00951173" w:rsidRPr="00EB5BA9">
            <w:rPr>
              <w:rFonts w:ascii="Palatino Linotype" w:hAnsi="Palatino Linotype" w:cs="Arial"/>
              <w:sz w:val="24"/>
              <w:szCs w:val="24"/>
            </w:rPr>
            <w:t xml:space="preserve"> </w:t>
          </w:r>
        </w:p>
      </w:tc>
    </w:tr>
    <w:tr w:rsidR="00951173" w:rsidTr="00390968">
      <w:trPr>
        <w:trHeight w:val="342"/>
      </w:trPr>
      <w:tc>
        <w:tcPr>
          <w:tcW w:w="5529" w:type="dxa"/>
          <w:hideMark/>
        </w:tcPr>
        <w:p w:rsidR="00951173" w:rsidRDefault="00951173" w:rsidP="00951173">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51173" w:rsidRDefault="00951173" w:rsidP="00951173">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951173" w:rsidRDefault="009511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rsidTr="00F02281">
      <w:trPr>
        <w:trHeight w:val="227"/>
      </w:trPr>
      <w:tc>
        <w:tcPr>
          <w:tcW w:w="5529" w:type="dxa"/>
          <w:hideMark/>
        </w:tcPr>
        <w:p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94019" w:rsidRPr="00B4142F" w:rsidRDefault="00094019" w:rsidP="00B73782">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094019" w:rsidRPr="00F06FED" w:rsidTr="00F02281">
      <w:trPr>
        <w:trHeight w:val="196"/>
      </w:trPr>
      <w:tc>
        <w:tcPr>
          <w:tcW w:w="5529" w:type="dxa"/>
          <w:hideMark/>
        </w:tcPr>
        <w:p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94019" w:rsidRPr="00F06FED" w:rsidRDefault="00094019" w:rsidP="00894CD4">
          <w:pPr>
            <w:spacing w:after="120"/>
            <w:ind w:left="-486" w:right="214" w:firstLine="567"/>
            <w:jc w:val="right"/>
            <w:rPr>
              <w:rFonts w:ascii="Palatino Linotype" w:hAnsi="Palatino Linotype" w:cs="Arial"/>
            </w:rPr>
          </w:pPr>
        </w:p>
      </w:tc>
    </w:tr>
    <w:tr w:rsidR="00094019" w:rsidTr="00F02281">
      <w:trPr>
        <w:trHeight w:val="242"/>
      </w:trPr>
      <w:tc>
        <w:tcPr>
          <w:tcW w:w="5529" w:type="dxa"/>
          <w:hideMark/>
        </w:tcPr>
        <w:p w:rsidR="00094019" w:rsidRDefault="00094019" w:rsidP="00894CD4">
          <w:pPr>
            <w:spacing w:after="0"/>
            <w:ind w:right="204"/>
            <w:jc w:val="right"/>
            <w:rPr>
              <w:rFonts w:ascii="Palatino Linotype" w:hAnsi="Palatino Linotype" w:cs="Arial"/>
              <w:b/>
              <w:szCs w:val="20"/>
            </w:rPr>
          </w:pPr>
          <w:r>
            <w:rPr>
              <w:noProof/>
              <w:lang w:eastAsia="es-MX"/>
            </w:rPr>
            <w:drawing>
              <wp:anchor distT="0" distB="0" distL="114300" distR="114300" simplePos="0" relativeHeight="251661312" behindDoc="1" locked="0" layoutInCell="0" allowOverlap="1" wp14:anchorId="4ABF3B94" wp14:editId="255D788E">
                <wp:simplePos x="0" y="0"/>
                <wp:positionH relativeFrom="margin">
                  <wp:posOffset>-200025</wp:posOffset>
                </wp:positionH>
                <wp:positionV relativeFrom="margin">
                  <wp:posOffset>-575310</wp:posOffset>
                </wp:positionV>
                <wp:extent cx="1851879" cy="896848"/>
                <wp:effectExtent l="0" t="0" r="0" b="0"/>
                <wp:wrapNone/>
                <wp:docPr id="55" name="Imagen 55"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094019" w:rsidRDefault="00DF36C3" w:rsidP="00B73782">
          <w:pPr>
            <w:spacing w:after="0"/>
            <w:ind w:left="-495" w:right="214" w:firstLine="567"/>
            <w:jc w:val="right"/>
            <w:rPr>
              <w:rFonts w:ascii="Palatino Linotype" w:hAnsi="Palatino Linotype" w:cs="Arial"/>
              <w:szCs w:val="20"/>
            </w:rPr>
          </w:pPr>
          <w:r w:rsidRPr="00EB5BA9">
            <w:rPr>
              <w:rFonts w:ascii="Palatino Linotype" w:hAnsi="Palatino Linotype"/>
              <w:bCs/>
              <w:color w:val="000000"/>
              <w:sz w:val="24"/>
              <w:szCs w:val="24"/>
            </w:rPr>
            <w:t xml:space="preserve">Ayuntamiento de </w:t>
          </w:r>
          <w:proofErr w:type="spellStart"/>
          <w:r w:rsidRPr="00EB5BA9">
            <w:rPr>
              <w:rFonts w:ascii="Palatino Linotype" w:hAnsi="Palatino Linotype"/>
              <w:bCs/>
              <w:color w:val="000000"/>
              <w:sz w:val="24"/>
              <w:szCs w:val="24"/>
            </w:rPr>
            <w:t>Tepetlaoxtoc</w:t>
          </w:r>
          <w:proofErr w:type="spellEnd"/>
        </w:p>
      </w:tc>
    </w:tr>
    <w:tr w:rsidR="00094019" w:rsidTr="00F02281">
      <w:trPr>
        <w:trHeight w:val="342"/>
      </w:trPr>
      <w:tc>
        <w:tcPr>
          <w:tcW w:w="5529" w:type="dxa"/>
          <w:hideMark/>
        </w:tcPr>
        <w:p w:rsidR="00094019" w:rsidRDefault="00094019" w:rsidP="00894CD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94019" w:rsidRDefault="00094019" w:rsidP="00894CD4">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094019" w:rsidRDefault="000940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rsidTr="009007B7">
      <w:trPr>
        <w:trHeight w:val="227"/>
      </w:trPr>
      <w:tc>
        <w:tcPr>
          <w:tcW w:w="5529" w:type="dxa"/>
          <w:hideMark/>
        </w:tcPr>
        <w:p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94019" w:rsidRPr="00B4142F" w:rsidRDefault="00094019" w:rsidP="009C038D">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094019" w:rsidRPr="00F06FED" w:rsidTr="009007B7">
      <w:trPr>
        <w:trHeight w:val="196"/>
      </w:trPr>
      <w:tc>
        <w:tcPr>
          <w:tcW w:w="5529" w:type="dxa"/>
          <w:hideMark/>
        </w:tcPr>
        <w:p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94019" w:rsidRPr="00F06FED" w:rsidRDefault="00094019" w:rsidP="009C038D">
          <w:pPr>
            <w:spacing w:after="120"/>
            <w:ind w:left="-486" w:right="214" w:firstLine="567"/>
            <w:jc w:val="right"/>
            <w:rPr>
              <w:rFonts w:ascii="Palatino Linotype" w:hAnsi="Palatino Linotype" w:cs="Arial"/>
            </w:rPr>
          </w:pPr>
          <w:r>
            <w:rPr>
              <w:rFonts w:ascii="Palatino Linotype" w:hAnsi="Palatino Linotype" w:cs="Arial"/>
            </w:rPr>
            <w:t>Carmen Lara</w:t>
          </w:r>
        </w:p>
      </w:tc>
    </w:tr>
    <w:tr w:rsidR="00094019" w:rsidTr="009007B7">
      <w:trPr>
        <w:trHeight w:val="242"/>
      </w:trPr>
      <w:tc>
        <w:tcPr>
          <w:tcW w:w="5529" w:type="dxa"/>
          <w:hideMark/>
        </w:tcPr>
        <w:p w:rsidR="00094019" w:rsidRDefault="00094019" w:rsidP="009C038D">
          <w:pPr>
            <w:spacing w:after="0"/>
            <w:ind w:right="204"/>
            <w:jc w:val="right"/>
            <w:rPr>
              <w:rFonts w:ascii="Palatino Linotype" w:hAnsi="Palatino Linotype" w:cs="Arial"/>
              <w:b/>
              <w:szCs w:val="20"/>
            </w:rPr>
          </w:pPr>
          <w:r>
            <w:rPr>
              <w:noProof/>
              <w:lang w:eastAsia="es-MX"/>
            </w:rPr>
            <w:drawing>
              <wp:anchor distT="0" distB="0" distL="114300" distR="114300" simplePos="0" relativeHeight="251662336" behindDoc="1" locked="0" layoutInCell="0" allowOverlap="1" wp14:anchorId="0DE6A69F" wp14:editId="6492DCBA">
                <wp:simplePos x="0" y="0"/>
                <wp:positionH relativeFrom="margin">
                  <wp:posOffset>-200025</wp:posOffset>
                </wp:positionH>
                <wp:positionV relativeFrom="margin">
                  <wp:posOffset>-575310</wp:posOffset>
                </wp:positionV>
                <wp:extent cx="1851879" cy="896848"/>
                <wp:effectExtent l="0" t="0" r="0" b="0"/>
                <wp:wrapNone/>
                <wp:docPr id="56" name="Imagen 56"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rsidR="00094019" w:rsidRDefault="00094019" w:rsidP="009C038D">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094019" w:rsidTr="009007B7">
      <w:trPr>
        <w:trHeight w:val="342"/>
      </w:trPr>
      <w:tc>
        <w:tcPr>
          <w:tcW w:w="5529" w:type="dxa"/>
          <w:hideMark/>
        </w:tcPr>
        <w:p w:rsidR="00094019" w:rsidRDefault="00094019" w:rsidP="009C03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94019" w:rsidRDefault="00094019" w:rsidP="009C038D">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rsidR="00094019" w:rsidRDefault="000940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1385"/>
    <w:multiLevelType w:val="hybridMultilevel"/>
    <w:tmpl w:val="213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CC5198"/>
    <w:multiLevelType w:val="hybridMultilevel"/>
    <w:tmpl w:val="EAEC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3"/>
    <w:rsid w:val="000553E5"/>
    <w:rsid w:val="00094019"/>
    <w:rsid w:val="00131A13"/>
    <w:rsid w:val="001C103E"/>
    <w:rsid w:val="0027356C"/>
    <w:rsid w:val="003C1BF2"/>
    <w:rsid w:val="005922F3"/>
    <w:rsid w:val="005E0010"/>
    <w:rsid w:val="00630AF3"/>
    <w:rsid w:val="00680F27"/>
    <w:rsid w:val="0069174E"/>
    <w:rsid w:val="006C05D1"/>
    <w:rsid w:val="00721337"/>
    <w:rsid w:val="008772E7"/>
    <w:rsid w:val="00951173"/>
    <w:rsid w:val="00A22ABA"/>
    <w:rsid w:val="00AD7F5F"/>
    <w:rsid w:val="00BA665A"/>
    <w:rsid w:val="00CE3C1E"/>
    <w:rsid w:val="00D40A41"/>
    <w:rsid w:val="00DF36C3"/>
    <w:rsid w:val="00EB0E47"/>
    <w:rsid w:val="00EB5BA9"/>
    <w:rsid w:val="00EC7A41"/>
    <w:rsid w:val="00F30EE8"/>
    <w:rsid w:val="00FC13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C6BEA-A4F6-4BAB-A33F-135117E1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7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1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173"/>
  </w:style>
  <w:style w:type="paragraph" w:styleId="Piedepgina">
    <w:name w:val="footer"/>
    <w:basedOn w:val="Normal"/>
    <w:link w:val="PiedepginaCar"/>
    <w:uiPriority w:val="99"/>
    <w:unhideWhenUsed/>
    <w:rsid w:val="009511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173"/>
  </w:style>
  <w:style w:type="paragraph" w:styleId="Sinespaciado">
    <w:name w:val="No Spacing"/>
    <w:aliases w:val="Francesa"/>
    <w:link w:val="SinespaciadoCar"/>
    <w:uiPriority w:val="1"/>
    <w:qFormat/>
    <w:rsid w:val="009511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5117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772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72E7"/>
  </w:style>
  <w:style w:type="character" w:styleId="Hipervnculo">
    <w:name w:val="Hyperlink"/>
    <w:basedOn w:val="Fuentedeprrafopredeter"/>
    <w:uiPriority w:val="99"/>
    <w:semiHidden/>
    <w:unhideWhenUsed/>
    <w:rsid w:val="005E0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31</Pages>
  <Words>6614</Words>
  <Characters>36381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2021-10-12T18:45:00Z</dcterms:created>
  <dcterms:modified xsi:type="dcterms:W3CDTF">2021-11-04T20:32:00Z</dcterms:modified>
</cp:coreProperties>
</file>