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1736776" w14:textId="566E484B" w:rsidR="00476727" w:rsidRPr="001E538E" w:rsidRDefault="00476727" w:rsidP="00EE43FE">
      <w:pPr>
        <w:spacing w:before="240" w:after="240" w:line="360" w:lineRule="auto"/>
        <w:jc w:val="both"/>
        <w:rPr>
          <w:rFonts w:ascii="Palatino Linotype" w:hAnsi="Palatino Linotype" w:cs="Arial"/>
        </w:rPr>
      </w:pPr>
      <w:r w:rsidRPr="001E538E">
        <w:rPr>
          <w:rFonts w:ascii="Palatino Linotype" w:hAnsi="Palatino Linotype" w:cs="Arial"/>
        </w:rPr>
        <w:t>Resolución del Pleno del Instituto de Transparencia, Acceso a la Información Pública y Protección de Datos Personales del Estado de México y Municipios, con domicili</w:t>
      </w:r>
      <w:r w:rsidR="00660AB3" w:rsidRPr="001E538E">
        <w:rPr>
          <w:rFonts w:ascii="Palatino Linotype" w:hAnsi="Palatino Linotype" w:cs="Arial"/>
        </w:rPr>
        <w:t xml:space="preserve">o </w:t>
      </w:r>
      <w:r w:rsidR="005A7C28" w:rsidRPr="001E538E">
        <w:rPr>
          <w:rFonts w:ascii="Palatino Linotype" w:hAnsi="Palatino Linotype" w:cs="Arial"/>
        </w:rPr>
        <w:t>en Metepec, Estado de México, a</w:t>
      </w:r>
      <w:r w:rsidR="00AA3B5E" w:rsidRPr="001E538E">
        <w:rPr>
          <w:rFonts w:ascii="Palatino Linotype" w:hAnsi="Palatino Linotype" w:cs="Arial"/>
        </w:rPr>
        <w:t xml:space="preserve"> </w:t>
      </w:r>
      <w:r w:rsidR="00D66B1E">
        <w:rPr>
          <w:rFonts w:ascii="Palatino Linotype" w:hAnsi="Palatino Linotype" w:cs="Arial"/>
          <w:b/>
        </w:rPr>
        <w:t>veintidós</w:t>
      </w:r>
      <w:r w:rsidR="00F71E23">
        <w:rPr>
          <w:rFonts w:ascii="Palatino Linotype" w:hAnsi="Palatino Linotype" w:cs="Arial"/>
          <w:b/>
        </w:rPr>
        <w:t xml:space="preserve"> de</w:t>
      </w:r>
      <w:r w:rsidR="00087F07" w:rsidRPr="00760DE7">
        <w:rPr>
          <w:rFonts w:ascii="Palatino Linotype" w:hAnsi="Palatino Linotype" w:cs="Arial"/>
          <w:b/>
        </w:rPr>
        <w:t xml:space="preserve"> </w:t>
      </w:r>
      <w:r w:rsidR="00D66B1E">
        <w:rPr>
          <w:rFonts w:ascii="Palatino Linotype" w:hAnsi="Palatino Linotype" w:cs="Arial"/>
          <w:b/>
        </w:rPr>
        <w:t>septiembre</w:t>
      </w:r>
      <w:r w:rsidR="00F71E23">
        <w:rPr>
          <w:rFonts w:ascii="Palatino Linotype" w:hAnsi="Palatino Linotype" w:cs="Arial"/>
          <w:b/>
        </w:rPr>
        <w:t xml:space="preserve"> </w:t>
      </w:r>
      <w:r w:rsidR="00760DE7">
        <w:rPr>
          <w:rFonts w:ascii="Palatino Linotype" w:hAnsi="Palatino Linotype" w:cs="Arial"/>
          <w:b/>
        </w:rPr>
        <w:t>de dos mil veintiuno</w:t>
      </w:r>
      <w:r w:rsidRPr="001E538E">
        <w:rPr>
          <w:rFonts w:ascii="Palatino Linotype" w:hAnsi="Palatino Linotype" w:cs="Arial"/>
        </w:rPr>
        <w:t xml:space="preserve">. </w:t>
      </w:r>
    </w:p>
    <w:p w14:paraId="73551799" w14:textId="052AF3D3" w:rsidR="00D06012" w:rsidRPr="001E538E" w:rsidRDefault="00D06012" w:rsidP="00EE43FE">
      <w:pPr>
        <w:spacing w:before="240" w:after="240" w:line="360" w:lineRule="auto"/>
        <w:jc w:val="both"/>
        <w:rPr>
          <w:rFonts w:ascii="Palatino Linotype" w:hAnsi="Palatino Linotype" w:cs="Arial"/>
        </w:rPr>
      </w:pPr>
      <w:r w:rsidRPr="001D5E8A">
        <w:rPr>
          <w:rFonts w:ascii="Palatino Linotype" w:hAnsi="Palatino Linotype" w:cs="Arial"/>
          <w:b/>
          <w:sz w:val="22"/>
        </w:rPr>
        <w:t>VISTO</w:t>
      </w:r>
      <w:r w:rsidR="009A618A" w:rsidRPr="001E538E">
        <w:rPr>
          <w:rFonts w:ascii="Palatino Linotype" w:hAnsi="Palatino Linotype" w:cs="Arial"/>
        </w:rPr>
        <w:t xml:space="preserve"> el </w:t>
      </w:r>
      <w:r w:rsidR="00F31082">
        <w:rPr>
          <w:rFonts w:ascii="Palatino Linotype" w:hAnsi="Palatino Linotype" w:cs="Arial"/>
        </w:rPr>
        <w:t>expediente formado con motivo del</w:t>
      </w:r>
      <w:r w:rsidR="009A618A" w:rsidRPr="001E538E">
        <w:rPr>
          <w:rFonts w:ascii="Palatino Linotype" w:hAnsi="Palatino Linotype" w:cs="Arial"/>
        </w:rPr>
        <w:t xml:space="preserve"> </w:t>
      </w:r>
      <w:r w:rsidRPr="001E538E">
        <w:rPr>
          <w:rFonts w:ascii="Palatino Linotype" w:hAnsi="Palatino Linotype" w:cs="Arial"/>
        </w:rPr>
        <w:t xml:space="preserve">recurso de revisión </w:t>
      </w:r>
      <w:r w:rsidR="007461DC" w:rsidRPr="007461DC">
        <w:rPr>
          <w:rFonts w:ascii="Palatino Linotype" w:hAnsi="Palatino Linotype" w:cs="Arial"/>
          <w:b/>
          <w:bCs/>
          <w:lang w:val="es-ES_tradnl"/>
        </w:rPr>
        <w:t>01734/INFOEM/IP/RR/2021</w:t>
      </w:r>
      <w:r w:rsidR="00F60090" w:rsidRPr="00997558">
        <w:rPr>
          <w:rFonts w:ascii="Palatino Linotype" w:hAnsi="Palatino Linotype" w:cs="Arial"/>
          <w:b/>
        </w:rPr>
        <w:t>,</w:t>
      </w:r>
      <w:r w:rsidR="00F60090" w:rsidRPr="005C4D22">
        <w:rPr>
          <w:rFonts w:ascii="Palatino Linotype" w:hAnsi="Palatino Linotype" w:cs="Arial"/>
          <w:b/>
        </w:rPr>
        <w:t xml:space="preserve"> </w:t>
      </w:r>
      <w:r w:rsidR="007C1B36" w:rsidRPr="005C4D22">
        <w:rPr>
          <w:rFonts w:ascii="Palatino Linotype" w:hAnsi="Palatino Linotype" w:cs="Arial"/>
        </w:rPr>
        <w:t>interpuesto</w:t>
      </w:r>
      <w:r w:rsidR="00000739" w:rsidRPr="005C4D22">
        <w:rPr>
          <w:rFonts w:ascii="Palatino Linotype" w:hAnsi="Palatino Linotype" w:cs="Arial"/>
        </w:rPr>
        <w:t xml:space="preserve"> por</w:t>
      </w:r>
      <w:r w:rsidR="007461DC">
        <w:rPr>
          <w:rFonts w:ascii="Palatino Linotype" w:hAnsi="Palatino Linotype" w:cs="Arial"/>
          <w:b/>
          <w:bCs/>
        </w:rPr>
        <w:t xml:space="preserve"> un particular de manera anónima</w:t>
      </w:r>
      <w:r w:rsidR="00087F07" w:rsidRPr="005C4D22">
        <w:rPr>
          <w:rFonts w:ascii="Palatino Linotype" w:hAnsi="Palatino Linotype" w:cs="Arial"/>
          <w:b/>
          <w:bCs/>
        </w:rPr>
        <w:t>,</w:t>
      </w:r>
      <w:r w:rsidR="009F23A2" w:rsidRPr="005C4D22">
        <w:rPr>
          <w:rFonts w:ascii="Palatino Linotype" w:hAnsi="Palatino Linotype" w:cs="Arial"/>
          <w:b/>
        </w:rPr>
        <w:t xml:space="preserve"> </w:t>
      </w:r>
      <w:r w:rsidRPr="005C4D22">
        <w:rPr>
          <w:rFonts w:ascii="Palatino Linotype" w:hAnsi="Palatino Linotype" w:cs="Arial"/>
        </w:rPr>
        <w:t>en lo sucesivo</w:t>
      </w:r>
      <w:r w:rsidR="00643CCD" w:rsidRPr="005C4D22">
        <w:rPr>
          <w:rFonts w:ascii="Palatino Linotype" w:hAnsi="Palatino Linotype" w:cs="Arial"/>
          <w:b/>
        </w:rPr>
        <w:t xml:space="preserve"> </w:t>
      </w:r>
      <w:r w:rsidR="00F71E23" w:rsidRPr="007461DC">
        <w:rPr>
          <w:rFonts w:ascii="Palatino Linotype" w:hAnsi="Palatino Linotype" w:cs="Arial"/>
          <w:b/>
        </w:rPr>
        <w:t>la</w:t>
      </w:r>
      <w:r w:rsidR="005C4D22" w:rsidRPr="007461DC">
        <w:rPr>
          <w:rFonts w:ascii="Palatino Linotype" w:hAnsi="Palatino Linotype" w:cs="Arial"/>
          <w:b/>
        </w:rPr>
        <w:t xml:space="preserve"> </w:t>
      </w:r>
      <w:r w:rsidR="007461DC" w:rsidRPr="007461DC">
        <w:rPr>
          <w:rFonts w:ascii="Palatino Linotype" w:hAnsi="Palatino Linotype" w:cs="Arial"/>
          <w:b/>
        </w:rPr>
        <w:t>parte</w:t>
      </w:r>
      <w:r w:rsidR="007461DC">
        <w:rPr>
          <w:rFonts w:ascii="Palatino Linotype" w:hAnsi="Palatino Linotype" w:cs="Arial"/>
        </w:rPr>
        <w:t xml:space="preserve"> </w:t>
      </w:r>
      <w:r w:rsidR="005C4D22">
        <w:rPr>
          <w:rFonts w:ascii="Palatino Linotype" w:hAnsi="Palatino Linotype" w:cs="Arial"/>
          <w:b/>
        </w:rPr>
        <w:t>R</w:t>
      </w:r>
      <w:r w:rsidR="001E49CD" w:rsidRPr="005C4D22">
        <w:rPr>
          <w:rFonts w:ascii="Palatino Linotype" w:hAnsi="Palatino Linotype" w:cs="Arial"/>
          <w:b/>
        </w:rPr>
        <w:t>ecurrente</w:t>
      </w:r>
      <w:r w:rsidRPr="005C4D22">
        <w:rPr>
          <w:rFonts w:ascii="Palatino Linotype" w:hAnsi="Palatino Linotype" w:cs="Arial"/>
          <w:b/>
        </w:rPr>
        <w:t>,</w:t>
      </w:r>
      <w:r w:rsidRPr="005C4D22">
        <w:rPr>
          <w:rFonts w:ascii="Palatino Linotype" w:hAnsi="Palatino Linotype" w:cs="Arial"/>
        </w:rPr>
        <w:t xml:space="preserve"> en contra de</w:t>
      </w:r>
      <w:r w:rsidR="00ED5A73" w:rsidRPr="005C4D22">
        <w:rPr>
          <w:rFonts w:ascii="Palatino Linotype" w:hAnsi="Palatino Linotype" w:cs="Arial"/>
        </w:rPr>
        <w:t xml:space="preserve"> la</w:t>
      </w:r>
      <w:r w:rsidR="00720474" w:rsidRPr="005C4D22">
        <w:rPr>
          <w:rFonts w:ascii="Palatino Linotype" w:hAnsi="Palatino Linotype" w:cs="Arial"/>
        </w:rPr>
        <w:t xml:space="preserve"> </w:t>
      </w:r>
      <w:r w:rsidRPr="005C4D22">
        <w:rPr>
          <w:rFonts w:ascii="Palatino Linotype" w:hAnsi="Palatino Linotype" w:cs="Arial"/>
        </w:rPr>
        <w:t>respuesta</w:t>
      </w:r>
      <w:r w:rsidR="009A1B0C" w:rsidRPr="005C4D22">
        <w:rPr>
          <w:rFonts w:ascii="Palatino Linotype" w:hAnsi="Palatino Linotype" w:cs="Arial"/>
        </w:rPr>
        <w:t xml:space="preserve"> a su</w:t>
      </w:r>
      <w:r w:rsidR="009A1B0C" w:rsidRPr="001E538E">
        <w:rPr>
          <w:rFonts w:ascii="Palatino Linotype" w:hAnsi="Palatino Linotype" w:cs="Arial"/>
        </w:rPr>
        <w:t xml:space="preserve"> solicitud</w:t>
      </w:r>
      <w:r w:rsidR="00087F07" w:rsidRPr="001E538E">
        <w:rPr>
          <w:rFonts w:ascii="Palatino Linotype" w:hAnsi="Palatino Linotype" w:cs="Arial"/>
        </w:rPr>
        <w:t xml:space="preserve"> de información</w:t>
      </w:r>
      <w:r w:rsidRPr="001E538E">
        <w:rPr>
          <w:rFonts w:ascii="Palatino Linotype" w:hAnsi="Palatino Linotype" w:cs="Arial"/>
        </w:rPr>
        <w:t xml:space="preserve"> por</w:t>
      </w:r>
      <w:r w:rsidR="009A5033" w:rsidRPr="001E538E">
        <w:rPr>
          <w:rFonts w:ascii="Palatino Linotype" w:hAnsi="Palatino Linotype" w:cs="Arial"/>
        </w:rPr>
        <w:t xml:space="preserve"> parte de</w:t>
      </w:r>
      <w:r w:rsidR="007725A0" w:rsidRPr="001E538E">
        <w:rPr>
          <w:rFonts w:ascii="Palatino Linotype" w:hAnsi="Palatino Linotype" w:cs="Arial"/>
        </w:rPr>
        <w:t xml:space="preserve">l </w:t>
      </w:r>
      <w:r w:rsidR="007725A0" w:rsidRPr="00760DE7">
        <w:rPr>
          <w:rFonts w:ascii="Palatino Linotype" w:hAnsi="Palatino Linotype" w:cs="Arial"/>
          <w:b/>
        </w:rPr>
        <w:t>Ayuntamiento de</w:t>
      </w:r>
      <w:r w:rsidR="007461DC">
        <w:rPr>
          <w:rFonts w:ascii="Palatino Linotype" w:hAnsi="Palatino Linotype" w:cs="Arial"/>
          <w:b/>
        </w:rPr>
        <w:t xml:space="preserve"> Cuautitlán</w:t>
      </w:r>
      <w:r w:rsidR="00C55D7B" w:rsidRPr="00760DE7">
        <w:rPr>
          <w:rFonts w:ascii="Palatino Linotype" w:hAnsi="Palatino Linotype" w:cs="Arial"/>
          <w:b/>
        </w:rPr>
        <w:t>,</w:t>
      </w:r>
      <w:r w:rsidR="00C55D7B" w:rsidRPr="001E538E">
        <w:rPr>
          <w:rFonts w:ascii="Palatino Linotype" w:hAnsi="Palatino Linotype" w:cs="Arial"/>
          <w:b/>
        </w:rPr>
        <w:t xml:space="preserve"> </w:t>
      </w:r>
      <w:r w:rsidRPr="001E538E">
        <w:rPr>
          <w:rFonts w:ascii="Palatino Linotype" w:hAnsi="Palatino Linotype" w:cs="Arial"/>
        </w:rPr>
        <w:t xml:space="preserve">en lo sucesivo </w:t>
      </w:r>
      <w:r w:rsidR="007A1102" w:rsidRPr="001E538E">
        <w:rPr>
          <w:rFonts w:ascii="Palatino Linotype" w:hAnsi="Palatino Linotype" w:cs="Arial"/>
        </w:rPr>
        <w:t xml:space="preserve">el </w:t>
      </w:r>
      <w:r w:rsidR="00760DE7">
        <w:rPr>
          <w:rFonts w:ascii="Palatino Linotype" w:hAnsi="Palatino Linotype" w:cs="Arial"/>
          <w:b/>
        </w:rPr>
        <w:t>Sujeto O</w:t>
      </w:r>
      <w:r w:rsidR="003349F4" w:rsidRPr="001E538E">
        <w:rPr>
          <w:rFonts w:ascii="Palatino Linotype" w:hAnsi="Palatino Linotype" w:cs="Arial"/>
          <w:b/>
        </w:rPr>
        <w:t>bligado</w:t>
      </w:r>
      <w:r w:rsidRPr="001E538E">
        <w:rPr>
          <w:rFonts w:ascii="Palatino Linotype" w:hAnsi="Palatino Linotype" w:cs="Arial"/>
          <w:b/>
        </w:rPr>
        <w:t xml:space="preserve">, </w:t>
      </w:r>
      <w:r w:rsidRPr="001E538E">
        <w:rPr>
          <w:rFonts w:ascii="Palatino Linotype" w:hAnsi="Palatino Linotype" w:cs="Arial"/>
        </w:rPr>
        <w:t>se</w:t>
      </w:r>
      <w:r w:rsidR="00E9691F" w:rsidRPr="001E538E">
        <w:rPr>
          <w:rFonts w:ascii="Palatino Linotype" w:hAnsi="Palatino Linotype" w:cs="Arial"/>
        </w:rPr>
        <w:t xml:space="preserve"> </w:t>
      </w:r>
      <w:r w:rsidRPr="001E538E">
        <w:rPr>
          <w:rFonts w:ascii="Palatino Linotype" w:hAnsi="Palatino Linotype" w:cs="Arial"/>
        </w:rPr>
        <w:t>procede a dictar la presente resolución con base en lo</w:t>
      </w:r>
      <w:r w:rsidR="00B21DCC" w:rsidRPr="001E538E">
        <w:rPr>
          <w:rFonts w:ascii="Palatino Linotype" w:hAnsi="Palatino Linotype" w:cs="Arial"/>
        </w:rPr>
        <w:t>s</w:t>
      </w:r>
      <w:r w:rsidRPr="001E538E">
        <w:rPr>
          <w:rFonts w:ascii="Palatino Linotype" w:hAnsi="Palatino Linotype" w:cs="Arial"/>
        </w:rPr>
        <w:t xml:space="preserve"> siguiente</w:t>
      </w:r>
      <w:r w:rsidR="00B21DCC" w:rsidRPr="001E538E">
        <w:rPr>
          <w:rFonts w:ascii="Palatino Linotype" w:hAnsi="Palatino Linotype" w:cs="Arial"/>
        </w:rPr>
        <w:t>s</w:t>
      </w:r>
      <w:r w:rsidRPr="001E538E">
        <w:rPr>
          <w:rFonts w:ascii="Palatino Linotype" w:hAnsi="Palatino Linotype" w:cs="Arial"/>
        </w:rPr>
        <w:t xml:space="preserve">: </w:t>
      </w:r>
    </w:p>
    <w:p w14:paraId="2277318F" w14:textId="77777777" w:rsidR="00BD58D9" w:rsidRPr="001E538E" w:rsidRDefault="002B5536" w:rsidP="00EE43FE">
      <w:pPr>
        <w:spacing w:before="240" w:after="240" w:line="360" w:lineRule="auto"/>
        <w:jc w:val="center"/>
        <w:rPr>
          <w:rFonts w:ascii="Palatino Linotype" w:hAnsi="Palatino Linotype" w:cs="Arial"/>
          <w:b/>
          <w:sz w:val="28"/>
          <w:szCs w:val="28"/>
        </w:rPr>
      </w:pPr>
      <w:r w:rsidRPr="001E538E">
        <w:rPr>
          <w:rFonts w:ascii="Palatino Linotype" w:hAnsi="Palatino Linotype"/>
          <w:b/>
        </w:rPr>
        <w:t xml:space="preserve">I. </w:t>
      </w:r>
      <w:r w:rsidR="00BD58D9" w:rsidRPr="001E538E">
        <w:rPr>
          <w:rFonts w:ascii="Palatino Linotype" w:hAnsi="Palatino Linotype"/>
          <w:b/>
        </w:rPr>
        <w:t>A N T E C E D E N T E S</w:t>
      </w:r>
    </w:p>
    <w:p w14:paraId="51B500DB" w14:textId="086093F6" w:rsidR="00D06012" w:rsidRDefault="009F7616" w:rsidP="00EE43FE">
      <w:pPr>
        <w:spacing w:before="240" w:after="240" w:line="360" w:lineRule="auto"/>
        <w:jc w:val="both"/>
        <w:rPr>
          <w:rFonts w:ascii="Palatino Linotype" w:hAnsi="Palatino Linotype" w:cs="Arial"/>
        </w:rPr>
      </w:pPr>
      <w:bookmarkStart w:id="0" w:name="_Hlk36644037"/>
      <w:r w:rsidRPr="001E538E">
        <w:rPr>
          <w:rFonts w:ascii="Palatino Linotype" w:hAnsi="Palatino Linotype" w:cs="Arial"/>
          <w:b/>
        </w:rPr>
        <w:t>1. Solicitud de acceso a la información.</w:t>
      </w:r>
      <w:r w:rsidRPr="001E538E">
        <w:rPr>
          <w:rFonts w:ascii="Palatino Linotype" w:hAnsi="Palatino Linotype" w:cs="Arial"/>
        </w:rPr>
        <w:t xml:space="preserve"> </w:t>
      </w:r>
      <w:r w:rsidR="00F71E23">
        <w:rPr>
          <w:rFonts w:ascii="Palatino Linotype" w:hAnsi="Palatino Linotype" w:cs="Arial"/>
        </w:rPr>
        <w:t>En</w:t>
      </w:r>
      <w:r w:rsidR="00B21DCC" w:rsidRPr="001E538E">
        <w:rPr>
          <w:rFonts w:ascii="Palatino Linotype" w:hAnsi="Palatino Linotype" w:cs="Arial"/>
        </w:rPr>
        <w:t xml:space="preserve"> fecha</w:t>
      </w:r>
      <w:r w:rsidR="00DB6AEF" w:rsidRPr="001E538E">
        <w:rPr>
          <w:rFonts w:ascii="Palatino Linotype" w:hAnsi="Palatino Linotype" w:cs="Arial"/>
        </w:rPr>
        <w:t xml:space="preserve"> </w:t>
      </w:r>
      <w:r w:rsidR="007461DC">
        <w:rPr>
          <w:rFonts w:ascii="Palatino Linotype" w:hAnsi="Palatino Linotype" w:cs="Arial"/>
          <w:b/>
          <w:bCs/>
        </w:rPr>
        <w:t xml:space="preserve"> cuatro</w:t>
      </w:r>
      <w:r w:rsidR="00760DE7" w:rsidRPr="00760DE7">
        <w:rPr>
          <w:rFonts w:ascii="Palatino Linotype" w:hAnsi="Palatino Linotype" w:cs="Arial"/>
          <w:b/>
          <w:bCs/>
        </w:rPr>
        <w:t xml:space="preserve"> de </w:t>
      </w:r>
      <w:r w:rsidR="00F31082">
        <w:rPr>
          <w:rFonts w:ascii="Palatino Linotype" w:hAnsi="Palatino Linotype" w:cs="Arial"/>
          <w:b/>
          <w:bCs/>
        </w:rPr>
        <w:t>marzo</w:t>
      </w:r>
      <w:r w:rsidR="00F71E23">
        <w:rPr>
          <w:rFonts w:ascii="Palatino Linotype" w:hAnsi="Palatino Linotype" w:cs="Arial"/>
          <w:b/>
          <w:bCs/>
        </w:rPr>
        <w:t xml:space="preserve"> de dos mil veintiuno</w:t>
      </w:r>
      <w:r w:rsidR="00760DE7" w:rsidRPr="00760DE7">
        <w:rPr>
          <w:rFonts w:ascii="Palatino Linotype" w:hAnsi="Palatino Linotype" w:cs="Arial"/>
          <w:b/>
          <w:bCs/>
        </w:rPr>
        <w:t xml:space="preserve">, </w:t>
      </w:r>
      <w:r w:rsidR="00F71E23">
        <w:rPr>
          <w:rFonts w:ascii="Palatino Linotype" w:hAnsi="Palatino Linotype" w:cs="Arial"/>
        </w:rPr>
        <w:t>la</w:t>
      </w:r>
      <w:r w:rsidR="00B05E70" w:rsidRPr="001E538E">
        <w:rPr>
          <w:rFonts w:ascii="Palatino Linotype" w:hAnsi="Palatino Linotype" w:cs="Arial"/>
        </w:rPr>
        <w:t xml:space="preserve"> </w:t>
      </w:r>
      <w:r w:rsidR="003349F4" w:rsidRPr="001E538E">
        <w:rPr>
          <w:rFonts w:ascii="Palatino Linotype" w:hAnsi="Palatino Linotype" w:cs="Arial"/>
          <w:b/>
        </w:rPr>
        <w:t>r</w:t>
      </w:r>
      <w:r w:rsidR="002C203A" w:rsidRPr="001E538E">
        <w:rPr>
          <w:rFonts w:ascii="Palatino Linotype" w:hAnsi="Palatino Linotype" w:cs="Arial"/>
          <w:b/>
        </w:rPr>
        <w:t>ecurrente</w:t>
      </w:r>
      <w:r w:rsidR="00000739" w:rsidRPr="001E538E">
        <w:rPr>
          <w:rFonts w:ascii="Palatino Linotype" w:hAnsi="Palatino Linotype" w:cs="Arial"/>
          <w:b/>
        </w:rPr>
        <w:t xml:space="preserve"> </w:t>
      </w:r>
      <w:r w:rsidR="00D06012" w:rsidRPr="001E538E">
        <w:rPr>
          <w:rFonts w:ascii="Palatino Linotype" w:hAnsi="Palatino Linotype" w:cs="Arial"/>
        </w:rPr>
        <w:t xml:space="preserve">presentó </w:t>
      </w:r>
      <w:r w:rsidR="0029492D" w:rsidRPr="001E538E">
        <w:rPr>
          <w:rFonts w:ascii="Palatino Linotype" w:hAnsi="Palatino Linotype" w:cs="Arial"/>
        </w:rPr>
        <w:t xml:space="preserve">a través </w:t>
      </w:r>
      <w:r w:rsidR="0052098B" w:rsidRPr="001E538E">
        <w:rPr>
          <w:rFonts w:ascii="Palatino Linotype" w:hAnsi="Palatino Linotype" w:cs="Arial"/>
        </w:rPr>
        <w:t xml:space="preserve">del </w:t>
      </w:r>
      <w:r w:rsidR="0029492D" w:rsidRPr="001E538E">
        <w:rPr>
          <w:rFonts w:ascii="Palatino Linotype" w:hAnsi="Palatino Linotype" w:cs="Arial"/>
        </w:rPr>
        <w:t xml:space="preserve">Sistema de Acceso a la Información Mexiquense, en lo subsecuente el </w:t>
      </w:r>
      <w:r w:rsidR="0029492D" w:rsidRPr="001E538E">
        <w:rPr>
          <w:rFonts w:ascii="Palatino Linotype" w:hAnsi="Palatino Linotype" w:cs="Arial"/>
          <w:b/>
        </w:rPr>
        <w:t>SAIMEX,</w:t>
      </w:r>
      <w:r w:rsidR="0029492D" w:rsidRPr="001E538E">
        <w:rPr>
          <w:rFonts w:ascii="Palatino Linotype" w:hAnsi="Palatino Linotype" w:cs="Arial"/>
        </w:rPr>
        <w:t xml:space="preserve"> </w:t>
      </w:r>
      <w:r w:rsidR="00D06012" w:rsidRPr="001E538E">
        <w:rPr>
          <w:rFonts w:ascii="Palatino Linotype" w:hAnsi="Palatino Linotype" w:cs="Arial"/>
        </w:rPr>
        <w:t xml:space="preserve">ante </w:t>
      </w:r>
      <w:r w:rsidR="007A1102" w:rsidRPr="001E538E">
        <w:rPr>
          <w:rFonts w:ascii="Palatino Linotype" w:hAnsi="Palatino Linotype" w:cs="Arial"/>
        </w:rPr>
        <w:t xml:space="preserve">el </w:t>
      </w:r>
      <w:r w:rsidR="00F71E23">
        <w:rPr>
          <w:rFonts w:ascii="Palatino Linotype" w:hAnsi="Palatino Linotype" w:cs="Arial"/>
          <w:b/>
        </w:rPr>
        <w:t>Sujeto O</w:t>
      </w:r>
      <w:r w:rsidR="002C203A" w:rsidRPr="001E538E">
        <w:rPr>
          <w:rFonts w:ascii="Palatino Linotype" w:hAnsi="Palatino Linotype" w:cs="Arial"/>
          <w:b/>
        </w:rPr>
        <w:t>bligado</w:t>
      </w:r>
      <w:r w:rsidR="00D06012" w:rsidRPr="001E538E">
        <w:rPr>
          <w:rFonts w:ascii="Palatino Linotype" w:hAnsi="Palatino Linotype" w:cs="Arial"/>
        </w:rPr>
        <w:t>, la solicitud de acceso a la información pública, a la</w:t>
      </w:r>
      <w:r w:rsidR="00720474" w:rsidRPr="001E538E">
        <w:rPr>
          <w:rFonts w:ascii="Palatino Linotype" w:hAnsi="Palatino Linotype" w:cs="Arial"/>
        </w:rPr>
        <w:t>s</w:t>
      </w:r>
      <w:r w:rsidR="00D06012" w:rsidRPr="001E538E">
        <w:rPr>
          <w:rFonts w:ascii="Palatino Linotype" w:hAnsi="Palatino Linotype" w:cs="Arial"/>
        </w:rPr>
        <w:t xml:space="preserve"> que se le asign</w:t>
      </w:r>
      <w:r w:rsidR="00F31082">
        <w:rPr>
          <w:rFonts w:ascii="Palatino Linotype" w:hAnsi="Palatino Linotype" w:cs="Arial"/>
        </w:rPr>
        <w:t>ó el</w:t>
      </w:r>
      <w:r w:rsidR="00E07049" w:rsidRPr="001E538E">
        <w:rPr>
          <w:rFonts w:ascii="Palatino Linotype" w:hAnsi="Palatino Linotype" w:cs="Arial"/>
        </w:rPr>
        <w:t xml:space="preserve"> </w:t>
      </w:r>
      <w:r w:rsidR="00D06012" w:rsidRPr="001E538E">
        <w:rPr>
          <w:rFonts w:ascii="Palatino Linotype" w:hAnsi="Palatino Linotype" w:cs="Arial"/>
        </w:rPr>
        <w:t xml:space="preserve">número </w:t>
      </w:r>
      <w:r w:rsidR="001D5E8A" w:rsidRPr="001D5E8A">
        <w:rPr>
          <w:rFonts w:ascii="Palatino Linotype" w:hAnsi="Palatino Linotype" w:cs="Arial"/>
          <w:b/>
          <w:bCs/>
        </w:rPr>
        <w:t>00120/CUAUTIT/IP/2021</w:t>
      </w:r>
      <w:r w:rsidR="00286C9D">
        <w:rPr>
          <w:rFonts w:ascii="Palatino Linotype" w:hAnsi="Palatino Linotype" w:cs="Arial"/>
          <w:b/>
          <w:bCs/>
        </w:rPr>
        <w:t xml:space="preserve">, </w:t>
      </w:r>
      <w:r w:rsidR="00D06012" w:rsidRPr="001E538E">
        <w:rPr>
          <w:rFonts w:ascii="Palatino Linotype" w:hAnsi="Palatino Linotype" w:cs="Arial"/>
        </w:rPr>
        <w:t xml:space="preserve">mediante la cual </w:t>
      </w:r>
      <w:r w:rsidR="00F077F3" w:rsidRPr="001E538E">
        <w:rPr>
          <w:rFonts w:ascii="Palatino Linotype" w:hAnsi="Palatino Linotype" w:cs="Arial"/>
        </w:rPr>
        <w:t>requirió</w:t>
      </w:r>
      <w:r w:rsidR="00E07049" w:rsidRPr="001E538E">
        <w:rPr>
          <w:rFonts w:ascii="Palatino Linotype" w:hAnsi="Palatino Linotype" w:cs="Arial"/>
        </w:rPr>
        <w:t xml:space="preserve"> </w:t>
      </w:r>
      <w:r w:rsidR="00087F07" w:rsidRPr="001E538E">
        <w:rPr>
          <w:rFonts w:ascii="Palatino Linotype" w:hAnsi="Palatino Linotype" w:cs="Arial"/>
        </w:rPr>
        <w:t xml:space="preserve">se le proporcionara </w:t>
      </w:r>
      <w:r w:rsidR="00EA1279" w:rsidRPr="001E538E">
        <w:rPr>
          <w:rFonts w:ascii="Palatino Linotype" w:hAnsi="Palatino Linotype" w:cs="Arial"/>
        </w:rPr>
        <w:t xml:space="preserve">la información </w:t>
      </w:r>
      <w:r w:rsidR="00D06012" w:rsidRPr="001E538E">
        <w:rPr>
          <w:rFonts w:ascii="Palatino Linotype" w:hAnsi="Palatino Linotype" w:cs="Arial"/>
        </w:rPr>
        <w:t xml:space="preserve">siguiente: </w:t>
      </w:r>
    </w:p>
    <w:p w14:paraId="2FEB8A6F" w14:textId="6F7CEC00" w:rsidR="004327D3" w:rsidRDefault="00F31082" w:rsidP="00F71E23">
      <w:pPr>
        <w:ind w:left="567" w:right="900"/>
        <w:jc w:val="both"/>
        <w:rPr>
          <w:rFonts w:ascii="Palatino Linotype" w:hAnsi="Palatino Linotype" w:cs="Arial"/>
          <w:i/>
          <w:sz w:val="22"/>
          <w:szCs w:val="22"/>
        </w:rPr>
      </w:pPr>
      <w:r>
        <w:rPr>
          <w:rFonts w:ascii="Palatino Linotype" w:hAnsi="Palatino Linotype" w:cs="Arial"/>
          <w:i/>
          <w:sz w:val="22"/>
          <w:szCs w:val="22"/>
        </w:rPr>
        <w:t xml:space="preserve"> </w:t>
      </w:r>
      <w:r w:rsidR="00F71E23">
        <w:rPr>
          <w:rFonts w:ascii="Palatino Linotype" w:hAnsi="Palatino Linotype" w:cs="Arial"/>
          <w:i/>
          <w:sz w:val="22"/>
          <w:szCs w:val="22"/>
        </w:rPr>
        <w:t>“</w:t>
      </w:r>
      <w:r w:rsidR="001D5E8A" w:rsidRPr="001D5E8A">
        <w:rPr>
          <w:rFonts w:ascii="Palatino Linotype" w:hAnsi="Palatino Linotype" w:cs="Arial"/>
          <w:i/>
          <w:sz w:val="22"/>
          <w:szCs w:val="22"/>
        </w:rPr>
        <w:t xml:space="preserve">en la Octogésima cuarta sesión de Cabildo el Presidente Ariel Juárez hace mención de tener una lista de policías que son familiares de ex regidores y ex directores del ayuntamiento de conformidad con esto: 1.- Le requiero al Presidente Mario Ariel Juárez que me informe ¿Qué tiene que ver qué los ex regidores y ex directores sean familiares de los policías de transito con la actual corrupción que se vive en Cuautitlán? 2.- le solicito al área correspondiente me entregue una lista de los procedimientos, quejas, sanciones que cada uno de los elementos policiacos tiene, cuantos se han dado de baja y cuantos policías han vuelto a servicio. 3.- si se tiene información de la corrupción que prevalece en los elementos policiacos y sus altos mandos, ¿Cuál es el motivo por el cual él no ha realizado ninguna acción? recordándole que el es el responsable ¿Cuál es el motivo por el que sigue en funciones </w:t>
      </w:r>
      <w:r w:rsidR="001D5E8A" w:rsidRPr="001D5E8A">
        <w:rPr>
          <w:rFonts w:ascii="Palatino Linotype" w:hAnsi="Palatino Linotype" w:cs="Arial"/>
          <w:i/>
          <w:sz w:val="22"/>
          <w:szCs w:val="22"/>
        </w:rPr>
        <w:lastRenderedPageBreak/>
        <w:t>el Director de Seguridad Pública, cuando es evidente que no esta funcionando? 4.- le requiero información absoluta del director de seguridad, así como sus facultades</w:t>
      </w:r>
      <w:r w:rsidR="00F71E23">
        <w:rPr>
          <w:rFonts w:ascii="Palatino Linotype" w:hAnsi="Palatino Linotype" w:cs="Arial"/>
          <w:i/>
          <w:sz w:val="22"/>
          <w:szCs w:val="22"/>
        </w:rPr>
        <w:t>” (Sic)</w:t>
      </w:r>
    </w:p>
    <w:p w14:paraId="1072DE7B" w14:textId="3157B780" w:rsidR="00496271" w:rsidRDefault="00496271" w:rsidP="00C2324D">
      <w:pPr>
        <w:spacing w:before="240" w:after="240" w:line="360" w:lineRule="auto"/>
        <w:jc w:val="both"/>
        <w:rPr>
          <w:rFonts w:ascii="Palatino Linotype" w:hAnsi="Palatino Linotype" w:cs="Arial"/>
          <w:szCs w:val="28"/>
        </w:rPr>
      </w:pPr>
      <w:r w:rsidRPr="00496271">
        <w:rPr>
          <w:rFonts w:ascii="Palatino Linotype" w:hAnsi="Palatino Linotype" w:cs="Arial"/>
          <w:b/>
          <w:szCs w:val="28"/>
        </w:rPr>
        <w:t>Archivos adjuntos:</w:t>
      </w:r>
      <w:r>
        <w:rPr>
          <w:rFonts w:ascii="Palatino Linotype" w:hAnsi="Palatino Linotype" w:cs="Arial"/>
          <w:szCs w:val="28"/>
        </w:rPr>
        <w:t xml:space="preserve"> Ninguno</w:t>
      </w:r>
    </w:p>
    <w:p w14:paraId="4BACF4D9" w14:textId="38F07516" w:rsidR="002B2828" w:rsidRDefault="002B2828" w:rsidP="00C2324D">
      <w:pPr>
        <w:spacing w:before="240" w:after="240" w:line="360" w:lineRule="auto"/>
        <w:jc w:val="both"/>
        <w:rPr>
          <w:rFonts w:ascii="Palatino Linotype" w:hAnsi="Palatino Linotype" w:cs="Arial"/>
          <w:b/>
          <w:sz w:val="28"/>
          <w:szCs w:val="28"/>
        </w:rPr>
      </w:pPr>
      <w:r w:rsidRPr="001E538E">
        <w:rPr>
          <w:rFonts w:ascii="Palatino Linotype" w:hAnsi="Palatino Linotype" w:cs="Arial"/>
          <w:b/>
        </w:rPr>
        <w:t>Modalidad de Entrega:</w:t>
      </w:r>
      <w:r w:rsidRPr="001E538E">
        <w:rPr>
          <w:rFonts w:ascii="Palatino Linotype" w:hAnsi="Palatino Linotype" w:cs="Arial"/>
        </w:rPr>
        <w:t xml:space="preserve"> </w:t>
      </w:r>
      <w:r w:rsidR="008E7880" w:rsidRPr="001E538E">
        <w:rPr>
          <w:rFonts w:ascii="Palatino Linotype" w:hAnsi="Palatino Linotype" w:cs="Arial"/>
        </w:rPr>
        <w:t xml:space="preserve">A través de </w:t>
      </w:r>
      <w:r w:rsidR="008E7880" w:rsidRPr="001D5E8A">
        <w:rPr>
          <w:rFonts w:ascii="Palatino Linotype" w:hAnsi="Palatino Linotype" w:cs="Arial"/>
          <w:b/>
        </w:rPr>
        <w:t>SAIMEX</w:t>
      </w:r>
      <w:r w:rsidR="008E7880" w:rsidRPr="001E538E">
        <w:rPr>
          <w:rFonts w:ascii="Palatino Linotype" w:hAnsi="Palatino Linotype" w:cs="Arial"/>
          <w:b/>
          <w:sz w:val="28"/>
          <w:szCs w:val="28"/>
        </w:rPr>
        <w:t>.</w:t>
      </w:r>
    </w:p>
    <w:p w14:paraId="635C3CFC" w14:textId="3D953BBC" w:rsidR="001D5E8A" w:rsidRDefault="001D5E8A" w:rsidP="00C2324D">
      <w:pPr>
        <w:spacing w:before="240" w:after="240" w:line="360" w:lineRule="auto"/>
        <w:jc w:val="both"/>
        <w:rPr>
          <w:rFonts w:ascii="Palatino Linotype" w:hAnsi="Palatino Linotype" w:cs="Arial"/>
          <w:szCs w:val="28"/>
        </w:rPr>
      </w:pPr>
      <w:r w:rsidRPr="001D5E8A">
        <w:rPr>
          <w:rFonts w:ascii="Palatino Linotype" w:hAnsi="Palatino Linotype" w:cs="Arial"/>
          <w:b/>
          <w:szCs w:val="28"/>
        </w:rPr>
        <w:t xml:space="preserve">2. Prórroga. </w:t>
      </w:r>
      <w:r w:rsidR="001F6064" w:rsidRPr="001F6064">
        <w:rPr>
          <w:rFonts w:ascii="Palatino Linotype" w:hAnsi="Palatino Linotype" w:cs="Arial"/>
          <w:szCs w:val="28"/>
        </w:rPr>
        <w:t xml:space="preserve">En fecha </w:t>
      </w:r>
      <w:r w:rsidR="001F6064">
        <w:rPr>
          <w:rFonts w:ascii="Palatino Linotype" w:hAnsi="Palatino Linotype" w:cs="Arial"/>
          <w:b/>
          <w:szCs w:val="28"/>
        </w:rPr>
        <w:t xml:space="preserve">veinticinco de marzo de dos mil veintiuno, </w:t>
      </w:r>
      <w:r w:rsidR="001F6064" w:rsidRPr="001F6064">
        <w:rPr>
          <w:rFonts w:ascii="Palatino Linotype" w:hAnsi="Palatino Linotype" w:cs="Arial"/>
          <w:szCs w:val="28"/>
        </w:rPr>
        <w:t xml:space="preserve">el </w:t>
      </w:r>
      <w:r w:rsidR="001F6064">
        <w:rPr>
          <w:rFonts w:ascii="Palatino Linotype" w:hAnsi="Palatino Linotype" w:cs="Arial"/>
          <w:szCs w:val="28"/>
        </w:rPr>
        <w:t xml:space="preserve">Sujeto Obligado notificó a la parte solicitante la prórroga a dar respuesta a su solicitud de información en los siguientes términos: </w:t>
      </w:r>
    </w:p>
    <w:p w14:paraId="35E37BD4" w14:textId="032BD707" w:rsidR="001F6064" w:rsidRPr="001F6064" w:rsidRDefault="001F6064" w:rsidP="001F6064">
      <w:pPr>
        <w:spacing w:before="240" w:after="240"/>
        <w:ind w:left="567" w:right="900"/>
        <w:jc w:val="both"/>
        <w:rPr>
          <w:rFonts w:ascii="Palatino Linotype" w:hAnsi="Palatino Linotype" w:cs="Arial"/>
          <w:i/>
          <w:sz w:val="22"/>
          <w:szCs w:val="28"/>
        </w:rPr>
      </w:pPr>
      <w:r>
        <w:rPr>
          <w:rFonts w:ascii="Palatino Linotype" w:hAnsi="Palatino Linotype" w:cs="Arial"/>
          <w:i/>
          <w:sz w:val="22"/>
          <w:szCs w:val="28"/>
        </w:rPr>
        <w:t>“</w:t>
      </w:r>
      <w:r w:rsidRPr="001F6064">
        <w:rPr>
          <w:rFonts w:ascii="Palatino Linotype" w:hAnsi="Palatino Linotype" w:cs="Arial"/>
          <w:i/>
          <w:sz w:val="22"/>
          <w:szCs w:val="28"/>
        </w:rPr>
        <w:t>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w:t>
      </w:r>
    </w:p>
    <w:p w14:paraId="731237BF" w14:textId="77777777" w:rsidR="001F6064" w:rsidRPr="001F6064" w:rsidRDefault="001F6064" w:rsidP="001F6064">
      <w:pPr>
        <w:spacing w:before="240" w:after="240"/>
        <w:ind w:left="567" w:right="900"/>
        <w:jc w:val="both"/>
        <w:rPr>
          <w:rFonts w:ascii="Palatino Linotype" w:hAnsi="Palatino Linotype" w:cs="Arial"/>
          <w:i/>
          <w:sz w:val="22"/>
          <w:szCs w:val="28"/>
        </w:rPr>
      </w:pPr>
      <w:r w:rsidRPr="001F6064">
        <w:rPr>
          <w:rFonts w:ascii="Palatino Linotype" w:hAnsi="Palatino Linotype" w:cs="Arial"/>
          <w:i/>
          <w:sz w:val="22"/>
          <w:szCs w:val="28"/>
        </w:rPr>
        <w:t>APROBADA</w:t>
      </w:r>
    </w:p>
    <w:p w14:paraId="1CF1A262" w14:textId="77777777" w:rsidR="001F6064" w:rsidRPr="001F6064" w:rsidRDefault="001F6064" w:rsidP="001F6064">
      <w:pPr>
        <w:spacing w:before="240" w:after="240"/>
        <w:ind w:left="567" w:right="900"/>
        <w:jc w:val="both"/>
        <w:rPr>
          <w:rFonts w:ascii="Palatino Linotype" w:hAnsi="Palatino Linotype" w:cs="Arial"/>
          <w:i/>
          <w:sz w:val="22"/>
          <w:szCs w:val="28"/>
        </w:rPr>
      </w:pPr>
      <w:r w:rsidRPr="001F6064">
        <w:rPr>
          <w:rFonts w:ascii="Palatino Linotype" w:hAnsi="Palatino Linotype" w:cs="Arial"/>
          <w:i/>
          <w:sz w:val="22"/>
          <w:szCs w:val="28"/>
        </w:rPr>
        <w:t>LIC. LUIS UBALDO GARAY RIOS</w:t>
      </w:r>
    </w:p>
    <w:p w14:paraId="69B771CA" w14:textId="18056692" w:rsidR="001F6064" w:rsidRPr="001F6064" w:rsidRDefault="001F6064" w:rsidP="001F6064">
      <w:pPr>
        <w:spacing w:before="240" w:after="240"/>
        <w:ind w:left="567" w:right="900"/>
        <w:jc w:val="both"/>
        <w:rPr>
          <w:rFonts w:ascii="Palatino Linotype" w:hAnsi="Palatino Linotype" w:cs="Arial"/>
          <w:i/>
          <w:sz w:val="22"/>
          <w:szCs w:val="28"/>
        </w:rPr>
      </w:pPr>
      <w:r w:rsidRPr="001F6064">
        <w:rPr>
          <w:rFonts w:ascii="Palatino Linotype" w:hAnsi="Palatino Linotype" w:cs="Arial"/>
          <w:i/>
          <w:sz w:val="22"/>
          <w:szCs w:val="28"/>
        </w:rPr>
        <w:t>Responsable de la Unidad de Transparencia</w:t>
      </w:r>
      <w:r>
        <w:rPr>
          <w:rFonts w:ascii="Palatino Linotype" w:hAnsi="Palatino Linotype" w:cs="Arial"/>
          <w:i/>
          <w:sz w:val="22"/>
          <w:szCs w:val="28"/>
        </w:rPr>
        <w:t>”</w:t>
      </w:r>
    </w:p>
    <w:p w14:paraId="453A140E" w14:textId="128D54D1" w:rsidR="004E6072" w:rsidRDefault="001F6064" w:rsidP="004E6072">
      <w:pPr>
        <w:spacing w:line="360" w:lineRule="auto"/>
        <w:jc w:val="both"/>
        <w:rPr>
          <w:rFonts w:ascii="Palatino Linotype" w:hAnsi="Palatino Linotype"/>
        </w:rPr>
      </w:pPr>
      <w:r>
        <w:rPr>
          <w:rFonts w:ascii="Palatino Linotype" w:hAnsi="Palatino Linotype" w:cs="Arial"/>
          <w:b/>
          <w:szCs w:val="28"/>
        </w:rPr>
        <w:t>3</w:t>
      </w:r>
      <w:r w:rsidR="00CB5009" w:rsidRPr="001E538E">
        <w:rPr>
          <w:rFonts w:ascii="Palatino Linotype" w:hAnsi="Palatino Linotype" w:cs="Arial"/>
          <w:b/>
          <w:szCs w:val="28"/>
        </w:rPr>
        <w:t xml:space="preserve">. </w:t>
      </w:r>
      <w:r w:rsidR="00722F52" w:rsidRPr="001E538E">
        <w:rPr>
          <w:rFonts w:ascii="Palatino Linotype" w:hAnsi="Palatino Linotype" w:cs="Arial"/>
          <w:b/>
          <w:szCs w:val="28"/>
        </w:rPr>
        <w:t xml:space="preserve">Respuesta. </w:t>
      </w:r>
      <w:r w:rsidR="008A5960">
        <w:rPr>
          <w:rFonts w:ascii="Palatino Linotype" w:hAnsi="Palatino Linotype" w:cs="Arial"/>
        </w:rPr>
        <w:t>En</w:t>
      </w:r>
      <w:r w:rsidR="004E6072" w:rsidRPr="001E538E">
        <w:rPr>
          <w:rFonts w:ascii="Palatino Linotype" w:hAnsi="Palatino Linotype"/>
        </w:rPr>
        <w:t xml:space="preserve"> fecha</w:t>
      </w:r>
      <w:r w:rsidR="008A5960">
        <w:rPr>
          <w:rFonts w:ascii="Palatino Linotype" w:hAnsi="Palatino Linotype"/>
        </w:rPr>
        <w:t xml:space="preserve"> </w:t>
      </w:r>
      <w:r w:rsidR="00E42901">
        <w:rPr>
          <w:rFonts w:ascii="Palatino Linotype" w:hAnsi="Palatino Linotype"/>
          <w:b/>
          <w:bCs/>
        </w:rPr>
        <w:t>trec</w:t>
      </w:r>
      <w:r w:rsidR="00F31082">
        <w:rPr>
          <w:rFonts w:ascii="Palatino Linotype" w:hAnsi="Palatino Linotype"/>
          <w:b/>
          <w:bCs/>
        </w:rPr>
        <w:t>e de abril</w:t>
      </w:r>
      <w:r w:rsidR="00087F07" w:rsidRPr="001E538E">
        <w:rPr>
          <w:rFonts w:ascii="Palatino Linotype" w:hAnsi="Palatino Linotype"/>
          <w:b/>
          <w:bCs/>
        </w:rPr>
        <w:t xml:space="preserve"> </w:t>
      </w:r>
      <w:r w:rsidR="007127E8" w:rsidRPr="001E538E">
        <w:rPr>
          <w:rFonts w:ascii="Palatino Linotype" w:hAnsi="Palatino Linotype"/>
          <w:b/>
        </w:rPr>
        <w:t xml:space="preserve">de </w:t>
      </w:r>
      <w:r w:rsidR="008A5960">
        <w:rPr>
          <w:rFonts w:ascii="Palatino Linotype" w:hAnsi="Palatino Linotype"/>
          <w:b/>
        </w:rPr>
        <w:t>dos mil veintiuno</w:t>
      </w:r>
      <w:r w:rsidR="004E6072" w:rsidRPr="001E538E">
        <w:rPr>
          <w:rFonts w:ascii="Palatino Linotype" w:hAnsi="Palatino Linotype"/>
        </w:rPr>
        <w:t>, el Sujeto Obligado envió su respuesta</w:t>
      </w:r>
      <w:r w:rsidR="00F31082">
        <w:rPr>
          <w:rFonts w:ascii="Palatino Linotype" w:hAnsi="Palatino Linotype"/>
        </w:rPr>
        <w:t xml:space="preserve"> a la solicitud</w:t>
      </w:r>
      <w:r w:rsidR="004E6072" w:rsidRPr="001E538E">
        <w:rPr>
          <w:rFonts w:ascii="Palatino Linotype" w:hAnsi="Palatino Linotype"/>
        </w:rPr>
        <w:t xml:space="preserve"> de acceso a la información a través del SAIMEX, sustancialmente en los términos siguientes:</w:t>
      </w:r>
    </w:p>
    <w:p w14:paraId="00E2FDA4" w14:textId="77777777" w:rsidR="008A5960" w:rsidRDefault="008A5960" w:rsidP="004E6072">
      <w:pPr>
        <w:spacing w:line="360" w:lineRule="auto"/>
        <w:jc w:val="both"/>
        <w:rPr>
          <w:rFonts w:ascii="Palatino Linotype" w:hAnsi="Palatino Linotype"/>
        </w:rPr>
      </w:pPr>
    </w:p>
    <w:p w14:paraId="05F2A8AE" w14:textId="77777777" w:rsidR="00E42901" w:rsidRPr="00E42901" w:rsidRDefault="008A5960" w:rsidP="00E42901">
      <w:pPr>
        <w:ind w:left="567" w:right="900"/>
        <w:jc w:val="both"/>
        <w:rPr>
          <w:rFonts w:ascii="Palatino Linotype" w:hAnsi="Palatino Linotype"/>
          <w:i/>
          <w:sz w:val="22"/>
        </w:rPr>
      </w:pPr>
      <w:r w:rsidRPr="008A5960">
        <w:rPr>
          <w:rFonts w:ascii="Palatino Linotype" w:hAnsi="Palatino Linotype"/>
          <w:i/>
          <w:sz w:val="22"/>
        </w:rPr>
        <w:t>“</w:t>
      </w:r>
      <w:r w:rsidR="00E42901" w:rsidRPr="00E42901">
        <w:rPr>
          <w:rFonts w:ascii="Palatino Linotype" w:hAnsi="Palatino Linotype"/>
          <w:i/>
          <w:sz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493DCA91" w14:textId="77777777" w:rsidR="00E42901" w:rsidRPr="00E42901" w:rsidRDefault="00E42901" w:rsidP="00E42901">
      <w:pPr>
        <w:ind w:left="567" w:right="900"/>
        <w:jc w:val="both"/>
        <w:rPr>
          <w:rFonts w:ascii="Palatino Linotype" w:hAnsi="Palatino Linotype"/>
          <w:i/>
          <w:sz w:val="22"/>
        </w:rPr>
      </w:pPr>
      <w:r w:rsidRPr="00E42901">
        <w:rPr>
          <w:rFonts w:ascii="Palatino Linotype" w:hAnsi="Palatino Linotype"/>
          <w:i/>
          <w:sz w:val="22"/>
        </w:rPr>
        <w:t>-</w:t>
      </w:r>
    </w:p>
    <w:p w14:paraId="6290EEB8" w14:textId="77777777" w:rsidR="00E42901" w:rsidRPr="00E42901" w:rsidRDefault="00E42901" w:rsidP="00E42901">
      <w:pPr>
        <w:ind w:left="567" w:right="900"/>
        <w:jc w:val="both"/>
        <w:rPr>
          <w:rFonts w:ascii="Palatino Linotype" w:hAnsi="Palatino Linotype"/>
          <w:i/>
          <w:sz w:val="22"/>
        </w:rPr>
      </w:pPr>
      <w:r w:rsidRPr="00E42901">
        <w:rPr>
          <w:rFonts w:ascii="Palatino Linotype" w:hAnsi="Palatino Linotype"/>
          <w:i/>
          <w:sz w:val="22"/>
        </w:rPr>
        <w:t>ATENTAMENTE</w:t>
      </w:r>
    </w:p>
    <w:p w14:paraId="2A1ABFD5" w14:textId="6D230513" w:rsidR="005422E3" w:rsidRPr="008A5960" w:rsidRDefault="00E42901" w:rsidP="00E42901">
      <w:pPr>
        <w:ind w:left="567" w:right="900"/>
        <w:jc w:val="both"/>
        <w:rPr>
          <w:rFonts w:ascii="Palatino Linotype" w:hAnsi="Palatino Linotype"/>
          <w:i/>
          <w:sz w:val="22"/>
        </w:rPr>
      </w:pPr>
      <w:r w:rsidRPr="00E42901">
        <w:rPr>
          <w:rFonts w:ascii="Palatino Linotype" w:hAnsi="Palatino Linotype"/>
          <w:i/>
          <w:sz w:val="22"/>
        </w:rPr>
        <w:t>LIC. LUIS UBALDO GARAY RIOS</w:t>
      </w:r>
      <w:r w:rsidR="00E54509">
        <w:rPr>
          <w:rFonts w:ascii="Palatino Linotype" w:hAnsi="Palatino Linotype"/>
          <w:i/>
          <w:sz w:val="22"/>
        </w:rPr>
        <w:t>” (Sic)</w:t>
      </w:r>
    </w:p>
    <w:p w14:paraId="738689E2" w14:textId="77777777" w:rsidR="00E42901" w:rsidRDefault="00E42901" w:rsidP="004E6072">
      <w:pPr>
        <w:spacing w:before="240" w:after="240" w:line="360" w:lineRule="auto"/>
        <w:ind w:right="49"/>
        <w:jc w:val="both"/>
        <w:rPr>
          <w:rFonts w:ascii="Palatino Linotype" w:hAnsi="Palatino Linotype" w:cs="Arial"/>
          <w:b/>
          <w:szCs w:val="28"/>
        </w:rPr>
      </w:pPr>
    </w:p>
    <w:p w14:paraId="74E4813A" w14:textId="00AEE12F" w:rsidR="008A5960" w:rsidRDefault="008A5960" w:rsidP="004E6072">
      <w:pPr>
        <w:spacing w:before="240" w:after="240" w:line="360" w:lineRule="auto"/>
        <w:ind w:right="49"/>
        <w:jc w:val="both"/>
        <w:rPr>
          <w:rFonts w:ascii="Palatino Linotype" w:hAnsi="Palatino Linotype" w:cs="Arial"/>
          <w:b/>
          <w:szCs w:val="28"/>
        </w:rPr>
      </w:pPr>
      <w:r>
        <w:rPr>
          <w:rFonts w:ascii="Palatino Linotype" w:hAnsi="Palatino Linotype" w:cs="Arial"/>
          <w:b/>
          <w:szCs w:val="28"/>
        </w:rPr>
        <w:t xml:space="preserve">Archivos adjuntos: </w:t>
      </w:r>
    </w:p>
    <w:p w14:paraId="6371EA59" w14:textId="1D7609CE" w:rsidR="008A5960" w:rsidRPr="008A5960" w:rsidRDefault="00E42901" w:rsidP="00DF30D4">
      <w:pPr>
        <w:pStyle w:val="Prrafodelista"/>
        <w:numPr>
          <w:ilvl w:val="0"/>
          <w:numId w:val="3"/>
        </w:numPr>
        <w:spacing w:before="240" w:after="240" w:line="360" w:lineRule="auto"/>
        <w:ind w:right="900"/>
        <w:jc w:val="both"/>
        <w:rPr>
          <w:rFonts w:ascii="Palatino Linotype" w:hAnsi="Palatino Linotype" w:cs="Arial"/>
          <w:sz w:val="22"/>
          <w:szCs w:val="28"/>
          <w:lang w:val="es-MX"/>
        </w:rPr>
      </w:pPr>
      <w:r>
        <w:rPr>
          <w:rFonts w:ascii="Palatino Linotype" w:hAnsi="Palatino Linotype" w:cs="Arial"/>
          <w:b/>
          <w:i/>
          <w:sz w:val="22"/>
          <w:szCs w:val="28"/>
        </w:rPr>
        <w:t>“OFICIO ENVIADO A SP.pdf</w:t>
      </w:r>
      <w:r w:rsidR="008A5960" w:rsidRPr="008A5960">
        <w:rPr>
          <w:rFonts w:ascii="Palatino Linotype" w:hAnsi="Palatino Linotype" w:cs="Arial"/>
          <w:b/>
          <w:i/>
          <w:sz w:val="22"/>
          <w:szCs w:val="28"/>
        </w:rPr>
        <w:t>”:</w:t>
      </w:r>
      <w:r w:rsidR="00E54509">
        <w:rPr>
          <w:rFonts w:ascii="Palatino Linotype" w:hAnsi="Palatino Linotype" w:cs="Arial"/>
          <w:sz w:val="22"/>
          <w:szCs w:val="28"/>
          <w:lang w:val="es-MX"/>
        </w:rPr>
        <w:t xml:space="preserve"> En este archivo electrónico obra la respuesta del Sujeto Obligado, no obstante, al ser del conocimiento se omite su descripción, no obstante</w:t>
      </w:r>
      <w:r w:rsidR="008A5960">
        <w:rPr>
          <w:rFonts w:ascii="Palatino Linotype" w:hAnsi="Palatino Linotype" w:cs="Arial"/>
          <w:sz w:val="22"/>
          <w:szCs w:val="28"/>
          <w:lang w:val="es-MX"/>
        </w:rPr>
        <w:t xml:space="preserve"> será objeto de análisis en el apartado de estudio del asunto.</w:t>
      </w:r>
    </w:p>
    <w:p w14:paraId="4906DEBA" w14:textId="763A6E36" w:rsidR="004E6072" w:rsidRDefault="00713965" w:rsidP="004E6072">
      <w:pPr>
        <w:spacing w:before="240" w:after="240" w:line="360" w:lineRule="auto"/>
        <w:ind w:right="49"/>
        <w:jc w:val="both"/>
        <w:rPr>
          <w:rFonts w:ascii="Palatino Linotype" w:hAnsi="Palatino Linotype" w:cs="Arial"/>
        </w:rPr>
      </w:pPr>
      <w:r>
        <w:rPr>
          <w:rFonts w:ascii="Palatino Linotype" w:hAnsi="Palatino Linotype" w:cs="Arial"/>
          <w:b/>
          <w:szCs w:val="28"/>
        </w:rPr>
        <w:t>3. Interposición del recurso</w:t>
      </w:r>
      <w:r w:rsidR="00CB5009" w:rsidRPr="001E538E">
        <w:rPr>
          <w:rFonts w:ascii="Palatino Linotype" w:hAnsi="Palatino Linotype" w:cs="Arial"/>
          <w:b/>
          <w:szCs w:val="28"/>
        </w:rPr>
        <w:t xml:space="preserve"> de revisión.</w:t>
      </w:r>
      <w:r w:rsidR="00CB5009" w:rsidRPr="001E538E">
        <w:rPr>
          <w:rFonts w:ascii="Palatino Linotype" w:hAnsi="Palatino Linotype" w:cs="Arial"/>
          <w:b/>
        </w:rPr>
        <w:t xml:space="preserve"> </w:t>
      </w:r>
      <w:r w:rsidR="004E6072" w:rsidRPr="001E538E">
        <w:rPr>
          <w:rFonts w:ascii="Palatino Linotype" w:hAnsi="Palatino Linotype" w:cs="Arial"/>
        </w:rPr>
        <w:t>Inconforme con los términos de la</w:t>
      </w:r>
      <w:r>
        <w:rPr>
          <w:rFonts w:ascii="Palatino Linotype" w:hAnsi="Palatino Linotype" w:cs="Arial"/>
        </w:rPr>
        <w:t xml:space="preserve"> </w:t>
      </w:r>
      <w:r w:rsidR="004E6072" w:rsidRPr="001E538E">
        <w:rPr>
          <w:rFonts w:ascii="Palatino Linotype" w:hAnsi="Palatino Linotype" w:cs="Arial"/>
        </w:rPr>
        <w:t>respuesta emitida po</w:t>
      </w:r>
      <w:r w:rsidR="007E2EA4">
        <w:rPr>
          <w:rFonts w:ascii="Palatino Linotype" w:hAnsi="Palatino Linotype" w:cs="Arial"/>
        </w:rPr>
        <w:t xml:space="preserve">r parte del Sujeto Obligado, </w:t>
      </w:r>
      <w:r w:rsidR="000607E3">
        <w:rPr>
          <w:rFonts w:ascii="Palatino Linotype" w:hAnsi="Palatino Linotype" w:cs="Arial"/>
        </w:rPr>
        <w:t xml:space="preserve">el </w:t>
      </w:r>
      <w:r w:rsidR="004E3CD2">
        <w:rPr>
          <w:rFonts w:ascii="Palatino Linotype" w:hAnsi="Palatino Linotype" w:cs="Arial"/>
          <w:b/>
        </w:rPr>
        <w:t>catorce</w:t>
      </w:r>
      <w:r>
        <w:rPr>
          <w:rFonts w:ascii="Palatino Linotype" w:hAnsi="Palatino Linotype" w:cs="Arial"/>
          <w:b/>
        </w:rPr>
        <w:t xml:space="preserve"> de abril</w:t>
      </w:r>
      <w:r w:rsidR="007E2EA4">
        <w:rPr>
          <w:rFonts w:ascii="Palatino Linotype" w:hAnsi="Palatino Linotype" w:cs="Arial"/>
        </w:rPr>
        <w:t xml:space="preserve"> </w:t>
      </w:r>
      <w:r w:rsidR="004E6072" w:rsidRPr="001E538E">
        <w:rPr>
          <w:rFonts w:ascii="Palatino Linotype" w:hAnsi="Palatino Linotype"/>
          <w:b/>
        </w:rPr>
        <w:t>de</w:t>
      </w:r>
      <w:r w:rsidR="00726140">
        <w:rPr>
          <w:rFonts w:ascii="Palatino Linotype" w:hAnsi="Palatino Linotype"/>
          <w:b/>
        </w:rPr>
        <w:t xml:space="preserve"> </w:t>
      </w:r>
      <w:r w:rsidR="004E6072" w:rsidRPr="001E538E">
        <w:rPr>
          <w:rFonts w:ascii="Palatino Linotype" w:hAnsi="Palatino Linotype" w:cs="Arial"/>
          <w:b/>
        </w:rPr>
        <w:t>dos mil</w:t>
      </w:r>
      <w:r w:rsidR="004E6072" w:rsidRPr="001E538E">
        <w:rPr>
          <w:rFonts w:ascii="Palatino Linotype" w:hAnsi="Palatino Linotype" w:cs="Arial"/>
        </w:rPr>
        <w:t xml:space="preserve"> </w:t>
      </w:r>
      <w:r w:rsidR="00726140">
        <w:rPr>
          <w:rFonts w:ascii="Palatino Linotype" w:hAnsi="Palatino Linotype" w:cs="Arial"/>
          <w:b/>
        </w:rPr>
        <w:t>veint</w:t>
      </w:r>
      <w:r w:rsidR="000607E3">
        <w:rPr>
          <w:rFonts w:ascii="Palatino Linotype" w:hAnsi="Palatino Linotype" w:cs="Arial"/>
          <w:b/>
        </w:rPr>
        <w:t>iuno</w:t>
      </w:r>
      <w:r w:rsidR="004E6072" w:rsidRPr="001E538E">
        <w:rPr>
          <w:rFonts w:ascii="Palatino Linotype" w:hAnsi="Palatino Linotype" w:cs="Arial"/>
          <w:b/>
        </w:rPr>
        <w:t>,</w:t>
      </w:r>
      <w:r w:rsidR="004E6072" w:rsidRPr="001E538E">
        <w:rPr>
          <w:rFonts w:ascii="Palatino Linotype" w:hAnsi="Palatino Linotype" w:cs="Arial"/>
        </w:rPr>
        <w:t xml:space="preserve"> l</w:t>
      </w:r>
      <w:r w:rsidR="004E3CD2">
        <w:rPr>
          <w:rFonts w:ascii="Palatino Linotype" w:hAnsi="Palatino Linotype" w:cs="Arial"/>
        </w:rPr>
        <w:t xml:space="preserve">a parte recurrente interpuso el recurso </w:t>
      </w:r>
      <w:r w:rsidR="004E6072" w:rsidRPr="001E538E">
        <w:rPr>
          <w:rFonts w:ascii="Palatino Linotype" w:hAnsi="Palatino Linotype" w:cs="Arial"/>
        </w:rPr>
        <w:t xml:space="preserve">de revisión a través de </w:t>
      </w:r>
      <w:r w:rsidR="004E6072" w:rsidRPr="001E538E">
        <w:rPr>
          <w:rFonts w:ascii="Palatino Linotype" w:hAnsi="Palatino Linotype" w:cs="Arial"/>
          <w:b/>
        </w:rPr>
        <w:t xml:space="preserve">SAIMEX, </w:t>
      </w:r>
      <w:r w:rsidR="00995F05">
        <w:rPr>
          <w:rFonts w:ascii="Palatino Linotype" w:hAnsi="Palatino Linotype" w:cs="Arial"/>
        </w:rPr>
        <w:t xml:space="preserve"> expresándose </w:t>
      </w:r>
      <w:r w:rsidR="004E6072" w:rsidRPr="001E538E">
        <w:rPr>
          <w:rFonts w:ascii="Palatino Linotype" w:hAnsi="Palatino Linotype" w:cs="Arial"/>
        </w:rPr>
        <w:t>de la siguiente manera:</w:t>
      </w:r>
    </w:p>
    <w:p w14:paraId="45CEBDC2" w14:textId="2CF60506" w:rsidR="000607E3" w:rsidRDefault="00995F05" w:rsidP="00995F05">
      <w:pPr>
        <w:spacing w:before="240" w:after="240" w:line="360" w:lineRule="auto"/>
        <w:ind w:left="567" w:right="49"/>
        <w:jc w:val="both"/>
        <w:rPr>
          <w:rFonts w:ascii="Palatino Linotype" w:hAnsi="Palatino Linotype" w:cs="Arial"/>
          <w:b/>
        </w:rPr>
      </w:pPr>
      <w:r>
        <w:rPr>
          <w:rFonts w:ascii="Palatino Linotype" w:hAnsi="Palatino Linotype" w:cs="Arial"/>
          <w:b/>
        </w:rPr>
        <w:t xml:space="preserve">a) </w:t>
      </w:r>
      <w:r w:rsidRPr="00995F05">
        <w:rPr>
          <w:rFonts w:ascii="Palatino Linotype" w:hAnsi="Palatino Linotype" w:cs="Arial"/>
          <w:b/>
        </w:rPr>
        <w:t xml:space="preserve">Acto impugnado: </w:t>
      </w:r>
    </w:p>
    <w:p w14:paraId="3A9639A5" w14:textId="1B282D30" w:rsidR="00713965" w:rsidRDefault="00995F05" w:rsidP="00E42901">
      <w:pPr>
        <w:spacing w:before="240" w:after="240" w:line="360" w:lineRule="auto"/>
        <w:ind w:left="567" w:right="49"/>
        <w:jc w:val="both"/>
        <w:rPr>
          <w:rFonts w:ascii="Palatino Linotype" w:hAnsi="Palatino Linotype" w:cs="Arial"/>
          <w:i/>
          <w:sz w:val="22"/>
        </w:rPr>
      </w:pPr>
      <w:r w:rsidRPr="00995F05">
        <w:rPr>
          <w:rFonts w:ascii="Palatino Linotype" w:hAnsi="Palatino Linotype" w:cs="Arial"/>
          <w:i/>
          <w:sz w:val="22"/>
        </w:rPr>
        <w:t>“</w:t>
      </w:r>
      <w:r w:rsidR="004E3CD2" w:rsidRPr="004E3CD2">
        <w:rPr>
          <w:rFonts w:ascii="Palatino Linotype" w:hAnsi="Palatino Linotype" w:cs="Arial"/>
          <w:i/>
          <w:sz w:val="22"/>
        </w:rPr>
        <w:t>No se me respondió</w:t>
      </w:r>
      <w:r w:rsidRPr="00995F05">
        <w:rPr>
          <w:rFonts w:ascii="Palatino Linotype" w:hAnsi="Palatino Linotype" w:cs="Arial"/>
          <w:i/>
          <w:sz w:val="22"/>
        </w:rPr>
        <w:t>”</w:t>
      </w:r>
    </w:p>
    <w:p w14:paraId="42CC2B10" w14:textId="19931EE4" w:rsidR="00995F05" w:rsidRDefault="00995F05" w:rsidP="00995F05">
      <w:pPr>
        <w:spacing w:before="240" w:after="240" w:line="360" w:lineRule="auto"/>
        <w:ind w:left="567" w:right="49"/>
        <w:jc w:val="both"/>
        <w:rPr>
          <w:rFonts w:ascii="Palatino Linotype" w:hAnsi="Palatino Linotype" w:cs="Arial"/>
          <w:b/>
          <w:sz w:val="22"/>
        </w:rPr>
      </w:pPr>
      <w:r w:rsidRPr="00995F05">
        <w:rPr>
          <w:rFonts w:ascii="Palatino Linotype" w:hAnsi="Palatino Linotype" w:cs="Arial"/>
          <w:b/>
          <w:sz w:val="22"/>
        </w:rPr>
        <w:t>b) Razones o motivos de inconformidad</w:t>
      </w:r>
      <w:r>
        <w:rPr>
          <w:rFonts w:ascii="Palatino Linotype" w:hAnsi="Palatino Linotype" w:cs="Arial"/>
          <w:b/>
          <w:sz w:val="22"/>
        </w:rPr>
        <w:t>:</w:t>
      </w:r>
    </w:p>
    <w:p w14:paraId="3C14CB7F" w14:textId="34E09A9C" w:rsidR="00995F05" w:rsidRPr="00995F05" w:rsidRDefault="00995F05" w:rsidP="00995F05">
      <w:pPr>
        <w:spacing w:before="240" w:after="240"/>
        <w:ind w:left="567" w:right="900"/>
        <w:jc w:val="both"/>
        <w:rPr>
          <w:rFonts w:ascii="Palatino Linotype" w:hAnsi="Palatino Linotype" w:cs="Arial"/>
          <w:i/>
          <w:sz w:val="22"/>
        </w:rPr>
      </w:pPr>
      <w:r w:rsidRPr="00995F05">
        <w:rPr>
          <w:rFonts w:ascii="Palatino Linotype" w:hAnsi="Palatino Linotype" w:cs="Arial"/>
          <w:i/>
          <w:sz w:val="22"/>
        </w:rPr>
        <w:t>“</w:t>
      </w:r>
      <w:r w:rsidR="004E3CD2" w:rsidRPr="004E3CD2">
        <w:rPr>
          <w:rFonts w:ascii="Palatino Linotype" w:hAnsi="Palatino Linotype" w:cs="Arial"/>
          <w:i/>
          <w:sz w:val="22"/>
        </w:rPr>
        <w:t>No se dio respuesta a mi solicitud</w:t>
      </w:r>
      <w:r w:rsidRPr="00995F05">
        <w:rPr>
          <w:rFonts w:ascii="Palatino Linotype" w:hAnsi="Palatino Linotype" w:cs="Arial"/>
          <w:i/>
          <w:sz w:val="22"/>
        </w:rPr>
        <w:t>”</w:t>
      </w:r>
    </w:p>
    <w:p w14:paraId="033099C6" w14:textId="64D6B18C" w:rsidR="005904AF" w:rsidRDefault="00117A90" w:rsidP="00EE43FE">
      <w:pPr>
        <w:spacing w:before="240" w:after="240" w:line="360" w:lineRule="auto"/>
        <w:jc w:val="both"/>
        <w:rPr>
          <w:rFonts w:ascii="Palatino Linotype" w:hAnsi="Palatino Linotype"/>
        </w:rPr>
      </w:pPr>
      <w:r w:rsidRPr="001E538E">
        <w:rPr>
          <w:rFonts w:ascii="Palatino Linotype" w:hAnsi="Palatino Linotype" w:cs="Arial"/>
          <w:b/>
        </w:rPr>
        <w:t>4</w:t>
      </w:r>
      <w:r w:rsidR="002426FE" w:rsidRPr="001E538E">
        <w:rPr>
          <w:rFonts w:ascii="Palatino Linotype" w:hAnsi="Palatino Linotype" w:cs="Arial"/>
          <w:b/>
        </w:rPr>
        <w:t xml:space="preserve">. </w:t>
      </w:r>
      <w:r w:rsidR="002426FE" w:rsidRPr="001E538E">
        <w:rPr>
          <w:rFonts w:ascii="Palatino Linotype" w:eastAsia="Calibri" w:hAnsi="Palatino Linotype" w:cs="Arial"/>
          <w:b/>
        </w:rPr>
        <w:t>Turno.</w:t>
      </w:r>
      <w:r w:rsidR="002426FE" w:rsidRPr="001E538E">
        <w:rPr>
          <w:rFonts w:ascii="Palatino Linotype" w:eastAsia="Calibri" w:hAnsi="Palatino Linotype" w:cs="Arial"/>
          <w:b/>
          <w:sz w:val="28"/>
          <w:szCs w:val="28"/>
        </w:rPr>
        <w:t xml:space="preserve"> </w:t>
      </w:r>
      <w:r w:rsidR="005904AF" w:rsidRPr="001E538E">
        <w:rPr>
          <w:rFonts w:ascii="Palatino Linotype" w:eastAsia="Calibri" w:hAnsi="Palatino Linotype" w:cs="Arial"/>
        </w:rPr>
        <w:t xml:space="preserve">De conformidad con el artículo 185 fracción I de la Ley de Transparencia y Acceso a la Información Pública del Estado de México y Municipios vigente, los presentes recursos de revisión se turnaron por el sistema electrónico del Instituto de Transparencia, Acceso a la Información Pública y Protección de Datos Personales del Estado de México y Municipios, </w:t>
      </w:r>
      <w:r w:rsidR="007231F2">
        <w:rPr>
          <w:rFonts w:ascii="Palatino Linotype" w:hAnsi="Palatino Linotype" w:cs="Arial"/>
        </w:rPr>
        <w:t>al</w:t>
      </w:r>
      <w:r w:rsidR="007231F2">
        <w:rPr>
          <w:rFonts w:ascii="Palatino Linotype" w:eastAsia="Calibri" w:hAnsi="Palatino Linotype" w:cs="Arial"/>
        </w:rPr>
        <w:t xml:space="preserve"> </w:t>
      </w:r>
      <w:r w:rsidR="007231F2" w:rsidRPr="004E3CD2">
        <w:rPr>
          <w:rFonts w:ascii="Palatino Linotype" w:eastAsia="Calibri" w:hAnsi="Palatino Linotype" w:cs="Arial"/>
          <w:b/>
        </w:rPr>
        <w:t>Comisionado</w:t>
      </w:r>
      <w:r w:rsidR="005904AF" w:rsidRPr="001E538E">
        <w:rPr>
          <w:rFonts w:ascii="Palatino Linotype" w:eastAsia="Calibri" w:hAnsi="Palatino Linotype" w:cs="Arial"/>
        </w:rPr>
        <w:t xml:space="preserve"> </w:t>
      </w:r>
      <w:r w:rsidR="005904AF" w:rsidRPr="001E538E">
        <w:rPr>
          <w:rFonts w:ascii="Palatino Linotype" w:eastAsia="Calibri" w:hAnsi="Palatino Linotype" w:cs="Arial"/>
          <w:b/>
        </w:rPr>
        <w:t>Javier Martínez Cruz</w:t>
      </w:r>
      <w:r w:rsidR="00995F05">
        <w:rPr>
          <w:rFonts w:ascii="Palatino Linotype" w:eastAsia="Calibri" w:hAnsi="Palatino Linotype" w:cs="Arial"/>
          <w:b/>
        </w:rPr>
        <w:t xml:space="preserve">, </w:t>
      </w:r>
      <w:r w:rsidR="005904AF" w:rsidRPr="001E538E">
        <w:rPr>
          <w:rFonts w:ascii="Palatino Linotype" w:hAnsi="Palatino Linotype"/>
        </w:rPr>
        <w:t>a efecto de que analizaran sobre su admisión o su desechamiento.</w:t>
      </w:r>
    </w:p>
    <w:p w14:paraId="7A87F6F3" w14:textId="35D1BEF4" w:rsidR="002E0D1C" w:rsidRPr="001E538E" w:rsidRDefault="00117A90" w:rsidP="00EE43FE">
      <w:pPr>
        <w:spacing w:before="240" w:after="240" w:line="360" w:lineRule="auto"/>
        <w:jc w:val="both"/>
        <w:rPr>
          <w:rFonts w:ascii="Palatino Linotype" w:hAnsi="Palatino Linotype" w:cs="Arial"/>
        </w:rPr>
      </w:pPr>
      <w:r w:rsidRPr="001E538E">
        <w:rPr>
          <w:rFonts w:ascii="Palatino Linotype" w:hAnsi="Palatino Linotype" w:cs="Arial"/>
          <w:b/>
        </w:rPr>
        <w:lastRenderedPageBreak/>
        <w:t>5</w:t>
      </w:r>
      <w:r w:rsidR="00F5055E" w:rsidRPr="001E538E">
        <w:rPr>
          <w:rFonts w:ascii="Palatino Linotype" w:hAnsi="Palatino Linotype" w:cs="Arial"/>
          <w:b/>
        </w:rPr>
        <w:t>.</w:t>
      </w:r>
      <w:r w:rsidR="00F5055E" w:rsidRPr="001E538E">
        <w:rPr>
          <w:rFonts w:ascii="Palatino Linotype" w:hAnsi="Palatino Linotype" w:cs="Arial"/>
          <w:b/>
          <w:i/>
        </w:rPr>
        <w:t xml:space="preserve"> </w:t>
      </w:r>
      <w:r w:rsidR="00F5055E" w:rsidRPr="001E538E">
        <w:rPr>
          <w:rFonts w:ascii="Palatino Linotype" w:hAnsi="Palatino Linotype" w:cs="Arial"/>
          <w:b/>
        </w:rPr>
        <w:t>Admisión de</w:t>
      </w:r>
      <w:r w:rsidR="007231F2">
        <w:rPr>
          <w:rFonts w:ascii="Palatino Linotype" w:hAnsi="Palatino Linotype" w:cs="Arial"/>
          <w:b/>
        </w:rPr>
        <w:t>l</w:t>
      </w:r>
      <w:r w:rsidR="00F5055E" w:rsidRPr="001E538E">
        <w:rPr>
          <w:rFonts w:ascii="Palatino Linotype" w:hAnsi="Palatino Linotype" w:cs="Arial"/>
          <w:b/>
        </w:rPr>
        <w:t xml:space="preserve"> Recurso</w:t>
      </w:r>
      <w:r w:rsidR="00F7007F" w:rsidRPr="001E538E">
        <w:rPr>
          <w:rFonts w:ascii="Palatino Linotype" w:hAnsi="Palatino Linotype" w:cs="Arial"/>
          <w:b/>
        </w:rPr>
        <w:t xml:space="preserve"> de revisión</w:t>
      </w:r>
      <w:r w:rsidR="00F5055E" w:rsidRPr="001E538E">
        <w:rPr>
          <w:rFonts w:ascii="Palatino Linotype" w:hAnsi="Palatino Linotype" w:cs="Arial"/>
          <w:b/>
        </w:rPr>
        <w:t>.</w:t>
      </w:r>
      <w:r w:rsidR="00F5055E" w:rsidRPr="001E538E">
        <w:rPr>
          <w:rFonts w:ascii="Palatino Linotype" w:hAnsi="Palatino Linotype" w:cs="Arial"/>
          <w:sz w:val="28"/>
          <w:szCs w:val="28"/>
        </w:rPr>
        <w:t xml:space="preserve"> </w:t>
      </w:r>
      <w:r w:rsidR="00C03E00" w:rsidRPr="001E538E">
        <w:rPr>
          <w:rFonts w:ascii="Palatino Linotype" w:hAnsi="Palatino Linotype" w:cs="Arial"/>
          <w:szCs w:val="28"/>
        </w:rPr>
        <w:t>Con</w:t>
      </w:r>
      <w:r w:rsidR="00707B32" w:rsidRPr="001E538E">
        <w:rPr>
          <w:rFonts w:ascii="Palatino Linotype" w:hAnsi="Palatino Linotype" w:cs="Arial"/>
        </w:rPr>
        <w:t xml:space="preserve"> fecha</w:t>
      </w:r>
      <w:r w:rsidR="004E3CD2">
        <w:rPr>
          <w:rFonts w:ascii="Palatino Linotype" w:hAnsi="Palatino Linotype" w:cs="Arial"/>
          <w:b/>
        </w:rPr>
        <w:t xml:space="preserve"> diecinuev</w:t>
      </w:r>
      <w:r w:rsidR="007231F2">
        <w:rPr>
          <w:rFonts w:ascii="Palatino Linotype" w:hAnsi="Palatino Linotype" w:cs="Arial"/>
          <w:b/>
        </w:rPr>
        <w:t>e</w:t>
      </w:r>
      <w:r w:rsidR="00D44C46">
        <w:rPr>
          <w:rFonts w:ascii="Palatino Linotype" w:hAnsi="Palatino Linotype" w:cs="Arial"/>
          <w:b/>
        </w:rPr>
        <w:t xml:space="preserve"> </w:t>
      </w:r>
      <w:r w:rsidR="00DC6070" w:rsidRPr="001E538E">
        <w:rPr>
          <w:rFonts w:ascii="Palatino Linotype" w:hAnsi="Palatino Linotype" w:cs="Arial"/>
          <w:b/>
        </w:rPr>
        <w:t xml:space="preserve">de </w:t>
      </w:r>
      <w:r w:rsidR="007231F2">
        <w:rPr>
          <w:rFonts w:ascii="Palatino Linotype" w:hAnsi="Palatino Linotype" w:cs="Arial"/>
          <w:b/>
        </w:rPr>
        <w:t>abril</w:t>
      </w:r>
      <w:r w:rsidR="00934930" w:rsidRPr="001E538E">
        <w:rPr>
          <w:rFonts w:ascii="Palatino Linotype" w:hAnsi="Palatino Linotype" w:cs="Arial"/>
          <w:b/>
        </w:rPr>
        <w:t xml:space="preserve"> de</w:t>
      </w:r>
      <w:r w:rsidR="00952217" w:rsidRPr="001E538E">
        <w:rPr>
          <w:rFonts w:ascii="Palatino Linotype" w:hAnsi="Palatino Linotype" w:cs="Arial"/>
          <w:b/>
        </w:rPr>
        <w:t xml:space="preserve"> </w:t>
      </w:r>
      <w:r w:rsidR="00770581" w:rsidRPr="001E538E">
        <w:rPr>
          <w:rFonts w:ascii="Palatino Linotype" w:hAnsi="Palatino Linotype" w:cs="Arial"/>
          <w:b/>
        </w:rPr>
        <w:t>dos mil v</w:t>
      </w:r>
      <w:r w:rsidR="00952217" w:rsidRPr="001E538E">
        <w:rPr>
          <w:rFonts w:ascii="Palatino Linotype" w:hAnsi="Palatino Linotype" w:cs="Arial"/>
          <w:b/>
        </w:rPr>
        <w:t>e</w:t>
      </w:r>
      <w:r w:rsidR="00D44C46">
        <w:rPr>
          <w:rFonts w:ascii="Palatino Linotype" w:hAnsi="Palatino Linotype" w:cs="Arial"/>
          <w:b/>
        </w:rPr>
        <w:t>intiuno</w:t>
      </w:r>
      <w:r w:rsidR="00F7007F" w:rsidRPr="001E538E">
        <w:rPr>
          <w:rFonts w:ascii="Palatino Linotype" w:hAnsi="Palatino Linotype" w:cs="Arial"/>
          <w:b/>
        </w:rPr>
        <w:t xml:space="preserve">, </w:t>
      </w:r>
      <w:r w:rsidR="00F7007F" w:rsidRPr="001E538E">
        <w:rPr>
          <w:rFonts w:ascii="Palatino Linotype" w:hAnsi="Palatino Linotype" w:cs="Arial"/>
        </w:rPr>
        <w:t>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Sujeto Obligado presentara su informe justificado.</w:t>
      </w:r>
    </w:p>
    <w:p w14:paraId="08162FF3" w14:textId="386A66D0" w:rsidR="00D126D6" w:rsidRDefault="00117A90" w:rsidP="00D126D6">
      <w:pPr>
        <w:spacing w:before="240" w:after="240" w:line="360" w:lineRule="auto"/>
        <w:ind w:right="49"/>
        <w:jc w:val="both"/>
        <w:rPr>
          <w:rFonts w:ascii="Palatino Linotype" w:hAnsi="Palatino Linotype" w:cs="Arial"/>
        </w:rPr>
      </w:pPr>
      <w:r w:rsidRPr="001E538E">
        <w:rPr>
          <w:rFonts w:ascii="Palatino Linotype" w:hAnsi="Palatino Linotype" w:cs="Arial"/>
          <w:b/>
        </w:rPr>
        <w:t>7</w:t>
      </w:r>
      <w:r w:rsidR="004946EA" w:rsidRPr="001E538E">
        <w:rPr>
          <w:rFonts w:ascii="Palatino Linotype" w:hAnsi="Palatino Linotype" w:cs="Arial"/>
          <w:b/>
        </w:rPr>
        <w:t xml:space="preserve">. </w:t>
      </w:r>
      <w:r w:rsidR="00ED7CEC" w:rsidRPr="001E538E">
        <w:rPr>
          <w:rFonts w:ascii="Palatino Linotype" w:hAnsi="Palatino Linotype" w:cs="Arial"/>
          <w:b/>
        </w:rPr>
        <w:t>Manifestaciones</w:t>
      </w:r>
      <w:r w:rsidR="00934831" w:rsidRPr="001E538E">
        <w:rPr>
          <w:rFonts w:ascii="Palatino Linotype" w:hAnsi="Palatino Linotype" w:cs="Arial"/>
        </w:rPr>
        <w:t>.</w:t>
      </w:r>
      <w:r w:rsidR="000D2AC1" w:rsidRPr="001E538E">
        <w:rPr>
          <w:rFonts w:ascii="Palatino Linotype" w:hAnsi="Palatino Linotype" w:cs="Arial"/>
          <w:sz w:val="28"/>
        </w:rPr>
        <w:t xml:space="preserve"> </w:t>
      </w:r>
      <w:r w:rsidR="00D126D6" w:rsidRPr="001E538E">
        <w:rPr>
          <w:rFonts w:ascii="Palatino Linotype" w:hAnsi="Palatino Linotype" w:cs="Arial"/>
        </w:rPr>
        <w:t>De las constancias que obran agregadas en el expediente electrónico al rubro citado, se tiene que las partes fueron omisas en presentar informe justificado, pruebas y/o alegatos en la etapa procedimental previamente reconocida en nuestra Ley de Transparencia.</w:t>
      </w:r>
    </w:p>
    <w:p w14:paraId="54173246" w14:textId="2E98F6ED" w:rsidR="004E3CD2" w:rsidRDefault="004E3CD2" w:rsidP="004E3CD2">
      <w:pPr>
        <w:spacing w:before="240" w:after="240" w:line="360" w:lineRule="auto"/>
        <w:jc w:val="both"/>
        <w:rPr>
          <w:rFonts w:ascii="Palatino Linotype" w:hAnsi="Palatino Linotype"/>
        </w:rPr>
      </w:pPr>
      <w:r w:rsidRPr="00C66B2D">
        <w:rPr>
          <w:rFonts w:ascii="Palatino Linotype" w:hAnsi="Palatino Linotype"/>
          <w:b/>
        </w:rPr>
        <w:t>8.- Ampliación del plazo para emitir resolución.</w:t>
      </w:r>
      <w:r w:rsidRPr="00C66B2D">
        <w:rPr>
          <w:rFonts w:ascii="Palatino Linotype" w:hAnsi="Palatino Linotype"/>
          <w:bCs/>
        </w:rPr>
        <w:t xml:space="preserve"> El </w:t>
      </w:r>
      <w:r w:rsidRPr="00C66B2D">
        <w:rPr>
          <w:rFonts w:ascii="Palatino Linotype" w:hAnsi="Palatino Linotype"/>
          <w:b/>
          <w:bCs/>
        </w:rPr>
        <w:t>uno de junio de dos mil veintiuno</w:t>
      </w:r>
      <w:r w:rsidRPr="00C66B2D">
        <w:rPr>
          <w:rFonts w:ascii="Palatino Linotype" w:hAnsi="Palatino Linotype"/>
          <w:bCs/>
        </w:rPr>
        <w:t>,</w:t>
      </w:r>
      <w:r w:rsidRPr="00F10DF2">
        <w:rPr>
          <w:rFonts w:ascii="Palatino Linotype" w:hAnsi="Palatino Linotype"/>
          <w:bCs/>
        </w:rPr>
        <w:t xml:space="preserve"> </w:t>
      </w:r>
      <w:r w:rsidRPr="00F10DF2">
        <w:rPr>
          <w:rFonts w:ascii="Palatino Linotype" w:hAnsi="Palatino Linotype"/>
        </w:rPr>
        <w:t>se notificó a las partes el Acuerdo de Ampliación de Plazo para resolver el medio de impugnación que nos ocupa, en términos de lo dispuesto por el artículo 181, párrafo tercero de la Ley de Transparencia y Acceso a la Información Pública del Estado de México y Municipios; lo anterior, dado el incremento en el número de recursos de revisión promovidos en la anualidad próxima pasada ante este Instituto de Transparencia, Acceso a la Información Pública y Protección de Datos Personales del Estado de México y Municipios y con la finalidad de realizar un análisis exhaustivo de las constancias que obran en el expediente electrónico, adoptando las medidas pertinentes, a fin de aminorar los efectos que conlleva.</w:t>
      </w:r>
    </w:p>
    <w:p w14:paraId="4E7ECF51" w14:textId="5A62FEF6" w:rsidR="00D66B1E" w:rsidRDefault="00D66B1E" w:rsidP="00D66B1E">
      <w:pPr>
        <w:spacing w:line="360" w:lineRule="auto"/>
        <w:jc w:val="both"/>
        <w:rPr>
          <w:rFonts w:ascii="Palatino Linotype" w:hAnsi="Palatino Linotype" w:cs="Arial"/>
          <w:lang w:val="es-ES_tradnl"/>
        </w:rPr>
      </w:pPr>
      <w:r w:rsidRPr="00D66B1E">
        <w:rPr>
          <w:rFonts w:ascii="Palatino Linotype" w:hAnsi="Palatino Linotype" w:cs="Arial"/>
          <w:b/>
          <w:lang w:val="es-ES_tradnl"/>
        </w:rPr>
        <w:t>9. Returno</w:t>
      </w:r>
      <w:r>
        <w:rPr>
          <w:rFonts w:ascii="Palatino Linotype" w:hAnsi="Palatino Linotype" w:cs="Arial"/>
          <w:lang w:val="es-ES_tradnl"/>
        </w:rPr>
        <w:t xml:space="preserve">. </w:t>
      </w:r>
      <w:r w:rsidRPr="00306B87">
        <w:rPr>
          <w:rFonts w:ascii="Palatino Linotype" w:hAnsi="Palatino Linotype" w:cs="Arial"/>
          <w:lang w:val="es-ES_tradnl"/>
        </w:rPr>
        <w:t xml:space="preserve">El </w:t>
      </w:r>
      <w:r w:rsidRPr="00306B87">
        <w:rPr>
          <w:rFonts w:ascii="Palatino Linotype" w:hAnsi="Palatino Linotype" w:cs="Arial"/>
          <w:b/>
          <w:lang w:val="es-ES_tradnl"/>
        </w:rPr>
        <w:t>veintitrés de agosto de dos mil veintiuno, en la Segunda Sesión Extraordinaria</w:t>
      </w:r>
      <w:r w:rsidRPr="00306B87">
        <w:rPr>
          <w:rFonts w:ascii="Palatino Linotype" w:hAnsi="Palatino Linotype" w:cs="Arial"/>
          <w:lang w:val="es-ES_tradnl"/>
        </w:rPr>
        <w:t xml:space="preserve">, el Pleno del Instituto aprobó el returno del recurso de revisión </w:t>
      </w:r>
      <w:r w:rsidRPr="00306B87">
        <w:rPr>
          <w:rFonts w:ascii="Palatino Linotype" w:hAnsi="Palatino Linotype" w:cs="Arial"/>
          <w:lang w:val="es-ES_tradnl"/>
        </w:rPr>
        <w:lastRenderedPageBreak/>
        <w:t xml:space="preserve">indicado al rubro a la Ponencia de la </w:t>
      </w:r>
      <w:r w:rsidRPr="00306B87">
        <w:rPr>
          <w:rFonts w:ascii="Palatino Linotype" w:hAnsi="Palatino Linotype" w:cs="Arial"/>
          <w:b/>
          <w:lang w:val="es-ES_tradnl"/>
        </w:rPr>
        <w:t>Comisionada Guadalupe Ramírez Peña</w:t>
      </w:r>
      <w:r w:rsidRPr="00306B87">
        <w:rPr>
          <w:rFonts w:ascii="Palatino Linotype" w:hAnsi="Palatino Linotype" w:cs="Arial"/>
          <w:lang w:val="es-ES_tradnl"/>
        </w:rPr>
        <w:t xml:space="preserve"> para su estudio y resolución.</w:t>
      </w:r>
    </w:p>
    <w:p w14:paraId="6E6236D8" w14:textId="6D9D0BE0" w:rsidR="00D66B1E" w:rsidRPr="00D66B1E" w:rsidRDefault="00D66B1E" w:rsidP="00D66B1E">
      <w:pPr>
        <w:widowControl w:val="0"/>
        <w:autoSpaceDE w:val="0"/>
        <w:autoSpaceDN w:val="0"/>
        <w:adjustRightInd w:val="0"/>
        <w:spacing w:before="240" w:after="240" w:line="360" w:lineRule="auto"/>
        <w:jc w:val="both"/>
        <w:rPr>
          <w:rFonts w:ascii="Palatino Linotype" w:hAnsi="Palatino Linotype"/>
          <w:b/>
        </w:rPr>
      </w:pPr>
      <w:r>
        <w:rPr>
          <w:rFonts w:ascii="Palatino Linotype" w:hAnsi="Palatino Linotype"/>
          <w:b/>
        </w:rPr>
        <w:t>10</w:t>
      </w:r>
      <w:r w:rsidRPr="001E538E">
        <w:rPr>
          <w:rFonts w:ascii="Palatino Linotype" w:hAnsi="Palatino Linotype"/>
          <w:b/>
        </w:rPr>
        <w:t xml:space="preserve">. Cierre de instrucción. </w:t>
      </w:r>
      <w:r w:rsidRPr="001E538E">
        <w:rPr>
          <w:rFonts w:ascii="Palatino Linotype" w:hAnsi="Palatino Linotype"/>
        </w:rPr>
        <w:t xml:space="preserve">Una vez transcurrido el periodo otorgado a las partes para realizar sus manifestaciones y no habiendo documentos que integrar al expediente, con </w:t>
      </w:r>
      <w:r w:rsidRPr="008B20DF">
        <w:rPr>
          <w:rFonts w:ascii="Palatino Linotype" w:hAnsi="Palatino Linotype"/>
        </w:rPr>
        <w:t>fechas</w:t>
      </w:r>
      <w:r w:rsidRPr="008B20DF">
        <w:rPr>
          <w:rFonts w:ascii="Palatino Linotype" w:hAnsi="Palatino Linotype"/>
          <w:b/>
        </w:rPr>
        <w:t xml:space="preserve"> </w:t>
      </w:r>
      <w:r w:rsidRPr="008B20DF">
        <w:rPr>
          <w:rFonts w:ascii="Palatino Linotype" w:hAnsi="Palatino Linotype"/>
        </w:rPr>
        <w:t xml:space="preserve">veintiuno de septiembre de </w:t>
      </w:r>
      <w:r w:rsidRPr="008B20DF">
        <w:rPr>
          <w:rFonts w:ascii="Palatino Linotype" w:hAnsi="Palatino Linotype" w:cs="Arial"/>
        </w:rPr>
        <w:t>dos mil veintiuno</w:t>
      </w:r>
      <w:r w:rsidRPr="008B20DF">
        <w:rPr>
          <w:rFonts w:ascii="Palatino Linotype" w:hAnsi="Palatino Linotype"/>
        </w:rPr>
        <w:t>, la</w:t>
      </w:r>
      <w:r>
        <w:rPr>
          <w:rFonts w:ascii="Palatino Linotype" w:hAnsi="Palatino Linotype"/>
        </w:rPr>
        <w:t xml:space="preserve"> Comisionada</w:t>
      </w:r>
      <w:r w:rsidRPr="001E538E">
        <w:rPr>
          <w:rFonts w:ascii="Palatino Linotype" w:hAnsi="Palatino Linotype"/>
        </w:rPr>
        <w:t xml:space="preserve"> ponente determinó el cierre de instrucción en términos de la fracción VI del artículo 185 de la Ley de Transparencia y Acceso a la Información Pública del Estado de México y Municipios.</w:t>
      </w:r>
    </w:p>
    <w:bookmarkEnd w:id="0"/>
    <w:p w14:paraId="2926BC7B" w14:textId="5D90F6DE" w:rsidR="001F5ECB" w:rsidRPr="001E538E" w:rsidRDefault="003F292C" w:rsidP="003F292C">
      <w:pPr>
        <w:spacing w:before="240" w:after="240" w:line="360" w:lineRule="auto"/>
        <w:jc w:val="both"/>
        <w:rPr>
          <w:rFonts w:ascii="Palatino Linotype" w:hAnsi="Palatino Linotype" w:cs="Tahoma"/>
          <w:szCs w:val="22"/>
        </w:rPr>
      </w:pPr>
      <w:r w:rsidRPr="001E538E">
        <w:rPr>
          <w:rFonts w:ascii="Palatino Linotype" w:hAnsi="Palatino Linotype" w:cs="Tahoma"/>
          <w:szCs w:val="22"/>
        </w:rPr>
        <w:t>En razón de que fue debidamente sustanciado el expediente electrónico y no existe diligencia pendiente de desahogo, se emite la Resolución que conforme a Derecho proceda, de acuerdo con los siguientes:</w:t>
      </w:r>
    </w:p>
    <w:p w14:paraId="4E198D41" w14:textId="77777777" w:rsidR="002B5536" w:rsidRPr="001E538E" w:rsidRDefault="002B5536" w:rsidP="003B786E">
      <w:pPr>
        <w:widowControl w:val="0"/>
        <w:autoSpaceDE w:val="0"/>
        <w:autoSpaceDN w:val="0"/>
        <w:adjustRightInd w:val="0"/>
        <w:spacing w:before="240" w:after="240" w:line="360" w:lineRule="auto"/>
        <w:jc w:val="center"/>
        <w:rPr>
          <w:rFonts w:ascii="Palatino Linotype" w:hAnsi="Palatino Linotype" w:cs="Arial"/>
          <w:b/>
        </w:rPr>
      </w:pPr>
      <w:r w:rsidRPr="001E538E">
        <w:rPr>
          <w:rFonts w:ascii="Palatino Linotype" w:hAnsi="Palatino Linotype" w:cs="Arial"/>
          <w:b/>
        </w:rPr>
        <w:t>II. C O N S I D E R A N D O</w:t>
      </w:r>
    </w:p>
    <w:p w14:paraId="73F4E1EF" w14:textId="38E91609" w:rsidR="00E9259E" w:rsidRPr="001E538E" w:rsidRDefault="00E9259E" w:rsidP="00E9259E">
      <w:pPr>
        <w:spacing w:before="240" w:after="240" w:line="360" w:lineRule="auto"/>
        <w:jc w:val="both"/>
        <w:rPr>
          <w:rFonts w:ascii="Palatino Linotype" w:hAnsi="Palatino Linotype" w:cs="Arial"/>
        </w:rPr>
      </w:pPr>
      <w:r w:rsidRPr="001E538E">
        <w:rPr>
          <w:rFonts w:ascii="Palatino Linotype" w:hAnsi="Palatino Linotype" w:cs="Arial"/>
          <w:b/>
        </w:rPr>
        <w:t>Primero. Competencia.</w:t>
      </w:r>
      <w:r w:rsidRPr="001E538E">
        <w:rPr>
          <w:rFonts w:ascii="Palatino Linotype" w:hAnsi="Palatino Linotype" w:cs="Arial"/>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w:t>
      </w:r>
      <w:r w:rsidR="00D66B1E">
        <w:rPr>
          <w:rFonts w:ascii="Palatino Linotype" w:hAnsi="Palatino Linotype" w:cs="Arial"/>
        </w:rPr>
        <w:t>párrafos vigésimo segundo, vigésimo tercero y vigésimo cuart</w:t>
      </w:r>
      <w:r w:rsidR="00EB74A3" w:rsidRPr="00A57CCB">
        <w:rPr>
          <w:rFonts w:ascii="Palatino Linotype" w:hAnsi="Palatino Linotype" w:cs="Arial"/>
        </w:rPr>
        <w:t>o</w:t>
      </w:r>
      <w:r w:rsidR="00EB74A3">
        <w:rPr>
          <w:rFonts w:ascii="Palatino Linotype" w:hAnsi="Palatino Linotype" w:cs="Arial"/>
        </w:rPr>
        <w:t>, fracciones IV y V</w:t>
      </w:r>
      <w:r w:rsidRPr="001E538E">
        <w:rPr>
          <w:rFonts w:ascii="Palatino Linotype" w:hAnsi="Palatino Linotype" w:cs="Arial"/>
        </w:rPr>
        <w:t>; de la Constitución Política del Estado Libre y Soberano de México; 1, 2, fracción II; 13,  29, 36, fracciones I y II; 176, 178, 179, 181 párrafo tercero y 185 de la Ley Transparencia y Acceso a la Información Pública del Estado de México y Municipios; 9, fracciones I y XXIV y 11 del Reglamento Interior del Instituto de Transparencia, Acceso a la Información Pública y Protección de Datos Personales del Estado de México y Municipios.</w:t>
      </w:r>
    </w:p>
    <w:p w14:paraId="2FDCF8B1" w14:textId="77777777" w:rsidR="00133F22" w:rsidRPr="001E538E" w:rsidRDefault="00133F22" w:rsidP="00133F22">
      <w:pPr>
        <w:spacing w:before="240" w:after="240" w:line="360" w:lineRule="auto"/>
        <w:jc w:val="both"/>
        <w:rPr>
          <w:rFonts w:ascii="Palatino Linotype" w:hAnsi="Palatino Linotype"/>
        </w:rPr>
      </w:pPr>
      <w:r w:rsidRPr="001E538E">
        <w:rPr>
          <w:rFonts w:ascii="Palatino Linotype" w:hAnsi="Palatino Linotype" w:cs="Arial"/>
          <w:b/>
        </w:rPr>
        <w:lastRenderedPageBreak/>
        <w:t>Segundo. Oportunidad y Procedibilidad del Recurso de Revisión.</w:t>
      </w:r>
      <w:r w:rsidRPr="001E538E">
        <w:rPr>
          <w:rFonts w:ascii="Palatino Linotype" w:hAnsi="Palatino Linotype" w:cs="Arial"/>
          <w:b/>
          <w:sz w:val="28"/>
        </w:rPr>
        <w:t xml:space="preserve"> </w:t>
      </w:r>
      <w:r w:rsidRPr="001E538E">
        <w:rPr>
          <w:rFonts w:ascii="Palatino Linotype" w:hAnsi="Palatino Linotype" w:cs="Arial"/>
        </w:rPr>
        <w:t>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7FFC81CD" w14:textId="7221BAE4" w:rsidR="00ED1889" w:rsidRPr="001E538E" w:rsidRDefault="00133F22" w:rsidP="00ED1889">
      <w:pPr>
        <w:spacing w:before="240" w:after="240" w:line="360" w:lineRule="auto"/>
        <w:jc w:val="both"/>
        <w:rPr>
          <w:rFonts w:ascii="Palatino Linotype" w:hAnsi="Palatino Linotype" w:cs="Arial"/>
        </w:rPr>
      </w:pPr>
      <w:r w:rsidRPr="001E538E">
        <w:rPr>
          <w:rFonts w:ascii="Palatino Linotype" w:hAnsi="Palatino Linotype" w:cs="Arial"/>
        </w:rPr>
        <w:t>El recurso de revisión fue interpuesto dentro del plazo de quince días hábiles, previsto en el artículo 178 de la Ley de Transparencia y Acceso a la Información Pública del Estado de México y Municipios, toda vez que el Sujeto Obligado remitió la respuesta a la solicitud</w:t>
      </w:r>
      <w:r w:rsidR="00A35715" w:rsidRPr="001E538E">
        <w:rPr>
          <w:rFonts w:ascii="Palatino Linotype" w:hAnsi="Palatino Linotype" w:cs="Arial"/>
        </w:rPr>
        <w:t xml:space="preserve"> </w:t>
      </w:r>
      <w:r w:rsidRPr="001E538E">
        <w:rPr>
          <w:rFonts w:ascii="Palatino Linotype" w:hAnsi="Palatino Linotype" w:cs="Arial"/>
        </w:rPr>
        <w:t xml:space="preserve">de información </w:t>
      </w:r>
      <w:r w:rsidR="00D27599">
        <w:rPr>
          <w:rFonts w:ascii="Palatino Linotype" w:hAnsi="Palatino Linotype" w:cs="Arial"/>
        </w:rPr>
        <w:t>el día</w:t>
      </w:r>
      <w:r w:rsidR="007231F2">
        <w:rPr>
          <w:rFonts w:ascii="Palatino Linotype" w:hAnsi="Palatino Linotype" w:cs="Arial"/>
        </w:rPr>
        <w:t xml:space="preserve"> </w:t>
      </w:r>
      <w:r w:rsidR="002164AB">
        <w:rPr>
          <w:rFonts w:ascii="Palatino Linotype" w:hAnsi="Palatino Linotype" w:cs="Arial"/>
          <w:b/>
        </w:rPr>
        <w:t>trec</w:t>
      </w:r>
      <w:r w:rsidR="007231F2" w:rsidRPr="007231F2">
        <w:rPr>
          <w:rFonts w:ascii="Palatino Linotype" w:hAnsi="Palatino Linotype" w:cs="Arial"/>
          <w:b/>
        </w:rPr>
        <w:t>e</w:t>
      </w:r>
      <w:r w:rsidR="007231F2">
        <w:rPr>
          <w:rFonts w:ascii="Palatino Linotype" w:hAnsi="Palatino Linotype" w:cs="Arial"/>
          <w:b/>
          <w:bCs/>
        </w:rPr>
        <w:t xml:space="preserve"> de abril</w:t>
      </w:r>
      <w:r w:rsidR="00D27599">
        <w:rPr>
          <w:rFonts w:ascii="Palatino Linotype" w:hAnsi="Palatino Linotype" w:cs="Arial"/>
          <w:b/>
          <w:bCs/>
        </w:rPr>
        <w:t xml:space="preserve"> de dos mil veintiuno</w:t>
      </w:r>
      <w:r w:rsidR="00A35715" w:rsidRPr="001E538E">
        <w:rPr>
          <w:rFonts w:ascii="Palatino Linotype" w:hAnsi="Palatino Linotype" w:cs="Arial"/>
          <w:b/>
        </w:rPr>
        <w:t>,</w:t>
      </w:r>
      <w:r w:rsidRPr="001E538E">
        <w:rPr>
          <w:rFonts w:ascii="Palatino Linotype" w:hAnsi="Palatino Linotype" w:cs="Arial"/>
          <w:b/>
        </w:rPr>
        <w:t xml:space="preserve"> </w:t>
      </w:r>
      <w:r w:rsidR="00072431" w:rsidRPr="001E538E">
        <w:rPr>
          <w:rFonts w:ascii="Palatino Linotype" w:hAnsi="Palatino Linotype" w:cs="Arial"/>
        </w:rPr>
        <w:t xml:space="preserve">mientras que </w:t>
      </w:r>
      <w:r w:rsidR="007231F2">
        <w:rPr>
          <w:rFonts w:ascii="Palatino Linotype" w:hAnsi="Palatino Linotype" w:cs="Arial"/>
        </w:rPr>
        <w:t>el</w:t>
      </w:r>
      <w:r w:rsidRPr="001E538E">
        <w:rPr>
          <w:rFonts w:ascii="Palatino Linotype" w:hAnsi="Palatino Linotype" w:cs="Arial"/>
        </w:rPr>
        <w:t xml:space="preserve"> recurso de revisión interpuesto </w:t>
      </w:r>
      <w:r w:rsidR="005D1E2D" w:rsidRPr="001E538E">
        <w:rPr>
          <w:rFonts w:ascii="Palatino Linotype" w:hAnsi="Palatino Linotype" w:cs="Arial"/>
        </w:rPr>
        <w:t xml:space="preserve">por </w:t>
      </w:r>
      <w:r w:rsidR="007231F2">
        <w:rPr>
          <w:rFonts w:ascii="Palatino Linotype" w:hAnsi="Palatino Linotype" w:cs="Arial"/>
        </w:rPr>
        <w:t>la parte recurrente, se tuvo</w:t>
      </w:r>
      <w:r w:rsidRPr="001E538E">
        <w:rPr>
          <w:rFonts w:ascii="Palatino Linotype" w:hAnsi="Palatino Linotype" w:cs="Arial"/>
        </w:rPr>
        <w:t xml:space="preserve"> por presentado el día </w:t>
      </w:r>
      <w:r w:rsidR="002164AB">
        <w:rPr>
          <w:rFonts w:ascii="Palatino Linotype" w:hAnsi="Palatino Linotype" w:cs="Arial"/>
          <w:b/>
        </w:rPr>
        <w:t>cator</w:t>
      </w:r>
      <w:r w:rsidR="007231F2">
        <w:rPr>
          <w:rFonts w:ascii="Palatino Linotype" w:hAnsi="Palatino Linotype" w:cs="Arial"/>
          <w:b/>
        </w:rPr>
        <w:t>ce de abril</w:t>
      </w:r>
      <w:r w:rsidR="00ED1889" w:rsidRPr="001E538E">
        <w:rPr>
          <w:rFonts w:ascii="Palatino Linotype" w:hAnsi="Palatino Linotype" w:cs="Arial"/>
          <w:b/>
        </w:rPr>
        <w:t xml:space="preserve"> d</w:t>
      </w:r>
      <w:r w:rsidRPr="001E538E">
        <w:rPr>
          <w:rFonts w:ascii="Palatino Linotype" w:hAnsi="Palatino Linotype" w:cs="Arial"/>
          <w:b/>
        </w:rPr>
        <w:t>e dos mil ve</w:t>
      </w:r>
      <w:r w:rsidR="00D27599">
        <w:rPr>
          <w:rFonts w:ascii="Palatino Linotype" w:hAnsi="Palatino Linotype" w:cs="Arial"/>
          <w:b/>
        </w:rPr>
        <w:t>intiuno</w:t>
      </w:r>
      <w:r w:rsidR="007231F2">
        <w:rPr>
          <w:rFonts w:ascii="Palatino Linotype" w:hAnsi="Palatino Linotype"/>
        </w:rPr>
        <w:t xml:space="preserve">, esto es, al </w:t>
      </w:r>
      <w:r w:rsidR="002164AB">
        <w:rPr>
          <w:rFonts w:ascii="Palatino Linotype" w:hAnsi="Palatino Linotype"/>
          <w:b/>
        </w:rPr>
        <w:t>prim</w:t>
      </w:r>
      <w:r w:rsidR="007231F2" w:rsidRPr="007231F2">
        <w:rPr>
          <w:rFonts w:ascii="Palatino Linotype" w:hAnsi="Palatino Linotype"/>
          <w:b/>
        </w:rPr>
        <w:t>er</w:t>
      </w:r>
      <w:r w:rsidR="007231F2">
        <w:rPr>
          <w:rFonts w:ascii="Palatino Linotype" w:hAnsi="Palatino Linotype"/>
        </w:rPr>
        <w:t xml:space="preserve"> </w:t>
      </w:r>
      <w:r w:rsidRPr="0034246D">
        <w:rPr>
          <w:rFonts w:ascii="Palatino Linotype" w:hAnsi="Palatino Linotype" w:cs="Arial"/>
          <w:b/>
        </w:rPr>
        <w:t>día hábil</w:t>
      </w:r>
      <w:r w:rsidRPr="001E538E">
        <w:rPr>
          <w:rFonts w:ascii="Palatino Linotype" w:hAnsi="Palatino Linotype" w:cs="Arial"/>
        </w:rPr>
        <w:t xml:space="preserve"> posterior </w:t>
      </w:r>
      <w:r w:rsidR="007231F2">
        <w:rPr>
          <w:rFonts w:ascii="Palatino Linotype" w:hAnsi="Palatino Linotype" w:cs="Arial"/>
        </w:rPr>
        <w:t>a la notificación de la respuesta impugnada</w:t>
      </w:r>
      <w:r w:rsidR="00ED1889" w:rsidRPr="001E538E">
        <w:rPr>
          <w:rFonts w:ascii="Palatino Linotype" w:hAnsi="Palatino Linotype" w:cs="Arial"/>
        </w:rPr>
        <w:t>.</w:t>
      </w:r>
    </w:p>
    <w:p w14:paraId="4B3D6E8C" w14:textId="77794E97" w:rsidR="00133F22" w:rsidRDefault="00ED1889" w:rsidP="00133F22">
      <w:pPr>
        <w:spacing w:before="240" w:after="240" w:line="360" w:lineRule="auto"/>
        <w:jc w:val="both"/>
        <w:rPr>
          <w:rFonts w:ascii="Palatino Linotype" w:hAnsi="Palatino Linotype"/>
        </w:rPr>
      </w:pPr>
      <w:r w:rsidRPr="001E538E">
        <w:rPr>
          <w:rFonts w:ascii="Palatino Linotype" w:hAnsi="Palatino Linotype" w:cs="Arial"/>
        </w:rPr>
        <w:t>E</w:t>
      </w:r>
      <w:r w:rsidR="00133F22" w:rsidRPr="001E538E">
        <w:rPr>
          <w:rFonts w:ascii="Palatino Linotype" w:hAnsi="Palatino Linotype" w:cs="Arial"/>
        </w:rPr>
        <w:t xml:space="preserve">n este sentido, </w:t>
      </w:r>
      <w:r w:rsidR="00133F22" w:rsidRPr="001E538E">
        <w:rPr>
          <w:rFonts w:ascii="Palatino Linotype" w:hAnsi="Palatino Linotype"/>
        </w:rPr>
        <w:t>al considerar la fecha en que se formul</w:t>
      </w:r>
      <w:r w:rsidR="007231F2">
        <w:rPr>
          <w:rFonts w:ascii="Palatino Linotype" w:hAnsi="Palatino Linotype"/>
        </w:rPr>
        <w:t>ó</w:t>
      </w:r>
      <w:r w:rsidR="00133F22" w:rsidRPr="001E538E">
        <w:rPr>
          <w:rFonts w:ascii="Palatino Linotype" w:hAnsi="Palatino Linotype"/>
        </w:rPr>
        <w:t xml:space="preserve"> la solicitud y la fecha en que respondió a ésta el Sujeto Obligado; así como la fecha en que se interpus</w:t>
      </w:r>
      <w:r w:rsidR="007231F2">
        <w:rPr>
          <w:rFonts w:ascii="Palatino Linotype" w:hAnsi="Palatino Linotype"/>
        </w:rPr>
        <w:t>o el</w:t>
      </w:r>
      <w:r w:rsidR="00133F22" w:rsidRPr="001E538E">
        <w:rPr>
          <w:rFonts w:ascii="Palatino Linotype" w:hAnsi="Palatino Linotype"/>
        </w:rPr>
        <w:t xml:space="preserve"> recurso de revisión, se concluye que </w:t>
      </w:r>
      <w:r w:rsidR="007231F2">
        <w:rPr>
          <w:rFonts w:ascii="Palatino Linotype" w:hAnsi="Palatino Linotype"/>
        </w:rPr>
        <w:t>el</w:t>
      </w:r>
      <w:r w:rsidR="00133F22" w:rsidRPr="001E538E">
        <w:rPr>
          <w:rFonts w:ascii="Palatino Linotype" w:hAnsi="Palatino Linotype"/>
        </w:rPr>
        <w:t xml:space="preserve"> presente recurso</w:t>
      </w:r>
      <w:r w:rsidRPr="001E538E">
        <w:rPr>
          <w:rFonts w:ascii="Palatino Linotype" w:hAnsi="Palatino Linotype"/>
        </w:rPr>
        <w:t xml:space="preserve"> </w:t>
      </w:r>
      <w:r w:rsidR="00133F22" w:rsidRPr="001E538E">
        <w:rPr>
          <w:rFonts w:ascii="Palatino Linotype" w:hAnsi="Palatino Linotype"/>
        </w:rPr>
        <w:t>de revisión se encuentra dentro de los márgenes temporales previstos las disposiciones legales referidas.</w:t>
      </w:r>
    </w:p>
    <w:p w14:paraId="16CDCD40" w14:textId="77777777" w:rsidR="002164AB" w:rsidRPr="002164AB" w:rsidRDefault="002164AB" w:rsidP="002164AB">
      <w:pPr>
        <w:spacing w:before="240" w:after="240" w:line="360" w:lineRule="auto"/>
        <w:jc w:val="both"/>
        <w:rPr>
          <w:rFonts w:ascii="Palatino Linotype" w:hAnsi="Palatino Linotype" w:cs="Segoe UI"/>
          <w:lang w:val="es-ES" w:eastAsia="es-ES"/>
        </w:rPr>
      </w:pPr>
      <w:r w:rsidRPr="002164AB">
        <w:rPr>
          <w:rFonts w:ascii="Palatino Linotype" w:hAnsi="Palatino Linotype" w:cs="Arial"/>
          <w:lang w:val="es-ES" w:eastAsia="es-ES"/>
        </w:rPr>
        <w:t>Así también, por cuanto hace a la procedibilidad del recurso de revisión una vez realizado el análisis del formato de interposición</w:t>
      </w:r>
      <w:r w:rsidRPr="002164AB">
        <w:rPr>
          <w:rFonts w:ascii="Palatino Linotype" w:hAnsi="Palatino Linotype" w:cs="Segoe UI"/>
          <w:lang w:val="es-ES" w:eastAsia="es-ES"/>
        </w:rPr>
        <w:t xml:space="preserve"> del recurso, se advierte que el artículo 180 de la</w:t>
      </w:r>
      <w:r w:rsidRPr="002164AB">
        <w:rPr>
          <w:rFonts w:ascii="Palatino Linotype" w:eastAsia="Cambria" w:hAnsi="Palatino Linotype" w:cs="Segoe UI"/>
          <w:lang w:val="es-ES" w:eastAsia="es-ES"/>
        </w:rPr>
        <w:t> </w:t>
      </w:r>
      <w:r w:rsidRPr="002164AB">
        <w:rPr>
          <w:rFonts w:ascii="Palatino Linotype" w:hAnsi="Palatino Linotype" w:cs="Segoe UI"/>
          <w:lang w:val="es-ES" w:eastAsia="es-ES"/>
        </w:rPr>
        <w:t>Ley de Transparencia y Acceso a la Información Pública del Estado de México y Municipios, establece los siguientes elementos formales para la presentación del recurso:</w:t>
      </w:r>
    </w:p>
    <w:p w14:paraId="7047C96B" w14:textId="77777777" w:rsidR="002164AB" w:rsidRPr="00CB53FC" w:rsidRDefault="002164AB" w:rsidP="002164AB">
      <w:pPr>
        <w:autoSpaceDE w:val="0"/>
        <w:autoSpaceDN w:val="0"/>
        <w:adjustRightInd w:val="0"/>
        <w:spacing w:after="120"/>
        <w:ind w:left="851" w:right="902"/>
        <w:jc w:val="both"/>
        <w:rPr>
          <w:rFonts w:ascii="Palatino Linotype" w:hAnsi="Palatino Linotype" w:cs="Arial"/>
          <w:i/>
          <w:sz w:val="22"/>
          <w:lang w:val="es-ES" w:eastAsia="es-ES"/>
        </w:rPr>
      </w:pPr>
      <w:r w:rsidRPr="00CB53FC">
        <w:rPr>
          <w:rFonts w:ascii="Palatino Linotype" w:hAnsi="Palatino Linotype" w:cs="Arial"/>
          <w:b/>
          <w:i/>
          <w:sz w:val="22"/>
          <w:lang w:val="es-ES" w:eastAsia="es-ES"/>
        </w:rPr>
        <w:t>“Artículo 180.</w:t>
      </w:r>
      <w:r w:rsidRPr="00CB53FC">
        <w:rPr>
          <w:rFonts w:ascii="Palatino Linotype" w:hAnsi="Palatino Linotype" w:cs="Arial"/>
          <w:i/>
          <w:sz w:val="22"/>
          <w:lang w:val="es-ES" w:eastAsia="es-ES"/>
        </w:rPr>
        <w:t xml:space="preserve"> El recurso de revisión contendrá: </w:t>
      </w:r>
    </w:p>
    <w:p w14:paraId="0D06FE6B" w14:textId="77777777" w:rsidR="002164AB" w:rsidRPr="00CB53FC" w:rsidRDefault="002164AB" w:rsidP="002164AB">
      <w:pPr>
        <w:autoSpaceDE w:val="0"/>
        <w:autoSpaceDN w:val="0"/>
        <w:adjustRightInd w:val="0"/>
        <w:spacing w:after="120"/>
        <w:ind w:left="1134" w:right="902"/>
        <w:jc w:val="both"/>
        <w:rPr>
          <w:rFonts w:ascii="Palatino Linotype" w:hAnsi="Palatino Linotype" w:cs="Arial"/>
          <w:i/>
          <w:sz w:val="22"/>
          <w:lang w:val="es-ES" w:eastAsia="es-ES"/>
        </w:rPr>
      </w:pPr>
    </w:p>
    <w:p w14:paraId="605AFBC0" w14:textId="77777777" w:rsidR="002164AB" w:rsidRPr="00CB53FC" w:rsidRDefault="002164AB" w:rsidP="002164AB">
      <w:pPr>
        <w:autoSpaceDE w:val="0"/>
        <w:autoSpaceDN w:val="0"/>
        <w:adjustRightInd w:val="0"/>
        <w:spacing w:after="120"/>
        <w:ind w:left="1134" w:right="902"/>
        <w:jc w:val="both"/>
        <w:rPr>
          <w:rFonts w:ascii="Palatino Linotype" w:hAnsi="Palatino Linotype" w:cs="Arial"/>
          <w:i/>
          <w:sz w:val="22"/>
          <w:lang w:val="es-ES" w:eastAsia="es-ES"/>
        </w:rPr>
      </w:pPr>
      <w:r w:rsidRPr="00CB53FC">
        <w:rPr>
          <w:rFonts w:ascii="Palatino Linotype" w:hAnsi="Palatino Linotype" w:cs="Arial"/>
          <w:i/>
          <w:sz w:val="22"/>
          <w:lang w:val="es-ES" w:eastAsia="es-ES"/>
        </w:rPr>
        <w:lastRenderedPageBreak/>
        <w:t>(…)</w:t>
      </w:r>
    </w:p>
    <w:p w14:paraId="1D78ED63" w14:textId="77777777" w:rsidR="002164AB" w:rsidRPr="00CB53FC" w:rsidRDefault="002164AB" w:rsidP="002164AB">
      <w:pPr>
        <w:autoSpaceDE w:val="0"/>
        <w:autoSpaceDN w:val="0"/>
        <w:adjustRightInd w:val="0"/>
        <w:spacing w:after="120"/>
        <w:ind w:left="1134" w:right="902"/>
        <w:jc w:val="both"/>
        <w:rPr>
          <w:rFonts w:ascii="Palatino Linotype" w:hAnsi="Palatino Linotype" w:cs="Arial"/>
          <w:b/>
          <w:i/>
          <w:sz w:val="22"/>
          <w:u w:val="single"/>
          <w:lang w:val="es-ES" w:eastAsia="es-ES"/>
        </w:rPr>
      </w:pPr>
      <w:r w:rsidRPr="00CB53FC">
        <w:rPr>
          <w:rFonts w:ascii="Palatino Linotype" w:hAnsi="Palatino Linotype" w:cs="Arial"/>
          <w:b/>
          <w:i/>
          <w:sz w:val="22"/>
          <w:u w:val="single"/>
          <w:lang w:val="es-ES" w:eastAsia="es-ES"/>
        </w:rPr>
        <w:t xml:space="preserve">II. El nombre del solicitante que recurre o de su representante y, en su caso, del tercero interesado, así como la dirección o medio que señale para recibir notificaciones; </w:t>
      </w:r>
    </w:p>
    <w:p w14:paraId="4337B360" w14:textId="58E39970" w:rsidR="002164AB" w:rsidRPr="00CB53FC" w:rsidRDefault="00CB53FC" w:rsidP="002164AB">
      <w:pPr>
        <w:autoSpaceDE w:val="0"/>
        <w:autoSpaceDN w:val="0"/>
        <w:adjustRightInd w:val="0"/>
        <w:spacing w:after="120"/>
        <w:ind w:left="851" w:right="902"/>
        <w:jc w:val="both"/>
        <w:rPr>
          <w:rFonts w:ascii="Palatino Linotype" w:hAnsi="Palatino Linotype" w:cs="Arial"/>
          <w:i/>
          <w:sz w:val="22"/>
          <w:lang w:val="es-ES" w:eastAsia="es-ES"/>
        </w:rPr>
      </w:pPr>
      <w:r>
        <w:rPr>
          <w:rFonts w:ascii="Palatino Linotype" w:hAnsi="Palatino Linotype" w:cs="Arial"/>
          <w:i/>
          <w:sz w:val="22"/>
          <w:lang w:val="es-ES" w:eastAsia="es-ES"/>
        </w:rPr>
        <w:t xml:space="preserve">    </w:t>
      </w:r>
      <w:r w:rsidR="002164AB" w:rsidRPr="00CB53FC">
        <w:rPr>
          <w:rFonts w:ascii="Palatino Linotype" w:hAnsi="Palatino Linotype" w:cs="Arial"/>
          <w:i/>
          <w:sz w:val="22"/>
          <w:lang w:val="es-ES" w:eastAsia="es-ES"/>
        </w:rPr>
        <w:t>(…)</w:t>
      </w:r>
    </w:p>
    <w:p w14:paraId="4AE93D7F" w14:textId="77777777" w:rsidR="002164AB" w:rsidRPr="00CB53FC" w:rsidRDefault="002164AB" w:rsidP="002164AB">
      <w:pPr>
        <w:autoSpaceDE w:val="0"/>
        <w:autoSpaceDN w:val="0"/>
        <w:adjustRightInd w:val="0"/>
        <w:spacing w:after="120"/>
        <w:ind w:left="1134" w:right="902"/>
        <w:jc w:val="both"/>
        <w:rPr>
          <w:rFonts w:ascii="Palatino Linotype" w:hAnsi="Palatino Linotype" w:cs="Arial"/>
          <w:b/>
          <w:i/>
          <w:sz w:val="22"/>
          <w:u w:val="single"/>
          <w:lang w:val="es-ES" w:eastAsia="es-ES"/>
        </w:rPr>
      </w:pPr>
      <w:r w:rsidRPr="00CB53FC">
        <w:rPr>
          <w:rFonts w:ascii="Palatino Linotype" w:hAnsi="Palatino Linotype" w:cs="Arial"/>
          <w:b/>
          <w:i/>
          <w:sz w:val="22"/>
          <w:u w:val="single"/>
          <w:lang w:val="es-ES" w:eastAsia="es-ES"/>
        </w:rPr>
        <w:t>En caso de que el recurso se interponga de manera electrónica no será indispensable que contengan los requisitos establecidos en las fracciones II, IV, VII y VIII.”</w:t>
      </w:r>
    </w:p>
    <w:p w14:paraId="70E8FFE2" w14:textId="77777777" w:rsidR="002164AB" w:rsidRPr="002164AB" w:rsidRDefault="002164AB" w:rsidP="002164AB">
      <w:pPr>
        <w:spacing w:before="240" w:after="240" w:line="360" w:lineRule="auto"/>
        <w:jc w:val="both"/>
        <w:rPr>
          <w:rFonts w:ascii="Palatino Linotype" w:hAnsi="Palatino Linotype" w:cs="Segoe UI"/>
          <w:lang w:val="es-ES" w:eastAsia="es-ES"/>
        </w:rPr>
      </w:pPr>
      <w:r w:rsidRPr="002164AB">
        <w:rPr>
          <w:rFonts w:ascii="Palatino Linotype" w:hAnsi="Palatino Linotype" w:cs="Segoe UI"/>
          <w:lang w:val="es-ES" w:eastAsia="es-ES"/>
        </w:rPr>
        <w:t>Por su parte, el artículo 181 del citado ordenamiento dispone, que:</w:t>
      </w:r>
    </w:p>
    <w:p w14:paraId="35AD7DA2" w14:textId="77777777" w:rsidR="002164AB" w:rsidRPr="00CB53FC" w:rsidRDefault="002164AB" w:rsidP="002164AB">
      <w:pPr>
        <w:autoSpaceDE w:val="0"/>
        <w:autoSpaceDN w:val="0"/>
        <w:adjustRightInd w:val="0"/>
        <w:spacing w:after="120"/>
        <w:ind w:left="851" w:right="902"/>
        <w:jc w:val="both"/>
        <w:rPr>
          <w:rFonts w:ascii="Palatino Linotype" w:hAnsi="Palatino Linotype" w:cs="Arial"/>
          <w:i/>
          <w:sz w:val="22"/>
          <w:szCs w:val="20"/>
          <w:lang w:val="es-ES" w:eastAsia="es-ES"/>
        </w:rPr>
      </w:pPr>
      <w:r w:rsidRPr="00CB53FC">
        <w:rPr>
          <w:rFonts w:ascii="Palatino Linotype" w:hAnsi="Palatino Linotype" w:cs="Arial"/>
          <w:b/>
          <w:i/>
          <w:sz w:val="22"/>
          <w:szCs w:val="20"/>
          <w:lang w:val="es-ES" w:eastAsia="es-ES"/>
        </w:rPr>
        <w:t>“Artículo 181.</w:t>
      </w:r>
      <w:r w:rsidRPr="00CB53FC">
        <w:rPr>
          <w:rFonts w:ascii="Palatino Linotype" w:hAnsi="Palatino Linotype" w:cs="Arial"/>
          <w:i/>
          <w:sz w:val="22"/>
          <w:szCs w:val="20"/>
          <w:lang w:val="es-ES" w:eastAsia="es-ES"/>
        </w:rPr>
        <w:t xml:space="preserve"> Si el escrito de interposición del recurso no cumple con alguno de los requisitos establecidos en el artículo anterior y el Instituto no cuenta con elementos para subsanarlos, se prevendrá al recurrente, por una sola ocasión y a través del medio que haya elegido para recibir notificaciones, con el objeto de que subsane las omisiones dentro de un plazo que no podrá exceder de cinco días hábiles, contados a partir del día siguiente de la notificación de la prevención, con el apercibimiento de que, de no cumplir, se desechará el recurso de revisión. </w:t>
      </w:r>
    </w:p>
    <w:p w14:paraId="5BB9857E" w14:textId="77777777" w:rsidR="002164AB" w:rsidRPr="00CB53FC" w:rsidRDefault="002164AB" w:rsidP="002164AB">
      <w:pPr>
        <w:autoSpaceDE w:val="0"/>
        <w:autoSpaceDN w:val="0"/>
        <w:adjustRightInd w:val="0"/>
        <w:spacing w:after="120"/>
        <w:ind w:left="851" w:right="902"/>
        <w:jc w:val="both"/>
        <w:rPr>
          <w:rFonts w:ascii="Palatino Linotype" w:hAnsi="Palatino Linotype" w:cs="Arial"/>
          <w:i/>
          <w:sz w:val="22"/>
          <w:szCs w:val="20"/>
          <w:lang w:val="es-ES" w:eastAsia="es-ES"/>
        </w:rPr>
      </w:pPr>
      <w:r w:rsidRPr="00CB53FC">
        <w:rPr>
          <w:rFonts w:ascii="Palatino Linotype" w:hAnsi="Palatino Linotype" w:cs="Arial"/>
          <w:i/>
          <w:sz w:val="22"/>
          <w:szCs w:val="20"/>
          <w:lang w:val="es-ES" w:eastAsia="es-ES"/>
        </w:rPr>
        <w:t xml:space="preserve">La prevención tendrá el efecto de interrumpir el plazo que tiene el Instituto para resolver el recurso, por lo que comenzará a computarse a partir del día siguiente a su desahogo. No podrá prevenirse por el nombre que proporcione el solicitante. </w:t>
      </w:r>
    </w:p>
    <w:p w14:paraId="77432436" w14:textId="77777777" w:rsidR="002164AB" w:rsidRPr="00CB53FC" w:rsidRDefault="002164AB" w:rsidP="002164AB">
      <w:pPr>
        <w:autoSpaceDE w:val="0"/>
        <w:autoSpaceDN w:val="0"/>
        <w:adjustRightInd w:val="0"/>
        <w:spacing w:after="120"/>
        <w:ind w:left="851" w:right="902"/>
        <w:jc w:val="both"/>
        <w:rPr>
          <w:rFonts w:ascii="Palatino Linotype" w:hAnsi="Palatino Linotype" w:cs="Arial"/>
          <w:i/>
          <w:sz w:val="22"/>
          <w:szCs w:val="20"/>
          <w:lang w:val="es-ES" w:eastAsia="es-ES"/>
        </w:rPr>
      </w:pPr>
      <w:r w:rsidRPr="00CB53FC">
        <w:rPr>
          <w:rFonts w:ascii="Palatino Linotype" w:hAnsi="Palatino Linotype" w:cs="Arial"/>
          <w:i/>
          <w:sz w:val="22"/>
          <w:szCs w:val="20"/>
          <w:lang w:val="es-ES" w:eastAsia="es-ES"/>
        </w:rPr>
        <w:t xml:space="preserve">El Instituto resolverá el recurso de revisión en un plazo que no podrá exceder de treinta días hábiles, contados a partir de la admisión del mismo, en los términos que establezca la presente ley, plazo que podrá ampliarse por una sola vez y hasta por un periodo de quince días hábiles. </w:t>
      </w:r>
    </w:p>
    <w:p w14:paraId="65D12BF8" w14:textId="77777777" w:rsidR="002164AB" w:rsidRPr="00CB53FC" w:rsidRDefault="002164AB" w:rsidP="002164AB">
      <w:pPr>
        <w:autoSpaceDE w:val="0"/>
        <w:autoSpaceDN w:val="0"/>
        <w:adjustRightInd w:val="0"/>
        <w:spacing w:after="120"/>
        <w:ind w:left="851" w:right="902"/>
        <w:jc w:val="both"/>
        <w:rPr>
          <w:rFonts w:ascii="Palatino Linotype" w:hAnsi="Palatino Linotype" w:cs="Arial"/>
          <w:i/>
          <w:sz w:val="22"/>
          <w:szCs w:val="20"/>
          <w:lang w:val="es-ES" w:eastAsia="es-ES"/>
        </w:rPr>
      </w:pPr>
      <w:r w:rsidRPr="00CB53FC">
        <w:rPr>
          <w:rFonts w:ascii="Palatino Linotype" w:hAnsi="Palatino Linotype" w:cs="Arial"/>
          <w:i/>
          <w:sz w:val="22"/>
          <w:szCs w:val="20"/>
          <w:lang w:val="es-ES" w:eastAsia="es-ES"/>
        </w:rPr>
        <w:t xml:space="preserve">Durante el procedimiento deberá aplicarse la suplencia de la queja a favor del recurrente, sin cambiar los hechos expuestos, asegurándose de que las partes puedan presentar, de manera oral o escrita, los argumentos que funden y motiven sus pretensiones. </w:t>
      </w:r>
    </w:p>
    <w:p w14:paraId="2490A8C7" w14:textId="77777777" w:rsidR="002164AB" w:rsidRPr="00CB53FC" w:rsidRDefault="002164AB" w:rsidP="002164AB">
      <w:pPr>
        <w:spacing w:after="120"/>
        <w:ind w:left="851" w:right="902"/>
        <w:jc w:val="both"/>
        <w:rPr>
          <w:rFonts w:ascii="Palatino Linotype" w:hAnsi="Palatino Linotype" w:cs="Segoe UI"/>
          <w:sz w:val="22"/>
          <w:szCs w:val="20"/>
          <w:lang w:val="es-ES" w:eastAsia="es-ES"/>
        </w:rPr>
      </w:pPr>
      <w:r w:rsidRPr="00CB53FC">
        <w:rPr>
          <w:rFonts w:ascii="Palatino Linotype" w:hAnsi="Palatino Linotype" w:cs="Arial"/>
          <w:i/>
          <w:sz w:val="22"/>
          <w:szCs w:val="20"/>
          <w:lang w:val="es-ES" w:eastAsia="es-ES"/>
        </w:rPr>
        <w:t>Para el caso de interposición del recurso de revisión a través de la Plataforma Nacional o la plataforma que para tales efectos habilite el Instituto, éste podrá solicitar al particular subsane las deficiencias por ese medio.”</w:t>
      </w:r>
    </w:p>
    <w:p w14:paraId="5CA7B268" w14:textId="77777777" w:rsidR="002164AB" w:rsidRPr="002164AB" w:rsidRDefault="002164AB" w:rsidP="002164AB">
      <w:pPr>
        <w:autoSpaceDE w:val="0"/>
        <w:autoSpaceDN w:val="0"/>
        <w:adjustRightInd w:val="0"/>
        <w:spacing w:before="240" w:after="240" w:line="360" w:lineRule="auto"/>
        <w:ind w:right="49"/>
        <w:jc w:val="both"/>
        <w:rPr>
          <w:rFonts w:ascii="Palatino Linotype" w:hAnsi="Palatino Linotype" w:cs="Arial"/>
          <w:lang w:val="es-ES" w:eastAsia="es-ES"/>
        </w:rPr>
      </w:pPr>
      <w:r w:rsidRPr="002164AB">
        <w:rPr>
          <w:rFonts w:ascii="Palatino Linotype" w:hAnsi="Palatino Linotype" w:cs="Arial"/>
          <w:lang w:val="es-ES" w:eastAsia="es-ES"/>
        </w:rPr>
        <w:t xml:space="preserve">De la interpretación sistemática a los artículos transcritos se advierten los requisitos de los recursos de revisión y por el otro la potestad de este Instituto para requerir al recurrente, por una sola ocasión y a través del medio que haya elegido para recibir </w:t>
      </w:r>
      <w:r w:rsidRPr="002164AB">
        <w:rPr>
          <w:rFonts w:ascii="Palatino Linotype" w:hAnsi="Palatino Linotype" w:cs="Arial"/>
          <w:lang w:val="es-ES" w:eastAsia="es-ES"/>
        </w:rPr>
        <w:lastRenderedPageBreak/>
        <w:t>notificaciones a fin de que subsane las omisiones de sus recursos o bien que aplique la suplencia de la queja a favor del recurrente sin cambiar los hechos expuestos.</w:t>
      </w:r>
    </w:p>
    <w:p w14:paraId="28743100" w14:textId="77777777" w:rsidR="002164AB" w:rsidRPr="002164AB" w:rsidRDefault="002164AB" w:rsidP="002164AB">
      <w:pPr>
        <w:autoSpaceDE w:val="0"/>
        <w:autoSpaceDN w:val="0"/>
        <w:adjustRightInd w:val="0"/>
        <w:spacing w:before="240" w:after="240" w:line="360" w:lineRule="auto"/>
        <w:ind w:right="49"/>
        <w:jc w:val="both"/>
        <w:rPr>
          <w:rFonts w:ascii="Palatino Linotype" w:hAnsi="Palatino Linotype" w:cs="Arial"/>
          <w:lang w:val="es-ES" w:eastAsia="es-ES"/>
        </w:rPr>
      </w:pPr>
      <w:r w:rsidRPr="002164AB">
        <w:rPr>
          <w:rFonts w:ascii="Palatino Linotype" w:hAnsi="Palatino Linotype" w:cs="Arial"/>
          <w:lang w:val="es-ES" w:eastAsia="es-ES"/>
        </w:rPr>
        <w:t xml:space="preserve">Sobre el particular, de la revisión al expediente electrónico del SAIMEX se desprende que la parte solicitante, en ejercicio de su derecho de acceso a la información pública, y ahora recurrente, </w:t>
      </w:r>
      <w:r w:rsidRPr="002164AB">
        <w:rPr>
          <w:rFonts w:ascii="Palatino Linotype" w:hAnsi="Palatino Linotype" w:cs="Arial"/>
          <w:b/>
          <w:color w:val="002060"/>
          <w:lang w:val="es-ES" w:eastAsia="es-ES"/>
        </w:rPr>
        <w:t>no proporcionó datos que lo hagan identificable, por ende no se tiene certeza sobre su identidad</w:t>
      </w:r>
      <w:r w:rsidRPr="002164AB">
        <w:rPr>
          <w:rFonts w:ascii="Palatino Linotype" w:hAnsi="Palatino Linotype" w:cs="Arial"/>
          <w:b/>
          <w:color w:val="000000"/>
          <w:lang w:val="es-ES" w:eastAsia="es-ES"/>
        </w:rPr>
        <w:t>,</w:t>
      </w:r>
      <w:r w:rsidRPr="002164AB">
        <w:rPr>
          <w:rFonts w:ascii="Palatino Linotype" w:hAnsi="Palatino Linotype" w:cs="Arial"/>
          <w:color w:val="000000"/>
          <w:lang w:val="es-ES" w:eastAsia="es-ES"/>
        </w:rPr>
        <w:t xml:space="preserve"> </w:t>
      </w:r>
      <w:r w:rsidRPr="002164AB">
        <w:rPr>
          <w:rFonts w:ascii="Palatino Linotype" w:hAnsi="Palatino Linotype" w:cs="Arial"/>
          <w:lang w:val="es-ES" w:eastAsia="es-ES"/>
        </w:rPr>
        <w:t>lo que en estricto sentido provoca que no se colmen los requisitos establecidos en el citado artículo 180 de la Ley de Transparencia.</w:t>
      </w:r>
    </w:p>
    <w:p w14:paraId="0C889216" w14:textId="77777777" w:rsidR="002164AB" w:rsidRPr="002164AB" w:rsidRDefault="002164AB" w:rsidP="002164AB">
      <w:pPr>
        <w:autoSpaceDE w:val="0"/>
        <w:autoSpaceDN w:val="0"/>
        <w:adjustRightInd w:val="0"/>
        <w:spacing w:before="240" w:after="240" w:line="360" w:lineRule="auto"/>
        <w:ind w:right="49"/>
        <w:jc w:val="both"/>
        <w:rPr>
          <w:rFonts w:ascii="Palatino Linotype" w:hAnsi="Palatino Linotype" w:cs="Arial"/>
          <w:lang w:val="es-ES" w:eastAsia="es-ES"/>
        </w:rPr>
      </w:pPr>
      <w:r w:rsidRPr="002164AB">
        <w:rPr>
          <w:rFonts w:ascii="Palatino Linotype" w:hAnsi="Palatino Linotype" w:cs="Arial"/>
          <w:lang w:val="es-ES" w:eastAsia="es-ES"/>
        </w:rPr>
        <w:t xml:space="preserve">Empero lo anterior, debe destacarse que el artículo 15 de </w:t>
      </w:r>
      <w:r w:rsidRPr="002164AB">
        <w:rPr>
          <w:rFonts w:ascii="Palatino Linotype" w:hAnsi="Palatino Linotype" w:cs="Arial"/>
          <w:lang w:eastAsia="es-ES"/>
        </w:rPr>
        <w:t xml:space="preserve">Ley de Transparencia y Acceso a la Información Pública del Estado de México y Municipios </w:t>
      </w:r>
      <w:r w:rsidRPr="002164AB">
        <w:rPr>
          <w:rFonts w:ascii="Palatino Linotype" w:hAnsi="Palatino Linotype" w:cs="Arial"/>
          <w:iCs/>
          <w:lang w:val="es-ES" w:eastAsia="es-ES"/>
        </w:rPr>
        <w:t xml:space="preserve">prevé que </w:t>
      </w:r>
      <w:r w:rsidRPr="002164AB">
        <w:rPr>
          <w:rFonts w:ascii="Palatino Linotype" w:hAnsi="Palatino Linotype" w:cs="Arial"/>
          <w:lang w:val="es-ES" w:eastAsia="es-ES"/>
        </w:rPr>
        <w:t xml:space="preserve">toda persona tendrá acceso a la información sin necesidad de acreditar interés alguno o justificar su utilización, de lo que se infiere que para el ejercicio del derecho de acceso a la información pública, el nombre no es un requisito </w:t>
      </w:r>
      <w:r w:rsidRPr="002164AB">
        <w:rPr>
          <w:rFonts w:ascii="Palatino Linotype" w:hAnsi="Palatino Linotype" w:cs="Arial"/>
          <w:b/>
          <w:i/>
          <w:lang w:val="es-ES" w:eastAsia="es-ES"/>
        </w:rPr>
        <w:t>sine qua non</w:t>
      </w:r>
      <w:r w:rsidRPr="002164AB">
        <w:rPr>
          <w:rFonts w:ascii="Palatino Linotype" w:hAnsi="Palatino Linotype" w:cs="Arial"/>
          <w:lang w:val="es-ES" w:eastAsia="es-ES"/>
        </w:rPr>
        <w:t xml:space="preserve"> que los particulares y, en su caso, los recurrentes deban señalar, por el contrario la Ley de Transparencia prevé en su artículo 155, párrafos segundo, tercero y cuarto, la posibilidad de que las solicitudes de información sean anónimas, con nombre incompleto o seudónimo.</w:t>
      </w:r>
    </w:p>
    <w:p w14:paraId="6E591B99" w14:textId="2E4BAA79" w:rsidR="002164AB" w:rsidRPr="002164AB" w:rsidRDefault="002164AB" w:rsidP="002164AB">
      <w:pPr>
        <w:autoSpaceDE w:val="0"/>
        <w:autoSpaceDN w:val="0"/>
        <w:adjustRightInd w:val="0"/>
        <w:spacing w:before="240" w:after="240" w:line="360" w:lineRule="auto"/>
        <w:ind w:right="-91"/>
        <w:jc w:val="both"/>
        <w:rPr>
          <w:rFonts w:ascii="Palatino Linotype" w:hAnsi="Palatino Linotype" w:cs="Arial"/>
          <w:lang w:val="es-ES" w:eastAsia="es-ES"/>
        </w:rPr>
      </w:pPr>
      <w:r w:rsidRPr="002164AB">
        <w:rPr>
          <w:rFonts w:ascii="Palatino Linotype" w:hAnsi="Palatino Linotype" w:cs="Arial"/>
          <w:lang w:val="es-ES" w:eastAsia="es-ES"/>
        </w:rPr>
        <w:t xml:space="preserve">Correlativo a ello, cabe mencionar que los artículos 6, apartado A, fracciones I, II, III y IV de la Constitución Política de los Estados Unidos Mexicanos y 5 </w:t>
      </w:r>
      <w:r w:rsidR="00EB74A3" w:rsidRPr="00A57CCB">
        <w:rPr>
          <w:rFonts w:ascii="Palatino Linotype" w:hAnsi="Palatino Linotype" w:cs="Arial"/>
        </w:rPr>
        <w:t>vigésimo noveno, trigésimo y trigésimo primero</w:t>
      </w:r>
      <w:r w:rsidR="00EB74A3">
        <w:rPr>
          <w:rFonts w:ascii="Palatino Linotype" w:hAnsi="Palatino Linotype" w:cs="Arial"/>
        </w:rPr>
        <w:t>, fracciones IV y V</w:t>
      </w:r>
      <w:r w:rsidR="00EB74A3" w:rsidRPr="002164AB">
        <w:rPr>
          <w:rFonts w:ascii="Palatino Linotype" w:hAnsi="Palatino Linotype" w:cs="Arial"/>
          <w:lang w:val="es-ES" w:eastAsia="es-ES"/>
        </w:rPr>
        <w:t xml:space="preserve"> </w:t>
      </w:r>
      <w:r w:rsidRPr="002164AB">
        <w:rPr>
          <w:rFonts w:ascii="Palatino Linotype" w:hAnsi="Palatino Linotype" w:cs="Arial"/>
          <w:lang w:val="es-ES" w:eastAsia="es-ES"/>
        </w:rPr>
        <w:t xml:space="preserve">de la Constitución Política del Estado Libre y Soberano de México, garantizan el ejercicio del derecho de acceso a la información pública, toda vez que disponen que toda persona sin necesidad de </w:t>
      </w:r>
      <w:r w:rsidRPr="002164AB">
        <w:rPr>
          <w:rFonts w:ascii="Palatino Linotype" w:hAnsi="Palatino Linotype" w:cs="Arial"/>
          <w:lang w:val="es-ES" w:eastAsia="es-ES"/>
        </w:rPr>
        <w:lastRenderedPageBreak/>
        <w:t>acreditar interés alguno o justificar su utilización, tendrá acceso gratuito a la información pública; preceptos cuyo texto y sentido literal es el siguiente:</w:t>
      </w:r>
    </w:p>
    <w:p w14:paraId="6B84B2F7" w14:textId="77777777" w:rsidR="002164AB" w:rsidRPr="00496271" w:rsidRDefault="002164AB" w:rsidP="002164AB">
      <w:pPr>
        <w:autoSpaceDE w:val="0"/>
        <w:autoSpaceDN w:val="0"/>
        <w:adjustRightInd w:val="0"/>
        <w:spacing w:after="120"/>
        <w:ind w:left="851" w:right="902"/>
        <w:jc w:val="both"/>
        <w:rPr>
          <w:rFonts w:ascii="Palatino Linotype" w:hAnsi="Palatino Linotype" w:cs="Arial"/>
          <w:i/>
          <w:sz w:val="22"/>
          <w:lang w:val="es-ES" w:eastAsia="es-ES"/>
        </w:rPr>
      </w:pPr>
      <w:r w:rsidRPr="00496271">
        <w:rPr>
          <w:rFonts w:ascii="Palatino Linotype" w:hAnsi="Palatino Linotype" w:cs="Arial"/>
          <w:i/>
          <w:sz w:val="22"/>
          <w:lang w:val="es-ES" w:eastAsia="es-ES"/>
        </w:rPr>
        <w:t xml:space="preserve"> “Artículo 6°.-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w:t>
      </w:r>
    </w:p>
    <w:p w14:paraId="5CD2ADA2" w14:textId="77777777" w:rsidR="002164AB" w:rsidRPr="00496271" w:rsidRDefault="002164AB" w:rsidP="002164AB">
      <w:pPr>
        <w:autoSpaceDE w:val="0"/>
        <w:autoSpaceDN w:val="0"/>
        <w:adjustRightInd w:val="0"/>
        <w:spacing w:after="120"/>
        <w:ind w:left="851" w:right="902"/>
        <w:jc w:val="both"/>
        <w:rPr>
          <w:rFonts w:ascii="Palatino Linotype" w:hAnsi="Palatino Linotype" w:cs="Arial"/>
          <w:i/>
          <w:sz w:val="22"/>
          <w:lang w:val="es-ES" w:eastAsia="es-ES"/>
        </w:rPr>
      </w:pPr>
      <w:r w:rsidRPr="00496271">
        <w:rPr>
          <w:rFonts w:ascii="Palatino Linotype" w:hAnsi="Palatino Linotype" w:cs="Arial"/>
          <w:i/>
          <w:sz w:val="22"/>
          <w:lang w:val="es-ES" w:eastAsia="es-ES"/>
        </w:rPr>
        <w:t>(…)</w:t>
      </w:r>
    </w:p>
    <w:p w14:paraId="195BFC17" w14:textId="77777777" w:rsidR="002164AB" w:rsidRPr="00496271" w:rsidRDefault="002164AB" w:rsidP="002164AB">
      <w:pPr>
        <w:autoSpaceDE w:val="0"/>
        <w:autoSpaceDN w:val="0"/>
        <w:adjustRightInd w:val="0"/>
        <w:spacing w:after="120"/>
        <w:ind w:left="851" w:right="902"/>
        <w:jc w:val="both"/>
        <w:rPr>
          <w:rFonts w:ascii="Palatino Linotype" w:hAnsi="Palatino Linotype" w:cs="Arial"/>
          <w:i/>
          <w:sz w:val="22"/>
          <w:lang w:val="es-ES" w:eastAsia="es-ES"/>
        </w:rPr>
      </w:pPr>
      <w:r w:rsidRPr="00496271">
        <w:rPr>
          <w:rFonts w:ascii="Palatino Linotype" w:hAnsi="Palatino Linotype" w:cs="Arial"/>
          <w:i/>
          <w:sz w:val="22"/>
          <w:lang w:val="es-ES" w:eastAsia="es-ES"/>
        </w:rPr>
        <w:t xml:space="preserve"> Para efectos de lo dispuesto en el presente artículo se observará lo siguiente: </w:t>
      </w:r>
    </w:p>
    <w:p w14:paraId="78E2C8D5" w14:textId="77777777" w:rsidR="002164AB" w:rsidRPr="00496271" w:rsidRDefault="002164AB" w:rsidP="002164AB">
      <w:pPr>
        <w:autoSpaceDE w:val="0"/>
        <w:autoSpaceDN w:val="0"/>
        <w:adjustRightInd w:val="0"/>
        <w:spacing w:after="120"/>
        <w:ind w:left="851" w:right="902"/>
        <w:jc w:val="both"/>
        <w:rPr>
          <w:rFonts w:ascii="Palatino Linotype" w:hAnsi="Palatino Linotype" w:cs="Arial"/>
          <w:i/>
          <w:sz w:val="22"/>
          <w:lang w:val="es-ES" w:eastAsia="es-ES"/>
        </w:rPr>
      </w:pPr>
      <w:r w:rsidRPr="00496271">
        <w:rPr>
          <w:rFonts w:ascii="Palatino Linotype" w:hAnsi="Palatino Linotype" w:cs="Arial"/>
          <w:i/>
          <w:sz w:val="22"/>
          <w:lang w:val="es-ES" w:eastAsia="es-ES"/>
        </w:rPr>
        <w:t xml:space="preserve">A. Para el ejercicio del derecho de acceso a la información, la Federación, los Estados y el Distrito Federal, en el ámbito de sus respectivas competencias, se regirán por los siguientes principios y bases: </w:t>
      </w:r>
    </w:p>
    <w:p w14:paraId="2F3F8259" w14:textId="77777777" w:rsidR="002164AB" w:rsidRPr="00496271" w:rsidRDefault="002164AB" w:rsidP="002164AB">
      <w:pPr>
        <w:autoSpaceDE w:val="0"/>
        <w:autoSpaceDN w:val="0"/>
        <w:adjustRightInd w:val="0"/>
        <w:spacing w:after="120"/>
        <w:ind w:left="851" w:right="902"/>
        <w:jc w:val="both"/>
        <w:rPr>
          <w:rFonts w:ascii="Palatino Linotype" w:hAnsi="Palatino Linotype" w:cs="Arial"/>
          <w:i/>
          <w:sz w:val="22"/>
          <w:lang w:val="es-ES" w:eastAsia="es-ES"/>
        </w:rPr>
      </w:pPr>
      <w:r w:rsidRPr="00496271">
        <w:rPr>
          <w:rFonts w:ascii="Palatino Linotype" w:hAnsi="Palatino Linotype" w:cs="Arial"/>
          <w:i/>
          <w:sz w:val="22"/>
          <w:lang w:val="es-ES" w:eastAsia="es-ES"/>
        </w:rPr>
        <w:t xml:space="preserve">I.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 </w:t>
      </w:r>
    </w:p>
    <w:p w14:paraId="32786A9F" w14:textId="77777777" w:rsidR="002164AB" w:rsidRPr="00496271" w:rsidRDefault="002164AB" w:rsidP="002164AB">
      <w:pPr>
        <w:autoSpaceDE w:val="0"/>
        <w:autoSpaceDN w:val="0"/>
        <w:adjustRightInd w:val="0"/>
        <w:spacing w:after="120"/>
        <w:ind w:left="851" w:right="902"/>
        <w:jc w:val="both"/>
        <w:rPr>
          <w:rFonts w:ascii="Palatino Linotype" w:hAnsi="Palatino Linotype" w:cs="Arial"/>
          <w:i/>
          <w:sz w:val="22"/>
          <w:lang w:val="es-ES" w:eastAsia="es-ES"/>
        </w:rPr>
      </w:pPr>
      <w:r w:rsidRPr="00496271">
        <w:rPr>
          <w:rFonts w:ascii="Palatino Linotype" w:hAnsi="Palatino Linotype" w:cs="Arial"/>
          <w:i/>
          <w:sz w:val="22"/>
          <w:lang w:val="es-ES" w:eastAsia="es-ES"/>
        </w:rPr>
        <w:t xml:space="preserve">II. La información que se refiere a la vida privada y los datos personales será protegida en los términos y con las excepciones que fijen las leyes. </w:t>
      </w:r>
    </w:p>
    <w:p w14:paraId="509F2AE1" w14:textId="77777777" w:rsidR="002164AB" w:rsidRPr="00496271" w:rsidRDefault="002164AB" w:rsidP="002164AB">
      <w:pPr>
        <w:autoSpaceDE w:val="0"/>
        <w:autoSpaceDN w:val="0"/>
        <w:adjustRightInd w:val="0"/>
        <w:spacing w:after="120"/>
        <w:ind w:left="851" w:right="902"/>
        <w:jc w:val="both"/>
        <w:rPr>
          <w:rFonts w:ascii="Palatino Linotype" w:hAnsi="Palatino Linotype" w:cs="Arial"/>
          <w:b/>
          <w:i/>
          <w:sz w:val="22"/>
          <w:u w:val="single"/>
          <w:lang w:val="es-ES" w:eastAsia="es-ES"/>
        </w:rPr>
      </w:pPr>
    </w:p>
    <w:p w14:paraId="053CE0C5" w14:textId="77777777" w:rsidR="002164AB" w:rsidRPr="00496271" w:rsidRDefault="002164AB" w:rsidP="002164AB">
      <w:pPr>
        <w:autoSpaceDE w:val="0"/>
        <w:autoSpaceDN w:val="0"/>
        <w:adjustRightInd w:val="0"/>
        <w:spacing w:after="120"/>
        <w:ind w:left="851" w:right="902"/>
        <w:jc w:val="both"/>
        <w:rPr>
          <w:rFonts w:ascii="Palatino Linotype" w:hAnsi="Palatino Linotype" w:cs="Arial"/>
          <w:b/>
          <w:i/>
          <w:sz w:val="22"/>
          <w:u w:val="single"/>
          <w:lang w:val="es-ES" w:eastAsia="es-ES"/>
        </w:rPr>
      </w:pPr>
      <w:r w:rsidRPr="00496271">
        <w:rPr>
          <w:rFonts w:ascii="Palatino Linotype" w:hAnsi="Palatino Linotype" w:cs="Arial"/>
          <w:b/>
          <w:i/>
          <w:sz w:val="22"/>
          <w:u w:val="single"/>
          <w:lang w:val="es-ES" w:eastAsia="es-ES"/>
        </w:rPr>
        <w:t xml:space="preserve">III. Toda persona, sin necesidad de acreditar interés alguno o justificar su utilización, tendrá acceso gratuito a la información pública, a sus datos personales o a la rectificación de éstos. </w:t>
      </w:r>
    </w:p>
    <w:p w14:paraId="0B878FAE" w14:textId="77777777" w:rsidR="002164AB" w:rsidRPr="00496271" w:rsidRDefault="002164AB" w:rsidP="002164AB">
      <w:pPr>
        <w:autoSpaceDE w:val="0"/>
        <w:autoSpaceDN w:val="0"/>
        <w:adjustRightInd w:val="0"/>
        <w:spacing w:after="120"/>
        <w:ind w:left="851" w:right="902"/>
        <w:jc w:val="both"/>
        <w:rPr>
          <w:rFonts w:ascii="Palatino Linotype" w:hAnsi="Palatino Linotype" w:cs="Arial"/>
          <w:i/>
          <w:sz w:val="22"/>
          <w:lang w:val="es-ES" w:eastAsia="es-ES"/>
        </w:rPr>
      </w:pPr>
      <w:r w:rsidRPr="00496271">
        <w:rPr>
          <w:rFonts w:ascii="Palatino Linotype" w:hAnsi="Palatino Linotype" w:cs="Arial"/>
          <w:i/>
          <w:sz w:val="22"/>
          <w:lang w:val="es-ES" w:eastAsia="es-ES"/>
        </w:rPr>
        <w:t xml:space="preserve">IV. Se establecerán mecanismos de acceso a la información y procedimientos de revisión expeditos que se sustanciarán ante los organismos autónomos especializados e imparciales que establece esta Constitución.” </w:t>
      </w:r>
    </w:p>
    <w:p w14:paraId="6A9FBCD5" w14:textId="77777777" w:rsidR="002164AB" w:rsidRPr="00496271" w:rsidRDefault="002164AB" w:rsidP="002164AB">
      <w:pPr>
        <w:autoSpaceDE w:val="0"/>
        <w:autoSpaceDN w:val="0"/>
        <w:adjustRightInd w:val="0"/>
        <w:spacing w:after="120"/>
        <w:ind w:left="851" w:right="900"/>
        <w:jc w:val="both"/>
        <w:rPr>
          <w:rFonts w:ascii="Palatino Linotype" w:hAnsi="Palatino Linotype" w:cs="Arial"/>
          <w:i/>
          <w:sz w:val="22"/>
          <w:lang w:val="es-ES" w:eastAsia="es-ES"/>
        </w:rPr>
      </w:pPr>
      <w:r w:rsidRPr="00496271">
        <w:rPr>
          <w:rFonts w:ascii="Palatino Linotype" w:hAnsi="Palatino Linotype" w:cs="Arial"/>
          <w:i/>
          <w:sz w:val="22"/>
          <w:lang w:val="es-ES" w:eastAsia="es-ES"/>
        </w:rPr>
        <w:t xml:space="preserve"> “Artículo 5.- En el Estado de México todos los individuos son iguales y tienen las libertades, derechos y garantías que la Constitución Federal, esta </w:t>
      </w:r>
      <w:r w:rsidRPr="00496271">
        <w:rPr>
          <w:rFonts w:ascii="Palatino Linotype" w:hAnsi="Palatino Linotype" w:cs="Arial"/>
          <w:i/>
          <w:sz w:val="22"/>
          <w:lang w:val="es-ES" w:eastAsia="es-ES"/>
        </w:rPr>
        <w:lastRenderedPageBreak/>
        <w:t>Constitución, los Tratados Internacionales en materia de derechos fundamentales de los que el Estado Mexicano sea parte y las leyes del Estado establecen.</w:t>
      </w:r>
    </w:p>
    <w:p w14:paraId="0D1C212E" w14:textId="77777777" w:rsidR="002164AB" w:rsidRPr="00496271" w:rsidRDefault="002164AB" w:rsidP="002164AB">
      <w:pPr>
        <w:autoSpaceDE w:val="0"/>
        <w:autoSpaceDN w:val="0"/>
        <w:adjustRightInd w:val="0"/>
        <w:spacing w:after="120"/>
        <w:ind w:left="851" w:right="900"/>
        <w:jc w:val="both"/>
        <w:rPr>
          <w:rFonts w:ascii="Palatino Linotype" w:hAnsi="Palatino Linotype" w:cs="Arial"/>
          <w:i/>
          <w:sz w:val="22"/>
          <w:lang w:val="es-ES" w:eastAsia="es-ES"/>
        </w:rPr>
      </w:pPr>
      <w:r w:rsidRPr="00496271">
        <w:rPr>
          <w:rFonts w:ascii="Palatino Linotype" w:hAnsi="Palatino Linotype" w:cs="Arial"/>
          <w:i/>
          <w:sz w:val="22"/>
          <w:lang w:val="es-ES" w:eastAsia="es-ES"/>
        </w:rPr>
        <w:t>(…)</w:t>
      </w:r>
    </w:p>
    <w:p w14:paraId="0B31A779" w14:textId="77777777" w:rsidR="002164AB" w:rsidRPr="00496271" w:rsidRDefault="002164AB" w:rsidP="002164AB">
      <w:pPr>
        <w:autoSpaceDE w:val="0"/>
        <w:autoSpaceDN w:val="0"/>
        <w:adjustRightInd w:val="0"/>
        <w:spacing w:after="120"/>
        <w:ind w:left="851" w:right="900"/>
        <w:jc w:val="both"/>
        <w:rPr>
          <w:rFonts w:ascii="Palatino Linotype" w:hAnsi="Palatino Linotype" w:cs="Arial"/>
          <w:i/>
          <w:sz w:val="22"/>
          <w:lang w:val="es-ES" w:eastAsia="es-ES"/>
        </w:rPr>
      </w:pPr>
      <w:r w:rsidRPr="002164AB">
        <w:rPr>
          <w:rFonts w:ascii="Palatino Linotype" w:hAnsi="Palatino Linotype" w:cs="Arial"/>
          <w:i/>
          <w:sz w:val="20"/>
          <w:lang w:val="es-ES" w:eastAsia="es-ES"/>
        </w:rPr>
        <w:t xml:space="preserve"> </w:t>
      </w:r>
      <w:r w:rsidRPr="00496271">
        <w:rPr>
          <w:rFonts w:ascii="Palatino Linotype" w:hAnsi="Palatino Linotype" w:cs="Arial"/>
          <w:i/>
          <w:sz w:val="22"/>
          <w:lang w:val="es-ES" w:eastAsia="es-ES"/>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0AF2848F" w14:textId="77777777" w:rsidR="002164AB" w:rsidRPr="00496271" w:rsidRDefault="002164AB" w:rsidP="002164AB">
      <w:pPr>
        <w:autoSpaceDE w:val="0"/>
        <w:autoSpaceDN w:val="0"/>
        <w:adjustRightInd w:val="0"/>
        <w:spacing w:after="120"/>
        <w:ind w:left="851" w:right="900"/>
        <w:jc w:val="both"/>
        <w:rPr>
          <w:rFonts w:ascii="Palatino Linotype" w:hAnsi="Palatino Linotype" w:cs="Arial"/>
          <w:i/>
          <w:sz w:val="22"/>
          <w:lang w:val="es-ES" w:eastAsia="es-ES"/>
        </w:rPr>
      </w:pPr>
      <w:r w:rsidRPr="00496271">
        <w:rPr>
          <w:rFonts w:ascii="Palatino Linotype" w:hAnsi="Palatino Linotype" w:cs="Arial"/>
          <w:i/>
          <w:sz w:val="22"/>
          <w:lang w:val="es-ES" w:eastAsia="es-ES"/>
        </w:rPr>
        <w:t>Este derecho se regirá por los principios y bases siguientes:</w:t>
      </w:r>
    </w:p>
    <w:p w14:paraId="14D40CE3" w14:textId="77777777" w:rsidR="002164AB" w:rsidRPr="00496271" w:rsidRDefault="002164AB" w:rsidP="002164AB">
      <w:pPr>
        <w:autoSpaceDE w:val="0"/>
        <w:autoSpaceDN w:val="0"/>
        <w:adjustRightInd w:val="0"/>
        <w:spacing w:after="120"/>
        <w:ind w:left="851" w:right="900"/>
        <w:jc w:val="both"/>
        <w:rPr>
          <w:rFonts w:ascii="Palatino Linotype" w:hAnsi="Palatino Linotype" w:cs="Arial"/>
          <w:i/>
          <w:sz w:val="22"/>
          <w:lang w:val="es-ES" w:eastAsia="es-ES"/>
        </w:rPr>
      </w:pPr>
      <w:r w:rsidRPr="00496271">
        <w:rPr>
          <w:rFonts w:ascii="Palatino Linotype" w:hAnsi="Palatino Linotype" w:cs="Arial"/>
          <w:i/>
          <w:sz w:val="22"/>
          <w:lang w:val="es-ES" w:eastAsia="es-ES"/>
        </w:rPr>
        <w:t>I. 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25FF1704" w14:textId="77777777" w:rsidR="002164AB" w:rsidRPr="00496271" w:rsidRDefault="002164AB" w:rsidP="002164AB">
      <w:pPr>
        <w:autoSpaceDE w:val="0"/>
        <w:autoSpaceDN w:val="0"/>
        <w:adjustRightInd w:val="0"/>
        <w:spacing w:after="120"/>
        <w:ind w:left="851" w:right="900"/>
        <w:jc w:val="both"/>
        <w:rPr>
          <w:rFonts w:ascii="Palatino Linotype" w:hAnsi="Palatino Linotype" w:cs="Arial"/>
          <w:i/>
          <w:sz w:val="22"/>
          <w:lang w:val="es-ES" w:eastAsia="es-ES"/>
        </w:rPr>
      </w:pPr>
      <w:r w:rsidRPr="00496271">
        <w:rPr>
          <w:rFonts w:ascii="Palatino Linotype" w:hAnsi="Palatino Linotype" w:cs="Arial"/>
          <w:i/>
          <w:sz w:val="22"/>
          <w:lang w:val="es-ES" w:eastAsia="es-ES"/>
        </w:rPr>
        <w:t>(…)</w:t>
      </w:r>
    </w:p>
    <w:p w14:paraId="4622B0EC" w14:textId="77777777" w:rsidR="002164AB" w:rsidRPr="00496271" w:rsidRDefault="002164AB" w:rsidP="002164AB">
      <w:pPr>
        <w:autoSpaceDE w:val="0"/>
        <w:autoSpaceDN w:val="0"/>
        <w:adjustRightInd w:val="0"/>
        <w:spacing w:after="120"/>
        <w:ind w:left="851" w:right="900"/>
        <w:jc w:val="both"/>
        <w:rPr>
          <w:rFonts w:ascii="Palatino Linotype" w:hAnsi="Palatino Linotype" w:cs="Arial"/>
          <w:b/>
          <w:i/>
          <w:sz w:val="22"/>
          <w:u w:val="single"/>
          <w:lang w:val="es-ES" w:eastAsia="es-ES"/>
        </w:rPr>
      </w:pPr>
      <w:r w:rsidRPr="00496271">
        <w:rPr>
          <w:rFonts w:ascii="Palatino Linotype" w:hAnsi="Palatino Linotype" w:cs="Arial"/>
          <w:b/>
          <w:i/>
          <w:sz w:val="22"/>
          <w:u w:val="single"/>
          <w:lang w:val="es-ES" w:eastAsia="es-ES"/>
        </w:rPr>
        <w:t xml:space="preserve"> III. Toda persona, sin necesidad de acreditar interés alguno o justificar su utilización, tendrá acceso gratuito a la información pública, a sus datos personales o a la rectificación de éstos;</w:t>
      </w:r>
    </w:p>
    <w:p w14:paraId="3BEA179D" w14:textId="77777777" w:rsidR="002164AB" w:rsidRPr="00496271" w:rsidRDefault="002164AB" w:rsidP="002164AB">
      <w:pPr>
        <w:autoSpaceDE w:val="0"/>
        <w:autoSpaceDN w:val="0"/>
        <w:adjustRightInd w:val="0"/>
        <w:spacing w:after="120"/>
        <w:ind w:left="851" w:right="900"/>
        <w:jc w:val="both"/>
        <w:rPr>
          <w:rFonts w:ascii="Palatino Linotype" w:hAnsi="Palatino Linotype" w:cs="Arial"/>
          <w:i/>
          <w:sz w:val="22"/>
          <w:lang w:val="es-ES" w:eastAsia="es-ES"/>
        </w:rPr>
      </w:pPr>
      <w:r w:rsidRPr="00496271">
        <w:rPr>
          <w:rFonts w:ascii="Palatino Linotype" w:hAnsi="Palatino Linotype" w:cs="Arial"/>
          <w:i/>
          <w:sz w:val="22"/>
          <w:lang w:val="es-ES" w:eastAsia="es-ES"/>
        </w:rPr>
        <w:t>(…)</w:t>
      </w:r>
    </w:p>
    <w:p w14:paraId="1E98BF9F" w14:textId="77777777" w:rsidR="002164AB" w:rsidRPr="00496271" w:rsidRDefault="002164AB" w:rsidP="002164AB">
      <w:pPr>
        <w:autoSpaceDE w:val="0"/>
        <w:autoSpaceDN w:val="0"/>
        <w:adjustRightInd w:val="0"/>
        <w:spacing w:after="120"/>
        <w:ind w:left="851" w:right="900"/>
        <w:jc w:val="both"/>
        <w:rPr>
          <w:rFonts w:ascii="Palatino Linotype" w:hAnsi="Palatino Linotype" w:cs="Arial"/>
          <w:i/>
          <w:sz w:val="22"/>
          <w:lang w:val="es-ES" w:eastAsia="es-ES"/>
        </w:rPr>
      </w:pPr>
      <w:r w:rsidRPr="00496271">
        <w:rPr>
          <w:rFonts w:ascii="Palatino Linotype" w:hAnsi="Palatino Linotype" w:cs="Arial"/>
          <w:i/>
          <w:sz w:val="22"/>
          <w:lang w:val="es-ES" w:eastAsia="es-ES"/>
        </w:rPr>
        <w:t xml:space="preserve"> V.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p>
    <w:p w14:paraId="64FC0B94" w14:textId="77777777" w:rsidR="002164AB" w:rsidRPr="002164AB" w:rsidRDefault="002164AB" w:rsidP="002164AB">
      <w:pPr>
        <w:autoSpaceDE w:val="0"/>
        <w:autoSpaceDN w:val="0"/>
        <w:adjustRightInd w:val="0"/>
        <w:spacing w:before="240" w:after="240" w:line="360" w:lineRule="auto"/>
        <w:ind w:right="-91"/>
        <w:jc w:val="both"/>
        <w:rPr>
          <w:rFonts w:ascii="Palatino Linotype" w:hAnsi="Palatino Linotype" w:cs="Arial"/>
          <w:lang w:val="es-ES" w:eastAsia="es-ES"/>
        </w:rPr>
      </w:pPr>
      <w:r w:rsidRPr="002164AB">
        <w:rPr>
          <w:rFonts w:ascii="Palatino Linotype" w:hAnsi="Palatino Linotype" w:cs="Arial"/>
          <w:lang w:val="es-ES" w:eastAsia="es-ES"/>
        </w:rPr>
        <w:lastRenderedPageBreak/>
        <w:t>Por otra parte, del contenido del artículo 1 de la Constitución Política de los Estados Unidos Mexicanos, se destaca lo siguiente:</w:t>
      </w:r>
    </w:p>
    <w:p w14:paraId="34551E48" w14:textId="77777777" w:rsidR="002164AB" w:rsidRPr="00496271" w:rsidRDefault="002164AB" w:rsidP="002164AB">
      <w:pPr>
        <w:tabs>
          <w:tab w:val="left" w:pos="7655"/>
        </w:tabs>
        <w:autoSpaceDE w:val="0"/>
        <w:autoSpaceDN w:val="0"/>
        <w:adjustRightInd w:val="0"/>
        <w:spacing w:after="120"/>
        <w:ind w:left="1134" w:right="1325"/>
        <w:jc w:val="both"/>
        <w:rPr>
          <w:rFonts w:ascii="Palatino Linotype" w:hAnsi="Palatino Linotype" w:cs="Arial"/>
          <w:b/>
          <w:i/>
          <w:sz w:val="22"/>
          <w:u w:val="single"/>
          <w:lang w:val="es-ES" w:eastAsia="es-ES"/>
        </w:rPr>
      </w:pPr>
      <w:r w:rsidRPr="00496271">
        <w:rPr>
          <w:rFonts w:ascii="Palatino Linotype" w:hAnsi="Palatino Linotype" w:cs="Arial"/>
          <w:i/>
          <w:sz w:val="22"/>
          <w:lang w:val="es-ES" w:eastAsia="es-ES"/>
        </w:rPr>
        <w:t>“</w:t>
      </w:r>
      <w:r w:rsidRPr="00496271">
        <w:rPr>
          <w:rFonts w:ascii="Palatino Linotype" w:hAnsi="Palatino Linotype" w:cs="Arial"/>
          <w:b/>
          <w:i/>
          <w:sz w:val="22"/>
          <w:u w:val="single"/>
          <w:lang w:val="es-ES" w:eastAsia="es-ES"/>
        </w:rPr>
        <w:t>Artículo 1o.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4077911D" w14:textId="77777777" w:rsidR="002164AB" w:rsidRPr="00496271" w:rsidRDefault="002164AB" w:rsidP="002164AB">
      <w:pPr>
        <w:autoSpaceDE w:val="0"/>
        <w:autoSpaceDN w:val="0"/>
        <w:adjustRightInd w:val="0"/>
        <w:spacing w:after="120"/>
        <w:ind w:left="1134" w:right="1325"/>
        <w:jc w:val="both"/>
        <w:rPr>
          <w:rFonts w:ascii="Palatino Linotype" w:hAnsi="Palatino Linotype" w:cs="Arial"/>
          <w:i/>
          <w:sz w:val="22"/>
          <w:lang w:val="es-ES" w:eastAsia="es-ES"/>
        </w:rPr>
      </w:pPr>
      <w:r w:rsidRPr="00496271">
        <w:rPr>
          <w:rFonts w:ascii="Palatino Linotype" w:hAnsi="Palatino Linotype" w:cs="Arial"/>
          <w:i/>
          <w:sz w:val="22"/>
          <w:lang w:val="es-ES" w:eastAsia="es-ES"/>
        </w:rPr>
        <w:t>Las normas relativas a los derechos humanos se interpretarán de conformidad con esta Constitución y con los tratados internacionales de la materia favoreciendo en todo tiempo a las personas la protección más amplia.</w:t>
      </w:r>
    </w:p>
    <w:p w14:paraId="4606E106" w14:textId="77777777" w:rsidR="002164AB" w:rsidRPr="00496271" w:rsidRDefault="002164AB" w:rsidP="002164AB">
      <w:pPr>
        <w:autoSpaceDE w:val="0"/>
        <w:autoSpaceDN w:val="0"/>
        <w:adjustRightInd w:val="0"/>
        <w:spacing w:after="120"/>
        <w:ind w:left="1134" w:right="1325"/>
        <w:jc w:val="both"/>
        <w:rPr>
          <w:rFonts w:ascii="Palatino Linotype" w:hAnsi="Palatino Linotype" w:cs="Arial"/>
          <w:i/>
          <w:sz w:val="22"/>
          <w:lang w:val="es-ES" w:eastAsia="es-ES"/>
        </w:rPr>
      </w:pPr>
      <w:r w:rsidRPr="00496271">
        <w:rPr>
          <w:rFonts w:ascii="Palatino Linotype" w:hAnsi="Palatino Linotype" w:cs="Arial"/>
          <w:i/>
          <w:sz w:val="22"/>
          <w:lang w:val="es-ES" w:eastAsia="es-ES"/>
        </w:rPr>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14:paraId="10F374B4" w14:textId="77777777" w:rsidR="002164AB" w:rsidRPr="002164AB" w:rsidRDefault="002164AB" w:rsidP="002164AB">
      <w:pPr>
        <w:autoSpaceDE w:val="0"/>
        <w:autoSpaceDN w:val="0"/>
        <w:adjustRightInd w:val="0"/>
        <w:spacing w:before="240" w:after="240" w:line="360" w:lineRule="auto"/>
        <w:ind w:right="-91"/>
        <w:jc w:val="both"/>
        <w:rPr>
          <w:rFonts w:ascii="Palatino Linotype" w:hAnsi="Palatino Linotype" w:cs="Arial"/>
          <w:lang w:val="es-ES" w:eastAsia="es-ES"/>
        </w:rPr>
      </w:pPr>
      <w:r w:rsidRPr="002164AB">
        <w:rPr>
          <w:rFonts w:ascii="Palatino Linotype" w:hAnsi="Palatino Linotype" w:cs="Arial"/>
          <w:lang w:val="es-ES" w:eastAsia="es-ES"/>
        </w:rPr>
        <w:t>En esa virtud, de una interpretación sistemática, armónica y progresiva del derecho humano de acceso a la información pública se reitera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66D0E8D7" w14:textId="77777777" w:rsidR="002164AB" w:rsidRPr="002164AB" w:rsidRDefault="002164AB" w:rsidP="002164AB">
      <w:pPr>
        <w:autoSpaceDE w:val="0"/>
        <w:autoSpaceDN w:val="0"/>
        <w:adjustRightInd w:val="0"/>
        <w:spacing w:before="240" w:after="240" w:line="360" w:lineRule="auto"/>
        <w:ind w:right="-91"/>
        <w:jc w:val="both"/>
        <w:rPr>
          <w:rFonts w:ascii="Palatino Linotype" w:hAnsi="Palatino Linotype" w:cs="Arial"/>
          <w:lang w:val="es-ES" w:eastAsia="es-ES"/>
        </w:rPr>
      </w:pPr>
      <w:r w:rsidRPr="002164AB">
        <w:rPr>
          <w:rFonts w:ascii="Palatino Linotype" w:hAnsi="Palatino Linotype" w:cs="Arial"/>
          <w:lang w:val="es-ES" w:eastAsia="es-ES"/>
        </w:rPr>
        <w:t>Robustece lo anterior, el Criterio 6/2014 del entonces Instituto Federal de Acceso a la Información y Protección de Datos, el cual se reproduce para una mayor referencia:</w:t>
      </w:r>
    </w:p>
    <w:p w14:paraId="29CD00E6" w14:textId="21878450" w:rsidR="002164AB" w:rsidRPr="00C66B2D" w:rsidRDefault="002164AB" w:rsidP="00C66B2D">
      <w:pPr>
        <w:autoSpaceDE w:val="0"/>
        <w:autoSpaceDN w:val="0"/>
        <w:adjustRightInd w:val="0"/>
        <w:spacing w:after="120"/>
        <w:ind w:left="851" w:right="902"/>
        <w:jc w:val="both"/>
        <w:rPr>
          <w:rFonts w:ascii="Palatino Linotype" w:hAnsi="Palatino Linotype" w:cs="Arial"/>
          <w:i/>
          <w:sz w:val="22"/>
          <w:lang w:val="es-ES" w:eastAsia="es-ES"/>
        </w:rPr>
      </w:pPr>
      <w:r w:rsidRPr="00C66B2D">
        <w:rPr>
          <w:rFonts w:ascii="Palatino Linotype" w:hAnsi="Palatino Linotype" w:cs="Arial"/>
          <w:i/>
          <w:sz w:val="22"/>
          <w:lang w:val="es-ES" w:eastAsia="es-ES"/>
        </w:rPr>
        <w:lastRenderedPageBreak/>
        <w:t>“Acceso a información gubernamental. No debe condicionarse a que el solicitante acredite su personalidad, demuestre interés alguno o justifique su utilización. 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w:t>
      </w:r>
    </w:p>
    <w:p w14:paraId="38A83BE4" w14:textId="77777777" w:rsidR="002164AB" w:rsidRPr="002164AB" w:rsidRDefault="002164AB" w:rsidP="002164AB">
      <w:pPr>
        <w:autoSpaceDE w:val="0"/>
        <w:autoSpaceDN w:val="0"/>
        <w:adjustRightInd w:val="0"/>
        <w:spacing w:before="240" w:after="240" w:line="360" w:lineRule="auto"/>
        <w:ind w:right="-91"/>
        <w:jc w:val="both"/>
        <w:rPr>
          <w:rFonts w:ascii="Palatino Linotype" w:hAnsi="Palatino Linotype" w:cs="Arial"/>
          <w:lang w:val="es-ES" w:eastAsia="es-ES"/>
        </w:rPr>
      </w:pPr>
      <w:r w:rsidRPr="002164AB">
        <w:rPr>
          <w:rFonts w:ascii="Palatino Linotype" w:hAnsi="Palatino Linotype" w:cs="Arial"/>
          <w:lang w:val="es-ES" w:eastAsia="es-ES"/>
        </w:rPr>
        <w:t>En ese orden de ideas, se estima que el requerimiento relativo al nombre como presupuesto de procedibilidad podría limitar el ejercicio del derecho de acceso a la información pública, debido a que el hecho de solicitar la identificación del recurrente a través de dicho dato personal, en ciertos extremos se equipara a una exigencia acerca de su interés o justificación de su utilización, lo que materialmente haría nugatorio un derecho fundamental.</w:t>
      </w:r>
    </w:p>
    <w:p w14:paraId="290E667B" w14:textId="77777777" w:rsidR="002164AB" w:rsidRPr="002164AB" w:rsidRDefault="002164AB" w:rsidP="002164AB">
      <w:pPr>
        <w:autoSpaceDE w:val="0"/>
        <w:autoSpaceDN w:val="0"/>
        <w:adjustRightInd w:val="0"/>
        <w:spacing w:before="240" w:after="240" w:line="360" w:lineRule="auto"/>
        <w:ind w:right="-91"/>
        <w:jc w:val="both"/>
        <w:rPr>
          <w:rFonts w:ascii="Palatino Linotype" w:hAnsi="Palatino Linotype" w:cs="Arial"/>
          <w:lang w:val="es-ES" w:eastAsia="es-ES"/>
        </w:rPr>
      </w:pPr>
      <w:r w:rsidRPr="002164AB">
        <w:rPr>
          <w:rFonts w:ascii="Palatino Linotype" w:hAnsi="Palatino Linotype" w:cs="Arial"/>
          <w:lang w:val="es-ES" w:eastAsia="es-ES"/>
        </w:rPr>
        <w:t>Aunado a ello, para el estudio de la materia sobre la que se resuelve el recurso de revisión resulta intrascendente el nombre de la persona que lo hubiere promovido, en virtud de que tanto la Constitución Federal, como la Constitución Política del Estado Libre y Soberano de México, reconocen la prerrogativa de los individuos para no acreditar dicho interés o justificar su utilización, por lo que este Órgano Garante en la materia se encuentra impedido para realizar dicho análisis, en la inteligencia de que al limitar un derecho humano, como lo es el derecho de acceso a la información pública, por una cuestión procedimental.</w:t>
      </w:r>
    </w:p>
    <w:p w14:paraId="10BED062" w14:textId="144B22EC" w:rsidR="002164AB" w:rsidRPr="002164AB" w:rsidRDefault="002164AB" w:rsidP="002164AB">
      <w:pPr>
        <w:autoSpaceDE w:val="0"/>
        <w:autoSpaceDN w:val="0"/>
        <w:adjustRightInd w:val="0"/>
        <w:spacing w:before="240" w:after="240" w:line="360" w:lineRule="auto"/>
        <w:ind w:right="-91"/>
        <w:jc w:val="both"/>
        <w:rPr>
          <w:rFonts w:ascii="Palatino Linotype" w:hAnsi="Palatino Linotype" w:cs="Arial"/>
          <w:lang w:val="es-ES" w:eastAsia="es-ES"/>
        </w:rPr>
      </w:pPr>
      <w:r w:rsidRPr="002164AB">
        <w:rPr>
          <w:rFonts w:ascii="Palatino Linotype" w:hAnsi="Palatino Linotype" w:cs="Arial"/>
          <w:lang w:val="es-ES" w:eastAsia="es-ES"/>
        </w:rPr>
        <w:t xml:space="preserve">En consecuencia, dado lo expuesto y fundado con anterioridad, se estima que el requisito relativo al nombre del recurrente no constituye un presupuesto </w:t>
      </w:r>
      <w:r w:rsidRPr="002164AB">
        <w:rPr>
          <w:rFonts w:ascii="Palatino Linotype" w:hAnsi="Palatino Linotype" w:cs="Arial"/>
          <w:lang w:val="es-ES" w:eastAsia="es-ES"/>
        </w:rPr>
        <w:lastRenderedPageBreak/>
        <w:t>indispensable de procedibilidad de los recursos de revisión, en términos de los artículos 25 de la Convención Americana de Derechos Humanos, 1 párrafos segundo y tercero, 6 apartado A, fracciones III y IV de la Constitución Política de los Estados Unidos Mexicanos y 5, párrafo vigésimo cuarto de la Constitución Política del Estado Libre y Soberano de México, debido a que el acceso a la información pública es un derecho humano que no requiere legitimación en la causa, sino que únicamente basta con que se encuentre legitimado en el procedimiento de recurso de revisión, circunstancia que se acredita en las constancias electrónicas del expediente en revisión, de las que se desprende que la parte recurrente, es la misma que realizó la solicitud de acceso a la información pública que ahora se impugna.</w:t>
      </w:r>
    </w:p>
    <w:p w14:paraId="130BB7CA" w14:textId="39F6795C" w:rsidR="002164AB" w:rsidRPr="002164AB" w:rsidRDefault="002164AB" w:rsidP="002164AB">
      <w:pPr>
        <w:autoSpaceDE w:val="0"/>
        <w:autoSpaceDN w:val="0"/>
        <w:adjustRightInd w:val="0"/>
        <w:spacing w:before="240" w:after="240" w:line="360" w:lineRule="auto"/>
        <w:ind w:right="-91"/>
        <w:jc w:val="both"/>
        <w:rPr>
          <w:rFonts w:ascii="Palatino Linotype" w:hAnsi="Palatino Linotype"/>
          <w:color w:val="000000"/>
          <w:lang w:val="es-ES" w:eastAsia="es-ES"/>
        </w:rPr>
      </w:pPr>
      <w:r w:rsidRPr="002164AB">
        <w:rPr>
          <w:rFonts w:ascii="Palatino Linotype" w:hAnsi="Palatino Linotype"/>
          <w:color w:val="000000"/>
          <w:lang w:val="es-ES" w:eastAsia="es-ES"/>
        </w:rPr>
        <w:t>En consecuencia y después de la revisión del formato de interposición del recurso, se concluye en la acreditación plena de todos y cada uno de los elementos formales exigidos por el artículo 180 de la Ley de Transparencia y Acceso a la Información Pública del Estado de México y Municipios, toda vez que fue ingresado a través del SAIMEX.</w:t>
      </w:r>
    </w:p>
    <w:p w14:paraId="2CF242BF" w14:textId="76F325C3" w:rsidR="00ED1889" w:rsidRPr="001E538E" w:rsidRDefault="00133F22" w:rsidP="00ED1889">
      <w:pPr>
        <w:spacing w:before="100" w:beforeAutospacing="1" w:after="100" w:afterAutospacing="1" w:line="360" w:lineRule="auto"/>
        <w:jc w:val="both"/>
        <w:rPr>
          <w:rFonts w:ascii="Palatino Linotype" w:hAnsi="Palatino Linotype" w:cs="Arial"/>
        </w:rPr>
      </w:pPr>
      <w:r w:rsidRPr="001E538E">
        <w:rPr>
          <w:rFonts w:ascii="Palatino Linotype" w:hAnsi="Palatino Linotype" w:cs="Arial"/>
        </w:rPr>
        <w:t>Finalmente, se advierte que resulta procedente la interposición de</w:t>
      </w:r>
      <w:r w:rsidR="00ED1889" w:rsidRPr="001E538E">
        <w:rPr>
          <w:rFonts w:ascii="Palatino Linotype" w:hAnsi="Palatino Linotype" w:cs="Arial"/>
        </w:rPr>
        <w:t xml:space="preserve"> </w:t>
      </w:r>
      <w:r w:rsidRPr="001E538E">
        <w:rPr>
          <w:rFonts w:ascii="Palatino Linotype" w:hAnsi="Palatino Linotype" w:cs="Arial"/>
        </w:rPr>
        <w:t>l</w:t>
      </w:r>
      <w:r w:rsidR="00ED1889" w:rsidRPr="001E538E">
        <w:rPr>
          <w:rFonts w:ascii="Palatino Linotype" w:hAnsi="Palatino Linotype" w:cs="Arial"/>
        </w:rPr>
        <w:t>os</w:t>
      </w:r>
      <w:r w:rsidRPr="001E538E">
        <w:rPr>
          <w:rFonts w:ascii="Palatino Linotype" w:hAnsi="Palatino Linotype" w:cs="Arial"/>
        </w:rPr>
        <w:t xml:space="preserve"> recurso</w:t>
      </w:r>
      <w:r w:rsidR="00ED1889" w:rsidRPr="001E538E">
        <w:rPr>
          <w:rFonts w:ascii="Palatino Linotype" w:hAnsi="Palatino Linotype" w:cs="Arial"/>
        </w:rPr>
        <w:t>s</w:t>
      </w:r>
      <w:r w:rsidRPr="001E538E">
        <w:rPr>
          <w:rFonts w:ascii="Palatino Linotype" w:hAnsi="Palatino Linotype" w:cs="Arial"/>
        </w:rPr>
        <w:t xml:space="preserve">, según lo manifestado por </w:t>
      </w:r>
      <w:r w:rsidR="00ED1889" w:rsidRPr="001E538E">
        <w:rPr>
          <w:rFonts w:ascii="Palatino Linotype" w:hAnsi="Palatino Linotype" w:cs="Arial"/>
        </w:rPr>
        <w:t>la parte</w:t>
      </w:r>
      <w:r w:rsidRPr="001E538E">
        <w:rPr>
          <w:rFonts w:ascii="Palatino Linotype" w:hAnsi="Palatino Linotype" w:cs="Arial"/>
        </w:rPr>
        <w:t xml:space="preserve"> recurrente en sus motivos de inconformidad, de acuerdo al artículo 179, </w:t>
      </w:r>
      <w:r w:rsidR="00496271">
        <w:rPr>
          <w:rFonts w:ascii="Palatino Linotype" w:hAnsi="Palatino Linotype" w:cs="Arial"/>
        </w:rPr>
        <w:t>fracción</w:t>
      </w:r>
      <w:r w:rsidR="002164AB">
        <w:rPr>
          <w:rFonts w:ascii="Palatino Linotype" w:hAnsi="Palatino Linotype" w:cs="Arial"/>
        </w:rPr>
        <w:t xml:space="preserve"> </w:t>
      </w:r>
      <w:r w:rsidR="00496271">
        <w:rPr>
          <w:rFonts w:ascii="Palatino Linotype" w:hAnsi="Palatino Linotype" w:cs="Arial"/>
          <w:b/>
        </w:rPr>
        <w:t xml:space="preserve">I </w:t>
      </w:r>
      <w:r w:rsidR="00ED1889" w:rsidRPr="001E538E">
        <w:rPr>
          <w:rFonts w:ascii="Palatino Linotype" w:hAnsi="Palatino Linotype" w:cs="Arial"/>
        </w:rPr>
        <w:t xml:space="preserve"> del ordenamiento legal citado, que a la letra dice: </w:t>
      </w:r>
    </w:p>
    <w:p w14:paraId="64F753C1" w14:textId="77777777" w:rsidR="00ED1889" w:rsidRDefault="00ED1889" w:rsidP="002D2355">
      <w:pPr>
        <w:spacing w:before="120" w:after="120"/>
        <w:ind w:left="567" w:right="902"/>
        <w:jc w:val="both"/>
        <w:rPr>
          <w:rFonts w:ascii="Palatino Linotype" w:hAnsi="Palatino Linotype" w:cs="Arial"/>
          <w:i/>
          <w:sz w:val="22"/>
          <w:szCs w:val="22"/>
        </w:rPr>
      </w:pPr>
      <w:r w:rsidRPr="001E538E">
        <w:rPr>
          <w:rFonts w:ascii="Palatino Linotype" w:hAnsi="Palatino Linotype" w:cs="Arial"/>
          <w:bCs/>
          <w:i/>
          <w:iCs/>
          <w:sz w:val="22"/>
          <w:szCs w:val="22"/>
        </w:rPr>
        <w:t>“</w:t>
      </w:r>
      <w:r w:rsidRPr="001E538E">
        <w:rPr>
          <w:rFonts w:ascii="Palatino Linotype" w:hAnsi="Palatino Linotype" w:cs="Arial"/>
          <w:b/>
          <w:i/>
          <w:sz w:val="22"/>
          <w:szCs w:val="22"/>
        </w:rPr>
        <w:t>Artículo 179.</w:t>
      </w:r>
      <w:r w:rsidRPr="001E538E">
        <w:rPr>
          <w:rFonts w:ascii="Palatino Linotype" w:hAnsi="Palatino Linotype" w:cs="Arial"/>
          <w:i/>
          <w:sz w:val="22"/>
          <w:szCs w:val="22"/>
        </w:rPr>
        <w:t xml:space="preserve"> El recurso de revisión es un medio de protección que la Ley otorga a los particulares, para hacer valer su derecho de acceso a la información pública, y procederá en contra de las siguientes causas:</w:t>
      </w:r>
    </w:p>
    <w:p w14:paraId="7AF01D55" w14:textId="0C2F61EA" w:rsidR="00ED1889" w:rsidRDefault="002164AB" w:rsidP="00496271">
      <w:pPr>
        <w:pStyle w:val="Prrafodelista"/>
        <w:numPr>
          <w:ilvl w:val="0"/>
          <w:numId w:val="5"/>
        </w:numPr>
        <w:spacing w:before="120" w:after="120"/>
        <w:ind w:left="567" w:right="902" w:firstLine="0"/>
        <w:jc w:val="both"/>
        <w:rPr>
          <w:rFonts w:ascii="Palatino Linotype" w:hAnsi="Palatino Linotype" w:cs="Arial"/>
          <w:b/>
          <w:i/>
          <w:sz w:val="22"/>
          <w:szCs w:val="22"/>
        </w:rPr>
      </w:pPr>
      <w:r w:rsidRPr="00496271">
        <w:rPr>
          <w:rFonts w:ascii="Palatino Linotype" w:hAnsi="Palatino Linotype" w:cs="Arial"/>
          <w:b/>
          <w:i/>
          <w:sz w:val="22"/>
          <w:szCs w:val="22"/>
        </w:rPr>
        <w:t>La negativa a la información solicitada</w:t>
      </w:r>
      <w:r w:rsidR="00496271" w:rsidRPr="00496271">
        <w:rPr>
          <w:rFonts w:ascii="Palatino Linotype" w:hAnsi="Palatino Linotype" w:cs="Arial"/>
          <w:b/>
          <w:i/>
          <w:sz w:val="22"/>
          <w:szCs w:val="22"/>
        </w:rPr>
        <w:t>;”</w:t>
      </w:r>
    </w:p>
    <w:p w14:paraId="48F6972A" w14:textId="77777777" w:rsidR="00496271" w:rsidRDefault="00496271" w:rsidP="00496271">
      <w:pPr>
        <w:pStyle w:val="Prrafodelista"/>
        <w:spacing w:before="120" w:after="120"/>
        <w:ind w:left="567" w:right="902"/>
        <w:jc w:val="both"/>
        <w:rPr>
          <w:rFonts w:ascii="Palatino Linotype" w:hAnsi="Palatino Linotype" w:cs="Arial"/>
          <w:b/>
          <w:i/>
          <w:sz w:val="22"/>
          <w:szCs w:val="22"/>
        </w:rPr>
      </w:pPr>
    </w:p>
    <w:p w14:paraId="37120DF6" w14:textId="05EC1560" w:rsidR="00496271" w:rsidRPr="00496271" w:rsidRDefault="00496271" w:rsidP="00496271">
      <w:pPr>
        <w:pStyle w:val="Prrafodelista"/>
        <w:spacing w:before="120" w:after="120"/>
        <w:ind w:left="567" w:right="902"/>
        <w:jc w:val="both"/>
        <w:rPr>
          <w:rFonts w:ascii="Palatino Linotype" w:hAnsi="Palatino Linotype" w:cs="Arial"/>
          <w:i/>
          <w:sz w:val="22"/>
          <w:szCs w:val="22"/>
        </w:rPr>
      </w:pPr>
      <w:r>
        <w:rPr>
          <w:rFonts w:ascii="Palatino Linotype" w:hAnsi="Palatino Linotype" w:cs="Arial"/>
          <w:i/>
          <w:sz w:val="22"/>
          <w:szCs w:val="22"/>
        </w:rPr>
        <w:t>(Énfasis añadido)</w:t>
      </w:r>
    </w:p>
    <w:p w14:paraId="66DB7549" w14:textId="77777777" w:rsidR="00496271" w:rsidRPr="00496271" w:rsidRDefault="00496271" w:rsidP="00496271">
      <w:pPr>
        <w:pStyle w:val="Prrafodelista"/>
        <w:spacing w:before="120" w:after="120"/>
        <w:ind w:left="1485" w:right="902"/>
        <w:jc w:val="both"/>
        <w:rPr>
          <w:rFonts w:ascii="Palatino Linotype" w:hAnsi="Palatino Linotype" w:cs="Arial"/>
          <w:b/>
          <w:i/>
          <w:sz w:val="22"/>
          <w:szCs w:val="22"/>
        </w:rPr>
      </w:pPr>
    </w:p>
    <w:p w14:paraId="2BA51706" w14:textId="73B969EC" w:rsidR="00ED1889" w:rsidRPr="001E538E" w:rsidRDefault="00ED1889" w:rsidP="00ED1889">
      <w:pPr>
        <w:spacing w:before="100" w:beforeAutospacing="1" w:after="100" w:afterAutospacing="1" w:line="360" w:lineRule="auto"/>
        <w:jc w:val="both"/>
        <w:rPr>
          <w:rFonts w:ascii="Palatino Linotype" w:hAnsi="Palatino Linotype" w:cs="Arial"/>
        </w:rPr>
      </w:pPr>
      <w:r w:rsidRPr="001E538E">
        <w:rPr>
          <w:rFonts w:ascii="Palatino Linotype" w:hAnsi="Palatino Linotype" w:cs="Arial"/>
          <w:b/>
        </w:rPr>
        <w:lastRenderedPageBreak/>
        <w:t xml:space="preserve">Tercero. Materia de la revisión. </w:t>
      </w:r>
      <w:r w:rsidRPr="001E538E">
        <w:rPr>
          <w:rFonts w:ascii="Palatino Linotype" w:hAnsi="Palatino Linotype" w:cs="Arial"/>
        </w:rPr>
        <w:t>De la revisión a las constanci</w:t>
      </w:r>
      <w:r w:rsidR="0070631A">
        <w:rPr>
          <w:rFonts w:ascii="Palatino Linotype" w:hAnsi="Palatino Linotype" w:cs="Arial"/>
        </w:rPr>
        <w:t>as y documentos que obran en el expediente electrónico, se advierte</w:t>
      </w:r>
      <w:r w:rsidRPr="001E538E">
        <w:rPr>
          <w:rFonts w:ascii="Palatino Linotype" w:hAnsi="Palatino Linotype" w:cs="Arial"/>
        </w:rPr>
        <w:t xml:space="preserve"> que el tema sobre el que este Órgano Garante de Transparencia y Acceso a la Información se pronunciará será: </w:t>
      </w:r>
      <w:r w:rsidR="0070631A">
        <w:rPr>
          <w:rFonts w:ascii="Palatino Linotype" w:hAnsi="Palatino Linotype" w:cs="Arial"/>
          <w:b/>
        </w:rPr>
        <w:t>verificar si la respuesta otorgada por el Sujeto Obligado es adecuada y suficiente</w:t>
      </w:r>
      <w:r w:rsidRPr="001E538E">
        <w:rPr>
          <w:rFonts w:ascii="Palatino Linotype" w:hAnsi="Palatino Linotype" w:cs="Arial"/>
          <w:b/>
        </w:rPr>
        <w:t xml:space="preserve"> para satisfacer el derecho de acceso a la información pública </w:t>
      </w:r>
      <w:r w:rsidRPr="001E538E">
        <w:rPr>
          <w:rFonts w:ascii="Palatino Linotype" w:hAnsi="Palatino Linotype" w:cs="Arial"/>
        </w:rPr>
        <w:t>de la parte Recurrente, o en su defecto, en caso de ser procedente, ordenar la entrega de información oportuna.</w:t>
      </w:r>
    </w:p>
    <w:p w14:paraId="19480C41" w14:textId="2E8252F4" w:rsidR="007B154E" w:rsidRPr="00CB53FC" w:rsidRDefault="00ED1889" w:rsidP="00CB53FC">
      <w:pPr>
        <w:spacing w:before="100" w:beforeAutospacing="1" w:after="100" w:afterAutospacing="1" w:line="360" w:lineRule="auto"/>
        <w:jc w:val="both"/>
        <w:rPr>
          <w:rFonts w:ascii="Palatino Linotype" w:hAnsi="Palatino Linotype" w:cs="Arial"/>
        </w:rPr>
      </w:pPr>
      <w:r w:rsidRPr="001E538E">
        <w:rPr>
          <w:rFonts w:ascii="Palatino Linotype" w:hAnsi="Palatino Linotype" w:cs="Arial"/>
          <w:b/>
        </w:rPr>
        <w:t xml:space="preserve">Cuarto. Estudio del asunto. </w:t>
      </w:r>
      <w:r w:rsidRPr="001E538E">
        <w:rPr>
          <w:rFonts w:ascii="Palatino Linotype" w:hAnsi="Palatino Linotype" w:cs="Arial"/>
        </w:rPr>
        <w:t>Previo al estudio del presente asunto, es conveniente precisar que la parte solicitante requirió al sujeto obligado le proporcionara información consistente en lo siguiente:</w:t>
      </w:r>
    </w:p>
    <w:p w14:paraId="7C0AE151" w14:textId="2215D9A3" w:rsidR="007B154E" w:rsidRPr="007B154E" w:rsidRDefault="007B154E" w:rsidP="007B154E">
      <w:pPr>
        <w:spacing w:before="240" w:after="240" w:line="360" w:lineRule="auto"/>
        <w:ind w:left="709" w:right="900"/>
        <w:jc w:val="both"/>
        <w:rPr>
          <w:rFonts w:ascii="Palatino Linotype" w:hAnsi="Palatino Linotype" w:cs="Arial"/>
          <w:b/>
          <w:sz w:val="22"/>
          <w:lang w:eastAsia="es-ES"/>
        </w:rPr>
      </w:pPr>
      <w:r w:rsidRPr="007B154E">
        <w:rPr>
          <w:rFonts w:ascii="Palatino Linotype" w:hAnsi="Palatino Linotype" w:cs="Arial"/>
          <w:b/>
          <w:sz w:val="22"/>
          <w:lang w:eastAsia="es-ES"/>
        </w:rPr>
        <w:t>Al Presidente Mario Ariel Juárez:</w:t>
      </w:r>
    </w:p>
    <w:p w14:paraId="0A9B4A70" w14:textId="0038FFE8" w:rsidR="007B154E" w:rsidRPr="00F016A3" w:rsidRDefault="005F23BC" w:rsidP="007B154E">
      <w:pPr>
        <w:spacing w:before="240" w:after="240" w:line="360" w:lineRule="auto"/>
        <w:ind w:left="709" w:right="900"/>
        <w:jc w:val="both"/>
        <w:rPr>
          <w:rFonts w:ascii="Palatino Linotype" w:hAnsi="Palatino Linotype" w:cs="Arial"/>
          <w:lang w:eastAsia="es-ES"/>
        </w:rPr>
      </w:pPr>
      <w:r w:rsidRPr="00F016A3">
        <w:rPr>
          <w:rFonts w:ascii="Palatino Linotype" w:hAnsi="Palatino Linotype" w:cs="Arial"/>
          <w:lang w:eastAsia="es-ES"/>
        </w:rPr>
        <w:t>1.</w:t>
      </w:r>
      <w:r w:rsidR="007B154E" w:rsidRPr="00F016A3">
        <w:rPr>
          <w:rFonts w:ascii="Palatino Linotype" w:hAnsi="Palatino Linotype" w:cs="Arial"/>
          <w:lang w:eastAsia="es-ES"/>
        </w:rPr>
        <w:t>- ¿</w:t>
      </w:r>
      <w:r w:rsidRPr="00F016A3">
        <w:rPr>
          <w:rFonts w:ascii="Palatino Linotype" w:hAnsi="Palatino Linotype" w:cs="Arial"/>
          <w:lang w:eastAsia="es-ES"/>
        </w:rPr>
        <w:t xml:space="preserve">Qué tiene que ver qué los ex regidores y ex directores sean familiares de los policías de </w:t>
      </w:r>
      <w:r w:rsidR="007B154E" w:rsidRPr="00F016A3">
        <w:rPr>
          <w:rFonts w:ascii="Palatino Linotype" w:hAnsi="Palatino Linotype" w:cs="Arial"/>
          <w:lang w:eastAsia="es-ES"/>
        </w:rPr>
        <w:t>tránsito</w:t>
      </w:r>
      <w:r w:rsidRPr="00F016A3">
        <w:rPr>
          <w:rFonts w:ascii="Palatino Linotype" w:hAnsi="Palatino Linotype" w:cs="Arial"/>
          <w:lang w:eastAsia="es-ES"/>
        </w:rPr>
        <w:t xml:space="preserve"> con la actual corrupción que se vive en Cuautitlán? </w:t>
      </w:r>
    </w:p>
    <w:p w14:paraId="484CDB9E" w14:textId="32203998" w:rsidR="007B154E" w:rsidRPr="007B154E" w:rsidRDefault="007B154E" w:rsidP="007B154E">
      <w:pPr>
        <w:spacing w:before="240" w:after="240" w:line="360" w:lineRule="auto"/>
        <w:ind w:left="709" w:right="900"/>
        <w:jc w:val="both"/>
        <w:rPr>
          <w:rFonts w:ascii="Palatino Linotype" w:hAnsi="Palatino Linotype" w:cs="Arial"/>
          <w:b/>
          <w:sz w:val="22"/>
          <w:lang w:eastAsia="es-ES"/>
        </w:rPr>
      </w:pPr>
      <w:r w:rsidRPr="007B154E">
        <w:rPr>
          <w:rFonts w:ascii="Palatino Linotype" w:hAnsi="Palatino Linotype" w:cs="Arial"/>
          <w:b/>
          <w:sz w:val="22"/>
          <w:lang w:eastAsia="es-ES"/>
        </w:rPr>
        <w:t>Al área correspondiente:</w:t>
      </w:r>
    </w:p>
    <w:p w14:paraId="0760E4AC" w14:textId="31DEE45A" w:rsidR="007B154E" w:rsidRPr="00F016A3" w:rsidRDefault="005F23BC" w:rsidP="007B154E">
      <w:pPr>
        <w:spacing w:before="240" w:after="240" w:line="360" w:lineRule="auto"/>
        <w:ind w:left="709" w:right="900"/>
        <w:jc w:val="both"/>
        <w:rPr>
          <w:rFonts w:ascii="Palatino Linotype" w:hAnsi="Palatino Linotype" w:cs="Arial"/>
          <w:lang w:eastAsia="es-ES"/>
        </w:rPr>
      </w:pPr>
      <w:r w:rsidRPr="00F016A3">
        <w:rPr>
          <w:rFonts w:ascii="Palatino Linotype" w:hAnsi="Palatino Linotype" w:cs="Arial"/>
          <w:lang w:eastAsia="es-ES"/>
        </w:rPr>
        <w:t xml:space="preserve">2.- </w:t>
      </w:r>
      <w:r w:rsidR="007B154E" w:rsidRPr="00F016A3">
        <w:rPr>
          <w:rFonts w:ascii="Palatino Linotype" w:hAnsi="Palatino Linotype" w:cs="Arial"/>
          <w:lang w:eastAsia="es-ES"/>
        </w:rPr>
        <w:t>L</w:t>
      </w:r>
      <w:r w:rsidRPr="00F016A3">
        <w:rPr>
          <w:rFonts w:ascii="Palatino Linotype" w:hAnsi="Palatino Linotype" w:cs="Arial"/>
          <w:lang w:eastAsia="es-ES"/>
        </w:rPr>
        <w:t xml:space="preserve">ista de los procedimientos, quejas, sanciones que cada uno de los elementos policiacos tiene, cuantos se han dado de baja y cuantos policías han vuelto a servicio. </w:t>
      </w:r>
    </w:p>
    <w:p w14:paraId="1CAE48DD" w14:textId="51D8613C" w:rsidR="007B154E" w:rsidRPr="00F016A3" w:rsidRDefault="007B154E" w:rsidP="007B154E">
      <w:pPr>
        <w:spacing w:before="240" w:after="240" w:line="360" w:lineRule="auto"/>
        <w:ind w:left="709" w:right="900"/>
        <w:jc w:val="both"/>
        <w:rPr>
          <w:rFonts w:ascii="Palatino Linotype" w:hAnsi="Palatino Linotype" w:cs="Arial"/>
          <w:lang w:eastAsia="es-ES"/>
        </w:rPr>
      </w:pPr>
      <w:r w:rsidRPr="00F016A3">
        <w:rPr>
          <w:rFonts w:ascii="Palatino Linotype" w:hAnsi="Palatino Linotype" w:cs="Arial"/>
          <w:lang w:eastAsia="es-ES"/>
        </w:rPr>
        <w:t>3.- S</w:t>
      </w:r>
      <w:r w:rsidR="005F23BC" w:rsidRPr="00F016A3">
        <w:rPr>
          <w:rFonts w:ascii="Palatino Linotype" w:hAnsi="Palatino Linotype" w:cs="Arial"/>
          <w:lang w:eastAsia="es-ES"/>
        </w:rPr>
        <w:t>i se tiene información de la corrupción que prevalece en los elemento</w:t>
      </w:r>
      <w:r w:rsidRPr="00F016A3">
        <w:rPr>
          <w:rFonts w:ascii="Palatino Linotype" w:hAnsi="Palatino Linotype" w:cs="Arial"/>
          <w:lang w:eastAsia="es-ES"/>
        </w:rPr>
        <w:t>s policiacos y sus altos mandos:</w:t>
      </w:r>
      <w:r w:rsidR="005F23BC" w:rsidRPr="00F016A3">
        <w:rPr>
          <w:rFonts w:ascii="Palatino Linotype" w:hAnsi="Palatino Linotype" w:cs="Arial"/>
          <w:lang w:eastAsia="es-ES"/>
        </w:rPr>
        <w:t xml:space="preserve"> ¿Cuál es el motivo por el cual él no ha realizado ninguna acción? recordándole que </w:t>
      </w:r>
      <w:r w:rsidRPr="00F016A3">
        <w:rPr>
          <w:rFonts w:ascii="Palatino Linotype" w:hAnsi="Palatino Linotype" w:cs="Arial"/>
          <w:lang w:eastAsia="es-ES"/>
        </w:rPr>
        <w:t>él</w:t>
      </w:r>
      <w:r w:rsidR="005F23BC" w:rsidRPr="00F016A3">
        <w:rPr>
          <w:rFonts w:ascii="Palatino Linotype" w:hAnsi="Palatino Linotype" w:cs="Arial"/>
          <w:lang w:eastAsia="es-ES"/>
        </w:rPr>
        <w:t xml:space="preserve"> es el responsable ¿Cuál es el motivo por el que sigue en funciones el </w:t>
      </w:r>
      <w:r w:rsidR="005F23BC" w:rsidRPr="00F016A3">
        <w:rPr>
          <w:rFonts w:ascii="Palatino Linotype" w:hAnsi="Palatino Linotype" w:cs="Arial"/>
          <w:lang w:eastAsia="es-ES"/>
        </w:rPr>
        <w:lastRenderedPageBreak/>
        <w:t xml:space="preserve">Director de Seguridad Pública, cuando es evidente que no </w:t>
      </w:r>
      <w:r w:rsidRPr="00F016A3">
        <w:rPr>
          <w:rFonts w:ascii="Palatino Linotype" w:hAnsi="Palatino Linotype" w:cs="Arial"/>
          <w:lang w:eastAsia="es-ES"/>
        </w:rPr>
        <w:t>está</w:t>
      </w:r>
      <w:r w:rsidR="005F23BC" w:rsidRPr="00F016A3">
        <w:rPr>
          <w:rFonts w:ascii="Palatino Linotype" w:hAnsi="Palatino Linotype" w:cs="Arial"/>
          <w:lang w:eastAsia="es-ES"/>
        </w:rPr>
        <w:t xml:space="preserve"> funcionando?</w:t>
      </w:r>
    </w:p>
    <w:p w14:paraId="2DA559B8" w14:textId="21F03C2A" w:rsidR="005F23BC" w:rsidRPr="00F016A3" w:rsidRDefault="007B154E" w:rsidP="007B154E">
      <w:pPr>
        <w:spacing w:before="240" w:after="240" w:line="360" w:lineRule="auto"/>
        <w:ind w:left="709" w:right="900"/>
        <w:jc w:val="both"/>
        <w:rPr>
          <w:rFonts w:ascii="Palatino Linotype" w:hAnsi="Palatino Linotype" w:cs="Arial"/>
          <w:lang w:eastAsia="es-ES"/>
        </w:rPr>
      </w:pPr>
      <w:r w:rsidRPr="00F016A3">
        <w:rPr>
          <w:rFonts w:ascii="Palatino Linotype" w:hAnsi="Palatino Linotype" w:cs="Arial"/>
          <w:lang w:eastAsia="es-ES"/>
        </w:rPr>
        <w:t xml:space="preserve"> 4.- I</w:t>
      </w:r>
      <w:r w:rsidR="005F23BC" w:rsidRPr="00F016A3">
        <w:rPr>
          <w:rFonts w:ascii="Palatino Linotype" w:hAnsi="Palatino Linotype" w:cs="Arial"/>
          <w:lang w:eastAsia="es-ES"/>
        </w:rPr>
        <w:t>nformación absoluta del director de seguridad, así como sus facultades</w:t>
      </w:r>
      <w:r w:rsidRPr="00F016A3">
        <w:rPr>
          <w:rFonts w:ascii="Palatino Linotype" w:hAnsi="Palatino Linotype" w:cs="Arial"/>
          <w:lang w:eastAsia="es-ES"/>
        </w:rPr>
        <w:t>.</w:t>
      </w:r>
      <w:r w:rsidR="005F23BC" w:rsidRPr="00F016A3">
        <w:rPr>
          <w:rFonts w:ascii="Palatino Linotype" w:hAnsi="Palatino Linotype" w:cs="Arial"/>
          <w:lang w:eastAsia="es-ES"/>
        </w:rPr>
        <w:t xml:space="preserve"> </w:t>
      </w:r>
    </w:p>
    <w:p w14:paraId="178B3934" w14:textId="7160BF3D" w:rsidR="00DB525F" w:rsidRDefault="00ED1889" w:rsidP="0070631A">
      <w:pPr>
        <w:spacing w:before="240" w:after="240" w:line="360" w:lineRule="auto"/>
        <w:jc w:val="both"/>
        <w:rPr>
          <w:rFonts w:ascii="Palatino Linotype" w:hAnsi="Palatino Linotype" w:cs="Arial"/>
        </w:rPr>
      </w:pPr>
      <w:r w:rsidRPr="006A6598">
        <w:rPr>
          <w:rFonts w:ascii="Palatino Linotype" w:hAnsi="Palatino Linotype" w:cs="Arial"/>
        </w:rPr>
        <w:t>En respuesta</w:t>
      </w:r>
      <w:r w:rsidR="0070631A" w:rsidRPr="006A6598">
        <w:rPr>
          <w:rFonts w:ascii="Palatino Linotype" w:hAnsi="Palatino Linotype" w:cs="Arial"/>
        </w:rPr>
        <w:t xml:space="preserve"> a la solicitud</w:t>
      </w:r>
      <w:r w:rsidR="00277E86" w:rsidRPr="006A6598">
        <w:rPr>
          <w:rFonts w:ascii="Palatino Linotype" w:hAnsi="Palatino Linotype" w:cs="Arial"/>
        </w:rPr>
        <w:t xml:space="preserve">, </w:t>
      </w:r>
      <w:r w:rsidRPr="006A6598">
        <w:rPr>
          <w:rFonts w:ascii="Palatino Linotype" w:hAnsi="Palatino Linotype" w:cs="Arial"/>
        </w:rPr>
        <w:t xml:space="preserve">el sujeto obligado remitió </w:t>
      </w:r>
      <w:r w:rsidR="00161FC5" w:rsidRPr="006A6598">
        <w:rPr>
          <w:rFonts w:ascii="Palatino Linotype" w:hAnsi="Palatino Linotype" w:cs="Arial"/>
        </w:rPr>
        <w:t>un</w:t>
      </w:r>
      <w:r w:rsidR="00277E86" w:rsidRPr="006A6598">
        <w:rPr>
          <w:rFonts w:ascii="Palatino Linotype" w:hAnsi="Palatino Linotype" w:cs="Arial"/>
        </w:rPr>
        <w:t xml:space="preserve"> archivo</w:t>
      </w:r>
      <w:r w:rsidR="00161FC5" w:rsidRPr="006A6598">
        <w:rPr>
          <w:rFonts w:ascii="Palatino Linotype" w:hAnsi="Palatino Linotype" w:cs="Arial"/>
        </w:rPr>
        <w:t xml:space="preserve"> </w:t>
      </w:r>
      <w:r w:rsidR="0070631A" w:rsidRPr="006A6598">
        <w:rPr>
          <w:rFonts w:ascii="Palatino Linotype" w:hAnsi="Palatino Linotype" w:cs="Arial"/>
        </w:rPr>
        <w:t xml:space="preserve">denominado </w:t>
      </w:r>
      <w:r w:rsidR="002E6671" w:rsidRPr="002E6671">
        <w:rPr>
          <w:rFonts w:ascii="Palatino Linotype" w:hAnsi="Palatino Linotype" w:cs="Arial"/>
          <w:b/>
          <w:i/>
        </w:rPr>
        <w:t>“OFICIO ENVIADO A SP.pdf”</w:t>
      </w:r>
      <w:r w:rsidR="0070631A" w:rsidRPr="006A6598">
        <w:rPr>
          <w:rFonts w:ascii="Palatino Linotype" w:hAnsi="Palatino Linotype" w:cs="Arial"/>
          <w:b/>
          <w:i/>
        </w:rPr>
        <w:t>,</w:t>
      </w:r>
      <w:r w:rsidR="0070631A" w:rsidRPr="006A6598">
        <w:rPr>
          <w:rFonts w:ascii="Palatino Linotype" w:hAnsi="Palatino Linotype" w:cs="Arial"/>
        </w:rPr>
        <w:t xml:space="preserve"> </w:t>
      </w:r>
      <w:r w:rsidR="006A6598" w:rsidRPr="006A6598">
        <w:rPr>
          <w:rFonts w:ascii="Palatino Linotype" w:hAnsi="Palatino Linotype" w:cs="Arial"/>
        </w:rPr>
        <w:t>el</w:t>
      </w:r>
      <w:r w:rsidR="006A6598" w:rsidRPr="006A6598">
        <w:rPr>
          <w:rFonts w:ascii="Palatino Linotype" w:hAnsi="Palatino Linotype" w:cs="Arial"/>
          <w:b/>
          <w:i/>
        </w:rPr>
        <w:t xml:space="preserve"> </w:t>
      </w:r>
      <w:r w:rsidR="006A6598">
        <w:rPr>
          <w:rFonts w:ascii="Palatino Linotype" w:hAnsi="Palatino Linotype" w:cs="Arial"/>
        </w:rPr>
        <w:t xml:space="preserve">cual </w:t>
      </w:r>
      <w:r w:rsidR="002E6671">
        <w:rPr>
          <w:rFonts w:ascii="Palatino Linotype" w:hAnsi="Palatino Linotype" w:cs="Arial"/>
        </w:rPr>
        <w:t>consiste en un oficio signado por la Coordinadora de la Unidad de Transparencia, dirigido al Director de Seguridad Pública, Tránsito y Vialidad a efecto de requerirle la información materia de la solicitud.</w:t>
      </w:r>
    </w:p>
    <w:p w14:paraId="20258832" w14:textId="382966E0" w:rsidR="006A6598" w:rsidRDefault="006A6598" w:rsidP="006A6598">
      <w:pPr>
        <w:spacing w:before="240" w:after="240" w:line="360" w:lineRule="auto"/>
        <w:jc w:val="both"/>
        <w:rPr>
          <w:rFonts w:ascii="Palatino Linotype" w:hAnsi="Palatino Linotype" w:cs="Arial"/>
          <w:bCs/>
        </w:rPr>
      </w:pPr>
      <w:r w:rsidRPr="00815910">
        <w:rPr>
          <w:rFonts w:ascii="Palatino Linotype" w:hAnsi="Palatino Linotype" w:cs="Arial"/>
          <w:bCs/>
        </w:rPr>
        <w:t>Conocida la respuesta p</w:t>
      </w:r>
      <w:r>
        <w:rPr>
          <w:rFonts w:ascii="Palatino Linotype" w:hAnsi="Palatino Linotype" w:cs="Arial"/>
          <w:bCs/>
        </w:rPr>
        <w:t>or la</w:t>
      </w:r>
      <w:r w:rsidRPr="00815910">
        <w:rPr>
          <w:rFonts w:ascii="Palatino Linotype" w:hAnsi="Palatino Linotype" w:cs="Arial"/>
          <w:bCs/>
        </w:rPr>
        <w:t xml:space="preserve"> particular, al no estar conforme con los términos de la misma,</w:t>
      </w:r>
      <w:r>
        <w:rPr>
          <w:rFonts w:ascii="Palatino Linotype" w:hAnsi="Palatino Linotype" w:cs="Arial"/>
          <w:bCs/>
        </w:rPr>
        <w:t xml:space="preserve"> interpuso el </w:t>
      </w:r>
      <w:r w:rsidRPr="00815910">
        <w:rPr>
          <w:rFonts w:ascii="Palatino Linotype" w:hAnsi="Palatino Linotype" w:cs="Arial"/>
          <w:bCs/>
        </w:rPr>
        <w:t xml:space="preserve">recurso de revisión que nos ocupa, donde señaló como motivos de inconformidad </w:t>
      </w:r>
      <w:r w:rsidR="009D6108">
        <w:rPr>
          <w:rFonts w:ascii="Palatino Linotype" w:hAnsi="Palatino Linotype" w:cs="Arial"/>
          <w:bCs/>
        </w:rPr>
        <w:t>la falta</w:t>
      </w:r>
      <w:r>
        <w:rPr>
          <w:rFonts w:ascii="Palatino Linotype" w:hAnsi="Palatino Linotype" w:cs="Arial"/>
          <w:bCs/>
        </w:rPr>
        <w:t xml:space="preserve"> de</w:t>
      </w:r>
      <w:r w:rsidR="002E6671">
        <w:rPr>
          <w:rFonts w:ascii="Palatino Linotype" w:hAnsi="Palatino Linotype" w:cs="Arial"/>
          <w:bCs/>
        </w:rPr>
        <w:t xml:space="preserve"> respuesta por parte del Sujeto Obligado.</w:t>
      </w:r>
    </w:p>
    <w:p w14:paraId="5AE6A15B" w14:textId="780FAF98" w:rsidR="006A6598" w:rsidRDefault="006A6598" w:rsidP="006A6598">
      <w:pPr>
        <w:autoSpaceDE w:val="0"/>
        <w:autoSpaceDN w:val="0"/>
        <w:adjustRightInd w:val="0"/>
        <w:spacing w:line="360" w:lineRule="auto"/>
        <w:jc w:val="both"/>
        <w:rPr>
          <w:rFonts w:ascii="Palatino Linotype" w:eastAsia="Calibri" w:hAnsi="Palatino Linotype"/>
          <w:color w:val="000000"/>
          <w:lang w:eastAsia="en-US"/>
        </w:rPr>
      </w:pPr>
      <w:r>
        <w:rPr>
          <w:rFonts w:ascii="Palatino Linotype" w:hAnsi="Palatino Linotype" w:cs="Arial"/>
          <w:bCs/>
        </w:rPr>
        <w:t xml:space="preserve">De manera que </w:t>
      </w:r>
      <w:r>
        <w:rPr>
          <w:rFonts w:ascii="Palatino Linotype" w:eastAsia="Calibri" w:hAnsi="Palatino Linotype"/>
          <w:color w:val="000000"/>
          <w:lang w:eastAsia="en-US"/>
        </w:rPr>
        <w:t xml:space="preserve">con lo anteriormente expuesto, este órgano garante determina que </w:t>
      </w:r>
      <w:r w:rsidRPr="000F5036">
        <w:rPr>
          <w:rFonts w:ascii="Palatino Linotype" w:eastAsia="Calibri" w:hAnsi="Palatino Linotype"/>
          <w:color w:val="000000"/>
          <w:lang w:eastAsia="en-US"/>
        </w:rPr>
        <w:t xml:space="preserve"> los motivos de inconformidad resultan </w:t>
      </w:r>
      <w:r w:rsidRPr="000F5036">
        <w:rPr>
          <w:rFonts w:ascii="Palatino Linotype" w:eastAsia="Calibri" w:hAnsi="Palatino Linotype"/>
          <w:b/>
          <w:color w:val="000000"/>
          <w:lang w:eastAsia="en-US"/>
        </w:rPr>
        <w:t>fundados</w:t>
      </w:r>
      <w:r w:rsidRPr="000F5036">
        <w:rPr>
          <w:rFonts w:ascii="Palatino Linotype" w:eastAsia="Calibri" w:hAnsi="Palatino Linotype"/>
          <w:color w:val="000000"/>
          <w:lang w:eastAsia="en-US"/>
        </w:rPr>
        <w:t>, toda vez que el Recur</w:t>
      </w:r>
      <w:r w:rsidR="001960D5">
        <w:rPr>
          <w:rFonts w:ascii="Palatino Linotype" w:eastAsia="Calibri" w:hAnsi="Palatino Linotype"/>
          <w:color w:val="000000"/>
          <w:lang w:eastAsia="en-US"/>
        </w:rPr>
        <w:t>rente adujo que no se le entregó</w:t>
      </w:r>
      <w:r w:rsidRPr="000F5036">
        <w:rPr>
          <w:rFonts w:ascii="Palatino Linotype" w:eastAsia="Calibri" w:hAnsi="Palatino Linotype"/>
          <w:color w:val="000000"/>
          <w:lang w:eastAsia="en-US"/>
        </w:rPr>
        <w:t xml:space="preserve"> la</w:t>
      </w:r>
      <w:r w:rsidR="002E6671">
        <w:rPr>
          <w:rFonts w:ascii="Palatino Linotype" w:eastAsia="Calibri" w:hAnsi="Palatino Linotype"/>
          <w:color w:val="000000"/>
          <w:lang w:eastAsia="en-US"/>
        </w:rPr>
        <w:t xml:space="preserve"> información solicitada.</w:t>
      </w:r>
    </w:p>
    <w:p w14:paraId="4EDD03FD" w14:textId="203D7FCC" w:rsidR="00E33662" w:rsidRPr="00E33662" w:rsidRDefault="002E6671" w:rsidP="00E33662">
      <w:pPr>
        <w:spacing w:before="240" w:after="240" w:line="360" w:lineRule="auto"/>
        <w:ind w:right="49"/>
        <w:jc w:val="both"/>
        <w:rPr>
          <w:rFonts w:ascii="Palatino Linotype" w:hAnsi="Palatino Linotype" w:cs="Arial"/>
          <w:lang w:val="es-ES" w:eastAsia="es-ES"/>
        </w:rPr>
      </w:pPr>
      <w:r>
        <w:rPr>
          <w:rFonts w:ascii="Palatino Linotype" w:eastAsia="Calibri" w:hAnsi="Palatino Linotype" w:cs="Arial"/>
          <w:lang w:val="es-ES" w:eastAsia="es-ES"/>
        </w:rPr>
        <w:t>E</w:t>
      </w:r>
      <w:r w:rsidR="001960D5">
        <w:rPr>
          <w:rFonts w:ascii="Palatino Linotype" w:hAnsi="Palatino Linotype" w:cs="Arial"/>
          <w:lang w:val="es-ES" w:eastAsia="es-ES"/>
        </w:rPr>
        <w:t xml:space="preserve">s importante resaltar </w:t>
      </w:r>
      <w:r w:rsidR="00E33662" w:rsidRPr="00E33662">
        <w:rPr>
          <w:rFonts w:ascii="Palatino Linotype" w:hAnsi="Palatino Linotype" w:cs="Arial"/>
          <w:lang w:val="es-ES" w:eastAsia="es-ES"/>
        </w:rPr>
        <w:t xml:space="preserve">que el derecho de acceso a información pública, es un derecho humano, mismo que en términos del artículo 1° de la Constitución Política de los Estados Unidos Mexicanos, toda autoridad tiene la ineludible obligación de promoverlo, respetarlo, protegerlo y garantizarlo, lo que deriva en que se deben reparar las violaciones al derecho humano en cuestión, incluso se prevé que se deberán interpretar las normas favoreciendo en todo tiempo a las personas con la protección más amplia. </w:t>
      </w:r>
    </w:p>
    <w:p w14:paraId="0FEED210" w14:textId="77777777" w:rsidR="00E33662" w:rsidRPr="00E33662" w:rsidRDefault="00E33662" w:rsidP="00E33662">
      <w:pPr>
        <w:spacing w:before="240" w:after="240" w:line="360" w:lineRule="auto"/>
        <w:jc w:val="both"/>
        <w:rPr>
          <w:rFonts w:ascii="Palatino Linotype" w:hAnsi="Palatino Linotype" w:cs="Arial"/>
          <w:lang w:val="es-ES" w:eastAsia="es-ES"/>
        </w:rPr>
      </w:pPr>
      <w:r w:rsidRPr="00E33662">
        <w:rPr>
          <w:rFonts w:ascii="Palatino Linotype" w:hAnsi="Palatino Linotype" w:cs="Arial"/>
          <w:lang w:val="es-ES" w:eastAsia="es-ES"/>
        </w:rPr>
        <w:lastRenderedPageBreak/>
        <w:t xml:space="preserve">Así mismo, resulta indispensable referir que el derecho de acceso a la información pública implica que cualquier persona pueda acceder y conocer la información contenida en los documentos que se encuentran en posesión de los Sujetos Obligados. </w:t>
      </w:r>
    </w:p>
    <w:p w14:paraId="57FD586C" w14:textId="77777777" w:rsidR="00E33662" w:rsidRPr="00E33662" w:rsidRDefault="00E33662" w:rsidP="00E33662">
      <w:pPr>
        <w:spacing w:before="240" w:after="240" w:line="360" w:lineRule="auto"/>
        <w:jc w:val="both"/>
        <w:rPr>
          <w:rFonts w:ascii="Palatino Linotype" w:hAnsi="Palatino Linotype" w:cs="Arial"/>
          <w:lang w:val="es-ES" w:eastAsia="es-ES"/>
        </w:rPr>
      </w:pPr>
      <w:r w:rsidRPr="00E33662">
        <w:rPr>
          <w:rFonts w:ascii="Palatino Linotype" w:hAnsi="Palatino Linotype" w:cs="Arial"/>
          <w:lang w:val="es-ES" w:eastAsia="es-ES"/>
        </w:rPr>
        <w:t xml:space="preserve">De manera que, la obligación de acceso a la información se tendrá por cumplida cuando el solicitante tenga a su disposición la información requerida, o cuando realice su consulta en el lugar que ésta se localice, conforme a los artículos 3 fracción XI, XII 4, 12 y 24 último párrafo </w:t>
      </w:r>
      <w:r w:rsidRPr="00E33662">
        <w:rPr>
          <w:rFonts w:ascii="Palatino Linotype" w:hAnsi="Palatino Linotype" w:cs="Arial"/>
          <w:bCs/>
          <w:lang w:val="es-ES" w:eastAsia="es-ES"/>
        </w:rPr>
        <w:t>de la Ley de Transparencia y Acceso a la Información Pública del Estado de México y Municipios</w:t>
      </w:r>
      <w:r w:rsidRPr="00E33662">
        <w:rPr>
          <w:rFonts w:ascii="Palatino Linotype" w:hAnsi="Palatino Linotype" w:cs="Arial"/>
          <w:lang w:val="es-ES" w:eastAsia="es-ES"/>
        </w:rPr>
        <w:t>:</w:t>
      </w:r>
    </w:p>
    <w:p w14:paraId="2D36124F" w14:textId="77777777" w:rsidR="00E33662" w:rsidRPr="00E33662" w:rsidRDefault="00E33662" w:rsidP="00E33662">
      <w:pPr>
        <w:spacing w:before="120" w:after="120"/>
        <w:ind w:left="567" w:right="902"/>
        <w:jc w:val="both"/>
        <w:rPr>
          <w:rFonts w:ascii="Palatino Linotype" w:hAnsi="Palatino Linotype"/>
          <w:bCs/>
          <w:i/>
          <w:sz w:val="22"/>
          <w:szCs w:val="22"/>
          <w:lang w:val="es-ES" w:eastAsia="es-ES"/>
        </w:rPr>
      </w:pPr>
      <w:r w:rsidRPr="00E33662">
        <w:rPr>
          <w:rFonts w:ascii="Palatino Linotype" w:hAnsi="Palatino Linotype"/>
          <w:b/>
          <w:bCs/>
          <w:i/>
          <w:sz w:val="22"/>
          <w:szCs w:val="22"/>
          <w:lang w:val="es-ES" w:eastAsia="es-ES"/>
        </w:rPr>
        <w:t xml:space="preserve">“Artículo 3. </w:t>
      </w:r>
      <w:r w:rsidRPr="00E33662">
        <w:rPr>
          <w:rFonts w:ascii="Palatino Linotype" w:hAnsi="Palatino Linotype"/>
          <w:bCs/>
          <w:i/>
          <w:sz w:val="22"/>
          <w:szCs w:val="22"/>
          <w:lang w:val="es-ES" w:eastAsia="es-ES"/>
        </w:rPr>
        <w:t>Para los efectos de la presente Ley se entenderá por:</w:t>
      </w:r>
    </w:p>
    <w:p w14:paraId="0E6929D5" w14:textId="77777777" w:rsidR="00E33662" w:rsidRPr="00E33662" w:rsidRDefault="00E33662" w:rsidP="00E33662">
      <w:pPr>
        <w:spacing w:before="120" w:after="120"/>
        <w:ind w:left="567" w:right="902"/>
        <w:jc w:val="both"/>
        <w:rPr>
          <w:rFonts w:ascii="Palatino Linotype" w:hAnsi="Palatino Linotype"/>
          <w:i/>
          <w:sz w:val="22"/>
          <w:szCs w:val="22"/>
          <w:lang w:val="es-ES" w:eastAsia="es-ES"/>
        </w:rPr>
      </w:pPr>
      <w:r w:rsidRPr="00E33662">
        <w:rPr>
          <w:rFonts w:ascii="Palatino Linotype" w:hAnsi="Palatino Linotype"/>
          <w:i/>
          <w:sz w:val="22"/>
          <w:szCs w:val="22"/>
          <w:lang w:val="es-ES" w:eastAsia="es-ES"/>
        </w:rPr>
        <w:t>(…)</w:t>
      </w:r>
    </w:p>
    <w:p w14:paraId="73768EA4" w14:textId="77777777" w:rsidR="00E33662" w:rsidRPr="00E33662" w:rsidRDefault="00E33662" w:rsidP="00E33662">
      <w:pPr>
        <w:spacing w:before="120" w:after="120"/>
        <w:ind w:left="567" w:right="902"/>
        <w:jc w:val="both"/>
        <w:rPr>
          <w:rFonts w:ascii="Palatino Linotype" w:hAnsi="Palatino Linotype"/>
          <w:i/>
          <w:sz w:val="22"/>
          <w:szCs w:val="22"/>
          <w:lang w:val="es-ES" w:eastAsia="es-ES"/>
        </w:rPr>
      </w:pPr>
      <w:r w:rsidRPr="00E33662">
        <w:rPr>
          <w:rFonts w:ascii="Palatino Linotype" w:hAnsi="Palatino Linotype"/>
          <w:b/>
          <w:bCs/>
          <w:i/>
          <w:sz w:val="22"/>
          <w:szCs w:val="22"/>
          <w:lang w:val="es-ES" w:eastAsia="es-ES"/>
        </w:rPr>
        <w:t xml:space="preserve">XI. Documento: </w:t>
      </w:r>
      <w:r w:rsidRPr="00E33662">
        <w:rPr>
          <w:rFonts w:ascii="Palatino Linotype" w:hAnsi="Palatino Linotype"/>
          <w:i/>
          <w:sz w:val="22"/>
          <w:szCs w:val="22"/>
          <w:lang w:val="es-ES" w:eastAsia="es-ES"/>
        </w:rPr>
        <w:t>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264B279C" w14:textId="77777777" w:rsidR="00E33662" w:rsidRPr="00E33662" w:rsidRDefault="00E33662" w:rsidP="00E33662">
      <w:pPr>
        <w:spacing w:before="120" w:after="120"/>
        <w:ind w:left="567" w:right="902"/>
        <w:jc w:val="both"/>
        <w:rPr>
          <w:rFonts w:ascii="Palatino Linotype" w:hAnsi="Palatino Linotype"/>
          <w:bCs/>
          <w:i/>
          <w:sz w:val="22"/>
          <w:szCs w:val="22"/>
          <w:lang w:val="es-ES" w:eastAsia="es-ES"/>
        </w:rPr>
      </w:pPr>
      <w:r w:rsidRPr="00E33662">
        <w:rPr>
          <w:rFonts w:ascii="Palatino Linotype" w:hAnsi="Palatino Linotype"/>
          <w:b/>
          <w:bCs/>
          <w:i/>
          <w:sz w:val="22"/>
          <w:szCs w:val="22"/>
          <w:lang w:val="es-ES" w:eastAsia="es-ES"/>
        </w:rPr>
        <w:t>XII. Documento electrónico:</w:t>
      </w:r>
      <w:r w:rsidRPr="00E33662">
        <w:rPr>
          <w:rFonts w:ascii="Palatino Linotype" w:hAnsi="Palatino Linotype"/>
          <w:bCs/>
          <w:i/>
          <w:sz w:val="22"/>
          <w:szCs w:val="22"/>
          <w:lang w:val="es-ES" w:eastAsia="es-ES"/>
        </w:rPr>
        <w:t xml:space="preserve"> Al soporte escrito con caracteres alfanuméricos, archivo de imagen, video, audio o cualquier otro formato tecnológicamente disponible, que contenga información en lenguaje natural o convencional, intercambiado por medios electrónicos, con el que sea posible dar constancia de un hecho y que esté signado con la firma electrónica avanzada y/o en el que se encuentre plasmado el sello electrónico;</w:t>
      </w:r>
    </w:p>
    <w:p w14:paraId="2C3B533B" w14:textId="77777777" w:rsidR="00E33662" w:rsidRPr="00E33662" w:rsidRDefault="00E33662" w:rsidP="00E33662">
      <w:pPr>
        <w:spacing w:before="120" w:after="120"/>
        <w:ind w:left="851" w:right="902"/>
        <w:jc w:val="both"/>
        <w:rPr>
          <w:rFonts w:ascii="Palatino Linotype" w:hAnsi="Palatino Linotype"/>
          <w:i/>
          <w:sz w:val="22"/>
          <w:szCs w:val="22"/>
          <w:lang w:val="es-ES" w:eastAsia="es-ES"/>
        </w:rPr>
      </w:pPr>
      <w:r w:rsidRPr="00E33662">
        <w:rPr>
          <w:rFonts w:ascii="Palatino Linotype" w:hAnsi="Palatino Linotype"/>
          <w:i/>
          <w:sz w:val="22"/>
          <w:szCs w:val="22"/>
          <w:lang w:val="es-ES" w:eastAsia="es-ES"/>
        </w:rPr>
        <w:t>(…)</w:t>
      </w:r>
    </w:p>
    <w:p w14:paraId="7AF4C3D0" w14:textId="77777777" w:rsidR="00E33662" w:rsidRPr="00E33662" w:rsidRDefault="00E33662" w:rsidP="00E33662">
      <w:pPr>
        <w:spacing w:before="120" w:after="120"/>
        <w:ind w:left="567" w:right="902"/>
        <w:jc w:val="both"/>
        <w:rPr>
          <w:rFonts w:ascii="Palatino Linotype" w:hAnsi="Palatino Linotype"/>
          <w:bCs/>
          <w:i/>
          <w:sz w:val="22"/>
          <w:szCs w:val="22"/>
          <w:lang w:val="es-ES" w:eastAsia="es-ES"/>
        </w:rPr>
      </w:pPr>
      <w:r w:rsidRPr="00E33662">
        <w:rPr>
          <w:rFonts w:ascii="Palatino Linotype" w:hAnsi="Palatino Linotype"/>
          <w:b/>
          <w:bCs/>
          <w:i/>
          <w:sz w:val="22"/>
          <w:szCs w:val="22"/>
          <w:lang w:val="es-ES" w:eastAsia="es-ES"/>
        </w:rPr>
        <w:t>Artículo 4. El derecho humano de acceso a la información pública es la prerrogativa de las personas para buscar, difundir, investigar, recabar, recibir y solicitar información pública</w:t>
      </w:r>
      <w:r w:rsidRPr="00E33662">
        <w:rPr>
          <w:rFonts w:ascii="Palatino Linotype" w:hAnsi="Palatino Linotype"/>
          <w:bCs/>
          <w:i/>
          <w:sz w:val="22"/>
          <w:szCs w:val="22"/>
          <w:lang w:val="es-ES" w:eastAsia="es-ES"/>
        </w:rPr>
        <w:t>, sin necesidad de acreditar personalidad ni interés jurídico.</w:t>
      </w:r>
    </w:p>
    <w:p w14:paraId="1B090A69" w14:textId="77777777" w:rsidR="00E33662" w:rsidRPr="00E33662" w:rsidRDefault="00E33662" w:rsidP="00E33662">
      <w:pPr>
        <w:spacing w:before="120" w:after="120"/>
        <w:ind w:left="567" w:right="902"/>
        <w:jc w:val="both"/>
        <w:rPr>
          <w:rFonts w:ascii="Palatino Linotype" w:hAnsi="Palatino Linotype"/>
          <w:i/>
          <w:sz w:val="22"/>
          <w:szCs w:val="22"/>
          <w:lang w:val="es-ES" w:eastAsia="es-ES"/>
        </w:rPr>
      </w:pPr>
      <w:r w:rsidRPr="00E33662">
        <w:rPr>
          <w:rFonts w:ascii="Palatino Linotype" w:hAnsi="Palatino Linotype"/>
          <w:b/>
          <w:i/>
          <w:sz w:val="22"/>
          <w:szCs w:val="22"/>
          <w:lang w:val="es-ES" w:eastAsia="es-ES"/>
        </w:rPr>
        <w:lastRenderedPageBreak/>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w:t>
      </w:r>
      <w:r w:rsidRPr="00E33662">
        <w:rPr>
          <w:rFonts w:ascii="Palatino Linotype" w:hAnsi="Palatino Linotype"/>
          <w:i/>
          <w:sz w:val="22"/>
          <w:szCs w:val="22"/>
          <w:lang w:val="es-ES" w:eastAsia="es-ES"/>
        </w:rPr>
        <w:t xml:space="preserve"> Solo podrá ser clasificada excepcionalmente como reservada temporalmente por razones de interés público, en los términos de las causas legítimas y estrictamente necesarias previstas por esta Ley.</w:t>
      </w:r>
    </w:p>
    <w:p w14:paraId="44E11DC2" w14:textId="77777777" w:rsidR="00E33662" w:rsidRPr="00E33662" w:rsidRDefault="00E33662" w:rsidP="00E33662">
      <w:pPr>
        <w:spacing w:before="120" w:after="120"/>
        <w:ind w:left="567" w:right="902"/>
        <w:jc w:val="both"/>
        <w:rPr>
          <w:rFonts w:ascii="Palatino Linotype" w:hAnsi="Palatino Linotype"/>
          <w:i/>
          <w:sz w:val="22"/>
          <w:szCs w:val="22"/>
          <w:lang w:val="es-ES" w:eastAsia="es-ES"/>
        </w:rPr>
      </w:pPr>
      <w:r w:rsidRPr="00E33662">
        <w:rPr>
          <w:rFonts w:ascii="Palatino Linotype" w:hAnsi="Palatino Linotype"/>
          <w:i/>
          <w:sz w:val="22"/>
          <w:szCs w:val="22"/>
          <w:lang w:val="es-ES" w:eastAsia="es-ES"/>
        </w:rPr>
        <w:t>Los sujetos obligados deben poner en práctica, políticas y programas de acceso a la información que se apeguen a criterios de publicidad, veracidad, oportunidad, precisión y suficiencia en beneficio de los solicitantes.</w:t>
      </w:r>
    </w:p>
    <w:p w14:paraId="0B3F7D7C" w14:textId="77777777" w:rsidR="00E33662" w:rsidRPr="00E33662" w:rsidRDefault="00E33662" w:rsidP="00E33662">
      <w:pPr>
        <w:spacing w:before="120" w:after="120"/>
        <w:ind w:left="567" w:right="902"/>
        <w:jc w:val="both"/>
        <w:rPr>
          <w:rFonts w:ascii="Palatino Linotype" w:hAnsi="Palatino Linotype"/>
          <w:i/>
          <w:sz w:val="22"/>
          <w:szCs w:val="22"/>
          <w:lang w:val="es-ES" w:eastAsia="es-ES"/>
        </w:rPr>
      </w:pPr>
      <w:r w:rsidRPr="00E33662">
        <w:rPr>
          <w:rFonts w:ascii="Palatino Linotype" w:hAnsi="Palatino Linotype"/>
          <w:b/>
          <w:bCs/>
          <w:i/>
          <w:sz w:val="22"/>
          <w:szCs w:val="22"/>
          <w:lang w:val="es-ES" w:eastAsia="es-ES"/>
        </w:rPr>
        <w:t xml:space="preserve">Artículo 12. </w:t>
      </w:r>
      <w:r w:rsidRPr="00E33662">
        <w:rPr>
          <w:rFonts w:ascii="Palatino Linotype" w:hAnsi="Palatino Linotype"/>
          <w:i/>
          <w:sz w:val="22"/>
          <w:szCs w:val="22"/>
          <w:lang w:val="es-ES" w:eastAsia="es-ES"/>
        </w:rPr>
        <w:t>Quienes generen, recopilen, administren, manejen, procesen, archiven o conserven información pública serán responsables de la misma en los términos de las disposiciones jurídicas aplicables.</w:t>
      </w:r>
    </w:p>
    <w:p w14:paraId="1DBDC801" w14:textId="77777777" w:rsidR="00E33662" w:rsidRPr="00E33662" w:rsidRDefault="00E33662" w:rsidP="00E33662">
      <w:pPr>
        <w:spacing w:before="120" w:after="120"/>
        <w:ind w:left="567" w:right="902"/>
        <w:jc w:val="both"/>
        <w:rPr>
          <w:rFonts w:ascii="Palatino Linotype" w:hAnsi="Palatino Linotype"/>
          <w:i/>
          <w:sz w:val="22"/>
          <w:szCs w:val="22"/>
          <w:lang w:val="es-ES" w:eastAsia="es-ES"/>
        </w:rPr>
      </w:pPr>
      <w:r w:rsidRPr="00E33662">
        <w:rPr>
          <w:rFonts w:ascii="Palatino Linotype" w:hAnsi="Palatino Linotype"/>
          <w:i/>
          <w:sz w:val="22"/>
          <w:szCs w:val="22"/>
          <w:lang w:val="es-ES" w:eastAsia="es-ES"/>
        </w:rPr>
        <w:t>Los sujetos obligados sólo proporcionarán la información pública que se les requiera y que obre en sus archivos y en el estado en que ésta se encuentre</w:t>
      </w:r>
      <w:r w:rsidRPr="00E33662">
        <w:rPr>
          <w:rFonts w:ascii="Palatino Linotype" w:hAnsi="Palatino Linotype"/>
          <w:i/>
          <w:sz w:val="22"/>
          <w:szCs w:val="22"/>
          <w:u w:val="single"/>
          <w:lang w:val="es-ES" w:eastAsia="es-ES"/>
        </w:rPr>
        <w:t>.</w:t>
      </w:r>
      <w:r w:rsidRPr="00E33662">
        <w:rPr>
          <w:rFonts w:ascii="Palatino Linotype" w:hAnsi="Palatino Linotype"/>
          <w:i/>
          <w:sz w:val="22"/>
          <w:szCs w:val="22"/>
          <w:lang w:val="es-ES" w:eastAsia="es-ES"/>
        </w:rPr>
        <w:t xml:space="preserve"> La obligación de proporcionar información no comprende el procesamiento de la misma, ni el presentarla conforme al interés del solicitante; no estarán obligados a generarla, resumirla, efectuar cálculos o practicar investigaciones. </w:t>
      </w:r>
    </w:p>
    <w:p w14:paraId="14AE8C8F" w14:textId="77777777" w:rsidR="00E33662" w:rsidRPr="00E33662" w:rsidRDefault="00E33662" w:rsidP="00E33662">
      <w:pPr>
        <w:spacing w:before="120" w:after="120"/>
        <w:ind w:left="567" w:right="902"/>
        <w:jc w:val="both"/>
        <w:rPr>
          <w:rFonts w:ascii="Palatino Linotype" w:hAnsi="Palatino Linotype"/>
          <w:i/>
          <w:sz w:val="22"/>
          <w:szCs w:val="22"/>
          <w:lang w:val="es-ES" w:eastAsia="es-ES"/>
        </w:rPr>
      </w:pPr>
      <w:r w:rsidRPr="00E33662">
        <w:rPr>
          <w:rFonts w:ascii="Palatino Linotype" w:hAnsi="Palatino Linotype"/>
          <w:i/>
          <w:sz w:val="22"/>
          <w:szCs w:val="22"/>
          <w:lang w:val="es-ES" w:eastAsia="es-ES"/>
        </w:rPr>
        <w:t>(…)</w:t>
      </w:r>
    </w:p>
    <w:p w14:paraId="0752F44A" w14:textId="77777777" w:rsidR="00E33662" w:rsidRPr="00E33662" w:rsidRDefault="00E33662" w:rsidP="00E33662">
      <w:pPr>
        <w:spacing w:before="120" w:after="120"/>
        <w:ind w:left="567" w:right="902"/>
        <w:jc w:val="both"/>
        <w:rPr>
          <w:rFonts w:ascii="Palatino Linotype" w:hAnsi="Palatino Linotype"/>
          <w:i/>
          <w:sz w:val="22"/>
          <w:szCs w:val="22"/>
          <w:lang w:val="es-ES" w:eastAsia="es-ES"/>
        </w:rPr>
      </w:pPr>
      <w:r w:rsidRPr="00E33662">
        <w:rPr>
          <w:rFonts w:ascii="Palatino Linotype" w:hAnsi="Palatino Linotype"/>
          <w:b/>
          <w:bCs/>
          <w:i/>
          <w:sz w:val="22"/>
          <w:szCs w:val="22"/>
          <w:lang w:val="es-ES" w:eastAsia="es-ES"/>
        </w:rPr>
        <w:t xml:space="preserve">Artículo 24. </w:t>
      </w:r>
      <w:r w:rsidRPr="00E33662">
        <w:rPr>
          <w:rFonts w:ascii="Palatino Linotype" w:hAnsi="Palatino Linotype"/>
          <w:i/>
          <w:sz w:val="22"/>
          <w:szCs w:val="22"/>
          <w:lang w:val="es-ES" w:eastAsia="es-ES"/>
        </w:rPr>
        <w:t>Para el cumplimiento de los objetivos de esta Ley, los sujetos obligados deberán cumplir con las siguientes obligaciones, según corresponda, de acuerdo a su naturaleza:</w:t>
      </w:r>
    </w:p>
    <w:p w14:paraId="1472600D" w14:textId="77777777" w:rsidR="00E33662" w:rsidRPr="00E33662" w:rsidRDefault="00E33662" w:rsidP="00E33662">
      <w:pPr>
        <w:spacing w:before="120" w:after="120"/>
        <w:ind w:left="567" w:right="902"/>
        <w:jc w:val="both"/>
        <w:rPr>
          <w:rFonts w:ascii="Palatino Linotype" w:hAnsi="Palatino Linotype"/>
          <w:i/>
          <w:sz w:val="22"/>
          <w:szCs w:val="22"/>
          <w:lang w:val="es-ES" w:eastAsia="es-ES"/>
        </w:rPr>
      </w:pPr>
      <w:r w:rsidRPr="00E33662">
        <w:rPr>
          <w:rFonts w:ascii="Palatino Linotype" w:hAnsi="Palatino Linotype"/>
          <w:bCs/>
          <w:i/>
          <w:sz w:val="22"/>
          <w:szCs w:val="22"/>
          <w:lang w:val="es-ES" w:eastAsia="es-ES"/>
        </w:rPr>
        <w:t>(..</w:t>
      </w:r>
      <w:r w:rsidRPr="00E33662">
        <w:rPr>
          <w:rFonts w:ascii="Palatino Linotype" w:hAnsi="Palatino Linotype"/>
          <w:i/>
          <w:sz w:val="22"/>
          <w:szCs w:val="22"/>
          <w:lang w:val="es-ES" w:eastAsia="es-ES"/>
        </w:rPr>
        <w:t>.)</w:t>
      </w:r>
    </w:p>
    <w:p w14:paraId="02DB89CD" w14:textId="77777777" w:rsidR="00E33662" w:rsidRPr="00E33662" w:rsidRDefault="00E33662" w:rsidP="00E33662">
      <w:pPr>
        <w:spacing w:before="120" w:after="120"/>
        <w:ind w:left="567" w:right="902"/>
        <w:jc w:val="both"/>
        <w:rPr>
          <w:rFonts w:ascii="Palatino Linotype" w:hAnsi="Palatino Linotype"/>
          <w:bCs/>
          <w:i/>
          <w:sz w:val="22"/>
          <w:szCs w:val="22"/>
          <w:u w:val="single"/>
          <w:lang w:val="es-ES" w:eastAsia="es-ES"/>
        </w:rPr>
      </w:pPr>
      <w:r w:rsidRPr="00E33662">
        <w:rPr>
          <w:rFonts w:ascii="Palatino Linotype" w:hAnsi="Palatino Linotype"/>
          <w:b/>
          <w:bCs/>
          <w:i/>
          <w:sz w:val="22"/>
          <w:szCs w:val="22"/>
          <w:lang w:val="es-ES" w:eastAsia="es-ES"/>
        </w:rPr>
        <w:t>IX.</w:t>
      </w:r>
      <w:r w:rsidRPr="00E33662">
        <w:rPr>
          <w:rFonts w:ascii="Palatino Linotype" w:hAnsi="Palatino Linotype"/>
          <w:bCs/>
          <w:i/>
          <w:sz w:val="22"/>
          <w:szCs w:val="22"/>
          <w:lang w:val="es-ES" w:eastAsia="es-ES"/>
        </w:rPr>
        <w:t xml:space="preserve"> </w:t>
      </w:r>
      <w:r w:rsidRPr="00E33662">
        <w:rPr>
          <w:rFonts w:ascii="Palatino Linotype" w:hAnsi="Palatino Linotype"/>
          <w:bCs/>
          <w:i/>
          <w:sz w:val="22"/>
          <w:szCs w:val="22"/>
          <w:u w:val="single"/>
          <w:lang w:val="es-ES" w:eastAsia="es-ES"/>
        </w:rPr>
        <w:t>Fomentar el uso de tecnologías de la información para garantizar la transparencia, el derecho de acceso a la información y la accesibilidad a éstos;</w:t>
      </w:r>
    </w:p>
    <w:p w14:paraId="3B421DFE" w14:textId="77777777" w:rsidR="00E33662" w:rsidRPr="00E33662" w:rsidRDefault="00E33662" w:rsidP="00E33662">
      <w:pPr>
        <w:spacing w:before="120" w:after="120"/>
        <w:ind w:left="567" w:right="902"/>
        <w:jc w:val="both"/>
        <w:rPr>
          <w:rFonts w:ascii="Palatino Linotype" w:hAnsi="Palatino Linotype"/>
          <w:b/>
          <w:bCs/>
          <w:i/>
          <w:sz w:val="22"/>
          <w:szCs w:val="22"/>
          <w:lang w:val="es-ES" w:eastAsia="es-ES"/>
        </w:rPr>
      </w:pPr>
      <w:r w:rsidRPr="00E33662">
        <w:rPr>
          <w:rFonts w:ascii="Palatino Linotype" w:hAnsi="Palatino Linotype"/>
          <w:b/>
          <w:bCs/>
          <w:i/>
          <w:sz w:val="22"/>
          <w:szCs w:val="22"/>
          <w:lang w:val="es-ES" w:eastAsia="es-ES"/>
        </w:rPr>
        <w:t>(…)</w:t>
      </w:r>
    </w:p>
    <w:p w14:paraId="72856CAB" w14:textId="77777777" w:rsidR="00E33662" w:rsidRPr="00E33662" w:rsidRDefault="00E33662" w:rsidP="00E33662">
      <w:pPr>
        <w:spacing w:before="120" w:after="120"/>
        <w:ind w:left="567" w:right="902"/>
        <w:jc w:val="both"/>
        <w:rPr>
          <w:rFonts w:ascii="Palatino Linotype" w:hAnsi="Palatino Linotype"/>
          <w:bCs/>
          <w:i/>
          <w:sz w:val="22"/>
          <w:szCs w:val="22"/>
          <w:lang w:val="es-ES" w:eastAsia="es-ES"/>
        </w:rPr>
      </w:pPr>
      <w:r w:rsidRPr="00E33662">
        <w:rPr>
          <w:rFonts w:ascii="Palatino Linotype" w:hAnsi="Palatino Linotype"/>
          <w:b/>
          <w:bCs/>
          <w:i/>
          <w:sz w:val="22"/>
          <w:szCs w:val="22"/>
          <w:lang w:val="es-ES" w:eastAsia="es-ES"/>
        </w:rPr>
        <w:t>XI.</w:t>
      </w:r>
      <w:r w:rsidRPr="00E33662">
        <w:rPr>
          <w:rFonts w:ascii="Palatino Linotype" w:hAnsi="Palatino Linotype"/>
          <w:bCs/>
          <w:i/>
          <w:sz w:val="22"/>
          <w:szCs w:val="22"/>
          <w:lang w:val="es-ES" w:eastAsia="es-ES"/>
        </w:rPr>
        <w:t xml:space="preserve"> Dar acceso a la información pública que le sea requerida, en los términos de la Ley General, esta Ley y demás disposiciones jurídicas aplicables;</w:t>
      </w:r>
    </w:p>
    <w:p w14:paraId="03A6D356" w14:textId="77777777" w:rsidR="00E33662" w:rsidRPr="00E33662" w:rsidRDefault="00E33662" w:rsidP="00E33662">
      <w:pPr>
        <w:spacing w:before="120" w:after="120"/>
        <w:ind w:left="567" w:right="902"/>
        <w:jc w:val="both"/>
        <w:rPr>
          <w:rFonts w:ascii="Palatino Linotype" w:hAnsi="Palatino Linotype"/>
          <w:i/>
          <w:sz w:val="22"/>
          <w:szCs w:val="22"/>
          <w:lang w:val="es-ES" w:eastAsia="es-ES"/>
        </w:rPr>
      </w:pPr>
      <w:r w:rsidRPr="00E33662">
        <w:rPr>
          <w:rFonts w:ascii="Palatino Linotype" w:hAnsi="Palatino Linotype"/>
          <w:bCs/>
          <w:i/>
          <w:sz w:val="22"/>
          <w:szCs w:val="22"/>
          <w:lang w:val="es-ES" w:eastAsia="es-ES"/>
        </w:rPr>
        <w:t>(…)</w:t>
      </w:r>
    </w:p>
    <w:p w14:paraId="32063D6B" w14:textId="77777777" w:rsidR="00E33662" w:rsidRPr="00E33662" w:rsidRDefault="00E33662" w:rsidP="00E33662">
      <w:pPr>
        <w:spacing w:before="120" w:after="120"/>
        <w:ind w:left="567" w:right="902"/>
        <w:jc w:val="both"/>
        <w:rPr>
          <w:rFonts w:ascii="Palatino Linotype" w:hAnsi="Palatino Linotype"/>
          <w:i/>
          <w:sz w:val="22"/>
          <w:szCs w:val="22"/>
          <w:lang w:val="es-ES" w:eastAsia="es-ES"/>
        </w:rPr>
      </w:pPr>
      <w:r w:rsidRPr="00E33662">
        <w:rPr>
          <w:rFonts w:ascii="Palatino Linotype" w:hAnsi="Palatino Linotype"/>
          <w:i/>
          <w:sz w:val="22"/>
          <w:szCs w:val="22"/>
          <w:lang w:val="es-ES" w:eastAsia="es-ES"/>
        </w:rPr>
        <w:t>En la administración, gestión y custodia de los archivos de información pública, los sujetos obligados, los servidores públicos habilitados y los servidores públicos en general, se ajustarán a lo establecido por la normatividad aplicable.</w:t>
      </w:r>
    </w:p>
    <w:p w14:paraId="346F0E09" w14:textId="77777777" w:rsidR="00E33662" w:rsidRPr="00E33662" w:rsidRDefault="00E33662" w:rsidP="00E33662">
      <w:pPr>
        <w:spacing w:before="120" w:after="120"/>
        <w:ind w:left="567" w:right="902"/>
        <w:jc w:val="both"/>
        <w:rPr>
          <w:rFonts w:ascii="Palatino Linotype" w:hAnsi="Palatino Linotype"/>
          <w:b/>
          <w:i/>
          <w:sz w:val="22"/>
          <w:szCs w:val="22"/>
          <w:lang w:val="es-ES" w:eastAsia="es-ES"/>
        </w:rPr>
      </w:pPr>
      <w:r w:rsidRPr="00E33662">
        <w:rPr>
          <w:rFonts w:ascii="Palatino Linotype" w:hAnsi="Palatino Linotype"/>
          <w:b/>
          <w:i/>
          <w:sz w:val="22"/>
          <w:szCs w:val="22"/>
          <w:lang w:val="es-ES" w:eastAsia="es-ES"/>
        </w:rPr>
        <w:lastRenderedPageBreak/>
        <w:t>Los sujetos obligados solo proporcionarán la información pública que generen, administren o posean en el ejercicio de sus atribuciones.”</w:t>
      </w:r>
    </w:p>
    <w:p w14:paraId="4A2CD6FC" w14:textId="35405146" w:rsidR="00AB2168" w:rsidRDefault="00E33662" w:rsidP="00E33662">
      <w:pPr>
        <w:spacing w:before="240" w:after="240" w:line="360" w:lineRule="auto"/>
        <w:jc w:val="both"/>
        <w:rPr>
          <w:rFonts w:ascii="Palatino Linotype" w:hAnsi="Palatino Linotype" w:cs="Arial"/>
          <w:lang w:val="es-ES" w:eastAsia="es-ES"/>
        </w:rPr>
      </w:pPr>
      <w:r w:rsidRPr="00E33662">
        <w:rPr>
          <w:rFonts w:ascii="Palatino Linotype" w:hAnsi="Palatino Linotype" w:cs="Arial"/>
          <w:lang w:val="es-ES" w:eastAsia="es-ES"/>
        </w:rPr>
        <w:t>Por lo que el ejercicio del derecho de acceso a la información pública es la prerrogativa de las personas para buscar, difundir, investigar, recabar, recibir y solicitar información pública, sin necesidad de acreditar personalidad ni interés jurídico.</w:t>
      </w:r>
    </w:p>
    <w:p w14:paraId="116BA854" w14:textId="1D13AF77" w:rsidR="00E75831" w:rsidRPr="00E33662" w:rsidRDefault="00E75831" w:rsidP="00E33662">
      <w:pPr>
        <w:spacing w:before="240" w:after="240" w:line="360" w:lineRule="auto"/>
        <w:jc w:val="both"/>
        <w:rPr>
          <w:rFonts w:ascii="Palatino Linotype" w:hAnsi="Palatino Linotype" w:cs="Arial"/>
          <w:lang w:val="es-ES" w:eastAsia="es-ES"/>
        </w:rPr>
      </w:pPr>
      <w:r>
        <w:rPr>
          <w:rFonts w:ascii="Palatino Linotype" w:hAnsi="Palatino Linotype" w:cs="Arial"/>
          <w:lang w:val="es-ES" w:eastAsia="es-ES"/>
        </w:rPr>
        <w:t>Es de precisarse que los Sujetos Obligados únicamente se encontrarán constreñidos a entregar la información pública que generen, administren o posean en el ejercicio de sus atribuciones.</w:t>
      </w:r>
    </w:p>
    <w:p w14:paraId="453156A9" w14:textId="173F2394" w:rsidR="00AB2168" w:rsidRDefault="00E33662" w:rsidP="00AB2168">
      <w:pPr>
        <w:spacing w:before="100" w:beforeAutospacing="1" w:after="100" w:afterAutospacing="1" w:line="360" w:lineRule="auto"/>
        <w:contextualSpacing/>
        <w:jc w:val="both"/>
        <w:rPr>
          <w:rFonts w:ascii="Palatino Linotype" w:hAnsi="Palatino Linotype" w:cs="Arial"/>
          <w:bCs/>
          <w:lang w:eastAsia="es-ES"/>
        </w:rPr>
      </w:pPr>
      <w:r w:rsidRPr="00E33662">
        <w:rPr>
          <w:rFonts w:ascii="Palatino Linotype" w:hAnsi="Palatino Linotype" w:cs="Arial"/>
          <w:bCs/>
          <w:lang w:eastAsia="es-ES"/>
        </w:rPr>
        <w:t xml:space="preserve">Bajo estas consideraciones, esta Ponencia procedió a </w:t>
      </w:r>
      <w:r w:rsidR="00AB2168">
        <w:rPr>
          <w:rFonts w:ascii="Palatino Linotype" w:hAnsi="Palatino Linotype" w:cs="Arial"/>
          <w:bCs/>
          <w:lang w:eastAsia="es-ES"/>
        </w:rPr>
        <w:t xml:space="preserve">analizar los requerimientos de la ahora parte recurrente a efecto de determinar si es procedente la entrega de la información, tal como se expondrá en páginas subsecuentes: </w:t>
      </w:r>
    </w:p>
    <w:p w14:paraId="6C4492D8" w14:textId="77777777" w:rsidR="00E75831" w:rsidRDefault="00E75831" w:rsidP="00AB2168">
      <w:pPr>
        <w:spacing w:before="100" w:beforeAutospacing="1" w:after="100" w:afterAutospacing="1" w:line="360" w:lineRule="auto"/>
        <w:contextualSpacing/>
        <w:jc w:val="both"/>
        <w:rPr>
          <w:rFonts w:ascii="Palatino Linotype" w:hAnsi="Palatino Linotype" w:cs="Arial"/>
          <w:bCs/>
          <w:lang w:eastAsia="es-ES"/>
        </w:rPr>
      </w:pPr>
    </w:p>
    <w:p w14:paraId="715A2064" w14:textId="4ACB23C1" w:rsidR="00AB2168" w:rsidRPr="00AB2168" w:rsidRDefault="00AB2168" w:rsidP="00AB2168">
      <w:pPr>
        <w:spacing w:before="100" w:beforeAutospacing="1" w:after="100" w:afterAutospacing="1" w:line="360" w:lineRule="auto"/>
        <w:jc w:val="both"/>
        <w:rPr>
          <w:rFonts w:ascii="Palatino Linotype" w:hAnsi="Palatino Linotype" w:cs="Arial"/>
          <w:b/>
          <w:bCs/>
        </w:rPr>
      </w:pPr>
      <w:r w:rsidRPr="00AB2168">
        <w:rPr>
          <w:rFonts w:ascii="Palatino Linotype" w:hAnsi="Palatino Linotype" w:cs="Arial"/>
          <w:b/>
          <w:bCs/>
          <w:lang w:eastAsia="es-ES"/>
        </w:rPr>
        <w:t>1.- De los requerimientos de la solicitud que constituyen derecho de petición</w:t>
      </w:r>
    </w:p>
    <w:p w14:paraId="3C7B3621" w14:textId="34358DC4" w:rsidR="00AB2168" w:rsidRDefault="00AB2168" w:rsidP="00AB2168">
      <w:pPr>
        <w:spacing w:line="360" w:lineRule="auto"/>
        <w:ind w:right="49"/>
        <w:contextualSpacing/>
        <w:jc w:val="both"/>
        <w:rPr>
          <w:rFonts w:ascii="Palatino Linotype" w:eastAsia="Calibri" w:hAnsi="Palatino Linotype"/>
          <w:lang w:eastAsia="en-US"/>
        </w:rPr>
      </w:pPr>
      <w:r>
        <w:rPr>
          <w:rFonts w:ascii="Palatino Linotype" w:eastAsia="Calibri" w:hAnsi="Palatino Linotype"/>
          <w:lang w:eastAsia="en-US"/>
        </w:rPr>
        <w:t xml:space="preserve">Es preciso recordar que en la solicitud de información materia del medio de impugnación que nos ocupa, se requirió al Sujeto Obligado, lo siguiente: </w:t>
      </w:r>
    </w:p>
    <w:p w14:paraId="2E1369AE" w14:textId="77777777" w:rsidR="00AB2168" w:rsidRDefault="00AB2168" w:rsidP="00AB2168">
      <w:pPr>
        <w:spacing w:line="360" w:lineRule="auto"/>
        <w:ind w:right="49"/>
        <w:contextualSpacing/>
        <w:jc w:val="both"/>
        <w:rPr>
          <w:rFonts w:ascii="Palatino Linotype" w:eastAsia="Calibri" w:hAnsi="Palatino Linotype"/>
          <w:b/>
          <w:lang w:eastAsia="en-US"/>
        </w:rPr>
      </w:pPr>
    </w:p>
    <w:p w14:paraId="6AE08681" w14:textId="77777777" w:rsidR="00AB2168" w:rsidRPr="00AB2168" w:rsidRDefault="00AB2168" w:rsidP="00AB2168">
      <w:pPr>
        <w:tabs>
          <w:tab w:val="left" w:pos="7938"/>
        </w:tabs>
        <w:spacing w:line="360" w:lineRule="auto"/>
        <w:ind w:left="567" w:right="900"/>
        <w:contextualSpacing/>
        <w:jc w:val="both"/>
        <w:rPr>
          <w:rFonts w:ascii="Palatino Linotype" w:eastAsia="Calibri" w:hAnsi="Palatino Linotype"/>
          <w:b/>
          <w:sz w:val="22"/>
          <w:lang w:eastAsia="en-US"/>
        </w:rPr>
      </w:pPr>
      <w:r w:rsidRPr="00AB2168">
        <w:rPr>
          <w:rFonts w:ascii="Palatino Linotype" w:eastAsia="Calibri" w:hAnsi="Palatino Linotype"/>
          <w:b/>
          <w:sz w:val="22"/>
          <w:lang w:eastAsia="en-US"/>
        </w:rPr>
        <w:t>Al Presidente Mario Ariel Juárez:</w:t>
      </w:r>
    </w:p>
    <w:p w14:paraId="61AFA191" w14:textId="77777777" w:rsidR="00AB2168" w:rsidRDefault="00AB2168" w:rsidP="00AB2168">
      <w:pPr>
        <w:tabs>
          <w:tab w:val="left" w:pos="7938"/>
        </w:tabs>
        <w:spacing w:line="360" w:lineRule="auto"/>
        <w:ind w:left="567" w:right="900"/>
        <w:contextualSpacing/>
        <w:jc w:val="both"/>
        <w:rPr>
          <w:rFonts w:ascii="Palatino Linotype" w:eastAsia="Calibri" w:hAnsi="Palatino Linotype"/>
          <w:sz w:val="22"/>
          <w:lang w:eastAsia="en-US"/>
        </w:rPr>
      </w:pPr>
      <w:r w:rsidRPr="00AB2168">
        <w:rPr>
          <w:rFonts w:ascii="Palatino Linotype" w:eastAsia="Calibri" w:hAnsi="Palatino Linotype"/>
          <w:sz w:val="22"/>
          <w:lang w:eastAsia="en-US"/>
        </w:rPr>
        <w:t>1.- ¿Qué tiene que ver qué los ex regidores y ex directores sean familiares de los policías de tránsito con la actual corrupción que se vive en Cuautitlán?</w:t>
      </w:r>
    </w:p>
    <w:p w14:paraId="17A53744" w14:textId="77777777" w:rsidR="00496271" w:rsidRDefault="00496271" w:rsidP="00AB2168">
      <w:pPr>
        <w:tabs>
          <w:tab w:val="left" w:pos="7938"/>
        </w:tabs>
        <w:spacing w:line="360" w:lineRule="auto"/>
        <w:ind w:left="567" w:right="900"/>
        <w:contextualSpacing/>
        <w:jc w:val="both"/>
        <w:rPr>
          <w:rFonts w:ascii="Palatino Linotype" w:eastAsia="Calibri" w:hAnsi="Palatino Linotype"/>
          <w:sz w:val="22"/>
          <w:lang w:eastAsia="en-US"/>
        </w:rPr>
      </w:pPr>
    </w:p>
    <w:p w14:paraId="4294E206" w14:textId="50A0FCD5" w:rsidR="00AB2168" w:rsidRPr="00496271" w:rsidRDefault="00AB2168" w:rsidP="00496271">
      <w:pPr>
        <w:tabs>
          <w:tab w:val="left" w:pos="7938"/>
        </w:tabs>
        <w:spacing w:line="360" w:lineRule="auto"/>
        <w:ind w:left="567" w:right="900"/>
        <w:contextualSpacing/>
        <w:jc w:val="both"/>
        <w:rPr>
          <w:rFonts w:ascii="Palatino Linotype" w:eastAsia="Calibri" w:hAnsi="Palatino Linotype"/>
          <w:b/>
          <w:sz w:val="22"/>
          <w:lang w:eastAsia="en-US"/>
        </w:rPr>
      </w:pPr>
      <w:r w:rsidRPr="00AB2168">
        <w:rPr>
          <w:rFonts w:ascii="Palatino Linotype" w:eastAsia="Calibri" w:hAnsi="Palatino Linotype"/>
          <w:sz w:val="22"/>
          <w:lang w:eastAsia="en-US"/>
        </w:rPr>
        <w:t xml:space="preserve"> </w:t>
      </w:r>
      <w:r w:rsidR="00496271" w:rsidRPr="00496271">
        <w:rPr>
          <w:rFonts w:ascii="Palatino Linotype" w:eastAsia="Calibri" w:hAnsi="Palatino Linotype"/>
          <w:b/>
          <w:sz w:val="22"/>
          <w:lang w:eastAsia="en-US"/>
        </w:rPr>
        <w:t>Al área correspondiente:</w:t>
      </w:r>
    </w:p>
    <w:p w14:paraId="0E953D4C" w14:textId="77777777" w:rsidR="00AB2168" w:rsidRPr="00AB2168" w:rsidRDefault="00AB2168" w:rsidP="00AB2168">
      <w:pPr>
        <w:tabs>
          <w:tab w:val="left" w:pos="7938"/>
        </w:tabs>
        <w:spacing w:line="360" w:lineRule="auto"/>
        <w:ind w:left="567" w:right="900"/>
        <w:contextualSpacing/>
        <w:jc w:val="both"/>
        <w:rPr>
          <w:rFonts w:ascii="Palatino Linotype" w:eastAsia="Calibri" w:hAnsi="Palatino Linotype"/>
          <w:sz w:val="22"/>
          <w:lang w:eastAsia="en-US"/>
        </w:rPr>
      </w:pPr>
      <w:r w:rsidRPr="00AB2168">
        <w:rPr>
          <w:rFonts w:ascii="Palatino Linotype" w:eastAsia="Calibri" w:hAnsi="Palatino Linotype"/>
          <w:sz w:val="22"/>
          <w:lang w:eastAsia="en-US"/>
        </w:rPr>
        <w:t xml:space="preserve">3.- Si se tiene información de la corrupción que prevalece en los elementos policiacos y sus altos mandos: ¿Cuál es el motivo por el cual él no ha </w:t>
      </w:r>
      <w:r w:rsidRPr="00AB2168">
        <w:rPr>
          <w:rFonts w:ascii="Palatino Linotype" w:eastAsia="Calibri" w:hAnsi="Palatino Linotype"/>
          <w:sz w:val="22"/>
          <w:lang w:eastAsia="en-US"/>
        </w:rPr>
        <w:lastRenderedPageBreak/>
        <w:t>realizado ninguna acción? recordándole que él es el responsable ¿Cuál es el motivo por el que sigue en funciones el Director de Seguridad Pública, cuando es evidente que no está funcionando?</w:t>
      </w:r>
    </w:p>
    <w:p w14:paraId="45499DBF" w14:textId="1DE3251C" w:rsidR="00AB2168" w:rsidRDefault="00AB2168" w:rsidP="00AB2168">
      <w:pPr>
        <w:spacing w:line="360" w:lineRule="auto"/>
        <w:ind w:right="49"/>
        <w:contextualSpacing/>
        <w:jc w:val="both"/>
        <w:rPr>
          <w:rFonts w:ascii="Palatino Linotype" w:eastAsia="Calibri" w:hAnsi="Palatino Linotype"/>
          <w:lang w:eastAsia="en-US"/>
        </w:rPr>
      </w:pPr>
      <w:r w:rsidRPr="00AB2168">
        <w:rPr>
          <w:rFonts w:ascii="Palatino Linotype" w:eastAsia="Calibri" w:hAnsi="Palatino Linotype"/>
          <w:lang w:eastAsia="en-US"/>
        </w:rPr>
        <w:t xml:space="preserve"> </w:t>
      </w:r>
    </w:p>
    <w:p w14:paraId="10D66C70" w14:textId="2298ACB4" w:rsidR="00AB2168" w:rsidRPr="00AB2168" w:rsidRDefault="00BE080C" w:rsidP="00AB2168">
      <w:pPr>
        <w:spacing w:line="360" w:lineRule="auto"/>
        <w:ind w:right="49"/>
        <w:contextualSpacing/>
        <w:jc w:val="both"/>
        <w:rPr>
          <w:rFonts w:ascii="Palatino Linotype" w:eastAsia="MS Mincho" w:hAnsi="Palatino Linotype" w:cs="Arial"/>
          <w:lang w:val="es-ES_tradnl" w:eastAsia="es-ES"/>
        </w:rPr>
      </w:pPr>
      <w:r>
        <w:rPr>
          <w:rFonts w:ascii="Palatino Linotype" w:eastAsia="Calibri" w:hAnsi="Palatino Linotype"/>
          <w:lang w:eastAsia="en-US"/>
        </w:rPr>
        <w:t xml:space="preserve">De la interpretación estricta a estos puntos, se tiene que </w:t>
      </w:r>
      <w:r w:rsidR="00AB2168" w:rsidRPr="00AB2168">
        <w:rPr>
          <w:rFonts w:ascii="Palatino Linotype" w:eastAsia="Calibri" w:hAnsi="Palatino Linotype"/>
          <w:lang w:eastAsia="en-US"/>
        </w:rPr>
        <w:t>l</w:t>
      </w:r>
      <w:r>
        <w:rPr>
          <w:rFonts w:ascii="Palatino Linotype" w:eastAsia="Calibri" w:hAnsi="Palatino Linotype"/>
          <w:lang w:eastAsia="en-US"/>
        </w:rPr>
        <w:t>a parte solicitante al formular estos cuestionamientos</w:t>
      </w:r>
      <w:r w:rsidR="00AB2168" w:rsidRPr="00AB2168">
        <w:rPr>
          <w:rFonts w:ascii="Palatino Linotype" w:eastAsia="Calibri" w:hAnsi="Palatino Linotype"/>
          <w:lang w:eastAsia="en-US"/>
        </w:rPr>
        <w:t xml:space="preserve"> </w:t>
      </w:r>
      <w:r>
        <w:rPr>
          <w:rFonts w:ascii="Palatino Linotype" w:eastAsia="Calibri" w:hAnsi="Palatino Linotype"/>
          <w:b/>
          <w:lang w:eastAsia="en-US"/>
        </w:rPr>
        <w:t>pretende conocer los</w:t>
      </w:r>
      <w:r w:rsidR="00AB2168" w:rsidRPr="00AB2168">
        <w:rPr>
          <w:rFonts w:ascii="Palatino Linotype" w:eastAsia="Calibri" w:hAnsi="Palatino Linotype"/>
          <w:b/>
          <w:lang w:eastAsia="en-US"/>
        </w:rPr>
        <w:t xml:space="preserve"> motivo</w:t>
      </w:r>
      <w:r>
        <w:rPr>
          <w:rFonts w:ascii="Palatino Linotype" w:eastAsia="Calibri" w:hAnsi="Palatino Linotype"/>
          <w:b/>
          <w:lang w:eastAsia="en-US"/>
        </w:rPr>
        <w:t>s de las actuaciones u omisiones de las autoridades, en este caso, la Dirección de Seguridad Pública Municipal</w:t>
      </w:r>
      <w:r w:rsidR="00AB2168" w:rsidRPr="00AB2168">
        <w:rPr>
          <w:rFonts w:ascii="Palatino Linotype" w:eastAsia="Calibri" w:hAnsi="Palatino Linotype"/>
          <w:lang w:eastAsia="en-US"/>
        </w:rPr>
        <w:t>,</w:t>
      </w:r>
      <w:r>
        <w:rPr>
          <w:rFonts w:ascii="Palatino Linotype" w:eastAsia="Calibri" w:hAnsi="Palatino Linotype"/>
          <w:lang w:eastAsia="en-US"/>
        </w:rPr>
        <w:t xml:space="preserve"> por lo que</w:t>
      </w:r>
      <w:r w:rsidR="00AB2168" w:rsidRPr="00AB2168">
        <w:rPr>
          <w:rFonts w:ascii="Palatino Linotype" w:eastAsia="Calibri" w:hAnsi="Palatino Linotype"/>
          <w:lang w:eastAsia="en-US"/>
        </w:rPr>
        <w:t xml:space="preserve"> se advierte que dicho</w:t>
      </w:r>
      <w:r>
        <w:rPr>
          <w:rFonts w:ascii="Palatino Linotype" w:eastAsia="Calibri" w:hAnsi="Palatino Linotype"/>
          <w:lang w:eastAsia="en-US"/>
        </w:rPr>
        <w:t>s</w:t>
      </w:r>
      <w:r w:rsidR="00AB2168" w:rsidRPr="00AB2168">
        <w:rPr>
          <w:rFonts w:ascii="Palatino Linotype" w:eastAsia="Calibri" w:hAnsi="Palatino Linotype"/>
          <w:lang w:eastAsia="en-US"/>
        </w:rPr>
        <w:t xml:space="preserve"> cuestionamiento</w:t>
      </w:r>
      <w:r>
        <w:rPr>
          <w:rFonts w:ascii="Palatino Linotype" w:eastAsia="Calibri" w:hAnsi="Palatino Linotype"/>
          <w:lang w:eastAsia="en-US"/>
        </w:rPr>
        <w:t>s</w:t>
      </w:r>
      <w:r w:rsidR="00AB2168" w:rsidRPr="00AB2168">
        <w:rPr>
          <w:rFonts w:ascii="Palatino Linotype" w:eastAsia="Calibri" w:hAnsi="Palatino Linotype"/>
          <w:lang w:eastAsia="en-US"/>
        </w:rPr>
        <w:t xml:space="preserve"> difícilmente puede</w:t>
      </w:r>
      <w:r>
        <w:rPr>
          <w:rFonts w:ascii="Palatino Linotype" w:eastAsia="Calibri" w:hAnsi="Palatino Linotype"/>
          <w:lang w:eastAsia="en-US"/>
        </w:rPr>
        <w:t>n</w:t>
      </w:r>
      <w:r w:rsidR="00AB2168" w:rsidRPr="00AB2168">
        <w:rPr>
          <w:rFonts w:ascii="Palatino Linotype" w:eastAsia="Calibri" w:hAnsi="Palatino Linotype"/>
          <w:lang w:eastAsia="en-US"/>
        </w:rPr>
        <w:t xml:space="preserve"> colmarse con documentos previamente generados</w:t>
      </w:r>
      <w:r w:rsidR="00AB2168" w:rsidRPr="00AB2168">
        <w:rPr>
          <w:rFonts w:ascii="Palatino Linotype" w:eastAsia="Calibri" w:hAnsi="Palatino Linotype"/>
          <w:color w:val="000000"/>
          <w:lang w:eastAsia="en-US"/>
        </w:rPr>
        <w:t xml:space="preserve">, por lo que </w:t>
      </w:r>
      <w:r w:rsidR="00AB2168" w:rsidRPr="00AB2168">
        <w:rPr>
          <w:rFonts w:ascii="Palatino Linotype" w:eastAsia="Calibri" w:hAnsi="Palatino Linotype" w:cs="Arial"/>
          <w:lang w:eastAsia="en-US"/>
        </w:rPr>
        <w:t>no al no colmarse con la entrega de documentos, se concluye que no se está en presencia del ejercicio del derecho de acceso a la información</w:t>
      </w:r>
      <w:r w:rsidR="00AB2168" w:rsidRPr="00AB2168">
        <w:rPr>
          <w:rFonts w:ascii="Palatino Linotype" w:eastAsia="MS Mincho" w:hAnsi="Palatino Linotype" w:cs="Arial"/>
          <w:lang w:val="es-ES_tradnl" w:eastAsia="es-ES"/>
        </w:rPr>
        <w:t xml:space="preserve"> y por lo tanto no es atendible mediante una solicitud de Acceso a la Información, porque se tratan de manifestaciones subjetivas vertidas por el particular, interrogantes y declaraciones que no se colman con la entrega de documentos, situación que conlleva a afirmar que se está en presencia del ejercicio del derecho de petición.</w:t>
      </w:r>
    </w:p>
    <w:p w14:paraId="0D0AAC67" w14:textId="77777777" w:rsidR="00AB2168" w:rsidRPr="00AB2168" w:rsidRDefault="00AB2168" w:rsidP="00AB2168">
      <w:pPr>
        <w:spacing w:before="240" w:after="240" w:line="360" w:lineRule="auto"/>
        <w:ind w:right="49"/>
        <w:jc w:val="both"/>
        <w:rPr>
          <w:rFonts w:ascii="Palatino Linotype" w:hAnsi="Palatino Linotype" w:cs="Arial"/>
          <w:lang w:eastAsia="es-ES"/>
        </w:rPr>
      </w:pPr>
      <w:r w:rsidRPr="00AB2168">
        <w:rPr>
          <w:rFonts w:ascii="Palatino Linotype" w:hAnsi="Palatino Linotype" w:cs="Arial"/>
          <w:lang w:eastAsia="es-ES"/>
        </w:rPr>
        <w:t>Bajo dichas circunstancias, esta Ponencia considera pertinente establecer las diferencias entre el derecho de petición y el derecho base del asunto que nos ocupa, basado en lo siguiente:</w:t>
      </w:r>
    </w:p>
    <w:p w14:paraId="6D84A93B" w14:textId="77777777" w:rsidR="00AB2168" w:rsidRPr="00AB2168" w:rsidRDefault="00AB2168" w:rsidP="00AB2168">
      <w:pPr>
        <w:autoSpaceDE w:val="0"/>
        <w:autoSpaceDN w:val="0"/>
        <w:adjustRightInd w:val="0"/>
        <w:spacing w:before="240" w:after="360" w:line="360" w:lineRule="auto"/>
        <w:jc w:val="both"/>
        <w:rPr>
          <w:rFonts w:ascii="Palatino Linotype" w:hAnsi="Palatino Linotype" w:cs="Arial"/>
          <w:i/>
          <w:lang w:eastAsia="es-ES"/>
        </w:rPr>
      </w:pPr>
      <w:r w:rsidRPr="00AB2168">
        <w:rPr>
          <w:rFonts w:ascii="Palatino Linotype" w:hAnsi="Palatino Linotype" w:cs="Arial"/>
          <w:lang w:eastAsia="es-ES"/>
        </w:rPr>
        <w:t>El Maestro Ignacio Burgoa Orihuela refiere que el derecho de petición “…</w:t>
      </w:r>
      <w:r w:rsidRPr="00AB2168">
        <w:rPr>
          <w:rFonts w:ascii="Palatino Linotype" w:hAnsi="Palatino Linotype" w:cs="Arial"/>
          <w:i/>
          <w:lang w:eastAsia="es-ES"/>
        </w:rPr>
        <w:t xml:space="preserve">es un Derecho Público subjetivo individual de la Garantía Respectiva Consagrada en el Artículo 8 de la Ley Fundamental. En tal virtud, la persona tiene la facultad de acudir a cualquier autoridad, formulando una solicitud o instancia escrito de cualquier índole, la cual adopta, </w:t>
      </w:r>
      <w:r w:rsidRPr="00AB2168">
        <w:rPr>
          <w:rFonts w:ascii="Palatino Linotype" w:hAnsi="Palatino Linotype" w:cs="Arial"/>
          <w:i/>
          <w:lang w:eastAsia="es-ES"/>
        </w:rPr>
        <w:lastRenderedPageBreak/>
        <w:t>específicamente, el carácter de simple petición administrativa, acción o recurso, etc.</w:t>
      </w:r>
      <w:r w:rsidRPr="00AB2168">
        <w:rPr>
          <w:rFonts w:ascii="Palatino Linotype" w:hAnsi="Palatino Linotype"/>
          <w:i/>
          <w:vertAlign w:val="superscript"/>
          <w:lang w:eastAsia="es-ES"/>
        </w:rPr>
        <w:t xml:space="preserve"> </w:t>
      </w:r>
      <w:r w:rsidRPr="00AB2168">
        <w:rPr>
          <w:rFonts w:ascii="Palatino Linotype" w:hAnsi="Palatino Linotype"/>
          <w:i/>
          <w:vertAlign w:val="superscript"/>
          <w:lang w:eastAsia="es-ES"/>
        </w:rPr>
        <w:footnoteReference w:id="1"/>
      </w:r>
      <w:r w:rsidRPr="00AB2168">
        <w:rPr>
          <w:rFonts w:ascii="Palatino Linotype" w:hAnsi="Palatino Linotype"/>
          <w:i/>
          <w:lang w:eastAsia="es-ES"/>
        </w:rPr>
        <w:t>“</w:t>
      </w:r>
      <w:r w:rsidRPr="00AB2168">
        <w:rPr>
          <w:rFonts w:ascii="Palatino Linotype" w:hAnsi="Palatino Linotype" w:cs="Arial"/>
          <w:i/>
          <w:lang w:eastAsia="es-ES"/>
        </w:rPr>
        <w:t xml:space="preserve">, </w:t>
      </w:r>
      <w:r w:rsidRPr="00AB2168">
        <w:rPr>
          <w:rFonts w:ascii="Palatino Linotype" w:hAnsi="Palatino Linotype" w:cs="Arial"/>
          <w:lang w:eastAsia="es-ES"/>
        </w:rPr>
        <w:t>mientras que</w:t>
      </w:r>
      <w:r w:rsidRPr="00AB2168">
        <w:rPr>
          <w:rFonts w:ascii="Palatino Linotype" w:hAnsi="Palatino Linotype" w:cs="Arial"/>
          <w:i/>
          <w:lang w:eastAsia="es-ES"/>
        </w:rPr>
        <w:t xml:space="preserve"> </w:t>
      </w:r>
      <w:r w:rsidRPr="00AB2168">
        <w:rPr>
          <w:rFonts w:ascii="Palatino Linotype" w:hAnsi="Palatino Linotype" w:cs="Arial"/>
          <w:lang w:eastAsia="es-ES"/>
        </w:rPr>
        <w:t xml:space="preserve">David Cienfuegos Salgado, lo concibe como </w:t>
      </w:r>
      <w:r w:rsidRPr="00AB2168">
        <w:rPr>
          <w:rFonts w:ascii="Palatino Linotype" w:hAnsi="Palatino Linotype" w:cs="Arial"/>
          <w:i/>
          <w:lang w:eastAsia="es-ES"/>
        </w:rPr>
        <w:t>“el derecho de toda persona a ser escuchado por quienes ejercen el poder público.</w:t>
      </w:r>
      <w:r w:rsidRPr="00AB2168">
        <w:rPr>
          <w:rFonts w:ascii="Palatino Linotype" w:hAnsi="Palatino Linotype"/>
          <w:i/>
          <w:vertAlign w:val="superscript"/>
          <w:lang w:eastAsia="es-ES"/>
        </w:rPr>
        <w:t xml:space="preserve"> </w:t>
      </w:r>
      <w:r w:rsidRPr="00AB2168">
        <w:rPr>
          <w:rFonts w:ascii="Palatino Linotype" w:hAnsi="Palatino Linotype"/>
          <w:i/>
          <w:vertAlign w:val="superscript"/>
          <w:lang w:eastAsia="es-ES"/>
        </w:rPr>
        <w:footnoteReference w:id="2"/>
      </w:r>
      <w:r w:rsidRPr="00AB2168">
        <w:rPr>
          <w:rFonts w:ascii="Palatino Linotype" w:hAnsi="Palatino Linotype" w:cs="Arial"/>
          <w:i/>
          <w:lang w:eastAsia="es-ES"/>
        </w:rPr>
        <w:t xml:space="preserve">” </w:t>
      </w:r>
    </w:p>
    <w:p w14:paraId="155D3705" w14:textId="77777777" w:rsidR="00AB2168" w:rsidRPr="00AB2168" w:rsidRDefault="00AB2168" w:rsidP="00AB2168">
      <w:pPr>
        <w:spacing w:before="240" w:after="360" w:line="360" w:lineRule="auto"/>
        <w:jc w:val="both"/>
        <w:rPr>
          <w:rFonts w:ascii="Palatino Linotype" w:hAnsi="Palatino Linotype" w:cs="Arial"/>
          <w:i/>
          <w:lang w:eastAsia="es-ES"/>
        </w:rPr>
      </w:pPr>
      <w:r w:rsidRPr="00AB2168">
        <w:rPr>
          <w:rFonts w:ascii="Palatino Linotype" w:hAnsi="Palatino Linotype" w:cs="Arial"/>
          <w:lang w:eastAsia="es-ES"/>
        </w:rPr>
        <w:t xml:space="preserve">Para diferenciar el derecho de petición al derecho de acceso a la información, resulta conducente señalar que José Guadalupe Robles, conceptualiza el derecho a la información como </w:t>
      </w:r>
      <w:r w:rsidRPr="00AB2168">
        <w:rPr>
          <w:rFonts w:ascii="Palatino Linotype" w:hAnsi="Palatino Linotype" w:cs="Arial"/>
          <w:i/>
          <w:lang w:eastAsia="es-ES"/>
        </w:rPr>
        <w:t>“un derecho fundamental tanto de carácter individual como colectivo, cuyas limitaciones deben estar establecida en la ley, así como una garantía de que la información sea transmitida con claridad y objetividad, por cuanto a que es un bien jurídico que coadyuva al desarrollo de las personas y a la formación de opinión pública de calidad para poder participar y luego influir en la vida pública.</w:t>
      </w:r>
      <w:r w:rsidRPr="00AB2168">
        <w:rPr>
          <w:rFonts w:ascii="Palatino Linotype" w:hAnsi="Palatino Linotype"/>
          <w:i/>
          <w:vertAlign w:val="superscript"/>
          <w:lang w:eastAsia="es-ES"/>
        </w:rPr>
        <w:t xml:space="preserve"> </w:t>
      </w:r>
      <w:r w:rsidRPr="00AB2168">
        <w:rPr>
          <w:rFonts w:ascii="Palatino Linotype" w:hAnsi="Palatino Linotype"/>
          <w:i/>
          <w:vertAlign w:val="superscript"/>
          <w:lang w:eastAsia="es-ES"/>
        </w:rPr>
        <w:footnoteReference w:id="3"/>
      </w:r>
      <w:r w:rsidRPr="00AB2168">
        <w:rPr>
          <w:rFonts w:ascii="Palatino Linotype" w:hAnsi="Palatino Linotype" w:cs="Arial"/>
          <w:i/>
          <w:lang w:eastAsia="es-ES"/>
        </w:rPr>
        <w:t>“</w:t>
      </w:r>
    </w:p>
    <w:p w14:paraId="34147496" w14:textId="77777777" w:rsidR="00AB2168" w:rsidRPr="00AB2168" w:rsidRDefault="00AB2168" w:rsidP="00AB2168">
      <w:pPr>
        <w:spacing w:before="240" w:after="360" w:line="360" w:lineRule="auto"/>
        <w:jc w:val="both"/>
        <w:rPr>
          <w:rFonts w:ascii="Palatino Linotype" w:hAnsi="Palatino Linotype" w:cs="Arial"/>
          <w:i/>
          <w:lang w:eastAsia="es-ES"/>
        </w:rPr>
      </w:pPr>
      <w:r w:rsidRPr="00AB2168">
        <w:rPr>
          <w:rFonts w:ascii="Palatino Linotype" w:hAnsi="Palatino Linotype" w:cs="Arial"/>
        </w:rPr>
        <w:t>Además, el derecho a la información constituye una prerrogativa a acceder a documentación en poder de los Sujetos Obligados, no así a realizar cuestionamientos, o manifestaciones subjetivas. Sirve de apoyo a lo anterior la definición de derecho a la información de Ernesto Villanueva Villanueva que dice: “</w:t>
      </w:r>
      <w:r w:rsidRPr="00AB2168">
        <w:rPr>
          <w:rFonts w:ascii="Palatino Linotype" w:hAnsi="Palatino Linotype" w:cs="Arial"/>
          <w:i/>
        </w:rPr>
        <w:t xml:space="preserve">la prerrogativa de la persona para acceder a datos, registros y todo tipo de informaciones en poder de entidades públicas y empresas privadas que ejercen gasto público o cumplen funciones de autoridad, con las excepciones taxativas que establezca la ley en una sociedad democrática.” </w:t>
      </w:r>
      <w:r w:rsidRPr="00AB2168">
        <w:rPr>
          <w:rFonts w:ascii="Palatino Linotype" w:hAnsi="Palatino Linotype" w:cs="Arial"/>
          <w:i/>
          <w:vertAlign w:val="superscript"/>
        </w:rPr>
        <w:footnoteReference w:id="4"/>
      </w:r>
    </w:p>
    <w:p w14:paraId="0FC97A0F" w14:textId="77777777" w:rsidR="00AB2168" w:rsidRDefault="00AB2168" w:rsidP="00AB2168">
      <w:pPr>
        <w:spacing w:before="240" w:after="240" w:line="360" w:lineRule="auto"/>
        <w:jc w:val="both"/>
        <w:rPr>
          <w:rFonts w:ascii="Palatino Linotype" w:hAnsi="Palatino Linotype" w:cs="Arial"/>
          <w:lang w:eastAsia="es-ES"/>
        </w:rPr>
      </w:pPr>
      <w:r w:rsidRPr="00AB2168">
        <w:rPr>
          <w:rFonts w:ascii="Palatino Linotype" w:hAnsi="Palatino Linotype" w:cs="Arial"/>
          <w:lang w:eastAsia="es-ES"/>
        </w:rPr>
        <w:lastRenderedPageBreak/>
        <w:t>Por lo que, la entrega de una razón o un razonamiento por parte del Sujeto Obligado no es algo que la ley establezca como atribución, derecho, o facultad; pues ello implicaría un juicio de valor referente a un cuestionamiento realizado, los cuales, al constituir interrogantes, inquietudes y manifestaciones se satisfacen vía derecho de petición.</w:t>
      </w:r>
    </w:p>
    <w:p w14:paraId="1CF691D1" w14:textId="14ECD2EE" w:rsidR="007C4A8E" w:rsidRPr="00BE080C" w:rsidRDefault="007C4A8E" w:rsidP="007C4A8E">
      <w:pPr>
        <w:spacing w:before="240" w:after="240" w:line="360" w:lineRule="auto"/>
        <w:ind w:right="49"/>
        <w:jc w:val="both"/>
        <w:rPr>
          <w:rFonts w:ascii="Palatino Linotype" w:hAnsi="Palatino Linotype" w:cs="Arial"/>
          <w:b/>
          <w:lang w:eastAsia="es-ES"/>
        </w:rPr>
      </w:pPr>
      <w:r>
        <w:rPr>
          <w:rFonts w:ascii="Palatino Linotype" w:eastAsia="Calibri" w:hAnsi="Palatino Linotype"/>
          <w:b/>
          <w:color w:val="000000"/>
          <w:lang w:eastAsia="en-US"/>
        </w:rPr>
        <w:t>2</w:t>
      </w:r>
      <w:r w:rsidRPr="00BE080C">
        <w:rPr>
          <w:rFonts w:ascii="Palatino Linotype" w:eastAsia="Calibri" w:hAnsi="Palatino Linotype"/>
          <w:b/>
          <w:color w:val="000000"/>
          <w:lang w:eastAsia="en-US"/>
        </w:rPr>
        <w:t xml:space="preserve">.- </w:t>
      </w:r>
      <w:r w:rsidRPr="00BE080C">
        <w:rPr>
          <w:rFonts w:ascii="Palatino Linotype" w:hAnsi="Palatino Linotype" w:cs="Arial"/>
          <w:b/>
          <w:lang w:eastAsia="es-ES"/>
        </w:rPr>
        <w:t>De la Información correspondiente al Director de Seguridad</w:t>
      </w:r>
      <w:r>
        <w:rPr>
          <w:rFonts w:ascii="Palatino Linotype" w:hAnsi="Palatino Linotype" w:cs="Arial"/>
          <w:b/>
          <w:lang w:eastAsia="es-ES"/>
        </w:rPr>
        <w:t xml:space="preserve"> Pública Municipal</w:t>
      </w:r>
      <w:r w:rsidRPr="00BE080C">
        <w:rPr>
          <w:rFonts w:ascii="Palatino Linotype" w:hAnsi="Palatino Linotype" w:cs="Arial"/>
          <w:b/>
          <w:lang w:eastAsia="es-ES"/>
        </w:rPr>
        <w:t xml:space="preserve"> y sus facultades.</w:t>
      </w:r>
    </w:p>
    <w:p w14:paraId="401912E4" w14:textId="62A843A3" w:rsidR="007C4A8E" w:rsidRDefault="007C4A8E" w:rsidP="007C4A8E">
      <w:pPr>
        <w:spacing w:before="240" w:after="240" w:line="360" w:lineRule="auto"/>
        <w:jc w:val="both"/>
        <w:rPr>
          <w:rFonts w:ascii="Palatino Linotype" w:hAnsi="Palatino Linotype"/>
          <w:lang w:eastAsia="es-ES"/>
        </w:rPr>
      </w:pPr>
      <w:r>
        <w:rPr>
          <w:rFonts w:ascii="Palatino Linotype" w:hAnsi="Palatino Linotype"/>
          <w:lang w:eastAsia="es-ES"/>
        </w:rPr>
        <w:t>Debemos recordar que de acuerdo al párrafo noveno del artículo 21 de la Constitución Política de los Estados Unidos Mexicanos, la seguridad pública es una función concu</w:t>
      </w:r>
      <w:r w:rsidR="00A36550">
        <w:rPr>
          <w:rFonts w:ascii="Palatino Linotype" w:hAnsi="Palatino Linotype"/>
          <w:lang w:eastAsia="es-ES"/>
        </w:rPr>
        <w:t>rrente, es decir, a cargo del Estado,</w:t>
      </w:r>
      <w:r w:rsidRPr="007C4A8E">
        <w:rPr>
          <w:rFonts w:ascii="Palatino Linotype" w:hAnsi="Palatino Linotype"/>
          <w:lang w:eastAsia="es-ES"/>
        </w:rPr>
        <w:t xml:space="preserve"> de la Federaci</w:t>
      </w:r>
      <w:r>
        <w:rPr>
          <w:rFonts w:ascii="Palatino Linotype" w:hAnsi="Palatino Linotype"/>
          <w:lang w:eastAsia="es-ES"/>
        </w:rPr>
        <w:t xml:space="preserve">ón, las entidades federativas y </w:t>
      </w:r>
      <w:r w:rsidRPr="007C4A8E">
        <w:rPr>
          <w:rFonts w:ascii="Palatino Linotype" w:hAnsi="Palatino Linotype"/>
          <w:lang w:eastAsia="es-ES"/>
        </w:rPr>
        <w:t>los Municipios, cuyos fines son salvaguardar la vida, las libertades, la integridad y el patrimonio de las</w:t>
      </w:r>
      <w:r>
        <w:rPr>
          <w:rFonts w:ascii="Palatino Linotype" w:hAnsi="Palatino Linotype"/>
          <w:lang w:eastAsia="es-ES"/>
        </w:rPr>
        <w:t xml:space="preserve"> </w:t>
      </w:r>
      <w:r w:rsidRPr="007C4A8E">
        <w:rPr>
          <w:rFonts w:ascii="Palatino Linotype" w:hAnsi="Palatino Linotype"/>
          <w:lang w:eastAsia="es-ES"/>
        </w:rPr>
        <w:t>personas,</w:t>
      </w:r>
      <w:r>
        <w:rPr>
          <w:rFonts w:ascii="Palatino Linotype" w:hAnsi="Palatino Linotype"/>
          <w:lang w:eastAsia="es-ES"/>
        </w:rPr>
        <w:t xml:space="preserve"> </w:t>
      </w:r>
      <w:r w:rsidRPr="007C4A8E">
        <w:rPr>
          <w:rFonts w:ascii="Palatino Linotype" w:hAnsi="Palatino Linotype"/>
          <w:lang w:eastAsia="es-ES"/>
        </w:rPr>
        <w:t>así como contribuir a la generación y preservación del orden público y la paz social</w:t>
      </w:r>
      <w:r>
        <w:rPr>
          <w:rFonts w:ascii="Palatino Linotype" w:hAnsi="Palatino Linotype"/>
          <w:lang w:eastAsia="es-ES"/>
        </w:rPr>
        <w:t>.</w:t>
      </w:r>
    </w:p>
    <w:p w14:paraId="03CAE1D4" w14:textId="30EC2A8D" w:rsidR="007C4A8E" w:rsidRDefault="007C4A8E" w:rsidP="007C4A8E">
      <w:pPr>
        <w:spacing w:before="240" w:after="240" w:line="360" w:lineRule="auto"/>
        <w:jc w:val="both"/>
        <w:rPr>
          <w:rFonts w:ascii="Palatino Linotype" w:hAnsi="Palatino Linotype"/>
          <w:lang w:eastAsia="es-ES"/>
        </w:rPr>
      </w:pPr>
      <w:r>
        <w:rPr>
          <w:rFonts w:ascii="Palatino Linotype" w:hAnsi="Palatino Linotype"/>
          <w:lang w:eastAsia="es-ES"/>
        </w:rPr>
        <w:t>En este orden de ideas, la Ley de Seguridad del Estado de México delega a los municipios el desempeño de la función de seguridad pública dentro de su demarcación territorial, asimismo mandata el cumplimiento de las siguientes atribuciones:</w:t>
      </w:r>
    </w:p>
    <w:p w14:paraId="15FFCFFC" w14:textId="11A3216F" w:rsidR="007C4A8E" w:rsidRPr="007C4A8E" w:rsidRDefault="007C4A8E" w:rsidP="007C4A8E">
      <w:pPr>
        <w:spacing w:before="240" w:after="240"/>
        <w:ind w:left="567" w:right="900"/>
        <w:jc w:val="both"/>
        <w:rPr>
          <w:rFonts w:ascii="Palatino Linotype" w:hAnsi="Palatino Linotype"/>
          <w:i/>
          <w:sz w:val="22"/>
          <w:lang w:eastAsia="es-ES"/>
        </w:rPr>
      </w:pPr>
      <w:r w:rsidRPr="007C4A8E">
        <w:rPr>
          <w:rFonts w:ascii="Palatino Linotype" w:hAnsi="Palatino Linotype"/>
          <w:i/>
          <w:sz w:val="22"/>
          <w:lang w:eastAsia="es-ES"/>
        </w:rPr>
        <w:t xml:space="preserve"> “C</w:t>
      </w:r>
      <w:r w:rsidRPr="007C4A8E">
        <w:rPr>
          <w:rFonts w:ascii="Palatino Linotype" w:hAnsi="Palatino Linotype"/>
          <w:b/>
          <w:bCs/>
          <w:i/>
          <w:sz w:val="22"/>
          <w:lang w:eastAsia="es-ES"/>
        </w:rPr>
        <w:t xml:space="preserve">APÍTULO SEXTO </w:t>
      </w:r>
    </w:p>
    <w:p w14:paraId="11DAAB4D" w14:textId="77777777" w:rsidR="007C4A8E" w:rsidRPr="007C4A8E" w:rsidRDefault="007C4A8E" w:rsidP="007C4A8E">
      <w:pPr>
        <w:spacing w:before="240" w:after="240"/>
        <w:ind w:left="567" w:right="900"/>
        <w:jc w:val="both"/>
        <w:rPr>
          <w:rFonts w:ascii="Palatino Linotype" w:hAnsi="Palatino Linotype"/>
          <w:i/>
          <w:sz w:val="22"/>
          <w:lang w:eastAsia="es-ES"/>
        </w:rPr>
      </w:pPr>
      <w:r w:rsidRPr="007C4A8E">
        <w:rPr>
          <w:rFonts w:ascii="Palatino Linotype" w:hAnsi="Palatino Linotype"/>
          <w:b/>
          <w:bCs/>
          <w:i/>
          <w:sz w:val="22"/>
          <w:lang w:eastAsia="es-ES"/>
        </w:rPr>
        <w:t xml:space="preserve">DE LAS AUTORIDADES MUNICIPALES </w:t>
      </w:r>
    </w:p>
    <w:p w14:paraId="0CEA57A8" w14:textId="77777777" w:rsidR="007C4A8E" w:rsidRPr="007C4A8E" w:rsidRDefault="007C4A8E" w:rsidP="007C4A8E">
      <w:pPr>
        <w:spacing w:before="240" w:after="240"/>
        <w:ind w:left="567" w:right="900"/>
        <w:jc w:val="both"/>
        <w:rPr>
          <w:rFonts w:ascii="Palatino Linotype" w:hAnsi="Palatino Linotype"/>
          <w:i/>
          <w:sz w:val="22"/>
          <w:lang w:eastAsia="es-ES"/>
        </w:rPr>
      </w:pPr>
      <w:r w:rsidRPr="007C4A8E">
        <w:rPr>
          <w:rFonts w:ascii="Palatino Linotype" w:hAnsi="Palatino Linotype"/>
          <w:b/>
          <w:bCs/>
          <w:i/>
          <w:sz w:val="22"/>
          <w:lang w:eastAsia="es-ES"/>
        </w:rPr>
        <w:t xml:space="preserve">Artículo 19.- </w:t>
      </w:r>
      <w:r w:rsidRPr="007C4A8E">
        <w:rPr>
          <w:rFonts w:ascii="Palatino Linotype" w:hAnsi="Palatino Linotype"/>
          <w:i/>
          <w:sz w:val="22"/>
          <w:lang w:eastAsia="es-ES"/>
        </w:rPr>
        <w:t xml:space="preserve">Son autoridades municipales en materia de seguridad pública: </w:t>
      </w:r>
    </w:p>
    <w:p w14:paraId="153181BB" w14:textId="77777777" w:rsidR="007C4A8E" w:rsidRPr="007C4A8E" w:rsidRDefault="007C4A8E" w:rsidP="007C4A8E">
      <w:pPr>
        <w:spacing w:before="240" w:after="240"/>
        <w:ind w:left="567" w:right="900"/>
        <w:jc w:val="both"/>
        <w:rPr>
          <w:rFonts w:ascii="Palatino Linotype" w:hAnsi="Palatino Linotype"/>
          <w:i/>
          <w:sz w:val="22"/>
          <w:lang w:eastAsia="es-ES"/>
        </w:rPr>
      </w:pPr>
      <w:r w:rsidRPr="007C4A8E">
        <w:rPr>
          <w:rFonts w:ascii="Palatino Linotype" w:hAnsi="Palatino Linotype"/>
          <w:b/>
          <w:bCs/>
          <w:i/>
          <w:sz w:val="22"/>
          <w:lang w:eastAsia="es-ES"/>
        </w:rPr>
        <w:t xml:space="preserve">I. Los ayuntamientos; </w:t>
      </w:r>
    </w:p>
    <w:p w14:paraId="274A912B" w14:textId="77777777" w:rsidR="007C4A8E" w:rsidRPr="007C4A8E" w:rsidRDefault="007C4A8E" w:rsidP="007C4A8E">
      <w:pPr>
        <w:spacing w:before="240" w:after="240"/>
        <w:ind w:left="567" w:right="900"/>
        <w:jc w:val="both"/>
        <w:rPr>
          <w:rFonts w:ascii="Palatino Linotype" w:hAnsi="Palatino Linotype"/>
          <w:i/>
          <w:sz w:val="22"/>
          <w:lang w:eastAsia="es-ES"/>
        </w:rPr>
      </w:pPr>
      <w:r w:rsidRPr="007C4A8E">
        <w:rPr>
          <w:rFonts w:ascii="Palatino Linotype" w:hAnsi="Palatino Linotype"/>
          <w:b/>
          <w:bCs/>
          <w:i/>
          <w:sz w:val="22"/>
          <w:lang w:eastAsia="es-ES"/>
        </w:rPr>
        <w:t xml:space="preserve">II. Los presidentes municipales; </w:t>
      </w:r>
    </w:p>
    <w:p w14:paraId="72AFD4DE" w14:textId="77777777" w:rsidR="007C4A8E" w:rsidRPr="007C4A8E" w:rsidRDefault="007C4A8E" w:rsidP="007C4A8E">
      <w:pPr>
        <w:spacing w:before="240" w:after="240"/>
        <w:ind w:left="567" w:right="900"/>
        <w:jc w:val="both"/>
        <w:rPr>
          <w:rFonts w:ascii="Palatino Linotype" w:hAnsi="Palatino Linotype"/>
          <w:i/>
          <w:sz w:val="22"/>
          <w:lang w:eastAsia="es-ES"/>
        </w:rPr>
      </w:pPr>
      <w:r w:rsidRPr="007C4A8E">
        <w:rPr>
          <w:rFonts w:ascii="Palatino Linotype" w:hAnsi="Palatino Linotype"/>
          <w:b/>
          <w:bCs/>
          <w:i/>
          <w:sz w:val="22"/>
          <w:lang w:eastAsia="es-ES"/>
        </w:rPr>
        <w:lastRenderedPageBreak/>
        <w:t xml:space="preserve">III. Los directores de seguridad pública municipal; y </w:t>
      </w:r>
    </w:p>
    <w:p w14:paraId="197E9892" w14:textId="6A394761" w:rsidR="007C4A8E" w:rsidRDefault="007C4A8E" w:rsidP="007C4A8E">
      <w:pPr>
        <w:spacing w:before="240" w:after="240"/>
        <w:ind w:left="567" w:right="900"/>
        <w:jc w:val="both"/>
        <w:rPr>
          <w:rFonts w:ascii="Palatino Linotype" w:hAnsi="Palatino Linotype"/>
          <w:b/>
          <w:bCs/>
          <w:i/>
          <w:sz w:val="22"/>
          <w:lang w:eastAsia="es-ES"/>
        </w:rPr>
      </w:pPr>
      <w:r w:rsidRPr="007C4A8E">
        <w:rPr>
          <w:rFonts w:ascii="Palatino Linotype" w:hAnsi="Palatino Linotype"/>
          <w:b/>
          <w:bCs/>
          <w:i/>
          <w:sz w:val="22"/>
          <w:lang w:eastAsia="es-ES"/>
        </w:rPr>
        <w:t>IV. Los integrantes de las instituciones polici</w:t>
      </w:r>
      <w:r>
        <w:rPr>
          <w:rFonts w:ascii="Palatino Linotype" w:hAnsi="Palatino Linotype"/>
          <w:b/>
          <w:bCs/>
          <w:i/>
          <w:sz w:val="22"/>
          <w:lang w:eastAsia="es-ES"/>
        </w:rPr>
        <w:t>ales en ejercicio de su función.</w:t>
      </w:r>
    </w:p>
    <w:p w14:paraId="6C9ADCEB" w14:textId="47B3F970" w:rsidR="007C4A8E" w:rsidRPr="007C4A8E" w:rsidRDefault="007C4A8E" w:rsidP="007C4A8E">
      <w:pPr>
        <w:spacing w:before="240" w:after="240"/>
        <w:ind w:left="567" w:right="900"/>
        <w:jc w:val="both"/>
        <w:rPr>
          <w:rFonts w:ascii="Palatino Linotype" w:hAnsi="Palatino Linotype"/>
          <w:b/>
          <w:bCs/>
          <w:i/>
          <w:sz w:val="22"/>
          <w:lang w:eastAsia="es-ES"/>
        </w:rPr>
      </w:pPr>
      <w:r>
        <w:rPr>
          <w:rFonts w:ascii="Palatino Linotype" w:hAnsi="Palatino Linotype"/>
          <w:b/>
          <w:bCs/>
          <w:i/>
          <w:sz w:val="22"/>
          <w:lang w:eastAsia="es-ES"/>
        </w:rPr>
        <w:t xml:space="preserve"> </w:t>
      </w:r>
      <w:r w:rsidRPr="007C4A8E">
        <w:rPr>
          <w:rFonts w:ascii="Palatino Linotype" w:hAnsi="Palatino Linotype"/>
          <w:b/>
          <w:bCs/>
          <w:i/>
          <w:sz w:val="22"/>
          <w:lang w:eastAsia="es-ES"/>
        </w:rPr>
        <w:t xml:space="preserve">Artículo 20.- Son atribuciones de los ayuntamientos en materia de seguridad pública: </w:t>
      </w:r>
    </w:p>
    <w:p w14:paraId="0C1A0EE6" w14:textId="77777777" w:rsidR="007C4A8E" w:rsidRPr="007C4A8E" w:rsidRDefault="007C4A8E" w:rsidP="007C4A8E">
      <w:pPr>
        <w:spacing w:before="240" w:after="240"/>
        <w:ind w:left="567" w:right="900"/>
        <w:jc w:val="both"/>
        <w:rPr>
          <w:rFonts w:ascii="Palatino Linotype" w:hAnsi="Palatino Linotype"/>
          <w:b/>
          <w:bCs/>
          <w:i/>
          <w:sz w:val="22"/>
          <w:u w:val="single"/>
          <w:lang w:eastAsia="es-ES"/>
        </w:rPr>
      </w:pPr>
      <w:r w:rsidRPr="007C4A8E">
        <w:rPr>
          <w:rFonts w:ascii="Palatino Linotype" w:hAnsi="Palatino Linotype"/>
          <w:b/>
          <w:bCs/>
          <w:i/>
          <w:sz w:val="22"/>
          <w:u w:val="single"/>
          <w:lang w:eastAsia="es-ES"/>
        </w:rPr>
        <w:t xml:space="preserve">I. Expedir las disposiciones administrativas correspondientes a la Seguridad Pública preventiva en el ámbito de su competencia; </w:t>
      </w:r>
    </w:p>
    <w:p w14:paraId="5EBA33D7" w14:textId="77777777" w:rsidR="007C4A8E" w:rsidRPr="007C4A8E" w:rsidRDefault="007C4A8E" w:rsidP="007C4A8E">
      <w:pPr>
        <w:spacing w:before="240" w:after="240"/>
        <w:ind w:left="567" w:right="900"/>
        <w:jc w:val="both"/>
        <w:rPr>
          <w:rFonts w:ascii="Palatino Linotype" w:hAnsi="Palatino Linotype"/>
          <w:bCs/>
          <w:i/>
          <w:sz w:val="22"/>
          <w:lang w:eastAsia="es-ES"/>
        </w:rPr>
      </w:pPr>
      <w:r w:rsidRPr="007C4A8E">
        <w:rPr>
          <w:rFonts w:ascii="Palatino Linotype" w:hAnsi="Palatino Linotype"/>
          <w:bCs/>
          <w:i/>
          <w:sz w:val="22"/>
          <w:lang w:eastAsia="es-ES"/>
        </w:rPr>
        <w:t xml:space="preserve">II. Gestionar y realizar el Programa Municipal de Seguridad Pública Preventiva en congruencia con el respectivo Programa Estatal; así como el programa municipal de prevención social de la violencia y la delincuencia, con participación ciudadana; </w:t>
      </w:r>
    </w:p>
    <w:p w14:paraId="2863B857" w14:textId="77777777" w:rsidR="007C4A8E" w:rsidRPr="007C4A8E" w:rsidRDefault="007C4A8E" w:rsidP="007C4A8E">
      <w:pPr>
        <w:spacing w:before="240" w:after="240"/>
        <w:ind w:left="567" w:right="900"/>
        <w:jc w:val="both"/>
        <w:rPr>
          <w:rFonts w:ascii="Palatino Linotype" w:hAnsi="Palatino Linotype"/>
          <w:bCs/>
          <w:i/>
          <w:sz w:val="22"/>
          <w:lang w:eastAsia="es-ES"/>
        </w:rPr>
      </w:pPr>
      <w:r w:rsidRPr="007C4A8E">
        <w:rPr>
          <w:rFonts w:ascii="Palatino Linotype" w:hAnsi="Palatino Linotype"/>
          <w:bCs/>
          <w:i/>
          <w:sz w:val="22"/>
          <w:lang w:eastAsia="es-ES"/>
        </w:rPr>
        <w:t xml:space="preserve">III. Aprobar convenios de coordinación en materia de seguridad pública con otros Municipios de la entidad y de coordinación y de asunción de funciones con el Estado, previa la observancia de las formalidades que establezcan los ordenamientos aplicables; </w:t>
      </w:r>
    </w:p>
    <w:p w14:paraId="14A3B767" w14:textId="77777777" w:rsidR="007C4A8E" w:rsidRPr="007C4A8E" w:rsidRDefault="007C4A8E" w:rsidP="007C4A8E">
      <w:pPr>
        <w:spacing w:before="240" w:after="240"/>
        <w:ind w:left="567" w:right="900"/>
        <w:jc w:val="both"/>
        <w:rPr>
          <w:rFonts w:ascii="Palatino Linotype" w:hAnsi="Palatino Linotype"/>
          <w:b/>
          <w:bCs/>
          <w:i/>
          <w:sz w:val="22"/>
          <w:u w:val="single"/>
          <w:lang w:eastAsia="es-ES"/>
        </w:rPr>
      </w:pPr>
      <w:r w:rsidRPr="007C4A8E">
        <w:rPr>
          <w:rFonts w:ascii="Palatino Linotype" w:hAnsi="Palatino Linotype"/>
          <w:b/>
          <w:bCs/>
          <w:i/>
          <w:sz w:val="22"/>
          <w:u w:val="single"/>
          <w:lang w:eastAsia="es-ES"/>
        </w:rPr>
        <w:t xml:space="preserve">IV. Aprobar el nombramiento del Director de Seguridad Pública Municipal o del servidor público que realice esta función; </w:t>
      </w:r>
    </w:p>
    <w:p w14:paraId="4BB5B77E" w14:textId="77777777" w:rsidR="007C4A8E" w:rsidRPr="007C4A8E" w:rsidRDefault="007C4A8E" w:rsidP="007C4A8E">
      <w:pPr>
        <w:spacing w:before="240" w:after="240"/>
        <w:ind w:left="567" w:right="900"/>
        <w:jc w:val="both"/>
        <w:rPr>
          <w:rFonts w:ascii="Palatino Linotype" w:hAnsi="Palatino Linotype"/>
          <w:b/>
          <w:bCs/>
          <w:i/>
          <w:sz w:val="22"/>
          <w:u w:val="single"/>
          <w:lang w:eastAsia="es-ES"/>
        </w:rPr>
      </w:pPr>
      <w:r w:rsidRPr="007C4A8E">
        <w:rPr>
          <w:rFonts w:ascii="Palatino Linotype" w:hAnsi="Palatino Linotype"/>
          <w:b/>
          <w:bCs/>
          <w:i/>
          <w:sz w:val="22"/>
          <w:u w:val="single"/>
          <w:lang w:eastAsia="es-ES"/>
        </w:rPr>
        <w:t xml:space="preserve">V. Vigilar periódicamente el desarrollo y cumplimiento del servicio de seguridad pública; </w:t>
      </w:r>
    </w:p>
    <w:p w14:paraId="28AFD8F4" w14:textId="154D3A36" w:rsidR="007C4A8E" w:rsidRDefault="007C4A8E" w:rsidP="007C4A8E">
      <w:pPr>
        <w:spacing w:before="240" w:after="240"/>
        <w:ind w:left="567" w:right="900"/>
        <w:jc w:val="both"/>
        <w:rPr>
          <w:rFonts w:ascii="Palatino Linotype" w:hAnsi="Palatino Linotype"/>
          <w:bCs/>
          <w:i/>
          <w:sz w:val="22"/>
          <w:lang w:eastAsia="es-ES"/>
        </w:rPr>
      </w:pPr>
      <w:r w:rsidRPr="007C4A8E">
        <w:rPr>
          <w:rFonts w:ascii="Palatino Linotype" w:hAnsi="Palatino Linotype"/>
          <w:b/>
          <w:bCs/>
          <w:i/>
          <w:sz w:val="22"/>
          <w:lang w:eastAsia="es-ES"/>
        </w:rPr>
        <w:t>VI</w:t>
      </w:r>
      <w:r w:rsidRPr="007C4A8E">
        <w:rPr>
          <w:rFonts w:ascii="Palatino Linotype" w:hAnsi="Palatino Linotype"/>
          <w:bCs/>
          <w:i/>
          <w:sz w:val="22"/>
          <w:lang w:eastAsia="es-ES"/>
        </w:rPr>
        <w:t>. Implementar la carrera policial;</w:t>
      </w:r>
    </w:p>
    <w:p w14:paraId="58D55BDC" w14:textId="77777777" w:rsidR="007C4A8E" w:rsidRPr="007C4A8E" w:rsidRDefault="007C4A8E" w:rsidP="007C4A8E">
      <w:pPr>
        <w:spacing w:before="240" w:after="240"/>
        <w:ind w:left="567" w:right="900"/>
        <w:jc w:val="both"/>
        <w:rPr>
          <w:rFonts w:ascii="Palatino Linotype" w:hAnsi="Palatino Linotype"/>
          <w:bCs/>
          <w:i/>
          <w:sz w:val="22"/>
          <w:lang w:eastAsia="es-ES"/>
        </w:rPr>
      </w:pPr>
      <w:r w:rsidRPr="007C4A8E">
        <w:rPr>
          <w:rFonts w:ascii="Palatino Linotype" w:hAnsi="Palatino Linotype"/>
          <w:b/>
          <w:bCs/>
          <w:i/>
          <w:sz w:val="22"/>
          <w:lang w:eastAsia="es-ES"/>
        </w:rPr>
        <w:t xml:space="preserve">VII. </w:t>
      </w:r>
      <w:r w:rsidRPr="007C4A8E">
        <w:rPr>
          <w:rFonts w:ascii="Palatino Linotype" w:hAnsi="Palatino Linotype"/>
          <w:bCs/>
          <w:i/>
          <w:sz w:val="22"/>
          <w:lang w:eastAsia="es-ES"/>
        </w:rPr>
        <w:t xml:space="preserve">En el ámbito de sus atribuciones, pedir a los propietarios o poseedores que soliciten una licencia de funcionamiento o su revalidación de los giros que impliquen actividades de carácter permanente, que por sus características motiven elevados índices de afluencia de personas, tránsito de vehículos o manejo de efectivo y de valores, cuenten con sistemas de video vigilancia operacionales en sus inmuebles, en el entendido de que la captación de imágenes y sonido podrán ser utilizados con fines de seguridad pública en la entidad, así como establecer políticas para implementar acciones coordinadas entre el ámbito público y privado con el objeto de prevenir actos delictivos; </w:t>
      </w:r>
    </w:p>
    <w:p w14:paraId="0C31F4FF" w14:textId="77777777" w:rsidR="007C4A8E" w:rsidRPr="007C4A8E" w:rsidRDefault="007C4A8E" w:rsidP="007C4A8E">
      <w:pPr>
        <w:spacing w:before="240" w:after="240"/>
        <w:ind w:left="567" w:right="900"/>
        <w:jc w:val="both"/>
        <w:rPr>
          <w:rFonts w:ascii="Palatino Linotype" w:hAnsi="Palatino Linotype"/>
          <w:bCs/>
          <w:i/>
          <w:sz w:val="22"/>
          <w:lang w:eastAsia="es-ES"/>
        </w:rPr>
      </w:pPr>
      <w:r w:rsidRPr="007C4A8E">
        <w:rPr>
          <w:rFonts w:ascii="Palatino Linotype" w:hAnsi="Palatino Linotype"/>
          <w:b/>
          <w:bCs/>
          <w:i/>
          <w:sz w:val="22"/>
          <w:lang w:eastAsia="es-ES"/>
        </w:rPr>
        <w:t xml:space="preserve">VIII. </w:t>
      </w:r>
      <w:r w:rsidRPr="007C4A8E">
        <w:rPr>
          <w:rFonts w:ascii="Palatino Linotype" w:hAnsi="Palatino Linotype"/>
          <w:bCs/>
          <w:i/>
          <w:sz w:val="22"/>
          <w:lang w:eastAsia="es-ES"/>
        </w:rPr>
        <w:t xml:space="preserve">En el ámbito de sus atribuciones llevar registro de los establecimientos cuyo giro sea la fabricación y comercialización de uniformes e insignias de las instituciones de seguridad pública, remitiendo la información que corresponda a la Secretaría; y </w:t>
      </w:r>
    </w:p>
    <w:p w14:paraId="4EBEF080" w14:textId="5BF4C1FE" w:rsidR="007C4A8E" w:rsidRDefault="007C4A8E" w:rsidP="007C4A8E">
      <w:pPr>
        <w:spacing w:before="240" w:after="240"/>
        <w:ind w:left="567" w:right="900"/>
        <w:jc w:val="both"/>
        <w:rPr>
          <w:rFonts w:ascii="Palatino Linotype" w:hAnsi="Palatino Linotype"/>
          <w:bCs/>
          <w:i/>
          <w:sz w:val="22"/>
          <w:lang w:eastAsia="es-ES"/>
        </w:rPr>
      </w:pPr>
      <w:r w:rsidRPr="007C4A8E">
        <w:rPr>
          <w:rFonts w:ascii="Palatino Linotype" w:hAnsi="Palatino Linotype"/>
          <w:b/>
          <w:bCs/>
          <w:i/>
          <w:sz w:val="22"/>
          <w:lang w:eastAsia="es-ES"/>
        </w:rPr>
        <w:lastRenderedPageBreak/>
        <w:t xml:space="preserve">IX. </w:t>
      </w:r>
      <w:r w:rsidRPr="007C4A8E">
        <w:rPr>
          <w:rFonts w:ascii="Palatino Linotype" w:hAnsi="Palatino Linotype"/>
          <w:bCs/>
          <w:i/>
          <w:sz w:val="22"/>
          <w:lang w:eastAsia="es-ES"/>
        </w:rPr>
        <w:t>Las demás que les señalen ésta u otras leyes de la materia.</w:t>
      </w:r>
      <w:r>
        <w:rPr>
          <w:rFonts w:ascii="Palatino Linotype" w:hAnsi="Palatino Linotype"/>
          <w:bCs/>
          <w:i/>
          <w:sz w:val="22"/>
          <w:lang w:eastAsia="es-ES"/>
        </w:rPr>
        <w:t>”</w:t>
      </w:r>
    </w:p>
    <w:p w14:paraId="57C31E6A" w14:textId="7D141EC1" w:rsidR="007C4A8E" w:rsidRPr="007C4A8E" w:rsidRDefault="007C4A8E" w:rsidP="007C4A8E">
      <w:pPr>
        <w:spacing w:before="240" w:after="240"/>
        <w:ind w:left="567" w:right="900"/>
        <w:jc w:val="both"/>
        <w:rPr>
          <w:rFonts w:ascii="Palatino Linotype" w:hAnsi="Palatino Linotype"/>
          <w:bCs/>
          <w:i/>
          <w:sz w:val="22"/>
          <w:lang w:eastAsia="es-ES"/>
        </w:rPr>
      </w:pPr>
      <w:r w:rsidRPr="007C4A8E">
        <w:rPr>
          <w:rFonts w:ascii="Palatino Linotype" w:hAnsi="Palatino Linotype"/>
          <w:bCs/>
          <w:i/>
          <w:sz w:val="22"/>
          <w:lang w:eastAsia="es-ES"/>
        </w:rPr>
        <w:t>(Énfasis añadido)</w:t>
      </w:r>
    </w:p>
    <w:p w14:paraId="7FCFF28B" w14:textId="35038487" w:rsidR="007C4A8E" w:rsidRDefault="00B77B48" w:rsidP="007C4A8E">
      <w:pPr>
        <w:spacing w:before="240" w:after="240" w:line="360" w:lineRule="auto"/>
        <w:jc w:val="both"/>
        <w:rPr>
          <w:rFonts w:ascii="Palatino Linotype" w:hAnsi="Palatino Linotype"/>
          <w:lang w:eastAsia="es-ES"/>
        </w:rPr>
      </w:pPr>
      <w:r>
        <w:rPr>
          <w:rFonts w:ascii="Palatino Linotype" w:hAnsi="Palatino Linotype"/>
          <w:lang w:eastAsia="es-ES"/>
        </w:rPr>
        <w:t>Has</w:t>
      </w:r>
      <w:r w:rsidR="00792A67">
        <w:rPr>
          <w:rFonts w:ascii="Palatino Linotype" w:hAnsi="Palatino Linotype"/>
          <w:lang w:eastAsia="es-ES"/>
        </w:rPr>
        <w:t xml:space="preserve">ta este punto, se colige que </w:t>
      </w:r>
      <w:r>
        <w:rPr>
          <w:rFonts w:ascii="Palatino Linotype" w:hAnsi="Palatino Linotype"/>
          <w:lang w:eastAsia="es-ES"/>
        </w:rPr>
        <w:t xml:space="preserve">el ayuntamiento cuenta con diversas autoridades en materia de seguridad pública, revistiendo particular interés para el presente estudio, el </w:t>
      </w:r>
      <w:r w:rsidRPr="00496271">
        <w:rPr>
          <w:rFonts w:ascii="Palatino Linotype" w:hAnsi="Palatino Linotype"/>
          <w:b/>
          <w:lang w:eastAsia="es-ES"/>
        </w:rPr>
        <w:t>Director de Seguridad Pública Municipal</w:t>
      </w:r>
      <w:r>
        <w:rPr>
          <w:rFonts w:ascii="Palatino Linotype" w:hAnsi="Palatino Linotype"/>
          <w:lang w:eastAsia="es-ES"/>
        </w:rPr>
        <w:t xml:space="preserve">, cuyo nombramiento será expedido por el propio ayuntamiento previa propuesta del Presidente Municipal, esto de conformidad con el artículo 21, fracción VII de la Ley de Seguridad del Estado de México. </w:t>
      </w:r>
    </w:p>
    <w:p w14:paraId="654009B4" w14:textId="21B3A8EB" w:rsidR="00784173" w:rsidRPr="00784173" w:rsidRDefault="00E75831" w:rsidP="00784173">
      <w:pPr>
        <w:spacing w:before="240" w:after="240" w:line="360" w:lineRule="auto"/>
        <w:jc w:val="both"/>
        <w:rPr>
          <w:rFonts w:ascii="Palatino Linotype" w:hAnsi="Palatino Linotype"/>
          <w:lang w:eastAsia="es-ES"/>
        </w:rPr>
      </w:pPr>
      <w:r>
        <w:rPr>
          <w:rFonts w:ascii="Palatino Linotype" w:hAnsi="Palatino Linotype"/>
          <w:lang w:eastAsia="es-ES"/>
        </w:rPr>
        <w:t xml:space="preserve">Ahora bien, para colmar este requerimiento, debemos recordar que la parte solicitante manifestó </w:t>
      </w:r>
      <w:r w:rsidR="00784173">
        <w:rPr>
          <w:rFonts w:ascii="Palatino Linotype" w:hAnsi="Palatino Linotype"/>
          <w:lang w:eastAsia="es-ES"/>
        </w:rPr>
        <w:t xml:space="preserve">en su pretensión, el acceso a </w:t>
      </w:r>
      <w:r w:rsidR="00784173" w:rsidRPr="00784173">
        <w:rPr>
          <w:rFonts w:ascii="Palatino Linotype" w:hAnsi="Palatino Linotype"/>
          <w:i/>
          <w:sz w:val="22"/>
          <w:lang w:eastAsia="es-ES"/>
        </w:rPr>
        <w:t>“la Información absoluta del Director de Seguridad Pública Municipal y sus facultades”</w:t>
      </w:r>
      <w:r w:rsidR="00784173">
        <w:rPr>
          <w:rFonts w:ascii="Palatino Linotype" w:hAnsi="Palatino Linotype"/>
          <w:i/>
          <w:sz w:val="22"/>
          <w:lang w:eastAsia="es-ES"/>
        </w:rPr>
        <w:t xml:space="preserve">, </w:t>
      </w:r>
      <w:r w:rsidR="00784173">
        <w:rPr>
          <w:rFonts w:ascii="Palatino Linotype" w:hAnsi="Palatino Linotype"/>
          <w:lang w:eastAsia="es-ES"/>
        </w:rPr>
        <w:t xml:space="preserve">por lo que en aras de tutelar el derecho de acceso a la información pública que le asiste al particular, </w:t>
      </w:r>
      <w:r w:rsidR="00784173" w:rsidRPr="00784173">
        <w:rPr>
          <w:rFonts w:ascii="Palatino Linotype" w:hAnsi="Palatino Linotype"/>
          <w:lang w:eastAsia="es-ES"/>
        </w:rPr>
        <w:t>es importante aplicar la suplencia en favor del recurrente, a efecto de que se ordene</w:t>
      </w:r>
      <w:r w:rsidR="00784173">
        <w:rPr>
          <w:rFonts w:ascii="Palatino Linotype" w:hAnsi="Palatino Linotype"/>
          <w:lang w:eastAsia="es-ES"/>
        </w:rPr>
        <w:t xml:space="preserve">n </w:t>
      </w:r>
      <w:r w:rsidR="00784173" w:rsidRPr="00D016BB">
        <w:rPr>
          <w:rFonts w:ascii="Palatino Linotype" w:hAnsi="Palatino Linotype"/>
          <w:lang w:eastAsia="es-ES"/>
        </w:rPr>
        <w:t xml:space="preserve">los soportes documentales </w:t>
      </w:r>
      <w:r w:rsidR="00D016BB" w:rsidRPr="00D016BB">
        <w:rPr>
          <w:rFonts w:ascii="Palatino Linotype" w:hAnsi="Palatino Linotype"/>
          <w:lang w:eastAsia="es-ES"/>
        </w:rPr>
        <w:t xml:space="preserve">remitidos por el </w:t>
      </w:r>
      <w:r w:rsidR="00784173" w:rsidRPr="00D016BB">
        <w:rPr>
          <w:rFonts w:ascii="Palatino Linotype" w:hAnsi="Palatino Linotype"/>
          <w:lang w:eastAsia="es-ES"/>
        </w:rPr>
        <w:t>Director de Seguridad Pública, Tránsito y Vialidad</w:t>
      </w:r>
      <w:r w:rsidR="00D016BB" w:rsidRPr="00D016BB">
        <w:rPr>
          <w:rFonts w:ascii="Palatino Linotype" w:hAnsi="Palatino Linotype"/>
          <w:lang w:eastAsia="es-ES"/>
        </w:rPr>
        <w:t xml:space="preserve"> para su designación, </w:t>
      </w:r>
      <w:r w:rsidR="00784173" w:rsidRPr="00D016BB">
        <w:rPr>
          <w:rFonts w:ascii="Palatino Linotype" w:hAnsi="Palatino Linotype"/>
          <w:lang w:eastAsia="es-ES"/>
        </w:rPr>
        <w:t>así como los documentos en donde obren sus facultades</w:t>
      </w:r>
      <w:r w:rsidR="00784173" w:rsidRPr="00784173">
        <w:rPr>
          <w:rFonts w:ascii="Palatino Linotype" w:hAnsi="Palatino Linotype"/>
          <w:lang w:eastAsia="es-ES"/>
        </w:rPr>
        <w:t>, lo anterior se invoca  toda vez  que este Órgano Garante tiene facultad en los artículo 13 y párrafo cuarto del 181 de la Ley de Transparencia y Acceso a la Información Pública del Estado de México y Municipios, como se observa a continuación:</w:t>
      </w:r>
    </w:p>
    <w:p w14:paraId="64C11DD9" w14:textId="77777777" w:rsidR="00784173" w:rsidRPr="00784173" w:rsidRDefault="00784173" w:rsidP="00784173">
      <w:pPr>
        <w:spacing w:before="240" w:after="240"/>
        <w:ind w:left="567" w:right="900"/>
        <w:jc w:val="both"/>
        <w:rPr>
          <w:rFonts w:ascii="Palatino Linotype" w:hAnsi="Palatino Linotype"/>
          <w:i/>
          <w:sz w:val="22"/>
          <w:lang w:eastAsia="es-ES"/>
        </w:rPr>
      </w:pPr>
      <w:r w:rsidRPr="00784173">
        <w:rPr>
          <w:rFonts w:ascii="Palatino Linotype" w:hAnsi="Palatino Linotype"/>
          <w:b/>
          <w:i/>
          <w:sz w:val="22"/>
          <w:lang w:eastAsia="es-ES"/>
        </w:rPr>
        <w:t>“Artículo 13.</w:t>
      </w:r>
      <w:r w:rsidRPr="00784173">
        <w:rPr>
          <w:rFonts w:ascii="Palatino Linotype" w:hAnsi="Palatino Linotype"/>
          <w:i/>
          <w:sz w:val="22"/>
          <w:lang w:eastAsia="es-ES"/>
        </w:rPr>
        <w:t xml:space="preserve"> El Instituto, en el ámbito de sus atribuciones, deberá suplir cualquier deficiencia para garantizar el ejercicio del derecho de acceso a la información.</w:t>
      </w:r>
    </w:p>
    <w:p w14:paraId="5FA2F768" w14:textId="77777777" w:rsidR="00784173" w:rsidRPr="00784173" w:rsidRDefault="00784173" w:rsidP="00784173">
      <w:pPr>
        <w:spacing w:before="240" w:after="240"/>
        <w:ind w:left="567" w:right="900"/>
        <w:jc w:val="both"/>
        <w:rPr>
          <w:rFonts w:ascii="Palatino Linotype" w:hAnsi="Palatino Linotype"/>
          <w:b/>
          <w:i/>
          <w:sz w:val="22"/>
          <w:lang w:eastAsia="es-ES"/>
        </w:rPr>
      </w:pPr>
      <w:r w:rsidRPr="00784173">
        <w:rPr>
          <w:rFonts w:ascii="Palatino Linotype" w:hAnsi="Palatino Linotype"/>
          <w:b/>
          <w:i/>
          <w:sz w:val="22"/>
          <w:lang w:eastAsia="es-ES"/>
        </w:rPr>
        <w:t>Artículo 181.</w:t>
      </w:r>
    </w:p>
    <w:p w14:paraId="09FA2800" w14:textId="77777777" w:rsidR="00784173" w:rsidRPr="00784173" w:rsidRDefault="00784173" w:rsidP="00784173">
      <w:pPr>
        <w:spacing w:before="240" w:after="240"/>
        <w:ind w:left="567" w:right="900"/>
        <w:jc w:val="both"/>
        <w:rPr>
          <w:rFonts w:ascii="Palatino Linotype" w:hAnsi="Palatino Linotype"/>
          <w:i/>
          <w:sz w:val="22"/>
          <w:lang w:eastAsia="es-ES"/>
        </w:rPr>
      </w:pPr>
      <w:r w:rsidRPr="00784173">
        <w:rPr>
          <w:rFonts w:ascii="Palatino Linotype" w:hAnsi="Palatino Linotype"/>
          <w:i/>
          <w:sz w:val="22"/>
          <w:lang w:eastAsia="es-ES"/>
        </w:rPr>
        <w:t>(…)</w:t>
      </w:r>
    </w:p>
    <w:p w14:paraId="5CDD4BF5" w14:textId="77777777" w:rsidR="00784173" w:rsidRPr="00784173" w:rsidRDefault="00784173" w:rsidP="00784173">
      <w:pPr>
        <w:spacing w:before="240" w:after="240"/>
        <w:ind w:left="567" w:right="900"/>
        <w:jc w:val="both"/>
        <w:rPr>
          <w:rFonts w:ascii="Palatino Linotype" w:hAnsi="Palatino Linotype"/>
          <w:i/>
          <w:sz w:val="22"/>
          <w:lang w:eastAsia="es-ES"/>
        </w:rPr>
      </w:pPr>
      <w:r w:rsidRPr="00784173">
        <w:rPr>
          <w:rFonts w:ascii="Palatino Linotype" w:hAnsi="Palatino Linotype"/>
          <w:i/>
          <w:sz w:val="22"/>
          <w:lang w:eastAsia="es-ES"/>
        </w:rPr>
        <w:t xml:space="preserve">Durante el procedimiento deberá aplicarse la suplencia de la queja a favor del recurrente, sin cambiar los hechos expuestos, asegurándose de que las partes puedan </w:t>
      </w:r>
      <w:r w:rsidRPr="00784173">
        <w:rPr>
          <w:rFonts w:ascii="Palatino Linotype" w:hAnsi="Palatino Linotype"/>
          <w:i/>
          <w:sz w:val="22"/>
          <w:lang w:eastAsia="es-ES"/>
        </w:rPr>
        <w:lastRenderedPageBreak/>
        <w:t>presentar, de manera oral o escrita, los argumentos que funden y motiven sus pretensiones.”</w:t>
      </w:r>
    </w:p>
    <w:p w14:paraId="1786D5A9" w14:textId="43AEDA4A" w:rsidR="00B77B48" w:rsidRDefault="00784173" w:rsidP="007C4A8E">
      <w:pPr>
        <w:spacing w:before="240" w:after="240" w:line="360" w:lineRule="auto"/>
        <w:jc w:val="both"/>
        <w:rPr>
          <w:rFonts w:ascii="Palatino Linotype" w:hAnsi="Palatino Linotype"/>
          <w:lang w:eastAsia="es-ES"/>
        </w:rPr>
      </w:pPr>
      <w:r>
        <w:rPr>
          <w:rFonts w:ascii="Palatino Linotype" w:hAnsi="Palatino Linotype"/>
          <w:lang w:eastAsia="es-ES"/>
        </w:rPr>
        <w:t>En ese sentido, el artículo 2</w:t>
      </w:r>
      <w:r w:rsidR="009165AB">
        <w:rPr>
          <w:rFonts w:ascii="Palatino Linotype" w:hAnsi="Palatino Linotype"/>
          <w:lang w:eastAsia="es-ES"/>
        </w:rPr>
        <w:t xml:space="preserve">2 Bis de la Ley de Seguridad del Estado de México </w:t>
      </w:r>
      <w:r>
        <w:rPr>
          <w:rFonts w:ascii="Palatino Linotype" w:hAnsi="Palatino Linotype"/>
          <w:lang w:eastAsia="es-ES"/>
        </w:rPr>
        <w:t xml:space="preserve"> prevé que para </w:t>
      </w:r>
      <w:r w:rsidR="00242EAD">
        <w:rPr>
          <w:rFonts w:ascii="Palatino Linotype" w:hAnsi="Palatino Linotype"/>
          <w:lang w:eastAsia="es-ES"/>
        </w:rPr>
        <w:t>el desempeño del</w:t>
      </w:r>
      <w:r>
        <w:rPr>
          <w:rFonts w:ascii="Palatino Linotype" w:hAnsi="Palatino Linotype"/>
          <w:lang w:eastAsia="es-ES"/>
        </w:rPr>
        <w:t xml:space="preserve"> cargo</w:t>
      </w:r>
      <w:r w:rsidR="00242EAD">
        <w:rPr>
          <w:rFonts w:ascii="Palatino Linotype" w:hAnsi="Palatino Linotype"/>
          <w:lang w:eastAsia="es-ES"/>
        </w:rPr>
        <w:t xml:space="preserve"> de Director de Seguridad Pública Municipal</w:t>
      </w:r>
      <w:r>
        <w:rPr>
          <w:rFonts w:ascii="Palatino Linotype" w:hAnsi="Palatino Linotype"/>
          <w:lang w:eastAsia="es-ES"/>
        </w:rPr>
        <w:t xml:space="preserve">, deberán satisfacerse los requisitos siguientes: </w:t>
      </w:r>
    </w:p>
    <w:p w14:paraId="41C30006" w14:textId="25324E8B" w:rsidR="00784173" w:rsidRPr="00784173" w:rsidRDefault="00242EAD" w:rsidP="00784173">
      <w:pPr>
        <w:spacing w:before="240" w:after="240"/>
        <w:ind w:left="567" w:right="1041"/>
        <w:jc w:val="both"/>
        <w:rPr>
          <w:rFonts w:ascii="Palatino Linotype" w:hAnsi="Palatino Linotype"/>
          <w:i/>
          <w:sz w:val="22"/>
          <w:u w:val="single"/>
          <w:lang w:eastAsia="es-ES"/>
        </w:rPr>
      </w:pPr>
      <w:r>
        <w:rPr>
          <w:rFonts w:ascii="Palatino Linotype" w:hAnsi="Palatino Linotype"/>
          <w:b/>
          <w:bCs/>
          <w:i/>
          <w:sz w:val="22"/>
          <w:lang w:eastAsia="es-ES"/>
        </w:rPr>
        <w:t>“</w:t>
      </w:r>
      <w:r w:rsidR="00784173" w:rsidRPr="00784173">
        <w:rPr>
          <w:rFonts w:ascii="Palatino Linotype" w:hAnsi="Palatino Linotype"/>
          <w:b/>
          <w:bCs/>
          <w:i/>
          <w:sz w:val="22"/>
          <w:lang w:eastAsia="es-ES"/>
        </w:rPr>
        <w:t xml:space="preserve">Artículo 22 Bis. </w:t>
      </w:r>
      <w:r w:rsidR="00784173" w:rsidRPr="00784173">
        <w:rPr>
          <w:rFonts w:ascii="Palatino Linotype" w:hAnsi="Palatino Linotype"/>
          <w:i/>
          <w:sz w:val="22"/>
          <w:u w:val="single"/>
          <w:lang w:eastAsia="es-ES"/>
        </w:rPr>
        <w:t xml:space="preserve">Para ocupar el cargo de Director de Seguridad Pública Municipal o su equivalente, se deberán satisfacer los requisitos siguientes: </w:t>
      </w:r>
    </w:p>
    <w:p w14:paraId="70E4B6CD" w14:textId="77777777" w:rsidR="00784173" w:rsidRPr="00784173" w:rsidRDefault="00784173" w:rsidP="00784173">
      <w:pPr>
        <w:spacing w:before="240" w:after="240"/>
        <w:ind w:left="567" w:right="902"/>
        <w:jc w:val="both"/>
        <w:rPr>
          <w:rFonts w:ascii="Palatino Linotype" w:hAnsi="Palatino Linotype"/>
          <w:b/>
          <w:i/>
          <w:sz w:val="22"/>
          <w:lang w:eastAsia="es-ES"/>
        </w:rPr>
      </w:pPr>
      <w:r w:rsidRPr="00784173">
        <w:rPr>
          <w:rFonts w:ascii="Palatino Linotype" w:hAnsi="Palatino Linotype"/>
          <w:b/>
          <w:bCs/>
          <w:i/>
          <w:sz w:val="22"/>
          <w:lang w:eastAsia="es-ES"/>
        </w:rPr>
        <w:t xml:space="preserve">I. </w:t>
      </w:r>
      <w:r w:rsidRPr="00784173">
        <w:rPr>
          <w:rFonts w:ascii="Palatino Linotype" w:hAnsi="Palatino Linotype"/>
          <w:b/>
          <w:i/>
          <w:sz w:val="22"/>
          <w:lang w:eastAsia="es-ES"/>
        </w:rPr>
        <w:t xml:space="preserve">Ser ciudadano o ciudadana del Estado de México, preferentemente vecino del municipio, en pleno goce de sus derechos civiles y políticos; </w:t>
      </w:r>
    </w:p>
    <w:p w14:paraId="1145C166" w14:textId="77777777" w:rsidR="00784173" w:rsidRPr="00784173" w:rsidRDefault="00784173" w:rsidP="00784173">
      <w:pPr>
        <w:spacing w:before="240" w:after="240"/>
        <w:ind w:left="567" w:right="900"/>
        <w:jc w:val="both"/>
        <w:rPr>
          <w:rFonts w:ascii="Palatino Linotype" w:hAnsi="Palatino Linotype"/>
          <w:b/>
          <w:i/>
          <w:sz w:val="22"/>
          <w:lang w:eastAsia="es-ES"/>
        </w:rPr>
      </w:pPr>
      <w:r w:rsidRPr="00784173">
        <w:rPr>
          <w:rFonts w:ascii="Palatino Linotype" w:hAnsi="Palatino Linotype"/>
          <w:b/>
          <w:bCs/>
          <w:i/>
          <w:sz w:val="22"/>
          <w:lang w:eastAsia="es-ES"/>
        </w:rPr>
        <w:t xml:space="preserve">II. No estar inhabilitado o inhabilitada para desempeñar cargo, empleo, o comisión pública; </w:t>
      </w:r>
    </w:p>
    <w:p w14:paraId="3C192153" w14:textId="77777777" w:rsidR="00784173" w:rsidRPr="00784173" w:rsidRDefault="00784173" w:rsidP="00784173">
      <w:pPr>
        <w:spacing w:before="240" w:after="240"/>
        <w:ind w:left="567" w:right="900"/>
        <w:jc w:val="both"/>
        <w:rPr>
          <w:rFonts w:ascii="Palatino Linotype" w:hAnsi="Palatino Linotype"/>
          <w:b/>
          <w:i/>
          <w:sz w:val="22"/>
          <w:lang w:eastAsia="es-ES"/>
        </w:rPr>
      </w:pPr>
      <w:r w:rsidRPr="00784173">
        <w:rPr>
          <w:rFonts w:ascii="Palatino Linotype" w:hAnsi="Palatino Linotype"/>
          <w:b/>
          <w:bCs/>
          <w:i/>
          <w:sz w:val="22"/>
          <w:lang w:eastAsia="es-ES"/>
        </w:rPr>
        <w:t xml:space="preserve">III. No haber sido condenado o condenada por delito doloso que amerite pena privativa de libertad; </w:t>
      </w:r>
    </w:p>
    <w:p w14:paraId="24712223" w14:textId="2B203AA1" w:rsidR="00784173" w:rsidRPr="00784173" w:rsidRDefault="00784173" w:rsidP="00784173">
      <w:pPr>
        <w:spacing w:before="240" w:after="240"/>
        <w:ind w:left="567" w:right="900"/>
        <w:jc w:val="both"/>
        <w:rPr>
          <w:rFonts w:ascii="Palatino Linotype" w:hAnsi="Palatino Linotype"/>
          <w:b/>
          <w:i/>
          <w:sz w:val="22"/>
          <w:lang w:eastAsia="es-ES"/>
        </w:rPr>
      </w:pPr>
      <w:r w:rsidRPr="00784173">
        <w:rPr>
          <w:rFonts w:ascii="Palatino Linotype" w:hAnsi="Palatino Linotype"/>
          <w:b/>
          <w:bCs/>
          <w:i/>
          <w:sz w:val="22"/>
          <w:lang w:eastAsia="es-ES"/>
        </w:rPr>
        <w:t xml:space="preserve">IV. </w:t>
      </w:r>
      <w:r w:rsidRPr="00784173">
        <w:rPr>
          <w:rFonts w:ascii="Palatino Linotype" w:hAnsi="Palatino Linotype"/>
          <w:b/>
          <w:i/>
          <w:sz w:val="22"/>
          <w:lang w:eastAsia="es-ES"/>
        </w:rPr>
        <w:t>Tener Licenciatura y preferentemente especialización en seguridad pública, o contar con experiencia mínima de un año en la materia, y</w:t>
      </w:r>
    </w:p>
    <w:p w14:paraId="7133850F" w14:textId="62F02E0D" w:rsidR="00784173" w:rsidRDefault="00784173" w:rsidP="00784173">
      <w:pPr>
        <w:spacing w:before="240" w:after="240"/>
        <w:ind w:left="567" w:right="900"/>
        <w:jc w:val="both"/>
        <w:rPr>
          <w:rFonts w:ascii="Palatino Linotype" w:hAnsi="Palatino Linotype"/>
          <w:b/>
          <w:i/>
          <w:sz w:val="22"/>
          <w:lang w:eastAsia="es-ES"/>
        </w:rPr>
      </w:pPr>
      <w:r w:rsidRPr="00784173">
        <w:rPr>
          <w:rFonts w:ascii="Palatino Linotype" w:hAnsi="Palatino Linotype"/>
          <w:b/>
          <w:bCs/>
          <w:i/>
          <w:sz w:val="22"/>
          <w:lang w:eastAsia="es-ES"/>
        </w:rPr>
        <w:t xml:space="preserve">V. </w:t>
      </w:r>
      <w:r w:rsidRPr="00784173">
        <w:rPr>
          <w:rFonts w:ascii="Palatino Linotype" w:hAnsi="Palatino Linotype"/>
          <w:b/>
          <w:i/>
          <w:sz w:val="22"/>
          <w:lang w:eastAsia="es-ES"/>
        </w:rPr>
        <w:t>Someterse y aprobar las evaluaciones de certificación y control de confianza, para su ingreso y permanencia.</w:t>
      </w:r>
      <w:r>
        <w:rPr>
          <w:rFonts w:ascii="Palatino Linotype" w:hAnsi="Palatino Linotype"/>
          <w:b/>
          <w:i/>
          <w:sz w:val="22"/>
          <w:lang w:eastAsia="es-ES"/>
        </w:rPr>
        <w:t>”</w:t>
      </w:r>
    </w:p>
    <w:p w14:paraId="3323997E" w14:textId="301E250C" w:rsidR="00784173" w:rsidRPr="00784173" w:rsidRDefault="00784173" w:rsidP="00784173">
      <w:pPr>
        <w:spacing w:before="240" w:after="240"/>
        <w:ind w:left="567" w:right="900"/>
        <w:jc w:val="both"/>
        <w:rPr>
          <w:rFonts w:ascii="Palatino Linotype" w:hAnsi="Palatino Linotype"/>
          <w:i/>
          <w:sz w:val="22"/>
          <w:lang w:eastAsia="es-ES"/>
        </w:rPr>
      </w:pPr>
      <w:r>
        <w:rPr>
          <w:rFonts w:ascii="Palatino Linotype" w:hAnsi="Palatino Linotype"/>
          <w:i/>
          <w:sz w:val="22"/>
          <w:lang w:eastAsia="es-ES"/>
        </w:rPr>
        <w:t>(Énfasis añadido)</w:t>
      </w:r>
    </w:p>
    <w:p w14:paraId="052C5D94" w14:textId="77777777" w:rsidR="007605BE" w:rsidRDefault="00607BC4" w:rsidP="00607BC4">
      <w:pPr>
        <w:spacing w:before="240" w:after="240" w:line="360" w:lineRule="auto"/>
        <w:ind w:right="51"/>
        <w:jc w:val="both"/>
        <w:rPr>
          <w:rFonts w:ascii="Palatino Linotype" w:hAnsi="Palatino Linotype"/>
          <w:lang w:eastAsia="es-ES"/>
        </w:rPr>
      </w:pPr>
      <w:r>
        <w:rPr>
          <w:rFonts w:ascii="Palatino Linotype" w:hAnsi="Palatino Linotype"/>
          <w:lang w:eastAsia="es-ES"/>
        </w:rPr>
        <w:t>De lo citado con antelación se deduce que para</w:t>
      </w:r>
      <w:r w:rsidR="00A36550">
        <w:rPr>
          <w:rFonts w:ascii="Palatino Linotype" w:hAnsi="Palatino Linotype"/>
          <w:lang w:eastAsia="es-ES"/>
        </w:rPr>
        <w:t xml:space="preserve"> el desempeño de este cargo, los aspirantes deberán </w:t>
      </w:r>
      <w:r w:rsidR="00496271">
        <w:rPr>
          <w:rFonts w:ascii="Palatino Linotype" w:hAnsi="Palatino Linotype"/>
          <w:lang w:eastAsia="es-ES"/>
        </w:rPr>
        <w:t xml:space="preserve">satisfacer ciertos requisitos que pudieran colmarse </w:t>
      </w:r>
      <w:r w:rsidR="00496271" w:rsidRPr="00A8498E">
        <w:rPr>
          <w:rFonts w:ascii="Palatino Linotype" w:hAnsi="Palatino Linotype"/>
          <w:b/>
          <w:lang w:eastAsia="es-ES"/>
        </w:rPr>
        <w:t>presentando</w:t>
      </w:r>
      <w:r w:rsidR="00A36550" w:rsidRPr="00A8498E">
        <w:rPr>
          <w:rFonts w:ascii="Palatino Linotype" w:hAnsi="Palatino Linotype"/>
          <w:b/>
          <w:lang w:eastAsia="es-ES"/>
        </w:rPr>
        <w:t xml:space="preserve"> la documentación comprobatori</w:t>
      </w:r>
      <w:r w:rsidR="00496271" w:rsidRPr="00A8498E">
        <w:rPr>
          <w:rFonts w:ascii="Palatino Linotype" w:hAnsi="Palatino Linotype"/>
          <w:b/>
          <w:lang w:eastAsia="es-ES"/>
        </w:rPr>
        <w:t>a de los numerales citados</w:t>
      </w:r>
      <w:r w:rsidR="00496271">
        <w:rPr>
          <w:rFonts w:ascii="Palatino Linotype" w:hAnsi="Palatino Linotype"/>
          <w:lang w:eastAsia="es-ES"/>
        </w:rPr>
        <w:t xml:space="preserve">, </w:t>
      </w:r>
      <w:r w:rsidR="00A36550">
        <w:rPr>
          <w:rFonts w:ascii="Palatino Linotype" w:hAnsi="Palatino Linotype"/>
          <w:lang w:eastAsia="es-ES"/>
        </w:rPr>
        <w:t>de manera enunciativa más no limitativa</w:t>
      </w:r>
      <w:r w:rsidR="00496271">
        <w:rPr>
          <w:rFonts w:ascii="Palatino Linotype" w:hAnsi="Palatino Linotype"/>
          <w:lang w:eastAsia="es-ES"/>
        </w:rPr>
        <w:t xml:space="preserve"> podrían entregarse</w:t>
      </w:r>
      <w:r w:rsidR="00A36550">
        <w:rPr>
          <w:rFonts w:ascii="Palatino Linotype" w:hAnsi="Palatino Linotype"/>
          <w:lang w:eastAsia="es-ES"/>
        </w:rPr>
        <w:t xml:space="preserve">: </w:t>
      </w:r>
      <w:r w:rsidR="007605BE">
        <w:rPr>
          <w:rFonts w:ascii="Palatino Linotype" w:hAnsi="Palatino Linotype"/>
          <w:lang w:eastAsia="es-ES"/>
        </w:rPr>
        <w:t xml:space="preserve">constancia de no inhabilitación, </w:t>
      </w:r>
      <w:r w:rsidR="00A36550">
        <w:rPr>
          <w:rFonts w:ascii="Palatino Linotype" w:hAnsi="Palatino Linotype"/>
          <w:lang w:eastAsia="es-ES"/>
        </w:rPr>
        <w:t xml:space="preserve">el </w:t>
      </w:r>
      <w:r>
        <w:rPr>
          <w:rFonts w:ascii="Palatino Linotype" w:hAnsi="Palatino Linotype"/>
          <w:lang w:eastAsia="es-ES"/>
        </w:rPr>
        <w:t>certific</w:t>
      </w:r>
      <w:r w:rsidR="002C0167">
        <w:rPr>
          <w:rFonts w:ascii="Palatino Linotype" w:hAnsi="Palatino Linotype"/>
          <w:lang w:eastAsia="es-ES"/>
        </w:rPr>
        <w:t>ado de</w:t>
      </w:r>
      <w:r>
        <w:rPr>
          <w:rFonts w:ascii="Palatino Linotype" w:hAnsi="Palatino Linotype"/>
          <w:lang w:eastAsia="es-ES"/>
        </w:rPr>
        <w:t xml:space="preserve"> </w:t>
      </w:r>
      <w:r w:rsidR="002C0167">
        <w:rPr>
          <w:rFonts w:ascii="Palatino Linotype" w:hAnsi="Palatino Linotype"/>
          <w:lang w:eastAsia="es-ES"/>
        </w:rPr>
        <w:t xml:space="preserve">no </w:t>
      </w:r>
      <w:r>
        <w:rPr>
          <w:rFonts w:ascii="Palatino Linotype" w:hAnsi="Palatino Linotype"/>
          <w:lang w:eastAsia="es-ES"/>
        </w:rPr>
        <w:t>antecedentes penales, t</w:t>
      </w:r>
      <w:r w:rsidR="00A36550">
        <w:rPr>
          <w:rFonts w:ascii="Palatino Linotype" w:hAnsi="Palatino Linotype"/>
          <w:lang w:eastAsia="es-ES"/>
        </w:rPr>
        <w:t>ítulo profesional</w:t>
      </w:r>
      <w:r w:rsidR="00496271">
        <w:rPr>
          <w:rFonts w:ascii="Palatino Linotype" w:hAnsi="Palatino Linotype"/>
          <w:lang w:eastAsia="es-ES"/>
        </w:rPr>
        <w:t xml:space="preserve"> o documentos análogos que acrediten la experiencia en la materia</w:t>
      </w:r>
      <w:r w:rsidR="00A36550">
        <w:rPr>
          <w:rFonts w:ascii="Palatino Linotype" w:hAnsi="Palatino Linotype"/>
          <w:lang w:eastAsia="es-ES"/>
        </w:rPr>
        <w:t xml:space="preserve">, </w:t>
      </w:r>
      <w:r w:rsidR="00496271">
        <w:rPr>
          <w:rFonts w:ascii="Palatino Linotype" w:hAnsi="Palatino Linotype"/>
          <w:lang w:eastAsia="es-ES"/>
        </w:rPr>
        <w:t xml:space="preserve">así como el </w:t>
      </w:r>
      <w:r>
        <w:rPr>
          <w:rFonts w:ascii="Palatino Linotype" w:hAnsi="Palatino Linotype"/>
          <w:lang w:eastAsia="es-ES"/>
        </w:rPr>
        <w:t xml:space="preserve">resultado obtenido por la evaluación presentada ante el Centro de Control y Confianza. </w:t>
      </w:r>
    </w:p>
    <w:p w14:paraId="1B1A88A9" w14:textId="58E428D7" w:rsidR="00170B7B" w:rsidRDefault="00170B7B" w:rsidP="00170B7B">
      <w:pPr>
        <w:spacing w:before="240" w:after="240" w:line="360" w:lineRule="auto"/>
        <w:jc w:val="both"/>
        <w:rPr>
          <w:rFonts w:ascii="Palatino Linotype" w:hAnsi="Palatino Linotype" w:cs="Arial"/>
          <w:lang w:val="es-ES" w:eastAsia="es-ES"/>
        </w:rPr>
      </w:pPr>
      <w:r>
        <w:rPr>
          <w:rFonts w:ascii="Palatino Linotype" w:hAnsi="Palatino Linotype" w:cs="Arial"/>
          <w:lang w:val="es-ES" w:eastAsia="es-ES"/>
        </w:rPr>
        <w:lastRenderedPageBreak/>
        <w:t>Bajo dicho precepto legal</w:t>
      </w:r>
      <w:r w:rsidRPr="00170B7B">
        <w:rPr>
          <w:rFonts w:ascii="Palatino Linotype" w:hAnsi="Palatino Linotype" w:cs="Arial"/>
          <w:lang w:val="es-ES" w:eastAsia="es-ES"/>
        </w:rPr>
        <w:t xml:space="preserve">, se advierte que </w:t>
      </w:r>
      <w:r>
        <w:rPr>
          <w:rFonts w:ascii="Palatino Linotype" w:hAnsi="Palatino Linotype" w:cs="Arial"/>
          <w:lang w:val="es-ES" w:eastAsia="es-ES"/>
        </w:rPr>
        <w:t xml:space="preserve">para el caso del Director de Seguridad Pública Municipal, éste deberá </w:t>
      </w:r>
      <w:r w:rsidRPr="00170B7B">
        <w:rPr>
          <w:rFonts w:ascii="Palatino Linotype" w:hAnsi="Palatino Linotype" w:cs="Arial"/>
          <w:lang w:val="es-ES" w:eastAsia="es-ES"/>
        </w:rPr>
        <w:t xml:space="preserve">contar con el grado profesional </w:t>
      </w:r>
      <w:r>
        <w:rPr>
          <w:rFonts w:ascii="Palatino Linotype" w:hAnsi="Palatino Linotype" w:cs="Arial"/>
          <w:lang w:val="es-ES" w:eastAsia="es-ES"/>
        </w:rPr>
        <w:t xml:space="preserve">de </w:t>
      </w:r>
      <w:r w:rsidRPr="00170B7B">
        <w:rPr>
          <w:rFonts w:ascii="Palatino Linotype" w:hAnsi="Palatino Linotype" w:cs="Arial"/>
          <w:lang w:val="es-ES" w:eastAsia="es-ES"/>
        </w:rPr>
        <w:t>Licenciatura</w:t>
      </w:r>
      <w:r>
        <w:rPr>
          <w:rFonts w:ascii="Palatino Linotype" w:hAnsi="Palatino Linotype" w:cs="Arial"/>
          <w:lang w:val="es-ES" w:eastAsia="es-ES"/>
        </w:rPr>
        <w:t xml:space="preserve"> y preferentemente especialización en materia de seguridad pública o experiencia de un año en la materia</w:t>
      </w:r>
      <w:r w:rsidRPr="00170B7B">
        <w:rPr>
          <w:rFonts w:ascii="Palatino Linotype" w:hAnsi="Palatino Linotype" w:cs="Arial"/>
          <w:lang w:val="es-ES" w:eastAsia="es-ES"/>
        </w:rPr>
        <w:t>, por lo que resulta procedente ordenar su entrega.</w:t>
      </w:r>
    </w:p>
    <w:p w14:paraId="53E59402" w14:textId="23AD4E09" w:rsidR="00170B7B" w:rsidRPr="00170B7B" w:rsidRDefault="00170B7B" w:rsidP="00170B7B">
      <w:pPr>
        <w:tabs>
          <w:tab w:val="left" w:pos="709"/>
        </w:tabs>
        <w:spacing w:before="240" w:after="240" w:line="360" w:lineRule="auto"/>
        <w:jc w:val="both"/>
        <w:rPr>
          <w:rFonts w:ascii="Palatino Linotype" w:hAnsi="Palatino Linotype"/>
          <w:lang w:eastAsia="es-ES"/>
        </w:rPr>
      </w:pPr>
      <w:r>
        <w:rPr>
          <w:rFonts w:ascii="Palatino Linotype" w:hAnsi="Palatino Linotype"/>
          <w:lang w:eastAsia="es-ES"/>
        </w:rPr>
        <w:t xml:space="preserve">Asimismo, no escapa de la óptica de </w:t>
      </w:r>
      <w:r w:rsidRPr="00170B7B">
        <w:rPr>
          <w:rFonts w:ascii="Palatino Linotype" w:hAnsi="Palatino Linotype"/>
          <w:lang w:eastAsia="es-ES"/>
        </w:rPr>
        <w:t>este Instituto estima que se puede dar atención a la solicitud materia del presente asunto con la entrega de la ficha curricular, lo anterior, con fundamento en el artículo 92 fracción XXI de la Ley de Transparencia vigente, que a continuación se inserta:</w:t>
      </w:r>
    </w:p>
    <w:p w14:paraId="296BE3E6" w14:textId="77777777" w:rsidR="00170B7B" w:rsidRPr="00170B7B" w:rsidRDefault="00170B7B" w:rsidP="00170B7B">
      <w:pPr>
        <w:tabs>
          <w:tab w:val="left" w:pos="709"/>
        </w:tabs>
        <w:ind w:left="851" w:right="851"/>
        <w:jc w:val="both"/>
        <w:rPr>
          <w:rFonts w:ascii="Palatino Linotype" w:hAnsi="Palatino Linotype"/>
          <w:i/>
          <w:sz w:val="22"/>
          <w:szCs w:val="22"/>
          <w:lang w:val="es-ES" w:eastAsia="es-ES"/>
        </w:rPr>
      </w:pPr>
      <w:r w:rsidRPr="00170B7B">
        <w:rPr>
          <w:rFonts w:ascii="Palatino Linotype" w:hAnsi="Palatino Linotype"/>
          <w:b/>
          <w:i/>
          <w:sz w:val="22"/>
          <w:szCs w:val="22"/>
          <w:lang w:val="es-ES" w:eastAsia="es-ES"/>
        </w:rPr>
        <w:t>Artículo 92.</w:t>
      </w:r>
      <w:r w:rsidRPr="00170B7B">
        <w:rPr>
          <w:rFonts w:ascii="Palatino Linotype" w:hAnsi="Palatino Linotype"/>
          <w:i/>
          <w:sz w:val="22"/>
          <w:szCs w:val="22"/>
          <w:lang w:val="es-ES" w:eastAsia="es-ES"/>
        </w:rPr>
        <w:t xml:space="preserve"> </w:t>
      </w:r>
      <w:r w:rsidRPr="00170B7B">
        <w:rPr>
          <w:rFonts w:ascii="Palatino Linotype" w:hAnsi="Palatino Linotype"/>
          <w:b/>
          <w:i/>
          <w:sz w:val="22"/>
          <w:szCs w:val="22"/>
          <w:u w:val="single"/>
          <w:lang w:val="es-ES" w:eastAsia="es-ES"/>
        </w:rPr>
        <w:t>Los sujetos obligados deberán poner a disposición del público</w:t>
      </w:r>
      <w:r w:rsidRPr="00170B7B">
        <w:rPr>
          <w:rFonts w:ascii="Palatino Linotype" w:hAnsi="Palatino Linotype"/>
          <w:i/>
          <w:sz w:val="22"/>
          <w:szCs w:val="22"/>
          <w:lang w:val="es-ES" w:eastAsia="es-ES"/>
        </w:rPr>
        <w:t xml:space="preserve"> de manera permanente y actualizada de forma sencilla, precisa y entendible, en los respectivos medios electrónicos, de acuerdo con sus facultades, atribuciones, funciones u objeto social, según corresponda, </w:t>
      </w:r>
      <w:r w:rsidRPr="00170B7B">
        <w:rPr>
          <w:rFonts w:ascii="Palatino Linotype" w:hAnsi="Palatino Linotype"/>
          <w:b/>
          <w:i/>
          <w:sz w:val="22"/>
          <w:szCs w:val="22"/>
          <w:u w:val="single"/>
          <w:lang w:val="es-ES" w:eastAsia="es-ES"/>
        </w:rPr>
        <w:t>la información</w:t>
      </w:r>
      <w:r w:rsidRPr="00170B7B">
        <w:rPr>
          <w:rFonts w:ascii="Palatino Linotype" w:hAnsi="Palatino Linotype"/>
          <w:i/>
          <w:sz w:val="22"/>
          <w:szCs w:val="22"/>
          <w:lang w:val="es-ES" w:eastAsia="es-ES"/>
        </w:rPr>
        <w:t>, por lo menos, de los temas, documentos y políticas que a continuación se señalan:</w:t>
      </w:r>
    </w:p>
    <w:p w14:paraId="2B12B9DC" w14:textId="77777777" w:rsidR="00170B7B" w:rsidRPr="00170B7B" w:rsidRDefault="00170B7B" w:rsidP="00170B7B">
      <w:pPr>
        <w:tabs>
          <w:tab w:val="left" w:pos="709"/>
        </w:tabs>
        <w:ind w:left="851" w:right="851"/>
        <w:jc w:val="both"/>
        <w:rPr>
          <w:rFonts w:ascii="Palatino Linotype" w:hAnsi="Palatino Linotype"/>
          <w:i/>
          <w:sz w:val="22"/>
          <w:szCs w:val="22"/>
          <w:lang w:val="es-ES" w:eastAsia="es-ES"/>
        </w:rPr>
      </w:pPr>
      <w:r w:rsidRPr="00170B7B">
        <w:rPr>
          <w:rFonts w:ascii="Palatino Linotype" w:hAnsi="Palatino Linotype"/>
          <w:i/>
          <w:sz w:val="22"/>
          <w:szCs w:val="22"/>
          <w:lang w:val="es-ES" w:eastAsia="es-ES"/>
        </w:rPr>
        <w:t>…</w:t>
      </w:r>
    </w:p>
    <w:p w14:paraId="0870F575" w14:textId="77777777" w:rsidR="00170B7B" w:rsidRPr="00170B7B" w:rsidRDefault="00170B7B" w:rsidP="00170B7B">
      <w:pPr>
        <w:tabs>
          <w:tab w:val="left" w:pos="709"/>
        </w:tabs>
        <w:ind w:left="851" w:right="851"/>
        <w:jc w:val="both"/>
        <w:rPr>
          <w:rFonts w:ascii="Palatino Linotype" w:hAnsi="Palatino Linotype"/>
          <w:i/>
          <w:sz w:val="22"/>
          <w:szCs w:val="22"/>
          <w:lang w:val="es-ES" w:eastAsia="es-ES"/>
        </w:rPr>
      </w:pPr>
      <w:r w:rsidRPr="00170B7B">
        <w:rPr>
          <w:rFonts w:ascii="Palatino Linotype" w:hAnsi="Palatino Linotype"/>
          <w:b/>
          <w:i/>
          <w:sz w:val="22"/>
          <w:szCs w:val="22"/>
          <w:lang w:val="es-ES" w:eastAsia="es-ES"/>
        </w:rPr>
        <w:t>XXI.</w:t>
      </w:r>
      <w:r w:rsidRPr="00170B7B">
        <w:rPr>
          <w:rFonts w:ascii="Palatino Linotype" w:hAnsi="Palatino Linotype"/>
          <w:i/>
          <w:sz w:val="22"/>
          <w:szCs w:val="22"/>
          <w:lang w:val="es-ES" w:eastAsia="es-ES"/>
        </w:rPr>
        <w:t xml:space="preserve"> La información</w:t>
      </w:r>
      <w:r w:rsidRPr="00170B7B">
        <w:rPr>
          <w:rFonts w:ascii="Palatino Linotype" w:hAnsi="Palatino Linotype"/>
          <w:b/>
          <w:i/>
          <w:sz w:val="22"/>
          <w:szCs w:val="22"/>
          <w:lang w:val="es-ES" w:eastAsia="es-ES"/>
        </w:rPr>
        <w:t xml:space="preserve"> </w:t>
      </w:r>
      <w:r w:rsidRPr="00170B7B">
        <w:rPr>
          <w:rFonts w:ascii="Palatino Linotype" w:hAnsi="Palatino Linotype"/>
          <w:b/>
          <w:i/>
          <w:sz w:val="22"/>
          <w:szCs w:val="22"/>
          <w:u w:val="single"/>
          <w:lang w:val="es-ES" w:eastAsia="es-ES"/>
        </w:rPr>
        <w:t>curricular, desde el nivel de jefe de departamento o equivalente, hasta el titular del sujeto obligado</w:t>
      </w:r>
      <w:r w:rsidRPr="00170B7B">
        <w:rPr>
          <w:rFonts w:ascii="Palatino Linotype" w:hAnsi="Palatino Linotype"/>
          <w:i/>
          <w:sz w:val="22"/>
          <w:szCs w:val="22"/>
          <w:lang w:val="es-ES" w:eastAsia="es-ES"/>
        </w:rPr>
        <w:t>, así como, en su caso, las sanciones administrativas de que haya sido objeto;</w:t>
      </w:r>
    </w:p>
    <w:p w14:paraId="70853662" w14:textId="77777777" w:rsidR="00170B7B" w:rsidRPr="00170B7B" w:rsidRDefault="00170B7B" w:rsidP="00170B7B">
      <w:pPr>
        <w:tabs>
          <w:tab w:val="left" w:pos="709"/>
        </w:tabs>
        <w:ind w:left="851" w:right="851"/>
        <w:jc w:val="both"/>
        <w:rPr>
          <w:rFonts w:ascii="Palatino Linotype" w:hAnsi="Palatino Linotype"/>
          <w:i/>
          <w:sz w:val="22"/>
          <w:szCs w:val="22"/>
          <w:lang w:val="es-ES" w:eastAsia="es-ES"/>
        </w:rPr>
      </w:pPr>
    </w:p>
    <w:p w14:paraId="4184463D" w14:textId="77777777" w:rsidR="00170B7B" w:rsidRPr="00170B7B" w:rsidRDefault="00170B7B" w:rsidP="00170B7B">
      <w:pPr>
        <w:spacing w:before="240" w:after="240" w:line="360" w:lineRule="auto"/>
        <w:jc w:val="both"/>
        <w:rPr>
          <w:rFonts w:ascii="Palatino Linotype" w:hAnsi="Palatino Linotype" w:cs="Arial"/>
          <w:lang w:val="es-ES"/>
        </w:rPr>
      </w:pPr>
      <w:r w:rsidRPr="00170B7B">
        <w:rPr>
          <w:rFonts w:ascii="Palatino Linotype" w:hAnsi="Palatino Linotype" w:cs="Arial"/>
          <w:lang w:val="es-ES"/>
        </w:rPr>
        <w:t xml:space="preserve">Del dispositivo legal en comento se advierte que </w:t>
      </w:r>
      <w:r w:rsidRPr="00170B7B">
        <w:rPr>
          <w:rFonts w:ascii="Palatino Linotype" w:hAnsi="Palatino Linotype" w:cs="Arial"/>
        </w:rPr>
        <w:t xml:space="preserve">los Sujeto Obligados deben de </w:t>
      </w:r>
      <w:r w:rsidRPr="00170B7B">
        <w:rPr>
          <w:rFonts w:ascii="Palatino Linotype" w:hAnsi="Palatino Linotype" w:cs="Arial"/>
          <w:lang w:val="es-ES"/>
        </w:rPr>
        <w:t>publicar en cumplimiento a la presente fracción, la información curricular no confidencial relacionada con todos los(as) servidores(as) públicos(as) y/o personas que desempeñen actualmente un empleo, cargo o comisión y/o ejerzan actos de autoridad en el sujeto obligado –desde nivel de jefe de departamento o equivalente y hasta el titular del sujeto obligado, que permita conocer su trayectoria en el ámbito laboral y escolar.</w:t>
      </w:r>
    </w:p>
    <w:p w14:paraId="0A8756B9" w14:textId="77777777" w:rsidR="00170B7B" w:rsidRPr="00170B7B" w:rsidRDefault="00170B7B" w:rsidP="00170B7B">
      <w:pPr>
        <w:spacing w:before="240" w:after="240" w:line="360" w:lineRule="auto"/>
        <w:jc w:val="both"/>
        <w:rPr>
          <w:rFonts w:ascii="Palatino Linotype" w:hAnsi="Palatino Linotype" w:cs="Arial"/>
          <w:lang w:val="es-ES"/>
        </w:rPr>
      </w:pPr>
      <w:r w:rsidRPr="00170B7B">
        <w:rPr>
          <w:rFonts w:ascii="Palatino Linotype" w:hAnsi="Palatino Linotype" w:cs="Arial"/>
          <w:lang w:val="es-ES"/>
        </w:rPr>
        <w:lastRenderedPageBreak/>
        <w:t>Cabe agregar que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establecen que la información curricular desde el nivel de jefe de departamento o equivalente hasta el titular del sujeto obligado debe actualizarse de manera trimestral, en su caso, 15 días hábiles después de alguna modificación a la información de los servidores públicos que integran el sujeto obligado, así como su información curricular, que la información debe ser vigente y que dicha obligación aplica a todos los sujetos obligados.</w:t>
      </w:r>
    </w:p>
    <w:p w14:paraId="0516B268" w14:textId="77777777" w:rsidR="00170B7B" w:rsidRPr="00170B7B" w:rsidRDefault="00170B7B" w:rsidP="00170B7B">
      <w:pPr>
        <w:spacing w:before="240" w:after="240" w:line="360" w:lineRule="auto"/>
        <w:jc w:val="both"/>
        <w:rPr>
          <w:rFonts w:ascii="Palatino Linotype" w:hAnsi="Palatino Linotype" w:cs="Arial"/>
          <w:lang w:val="es-ES"/>
        </w:rPr>
      </w:pPr>
      <w:r w:rsidRPr="00170B7B">
        <w:rPr>
          <w:rFonts w:ascii="Palatino Linotype" w:hAnsi="Palatino Linotype" w:cs="Arial"/>
          <w:lang w:val="es-ES"/>
        </w:rPr>
        <w:t>Es hacer notar que los Lineamientos en comento, en relación a la fracción XVII del artículo 70 de la Ley General de Transparencia, establecen criterios sustantivos de contenido, entre los que se debe proporcionar diversos datos, entre los que se encuentra el relativo al grado académico, como se muestra a continuación:</w:t>
      </w:r>
    </w:p>
    <w:p w14:paraId="52C6DFED" w14:textId="77777777" w:rsidR="00170B7B" w:rsidRPr="00170B7B" w:rsidRDefault="00170B7B" w:rsidP="00170B7B">
      <w:pPr>
        <w:spacing w:before="240" w:after="240" w:line="360" w:lineRule="auto"/>
        <w:jc w:val="both"/>
        <w:rPr>
          <w:rFonts w:ascii="Palatino Linotype" w:hAnsi="Palatino Linotype" w:cs="Arial"/>
          <w:lang w:val="es-ES"/>
        </w:rPr>
      </w:pPr>
      <w:r w:rsidRPr="00170B7B">
        <w:rPr>
          <w:noProof/>
        </w:rPr>
        <w:lastRenderedPageBreak/>
        <mc:AlternateContent>
          <mc:Choice Requires="wps">
            <w:drawing>
              <wp:anchor distT="0" distB="0" distL="114300" distR="114300" simplePos="0" relativeHeight="251666432" behindDoc="0" locked="0" layoutInCell="1" allowOverlap="1" wp14:anchorId="5AE88DE7" wp14:editId="67753490">
                <wp:simplePos x="0" y="0"/>
                <wp:positionH relativeFrom="column">
                  <wp:posOffset>62865</wp:posOffset>
                </wp:positionH>
                <wp:positionV relativeFrom="paragraph">
                  <wp:posOffset>3322955</wp:posOffset>
                </wp:positionV>
                <wp:extent cx="5133975" cy="1133475"/>
                <wp:effectExtent l="19050" t="19050" r="28575" b="28575"/>
                <wp:wrapNone/>
                <wp:docPr id="11" name="Rectángulo redondeado 11"/>
                <wp:cNvGraphicFramePr/>
                <a:graphic xmlns:a="http://schemas.openxmlformats.org/drawingml/2006/main">
                  <a:graphicData uri="http://schemas.microsoft.com/office/word/2010/wordprocessingShape">
                    <wps:wsp>
                      <wps:cNvSpPr/>
                      <wps:spPr>
                        <a:xfrm>
                          <a:off x="0" y="0"/>
                          <a:ext cx="5133975" cy="1133475"/>
                        </a:xfrm>
                        <a:prstGeom prst="roundRect">
                          <a:avLst/>
                        </a:prstGeom>
                        <a:noFill/>
                        <a:ln w="38100" cap="flat" cmpd="sng" algn="ctr">
                          <a:solidFill>
                            <a:srgbClr val="00206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48DDF21" id="Rectángulo redondeado 11" o:spid="_x0000_s1026" style="position:absolute;margin-left:4.95pt;margin-top:261.65pt;width:404.25pt;height:89.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" filled="f" strokecolor="#002060" strokeweight="3pt">
                <v:stroke joinstyle="miter"/>
              </v:roundrect>
            </w:pict>
          </mc:Fallback>
        </mc:AlternateContent>
      </w:r>
      <w:r w:rsidRPr="00170B7B">
        <w:rPr>
          <w:noProof/>
        </w:rPr>
        <w:drawing>
          <wp:inline distT="0" distB="0" distL="0" distR="0" wp14:anchorId="4BC76861" wp14:editId="3BFC333F">
            <wp:extent cx="5620431" cy="4444779"/>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52281" t="16381" r="10883" b="17614"/>
                    <a:stretch/>
                  </pic:blipFill>
                  <pic:spPr bwMode="auto">
                    <a:xfrm>
                      <a:off x="0" y="0"/>
                      <a:ext cx="5654774" cy="4471939"/>
                    </a:xfrm>
                    <a:prstGeom prst="rect">
                      <a:avLst/>
                    </a:prstGeom>
                    <a:ln>
                      <a:noFill/>
                    </a:ln>
                    <a:extLst>
                      <a:ext uri="{53640926-AAD7-44D8-BBD7-CCE9431645EC}">
                        <a14:shadowObscured xmlns:a14="http://schemas.microsoft.com/office/drawing/2010/main"/>
                      </a:ext>
                    </a:extLst>
                  </pic:spPr>
                </pic:pic>
              </a:graphicData>
            </a:graphic>
          </wp:inline>
        </w:drawing>
      </w:r>
    </w:p>
    <w:p w14:paraId="32895E04" w14:textId="5FF6F2EA" w:rsidR="00170B7B" w:rsidRPr="00170B7B" w:rsidRDefault="00170B7B" w:rsidP="00170B7B">
      <w:pPr>
        <w:spacing w:before="240" w:after="240" w:line="360" w:lineRule="auto"/>
        <w:jc w:val="both"/>
        <w:rPr>
          <w:rFonts w:ascii="Palatino Linotype" w:hAnsi="Palatino Linotype" w:cs="Arial"/>
          <w:lang w:val="es-ES"/>
        </w:rPr>
      </w:pPr>
      <w:r w:rsidRPr="00170B7B">
        <w:rPr>
          <w:rFonts w:ascii="Palatino Linotype" w:hAnsi="Palatino Linotype" w:cs="Arial"/>
          <w:lang w:val="es-ES"/>
        </w:rPr>
        <w:t>En atención a lo anterior, personal adscrito a este Órgano Garante procedió a consultar el portal de IPOMEX del Sujeto Obligado</w:t>
      </w:r>
      <w:r>
        <w:rPr>
          <w:rFonts w:ascii="Palatino Linotype" w:hAnsi="Palatino Linotype"/>
          <w:i/>
          <w:vertAlign w:val="superscript"/>
          <w:lang w:val="es-ES" w:eastAsia="es-ES"/>
        </w:rPr>
        <w:t xml:space="preserve">; </w:t>
      </w:r>
      <w:r w:rsidRPr="00170B7B">
        <w:rPr>
          <w:rFonts w:ascii="Palatino Linotype" w:hAnsi="Palatino Linotype" w:cs="Arial"/>
          <w:lang w:val="es-ES"/>
        </w:rPr>
        <w:t xml:space="preserve"> lo anterior para verificar si ha realizado la publicación de la información en comento, obteniendo lo siguiente:</w:t>
      </w:r>
    </w:p>
    <w:p w14:paraId="50331CD2" w14:textId="5F6E8363" w:rsidR="00170B7B" w:rsidRPr="00170B7B" w:rsidRDefault="00170B7B" w:rsidP="00170B7B">
      <w:pPr>
        <w:spacing w:before="240" w:after="240" w:line="360" w:lineRule="auto"/>
        <w:jc w:val="both"/>
        <w:rPr>
          <w:rFonts w:ascii="Palatino Linotype" w:hAnsi="Palatino Linotype" w:cs="Arial"/>
          <w:lang w:val="es-ES" w:eastAsia="es-ES"/>
        </w:rPr>
      </w:pPr>
      <w:r>
        <w:rPr>
          <w:rFonts w:ascii="Palatino Linotype" w:hAnsi="Palatino Linotype" w:cs="Arial"/>
          <w:noProof/>
        </w:rPr>
        <w:lastRenderedPageBreak/>
        <w:drawing>
          <wp:inline distT="0" distB="0" distL="0" distR="0" wp14:anchorId="766ADD49" wp14:editId="56CBB1BD">
            <wp:extent cx="5610225" cy="4810125"/>
            <wp:effectExtent l="0" t="0" r="9525" b="952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10225" cy="4810125"/>
                    </a:xfrm>
                    <a:prstGeom prst="rect">
                      <a:avLst/>
                    </a:prstGeom>
                    <a:noFill/>
                    <a:ln>
                      <a:noFill/>
                    </a:ln>
                  </pic:spPr>
                </pic:pic>
              </a:graphicData>
            </a:graphic>
          </wp:inline>
        </w:drawing>
      </w:r>
    </w:p>
    <w:p w14:paraId="503BD1DE" w14:textId="03013132" w:rsidR="00170B7B" w:rsidRPr="00170B7B" w:rsidRDefault="00170B7B" w:rsidP="00170B7B">
      <w:pPr>
        <w:autoSpaceDE w:val="0"/>
        <w:autoSpaceDN w:val="0"/>
        <w:adjustRightInd w:val="0"/>
        <w:spacing w:before="240" w:after="240" w:line="360" w:lineRule="auto"/>
        <w:ind w:right="51"/>
        <w:jc w:val="both"/>
        <w:rPr>
          <w:rFonts w:ascii="Palatino Linotype" w:hAnsi="Palatino Linotype" w:cs="Arial"/>
          <w:lang w:eastAsia="es-ES"/>
        </w:rPr>
      </w:pPr>
      <w:r w:rsidRPr="00170B7B">
        <w:rPr>
          <w:rFonts w:ascii="Palatino Linotype" w:hAnsi="Palatino Linotype" w:cs="Arial"/>
          <w:lang w:eastAsia="es-ES"/>
        </w:rPr>
        <w:t xml:space="preserve">En atención a lo manifestado anteriormente, con la finalidad de garantizar el pleno ejercicio del derecho de acceso a la información pública del particular resulta procedente ordenar la entrega del documento que acredite el grado de estudios </w:t>
      </w:r>
      <w:r>
        <w:rPr>
          <w:rFonts w:ascii="Palatino Linotype" w:hAnsi="Palatino Linotype" w:cs="Arial"/>
          <w:lang w:eastAsia="es-ES"/>
        </w:rPr>
        <w:t>del Director de Seguridad Pública Municipal, en versión pública.</w:t>
      </w:r>
    </w:p>
    <w:p w14:paraId="76830317" w14:textId="77777777" w:rsidR="00170B7B" w:rsidRDefault="00170B7B" w:rsidP="00607BC4">
      <w:pPr>
        <w:spacing w:before="240" w:after="240" w:line="360" w:lineRule="auto"/>
        <w:ind w:right="51"/>
        <w:jc w:val="both"/>
        <w:rPr>
          <w:rFonts w:ascii="Palatino Linotype" w:hAnsi="Palatino Linotype"/>
          <w:lang w:eastAsia="es-ES"/>
        </w:rPr>
      </w:pPr>
    </w:p>
    <w:p w14:paraId="231D72BA" w14:textId="77777777" w:rsidR="00532C10" w:rsidRDefault="00532C10" w:rsidP="00607BC4">
      <w:pPr>
        <w:spacing w:before="240" w:after="240" w:line="360" w:lineRule="auto"/>
        <w:ind w:right="51"/>
        <w:jc w:val="both"/>
        <w:rPr>
          <w:rFonts w:ascii="Palatino Linotype" w:hAnsi="Palatino Linotype"/>
          <w:lang w:eastAsia="es-ES"/>
        </w:rPr>
      </w:pPr>
    </w:p>
    <w:p w14:paraId="3BC704B0" w14:textId="77777777" w:rsidR="00532C10" w:rsidRDefault="00532C10" w:rsidP="00607BC4">
      <w:pPr>
        <w:spacing w:before="240" w:after="240" w:line="360" w:lineRule="auto"/>
        <w:ind w:right="51"/>
        <w:jc w:val="both"/>
        <w:rPr>
          <w:rFonts w:ascii="Palatino Linotype" w:hAnsi="Palatino Linotype"/>
          <w:lang w:eastAsia="es-ES"/>
        </w:rPr>
      </w:pPr>
    </w:p>
    <w:p w14:paraId="25E54825" w14:textId="1054E6BF" w:rsidR="00532C10" w:rsidRDefault="00532C10" w:rsidP="00607BC4">
      <w:pPr>
        <w:spacing w:before="240" w:after="240" w:line="360" w:lineRule="auto"/>
        <w:ind w:right="51"/>
        <w:jc w:val="both"/>
        <w:rPr>
          <w:rFonts w:ascii="Palatino Linotype" w:hAnsi="Palatino Linotype"/>
          <w:lang w:eastAsia="es-ES"/>
        </w:rPr>
      </w:pPr>
      <w:r>
        <w:rPr>
          <w:rFonts w:ascii="Palatino Linotype" w:hAnsi="Palatino Linotype"/>
          <w:lang w:eastAsia="es-ES"/>
        </w:rPr>
        <w:lastRenderedPageBreak/>
        <w:t xml:space="preserve">Por lo que respecta a la constancia de no inhabilitación, la Ley del Trabajo de los Servidores Públicos del Estado y Municipios prevé la entrega de este soporte documental como un requisito </w:t>
      </w:r>
      <w:r w:rsidRPr="00532C10">
        <w:rPr>
          <w:rFonts w:ascii="Palatino Linotype" w:hAnsi="Palatino Linotype"/>
          <w:i/>
          <w:lang w:eastAsia="es-ES"/>
        </w:rPr>
        <w:t>sine qua non</w:t>
      </w:r>
      <w:r>
        <w:rPr>
          <w:rFonts w:ascii="Palatino Linotype" w:hAnsi="Palatino Linotype"/>
          <w:lang w:eastAsia="es-ES"/>
        </w:rPr>
        <w:t xml:space="preserve"> para el ingreso a laborar o desempeño de una comisión al interior de los entes públicos: </w:t>
      </w:r>
    </w:p>
    <w:p w14:paraId="02245D5D" w14:textId="51E9B873" w:rsidR="00532C10" w:rsidRPr="00532C10" w:rsidRDefault="00532C10" w:rsidP="00532C10">
      <w:pPr>
        <w:spacing w:before="240" w:after="240"/>
        <w:ind w:left="567" w:right="900"/>
        <w:jc w:val="both"/>
        <w:rPr>
          <w:rFonts w:ascii="Palatino Linotype" w:hAnsi="Palatino Linotype"/>
          <w:i/>
          <w:sz w:val="22"/>
          <w:lang w:eastAsia="es-ES"/>
        </w:rPr>
      </w:pPr>
      <w:r>
        <w:rPr>
          <w:rFonts w:ascii="Palatino Linotype" w:hAnsi="Palatino Linotype"/>
          <w:b/>
          <w:bCs/>
          <w:i/>
          <w:sz w:val="22"/>
          <w:lang w:eastAsia="es-ES"/>
        </w:rPr>
        <w:t>“</w:t>
      </w:r>
      <w:r w:rsidRPr="00532C10">
        <w:rPr>
          <w:rFonts w:ascii="Palatino Linotype" w:hAnsi="Palatino Linotype"/>
          <w:b/>
          <w:bCs/>
          <w:i/>
          <w:sz w:val="22"/>
          <w:lang w:eastAsia="es-ES"/>
        </w:rPr>
        <w:t xml:space="preserve">ARTÍCULO 47. </w:t>
      </w:r>
      <w:r w:rsidRPr="00532C10">
        <w:rPr>
          <w:rFonts w:ascii="Palatino Linotype" w:hAnsi="Palatino Linotype"/>
          <w:i/>
          <w:sz w:val="22"/>
          <w:lang w:eastAsia="es-ES"/>
        </w:rPr>
        <w:t xml:space="preserve">Para ingresar al servicio público se requiere: </w:t>
      </w:r>
    </w:p>
    <w:p w14:paraId="481E679D" w14:textId="77777777" w:rsidR="00532C10" w:rsidRPr="00532C10" w:rsidRDefault="00532C10" w:rsidP="00532C10">
      <w:pPr>
        <w:spacing w:before="240" w:after="240"/>
        <w:ind w:left="567" w:right="900"/>
        <w:jc w:val="both"/>
        <w:rPr>
          <w:rFonts w:ascii="Palatino Linotype" w:hAnsi="Palatino Linotype"/>
          <w:i/>
          <w:sz w:val="22"/>
          <w:lang w:eastAsia="es-ES"/>
        </w:rPr>
      </w:pPr>
      <w:r w:rsidRPr="00532C10">
        <w:rPr>
          <w:rFonts w:ascii="Palatino Linotype" w:hAnsi="Palatino Linotype"/>
          <w:i/>
          <w:sz w:val="22"/>
          <w:lang w:eastAsia="es-ES"/>
        </w:rPr>
        <w:t xml:space="preserve">I. Presentar una solicitud utilizando la forma oficial que se autorice por la institución pública o dependencia correspondiente; </w:t>
      </w:r>
    </w:p>
    <w:p w14:paraId="5179E008" w14:textId="77777777" w:rsidR="00532C10" w:rsidRPr="00532C10" w:rsidRDefault="00532C10" w:rsidP="00532C10">
      <w:pPr>
        <w:spacing w:before="240" w:after="240"/>
        <w:ind w:left="567" w:right="900"/>
        <w:jc w:val="both"/>
        <w:rPr>
          <w:rFonts w:ascii="Palatino Linotype" w:hAnsi="Palatino Linotype"/>
          <w:i/>
          <w:sz w:val="22"/>
          <w:lang w:eastAsia="es-ES"/>
        </w:rPr>
      </w:pPr>
      <w:r w:rsidRPr="00532C10">
        <w:rPr>
          <w:rFonts w:ascii="Palatino Linotype" w:hAnsi="Palatino Linotype"/>
          <w:i/>
          <w:sz w:val="22"/>
          <w:lang w:eastAsia="es-ES"/>
        </w:rPr>
        <w:t xml:space="preserve">II. Ser de nacionalidad mexicana, con la excepción prevista en el artículo 17 de la presente ley; </w:t>
      </w:r>
    </w:p>
    <w:p w14:paraId="4B947643" w14:textId="77777777" w:rsidR="00532C10" w:rsidRPr="00532C10" w:rsidRDefault="00532C10" w:rsidP="00532C10">
      <w:pPr>
        <w:spacing w:before="240" w:after="240"/>
        <w:ind w:left="567" w:right="900"/>
        <w:jc w:val="both"/>
        <w:rPr>
          <w:rFonts w:ascii="Palatino Linotype" w:hAnsi="Palatino Linotype"/>
          <w:i/>
          <w:sz w:val="22"/>
          <w:lang w:eastAsia="es-ES"/>
        </w:rPr>
      </w:pPr>
      <w:r w:rsidRPr="00532C10">
        <w:rPr>
          <w:rFonts w:ascii="Palatino Linotype" w:hAnsi="Palatino Linotype"/>
          <w:i/>
          <w:sz w:val="22"/>
          <w:lang w:eastAsia="es-ES"/>
        </w:rPr>
        <w:t xml:space="preserve">III. Estar en pleno ejercicio de sus derechos civiles y políticos, en su caso; </w:t>
      </w:r>
    </w:p>
    <w:p w14:paraId="1989BCA3" w14:textId="77777777" w:rsidR="00532C10" w:rsidRPr="00532C10" w:rsidRDefault="00532C10" w:rsidP="00532C10">
      <w:pPr>
        <w:spacing w:before="240" w:after="240"/>
        <w:ind w:left="567" w:right="900"/>
        <w:jc w:val="both"/>
        <w:rPr>
          <w:rFonts w:ascii="Palatino Linotype" w:hAnsi="Palatino Linotype"/>
          <w:i/>
          <w:sz w:val="22"/>
          <w:lang w:eastAsia="es-ES"/>
        </w:rPr>
      </w:pPr>
      <w:r w:rsidRPr="00532C10">
        <w:rPr>
          <w:rFonts w:ascii="Palatino Linotype" w:hAnsi="Palatino Linotype"/>
          <w:i/>
          <w:sz w:val="22"/>
          <w:lang w:eastAsia="es-ES"/>
        </w:rPr>
        <w:t xml:space="preserve">IV. Acreditar, cuando proceda, el cumplimiento de la Ley del Servicio Militar Nacional; </w:t>
      </w:r>
    </w:p>
    <w:p w14:paraId="541679F4" w14:textId="77777777" w:rsidR="00532C10" w:rsidRPr="00532C10" w:rsidRDefault="00532C10" w:rsidP="00532C10">
      <w:pPr>
        <w:spacing w:before="240" w:after="240"/>
        <w:ind w:left="567" w:right="900"/>
        <w:jc w:val="both"/>
        <w:rPr>
          <w:rFonts w:ascii="Palatino Linotype" w:hAnsi="Palatino Linotype"/>
          <w:i/>
          <w:sz w:val="22"/>
          <w:lang w:eastAsia="es-ES"/>
        </w:rPr>
      </w:pPr>
      <w:r w:rsidRPr="00532C10">
        <w:rPr>
          <w:rFonts w:ascii="Palatino Linotype" w:hAnsi="Palatino Linotype"/>
          <w:i/>
          <w:sz w:val="22"/>
          <w:lang w:eastAsia="es-ES"/>
        </w:rPr>
        <w:t xml:space="preserve">V. Derogada. </w:t>
      </w:r>
    </w:p>
    <w:p w14:paraId="7D515D14" w14:textId="77777777" w:rsidR="00532C10" w:rsidRPr="00532C10" w:rsidRDefault="00532C10" w:rsidP="00532C10">
      <w:pPr>
        <w:spacing w:before="240" w:after="240"/>
        <w:ind w:left="567" w:right="900"/>
        <w:jc w:val="both"/>
        <w:rPr>
          <w:rFonts w:ascii="Palatino Linotype" w:hAnsi="Palatino Linotype"/>
          <w:i/>
          <w:sz w:val="22"/>
          <w:lang w:eastAsia="es-ES"/>
        </w:rPr>
      </w:pPr>
      <w:r w:rsidRPr="00532C10">
        <w:rPr>
          <w:rFonts w:ascii="Palatino Linotype" w:hAnsi="Palatino Linotype"/>
          <w:i/>
          <w:sz w:val="22"/>
          <w:lang w:eastAsia="es-ES"/>
        </w:rPr>
        <w:t xml:space="preserve">VI. No haber sido separado anteriormente del servicio por las causas previstas en el artículo 93 de la presente ley; </w:t>
      </w:r>
    </w:p>
    <w:p w14:paraId="356CC77F" w14:textId="77777777" w:rsidR="00532C10" w:rsidRPr="00532C10" w:rsidRDefault="00532C10" w:rsidP="00532C10">
      <w:pPr>
        <w:spacing w:before="240" w:after="240"/>
        <w:ind w:left="567" w:right="900"/>
        <w:jc w:val="both"/>
        <w:rPr>
          <w:rFonts w:ascii="Palatino Linotype" w:hAnsi="Palatino Linotype"/>
          <w:i/>
          <w:sz w:val="22"/>
          <w:lang w:eastAsia="es-ES"/>
        </w:rPr>
      </w:pPr>
      <w:r w:rsidRPr="00532C10">
        <w:rPr>
          <w:rFonts w:ascii="Palatino Linotype" w:hAnsi="Palatino Linotype"/>
          <w:i/>
          <w:sz w:val="22"/>
          <w:lang w:eastAsia="es-ES"/>
        </w:rPr>
        <w:t xml:space="preserve">VII. Tener buena salud, lo que se comprobará con los certificados médicos correspondientes, en la forma en que se establezca en cada institución pública; </w:t>
      </w:r>
    </w:p>
    <w:p w14:paraId="292E1719" w14:textId="77777777" w:rsidR="00532C10" w:rsidRPr="00532C10" w:rsidRDefault="00532C10" w:rsidP="00532C10">
      <w:pPr>
        <w:spacing w:before="240" w:after="240"/>
        <w:ind w:left="567" w:right="900"/>
        <w:jc w:val="both"/>
        <w:rPr>
          <w:rFonts w:ascii="Palatino Linotype" w:hAnsi="Palatino Linotype"/>
          <w:i/>
          <w:sz w:val="22"/>
          <w:lang w:eastAsia="es-ES"/>
        </w:rPr>
      </w:pPr>
      <w:r w:rsidRPr="00532C10">
        <w:rPr>
          <w:rFonts w:ascii="Palatino Linotype" w:hAnsi="Palatino Linotype"/>
          <w:i/>
          <w:sz w:val="22"/>
          <w:lang w:eastAsia="es-ES"/>
        </w:rPr>
        <w:t xml:space="preserve">VIII. Cumplir con los requisitos que se establezcan para los diferentes puestos; </w:t>
      </w:r>
    </w:p>
    <w:p w14:paraId="6838EA41" w14:textId="77777777" w:rsidR="00532C10" w:rsidRPr="00532C10" w:rsidRDefault="00532C10" w:rsidP="00532C10">
      <w:pPr>
        <w:spacing w:before="240" w:after="240"/>
        <w:ind w:left="567" w:right="900"/>
        <w:jc w:val="both"/>
        <w:rPr>
          <w:rFonts w:ascii="Palatino Linotype" w:hAnsi="Palatino Linotype"/>
          <w:i/>
          <w:sz w:val="22"/>
          <w:lang w:eastAsia="es-ES"/>
        </w:rPr>
      </w:pPr>
      <w:r w:rsidRPr="00532C10">
        <w:rPr>
          <w:rFonts w:ascii="Palatino Linotype" w:hAnsi="Palatino Linotype"/>
          <w:i/>
          <w:sz w:val="22"/>
          <w:lang w:eastAsia="es-ES"/>
        </w:rPr>
        <w:t xml:space="preserve">IX. Acreditar por medio de los exámenes correspondientes los conocimientos y aptitudes necesarios para el desempeño del puesto; y </w:t>
      </w:r>
    </w:p>
    <w:p w14:paraId="6A7FA716" w14:textId="77777777" w:rsidR="00532C10" w:rsidRPr="00532C10" w:rsidRDefault="00532C10" w:rsidP="00532C10">
      <w:pPr>
        <w:spacing w:before="240" w:after="240"/>
        <w:ind w:left="567" w:right="900"/>
        <w:jc w:val="both"/>
        <w:rPr>
          <w:rFonts w:ascii="Palatino Linotype" w:hAnsi="Palatino Linotype"/>
          <w:b/>
          <w:i/>
          <w:sz w:val="22"/>
          <w:u w:val="single"/>
          <w:lang w:eastAsia="es-ES"/>
        </w:rPr>
      </w:pPr>
      <w:r w:rsidRPr="00532C10">
        <w:rPr>
          <w:rFonts w:ascii="Palatino Linotype" w:hAnsi="Palatino Linotype"/>
          <w:b/>
          <w:i/>
          <w:sz w:val="22"/>
          <w:u w:val="single"/>
          <w:lang w:eastAsia="es-ES"/>
        </w:rPr>
        <w:t xml:space="preserve">X. No estar inhabilitado para el ejercicio del servicio público. </w:t>
      </w:r>
    </w:p>
    <w:p w14:paraId="3E39F147" w14:textId="77777777" w:rsidR="00532C10" w:rsidRPr="00532C10" w:rsidRDefault="00532C10" w:rsidP="00532C10">
      <w:pPr>
        <w:spacing w:before="240" w:after="240"/>
        <w:ind w:left="567" w:right="900"/>
        <w:jc w:val="both"/>
        <w:rPr>
          <w:rFonts w:ascii="Palatino Linotype" w:hAnsi="Palatino Linotype"/>
          <w:i/>
          <w:sz w:val="22"/>
          <w:lang w:eastAsia="es-ES"/>
        </w:rPr>
      </w:pPr>
      <w:r w:rsidRPr="00532C10">
        <w:rPr>
          <w:rFonts w:ascii="Palatino Linotype" w:hAnsi="Palatino Linotype"/>
          <w:i/>
          <w:sz w:val="22"/>
          <w:lang w:eastAsia="es-ES"/>
        </w:rPr>
        <w:t xml:space="preserve">XI. Presentar certificado expedido por la Unidad del Registro de Deudores Alimentarios Morosos en el que conste, si se encuentra inscrito o no en el mismo. </w:t>
      </w:r>
    </w:p>
    <w:p w14:paraId="2424FA31" w14:textId="37A02238" w:rsidR="00532C10" w:rsidRDefault="00532C10" w:rsidP="00532C10">
      <w:pPr>
        <w:spacing w:before="240" w:after="240"/>
        <w:ind w:left="567" w:right="900"/>
        <w:jc w:val="both"/>
        <w:rPr>
          <w:rFonts w:ascii="Palatino Linotype" w:hAnsi="Palatino Linotype"/>
          <w:i/>
          <w:sz w:val="22"/>
          <w:lang w:eastAsia="es-ES"/>
        </w:rPr>
      </w:pPr>
      <w:r w:rsidRPr="00532C10">
        <w:rPr>
          <w:rFonts w:ascii="Palatino Linotype" w:hAnsi="Palatino Linotype"/>
          <w:i/>
          <w:sz w:val="22"/>
          <w:lang w:eastAsia="es-ES"/>
        </w:rPr>
        <w:t>La institución o dependencia que reciba un certificado en que conste que la persona que se incorpora al servicio público se encuentra inscrito el Registro de Deudores Alimentarios Morosos deberá dar aviso al juez de conocimiento de dicha circunstancia, para los efectos legales a que haya lugar.</w:t>
      </w:r>
      <w:r>
        <w:rPr>
          <w:rFonts w:ascii="Palatino Linotype" w:hAnsi="Palatino Linotype"/>
          <w:i/>
          <w:sz w:val="22"/>
          <w:lang w:eastAsia="es-ES"/>
        </w:rPr>
        <w:t>”</w:t>
      </w:r>
    </w:p>
    <w:p w14:paraId="1B49C5AA" w14:textId="4642C0CB" w:rsidR="00532C10" w:rsidRDefault="00532C10" w:rsidP="00607BC4">
      <w:pPr>
        <w:spacing w:before="240" w:after="240" w:line="360" w:lineRule="auto"/>
        <w:ind w:right="51"/>
        <w:jc w:val="both"/>
        <w:rPr>
          <w:rFonts w:ascii="Palatino Linotype" w:hAnsi="Palatino Linotype"/>
          <w:lang w:eastAsia="es-ES"/>
        </w:rPr>
      </w:pPr>
      <w:r>
        <w:rPr>
          <w:rFonts w:ascii="Palatino Linotype" w:hAnsi="Palatino Linotype"/>
          <w:lang w:eastAsia="es-ES"/>
        </w:rPr>
        <w:lastRenderedPageBreak/>
        <w:t xml:space="preserve">En armonía con el precepto legal citado anteriormente, el artículo 28, párrafo quinto de la Ley de Responsabilidades Administrativas del Estado de México y Municipios mandata a los entes públicos, la consulta de las plataformas de índole nacional o estatal donde obren los servidores públicos sancionados, a efecto de visualizar si se encuentran inhabilitados para ingresar al servicio público y en su caso, expedir la constancia correspondiente: </w:t>
      </w:r>
    </w:p>
    <w:p w14:paraId="288660F8" w14:textId="4EE23B39" w:rsidR="00532C10" w:rsidRPr="00532C10" w:rsidRDefault="00532C10" w:rsidP="00532C10">
      <w:pPr>
        <w:spacing w:before="240" w:after="240"/>
        <w:ind w:left="567" w:right="900"/>
        <w:jc w:val="both"/>
        <w:rPr>
          <w:rFonts w:ascii="Palatino Linotype" w:hAnsi="Palatino Linotype"/>
          <w:i/>
          <w:sz w:val="22"/>
          <w:lang w:eastAsia="es-ES"/>
        </w:rPr>
      </w:pPr>
      <w:r w:rsidRPr="00532C10">
        <w:rPr>
          <w:rFonts w:ascii="Palatino Linotype" w:hAnsi="Palatino Linotype"/>
          <w:b/>
          <w:bCs/>
          <w:i/>
          <w:sz w:val="22"/>
          <w:lang w:eastAsia="es-ES"/>
        </w:rPr>
        <w:t xml:space="preserve">“Artículo 28. </w:t>
      </w:r>
      <w:r w:rsidRPr="00532C10">
        <w:rPr>
          <w:rFonts w:ascii="Palatino Linotype" w:hAnsi="Palatino Linotype"/>
          <w:i/>
          <w:sz w:val="22"/>
          <w:lang w:eastAsia="es-ES"/>
        </w:rPr>
        <w:t>La información prevista en el sistema de evolución patrimonial, de declaración de intereses y presentación de la constancia de declaración fiscal</w:t>
      </w:r>
      <w:r w:rsidRPr="00532C10">
        <w:rPr>
          <w:rFonts w:ascii="Palatino Linotype" w:hAnsi="Palatino Linotype"/>
          <w:b/>
          <w:bCs/>
          <w:i/>
          <w:sz w:val="22"/>
          <w:lang w:eastAsia="es-ES"/>
        </w:rPr>
        <w:t xml:space="preserve">, </w:t>
      </w:r>
      <w:r w:rsidRPr="00532C10">
        <w:rPr>
          <w:rFonts w:ascii="Palatino Linotype" w:hAnsi="Palatino Linotype"/>
          <w:i/>
          <w:sz w:val="22"/>
          <w:lang w:eastAsia="es-ES"/>
        </w:rPr>
        <w:t>se almacenará en la plataforma digital estatal que contendrá la información que para efectos de las funciones de los sistemas Nacional, Estatal y Municipal Anticorrupción, generen los entes públicos facultados para la fiscalización y control de recursos públicos y la prevención, control, detección, sanción y disuasión de faltas administrativas y hechos de corrupción, de conformidad con lo establecido en la Ley General del Sistema y la Ley del Sistema.</w:t>
      </w:r>
    </w:p>
    <w:p w14:paraId="43ED4417" w14:textId="31FDA07A" w:rsidR="00532C10" w:rsidRDefault="00532C10" w:rsidP="00532C10">
      <w:pPr>
        <w:spacing w:before="240" w:after="240"/>
        <w:ind w:left="567" w:right="900"/>
        <w:jc w:val="both"/>
        <w:rPr>
          <w:rFonts w:ascii="Palatino Linotype" w:hAnsi="Palatino Linotype"/>
          <w:i/>
          <w:sz w:val="22"/>
          <w:lang w:eastAsia="es-ES"/>
        </w:rPr>
      </w:pPr>
      <w:r w:rsidRPr="00532C10">
        <w:rPr>
          <w:rFonts w:ascii="Palatino Linotype" w:hAnsi="Palatino Linotype"/>
          <w:i/>
          <w:sz w:val="22"/>
          <w:lang w:eastAsia="es-ES"/>
        </w:rPr>
        <w:t>…</w:t>
      </w:r>
    </w:p>
    <w:p w14:paraId="3B591D39" w14:textId="31A34BDB" w:rsidR="00532C10" w:rsidRDefault="00532C10" w:rsidP="00532C10">
      <w:pPr>
        <w:spacing w:before="240" w:after="240"/>
        <w:ind w:left="567" w:right="900"/>
        <w:jc w:val="both"/>
        <w:rPr>
          <w:rFonts w:ascii="Palatino Linotype" w:hAnsi="Palatino Linotype"/>
          <w:i/>
          <w:sz w:val="22"/>
          <w:lang w:eastAsia="es-ES"/>
        </w:rPr>
      </w:pPr>
      <w:r w:rsidRPr="00532C10">
        <w:rPr>
          <w:rFonts w:ascii="Palatino Linotype" w:hAnsi="Palatino Linotype"/>
          <w:i/>
          <w:sz w:val="22"/>
          <w:lang w:eastAsia="es-ES"/>
        </w:rPr>
        <w:t>Los entes públicos, previo al nombramiento, designación o contratación de quienes pretendan ingresar al servicio público, consultarán los sistemas nacional, estatal y municipal de servidores públicos y particulares sancionados de la plataforma digital nacional y estatal, con el fin de verificar si existen inhabilitaciones de dichas personas, de no existir se expedirá la constancia correspondiente.</w:t>
      </w:r>
      <w:r w:rsidR="00C41D92">
        <w:rPr>
          <w:rFonts w:ascii="Palatino Linotype" w:hAnsi="Palatino Linotype"/>
          <w:i/>
          <w:sz w:val="22"/>
          <w:lang w:eastAsia="es-ES"/>
        </w:rPr>
        <w:t>”</w:t>
      </w:r>
    </w:p>
    <w:p w14:paraId="620D22F2" w14:textId="46CE2653" w:rsidR="00532C10" w:rsidRPr="00532C10" w:rsidRDefault="00532C10" w:rsidP="00C41D92">
      <w:pPr>
        <w:spacing w:before="240" w:after="240" w:line="360" w:lineRule="auto"/>
        <w:ind w:right="49"/>
        <w:jc w:val="both"/>
        <w:rPr>
          <w:rFonts w:ascii="Palatino Linotype" w:hAnsi="Palatino Linotype"/>
          <w:lang w:eastAsia="es-ES"/>
        </w:rPr>
      </w:pPr>
      <w:r>
        <w:rPr>
          <w:rFonts w:ascii="Palatino Linotype" w:hAnsi="Palatino Linotype"/>
          <w:lang w:eastAsia="es-ES"/>
        </w:rPr>
        <w:t xml:space="preserve">De ahí que se estime que la constancia de no inhabilitación reviste interés público para los particulares,  </w:t>
      </w:r>
      <w:r w:rsidR="00C41D92">
        <w:rPr>
          <w:rFonts w:ascii="Palatino Linotype" w:hAnsi="Palatino Linotype"/>
          <w:lang w:eastAsia="es-ES"/>
        </w:rPr>
        <w:t xml:space="preserve">toda vez que permite conocer si el funcionario no se encuentra inhabilitado dentro del servicio público, por lo que para garantizar el efectivo ejercicio del derecho de acceso a la información que asiste al particular, resulta pertinente la entrega de este soporte documental, en versión pública, esto es, testando los datos que pudieran hacer identificable al titular. </w:t>
      </w:r>
    </w:p>
    <w:p w14:paraId="7EF5F8B5" w14:textId="54466099" w:rsidR="00A36550" w:rsidRDefault="00532C10" w:rsidP="00607BC4">
      <w:pPr>
        <w:spacing w:before="240" w:after="240" w:line="360" w:lineRule="auto"/>
        <w:ind w:right="51"/>
        <w:jc w:val="both"/>
        <w:rPr>
          <w:rFonts w:ascii="Palatino Linotype" w:hAnsi="Palatino Linotype"/>
          <w:lang w:eastAsia="es-ES"/>
        </w:rPr>
      </w:pPr>
      <w:r>
        <w:rPr>
          <w:rFonts w:ascii="Palatino Linotype" w:hAnsi="Palatino Linotype"/>
          <w:noProof/>
        </w:rPr>
        <w:lastRenderedPageBreak/>
        <w:drawing>
          <wp:anchor distT="0" distB="0" distL="114300" distR="114300" simplePos="0" relativeHeight="251660288" behindDoc="0" locked="0" layoutInCell="1" allowOverlap="1" wp14:anchorId="275AA680" wp14:editId="1285ADEF">
            <wp:simplePos x="0" y="0"/>
            <wp:positionH relativeFrom="margin">
              <wp:posOffset>-232410</wp:posOffset>
            </wp:positionH>
            <wp:positionV relativeFrom="paragraph">
              <wp:posOffset>2617470</wp:posOffset>
            </wp:positionV>
            <wp:extent cx="6151563" cy="3571875"/>
            <wp:effectExtent l="0" t="0" r="1905" b="0"/>
            <wp:wrapTopAndBottom/>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51563" cy="3571875"/>
                    </a:xfrm>
                    <a:prstGeom prst="rect">
                      <a:avLst/>
                    </a:prstGeom>
                    <a:noFill/>
                    <a:ln>
                      <a:noFill/>
                    </a:ln>
                  </pic:spPr>
                </pic:pic>
              </a:graphicData>
            </a:graphic>
            <wp14:sizeRelH relativeFrom="page">
              <wp14:pctWidth>0</wp14:pctWidth>
            </wp14:sizeRelH>
            <wp14:sizeRelV relativeFrom="page">
              <wp14:pctHeight>0</wp14:pctHeight>
            </wp14:sizeRelV>
          </wp:anchor>
        </w:drawing>
      </w:r>
      <w:r w:rsidR="007605BE">
        <w:rPr>
          <w:rFonts w:ascii="Palatino Linotype" w:hAnsi="Palatino Linotype"/>
          <w:noProof/>
        </w:rPr>
        <w:drawing>
          <wp:anchor distT="0" distB="0" distL="114300" distR="114300" simplePos="0" relativeHeight="251658240" behindDoc="0" locked="0" layoutInCell="1" allowOverlap="1" wp14:anchorId="0A8CE1FB" wp14:editId="5524F46D">
            <wp:simplePos x="0" y="0"/>
            <wp:positionH relativeFrom="column">
              <wp:posOffset>-156210</wp:posOffset>
            </wp:positionH>
            <wp:positionV relativeFrom="paragraph">
              <wp:posOffset>1846580</wp:posOffset>
            </wp:positionV>
            <wp:extent cx="5807075" cy="561975"/>
            <wp:effectExtent l="0" t="0" r="3175" b="9525"/>
            <wp:wrapTopAndBottom/>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07075" cy="561975"/>
                    </a:xfrm>
                    <a:prstGeom prst="rect">
                      <a:avLst/>
                    </a:prstGeom>
                    <a:noFill/>
                    <a:ln>
                      <a:noFill/>
                    </a:ln>
                  </pic:spPr>
                </pic:pic>
              </a:graphicData>
            </a:graphic>
            <wp14:sizeRelH relativeFrom="page">
              <wp14:pctWidth>0</wp14:pctWidth>
            </wp14:sizeRelH>
            <wp14:sizeRelV relativeFrom="page">
              <wp14:pctHeight>0</wp14:pctHeight>
            </wp14:sizeRelV>
          </wp:anchor>
        </w:drawing>
      </w:r>
      <w:r w:rsidR="002C0167">
        <w:rPr>
          <w:rFonts w:ascii="Palatino Linotype" w:hAnsi="Palatino Linotype"/>
          <w:lang w:eastAsia="es-ES"/>
        </w:rPr>
        <w:t>Al respecto de los certific</w:t>
      </w:r>
      <w:r w:rsidR="007605BE">
        <w:rPr>
          <w:rFonts w:ascii="Palatino Linotype" w:hAnsi="Palatino Linotype"/>
          <w:lang w:eastAsia="es-ES"/>
        </w:rPr>
        <w:t xml:space="preserve">ados de no antecedentes penales, el Acuerdo Número 14/2011, del Procurador General de Justicia del Estado de México por el que se establecen los supuestos y lineamientos para la expedición de informes y certificados de no antecedentes penales, publicado en la Gaceta de Gobierno del Estado de México, el treinta de noviembre de dos mil once, señala lo siguiente: </w:t>
      </w:r>
    </w:p>
    <w:p w14:paraId="39F9D982" w14:textId="1BFB9670" w:rsidR="00784173" w:rsidRDefault="00607BC4" w:rsidP="00607BC4">
      <w:pPr>
        <w:spacing w:before="240" w:after="240" w:line="360" w:lineRule="auto"/>
        <w:ind w:right="51"/>
        <w:jc w:val="both"/>
        <w:rPr>
          <w:rFonts w:ascii="Palatino Linotype" w:hAnsi="Palatino Linotype"/>
          <w:lang w:eastAsia="es-ES"/>
        </w:rPr>
      </w:pPr>
      <w:r>
        <w:rPr>
          <w:rFonts w:ascii="Palatino Linotype" w:hAnsi="Palatino Linotype"/>
          <w:lang w:eastAsia="es-ES"/>
        </w:rPr>
        <w:t xml:space="preserve"> </w:t>
      </w:r>
    </w:p>
    <w:p w14:paraId="1FBFD093" w14:textId="5DF52183" w:rsidR="007605BE" w:rsidRPr="00784173" w:rsidRDefault="007605BE" w:rsidP="00607BC4">
      <w:pPr>
        <w:spacing w:before="240" w:after="240" w:line="360" w:lineRule="auto"/>
        <w:ind w:right="51"/>
        <w:jc w:val="both"/>
        <w:rPr>
          <w:rFonts w:ascii="Palatino Linotype" w:hAnsi="Palatino Linotype"/>
          <w:lang w:eastAsia="es-ES"/>
        </w:rPr>
      </w:pPr>
    </w:p>
    <w:p w14:paraId="50905136" w14:textId="77777777" w:rsidR="007605BE" w:rsidRDefault="007605BE" w:rsidP="00E33662">
      <w:pPr>
        <w:spacing w:before="100" w:beforeAutospacing="1" w:after="100" w:afterAutospacing="1" w:line="360" w:lineRule="auto"/>
        <w:contextualSpacing/>
        <w:jc w:val="both"/>
        <w:rPr>
          <w:rFonts w:ascii="Palatino Linotype" w:hAnsi="Palatino Linotype" w:cs="Arial"/>
          <w:b/>
          <w:bCs/>
          <w:lang w:eastAsia="es-ES"/>
        </w:rPr>
      </w:pPr>
    </w:p>
    <w:p w14:paraId="4B885A8F" w14:textId="77777777" w:rsidR="007605BE" w:rsidRDefault="007605BE" w:rsidP="00E33662">
      <w:pPr>
        <w:spacing w:before="100" w:beforeAutospacing="1" w:after="100" w:afterAutospacing="1" w:line="360" w:lineRule="auto"/>
        <w:contextualSpacing/>
        <w:jc w:val="both"/>
        <w:rPr>
          <w:rFonts w:ascii="Palatino Linotype" w:hAnsi="Palatino Linotype" w:cs="Arial"/>
          <w:b/>
          <w:bCs/>
          <w:lang w:eastAsia="es-ES"/>
        </w:rPr>
      </w:pPr>
    </w:p>
    <w:p w14:paraId="209590D4" w14:textId="6B4EA838" w:rsidR="007605BE" w:rsidRDefault="007605BE" w:rsidP="00E33662">
      <w:pPr>
        <w:spacing w:before="100" w:beforeAutospacing="1" w:after="100" w:afterAutospacing="1" w:line="360" w:lineRule="auto"/>
        <w:contextualSpacing/>
        <w:jc w:val="both"/>
        <w:rPr>
          <w:rFonts w:ascii="Palatino Linotype" w:hAnsi="Palatino Linotype" w:cs="Arial"/>
          <w:b/>
          <w:bCs/>
          <w:lang w:eastAsia="es-ES"/>
        </w:rPr>
      </w:pPr>
      <w:r>
        <w:rPr>
          <w:rFonts w:ascii="Palatino Linotype" w:hAnsi="Palatino Linotype" w:cs="Arial"/>
          <w:b/>
          <w:bCs/>
          <w:noProof/>
        </w:rPr>
        <w:drawing>
          <wp:anchor distT="0" distB="0" distL="114300" distR="114300" simplePos="0" relativeHeight="251659264" behindDoc="0" locked="0" layoutInCell="1" allowOverlap="1" wp14:anchorId="6C5F316D" wp14:editId="4066B39A">
            <wp:simplePos x="0" y="0"/>
            <wp:positionH relativeFrom="column">
              <wp:posOffset>-146685</wp:posOffset>
            </wp:positionH>
            <wp:positionV relativeFrom="paragraph">
              <wp:posOffset>8255</wp:posOffset>
            </wp:positionV>
            <wp:extent cx="5886450" cy="3627755"/>
            <wp:effectExtent l="0" t="0" r="0" b="0"/>
            <wp:wrapTopAndBottom/>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86450" cy="36277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E1DD66" w14:textId="7FF985EB" w:rsidR="007605BE" w:rsidRDefault="007605BE" w:rsidP="00E33662">
      <w:pPr>
        <w:spacing w:before="100" w:beforeAutospacing="1" w:after="100" w:afterAutospacing="1" w:line="360" w:lineRule="auto"/>
        <w:contextualSpacing/>
        <w:jc w:val="both"/>
        <w:rPr>
          <w:rFonts w:ascii="Palatino Linotype" w:hAnsi="Palatino Linotype" w:cs="Arial"/>
          <w:bCs/>
          <w:lang w:eastAsia="es-ES"/>
        </w:rPr>
      </w:pPr>
      <w:r w:rsidRPr="007605BE">
        <w:rPr>
          <w:rFonts w:ascii="Palatino Linotype" w:hAnsi="Palatino Linotype" w:cs="Arial"/>
          <w:bCs/>
          <w:lang w:eastAsia="es-ES"/>
        </w:rPr>
        <w:t xml:space="preserve">De lo anterior </w:t>
      </w:r>
      <w:r>
        <w:rPr>
          <w:rFonts w:ascii="Palatino Linotype" w:hAnsi="Palatino Linotype" w:cs="Arial"/>
          <w:bCs/>
          <w:lang w:eastAsia="es-ES"/>
        </w:rPr>
        <w:t>se desprende que para expedir el certificado de no antecedentes penales o el informe respectivo, el Instituto de Servicios Periciales recabará los datos personales del interesado, de lo cual resulta evidente que el soporte documental en análisis contiene datos que resultan de carácter confidencial, como lo es el domicilio de una persona física conforme a lo dispuesto por el artículo 2.17 del Código Civil del Estado de México</w:t>
      </w:r>
      <w:r w:rsidR="00F773D6">
        <w:rPr>
          <w:rFonts w:ascii="Palatino Linotype" w:hAnsi="Palatino Linotype" w:cs="Arial"/>
          <w:bCs/>
          <w:lang w:eastAsia="es-ES"/>
        </w:rPr>
        <w:t>, el cual se cita a continuación</w:t>
      </w:r>
      <w:r>
        <w:rPr>
          <w:rFonts w:ascii="Palatino Linotype" w:hAnsi="Palatino Linotype" w:cs="Arial"/>
          <w:bCs/>
          <w:lang w:eastAsia="es-ES"/>
        </w:rPr>
        <w:t xml:space="preserve">: </w:t>
      </w:r>
    </w:p>
    <w:p w14:paraId="5FC602E1" w14:textId="77777777" w:rsidR="00F773D6" w:rsidRDefault="00F773D6" w:rsidP="00F773D6">
      <w:pPr>
        <w:spacing w:before="100" w:beforeAutospacing="1" w:after="100" w:afterAutospacing="1"/>
        <w:ind w:left="567" w:right="900"/>
        <w:contextualSpacing/>
        <w:jc w:val="both"/>
        <w:rPr>
          <w:rFonts w:ascii="Palatino Linotype" w:hAnsi="Palatino Linotype" w:cs="Arial"/>
          <w:bCs/>
          <w:i/>
          <w:sz w:val="22"/>
          <w:lang w:eastAsia="es-ES"/>
        </w:rPr>
      </w:pPr>
    </w:p>
    <w:p w14:paraId="22938B33" w14:textId="29911B06" w:rsidR="00F773D6" w:rsidRPr="00F773D6" w:rsidRDefault="00F773D6" w:rsidP="00F773D6">
      <w:pPr>
        <w:spacing w:before="100" w:beforeAutospacing="1" w:after="100" w:afterAutospacing="1"/>
        <w:ind w:left="567" w:right="900"/>
        <w:contextualSpacing/>
        <w:jc w:val="both"/>
        <w:rPr>
          <w:rFonts w:ascii="Palatino Linotype" w:hAnsi="Palatino Linotype" w:cs="Arial"/>
          <w:bCs/>
          <w:i/>
          <w:sz w:val="22"/>
          <w:lang w:eastAsia="es-ES"/>
        </w:rPr>
      </w:pPr>
      <w:r>
        <w:rPr>
          <w:rFonts w:ascii="Palatino Linotype" w:hAnsi="Palatino Linotype" w:cs="Arial"/>
          <w:bCs/>
          <w:i/>
          <w:sz w:val="22"/>
          <w:lang w:eastAsia="es-ES"/>
        </w:rPr>
        <w:t>“</w:t>
      </w:r>
      <w:r w:rsidRPr="00F773D6">
        <w:rPr>
          <w:rFonts w:ascii="Palatino Linotype" w:hAnsi="Palatino Linotype" w:cs="Arial"/>
          <w:b/>
          <w:bCs/>
          <w:i/>
          <w:sz w:val="22"/>
          <w:lang w:eastAsia="es-ES"/>
        </w:rPr>
        <w:t>Artículo 2.17.-</w:t>
      </w:r>
      <w:r w:rsidRPr="00F773D6">
        <w:rPr>
          <w:rFonts w:ascii="Palatino Linotype" w:hAnsi="Palatino Linotype" w:cs="Arial"/>
          <w:bCs/>
          <w:i/>
          <w:sz w:val="22"/>
          <w:lang w:eastAsia="es-ES"/>
        </w:rPr>
        <w:t xml:space="preserve"> El domicilio de una persona física es el lugar donde reside con el propósito de establecerse en él; a falta de éste, el lugar en que tiene el principal asiento de sus negocios; y a falta de uno y otro, el lugar en que se halle.</w:t>
      </w:r>
      <w:r>
        <w:rPr>
          <w:rFonts w:ascii="Palatino Linotype" w:hAnsi="Palatino Linotype" w:cs="Arial"/>
          <w:bCs/>
          <w:i/>
          <w:sz w:val="22"/>
          <w:lang w:eastAsia="es-ES"/>
        </w:rPr>
        <w:t>”</w:t>
      </w:r>
    </w:p>
    <w:p w14:paraId="529FA59D" w14:textId="77777777" w:rsidR="007605BE" w:rsidRDefault="007605BE" w:rsidP="00E33662">
      <w:pPr>
        <w:spacing w:before="100" w:beforeAutospacing="1" w:after="100" w:afterAutospacing="1" w:line="360" w:lineRule="auto"/>
        <w:contextualSpacing/>
        <w:jc w:val="both"/>
        <w:rPr>
          <w:rFonts w:ascii="Palatino Linotype" w:hAnsi="Palatino Linotype" w:cs="Arial"/>
          <w:bCs/>
          <w:lang w:eastAsia="es-ES"/>
        </w:rPr>
      </w:pPr>
    </w:p>
    <w:p w14:paraId="4A69547E" w14:textId="0BB2329B" w:rsidR="00F773D6" w:rsidRDefault="00F773D6" w:rsidP="00E33662">
      <w:pPr>
        <w:spacing w:before="100" w:beforeAutospacing="1" w:after="100" w:afterAutospacing="1" w:line="360" w:lineRule="auto"/>
        <w:contextualSpacing/>
        <w:jc w:val="both"/>
        <w:rPr>
          <w:rFonts w:ascii="Palatino Linotype" w:hAnsi="Palatino Linotype" w:cs="Arial"/>
          <w:bCs/>
          <w:lang w:eastAsia="es-ES"/>
        </w:rPr>
      </w:pPr>
      <w:r>
        <w:rPr>
          <w:rFonts w:ascii="Palatino Linotype" w:hAnsi="Palatino Linotype" w:cs="Arial"/>
          <w:bCs/>
          <w:lang w:eastAsia="es-ES"/>
        </w:rPr>
        <w:lastRenderedPageBreak/>
        <w:t xml:space="preserve">En ese sentido, el dato sobre el domicilio particular es información de carácter confidencial en términos de lo dispuesto por el artículo 143, fracción I de la Ley de Transparencia y Acceso a la Información Pública del Estado de México y Municipios, así como el artículo 4, fracción XI de la Ley de Protección de Datos Personales en Posesión de Sujetos Obligados del Estado de México y Municipios, en virtud de que constituye información que hace a una persona identificable o identificado. </w:t>
      </w:r>
    </w:p>
    <w:p w14:paraId="6491155E" w14:textId="722B5634" w:rsidR="00F773D6" w:rsidRDefault="00F773D6" w:rsidP="00E33662">
      <w:pPr>
        <w:spacing w:before="100" w:beforeAutospacing="1" w:after="100" w:afterAutospacing="1" w:line="360" w:lineRule="auto"/>
        <w:contextualSpacing/>
        <w:jc w:val="both"/>
        <w:rPr>
          <w:rFonts w:ascii="Palatino Linotype" w:hAnsi="Palatino Linotype" w:cs="Arial"/>
          <w:bCs/>
          <w:lang w:eastAsia="es-ES"/>
        </w:rPr>
      </w:pPr>
      <w:r w:rsidRPr="00F773D6">
        <w:rPr>
          <w:rFonts w:ascii="Palatino Linotype" w:hAnsi="Palatino Linotype" w:cs="Arial"/>
          <w:bCs/>
          <w:lang w:eastAsia="es-ES"/>
        </w:rPr>
        <w:t>Lue</w:t>
      </w:r>
      <w:r>
        <w:rPr>
          <w:rFonts w:ascii="Palatino Linotype" w:hAnsi="Palatino Linotype" w:cs="Arial"/>
          <w:bCs/>
          <w:lang w:eastAsia="es-ES"/>
        </w:rPr>
        <w:t>go entonces se puede argumentar que, si bien el certificado de no antecedentes penales es un documento público al ser emitido por un servidor público dotado de atribuciones para tal efecto, no se debe perder de vista que de conformidad con lo establecido en la obra propuesta por el Doctor José Ramón Cossío Díaz, Ministro de la Suprema Corte de Justicia de la Nación, titulada “La Transparencia y el Acceso a la Información en expedientes judiciales”, cuyo principal objetivo consiste en unificar y complementar los criterios emitidos por el Alto Tribunal y el entonces Instituto Federal de Acceso a la Información y Protección de Datos, organismo autónomo en materia de transparencia, bajo la incertidumbre para proporcionar  la información contenida en los expedientes judiciales ante la solicitud de los particulares, es decir, es una herramienta práctica que coadyuva en la tarea de atender el ejercicio de los derechos de acceso a la información y protección de datos, en la referida obra concretamente en el tema identificado con el numeral 138, “Constancia de antecedentes penales”, pági</w:t>
      </w:r>
      <w:r w:rsidR="001A0EB2">
        <w:rPr>
          <w:rFonts w:ascii="Palatino Linotype" w:hAnsi="Palatino Linotype" w:cs="Arial"/>
          <w:bCs/>
          <w:lang w:eastAsia="es-ES"/>
        </w:rPr>
        <w:t xml:space="preserve">na 107, la cual establece que: </w:t>
      </w:r>
    </w:p>
    <w:p w14:paraId="4E94E3D1" w14:textId="77777777" w:rsidR="001A0EB2" w:rsidRDefault="001A0EB2" w:rsidP="001A0EB2">
      <w:pPr>
        <w:spacing w:before="100" w:beforeAutospacing="1" w:after="100" w:afterAutospacing="1"/>
        <w:ind w:left="567" w:right="900"/>
        <w:contextualSpacing/>
        <w:jc w:val="both"/>
        <w:rPr>
          <w:rFonts w:ascii="Palatino Linotype" w:hAnsi="Palatino Linotype" w:cs="Arial"/>
          <w:bCs/>
          <w:i/>
          <w:sz w:val="22"/>
          <w:lang w:eastAsia="es-ES"/>
        </w:rPr>
      </w:pPr>
    </w:p>
    <w:p w14:paraId="3EC67D69" w14:textId="4BF2A769" w:rsidR="00F773D6" w:rsidRDefault="00F773D6" w:rsidP="001A0EB2">
      <w:pPr>
        <w:spacing w:before="100" w:beforeAutospacing="1" w:after="100" w:afterAutospacing="1"/>
        <w:ind w:left="567" w:right="900"/>
        <w:contextualSpacing/>
        <w:jc w:val="both"/>
        <w:rPr>
          <w:rFonts w:ascii="Palatino Linotype" w:hAnsi="Palatino Linotype" w:cs="Arial"/>
          <w:bCs/>
          <w:i/>
          <w:sz w:val="22"/>
          <w:lang w:eastAsia="es-ES"/>
        </w:rPr>
      </w:pPr>
      <w:r w:rsidRPr="001A0EB2">
        <w:rPr>
          <w:rFonts w:ascii="Palatino Linotype" w:hAnsi="Palatino Linotype" w:cs="Arial"/>
          <w:bCs/>
          <w:i/>
          <w:sz w:val="22"/>
          <w:lang w:eastAsia="es-ES"/>
        </w:rPr>
        <w:t>“…la constancia de antecedentes penales es el documento expedido por la autoridad competente para acreditar la existencia o inexistencia de delitos cometidos por los individuos y la condena correspondiente, en su caso. La certificación corresponde a la policía y tiene importancia para determinar la reincidencia (artículo 20 del Código Penal Federal), la habitualidad (artículo 21 del Código Penal Federal y la posibilidad de caución (artículo 402 del Código Fed</w:t>
      </w:r>
      <w:r w:rsidR="001A0EB2" w:rsidRPr="001A0EB2">
        <w:rPr>
          <w:rFonts w:ascii="Palatino Linotype" w:hAnsi="Palatino Linotype" w:cs="Arial"/>
          <w:bCs/>
          <w:i/>
          <w:sz w:val="22"/>
          <w:lang w:eastAsia="es-ES"/>
        </w:rPr>
        <w:t xml:space="preserve">eral de Procedimientos Penales), al respecto </w:t>
      </w:r>
      <w:r w:rsidR="001A0EB2" w:rsidRPr="001A0EB2">
        <w:rPr>
          <w:rFonts w:ascii="Palatino Linotype" w:hAnsi="Palatino Linotype" w:cs="Arial"/>
          <w:b/>
          <w:bCs/>
          <w:i/>
          <w:sz w:val="22"/>
          <w:u w:val="single"/>
          <w:lang w:eastAsia="es-ES"/>
        </w:rPr>
        <w:lastRenderedPageBreak/>
        <w:t>se precisa que materia de transparencia y acceso a la información, este acto jurídico contiene información confidencial pues se refiere a datos personales de particulares</w:t>
      </w:r>
      <w:r w:rsidR="001A0EB2" w:rsidRPr="001A0EB2">
        <w:rPr>
          <w:rFonts w:ascii="Palatino Linotype" w:hAnsi="Palatino Linotype" w:cs="Arial"/>
          <w:bCs/>
          <w:i/>
          <w:sz w:val="22"/>
          <w:lang w:eastAsia="es-ES"/>
        </w:rPr>
        <w:t>.”</w:t>
      </w:r>
      <w:r w:rsidRPr="001A0EB2">
        <w:rPr>
          <w:rFonts w:ascii="Palatino Linotype" w:hAnsi="Palatino Linotype" w:cs="Arial"/>
          <w:bCs/>
          <w:i/>
          <w:sz w:val="22"/>
          <w:lang w:eastAsia="es-ES"/>
        </w:rPr>
        <w:t xml:space="preserve">   </w:t>
      </w:r>
    </w:p>
    <w:p w14:paraId="0397056D" w14:textId="78B81652" w:rsidR="001A0EB2" w:rsidRDefault="001A0EB2" w:rsidP="001A0EB2">
      <w:pPr>
        <w:spacing w:before="100" w:beforeAutospacing="1" w:after="100" w:afterAutospacing="1" w:line="360" w:lineRule="auto"/>
        <w:ind w:right="49"/>
        <w:contextualSpacing/>
        <w:jc w:val="both"/>
        <w:rPr>
          <w:rFonts w:ascii="Palatino Linotype" w:hAnsi="Palatino Linotype" w:cs="Arial"/>
          <w:bCs/>
          <w:lang w:eastAsia="es-ES"/>
        </w:rPr>
      </w:pPr>
      <w:r>
        <w:rPr>
          <w:rFonts w:ascii="Palatino Linotype" w:hAnsi="Palatino Linotype" w:cs="Arial"/>
          <w:bCs/>
          <w:lang w:eastAsia="es-ES"/>
        </w:rPr>
        <w:t xml:space="preserve">En este sentido, de acuerdo al artículo 116 de la Ley General de Transparencia, debe ser clasificado por regla general, como confidencial, en armonía con lo previsto por esta normatividad, el artículo 143, fracción I  de la legislación aplicable en la materia vigente en la entidad prevé lo mismo: </w:t>
      </w:r>
    </w:p>
    <w:p w14:paraId="2525BB40" w14:textId="1553E5ED" w:rsidR="001A0EB2" w:rsidRPr="001A0EB2" w:rsidRDefault="001A0EB2" w:rsidP="001A0EB2">
      <w:pPr>
        <w:spacing w:before="100" w:beforeAutospacing="1" w:after="100" w:afterAutospacing="1"/>
        <w:ind w:left="567" w:right="900"/>
        <w:contextualSpacing/>
        <w:jc w:val="both"/>
        <w:rPr>
          <w:rFonts w:ascii="Palatino Linotype" w:hAnsi="Palatino Linotype" w:cs="Arial"/>
          <w:bCs/>
          <w:i/>
          <w:sz w:val="22"/>
          <w:lang w:eastAsia="es-ES"/>
        </w:rPr>
      </w:pPr>
      <w:r>
        <w:rPr>
          <w:rFonts w:ascii="Palatino Linotype" w:hAnsi="Palatino Linotype" w:cs="Arial"/>
          <w:b/>
          <w:bCs/>
          <w:i/>
          <w:sz w:val="22"/>
          <w:lang w:eastAsia="es-ES"/>
        </w:rPr>
        <w:t>“</w:t>
      </w:r>
      <w:r w:rsidRPr="001A0EB2">
        <w:rPr>
          <w:rFonts w:ascii="Palatino Linotype" w:hAnsi="Palatino Linotype" w:cs="Arial"/>
          <w:b/>
          <w:bCs/>
          <w:i/>
          <w:sz w:val="22"/>
          <w:lang w:eastAsia="es-ES"/>
        </w:rPr>
        <w:t xml:space="preserve">Artículo 116. </w:t>
      </w:r>
      <w:r w:rsidRPr="001A0EB2">
        <w:rPr>
          <w:rFonts w:ascii="Palatino Linotype" w:hAnsi="Palatino Linotype" w:cs="Arial"/>
          <w:bCs/>
          <w:i/>
          <w:sz w:val="22"/>
          <w:lang w:eastAsia="es-ES"/>
        </w:rPr>
        <w:t>Se considera información confidencial la que contiene datos personales concernientes a una persona identificada o identificable.</w:t>
      </w:r>
    </w:p>
    <w:p w14:paraId="1A5BF44A" w14:textId="54BC1366" w:rsidR="001A0EB2" w:rsidRPr="001A0EB2" w:rsidRDefault="001A0EB2" w:rsidP="001A0EB2">
      <w:pPr>
        <w:spacing w:before="100" w:beforeAutospacing="1" w:after="100" w:afterAutospacing="1"/>
        <w:ind w:left="567" w:right="900"/>
        <w:contextualSpacing/>
        <w:jc w:val="both"/>
        <w:rPr>
          <w:rFonts w:ascii="Palatino Linotype" w:hAnsi="Palatino Linotype" w:cs="Arial"/>
          <w:bCs/>
          <w:i/>
          <w:sz w:val="22"/>
          <w:lang w:eastAsia="es-ES"/>
        </w:rPr>
      </w:pPr>
      <w:r w:rsidRPr="001A0EB2">
        <w:rPr>
          <w:rFonts w:ascii="Palatino Linotype" w:hAnsi="Palatino Linotype" w:cs="Arial"/>
          <w:bCs/>
          <w:i/>
          <w:sz w:val="22"/>
          <w:lang w:eastAsia="es-ES"/>
        </w:rPr>
        <w:t>…</w:t>
      </w:r>
    </w:p>
    <w:p w14:paraId="59CC82A7" w14:textId="77777777" w:rsidR="001A0EB2" w:rsidRPr="001A0EB2" w:rsidRDefault="001A0EB2" w:rsidP="001A0EB2">
      <w:pPr>
        <w:spacing w:before="100" w:beforeAutospacing="1" w:after="100" w:afterAutospacing="1"/>
        <w:ind w:left="567" w:right="900"/>
        <w:contextualSpacing/>
        <w:jc w:val="both"/>
        <w:rPr>
          <w:rFonts w:ascii="Palatino Linotype" w:hAnsi="Palatino Linotype" w:cs="Arial"/>
          <w:bCs/>
          <w:i/>
          <w:sz w:val="22"/>
          <w:lang w:eastAsia="es-ES"/>
        </w:rPr>
      </w:pPr>
      <w:r w:rsidRPr="001A0EB2">
        <w:rPr>
          <w:rFonts w:ascii="Palatino Linotype" w:hAnsi="Palatino Linotype" w:cs="Arial"/>
          <w:b/>
          <w:bCs/>
          <w:i/>
          <w:sz w:val="22"/>
          <w:lang w:eastAsia="es-ES"/>
        </w:rPr>
        <w:t xml:space="preserve">Artículo 143. </w:t>
      </w:r>
      <w:r w:rsidRPr="001A0EB2">
        <w:rPr>
          <w:rFonts w:ascii="Palatino Linotype" w:hAnsi="Palatino Linotype" w:cs="Arial"/>
          <w:bCs/>
          <w:i/>
          <w:sz w:val="22"/>
          <w:lang w:eastAsia="es-ES"/>
        </w:rPr>
        <w:t xml:space="preserve">Para los efectos de esta Ley se considera información confidencial, la clasificada como tal, de manera permanente, por su naturaleza, cuando: </w:t>
      </w:r>
    </w:p>
    <w:p w14:paraId="15BD1DA8" w14:textId="68EC461E" w:rsidR="001A0EB2" w:rsidRPr="001A0EB2" w:rsidRDefault="001A0EB2" w:rsidP="001A0EB2">
      <w:pPr>
        <w:spacing w:before="100" w:beforeAutospacing="1" w:after="100" w:afterAutospacing="1"/>
        <w:ind w:left="567" w:right="900"/>
        <w:contextualSpacing/>
        <w:jc w:val="both"/>
        <w:rPr>
          <w:rFonts w:ascii="Palatino Linotype" w:hAnsi="Palatino Linotype" w:cs="Arial"/>
          <w:bCs/>
          <w:i/>
          <w:sz w:val="22"/>
          <w:lang w:eastAsia="es-ES"/>
        </w:rPr>
      </w:pPr>
      <w:r w:rsidRPr="001A0EB2">
        <w:rPr>
          <w:rFonts w:ascii="Palatino Linotype" w:hAnsi="Palatino Linotype" w:cs="Arial"/>
          <w:b/>
          <w:bCs/>
          <w:i/>
          <w:sz w:val="22"/>
          <w:lang w:eastAsia="es-ES"/>
        </w:rPr>
        <w:t xml:space="preserve">I. </w:t>
      </w:r>
      <w:r w:rsidRPr="001A0EB2">
        <w:rPr>
          <w:rFonts w:ascii="Palatino Linotype" w:hAnsi="Palatino Linotype" w:cs="Arial"/>
          <w:bCs/>
          <w:i/>
          <w:sz w:val="22"/>
          <w:lang w:eastAsia="es-ES"/>
        </w:rPr>
        <w:t>Se refiera a la información privada y los datos personales concernientes a una persona física o jurídico colectiv</w:t>
      </w:r>
      <w:r>
        <w:rPr>
          <w:rFonts w:ascii="Palatino Linotype" w:hAnsi="Palatino Linotype" w:cs="Arial"/>
          <w:bCs/>
          <w:i/>
          <w:sz w:val="22"/>
          <w:lang w:eastAsia="es-ES"/>
        </w:rPr>
        <w:t>a identificada o identificable;”</w:t>
      </w:r>
    </w:p>
    <w:p w14:paraId="4F408644" w14:textId="77777777" w:rsidR="001A0EB2" w:rsidRDefault="001A0EB2" w:rsidP="001A0EB2">
      <w:pPr>
        <w:spacing w:before="100" w:beforeAutospacing="1" w:after="100" w:afterAutospacing="1" w:line="360" w:lineRule="auto"/>
        <w:ind w:right="49"/>
        <w:contextualSpacing/>
        <w:jc w:val="both"/>
        <w:rPr>
          <w:rFonts w:ascii="Palatino Linotype" w:hAnsi="Palatino Linotype" w:cs="Arial"/>
          <w:bCs/>
          <w:lang w:eastAsia="es-ES"/>
        </w:rPr>
      </w:pPr>
    </w:p>
    <w:p w14:paraId="23BF6B51" w14:textId="77777777" w:rsidR="001A0EB2" w:rsidRDefault="001A0EB2" w:rsidP="001A0EB2">
      <w:pPr>
        <w:spacing w:before="100" w:beforeAutospacing="1" w:after="100" w:afterAutospacing="1" w:line="360" w:lineRule="auto"/>
        <w:ind w:right="49"/>
        <w:contextualSpacing/>
        <w:jc w:val="both"/>
        <w:rPr>
          <w:rFonts w:ascii="Palatino Linotype" w:hAnsi="Palatino Linotype" w:cs="Arial"/>
          <w:bCs/>
          <w:lang w:eastAsia="es-ES"/>
        </w:rPr>
      </w:pPr>
      <w:r>
        <w:rPr>
          <w:rFonts w:ascii="Palatino Linotype" w:hAnsi="Palatino Linotype" w:cs="Arial"/>
          <w:bCs/>
          <w:lang w:eastAsia="es-ES"/>
        </w:rPr>
        <w:t>En consecuencia, de lo expuesto con antelación, se colige que un certificado de no antecedentes penales constituye un documento que de ser entregado aun en versión pública, el contenido estaría testado en su mayoría, dejándose visible únicamente la fotografía y lo correspondiente al formato básico del documento, lo cual aludiría a un documento cuyo contenido es irrelevante, esto en razón de que los datos que fuesen testados constituyen información referente a la esfera privada de su titular, ya que se trata de características físicas que permiten la identificación de un individuo, así como lo referente a su conducta delictiva, que en caso de ser revelada podría otorgar acceso a terceros y posteriormente podría derivar en un mal uso de la información, aunado a que de ello no se desprende el ejercicio de las funciones que en todo caso desempeñe el titular como servidor público o bien, la aplicación de los recursos públicos.</w:t>
      </w:r>
    </w:p>
    <w:p w14:paraId="774C137D" w14:textId="77777777" w:rsidR="002E1ED0" w:rsidRDefault="002E1ED0" w:rsidP="001A0EB2">
      <w:pPr>
        <w:spacing w:before="100" w:beforeAutospacing="1" w:after="100" w:afterAutospacing="1" w:line="360" w:lineRule="auto"/>
        <w:ind w:right="49"/>
        <w:contextualSpacing/>
        <w:jc w:val="both"/>
        <w:rPr>
          <w:rFonts w:ascii="Palatino Linotype" w:hAnsi="Palatino Linotype" w:cs="Arial"/>
          <w:bCs/>
          <w:lang w:eastAsia="es-ES"/>
        </w:rPr>
      </w:pPr>
    </w:p>
    <w:p w14:paraId="4E411E33" w14:textId="143AE363" w:rsidR="001A0EB2" w:rsidRDefault="002E1ED0" w:rsidP="001A0EB2">
      <w:pPr>
        <w:spacing w:before="100" w:beforeAutospacing="1" w:after="100" w:afterAutospacing="1" w:line="360" w:lineRule="auto"/>
        <w:ind w:right="49"/>
        <w:contextualSpacing/>
        <w:jc w:val="both"/>
        <w:rPr>
          <w:rFonts w:ascii="Palatino Linotype" w:hAnsi="Palatino Linotype" w:cs="Arial"/>
          <w:bCs/>
          <w:lang w:eastAsia="es-ES"/>
        </w:rPr>
      </w:pPr>
      <w:r>
        <w:rPr>
          <w:rFonts w:ascii="Palatino Linotype" w:hAnsi="Palatino Linotype" w:cs="Arial"/>
          <w:bCs/>
          <w:lang w:eastAsia="es-ES"/>
        </w:rPr>
        <w:lastRenderedPageBreak/>
        <w:t xml:space="preserve">Ahora bien, como se ha precisado en líneas anteriores </w:t>
      </w:r>
      <w:r w:rsidR="001A0EB2">
        <w:rPr>
          <w:rFonts w:ascii="Palatino Linotype" w:hAnsi="Palatino Linotype" w:cs="Arial"/>
          <w:bCs/>
          <w:lang w:eastAsia="es-ES"/>
        </w:rPr>
        <w:t xml:space="preserve"> </w:t>
      </w:r>
      <w:r>
        <w:rPr>
          <w:rFonts w:ascii="Palatino Linotype" w:hAnsi="Palatino Linotype" w:cs="Arial"/>
          <w:bCs/>
          <w:lang w:eastAsia="es-ES"/>
        </w:rPr>
        <w:t xml:space="preserve">el Certificado de no antecedentes penales es un documento que debe ser considerado como confidencial por regla general, sin embargo, cuando el interés público de conocer dicha información esté por encima del interés particular de protegerla, en dicha ponderación se deberá acreditar que el beneficio que reporta dar a conocer la información confidencial pedida o solicitada es mayor a la invasión que su divulgación genera en los derechos de las personas, considerando la legitimidad </w:t>
      </w:r>
      <w:r w:rsidR="008101A5">
        <w:rPr>
          <w:rFonts w:ascii="Palatino Linotype" w:hAnsi="Palatino Linotype" w:cs="Arial"/>
          <w:bCs/>
          <w:lang w:eastAsia="es-ES"/>
        </w:rPr>
        <w:t xml:space="preserve">del derecho adoptado como preferente que sea el adecuado para el logro de un fin constitucionalmente válido o apto para conseguir el fin pretendido (idoneidad), la falta de un medio alternativo menos lesivo a la apertura de la información para satisfacer el interés público (necesidad) y el equilibrio entre perjuicio y beneficio a favor del interés público, a fin de que la decisión tomada represente un beneficio mayor al perjuicio que podría causar a la población (proporcionalidad). </w:t>
      </w:r>
    </w:p>
    <w:p w14:paraId="50F9A4FA" w14:textId="27AED045" w:rsidR="008101A5" w:rsidRDefault="008101A5" w:rsidP="001A0EB2">
      <w:pPr>
        <w:spacing w:before="100" w:beforeAutospacing="1" w:after="100" w:afterAutospacing="1" w:line="360" w:lineRule="auto"/>
        <w:ind w:right="49"/>
        <w:contextualSpacing/>
        <w:jc w:val="both"/>
        <w:rPr>
          <w:rFonts w:ascii="Palatino Linotype" w:hAnsi="Palatino Linotype" w:cs="Arial"/>
          <w:bCs/>
          <w:lang w:eastAsia="es-ES"/>
        </w:rPr>
      </w:pPr>
      <w:r>
        <w:rPr>
          <w:rFonts w:ascii="Palatino Linotype" w:hAnsi="Palatino Linotype" w:cs="Arial"/>
          <w:bCs/>
          <w:lang w:eastAsia="es-ES"/>
        </w:rPr>
        <w:t xml:space="preserve">En consecuencia, el Sujeto Obligado tiene la posibilidad de otorgar satisfacción al presente requerimiento, por lo que resulta procedente ordenar la entrega del certificado de antecedentes no penales del director de seguridad pública municipal en versión pública. </w:t>
      </w:r>
    </w:p>
    <w:p w14:paraId="776BEF58" w14:textId="77777777" w:rsidR="0062773D" w:rsidRDefault="0062773D" w:rsidP="001A0EB2">
      <w:pPr>
        <w:spacing w:before="100" w:beforeAutospacing="1" w:after="100" w:afterAutospacing="1" w:line="360" w:lineRule="auto"/>
        <w:ind w:right="49"/>
        <w:contextualSpacing/>
        <w:jc w:val="both"/>
        <w:rPr>
          <w:rFonts w:ascii="Palatino Linotype" w:hAnsi="Palatino Linotype" w:cs="Arial"/>
          <w:bCs/>
          <w:lang w:eastAsia="es-ES"/>
        </w:rPr>
      </w:pPr>
    </w:p>
    <w:p w14:paraId="75A074D4" w14:textId="774DB52F" w:rsidR="008101A5" w:rsidRDefault="008101A5" w:rsidP="001A0EB2">
      <w:pPr>
        <w:spacing w:before="100" w:beforeAutospacing="1" w:after="100" w:afterAutospacing="1" w:line="360" w:lineRule="auto"/>
        <w:ind w:right="49"/>
        <w:contextualSpacing/>
        <w:jc w:val="both"/>
        <w:rPr>
          <w:rFonts w:ascii="Palatino Linotype" w:hAnsi="Palatino Linotype" w:cs="Arial"/>
          <w:bCs/>
          <w:lang w:eastAsia="es-ES"/>
        </w:rPr>
      </w:pPr>
      <w:r>
        <w:rPr>
          <w:rFonts w:ascii="Palatino Linotype" w:hAnsi="Palatino Linotype" w:cs="Arial"/>
          <w:bCs/>
          <w:lang w:eastAsia="es-ES"/>
        </w:rPr>
        <w:t>A</w:t>
      </w:r>
      <w:r w:rsidR="0062773D">
        <w:rPr>
          <w:rFonts w:ascii="Palatino Linotype" w:hAnsi="Palatino Linotype" w:cs="Arial"/>
          <w:bCs/>
          <w:lang w:eastAsia="es-ES"/>
        </w:rPr>
        <w:t xml:space="preserve">hora bien, por cuanto hace a </w:t>
      </w:r>
      <w:r w:rsidR="0062773D" w:rsidRPr="0062773D">
        <w:rPr>
          <w:rFonts w:ascii="Palatino Linotype" w:hAnsi="Palatino Linotype" w:cs="Arial"/>
          <w:bCs/>
          <w:lang w:eastAsia="es-ES"/>
        </w:rPr>
        <w:t>las evaluaciones de certificación y control de confianza, para su ingreso y permanencia</w:t>
      </w:r>
      <w:r w:rsidR="0062773D">
        <w:rPr>
          <w:rFonts w:ascii="Palatino Linotype" w:hAnsi="Palatino Linotype" w:cs="Arial"/>
          <w:bCs/>
          <w:lang w:eastAsia="es-ES"/>
        </w:rPr>
        <w:t xml:space="preserve">, la Ley General del Sistema Nacional de Seguridad Pública en su artículo 39, letra B, fracción X, establece: </w:t>
      </w:r>
    </w:p>
    <w:p w14:paraId="6D792EAE" w14:textId="77777777" w:rsidR="0062773D" w:rsidRDefault="0062773D" w:rsidP="001A0EB2">
      <w:pPr>
        <w:spacing w:before="100" w:beforeAutospacing="1" w:after="100" w:afterAutospacing="1" w:line="360" w:lineRule="auto"/>
        <w:ind w:right="49"/>
        <w:contextualSpacing/>
        <w:jc w:val="both"/>
        <w:rPr>
          <w:rFonts w:ascii="Palatino Linotype" w:hAnsi="Palatino Linotype" w:cs="Arial"/>
          <w:b/>
          <w:bCs/>
          <w:lang w:eastAsia="es-ES"/>
        </w:rPr>
      </w:pPr>
    </w:p>
    <w:p w14:paraId="37ACB2A2" w14:textId="4824329F" w:rsidR="0062773D" w:rsidRPr="0062773D" w:rsidRDefault="0062773D" w:rsidP="0062773D">
      <w:pPr>
        <w:spacing w:before="100" w:beforeAutospacing="1" w:after="100" w:afterAutospacing="1"/>
        <w:ind w:left="567" w:right="900"/>
        <w:contextualSpacing/>
        <w:jc w:val="both"/>
        <w:rPr>
          <w:rFonts w:ascii="Palatino Linotype" w:hAnsi="Palatino Linotype" w:cs="Arial"/>
          <w:bCs/>
          <w:i/>
          <w:sz w:val="22"/>
          <w:lang w:eastAsia="es-ES"/>
        </w:rPr>
      </w:pPr>
      <w:r>
        <w:rPr>
          <w:rFonts w:ascii="Palatino Linotype" w:hAnsi="Palatino Linotype" w:cs="Arial"/>
          <w:b/>
          <w:bCs/>
          <w:i/>
          <w:sz w:val="22"/>
          <w:lang w:eastAsia="es-ES"/>
        </w:rPr>
        <w:t>“</w:t>
      </w:r>
      <w:r w:rsidRPr="0062773D">
        <w:rPr>
          <w:rFonts w:ascii="Palatino Linotype" w:hAnsi="Palatino Linotype" w:cs="Arial"/>
          <w:b/>
          <w:bCs/>
          <w:i/>
          <w:sz w:val="22"/>
          <w:lang w:eastAsia="es-ES"/>
        </w:rPr>
        <w:t xml:space="preserve">Artículo 39.- </w:t>
      </w:r>
      <w:r w:rsidRPr="0062773D">
        <w:rPr>
          <w:rFonts w:ascii="Palatino Linotype" w:hAnsi="Palatino Linotype" w:cs="Arial"/>
          <w:bCs/>
          <w:i/>
          <w:sz w:val="22"/>
          <w:lang w:eastAsia="es-ES"/>
        </w:rPr>
        <w:t>La concurrencia de facultades entre la Federación, las entidades federativas y los Municipios, quedará distribuida conforme a lo siguiente:</w:t>
      </w:r>
    </w:p>
    <w:p w14:paraId="5D00C8AA" w14:textId="0C35428A" w:rsidR="0062773D" w:rsidRPr="0062773D" w:rsidRDefault="0062773D" w:rsidP="0062773D">
      <w:pPr>
        <w:spacing w:before="100" w:beforeAutospacing="1" w:after="100" w:afterAutospacing="1"/>
        <w:ind w:left="567" w:right="900"/>
        <w:contextualSpacing/>
        <w:jc w:val="both"/>
        <w:rPr>
          <w:rFonts w:ascii="Palatino Linotype" w:hAnsi="Palatino Linotype" w:cs="Arial"/>
          <w:bCs/>
          <w:i/>
          <w:sz w:val="22"/>
          <w:lang w:eastAsia="es-ES"/>
        </w:rPr>
      </w:pPr>
      <w:r w:rsidRPr="0062773D">
        <w:rPr>
          <w:rFonts w:ascii="Palatino Linotype" w:hAnsi="Palatino Linotype" w:cs="Arial"/>
          <w:bCs/>
          <w:i/>
          <w:sz w:val="22"/>
          <w:lang w:eastAsia="es-ES"/>
        </w:rPr>
        <w:t>…</w:t>
      </w:r>
    </w:p>
    <w:p w14:paraId="724661C0" w14:textId="38A69165" w:rsidR="0062773D" w:rsidRDefault="0062773D" w:rsidP="0062773D">
      <w:pPr>
        <w:spacing w:before="100" w:beforeAutospacing="1" w:after="100" w:afterAutospacing="1"/>
        <w:ind w:left="567" w:right="900"/>
        <w:contextualSpacing/>
        <w:jc w:val="both"/>
        <w:rPr>
          <w:rFonts w:ascii="Palatino Linotype" w:hAnsi="Palatino Linotype" w:cs="Arial"/>
          <w:bCs/>
          <w:i/>
          <w:sz w:val="22"/>
          <w:lang w:eastAsia="es-ES"/>
        </w:rPr>
      </w:pPr>
      <w:r w:rsidRPr="0062773D">
        <w:rPr>
          <w:rFonts w:ascii="Palatino Linotype" w:hAnsi="Palatino Linotype" w:cs="Arial"/>
          <w:b/>
          <w:bCs/>
          <w:i/>
          <w:sz w:val="22"/>
          <w:lang w:eastAsia="es-ES"/>
        </w:rPr>
        <w:lastRenderedPageBreak/>
        <w:t xml:space="preserve">B. </w:t>
      </w:r>
      <w:r w:rsidRPr="0062773D">
        <w:rPr>
          <w:rFonts w:ascii="Palatino Linotype" w:hAnsi="Palatino Linotype" w:cs="Arial"/>
          <w:bCs/>
          <w:i/>
          <w:sz w:val="22"/>
          <w:lang w:eastAsia="es-ES"/>
        </w:rPr>
        <w:t>Corresponde a la Federación, a las entidades federativas y a los Municipios, en el ámbito de sus respectivas competencias:</w:t>
      </w:r>
    </w:p>
    <w:p w14:paraId="1D674560" w14:textId="2D1F953F" w:rsidR="0062773D" w:rsidRDefault="0062773D" w:rsidP="0062773D">
      <w:pPr>
        <w:spacing w:before="100" w:beforeAutospacing="1" w:after="100" w:afterAutospacing="1"/>
        <w:ind w:left="567" w:right="900"/>
        <w:contextualSpacing/>
        <w:jc w:val="both"/>
        <w:rPr>
          <w:rFonts w:ascii="Palatino Linotype" w:hAnsi="Palatino Linotype" w:cs="Arial"/>
          <w:bCs/>
          <w:i/>
          <w:sz w:val="22"/>
          <w:lang w:eastAsia="es-ES"/>
        </w:rPr>
      </w:pPr>
      <w:r>
        <w:rPr>
          <w:rFonts w:ascii="Palatino Linotype" w:hAnsi="Palatino Linotype" w:cs="Arial"/>
          <w:b/>
          <w:bCs/>
          <w:i/>
          <w:sz w:val="22"/>
          <w:lang w:eastAsia="es-ES"/>
        </w:rPr>
        <w:t>…</w:t>
      </w:r>
    </w:p>
    <w:p w14:paraId="2FAD4C2F" w14:textId="70121645" w:rsidR="0062773D" w:rsidRDefault="0062773D" w:rsidP="0062773D">
      <w:pPr>
        <w:spacing w:before="100" w:beforeAutospacing="1" w:after="100" w:afterAutospacing="1"/>
        <w:ind w:left="567" w:right="900"/>
        <w:contextualSpacing/>
        <w:jc w:val="both"/>
        <w:rPr>
          <w:rFonts w:ascii="Palatino Linotype" w:hAnsi="Palatino Linotype" w:cs="Arial"/>
          <w:bCs/>
          <w:i/>
          <w:sz w:val="22"/>
          <w:lang w:eastAsia="es-ES"/>
        </w:rPr>
      </w:pPr>
      <w:r w:rsidRPr="0062773D">
        <w:rPr>
          <w:rFonts w:ascii="Palatino Linotype" w:hAnsi="Palatino Linotype" w:cs="Arial"/>
          <w:b/>
          <w:bCs/>
          <w:i/>
          <w:sz w:val="22"/>
          <w:lang w:eastAsia="es-ES"/>
        </w:rPr>
        <w:t xml:space="preserve">X. </w:t>
      </w:r>
      <w:r w:rsidRPr="0062773D">
        <w:rPr>
          <w:rFonts w:ascii="Palatino Linotype" w:hAnsi="Palatino Linotype" w:cs="Arial"/>
          <w:bCs/>
          <w:i/>
          <w:sz w:val="22"/>
          <w:lang w:eastAsia="es-ES"/>
        </w:rPr>
        <w:t>Establecer centros de evaluación y control de confianza, conforme a los lineamientos, procedimientos, protocolos y perfiles determinados por el Centro Nacional de Certificación y Acreditación, así como garantizar la observancia permanente de la normatividad aplicable;</w:t>
      </w:r>
      <w:r>
        <w:rPr>
          <w:rFonts w:ascii="Palatino Linotype" w:hAnsi="Palatino Linotype" w:cs="Arial"/>
          <w:bCs/>
          <w:i/>
          <w:sz w:val="22"/>
          <w:lang w:eastAsia="es-ES"/>
        </w:rPr>
        <w:t>”</w:t>
      </w:r>
    </w:p>
    <w:p w14:paraId="00ED593E" w14:textId="77777777" w:rsidR="0062773D" w:rsidRDefault="0062773D" w:rsidP="0062773D">
      <w:pPr>
        <w:spacing w:before="100" w:beforeAutospacing="1" w:after="100" w:afterAutospacing="1"/>
        <w:ind w:right="900"/>
        <w:contextualSpacing/>
        <w:jc w:val="both"/>
        <w:rPr>
          <w:rFonts w:ascii="Palatino Linotype" w:hAnsi="Palatino Linotype" w:cs="Arial"/>
          <w:bCs/>
          <w:lang w:eastAsia="es-ES"/>
        </w:rPr>
      </w:pPr>
    </w:p>
    <w:p w14:paraId="2C8562E3" w14:textId="7B018B3E" w:rsidR="0062773D" w:rsidRDefault="0062773D" w:rsidP="0062773D">
      <w:pPr>
        <w:spacing w:before="100" w:beforeAutospacing="1" w:after="100" w:afterAutospacing="1" w:line="360" w:lineRule="auto"/>
        <w:ind w:right="49"/>
        <w:contextualSpacing/>
        <w:jc w:val="both"/>
        <w:rPr>
          <w:rFonts w:ascii="Palatino Linotype" w:hAnsi="Palatino Linotype" w:cs="Arial"/>
          <w:bCs/>
          <w:lang w:eastAsia="es-ES"/>
        </w:rPr>
      </w:pPr>
      <w:r>
        <w:rPr>
          <w:rFonts w:ascii="Palatino Linotype" w:hAnsi="Palatino Linotype" w:cs="Arial"/>
          <w:bCs/>
          <w:lang w:eastAsia="es-ES"/>
        </w:rPr>
        <w:t>Ahora bien, el Centro de Control de Confianza del Estado de México fue creado como un organismo p</w:t>
      </w:r>
      <w:r w:rsidR="00336840">
        <w:rPr>
          <w:rFonts w:ascii="Palatino Linotype" w:hAnsi="Palatino Linotype" w:cs="Arial"/>
          <w:bCs/>
          <w:lang w:eastAsia="es-ES"/>
        </w:rPr>
        <w:t xml:space="preserve">úblico descentralizado, con personalidad jurídica y patrimonio propios sectorizado a la Secretaría General de Gobierno, mismo que tiene por objeto realizar las evaluaciones permanentes de control y confianza, de desempeño, poligrafía, entorno social y psicológico, así como exámenes toxicológicos a los aspirantes y a todos los integrantes de las instituciones de seguridad pública y privada, estatal y municipal, a fin de emitir, en su caso la certificación correspondiente. </w:t>
      </w:r>
    </w:p>
    <w:p w14:paraId="2E25CBA0" w14:textId="1C122D06" w:rsidR="00336840" w:rsidRDefault="00336840" w:rsidP="0062773D">
      <w:pPr>
        <w:spacing w:before="100" w:beforeAutospacing="1" w:after="100" w:afterAutospacing="1" w:line="360" w:lineRule="auto"/>
        <w:ind w:right="49"/>
        <w:contextualSpacing/>
        <w:jc w:val="both"/>
        <w:rPr>
          <w:rFonts w:ascii="Palatino Linotype" w:hAnsi="Palatino Linotype" w:cs="Arial"/>
          <w:bCs/>
          <w:lang w:eastAsia="es-ES"/>
        </w:rPr>
      </w:pPr>
      <w:r>
        <w:rPr>
          <w:rFonts w:ascii="Palatino Linotype" w:hAnsi="Palatino Linotype" w:cs="Arial"/>
          <w:bCs/>
          <w:lang w:eastAsia="es-ES"/>
        </w:rPr>
        <w:t xml:space="preserve">Entendiéndose por instituciones de seguridad pública, a las instituciones policiales, de procuración de justicia y del sistema penitenciario, así como cualquier dependencia encargada de la seguridad pública siendo parte integrante el Secretario Técnico del Consejo Municipal de Seguridad Pública. </w:t>
      </w:r>
    </w:p>
    <w:p w14:paraId="1671B104" w14:textId="77777777" w:rsidR="00336840" w:rsidRDefault="00336840" w:rsidP="0062773D">
      <w:pPr>
        <w:spacing w:before="100" w:beforeAutospacing="1" w:after="100" w:afterAutospacing="1" w:line="360" w:lineRule="auto"/>
        <w:ind w:right="49"/>
        <w:contextualSpacing/>
        <w:jc w:val="both"/>
        <w:rPr>
          <w:rFonts w:ascii="Palatino Linotype" w:hAnsi="Palatino Linotype" w:cs="Arial"/>
          <w:bCs/>
          <w:lang w:eastAsia="es-ES"/>
        </w:rPr>
      </w:pPr>
    </w:p>
    <w:p w14:paraId="7878A63A" w14:textId="392E3463" w:rsidR="008101A5" w:rsidRDefault="00336840" w:rsidP="001A0EB2">
      <w:pPr>
        <w:spacing w:before="100" w:beforeAutospacing="1" w:after="100" w:afterAutospacing="1" w:line="360" w:lineRule="auto"/>
        <w:ind w:right="49"/>
        <w:contextualSpacing/>
        <w:jc w:val="both"/>
        <w:rPr>
          <w:rFonts w:ascii="Palatino Linotype" w:hAnsi="Palatino Linotype" w:cs="Arial"/>
          <w:bCs/>
          <w:lang w:eastAsia="es-ES"/>
        </w:rPr>
      </w:pPr>
      <w:r>
        <w:rPr>
          <w:rFonts w:ascii="Palatino Linotype" w:hAnsi="Palatino Linotype" w:cs="Arial"/>
          <w:bCs/>
          <w:lang w:eastAsia="es-ES"/>
        </w:rPr>
        <w:t xml:space="preserve">Correlativo a lo anterior, la Ley de Seguridad del  Estado de México de conformidad con lo dispuesto por los artículos 100, Apartado B, fracción I, inciso r), señala que todo elemento de las instituciones de seguridad pública, deberá contar con la certificación debida, lo cual implica someterse a las evaluaciones periódicas establecidas por el Centro de Control de Confianza del Estado de México, en los procedimientos de ingreso, promoción y permanencia: </w:t>
      </w:r>
    </w:p>
    <w:p w14:paraId="3C9C7A54" w14:textId="77777777" w:rsidR="00336840" w:rsidRDefault="00336840" w:rsidP="001A0EB2">
      <w:pPr>
        <w:spacing w:before="100" w:beforeAutospacing="1" w:after="100" w:afterAutospacing="1" w:line="360" w:lineRule="auto"/>
        <w:ind w:right="49"/>
        <w:contextualSpacing/>
        <w:jc w:val="both"/>
        <w:rPr>
          <w:rFonts w:ascii="Palatino Linotype" w:hAnsi="Palatino Linotype" w:cs="Arial"/>
          <w:bCs/>
          <w:lang w:eastAsia="es-ES"/>
        </w:rPr>
      </w:pPr>
    </w:p>
    <w:p w14:paraId="5A0DC37A" w14:textId="2D452131" w:rsidR="00336840" w:rsidRDefault="00C1130F" w:rsidP="00C1130F">
      <w:pPr>
        <w:spacing w:before="100" w:beforeAutospacing="1" w:after="100" w:afterAutospacing="1"/>
        <w:ind w:left="567" w:right="900"/>
        <w:contextualSpacing/>
        <w:jc w:val="both"/>
        <w:rPr>
          <w:rFonts w:ascii="Palatino Linotype" w:hAnsi="Palatino Linotype" w:cs="Arial"/>
          <w:bCs/>
          <w:i/>
          <w:sz w:val="22"/>
          <w:lang w:eastAsia="es-ES"/>
        </w:rPr>
      </w:pPr>
      <w:r>
        <w:rPr>
          <w:rFonts w:ascii="Palatino Linotype" w:hAnsi="Palatino Linotype" w:cs="Arial"/>
          <w:b/>
          <w:bCs/>
          <w:i/>
          <w:sz w:val="22"/>
          <w:lang w:eastAsia="es-ES"/>
        </w:rPr>
        <w:lastRenderedPageBreak/>
        <w:t>“</w:t>
      </w:r>
      <w:r w:rsidRPr="00C1130F">
        <w:rPr>
          <w:rFonts w:ascii="Palatino Linotype" w:hAnsi="Palatino Linotype" w:cs="Arial"/>
          <w:b/>
          <w:bCs/>
          <w:i/>
          <w:sz w:val="22"/>
          <w:lang w:eastAsia="es-ES"/>
        </w:rPr>
        <w:t xml:space="preserve">Artículo 100.- </w:t>
      </w:r>
      <w:r w:rsidRPr="00C1130F">
        <w:rPr>
          <w:rFonts w:ascii="Palatino Linotype" w:hAnsi="Palatino Linotype" w:cs="Arial"/>
          <w:bCs/>
          <w:i/>
          <w:sz w:val="22"/>
          <w:lang w:eastAsia="es-ES"/>
        </w:rPr>
        <w:t>Con el objeto de garantizar el cumplimiento de los principios constitucionales de legalidad, objetividad, eficiencia, profesionalismo, honradez y respeto a los derechos humanos, los integrantes de las Instituciones de Seguridad Pública tendrán, de conformidad con su adscripción a unidades de prevención, de reacción o de investigación, los derechos y obligaciones siguientes:</w:t>
      </w:r>
    </w:p>
    <w:p w14:paraId="50171A55" w14:textId="59416197" w:rsidR="00C1130F" w:rsidRDefault="00C1130F" w:rsidP="00C1130F">
      <w:pPr>
        <w:spacing w:before="100" w:beforeAutospacing="1" w:after="100" w:afterAutospacing="1"/>
        <w:ind w:left="567" w:right="900"/>
        <w:contextualSpacing/>
        <w:jc w:val="both"/>
        <w:rPr>
          <w:rFonts w:ascii="Palatino Linotype" w:hAnsi="Palatino Linotype" w:cs="Arial"/>
          <w:bCs/>
          <w:i/>
          <w:sz w:val="22"/>
          <w:lang w:eastAsia="es-ES"/>
        </w:rPr>
      </w:pPr>
      <w:r>
        <w:rPr>
          <w:rFonts w:ascii="Palatino Linotype" w:hAnsi="Palatino Linotype" w:cs="Arial"/>
          <w:b/>
          <w:bCs/>
          <w:i/>
          <w:sz w:val="22"/>
          <w:lang w:eastAsia="es-ES"/>
        </w:rPr>
        <w:t>…</w:t>
      </w:r>
    </w:p>
    <w:p w14:paraId="3C49BF30" w14:textId="33A38EB3" w:rsidR="00C1130F" w:rsidRDefault="00C1130F" w:rsidP="00C1130F">
      <w:pPr>
        <w:spacing w:before="100" w:beforeAutospacing="1" w:after="100" w:afterAutospacing="1"/>
        <w:ind w:left="567" w:right="900"/>
        <w:contextualSpacing/>
        <w:jc w:val="both"/>
        <w:rPr>
          <w:rFonts w:ascii="Palatino Linotype" w:hAnsi="Palatino Linotype" w:cs="Arial"/>
          <w:b/>
          <w:bCs/>
          <w:i/>
          <w:sz w:val="22"/>
          <w:lang w:eastAsia="es-ES"/>
        </w:rPr>
      </w:pPr>
      <w:r w:rsidRPr="00C1130F">
        <w:rPr>
          <w:rFonts w:ascii="Palatino Linotype" w:hAnsi="Palatino Linotype" w:cs="Arial"/>
          <w:b/>
          <w:bCs/>
          <w:i/>
          <w:sz w:val="22"/>
          <w:lang w:eastAsia="es-ES"/>
        </w:rPr>
        <w:t>B. Obligaciones:</w:t>
      </w:r>
    </w:p>
    <w:p w14:paraId="1782E5CB" w14:textId="17F71F9B" w:rsidR="00C1130F" w:rsidRDefault="00C1130F" w:rsidP="00C1130F">
      <w:pPr>
        <w:spacing w:before="100" w:beforeAutospacing="1" w:after="100" w:afterAutospacing="1"/>
        <w:ind w:left="567" w:right="900"/>
        <w:contextualSpacing/>
        <w:jc w:val="both"/>
        <w:rPr>
          <w:rFonts w:ascii="Palatino Linotype" w:hAnsi="Palatino Linotype" w:cs="Arial"/>
          <w:bCs/>
          <w:i/>
          <w:sz w:val="22"/>
          <w:lang w:eastAsia="es-ES"/>
        </w:rPr>
      </w:pPr>
      <w:r w:rsidRPr="00C1130F">
        <w:rPr>
          <w:rFonts w:ascii="Palatino Linotype" w:hAnsi="Palatino Linotype" w:cs="Arial"/>
          <w:bCs/>
          <w:i/>
          <w:sz w:val="22"/>
          <w:lang w:eastAsia="es-ES"/>
        </w:rPr>
        <w:t>r)</w:t>
      </w:r>
      <w:r w:rsidRPr="00C1130F">
        <w:rPr>
          <w:rFonts w:ascii="Palatino Linotype" w:hAnsi="Palatino Linotype" w:cs="Arial"/>
          <w:b/>
          <w:bCs/>
          <w:i/>
          <w:sz w:val="22"/>
          <w:lang w:eastAsia="es-ES"/>
        </w:rPr>
        <w:t xml:space="preserve"> </w:t>
      </w:r>
      <w:r w:rsidRPr="00C1130F">
        <w:rPr>
          <w:rFonts w:ascii="Palatino Linotype" w:hAnsi="Palatino Linotype" w:cs="Arial"/>
          <w:bCs/>
          <w:i/>
          <w:sz w:val="22"/>
          <w:lang w:eastAsia="es-ES"/>
        </w:rPr>
        <w:t>Someterse a evaluaciones periódicas para acreditar el cumplimiento de los requisitos de permanencia, así como obtener y mantener vigente la certificación respectiva;</w:t>
      </w:r>
      <w:r>
        <w:rPr>
          <w:rFonts w:ascii="Palatino Linotype" w:hAnsi="Palatino Linotype" w:cs="Arial"/>
          <w:bCs/>
          <w:i/>
          <w:sz w:val="22"/>
          <w:lang w:eastAsia="es-ES"/>
        </w:rPr>
        <w:t>”</w:t>
      </w:r>
    </w:p>
    <w:p w14:paraId="30D49ABE" w14:textId="458EC0C8" w:rsidR="00C1130F" w:rsidRDefault="00C1130F" w:rsidP="00C1130F">
      <w:pPr>
        <w:spacing w:before="100" w:beforeAutospacing="1" w:after="100" w:afterAutospacing="1"/>
        <w:ind w:right="900"/>
        <w:contextualSpacing/>
        <w:jc w:val="both"/>
        <w:rPr>
          <w:rFonts w:ascii="Palatino Linotype" w:hAnsi="Palatino Linotype" w:cs="Arial"/>
          <w:bCs/>
          <w:lang w:eastAsia="es-ES"/>
        </w:rPr>
      </w:pPr>
    </w:p>
    <w:p w14:paraId="1086A2FC" w14:textId="51EED155" w:rsidR="00C1130F" w:rsidRDefault="00C1130F" w:rsidP="00C1130F">
      <w:pPr>
        <w:spacing w:before="100" w:beforeAutospacing="1" w:after="100" w:afterAutospacing="1" w:line="360" w:lineRule="auto"/>
        <w:ind w:right="49"/>
        <w:contextualSpacing/>
        <w:jc w:val="both"/>
        <w:rPr>
          <w:rFonts w:ascii="Palatino Linotype" w:hAnsi="Palatino Linotype" w:cs="Arial"/>
          <w:bCs/>
          <w:lang w:eastAsia="es-ES"/>
        </w:rPr>
      </w:pPr>
      <w:r>
        <w:rPr>
          <w:rFonts w:ascii="Palatino Linotype" w:hAnsi="Palatino Linotype" w:cs="Arial"/>
          <w:bCs/>
          <w:lang w:eastAsia="es-ES"/>
        </w:rPr>
        <w:t xml:space="preserve">En cuanto a las evaluaciones cabe señalar que los Lineamientos CCCEWDO/L1/002/2011, para la Planeación, Programación y Reprogramación de las Evaluaciones Realizadas por el Centro de Control de Confianza del Estado de México en sus artículos cuarto, quinto, incisos b) y c), párrafo primero y séptimo, disponen que los integrantes de las Instituciones de Seguridad Pública y Privada deberán presentar y aprobar el proceso de evaluación de control de confianza que constará de los exámenes psicológico, poligráfico, médico, toxicológico y de análisis socioeconómico, dicho proceso de evaluación tendrá por objeto comprobar que los integrantes de las instituciones de seguridad pública y privada cumplan con los principios de certeza, legalidad, objetividad, imparcialidad, eficacia, eficiencia, profesionalismo, honradez, lealtad, disciplina y respeto a los derechos humanos pero para que ello ocurra, el titular de la institución de seguridad pública o privada, deberá cubrir un monto por concepto de pago de derechos por los servicios que presta el Centro de Control de Confianza del Estado de México, además de solicitar mediante oficio a la instancia en referencia, la evaluación de los elementos adscritos a la dependencia; así como de los aspirantes a ingresar a la misma. </w:t>
      </w:r>
    </w:p>
    <w:p w14:paraId="5833AFDF" w14:textId="77777777" w:rsidR="00C1130F" w:rsidRDefault="00C1130F" w:rsidP="00C1130F">
      <w:pPr>
        <w:spacing w:before="100" w:beforeAutospacing="1" w:after="100" w:afterAutospacing="1" w:line="360" w:lineRule="auto"/>
        <w:ind w:right="49"/>
        <w:contextualSpacing/>
        <w:jc w:val="both"/>
        <w:rPr>
          <w:rFonts w:ascii="Palatino Linotype" w:hAnsi="Palatino Linotype" w:cs="Arial"/>
          <w:bCs/>
          <w:lang w:eastAsia="es-ES"/>
        </w:rPr>
      </w:pPr>
    </w:p>
    <w:p w14:paraId="51E1831E" w14:textId="1BD5D9F2" w:rsidR="00C1130F" w:rsidRDefault="005E2BB9" w:rsidP="00C1130F">
      <w:pPr>
        <w:spacing w:before="100" w:beforeAutospacing="1" w:after="100" w:afterAutospacing="1" w:line="360" w:lineRule="auto"/>
        <w:ind w:right="49"/>
        <w:contextualSpacing/>
        <w:jc w:val="both"/>
        <w:rPr>
          <w:rFonts w:ascii="Palatino Linotype" w:hAnsi="Palatino Linotype" w:cs="Arial"/>
          <w:bCs/>
          <w:lang w:eastAsia="es-ES"/>
        </w:rPr>
      </w:pPr>
      <w:r>
        <w:rPr>
          <w:rFonts w:ascii="Palatino Linotype" w:hAnsi="Palatino Linotype" w:cs="Arial"/>
          <w:bCs/>
          <w:lang w:eastAsia="es-ES"/>
        </w:rPr>
        <w:lastRenderedPageBreak/>
        <w:t xml:space="preserve">Ahora bien, los citados lineamientos también disponen que una vez que el enlace ha complementado y entregado al Centro de Control de Confianza de México, la documentación señalada en el artículo quinto, inciso c, el personal de Programación y Planeación del Centro de Control de Confianza del Estado de México procederá a realizar la programación de las evaluaciones, mismas que serán notificadas a dicho enlace. </w:t>
      </w:r>
    </w:p>
    <w:p w14:paraId="47C3833E" w14:textId="3C44FE7B" w:rsidR="005E2BB9" w:rsidRDefault="005E2BB9" w:rsidP="00C1130F">
      <w:pPr>
        <w:spacing w:before="100" w:beforeAutospacing="1" w:after="100" w:afterAutospacing="1" w:line="360" w:lineRule="auto"/>
        <w:ind w:right="49"/>
        <w:contextualSpacing/>
        <w:jc w:val="both"/>
        <w:rPr>
          <w:rFonts w:ascii="Palatino Linotype" w:hAnsi="Palatino Linotype" w:cs="Arial"/>
          <w:bCs/>
          <w:lang w:eastAsia="es-ES"/>
        </w:rPr>
      </w:pPr>
      <w:r>
        <w:rPr>
          <w:rFonts w:ascii="Palatino Linotype" w:hAnsi="Palatino Linotype" w:cs="Arial"/>
          <w:bCs/>
          <w:lang w:eastAsia="es-ES"/>
        </w:rPr>
        <w:t xml:space="preserve">Por otra parte, la Unidad de Evaluación del Centro de Control de Confianza del Estado de México es el área encargada de emitir los resultados finales derivados de los procesos de las evaluaciones de control de confianza a los elementos de seguridad pública y de nuevo ingreso, de conformidad con los criterios y lineamientos vigentes y enviarlos a la instancia respectiva para su conocimiento y atención; de acuerdo a lo establecido en el Capítulo Tercero, apartado VII del Manual General de Organización del Centro de Control de Confianza que como funciones de la Unidad de Evaluación señala: </w:t>
      </w:r>
    </w:p>
    <w:p w14:paraId="6A641065" w14:textId="3DE3866E" w:rsidR="005E2BB9" w:rsidRPr="00C1130F" w:rsidRDefault="005E2BB9" w:rsidP="00C1130F">
      <w:pPr>
        <w:spacing w:before="100" w:beforeAutospacing="1" w:after="100" w:afterAutospacing="1" w:line="360" w:lineRule="auto"/>
        <w:ind w:right="49"/>
        <w:contextualSpacing/>
        <w:jc w:val="both"/>
        <w:rPr>
          <w:rFonts w:ascii="Palatino Linotype" w:hAnsi="Palatino Linotype" w:cs="Arial"/>
          <w:bCs/>
          <w:lang w:eastAsia="es-ES"/>
        </w:rPr>
      </w:pPr>
      <w:r>
        <w:rPr>
          <w:rFonts w:ascii="Palatino Linotype" w:hAnsi="Palatino Linotype" w:cs="Arial"/>
          <w:bCs/>
          <w:noProof/>
        </w:rPr>
        <w:drawing>
          <wp:anchor distT="0" distB="0" distL="114300" distR="114300" simplePos="0" relativeHeight="251661312" behindDoc="0" locked="0" layoutInCell="1" allowOverlap="1" wp14:anchorId="1859E847" wp14:editId="7C19C8C9">
            <wp:simplePos x="0" y="0"/>
            <wp:positionH relativeFrom="margin">
              <wp:align>right</wp:align>
            </wp:positionH>
            <wp:positionV relativeFrom="paragraph">
              <wp:posOffset>260350</wp:posOffset>
            </wp:positionV>
            <wp:extent cx="5887085" cy="809625"/>
            <wp:effectExtent l="0" t="0" r="0" b="9525"/>
            <wp:wrapTopAndBottom/>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87085" cy="8096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Palatino Linotype" w:hAnsi="Palatino Linotype" w:cs="Arial"/>
          <w:bCs/>
          <w:lang w:eastAsia="es-ES"/>
        </w:rPr>
        <w:t xml:space="preserve"> </w:t>
      </w:r>
    </w:p>
    <w:p w14:paraId="53B7D5E0" w14:textId="2DA519A1" w:rsidR="001A0EB2" w:rsidRPr="001A0EB2" w:rsidRDefault="00170B7B" w:rsidP="001A0EB2">
      <w:pPr>
        <w:spacing w:before="100" w:beforeAutospacing="1" w:after="100" w:afterAutospacing="1"/>
        <w:ind w:right="900"/>
        <w:contextualSpacing/>
        <w:jc w:val="both"/>
        <w:rPr>
          <w:rFonts w:ascii="Palatino Linotype" w:hAnsi="Palatino Linotype" w:cs="Arial"/>
          <w:bCs/>
          <w:lang w:eastAsia="es-ES"/>
        </w:rPr>
      </w:pPr>
      <w:r>
        <w:rPr>
          <w:rFonts w:ascii="Palatino Linotype" w:hAnsi="Palatino Linotype" w:cs="Arial"/>
          <w:bCs/>
          <w:noProof/>
        </w:rPr>
        <mc:AlternateContent>
          <mc:Choice Requires="wps">
            <w:drawing>
              <wp:anchor distT="0" distB="0" distL="114300" distR="114300" simplePos="0" relativeHeight="251664384" behindDoc="0" locked="0" layoutInCell="1" allowOverlap="1" wp14:anchorId="31D51433" wp14:editId="4CFE917D">
                <wp:simplePos x="0" y="0"/>
                <wp:positionH relativeFrom="column">
                  <wp:posOffset>358140</wp:posOffset>
                </wp:positionH>
                <wp:positionV relativeFrom="paragraph">
                  <wp:posOffset>894715</wp:posOffset>
                </wp:positionV>
                <wp:extent cx="5086350" cy="2933700"/>
                <wp:effectExtent l="0" t="0" r="19050" b="19050"/>
                <wp:wrapNone/>
                <wp:docPr id="10" name="Conector recto 10"/>
                <wp:cNvGraphicFramePr/>
                <a:graphic xmlns:a="http://schemas.openxmlformats.org/drawingml/2006/main">
                  <a:graphicData uri="http://schemas.microsoft.com/office/word/2010/wordprocessingShape">
                    <wps:wsp>
                      <wps:cNvCnPr/>
                      <wps:spPr>
                        <a:xfrm flipH="1">
                          <a:off x="0" y="0"/>
                          <a:ext cx="5086350" cy="29337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AEC9828" id="Conector recto 10" o:spid="_x0000_s1026" style="position:absolute;flip:x;z-index:251664384;visibility:visible;mso-wrap-style:square;mso-wrap-distance-left:9pt;mso-wrap-distance-top:0;mso-wrap-distance-right:9pt;mso-wrap-distance-bottom:0;mso-position-horizontal:absolute;mso-position-horizontal-relative:text;mso-position-vertical:absolute;mso-position-vertical-relative:text" from="28.2pt,70.45pt" to="428.7pt,30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" strokecolor="black [3040]"/>
            </w:pict>
          </mc:Fallback>
        </mc:AlternateContent>
      </w:r>
    </w:p>
    <w:p w14:paraId="229ADD6F" w14:textId="77777777" w:rsidR="005E2BB9" w:rsidRDefault="005E2BB9" w:rsidP="00E33662">
      <w:pPr>
        <w:spacing w:before="100" w:beforeAutospacing="1" w:after="100" w:afterAutospacing="1" w:line="360" w:lineRule="auto"/>
        <w:contextualSpacing/>
        <w:jc w:val="both"/>
        <w:rPr>
          <w:rFonts w:ascii="Palatino Linotype" w:hAnsi="Palatino Linotype" w:cs="Arial"/>
          <w:b/>
          <w:bCs/>
          <w:lang w:eastAsia="es-ES"/>
        </w:rPr>
      </w:pPr>
    </w:p>
    <w:p w14:paraId="2A2DACE3" w14:textId="77777777" w:rsidR="005E2BB9" w:rsidRDefault="005E2BB9" w:rsidP="00E33662">
      <w:pPr>
        <w:spacing w:before="100" w:beforeAutospacing="1" w:after="100" w:afterAutospacing="1" w:line="360" w:lineRule="auto"/>
        <w:contextualSpacing/>
        <w:jc w:val="both"/>
        <w:rPr>
          <w:rFonts w:ascii="Palatino Linotype" w:hAnsi="Palatino Linotype" w:cs="Arial"/>
          <w:b/>
          <w:bCs/>
          <w:lang w:eastAsia="es-ES"/>
        </w:rPr>
      </w:pPr>
    </w:p>
    <w:p w14:paraId="16154C62" w14:textId="77777777" w:rsidR="005E2BB9" w:rsidRDefault="005E2BB9" w:rsidP="00E33662">
      <w:pPr>
        <w:spacing w:before="100" w:beforeAutospacing="1" w:after="100" w:afterAutospacing="1" w:line="360" w:lineRule="auto"/>
        <w:contextualSpacing/>
        <w:jc w:val="both"/>
        <w:rPr>
          <w:rFonts w:ascii="Palatino Linotype" w:hAnsi="Palatino Linotype" w:cs="Arial"/>
          <w:b/>
          <w:bCs/>
          <w:lang w:eastAsia="es-ES"/>
        </w:rPr>
      </w:pPr>
    </w:p>
    <w:p w14:paraId="7D9EC29F" w14:textId="77777777" w:rsidR="005E2BB9" w:rsidRDefault="005E2BB9" w:rsidP="00E33662">
      <w:pPr>
        <w:spacing w:before="100" w:beforeAutospacing="1" w:after="100" w:afterAutospacing="1" w:line="360" w:lineRule="auto"/>
        <w:contextualSpacing/>
        <w:jc w:val="both"/>
        <w:rPr>
          <w:rFonts w:ascii="Palatino Linotype" w:hAnsi="Palatino Linotype" w:cs="Arial"/>
          <w:b/>
          <w:bCs/>
          <w:lang w:eastAsia="es-ES"/>
        </w:rPr>
      </w:pPr>
    </w:p>
    <w:p w14:paraId="4E9D4C77" w14:textId="77777777" w:rsidR="005E2BB9" w:rsidRDefault="005E2BB9" w:rsidP="00E33662">
      <w:pPr>
        <w:spacing w:before="100" w:beforeAutospacing="1" w:after="100" w:afterAutospacing="1" w:line="360" w:lineRule="auto"/>
        <w:contextualSpacing/>
        <w:jc w:val="both"/>
        <w:rPr>
          <w:rFonts w:ascii="Palatino Linotype" w:hAnsi="Palatino Linotype" w:cs="Arial"/>
          <w:b/>
          <w:bCs/>
          <w:lang w:eastAsia="es-ES"/>
        </w:rPr>
      </w:pPr>
    </w:p>
    <w:p w14:paraId="038B5111" w14:textId="77777777" w:rsidR="005E2BB9" w:rsidRDefault="005E2BB9" w:rsidP="00E33662">
      <w:pPr>
        <w:spacing w:before="100" w:beforeAutospacing="1" w:after="100" w:afterAutospacing="1" w:line="360" w:lineRule="auto"/>
        <w:contextualSpacing/>
        <w:jc w:val="both"/>
        <w:rPr>
          <w:rFonts w:ascii="Palatino Linotype" w:hAnsi="Palatino Linotype" w:cs="Arial"/>
          <w:b/>
          <w:bCs/>
          <w:lang w:eastAsia="es-ES"/>
        </w:rPr>
      </w:pPr>
    </w:p>
    <w:p w14:paraId="12B1B8DE" w14:textId="77777777" w:rsidR="005E2BB9" w:rsidRDefault="005E2BB9" w:rsidP="00E33662">
      <w:pPr>
        <w:spacing w:before="100" w:beforeAutospacing="1" w:after="100" w:afterAutospacing="1" w:line="360" w:lineRule="auto"/>
        <w:contextualSpacing/>
        <w:jc w:val="both"/>
        <w:rPr>
          <w:rFonts w:ascii="Palatino Linotype" w:hAnsi="Palatino Linotype" w:cs="Arial"/>
          <w:b/>
          <w:bCs/>
          <w:lang w:eastAsia="es-ES"/>
        </w:rPr>
      </w:pPr>
    </w:p>
    <w:p w14:paraId="470DDF42" w14:textId="77777777" w:rsidR="005E2BB9" w:rsidRDefault="005E2BB9" w:rsidP="00E33662">
      <w:pPr>
        <w:spacing w:before="100" w:beforeAutospacing="1" w:after="100" w:afterAutospacing="1" w:line="360" w:lineRule="auto"/>
        <w:contextualSpacing/>
        <w:jc w:val="both"/>
        <w:rPr>
          <w:rFonts w:ascii="Palatino Linotype" w:hAnsi="Palatino Linotype" w:cs="Arial"/>
          <w:b/>
          <w:bCs/>
          <w:lang w:eastAsia="es-ES"/>
        </w:rPr>
      </w:pPr>
    </w:p>
    <w:p w14:paraId="7A3AD32B" w14:textId="1F36EAD1" w:rsidR="005E2BB9" w:rsidRDefault="005E2BB9" w:rsidP="00E33662">
      <w:pPr>
        <w:spacing w:before="100" w:beforeAutospacing="1" w:after="100" w:afterAutospacing="1" w:line="360" w:lineRule="auto"/>
        <w:contextualSpacing/>
        <w:jc w:val="both"/>
        <w:rPr>
          <w:rFonts w:ascii="Palatino Linotype" w:hAnsi="Palatino Linotype" w:cs="Arial"/>
          <w:b/>
          <w:bCs/>
          <w:lang w:eastAsia="es-ES"/>
        </w:rPr>
      </w:pPr>
      <w:r>
        <w:rPr>
          <w:rFonts w:ascii="Palatino Linotype" w:hAnsi="Palatino Linotype" w:cs="Arial"/>
          <w:b/>
          <w:bCs/>
          <w:noProof/>
        </w:rPr>
        <mc:AlternateContent>
          <mc:Choice Requires="wps">
            <w:drawing>
              <wp:anchor distT="0" distB="0" distL="114300" distR="114300" simplePos="0" relativeHeight="251663360" behindDoc="0" locked="0" layoutInCell="1" allowOverlap="1" wp14:anchorId="18DB0515" wp14:editId="2B32ADE4">
                <wp:simplePos x="0" y="0"/>
                <wp:positionH relativeFrom="column">
                  <wp:posOffset>-508635</wp:posOffset>
                </wp:positionH>
                <wp:positionV relativeFrom="paragraph">
                  <wp:posOffset>2694305</wp:posOffset>
                </wp:positionV>
                <wp:extent cx="6124575" cy="323850"/>
                <wp:effectExtent l="57150" t="38100" r="85725" b="95250"/>
                <wp:wrapNone/>
                <wp:docPr id="9" name="Rectángulo 9"/>
                <wp:cNvGraphicFramePr/>
                <a:graphic xmlns:a="http://schemas.openxmlformats.org/drawingml/2006/main">
                  <a:graphicData uri="http://schemas.microsoft.com/office/word/2010/wordprocessingShape">
                    <wps:wsp>
                      <wps:cNvSpPr/>
                      <wps:spPr>
                        <a:xfrm>
                          <a:off x="0" y="0"/>
                          <a:ext cx="6124575" cy="323850"/>
                        </a:xfrm>
                        <a:prstGeom prst="rect">
                          <a:avLst/>
                        </a:prstGeom>
                        <a:noFill/>
                        <a:ln w="28575">
                          <a:solidFill>
                            <a:srgbClr val="00206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A7A0B57" id="Rectángulo 9" o:spid="_x0000_s1026" style="position:absolute;margin-left:-40.05pt;margin-top:212.15pt;width:482.25pt;height:25.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" filled="f" strokecolor="#002060" strokeweight="2.25pt">
                <v:shadow on="t" color="black" opacity="22937f" origin=",.5" offset="0,.63889mm"/>
              </v:rect>
            </w:pict>
          </mc:Fallback>
        </mc:AlternateContent>
      </w:r>
      <w:r>
        <w:rPr>
          <w:rFonts w:ascii="Palatino Linotype" w:hAnsi="Palatino Linotype" w:cs="Arial"/>
          <w:b/>
          <w:bCs/>
          <w:noProof/>
        </w:rPr>
        <w:drawing>
          <wp:anchor distT="0" distB="0" distL="114300" distR="114300" simplePos="0" relativeHeight="251662336" behindDoc="0" locked="0" layoutInCell="1" allowOverlap="1" wp14:anchorId="4033F5B1" wp14:editId="48B02BB5">
            <wp:simplePos x="0" y="0"/>
            <wp:positionH relativeFrom="column">
              <wp:posOffset>-603885</wp:posOffset>
            </wp:positionH>
            <wp:positionV relativeFrom="paragraph">
              <wp:posOffset>0</wp:posOffset>
            </wp:positionV>
            <wp:extent cx="6285579" cy="3238500"/>
            <wp:effectExtent l="0" t="0" r="1270" b="0"/>
            <wp:wrapTopAndBottom/>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85579" cy="3238500"/>
                    </a:xfrm>
                    <a:prstGeom prst="rect">
                      <a:avLst/>
                    </a:prstGeom>
                    <a:noFill/>
                  </pic:spPr>
                </pic:pic>
              </a:graphicData>
            </a:graphic>
            <wp14:sizeRelH relativeFrom="page">
              <wp14:pctWidth>0</wp14:pctWidth>
            </wp14:sizeRelH>
            <wp14:sizeRelV relativeFrom="page">
              <wp14:pctHeight>0</wp14:pctHeight>
            </wp14:sizeRelV>
          </wp:anchor>
        </w:drawing>
      </w:r>
    </w:p>
    <w:p w14:paraId="3DC423EA" w14:textId="3E063989" w:rsidR="005E2BB9" w:rsidRDefault="00246BA0" w:rsidP="00E33662">
      <w:pPr>
        <w:spacing w:before="100" w:beforeAutospacing="1" w:after="100" w:afterAutospacing="1" w:line="360" w:lineRule="auto"/>
        <w:contextualSpacing/>
        <w:jc w:val="both"/>
        <w:rPr>
          <w:rFonts w:ascii="Palatino Linotype" w:hAnsi="Palatino Linotype" w:cs="Arial"/>
          <w:bCs/>
          <w:lang w:eastAsia="es-ES"/>
        </w:rPr>
      </w:pPr>
      <w:r w:rsidRPr="00246BA0">
        <w:rPr>
          <w:rFonts w:ascii="Palatino Linotype" w:hAnsi="Palatino Linotype" w:cs="Arial"/>
          <w:bCs/>
          <w:lang w:eastAsia="es-ES"/>
        </w:rPr>
        <w:t xml:space="preserve">Atento a lo anterior, </w:t>
      </w:r>
      <w:r>
        <w:rPr>
          <w:rFonts w:ascii="Palatino Linotype" w:hAnsi="Palatino Linotype" w:cs="Arial"/>
          <w:bCs/>
          <w:lang w:eastAsia="es-ES"/>
        </w:rPr>
        <w:t xml:space="preserve">se colige que el Centro de Control de Confianza, una vez que practica las evaluaciones tanto en el proceso de selección de aspirantes o para la permanencia en instituciones de seguridad pública, remite el resultado de las evaluaciones a las autoridades correspondientes. </w:t>
      </w:r>
    </w:p>
    <w:p w14:paraId="1B4B97AB" w14:textId="77777777" w:rsidR="00246BA0" w:rsidRDefault="00246BA0" w:rsidP="00E33662">
      <w:pPr>
        <w:spacing w:before="100" w:beforeAutospacing="1" w:after="100" w:afterAutospacing="1" w:line="360" w:lineRule="auto"/>
        <w:contextualSpacing/>
        <w:jc w:val="both"/>
        <w:rPr>
          <w:rFonts w:ascii="Palatino Linotype" w:hAnsi="Palatino Linotype" w:cs="Arial"/>
          <w:bCs/>
          <w:lang w:eastAsia="es-ES"/>
        </w:rPr>
      </w:pPr>
    </w:p>
    <w:p w14:paraId="04753BBB" w14:textId="77777777" w:rsidR="00246BA0" w:rsidRDefault="00246BA0" w:rsidP="00E33662">
      <w:pPr>
        <w:spacing w:before="100" w:beforeAutospacing="1" w:after="100" w:afterAutospacing="1" w:line="360" w:lineRule="auto"/>
        <w:contextualSpacing/>
        <w:jc w:val="both"/>
        <w:rPr>
          <w:rFonts w:ascii="Palatino Linotype" w:hAnsi="Palatino Linotype" w:cs="Arial"/>
          <w:bCs/>
          <w:lang w:eastAsia="es-ES"/>
        </w:rPr>
      </w:pPr>
      <w:r>
        <w:rPr>
          <w:rFonts w:ascii="Palatino Linotype" w:hAnsi="Palatino Linotype" w:cs="Arial"/>
          <w:bCs/>
          <w:lang w:eastAsia="es-ES"/>
        </w:rPr>
        <w:t xml:space="preserve">También es de señalar que el artículo 108 fracciones IX y X de la Ley General del Sistema Nacional de Seguridad Pública establece lo siguiente: </w:t>
      </w:r>
    </w:p>
    <w:p w14:paraId="0FDA2260" w14:textId="208135D3" w:rsidR="00246BA0" w:rsidRPr="00246BA0" w:rsidRDefault="00246BA0" w:rsidP="00E33662">
      <w:pPr>
        <w:spacing w:before="100" w:beforeAutospacing="1" w:after="100" w:afterAutospacing="1" w:line="360" w:lineRule="auto"/>
        <w:contextualSpacing/>
        <w:jc w:val="both"/>
        <w:rPr>
          <w:rFonts w:ascii="Palatino Linotype" w:hAnsi="Palatino Linotype" w:cs="Arial"/>
          <w:bCs/>
          <w:lang w:eastAsia="es-ES"/>
        </w:rPr>
      </w:pPr>
      <w:r>
        <w:rPr>
          <w:rFonts w:ascii="Palatino Linotype" w:hAnsi="Palatino Linotype" w:cs="Arial"/>
          <w:bCs/>
          <w:lang w:eastAsia="es-ES"/>
        </w:rPr>
        <w:t xml:space="preserve"> </w:t>
      </w:r>
    </w:p>
    <w:p w14:paraId="28A29543" w14:textId="69507150" w:rsidR="005E2BB9" w:rsidRPr="00246BA0" w:rsidRDefault="00246BA0" w:rsidP="00246BA0">
      <w:pPr>
        <w:spacing w:before="100" w:beforeAutospacing="1" w:after="100" w:afterAutospacing="1"/>
        <w:ind w:left="567" w:right="900"/>
        <w:contextualSpacing/>
        <w:jc w:val="both"/>
        <w:rPr>
          <w:rFonts w:ascii="Palatino Linotype" w:hAnsi="Palatino Linotype" w:cs="Arial"/>
          <w:bCs/>
          <w:i/>
          <w:sz w:val="22"/>
          <w:lang w:eastAsia="es-ES"/>
        </w:rPr>
      </w:pPr>
      <w:r>
        <w:rPr>
          <w:rFonts w:ascii="Palatino Linotype" w:hAnsi="Palatino Linotype" w:cs="Arial"/>
          <w:bCs/>
          <w:i/>
          <w:sz w:val="22"/>
          <w:lang w:eastAsia="es-ES"/>
        </w:rPr>
        <w:t>“</w:t>
      </w:r>
      <w:r w:rsidRPr="00246BA0">
        <w:rPr>
          <w:rFonts w:ascii="Palatino Linotype" w:hAnsi="Palatino Linotype" w:cs="Arial"/>
          <w:bCs/>
          <w:i/>
          <w:sz w:val="22"/>
          <w:lang w:eastAsia="es-ES"/>
        </w:rPr>
        <w:t>Artículo 108.- Los Centros Nacional de Acreditación y Control de Confianza aplicarán las evaluaciones a que se refiere esta Ley, tanto en los procesos de selección de aspirantes, como en la evaluación para la permanencia, el desarrollo y la promoción de los Integrantes de las Instituciones de Seguridad Pública; para tal efecto, tendrán las siguientes facultades:</w:t>
      </w:r>
    </w:p>
    <w:p w14:paraId="5D1F2278" w14:textId="6176CE41" w:rsidR="00246BA0" w:rsidRPr="00246BA0" w:rsidRDefault="00246BA0" w:rsidP="00246BA0">
      <w:pPr>
        <w:spacing w:before="100" w:beforeAutospacing="1" w:after="100" w:afterAutospacing="1"/>
        <w:ind w:left="567" w:right="900"/>
        <w:contextualSpacing/>
        <w:jc w:val="both"/>
        <w:rPr>
          <w:rFonts w:ascii="Palatino Linotype" w:hAnsi="Palatino Linotype" w:cs="Arial"/>
          <w:bCs/>
          <w:i/>
          <w:sz w:val="22"/>
          <w:lang w:eastAsia="es-ES"/>
        </w:rPr>
      </w:pPr>
      <w:r w:rsidRPr="00246BA0">
        <w:rPr>
          <w:rFonts w:ascii="Palatino Linotype" w:hAnsi="Palatino Linotype" w:cs="Arial"/>
          <w:bCs/>
          <w:i/>
          <w:sz w:val="22"/>
          <w:lang w:eastAsia="es-ES"/>
        </w:rPr>
        <w:lastRenderedPageBreak/>
        <w:t>…</w:t>
      </w:r>
    </w:p>
    <w:p w14:paraId="51FE7DC0" w14:textId="77777777" w:rsidR="00246BA0" w:rsidRPr="00246BA0" w:rsidRDefault="00246BA0" w:rsidP="00246BA0">
      <w:pPr>
        <w:spacing w:before="100" w:beforeAutospacing="1" w:after="100" w:afterAutospacing="1"/>
        <w:ind w:left="567" w:right="900"/>
        <w:contextualSpacing/>
        <w:jc w:val="both"/>
        <w:rPr>
          <w:rFonts w:ascii="Palatino Linotype" w:hAnsi="Palatino Linotype" w:cs="Arial"/>
          <w:bCs/>
          <w:i/>
          <w:sz w:val="22"/>
          <w:lang w:eastAsia="es-ES"/>
        </w:rPr>
      </w:pPr>
      <w:r w:rsidRPr="00246BA0">
        <w:rPr>
          <w:rFonts w:ascii="Palatino Linotype" w:hAnsi="Palatino Linotype" w:cs="Arial"/>
          <w:bCs/>
          <w:i/>
          <w:sz w:val="22"/>
          <w:lang w:eastAsia="es-ES"/>
        </w:rPr>
        <w:t xml:space="preserve">IX. Informar a las autoridades competentes, sobre los resultados de las evaluaciones que practiquen; </w:t>
      </w:r>
    </w:p>
    <w:p w14:paraId="25D37446" w14:textId="2B2B133B" w:rsidR="00246BA0" w:rsidRPr="00246BA0" w:rsidRDefault="00246BA0" w:rsidP="00246BA0">
      <w:pPr>
        <w:spacing w:before="100" w:beforeAutospacing="1" w:after="100" w:afterAutospacing="1"/>
        <w:ind w:left="567" w:right="900"/>
        <w:contextualSpacing/>
        <w:jc w:val="both"/>
        <w:rPr>
          <w:rFonts w:ascii="Palatino Linotype" w:hAnsi="Palatino Linotype" w:cs="Arial"/>
          <w:bCs/>
          <w:i/>
          <w:sz w:val="22"/>
          <w:lang w:eastAsia="es-ES"/>
        </w:rPr>
      </w:pPr>
      <w:r w:rsidRPr="00246BA0">
        <w:rPr>
          <w:rFonts w:ascii="Palatino Linotype" w:hAnsi="Palatino Linotype" w:cs="Arial"/>
          <w:bCs/>
          <w:i/>
          <w:sz w:val="22"/>
          <w:lang w:eastAsia="es-ES"/>
        </w:rPr>
        <w:t>X. Solicitar se efectúe el seguimiento individual de los Integrantes de las Instituciones de Seguridad Pública evaluados, en los que se identifiquen factores de riesgo que interfieran o pongan en riesgo el desempeño de sus funciones;</w:t>
      </w:r>
    </w:p>
    <w:p w14:paraId="354E57D5" w14:textId="75E35F77" w:rsidR="005E2BB9" w:rsidRDefault="005E2BB9" w:rsidP="00E33662">
      <w:pPr>
        <w:spacing w:before="100" w:beforeAutospacing="1" w:after="100" w:afterAutospacing="1" w:line="360" w:lineRule="auto"/>
        <w:contextualSpacing/>
        <w:jc w:val="both"/>
        <w:rPr>
          <w:rFonts w:ascii="Palatino Linotype" w:hAnsi="Palatino Linotype" w:cs="Arial"/>
          <w:b/>
          <w:bCs/>
          <w:lang w:eastAsia="es-ES"/>
        </w:rPr>
      </w:pPr>
    </w:p>
    <w:p w14:paraId="30449C78" w14:textId="7A61310B" w:rsidR="00246BA0" w:rsidRDefault="00246BA0" w:rsidP="00E33662">
      <w:pPr>
        <w:spacing w:before="100" w:beforeAutospacing="1" w:after="100" w:afterAutospacing="1" w:line="360" w:lineRule="auto"/>
        <w:contextualSpacing/>
        <w:jc w:val="both"/>
        <w:rPr>
          <w:rFonts w:ascii="Palatino Linotype" w:hAnsi="Palatino Linotype" w:cs="Arial"/>
          <w:bCs/>
          <w:lang w:eastAsia="es-ES"/>
        </w:rPr>
      </w:pPr>
      <w:r w:rsidRPr="00246BA0">
        <w:rPr>
          <w:rFonts w:ascii="Palatino Linotype" w:hAnsi="Palatino Linotype" w:cs="Arial"/>
          <w:bCs/>
          <w:lang w:eastAsia="es-ES"/>
        </w:rPr>
        <w:t xml:space="preserve">Es importante destacar que </w:t>
      </w:r>
      <w:r>
        <w:rPr>
          <w:rFonts w:ascii="Palatino Linotype" w:hAnsi="Palatino Linotype" w:cs="Arial"/>
          <w:bCs/>
          <w:lang w:eastAsia="es-ES"/>
        </w:rPr>
        <w:t xml:space="preserve">la Ley de Seguridad del Estado de México en su artículo 58 Bis precisa que los ayuntamientos deberán considerar en su estructura orgánica </w:t>
      </w:r>
      <w:r w:rsidR="00CA4D4A">
        <w:rPr>
          <w:rFonts w:ascii="Palatino Linotype" w:hAnsi="Palatino Linotype" w:cs="Arial"/>
          <w:bCs/>
          <w:lang w:eastAsia="es-ES"/>
        </w:rPr>
        <w:t xml:space="preserve">una unidad administrativa denominada Secretaría Técnica del </w:t>
      </w:r>
      <w:r w:rsidR="00283F75">
        <w:rPr>
          <w:rFonts w:ascii="Palatino Linotype" w:hAnsi="Palatino Linotype" w:cs="Arial"/>
          <w:bCs/>
          <w:lang w:eastAsia="es-ES"/>
        </w:rPr>
        <w:t xml:space="preserve">Consejo Municipal de Seguridad Pública, cuyo o cuya titular será a propuesta del Presidente Municipal y aprobado en sesión de cabildo el o la cual tendrá facultades y atribuciones previstas por la legislación en análisis. </w:t>
      </w:r>
    </w:p>
    <w:p w14:paraId="0CD1B8E6" w14:textId="77777777" w:rsidR="00283F75" w:rsidRDefault="00283F75" w:rsidP="00283F75">
      <w:pPr>
        <w:spacing w:before="100" w:beforeAutospacing="1" w:after="100" w:afterAutospacing="1" w:line="360" w:lineRule="auto"/>
        <w:contextualSpacing/>
        <w:jc w:val="both"/>
        <w:rPr>
          <w:rFonts w:ascii="Palatino Linotype" w:hAnsi="Palatino Linotype" w:cs="Arial"/>
          <w:bCs/>
          <w:lang w:eastAsia="es-ES"/>
        </w:rPr>
      </w:pPr>
      <w:r>
        <w:rPr>
          <w:rFonts w:ascii="Palatino Linotype" w:hAnsi="Palatino Linotype" w:cs="Arial"/>
          <w:bCs/>
          <w:lang w:eastAsia="es-ES"/>
        </w:rPr>
        <w:t xml:space="preserve">Por su parte, el Bando Municipal de Cuautitlán prevé en su artículo 59 una Secretaría Técnica del </w:t>
      </w:r>
      <w:r w:rsidRPr="00283F75">
        <w:rPr>
          <w:rFonts w:ascii="Palatino Linotype" w:hAnsi="Palatino Linotype" w:cs="Arial"/>
          <w:bCs/>
          <w:lang w:eastAsia="es-ES"/>
        </w:rPr>
        <w:t>Consejo Municipal de Seguridad Pública</w:t>
      </w:r>
      <w:r>
        <w:rPr>
          <w:rFonts w:ascii="Palatino Linotype" w:hAnsi="Palatino Linotype" w:cs="Arial"/>
          <w:bCs/>
          <w:lang w:eastAsia="es-ES"/>
        </w:rPr>
        <w:t xml:space="preserve">, la cual fungirá como enlace ante </w:t>
      </w:r>
      <w:r w:rsidRPr="00283F75">
        <w:rPr>
          <w:rFonts w:ascii="Palatino Linotype" w:hAnsi="Palatino Linotype" w:cs="Arial"/>
          <w:bCs/>
          <w:lang w:eastAsia="es-ES"/>
        </w:rPr>
        <w:t>las instancias federales y estatales en la materia</w:t>
      </w:r>
      <w:r>
        <w:rPr>
          <w:rFonts w:ascii="Palatino Linotype" w:hAnsi="Palatino Linotype" w:cs="Arial"/>
          <w:bCs/>
          <w:lang w:eastAsia="es-ES"/>
        </w:rPr>
        <w:t xml:space="preserve">. </w:t>
      </w:r>
    </w:p>
    <w:p w14:paraId="7ECFF4D6" w14:textId="77777777" w:rsidR="00283F75" w:rsidRDefault="00283F75" w:rsidP="00283F75">
      <w:pPr>
        <w:spacing w:before="100" w:beforeAutospacing="1" w:after="100" w:afterAutospacing="1" w:line="360" w:lineRule="auto"/>
        <w:contextualSpacing/>
        <w:jc w:val="both"/>
        <w:rPr>
          <w:rFonts w:ascii="Palatino Linotype" w:hAnsi="Palatino Linotype" w:cs="Arial"/>
          <w:bCs/>
          <w:lang w:eastAsia="es-ES"/>
        </w:rPr>
      </w:pPr>
    </w:p>
    <w:p w14:paraId="0A67FDCD" w14:textId="3FF66A97" w:rsidR="00150488" w:rsidRDefault="00283F75" w:rsidP="00283F75">
      <w:pPr>
        <w:spacing w:before="100" w:beforeAutospacing="1" w:after="100" w:afterAutospacing="1" w:line="360" w:lineRule="auto"/>
        <w:contextualSpacing/>
        <w:jc w:val="both"/>
        <w:rPr>
          <w:rFonts w:ascii="Palatino Linotype" w:hAnsi="Palatino Linotype" w:cs="Arial"/>
          <w:bCs/>
          <w:lang w:eastAsia="es-ES"/>
        </w:rPr>
      </w:pPr>
      <w:r>
        <w:rPr>
          <w:rFonts w:ascii="Palatino Linotype" w:hAnsi="Palatino Linotype" w:cs="Arial"/>
          <w:bCs/>
          <w:lang w:eastAsia="es-ES"/>
        </w:rPr>
        <w:t>Por todo lo expuesto en este punto es que esta Ponencia estime procedente ordenar la entrega del soporte documental de los resultados de la evaluación practicada por el centro de control de confianza al Director de Seguridad Pública M</w:t>
      </w:r>
      <w:r w:rsidR="003210BB">
        <w:rPr>
          <w:rFonts w:ascii="Palatino Linotype" w:hAnsi="Palatino Linotype" w:cs="Arial"/>
          <w:bCs/>
          <w:lang w:eastAsia="es-ES"/>
        </w:rPr>
        <w:t>unicipal, en versión pública.</w:t>
      </w:r>
    </w:p>
    <w:p w14:paraId="250DA937" w14:textId="77777777" w:rsidR="00C621B1" w:rsidRDefault="00C621B1" w:rsidP="00283F75">
      <w:pPr>
        <w:spacing w:before="100" w:beforeAutospacing="1" w:after="100" w:afterAutospacing="1" w:line="360" w:lineRule="auto"/>
        <w:contextualSpacing/>
        <w:jc w:val="both"/>
        <w:rPr>
          <w:rFonts w:ascii="Palatino Linotype" w:hAnsi="Palatino Linotype" w:cs="Arial"/>
          <w:bCs/>
          <w:lang w:eastAsia="es-ES"/>
        </w:rPr>
      </w:pPr>
    </w:p>
    <w:p w14:paraId="141CA6E4" w14:textId="6803434D" w:rsidR="00C621B1" w:rsidRDefault="00C621B1" w:rsidP="00E33662">
      <w:pPr>
        <w:spacing w:before="100" w:beforeAutospacing="1" w:after="100" w:afterAutospacing="1" w:line="360" w:lineRule="auto"/>
        <w:contextualSpacing/>
        <w:jc w:val="both"/>
        <w:rPr>
          <w:rFonts w:ascii="Palatino Linotype" w:hAnsi="Palatino Linotype" w:cs="Arial"/>
          <w:bCs/>
          <w:lang w:eastAsia="es-ES"/>
        </w:rPr>
      </w:pPr>
      <w:r>
        <w:rPr>
          <w:rFonts w:ascii="Palatino Linotype" w:hAnsi="Palatino Linotype" w:cs="Arial"/>
          <w:bCs/>
          <w:lang w:eastAsia="es-ES"/>
        </w:rPr>
        <w:t xml:space="preserve">Finalmente por cuanto hace a las facultades conferidas al Director de Seguridad Pública Municipal, el artículo 22 de la Ley de Seguridad del Estado de México y Municipios dispone lo siguiente: </w:t>
      </w:r>
    </w:p>
    <w:p w14:paraId="44FA7538" w14:textId="77777777" w:rsidR="00510A49" w:rsidRDefault="00510A49" w:rsidP="00805CA7">
      <w:pPr>
        <w:spacing w:before="100" w:beforeAutospacing="1" w:after="100" w:afterAutospacing="1"/>
        <w:ind w:left="567" w:right="900"/>
        <w:contextualSpacing/>
        <w:jc w:val="both"/>
        <w:rPr>
          <w:rFonts w:ascii="Palatino Linotype" w:hAnsi="Palatino Linotype" w:cs="Arial"/>
          <w:b/>
          <w:bCs/>
          <w:i/>
          <w:sz w:val="22"/>
          <w:lang w:eastAsia="es-ES"/>
        </w:rPr>
      </w:pPr>
    </w:p>
    <w:p w14:paraId="373B3726" w14:textId="387CED5B" w:rsidR="00C621B1" w:rsidRDefault="00805CA7" w:rsidP="00805CA7">
      <w:pPr>
        <w:spacing w:before="100" w:beforeAutospacing="1" w:after="100" w:afterAutospacing="1"/>
        <w:ind w:left="567" w:right="900"/>
        <w:contextualSpacing/>
        <w:jc w:val="both"/>
        <w:rPr>
          <w:rFonts w:ascii="Palatino Linotype" w:hAnsi="Palatino Linotype" w:cs="Arial"/>
          <w:bCs/>
          <w:i/>
          <w:sz w:val="22"/>
          <w:lang w:eastAsia="es-ES"/>
        </w:rPr>
      </w:pPr>
      <w:r>
        <w:rPr>
          <w:rFonts w:ascii="Palatino Linotype" w:hAnsi="Palatino Linotype" w:cs="Arial"/>
          <w:b/>
          <w:bCs/>
          <w:i/>
          <w:sz w:val="22"/>
          <w:lang w:eastAsia="es-ES"/>
        </w:rPr>
        <w:t>“</w:t>
      </w:r>
      <w:r w:rsidR="00C621B1" w:rsidRPr="00C621B1">
        <w:rPr>
          <w:rFonts w:ascii="Palatino Linotype" w:hAnsi="Palatino Linotype" w:cs="Arial"/>
          <w:b/>
          <w:bCs/>
          <w:i/>
          <w:sz w:val="22"/>
          <w:lang w:eastAsia="es-ES"/>
        </w:rPr>
        <w:t xml:space="preserve">Artículo 22.- </w:t>
      </w:r>
      <w:r w:rsidR="00C621B1" w:rsidRPr="00C621B1">
        <w:rPr>
          <w:rFonts w:ascii="Palatino Linotype" w:hAnsi="Palatino Linotype" w:cs="Arial"/>
          <w:bCs/>
          <w:i/>
          <w:sz w:val="22"/>
          <w:lang w:eastAsia="es-ES"/>
        </w:rPr>
        <w:t xml:space="preserve">Son atribuciones del Director de Seguridad Pública Municipal: </w:t>
      </w:r>
    </w:p>
    <w:p w14:paraId="576FC89F" w14:textId="77777777" w:rsidR="00510A49" w:rsidRPr="00C621B1" w:rsidRDefault="00510A49" w:rsidP="00805CA7">
      <w:pPr>
        <w:spacing w:before="100" w:beforeAutospacing="1" w:after="100" w:afterAutospacing="1"/>
        <w:ind w:left="567" w:right="900"/>
        <w:contextualSpacing/>
        <w:jc w:val="both"/>
        <w:rPr>
          <w:rFonts w:ascii="Palatino Linotype" w:hAnsi="Palatino Linotype" w:cs="Arial"/>
          <w:bCs/>
          <w:i/>
          <w:sz w:val="22"/>
          <w:lang w:eastAsia="es-ES"/>
        </w:rPr>
      </w:pPr>
    </w:p>
    <w:p w14:paraId="75BF812C" w14:textId="77777777" w:rsidR="00C621B1" w:rsidRPr="00C621B1" w:rsidRDefault="00C621B1" w:rsidP="00805CA7">
      <w:pPr>
        <w:spacing w:before="100" w:beforeAutospacing="1" w:after="100" w:afterAutospacing="1"/>
        <w:ind w:left="567" w:right="900"/>
        <w:contextualSpacing/>
        <w:jc w:val="both"/>
        <w:rPr>
          <w:rFonts w:ascii="Palatino Linotype" w:hAnsi="Palatino Linotype" w:cs="Arial"/>
          <w:bCs/>
          <w:i/>
          <w:sz w:val="22"/>
          <w:lang w:eastAsia="es-ES"/>
        </w:rPr>
      </w:pPr>
      <w:r w:rsidRPr="00C621B1">
        <w:rPr>
          <w:rFonts w:ascii="Palatino Linotype" w:hAnsi="Palatino Linotype" w:cs="Arial"/>
          <w:b/>
          <w:bCs/>
          <w:i/>
          <w:sz w:val="22"/>
          <w:lang w:eastAsia="es-ES"/>
        </w:rPr>
        <w:lastRenderedPageBreak/>
        <w:t xml:space="preserve">I. </w:t>
      </w:r>
      <w:r w:rsidRPr="00C621B1">
        <w:rPr>
          <w:rFonts w:ascii="Palatino Linotype" w:hAnsi="Palatino Linotype" w:cs="Arial"/>
          <w:bCs/>
          <w:i/>
          <w:sz w:val="22"/>
          <w:lang w:eastAsia="es-ES"/>
        </w:rPr>
        <w:t xml:space="preserve">Participar en la elaboración del Programa Municipal de Seguridad Pública y del Programa Municipal de Prevención Social de la Violencia y la Delincuencia con Participación Ciudadana; </w:t>
      </w:r>
    </w:p>
    <w:p w14:paraId="4ECB630E" w14:textId="77777777" w:rsidR="00C621B1" w:rsidRPr="00C621B1" w:rsidRDefault="00C621B1" w:rsidP="00805CA7">
      <w:pPr>
        <w:spacing w:before="100" w:beforeAutospacing="1" w:after="100" w:afterAutospacing="1"/>
        <w:ind w:left="567" w:right="900"/>
        <w:contextualSpacing/>
        <w:jc w:val="both"/>
        <w:rPr>
          <w:rFonts w:ascii="Palatino Linotype" w:hAnsi="Palatino Linotype" w:cs="Arial"/>
          <w:bCs/>
          <w:i/>
          <w:sz w:val="22"/>
          <w:lang w:eastAsia="es-ES"/>
        </w:rPr>
      </w:pPr>
      <w:r w:rsidRPr="00C621B1">
        <w:rPr>
          <w:rFonts w:ascii="Palatino Linotype" w:hAnsi="Palatino Linotype" w:cs="Arial"/>
          <w:b/>
          <w:bCs/>
          <w:i/>
          <w:sz w:val="22"/>
          <w:lang w:eastAsia="es-ES"/>
        </w:rPr>
        <w:t xml:space="preserve">II. </w:t>
      </w:r>
      <w:r w:rsidRPr="00C621B1">
        <w:rPr>
          <w:rFonts w:ascii="Palatino Linotype" w:hAnsi="Palatino Linotype" w:cs="Arial"/>
          <w:bCs/>
          <w:i/>
          <w:sz w:val="22"/>
          <w:lang w:eastAsia="es-ES"/>
        </w:rPr>
        <w:t xml:space="preserve">Organizar, operar, supervisar y controlar a los integrantes de las instituciones policiales a su cargo; </w:t>
      </w:r>
    </w:p>
    <w:p w14:paraId="6BA3E37B" w14:textId="77777777" w:rsidR="00C621B1" w:rsidRPr="00C621B1" w:rsidRDefault="00C621B1" w:rsidP="00805CA7">
      <w:pPr>
        <w:spacing w:before="100" w:beforeAutospacing="1" w:after="100" w:afterAutospacing="1"/>
        <w:ind w:left="567" w:right="900"/>
        <w:contextualSpacing/>
        <w:jc w:val="both"/>
        <w:rPr>
          <w:rFonts w:ascii="Palatino Linotype" w:hAnsi="Palatino Linotype" w:cs="Arial"/>
          <w:bCs/>
          <w:i/>
          <w:sz w:val="22"/>
          <w:lang w:eastAsia="es-ES"/>
        </w:rPr>
      </w:pPr>
      <w:r w:rsidRPr="00C621B1">
        <w:rPr>
          <w:rFonts w:ascii="Palatino Linotype" w:hAnsi="Palatino Linotype" w:cs="Arial"/>
          <w:b/>
          <w:bCs/>
          <w:i/>
          <w:sz w:val="22"/>
          <w:lang w:eastAsia="es-ES"/>
        </w:rPr>
        <w:t xml:space="preserve">III. </w:t>
      </w:r>
      <w:r w:rsidRPr="00C621B1">
        <w:rPr>
          <w:rFonts w:ascii="Palatino Linotype" w:hAnsi="Palatino Linotype" w:cs="Arial"/>
          <w:bCs/>
          <w:i/>
          <w:sz w:val="22"/>
          <w:lang w:eastAsia="es-ES"/>
        </w:rPr>
        <w:t xml:space="preserve">Aplicar las directrices que conforme a sus atribuciones expresas dicten las autoridades competentes para la prestación del servicio, coordinación, funcionamiento, normatividad técnica y disciplina de los integrantes de las instituciones policiales a su cargo; </w:t>
      </w:r>
    </w:p>
    <w:p w14:paraId="095AC5E5" w14:textId="77777777" w:rsidR="00C621B1" w:rsidRPr="00C621B1" w:rsidRDefault="00C621B1" w:rsidP="00805CA7">
      <w:pPr>
        <w:spacing w:before="100" w:beforeAutospacing="1" w:after="100" w:afterAutospacing="1"/>
        <w:ind w:left="567" w:right="900"/>
        <w:contextualSpacing/>
        <w:jc w:val="both"/>
        <w:rPr>
          <w:rFonts w:ascii="Palatino Linotype" w:hAnsi="Palatino Linotype" w:cs="Arial"/>
          <w:bCs/>
          <w:i/>
          <w:sz w:val="22"/>
          <w:lang w:eastAsia="es-ES"/>
        </w:rPr>
      </w:pPr>
      <w:r w:rsidRPr="00C621B1">
        <w:rPr>
          <w:rFonts w:ascii="Palatino Linotype" w:hAnsi="Palatino Linotype" w:cs="Arial"/>
          <w:b/>
          <w:bCs/>
          <w:i/>
          <w:sz w:val="22"/>
          <w:lang w:eastAsia="es-ES"/>
        </w:rPr>
        <w:t xml:space="preserve">IV. Proponer programas para mejorar y ampliar la cobertura del servicio de seguridad pública; </w:t>
      </w:r>
    </w:p>
    <w:p w14:paraId="7A669E5B" w14:textId="77777777" w:rsidR="00C621B1" w:rsidRPr="00C621B1" w:rsidRDefault="00C621B1" w:rsidP="00805CA7">
      <w:pPr>
        <w:spacing w:before="100" w:beforeAutospacing="1" w:after="100" w:afterAutospacing="1"/>
        <w:ind w:left="567" w:right="900"/>
        <w:contextualSpacing/>
        <w:jc w:val="both"/>
        <w:rPr>
          <w:rFonts w:ascii="Palatino Linotype" w:hAnsi="Palatino Linotype" w:cs="Arial"/>
          <w:bCs/>
          <w:i/>
          <w:sz w:val="22"/>
          <w:lang w:eastAsia="es-ES"/>
        </w:rPr>
      </w:pPr>
      <w:r w:rsidRPr="00C621B1">
        <w:rPr>
          <w:rFonts w:ascii="Palatino Linotype" w:hAnsi="Palatino Linotype" w:cs="Arial"/>
          <w:b/>
          <w:bCs/>
          <w:i/>
          <w:sz w:val="22"/>
          <w:lang w:eastAsia="es-ES"/>
        </w:rPr>
        <w:t xml:space="preserve">V. </w:t>
      </w:r>
      <w:r w:rsidRPr="00C621B1">
        <w:rPr>
          <w:rFonts w:ascii="Palatino Linotype" w:hAnsi="Palatino Linotype" w:cs="Arial"/>
          <w:bCs/>
          <w:i/>
          <w:sz w:val="22"/>
          <w:lang w:eastAsia="es-ES"/>
        </w:rPr>
        <w:t xml:space="preserve">Contar con las estadísticas delictivas y efectuar la supervisión de las acciones de seguridad pública municipal; </w:t>
      </w:r>
    </w:p>
    <w:p w14:paraId="4DD603CA" w14:textId="77777777" w:rsidR="00C621B1" w:rsidRPr="00C621B1" w:rsidRDefault="00C621B1" w:rsidP="00805CA7">
      <w:pPr>
        <w:spacing w:before="100" w:beforeAutospacing="1" w:after="100" w:afterAutospacing="1"/>
        <w:ind w:left="567" w:right="900"/>
        <w:contextualSpacing/>
        <w:jc w:val="both"/>
        <w:rPr>
          <w:rFonts w:ascii="Palatino Linotype" w:hAnsi="Palatino Linotype" w:cs="Arial"/>
          <w:bCs/>
          <w:i/>
          <w:sz w:val="22"/>
          <w:lang w:eastAsia="es-ES"/>
        </w:rPr>
      </w:pPr>
      <w:r w:rsidRPr="00C621B1">
        <w:rPr>
          <w:rFonts w:ascii="Palatino Linotype" w:hAnsi="Palatino Linotype" w:cs="Arial"/>
          <w:b/>
          <w:bCs/>
          <w:i/>
          <w:sz w:val="22"/>
          <w:lang w:eastAsia="es-ES"/>
        </w:rPr>
        <w:t xml:space="preserve">VI. </w:t>
      </w:r>
      <w:r w:rsidRPr="00C621B1">
        <w:rPr>
          <w:rFonts w:ascii="Palatino Linotype" w:hAnsi="Palatino Linotype" w:cs="Arial"/>
          <w:bCs/>
          <w:i/>
          <w:sz w:val="22"/>
          <w:lang w:eastAsia="es-ES"/>
        </w:rPr>
        <w:t xml:space="preserve">Promover la capacitación técnica y práctica de las o los integrantes de las instituciones policiales a su cargo; </w:t>
      </w:r>
    </w:p>
    <w:p w14:paraId="265C4A9B" w14:textId="77777777" w:rsidR="00C621B1" w:rsidRPr="00C621B1" w:rsidRDefault="00C621B1" w:rsidP="00805CA7">
      <w:pPr>
        <w:spacing w:before="100" w:beforeAutospacing="1" w:after="100" w:afterAutospacing="1"/>
        <w:ind w:left="567" w:right="900"/>
        <w:contextualSpacing/>
        <w:jc w:val="both"/>
        <w:rPr>
          <w:rFonts w:ascii="Palatino Linotype" w:hAnsi="Palatino Linotype" w:cs="Arial"/>
          <w:bCs/>
          <w:i/>
          <w:sz w:val="22"/>
          <w:lang w:eastAsia="es-ES"/>
        </w:rPr>
      </w:pPr>
      <w:r w:rsidRPr="00C621B1">
        <w:rPr>
          <w:rFonts w:ascii="Palatino Linotype" w:hAnsi="Palatino Linotype" w:cs="Arial"/>
          <w:b/>
          <w:bCs/>
          <w:i/>
          <w:sz w:val="22"/>
          <w:lang w:eastAsia="es-ES"/>
        </w:rPr>
        <w:t xml:space="preserve">VII. </w:t>
      </w:r>
      <w:r w:rsidRPr="00C621B1">
        <w:rPr>
          <w:rFonts w:ascii="Palatino Linotype" w:hAnsi="Palatino Linotype" w:cs="Arial"/>
          <w:bCs/>
          <w:i/>
          <w:sz w:val="22"/>
          <w:lang w:eastAsia="es-ES"/>
        </w:rPr>
        <w:t xml:space="preserve">Informar a las autoridades competentes sobre los movimientos de altas y bajas de los integrantes de las instituciones policiales a su cargo, así como de sus vehículos, armamento, municiones y equipo; </w:t>
      </w:r>
    </w:p>
    <w:p w14:paraId="3DA6D734" w14:textId="77777777" w:rsidR="00C621B1" w:rsidRPr="00C621B1" w:rsidRDefault="00C621B1" w:rsidP="00805CA7">
      <w:pPr>
        <w:spacing w:before="100" w:beforeAutospacing="1" w:after="100" w:afterAutospacing="1"/>
        <w:ind w:left="567" w:right="900"/>
        <w:contextualSpacing/>
        <w:jc w:val="both"/>
        <w:rPr>
          <w:rFonts w:ascii="Palatino Linotype" w:hAnsi="Palatino Linotype" w:cs="Arial"/>
          <w:bCs/>
          <w:i/>
          <w:sz w:val="22"/>
          <w:lang w:eastAsia="es-ES"/>
        </w:rPr>
      </w:pPr>
      <w:r w:rsidRPr="00C621B1">
        <w:rPr>
          <w:rFonts w:ascii="Palatino Linotype" w:hAnsi="Palatino Linotype" w:cs="Arial"/>
          <w:b/>
          <w:bCs/>
          <w:i/>
          <w:sz w:val="22"/>
          <w:lang w:eastAsia="es-ES"/>
        </w:rPr>
        <w:t xml:space="preserve">VIII. </w:t>
      </w:r>
      <w:r w:rsidRPr="00C621B1">
        <w:rPr>
          <w:rFonts w:ascii="Palatino Linotype" w:hAnsi="Palatino Linotype" w:cs="Arial"/>
          <w:bCs/>
          <w:i/>
          <w:sz w:val="22"/>
          <w:lang w:eastAsia="es-ES"/>
        </w:rPr>
        <w:t xml:space="preserve">Denunciar oportunamente ante las autoridades competentes el extravío o robo de armamento a su cargo para los efectos legales correspondientes; </w:t>
      </w:r>
    </w:p>
    <w:p w14:paraId="449AB6E3" w14:textId="77777777" w:rsidR="00C621B1" w:rsidRPr="00C621B1" w:rsidRDefault="00C621B1" w:rsidP="00805CA7">
      <w:pPr>
        <w:spacing w:before="100" w:beforeAutospacing="1" w:after="100" w:afterAutospacing="1"/>
        <w:ind w:left="567" w:right="900"/>
        <w:contextualSpacing/>
        <w:jc w:val="both"/>
        <w:rPr>
          <w:rFonts w:ascii="Palatino Linotype" w:hAnsi="Palatino Linotype" w:cs="Arial"/>
          <w:bCs/>
          <w:i/>
          <w:sz w:val="22"/>
          <w:lang w:eastAsia="es-ES"/>
        </w:rPr>
      </w:pPr>
      <w:r w:rsidRPr="00C621B1">
        <w:rPr>
          <w:rFonts w:ascii="Palatino Linotype" w:hAnsi="Palatino Linotype" w:cs="Arial"/>
          <w:b/>
          <w:bCs/>
          <w:i/>
          <w:sz w:val="22"/>
          <w:lang w:eastAsia="es-ES"/>
        </w:rPr>
        <w:t xml:space="preserve">IX. </w:t>
      </w:r>
      <w:r w:rsidRPr="00C621B1">
        <w:rPr>
          <w:rFonts w:ascii="Palatino Linotype" w:hAnsi="Palatino Linotype" w:cs="Arial"/>
          <w:bCs/>
          <w:i/>
          <w:sz w:val="22"/>
          <w:lang w:eastAsia="es-ES"/>
        </w:rPr>
        <w:t xml:space="preserve">Proporcionar a la Secretaría los informes que le sean solicitados; </w:t>
      </w:r>
    </w:p>
    <w:p w14:paraId="58F11A66" w14:textId="2BAA82F1" w:rsidR="00C621B1" w:rsidRPr="00C621B1" w:rsidRDefault="00C621B1" w:rsidP="00805CA7">
      <w:pPr>
        <w:spacing w:before="100" w:beforeAutospacing="1" w:after="100" w:afterAutospacing="1"/>
        <w:ind w:left="567" w:right="900"/>
        <w:contextualSpacing/>
        <w:jc w:val="both"/>
        <w:rPr>
          <w:rFonts w:ascii="Palatino Linotype" w:hAnsi="Palatino Linotype" w:cs="Arial"/>
          <w:bCs/>
          <w:i/>
          <w:sz w:val="22"/>
          <w:lang w:eastAsia="es-ES"/>
        </w:rPr>
      </w:pPr>
      <w:r w:rsidRPr="00C621B1">
        <w:rPr>
          <w:rFonts w:ascii="Palatino Linotype" w:hAnsi="Palatino Linotype" w:cs="Arial"/>
          <w:b/>
          <w:bCs/>
          <w:i/>
          <w:sz w:val="22"/>
          <w:lang w:eastAsia="es-ES"/>
        </w:rPr>
        <w:t xml:space="preserve">X. </w:t>
      </w:r>
      <w:r w:rsidRPr="00C621B1">
        <w:rPr>
          <w:rFonts w:ascii="Palatino Linotype" w:hAnsi="Palatino Linotype" w:cs="Arial"/>
          <w:bCs/>
          <w:i/>
          <w:sz w:val="22"/>
          <w:lang w:eastAsia="es-ES"/>
        </w:rPr>
        <w:t xml:space="preserve">Auxiliar a las autoridades federales y de otras entidades federativas cuando sea requerido para ello; </w:t>
      </w:r>
    </w:p>
    <w:p w14:paraId="348EADB2" w14:textId="77777777" w:rsidR="00C621B1" w:rsidRPr="00C621B1" w:rsidRDefault="00C621B1" w:rsidP="00805CA7">
      <w:pPr>
        <w:spacing w:before="100" w:beforeAutospacing="1" w:after="100" w:afterAutospacing="1"/>
        <w:ind w:left="567" w:right="900"/>
        <w:contextualSpacing/>
        <w:jc w:val="both"/>
        <w:rPr>
          <w:rFonts w:ascii="Palatino Linotype" w:hAnsi="Palatino Linotype" w:cs="Arial"/>
          <w:bCs/>
          <w:i/>
          <w:sz w:val="22"/>
          <w:lang w:eastAsia="es-ES"/>
        </w:rPr>
      </w:pPr>
      <w:r w:rsidRPr="00C621B1">
        <w:rPr>
          <w:rFonts w:ascii="Palatino Linotype" w:hAnsi="Palatino Linotype" w:cs="Arial"/>
          <w:b/>
          <w:bCs/>
          <w:i/>
          <w:sz w:val="22"/>
          <w:lang w:eastAsia="es-ES"/>
        </w:rPr>
        <w:t xml:space="preserve">XI. </w:t>
      </w:r>
      <w:r w:rsidRPr="00C621B1">
        <w:rPr>
          <w:rFonts w:ascii="Palatino Linotype" w:hAnsi="Palatino Linotype" w:cs="Arial"/>
          <w:bCs/>
          <w:i/>
          <w:sz w:val="22"/>
          <w:lang w:eastAsia="es-ES"/>
        </w:rPr>
        <w:t xml:space="preserve">Informar al Presidente o Presidenta Municipal de los resultados y procesos de verificación y evaluaciones de confianza a los que se sometan los integrantes de las instituciones policiales a su cargo, y </w:t>
      </w:r>
    </w:p>
    <w:p w14:paraId="1821660B" w14:textId="07C495CC" w:rsidR="00C621B1" w:rsidRPr="00C621B1" w:rsidRDefault="00C621B1" w:rsidP="00805CA7">
      <w:pPr>
        <w:spacing w:before="100" w:beforeAutospacing="1" w:after="100" w:afterAutospacing="1"/>
        <w:ind w:left="567" w:right="900"/>
        <w:contextualSpacing/>
        <w:jc w:val="both"/>
        <w:rPr>
          <w:rFonts w:ascii="Palatino Linotype" w:hAnsi="Palatino Linotype" w:cs="Arial"/>
          <w:bCs/>
          <w:i/>
          <w:sz w:val="22"/>
          <w:lang w:eastAsia="es-ES"/>
        </w:rPr>
      </w:pPr>
      <w:r w:rsidRPr="00C621B1">
        <w:rPr>
          <w:rFonts w:ascii="Palatino Linotype" w:hAnsi="Palatino Linotype" w:cs="Arial"/>
          <w:b/>
          <w:bCs/>
          <w:i/>
          <w:sz w:val="22"/>
          <w:lang w:eastAsia="es-ES"/>
        </w:rPr>
        <w:t xml:space="preserve">XII. </w:t>
      </w:r>
      <w:r w:rsidRPr="00C621B1">
        <w:rPr>
          <w:rFonts w:ascii="Palatino Linotype" w:hAnsi="Palatino Linotype" w:cs="Arial"/>
          <w:bCs/>
          <w:i/>
          <w:sz w:val="22"/>
          <w:lang w:eastAsia="es-ES"/>
        </w:rPr>
        <w:t>Las demás que les confieran otras leyes.</w:t>
      </w:r>
      <w:r w:rsidR="00805CA7">
        <w:rPr>
          <w:rFonts w:ascii="Palatino Linotype" w:hAnsi="Palatino Linotype" w:cs="Arial"/>
          <w:bCs/>
          <w:i/>
          <w:sz w:val="22"/>
          <w:lang w:eastAsia="es-ES"/>
        </w:rPr>
        <w:t>”</w:t>
      </w:r>
    </w:p>
    <w:p w14:paraId="6039D0D7" w14:textId="77777777" w:rsidR="00C621B1" w:rsidRDefault="00C621B1" w:rsidP="00E33662">
      <w:pPr>
        <w:spacing w:before="100" w:beforeAutospacing="1" w:after="100" w:afterAutospacing="1" w:line="360" w:lineRule="auto"/>
        <w:contextualSpacing/>
        <w:jc w:val="both"/>
        <w:rPr>
          <w:rFonts w:ascii="Palatino Linotype" w:hAnsi="Palatino Linotype" w:cs="Arial"/>
          <w:bCs/>
          <w:lang w:eastAsia="es-ES"/>
        </w:rPr>
      </w:pPr>
    </w:p>
    <w:p w14:paraId="76706F73" w14:textId="10053736" w:rsidR="00510A49" w:rsidRDefault="00510A49" w:rsidP="00E33662">
      <w:pPr>
        <w:spacing w:before="100" w:beforeAutospacing="1" w:after="100" w:afterAutospacing="1" w:line="360" w:lineRule="auto"/>
        <w:contextualSpacing/>
        <w:jc w:val="both"/>
        <w:rPr>
          <w:rFonts w:ascii="Palatino Linotype" w:hAnsi="Palatino Linotype" w:cs="Arial"/>
          <w:bCs/>
          <w:lang w:eastAsia="es-ES"/>
        </w:rPr>
      </w:pPr>
      <w:r>
        <w:rPr>
          <w:rFonts w:ascii="Palatino Linotype" w:hAnsi="Palatino Linotype" w:cs="Arial"/>
          <w:bCs/>
          <w:lang w:eastAsia="es-ES"/>
        </w:rPr>
        <w:t xml:space="preserve">No obstante, para mejor proveer resulta pertinente ordenar al Sujeto Obligado la entrega del soporte documental en el que se adviertan las facultades conferidas al Director de Seguridad Pública Municipal. </w:t>
      </w:r>
    </w:p>
    <w:p w14:paraId="4671AC5E" w14:textId="77777777" w:rsidR="00A4195E" w:rsidRDefault="00A4195E" w:rsidP="00E33662">
      <w:pPr>
        <w:spacing w:before="100" w:beforeAutospacing="1" w:after="100" w:afterAutospacing="1" w:line="360" w:lineRule="auto"/>
        <w:contextualSpacing/>
        <w:jc w:val="both"/>
        <w:rPr>
          <w:rFonts w:ascii="Palatino Linotype" w:hAnsi="Palatino Linotype" w:cs="Arial"/>
          <w:bCs/>
          <w:lang w:eastAsia="es-ES"/>
        </w:rPr>
      </w:pPr>
    </w:p>
    <w:p w14:paraId="11EE6BD7" w14:textId="77777777" w:rsidR="00A4195E" w:rsidRDefault="00A4195E" w:rsidP="00E33662">
      <w:pPr>
        <w:spacing w:before="100" w:beforeAutospacing="1" w:after="100" w:afterAutospacing="1" w:line="360" w:lineRule="auto"/>
        <w:contextualSpacing/>
        <w:jc w:val="both"/>
        <w:rPr>
          <w:rFonts w:ascii="Palatino Linotype" w:hAnsi="Palatino Linotype" w:cs="Arial"/>
          <w:bCs/>
          <w:lang w:eastAsia="es-ES"/>
        </w:rPr>
      </w:pPr>
    </w:p>
    <w:p w14:paraId="02ABDAD8" w14:textId="77777777" w:rsidR="00A4195E" w:rsidRDefault="00A4195E" w:rsidP="00E33662">
      <w:pPr>
        <w:spacing w:before="100" w:beforeAutospacing="1" w:after="100" w:afterAutospacing="1" w:line="360" w:lineRule="auto"/>
        <w:contextualSpacing/>
        <w:jc w:val="both"/>
        <w:rPr>
          <w:rFonts w:ascii="Palatino Linotype" w:hAnsi="Palatino Linotype" w:cs="Arial"/>
          <w:bCs/>
          <w:lang w:eastAsia="es-ES"/>
        </w:rPr>
      </w:pPr>
    </w:p>
    <w:p w14:paraId="15F74BBD" w14:textId="77777777" w:rsidR="00A4195E" w:rsidRDefault="00A4195E" w:rsidP="00E33662">
      <w:pPr>
        <w:spacing w:before="100" w:beforeAutospacing="1" w:after="100" w:afterAutospacing="1" w:line="360" w:lineRule="auto"/>
        <w:contextualSpacing/>
        <w:jc w:val="both"/>
        <w:rPr>
          <w:rFonts w:ascii="Palatino Linotype" w:hAnsi="Palatino Linotype" w:cs="Arial"/>
          <w:bCs/>
          <w:lang w:eastAsia="es-ES"/>
        </w:rPr>
      </w:pPr>
    </w:p>
    <w:p w14:paraId="572A622D" w14:textId="77777777" w:rsidR="00510A49" w:rsidRPr="00246BA0" w:rsidRDefault="00510A49" w:rsidP="00E33662">
      <w:pPr>
        <w:spacing w:before="100" w:beforeAutospacing="1" w:after="100" w:afterAutospacing="1" w:line="360" w:lineRule="auto"/>
        <w:contextualSpacing/>
        <w:jc w:val="both"/>
        <w:rPr>
          <w:rFonts w:ascii="Palatino Linotype" w:hAnsi="Palatino Linotype" w:cs="Arial"/>
          <w:bCs/>
          <w:lang w:eastAsia="es-ES"/>
        </w:rPr>
      </w:pPr>
    </w:p>
    <w:p w14:paraId="52D6529A" w14:textId="3ADDBBA3" w:rsidR="00E33662" w:rsidRDefault="007C4A8E" w:rsidP="00E33662">
      <w:pPr>
        <w:spacing w:before="100" w:beforeAutospacing="1" w:after="100" w:afterAutospacing="1" w:line="360" w:lineRule="auto"/>
        <w:contextualSpacing/>
        <w:jc w:val="both"/>
        <w:rPr>
          <w:rFonts w:ascii="Palatino Linotype" w:hAnsi="Palatino Linotype" w:cs="Arial"/>
          <w:b/>
          <w:bCs/>
          <w:lang w:eastAsia="es-ES"/>
        </w:rPr>
      </w:pPr>
      <w:r>
        <w:rPr>
          <w:rFonts w:ascii="Palatino Linotype" w:hAnsi="Palatino Linotype" w:cs="Arial"/>
          <w:b/>
          <w:bCs/>
          <w:lang w:eastAsia="es-ES"/>
        </w:rPr>
        <w:t>3</w:t>
      </w:r>
      <w:r w:rsidR="00BE080C" w:rsidRPr="00BE080C">
        <w:rPr>
          <w:rFonts w:ascii="Palatino Linotype" w:hAnsi="Palatino Linotype" w:cs="Arial"/>
          <w:b/>
          <w:bCs/>
          <w:lang w:eastAsia="es-ES"/>
        </w:rPr>
        <w:t>.- De la lista de procedimientos, quejas, sanciones impuestas a elementos de seguridad pública, así como</w:t>
      </w:r>
      <w:r w:rsidR="00A4195E">
        <w:rPr>
          <w:rFonts w:ascii="Palatino Linotype" w:hAnsi="Palatino Linotype" w:cs="Arial"/>
          <w:b/>
          <w:bCs/>
          <w:lang w:eastAsia="es-ES"/>
        </w:rPr>
        <w:t xml:space="preserve"> </w:t>
      </w:r>
      <w:r w:rsidR="00BE080C" w:rsidRPr="00BE080C">
        <w:rPr>
          <w:rFonts w:ascii="Palatino Linotype" w:hAnsi="Palatino Linotype" w:cs="Arial"/>
          <w:b/>
          <w:bCs/>
          <w:lang w:eastAsia="es-ES"/>
        </w:rPr>
        <w:t>bajas y reinstalaciones.</w:t>
      </w:r>
    </w:p>
    <w:p w14:paraId="29DC47BE" w14:textId="77777777" w:rsidR="00A4195E" w:rsidRPr="00BE080C" w:rsidRDefault="00A4195E" w:rsidP="00E33662">
      <w:pPr>
        <w:spacing w:before="100" w:beforeAutospacing="1" w:after="100" w:afterAutospacing="1" w:line="360" w:lineRule="auto"/>
        <w:contextualSpacing/>
        <w:jc w:val="both"/>
        <w:rPr>
          <w:rFonts w:ascii="Palatino Linotype" w:hAnsi="Palatino Linotype" w:cs="Arial"/>
          <w:b/>
          <w:bCs/>
          <w:lang w:eastAsia="es-ES"/>
        </w:rPr>
      </w:pPr>
    </w:p>
    <w:p w14:paraId="7F8E53C6" w14:textId="7A8A7194" w:rsidR="00C621B1" w:rsidRPr="00C621B1" w:rsidRDefault="00C621B1" w:rsidP="00C621B1">
      <w:pPr>
        <w:spacing w:before="240" w:after="240" w:line="360" w:lineRule="auto"/>
        <w:jc w:val="both"/>
        <w:rPr>
          <w:rFonts w:ascii="Palatino Linotype" w:hAnsi="Palatino Linotype" w:cs="Tahoma"/>
          <w:lang w:eastAsia="es-ES"/>
        </w:rPr>
      </w:pPr>
      <w:r>
        <w:rPr>
          <w:rFonts w:ascii="Palatino Linotype" w:hAnsi="Palatino Linotype" w:cs="Tahoma"/>
          <w:lang w:eastAsia="es-ES"/>
        </w:rPr>
        <w:t xml:space="preserve">En primera instancia debe apuntarse que </w:t>
      </w:r>
      <w:r w:rsidR="00A4195E">
        <w:rPr>
          <w:rFonts w:ascii="Palatino Linotype" w:hAnsi="Palatino Linotype" w:cs="Tahoma"/>
          <w:lang w:eastAsia="es-ES"/>
        </w:rPr>
        <w:t xml:space="preserve">el artículo 123 de </w:t>
      </w:r>
      <w:r w:rsidRPr="00C621B1">
        <w:rPr>
          <w:rFonts w:ascii="Palatino Linotype" w:hAnsi="Palatino Linotype" w:cs="Tahoma"/>
          <w:lang w:eastAsia="es-ES"/>
        </w:rPr>
        <w:t xml:space="preserve">la Constitución Política de los Estados Unidos Mexicanos </w:t>
      </w:r>
      <w:r w:rsidR="00A4195E">
        <w:rPr>
          <w:rFonts w:ascii="Palatino Linotype" w:hAnsi="Palatino Linotype" w:cs="Tahoma"/>
          <w:lang w:eastAsia="es-ES"/>
        </w:rPr>
        <w:t>en su Apartado B</w:t>
      </w:r>
      <w:r w:rsidR="00090450">
        <w:rPr>
          <w:rFonts w:ascii="Palatino Linotype" w:hAnsi="Palatino Linotype" w:cs="Tahoma"/>
          <w:lang w:eastAsia="es-ES"/>
        </w:rPr>
        <w:t xml:space="preserve"> que regula </w:t>
      </w:r>
      <w:r w:rsidR="00A4195E">
        <w:rPr>
          <w:rFonts w:ascii="Palatino Linotype" w:hAnsi="Palatino Linotype" w:cs="Tahoma"/>
          <w:lang w:eastAsia="es-ES"/>
        </w:rPr>
        <w:t xml:space="preserve">las relaciones de trabajo entre los Poderes de la Unión y sus trabajadores </w:t>
      </w:r>
      <w:r w:rsidRPr="00C621B1">
        <w:rPr>
          <w:rFonts w:ascii="Palatino Linotype" w:hAnsi="Palatino Linotype" w:cs="Tahoma"/>
          <w:lang w:eastAsia="es-ES"/>
        </w:rPr>
        <w:t>establece</w:t>
      </w:r>
      <w:r>
        <w:rPr>
          <w:rFonts w:ascii="Palatino Linotype" w:hAnsi="Palatino Linotype" w:cs="Tahoma"/>
          <w:lang w:eastAsia="es-ES"/>
        </w:rPr>
        <w:t xml:space="preserve"> lo siguiente</w:t>
      </w:r>
      <w:r w:rsidRPr="00C621B1">
        <w:rPr>
          <w:rFonts w:ascii="Palatino Linotype" w:hAnsi="Palatino Linotype" w:cs="Tahoma"/>
          <w:lang w:eastAsia="es-ES"/>
        </w:rPr>
        <w:t>:</w:t>
      </w:r>
    </w:p>
    <w:p w14:paraId="1230BEE8" w14:textId="51E6065B" w:rsidR="00C621B1" w:rsidRPr="00C621B1" w:rsidRDefault="00C621B1" w:rsidP="00C621B1">
      <w:pPr>
        <w:ind w:left="851" w:right="851"/>
        <w:jc w:val="both"/>
        <w:rPr>
          <w:rFonts w:ascii="Palatino Linotype" w:hAnsi="Palatino Linotype"/>
          <w:b/>
          <w:bCs/>
          <w:i/>
          <w:sz w:val="22"/>
          <w:szCs w:val="22"/>
        </w:rPr>
      </w:pPr>
      <w:r>
        <w:rPr>
          <w:rFonts w:ascii="Palatino Linotype" w:hAnsi="Palatino Linotype"/>
          <w:b/>
          <w:bCs/>
          <w:i/>
          <w:sz w:val="22"/>
          <w:szCs w:val="22"/>
        </w:rPr>
        <w:t>“</w:t>
      </w:r>
      <w:r w:rsidRPr="00C621B1">
        <w:rPr>
          <w:rFonts w:ascii="Palatino Linotype" w:hAnsi="Palatino Linotype"/>
          <w:b/>
          <w:bCs/>
          <w:i/>
          <w:sz w:val="22"/>
          <w:szCs w:val="22"/>
        </w:rPr>
        <w:t>Artículo 123. Toda persona tiene derecho al trabajo digno y socialmente útil; al efecto, se promoverán la creación de empleos y la organización social de trabajo, conforme a la ley.</w:t>
      </w:r>
    </w:p>
    <w:p w14:paraId="73187403" w14:textId="77777777" w:rsidR="00C621B1" w:rsidRPr="00C621B1" w:rsidRDefault="00C621B1" w:rsidP="00C621B1">
      <w:pPr>
        <w:ind w:left="851" w:right="851"/>
        <w:jc w:val="both"/>
        <w:rPr>
          <w:rFonts w:ascii="Palatino Linotype" w:hAnsi="Palatino Linotype"/>
          <w:b/>
          <w:bCs/>
          <w:i/>
          <w:sz w:val="22"/>
          <w:szCs w:val="22"/>
        </w:rPr>
      </w:pPr>
      <w:r w:rsidRPr="00C621B1">
        <w:rPr>
          <w:rFonts w:ascii="Palatino Linotype" w:hAnsi="Palatino Linotype"/>
          <w:b/>
          <w:bCs/>
          <w:i/>
          <w:sz w:val="22"/>
          <w:szCs w:val="22"/>
        </w:rPr>
        <w:t>…</w:t>
      </w:r>
    </w:p>
    <w:p w14:paraId="0C279DF7" w14:textId="77777777" w:rsidR="00C621B1" w:rsidRPr="00C621B1" w:rsidRDefault="00C621B1" w:rsidP="00C621B1">
      <w:pPr>
        <w:ind w:left="851" w:right="851"/>
        <w:jc w:val="both"/>
        <w:rPr>
          <w:rFonts w:ascii="Palatino Linotype" w:hAnsi="Palatino Linotype"/>
          <w:b/>
          <w:bCs/>
          <w:i/>
          <w:sz w:val="22"/>
          <w:szCs w:val="22"/>
        </w:rPr>
      </w:pPr>
      <w:r w:rsidRPr="00C621B1">
        <w:rPr>
          <w:rFonts w:ascii="Palatino Linotype" w:hAnsi="Palatino Linotype"/>
          <w:b/>
          <w:bCs/>
          <w:i/>
          <w:sz w:val="22"/>
          <w:szCs w:val="22"/>
        </w:rPr>
        <w:t>B. Entre los Poderes de la Unión y sus trabajadores:</w:t>
      </w:r>
    </w:p>
    <w:p w14:paraId="66E3BE68" w14:textId="77777777" w:rsidR="00C621B1" w:rsidRPr="00C621B1" w:rsidRDefault="00C621B1" w:rsidP="00C621B1">
      <w:pPr>
        <w:ind w:left="851" w:right="851"/>
        <w:jc w:val="both"/>
        <w:rPr>
          <w:rFonts w:ascii="Palatino Linotype" w:hAnsi="Palatino Linotype"/>
          <w:b/>
          <w:bCs/>
          <w:i/>
          <w:sz w:val="22"/>
          <w:szCs w:val="22"/>
        </w:rPr>
      </w:pPr>
      <w:r w:rsidRPr="00C621B1">
        <w:rPr>
          <w:rFonts w:ascii="Palatino Linotype" w:hAnsi="Palatino Linotype"/>
          <w:b/>
          <w:bCs/>
          <w:i/>
          <w:sz w:val="22"/>
          <w:szCs w:val="22"/>
        </w:rPr>
        <w:t>…</w:t>
      </w:r>
    </w:p>
    <w:p w14:paraId="4A0C8607" w14:textId="18678036" w:rsidR="00C621B1" w:rsidRPr="00C621B1" w:rsidRDefault="00C621B1" w:rsidP="00C621B1">
      <w:pPr>
        <w:ind w:left="851" w:right="851"/>
        <w:jc w:val="both"/>
        <w:rPr>
          <w:rFonts w:ascii="Palatino Linotype" w:hAnsi="Palatino Linotype"/>
          <w:b/>
          <w:i/>
          <w:sz w:val="22"/>
          <w:szCs w:val="22"/>
        </w:rPr>
      </w:pPr>
      <w:r w:rsidRPr="00C621B1">
        <w:rPr>
          <w:rFonts w:ascii="Palatino Linotype" w:hAnsi="Palatino Linotype"/>
          <w:b/>
          <w:bCs/>
          <w:i/>
          <w:sz w:val="22"/>
          <w:szCs w:val="22"/>
        </w:rPr>
        <w:t>XIII.</w:t>
      </w:r>
      <w:r w:rsidRPr="00C621B1">
        <w:rPr>
          <w:rFonts w:ascii="Palatino Linotype" w:hAnsi="Palatino Linotype"/>
          <w:b/>
          <w:i/>
          <w:sz w:val="22"/>
          <w:szCs w:val="22"/>
        </w:rPr>
        <w:t xml:space="preserve"> </w:t>
      </w:r>
      <w:r w:rsidRPr="00C621B1">
        <w:rPr>
          <w:rFonts w:ascii="Palatino Linotype" w:hAnsi="Palatino Linotype"/>
          <w:i/>
          <w:sz w:val="22"/>
          <w:szCs w:val="22"/>
        </w:rPr>
        <w:t xml:space="preserve">Los militares, marinos, personal del servicio exterior, agente del Ministerio Público, perito y </w:t>
      </w:r>
      <w:r w:rsidRPr="00C621B1">
        <w:rPr>
          <w:rFonts w:ascii="Palatino Linotype" w:hAnsi="Palatino Linotype"/>
          <w:b/>
          <w:i/>
          <w:sz w:val="22"/>
          <w:szCs w:val="22"/>
          <w:u w:val="single"/>
        </w:rPr>
        <w:t>los miembros de las instituciones policiales, se regirán por sus propias leyes.</w:t>
      </w:r>
    </w:p>
    <w:p w14:paraId="5D7EAA1C" w14:textId="77777777" w:rsidR="00C621B1" w:rsidRPr="00C621B1" w:rsidRDefault="00C621B1" w:rsidP="00C621B1">
      <w:pPr>
        <w:ind w:left="851" w:right="851"/>
        <w:jc w:val="both"/>
        <w:rPr>
          <w:rFonts w:ascii="Palatino Linotype" w:hAnsi="Palatino Linotype"/>
          <w:i/>
          <w:sz w:val="22"/>
          <w:szCs w:val="22"/>
        </w:rPr>
      </w:pPr>
    </w:p>
    <w:p w14:paraId="5F50DFC4" w14:textId="77777777" w:rsidR="00C621B1" w:rsidRPr="00C621B1" w:rsidRDefault="00C621B1" w:rsidP="00C621B1">
      <w:pPr>
        <w:ind w:left="851" w:right="851"/>
        <w:jc w:val="both"/>
        <w:rPr>
          <w:rFonts w:ascii="Palatino Linotype" w:hAnsi="Palatino Linotype"/>
          <w:b/>
          <w:i/>
          <w:sz w:val="22"/>
          <w:szCs w:val="22"/>
          <w:u w:val="single"/>
        </w:rPr>
      </w:pPr>
      <w:r w:rsidRPr="00C621B1">
        <w:rPr>
          <w:rFonts w:ascii="Palatino Linotype" w:hAnsi="Palatino Linotype"/>
          <w:i/>
          <w:sz w:val="22"/>
          <w:szCs w:val="22"/>
        </w:rPr>
        <w:t xml:space="preserve">Los agentes del Ministerio Público, los peritos y </w:t>
      </w:r>
      <w:r w:rsidRPr="00090450">
        <w:rPr>
          <w:rFonts w:ascii="Palatino Linotype" w:hAnsi="Palatino Linotype"/>
          <w:b/>
          <w:i/>
          <w:sz w:val="22"/>
          <w:szCs w:val="22"/>
          <w:u w:val="single"/>
        </w:rPr>
        <w:t>los miembros de las instituciones policiales de</w:t>
      </w:r>
      <w:r w:rsidRPr="00C621B1">
        <w:rPr>
          <w:rFonts w:ascii="Palatino Linotype" w:hAnsi="Palatino Linotype"/>
          <w:i/>
          <w:sz w:val="22"/>
          <w:szCs w:val="22"/>
        </w:rPr>
        <w:t xml:space="preserve"> la Federación, las entidades federativas y </w:t>
      </w:r>
      <w:r w:rsidRPr="00090450">
        <w:rPr>
          <w:rFonts w:ascii="Palatino Linotype" w:hAnsi="Palatino Linotype"/>
          <w:b/>
          <w:i/>
          <w:sz w:val="22"/>
          <w:szCs w:val="22"/>
          <w:u w:val="single"/>
        </w:rPr>
        <w:t>los Municipios,</w:t>
      </w:r>
      <w:r w:rsidRPr="00C621B1">
        <w:rPr>
          <w:rFonts w:ascii="Palatino Linotype" w:hAnsi="Palatino Linotype"/>
          <w:i/>
          <w:sz w:val="22"/>
          <w:szCs w:val="22"/>
        </w:rPr>
        <w:t xml:space="preserve"> </w:t>
      </w:r>
      <w:r w:rsidRPr="00C621B1">
        <w:rPr>
          <w:rFonts w:ascii="Palatino Linotype" w:hAnsi="Palatino Linotype"/>
          <w:b/>
          <w:i/>
          <w:sz w:val="22"/>
          <w:szCs w:val="22"/>
          <w:u w:val="single"/>
        </w:rPr>
        <w:t>podrán ser separados de sus cargos si no cumplen con los requisitos que las leyes vigentes en el momento del acto señalen para permanecer en dichas instituciones, o removidos por incurrir en responsabilidad en el desempeño de sus funciones. Si la autoridad jurisdiccional resolviere que la separación, remoción, baja, cese o cualquier otra forma de terminación del servicio fue injustificada, el Estado sólo estará obligado a pagar la indemnización y demás prestaciones a que tenga derecho, sin que en ningún caso proceda su reincorporación al servicio, cualquiera que sea el resultado del juicio o medio de defensa que se hubiere promovido.</w:t>
      </w:r>
    </w:p>
    <w:p w14:paraId="3CA55C1D" w14:textId="77777777" w:rsidR="00C621B1" w:rsidRPr="00C621B1" w:rsidRDefault="00C621B1" w:rsidP="00C621B1">
      <w:pPr>
        <w:ind w:left="851" w:right="851"/>
        <w:jc w:val="both"/>
        <w:rPr>
          <w:rFonts w:ascii="Palatino Linotype" w:hAnsi="Palatino Linotype"/>
          <w:i/>
          <w:sz w:val="22"/>
          <w:szCs w:val="22"/>
        </w:rPr>
      </w:pPr>
    </w:p>
    <w:p w14:paraId="2ECB8C51" w14:textId="77777777" w:rsidR="00C621B1" w:rsidRPr="00C621B1" w:rsidRDefault="00C621B1" w:rsidP="00C621B1">
      <w:pPr>
        <w:ind w:left="851" w:right="851"/>
        <w:jc w:val="both"/>
        <w:rPr>
          <w:rFonts w:ascii="Palatino Linotype" w:hAnsi="Palatino Linotype"/>
          <w:i/>
          <w:sz w:val="22"/>
          <w:szCs w:val="22"/>
        </w:rPr>
      </w:pPr>
      <w:r w:rsidRPr="00C621B1">
        <w:rPr>
          <w:rFonts w:ascii="Palatino Linotype" w:hAnsi="Palatino Linotype"/>
          <w:i/>
          <w:sz w:val="22"/>
          <w:szCs w:val="22"/>
        </w:rPr>
        <w:t>Las autoridades federales, de las entidades federativas y municipales, a fin de propiciar el fortalecimiento del sistema de seguridad social del personal del Ministerio Público, de las corporaciones policiales y de los servicios periciales, de sus familias y dependientes, instrumentarán sistemas complementarios de seguridad social.</w:t>
      </w:r>
    </w:p>
    <w:p w14:paraId="51D2D9B7" w14:textId="77777777" w:rsidR="00C621B1" w:rsidRPr="00C621B1" w:rsidRDefault="00C621B1" w:rsidP="00C621B1">
      <w:pPr>
        <w:ind w:left="851" w:right="851"/>
        <w:jc w:val="both"/>
        <w:rPr>
          <w:rFonts w:ascii="Palatino Linotype" w:hAnsi="Palatino Linotype"/>
          <w:i/>
          <w:sz w:val="22"/>
          <w:szCs w:val="22"/>
        </w:rPr>
      </w:pPr>
    </w:p>
    <w:p w14:paraId="20F7169A" w14:textId="132F2EA2" w:rsidR="00C621B1" w:rsidRPr="00C621B1" w:rsidRDefault="00C621B1" w:rsidP="00C621B1">
      <w:pPr>
        <w:ind w:left="851" w:right="851"/>
        <w:jc w:val="both"/>
        <w:rPr>
          <w:rFonts w:ascii="Palatino Linotype" w:hAnsi="Palatino Linotype"/>
          <w:i/>
          <w:sz w:val="22"/>
          <w:szCs w:val="22"/>
        </w:rPr>
      </w:pPr>
      <w:r w:rsidRPr="00C621B1">
        <w:rPr>
          <w:rFonts w:ascii="Palatino Linotype" w:hAnsi="Palatino Linotype"/>
          <w:i/>
          <w:sz w:val="22"/>
          <w:szCs w:val="22"/>
        </w:rPr>
        <w:t>El Estado proporcionará a los miembros en el activo del Ejército, Fuerza Aérea y Armada, las prestaciones a que se refiere el inciso f) de la fracción XI de este apartado, en términos similares y a través del organismo encargado de la seguridad social de los componentes de dichas instituciones.</w:t>
      </w:r>
      <w:r>
        <w:rPr>
          <w:rFonts w:ascii="Palatino Linotype" w:hAnsi="Palatino Linotype"/>
          <w:i/>
          <w:sz w:val="22"/>
          <w:szCs w:val="22"/>
        </w:rPr>
        <w:t>”</w:t>
      </w:r>
    </w:p>
    <w:p w14:paraId="422AD29C" w14:textId="77777777" w:rsidR="00C621B1" w:rsidRPr="00C621B1" w:rsidRDefault="00C621B1" w:rsidP="00C621B1">
      <w:pPr>
        <w:ind w:left="851" w:right="851"/>
        <w:jc w:val="both"/>
        <w:rPr>
          <w:rFonts w:ascii="Palatino Linotype" w:hAnsi="Palatino Linotype"/>
          <w:i/>
          <w:sz w:val="22"/>
          <w:szCs w:val="22"/>
        </w:rPr>
      </w:pPr>
    </w:p>
    <w:p w14:paraId="7FDE7B24" w14:textId="77777777" w:rsidR="00C621B1" w:rsidRPr="00C621B1" w:rsidRDefault="00C621B1" w:rsidP="00C621B1">
      <w:pPr>
        <w:ind w:left="851" w:right="851"/>
        <w:jc w:val="both"/>
        <w:rPr>
          <w:rFonts w:ascii="Palatino Linotype" w:hAnsi="Palatino Linotype"/>
          <w:i/>
          <w:sz w:val="22"/>
          <w:szCs w:val="22"/>
        </w:rPr>
      </w:pPr>
      <w:r w:rsidRPr="00C621B1">
        <w:rPr>
          <w:rFonts w:ascii="Palatino Linotype" w:hAnsi="Palatino Linotype"/>
          <w:i/>
          <w:sz w:val="22"/>
          <w:szCs w:val="22"/>
        </w:rPr>
        <w:t>Énfasis añadido.</w:t>
      </w:r>
    </w:p>
    <w:p w14:paraId="1527176E" w14:textId="77777777" w:rsidR="00C621B1" w:rsidRPr="00C621B1" w:rsidRDefault="00C621B1" w:rsidP="00C621B1">
      <w:pPr>
        <w:ind w:left="851" w:right="851"/>
        <w:jc w:val="both"/>
        <w:rPr>
          <w:rFonts w:ascii="Palatino Linotype" w:hAnsi="Palatino Linotype"/>
          <w:i/>
          <w:sz w:val="22"/>
          <w:szCs w:val="22"/>
        </w:rPr>
      </w:pPr>
    </w:p>
    <w:p w14:paraId="17BA9A79" w14:textId="77777777" w:rsidR="00C621B1" w:rsidRPr="00C621B1" w:rsidRDefault="00C621B1" w:rsidP="00C621B1">
      <w:pPr>
        <w:ind w:left="851" w:right="851"/>
        <w:jc w:val="both"/>
        <w:rPr>
          <w:rFonts w:ascii="Palatino Linotype" w:hAnsi="Palatino Linotype"/>
          <w:i/>
        </w:rPr>
      </w:pPr>
    </w:p>
    <w:p w14:paraId="6CC4E0AE" w14:textId="77777777" w:rsidR="00C621B1" w:rsidRPr="00C621B1" w:rsidRDefault="00C621B1" w:rsidP="00C621B1">
      <w:pPr>
        <w:tabs>
          <w:tab w:val="left" w:pos="0"/>
        </w:tabs>
        <w:spacing w:line="360" w:lineRule="auto"/>
        <w:ind w:right="49"/>
        <w:contextualSpacing/>
        <w:jc w:val="both"/>
        <w:rPr>
          <w:rFonts w:ascii="Palatino Linotype" w:hAnsi="Palatino Linotype"/>
          <w:lang w:eastAsia="es-ES"/>
        </w:rPr>
      </w:pPr>
      <w:r w:rsidRPr="00C621B1">
        <w:rPr>
          <w:rFonts w:ascii="Palatino Linotype" w:hAnsi="Palatino Linotype"/>
          <w:lang w:eastAsia="es-ES"/>
        </w:rPr>
        <w:t>Del dispositivo legal en comento se advierte que los agentes del Ministerio Público, los peritos y los miembros de las instituciones policiales de la Federación, las entidades federativas y los Municipios, podrán ser separados de sus cargos si no cumplen con los requisitos que las leyes vigentes en el momento del acto señalen para permanecer en dichas instituciones, o removidos por incurrir en responsabilidad en el desempeño de sus funciones, cabe mencionar que si la autoridad jurisdiccional determina que la separación, remoción, baja, cese o cualquier otra forma de terminación del servicio fue injustificada, el Estado sólo está obligado a pagar la indemnización y demás prestaciones a que tenga derecho, sin que en ningún caso proceda su reincorporación al servicio, determinación que fue acogida en los artículos 105 y 181 de la Ley de Seguridad del Estado de México.</w:t>
      </w:r>
    </w:p>
    <w:p w14:paraId="57EC736A" w14:textId="53DB1ACD" w:rsidR="00C621B1" w:rsidRPr="00C621B1" w:rsidRDefault="00C621B1" w:rsidP="00C621B1">
      <w:pPr>
        <w:spacing w:before="240" w:after="240" w:line="360" w:lineRule="auto"/>
        <w:jc w:val="both"/>
        <w:rPr>
          <w:rFonts w:ascii="Palatino Linotype" w:hAnsi="Palatino Linotype" w:cs="Tahoma"/>
          <w:bCs/>
          <w:lang w:eastAsia="es-ES"/>
        </w:rPr>
      </w:pPr>
      <w:r w:rsidRPr="00C621B1">
        <w:rPr>
          <w:rFonts w:ascii="Palatino Linotype" w:hAnsi="Palatino Linotype" w:cs="Tahoma"/>
          <w:bCs/>
          <w:lang w:eastAsia="es-ES"/>
        </w:rPr>
        <w:t xml:space="preserve">En ese contexto, resulta </w:t>
      </w:r>
      <w:r w:rsidRPr="00C621B1">
        <w:rPr>
          <w:rFonts w:ascii="Palatino Linotype" w:hAnsi="Palatino Linotype" w:cs="Tahoma"/>
          <w:bCs/>
          <w:lang w:val="es-ES" w:eastAsia="es-ES"/>
        </w:rPr>
        <w:t>necesario</w:t>
      </w:r>
      <w:r w:rsidRPr="00C621B1">
        <w:rPr>
          <w:rFonts w:ascii="Palatino Linotype" w:hAnsi="Palatino Linotype" w:cs="Tahoma"/>
          <w:bCs/>
          <w:lang w:eastAsia="es-ES"/>
        </w:rPr>
        <w:t xml:space="preserve"> precisar que </w:t>
      </w:r>
      <w:r w:rsidR="00A4195E">
        <w:rPr>
          <w:rFonts w:ascii="Palatino Linotype" w:hAnsi="Palatino Linotype" w:cs="Tahoma"/>
          <w:bCs/>
          <w:lang w:eastAsia="es-ES"/>
        </w:rPr>
        <w:t xml:space="preserve">en el presente caso a la Comisión de Honor y Justicia le </w:t>
      </w:r>
      <w:r w:rsidRPr="00C621B1">
        <w:rPr>
          <w:rFonts w:ascii="Palatino Linotype" w:hAnsi="Palatino Linotype" w:cs="Tahoma"/>
          <w:bCs/>
          <w:lang w:eastAsia="es-ES"/>
        </w:rPr>
        <w:t>corresponde resolver proce</w:t>
      </w:r>
      <w:r w:rsidR="001367F7">
        <w:rPr>
          <w:rFonts w:ascii="Palatino Linotype" w:hAnsi="Palatino Linotype" w:cs="Tahoma"/>
          <w:bCs/>
          <w:lang w:eastAsia="es-ES"/>
        </w:rPr>
        <w:t>dimientos en los que se determine</w:t>
      </w:r>
      <w:r w:rsidRPr="00C621B1">
        <w:rPr>
          <w:rFonts w:ascii="Palatino Linotype" w:hAnsi="Palatino Linotype" w:cs="Tahoma"/>
          <w:bCs/>
          <w:lang w:eastAsia="es-ES"/>
        </w:rPr>
        <w:t xml:space="preserve"> la suspensión temporal, separación, remoción, baja, cese o cualquier otra forma de terminación del servicio de los elementos policiales; por lo que, es necesario traer a colación lo señalado por la Ley de Seguridad del Estado de México, que establece lo siguiente:</w:t>
      </w:r>
    </w:p>
    <w:p w14:paraId="25147B42" w14:textId="23EFA9D3" w:rsidR="00C621B1" w:rsidRPr="00C621B1" w:rsidRDefault="001367F7" w:rsidP="00C621B1">
      <w:pPr>
        <w:ind w:left="851" w:right="851"/>
        <w:jc w:val="both"/>
        <w:rPr>
          <w:rFonts w:ascii="Palatino Linotype" w:eastAsia="Calibri" w:hAnsi="Palatino Linotype" w:cs="Tahoma"/>
          <w:bCs/>
          <w:i/>
          <w:sz w:val="22"/>
          <w:szCs w:val="22"/>
          <w:lang w:eastAsia="en-US"/>
        </w:rPr>
      </w:pPr>
      <w:r>
        <w:rPr>
          <w:rFonts w:ascii="Palatino Linotype" w:eastAsia="Calibri" w:hAnsi="Palatino Linotype" w:cs="Tahoma"/>
          <w:b/>
          <w:bCs/>
          <w:i/>
          <w:sz w:val="22"/>
          <w:szCs w:val="22"/>
          <w:lang w:eastAsia="en-US"/>
        </w:rPr>
        <w:lastRenderedPageBreak/>
        <w:t>“</w:t>
      </w:r>
      <w:r w:rsidR="00C621B1" w:rsidRPr="00C621B1">
        <w:rPr>
          <w:rFonts w:ascii="Palatino Linotype" w:eastAsia="Calibri" w:hAnsi="Palatino Linotype" w:cs="Tahoma"/>
          <w:b/>
          <w:bCs/>
          <w:i/>
          <w:sz w:val="22"/>
          <w:szCs w:val="22"/>
          <w:lang w:eastAsia="en-US"/>
        </w:rPr>
        <w:t>Artículo 160.-</w:t>
      </w:r>
      <w:r w:rsidR="00C621B1" w:rsidRPr="00C621B1">
        <w:rPr>
          <w:rFonts w:ascii="Palatino Linotype" w:eastAsia="Calibri" w:hAnsi="Palatino Linotype" w:cs="Tahoma"/>
          <w:bCs/>
          <w:i/>
          <w:sz w:val="22"/>
          <w:szCs w:val="22"/>
          <w:lang w:eastAsia="en-US"/>
        </w:rPr>
        <w:t xml:space="preserve"> </w:t>
      </w:r>
      <w:r w:rsidR="00C621B1" w:rsidRPr="00C621B1">
        <w:rPr>
          <w:rFonts w:ascii="Palatino Linotype" w:eastAsia="Calibri" w:hAnsi="Palatino Linotype" w:cs="Tahoma"/>
          <w:b/>
          <w:i/>
          <w:sz w:val="22"/>
          <w:szCs w:val="22"/>
          <w:u w:val="single"/>
          <w:lang w:eastAsia="en-US"/>
        </w:rPr>
        <w:t>La Comisión de Honor y Justicia, es un órgano colegiado que tendrá como atribución llevar a cabo</w:t>
      </w:r>
      <w:r w:rsidR="00C621B1" w:rsidRPr="00C621B1">
        <w:rPr>
          <w:rFonts w:ascii="Palatino Linotype" w:eastAsia="Calibri" w:hAnsi="Palatino Linotype" w:cs="Tahoma"/>
          <w:bCs/>
          <w:i/>
          <w:sz w:val="22"/>
          <w:szCs w:val="22"/>
          <w:lang w:eastAsia="en-US"/>
        </w:rPr>
        <w:t xml:space="preserve">, en el ámbito de su competencia, </w:t>
      </w:r>
      <w:r w:rsidR="00C621B1" w:rsidRPr="00C621B1">
        <w:rPr>
          <w:rFonts w:ascii="Palatino Linotype" w:eastAsia="Calibri" w:hAnsi="Palatino Linotype" w:cs="Tahoma"/>
          <w:b/>
          <w:i/>
          <w:sz w:val="22"/>
          <w:szCs w:val="22"/>
          <w:u w:val="single"/>
          <w:lang w:eastAsia="en-US"/>
        </w:rPr>
        <w:t>los procedimientos en los que se resuelva la suspensión temporal, separación, remoción, baja, cese o cualquier otra forma de terminación del servicio de los elementos policiales de conformidad con lo establecido en el artículo 123, apartado B, fracción XIII de la Constitución Federal y la Ley General</w:t>
      </w:r>
      <w:r w:rsidR="00C621B1" w:rsidRPr="00C621B1">
        <w:rPr>
          <w:rFonts w:ascii="Palatino Linotype" w:eastAsia="Calibri" w:hAnsi="Palatino Linotype" w:cs="Tahoma"/>
          <w:bCs/>
          <w:i/>
          <w:sz w:val="22"/>
          <w:szCs w:val="22"/>
          <w:lang w:eastAsia="en-US"/>
        </w:rPr>
        <w:t>, cuando incumplan:</w:t>
      </w:r>
    </w:p>
    <w:p w14:paraId="1DC94CF9" w14:textId="77777777" w:rsidR="00C621B1" w:rsidRPr="00C621B1" w:rsidRDefault="00C621B1" w:rsidP="00C621B1">
      <w:pPr>
        <w:ind w:left="851" w:right="851"/>
        <w:jc w:val="both"/>
        <w:rPr>
          <w:rFonts w:ascii="Palatino Linotype" w:eastAsia="Calibri" w:hAnsi="Palatino Linotype" w:cs="Tahoma"/>
          <w:bCs/>
          <w:i/>
          <w:sz w:val="22"/>
          <w:szCs w:val="22"/>
          <w:lang w:eastAsia="en-US"/>
        </w:rPr>
      </w:pPr>
      <w:r w:rsidRPr="00C621B1">
        <w:rPr>
          <w:rFonts w:ascii="Palatino Linotype" w:eastAsia="Calibri" w:hAnsi="Palatino Linotype" w:cs="Tahoma"/>
          <w:bCs/>
          <w:i/>
          <w:sz w:val="22"/>
          <w:szCs w:val="22"/>
          <w:lang w:eastAsia="en-US"/>
        </w:rPr>
        <w:t>I. Con los requisitos de permanencia que se establecen en la Ley General, esta Ley y demás disposiciones legales aplicables;</w:t>
      </w:r>
    </w:p>
    <w:p w14:paraId="4E9AB690" w14:textId="77777777" w:rsidR="00C621B1" w:rsidRPr="00C621B1" w:rsidRDefault="00C621B1" w:rsidP="00C621B1">
      <w:pPr>
        <w:ind w:left="851" w:right="851"/>
        <w:jc w:val="both"/>
        <w:rPr>
          <w:rFonts w:ascii="Palatino Linotype" w:eastAsia="Calibri" w:hAnsi="Palatino Linotype" w:cs="Tahoma"/>
          <w:bCs/>
          <w:i/>
          <w:sz w:val="22"/>
          <w:szCs w:val="22"/>
          <w:lang w:eastAsia="en-US"/>
        </w:rPr>
      </w:pPr>
      <w:r w:rsidRPr="00C621B1">
        <w:rPr>
          <w:rFonts w:ascii="Palatino Linotype" w:eastAsia="Calibri" w:hAnsi="Palatino Linotype" w:cs="Tahoma"/>
          <w:bCs/>
          <w:i/>
          <w:sz w:val="22"/>
          <w:szCs w:val="22"/>
          <w:lang w:eastAsia="en-US"/>
        </w:rPr>
        <w:t>II. Con las obligaciones establecidas en la Ley General, esta Ley y los ordenamientos jurídicos internos que rigen su actuar; y</w:t>
      </w:r>
    </w:p>
    <w:p w14:paraId="205A7E71" w14:textId="77777777" w:rsidR="00C621B1" w:rsidRPr="00C621B1" w:rsidRDefault="00C621B1" w:rsidP="00C621B1">
      <w:pPr>
        <w:ind w:left="851" w:right="851"/>
        <w:jc w:val="both"/>
        <w:rPr>
          <w:rFonts w:ascii="Palatino Linotype" w:eastAsia="Calibri" w:hAnsi="Palatino Linotype" w:cs="Tahoma"/>
          <w:bCs/>
          <w:i/>
          <w:sz w:val="22"/>
          <w:szCs w:val="22"/>
          <w:lang w:eastAsia="en-US"/>
        </w:rPr>
      </w:pPr>
      <w:r w:rsidRPr="00C621B1">
        <w:rPr>
          <w:rFonts w:ascii="Palatino Linotype" w:eastAsia="Calibri" w:hAnsi="Palatino Linotype" w:cs="Tahoma"/>
          <w:bCs/>
          <w:i/>
          <w:sz w:val="22"/>
          <w:szCs w:val="22"/>
          <w:lang w:eastAsia="en-US"/>
        </w:rPr>
        <w:t>III. Con el régimen disciplinario establecido en esta Ley.</w:t>
      </w:r>
    </w:p>
    <w:p w14:paraId="4AB17D82" w14:textId="77777777" w:rsidR="00C621B1" w:rsidRPr="00C621B1" w:rsidRDefault="00C621B1" w:rsidP="00C621B1">
      <w:pPr>
        <w:ind w:left="851" w:right="851"/>
        <w:jc w:val="both"/>
        <w:rPr>
          <w:rFonts w:ascii="Palatino Linotype" w:eastAsia="Calibri" w:hAnsi="Palatino Linotype" w:cs="Tahoma"/>
          <w:bCs/>
          <w:i/>
          <w:sz w:val="22"/>
          <w:szCs w:val="22"/>
          <w:lang w:eastAsia="en-US"/>
        </w:rPr>
      </w:pPr>
      <w:r w:rsidRPr="00C621B1">
        <w:rPr>
          <w:rFonts w:ascii="Palatino Linotype" w:eastAsia="Calibri" w:hAnsi="Palatino Linotype" w:cs="Tahoma"/>
          <w:bCs/>
          <w:i/>
          <w:sz w:val="22"/>
          <w:szCs w:val="22"/>
          <w:lang w:eastAsia="en-US"/>
        </w:rPr>
        <w:t>La Comisión de Honor y Justicia implementará una base de datos en la que se registrarán las sanciones impuestas a los integrantes de las Instituciones Policiales.</w:t>
      </w:r>
    </w:p>
    <w:p w14:paraId="1628B082" w14:textId="77777777" w:rsidR="00C621B1" w:rsidRPr="00C621B1" w:rsidRDefault="00C621B1" w:rsidP="00C621B1">
      <w:pPr>
        <w:ind w:left="851" w:right="851"/>
        <w:jc w:val="both"/>
        <w:rPr>
          <w:rFonts w:ascii="Palatino Linotype" w:eastAsia="Calibri" w:hAnsi="Palatino Linotype" w:cs="Tahoma"/>
          <w:bCs/>
          <w:i/>
          <w:sz w:val="22"/>
          <w:szCs w:val="22"/>
          <w:lang w:eastAsia="en-US"/>
        </w:rPr>
      </w:pPr>
    </w:p>
    <w:p w14:paraId="32081B42" w14:textId="77777777" w:rsidR="00C621B1" w:rsidRPr="00A4195E" w:rsidRDefault="00C621B1" w:rsidP="00C621B1">
      <w:pPr>
        <w:ind w:left="851" w:right="851"/>
        <w:jc w:val="both"/>
        <w:rPr>
          <w:rFonts w:ascii="Palatino Linotype" w:eastAsia="Calibri" w:hAnsi="Palatino Linotype" w:cs="Tahoma"/>
          <w:b/>
          <w:bCs/>
          <w:i/>
          <w:sz w:val="22"/>
          <w:szCs w:val="22"/>
          <w:u w:val="single"/>
          <w:lang w:eastAsia="en-US"/>
        </w:rPr>
      </w:pPr>
      <w:r w:rsidRPr="00C621B1">
        <w:rPr>
          <w:rFonts w:ascii="Palatino Linotype" w:eastAsia="Calibri" w:hAnsi="Palatino Linotype" w:cs="Tahoma"/>
          <w:b/>
          <w:bCs/>
          <w:i/>
          <w:sz w:val="22"/>
          <w:szCs w:val="22"/>
          <w:lang w:eastAsia="en-US"/>
        </w:rPr>
        <w:t>Artículo 161.-</w:t>
      </w:r>
      <w:r w:rsidRPr="00A4195E">
        <w:rPr>
          <w:rFonts w:ascii="Palatino Linotype" w:eastAsia="Calibri" w:hAnsi="Palatino Linotype" w:cs="Tahoma"/>
          <w:b/>
          <w:bCs/>
          <w:i/>
          <w:sz w:val="22"/>
          <w:szCs w:val="22"/>
          <w:u w:val="single"/>
          <w:lang w:eastAsia="en-US"/>
        </w:rPr>
        <w:t xml:space="preserve"> Las Instituciones Policiales establecerán una Comisión de Honor y Justicia, que estará integrada por:</w:t>
      </w:r>
    </w:p>
    <w:p w14:paraId="7C0A7702" w14:textId="77777777" w:rsidR="00C621B1" w:rsidRPr="00A4195E" w:rsidRDefault="00C621B1" w:rsidP="00C621B1">
      <w:pPr>
        <w:ind w:left="851" w:right="851"/>
        <w:jc w:val="both"/>
        <w:rPr>
          <w:rFonts w:ascii="Palatino Linotype" w:eastAsia="Calibri" w:hAnsi="Palatino Linotype" w:cs="Tahoma"/>
          <w:b/>
          <w:bCs/>
          <w:i/>
          <w:sz w:val="22"/>
          <w:szCs w:val="22"/>
          <w:u w:val="single"/>
          <w:lang w:eastAsia="en-US"/>
        </w:rPr>
      </w:pPr>
      <w:r w:rsidRPr="00A4195E">
        <w:rPr>
          <w:rFonts w:ascii="Palatino Linotype" w:eastAsia="Calibri" w:hAnsi="Palatino Linotype" w:cs="Tahoma"/>
          <w:b/>
          <w:bCs/>
          <w:i/>
          <w:sz w:val="22"/>
          <w:szCs w:val="22"/>
          <w:u w:val="single"/>
          <w:lang w:eastAsia="en-US"/>
        </w:rPr>
        <w:t>I. Un presidente que tendrá voto de calidad;</w:t>
      </w:r>
    </w:p>
    <w:p w14:paraId="3884853B" w14:textId="77777777" w:rsidR="00C621B1" w:rsidRPr="00A4195E" w:rsidRDefault="00C621B1" w:rsidP="00C621B1">
      <w:pPr>
        <w:ind w:left="851" w:right="851"/>
        <w:jc w:val="both"/>
        <w:rPr>
          <w:rFonts w:ascii="Palatino Linotype" w:eastAsia="Calibri" w:hAnsi="Palatino Linotype" w:cs="Tahoma"/>
          <w:b/>
          <w:bCs/>
          <w:i/>
          <w:sz w:val="22"/>
          <w:szCs w:val="22"/>
          <w:u w:val="single"/>
          <w:lang w:eastAsia="en-US"/>
        </w:rPr>
      </w:pPr>
      <w:r w:rsidRPr="00A4195E">
        <w:rPr>
          <w:rFonts w:ascii="Palatino Linotype" w:eastAsia="Calibri" w:hAnsi="Palatino Linotype" w:cs="Tahoma"/>
          <w:b/>
          <w:bCs/>
          <w:i/>
          <w:sz w:val="22"/>
          <w:szCs w:val="22"/>
          <w:u w:val="single"/>
          <w:lang w:eastAsia="en-US"/>
        </w:rPr>
        <w:t>II. Un secretario que será el titular del jurídico de la Institución y contará con voz y voto; y</w:t>
      </w:r>
    </w:p>
    <w:p w14:paraId="4EF80BDD" w14:textId="77777777" w:rsidR="00C621B1" w:rsidRPr="00A4195E" w:rsidRDefault="00C621B1" w:rsidP="00C621B1">
      <w:pPr>
        <w:ind w:left="851" w:right="851"/>
        <w:jc w:val="both"/>
        <w:rPr>
          <w:rFonts w:ascii="Palatino Linotype" w:eastAsia="Calibri" w:hAnsi="Palatino Linotype" w:cs="Tahoma"/>
          <w:b/>
          <w:bCs/>
          <w:i/>
          <w:sz w:val="22"/>
          <w:szCs w:val="22"/>
          <w:u w:val="single"/>
          <w:lang w:eastAsia="en-US"/>
        </w:rPr>
      </w:pPr>
      <w:r w:rsidRPr="00A4195E">
        <w:rPr>
          <w:rFonts w:ascii="Palatino Linotype" w:eastAsia="Calibri" w:hAnsi="Palatino Linotype" w:cs="Tahoma"/>
          <w:b/>
          <w:bCs/>
          <w:i/>
          <w:sz w:val="22"/>
          <w:szCs w:val="22"/>
          <w:u w:val="single"/>
          <w:lang w:eastAsia="en-US"/>
        </w:rPr>
        <w:t>III. Un representante de la unidad operativa de investigación, prevención o reacción según sea el caso.</w:t>
      </w:r>
    </w:p>
    <w:p w14:paraId="1CEBF88D" w14:textId="77777777" w:rsidR="00C621B1" w:rsidRPr="00A4195E" w:rsidRDefault="00C621B1" w:rsidP="00C621B1">
      <w:pPr>
        <w:ind w:left="851" w:right="851"/>
        <w:jc w:val="both"/>
        <w:rPr>
          <w:rFonts w:ascii="Palatino Linotype" w:eastAsia="Calibri" w:hAnsi="Palatino Linotype" w:cs="Tahoma"/>
          <w:b/>
          <w:bCs/>
          <w:i/>
          <w:sz w:val="22"/>
          <w:szCs w:val="22"/>
          <w:u w:val="single"/>
          <w:lang w:eastAsia="en-US"/>
        </w:rPr>
      </w:pPr>
      <w:r w:rsidRPr="00A4195E">
        <w:rPr>
          <w:rFonts w:ascii="Palatino Linotype" w:eastAsia="Calibri" w:hAnsi="Palatino Linotype" w:cs="Tahoma"/>
          <w:b/>
          <w:bCs/>
          <w:i/>
          <w:sz w:val="22"/>
          <w:szCs w:val="22"/>
          <w:u w:val="single"/>
          <w:lang w:eastAsia="en-US"/>
        </w:rPr>
        <w:t>El presidente y el representante serán designados por el titular de la dependencia.</w:t>
      </w:r>
      <w:r w:rsidRPr="00A4195E">
        <w:rPr>
          <w:rFonts w:ascii="Palatino Linotype" w:eastAsia="Calibri" w:hAnsi="Palatino Linotype" w:cs="Tahoma"/>
          <w:b/>
          <w:bCs/>
          <w:i/>
          <w:sz w:val="22"/>
          <w:szCs w:val="22"/>
          <w:u w:val="single"/>
          <w:lang w:eastAsia="en-US"/>
        </w:rPr>
        <w:cr/>
      </w:r>
    </w:p>
    <w:p w14:paraId="23AAF5D7" w14:textId="77777777" w:rsidR="00C621B1" w:rsidRPr="00C621B1" w:rsidRDefault="00C621B1" w:rsidP="00C621B1">
      <w:pPr>
        <w:ind w:left="851" w:right="851"/>
        <w:jc w:val="both"/>
        <w:rPr>
          <w:rFonts w:ascii="Palatino Linotype" w:eastAsia="Calibri" w:hAnsi="Palatino Linotype" w:cs="Tahoma"/>
          <w:bCs/>
          <w:i/>
          <w:sz w:val="22"/>
          <w:szCs w:val="22"/>
          <w:lang w:eastAsia="en-US"/>
        </w:rPr>
      </w:pPr>
      <w:r w:rsidRPr="00C621B1">
        <w:rPr>
          <w:rFonts w:ascii="Palatino Linotype" w:eastAsia="Calibri" w:hAnsi="Palatino Linotype" w:cs="Tahoma"/>
          <w:b/>
          <w:bCs/>
          <w:i/>
          <w:sz w:val="22"/>
          <w:szCs w:val="22"/>
          <w:lang w:eastAsia="en-US"/>
        </w:rPr>
        <w:t>Artículo 163</w:t>
      </w:r>
      <w:r w:rsidRPr="00C621B1">
        <w:rPr>
          <w:rFonts w:ascii="Palatino Linotype" w:eastAsia="Calibri" w:hAnsi="Palatino Linotype" w:cs="Tahoma"/>
          <w:bCs/>
          <w:i/>
          <w:sz w:val="22"/>
          <w:szCs w:val="22"/>
          <w:lang w:eastAsia="en-US"/>
        </w:rPr>
        <w:t>. Cuando un integrante de las instituciones de seguridad pública incumpla con alguno de los requisitos de permanencia, las obligaciones establecidas en la Ley General, esta Ley y los ordenamientos jurídicos internos que rigen su actuar o con el régimen disciplinario establecido en este ordenamiento, la Unidad de Asuntos Internos integrará el expediente que sustente dicha irregularidad y lo remitirá a la brevedad a la Comisión de Honor y Justicia.</w:t>
      </w:r>
    </w:p>
    <w:p w14:paraId="70A610EB" w14:textId="77777777" w:rsidR="00C621B1" w:rsidRPr="00C621B1" w:rsidRDefault="00C621B1" w:rsidP="00C621B1">
      <w:pPr>
        <w:ind w:left="851" w:right="851"/>
        <w:jc w:val="both"/>
        <w:rPr>
          <w:rFonts w:ascii="Palatino Linotype" w:eastAsia="Calibri" w:hAnsi="Palatino Linotype" w:cs="Tahoma"/>
          <w:b/>
          <w:bCs/>
          <w:i/>
          <w:sz w:val="22"/>
          <w:szCs w:val="22"/>
          <w:lang w:eastAsia="en-US"/>
        </w:rPr>
      </w:pPr>
    </w:p>
    <w:p w14:paraId="2DE40314" w14:textId="77777777" w:rsidR="00C621B1" w:rsidRPr="00C621B1" w:rsidRDefault="00C621B1" w:rsidP="00C621B1">
      <w:pPr>
        <w:ind w:left="851" w:right="851"/>
        <w:jc w:val="both"/>
        <w:rPr>
          <w:rFonts w:ascii="Palatino Linotype" w:eastAsia="Calibri" w:hAnsi="Palatino Linotype" w:cs="Tahoma"/>
          <w:bCs/>
          <w:i/>
          <w:sz w:val="22"/>
          <w:szCs w:val="22"/>
          <w:lang w:eastAsia="en-US"/>
        </w:rPr>
      </w:pPr>
      <w:r w:rsidRPr="00C621B1">
        <w:rPr>
          <w:rFonts w:ascii="Palatino Linotype" w:eastAsia="Calibri" w:hAnsi="Palatino Linotype" w:cs="Tahoma"/>
          <w:b/>
          <w:bCs/>
          <w:i/>
          <w:sz w:val="22"/>
          <w:szCs w:val="22"/>
          <w:lang w:eastAsia="en-US"/>
        </w:rPr>
        <w:t>Artículo 164.-</w:t>
      </w:r>
      <w:r w:rsidRPr="00C621B1">
        <w:rPr>
          <w:rFonts w:ascii="Palatino Linotype" w:eastAsia="Calibri" w:hAnsi="Palatino Linotype" w:cs="Tahoma"/>
          <w:bCs/>
          <w:i/>
          <w:sz w:val="22"/>
          <w:szCs w:val="22"/>
          <w:lang w:eastAsia="en-US"/>
        </w:rPr>
        <w:t xml:space="preserve"> La Comisión de Honor y Justicia, cuando le sea remitido un expediente a que se refiere el artículo anterior, abrirá un periodo de información previa, con la finalidad de conocer las circunstancias del caso concreto y estar en posibilidad de determinar la conveniencia o no de tramitar el procedimiento administrativo correspondiente.</w:t>
      </w:r>
    </w:p>
    <w:p w14:paraId="1F56EBE9" w14:textId="77777777" w:rsidR="00C621B1" w:rsidRPr="00C621B1" w:rsidRDefault="00C621B1" w:rsidP="00C621B1">
      <w:pPr>
        <w:ind w:left="851" w:right="851"/>
        <w:jc w:val="both"/>
        <w:rPr>
          <w:rFonts w:ascii="Palatino Linotype" w:eastAsia="Calibri" w:hAnsi="Palatino Linotype" w:cs="Tahoma"/>
          <w:b/>
          <w:bCs/>
          <w:i/>
          <w:sz w:val="22"/>
          <w:szCs w:val="22"/>
          <w:lang w:eastAsia="en-US"/>
        </w:rPr>
      </w:pPr>
    </w:p>
    <w:p w14:paraId="64A514B9" w14:textId="77777777" w:rsidR="00C621B1" w:rsidRPr="00C621B1" w:rsidRDefault="00C621B1" w:rsidP="00C621B1">
      <w:pPr>
        <w:ind w:left="851" w:right="851"/>
        <w:jc w:val="both"/>
        <w:rPr>
          <w:rFonts w:ascii="Palatino Linotype" w:eastAsia="Calibri" w:hAnsi="Palatino Linotype" w:cs="Tahoma"/>
          <w:bCs/>
          <w:i/>
          <w:sz w:val="22"/>
          <w:szCs w:val="22"/>
          <w:lang w:eastAsia="en-US"/>
        </w:rPr>
      </w:pPr>
      <w:r w:rsidRPr="00C621B1">
        <w:rPr>
          <w:rFonts w:ascii="Palatino Linotype" w:eastAsia="Calibri" w:hAnsi="Palatino Linotype" w:cs="Tahoma"/>
          <w:b/>
          <w:bCs/>
          <w:i/>
          <w:sz w:val="22"/>
          <w:szCs w:val="22"/>
          <w:lang w:eastAsia="en-US"/>
        </w:rPr>
        <w:lastRenderedPageBreak/>
        <w:t>Artículo 166.-</w:t>
      </w:r>
      <w:r w:rsidRPr="00C621B1">
        <w:rPr>
          <w:rFonts w:ascii="Palatino Linotype" w:eastAsia="Calibri" w:hAnsi="Palatino Linotype" w:cs="Tahoma"/>
          <w:bCs/>
          <w:i/>
          <w:sz w:val="22"/>
          <w:szCs w:val="22"/>
          <w:lang w:eastAsia="en-US"/>
        </w:rPr>
        <w:t xml:space="preserve"> De ser procedente, la Comisión de Honor y Justicia, iniciará procedimiento administrativo al elemento policial, asignándole al expediente correspondiente un número progresivo e incluirá el año que se inicia. El número se anotará en todas las promociones y actuaciones que se produzcan con el mismo.</w:t>
      </w:r>
    </w:p>
    <w:p w14:paraId="2C18D733" w14:textId="77777777" w:rsidR="00C621B1" w:rsidRPr="00C621B1" w:rsidRDefault="00C621B1" w:rsidP="00C621B1">
      <w:pPr>
        <w:ind w:left="851" w:right="851"/>
        <w:jc w:val="both"/>
        <w:rPr>
          <w:rFonts w:ascii="Palatino Linotype" w:eastAsia="Calibri" w:hAnsi="Palatino Linotype" w:cs="Tahoma"/>
          <w:b/>
          <w:bCs/>
          <w:i/>
          <w:sz w:val="22"/>
          <w:szCs w:val="22"/>
          <w:lang w:eastAsia="en-US"/>
        </w:rPr>
      </w:pPr>
    </w:p>
    <w:p w14:paraId="500478C6" w14:textId="77777777" w:rsidR="00C621B1" w:rsidRPr="00C621B1" w:rsidRDefault="00C621B1" w:rsidP="00C621B1">
      <w:pPr>
        <w:ind w:left="851" w:right="851"/>
        <w:jc w:val="both"/>
        <w:rPr>
          <w:rFonts w:ascii="Palatino Linotype" w:eastAsia="Calibri" w:hAnsi="Palatino Linotype" w:cs="Tahoma"/>
          <w:bCs/>
          <w:i/>
          <w:sz w:val="22"/>
          <w:szCs w:val="22"/>
          <w:lang w:eastAsia="en-US"/>
        </w:rPr>
      </w:pPr>
      <w:r w:rsidRPr="00C621B1">
        <w:rPr>
          <w:rFonts w:ascii="Palatino Linotype" w:eastAsia="Calibri" w:hAnsi="Palatino Linotype" w:cs="Tahoma"/>
          <w:b/>
          <w:bCs/>
          <w:i/>
          <w:sz w:val="22"/>
          <w:szCs w:val="22"/>
          <w:lang w:eastAsia="en-US"/>
        </w:rPr>
        <w:t>Artículo 167.-</w:t>
      </w:r>
      <w:r w:rsidRPr="00C621B1">
        <w:rPr>
          <w:rFonts w:ascii="Palatino Linotype" w:eastAsia="Calibri" w:hAnsi="Palatino Linotype" w:cs="Tahoma"/>
          <w:bCs/>
          <w:i/>
          <w:sz w:val="22"/>
          <w:szCs w:val="22"/>
          <w:lang w:eastAsia="en-US"/>
        </w:rPr>
        <w:t xml:space="preserve"> La Comisión de Honor y Justicia otorgará al elemento policial sujeto a procedimiento garantía de audiencia a efecto de que conozca la irregularidad que se le imputa, ofrezca pruebas y alegue en su favor.</w:t>
      </w:r>
    </w:p>
    <w:p w14:paraId="569A1513" w14:textId="77777777" w:rsidR="00C621B1" w:rsidRPr="00C621B1" w:rsidRDefault="00C621B1" w:rsidP="00C621B1">
      <w:pPr>
        <w:ind w:left="851" w:right="851"/>
        <w:jc w:val="both"/>
        <w:rPr>
          <w:rFonts w:ascii="Palatino Linotype" w:eastAsia="Calibri" w:hAnsi="Palatino Linotype" w:cs="Tahoma"/>
          <w:b/>
          <w:bCs/>
          <w:i/>
          <w:sz w:val="22"/>
          <w:szCs w:val="22"/>
          <w:lang w:eastAsia="en-US"/>
        </w:rPr>
      </w:pPr>
    </w:p>
    <w:p w14:paraId="70276F3D" w14:textId="77777777" w:rsidR="00C621B1" w:rsidRPr="00C621B1" w:rsidRDefault="00C621B1" w:rsidP="00C621B1">
      <w:pPr>
        <w:ind w:left="851" w:right="851"/>
        <w:jc w:val="both"/>
        <w:rPr>
          <w:rFonts w:ascii="Palatino Linotype" w:eastAsia="Calibri" w:hAnsi="Palatino Linotype" w:cs="Tahoma"/>
          <w:bCs/>
          <w:i/>
          <w:sz w:val="22"/>
          <w:szCs w:val="22"/>
          <w:lang w:eastAsia="en-US"/>
        </w:rPr>
      </w:pPr>
      <w:r w:rsidRPr="00C621B1">
        <w:rPr>
          <w:rFonts w:ascii="Palatino Linotype" w:eastAsia="Calibri" w:hAnsi="Palatino Linotype" w:cs="Tahoma"/>
          <w:b/>
          <w:bCs/>
          <w:i/>
          <w:sz w:val="22"/>
          <w:szCs w:val="22"/>
          <w:lang w:eastAsia="en-US"/>
        </w:rPr>
        <w:t>Artículo 171.-</w:t>
      </w:r>
      <w:r w:rsidRPr="00C621B1">
        <w:rPr>
          <w:rFonts w:ascii="Palatino Linotype" w:eastAsia="Calibri" w:hAnsi="Palatino Linotype" w:cs="Tahoma"/>
          <w:bCs/>
          <w:i/>
          <w:sz w:val="22"/>
          <w:szCs w:val="22"/>
          <w:lang w:eastAsia="en-US"/>
        </w:rPr>
        <w:t xml:space="preserve"> De no comparecer el servidor público en el día y hora señalados en el citatorio, se hará constar su inasistencia y se tendrá por satisfecha la garantía de audiencia y perdido su derecho a ofrecer pruebas y alegar en su favor.</w:t>
      </w:r>
    </w:p>
    <w:p w14:paraId="33E3623C" w14:textId="77777777" w:rsidR="00C621B1" w:rsidRPr="00C621B1" w:rsidRDefault="00C621B1" w:rsidP="00C621B1">
      <w:pPr>
        <w:ind w:left="851" w:right="851"/>
        <w:jc w:val="both"/>
        <w:rPr>
          <w:rFonts w:ascii="Palatino Linotype" w:eastAsia="Calibri" w:hAnsi="Palatino Linotype" w:cs="Tahoma"/>
          <w:b/>
          <w:bCs/>
          <w:i/>
          <w:sz w:val="22"/>
          <w:szCs w:val="22"/>
          <w:lang w:eastAsia="en-US"/>
        </w:rPr>
      </w:pPr>
    </w:p>
    <w:p w14:paraId="353C6101" w14:textId="77777777" w:rsidR="00C621B1" w:rsidRPr="00C621B1" w:rsidRDefault="00C621B1" w:rsidP="00C621B1">
      <w:pPr>
        <w:ind w:left="851" w:right="851"/>
        <w:jc w:val="both"/>
        <w:rPr>
          <w:rFonts w:ascii="Palatino Linotype" w:eastAsia="Calibri" w:hAnsi="Palatino Linotype" w:cs="Tahoma"/>
          <w:bCs/>
          <w:i/>
          <w:sz w:val="22"/>
          <w:szCs w:val="22"/>
          <w:lang w:eastAsia="en-US"/>
        </w:rPr>
      </w:pPr>
      <w:r w:rsidRPr="00C621B1">
        <w:rPr>
          <w:rFonts w:ascii="Palatino Linotype" w:eastAsia="Calibri" w:hAnsi="Palatino Linotype" w:cs="Tahoma"/>
          <w:b/>
          <w:bCs/>
          <w:i/>
          <w:sz w:val="22"/>
          <w:szCs w:val="22"/>
          <w:lang w:eastAsia="en-US"/>
        </w:rPr>
        <w:t>Artículo 175.-</w:t>
      </w:r>
      <w:r w:rsidRPr="00C621B1">
        <w:rPr>
          <w:rFonts w:ascii="Palatino Linotype" w:eastAsia="Calibri" w:hAnsi="Palatino Linotype" w:cs="Tahoma"/>
          <w:bCs/>
          <w:i/>
          <w:sz w:val="22"/>
          <w:szCs w:val="22"/>
          <w:lang w:eastAsia="en-US"/>
        </w:rPr>
        <w:t xml:space="preserve"> El procedimiento terminará por:</w:t>
      </w:r>
    </w:p>
    <w:p w14:paraId="68622898" w14:textId="77777777" w:rsidR="00C621B1" w:rsidRPr="00C621B1" w:rsidRDefault="00C621B1" w:rsidP="00C621B1">
      <w:pPr>
        <w:ind w:left="851" w:right="851"/>
        <w:jc w:val="both"/>
        <w:rPr>
          <w:rFonts w:ascii="Palatino Linotype" w:eastAsia="Calibri" w:hAnsi="Palatino Linotype" w:cs="Tahoma"/>
          <w:bCs/>
          <w:i/>
          <w:sz w:val="22"/>
          <w:szCs w:val="22"/>
          <w:lang w:eastAsia="en-US"/>
        </w:rPr>
      </w:pPr>
      <w:r w:rsidRPr="00C621B1">
        <w:rPr>
          <w:rFonts w:ascii="Palatino Linotype" w:eastAsia="Calibri" w:hAnsi="Palatino Linotype" w:cs="Tahoma"/>
          <w:bCs/>
          <w:i/>
          <w:sz w:val="22"/>
          <w:szCs w:val="22"/>
          <w:lang w:eastAsia="en-US"/>
        </w:rPr>
        <w:t>I. Convenio; y</w:t>
      </w:r>
    </w:p>
    <w:p w14:paraId="18BC4921" w14:textId="77777777" w:rsidR="00C621B1" w:rsidRPr="00C621B1" w:rsidRDefault="00C621B1" w:rsidP="00C621B1">
      <w:pPr>
        <w:ind w:left="851" w:right="851"/>
        <w:jc w:val="both"/>
        <w:rPr>
          <w:rFonts w:ascii="Palatino Linotype" w:eastAsia="Calibri" w:hAnsi="Palatino Linotype" w:cs="Tahoma"/>
          <w:bCs/>
          <w:i/>
          <w:sz w:val="22"/>
          <w:szCs w:val="22"/>
          <w:lang w:eastAsia="en-US"/>
        </w:rPr>
      </w:pPr>
      <w:r w:rsidRPr="00C621B1">
        <w:rPr>
          <w:rFonts w:ascii="Palatino Linotype" w:eastAsia="Calibri" w:hAnsi="Palatino Linotype" w:cs="Tahoma"/>
          <w:bCs/>
          <w:i/>
          <w:sz w:val="22"/>
          <w:szCs w:val="22"/>
          <w:lang w:eastAsia="en-US"/>
        </w:rPr>
        <w:t>II. Resolución expresa del mismo.</w:t>
      </w:r>
    </w:p>
    <w:p w14:paraId="0A4E3EC6" w14:textId="77777777" w:rsidR="00C621B1" w:rsidRPr="00C621B1" w:rsidRDefault="00C621B1" w:rsidP="00C621B1">
      <w:pPr>
        <w:ind w:left="851" w:right="851"/>
        <w:jc w:val="both"/>
        <w:rPr>
          <w:rFonts w:ascii="Palatino Linotype" w:eastAsia="Calibri" w:hAnsi="Palatino Linotype" w:cs="Tahoma"/>
          <w:b/>
          <w:bCs/>
          <w:i/>
          <w:sz w:val="22"/>
          <w:szCs w:val="22"/>
          <w:lang w:eastAsia="en-US"/>
        </w:rPr>
      </w:pPr>
    </w:p>
    <w:p w14:paraId="76CAE5DA" w14:textId="77777777" w:rsidR="00C621B1" w:rsidRPr="00C621B1" w:rsidRDefault="00C621B1" w:rsidP="00C621B1">
      <w:pPr>
        <w:ind w:left="851" w:right="851"/>
        <w:jc w:val="both"/>
        <w:rPr>
          <w:rFonts w:ascii="Palatino Linotype" w:eastAsia="Calibri" w:hAnsi="Palatino Linotype" w:cs="Tahoma"/>
          <w:bCs/>
          <w:i/>
          <w:sz w:val="22"/>
          <w:szCs w:val="22"/>
          <w:lang w:eastAsia="en-US"/>
        </w:rPr>
      </w:pPr>
      <w:r w:rsidRPr="00C621B1">
        <w:rPr>
          <w:rFonts w:ascii="Palatino Linotype" w:eastAsia="Calibri" w:hAnsi="Palatino Linotype" w:cs="Tahoma"/>
          <w:b/>
          <w:bCs/>
          <w:i/>
          <w:sz w:val="22"/>
          <w:szCs w:val="22"/>
          <w:lang w:eastAsia="en-US"/>
        </w:rPr>
        <w:t>Artículo 177</w:t>
      </w:r>
      <w:r w:rsidRPr="00C621B1">
        <w:rPr>
          <w:rFonts w:ascii="Palatino Linotype" w:eastAsia="Calibri" w:hAnsi="Palatino Linotype" w:cs="Tahoma"/>
          <w:bCs/>
          <w:i/>
          <w:sz w:val="22"/>
          <w:szCs w:val="22"/>
          <w:lang w:eastAsia="en-US"/>
        </w:rPr>
        <w:t>.- La resolución expresa que ponga fin al procedimiento indicará:</w:t>
      </w:r>
    </w:p>
    <w:p w14:paraId="60E0D7AD" w14:textId="77777777" w:rsidR="00C621B1" w:rsidRPr="00C621B1" w:rsidRDefault="00C621B1" w:rsidP="00C621B1">
      <w:pPr>
        <w:ind w:left="851" w:right="851"/>
        <w:jc w:val="both"/>
        <w:rPr>
          <w:rFonts w:ascii="Palatino Linotype" w:eastAsia="Calibri" w:hAnsi="Palatino Linotype" w:cs="Tahoma"/>
          <w:bCs/>
          <w:i/>
          <w:sz w:val="22"/>
          <w:szCs w:val="22"/>
          <w:lang w:eastAsia="en-US"/>
        </w:rPr>
      </w:pPr>
      <w:r w:rsidRPr="00C621B1">
        <w:rPr>
          <w:rFonts w:ascii="Palatino Linotype" w:eastAsia="Calibri" w:hAnsi="Palatino Linotype" w:cs="Tahoma"/>
          <w:bCs/>
          <w:i/>
          <w:sz w:val="22"/>
          <w:szCs w:val="22"/>
          <w:lang w:eastAsia="en-US"/>
        </w:rPr>
        <w:t>I. Nombre del servidor público;</w:t>
      </w:r>
    </w:p>
    <w:p w14:paraId="2CBEEEE0" w14:textId="77777777" w:rsidR="00C621B1" w:rsidRPr="00C621B1" w:rsidRDefault="00C621B1" w:rsidP="00C621B1">
      <w:pPr>
        <w:ind w:left="851" w:right="851"/>
        <w:jc w:val="both"/>
        <w:rPr>
          <w:rFonts w:ascii="Palatino Linotype" w:eastAsia="Calibri" w:hAnsi="Palatino Linotype" w:cs="Tahoma"/>
          <w:bCs/>
          <w:i/>
          <w:sz w:val="22"/>
          <w:szCs w:val="22"/>
          <w:lang w:eastAsia="en-US"/>
        </w:rPr>
      </w:pPr>
      <w:r w:rsidRPr="00C621B1">
        <w:rPr>
          <w:rFonts w:ascii="Palatino Linotype" w:eastAsia="Calibri" w:hAnsi="Palatino Linotype" w:cs="Tahoma"/>
          <w:bCs/>
          <w:i/>
          <w:sz w:val="22"/>
          <w:szCs w:val="22"/>
          <w:lang w:eastAsia="en-US"/>
        </w:rPr>
        <w:t>II. La determinación que podrá ser de: remoción, baja, cese, sobreseimiento o resolución sin sanción;</w:t>
      </w:r>
    </w:p>
    <w:p w14:paraId="33DED7D9" w14:textId="77777777" w:rsidR="00C621B1" w:rsidRPr="00C621B1" w:rsidRDefault="00C621B1" w:rsidP="00C621B1">
      <w:pPr>
        <w:ind w:left="851" w:right="851"/>
        <w:jc w:val="both"/>
        <w:rPr>
          <w:rFonts w:ascii="Palatino Linotype" w:eastAsia="Calibri" w:hAnsi="Palatino Linotype" w:cs="Tahoma"/>
          <w:bCs/>
          <w:i/>
          <w:sz w:val="22"/>
          <w:szCs w:val="22"/>
          <w:lang w:eastAsia="en-US"/>
        </w:rPr>
      </w:pPr>
      <w:r w:rsidRPr="00C621B1">
        <w:rPr>
          <w:rFonts w:ascii="Palatino Linotype" w:eastAsia="Calibri" w:hAnsi="Palatino Linotype" w:cs="Tahoma"/>
          <w:bCs/>
          <w:i/>
          <w:sz w:val="22"/>
          <w:szCs w:val="22"/>
          <w:lang w:eastAsia="en-US"/>
        </w:rPr>
        <w:t>III. Los fundamentos y motivos que la sustenten; y</w:t>
      </w:r>
    </w:p>
    <w:p w14:paraId="070B7CD2" w14:textId="77777777" w:rsidR="00C621B1" w:rsidRPr="00C621B1" w:rsidRDefault="00C621B1" w:rsidP="00C621B1">
      <w:pPr>
        <w:ind w:left="851" w:right="851"/>
        <w:jc w:val="both"/>
        <w:rPr>
          <w:rFonts w:ascii="Palatino Linotype" w:eastAsia="Calibri" w:hAnsi="Palatino Linotype" w:cs="Tahoma"/>
          <w:bCs/>
          <w:i/>
          <w:sz w:val="22"/>
          <w:szCs w:val="22"/>
          <w:lang w:eastAsia="en-US"/>
        </w:rPr>
      </w:pPr>
      <w:r w:rsidRPr="00C621B1">
        <w:rPr>
          <w:rFonts w:ascii="Palatino Linotype" w:eastAsia="Calibri" w:hAnsi="Palatino Linotype" w:cs="Tahoma"/>
          <w:bCs/>
          <w:i/>
          <w:sz w:val="22"/>
          <w:szCs w:val="22"/>
          <w:lang w:eastAsia="en-US"/>
        </w:rPr>
        <w:t>IV. El nombre, cargo y firma de los integrantes de la Comisión de Honor y Justicia.</w:t>
      </w:r>
    </w:p>
    <w:p w14:paraId="5EC047B9" w14:textId="77777777" w:rsidR="00C621B1" w:rsidRPr="00C621B1" w:rsidRDefault="00C621B1" w:rsidP="00C621B1">
      <w:pPr>
        <w:ind w:left="851" w:right="851"/>
        <w:jc w:val="both"/>
        <w:rPr>
          <w:rFonts w:ascii="Palatino Linotype" w:eastAsia="Calibri" w:hAnsi="Palatino Linotype" w:cs="Tahoma"/>
          <w:bCs/>
          <w:i/>
          <w:sz w:val="22"/>
          <w:szCs w:val="22"/>
          <w:lang w:eastAsia="en-US"/>
        </w:rPr>
      </w:pPr>
    </w:p>
    <w:p w14:paraId="118C7055" w14:textId="77777777" w:rsidR="00C621B1" w:rsidRPr="00C621B1" w:rsidRDefault="00C621B1" w:rsidP="00C621B1">
      <w:pPr>
        <w:ind w:left="851" w:right="851"/>
        <w:jc w:val="both"/>
        <w:rPr>
          <w:rFonts w:ascii="Palatino Linotype" w:eastAsia="Calibri" w:hAnsi="Palatino Linotype" w:cs="Tahoma"/>
          <w:bCs/>
          <w:i/>
          <w:sz w:val="22"/>
          <w:szCs w:val="22"/>
          <w:lang w:eastAsia="en-US"/>
        </w:rPr>
      </w:pPr>
      <w:r w:rsidRPr="00C621B1">
        <w:rPr>
          <w:rFonts w:ascii="Palatino Linotype" w:eastAsia="Calibri" w:hAnsi="Palatino Linotype" w:cs="Tahoma"/>
          <w:b/>
          <w:i/>
          <w:sz w:val="22"/>
          <w:szCs w:val="22"/>
          <w:lang w:eastAsia="en-US"/>
        </w:rPr>
        <w:t>Artículo 178.-</w:t>
      </w:r>
      <w:r w:rsidRPr="00C621B1">
        <w:rPr>
          <w:rFonts w:ascii="Palatino Linotype" w:eastAsia="Calibri" w:hAnsi="Palatino Linotype" w:cs="Tahoma"/>
          <w:bCs/>
          <w:i/>
          <w:sz w:val="22"/>
          <w:szCs w:val="22"/>
          <w:lang w:eastAsia="en-US"/>
        </w:rPr>
        <w:t xml:space="preserve"> Cuando se impongan sanciones administrativas, la motivación de la resolución considerará las siguientes circunstancias:</w:t>
      </w:r>
    </w:p>
    <w:p w14:paraId="53BE247A" w14:textId="77777777" w:rsidR="00C621B1" w:rsidRPr="00C621B1" w:rsidRDefault="00C621B1" w:rsidP="00C621B1">
      <w:pPr>
        <w:ind w:left="851" w:right="851"/>
        <w:jc w:val="both"/>
        <w:rPr>
          <w:rFonts w:ascii="Palatino Linotype" w:eastAsia="Calibri" w:hAnsi="Palatino Linotype" w:cs="Tahoma"/>
          <w:bCs/>
          <w:i/>
          <w:sz w:val="22"/>
          <w:szCs w:val="22"/>
          <w:lang w:eastAsia="en-US"/>
        </w:rPr>
      </w:pPr>
      <w:r w:rsidRPr="00C621B1">
        <w:rPr>
          <w:rFonts w:ascii="Palatino Linotype" w:eastAsia="Calibri" w:hAnsi="Palatino Linotype" w:cs="Tahoma"/>
          <w:b/>
          <w:i/>
          <w:sz w:val="22"/>
          <w:szCs w:val="22"/>
          <w:lang w:eastAsia="en-US"/>
        </w:rPr>
        <w:t>I.</w:t>
      </w:r>
      <w:r w:rsidRPr="00C621B1">
        <w:rPr>
          <w:rFonts w:ascii="Palatino Linotype" w:eastAsia="Calibri" w:hAnsi="Palatino Linotype" w:cs="Tahoma"/>
          <w:bCs/>
          <w:i/>
          <w:sz w:val="22"/>
          <w:szCs w:val="22"/>
          <w:lang w:eastAsia="en-US"/>
        </w:rPr>
        <w:t xml:space="preserve"> La gravedad de la infracción en que se incurra;</w:t>
      </w:r>
    </w:p>
    <w:p w14:paraId="408A2D9E" w14:textId="77777777" w:rsidR="00C621B1" w:rsidRPr="00C621B1" w:rsidRDefault="00C621B1" w:rsidP="00C621B1">
      <w:pPr>
        <w:ind w:left="851" w:right="851"/>
        <w:jc w:val="both"/>
        <w:rPr>
          <w:rFonts w:ascii="Palatino Linotype" w:eastAsia="Calibri" w:hAnsi="Palatino Linotype" w:cs="Tahoma"/>
          <w:bCs/>
          <w:i/>
          <w:sz w:val="22"/>
          <w:szCs w:val="22"/>
          <w:lang w:eastAsia="en-US"/>
        </w:rPr>
      </w:pPr>
      <w:r w:rsidRPr="00C621B1">
        <w:rPr>
          <w:rFonts w:ascii="Palatino Linotype" w:eastAsia="Calibri" w:hAnsi="Palatino Linotype" w:cs="Tahoma"/>
          <w:b/>
          <w:i/>
          <w:sz w:val="22"/>
          <w:szCs w:val="22"/>
          <w:lang w:eastAsia="en-US"/>
        </w:rPr>
        <w:t>II.</w:t>
      </w:r>
      <w:r w:rsidRPr="00C621B1">
        <w:rPr>
          <w:rFonts w:ascii="Palatino Linotype" w:eastAsia="Calibri" w:hAnsi="Palatino Linotype" w:cs="Tahoma"/>
          <w:bCs/>
          <w:i/>
          <w:sz w:val="22"/>
          <w:szCs w:val="22"/>
          <w:lang w:eastAsia="en-US"/>
        </w:rPr>
        <w:t xml:space="preserve"> Los antecedentes del infractor;</w:t>
      </w:r>
    </w:p>
    <w:p w14:paraId="1004E350" w14:textId="77777777" w:rsidR="00C621B1" w:rsidRPr="00C621B1" w:rsidRDefault="00C621B1" w:rsidP="00C621B1">
      <w:pPr>
        <w:ind w:left="851" w:right="851"/>
        <w:jc w:val="both"/>
        <w:rPr>
          <w:rFonts w:ascii="Palatino Linotype" w:eastAsia="Calibri" w:hAnsi="Palatino Linotype" w:cs="Tahoma"/>
          <w:bCs/>
          <w:i/>
          <w:sz w:val="22"/>
          <w:szCs w:val="22"/>
          <w:lang w:eastAsia="en-US"/>
        </w:rPr>
      </w:pPr>
      <w:r w:rsidRPr="00C621B1">
        <w:rPr>
          <w:rFonts w:ascii="Palatino Linotype" w:eastAsia="Calibri" w:hAnsi="Palatino Linotype" w:cs="Tahoma"/>
          <w:b/>
          <w:i/>
          <w:sz w:val="22"/>
          <w:szCs w:val="22"/>
          <w:lang w:eastAsia="en-US"/>
        </w:rPr>
        <w:t>III.</w:t>
      </w:r>
      <w:r w:rsidRPr="00C621B1">
        <w:rPr>
          <w:rFonts w:ascii="Palatino Linotype" w:eastAsia="Calibri" w:hAnsi="Palatino Linotype" w:cs="Tahoma"/>
          <w:bCs/>
          <w:i/>
          <w:sz w:val="22"/>
          <w:szCs w:val="22"/>
          <w:lang w:eastAsia="en-US"/>
        </w:rPr>
        <w:t xml:space="preserve"> Las condiciones socio-económicas del infractor; y</w:t>
      </w:r>
    </w:p>
    <w:p w14:paraId="26913088" w14:textId="77777777" w:rsidR="00C621B1" w:rsidRPr="00C621B1" w:rsidRDefault="00C621B1" w:rsidP="00C621B1">
      <w:pPr>
        <w:ind w:left="851" w:right="851"/>
        <w:jc w:val="both"/>
        <w:rPr>
          <w:rFonts w:ascii="Palatino Linotype" w:eastAsia="Calibri" w:hAnsi="Palatino Linotype" w:cs="Tahoma"/>
          <w:bCs/>
          <w:i/>
          <w:sz w:val="22"/>
          <w:szCs w:val="22"/>
          <w:lang w:eastAsia="en-US"/>
        </w:rPr>
      </w:pPr>
      <w:r w:rsidRPr="00C621B1">
        <w:rPr>
          <w:rFonts w:ascii="Palatino Linotype" w:eastAsia="Calibri" w:hAnsi="Palatino Linotype" w:cs="Tahoma"/>
          <w:b/>
          <w:i/>
          <w:sz w:val="22"/>
          <w:szCs w:val="22"/>
          <w:lang w:eastAsia="en-US"/>
        </w:rPr>
        <w:t>IV.</w:t>
      </w:r>
      <w:r w:rsidRPr="00C621B1">
        <w:rPr>
          <w:rFonts w:ascii="Palatino Linotype" w:eastAsia="Calibri" w:hAnsi="Palatino Linotype" w:cs="Tahoma"/>
          <w:bCs/>
          <w:i/>
          <w:sz w:val="22"/>
          <w:szCs w:val="22"/>
          <w:lang w:eastAsia="en-US"/>
        </w:rPr>
        <w:t xml:space="preserve"> La reincidencia en el incumplimiento de obligaciones, en su caso.</w:t>
      </w:r>
    </w:p>
    <w:p w14:paraId="2AFF9B4A" w14:textId="77777777" w:rsidR="00C621B1" w:rsidRPr="00C621B1" w:rsidRDefault="00C621B1" w:rsidP="00C621B1">
      <w:pPr>
        <w:ind w:left="851" w:right="851"/>
        <w:jc w:val="both"/>
        <w:rPr>
          <w:rFonts w:ascii="Palatino Linotype" w:eastAsia="Calibri" w:hAnsi="Palatino Linotype" w:cs="Tahoma"/>
          <w:bCs/>
          <w:i/>
          <w:sz w:val="22"/>
          <w:szCs w:val="22"/>
          <w:lang w:eastAsia="en-US"/>
        </w:rPr>
      </w:pPr>
    </w:p>
    <w:p w14:paraId="2AF51D1B" w14:textId="77777777" w:rsidR="00C621B1" w:rsidRPr="00C621B1" w:rsidRDefault="00C621B1" w:rsidP="00C621B1">
      <w:pPr>
        <w:ind w:left="851" w:right="851"/>
        <w:jc w:val="both"/>
        <w:rPr>
          <w:rFonts w:ascii="Palatino Linotype" w:eastAsia="Calibri" w:hAnsi="Palatino Linotype" w:cs="Tahoma"/>
          <w:bCs/>
          <w:i/>
          <w:sz w:val="22"/>
          <w:szCs w:val="22"/>
          <w:lang w:eastAsia="en-US"/>
        </w:rPr>
      </w:pPr>
      <w:r w:rsidRPr="00C621B1">
        <w:rPr>
          <w:rFonts w:ascii="Palatino Linotype" w:eastAsia="Calibri" w:hAnsi="Palatino Linotype" w:cs="Tahoma"/>
          <w:b/>
          <w:i/>
          <w:sz w:val="22"/>
          <w:szCs w:val="22"/>
          <w:lang w:eastAsia="en-US"/>
        </w:rPr>
        <w:t>Artículo 180.</w:t>
      </w:r>
      <w:r w:rsidRPr="00C621B1">
        <w:rPr>
          <w:rFonts w:ascii="Palatino Linotype" w:eastAsia="Calibri" w:hAnsi="Palatino Linotype" w:cs="Tahoma"/>
          <w:bCs/>
          <w:i/>
          <w:sz w:val="22"/>
          <w:szCs w:val="22"/>
          <w:lang w:eastAsia="en-US"/>
        </w:rPr>
        <w:t xml:space="preserve"> </w:t>
      </w:r>
      <w:r w:rsidRPr="00C621B1">
        <w:rPr>
          <w:rFonts w:ascii="Palatino Linotype" w:eastAsia="Calibri" w:hAnsi="Palatino Linotype" w:cs="Tahoma"/>
          <w:b/>
          <w:i/>
          <w:sz w:val="22"/>
          <w:szCs w:val="22"/>
          <w:u w:val="single"/>
          <w:lang w:eastAsia="en-US"/>
        </w:rPr>
        <w:t>Las resoluciones sancionadoras podrán ser impugnadas mediante el Recurso Administrativo de Inconformidad</w:t>
      </w:r>
      <w:r w:rsidRPr="00C621B1">
        <w:rPr>
          <w:rFonts w:ascii="Palatino Linotype" w:eastAsia="Calibri" w:hAnsi="Palatino Linotype" w:cs="Tahoma"/>
          <w:bCs/>
          <w:i/>
          <w:sz w:val="22"/>
          <w:szCs w:val="22"/>
          <w:lang w:eastAsia="en-US"/>
        </w:rPr>
        <w:t xml:space="preserve">, ante el Titular de la Institución Policial correspondiente </w:t>
      </w:r>
      <w:r w:rsidRPr="00C621B1">
        <w:rPr>
          <w:rFonts w:ascii="Palatino Linotype" w:eastAsia="Calibri" w:hAnsi="Palatino Linotype" w:cs="Tahoma"/>
          <w:b/>
          <w:i/>
          <w:sz w:val="22"/>
          <w:szCs w:val="22"/>
          <w:u w:val="single"/>
          <w:lang w:eastAsia="en-US"/>
        </w:rPr>
        <w:t>o a través del juicio ante el Tribunal de Justicia Administrativa del Estado de México</w:t>
      </w:r>
      <w:r w:rsidRPr="00C621B1">
        <w:rPr>
          <w:rFonts w:ascii="Palatino Linotype" w:eastAsia="Calibri" w:hAnsi="Palatino Linotype" w:cs="Tahoma"/>
          <w:bCs/>
          <w:i/>
          <w:sz w:val="22"/>
          <w:szCs w:val="22"/>
          <w:lang w:eastAsia="en-US"/>
        </w:rPr>
        <w:t>, dentro de los quince días posteriores al en que surta efectos la notificación de la resolución.</w:t>
      </w:r>
    </w:p>
    <w:p w14:paraId="186A69A1" w14:textId="77777777" w:rsidR="00C621B1" w:rsidRPr="00C621B1" w:rsidRDefault="00C621B1" w:rsidP="00C621B1">
      <w:pPr>
        <w:ind w:left="851" w:right="851"/>
        <w:jc w:val="both"/>
        <w:rPr>
          <w:rFonts w:ascii="Palatino Linotype" w:eastAsia="Calibri" w:hAnsi="Palatino Linotype" w:cs="Tahoma"/>
          <w:b/>
          <w:i/>
          <w:sz w:val="22"/>
          <w:szCs w:val="22"/>
          <w:lang w:eastAsia="en-US"/>
        </w:rPr>
      </w:pPr>
    </w:p>
    <w:p w14:paraId="456310A4" w14:textId="77777777" w:rsidR="00C621B1" w:rsidRPr="00C621B1" w:rsidRDefault="00C621B1" w:rsidP="00C621B1">
      <w:pPr>
        <w:ind w:left="851" w:right="851"/>
        <w:jc w:val="both"/>
        <w:rPr>
          <w:rFonts w:ascii="Palatino Linotype" w:eastAsia="Calibri" w:hAnsi="Palatino Linotype" w:cs="Tahoma"/>
          <w:bCs/>
          <w:i/>
          <w:sz w:val="22"/>
          <w:szCs w:val="22"/>
          <w:lang w:eastAsia="en-US"/>
        </w:rPr>
      </w:pPr>
      <w:r w:rsidRPr="00C621B1">
        <w:rPr>
          <w:rFonts w:ascii="Palatino Linotype" w:eastAsia="Calibri" w:hAnsi="Palatino Linotype" w:cs="Tahoma"/>
          <w:b/>
          <w:i/>
          <w:sz w:val="22"/>
          <w:szCs w:val="22"/>
          <w:lang w:eastAsia="en-US"/>
        </w:rPr>
        <w:t>Artículo 181.-</w:t>
      </w:r>
      <w:r w:rsidRPr="00C621B1">
        <w:rPr>
          <w:rFonts w:ascii="Palatino Linotype" w:eastAsia="Calibri" w:hAnsi="Palatino Linotype" w:cs="Tahoma"/>
          <w:bCs/>
          <w:i/>
          <w:sz w:val="22"/>
          <w:szCs w:val="22"/>
          <w:lang w:eastAsia="en-US"/>
        </w:rPr>
        <w:t xml:space="preserve"> </w:t>
      </w:r>
      <w:r w:rsidRPr="00C621B1">
        <w:rPr>
          <w:rFonts w:ascii="Palatino Linotype" w:eastAsia="Calibri" w:hAnsi="Palatino Linotype" w:cs="Tahoma"/>
          <w:b/>
          <w:i/>
          <w:sz w:val="22"/>
          <w:szCs w:val="22"/>
          <w:u w:val="single"/>
          <w:lang w:eastAsia="en-US"/>
        </w:rPr>
        <w:t xml:space="preserve">Es improcedente la reinstalación o restitución de los integrantes de las Instituciones Policiales separados de su cargo por resolución de remoción, baja o cese, cualquiera que sea el resultado del </w:t>
      </w:r>
      <w:r w:rsidRPr="00C621B1">
        <w:rPr>
          <w:rFonts w:ascii="Palatino Linotype" w:eastAsia="Calibri" w:hAnsi="Palatino Linotype" w:cs="Tahoma"/>
          <w:b/>
          <w:i/>
          <w:sz w:val="22"/>
          <w:szCs w:val="22"/>
          <w:u w:val="single"/>
          <w:lang w:eastAsia="en-US"/>
        </w:rPr>
        <w:lastRenderedPageBreak/>
        <w:t>juicio o medio de defensa que hubiere promovido y, en su caso, sólo procederá la indemnización</w:t>
      </w:r>
      <w:r w:rsidRPr="00C621B1">
        <w:rPr>
          <w:rFonts w:ascii="Palatino Linotype" w:eastAsia="Calibri" w:hAnsi="Palatino Linotype" w:cs="Tahoma"/>
          <w:bCs/>
          <w:i/>
          <w:sz w:val="22"/>
          <w:szCs w:val="22"/>
          <w:lang w:eastAsia="en-US"/>
        </w:rPr>
        <w:t>.</w:t>
      </w:r>
    </w:p>
    <w:p w14:paraId="0482448A" w14:textId="77777777" w:rsidR="00C621B1" w:rsidRPr="00C621B1" w:rsidRDefault="00C621B1" w:rsidP="00C621B1">
      <w:pPr>
        <w:ind w:left="851" w:right="851"/>
        <w:jc w:val="both"/>
        <w:rPr>
          <w:rFonts w:ascii="Palatino Linotype" w:eastAsia="Calibri" w:hAnsi="Palatino Linotype" w:cs="Tahoma"/>
          <w:bCs/>
          <w:i/>
          <w:sz w:val="22"/>
          <w:szCs w:val="22"/>
          <w:lang w:eastAsia="en-US"/>
        </w:rPr>
      </w:pPr>
    </w:p>
    <w:p w14:paraId="148C1743" w14:textId="77777777" w:rsidR="00C621B1" w:rsidRPr="00C621B1" w:rsidRDefault="00C621B1" w:rsidP="00C621B1">
      <w:pPr>
        <w:ind w:left="851" w:right="851"/>
        <w:jc w:val="both"/>
        <w:rPr>
          <w:rFonts w:ascii="Palatino Linotype" w:eastAsia="Calibri" w:hAnsi="Palatino Linotype" w:cs="Tahoma"/>
          <w:bCs/>
          <w:i/>
          <w:sz w:val="22"/>
          <w:szCs w:val="22"/>
          <w:lang w:eastAsia="en-US"/>
        </w:rPr>
      </w:pPr>
      <w:r w:rsidRPr="00C621B1">
        <w:rPr>
          <w:rFonts w:ascii="Palatino Linotype" w:eastAsia="Calibri" w:hAnsi="Palatino Linotype" w:cs="Tahoma"/>
          <w:b/>
          <w:i/>
          <w:sz w:val="22"/>
          <w:szCs w:val="22"/>
          <w:u w:val="single"/>
          <w:lang w:eastAsia="en-US"/>
        </w:rPr>
        <w:t>En caso de que los órganos jurisdiccionales determinen que la resolución por la que se impone la separación o remoción es injustificada, las Instituciones Policiales solo estarán obligadas a la indemnización de tres meses de sueldo y al pago de prestaciones de ley</w:t>
      </w:r>
      <w:r w:rsidRPr="00C621B1">
        <w:rPr>
          <w:rFonts w:ascii="Palatino Linotype" w:eastAsia="Calibri" w:hAnsi="Palatino Linotype" w:cs="Tahoma"/>
          <w:bCs/>
          <w:i/>
          <w:sz w:val="22"/>
          <w:szCs w:val="22"/>
          <w:lang w:eastAsia="en-US"/>
        </w:rPr>
        <w:t>, estas, por el último año en que prestó sus servicios.</w:t>
      </w:r>
    </w:p>
    <w:p w14:paraId="5D65107F" w14:textId="77777777" w:rsidR="00C621B1" w:rsidRPr="00C621B1" w:rsidRDefault="00C621B1" w:rsidP="00C621B1">
      <w:pPr>
        <w:ind w:left="851" w:right="851"/>
        <w:jc w:val="both"/>
        <w:rPr>
          <w:rFonts w:ascii="Palatino Linotype" w:eastAsia="Calibri" w:hAnsi="Palatino Linotype" w:cs="Tahoma"/>
          <w:bCs/>
          <w:i/>
          <w:sz w:val="22"/>
          <w:szCs w:val="22"/>
          <w:lang w:eastAsia="en-US"/>
        </w:rPr>
      </w:pPr>
    </w:p>
    <w:p w14:paraId="0936C9F5" w14:textId="77777777" w:rsidR="00C621B1" w:rsidRPr="00C621B1" w:rsidRDefault="00C621B1" w:rsidP="00C621B1">
      <w:pPr>
        <w:ind w:left="851" w:right="851"/>
        <w:jc w:val="both"/>
        <w:rPr>
          <w:rFonts w:ascii="Palatino Linotype" w:eastAsia="Calibri" w:hAnsi="Palatino Linotype" w:cs="Tahoma"/>
          <w:bCs/>
          <w:i/>
          <w:sz w:val="22"/>
          <w:szCs w:val="22"/>
          <w:lang w:eastAsia="en-US"/>
        </w:rPr>
      </w:pPr>
      <w:r w:rsidRPr="00C621B1">
        <w:rPr>
          <w:rFonts w:ascii="Palatino Linotype" w:eastAsia="Calibri" w:hAnsi="Palatino Linotype" w:cs="Tahoma"/>
          <w:bCs/>
          <w:i/>
          <w:sz w:val="22"/>
          <w:szCs w:val="22"/>
          <w:lang w:eastAsia="en-US"/>
        </w:rPr>
        <w:t xml:space="preserve">En aquellos juicios en que las instancias jurisdiccionales condenen al pago de haberes dejados de percibir o remuneración diaria ordinaria por el tiempo en que el servidor público haya estado suspendido, separado o removido del cargo de conformidad, se cubrirán hasta por un periodo máximo de doce meses. </w:t>
      </w:r>
      <w:r w:rsidRPr="00C621B1">
        <w:rPr>
          <w:rFonts w:ascii="Palatino Linotype" w:eastAsia="Calibri" w:hAnsi="Palatino Linotype" w:cs="Tahoma"/>
          <w:b/>
          <w:i/>
          <w:sz w:val="22"/>
          <w:szCs w:val="22"/>
          <w:u w:val="single"/>
          <w:lang w:eastAsia="en-US"/>
        </w:rPr>
        <w:t>La determinación que resultare injustificada por los órganos jurisdiccionales deberá anotarse en el o registros correspondientes</w:t>
      </w:r>
      <w:r w:rsidRPr="00C621B1">
        <w:rPr>
          <w:rFonts w:ascii="Palatino Linotype" w:eastAsia="Calibri" w:hAnsi="Palatino Linotype" w:cs="Tahoma"/>
          <w:bCs/>
          <w:i/>
          <w:sz w:val="22"/>
          <w:szCs w:val="22"/>
          <w:lang w:eastAsia="en-US"/>
        </w:rPr>
        <w:t>.</w:t>
      </w:r>
    </w:p>
    <w:p w14:paraId="15EE6C1C" w14:textId="77777777" w:rsidR="00C621B1" w:rsidRPr="00C621B1" w:rsidRDefault="00C621B1" w:rsidP="00C621B1">
      <w:pPr>
        <w:ind w:left="851" w:right="851"/>
        <w:jc w:val="both"/>
        <w:rPr>
          <w:rFonts w:ascii="Palatino Linotype" w:eastAsia="Calibri" w:hAnsi="Palatino Linotype" w:cs="Tahoma"/>
          <w:bCs/>
          <w:i/>
          <w:sz w:val="22"/>
          <w:szCs w:val="22"/>
          <w:lang w:eastAsia="en-US"/>
        </w:rPr>
      </w:pPr>
    </w:p>
    <w:p w14:paraId="76B6392C" w14:textId="4CF9A85D" w:rsidR="00C621B1" w:rsidRPr="00C621B1" w:rsidRDefault="00C621B1" w:rsidP="00C621B1">
      <w:pPr>
        <w:ind w:left="851" w:right="851"/>
        <w:jc w:val="both"/>
        <w:rPr>
          <w:rFonts w:ascii="Palatino Linotype" w:eastAsia="Calibri" w:hAnsi="Palatino Linotype" w:cs="Tahoma"/>
          <w:bCs/>
          <w:i/>
          <w:sz w:val="22"/>
          <w:szCs w:val="22"/>
          <w:lang w:eastAsia="en-US"/>
        </w:rPr>
      </w:pPr>
      <w:r w:rsidRPr="00C621B1">
        <w:rPr>
          <w:rFonts w:ascii="Palatino Linotype" w:eastAsia="Calibri" w:hAnsi="Palatino Linotype" w:cs="Tahoma"/>
          <w:bCs/>
          <w:i/>
          <w:sz w:val="22"/>
          <w:szCs w:val="22"/>
          <w:lang w:eastAsia="en-US"/>
        </w:rPr>
        <w:t>El pago previsto en el párrafo anterior se hará con base al tabulador vigente de la fecha en que se exhiba.</w:t>
      </w:r>
      <w:r w:rsidR="001367F7">
        <w:rPr>
          <w:rFonts w:ascii="Palatino Linotype" w:eastAsia="Calibri" w:hAnsi="Palatino Linotype" w:cs="Tahoma"/>
          <w:bCs/>
          <w:i/>
          <w:sz w:val="22"/>
          <w:szCs w:val="22"/>
          <w:lang w:eastAsia="en-US"/>
        </w:rPr>
        <w:t>”</w:t>
      </w:r>
    </w:p>
    <w:p w14:paraId="47BC465E" w14:textId="77777777" w:rsidR="00C621B1" w:rsidRPr="00C621B1" w:rsidRDefault="00C621B1" w:rsidP="00C621B1">
      <w:pPr>
        <w:ind w:left="851" w:right="851"/>
        <w:jc w:val="both"/>
        <w:rPr>
          <w:rFonts w:ascii="Palatino Linotype" w:eastAsia="Calibri" w:hAnsi="Palatino Linotype" w:cs="Tahoma"/>
          <w:bCs/>
          <w:i/>
          <w:sz w:val="22"/>
          <w:szCs w:val="22"/>
          <w:lang w:eastAsia="en-US"/>
        </w:rPr>
      </w:pPr>
    </w:p>
    <w:p w14:paraId="1CE467E1" w14:textId="0BE40551" w:rsidR="00C621B1" w:rsidRPr="00C621B1" w:rsidRDefault="001367F7" w:rsidP="00C621B1">
      <w:pPr>
        <w:ind w:left="851" w:right="851"/>
        <w:jc w:val="both"/>
        <w:rPr>
          <w:rFonts w:ascii="Palatino Linotype" w:eastAsia="Calibri" w:hAnsi="Palatino Linotype" w:cs="Tahoma"/>
          <w:bCs/>
          <w:i/>
          <w:sz w:val="22"/>
          <w:szCs w:val="22"/>
          <w:lang w:eastAsia="en-US"/>
        </w:rPr>
      </w:pPr>
      <w:r>
        <w:rPr>
          <w:rFonts w:ascii="Palatino Linotype" w:eastAsia="Calibri" w:hAnsi="Palatino Linotype" w:cs="Tahoma"/>
          <w:bCs/>
          <w:i/>
          <w:sz w:val="22"/>
          <w:szCs w:val="22"/>
          <w:lang w:eastAsia="en-US"/>
        </w:rPr>
        <w:t>(Énfasis añadido</w:t>
      </w:r>
    </w:p>
    <w:p w14:paraId="05F51F22" w14:textId="77777777" w:rsidR="006C4470" w:rsidRDefault="001367F7" w:rsidP="00CA04F7">
      <w:pPr>
        <w:spacing w:before="240" w:after="240" w:line="360" w:lineRule="auto"/>
        <w:jc w:val="both"/>
        <w:rPr>
          <w:rFonts w:ascii="Palatino Linotype" w:hAnsi="Palatino Linotype" w:cs="Tahoma"/>
          <w:bCs/>
          <w:lang w:eastAsia="es-ES"/>
        </w:rPr>
      </w:pPr>
      <w:r>
        <w:rPr>
          <w:rFonts w:ascii="Palatino Linotype" w:hAnsi="Palatino Linotype" w:cs="Tahoma"/>
          <w:bCs/>
          <w:lang w:eastAsia="es-ES"/>
        </w:rPr>
        <w:t xml:space="preserve">De lo anteriormente citado es posible vislumbrar que existe una armonización normativa entre lo previsto por el texto constitucional y la </w:t>
      </w:r>
      <w:r w:rsidR="00683F9B">
        <w:rPr>
          <w:rFonts w:ascii="Palatino Linotype" w:hAnsi="Palatino Linotype" w:cs="Tahoma"/>
          <w:bCs/>
          <w:lang w:eastAsia="es-ES"/>
        </w:rPr>
        <w:t xml:space="preserve">Ley de Seguridad </w:t>
      </w:r>
      <w:r w:rsidR="00FF04B6">
        <w:rPr>
          <w:rFonts w:ascii="Palatino Linotype" w:hAnsi="Palatino Linotype" w:cs="Tahoma"/>
          <w:bCs/>
          <w:lang w:eastAsia="es-ES"/>
        </w:rPr>
        <w:t>vigente en nuestra entidad por cuanto hace a las reinstalaciones, toda vez que son improcedentes de conformidad con nuestro marco jurídico aplicable y, por lo tanto, en el caso concreto resulta imposible entregar un documento en el que obren las reinstalaciones</w:t>
      </w:r>
      <w:r w:rsidR="006C4470">
        <w:rPr>
          <w:rFonts w:ascii="Palatino Linotype" w:hAnsi="Palatino Linotype" w:cs="Tahoma"/>
          <w:bCs/>
          <w:lang w:eastAsia="es-ES"/>
        </w:rPr>
        <w:t xml:space="preserve"> de los elementos policiales. </w:t>
      </w:r>
      <w:r w:rsidR="00FF04B6">
        <w:rPr>
          <w:rFonts w:ascii="Palatino Linotype" w:hAnsi="Palatino Linotype" w:cs="Tahoma"/>
          <w:bCs/>
          <w:lang w:eastAsia="es-ES"/>
        </w:rPr>
        <w:t xml:space="preserve"> </w:t>
      </w:r>
    </w:p>
    <w:p w14:paraId="4BAB7DC9" w14:textId="21CD34E8" w:rsidR="006C4470" w:rsidRPr="006C4470" w:rsidRDefault="006C4470" w:rsidP="006C4470">
      <w:pPr>
        <w:spacing w:before="240" w:after="240" w:line="360" w:lineRule="auto"/>
        <w:jc w:val="both"/>
        <w:rPr>
          <w:rFonts w:ascii="Palatino Linotype" w:hAnsi="Palatino Linotype" w:cs="Tahoma"/>
          <w:bCs/>
          <w:lang w:eastAsia="es-ES"/>
        </w:rPr>
      </w:pPr>
      <w:r>
        <w:rPr>
          <w:rFonts w:ascii="Palatino Linotype" w:hAnsi="Palatino Linotype" w:cs="Tahoma"/>
          <w:bCs/>
          <w:lang w:eastAsia="es-ES"/>
        </w:rPr>
        <w:t xml:space="preserve">Ahora bien, </w:t>
      </w:r>
      <w:r w:rsidR="00FF04B6">
        <w:rPr>
          <w:rFonts w:ascii="Palatino Linotype" w:hAnsi="Palatino Linotype" w:cs="Tahoma"/>
          <w:bCs/>
          <w:lang w:eastAsia="es-ES"/>
        </w:rPr>
        <w:t xml:space="preserve">por lo que respecta a las bajas de los servidores públicos, </w:t>
      </w:r>
      <w:r>
        <w:rPr>
          <w:rFonts w:ascii="Palatino Linotype" w:hAnsi="Palatino Linotype" w:cs="Tahoma"/>
          <w:bCs/>
          <w:lang w:eastAsia="es-ES"/>
        </w:rPr>
        <w:t xml:space="preserve">la Ley del Trabajo de los Servidores Públicos del Estado y Municipios, </w:t>
      </w:r>
      <w:r w:rsidRPr="006C4470">
        <w:rPr>
          <w:rFonts w:ascii="Palatino Linotype" w:hAnsi="Palatino Linotype" w:cs="Tahoma"/>
          <w:bCs/>
          <w:lang w:eastAsia="es-ES"/>
        </w:rPr>
        <w:t>al respecto dispone</w:t>
      </w:r>
      <w:r>
        <w:rPr>
          <w:rFonts w:ascii="Palatino Linotype" w:hAnsi="Palatino Linotype" w:cs="Tahoma"/>
          <w:bCs/>
          <w:lang w:eastAsia="es-ES"/>
        </w:rPr>
        <w:t xml:space="preserve"> lo siguiente</w:t>
      </w:r>
      <w:r w:rsidRPr="006C4470">
        <w:rPr>
          <w:rFonts w:ascii="Palatino Linotype" w:hAnsi="Palatino Linotype" w:cs="Tahoma"/>
          <w:bCs/>
          <w:lang w:eastAsia="es-ES"/>
        </w:rPr>
        <w:t>:</w:t>
      </w:r>
    </w:p>
    <w:p w14:paraId="3994317A" w14:textId="1483E0F0" w:rsidR="006C4470" w:rsidRPr="006C4470" w:rsidRDefault="006C4470" w:rsidP="006C4470">
      <w:pPr>
        <w:spacing w:before="240" w:after="240"/>
        <w:ind w:left="567" w:right="900"/>
        <w:jc w:val="both"/>
        <w:rPr>
          <w:rFonts w:ascii="Palatino Linotype" w:hAnsi="Palatino Linotype" w:cs="Tahoma"/>
          <w:bCs/>
          <w:i/>
          <w:iCs/>
          <w:sz w:val="22"/>
          <w:lang w:eastAsia="es-ES"/>
        </w:rPr>
      </w:pPr>
      <w:r w:rsidRPr="006C4470">
        <w:rPr>
          <w:rFonts w:ascii="Palatino Linotype" w:hAnsi="Palatino Linotype" w:cs="Tahoma"/>
          <w:bCs/>
          <w:i/>
          <w:iCs/>
          <w:sz w:val="22"/>
          <w:lang w:eastAsia="es-ES"/>
        </w:rPr>
        <w:t>“</w:t>
      </w:r>
      <w:r w:rsidRPr="006C4470">
        <w:rPr>
          <w:rFonts w:ascii="Palatino Linotype" w:hAnsi="Palatino Linotype" w:cs="Tahoma"/>
          <w:b/>
          <w:bCs/>
          <w:i/>
          <w:iCs/>
          <w:sz w:val="22"/>
          <w:lang w:eastAsia="es-ES"/>
        </w:rPr>
        <w:t xml:space="preserve">ARTÍCULO 1.- </w:t>
      </w:r>
      <w:r w:rsidRPr="006C4470">
        <w:rPr>
          <w:rFonts w:ascii="Palatino Linotype" w:hAnsi="Palatino Linotype" w:cs="Tahoma"/>
          <w:bCs/>
          <w:i/>
          <w:iCs/>
          <w:sz w:val="22"/>
          <w:lang w:eastAsia="es-ES"/>
        </w:rPr>
        <w:t>Ésta ley es de orden público e interés social y tiene por objeto regular las relaciones de trabajo, comprendidas entre los poderes públicos del Estado y los Municipios y sus respectivos servidores públicos.</w:t>
      </w:r>
    </w:p>
    <w:p w14:paraId="053AD863" w14:textId="77777777" w:rsidR="006C4470" w:rsidRPr="006C4470" w:rsidRDefault="006C4470" w:rsidP="006C4470">
      <w:pPr>
        <w:spacing w:before="240" w:after="240" w:line="360" w:lineRule="auto"/>
        <w:ind w:left="567"/>
        <w:jc w:val="both"/>
        <w:rPr>
          <w:rFonts w:ascii="Palatino Linotype" w:hAnsi="Palatino Linotype" w:cs="Tahoma"/>
          <w:bCs/>
          <w:i/>
          <w:iCs/>
          <w:lang w:eastAsia="es-ES"/>
        </w:rPr>
      </w:pPr>
      <w:r w:rsidRPr="006C4470">
        <w:rPr>
          <w:rFonts w:ascii="Palatino Linotype" w:hAnsi="Palatino Linotype" w:cs="Tahoma"/>
          <w:bCs/>
          <w:i/>
          <w:iCs/>
          <w:lang w:eastAsia="es-ES"/>
        </w:rPr>
        <w:lastRenderedPageBreak/>
        <w:t>…</w:t>
      </w:r>
    </w:p>
    <w:p w14:paraId="3D8BF0E2" w14:textId="77777777" w:rsidR="006C4470" w:rsidRPr="006C4470" w:rsidRDefault="006C4470" w:rsidP="006C4470">
      <w:pPr>
        <w:spacing w:before="240" w:after="240"/>
        <w:ind w:left="567" w:right="900"/>
        <w:jc w:val="both"/>
        <w:rPr>
          <w:rFonts w:ascii="Palatino Linotype" w:hAnsi="Palatino Linotype" w:cs="Tahoma"/>
          <w:bCs/>
          <w:i/>
          <w:iCs/>
          <w:sz w:val="22"/>
          <w:lang w:eastAsia="es-ES"/>
        </w:rPr>
      </w:pPr>
      <w:r w:rsidRPr="006C4470">
        <w:rPr>
          <w:rFonts w:ascii="Palatino Linotype" w:hAnsi="Palatino Linotype" w:cs="Tahoma"/>
          <w:b/>
          <w:bCs/>
          <w:i/>
          <w:iCs/>
          <w:sz w:val="22"/>
          <w:lang w:eastAsia="es-ES"/>
        </w:rPr>
        <w:t xml:space="preserve">ARTÍCULO 4. </w:t>
      </w:r>
      <w:r w:rsidRPr="006C4470">
        <w:rPr>
          <w:rFonts w:ascii="Palatino Linotype" w:hAnsi="Palatino Linotype" w:cs="Tahoma"/>
          <w:bCs/>
          <w:i/>
          <w:iCs/>
          <w:sz w:val="22"/>
          <w:lang w:eastAsia="es-ES"/>
        </w:rPr>
        <w:t>Para efectos de esta ley se entiende:</w:t>
      </w:r>
    </w:p>
    <w:p w14:paraId="3CA4DA4E" w14:textId="77777777" w:rsidR="006C4470" w:rsidRPr="006C4470" w:rsidRDefault="006C4470" w:rsidP="006C4470">
      <w:pPr>
        <w:spacing w:before="240" w:after="240"/>
        <w:ind w:left="567" w:right="900"/>
        <w:jc w:val="both"/>
        <w:rPr>
          <w:rFonts w:ascii="Palatino Linotype" w:hAnsi="Palatino Linotype" w:cs="Tahoma"/>
          <w:bCs/>
          <w:i/>
          <w:iCs/>
          <w:sz w:val="22"/>
          <w:lang w:eastAsia="es-ES"/>
        </w:rPr>
      </w:pPr>
      <w:r w:rsidRPr="006C4470">
        <w:rPr>
          <w:rFonts w:ascii="Palatino Linotype" w:hAnsi="Palatino Linotype" w:cs="Tahoma"/>
          <w:bCs/>
          <w:i/>
          <w:iCs/>
          <w:sz w:val="22"/>
          <w:lang w:eastAsia="es-ES"/>
        </w:rPr>
        <w:t>…</w:t>
      </w:r>
    </w:p>
    <w:p w14:paraId="548E844B" w14:textId="7D47C8AA" w:rsidR="006C4470" w:rsidRPr="006C4470" w:rsidRDefault="006C4470" w:rsidP="006C4470">
      <w:pPr>
        <w:spacing w:before="240" w:after="240"/>
        <w:ind w:left="567" w:right="900"/>
        <w:jc w:val="both"/>
        <w:rPr>
          <w:rFonts w:ascii="Palatino Linotype" w:hAnsi="Palatino Linotype" w:cs="Tahoma"/>
          <w:bCs/>
          <w:i/>
          <w:iCs/>
          <w:sz w:val="22"/>
          <w:lang w:eastAsia="es-ES"/>
        </w:rPr>
      </w:pPr>
      <w:r w:rsidRPr="006C4470">
        <w:rPr>
          <w:rFonts w:ascii="Palatino Linotype" w:hAnsi="Palatino Linotype" w:cs="Tahoma"/>
          <w:b/>
          <w:bCs/>
          <w:i/>
          <w:iCs/>
          <w:sz w:val="22"/>
          <w:lang w:eastAsia="es-ES"/>
        </w:rPr>
        <w:t xml:space="preserve">III. </w:t>
      </w:r>
      <w:r w:rsidRPr="006C4470">
        <w:rPr>
          <w:rFonts w:ascii="Palatino Linotype" w:hAnsi="Palatino Linotype" w:cs="Tahoma"/>
          <w:bCs/>
          <w:i/>
          <w:iCs/>
          <w:sz w:val="22"/>
          <w:lang w:eastAsia="es-ES"/>
        </w:rPr>
        <w:t>Institución Pública: A cada uno de los poderes públicos del Estado, los municipios y los tribunales administrativos; así como los organismos descentralizados, fideicomisos de carácter estatal y municipal, y los órganos autónomos que sus leyes de creación así lo determinen.</w:t>
      </w:r>
    </w:p>
    <w:p w14:paraId="7A761A38" w14:textId="77777777" w:rsidR="006C4470" w:rsidRPr="006C4470" w:rsidRDefault="006C4470" w:rsidP="006C4470">
      <w:pPr>
        <w:spacing w:before="240" w:after="240"/>
        <w:ind w:left="567" w:right="900"/>
        <w:jc w:val="both"/>
        <w:rPr>
          <w:rFonts w:ascii="Palatino Linotype" w:hAnsi="Palatino Linotype" w:cs="Tahoma"/>
          <w:bCs/>
          <w:i/>
          <w:iCs/>
          <w:sz w:val="22"/>
          <w:lang w:eastAsia="es-ES"/>
        </w:rPr>
      </w:pPr>
      <w:r w:rsidRPr="006C4470">
        <w:rPr>
          <w:rFonts w:ascii="Palatino Linotype" w:hAnsi="Palatino Linotype" w:cs="Tahoma"/>
          <w:bCs/>
          <w:i/>
          <w:iCs/>
          <w:sz w:val="22"/>
          <w:lang w:eastAsia="es-ES"/>
        </w:rPr>
        <w:t>…</w:t>
      </w:r>
    </w:p>
    <w:p w14:paraId="3DB4C7E2" w14:textId="2D0DDCF7" w:rsidR="006C4470" w:rsidRPr="006C4470" w:rsidRDefault="006C4470" w:rsidP="006C4470">
      <w:pPr>
        <w:spacing w:before="240" w:after="240"/>
        <w:ind w:left="567" w:right="900"/>
        <w:jc w:val="both"/>
        <w:rPr>
          <w:rFonts w:ascii="Palatino Linotype" w:hAnsi="Palatino Linotype" w:cs="Tahoma"/>
          <w:bCs/>
          <w:i/>
          <w:iCs/>
          <w:sz w:val="22"/>
          <w:lang w:eastAsia="es-ES"/>
        </w:rPr>
      </w:pPr>
      <w:r w:rsidRPr="006C4470">
        <w:rPr>
          <w:rFonts w:ascii="Palatino Linotype" w:hAnsi="Palatino Linotype" w:cs="Tahoma"/>
          <w:b/>
          <w:bCs/>
          <w:i/>
          <w:iCs/>
          <w:sz w:val="22"/>
          <w:lang w:eastAsia="es-ES"/>
        </w:rPr>
        <w:t xml:space="preserve">VI. </w:t>
      </w:r>
      <w:r w:rsidRPr="006C4470">
        <w:rPr>
          <w:rFonts w:ascii="Palatino Linotype" w:hAnsi="Palatino Linotype" w:cs="Tahoma"/>
          <w:bCs/>
          <w:i/>
          <w:iCs/>
          <w:sz w:val="22"/>
          <w:lang w:eastAsia="es-ES"/>
        </w:rPr>
        <w:t>Servidor Público: A toda persona física que preste a una institución pública un trabajo personal subordinado de carácter material o intelectual, o de ambos géneros, mediante el pago de un sueldo.</w:t>
      </w:r>
    </w:p>
    <w:p w14:paraId="5B64FA06" w14:textId="77777777" w:rsidR="006C4470" w:rsidRPr="006C4470" w:rsidRDefault="006C4470" w:rsidP="006C4470">
      <w:pPr>
        <w:spacing w:before="240" w:after="240"/>
        <w:ind w:left="567" w:right="900"/>
        <w:jc w:val="both"/>
        <w:rPr>
          <w:rFonts w:ascii="Palatino Linotype" w:hAnsi="Palatino Linotype" w:cs="Tahoma"/>
          <w:bCs/>
          <w:i/>
          <w:iCs/>
          <w:sz w:val="22"/>
          <w:lang w:eastAsia="es-ES"/>
        </w:rPr>
      </w:pPr>
      <w:r w:rsidRPr="006C4470">
        <w:rPr>
          <w:rFonts w:ascii="Palatino Linotype" w:hAnsi="Palatino Linotype" w:cs="Tahoma"/>
          <w:bCs/>
          <w:i/>
          <w:iCs/>
          <w:sz w:val="22"/>
          <w:lang w:eastAsia="es-ES"/>
        </w:rPr>
        <w:t>…</w:t>
      </w:r>
    </w:p>
    <w:p w14:paraId="314D9041" w14:textId="0B1CB8B1" w:rsidR="006C4470" w:rsidRPr="006C4470" w:rsidRDefault="006C4470" w:rsidP="006C4470">
      <w:pPr>
        <w:spacing w:before="240" w:after="240"/>
        <w:ind w:left="567" w:right="900"/>
        <w:jc w:val="both"/>
        <w:rPr>
          <w:rFonts w:ascii="Palatino Linotype" w:hAnsi="Palatino Linotype" w:cs="Tahoma"/>
          <w:b/>
          <w:bCs/>
          <w:i/>
          <w:iCs/>
          <w:sz w:val="22"/>
          <w:lang w:eastAsia="es-ES"/>
        </w:rPr>
      </w:pPr>
      <w:r w:rsidRPr="006C4470">
        <w:rPr>
          <w:rFonts w:ascii="Palatino Linotype" w:hAnsi="Palatino Linotype" w:cs="Tahoma"/>
          <w:b/>
          <w:bCs/>
          <w:i/>
          <w:iCs/>
          <w:sz w:val="22"/>
          <w:lang w:eastAsia="es-ES"/>
        </w:rPr>
        <w:t xml:space="preserve">ARTÍCULO 5.- </w:t>
      </w:r>
      <w:r w:rsidRPr="006C4470">
        <w:rPr>
          <w:rFonts w:ascii="Palatino Linotype" w:hAnsi="Palatino Linotype" w:cs="Tahoma"/>
          <w:bCs/>
          <w:i/>
          <w:iCs/>
          <w:sz w:val="22"/>
          <w:lang w:eastAsia="es-ES"/>
        </w:rPr>
        <w:t xml:space="preserve">La </w:t>
      </w:r>
      <w:r w:rsidRPr="006C4470">
        <w:rPr>
          <w:rFonts w:ascii="Palatino Linotype" w:hAnsi="Palatino Linotype" w:cs="Tahoma"/>
          <w:b/>
          <w:bCs/>
          <w:i/>
          <w:iCs/>
          <w:sz w:val="22"/>
          <w:lang w:eastAsia="es-ES"/>
        </w:rPr>
        <w:t>relación de trabajo entre las instituciones públicas y sus servidores públicos se entiende establecida mediante nombramiento, formato único de movimiento de personal, contrato o por cualquier otro acto que tenga como consecuencia la prestación personal subordinada del servicio y la percepción de un sueldo.</w:t>
      </w:r>
    </w:p>
    <w:p w14:paraId="32586854" w14:textId="02641887" w:rsidR="006C4470" w:rsidRPr="006C4470" w:rsidRDefault="006C4470" w:rsidP="006C4470">
      <w:pPr>
        <w:spacing w:before="240" w:after="240"/>
        <w:ind w:left="567" w:right="900"/>
        <w:jc w:val="both"/>
        <w:rPr>
          <w:rFonts w:ascii="Palatino Linotype" w:hAnsi="Palatino Linotype" w:cs="Tahoma"/>
          <w:bCs/>
          <w:i/>
          <w:iCs/>
          <w:sz w:val="22"/>
          <w:lang w:eastAsia="es-ES"/>
        </w:rPr>
      </w:pPr>
      <w:r w:rsidRPr="006C4470">
        <w:rPr>
          <w:rFonts w:ascii="Palatino Linotype" w:hAnsi="Palatino Linotype" w:cs="Tahoma"/>
          <w:bCs/>
          <w:i/>
          <w:iCs/>
          <w:sz w:val="22"/>
          <w:lang w:eastAsia="es-ES"/>
        </w:rPr>
        <w:t>Para los efectos de esta ley, las instituciones públicas estarán representadas por sus titulares.</w:t>
      </w:r>
    </w:p>
    <w:p w14:paraId="0815E2F5" w14:textId="159C6BDA" w:rsidR="006C4470" w:rsidRPr="006C4470" w:rsidRDefault="006C4470" w:rsidP="006C4470">
      <w:pPr>
        <w:spacing w:before="240" w:after="240"/>
        <w:ind w:left="567" w:right="900"/>
        <w:jc w:val="both"/>
        <w:rPr>
          <w:rFonts w:ascii="Palatino Linotype" w:hAnsi="Palatino Linotype" w:cs="Tahoma"/>
          <w:bCs/>
          <w:i/>
          <w:iCs/>
          <w:sz w:val="22"/>
          <w:lang w:eastAsia="es-ES"/>
        </w:rPr>
      </w:pPr>
      <w:r w:rsidRPr="006C4470">
        <w:rPr>
          <w:rFonts w:ascii="Palatino Linotype" w:hAnsi="Palatino Linotype" w:cs="Tahoma"/>
          <w:b/>
          <w:bCs/>
          <w:i/>
          <w:iCs/>
          <w:sz w:val="22"/>
          <w:lang w:eastAsia="es-ES"/>
        </w:rPr>
        <w:t>ARTÍCULO 45.-</w:t>
      </w:r>
      <w:r w:rsidRPr="006C4470">
        <w:rPr>
          <w:rFonts w:ascii="Palatino Linotype" w:hAnsi="Palatino Linotype" w:cs="Tahoma"/>
          <w:bCs/>
          <w:i/>
          <w:iCs/>
          <w:sz w:val="22"/>
          <w:lang w:eastAsia="es-ES"/>
        </w:rPr>
        <w:t>Los servidores públicos prestarán sus servicios mediante nombramiento, contrato o formato único de Movimientos de Personal expedidos por quien estuviere facultado legalmente para extenderlo.</w:t>
      </w:r>
    </w:p>
    <w:p w14:paraId="4AB0866D" w14:textId="77777777" w:rsidR="006C4470" w:rsidRPr="006C4470" w:rsidRDefault="006C4470" w:rsidP="006C4470">
      <w:pPr>
        <w:spacing w:before="240" w:after="240"/>
        <w:ind w:left="567" w:right="900"/>
        <w:jc w:val="both"/>
        <w:rPr>
          <w:rFonts w:ascii="Palatino Linotype" w:hAnsi="Palatino Linotype" w:cs="Tahoma"/>
          <w:bCs/>
          <w:i/>
          <w:iCs/>
          <w:sz w:val="22"/>
          <w:lang w:eastAsia="es-ES"/>
        </w:rPr>
      </w:pPr>
      <w:r w:rsidRPr="006C4470">
        <w:rPr>
          <w:rFonts w:ascii="Palatino Linotype" w:hAnsi="Palatino Linotype" w:cs="Tahoma"/>
          <w:b/>
          <w:bCs/>
          <w:i/>
          <w:iCs/>
          <w:sz w:val="22"/>
          <w:lang w:eastAsia="es-ES"/>
        </w:rPr>
        <w:t xml:space="preserve">ARTÍCULO 48. </w:t>
      </w:r>
      <w:r w:rsidRPr="006C4470">
        <w:rPr>
          <w:rFonts w:ascii="Palatino Linotype" w:hAnsi="Palatino Linotype" w:cs="Tahoma"/>
          <w:bCs/>
          <w:i/>
          <w:iCs/>
          <w:sz w:val="22"/>
          <w:lang w:eastAsia="es-ES"/>
        </w:rPr>
        <w:t>Para iniciar la prestación de los servicios se requiere:</w:t>
      </w:r>
    </w:p>
    <w:p w14:paraId="7121F0FE" w14:textId="77777777" w:rsidR="006C4470" w:rsidRPr="006C4470" w:rsidRDefault="006C4470" w:rsidP="006C4470">
      <w:pPr>
        <w:spacing w:before="240" w:after="240"/>
        <w:ind w:left="567" w:right="900"/>
        <w:jc w:val="both"/>
        <w:rPr>
          <w:rFonts w:ascii="Palatino Linotype" w:hAnsi="Palatino Linotype" w:cs="Tahoma"/>
          <w:bCs/>
          <w:i/>
          <w:iCs/>
          <w:sz w:val="22"/>
          <w:lang w:eastAsia="es-ES"/>
        </w:rPr>
      </w:pPr>
      <w:r w:rsidRPr="006C4470">
        <w:rPr>
          <w:rFonts w:ascii="Palatino Linotype" w:hAnsi="Palatino Linotype" w:cs="Tahoma"/>
          <w:b/>
          <w:bCs/>
          <w:i/>
          <w:iCs/>
          <w:sz w:val="22"/>
          <w:lang w:eastAsia="es-ES"/>
        </w:rPr>
        <w:t xml:space="preserve">I. </w:t>
      </w:r>
      <w:r w:rsidRPr="006C4470">
        <w:rPr>
          <w:rFonts w:ascii="Palatino Linotype" w:hAnsi="Palatino Linotype" w:cs="Tahoma"/>
          <w:bCs/>
          <w:i/>
          <w:iCs/>
          <w:sz w:val="22"/>
          <w:lang w:eastAsia="es-ES"/>
        </w:rPr>
        <w:t>Tener conferido el nombramiento, contrato respectivo o formato único de</w:t>
      </w:r>
    </w:p>
    <w:p w14:paraId="3E27219B" w14:textId="77777777" w:rsidR="006C4470" w:rsidRPr="006C4470" w:rsidRDefault="006C4470" w:rsidP="006C4470">
      <w:pPr>
        <w:spacing w:before="240" w:after="240"/>
        <w:ind w:left="567" w:right="900"/>
        <w:jc w:val="both"/>
        <w:rPr>
          <w:rFonts w:ascii="Palatino Linotype" w:hAnsi="Palatino Linotype" w:cs="Tahoma"/>
          <w:bCs/>
          <w:i/>
          <w:iCs/>
          <w:sz w:val="22"/>
          <w:lang w:eastAsia="es-ES"/>
        </w:rPr>
      </w:pPr>
      <w:r w:rsidRPr="006C4470">
        <w:rPr>
          <w:rFonts w:ascii="Palatino Linotype" w:hAnsi="Palatino Linotype" w:cs="Tahoma"/>
          <w:bCs/>
          <w:i/>
          <w:iCs/>
          <w:sz w:val="22"/>
          <w:lang w:eastAsia="es-ES"/>
        </w:rPr>
        <w:t>Movimientos de Personal;</w:t>
      </w:r>
    </w:p>
    <w:p w14:paraId="7E410F59" w14:textId="77777777" w:rsidR="006C4470" w:rsidRPr="006C4470" w:rsidRDefault="006C4470" w:rsidP="006C4470">
      <w:pPr>
        <w:spacing w:before="240" w:after="240"/>
        <w:ind w:left="567" w:right="900"/>
        <w:jc w:val="both"/>
        <w:rPr>
          <w:rFonts w:ascii="Palatino Linotype" w:hAnsi="Palatino Linotype" w:cs="Tahoma"/>
          <w:bCs/>
          <w:i/>
          <w:iCs/>
          <w:sz w:val="22"/>
          <w:lang w:eastAsia="es-ES"/>
        </w:rPr>
      </w:pPr>
      <w:r w:rsidRPr="006C4470">
        <w:rPr>
          <w:rFonts w:ascii="Palatino Linotype" w:hAnsi="Palatino Linotype" w:cs="Tahoma"/>
          <w:b/>
          <w:bCs/>
          <w:i/>
          <w:iCs/>
          <w:sz w:val="22"/>
          <w:lang w:eastAsia="es-ES"/>
        </w:rPr>
        <w:t xml:space="preserve">II. </w:t>
      </w:r>
      <w:r w:rsidRPr="006C4470">
        <w:rPr>
          <w:rFonts w:ascii="Palatino Linotype" w:hAnsi="Palatino Linotype" w:cs="Tahoma"/>
          <w:bCs/>
          <w:i/>
          <w:iCs/>
          <w:sz w:val="22"/>
          <w:lang w:eastAsia="es-ES"/>
        </w:rPr>
        <w:t>Rendir la protesta de ley en caso de nombramiento; y</w:t>
      </w:r>
    </w:p>
    <w:p w14:paraId="20F6B395" w14:textId="77777777" w:rsidR="006C4470" w:rsidRPr="006C4470" w:rsidRDefault="006C4470" w:rsidP="006C4470">
      <w:pPr>
        <w:spacing w:before="240" w:after="240"/>
        <w:ind w:left="567" w:right="900"/>
        <w:jc w:val="both"/>
        <w:rPr>
          <w:rFonts w:ascii="Palatino Linotype" w:hAnsi="Palatino Linotype" w:cs="Tahoma"/>
          <w:bCs/>
          <w:i/>
          <w:iCs/>
          <w:sz w:val="22"/>
          <w:lang w:eastAsia="es-ES"/>
        </w:rPr>
      </w:pPr>
      <w:r w:rsidRPr="006C4470">
        <w:rPr>
          <w:rFonts w:ascii="Palatino Linotype" w:hAnsi="Palatino Linotype" w:cs="Tahoma"/>
          <w:b/>
          <w:bCs/>
          <w:i/>
          <w:iCs/>
          <w:sz w:val="22"/>
          <w:lang w:eastAsia="es-ES"/>
        </w:rPr>
        <w:t xml:space="preserve">III. </w:t>
      </w:r>
      <w:r w:rsidRPr="006C4470">
        <w:rPr>
          <w:rFonts w:ascii="Palatino Linotype" w:hAnsi="Palatino Linotype" w:cs="Tahoma"/>
          <w:bCs/>
          <w:i/>
          <w:iCs/>
          <w:sz w:val="22"/>
          <w:lang w:eastAsia="es-ES"/>
        </w:rPr>
        <w:t>Tomar posesión del cargo.</w:t>
      </w:r>
    </w:p>
    <w:p w14:paraId="3354247C" w14:textId="77777777" w:rsidR="006C4470" w:rsidRPr="006C4470" w:rsidRDefault="006C4470" w:rsidP="006C4470">
      <w:pPr>
        <w:spacing w:before="240" w:after="240"/>
        <w:ind w:left="567"/>
        <w:jc w:val="both"/>
        <w:rPr>
          <w:rFonts w:ascii="Palatino Linotype" w:hAnsi="Palatino Linotype" w:cs="Tahoma"/>
          <w:b/>
          <w:bCs/>
          <w:i/>
          <w:iCs/>
          <w:sz w:val="22"/>
          <w:lang w:eastAsia="es-ES"/>
        </w:rPr>
      </w:pPr>
      <w:r w:rsidRPr="006C4470">
        <w:rPr>
          <w:rFonts w:ascii="Palatino Linotype" w:hAnsi="Palatino Linotype" w:cs="Tahoma"/>
          <w:b/>
          <w:bCs/>
          <w:i/>
          <w:iCs/>
          <w:sz w:val="22"/>
          <w:lang w:eastAsia="es-ES"/>
        </w:rPr>
        <w:lastRenderedPageBreak/>
        <w:t>CAPITULO II</w:t>
      </w:r>
    </w:p>
    <w:p w14:paraId="3E087C38" w14:textId="77777777" w:rsidR="006C4470" w:rsidRPr="006C4470" w:rsidRDefault="006C4470" w:rsidP="006C4470">
      <w:pPr>
        <w:spacing w:before="240" w:after="240"/>
        <w:ind w:left="567"/>
        <w:jc w:val="both"/>
        <w:rPr>
          <w:rFonts w:ascii="Palatino Linotype" w:hAnsi="Palatino Linotype" w:cs="Tahoma"/>
          <w:b/>
          <w:bCs/>
          <w:i/>
          <w:iCs/>
          <w:sz w:val="22"/>
          <w:lang w:eastAsia="es-ES"/>
        </w:rPr>
      </w:pPr>
      <w:r w:rsidRPr="006C4470">
        <w:rPr>
          <w:rFonts w:ascii="Palatino Linotype" w:hAnsi="Palatino Linotype" w:cs="Tahoma"/>
          <w:b/>
          <w:bCs/>
          <w:i/>
          <w:iCs/>
          <w:sz w:val="22"/>
          <w:lang w:eastAsia="es-ES"/>
        </w:rPr>
        <w:t>De los Nombramientos</w:t>
      </w:r>
    </w:p>
    <w:p w14:paraId="66923BA5" w14:textId="77777777" w:rsidR="006C4470" w:rsidRPr="006C4470" w:rsidRDefault="006C4470" w:rsidP="006C4470">
      <w:pPr>
        <w:spacing w:before="240" w:after="240"/>
        <w:ind w:left="567" w:right="900"/>
        <w:jc w:val="both"/>
        <w:rPr>
          <w:rFonts w:ascii="Palatino Linotype" w:hAnsi="Palatino Linotype" w:cs="Tahoma"/>
          <w:bCs/>
          <w:i/>
          <w:iCs/>
          <w:sz w:val="22"/>
          <w:lang w:eastAsia="es-ES"/>
        </w:rPr>
      </w:pPr>
      <w:r w:rsidRPr="006C4470">
        <w:rPr>
          <w:rFonts w:ascii="Palatino Linotype" w:hAnsi="Palatino Linotype" w:cs="Tahoma"/>
          <w:b/>
          <w:bCs/>
          <w:i/>
          <w:iCs/>
          <w:sz w:val="22"/>
          <w:lang w:eastAsia="es-ES"/>
        </w:rPr>
        <w:t xml:space="preserve">ARTÍCULO 49.- </w:t>
      </w:r>
      <w:r w:rsidRPr="006C4470">
        <w:rPr>
          <w:rFonts w:ascii="Palatino Linotype" w:hAnsi="Palatino Linotype" w:cs="Tahoma"/>
          <w:bCs/>
          <w:i/>
          <w:iCs/>
          <w:sz w:val="22"/>
          <w:lang w:eastAsia="es-ES"/>
        </w:rPr>
        <w:t>Los nombramientos, contratos o formato único de</w:t>
      </w:r>
    </w:p>
    <w:p w14:paraId="130717D7" w14:textId="77777777" w:rsidR="006C4470" w:rsidRPr="006C4470" w:rsidRDefault="006C4470" w:rsidP="006C4470">
      <w:pPr>
        <w:spacing w:before="240" w:after="240"/>
        <w:ind w:left="567" w:right="900"/>
        <w:jc w:val="both"/>
        <w:rPr>
          <w:rFonts w:ascii="Palatino Linotype" w:hAnsi="Palatino Linotype" w:cs="Tahoma"/>
          <w:bCs/>
          <w:i/>
          <w:iCs/>
          <w:sz w:val="22"/>
          <w:lang w:eastAsia="es-ES"/>
        </w:rPr>
      </w:pPr>
      <w:r w:rsidRPr="006C4470">
        <w:rPr>
          <w:rFonts w:ascii="Palatino Linotype" w:hAnsi="Palatino Linotype" w:cs="Tahoma"/>
          <w:bCs/>
          <w:i/>
          <w:iCs/>
          <w:sz w:val="22"/>
          <w:lang w:eastAsia="es-ES"/>
        </w:rPr>
        <w:t>Movimientos de Personal de los servidores públicos deberán contener:</w:t>
      </w:r>
    </w:p>
    <w:p w14:paraId="122A3FFE" w14:textId="77777777" w:rsidR="006C4470" w:rsidRPr="006C4470" w:rsidRDefault="006C4470" w:rsidP="006C4470">
      <w:pPr>
        <w:spacing w:before="240" w:after="240"/>
        <w:ind w:left="567" w:right="900"/>
        <w:jc w:val="both"/>
        <w:rPr>
          <w:rFonts w:ascii="Palatino Linotype" w:hAnsi="Palatino Linotype" w:cs="Tahoma"/>
          <w:bCs/>
          <w:i/>
          <w:iCs/>
          <w:sz w:val="22"/>
          <w:lang w:eastAsia="es-ES"/>
        </w:rPr>
      </w:pPr>
      <w:r w:rsidRPr="006C4470">
        <w:rPr>
          <w:rFonts w:ascii="Palatino Linotype" w:hAnsi="Palatino Linotype" w:cs="Tahoma"/>
          <w:bCs/>
          <w:i/>
          <w:iCs/>
          <w:sz w:val="22"/>
          <w:lang w:eastAsia="es-ES"/>
        </w:rPr>
        <w:t>I. Nombre completo del servidor público;</w:t>
      </w:r>
    </w:p>
    <w:p w14:paraId="7918927B" w14:textId="52690F5C" w:rsidR="006C4470" w:rsidRPr="006C4470" w:rsidRDefault="006C4470" w:rsidP="006C4470">
      <w:pPr>
        <w:spacing w:before="240" w:after="240"/>
        <w:ind w:left="567" w:right="900"/>
        <w:jc w:val="both"/>
        <w:rPr>
          <w:rFonts w:ascii="Palatino Linotype" w:hAnsi="Palatino Linotype" w:cs="Tahoma"/>
          <w:bCs/>
          <w:i/>
          <w:iCs/>
          <w:sz w:val="22"/>
          <w:lang w:eastAsia="es-ES"/>
        </w:rPr>
      </w:pPr>
      <w:r w:rsidRPr="006C4470">
        <w:rPr>
          <w:rFonts w:ascii="Palatino Linotype" w:hAnsi="Palatino Linotype" w:cs="Tahoma"/>
          <w:bCs/>
          <w:i/>
          <w:iCs/>
          <w:sz w:val="22"/>
          <w:lang w:eastAsia="es-ES"/>
        </w:rPr>
        <w:t>II. Cargo para el que es designado, fecha de inicio de sus servicios y lugar de adscripción;</w:t>
      </w:r>
    </w:p>
    <w:p w14:paraId="4516B8D1" w14:textId="61658D64" w:rsidR="006C4470" w:rsidRPr="006C4470" w:rsidRDefault="006C4470" w:rsidP="006C4470">
      <w:pPr>
        <w:spacing w:before="240" w:after="240"/>
        <w:ind w:left="567" w:right="900"/>
        <w:jc w:val="both"/>
        <w:rPr>
          <w:rFonts w:ascii="Palatino Linotype" w:hAnsi="Palatino Linotype" w:cs="Tahoma"/>
          <w:bCs/>
          <w:i/>
          <w:iCs/>
          <w:sz w:val="22"/>
          <w:lang w:eastAsia="es-ES"/>
        </w:rPr>
      </w:pPr>
      <w:r w:rsidRPr="006C4470">
        <w:rPr>
          <w:rFonts w:ascii="Palatino Linotype" w:hAnsi="Palatino Linotype" w:cs="Tahoma"/>
          <w:bCs/>
          <w:i/>
          <w:iCs/>
          <w:sz w:val="22"/>
          <w:lang w:eastAsia="es-ES"/>
        </w:rPr>
        <w:t>III. Carácter del nombramiento, ya sea de servidores públicos generales o de confianza, así como la temporalidad del mismo;</w:t>
      </w:r>
    </w:p>
    <w:p w14:paraId="13BD02F2" w14:textId="77777777" w:rsidR="006C4470" w:rsidRPr="006C4470" w:rsidRDefault="006C4470" w:rsidP="006C4470">
      <w:pPr>
        <w:spacing w:before="240" w:after="240"/>
        <w:ind w:left="567" w:right="900"/>
        <w:jc w:val="both"/>
        <w:rPr>
          <w:rFonts w:ascii="Palatino Linotype" w:hAnsi="Palatino Linotype" w:cs="Tahoma"/>
          <w:bCs/>
          <w:i/>
          <w:iCs/>
          <w:sz w:val="22"/>
          <w:lang w:eastAsia="es-ES"/>
        </w:rPr>
      </w:pPr>
      <w:r w:rsidRPr="006C4470">
        <w:rPr>
          <w:rFonts w:ascii="Palatino Linotype" w:hAnsi="Palatino Linotype" w:cs="Tahoma"/>
          <w:bCs/>
          <w:i/>
          <w:iCs/>
          <w:sz w:val="22"/>
          <w:lang w:eastAsia="es-ES"/>
        </w:rPr>
        <w:t>IV. Remuneración correspondiente al puesto;</w:t>
      </w:r>
    </w:p>
    <w:p w14:paraId="5526A94C" w14:textId="77777777" w:rsidR="006C4470" w:rsidRPr="006C4470" w:rsidRDefault="006C4470" w:rsidP="006C4470">
      <w:pPr>
        <w:spacing w:before="240" w:after="240"/>
        <w:ind w:left="567" w:right="900"/>
        <w:jc w:val="both"/>
        <w:rPr>
          <w:rFonts w:ascii="Palatino Linotype" w:hAnsi="Palatino Linotype" w:cs="Tahoma"/>
          <w:bCs/>
          <w:i/>
          <w:iCs/>
          <w:sz w:val="22"/>
          <w:lang w:eastAsia="es-ES"/>
        </w:rPr>
      </w:pPr>
      <w:r w:rsidRPr="006C4470">
        <w:rPr>
          <w:rFonts w:ascii="Palatino Linotype" w:hAnsi="Palatino Linotype" w:cs="Tahoma"/>
          <w:bCs/>
          <w:i/>
          <w:iCs/>
          <w:sz w:val="22"/>
          <w:lang w:eastAsia="es-ES"/>
        </w:rPr>
        <w:t>V. Jornada de trabajo;</w:t>
      </w:r>
    </w:p>
    <w:p w14:paraId="4739A8F8" w14:textId="77777777" w:rsidR="006C4470" w:rsidRPr="006C4470" w:rsidRDefault="006C4470" w:rsidP="006C4470">
      <w:pPr>
        <w:spacing w:before="240" w:after="240"/>
        <w:ind w:left="567" w:right="900"/>
        <w:jc w:val="both"/>
        <w:rPr>
          <w:rFonts w:ascii="Palatino Linotype" w:hAnsi="Palatino Linotype" w:cs="Tahoma"/>
          <w:bCs/>
          <w:i/>
          <w:iCs/>
          <w:sz w:val="22"/>
          <w:lang w:eastAsia="es-ES"/>
        </w:rPr>
      </w:pPr>
      <w:r w:rsidRPr="006C4470">
        <w:rPr>
          <w:rFonts w:ascii="Palatino Linotype" w:hAnsi="Palatino Linotype" w:cs="Tahoma"/>
          <w:bCs/>
          <w:i/>
          <w:iCs/>
          <w:sz w:val="22"/>
          <w:lang w:eastAsia="es-ES"/>
        </w:rPr>
        <w:t>VI. Derogada;</w:t>
      </w:r>
    </w:p>
    <w:p w14:paraId="28EF817D" w14:textId="44B6EFC1" w:rsidR="006C4470" w:rsidRPr="006C4470" w:rsidRDefault="006C4470" w:rsidP="006C4470">
      <w:pPr>
        <w:spacing w:before="240" w:after="240"/>
        <w:ind w:left="567" w:right="900"/>
        <w:jc w:val="both"/>
        <w:rPr>
          <w:rFonts w:ascii="Palatino Linotype" w:hAnsi="Palatino Linotype" w:cs="Tahoma"/>
          <w:bCs/>
          <w:i/>
          <w:iCs/>
          <w:sz w:val="22"/>
          <w:lang w:eastAsia="es-ES"/>
        </w:rPr>
      </w:pPr>
      <w:r w:rsidRPr="006C4470">
        <w:rPr>
          <w:rFonts w:ascii="Palatino Linotype" w:hAnsi="Palatino Linotype" w:cs="Tahoma"/>
          <w:bCs/>
          <w:i/>
          <w:iCs/>
          <w:sz w:val="22"/>
          <w:lang w:eastAsia="es-ES"/>
        </w:rPr>
        <w:t>VII. Firma del servidor público autorizado para emitir el nombramiento, contrato o formato único de Movimientos de Personal, así como el fundamento legal de esa atribución.</w:t>
      </w:r>
    </w:p>
    <w:p w14:paraId="074764B1" w14:textId="77777777" w:rsidR="006C4470" w:rsidRPr="006C4470" w:rsidRDefault="006C4470" w:rsidP="006C4470">
      <w:pPr>
        <w:spacing w:before="240" w:after="240"/>
        <w:ind w:left="567" w:right="900"/>
        <w:jc w:val="both"/>
        <w:rPr>
          <w:rFonts w:ascii="Palatino Linotype" w:hAnsi="Palatino Linotype" w:cs="Tahoma"/>
          <w:b/>
          <w:bCs/>
          <w:i/>
          <w:iCs/>
          <w:sz w:val="22"/>
          <w:lang w:eastAsia="es-ES"/>
        </w:rPr>
      </w:pPr>
      <w:r w:rsidRPr="006C4470">
        <w:rPr>
          <w:rFonts w:ascii="Palatino Linotype" w:hAnsi="Palatino Linotype" w:cs="Tahoma"/>
          <w:b/>
          <w:bCs/>
          <w:i/>
          <w:iCs/>
          <w:sz w:val="22"/>
          <w:lang w:eastAsia="es-ES"/>
        </w:rPr>
        <w:t>CAPITULO VII</w:t>
      </w:r>
    </w:p>
    <w:p w14:paraId="58EE8A54" w14:textId="77777777" w:rsidR="006C4470" w:rsidRPr="006C4470" w:rsidRDefault="006C4470" w:rsidP="006C4470">
      <w:pPr>
        <w:spacing w:before="240" w:after="240"/>
        <w:ind w:left="567" w:right="900"/>
        <w:jc w:val="both"/>
        <w:rPr>
          <w:rFonts w:ascii="Palatino Linotype" w:hAnsi="Palatino Linotype" w:cs="Tahoma"/>
          <w:b/>
          <w:bCs/>
          <w:i/>
          <w:iCs/>
          <w:sz w:val="22"/>
          <w:lang w:eastAsia="es-ES"/>
        </w:rPr>
      </w:pPr>
      <w:r w:rsidRPr="006C4470">
        <w:rPr>
          <w:rFonts w:ascii="Palatino Linotype" w:hAnsi="Palatino Linotype" w:cs="Tahoma"/>
          <w:b/>
          <w:bCs/>
          <w:i/>
          <w:iCs/>
          <w:sz w:val="22"/>
          <w:lang w:eastAsia="es-ES"/>
        </w:rPr>
        <w:t>De la Terminación de la Relación Laboral</w:t>
      </w:r>
    </w:p>
    <w:p w14:paraId="219FC227" w14:textId="7FDBB85E" w:rsidR="006C4470" w:rsidRPr="006C4470" w:rsidRDefault="006C4470" w:rsidP="006C4470">
      <w:pPr>
        <w:spacing w:before="240" w:after="240"/>
        <w:ind w:left="567" w:right="900"/>
        <w:jc w:val="both"/>
        <w:rPr>
          <w:rFonts w:ascii="Palatino Linotype" w:hAnsi="Palatino Linotype" w:cs="Tahoma"/>
          <w:bCs/>
          <w:i/>
          <w:iCs/>
          <w:sz w:val="22"/>
          <w:lang w:eastAsia="es-ES"/>
        </w:rPr>
      </w:pPr>
      <w:r w:rsidRPr="006C4470">
        <w:rPr>
          <w:rFonts w:ascii="Palatino Linotype" w:hAnsi="Palatino Linotype" w:cs="Tahoma"/>
          <w:b/>
          <w:bCs/>
          <w:i/>
          <w:iCs/>
          <w:sz w:val="22"/>
          <w:lang w:eastAsia="es-ES"/>
        </w:rPr>
        <w:t xml:space="preserve">ARTÍCULO 89. </w:t>
      </w:r>
      <w:r w:rsidRPr="006C4470">
        <w:rPr>
          <w:rFonts w:ascii="Palatino Linotype" w:hAnsi="Palatino Linotype" w:cs="Tahoma"/>
          <w:bCs/>
          <w:i/>
          <w:iCs/>
          <w:sz w:val="22"/>
          <w:lang w:eastAsia="es-ES"/>
        </w:rPr>
        <w:t xml:space="preserve">Son </w:t>
      </w:r>
      <w:r w:rsidRPr="006C4470">
        <w:rPr>
          <w:rFonts w:ascii="Palatino Linotype" w:hAnsi="Palatino Linotype" w:cs="Tahoma"/>
          <w:b/>
          <w:bCs/>
          <w:i/>
          <w:iCs/>
          <w:sz w:val="22"/>
          <w:lang w:eastAsia="es-ES"/>
        </w:rPr>
        <w:t xml:space="preserve">causas de terminación de la relación laboral </w:t>
      </w:r>
      <w:r w:rsidRPr="006C4470">
        <w:rPr>
          <w:rFonts w:ascii="Palatino Linotype" w:hAnsi="Palatino Linotype" w:cs="Tahoma"/>
          <w:bCs/>
          <w:i/>
          <w:iCs/>
          <w:sz w:val="22"/>
          <w:lang w:eastAsia="es-ES"/>
        </w:rPr>
        <w:t>sin responsabilidad para las instituciones públicas:</w:t>
      </w:r>
    </w:p>
    <w:p w14:paraId="2AFD582D" w14:textId="77777777" w:rsidR="006C4470" w:rsidRPr="006C4470" w:rsidRDefault="006C4470" w:rsidP="006C4470">
      <w:pPr>
        <w:spacing w:before="240" w:after="240"/>
        <w:ind w:left="567" w:right="900"/>
        <w:jc w:val="both"/>
        <w:rPr>
          <w:rFonts w:ascii="Palatino Linotype" w:hAnsi="Palatino Linotype" w:cs="Tahoma"/>
          <w:bCs/>
          <w:i/>
          <w:iCs/>
          <w:sz w:val="22"/>
          <w:lang w:eastAsia="es-ES"/>
        </w:rPr>
      </w:pPr>
      <w:r w:rsidRPr="006C4470">
        <w:rPr>
          <w:rFonts w:ascii="Palatino Linotype" w:hAnsi="Palatino Linotype" w:cs="Tahoma"/>
          <w:bCs/>
          <w:i/>
          <w:iCs/>
          <w:sz w:val="22"/>
          <w:lang w:eastAsia="es-ES"/>
        </w:rPr>
        <w:t>I. La renuncia del servidor público;</w:t>
      </w:r>
    </w:p>
    <w:p w14:paraId="542C8984" w14:textId="77777777" w:rsidR="006C4470" w:rsidRPr="006C4470" w:rsidRDefault="006C4470" w:rsidP="006C4470">
      <w:pPr>
        <w:spacing w:before="240" w:after="240"/>
        <w:ind w:left="567" w:right="900"/>
        <w:jc w:val="both"/>
        <w:rPr>
          <w:rFonts w:ascii="Palatino Linotype" w:hAnsi="Palatino Linotype" w:cs="Tahoma"/>
          <w:bCs/>
          <w:i/>
          <w:iCs/>
          <w:sz w:val="22"/>
          <w:lang w:eastAsia="es-ES"/>
        </w:rPr>
      </w:pPr>
      <w:r w:rsidRPr="006C4470">
        <w:rPr>
          <w:rFonts w:ascii="Palatino Linotype" w:hAnsi="Palatino Linotype" w:cs="Tahoma"/>
          <w:bCs/>
          <w:i/>
          <w:iCs/>
          <w:sz w:val="22"/>
          <w:lang w:eastAsia="es-ES"/>
        </w:rPr>
        <w:t>II. El mutuo consentimiento de las partes;</w:t>
      </w:r>
    </w:p>
    <w:p w14:paraId="009A624C" w14:textId="0B97972C" w:rsidR="006C4470" w:rsidRPr="006C4470" w:rsidRDefault="006C4470" w:rsidP="006C4470">
      <w:pPr>
        <w:spacing w:before="240" w:after="240"/>
        <w:ind w:left="567" w:right="900"/>
        <w:jc w:val="both"/>
        <w:rPr>
          <w:rFonts w:ascii="Palatino Linotype" w:hAnsi="Palatino Linotype" w:cs="Tahoma"/>
          <w:bCs/>
          <w:i/>
          <w:iCs/>
          <w:sz w:val="22"/>
          <w:lang w:eastAsia="es-ES"/>
        </w:rPr>
      </w:pPr>
      <w:r w:rsidRPr="006C4470">
        <w:rPr>
          <w:rFonts w:ascii="Palatino Linotype" w:hAnsi="Palatino Linotype" w:cs="Tahoma"/>
          <w:bCs/>
          <w:i/>
          <w:iCs/>
          <w:sz w:val="22"/>
          <w:lang w:eastAsia="es-ES"/>
        </w:rPr>
        <w:t>III. El vencimiento del término o conclusión de la obra determinantes de la</w:t>
      </w:r>
      <w:r>
        <w:rPr>
          <w:rFonts w:ascii="Palatino Linotype" w:hAnsi="Palatino Linotype" w:cs="Tahoma"/>
          <w:bCs/>
          <w:i/>
          <w:iCs/>
          <w:sz w:val="22"/>
          <w:lang w:eastAsia="es-ES"/>
        </w:rPr>
        <w:t xml:space="preserve"> </w:t>
      </w:r>
      <w:r w:rsidRPr="006C4470">
        <w:rPr>
          <w:rFonts w:ascii="Palatino Linotype" w:hAnsi="Palatino Linotype" w:cs="Tahoma"/>
          <w:bCs/>
          <w:i/>
          <w:iCs/>
          <w:sz w:val="22"/>
          <w:lang w:eastAsia="es-ES"/>
        </w:rPr>
        <w:t>contratación;</w:t>
      </w:r>
    </w:p>
    <w:p w14:paraId="16CE760C" w14:textId="7D4A3CF3" w:rsidR="006C4470" w:rsidRPr="006C4470" w:rsidRDefault="006C4470" w:rsidP="006C4470">
      <w:pPr>
        <w:spacing w:before="240" w:after="240"/>
        <w:ind w:left="567" w:right="900"/>
        <w:jc w:val="both"/>
        <w:rPr>
          <w:rFonts w:ascii="Palatino Linotype" w:hAnsi="Palatino Linotype" w:cs="Tahoma"/>
          <w:bCs/>
          <w:i/>
          <w:iCs/>
          <w:sz w:val="22"/>
          <w:lang w:eastAsia="es-ES"/>
        </w:rPr>
      </w:pPr>
      <w:r w:rsidRPr="006C4470">
        <w:rPr>
          <w:rFonts w:ascii="Palatino Linotype" w:hAnsi="Palatino Linotype" w:cs="Tahoma"/>
          <w:bCs/>
          <w:i/>
          <w:iCs/>
          <w:sz w:val="22"/>
          <w:lang w:eastAsia="es-ES"/>
        </w:rPr>
        <w:t>IV. El término o conclusión de la administración en la cual fue contratado el</w:t>
      </w:r>
      <w:r>
        <w:rPr>
          <w:rFonts w:ascii="Palatino Linotype" w:hAnsi="Palatino Linotype" w:cs="Tahoma"/>
          <w:bCs/>
          <w:i/>
          <w:iCs/>
          <w:sz w:val="22"/>
          <w:lang w:eastAsia="es-ES"/>
        </w:rPr>
        <w:t xml:space="preserve"> </w:t>
      </w:r>
      <w:r w:rsidRPr="006C4470">
        <w:rPr>
          <w:rFonts w:ascii="Palatino Linotype" w:hAnsi="Palatino Linotype" w:cs="Tahoma"/>
          <w:bCs/>
          <w:i/>
          <w:iCs/>
          <w:sz w:val="22"/>
          <w:lang w:eastAsia="es-ES"/>
        </w:rPr>
        <w:t>servidor público a que se refiere el artículo 8 de ésta Ley;</w:t>
      </w:r>
    </w:p>
    <w:p w14:paraId="09937A3D" w14:textId="77777777" w:rsidR="006C4470" w:rsidRPr="006C4470" w:rsidRDefault="006C4470" w:rsidP="006C4470">
      <w:pPr>
        <w:spacing w:before="240" w:after="240"/>
        <w:ind w:left="567" w:right="900"/>
        <w:jc w:val="both"/>
        <w:rPr>
          <w:rFonts w:ascii="Palatino Linotype" w:hAnsi="Palatino Linotype" w:cs="Tahoma"/>
          <w:bCs/>
          <w:i/>
          <w:iCs/>
          <w:sz w:val="22"/>
          <w:lang w:eastAsia="es-ES"/>
        </w:rPr>
      </w:pPr>
      <w:r w:rsidRPr="006C4470">
        <w:rPr>
          <w:rFonts w:ascii="Palatino Linotype" w:hAnsi="Palatino Linotype" w:cs="Tahoma"/>
          <w:bCs/>
          <w:i/>
          <w:iCs/>
          <w:sz w:val="22"/>
          <w:lang w:eastAsia="es-ES"/>
        </w:rPr>
        <w:lastRenderedPageBreak/>
        <w:t>V. La muerte del servidor público; y</w:t>
      </w:r>
    </w:p>
    <w:p w14:paraId="19B8FC76" w14:textId="3FD1C78E" w:rsidR="006C4470" w:rsidRPr="006C4470" w:rsidRDefault="006C4470" w:rsidP="006C4470">
      <w:pPr>
        <w:spacing w:before="240" w:after="240"/>
        <w:ind w:left="567" w:right="900"/>
        <w:jc w:val="both"/>
        <w:rPr>
          <w:rFonts w:ascii="Palatino Linotype" w:hAnsi="Palatino Linotype" w:cs="Tahoma"/>
          <w:bCs/>
          <w:i/>
          <w:iCs/>
          <w:sz w:val="22"/>
          <w:lang w:eastAsia="es-ES"/>
        </w:rPr>
      </w:pPr>
      <w:r w:rsidRPr="006C4470">
        <w:rPr>
          <w:rFonts w:ascii="Palatino Linotype" w:hAnsi="Palatino Linotype" w:cs="Tahoma"/>
          <w:bCs/>
          <w:i/>
          <w:iCs/>
          <w:sz w:val="22"/>
          <w:lang w:eastAsia="es-ES"/>
        </w:rPr>
        <w:t>VI. La incapacidad permanente del servidor público que le impida el desempeño</w:t>
      </w:r>
      <w:r>
        <w:rPr>
          <w:rFonts w:ascii="Palatino Linotype" w:hAnsi="Palatino Linotype" w:cs="Tahoma"/>
          <w:bCs/>
          <w:i/>
          <w:iCs/>
          <w:sz w:val="22"/>
          <w:lang w:eastAsia="es-ES"/>
        </w:rPr>
        <w:t xml:space="preserve"> </w:t>
      </w:r>
      <w:r w:rsidRPr="006C4470">
        <w:rPr>
          <w:rFonts w:ascii="Palatino Linotype" w:hAnsi="Palatino Linotype" w:cs="Tahoma"/>
          <w:bCs/>
          <w:i/>
          <w:iCs/>
          <w:sz w:val="22"/>
          <w:lang w:eastAsia="es-ES"/>
        </w:rPr>
        <w:t>de sus labores.”</w:t>
      </w:r>
    </w:p>
    <w:p w14:paraId="68B9FDA0" w14:textId="77777777" w:rsidR="006C4470" w:rsidRPr="006C4470" w:rsidRDefault="006C4470" w:rsidP="006C4470">
      <w:pPr>
        <w:spacing w:before="240" w:after="240"/>
        <w:ind w:left="567" w:right="900"/>
        <w:jc w:val="both"/>
        <w:rPr>
          <w:rFonts w:ascii="Palatino Linotype" w:hAnsi="Palatino Linotype" w:cs="Tahoma"/>
          <w:b/>
          <w:bCs/>
          <w:i/>
          <w:iCs/>
          <w:sz w:val="22"/>
          <w:lang w:eastAsia="es-ES"/>
        </w:rPr>
      </w:pPr>
      <w:r w:rsidRPr="006C4470">
        <w:rPr>
          <w:rFonts w:ascii="Palatino Linotype" w:hAnsi="Palatino Linotype" w:cs="Tahoma"/>
          <w:b/>
          <w:bCs/>
          <w:i/>
          <w:iCs/>
          <w:sz w:val="22"/>
          <w:lang w:eastAsia="es-ES"/>
        </w:rPr>
        <w:t>CAPITULO IX</w:t>
      </w:r>
    </w:p>
    <w:p w14:paraId="4243DD42" w14:textId="77777777" w:rsidR="006C4470" w:rsidRPr="006C4470" w:rsidRDefault="006C4470" w:rsidP="006C4470">
      <w:pPr>
        <w:spacing w:before="240" w:after="240"/>
        <w:ind w:left="567" w:right="900"/>
        <w:jc w:val="both"/>
        <w:rPr>
          <w:rFonts w:ascii="Palatino Linotype" w:hAnsi="Palatino Linotype" w:cs="Tahoma"/>
          <w:b/>
          <w:bCs/>
          <w:i/>
          <w:iCs/>
          <w:sz w:val="22"/>
          <w:lang w:eastAsia="es-ES"/>
        </w:rPr>
      </w:pPr>
      <w:r w:rsidRPr="006C4470">
        <w:rPr>
          <w:rFonts w:ascii="Palatino Linotype" w:hAnsi="Palatino Linotype" w:cs="Tahoma"/>
          <w:b/>
          <w:bCs/>
          <w:i/>
          <w:iCs/>
          <w:sz w:val="22"/>
          <w:lang w:eastAsia="es-ES"/>
        </w:rPr>
        <w:t>De la Rescisión de la Relación Laboral</w:t>
      </w:r>
    </w:p>
    <w:p w14:paraId="575B8CAF" w14:textId="78D60DD1" w:rsidR="006C4470" w:rsidRPr="006C4470" w:rsidRDefault="006C4470" w:rsidP="006C4470">
      <w:pPr>
        <w:spacing w:before="240" w:after="240"/>
        <w:ind w:left="567" w:right="900"/>
        <w:jc w:val="both"/>
        <w:rPr>
          <w:rFonts w:ascii="Palatino Linotype" w:hAnsi="Palatino Linotype" w:cs="Tahoma"/>
          <w:bCs/>
          <w:i/>
          <w:iCs/>
          <w:sz w:val="22"/>
          <w:lang w:eastAsia="es-ES"/>
        </w:rPr>
      </w:pPr>
      <w:r w:rsidRPr="006C4470">
        <w:rPr>
          <w:rFonts w:ascii="Palatino Linotype" w:hAnsi="Palatino Linotype" w:cs="Tahoma"/>
          <w:b/>
          <w:bCs/>
          <w:i/>
          <w:iCs/>
          <w:sz w:val="22"/>
          <w:lang w:eastAsia="es-ES"/>
        </w:rPr>
        <w:t xml:space="preserve">ARTÍCULO 92. </w:t>
      </w:r>
      <w:r w:rsidRPr="006C4470">
        <w:rPr>
          <w:rFonts w:ascii="Palatino Linotype" w:hAnsi="Palatino Linotype" w:cs="Tahoma"/>
          <w:bCs/>
          <w:i/>
          <w:iCs/>
          <w:sz w:val="22"/>
          <w:lang w:eastAsia="es-ES"/>
        </w:rPr>
        <w:t>El servidor público o la institución pública podrán rescindir en</w:t>
      </w:r>
      <w:r>
        <w:rPr>
          <w:rFonts w:ascii="Palatino Linotype" w:hAnsi="Palatino Linotype" w:cs="Tahoma"/>
          <w:bCs/>
          <w:i/>
          <w:iCs/>
          <w:sz w:val="22"/>
          <w:lang w:eastAsia="es-ES"/>
        </w:rPr>
        <w:t xml:space="preserve"> </w:t>
      </w:r>
      <w:r w:rsidRPr="006C4470">
        <w:rPr>
          <w:rFonts w:ascii="Palatino Linotype" w:hAnsi="Palatino Linotype" w:cs="Tahoma"/>
          <w:bCs/>
          <w:i/>
          <w:iCs/>
          <w:sz w:val="22"/>
          <w:lang w:eastAsia="es-ES"/>
        </w:rPr>
        <w:t xml:space="preserve">cualquier tiempo, </w:t>
      </w:r>
      <w:r w:rsidRPr="006C4470">
        <w:rPr>
          <w:rFonts w:ascii="Palatino Linotype" w:hAnsi="Palatino Linotype" w:cs="Tahoma"/>
          <w:b/>
          <w:bCs/>
          <w:i/>
          <w:iCs/>
          <w:sz w:val="22"/>
          <w:lang w:eastAsia="es-ES"/>
        </w:rPr>
        <w:t>por causa justificada, la relación laboral.</w:t>
      </w:r>
    </w:p>
    <w:p w14:paraId="7FE3EE7F" w14:textId="6AF19E61" w:rsidR="006C4470" w:rsidRPr="006C4470" w:rsidRDefault="006C4470" w:rsidP="006C4470">
      <w:pPr>
        <w:spacing w:before="240" w:after="240"/>
        <w:ind w:left="567" w:right="900"/>
        <w:jc w:val="both"/>
        <w:rPr>
          <w:rFonts w:ascii="Palatino Linotype" w:hAnsi="Palatino Linotype" w:cs="Tahoma"/>
          <w:b/>
          <w:bCs/>
          <w:i/>
          <w:iCs/>
          <w:sz w:val="22"/>
          <w:lang w:eastAsia="es-ES"/>
        </w:rPr>
      </w:pPr>
      <w:r w:rsidRPr="006C4470">
        <w:rPr>
          <w:rFonts w:ascii="Palatino Linotype" w:hAnsi="Palatino Linotype" w:cs="Tahoma"/>
          <w:b/>
          <w:bCs/>
          <w:i/>
          <w:iCs/>
          <w:sz w:val="22"/>
          <w:lang w:eastAsia="es-ES"/>
        </w:rPr>
        <w:t xml:space="preserve">ARTÍCULO 94. </w:t>
      </w:r>
      <w:r w:rsidRPr="006C4470">
        <w:rPr>
          <w:rFonts w:ascii="Palatino Linotype" w:hAnsi="Palatino Linotype" w:cs="Tahoma"/>
          <w:bCs/>
          <w:i/>
          <w:iCs/>
          <w:sz w:val="22"/>
          <w:lang w:eastAsia="es-ES"/>
        </w:rPr>
        <w:t xml:space="preserve">La </w:t>
      </w:r>
      <w:r w:rsidRPr="006C4470">
        <w:rPr>
          <w:rFonts w:ascii="Palatino Linotype" w:hAnsi="Palatino Linotype" w:cs="Tahoma"/>
          <w:b/>
          <w:bCs/>
          <w:i/>
          <w:iCs/>
          <w:sz w:val="22"/>
          <w:lang w:eastAsia="es-ES"/>
        </w:rPr>
        <w:t>institución pública deberá dar aviso por escrito al</w:t>
      </w:r>
      <w:r>
        <w:rPr>
          <w:rFonts w:ascii="Palatino Linotype" w:hAnsi="Palatino Linotype" w:cs="Tahoma"/>
          <w:b/>
          <w:bCs/>
          <w:i/>
          <w:iCs/>
          <w:sz w:val="22"/>
          <w:lang w:eastAsia="es-ES"/>
        </w:rPr>
        <w:t xml:space="preserve"> </w:t>
      </w:r>
      <w:r w:rsidRPr="006C4470">
        <w:rPr>
          <w:rFonts w:ascii="Palatino Linotype" w:hAnsi="Palatino Linotype" w:cs="Tahoma"/>
          <w:b/>
          <w:bCs/>
          <w:i/>
          <w:iCs/>
          <w:sz w:val="22"/>
          <w:lang w:eastAsia="es-ES"/>
        </w:rPr>
        <w:t>servidor público de manera personal, de la fecha y causa o causas de la</w:t>
      </w:r>
      <w:r>
        <w:rPr>
          <w:rFonts w:ascii="Palatino Linotype" w:hAnsi="Palatino Linotype" w:cs="Tahoma"/>
          <w:b/>
          <w:bCs/>
          <w:i/>
          <w:iCs/>
          <w:sz w:val="22"/>
          <w:lang w:eastAsia="es-ES"/>
        </w:rPr>
        <w:t xml:space="preserve"> </w:t>
      </w:r>
      <w:r w:rsidRPr="006C4470">
        <w:rPr>
          <w:rFonts w:ascii="Palatino Linotype" w:hAnsi="Palatino Linotype" w:cs="Tahoma"/>
          <w:b/>
          <w:bCs/>
          <w:i/>
          <w:iCs/>
          <w:sz w:val="22"/>
          <w:lang w:eastAsia="es-ES"/>
        </w:rPr>
        <w:t>rescisión de la relación laboral.</w:t>
      </w:r>
    </w:p>
    <w:p w14:paraId="315000C1" w14:textId="1021DA26" w:rsidR="006C4470" w:rsidRPr="006C4470" w:rsidRDefault="006C4470" w:rsidP="006C4470">
      <w:pPr>
        <w:spacing w:before="240" w:after="240"/>
        <w:ind w:left="567" w:right="900"/>
        <w:jc w:val="both"/>
        <w:rPr>
          <w:rFonts w:ascii="Palatino Linotype" w:hAnsi="Palatino Linotype" w:cs="Tahoma"/>
          <w:bCs/>
          <w:i/>
          <w:iCs/>
          <w:sz w:val="22"/>
          <w:lang w:eastAsia="es-ES"/>
        </w:rPr>
      </w:pPr>
      <w:r w:rsidRPr="006C4470">
        <w:rPr>
          <w:rFonts w:ascii="Palatino Linotype" w:hAnsi="Palatino Linotype" w:cs="Tahoma"/>
          <w:bCs/>
          <w:i/>
          <w:iCs/>
          <w:sz w:val="22"/>
          <w:lang w:eastAsia="es-ES"/>
        </w:rPr>
        <w:t>En caso de que exista imposibilidad comprobada de entregar el aviso, o que el</w:t>
      </w:r>
      <w:r>
        <w:rPr>
          <w:rFonts w:ascii="Palatino Linotype" w:hAnsi="Palatino Linotype" w:cs="Tahoma"/>
          <w:bCs/>
          <w:i/>
          <w:iCs/>
          <w:sz w:val="22"/>
          <w:lang w:eastAsia="es-ES"/>
        </w:rPr>
        <w:t xml:space="preserve"> </w:t>
      </w:r>
      <w:r w:rsidRPr="006C4470">
        <w:rPr>
          <w:rFonts w:ascii="Palatino Linotype" w:hAnsi="Palatino Linotype" w:cs="Tahoma"/>
          <w:bCs/>
          <w:i/>
          <w:iCs/>
          <w:sz w:val="22"/>
          <w:lang w:eastAsia="es-ES"/>
        </w:rPr>
        <w:t>servidor público se negare a recibirlo, la institución pública o dependencia, dentro</w:t>
      </w:r>
      <w:r>
        <w:rPr>
          <w:rFonts w:ascii="Palatino Linotype" w:hAnsi="Palatino Linotype" w:cs="Tahoma"/>
          <w:bCs/>
          <w:i/>
          <w:iCs/>
          <w:sz w:val="22"/>
          <w:lang w:eastAsia="es-ES"/>
        </w:rPr>
        <w:t xml:space="preserve"> </w:t>
      </w:r>
      <w:r w:rsidRPr="006C4470">
        <w:rPr>
          <w:rFonts w:ascii="Palatino Linotype" w:hAnsi="Palatino Linotype" w:cs="Tahoma"/>
          <w:bCs/>
          <w:i/>
          <w:iCs/>
          <w:sz w:val="22"/>
          <w:lang w:eastAsia="es-ES"/>
        </w:rPr>
        <w:t>de los cinco días hábiles siguientes a la fecha de la rescisión, deberá hacerlo del</w:t>
      </w:r>
      <w:r>
        <w:rPr>
          <w:rFonts w:ascii="Palatino Linotype" w:hAnsi="Palatino Linotype" w:cs="Tahoma"/>
          <w:bCs/>
          <w:i/>
          <w:iCs/>
          <w:sz w:val="22"/>
          <w:lang w:eastAsia="es-ES"/>
        </w:rPr>
        <w:t xml:space="preserve"> </w:t>
      </w:r>
      <w:r w:rsidRPr="006C4470">
        <w:rPr>
          <w:rFonts w:ascii="Palatino Linotype" w:hAnsi="Palatino Linotype" w:cs="Tahoma"/>
          <w:bCs/>
          <w:i/>
          <w:iCs/>
          <w:sz w:val="22"/>
          <w:lang w:eastAsia="es-ES"/>
        </w:rPr>
        <w:t>conocimiento del Tribunal o de la Sala, proporcionando a éste el último domicilio</w:t>
      </w:r>
      <w:r>
        <w:rPr>
          <w:rFonts w:ascii="Palatino Linotype" w:hAnsi="Palatino Linotype" w:cs="Tahoma"/>
          <w:bCs/>
          <w:i/>
          <w:iCs/>
          <w:sz w:val="22"/>
          <w:lang w:eastAsia="es-ES"/>
        </w:rPr>
        <w:t xml:space="preserve"> </w:t>
      </w:r>
      <w:r w:rsidRPr="006C4470">
        <w:rPr>
          <w:rFonts w:ascii="Palatino Linotype" w:hAnsi="Palatino Linotype" w:cs="Tahoma"/>
          <w:bCs/>
          <w:i/>
          <w:iCs/>
          <w:sz w:val="22"/>
          <w:lang w:eastAsia="es-ES"/>
        </w:rPr>
        <w:t>que tenga registrado y solicitando sea notificado el servidor público.</w:t>
      </w:r>
    </w:p>
    <w:p w14:paraId="718654AD" w14:textId="2CC1F841" w:rsidR="006C4470" w:rsidRPr="006C4470" w:rsidRDefault="006C4470" w:rsidP="006C4470">
      <w:pPr>
        <w:spacing w:before="240" w:after="240"/>
        <w:ind w:left="567" w:right="900"/>
        <w:jc w:val="both"/>
        <w:rPr>
          <w:rFonts w:ascii="Palatino Linotype" w:hAnsi="Palatino Linotype" w:cs="Tahoma"/>
          <w:bCs/>
          <w:i/>
          <w:iCs/>
          <w:sz w:val="22"/>
          <w:lang w:eastAsia="es-ES"/>
        </w:rPr>
      </w:pPr>
      <w:r w:rsidRPr="006C4470">
        <w:rPr>
          <w:rFonts w:ascii="Palatino Linotype" w:hAnsi="Palatino Linotype" w:cs="Tahoma"/>
          <w:bCs/>
          <w:i/>
          <w:iCs/>
          <w:sz w:val="22"/>
          <w:lang w:eastAsia="es-ES"/>
        </w:rPr>
        <w:t>La falta de aviso al servidor público, al Tribunal o a la Sala por sí sola bastará</w:t>
      </w:r>
      <w:r>
        <w:rPr>
          <w:rFonts w:ascii="Palatino Linotype" w:hAnsi="Palatino Linotype" w:cs="Tahoma"/>
          <w:bCs/>
          <w:i/>
          <w:iCs/>
          <w:sz w:val="22"/>
          <w:lang w:eastAsia="es-ES"/>
        </w:rPr>
        <w:t xml:space="preserve"> </w:t>
      </w:r>
      <w:r w:rsidRPr="006C4470">
        <w:rPr>
          <w:rFonts w:ascii="Palatino Linotype" w:hAnsi="Palatino Linotype" w:cs="Tahoma"/>
          <w:bCs/>
          <w:i/>
          <w:iCs/>
          <w:sz w:val="22"/>
          <w:lang w:eastAsia="es-ES"/>
        </w:rPr>
        <w:t>para considerar que el despido fue injustificado.</w:t>
      </w:r>
      <w:r>
        <w:rPr>
          <w:rFonts w:ascii="Palatino Linotype" w:hAnsi="Palatino Linotype" w:cs="Tahoma"/>
          <w:bCs/>
          <w:i/>
          <w:iCs/>
          <w:sz w:val="22"/>
          <w:lang w:eastAsia="es-ES"/>
        </w:rPr>
        <w:t>”</w:t>
      </w:r>
    </w:p>
    <w:p w14:paraId="496B65A9" w14:textId="77777777" w:rsidR="006C4470" w:rsidRPr="006C4470" w:rsidRDefault="006C4470" w:rsidP="006C4470">
      <w:pPr>
        <w:spacing w:before="240" w:after="240" w:line="360" w:lineRule="auto"/>
        <w:ind w:left="567"/>
        <w:jc w:val="both"/>
        <w:rPr>
          <w:rFonts w:ascii="Palatino Linotype" w:hAnsi="Palatino Linotype" w:cs="Tahoma"/>
          <w:bCs/>
          <w:i/>
          <w:iCs/>
          <w:lang w:eastAsia="es-ES"/>
        </w:rPr>
      </w:pPr>
      <w:r w:rsidRPr="006C4470">
        <w:rPr>
          <w:rFonts w:ascii="Palatino Linotype" w:hAnsi="Palatino Linotype" w:cs="Tahoma"/>
          <w:bCs/>
          <w:i/>
          <w:iCs/>
          <w:lang w:eastAsia="es-ES"/>
        </w:rPr>
        <w:t>(Énfasis añadido)</w:t>
      </w:r>
    </w:p>
    <w:p w14:paraId="6553F299" w14:textId="54823781" w:rsidR="006C4470" w:rsidRDefault="006C4470" w:rsidP="006C4470">
      <w:pPr>
        <w:spacing w:before="240" w:after="240" w:line="360" w:lineRule="auto"/>
        <w:jc w:val="both"/>
        <w:rPr>
          <w:rFonts w:ascii="Palatino Linotype" w:hAnsi="Palatino Linotype" w:cs="Tahoma"/>
          <w:bCs/>
          <w:lang w:eastAsia="es-ES"/>
        </w:rPr>
      </w:pPr>
      <w:r w:rsidRPr="006C4470">
        <w:rPr>
          <w:rFonts w:ascii="Palatino Linotype" w:hAnsi="Palatino Linotype" w:cs="Tahoma"/>
          <w:bCs/>
          <w:lang w:eastAsia="es-ES"/>
        </w:rPr>
        <w:t>De los artículos transcritos, se advierte que la relación de trabajo entre las</w:t>
      </w:r>
      <w:r w:rsidR="00581F17">
        <w:rPr>
          <w:rFonts w:ascii="Palatino Linotype" w:hAnsi="Palatino Linotype" w:cs="Tahoma"/>
          <w:bCs/>
          <w:lang w:eastAsia="es-ES"/>
        </w:rPr>
        <w:t xml:space="preserve"> </w:t>
      </w:r>
      <w:r w:rsidRPr="006C4470">
        <w:rPr>
          <w:rFonts w:ascii="Palatino Linotype" w:hAnsi="Palatino Linotype" w:cs="Tahoma"/>
          <w:bCs/>
          <w:lang w:eastAsia="es-ES"/>
        </w:rPr>
        <w:t>instituciones públicas y sus servidores públicos, se establece a través de</w:t>
      </w:r>
      <w:r w:rsidR="00581F17">
        <w:rPr>
          <w:rFonts w:ascii="Palatino Linotype" w:hAnsi="Palatino Linotype" w:cs="Tahoma"/>
          <w:bCs/>
          <w:lang w:eastAsia="es-ES"/>
        </w:rPr>
        <w:t xml:space="preserve"> </w:t>
      </w:r>
      <w:r w:rsidRPr="006C4470">
        <w:rPr>
          <w:rFonts w:ascii="Palatino Linotype" w:hAnsi="Palatino Linotype" w:cs="Tahoma"/>
          <w:bCs/>
          <w:lang w:eastAsia="es-ES"/>
        </w:rPr>
        <w:t>nombramiento, contrato o formato único de Movimientos de Personal o por</w:t>
      </w:r>
      <w:r w:rsidR="00581F17">
        <w:rPr>
          <w:rFonts w:ascii="Palatino Linotype" w:hAnsi="Palatino Linotype" w:cs="Tahoma"/>
          <w:bCs/>
          <w:lang w:eastAsia="es-ES"/>
        </w:rPr>
        <w:t xml:space="preserve"> </w:t>
      </w:r>
      <w:r w:rsidRPr="006C4470">
        <w:rPr>
          <w:rFonts w:ascii="Palatino Linotype" w:hAnsi="Palatino Linotype" w:cs="Tahoma"/>
          <w:bCs/>
          <w:lang w:eastAsia="es-ES"/>
        </w:rPr>
        <w:t>cualquier otro acto que tenga como consecuencia la prestación personal subordinada</w:t>
      </w:r>
      <w:r w:rsidR="00581F17">
        <w:rPr>
          <w:rFonts w:ascii="Palatino Linotype" w:hAnsi="Palatino Linotype" w:cs="Tahoma"/>
          <w:bCs/>
          <w:lang w:eastAsia="es-ES"/>
        </w:rPr>
        <w:t xml:space="preserve"> </w:t>
      </w:r>
      <w:r w:rsidRPr="006C4470">
        <w:rPr>
          <w:rFonts w:ascii="Palatino Linotype" w:hAnsi="Palatino Linotype" w:cs="Tahoma"/>
          <w:bCs/>
          <w:lang w:eastAsia="es-ES"/>
        </w:rPr>
        <w:t>del servicio y la percepción de un sueldo; asimismo, dicho ordenamiento contempla</w:t>
      </w:r>
      <w:r w:rsidR="00581F17">
        <w:rPr>
          <w:rFonts w:ascii="Palatino Linotype" w:hAnsi="Palatino Linotype" w:cs="Tahoma"/>
          <w:bCs/>
          <w:lang w:eastAsia="es-ES"/>
        </w:rPr>
        <w:t xml:space="preserve"> </w:t>
      </w:r>
      <w:r w:rsidRPr="006C4470">
        <w:rPr>
          <w:rFonts w:ascii="Palatino Linotype" w:hAnsi="Palatino Linotype" w:cs="Tahoma"/>
          <w:bCs/>
          <w:lang w:eastAsia="es-ES"/>
        </w:rPr>
        <w:t>también la terminación de la relación laboral y la rescisión.</w:t>
      </w:r>
    </w:p>
    <w:p w14:paraId="62CB2B25" w14:textId="46280629" w:rsidR="00CA04F7" w:rsidRDefault="00581F17" w:rsidP="00CA04F7">
      <w:pPr>
        <w:spacing w:before="240" w:after="240" w:line="360" w:lineRule="auto"/>
        <w:jc w:val="both"/>
        <w:rPr>
          <w:rFonts w:ascii="Palatino Linotype" w:hAnsi="Palatino Linotype" w:cs="Tahoma"/>
          <w:bCs/>
          <w:lang w:eastAsia="es-ES"/>
        </w:rPr>
      </w:pPr>
      <w:r>
        <w:rPr>
          <w:rFonts w:ascii="Palatino Linotype" w:hAnsi="Palatino Linotype" w:cs="Tahoma"/>
          <w:bCs/>
          <w:lang w:eastAsia="es-ES"/>
        </w:rPr>
        <w:t xml:space="preserve">En ese sentido, </w:t>
      </w:r>
      <w:r w:rsidR="00CA04F7" w:rsidRPr="00CA04F7">
        <w:rPr>
          <w:rFonts w:ascii="Palatino Linotype" w:hAnsi="Palatino Linotype" w:cs="Tahoma"/>
          <w:bCs/>
          <w:lang w:eastAsia="es-ES"/>
        </w:rPr>
        <w:t>el requerimiento puede ser satisf</w:t>
      </w:r>
      <w:r w:rsidR="00CA04F7">
        <w:rPr>
          <w:rFonts w:ascii="Palatino Linotype" w:hAnsi="Palatino Linotype" w:cs="Tahoma"/>
          <w:bCs/>
          <w:lang w:eastAsia="es-ES"/>
        </w:rPr>
        <w:t xml:space="preserve">echo, de manera enunciativa más no </w:t>
      </w:r>
      <w:r w:rsidR="00CA04F7" w:rsidRPr="00CA04F7">
        <w:rPr>
          <w:rFonts w:ascii="Palatino Linotype" w:hAnsi="Palatino Linotype" w:cs="Tahoma"/>
          <w:bCs/>
          <w:lang w:eastAsia="es-ES"/>
        </w:rPr>
        <w:t xml:space="preserve">limitativa, con los </w:t>
      </w:r>
      <w:r w:rsidR="00FA118B">
        <w:rPr>
          <w:rFonts w:ascii="Palatino Linotype" w:hAnsi="Palatino Linotype" w:cs="Tahoma"/>
          <w:bCs/>
          <w:lang w:eastAsia="es-ES"/>
        </w:rPr>
        <w:t xml:space="preserve">reportes </w:t>
      </w:r>
      <w:r w:rsidR="00CA04F7" w:rsidRPr="00CA04F7">
        <w:rPr>
          <w:rFonts w:ascii="Palatino Linotype" w:hAnsi="Palatino Linotype" w:cs="Tahoma"/>
          <w:bCs/>
          <w:lang w:eastAsia="es-ES"/>
        </w:rPr>
        <w:t>de alta o baja del personal como hayan</w:t>
      </w:r>
      <w:r w:rsidR="00CA04F7">
        <w:rPr>
          <w:rFonts w:ascii="Palatino Linotype" w:hAnsi="Palatino Linotype" w:cs="Tahoma"/>
          <w:bCs/>
          <w:lang w:eastAsia="es-ES"/>
        </w:rPr>
        <w:t xml:space="preserve"> </w:t>
      </w:r>
      <w:r w:rsidR="00CA04F7" w:rsidRPr="00CA04F7">
        <w:rPr>
          <w:rFonts w:ascii="Palatino Linotype" w:hAnsi="Palatino Linotype" w:cs="Tahoma"/>
          <w:bCs/>
          <w:lang w:eastAsia="es-ES"/>
        </w:rPr>
        <w:t xml:space="preserve">sido generados </w:t>
      </w:r>
      <w:r w:rsidR="00CA04F7" w:rsidRPr="00CA04F7">
        <w:rPr>
          <w:rFonts w:ascii="Palatino Linotype" w:hAnsi="Palatino Linotype" w:cs="Tahoma"/>
          <w:bCs/>
          <w:lang w:eastAsia="es-ES"/>
        </w:rPr>
        <w:lastRenderedPageBreak/>
        <w:t>por el ente obl</w:t>
      </w:r>
      <w:r w:rsidR="00CA04F7">
        <w:rPr>
          <w:rFonts w:ascii="Palatino Linotype" w:hAnsi="Palatino Linotype" w:cs="Tahoma"/>
          <w:bCs/>
          <w:lang w:eastAsia="es-ES"/>
        </w:rPr>
        <w:t>igado, toda vez que se encuentran constreñidos a generar para su posterior entrega al Órgano Superior de Fiscalización del Estado de México</w:t>
      </w:r>
      <w:r w:rsidR="006C4470">
        <w:rPr>
          <w:rFonts w:ascii="Palatino Linotype" w:hAnsi="Palatino Linotype" w:cs="Tahoma"/>
          <w:bCs/>
          <w:lang w:eastAsia="es-ES"/>
        </w:rPr>
        <w:t>, en términos del artículo 32 de la Ley de Fiscalización Superior del Estado de México</w:t>
      </w:r>
      <w:r w:rsidR="00CA04F7">
        <w:rPr>
          <w:rFonts w:ascii="Palatino Linotype" w:hAnsi="Palatino Linotype" w:cs="Tahoma"/>
          <w:bCs/>
          <w:lang w:eastAsia="es-ES"/>
        </w:rPr>
        <w:t>.</w:t>
      </w:r>
    </w:p>
    <w:p w14:paraId="30E85942" w14:textId="55B9782F" w:rsidR="00CA04F7" w:rsidRDefault="00CA04F7" w:rsidP="00CA04F7">
      <w:pPr>
        <w:spacing w:before="240" w:after="240" w:line="360" w:lineRule="auto"/>
        <w:jc w:val="both"/>
        <w:rPr>
          <w:rFonts w:ascii="Palatino Linotype" w:hAnsi="Palatino Linotype" w:cs="Tahoma"/>
          <w:bCs/>
          <w:lang w:eastAsia="es-ES"/>
        </w:rPr>
      </w:pPr>
      <w:r w:rsidRPr="00CA04F7">
        <w:rPr>
          <w:rFonts w:ascii="Palatino Linotype" w:hAnsi="Palatino Linotype" w:cs="Tahoma"/>
          <w:bCs/>
          <w:lang w:eastAsia="es-ES"/>
        </w:rPr>
        <w:t>Asimismo, conforme a lo previsto en los “Lineamientos para la entrega del Informe</w:t>
      </w:r>
      <w:r w:rsidR="006C4470">
        <w:rPr>
          <w:rFonts w:ascii="Palatino Linotype" w:hAnsi="Palatino Linotype" w:cs="Tahoma"/>
          <w:bCs/>
          <w:lang w:eastAsia="es-ES"/>
        </w:rPr>
        <w:t xml:space="preserve"> </w:t>
      </w:r>
      <w:r>
        <w:rPr>
          <w:rFonts w:ascii="Palatino Linotype" w:hAnsi="Palatino Linotype" w:cs="Tahoma"/>
          <w:bCs/>
          <w:lang w:eastAsia="es-ES"/>
        </w:rPr>
        <w:t>Mensual Municipal</w:t>
      </w:r>
      <w:r w:rsidRPr="00CA04F7">
        <w:rPr>
          <w:rFonts w:ascii="Palatino Linotype" w:hAnsi="Palatino Linotype" w:cs="Tahoma"/>
          <w:bCs/>
          <w:lang w:eastAsia="es-ES"/>
        </w:rPr>
        <w:t>”</w:t>
      </w:r>
      <w:r>
        <w:rPr>
          <w:rFonts w:ascii="Palatino Linotype" w:hAnsi="Palatino Linotype" w:cs="Tahoma"/>
          <w:bCs/>
          <w:lang w:eastAsia="es-ES"/>
        </w:rPr>
        <w:t xml:space="preserve"> </w:t>
      </w:r>
      <w:r w:rsidRPr="00CA04F7">
        <w:rPr>
          <w:rFonts w:ascii="Palatino Linotype" w:hAnsi="Palatino Linotype" w:cs="Tahoma"/>
          <w:bCs/>
          <w:lang w:eastAsia="es-ES"/>
        </w:rPr>
        <w:t>emitido por el Órgano Superior de Fiscalización del</w:t>
      </w:r>
      <w:r>
        <w:rPr>
          <w:rFonts w:ascii="Palatino Linotype" w:hAnsi="Palatino Linotype" w:cs="Tahoma"/>
          <w:bCs/>
          <w:lang w:eastAsia="es-ES"/>
        </w:rPr>
        <w:t xml:space="preserve"> </w:t>
      </w:r>
      <w:r w:rsidRPr="00CA04F7">
        <w:rPr>
          <w:rFonts w:ascii="Palatino Linotype" w:hAnsi="Palatino Linotype" w:cs="Tahoma"/>
          <w:bCs/>
          <w:lang w:eastAsia="es-ES"/>
        </w:rPr>
        <w:t>Estado de México “OSFEM”, los Sujetos Obliga</w:t>
      </w:r>
      <w:r>
        <w:rPr>
          <w:rFonts w:ascii="Palatino Linotype" w:hAnsi="Palatino Linotype" w:cs="Tahoma"/>
          <w:bCs/>
          <w:lang w:eastAsia="es-ES"/>
        </w:rPr>
        <w:t xml:space="preserve">do deberán generar e informar el </w:t>
      </w:r>
      <w:r w:rsidRPr="00CA04F7">
        <w:rPr>
          <w:rFonts w:ascii="Palatino Linotype" w:hAnsi="Palatino Linotype" w:cs="Tahoma"/>
          <w:bCs/>
          <w:lang w:eastAsia="es-ES"/>
        </w:rPr>
        <w:t>“reporte de Altas y Bajas del Personal” como se advierte en las imágenes siguientes:</w:t>
      </w:r>
    </w:p>
    <w:p w14:paraId="13AABCB3" w14:textId="47F20D57" w:rsidR="00CA04F7" w:rsidRDefault="00492707" w:rsidP="00CA04F7">
      <w:pPr>
        <w:spacing w:before="240" w:after="240" w:line="360" w:lineRule="auto"/>
        <w:jc w:val="both"/>
        <w:rPr>
          <w:rFonts w:ascii="Palatino Linotype" w:hAnsi="Palatino Linotype" w:cs="Tahoma"/>
          <w:bCs/>
          <w:lang w:eastAsia="es-ES"/>
        </w:rPr>
      </w:pPr>
      <w:r>
        <w:rPr>
          <w:rFonts w:ascii="Palatino Linotype" w:hAnsi="Palatino Linotype" w:cs="Tahoma"/>
          <w:bCs/>
          <w:noProof/>
        </w:rPr>
        <mc:AlternateContent>
          <mc:Choice Requires="wps">
            <w:drawing>
              <wp:anchor distT="0" distB="0" distL="114300" distR="114300" simplePos="0" relativeHeight="251669504" behindDoc="0" locked="0" layoutInCell="1" allowOverlap="1" wp14:anchorId="2BF68ECF" wp14:editId="44950340">
                <wp:simplePos x="0" y="0"/>
                <wp:positionH relativeFrom="margin">
                  <wp:posOffset>120015</wp:posOffset>
                </wp:positionH>
                <wp:positionV relativeFrom="paragraph">
                  <wp:posOffset>1697356</wp:posOffset>
                </wp:positionV>
                <wp:extent cx="5467350" cy="3676650"/>
                <wp:effectExtent l="0" t="0" r="19050" b="19050"/>
                <wp:wrapNone/>
                <wp:docPr id="16" name="Conector recto 16"/>
                <wp:cNvGraphicFramePr/>
                <a:graphic xmlns:a="http://schemas.openxmlformats.org/drawingml/2006/main">
                  <a:graphicData uri="http://schemas.microsoft.com/office/word/2010/wordprocessingShape">
                    <wps:wsp>
                      <wps:cNvCnPr/>
                      <wps:spPr>
                        <a:xfrm flipH="1">
                          <a:off x="0" y="0"/>
                          <a:ext cx="5467350" cy="36766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B53B156" id="Conector recto 16" o:spid="_x0000_s1026" style="position:absolute;flip:x;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9.45pt,133.65pt" to="439.95pt,42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" strokecolor="black [3040]">
                <w10:wrap anchorx="margin"/>
              </v:line>
            </w:pict>
          </mc:Fallback>
        </mc:AlternateContent>
      </w:r>
      <w:r w:rsidR="00CA04F7">
        <w:rPr>
          <w:rFonts w:ascii="Palatino Linotype" w:hAnsi="Palatino Linotype" w:cs="Tahoma"/>
          <w:bCs/>
          <w:noProof/>
        </w:rPr>
        <mc:AlternateContent>
          <mc:Choice Requires="wps">
            <w:drawing>
              <wp:anchor distT="0" distB="0" distL="114300" distR="114300" simplePos="0" relativeHeight="251667456" behindDoc="0" locked="0" layoutInCell="1" allowOverlap="1" wp14:anchorId="528EC2F9" wp14:editId="78F44447">
                <wp:simplePos x="0" y="0"/>
                <wp:positionH relativeFrom="column">
                  <wp:posOffset>415290</wp:posOffset>
                </wp:positionH>
                <wp:positionV relativeFrom="paragraph">
                  <wp:posOffset>692785</wp:posOffset>
                </wp:positionV>
                <wp:extent cx="5200650" cy="228600"/>
                <wp:effectExtent l="57150" t="38100" r="76200" b="95250"/>
                <wp:wrapNone/>
                <wp:docPr id="14" name="Rectángulo 14"/>
                <wp:cNvGraphicFramePr/>
                <a:graphic xmlns:a="http://schemas.openxmlformats.org/drawingml/2006/main">
                  <a:graphicData uri="http://schemas.microsoft.com/office/word/2010/wordprocessingShape">
                    <wps:wsp>
                      <wps:cNvSpPr/>
                      <wps:spPr>
                        <a:xfrm>
                          <a:off x="0" y="0"/>
                          <a:ext cx="5200650" cy="228600"/>
                        </a:xfrm>
                        <a:prstGeom prst="rect">
                          <a:avLst/>
                        </a:prstGeom>
                        <a:noFill/>
                        <a:ln w="38100">
                          <a:solidFill>
                            <a:srgbClr val="00206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FDB74C2" id="Rectángulo 14" o:spid="_x0000_s1026" style="position:absolute;margin-left:32.7pt;margin-top:54.55pt;width:409.5pt;height:18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" filled="f" strokecolor="#002060" strokeweight="3pt">
                <v:shadow on="t" color="black" opacity="22937f" origin=",.5" offset="0,.63889mm"/>
              </v:rect>
            </w:pict>
          </mc:Fallback>
        </mc:AlternateContent>
      </w:r>
      <w:r w:rsidR="00CA04F7">
        <w:rPr>
          <w:rFonts w:ascii="Palatino Linotype" w:hAnsi="Palatino Linotype" w:cs="Tahoma"/>
          <w:bCs/>
          <w:noProof/>
        </w:rPr>
        <w:drawing>
          <wp:inline distT="0" distB="0" distL="0" distR="0" wp14:anchorId="09583BE7" wp14:editId="10EED82F">
            <wp:extent cx="5610225" cy="1638300"/>
            <wp:effectExtent l="0" t="0" r="952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10225" cy="1638300"/>
                    </a:xfrm>
                    <a:prstGeom prst="rect">
                      <a:avLst/>
                    </a:prstGeom>
                    <a:noFill/>
                    <a:ln>
                      <a:noFill/>
                    </a:ln>
                  </pic:spPr>
                </pic:pic>
              </a:graphicData>
            </a:graphic>
          </wp:inline>
        </w:drawing>
      </w:r>
    </w:p>
    <w:p w14:paraId="74902A71" w14:textId="0A3A99EE" w:rsidR="00CA04F7" w:rsidRDefault="00492707" w:rsidP="00CA04F7">
      <w:pPr>
        <w:spacing w:before="240" w:after="240" w:line="360" w:lineRule="auto"/>
        <w:jc w:val="both"/>
        <w:rPr>
          <w:rFonts w:ascii="Palatino Linotype" w:hAnsi="Palatino Linotype" w:cs="Tahoma"/>
          <w:bCs/>
          <w:lang w:eastAsia="es-ES"/>
        </w:rPr>
      </w:pPr>
      <w:r>
        <w:rPr>
          <w:rFonts w:ascii="Palatino Linotype" w:hAnsi="Palatino Linotype" w:cs="Tahoma"/>
          <w:bCs/>
          <w:noProof/>
        </w:rPr>
        <w:lastRenderedPageBreak/>
        <mc:AlternateContent>
          <mc:Choice Requires="wps">
            <w:drawing>
              <wp:anchor distT="0" distB="0" distL="114300" distR="114300" simplePos="0" relativeHeight="251670528" behindDoc="0" locked="0" layoutInCell="1" allowOverlap="1" wp14:anchorId="052FE3CE" wp14:editId="1CC4A00A">
                <wp:simplePos x="0" y="0"/>
                <wp:positionH relativeFrom="column">
                  <wp:posOffset>253365</wp:posOffset>
                </wp:positionH>
                <wp:positionV relativeFrom="paragraph">
                  <wp:posOffset>789305</wp:posOffset>
                </wp:positionV>
                <wp:extent cx="5076825" cy="428625"/>
                <wp:effectExtent l="57150" t="38100" r="85725" b="104775"/>
                <wp:wrapNone/>
                <wp:docPr id="17" name="Rectángulo 17"/>
                <wp:cNvGraphicFramePr/>
                <a:graphic xmlns:a="http://schemas.openxmlformats.org/drawingml/2006/main">
                  <a:graphicData uri="http://schemas.microsoft.com/office/word/2010/wordprocessingShape">
                    <wps:wsp>
                      <wps:cNvSpPr/>
                      <wps:spPr>
                        <a:xfrm>
                          <a:off x="0" y="0"/>
                          <a:ext cx="5076825" cy="428625"/>
                        </a:xfrm>
                        <a:prstGeom prst="rect">
                          <a:avLst/>
                        </a:prstGeom>
                        <a:noFill/>
                        <a:ln w="28575">
                          <a:solidFill>
                            <a:srgbClr val="00206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CD4CE51" id="Rectángulo 17" o:spid="_x0000_s1026" style="position:absolute;margin-left:19.95pt;margin-top:62.15pt;width:399.75pt;height:33.7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" filled="f" strokecolor="#002060" strokeweight="2.25pt">
                <v:shadow on="t" color="black" opacity="22937f" origin=",.5" offset="0,.63889mm"/>
              </v:rect>
            </w:pict>
          </mc:Fallback>
        </mc:AlternateContent>
      </w:r>
      <w:r w:rsidR="00CA04F7">
        <w:rPr>
          <w:rFonts w:ascii="Palatino Linotype" w:hAnsi="Palatino Linotype" w:cs="Tahoma"/>
          <w:bCs/>
          <w:noProof/>
        </w:rPr>
        <w:drawing>
          <wp:anchor distT="0" distB="0" distL="114300" distR="114300" simplePos="0" relativeHeight="251668480" behindDoc="0" locked="0" layoutInCell="1" allowOverlap="1" wp14:anchorId="4AE93C7D" wp14:editId="1CF580C7">
            <wp:simplePos x="0" y="0"/>
            <wp:positionH relativeFrom="margin">
              <wp:align>center</wp:align>
            </wp:positionH>
            <wp:positionV relativeFrom="paragraph">
              <wp:posOffset>302895</wp:posOffset>
            </wp:positionV>
            <wp:extent cx="5210175" cy="6698615"/>
            <wp:effectExtent l="0" t="0" r="9525" b="6985"/>
            <wp:wrapTopAndBottom/>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10175" cy="66986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29FFFD" w14:textId="77777777" w:rsidR="00CA04F7" w:rsidRDefault="00CA04F7" w:rsidP="00C621B1">
      <w:pPr>
        <w:spacing w:before="240" w:after="240" w:line="360" w:lineRule="auto"/>
        <w:jc w:val="both"/>
        <w:rPr>
          <w:rFonts w:ascii="Palatino Linotype" w:hAnsi="Palatino Linotype" w:cs="Tahoma"/>
          <w:bCs/>
          <w:lang w:eastAsia="es-ES"/>
        </w:rPr>
      </w:pPr>
    </w:p>
    <w:p w14:paraId="0B97BB17" w14:textId="0CDB60FC" w:rsidR="00C621B1" w:rsidRPr="00C621B1" w:rsidRDefault="00FA118B" w:rsidP="00C621B1">
      <w:pPr>
        <w:spacing w:before="240" w:after="240" w:line="360" w:lineRule="auto"/>
        <w:jc w:val="both"/>
        <w:rPr>
          <w:rFonts w:ascii="Palatino Linotype" w:hAnsi="Palatino Linotype" w:cs="Tahoma"/>
          <w:bCs/>
          <w:lang w:eastAsia="es-ES"/>
        </w:rPr>
      </w:pPr>
      <w:r>
        <w:rPr>
          <w:rFonts w:ascii="Palatino Linotype" w:hAnsi="Palatino Linotype" w:cs="Tahoma"/>
          <w:bCs/>
          <w:noProof/>
        </w:rPr>
        <w:lastRenderedPageBreak/>
        <w:drawing>
          <wp:anchor distT="0" distB="0" distL="114300" distR="114300" simplePos="0" relativeHeight="251671552" behindDoc="0" locked="0" layoutInCell="1" allowOverlap="1" wp14:anchorId="35B53664" wp14:editId="60CBEB7F">
            <wp:simplePos x="0" y="0"/>
            <wp:positionH relativeFrom="column">
              <wp:posOffset>-508635</wp:posOffset>
            </wp:positionH>
            <wp:positionV relativeFrom="paragraph">
              <wp:posOffset>57150</wp:posOffset>
            </wp:positionV>
            <wp:extent cx="6297478" cy="4276725"/>
            <wp:effectExtent l="0" t="0" r="8255" b="0"/>
            <wp:wrapTopAndBottom/>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97478" cy="4276725"/>
                    </a:xfrm>
                    <a:prstGeom prst="rect">
                      <a:avLst/>
                    </a:prstGeom>
                    <a:noFill/>
                    <a:ln>
                      <a:noFill/>
                    </a:ln>
                  </pic:spPr>
                </pic:pic>
              </a:graphicData>
            </a:graphic>
            <wp14:sizeRelH relativeFrom="page">
              <wp14:pctWidth>0</wp14:pctWidth>
            </wp14:sizeRelH>
            <wp14:sizeRelV relativeFrom="page">
              <wp14:pctHeight>0</wp14:pctHeight>
            </wp14:sizeRelV>
          </wp:anchor>
        </w:drawing>
      </w:r>
      <w:r w:rsidR="00D6099B">
        <w:rPr>
          <w:rFonts w:ascii="Palatino Linotype" w:hAnsi="Palatino Linotype" w:cs="Tahoma"/>
          <w:bCs/>
          <w:lang w:eastAsia="es-ES"/>
        </w:rPr>
        <w:t xml:space="preserve">Ahora bien, sobre el punto que versa medularmente acerca de los procedimientos y sanciones impuestas a los elementos policiales, </w:t>
      </w:r>
      <w:r w:rsidR="00C621B1" w:rsidRPr="00C621B1">
        <w:rPr>
          <w:rFonts w:ascii="Palatino Linotype" w:hAnsi="Palatino Linotype" w:cs="Tahoma"/>
          <w:bCs/>
          <w:lang w:eastAsia="es-ES"/>
        </w:rPr>
        <w:t xml:space="preserve"> la Ley de Responsabilidades del Estado de México y </w:t>
      </w:r>
      <w:r w:rsidR="00683F9B">
        <w:rPr>
          <w:rFonts w:ascii="Palatino Linotype" w:hAnsi="Palatino Linotype" w:cs="Tahoma"/>
          <w:bCs/>
          <w:lang w:eastAsia="es-ES"/>
        </w:rPr>
        <w:t>Municipios refiere que su</w:t>
      </w:r>
      <w:r w:rsidR="00C621B1" w:rsidRPr="00C621B1">
        <w:rPr>
          <w:rFonts w:ascii="Palatino Linotype" w:hAnsi="Palatino Linotype" w:cs="Tahoma"/>
          <w:bCs/>
          <w:lang w:eastAsia="es-ES"/>
        </w:rPr>
        <w:t xml:space="preserve"> objeto </w:t>
      </w:r>
      <w:r w:rsidR="00683F9B">
        <w:rPr>
          <w:rFonts w:ascii="Palatino Linotype" w:hAnsi="Palatino Linotype" w:cs="Tahoma"/>
          <w:bCs/>
          <w:lang w:eastAsia="es-ES"/>
        </w:rPr>
        <w:t xml:space="preserve">consiste en </w:t>
      </w:r>
      <w:r w:rsidR="00C621B1" w:rsidRPr="00C621B1">
        <w:rPr>
          <w:rFonts w:ascii="Palatino Linotype" w:hAnsi="Palatino Linotype" w:cs="Tahoma"/>
          <w:bCs/>
          <w:lang w:eastAsia="es-ES"/>
        </w:rPr>
        <w:t xml:space="preserve">distribuir y establecer la competencia de las autoridades para determinar las responsabilidades administrativas de los servidores públicos, sus obligaciones, las sanciones aplicables por los actos u omisiones en que éstos incurran y las que correspondan a los particulares vinculados con faltas administrativas graves, así como los procedimientos para su aplicación, del mismo modo establece </w:t>
      </w:r>
      <w:r w:rsidR="00D6099B">
        <w:rPr>
          <w:rFonts w:ascii="Palatino Linotype" w:hAnsi="Palatino Linotype" w:cs="Tahoma"/>
          <w:bCs/>
          <w:lang w:eastAsia="es-ES"/>
        </w:rPr>
        <w:t xml:space="preserve">las definiciones sobre </w:t>
      </w:r>
      <w:r w:rsidR="00C621B1" w:rsidRPr="00C621B1">
        <w:rPr>
          <w:rFonts w:ascii="Palatino Linotype" w:hAnsi="Palatino Linotype" w:cs="Tahoma"/>
          <w:bCs/>
          <w:lang w:eastAsia="es-ES"/>
        </w:rPr>
        <w:t xml:space="preserve">faltas administrativas, </w:t>
      </w:r>
      <w:r w:rsidR="00D6099B">
        <w:rPr>
          <w:rFonts w:ascii="Palatino Linotype" w:hAnsi="Palatino Linotype" w:cs="Tahoma"/>
          <w:bCs/>
          <w:lang w:eastAsia="es-ES"/>
        </w:rPr>
        <w:t xml:space="preserve">las cuales a su vez se clasifican en </w:t>
      </w:r>
      <w:r w:rsidR="00C621B1" w:rsidRPr="00C621B1">
        <w:rPr>
          <w:rFonts w:ascii="Palatino Linotype" w:hAnsi="Palatino Linotype" w:cs="Tahoma"/>
          <w:bCs/>
          <w:lang w:eastAsia="es-ES"/>
        </w:rPr>
        <w:t xml:space="preserve">falta administrativa grave </w:t>
      </w:r>
      <w:r w:rsidR="00C621B1" w:rsidRPr="00C621B1">
        <w:rPr>
          <w:rFonts w:ascii="Palatino Linotype" w:hAnsi="Palatino Linotype" w:cs="Tahoma"/>
          <w:bCs/>
          <w:lang w:eastAsia="es-ES"/>
        </w:rPr>
        <w:lastRenderedPageBreak/>
        <w:t>y falta administrativa grave</w:t>
      </w:r>
      <w:r w:rsidR="00D6099B">
        <w:rPr>
          <w:rFonts w:ascii="Palatino Linotype" w:hAnsi="Palatino Linotype" w:cs="Tahoma"/>
          <w:bCs/>
          <w:lang w:eastAsia="es-ES"/>
        </w:rPr>
        <w:t>, para mejor proveer del presente estudio se traen a colación:</w:t>
      </w:r>
    </w:p>
    <w:p w14:paraId="56F1144F" w14:textId="77777777" w:rsidR="00C621B1" w:rsidRPr="00C621B1" w:rsidRDefault="00C621B1" w:rsidP="00581F17">
      <w:pPr>
        <w:numPr>
          <w:ilvl w:val="0"/>
          <w:numId w:val="12"/>
        </w:numPr>
        <w:spacing w:before="240" w:after="240" w:line="360" w:lineRule="auto"/>
        <w:ind w:left="567" w:right="900"/>
        <w:jc w:val="both"/>
        <w:rPr>
          <w:rFonts w:ascii="Palatino Linotype" w:hAnsi="Palatino Linotype"/>
          <w:sz w:val="22"/>
          <w:szCs w:val="22"/>
          <w:lang w:eastAsia="en-US"/>
        </w:rPr>
      </w:pPr>
      <w:r w:rsidRPr="00C621B1">
        <w:rPr>
          <w:rFonts w:ascii="Palatino Linotype" w:hAnsi="Palatino Linotype"/>
          <w:b/>
          <w:bCs/>
          <w:sz w:val="22"/>
          <w:szCs w:val="22"/>
          <w:lang w:eastAsia="en-US"/>
        </w:rPr>
        <w:t>Faltas administrativas:</w:t>
      </w:r>
      <w:r w:rsidRPr="00C621B1">
        <w:rPr>
          <w:rFonts w:ascii="Palatino Linotype" w:hAnsi="Palatino Linotype"/>
          <w:sz w:val="22"/>
          <w:szCs w:val="22"/>
          <w:lang w:eastAsia="en-US"/>
        </w:rPr>
        <w:t xml:space="preserve"> A las faltas administrativas graves y no graves, así como las faltas cometidas por particulares.</w:t>
      </w:r>
    </w:p>
    <w:p w14:paraId="79A4ED74" w14:textId="77777777" w:rsidR="00C621B1" w:rsidRPr="00C621B1" w:rsidRDefault="00C621B1" w:rsidP="00581F17">
      <w:pPr>
        <w:numPr>
          <w:ilvl w:val="0"/>
          <w:numId w:val="12"/>
        </w:numPr>
        <w:spacing w:before="240" w:after="240" w:line="360" w:lineRule="auto"/>
        <w:ind w:left="567" w:right="900"/>
        <w:jc w:val="both"/>
        <w:rPr>
          <w:rFonts w:ascii="Palatino Linotype" w:hAnsi="Palatino Linotype"/>
          <w:sz w:val="22"/>
          <w:szCs w:val="22"/>
          <w:lang w:eastAsia="en-US"/>
        </w:rPr>
      </w:pPr>
      <w:r w:rsidRPr="00C621B1">
        <w:rPr>
          <w:rFonts w:ascii="Palatino Linotype" w:hAnsi="Palatino Linotype"/>
          <w:b/>
          <w:bCs/>
          <w:sz w:val="22"/>
          <w:szCs w:val="22"/>
          <w:lang w:eastAsia="en-US"/>
        </w:rPr>
        <w:t>Falta administrativa no grave:</w:t>
      </w:r>
      <w:r w:rsidRPr="00C621B1">
        <w:rPr>
          <w:rFonts w:ascii="Palatino Linotype" w:hAnsi="Palatino Linotype"/>
          <w:sz w:val="22"/>
          <w:szCs w:val="22"/>
          <w:lang w:eastAsia="en-US"/>
        </w:rPr>
        <w:t xml:space="preserve"> A las faltas administrativas de los servidores públicos en atención a los artículos 50 y 51 de la Ley en mención, cuya imposición de la sanción corresponde a la Secretaría de la Contraloría del Estado de México y a los órganos internos de control.</w:t>
      </w:r>
    </w:p>
    <w:p w14:paraId="47368010" w14:textId="28EA90DF" w:rsidR="00C621B1" w:rsidRPr="00C621B1" w:rsidRDefault="00C621B1" w:rsidP="00581F17">
      <w:pPr>
        <w:numPr>
          <w:ilvl w:val="0"/>
          <w:numId w:val="12"/>
        </w:numPr>
        <w:spacing w:before="240" w:after="240" w:line="360" w:lineRule="auto"/>
        <w:ind w:left="567" w:right="900"/>
        <w:jc w:val="both"/>
        <w:rPr>
          <w:rFonts w:ascii="Palatino Linotype" w:hAnsi="Palatino Linotype"/>
          <w:sz w:val="22"/>
          <w:szCs w:val="22"/>
          <w:lang w:eastAsia="en-US"/>
        </w:rPr>
      </w:pPr>
      <w:r w:rsidRPr="00C621B1">
        <w:rPr>
          <w:rFonts w:ascii="Palatino Linotype" w:hAnsi="Palatino Linotype"/>
          <w:b/>
          <w:bCs/>
          <w:sz w:val="22"/>
          <w:szCs w:val="22"/>
          <w:lang w:eastAsia="en-US"/>
        </w:rPr>
        <w:t>Falta administrativa grave:</w:t>
      </w:r>
      <w:r w:rsidRPr="00C621B1">
        <w:rPr>
          <w:rFonts w:ascii="Palatino Linotype" w:hAnsi="Palatino Linotype"/>
          <w:sz w:val="22"/>
          <w:szCs w:val="22"/>
          <w:lang w:eastAsia="en-US"/>
        </w:rPr>
        <w:t xml:space="preserve"> A las faltas administrativas de los servidores públicos catalogadas como graves conforme a lo establecido en el artículo 51 al 77 de la Ley en comento, cuya sanción corresponde al Tribunal de Justicia Administrativa del Estado de México</w:t>
      </w:r>
      <w:r w:rsidR="00581F17">
        <w:rPr>
          <w:rFonts w:ascii="Palatino Linotype" w:hAnsi="Palatino Linotype" w:cs="Tahoma"/>
          <w:bCs/>
          <w:sz w:val="22"/>
          <w:szCs w:val="22"/>
          <w:lang w:eastAsia="en-US"/>
        </w:rPr>
        <w:t>.</w:t>
      </w:r>
    </w:p>
    <w:p w14:paraId="10DBC8A5" w14:textId="77777777" w:rsidR="00C621B1" w:rsidRPr="00C621B1" w:rsidRDefault="00C621B1" w:rsidP="00C621B1">
      <w:pPr>
        <w:spacing w:before="240" w:after="240" w:line="360" w:lineRule="auto"/>
        <w:jc w:val="both"/>
        <w:rPr>
          <w:rFonts w:ascii="Palatino Linotype" w:hAnsi="Palatino Linotype" w:cs="Tahoma"/>
          <w:bCs/>
          <w:lang w:eastAsia="es-ES"/>
        </w:rPr>
      </w:pPr>
      <w:r w:rsidRPr="00C621B1">
        <w:rPr>
          <w:rFonts w:ascii="Palatino Linotype" w:hAnsi="Palatino Linotype" w:cs="Tahoma"/>
          <w:bCs/>
          <w:lang w:eastAsia="es-ES"/>
        </w:rPr>
        <w:t>En adición a lo anterior conviene precisar que, en los casos de responsabilidades administrativas no graves, se impondrán las sanciones administrativas siguientes:</w:t>
      </w:r>
    </w:p>
    <w:p w14:paraId="5AAD2BD2" w14:textId="77777777" w:rsidR="00C621B1" w:rsidRPr="00C621B1" w:rsidRDefault="00C621B1" w:rsidP="00C621B1">
      <w:pPr>
        <w:numPr>
          <w:ilvl w:val="0"/>
          <w:numId w:val="13"/>
        </w:numPr>
        <w:spacing w:before="240" w:after="240" w:line="360" w:lineRule="auto"/>
        <w:jc w:val="both"/>
        <w:rPr>
          <w:rFonts w:ascii="Palatino Linotype" w:hAnsi="Palatino Linotype" w:cs="Tahoma"/>
          <w:bCs/>
          <w:sz w:val="22"/>
          <w:szCs w:val="22"/>
          <w:lang w:eastAsia="en-US"/>
        </w:rPr>
      </w:pPr>
      <w:r w:rsidRPr="00C621B1">
        <w:rPr>
          <w:rFonts w:ascii="Palatino Linotype" w:hAnsi="Palatino Linotype" w:cs="Tahoma"/>
          <w:bCs/>
          <w:sz w:val="22"/>
          <w:szCs w:val="22"/>
          <w:lang w:eastAsia="en-US"/>
        </w:rPr>
        <w:t>Amonestación pública o privada.</w:t>
      </w:r>
    </w:p>
    <w:p w14:paraId="4076F4E0" w14:textId="77777777" w:rsidR="00C621B1" w:rsidRPr="00C621B1" w:rsidRDefault="00C621B1" w:rsidP="00C621B1">
      <w:pPr>
        <w:numPr>
          <w:ilvl w:val="0"/>
          <w:numId w:val="13"/>
        </w:numPr>
        <w:spacing w:before="240" w:after="240" w:line="360" w:lineRule="auto"/>
        <w:jc w:val="both"/>
        <w:rPr>
          <w:rFonts w:ascii="Palatino Linotype" w:hAnsi="Palatino Linotype" w:cs="Tahoma"/>
          <w:bCs/>
          <w:sz w:val="22"/>
          <w:szCs w:val="22"/>
          <w:lang w:eastAsia="en-US"/>
        </w:rPr>
      </w:pPr>
      <w:r w:rsidRPr="00C621B1">
        <w:rPr>
          <w:rFonts w:ascii="Palatino Linotype" w:hAnsi="Palatino Linotype" w:cs="Tahoma"/>
          <w:bCs/>
          <w:sz w:val="22"/>
          <w:szCs w:val="22"/>
          <w:lang w:eastAsia="en-US"/>
        </w:rPr>
        <w:t>Suspensión del empleo, cargo o comisión, sin goce de sueldo por un periodo no menor de un día ni mayor a treinta días naturales.</w:t>
      </w:r>
    </w:p>
    <w:p w14:paraId="2E9D0A32" w14:textId="77777777" w:rsidR="00C621B1" w:rsidRPr="00C621B1" w:rsidRDefault="00C621B1" w:rsidP="00C621B1">
      <w:pPr>
        <w:numPr>
          <w:ilvl w:val="0"/>
          <w:numId w:val="13"/>
        </w:numPr>
        <w:spacing w:before="240" w:after="240" w:line="360" w:lineRule="auto"/>
        <w:jc w:val="both"/>
        <w:rPr>
          <w:rFonts w:ascii="Palatino Linotype" w:hAnsi="Palatino Linotype" w:cs="Tahoma"/>
          <w:bCs/>
          <w:sz w:val="22"/>
          <w:szCs w:val="22"/>
          <w:lang w:eastAsia="en-US"/>
        </w:rPr>
      </w:pPr>
      <w:r w:rsidRPr="00C621B1">
        <w:rPr>
          <w:rFonts w:ascii="Palatino Linotype" w:hAnsi="Palatino Linotype" w:cs="Tahoma"/>
          <w:bCs/>
          <w:sz w:val="22"/>
          <w:szCs w:val="22"/>
          <w:lang w:eastAsia="en-US"/>
        </w:rPr>
        <w:t>Destitución de su empleo, cargo o comisión.</w:t>
      </w:r>
    </w:p>
    <w:p w14:paraId="599CEB51" w14:textId="77777777" w:rsidR="00C621B1" w:rsidRPr="00C621B1" w:rsidRDefault="00C621B1" w:rsidP="00C621B1">
      <w:pPr>
        <w:numPr>
          <w:ilvl w:val="0"/>
          <w:numId w:val="13"/>
        </w:numPr>
        <w:spacing w:before="240" w:after="240" w:line="360" w:lineRule="auto"/>
        <w:jc w:val="both"/>
        <w:rPr>
          <w:rFonts w:ascii="Palatino Linotype" w:hAnsi="Palatino Linotype" w:cs="Tahoma"/>
          <w:bCs/>
          <w:sz w:val="22"/>
          <w:szCs w:val="22"/>
          <w:lang w:eastAsia="en-US"/>
        </w:rPr>
      </w:pPr>
      <w:r w:rsidRPr="00C621B1">
        <w:rPr>
          <w:rFonts w:ascii="Palatino Linotype" w:hAnsi="Palatino Linotype" w:cs="Tahoma"/>
          <w:bCs/>
          <w:sz w:val="22"/>
          <w:szCs w:val="22"/>
          <w:lang w:eastAsia="en-US"/>
        </w:rPr>
        <w:t>Inhabilitación temporal para desempeñar empleos, cargos o comisiones en el servicio público y para participar en adquisiciones, arrendamientos, servicios u obras públicas, por un período no menor de tres meses ni mayor de un año.</w:t>
      </w:r>
    </w:p>
    <w:p w14:paraId="73FC6361" w14:textId="77777777" w:rsidR="00C621B1" w:rsidRPr="00C621B1" w:rsidRDefault="00C621B1" w:rsidP="00C621B1">
      <w:pPr>
        <w:spacing w:before="240" w:after="240" w:line="360" w:lineRule="auto"/>
        <w:jc w:val="both"/>
        <w:rPr>
          <w:rFonts w:ascii="Palatino Linotype" w:hAnsi="Palatino Linotype" w:cs="Tahoma"/>
          <w:bCs/>
          <w:lang w:eastAsia="es-ES"/>
        </w:rPr>
      </w:pPr>
      <w:r w:rsidRPr="00C621B1">
        <w:rPr>
          <w:rFonts w:ascii="Palatino Linotype" w:hAnsi="Palatino Linotype" w:cs="Tahoma"/>
          <w:bCs/>
          <w:lang w:eastAsia="es-ES"/>
        </w:rPr>
        <w:lastRenderedPageBreak/>
        <w:t>Es importante mencionar que la Secretaría de la Contraloría y los órganos internos de control pueden imponer una o más de las sanciones administrativas señaladas en este artículo 79 de la Ley en estudio, siempre y cuando sean compatibles entre ellas y de acuerdo a la trascendencia de la falta administrativa no grave, cobrar relevancia mencionar que para la imposición de las sanciones referidas anteriormente las autoridades deben considerar los elementos siguientes:</w:t>
      </w:r>
    </w:p>
    <w:p w14:paraId="347D8217" w14:textId="77777777" w:rsidR="00C621B1" w:rsidRPr="00C621B1" w:rsidRDefault="00C621B1" w:rsidP="00581F17">
      <w:pPr>
        <w:numPr>
          <w:ilvl w:val="0"/>
          <w:numId w:val="14"/>
        </w:numPr>
        <w:spacing w:before="240" w:after="240" w:line="360" w:lineRule="auto"/>
        <w:ind w:left="567" w:right="900"/>
        <w:jc w:val="both"/>
        <w:rPr>
          <w:rFonts w:ascii="Palatino Linotype" w:hAnsi="Palatino Linotype" w:cs="Tahoma"/>
          <w:bCs/>
          <w:sz w:val="22"/>
          <w:szCs w:val="22"/>
          <w:lang w:eastAsia="en-US"/>
        </w:rPr>
      </w:pPr>
      <w:r w:rsidRPr="00C621B1">
        <w:rPr>
          <w:rFonts w:ascii="Palatino Linotype" w:hAnsi="Palatino Linotype" w:cs="Tahoma"/>
          <w:bCs/>
          <w:sz w:val="22"/>
          <w:szCs w:val="22"/>
          <w:lang w:eastAsia="en-US"/>
        </w:rPr>
        <w:t>El empleo, cargo o comisión que desempeñaba el servidor público cuando incurrió en la falta.</w:t>
      </w:r>
    </w:p>
    <w:p w14:paraId="4DF47DF4" w14:textId="77777777" w:rsidR="00C621B1" w:rsidRPr="00C621B1" w:rsidRDefault="00C621B1" w:rsidP="00581F17">
      <w:pPr>
        <w:numPr>
          <w:ilvl w:val="0"/>
          <w:numId w:val="14"/>
        </w:numPr>
        <w:spacing w:before="240" w:after="240" w:line="360" w:lineRule="auto"/>
        <w:ind w:left="567" w:right="900"/>
        <w:jc w:val="both"/>
        <w:rPr>
          <w:rFonts w:ascii="Palatino Linotype" w:hAnsi="Palatino Linotype" w:cs="Tahoma"/>
          <w:bCs/>
          <w:sz w:val="22"/>
          <w:szCs w:val="22"/>
          <w:lang w:eastAsia="en-US"/>
        </w:rPr>
      </w:pPr>
      <w:r w:rsidRPr="00C621B1">
        <w:rPr>
          <w:rFonts w:ascii="Palatino Linotype" w:hAnsi="Palatino Linotype" w:cs="Tahoma"/>
          <w:bCs/>
          <w:sz w:val="22"/>
          <w:szCs w:val="22"/>
          <w:lang w:eastAsia="en-US"/>
        </w:rPr>
        <w:t>El nivel jerárquico y los antecedentes del infractor, entre ellos, la antigüedad en el servicio.</w:t>
      </w:r>
    </w:p>
    <w:p w14:paraId="3790CC10" w14:textId="77777777" w:rsidR="00C621B1" w:rsidRPr="00C621B1" w:rsidRDefault="00C621B1" w:rsidP="00581F17">
      <w:pPr>
        <w:numPr>
          <w:ilvl w:val="0"/>
          <w:numId w:val="14"/>
        </w:numPr>
        <w:spacing w:before="240" w:after="240" w:line="360" w:lineRule="auto"/>
        <w:ind w:left="567" w:right="900"/>
        <w:jc w:val="both"/>
        <w:rPr>
          <w:rFonts w:ascii="Palatino Linotype" w:hAnsi="Palatino Linotype" w:cs="Tahoma"/>
          <w:bCs/>
          <w:sz w:val="22"/>
          <w:szCs w:val="22"/>
          <w:lang w:eastAsia="en-US"/>
        </w:rPr>
      </w:pPr>
      <w:r w:rsidRPr="00C621B1">
        <w:rPr>
          <w:rFonts w:ascii="Palatino Linotype" w:hAnsi="Palatino Linotype" w:cs="Tahoma"/>
          <w:bCs/>
          <w:sz w:val="22"/>
          <w:szCs w:val="22"/>
          <w:lang w:eastAsia="en-US"/>
        </w:rPr>
        <w:t>Las condiciones exteriores y los medios de ejecución.</w:t>
      </w:r>
    </w:p>
    <w:p w14:paraId="48F15429" w14:textId="77777777" w:rsidR="00C621B1" w:rsidRPr="00C621B1" w:rsidRDefault="00C621B1" w:rsidP="00581F17">
      <w:pPr>
        <w:numPr>
          <w:ilvl w:val="0"/>
          <w:numId w:val="14"/>
        </w:numPr>
        <w:spacing w:before="240" w:after="240" w:line="360" w:lineRule="auto"/>
        <w:ind w:left="567" w:right="900"/>
        <w:jc w:val="both"/>
        <w:rPr>
          <w:rFonts w:ascii="Palatino Linotype" w:hAnsi="Palatino Linotype" w:cs="Tahoma"/>
          <w:bCs/>
          <w:sz w:val="22"/>
          <w:szCs w:val="22"/>
          <w:lang w:eastAsia="en-US"/>
        </w:rPr>
      </w:pPr>
      <w:r w:rsidRPr="00C621B1">
        <w:rPr>
          <w:rFonts w:ascii="Palatino Linotype" w:hAnsi="Palatino Linotype" w:cs="Tahoma"/>
          <w:bCs/>
          <w:sz w:val="22"/>
          <w:szCs w:val="22"/>
          <w:lang w:eastAsia="en-US"/>
        </w:rPr>
        <w:t xml:space="preserve">La reincidencia en el incumplimiento de obligaciones. En caso de reincidencia de faltas administrativas no graves, la sanción que se imponga, no podrá ser igual o menor a la impuesta anteriormente. Se considerará reincidente al que habiendo incurrido en una infracción que haya sido sancionada y hubiere causado ejecutoria, incurra nuevamente en otra infracción del mismo tipo. </w:t>
      </w:r>
    </w:p>
    <w:p w14:paraId="6D367445" w14:textId="77777777" w:rsidR="00C621B1" w:rsidRPr="00C621B1" w:rsidRDefault="00C621B1" w:rsidP="00C621B1">
      <w:pPr>
        <w:spacing w:before="240" w:after="240" w:line="360" w:lineRule="auto"/>
        <w:jc w:val="both"/>
        <w:rPr>
          <w:rFonts w:ascii="Palatino Linotype" w:hAnsi="Palatino Linotype" w:cs="Tahoma"/>
          <w:bCs/>
          <w:lang w:eastAsia="es-ES"/>
        </w:rPr>
      </w:pPr>
      <w:r w:rsidRPr="00C621B1">
        <w:rPr>
          <w:rFonts w:ascii="Palatino Linotype" w:hAnsi="Palatino Linotype" w:cs="Tahoma"/>
          <w:bCs/>
          <w:lang w:eastAsia="es-ES"/>
        </w:rPr>
        <w:t>Por otra parte, debe mencionarse que las sanciones administrativas por la comisión de faltas administrativas graves, son las siguientes:</w:t>
      </w:r>
    </w:p>
    <w:p w14:paraId="5D1770ED" w14:textId="77777777" w:rsidR="00C621B1" w:rsidRPr="00C621B1" w:rsidRDefault="00C621B1" w:rsidP="00C621B1">
      <w:pPr>
        <w:numPr>
          <w:ilvl w:val="0"/>
          <w:numId w:val="15"/>
        </w:numPr>
        <w:spacing w:before="240" w:after="240" w:line="360" w:lineRule="auto"/>
        <w:jc w:val="both"/>
        <w:rPr>
          <w:rFonts w:ascii="Palatino Linotype" w:hAnsi="Palatino Linotype" w:cs="Tahoma"/>
          <w:bCs/>
          <w:sz w:val="22"/>
          <w:szCs w:val="22"/>
          <w:lang w:eastAsia="en-US"/>
        </w:rPr>
      </w:pPr>
      <w:r w:rsidRPr="00C621B1">
        <w:rPr>
          <w:rFonts w:ascii="Palatino Linotype" w:hAnsi="Palatino Linotype" w:cs="Tahoma"/>
          <w:bCs/>
          <w:sz w:val="22"/>
          <w:szCs w:val="22"/>
          <w:lang w:eastAsia="en-US"/>
        </w:rPr>
        <w:t>Suspensión del empleo, cargo o comisión, sin goce de sueldo por un periodo no menor de treinta ni mayor a noventa días naturales.</w:t>
      </w:r>
    </w:p>
    <w:p w14:paraId="675429A8" w14:textId="77777777" w:rsidR="00C621B1" w:rsidRPr="00C621B1" w:rsidRDefault="00C621B1" w:rsidP="00C621B1">
      <w:pPr>
        <w:numPr>
          <w:ilvl w:val="0"/>
          <w:numId w:val="15"/>
        </w:numPr>
        <w:spacing w:before="240" w:after="240" w:line="360" w:lineRule="auto"/>
        <w:jc w:val="both"/>
        <w:rPr>
          <w:rFonts w:ascii="Palatino Linotype" w:hAnsi="Palatino Linotype" w:cs="Tahoma"/>
          <w:bCs/>
          <w:sz w:val="22"/>
          <w:szCs w:val="22"/>
          <w:lang w:eastAsia="en-US"/>
        </w:rPr>
      </w:pPr>
      <w:r w:rsidRPr="00C621B1">
        <w:rPr>
          <w:rFonts w:ascii="Palatino Linotype" w:hAnsi="Palatino Linotype" w:cs="Tahoma"/>
          <w:bCs/>
          <w:sz w:val="22"/>
          <w:szCs w:val="22"/>
          <w:lang w:eastAsia="en-US"/>
        </w:rPr>
        <w:t>Destitución del empleo, cargo o comisión.</w:t>
      </w:r>
    </w:p>
    <w:p w14:paraId="22CF1203" w14:textId="77777777" w:rsidR="00C621B1" w:rsidRPr="00C621B1" w:rsidRDefault="00C621B1" w:rsidP="00C621B1">
      <w:pPr>
        <w:numPr>
          <w:ilvl w:val="0"/>
          <w:numId w:val="15"/>
        </w:numPr>
        <w:spacing w:before="240" w:after="240" w:line="360" w:lineRule="auto"/>
        <w:jc w:val="both"/>
        <w:rPr>
          <w:rFonts w:ascii="Palatino Linotype" w:hAnsi="Palatino Linotype" w:cs="Tahoma"/>
          <w:bCs/>
          <w:sz w:val="22"/>
          <w:szCs w:val="22"/>
          <w:lang w:eastAsia="en-US"/>
        </w:rPr>
      </w:pPr>
      <w:r w:rsidRPr="00C621B1">
        <w:rPr>
          <w:rFonts w:ascii="Palatino Linotype" w:hAnsi="Palatino Linotype" w:cs="Tahoma"/>
          <w:bCs/>
          <w:sz w:val="22"/>
          <w:szCs w:val="22"/>
          <w:lang w:eastAsia="en-US"/>
        </w:rPr>
        <w:lastRenderedPageBreak/>
        <w:t>Sanción económica.</w:t>
      </w:r>
    </w:p>
    <w:p w14:paraId="7CF2B9DA" w14:textId="77777777" w:rsidR="00C621B1" w:rsidRPr="00C621B1" w:rsidRDefault="00C621B1" w:rsidP="00581F17">
      <w:pPr>
        <w:numPr>
          <w:ilvl w:val="0"/>
          <w:numId w:val="17"/>
        </w:numPr>
        <w:spacing w:before="240" w:after="240" w:line="360" w:lineRule="auto"/>
        <w:ind w:left="567" w:right="900" w:hanging="141"/>
        <w:jc w:val="both"/>
        <w:rPr>
          <w:rFonts w:ascii="Palatino Linotype" w:hAnsi="Palatino Linotype" w:cs="Tahoma"/>
          <w:bCs/>
          <w:sz w:val="22"/>
          <w:szCs w:val="22"/>
          <w:lang w:eastAsia="en-US"/>
        </w:rPr>
      </w:pPr>
      <w:r w:rsidRPr="00C621B1">
        <w:rPr>
          <w:rFonts w:ascii="Palatino Linotype" w:hAnsi="Palatino Linotype" w:cs="Tahoma"/>
          <w:bCs/>
          <w:sz w:val="22"/>
          <w:szCs w:val="22"/>
          <w:lang w:eastAsia="en-US"/>
        </w:rPr>
        <w:t>En el supuesto que la falta administrativa grave cometida por el servidor público le genere beneficios económicos, a sí mismo o a cualquiera de las personas a que se refiere el artículo 53 de esta Ley, la sanción económica podrá alcanzar hasta dos tantos de los beneficios obtenidos.</w:t>
      </w:r>
    </w:p>
    <w:p w14:paraId="06D0EC51" w14:textId="77777777" w:rsidR="00C621B1" w:rsidRPr="00C621B1" w:rsidRDefault="00C621B1" w:rsidP="00581F17">
      <w:pPr>
        <w:numPr>
          <w:ilvl w:val="0"/>
          <w:numId w:val="17"/>
        </w:numPr>
        <w:spacing w:before="240" w:after="240" w:line="360" w:lineRule="auto"/>
        <w:ind w:left="567" w:right="900" w:hanging="141"/>
        <w:jc w:val="both"/>
        <w:rPr>
          <w:rFonts w:ascii="Palatino Linotype" w:hAnsi="Palatino Linotype" w:cs="Tahoma"/>
          <w:bCs/>
          <w:sz w:val="22"/>
          <w:szCs w:val="22"/>
          <w:lang w:eastAsia="en-US"/>
        </w:rPr>
      </w:pPr>
      <w:r w:rsidRPr="00C621B1">
        <w:rPr>
          <w:rFonts w:ascii="Palatino Linotype" w:hAnsi="Palatino Linotype" w:cs="Tahoma"/>
          <w:bCs/>
          <w:sz w:val="22"/>
          <w:szCs w:val="22"/>
          <w:lang w:eastAsia="en-US"/>
        </w:rPr>
        <w:t>En ningún caso la sanción económica que se imponga podrá ser menor o igual al monto de los beneficios económicos obtenidos. Lo anterior, sin perjuicio de la imposición de las demás sanciones a que se refiere el presente artículo.</w:t>
      </w:r>
    </w:p>
    <w:p w14:paraId="18068651" w14:textId="77777777" w:rsidR="00C621B1" w:rsidRPr="00C621B1" w:rsidRDefault="00C621B1" w:rsidP="00581F17">
      <w:pPr>
        <w:numPr>
          <w:ilvl w:val="0"/>
          <w:numId w:val="15"/>
        </w:numPr>
        <w:spacing w:before="240" w:after="240" w:line="360" w:lineRule="auto"/>
        <w:ind w:left="567" w:right="900" w:hanging="141"/>
        <w:jc w:val="both"/>
        <w:rPr>
          <w:rFonts w:ascii="Palatino Linotype" w:hAnsi="Palatino Linotype" w:cs="Tahoma"/>
          <w:bCs/>
          <w:sz w:val="22"/>
          <w:szCs w:val="22"/>
          <w:lang w:eastAsia="en-US"/>
        </w:rPr>
      </w:pPr>
      <w:r w:rsidRPr="00C621B1">
        <w:rPr>
          <w:rFonts w:ascii="Palatino Linotype" w:hAnsi="Palatino Linotype" w:cs="Tahoma"/>
          <w:bCs/>
          <w:sz w:val="22"/>
          <w:szCs w:val="22"/>
          <w:lang w:eastAsia="en-US"/>
        </w:rPr>
        <w:t>Inhabilitación temporal para desempeñar empleos, cargos o comisiones en el servicio público y para participar en adquisiciones, arrendamientos, servicios u obras públicas:</w:t>
      </w:r>
    </w:p>
    <w:p w14:paraId="4D5B8F51" w14:textId="77777777" w:rsidR="00C621B1" w:rsidRPr="00C621B1" w:rsidRDefault="00C621B1" w:rsidP="00581F17">
      <w:pPr>
        <w:numPr>
          <w:ilvl w:val="0"/>
          <w:numId w:val="16"/>
        </w:numPr>
        <w:tabs>
          <w:tab w:val="left" w:pos="1276"/>
        </w:tabs>
        <w:spacing w:before="240" w:after="240" w:line="360" w:lineRule="auto"/>
        <w:ind w:left="567" w:right="758" w:hanging="283"/>
        <w:jc w:val="both"/>
        <w:rPr>
          <w:rFonts w:ascii="Palatino Linotype" w:hAnsi="Palatino Linotype" w:cs="Tahoma"/>
          <w:bCs/>
          <w:sz w:val="22"/>
          <w:szCs w:val="22"/>
          <w:lang w:eastAsia="en-US"/>
        </w:rPr>
      </w:pPr>
      <w:r w:rsidRPr="00C621B1">
        <w:rPr>
          <w:rFonts w:ascii="Palatino Linotype" w:hAnsi="Palatino Linotype" w:cs="Tahoma"/>
          <w:bCs/>
          <w:sz w:val="22"/>
          <w:szCs w:val="22"/>
          <w:lang w:eastAsia="en-US"/>
        </w:rPr>
        <w:t>Por un periodo no menor de un año ni mayor a diez años, si el monto de la afectación de la falta administrativa grave no excede de doscientas veces el valor diario de la unidad de medida y actualización.</w:t>
      </w:r>
    </w:p>
    <w:p w14:paraId="4C95F19D" w14:textId="77777777" w:rsidR="00C621B1" w:rsidRPr="00C621B1" w:rsidRDefault="00C621B1" w:rsidP="00581F17">
      <w:pPr>
        <w:numPr>
          <w:ilvl w:val="0"/>
          <w:numId w:val="16"/>
        </w:numPr>
        <w:tabs>
          <w:tab w:val="left" w:pos="1276"/>
        </w:tabs>
        <w:spacing w:before="240" w:after="240" w:line="360" w:lineRule="auto"/>
        <w:ind w:left="567" w:right="758" w:hanging="283"/>
        <w:jc w:val="both"/>
        <w:rPr>
          <w:rFonts w:ascii="Palatino Linotype" w:hAnsi="Palatino Linotype" w:cs="Tahoma"/>
          <w:bCs/>
          <w:sz w:val="22"/>
          <w:szCs w:val="22"/>
          <w:lang w:eastAsia="en-US"/>
        </w:rPr>
      </w:pPr>
      <w:r w:rsidRPr="00C621B1">
        <w:rPr>
          <w:rFonts w:ascii="Palatino Linotype" w:hAnsi="Palatino Linotype" w:cs="Tahoma"/>
          <w:bCs/>
          <w:sz w:val="22"/>
          <w:szCs w:val="22"/>
          <w:lang w:eastAsia="en-US"/>
        </w:rPr>
        <w:t>Por un periodo no menor a diez años ni mayor a veinte años, si el monto de la afectación excede de doscientas veces el valor diario de la unidad de medida y actualización.</w:t>
      </w:r>
    </w:p>
    <w:p w14:paraId="2F62F00C" w14:textId="3CEDEA8C" w:rsidR="00C621B1" w:rsidRPr="00C621B1" w:rsidRDefault="00C621B1" w:rsidP="00C621B1">
      <w:pPr>
        <w:spacing w:before="240" w:after="240" w:line="360" w:lineRule="auto"/>
        <w:jc w:val="both"/>
        <w:rPr>
          <w:rFonts w:ascii="Palatino Linotype" w:hAnsi="Palatino Linotype" w:cs="Tahoma"/>
          <w:bCs/>
          <w:lang w:eastAsia="es-ES"/>
        </w:rPr>
      </w:pPr>
      <w:r w:rsidRPr="00C621B1">
        <w:rPr>
          <w:rFonts w:ascii="Palatino Linotype" w:hAnsi="Palatino Linotype" w:cs="Tahoma"/>
          <w:bCs/>
          <w:lang w:eastAsia="es-ES"/>
        </w:rPr>
        <w:t>Conforme a lo anterior, se advierte la existencia de faltas administrativas no graves y</w:t>
      </w:r>
      <w:r w:rsidR="00D6099B">
        <w:rPr>
          <w:rFonts w:ascii="Palatino Linotype" w:hAnsi="Palatino Linotype" w:cs="Tahoma"/>
          <w:bCs/>
          <w:lang w:eastAsia="es-ES"/>
        </w:rPr>
        <w:t xml:space="preserve"> faltas administrativas graves así como </w:t>
      </w:r>
      <w:r w:rsidRPr="00C621B1">
        <w:rPr>
          <w:rFonts w:ascii="Palatino Linotype" w:hAnsi="Palatino Linotype" w:cs="Tahoma"/>
          <w:bCs/>
          <w:lang w:eastAsia="es-ES"/>
        </w:rPr>
        <w:t xml:space="preserve">su clasificación, las sanciones que son susceptibles de imponerse, así como las circunstancias que se deben tomar en cuenta para su imposición, es decir, existen etapas en los procedimientos en los que se resuelva la suspensión temporal, separación, remoción, baja, cese o cualquier otra </w:t>
      </w:r>
      <w:r w:rsidRPr="00C621B1">
        <w:rPr>
          <w:rFonts w:ascii="Palatino Linotype" w:hAnsi="Palatino Linotype" w:cs="Tahoma"/>
          <w:bCs/>
          <w:lang w:eastAsia="es-ES"/>
        </w:rPr>
        <w:lastRenderedPageBreak/>
        <w:t>forma de terminación del servicio de los elementos policiales para determinar la falta en la que haya incurrido, a saber, las siguientes:</w:t>
      </w:r>
    </w:p>
    <w:p w14:paraId="019FD84D" w14:textId="77777777" w:rsidR="00C621B1" w:rsidRPr="00C621B1" w:rsidRDefault="00C621B1" w:rsidP="00C621B1">
      <w:pPr>
        <w:numPr>
          <w:ilvl w:val="0"/>
          <w:numId w:val="7"/>
        </w:numPr>
        <w:spacing w:line="360" w:lineRule="auto"/>
        <w:contextualSpacing/>
        <w:jc w:val="both"/>
        <w:rPr>
          <w:rFonts w:ascii="Palatino Linotype" w:hAnsi="Palatino Linotype" w:cs="Tahoma"/>
          <w:bCs/>
          <w:lang w:eastAsia="en-US"/>
        </w:rPr>
      </w:pPr>
      <w:r w:rsidRPr="00C621B1">
        <w:rPr>
          <w:rFonts w:ascii="Palatino Linotype" w:hAnsi="Palatino Linotype" w:cs="Tahoma"/>
          <w:b/>
          <w:bCs/>
          <w:lang w:eastAsia="en-US"/>
        </w:rPr>
        <w:t xml:space="preserve">Investigación: </w:t>
      </w:r>
      <w:r w:rsidRPr="00C621B1">
        <w:rPr>
          <w:rFonts w:ascii="Palatino Linotype" w:hAnsi="Palatino Linotype" w:cs="Tahoma"/>
          <w:bCs/>
          <w:lang w:eastAsia="en-US"/>
        </w:rPr>
        <w:t>la cual consiste en lo siguiente:</w:t>
      </w:r>
    </w:p>
    <w:p w14:paraId="6C39B093" w14:textId="77777777" w:rsidR="00C621B1" w:rsidRPr="00C621B1" w:rsidRDefault="00C621B1" w:rsidP="00C621B1">
      <w:pPr>
        <w:numPr>
          <w:ilvl w:val="0"/>
          <w:numId w:val="9"/>
        </w:numPr>
        <w:spacing w:line="360" w:lineRule="auto"/>
        <w:ind w:left="709"/>
        <w:contextualSpacing/>
        <w:jc w:val="both"/>
        <w:rPr>
          <w:rFonts w:ascii="Palatino Linotype" w:hAnsi="Palatino Linotype" w:cs="Tahoma"/>
          <w:bCs/>
          <w:lang w:eastAsia="en-US"/>
        </w:rPr>
      </w:pPr>
      <w:r w:rsidRPr="00C621B1">
        <w:rPr>
          <w:rFonts w:ascii="Palatino Linotype" w:hAnsi="Palatino Linotype" w:cs="Tahoma"/>
          <w:bCs/>
          <w:lang w:eastAsia="en-US"/>
        </w:rPr>
        <w:t xml:space="preserve">Inicia: </w:t>
      </w:r>
    </w:p>
    <w:p w14:paraId="7C37F6DA" w14:textId="77777777" w:rsidR="00C621B1" w:rsidRPr="00C621B1" w:rsidRDefault="00C621B1" w:rsidP="00C621B1">
      <w:pPr>
        <w:spacing w:line="360" w:lineRule="auto"/>
        <w:ind w:left="708"/>
        <w:jc w:val="both"/>
        <w:rPr>
          <w:rFonts w:ascii="Palatino Linotype" w:hAnsi="Palatino Linotype" w:cs="Tahoma"/>
          <w:bCs/>
          <w:lang w:eastAsia="en-US"/>
        </w:rPr>
      </w:pPr>
      <w:r w:rsidRPr="00C621B1">
        <w:rPr>
          <w:rFonts w:ascii="Palatino Linotype" w:hAnsi="Palatino Linotype" w:cs="Tahoma"/>
          <w:bCs/>
          <w:lang w:eastAsia="en-US"/>
        </w:rPr>
        <w:t xml:space="preserve">De oficio </w:t>
      </w:r>
    </w:p>
    <w:p w14:paraId="0A0613E4" w14:textId="77777777" w:rsidR="00C621B1" w:rsidRPr="00C621B1" w:rsidRDefault="00C621B1" w:rsidP="00C621B1">
      <w:pPr>
        <w:spacing w:line="360" w:lineRule="auto"/>
        <w:ind w:left="708"/>
        <w:jc w:val="both"/>
        <w:rPr>
          <w:rFonts w:ascii="Palatino Linotype" w:hAnsi="Palatino Linotype" w:cs="Tahoma"/>
          <w:bCs/>
          <w:lang w:eastAsia="en-US"/>
        </w:rPr>
      </w:pPr>
      <w:r w:rsidRPr="00C621B1">
        <w:rPr>
          <w:rFonts w:ascii="Palatino Linotype" w:hAnsi="Palatino Linotype" w:cs="Tahoma"/>
          <w:bCs/>
          <w:lang w:eastAsia="en-US"/>
        </w:rPr>
        <w:t xml:space="preserve">Por denuncia </w:t>
      </w:r>
    </w:p>
    <w:p w14:paraId="2635CDB3" w14:textId="77777777" w:rsidR="00C621B1" w:rsidRPr="00C621B1" w:rsidRDefault="00C621B1" w:rsidP="00C621B1">
      <w:pPr>
        <w:numPr>
          <w:ilvl w:val="0"/>
          <w:numId w:val="7"/>
        </w:numPr>
        <w:spacing w:line="360" w:lineRule="auto"/>
        <w:contextualSpacing/>
        <w:jc w:val="both"/>
        <w:rPr>
          <w:rFonts w:ascii="Palatino Linotype" w:hAnsi="Palatino Linotype" w:cs="Tahoma"/>
          <w:b/>
          <w:bCs/>
          <w:lang w:eastAsia="en-US"/>
        </w:rPr>
      </w:pPr>
      <w:r w:rsidRPr="00C621B1">
        <w:rPr>
          <w:rFonts w:ascii="Palatino Linotype" w:hAnsi="Palatino Linotype" w:cs="Tahoma"/>
          <w:b/>
          <w:bCs/>
          <w:lang w:eastAsia="en-US"/>
        </w:rPr>
        <w:t xml:space="preserve">Sustanciación: </w:t>
      </w:r>
      <w:r w:rsidRPr="00C621B1">
        <w:rPr>
          <w:rFonts w:ascii="Palatino Linotype" w:hAnsi="Palatino Linotype" w:cs="Tahoma"/>
          <w:bCs/>
          <w:lang w:eastAsia="en-US"/>
        </w:rPr>
        <w:t>En este periodo se puede realizar lo siguiente:</w:t>
      </w:r>
    </w:p>
    <w:p w14:paraId="79210485" w14:textId="77777777" w:rsidR="00C621B1" w:rsidRPr="00C621B1" w:rsidRDefault="00C621B1" w:rsidP="00C621B1">
      <w:pPr>
        <w:numPr>
          <w:ilvl w:val="0"/>
          <w:numId w:val="9"/>
        </w:numPr>
        <w:spacing w:line="360" w:lineRule="auto"/>
        <w:ind w:left="709"/>
        <w:contextualSpacing/>
        <w:jc w:val="both"/>
        <w:rPr>
          <w:rFonts w:ascii="Palatino Linotype" w:hAnsi="Palatino Linotype" w:cs="Tahoma"/>
          <w:b/>
          <w:bCs/>
          <w:lang w:eastAsia="en-US"/>
        </w:rPr>
      </w:pPr>
      <w:r w:rsidRPr="00C621B1">
        <w:rPr>
          <w:rFonts w:ascii="Palatino Linotype" w:hAnsi="Palatino Linotype" w:cs="Tahoma"/>
          <w:bCs/>
          <w:lang w:eastAsia="en-US"/>
        </w:rPr>
        <w:t>La Comisión de Honor y Justicia, iniciará procedimiento administrativo al elemento policial</w:t>
      </w:r>
    </w:p>
    <w:p w14:paraId="02B760E0" w14:textId="77777777" w:rsidR="00C621B1" w:rsidRPr="00C621B1" w:rsidRDefault="00C621B1" w:rsidP="00C621B1">
      <w:pPr>
        <w:numPr>
          <w:ilvl w:val="0"/>
          <w:numId w:val="9"/>
        </w:numPr>
        <w:spacing w:line="360" w:lineRule="auto"/>
        <w:ind w:left="709"/>
        <w:contextualSpacing/>
        <w:jc w:val="both"/>
        <w:rPr>
          <w:rFonts w:ascii="Palatino Linotype" w:hAnsi="Palatino Linotype" w:cs="Tahoma"/>
          <w:b/>
          <w:bCs/>
          <w:lang w:eastAsia="en-US"/>
        </w:rPr>
      </w:pPr>
      <w:r w:rsidRPr="00C621B1">
        <w:rPr>
          <w:rFonts w:ascii="Palatino Linotype" w:hAnsi="Palatino Linotype" w:cs="Tahoma"/>
          <w:bCs/>
          <w:lang w:eastAsia="en-US"/>
        </w:rPr>
        <w:t>Las partes, tienen derecho de audiencia así como presentar las pruebas o alegatos que consideren pertinentes.</w:t>
      </w:r>
    </w:p>
    <w:p w14:paraId="500C1CE8" w14:textId="77777777" w:rsidR="00C621B1" w:rsidRPr="00C621B1" w:rsidRDefault="00C621B1" w:rsidP="00C621B1">
      <w:pPr>
        <w:numPr>
          <w:ilvl w:val="0"/>
          <w:numId w:val="7"/>
        </w:numPr>
        <w:spacing w:line="360" w:lineRule="auto"/>
        <w:contextualSpacing/>
        <w:jc w:val="both"/>
        <w:rPr>
          <w:rFonts w:ascii="Palatino Linotype" w:hAnsi="Palatino Linotype" w:cs="Tahoma"/>
          <w:b/>
          <w:bCs/>
          <w:lang w:eastAsia="en-US"/>
        </w:rPr>
      </w:pPr>
      <w:r w:rsidRPr="00C621B1">
        <w:rPr>
          <w:rFonts w:ascii="Palatino Linotype" w:hAnsi="Palatino Linotype" w:cs="Tahoma"/>
          <w:b/>
          <w:bCs/>
          <w:lang w:eastAsia="en-US"/>
        </w:rPr>
        <w:t>Resolución:</w:t>
      </w:r>
    </w:p>
    <w:p w14:paraId="7BBDDE93" w14:textId="77777777" w:rsidR="00C621B1" w:rsidRPr="00C621B1" w:rsidRDefault="00C621B1" w:rsidP="00C621B1">
      <w:pPr>
        <w:numPr>
          <w:ilvl w:val="0"/>
          <w:numId w:val="8"/>
        </w:numPr>
        <w:spacing w:line="360" w:lineRule="auto"/>
        <w:ind w:left="993"/>
        <w:contextualSpacing/>
        <w:jc w:val="both"/>
        <w:rPr>
          <w:rFonts w:ascii="Palatino Linotype" w:hAnsi="Palatino Linotype" w:cs="Tahoma"/>
          <w:b/>
          <w:bCs/>
          <w:lang w:eastAsia="en-US"/>
        </w:rPr>
      </w:pPr>
      <w:r w:rsidRPr="00C621B1">
        <w:rPr>
          <w:rFonts w:ascii="Palatino Linotype" w:hAnsi="Palatino Linotype" w:cs="Tahoma"/>
          <w:bCs/>
          <w:lang w:eastAsia="en-US"/>
        </w:rPr>
        <w:t>Se emite resolución y se notifica a las partes.</w:t>
      </w:r>
    </w:p>
    <w:p w14:paraId="3E10ACA2" w14:textId="77777777" w:rsidR="00C621B1" w:rsidRPr="00C621B1" w:rsidRDefault="00C621B1" w:rsidP="00C621B1">
      <w:pPr>
        <w:spacing w:before="240" w:after="240" w:line="360" w:lineRule="auto"/>
        <w:jc w:val="both"/>
        <w:rPr>
          <w:rFonts w:ascii="Palatino Linotype" w:hAnsi="Palatino Linotype"/>
          <w:bCs/>
          <w:lang w:eastAsia="es-ES"/>
        </w:rPr>
      </w:pPr>
      <w:r w:rsidRPr="00C621B1">
        <w:rPr>
          <w:rFonts w:ascii="Palatino Linotype" w:hAnsi="Palatino Linotype" w:cs="Tahoma"/>
          <w:bCs/>
          <w:lang w:eastAsia="es-ES"/>
        </w:rPr>
        <w:t>De lo precisado anteriormente se aprecia que el Sujeto Obligado está facultado para generar, administrar o poseer la información materia del presente asunto, razón por la cual, previa</w:t>
      </w:r>
      <w:r w:rsidRPr="00C621B1">
        <w:rPr>
          <w:rFonts w:ascii="Palatino Linotype" w:eastAsia="Calibri" w:hAnsi="Palatino Linotype" w:cs="Tahoma"/>
          <w:iCs/>
          <w:lang w:val="es-ES" w:eastAsia="es-ES_tradnl"/>
        </w:rPr>
        <w:t xml:space="preserve"> búsqueda exhaustiva y razonable de la información, deberá hacer entrega del soporte documental donde conste lo requerido por el impetrante</w:t>
      </w:r>
      <w:r w:rsidRPr="00C621B1">
        <w:rPr>
          <w:rFonts w:ascii="Palatino Linotype" w:eastAsia="Calibri" w:hAnsi="Palatino Linotype" w:cs="Tahoma"/>
          <w:bCs/>
          <w:lang w:eastAsia="en-US"/>
        </w:rPr>
        <w:t xml:space="preserve">, es necesario precisar que el Sujeto Obligado </w:t>
      </w:r>
      <w:r w:rsidRPr="00C621B1">
        <w:rPr>
          <w:rFonts w:ascii="Palatino Linotype" w:eastAsia="Calibri" w:hAnsi="Palatino Linotype" w:cs="Tahoma"/>
          <w:bCs/>
          <w:u w:val="single"/>
          <w:lang w:eastAsia="en-US"/>
        </w:rPr>
        <w:t>deberá proporcionar las que hayan quedado firmes</w:t>
      </w:r>
      <w:r w:rsidRPr="00C621B1">
        <w:rPr>
          <w:rFonts w:ascii="Palatino Linotype" w:eastAsia="Calibri" w:hAnsi="Palatino Linotype" w:cs="Tahoma"/>
          <w:bCs/>
          <w:lang w:eastAsia="en-US"/>
        </w:rPr>
        <w:t xml:space="preserve">, ya que las que se encuentren en trámite </w:t>
      </w:r>
      <w:r w:rsidRPr="00C621B1">
        <w:rPr>
          <w:rFonts w:ascii="Palatino Linotype" w:hAnsi="Palatino Linotype"/>
          <w:lang w:eastAsia="es-ES"/>
        </w:rPr>
        <w:t>actualizan la causal de reserva, establecida en el artículo 140, fracción VI,</w:t>
      </w:r>
      <w:r w:rsidRPr="00C621B1">
        <w:rPr>
          <w:rFonts w:ascii="Palatino Linotype" w:hAnsi="Palatino Linotype" w:cs="Tahoma"/>
          <w:bCs/>
          <w:lang w:eastAsia="es-ES"/>
        </w:rPr>
        <w:t xml:space="preserve"> </w:t>
      </w:r>
      <w:r w:rsidRPr="00C621B1">
        <w:rPr>
          <w:rFonts w:ascii="Palatino Linotype" w:hAnsi="Palatino Linotype"/>
          <w:bCs/>
          <w:lang w:eastAsia="es-ES"/>
        </w:rPr>
        <w:t>de la Ley de Transparencia y Acceso a la Información Pública del Estado de México y Municipios, pues se trata de un procedimiento administrativo, que aún no ha quedado firme. Para acreditar lo anterior, se desarrolla el siguiente análisis.</w:t>
      </w:r>
    </w:p>
    <w:p w14:paraId="20BB86D0" w14:textId="77777777" w:rsidR="00C621B1" w:rsidRPr="00C621B1" w:rsidRDefault="00C621B1" w:rsidP="00C621B1">
      <w:pPr>
        <w:spacing w:before="240" w:after="240" w:line="360" w:lineRule="auto"/>
        <w:jc w:val="both"/>
        <w:rPr>
          <w:rFonts w:ascii="Palatino Linotype" w:hAnsi="Palatino Linotype" w:cs="Tahoma"/>
          <w:bCs/>
          <w:lang w:eastAsia="es-ES"/>
        </w:rPr>
      </w:pPr>
      <w:r w:rsidRPr="00C621B1">
        <w:rPr>
          <w:rFonts w:ascii="Palatino Linotype" w:hAnsi="Palatino Linotype" w:cs="Tahoma"/>
          <w:bCs/>
          <w:lang w:eastAsia="es-ES"/>
        </w:rPr>
        <w:lastRenderedPageBreak/>
        <w:t>En principio, el artículo 140, fracción VI, de la Ley de Transparencia y Acceso a la Información Pública del Estado de México y Municipios (homólogo al artículo 113, fracción IX de la Ley General de Transparencia y Acceso a la Información Pública), precisa lo siguiente:</w:t>
      </w:r>
    </w:p>
    <w:p w14:paraId="552FA9BC" w14:textId="77777777" w:rsidR="00C621B1" w:rsidRPr="00C621B1" w:rsidRDefault="00C621B1" w:rsidP="00C621B1">
      <w:pPr>
        <w:ind w:left="851" w:right="851"/>
        <w:jc w:val="both"/>
        <w:rPr>
          <w:rFonts w:ascii="Palatino Linotype" w:hAnsi="Palatino Linotype" w:cs="Tahoma"/>
          <w:bCs/>
          <w:i/>
          <w:sz w:val="22"/>
          <w:szCs w:val="22"/>
          <w:lang w:eastAsia="es-ES"/>
        </w:rPr>
      </w:pPr>
      <w:r w:rsidRPr="00C621B1">
        <w:rPr>
          <w:rFonts w:ascii="Palatino Linotype" w:hAnsi="Palatino Linotype" w:cs="Tahoma"/>
          <w:b/>
          <w:bCs/>
          <w:i/>
          <w:sz w:val="22"/>
          <w:szCs w:val="22"/>
          <w:lang w:eastAsia="es-ES"/>
        </w:rPr>
        <w:t>“Artículo 140.</w:t>
      </w:r>
      <w:r w:rsidRPr="00C621B1">
        <w:rPr>
          <w:rFonts w:ascii="Palatino Linotype" w:hAnsi="Palatino Linotype" w:cs="Tahoma"/>
          <w:bCs/>
          <w:i/>
          <w:sz w:val="22"/>
          <w:szCs w:val="22"/>
          <w:lang w:eastAsia="es-ES"/>
        </w:rPr>
        <w:t xml:space="preserve"> El acceso a la información pública será restringido excepcionalmente, cuando por razones de interés público, ésta sea clasificada como reservada, conforme a los criterios siguientes:</w:t>
      </w:r>
    </w:p>
    <w:p w14:paraId="208F78C6" w14:textId="77777777" w:rsidR="00C621B1" w:rsidRPr="00C621B1" w:rsidRDefault="00C621B1" w:rsidP="00C621B1">
      <w:pPr>
        <w:ind w:left="851" w:right="851"/>
        <w:jc w:val="both"/>
        <w:rPr>
          <w:rFonts w:ascii="Palatino Linotype" w:hAnsi="Palatino Linotype" w:cs="Tahoma"/>
          <w:bCs/>
          <w:i/>
          <w:sz w:val="22"/>
          <w:szCs w:val="22"/>
          <w:lang w:eastAsia="es-ES"/>
        </w:rPr>
      </w:pPr>
      <w:r w:rsidRPr="00C621B1">
        <w:rPr>
          <w:rFonts w:ascii="Palatino Linotype" w:hAnsi="Palatino Linotype" w:cs="Tahoma"/>
          <w:bCs/>
          <w:i/>
          <w:sz w:val="22"/>
          <w:szCs w:val="22"/>
          <w:lang w:eastAsia="es-ES"/>
        </w:rPr>
        <w:t>I a V…</w:t>
      </w:r>
    </w:p>
    <w:p w14:paraId="3B1917DA" w14:textId="77777777" w:rsidR="00C621B1" w:rsidRPr="00C621B1" w:rsidRDefault="00C621B1" w:rsidP="00C621B1">
      <w:pPr>
        <w:ind w:left="851" w:right="851"/>
        <w:jc w:val="both"/>
        <w:rPr>
          <w:rFonts w:ascii="Palatino Linotype" w:hAnsi="Palatino Linotype" w:cs="Tahoma"/>
          <w:bCs/>
          <w:i/>
          <w:sz w:val="22"/>
          <w:szCs w:val="22"/>
          <w:lang w:eastAsia="es-ES"/>
        </w:rPr>
      </w:pPr>
      <w:r w:rsidRPr="00C621B1">
        <w:rPr>
          <w:rFonts w:ascii="Palatino Linotype" w:hAnsi="Palatino Linotype" w:cs="Tahoma"/>
          <w:bCs/>
          <w:i/>
          <w:sz w:val="22"/>
          <w:szCs w:val="22"/>
          <w:lang w:eastAsia="es-ES"/>
        </w:rPr>
        <w:t>VI. Pueda causar daño u obstruya la prevención o persecución de los delitos, altere el proceso de investigación de las carpetas de investigación, afecte o vulnere la conducción o los derechos del debido proceso en los procedimientos judiciales o administrativos, incluidos los de quejas, denuncias, inconformidades, responsabilidades administrativas y resarcitorias en tanto no hayan quedado firmes o afecte la administración de justicia o la seguridad de un denunciante, querellante o testigo, así como sus familias, en los términos de las disposiciones jurídicas aplicables;</w:t>
      </w:r>
      <w:r w:rsidRPr="00C621B1">
        <w:rPr>
          <w:rFonts w:ascii="Palatino Linotype" w:hAnsi="Palatino Linotype" w:cs="Tahoma"/>
          <w:bCs/>
          <w:i/>
          <w:sz w:val="22"/>
          <w:szCs w:val="22"/>
          <w:lang w:eastAsia="es-ES"/>
        </w:rPr>
        <w:cr/>
        <w:t xml:space="preserve">VII a XI…” </w:t>
      </w:r>
    </w:p>
    <w:p w14:paraId="4CB4CA74" w14:textId="77777777" w:rsidR="00C621B1" w:rsidRPr="00C621B1" w:rsidRDefault="00C621B1" w:rsidP="00C621B1">
      <w:pPr>
        <w:ind w:left="851" w:right="851"/>
        <w:jc w:val="both"/>
        <w:rPr>
          <w:rFonts w:ascii="Palatino Linotype" w:hAnsi="Palatino Linotype" w:cs="Tahoma"/>
          <w:bCs/>
          <w:i/>
          <w:sz w:val="22"/>
          <w:szCs w:val="22"/>
          <w:lang w:eastAsia="es-ES"/>
        </w:rPr>
      </w:pPr>
    </w:p>
    <w:p w14:paraId="4EC7B030" w14:textId="77777777" w:rsidR="00C621B1" w:rsidRPr="00C621B1" w:rsidRDefault="00C621B1" w:rsidP="00C621B1">
      <w:pPr>
        <w:spacing w:before="240" w:after="240" w:line="360" w:lineRule="auto"/>
        <w:jc w:val="both"/>
        <w:rPr>
          <w:rFonts w:ascii="Palatino Linotype" w:hAnsi="Palatino Linotype" w:cs="Tahoma"/>
          <w:bCs/>
          <w:lang w:eastAsia="es-ES"/>
        </w:rPr>
      </w:pPr>
      <w:r w:rsidRPr="00C621B1">
        <w:rPr>
          <w:rFonts w:ascii="Palatino Linotype" w:hAnsi="Palatino Linotype" w:cs="Tahoma"/>
          <w:bCs/>
          <w:lang w:eastAsia="es-ES"/>
        </w:rPr>
        <w:t xml:space="preserve">Por su parte, </w:t>
      </w:r>
      <w:r w:rsidRPr="00C621B1">
        <w:rPr>
          <w:rFonts w:ascii="Palatino Linotype" w:hAnsi="Palatino Linotype" w:cs="Tahoma"/>
          <w:lang w:eastAsia="es-ES"/>
        </w:rPr>
        <w:t>en</w:t>
      </w:r>
      <w:r w:rsidRPr="00C621B1">
        <w:rPr>
          <w:rFonts w:ascii="Palatino Linotype" w:hAnsi="Palatino Linotype" w:cs="Tahoma"/>
          <w:bCs/>
          <w:lang w:eastAsia="es-ES"/>
        </w:rPr>
        <w:t xml:space="preserve"> </w:t>
      </w:r>
      <w:r w:rsidRPr="00C621B1">
        <w:rPr>
          <w:rFonts w:ascii="Palatino Linotype" w:eastAsia="Calibri" w:hAnsi="Palatino Linotype" w:cs="Tahoma"/>
          <w:bCs/>
          <w:lang w:eastAsia="en-US"/>
        </w:rPr>
        <w:t>los</w:t>
      </w:r>
      <w:r w:rsidRPr="00C621B1">
        <w:rPr>
          <w:rFonts w:ascii="Palatino Linotype" w:hAnsi="Palatino Linotype" w:cs="Tahoma"/>
          <w:bCs/>
          <w:lang w:eastAsia="es-ES"/>
        </w:rPr>
        <w:t xml:space="preserve"> Lineamientos Generales en materia de clasificación y desclasificación de la información, así como para la elaboración de versiones públicas, se prevé lo siguiente:</w:t>
      </w:r>
    </w:p>
    <w:p w14:paraId="5DBEF86E" w14:textId="77777777" w:rsidR="00C621B1" w:rsidRPr="00C621B1" w:rsidRDefault="00C621B1" w:rsidP="00C621B1">
      <w:pPr>
        <w:tabs>
          <w:tab w:val="left" w:pos="8222"/>
        </w:tabs>
        <w:ind w:left="851" w:right="851"/>
        <w:jc w:val="both"/>
        <w:rPr>
          <w:rFonts w:ascii="Palatino Linotype" w:hAnsi="Palatino Linotype" w:cs="Tahoma"/>
          <w:bCs/>
          <w:i/>
          <w:sz w:val="22"/>
          <w:szCs w:val="22"/>
          <w:lang w:eastAsia="es-ES"/>
        </w:rPr>
      </w:pPr>
      <w:r w:rsidRPr="00C621B1">
        <w:rPr>
          <w:rFonts w:ascii="Palatino Linotype" w:hAnsi="Palatino Linotype" w:cs="Tahoma"/>
          <w:b/>
          <w:bCs/>
          <w:i/>
          <w:sz w:val="22"/>
          <w:szCs w:val="22"/>
          <w:lang w:eastAsia="es-ES"/>
        </w:rPr>
        <w:t>Vigésimo octavo</w:t>
      </w:r>
      <w:r w:rsidRPr="00C621B1">
        <w:rPr>
          <w:rFonts w:ascii="Palatino Linotype" w:hAnsi="Palatino Linotype" w:cs="Tahoma"/>
          <w:bCs/>
          <w:i/>
          <w:sz w:val="22"/>
          <w:szCs w:val="22"/>
          <w:lang w:eastAsia="es-ES"/>
        </w:rPr>
        <w:t>. De conformidad con el artículo 113, fracción IX de la Ley General, podrá considerarse como información reservada, aquella que obstruya los procedimientos para fincar responsabilidad a los servidores públicos, en tanto no se haya dictado la resolución administrativa correspondiente; para lo cual, se deberán acreditar los siguientes supuestos:</w:t>
      </w:r>
    </w:p>
    <w:p w14:paraId="024D6962" w14:textId="77777777" w:rsidR="00C621B1" w:rsidRPr="00C621B1" w:rsidRDefault="00C621B1" w:rsidP="00C621B1">
      <w:pPr>
        <w:tabs>
          <w:tab w:val="left" w:pos="8222"/>
        </w:tabs>
        <w:ind w:left="851" w:right="851"/>
        <w:jc w:val="both"/>
        <w:rPr>
          <w:rFonts w:ascii="Palatino Linotype" w:hAnsi="Palatino Linotype" w:cs="Tahoma"/>
          <w:bCs/>
          <w:i/>
          <w:sz w:val="22"/>
          <w:szCs w:val="22"/>
          <w:lang w:eastAsia="es-ES"/>
        </w:rPr>
      </w:pPr>
      <w:r w:rsidRPr="00C621B1">
        <w:rPr>
          <w:rFonts w:ascii="Palatino Linotype" w:hAnsi="Palatino Linotype" w:cs="Tahoma"/>
          <w:bCs/>
          <w:i/>
          <w:sz w:val="22"/>
          <w:szCs w:val="22"/>
          <w:lang w:eastAsia="es-ES"/>
        </w:rPr>
        <w:t>I. La existencia de un procedimiento de responsabilidad administrativa en trámite, y</w:t>
      </w:r>
    </w:p>
    <w:p w14:paraId="6ED08AC6" w14:textId="77777777" w:rsidR="00C621B1" w:rsidRPr="00C621B1" w:rsidRDefault="00C621B1" w:rsidP="00C621B1">
      <w:pPr>
        <w:tabs>
          <w:tab w:val="left" w:pos="8222"/>
        </w:tabs>
        <w:ind w:left="851" w:right="851"/>
        <w:jc w:val="both"/>
        <w:rPr>
          <w:rFonts w:ascii="Palatino Linotype" w:hAnsi="Palatino Linotype" w:cs="Tahoma"/>
          <w:bCs/>
          <w:i/>
          <w:sz w:val="22"/>
          <w:szCs w:val="22"/>
          <w:lang w:eastAsia="es-ES"/>
        </w:rPr>
      </w:pPr>
      <w:r w:rsidRPr="00C621B1">
        <w:rPr>
          <w:rFonts w:ascii="Palatino Linotype" w:hAnsi="Palatino Linotype" w:cs="Tahoma"/>
          <w:bCs/>
          <w:i/>
          <w:sz w:val="22"/>
          <w:szCs w:val="22"/>
          <w:lang w:eastAsia="es-ES"/>
        </w:rPr>
        <w:t>II. Que la información se refiera a actuaciones, diligencias y constancias propias del procedimiento de responsabilidad.</w:t>
      </w:r>
    </w:p>
    <w:p w14:paraId="5168B449" w14:textId="77777777" w:rsidR="00C621B1" w:rsidRPr="00C621B1" w:rsidRDefault="00C621B1" w:rsidP="00C621B1">
      <w:pPr>
        <w:tabs>
          <w:tab w:val="left" w:pos="8222"/>
        </w:tabs>
        <w:ind w:left="851" w:right="851"/>
        <w:jc w:val="both"/>
        <w:rPr>
          <w:rFonts w:ascii="Palatino Linotype" w:hAnsi="Palatino Linotype" w:cs="Tahoma"/>
          <w:bCs/>
          <w:i/>
          <w:sz w:val="22"/>
          <w:szCs w:val="22"/>
          <w:lang w:eastAsia="es-ES"/>
        </w:rPr>
      </w:pPr>
    </w:p>
    <w:p w14:paraId="38D923B8" w14:textId="77777777" w:rsidR="00C621B1" w:rsidRPr="00C621B1" w:rsidRDefault="00C621B1" w:rsidP="00C621B1">
      <w:pPr>
        <w:spacing w:before="240" w:after="240" w:line="360" w:lineRule="auto"/>
        <w:jc w:val="both"/>
        <w:rPr>
          <w:rFonts w:ascii="Palatino Linotype" w:hAnsi="Palatino Linotype" w:cs="Tahoma"/>
          <w:bCs/>
          <w:lang w:eastAsia="es-ES"/>
        </w:rPr>
      </w:pPr>
      <w:r w:rsidRPr="00C621B1">
        <w:rPr>
          <w:rFonts w:ascii="Palatino Linotype" w:hAnsi="Palatino Linotype" w:cs="Tahoma"/>
          <w:bCs/>
          <w:lang w:val="es-ES" w:eastAsia="es-ES"/>
        </w:rPr>
        <w:lastRenderedPageBreak/>
        <w:t xml:space="preserve">De la normatividad citada, se desprende que el supuesto de clasificación invocado prevé que como información </w:t>
      </w:r>
      <w:r w:rsidRPr="00C621B1">
        <w:rPr>
          <w:rFonts w:ascii="Palatino Linotype" w:hAnsi="Palatino Linotype" w:cs="Tahoma"/>
          <w:lang w:eastAsia="es-ES"/>
        </w:rPr>
        <w:t>reservada</w:t>
      </w:r>
      <w:r w:rsidRPr="00C621B1">
        <w:rPr>
          <w:rFonts w:ascii="Palatino Linotype" w:hAnsi="Palatino Linotype" w:cs="Tahoma"/>
          <w:bCs/>
          <w:lang w:val="es-ES" w:eastAsia="es-ES"/>
        </w:rPr>
        <w:t>, a aquella que vulnere la conducción de los procedimientos de responsabilidades administrativas en trámite, en tanto no hayan causado estado. Por lo cual, para considerar que se actualiza dicha causal es necesario que se configuren los siguientes elementos:</w:t>
      </w:r>
    </w:p>
    <w:p w14:paraId="7D3C2374" w14:textId="77777777" w:rsidR="00C621B1" w:rsidRPr="00C621B1" w:rsidRDefault="00C621B1" w:rsidP="00C621B1">
      <w:pPr>
        <w:numPr>
          <w:ilvl w:val="0"/>
          <w:numId w:val="6"/>
        </w:numPr>
        <w:tabs>
          <w:tab w:val="left" w:pos="8222"/>
        </w:tabs>
        <w:spacing w:line="360" w:lineRule="auto"/>
        <w:ind w:right="397"/>
        <w:contextualSpacing/>
        <w:jc w:val="both"/>
        <w:rPr>
          <w:rFonts w:ascii="Palatino Linotype" w:hAnsi="Palatino Linotype" w:cs="Tahoma"/>
          <w:bCs/>
          <w:lang w:eastAsia="en-US"/>
        </w:rPr>
      </w:pPr>
      <w:r w:rsidRPr="00C621B1">
        <w:rPr>
          <w:rFonts w:ascii="Palatino Linotype" w:hAnsi="Palatino Linotype" w:cs="Tahoma"/>
          <w:bCs/>
          <w:lang w:eastAsia="en-US"/>
        </w:rPr>
        <w:t>La existencia de un procedimiento administrativo, que se encuentre en trámite, y</w:t>
      </w:r>
    </w:p>
    <w:p w14:paraId="502286AE" w14:textId="11DB5532" w:rsidR="00C621B1" w:rsidRPr="00D6099B" w:rsidRDefault="00C621B1" w:rsidP="00C621B1">
      <w:pPr>
        <w:numPr>
          <w:ilvl w:val="0"/>
          <w:numId w:val="6"/>
        </w:numPr>
        <w:tabs>
          <w:tab w:val="left" w:pos="8222"/>
        </w:tabs>
        <w:spacing w:line="360" w:lineRule="auto"/>
        <w:ind w:right="397"/>
        <w:contextualSpacing/>
        <w:jc w:val="both"/>
        <w:rPr>
          <w:rFonts w:ascii="Palatino Linotype" w:hAnsi="Palatino Linotype" w:cs="Tahoma"/>
          <w:bCs/>
          <w:lang w:eastAsia="en-US"/>
        </w:rPr>
      </w:pPr>
      <w:r w:rsidRPr="00C621B1">
        <w:rPr>
          <w:rFonts w:ascii="Palatino Linotype" w:hAnsi="Palatino Linotype" w:cs="Tahoma"/>
          <w:bCs/>
          <w:lang w:eastAsia="en-US"/>
        </w:rPr>
        <w:t>Que la información solicitada se refiera a actuaciones, diligencias o constancias propias del procedimiento.</w:t>
      </w:r>
    </w:p>
    <w:p w14:paraId="57959548" w14:textId="77777777" w:rsidR="00C621B1" w:rsidRPr="00C621B1" w:rsidRDefault="00C621B1" w:rsidP="001F217C">
      <w:pPr>
        <w:numPr>
          <w:ilvl w:val="0"/>
          <w:numId w:val="10"/>
        </w:numPr>
        <w:tabs>
          <w:tab w:val="left" w:pos="8222"/>
        </w:tabs>
        <w:spacing w:line="360" w:lineRule="auto"/>
        <w:ind w:left="0" w:right="49" w:hanging="284"/>
        <w:contextualSpacing/>
        <w:jc w:val="both"/>
        <w:rPr>
          <w:rFonts w:ascii="Palatino Linotype" w:hAnsi="Palatino Linotype" w:cs="Tahoma"/>
          <w:bCs/>
          <w:lang w:eastAsia="en-US"/>
        </w:rPr>
      </w:pPr>
      <w:r w:rsidRPr="00C621B1">
        <w:rPr>
          <w:rFonts w:ascii="Palatino Linotype" w:hAnsi="Palatino Linotype" w:cs="Tahoma"/>
          <w:b/>
          <w:bCs/>
          <w:lang w:eastAsia="en-US"/>
        </w:rPr>
        <w:t>La existencia de un procedimiento administrativo, que se encuentre en trámite.</w:t>
      </w:r>
    </w:p>
    <w:p w14:paraId="208CBD5B" w14:textId="3B308FA1" w:rsidR="00C621B1" w:rsidRPr="00C621B1" w:rsidRDefault="00C621B1" w:rsidP="00C621B1">
      <w:pPr>
        <w:spacing w:before="240" w:after="240" w:line="360" w:lineRule="auto"/>
        <w:jc w:val="both"/>
        <w:rPr>
          <w:rFonts w:ascii="Palatino Linotype" w:hAnsi="Palatino Linotype" w:cs="Tahoma"/>
          <w:bCs/>
          <w:lang w:eastAsia="es-ES"/>
        </w:rPr>
      </w:pPr>
      <w:r w:rsidRPr="00C621B1">
        <w:rPr>
          <w:rFonts w:ascii="Palatino Linotype" w:hAnsi="Palatino Linotype" w:cs="Tahoma"/>
          <w:bCs/>
          <w:lang w:eastAsia="es-ES"/>
        </w:rPr>
        <w:t xml:space="preserve">En ese contexto, cabe precisar que de haber </w:t>
      </w:r>
      <w:r w:rsidRPr="00C621B1">
        <w:rPr>
          <w:rFonts w:ascii="Palatino Linotype" w:eastAsia="Calibri" w:hAnsi="Palatino Linotype" w:cs="Tahoma"/>
          <w:bCs/>
          <w:lang w:eastAsia="en-US"/>
        </w:rPr>
        <w:t>denuncias, querellas y/o q</w:t>
      </w:r>
      <w:r w:rsidR="00D6099B">
        <w:rPr>
          <w:rFonts w:ascii="Palatino Linotype" w:eastAsia="Calibri" w:hAnsi="Palatino Linotype" w:cs="Tahoma"/>
          <w:bCs/>
          <w:lang w:eastAsia="en-US"/>
        </w:rPr>
        <w:t>uejas en contra de los elementos de seguridad pública</w:t>
      </w:r>
      <w:r w:rsidRPr="00C621B1">
        <w:rPr>
          <w:rFonts w:ascii="Palatino Linotype" w:eastAsia="Calibri" w:hAnsi="Palatino Linotype" w:cs="Tahoma"/>
          <w:bCs/>
          <w:lang w:eastAsia="en-US"/>
        </w:rPr>
        <w:t xml:space="preserve"> que fueron cesados, inhabilitados, separados del cargo, destituidos, removidos y/o dados de baja en trámite y de encontrarse </w:t>
      </w:r>
      <w:r w:rsidRPr="00C621B1">
        <w:rPr>
          <w:rFonts w:ascii="Palatino Linotype" w:hAnsi="Palatino Linotype" w:cs="Tahoma"/>
          <w:bCs/>
          <w:lang w:eastAsia="es-ES"/>
        </w:rPr>
        <w:t>en la etapa de integración y/o substanciación, se estaría en la existencia de los procedimientos administrativos.</w:t>
      </w:r>
    </w:p>
    <w:p w14:paraId="52490980" w14:textId="77777777" w:rsidR="00C621B1" w:rsidRPr="00C621B1" w:rsidRDefault="00C621B1" w:rsidP="00C621B1">
      <w:pPr>
        <w:tabs>
          <w:tab w:val="left" w:pos="8222"/>
        </w:tabs>
        <w:spacing w:before="240" w:after="240" w:line="360" w:lineRule="auto"/>
        <w:jc w:val="both"/>
        <w:rPr>
          <w:rFonts w:ascii="Palatino Linotype" w:hAnsi="Palatino Linotype" w:cs="Tahoma"/>
          <w:bCs/>
          <w:lang w:eastAsia="es-ES"/>
        </w:rPr>
      </w:pPr>
      <w:r w:rsidRPr="00C621B1">
        <w:rPr>
          <w:rFonts w:ascii="Palatino Linotype" w:hAnsi="Palatino Linotype" w:cs="Tahoma"/>
          <w:bCs/>
          <w:lang w:eastAsia="es-ES"/>
        </w:rPr>
        <w:t>Así, se acreditaría el primero de los requisitos establecidos en los Lineamientos Generales para acreditar la reserva en cuestión.</w:t>
      </w:r>
    </w:p>
    <w:p w14:paraId="56FE4B3D" w14:textId="77777777" w:rsidR="00C621B1" w:rsidRPr="00C621B1" w:rsidRDefault="00C621B1" w:rsidP="00D6099B">
      <w:pPr>
        <w:numPr>
          <w:ilvl w:val="0"/>
          <w:numId w:val="10"/>
        </w:numPr>
        <w:tabs>
          <w:tab w:val="left" w:pos="8222"/>
        </w:tabs>
        <w:spacing w:line="360" w:lineRule="auto"/>
        <w:ind w:left="0" w:right="49" w:hanging="284"/>
        <w:contextualSpacing/>
        <w:jc w:val="both"/>
        <w:rPr>
          <w:rFonts w:ascii="Palatino Linotype" w:hAnsi="Palatino Linotype" w:cs="Tahoma"/>
          <w:b/>
          <w:bCs/>
          <w:lang w:eastAsia="en-US"/>
        </w:rPr>
      </w:pPr>
      <w:r w:rsidRPr="00C621B1">
        <w:rPr>
          <w:rFonts w:ascii="Palatino Linotype" w:hAnsi="Palatino Linotype" w:cs="Tahoma"/>
          <w:b/>
          <w:bCs/>
          <w:lang w:eastAsia="en-US"/>
        </w:rPr>
        <w:t xml:space="preserve">Que la información se refiera a actuaciones, diligencias y constancias propias del procedimiento de responsabilidad. </w:t>
      </w:r>
    </w:p>
    <w:p w14:paraId="749957E5" w14:textId="2AFCDD9F" w:rsidR="00C621B1" w:rsidRPr="00C621B1" w:rsidRDefault="00C621B1" w:rsidP="00C621B1">
      <w:pPr>
        <w:tabs>
          <w:tab w:val="left" w:pos="8222"/>
        </w:tabs>
        <w:spacing w:before="240" w:after="240" w:line="360" w:lineRule="auto"/>
        <w:jc w:val="both"/>
        <w:rPr>
          <w:rFonts w:ascii="Palatino Linotype" w:hAnsi="Palatino Linotype" w:cs="Tahoma"/>
          <w:bCs/>
          <w:lang w:eastAsia="es-ES"/>
        </w:rPr>
      </w:pPr>
      <w:r w:rsidRPr="00C621B1">
        <w:rPr>
          <w:rFonts w:ascii="Palatino Linotype" w:hAnsi="Palatino Linotype" w:cs="Tahoma"/>
          <w:bCs/>
          <w:lang w:eastAsia="es-ES"/>
        </w:rPr>
        <w:t xml:space="preserve">Al respecto, de contar con </w:t>
      </w:r>
      <w:r w:rsidRPr="00C621B1">
        <w:rPr>
          <w:rFonts w:ascii="Palatino Linotype" w:eastAsia="Calibri" w:hAnsi="Palatino Linotype" w:cs="Tahoma"/>
          <w:bCs/>
          <w:lang w:eastAsia="en-US"/>
        </w:rPr>
        <w:t>denuncias, querellas y/o q</w:t>
      </w:r>
      <w:r w:rsidR="00D6099B">
        <w:rPr>
          <w:rFonts w:ascii="Palatino Linotype" w:eastAsia="Calibri" w:hAnsi="Palatino Linotype" w:cs="Tahoma"/>
          <w:bCs/>
          <w:lang w:eastAsia="en-US"/>
        </w:rPr>
        <w:t>uejas en contra de los elementos policiales</w:t>
      </w:r>
      <w:r w:rsidRPr="00C621B1">
        <w:rPr>
          <w:rFonts w:ascii="Palatino Linotype" w:eastAsia="Calibri" w:hAnsi="Palatino Linotype" w:cs="Tahoma"/>
          <w:bCs/>
          <w:lang w:eastAsia="en-US"/>
        </w:rPr>
        <w:t xml:space="preserve"> que fueron cesados, inhabilitados, separados del cargo, destituidos, removidos y/o dados de baja en trámite</w:t>
      </w:r>
      <w:r w:rsidRPr="00C621B1">
        <w:rPr>
          <w:rFonts w:ascii="Palatino Linotype" w:hAnsi="Palatino Linotype" w:cs="Tahoma"/>
          <w:bCs/>
          <w:lang w:eastAsia="es-ES"/>
        </w:rPr>
        <w:t xml:space="preserve">, se trata de la investigación para determinar </w:t>
      </w:r>
      <w:r w:rsidRPr="00C621B1">
        <w:rPr>
          <w:rFonts w:ascii="Palatino Linotype" w:hAnsi="Palatino Linotype" w:cs="Tahoma"/>
          <w:bCs/>
          <w:lang w:eastAsia="es-ES"/>
        </w:rPr>
        <w:lastRenderedPageBreak/>
        <w:t>la responsabilidad de elementos de seguridad, en la cual se analiza la gravedad de las faltas de estos, en las que incluso pueden ser destituidos.</w:t>
      </w:r>
    </w:p>
    <w:p w14:paraId="39CDEC3F" w14:textId="77777777" w:rsidR="00C621B1" w:rsidRPr="00C621B1" w:rsidRDefault="00C621B1" w:rsidP="00C621B1">
      <w:pPr>
        <w:tabs>
          <w:tab w:val="left" w:pos="8222"/>
        </w:tabs>
        <w:spacing w:before="240" w:after="240" w:line="360" w:lineRule="auto"/>
        <w:jc w:val="both"/>
        <w:rPr>
          <w:rFonts w:ascii="Palatino Linotype" w:hAnsi="Palatino Linotype" w:cs="Tahoma"/>
          <w:bCs/>
          <w:lang w:eastAsia="es-ES"/>
        </w:rPr>
      </w:pPr>
      <w:r w:rsidRPr="00C621B1">
        <w:rPr>
          <w:rFonts w:ascii="Palatino Linotype" w:hAnsi="Palatino Linotype" w:cs="Tahoma"/>
          <w:bCs/>
          <w:lang w:eastAsia="es-ES"/>
        </w:rPr>
        <w:t>Por lo que, se advierte que de contar con estos documentos en trámite correspondería a constancias propias que determinan la procedencia de los procedimientos, pues corresponden a determinar el tipo de falta que pudo haber cometido un servidor público, bajo la cual se planteará que tipo de pruebas pueden aportar las partes y ante que autoridad se resuelve; por lo que, se acreditaría el Segundo de los requisitos establecidos en los Lineamientos Generales.</w:t>
      </w:r>
    </w:p>
    <w:p w14:paraId="2BECF0B3" w14:textId="77777777" w:rsidR="00C621B1" w:rsidRPr="00C621B1" w:rsidRDefault="00C621B1" w:rsidP="00C621B1">
      <w:pPr>
        <w:tabs>
          <w:tab w:val="left" w:pos="8222"/>
        </w:tabs>
        <w:spacing w:before="240" w:after="240" w:line="360" w:lineRule="auto"/>
        <w:jc w:val="both"/>
        <w:rPr>
          <w:rFonts w:ascii="Palatino Linotype" w:hAnsi="Palatino Linotype" w:cs="Tahoma"/>
          <w:bCs/>
          <w:lang w:eastAsia="es-ES"/>
        </w:rPr>
      </w:pPr>
      <w:r w:rsidRPr="00C621B1">
        <w:rPr>
          <w:rFonts w:ascii="Palatino Linotype" w:hAnsi="Palatino Linotype" w:cs="Tahoma"/>
          <w:bCs/>
          <w:lang w:eastAsia="es-ES"/>
        </w:rPr>
        <w:t>Sobre el particular, cabe traer a colación el artículo 141 de la Ley de la materia, que establece que las causales de reserva se deberán fundar y motivar, a través de la aplicación de la prueba de daño establecida en el artículo 129 de dicho ordenamiento, que se debe justificar de la siguiente manera:</w:t>
      </w:r>
    </w:p>
    <w:p w14:paraId="3BDAC544" w14:textId="77777777" w:rsidR="00C621B1" w:rsidRPr="00C621B1" w:rsidRDefault="00C621B1" w:rsidP="00D6099B">
      <w:pPr>
        <w:numPr>
          <w:ilvl w:val="0"/>
          <w:numId w:val="11"/>
        </w:numPr>
        <w:tabs>
          <w:tab w:val="left" w:pos="8222"/>
        </w:tabs>
        <w:spacing w:line="360" w:lineRule="auto"/>
        <w:ind w:left="567" w:right="900" w:hanging="141"/>
        <w:contextualSpacing/>
        <w:jc w:val="both"/>
        <w:rPr>
          <w:rFonts w:ascii="Palatino Linotype" w:hAnsi="Palatino Linotype" w:cs="Tahoma"/>
          <w:bCs/>
          <w:lang w:eastAsia="en-US"/>
        </w:rPr>
      </w:pPr>
      <w:r w:rsidRPr="00C621B1">
        <w:rPr>
          <w:rFonts w:ascii="Palatino Linotype" w:hAnsi="Palatino Linotype" w:cs="Tahoma"/>
          <w:bCs/>
          <w:lang w:eastAsia="en-US"/>
        </w:rPr>
        <w:t>La divulgación de la información representa un riesgo real, demostrable e identificable de perjuicio significativo al interés público o a la seguridad nacional.</w:t>
      </w:r>
    </w:p>
    <w:p w14:paraId="52CE8B0F" w14:textId="77777777" w:rsidR="00C621B1" w:rsidRPr="00C621B1" w:rsidRDefault="00C621B1" w:rsidP="00D6099B">
      <w:pPr>
        <w:numPr>
          <w:ilvl w:val="0"/>
          <w:numId w:val="11"/>
        </w:numPr>
        <w:tabs>
          <w:tab w:val="left" w:pos="8222"/>
        </w:tabs>
        <w:spacing w:line="360" w:lineRule="auto"/>
        <w:ind w:left="567" w:right="900" w:hanging="283"/>
        <w:contextualSpacing/>
        <w:jc w:val="both"/>
        <w:rPr>
          <w:rFonts w:ascii="Palatino Linotype" w:hAnsi="Palatino Linotype" w:cs="Tahoma"/>
          <w:bCs/>
          <w:lang w:eastAsia="en-US"/>
        </w:rPr>
      </w:pPr>
      <w:r w:rsidRPr="00C621B1">
        <w:rPr>
          <w:rFonts w:ascii="Palatino Linotype" w:hAnsi="Palatino Linotype" w:cs="Tahoma"/>
          <w:bCs/>
          <w:lang w:eastAsia="en-US"/>
        </w:rPr>
        <w:t>El riesgo de perjuicio supera el interés público general de que se difunda.</w:t>
      </w:r>
    </w:p>
    <w:p w14:paraId="58B9919E" w14:textId="77777777" w:rsidR="00C621B1" w:rsidRPr="00C621B1" w:rsidRDefault="00C621B1" w:rsidP="00D6099B">
      <w:pPr>
        <w:numPr>
          <w:ilvl w:val="0"/>
          <w:numId w:val="11"/>
        </w:numPr>
        <w:tabs>
          <w:tab w:val="left" w:pos="8222"/>
        </w:tabs>
        <w:spacing w:line="360" w:lineRule="auto"/>
        <w:ind w:left="567" w:right="900" w:hanging="425"/>
        <w:contextualSpacing/>
        <w:jc w:val="both"/>
        <w:rPr>
          <w:rFonts w:ascii="Palatino Linotype" w:hAnsi="Palatino Linotype" w:cs="Tahoma"/>
          <w:bCs/>
          <w:lang w:eastAsia="en-US"/>
        </w:rPr>
      </w:pPr>
      <w:r w:rsidRPr="00C621B1">
        <w:rPr>
          <w:rFonts w:ascii="Palatino Linotype" w:hAnsi="Palatino Linotype" w:cs="Tahoma"/>
          <w:bCs/>
          <w:lang w:eastAsia="en-US"/>
        </w:rPr>
        <w:t>Que la limitación se adecua al principio de proporcionalidad y representa el medio menos restrictivo disponible para evitar el perjuicio.</w:t>
      </w:r>
    </w:p>
    <w:p w14:paraId="62144C10" w14:textId="77777777" w:rsidR="00C621B1" w:rsidRPr="00C621B1" w:rsidRDefault="00C621B1" w:rsidP="00C621B1">
      <w:pPr>
        <w:tabs>
          <w:tab w:val="left" w:pos="8222"/>
        </w:tabs>
        <w:spacing w:before="240" w:after="240" w:line="360" w:lineRule="auto"/>
        <w:jc w:val="both"/>
        <w:rPr>
          <w:rFonts w:ascii="Palatino Linotype" w:hAnsi="Palatino Linotype" w:cs="Tahoma"/>
          <w:bCs/>
          <w:lang w:eastAsia="es-ES"/>
        </w:rPr>
      </w:pPr>
      <w:r w:rsidRPr="00C621B1">
        <w:rPr>
          <w:rFonts w:ascii="Palatino Linotype" w:hAnsi="Palatino Linotype" w:cs="Tahoma"/>
          <w:bCs/>
          <w:lang w:eastAsia="es-ES"/>
        </w:rPr>
        <w:t>Al respecto, este Instituto advierte lo siguiente:</w:t>
      </w:r>
    </w:p>
    <w:p w14:paraId="3FB6F0B5" w14:textId="77777777" w:rsidR="00C621B1" w:rsidRPr="00C621B1" w:rsidRDefault="00C621B1" w:rsidP="00C621B1">
      <w:pPr>
        <w:numPr>
          <w:ilvl w:val="1"/>
          <w:numId w:val="11"/>
        </w:numPr>
        <w:tabs>
          <w:tab w:val="left" w:pos="8222"/>
        </w:tabs>
        <w:spacing w:line="360" w:lineRule="auto"/>
        <w:ind w:left="426" w:right="-28"/>
        <w:contextualSpacing/>
        <w:jc w:val="both"/>
        <w:rPr>
          <w:rFonts w:ascii="Palatino Linotype" w:hAnsi="Palatino Linotype" w:cs="Tahoma"/>
          <w:bCs/>
          <w:lang w:eastAsia="en-US"/>
        </w:rPr>
      </w:pPr>
      <w:r w:rsidRPr="00C621B1">
        <w:rPr>
          <w:rFonts w:ascii="Palatino Linotype" w:eastAsia="Calibri" w:hAnsi="Palatino Linotype" w:cs="Tahoma"/>
          <w:bCs/>
          <w:lang w:eastAsia="en-US"/>
        </w:rPr>
        <w:lastRenderedPageBreak/>
        <w:t>De existir denuncias, querellas y/o quejas en contra de los oficiales que fueron cesados, inhabilitados, separados del cargo, destituidos, removidos y/o dados de baja en trámite</w:t>
      </w:r>
      <w:r w:rsidRPr="00C621B1">
        <w:rPr>
          <w:rFonts w:ascii="Palatino Linotype" w:hAnsi="Palatino Linotype" w:cs="Tahoma"/>
          <w:bCs/>
          <w:lang w:eastAsia="en-US"/>
        </w:rPr>
        <w:t xml:space="preserve"> hay un riesgo real, demostrable e identificable, toda vez que dar a conocer a terceros la información que se encuentra en los expedientes, podría propiciar que la investigación se vea alterada y por lo tanto el resto del procedimiento ya que se pueden perder pruebas esenciales que permitan demostrar el tipo de falta realizada por el o los servidores públicos o la inexistencia de esta.</w:t>
      </w:r>
    </w:p>
    <w:p w14:paraId="683D22FF" w14:textId="77777777" w:rsidR="00C621B1" w:rsidRPr="00C621B1" w:rsidRDefault="00C621B1" w:rsidP="00C621B1">
      <w:pPr>
        <w:numPr>
          <w:ilvl w:val="1"/>
          <w:numId w:val="11"/>
        </w:numPr>
        <w:tabs>
          <w:tab w:val="left" w:pos="8222"/>
        </w:tabs>
        <w:spacing w:line="360" w:lineRule="auto"/>
        <w:ind w:left="426" w:right="-28"/>
        <w:contextualSpacing/>
        <w:jc w:val="both"/>
        <w:rPr>
          <w:rFonts w:ascii="Palatino Linotype" w:eastAsia="Calibri" w:hAnsi="Palatino Linotype" w:cs="Tahoma"/>
          <w:b/>
          <w:bCs/>
          <w:lang w:eastAsia="en-US"/>
        </w:rPr>
      </w:pPr>
      <w:r w:rsidRPr="00C621B1">
        <w:rPr>
          <w:rFonts w:ascii="Palatino Linotype" w:hAnsi="Palatino Linotype" w:cs="Tahoma"/>
          <w:bCs/>
          <w:lang w:eastAsia="en-US"/>
        </w:rPr>
        <w:t xml:space="preserve">Que el riesgo de perjuicio que supone la divulgación de la información supera el interés público general; </w:t>
      </w:r>
      <w:r w:rsidRPr="00C621B1">
        <w:rPr>
          <w:rFonts w:ascii="Palatino Linotype" w:eastAsia="Calibri" w:hAnsi="Palatino Linotype" w:cs="Tahoma"/>
          <w:bCs/>
          <w:lang w:eastAsia="en-US"/>
        </w:rPr>
        <w:t>pues con dicha documentación, se daría a conocer la estrategia procesal de las partes, así como de la información que se allegó el Sujeto Obligado, al realizar la investigación correspondiente, lo cual podría alterar el derecho al debido proceso de la parte denunciada.</w:t>
      </w:r>
    </w:p>
    <w:p w14:paraId="0C748946" w14:textId="77777777" w:rsidR="00C621B1" w:rsidRPr="00C621B1" w:rsidRDefault="00C621B1" w:rsidP="00C621B1">
      <w:pPr>
        <w:numPr>
          <w:ilvl w:val="1"/>
          <w:numId w:val="11"/>
        </w:numPr>
        <w:tabs>
          <w:tab w:val="left" w:pos="8222"/>
        </w:tabs>
        <w:spacing w:line="360" w:lineRule="auto"/>
        <w:ind w:left="426" w:right="-28"/>
        <w:contextualSpacing/>
        <w:jc w:val="both"/>
        <w:rPr>
          <w:rFonts w:ascii="Palatino Linotype" w:hAnsi="Palatino Linotype" w:cs="Tahoma"/>
          <w:bCs/>
          <w:lang w:eastAsia="en-US"/>
        </w:rPr>
      </w:pPr>
      <w:r w:rsidRPr="00C621B1">
        <w:rPr>
          <w:rFonts w:ascii="Palatino Linotype" w:hAnsi="Palatino Linotype" w:cs="Tahoma"/>
          <w:bCs/>
          <w:lang w:eastAsia="en-US"/>
        </w:rPr>
        <w:t>La reserva no se traduce en un medio restrictivo al derecho de acceso a la información, en virtud, de que se trata de una medida temporal, cuya finalidad es salvaguardar la conducción de dichos procedimientos, por lo que, no se trata de una medida desproporcional, ni excesiva.</w:t>
      </w:r>
    </w:p>
    <w:p w14:paraId="6DC306D6" w14:textId="77777777" w:rsidR="00C621B1" w:rsidRPr="00C621B1" w:rsidRDefault="00C621B1" w:rsidP="00C621B1">
      <w:pPr>
        <w:tabs>
          <w:tab w:val="left" w:pos="8222"/>
        </w:tabs>
        <w:spacing w:before="240" w:after="240" w:line="360" w:lineRule="auto"/>
        <w:jc w:val="both"/>
        <w:rPr>
          <w:rFonts w:ascii="Palatino Linotype" w:hAnsi="Palatino Linotype" w:cs="Tahoma"/>
          <w:bCs/>
          <w:lang w:eastAsia="es-ES"/>
        </w:rPr>
      </w:pPr>
      <w:r w:rsidRPr="00C621B1">
        <w:rPr>
          <w:rFonts w:ascii="Palatino Linotype" w:hAnsi="Palatino Linotype" w:cs="Tahoma"/>
          <w:bCs/>
          <w:lang w:eastAsia="es-ES"/>
        </w:rPr>
        <w:t>Conforme a lo anterior, resulta procedente la reserva invocada, en términos del artículo 140, fracción VI, de la Ley de Transparencia y Acceso a la Información Pública del Estado de México y Municipios.</w:t>
      </w:r>
    </w:p>
    <w:p w14:paraId="6DEA39B9" w14:textId="77777777" w:rsidR="00C621B1" w:rsidRPr="00C621B1" w:rsidRDefault="00C621B1" w:rsidP="00C621B1">
      <w:pPr>
        <w:tabs>
          <w:tab w:val="left" w:pos="8222"/>
        </w:tabs>
        <w:spacing w:before="240" w:after="240" w:line="360" w:lineRule="auto"/>
        <w:jc w:val="both"/>
        <w:rPr>
          <w:rFonts w:ascii="Palatino Linotype" w:hAnsi="Palatino Linotype" w:cs="Tahoma"/>
          <w:bCs/>
          <w:lang w:eastAsia="es-ES"/>
        </w:rPr>
      </w:pPr>
      <w:r w:rsidRPr="00C621B1">
        <w:rPr>
          <w:rFonts w:ascii="Palatino Linotype" w:hAnsi="Palatino Linotype" w:cs="Tahoma"/>
          <w:bCs/>
          <w:lang w:eastAsia="es-ES"/>
        </w:rPr>
        <w:t>Finalmente, respecto al plazo de reserva, el artículo 125 de la Ley de la materia, establece que la información clasificada como reservada según el artículo 140 de la Ley de Transparencia y Acceso a la Información Pública del Estado de México y Municipios, podrá permanecer con tal carácter hasta por un periodo de 5 años.</w:t>
      </w:r>
    </w:p>
    <w:p w14:paraId="4DB56352" w14:textId="77777777" w:rsidR="00C621B1" w:rsidRPr="00C621B1" w:rsidRDefault="00C621B1" w:rsidP="00C621B1">
      <w:pPr>
        <w:tabs>
          <w:tab w:val="left" w:pos="8222"/>
        </w:tabs>
        <w:spacing w:before="240" w:after="240" w:line="360" w:lineRule="auto"/>
        <w:jc w:val="both"/>
        <w:rPr>
          <w:rFonts w:ascii="Palatino Linotype" w:hAnsi="Palatino Linotype" w:cs="Tahoma"/>
          <w:bCs/>
          <w:lang w:eastAsia="es-ES"/>
        </w:rPr>
      </w:pPr>
      <w:r w:rsidRPr="00C621B1">
        <w:rPr>
          <w:rFonts w:ascii="Palatino Linotype" w:hAnsi="Palatino Linotype" w:cs="Tahoma"/>
          <w:bCs/>
          <w:lang w:eastAsia="es-ES"/>
        </w:rPr>
        <w:lastRenderedPageBreak/>
        <w:t>Asimismo señala que los documentos reservados serán desclasificados cuando se extingan las causas que dieron origen a su clasificación, expire el plazo establecido, exista resolución de una autoridad competente que determine que existe una causa de interés público que prevalece sobre la reserva de la información, o bien el Comité de Transparencia considere pertinente la desclasificación o se trate de información que esté relacionada con violaciones graves a derechos humanos o delitos de lesa humanidad.</w:t>
      </w:r>
    </w:p>
    <w:p w14:paraId="42B01708" w14:textId="77777777" w:rsidR="00C621B1" w:rsidRDefault="00C621B1" w:rsidP="00C621B1">
      <w:pPr>
        <w:tabs>
          <w:tab w:val="left" w:pos="8222"/>
        </w:tabs>
        <w:spacing w:before="240" w:after="240" w:line="360" w:lineRule="auto"/>
        <w:jc w:val="both"/>
        <w:rPr>
          <w:rFonts w:ascii="Palatino Linotype" w:hAnsi="Palatino Linotype" w:cs="Tahoma"/>
          <w:bCs/>
          <w:lang w:eastAsia="es-ES"/>
        </w:rPr>
      </w:pPr>
      <w:r w:rsidRPr="00C621B1">
        <w:rPr>
          <w:rFonts w:ascii="Palatino Linotype" w:hAnsi="Palatino Linotype" w:cs="Tahoma"/>
          <w:bCs/>
          <w:lang w:eastAsia="es-ES"/>
        </w:rPr>
        <w:t>Sobre el particular, de acuerdo a las circunstancias de modo, tiempo y lugar, se considera que el Sujeto Obligado determinará el periodo de reserva de la información, a partir de la fecha de la presente resolución; lo anterior, toda vez que debe tomar en cuenta el tiempo para resolver los expedientes correspondientes.</w:t>
      </w:r>
    </w:p>
    <w:p w14:paraId="0B1E9AB9" w14:textId="77777777" w:rsidR="00884C08" w:rsidRDefault="00884C08" w:rsidP="00C621B1">
      <w:pPr>
        <w:tabs>
          <w:tab w:val="left" w:pos="8222"/>
        </w:tabs>
        <w:spacing w:before="240" w:after="240" w:line="360" w:lineRule="auto"/>
        <w:jc w:val="both"/>
        <w:rPr>
          <w:rFonts w:ascii="Palatino Linotype" w:hAnsi="Palatino Linotype" w:cs="Tahoma"/>
          <w:bCs/>
          <w:lang w:eastAsia="es-ES"/>
        </w:rPr>
      </w:pPr>
    </w:p>
    <w:p w14:paraId="357BD465" w14:textId="6B8DE6FF" w:rsidR="00D27EDF" w:rsidRPr="00D27EDF" w:rsidRDefault="00D27EDF" w:rsidP="00C621B1">
      <w:pPr>
        <w:tabs>
          <w:tab w:val="left" w:pos="8222"/>
        </w:tabs>
        <w:spacing w:before="240" w:after="240" w:line="360" w:lineRule="auto"/>
        <w:jc w:val="both"/>
        <w:rPr>
          <w:rFonts w:ascii="Palatino Linotype" w:hAnsi="Palatino Linotype" w:cs="Tahoma"/>
          <w:b/>
          <w:bCs/>
          <w:lang w:eastAsia="es-ES"/>
        </w:rPr>
      </w:pPr>
      <w:r w:rsidRPr="00D27EDF">
        <w:rPr>
          <w:rFonts w:ascii="Palatino Linotype" w:hAnsi="Palatino Linotype" w:cs="Tahoma"/>
          <w:b/>
          <w:bCs/>
          <w:lang w:eastAsia="es-ES"/>
        </w:rPr>
        <w:t>4.- De la publicidad del nombre del servidor públic</w:t>
      </w:r>
      <w:r w:rsidR="00A71CDC">
        <w:rPr>
          <w:rFonts w:ascii="Palatino Linotype" w:hAnsi="Palatino Linotype" w:cs="Tahoma"/>
          <w:b/>
          <w:bCs/>
          <w:lang w:eastAsia="es-ES"/>
        </w:rPr>
        <w:t xml:space="preserve">o con motivo de las sanciones </w:t>
      </w:r>
    </w:p>
    <w:p w14:paraId="4DD71110" w14:textId="77777777" w:rsidR="00D27EDF" w:rsidRPr="00C04B32" w:rsidRDefault="00D27EDF" w:rsidP="00D27EDF">
      <w:pPr>
        <w:spacing w:before="240" w:after="240" w:line="360" w:lineRule="auto"/>
        <w:ind w:right="49"/>
        <w:jc w:val="both"/>
        <w:rPr>
          <w:rFonts w:ascii="Palatino Linotype" w:hAnsi="Palatino Linotype" w:cs="Arial"/>
        </w:rPr>
      </w:pPr>
      <w:r w:rsidRPr="00C04B32">
        <w:rPr>
          <w:rFonts w:ascii="Palatino Linotype" w:hAnsi="Palatino Linotype" w:cs="Arial"/>
        </w:rPr>
        <w:t xml:space="preserve">Finalmente, por lo que respecta a los servidores públicos sancionados, la </w:t>
      </w:r>
      <w:r>
        <w:rPr>
          <w:rFonts w:ascii="Palatino Linotype" w:hAnsi="Palatino Linotype" w:cs="Arial"/>
          <w:bCs/>
        </w:rPr>
        <w:t>Ley d</w:t>
      </w:r>
      <w:r w:rsidRPr="00DD7845">
        <w:rPr>
          <w:rFonts w:ascii="Palatino Linotype" w:hAnsi="Palatino Linotype" w:cs="Arial"/>
          <w:bCs/>
        </w:rPr>
        <w:t>el S</w:t>
      </w:r>
      <w:r>
        <w:rPr>
          <w:rFonts w:ascii="Palatino Linotype" w:hAnsi="Palatino Linotype" w:cs="Arial"/>
          <w:bCs/>
        </w:rPr>
        <w:t>istema Anticorrupción del Estado de México y</w:t>
      </w:r>
      <w:r w:rsidRPr="00DD7845">
        <w:rPr>
          <w:rFonts w:ascii="Palatino Linotype" w:hAnsi="Palatino Linotype" w:cs="Arial"/>
          <w:bCs/>
        </w:rPr>
        <w:t xml:space="preserve"> Municipios</w:t>
      </w:r>
      <w:r w:rsidRPr="00DD7845">
        <w:rPr>
          <w:rFonts w:ascii="Palatino Linotype" w:hAnsi="Palatino Linotype" w:cs="Arial"/>
          <w:b/>
          <w:bCs/>
        </w:rPr>
        <w:t xml:space="preserve"> </w:t>
      </w:r>
      <w:r w:rsidRPr="00C04B32">
        <w:rPr>
          <w:rFonts w:ascii="Palatino Linotype" w:hAnsi="Palatino Linotype" w:cs="Arial"/>
        </w:rPr>
        <w:t xml:space="preserve">prevé la existencia de una plataforma digital estatal, en la cual, los Sistemas Municipales Anticorrupción deberán establecer los sistemas electrónicos que a continuación se enlistan: </w:t>
      </w:r>
    </w:p>
    <w:p w14:paraId="4EB66203" w14:textId="77777777" w:rsidR="00D27EDF" w:rsidRPr="00C04B32" w:rsidRDefault="00D27EDF" w:rsidP="00D27EDF">
      <w:pPr>
        <w:spacing w:before="240" w:after="240"/>
        <w:ind w:left="567" w:right="900"/>
        <w:jc w:val="both"/>
        <w:rPr>
          <w:rFonts w:ascii="Palatino Linotype" w:hAnsi="Palatino Linotype"/>
          <w:b/>
          <w:i/>
          <w:sz w:val="22"/>
          <w:szCs w:val="22"/>
          <w:u w:val="single"/>
        </w:rPr>
      </w:pPr>
      <w:r w:rsidRPr="00C04B32">
        <w:rPr>
          <w:rFonts w:ascii="Palatino Linotype" w:hAnsi="Palatino Linotype" w:cs="Arial"/>
          <w:i/>
          <w:sz w:val="22"/>
          <w:szCs w:val="22"/>
        </w:rPr>
        <w:t xml:space="preserve"> “</w:t>
      </w:r>
      <w:r w:rsidRPr="00C04B32">
        <w:rPr>
          <w:rFonts w:ascii="Palatino Linotype" w:hAnsi="Palatino Linotype"/>
          <w:b/>
          <w:i/>
          <w:sz w:val="22"/>
          <w:szCs w:val="22"/>
          <w:u w:val="single"/>
        </w:rPr>
        <w:t>Artículo 49. La Plataforma Digital Estatal estará conformada por la información que a la misma incorporen los integrantes del</w:t>
      </w:r>
      <w:r w:rsidRPr="00C04B32">
        <w:rPr>
          <w:rFonts w:ascii="Palatino Linotype" w:hAnsi="Palatino Linotype"/>
          <w:i/>
          <w:sz w:val="22"/>
          <w:szCs w:val="22"/>
        </w:rPr>
        <w:t xml:space="preserve"> Sistema Estatal Anticorrupción, así como del </w:t>
      </w:r>
      <w:r w:rsidRPr="00C04B32">
        <w:rPr>
          <w:rFonts w:ascii="Palatino Linotype" w:hAnsi="Palatino Linotype"/>
          <w:b/>
          <w:i/>
          <w:sz w:val="22"/>
          <w:szCs w:val="22"/>
          <w:u w:val="single"/>
        </w:rPr>
        <w:t xml:space="preserve">Sistema Municipal Anticorrupción y contará al menos, con los sistemas electrónicos siguientes: </w:t>
      </w:r>
    </w:p>
    <w:p w14:paraId="45DAE6B4" w14:textId="77777777" w:rsidR="00D27EDF" w:rsidRPr="00C04B32" w:rsidRDefault="00D27EDF" w:rsidP="00D27EDF">
      <w:pPr>
        <w:numPr>
          <w:ilvl w:val="0"/>
          <w:numId w:val="20"/>
        </w:numPr>
        <w:spacing w:before="240" w:after="240"/>
        <w:ind w:left="567" w:right="900" w:firstLine="0"/>
        <w:jc w:val="both"/>
        <w:rPr>
          <w:rFonts w:ascii="Palatino Linotype" w:hAnsi="Palatino Linotype"/>
          <w:i/>
          <w:sz w:val="22"/>
          <w:szCs w:val="22"/>
          <w:lang w:eastAsia="en-US"/>
        </w:rPr>
      </w:pPr>
      <w:r w:rsidRPr="00C04B32">
        <w:rPr>
          <w:rFonts w:ascii="Palatino Linotype" w:hAnsi="Palatino Linotype"/>
          <w:i/>
          <w:sz w:val="22"/>
          <w:szCs w:val="22"/>
          <w:lang w:eastAsia="en-US"/>
        </w:rPr>
        <w:t xml:space="preserve">Sistema de evolución patrimonial, de declaración de intereses y constancia de presentación de la declaración fiscal. </w:t>
      </w:r>
    </w:p>
    <w:p w14:paraId="79D16A84" w14:textId="77777777" w:rsidR="00D27EDF" w:rsidRPr="00C04B32" w:rsidRDefault="00D27EDF" w:rsidP="00D27EDF">
      <w:pPr>
        <w:numPr>
          <w:ilvl w:val="0"/>
          <w:numId w:val="20"/>
        </w:numPr>
        <w:spacing w:before="240" w:after="240"/>
        <w:ind w:left="284" w:right="900" w:firstLine="142"/>
        <w:jc w:val="both"/>
        <w:rPr>
          <w:rFonts w:ascii="Palatino Linotype" w:hAnsi="Palatino Linotype" w:cs="Arial"/>
          <w:i/>
          <w:sz w:val="22"/>
          <w:szCs w:val="22"/>
          <w:lang w:eastAsia="en-US"/>
        </w:rPr>
      </w:pPr>
      <w:r w:rsidRPr="00C04B32">
        <w:rPr>
          <w:rFonts w:ascii="Palatino Linotype" w:hAnsi="Palatino Linotype"/>
          <w:i/>
          <w:sz w:val="22"/>
          <w:szCs w:val="22"/>
          <w:lang w:eastAsia="en-US"/>
        </w:rPr>
        <w:lastRenderedPageBreak/>
        <w:t xml:space="preserve">Sistema de los servidores públicos que intervengan en procedimientos de contrataciones públicas. </w:t>
      </w:r>
    </w:p>
    <w:p w14:paraId="71F05611" w14:textId="77777777" w:rsidR="00D27EDF" w:rsidRPr="00C04B32" w:rsidRDefault="00D27EDF" w:rsidP="00D27EDF">
      <w:pPr>
        <w:numPr>
          <w:ilvl w:val="0"/>
          <w:numId w:val="20"/>
        </w:numPr>
        <w:spacing w:before="240" w:after="240"/>
        <w:ind w:left="567" w:right="900" w:hanging="283"/>
        <w:jc w:val="both"/>
        <w:rPr>
          <w:rFonts w:ascii="Palatino Linotype" w:hAnsi="Palatino Linotype" w:cs="Arial"/>
          <w:b/>
          <w:i/>
          <w:sz w:val="22"/>
          <w:szCs w:val="22"/>
          <w:u w:val="single"/>
          <w:lang w:eastAsia="en-US"/>
        </w:rPr>
      </w:pPr>
      <w:r w:rsidRPr="00C04B32">
        <w:rPr>
          <w:rFonts w:ascii="Palatino Linotype" w:hAnsi="Palatino Linotype"/>
          <w:b/>
          <w:i/>
          <w:sz w:val="22"/>
          <w:szCs w:val="22"/>
          <w:u w:val="single"/>
          <w:lang w:eastAsia="en-US"/>
        </w:rPr>
        <w:t xml:space="preserve">Sistema de servidores públicos y particulares sancionados. </w:t>
      </w:r>
    </w:p>
    <w:p w14:paraId="2C22BDCB" w14:textId="77777777" w:rsidR="00D27EDF" w:rsidRPr="00C04B32" w:rsidRDefault="00D27EDF" w:rsidP="00D27EDF">
      <w:pPr>
        <w:numPr>
          <w:ilvl w:val="0"/>
          <w:numId w:val="20"/>
        </w:numPr>
        <w:spacing w:before="240" w:after="240"/>
        <w:ind w:left="567" w:right="900" w:hanging="141"/>
        <w:jc w:val="both"/>
        <w:rPr>
          <w:rFonts w:ascii="Palatino Linotype" w:hAnsi="Palatino Linotype" w:cs="Arial"/>
          <w:i/>
          <w:sz w:val="22"/>
          <w:szCs w:val="22"/>
          <w:lang w:eastAsia="en-US"/>
        </w:rPr>
      </w:pPr>
      <w:r w:rsidRPr="00C04B32">
        <w:rPr>
          <w:rFonts w:ascii="Palatino Linotype" w:hAnsi="Palatino Linotype"/>
          <w:i/>
          <w:sz w:val="22"/>
          <w:szCs w:val="22"/>
          <w:lang w:eastAsia="en-US"/>
        </w:rPr>
        <w:t xml:space="preserve">Sistema de información y comunicación del Sistema Estatal Anticorrupción y del Sistema Estatal de Fiscalización. </w:t>
      </w:r>
    </w:p>
    <w:p w14:paraId="4BD7D2B6" w14:textId="77777777" w:rsidR="00D27EDF" w:rsidRPr="00C04B32" w:rsidRDefault="00D27EDF" w:rsidP="00D27EDF">
      <w:pPr>
        <w:numPr>
          <w:ilvl w:val="0"/>
          <w:numId w:val="20"/>
        </w:numPr>
        <w:spacing w:before="240" w:after="240"/>
        <w:ind w:left="567" w:right="900" w:hanging="141"/>
        <w:jc w:val="both"/>
        <w:rPr>
          <w:rFonts w:ascii="Palatino Linotype" w:hAnsi="Palatino Linotype" w:cs="Arial"/>
          <w:i/>
          <w:sz w:val="22"/>
          <w:szCs w:val="22"/>
          <w:lang w:eastAsia="en-US"/>
        </w:rPr>
      </w:pPr>
      <w:r w:rsidRPr="00C04B32">
        <w:rPr>
          <w:rFonts w:ascii="Palatino Linotype" w:hAnsi="Palatino Linotype"/>
          <w:i/>
          <w:sz w:val="22"/>
          <w:szCs w:val="22"/>
          <w:lang w:eastAsia="en-US"/>
        </w:rPr>
        <w:t xml:space="preserve">Sistema de denuncias públicas de faltas administrativas y hechos de corrupción. </w:t>
      </w:r>
    </w:p>
    <w:p w14:paraId="31BB7246" w14:textId="77777777" w:rsidR="00D27EDF" w:rsidRPr="00C04B32" w:rsidRDefault="00D27EDF" w:rsidP="00D27EDF">
      <w:pPr>
        <w:numPr>
          <w:ilvl w:val="0"/>
          <w:numId w:val="20"/>
        </w:numPr>
        <w:spacing w:before="240" w:after="240"/>
        <w:ind w:left="567" w:right="900" w:hanging="141"/>
        <w:jc w:val="both"/>
        <w:rPr>
          <w:rFonts w:ascii="Palatino Linotype" w:hAnsi="Palatino Linotype" w:cs="Arial"/>
          <w:i/>
          <w:sz w:val="22"/>
          <w:szCs w:val="22"/>
          <w:lang w:eastAsia="en-US"/>
        </w:rPr>
      </w:pPr>
      <w:r w:rsidRPr="00C04B32">
        <w:rPr>
          <w:rFonts w:ascii="Palatino Linotype" w:hAnsi="Palatino Linotype"/>
          <w:i/>
          <w:sz w:val="22"/>
          <w:szCs w:val="22"/>
          <w:lang w:eastAsia="en-US"/>
        </w:rPr>
        <w:t xml:space="preserve">Sistema de Información Pública de Contrataciones. </w:t>
      </w:r>
    </w:p>
    <w:p w14:paraId="7F1BBF51" w14:textId="77777777" w:rsidR="00D27EDF" w:rsidRPr="00C04B32" w:rsidRDefault="00D27EDF" w:rsidP="00D27EDF">
      <w:pPr>
        <w:spacing w:before="240" w:after="240"/>
        <w:ind w:left="567" w:right="900"/>
        <w:jc w:val="both"/>
        <w:rPr>
          <w:rFonts w:ascii="Palatino Linotype" w:hAnsi="Palatino Linotype"/>
          <w:b/>
          <w:i/>
          <w:sz w:val="22"/>
          <w:szCs w:val="22"/>
          <w:u w:val="single"/>
          <w:lang w:eastAsia="en-US"/>
        </w:rPr>
      </w:pPr>
      <w:r w:rsidRPr="00C04B32">
        <w:rPr>
          <w:rFonts w:ascii="Palatino Linotype" w:hAnsi="Palatino Linotype"/>
          <w:b/>
          <w:i/>
          <w:sz w:val="22"/>
          <w:szCs w:val="22"/>
          <w:u w:val="single"/>
          <w:lang w:eastAsia="en-US"/>
        </w:rPr>
        <w:t>Artículo 50. Los integrantes de los Sistemas Estatal y Municipal Anticorrupción, promoverán la publicación de la información contenida en la Plataforma Digital Estatal correspondiente, en formato de datos abiertos,</w:t>
      </w:r>
      <w:r w:rsidRPr="00C04B32">
        <w:rPr>
          <w:rFonts w:ascii="Palatino Linotype" w:hAnsi="Palatino Linotype"/>
          <w:i/>
          <w:sz w:val="22"/>
          <w:szCs w:val="22"/>
          <w:lang w:eastAsia="en-US"/>
        </w:rPr>
        <w:t xml:space="preserve"> </w:t>
      </w:r>
      <w:r w:rsidRPr="00C04B32">
        <w:rPr>
          <w:rFonts w:ascii="Palatino Linotype" w:hAnsi="Palatino Linotype"/>
          <w:b/>
          <w:i/>
          <w:sz w:val="22"/>
          <w:szCs w:val="22"/>
          <w:u w:val="single"/>
          <w:lang w:eastAsia="en-US"/>
        </w:rPr>
        <w:t>de conformidad con lo que dispone la Ley de Transparencia y Acceso a la Información Pública del Estado de México y Municipios y demás normatividad aplicable.</w:t>
      </w:r>
    </w:p>
    <w:p w14:paraId="66878919" w14:textId="77777777" w:rsidR="00D27EDF" w:rsidRPr="00C04B32" w:rsidRDefault="00D27EDF" w:rsidP="00D27EDF">
      <w:pPr>
        <w:spacing w:before="240" w:after="240"/>
        <w:ind w:left="567" w:right="900"/>
        <w:jc w:val="both"/>
        <w:rPr>
          <w:rFonts w:ascii="Palatino Linotype" w:hAnsi="Palatino Linotype"/>
          <w:b/>
          <w:i/>
          <w:sz w:val="22"/>
          <w:szCs w:val="22"/>
          <w:u w:val="single"/>
          <w:lang w:eastAsia="en-US"/>
        </w:rPr>
      </w:pPr>
      <w:r w:rsidRPr="00C04B32">
        <w:rPr>
          <w:rFonts w:ascii="Palatino Linotype" w:hAnsi="Palatino Linotype"/>
          <w:b/>
          <w:i/>
          <w:sz w:val="22"/>
          <w:szCs w:val="22"/>
          <w:u w:val="single"/>
          <w:lang w:eastAsia="en-US"/>
        </w:rPr>
        <w:t>[…]</w:t>
      </w:r>
    </w:p>
    <w:p w14:paraId="78A37BE4" w14:textId="77777777" w:rsidR="00D27EDF" w:rsidRPr="00C04B32" w:rsidRDefault="00D27EDF" w:rsidP="00D27EDF">
      <w:pPr>
        <w:spacing w:before="240" w:after="240"/>
        <w:ind w:left="567" w:right="900"/>
        <w:jc w:val="both"/>
        <w:rPr>
          <w:rFonts w:ascii="Palatino Linotype" w:hAnsi="Palatino Linotype"/>
          <w:b/>
          <w:i/>
          <w:sz w:val="22"/>
          <w:szCs w:val="22"/>
          <w:u w:val="single"/>
          <w:lang w:eastAsia="en-US"/>
        </w:rPr>
      </w:pPr>
      <w:r w:rsidRPr="00C04B32">
        <w:rPr>
          <w:rFonts w:ascii="Palatino Linotype" w:hAnsi="Palatino Linotype"/>
          <w:b/>
          <w:i/>
          <w:sz w:val="22"/>
          <w:szCs w:val="22"/>
          <w:u w:val="single"/>
          <w:lang w:eastAsia="en-US"/>
        </w:rPr>
        <w:t xml:space="preserve">Artículo 53. Las sanciones impuestas por faltas administrativas graves serán del conocimiento público cuando éstas contengan impedimentos o inhabilitaciones para ser contratados como servidores públicos o como prestadores de servicios o contratistas del sector público, en términos de la Ley de Responsabilidades Administrativas del Estado de México y Municipios. </w:t>
      </w:r>
    </w:p>
    <w:p w14:paraId="32D4C4AD" w14:textId="77777777" w:rsidR="00D27EDF" w:rsidRPr="00C04B32" w:rsidRDefault="00D27EDF" w:rsidP="00D27EDF">
      <w:pPr>
        <w:spacing w:before="240" w:after="240"/>
        <w:ind w:left="567" w:right="900"/>
        <w:jc w:val="both"/>
        <w:rPr>
          <w:rFonts w:ascii="Palatino Linotype" w:hAnsi="Palatino Linotype"/>
          <w:b/>
          <w:i/>
          <w:sz w:val="22"/>
          <w:szCs w:val="22"/>
          <w:u w:val="single"/>
          <w:lang w:eastAsia="en-US"/>
        </w:rPr>
      </w:pPr>
      <w:r w:rsidRPr="00DE4FA2">
        <w:rPr>
          <w:rFonts w:ascii="Palatino Linotype" w:hAnsi="Palatino Linotype"/>
          <w:i/>
          <w:sz w:val="22"/>
          <w:szCs w:val="22"/>
          <w:lang w:eastAsia="en-US"/>
        </w:rPr>
        <w:t>Los registros de las sanciones relativas a responsabilidades administrativas no graves, quedarán registradas para efectos de eventual reincidencia, pero no serán públicas.</w:t>
      </w:r>
      <w:r w:rsidRPr="00DE4FA2">
        <w:rPr>
          <w:rFonts w:ascii="Palatino Linotype" w:hAnsi="Palatino Linotype"/>
          <w:b/>
          <w:i/>
          <w:sz w:val="22"/>
          <w:szCs w:val="22"/>
          <w:lang w:eastAsia="en-US"/>
        </w:rPr>
        <w:t>”</w:t>
      </w:r>
    </w:p>
    <w:p w14:paraId="2789FB96" w14:textId="77777777" w:rsidR="00D27EDF" w:rsidRPr="00C04B32" w:rsidRDefault="00D27EDF" w:rsidP="00D27EDF">
      <w:pPr>
        <w:spacing w:before="240" w:after="240"/>
        <w:ind w:right="900"/>
        <w:jc w:val="both"/>
        <w:rPr>
          <w:rFonts w:ascii="Palatino Linotype" w:hAnsi="Palatino Linotype"/>
          <w:i/>
          <w:sz w:val="22"/>
          <w:szCs w:val="22"/>
          <w:lang w:eastAsia="en-US"/>
        </w:rPr>
      </w:pPr>
      <w:r>
        <w:rPr>
          <w:rFonts w:ascii="Palatino Linotype" w:hAnsi="Palatino Linotype"/>
          <w:i/>
          <w:sz w:val="22"/>
          <w:szCs w:val="22"/>
          <w:lang w:eastAsia="en-US"/>
        </w:rPr>
        <w:t xml:space="preserve">         </w:t>
      </w:r>
      <w:r w:rsidRPr="00C04B32">
        <w:rPr>
          <w:rFonts w:ascii="Palatino Linotype" w:hAnsi="Palatino Linotype"/>
          <w:i/>
          <w:sz w:val="22"/>
          <w:szCs w:val="22"/>
          <w:lang w:eastAsia="en-US"/>
        </w:rPr>
        <w:t>(Énfasis añadido)</w:t>
      </w:r>
    </w:p>
    <w:p w14:paraId="63DB47BF" w14:textId="77777777" w:rsidR="00D27EDF" w:rsidRDefault="00D27EDF" w:rsidP="00D27EDF">
      <w:pPr>
        <w:spacing w:before="240" w:after="240" w:line="360" w:lineRule="auto"/>
        <w:ind w:right="49"/>
        <w:jc w:val="both"/>
        <w:rPr>
          <w:rFonts w:ascii="Palatino Linotype" w:hAnsi="Palatino Linotype" w:cs="Arial"/>
        </w:rPr>
      </w:pPr>
      <w:r w:rsidRPr="00C04B32">
        <w:rPr>
          <w:rFonts w:ascii="Palatino Linotype" w:hAnsi="Palatino Linotype" w:cs="Arial"/>
        </w:rPr>
        <w:t xml:space="preserve">Aunado a lo anterior, el texto legislativo recoge que la información que obra en esta plataforma sea de carácter público y su divulgación se de en formatos abiertos, no obstante, por lo que respecta a las sanciones se regula que </w:t>
      </w:r>
      <w:r w:rsidRPr="00D84696">
        <w:rPr>
          <w:rFonts w:ascii="Palatino Linotype" w:hAnsi="Palatino Linotype" w:cs="Arial"/>
          <w:b/>
        </w:rPr>
        <w:t xml:space="preserve">sean públicas las graves, incluyendo el nombre del servidor público </w:t>
      </w:r>
      <w:r>
        <w:rPr>
          <w:rFonts w:ascii="Palatino Linotype" w:hAnsi="Palatino Linotype" w:cs="Arial"/>
        </w:rPr>
        <w:t xml:space="preserve">en razón de que puede conocerse si se </w:t>
      </w:r>
      <w:r>
        <w:rPr>
          <w:rFonts w:ascii="Palatino Linotype" w:hAnsi="Palatino Linotype" w:cs="Arial"/>
        </w:rPr>
        <w:lastRenderedPageBreak/>
        <w:t>encuentran impedidos o inhabilitados para que desempeñar un cargo dentro de la Administración Pública estatal</w:t>
      </w:r>
      <w:r w:rsidRPr="00C04B32">
        <w:rPr>
          <w:rFonts w:ascii="Palatino Linotype" w:hAnsi="Palatino Linotype" w:cs="Arial"/>
        </w:rPr>
        <w:t xml:space="preserve"> y </w:t>
      </w:r>
      <w:r>
        <w:rPr>
          <w:rFonts w:ascii="Palatino Linotype" w:hAnsi="Palatino Linotype" w:cs="Arial"/>
        </w:rPr>
        <w:t xml:space="preserve">de </w:t>
      </w:r>
      <w:r w:rsidRPr="00C04B32">
        <w:rPr>
          <w:rFonts w:ascii="Palatino Linotype" w:hAnsi="Palatino Linotype" w:cs="Arial"/>
        </w:rPr>
        <w:t>sus municipios.</w:t>
      </w:r>
    </w:p>
    <w:p w14:paraId="6E5C638B" w14:textId="77777777" w:rsidR="00D27EDF" w:rsidRPr="00D84696" w:rsidRDefault="00D27EDF" w:rsidP="00D27EDF">
      <w:pPr>
        <w:spacing w:before="240" w:after="240" w:line="360" w:lineRule="auto"/>
        <w:ind w:right="49"/>
        <w:jc w:val="both"/>
        <w:rPr>
          <w:rFonts w:ascii="Palatino Linotype" w:hAnsi="Palatino Linotype" w:cs="Arial"/>
        </w:rPr>
      </w:pPr>
      <w:r>
        <w:rPr>
          <w:rFonts w:ascii="Palatino Linotype" w:hAnsi="Palatino Linotype" w:cs="Arial"/>
        </w:rPr>
        <w:t xml:space="preserve">Asimismo la normatividad mandata que las sanciones relativas a </w:t>
      </w:r>
      <w:r w:rsidRPr="00CB35F9">
        <w:rPr>
          <w:rFonts w:ascii="Palatino Linotype" w:hAnsi="Palatino Linotype" w:cs="Arial"/>
          <w:b/>
        </w:rPr>
        <w:t>faltas administrativas no graves</w:t>
      </w:r>
      <w:r>
        <w:rPr>
          <w:rFonts w:ascii="Palatino Linotype" w:hAnsi="Palatino Linotype" w:cs="Arial"/>
        </w:rPr>
        <w:t xml:space="preserve"> se registrarán en la plataforma digital estatal para el caso en el que haya reincidencia, por lo tanto, resulta procedente su entrega, </w:t>
      </w:r>
      <w:r w:rsidRPr="00CB35F9">
        <w:rPr>
          <w:rFonts w:ascii="Palatino Linotype" w:hAnsi="Palatino Linotype" w:cs="Arial"/>
          <w:b/>
        </w:rPr>
        <w:t>únicamente clasificando el nombre del servidor público</w:t>
      </w:r>
      <w:r>
        <w:rPr>
          <w:rFonts w:ascii="Palatino Linotype" w:hAnsi="Palatino Linotype" w:cs="Arial"/>
        </w:rPr>
        <w:t>.</w:t>
      </w:r>
    </w:p>
    <w:p w14:paraId="6963C0AF" w14:textId="77777777" w:rsidR="00D27EDF" w:rsidRDefault="00D27EDF" w:rsidP="00D27EDF">
      <w:pPr>
        <w:spacing w:before="240" w:after="240" w:line="360" w:lineRule="auto"/>
        <w:ind w:right="51"/>
        <w:jc w:val="both"/>
        <w:rPr>
          <w:rFonts w:ascii="Palatino Linotype" w:hAnsi="Palatino Linotype"/>
        </w:rPr>
      </w:pPr>
      <w:r>
        <w:rPr>
          <w:rFonts w:ascii="Palatino Linotype" w:hAnsi="Palatino Linotype"/>
        </w:rPr>
        <w:t xml:space="preserve">En esta tesitura debe precisarse que el artículo 28 de la Ley de Responsabilidades Administrativas del Estado de México y Municipios prevé que dentro de la </w:t>
      </w:r>
      <w:r w:rsidRPr="00DE4FA2">
        <w:rPr>
          <w:rFonts w:ascii="Palatino Linotype" w:hAnsi="Palatino Linotype"/>
          <w:b/>
        </w:rPr>
        <w:t>plataforma digital estatal se inscriban las sanciones de los servidores públicos siempre que se encuentren firmes</w:t>
      </w:r>
      <w:r>
        <w:rPr>
          <w:rFonts w:ascii="Palatino Linotype" w:hAnsi="Palatino Linotype"/>
        </w:rPr>
        <w:t xml:space="preserve">, es decir, que no se encuentren en desahogo de proceso administrativo o impugnación: </w:t>
      </w:r>
    </w:p>
    <w:p w14:paraId="32E3D6B6" w14:textId="77777777" w:rsidR="00D27EDF" w:rsidRPr="00060310" w:rsidRDefault="00D27EDF" w:rsidP="00D27EDF">
      <w:pPr>
        <w:spacing w:before="240" w:after="240"/>
        <w:ind w:left="567" w:right="900"/>
        <w:jc w:val="both"/>
        <w:rPr>
          <w:rFonts w:ascii="Palatino Linotype" w:hAnsi="Palatino Linotype"/>
          <w:b/>
          <w:i/>
          <w:sz w:val="22"/>
          <w:u w:val="single"/>
        </w:rPr>
      </w:pPr>
      <w:r w:rsidRPr="00060310">
        <w:rPr>
          <w:rFonts w:ascii="Palatino Linotype" w:hAnsi="Palatino Linotype"/>
          <w:b/>
          <w:i/>
          <w:sz w:val="22"/>
          <w:u w:val="single"/>
        </w:rPr>
        <w:t xml:space="preserve">Artículo 28. La información prevista </w:t>
      </w:r>
      <w:r w:rsidRPr="00060310">
        <w:rPr>
          <w:rFonts w:ascii="Palatino Linotype" w:hAnsi="Palatino Linotype"/>
          <w:i/>
          <w:sz w:val="22"/>
        </w:rPr>
        <w:t xml:space="preserve">en el sistema de evolución patrimonial, de declaración de intereses y presentación de la constancia de declaración fiscal, </w:t>
      </w:r>
      <w:r w:rsidRPr="00060310">
        <w:rPr>
          <w:rFonts w:ascii="Palatino Linotype" w:hAnsi="Palatino Linotype"/>
          <w:b/>
          <w:i/>
          <w:sz w:val="22"/>
          <w:u w:val="single"/>
        </w:rPr>
        <w:t>se almacenará en la plataforma digital estatal que contendrá la información que para efectos de las funciones de los sistemas Nacional, Estatal y Municipal Anticorrupción, generen los entes públicos facultados para</w:t>
      </w:r>
      <w:r w:rsidRPr="00060310">
        <w:rPr>
          <w:rFonts w:ascii="Palatino Linotype" w:hAnsi="Palatino Linotype"/>
          <w:i/>
          <w:sz w:val="22"/>
        </w:rPr>
        <w:t xml:space="preserve"> la fiscalización y control de recursos públicos y la prevención, </w:t>
      </w:r>
      <w:r w:rsidRPr="00060310">
        <w:rPr>
          <w:rFonts w:ascii="Palatino Linotype" w:hAnsi="Palatino Linotype"/>
          <w:b/>
          <w:i/>
          <w:sz w:val="22"/>
          <w:u w:val="single"/>
        </w:rPr>
        <w:t>control, detección, sanción y disuasión de faltas administrativas y hechos de corrupción, de conformidad con lo establecido en la Ley General del Sistema y la Ley del Sistema.</w:t>
      </w:r>
    </w:p>
    <w:p w14:paraId="69B0D57D" w14:textId="77777777" w:rsidR="00D27EDF" w:rsidRPr="00060310" w:rsidRDefault="00D27EDF" w:rsidP="00D27EDF">
      <w:pPr>
        <w:spacing w:before="240" w:after="240"/>
        <w:ind w:left="567" w:right="900"/>
        <w:jc w:val="both"/>
        <w:rPr>
          <w:rFonts w:ascii="Palatino Linotype" w:hAnsi="Palatino Linotype"/>
          <w:i/>
          <w:sz w:val="22"/>
        </w:rPr>
      </w:pPr>
      <w:r w:rsidRPr="00060310">
        <w:rPr>
          <w:rFonts w:ascii="Palatino Linotype" w:hAnsi="Palatino Linotype"/>
          <w:i/>
          <w:sz w:val="22"/>
        </w:rPr>
        <w:t>[…]</w:t>
      </w:r>
    </w:p>
    <w:p w14:paraId="3FFB004A" w14:textId="77777777" w:rsidR="00D27EDF" w:rsidRPr="00060310" w:rsidRDefault="00D27EDF" w:rsidP="00D27EDF">
      <w:pPr>
        <w:spacing w:before="240" w:after="240"/>
        <w:ind w:left="567" w:right="900"/>
        <w:jc w:val="both"/>
        <w:rPr>
          <w:rFonts w:ascii="Palatino Linotype" w:hAnsi="Palatino Linotype"/>
          <w:i/>
          <w:sz w:val="22"/>
        </w:rPr>
      </w:pPr>
      <w:r w:rsidRPr="00060310">
        <w:rPr>
          <w:rFonts w:ascii="Palatino Linotype" w:hAnsi="Palatino Linotype"/>
          <w:i/>
          <w:sz w:val="22"/>
        </w:rPr>
        <w:t xml:space="preserve">En el sistema estatal de servidores públicos y particulares sancionados de la Plataforma Digital Estatal se inscribirán y se harán públicas, de conformidad con lo dispuesto en la Ley del Sistema y las disposiciones legales en materia de transparencia, las constancias de sanciones o de inhabilitación que se encuentren firmes en contra de los servidores públicos o particulares que hayan sido sancionados por actos vinculados con faltas administrativas graves en términos de esta Ley, así como la anotación de aquellas abstenciones que hayan realizado las autoridades </w:t>
      </w:r>
      <w:r w:rsidRPr="00060310">
        <w:rPr>
          <w:rFonts w:ascii="Palatino Linotype" w:hAnsi="Palatino Linotype"/>
          <w:i/>
          <w:sz w:val="22"/>
        </w:rPr>
        <w:lastRenderedPageBreak/>
        <w:t xml:space="preserve">investigadoras o el Tribunal de Justicia Administrativa, en términos de la presente Ley. </w:t>
      </w:r>
    </w:p>
    <w:p w14:paraId="1B46F598" w14:textId="77777777" w:rsidR="00D27EDF" w:rsidRDefault="00D27EDF" w:rsidP="00D27EDF">
      <w:pPr>
        <w:spacing w:before="240" w:after="240"/>
        <w:ind w:left="567" w:right="900"/>
        <w:jc w:val="both"/>
        <w:rPr>
          <w:rFonts w:ascii="Palatino Linotype" w:hAnsi="Palatino Linotype"/>
          <w:i/>
          <w:sz w:val="22"/>
        </w:rPr>
      </w:pPr>
      <w:r w:rsidRPr="00060310">
        <w:rPr>
          <w:rFonts w:ascii="Palatino Linotype" w:hAnsi="Palatino Linotype"/>
          <w:i/>
          <w:sz w:val="22"/>
        </w:rPr>
        <w:t>Los entes públicos, previo al nombramiento, designación o contratación de quienes pretendan ingresar al servicio público, consultarán los sistemas nacional, estatal y municipal de servidores públicos y particulares sancionados de la plataforma digital nacional y estatal, con el fin de verificar si existen inhabilitaciones de dichas personas, de no existir se expedirá la constancia correspondiente</w:t>
      </w:r>
      <w:r>
        <w:rPr>
          <w:rFonts w:ascii="Palatino Linotype" w:hAnsi="Palatino Linotype"/>
          <w:i/>
          <w:sz w:val="22"/>
        </w:rPr>
        <w:t>.”</w:t>
      </w:r>
    </w:p>
    <w:p w14:paraId="0C48927A" w14:textId="77777777" w:rsidR="00D27EDF" w:rsidRPr="00D84696" w:rsidRDefault="00D27EDF" w:rsidP="00D27EDF">
      <w:pPr>
        <w:spacing w:before="240" w:after="240"/>
        <w:ind w:left="567" w:right="900"/>
        <w:jc w:val="both"/>
        <w:rPr>
          <w:rFonts w:ascii="Palatino Linotype" w:hAnsi="Palatino Linotype"/>
          <w:i/>
          <w:sz w:val="22"/>
        </w:rPr>
      </w:pPr>
      <w:r>
        <w:rPr>
          <w:rFonts w:ascii="Palatino Linotype" w:hAnsi="Palatino Linotype"/>
          <w:i/>
          <w:sz w:val="22"/>
        </w:rPr>
        <w:t>(Énfasis añadido)</w:t>
      </w:r>
    </w:p>
    <w:p w14:paraId="7385BD98" w14:textId="2ED67F65" w:rsidR="009459DB" w:rsidRPr="009459DB" w:rsidRDefault="009459DB" w:rsidP="009459DB">
      <w:pPr>
        <w:spacing w:before="240" w:after="240" w:line="360" w:lineRule="auto"/>
        <w:ind w:right="51"/>
        <w:jc w:val="both"/>
        <w:rPr>
          <w:rFonts w:ascii="Palatino Linotype" w:hAnsi="Palatino Linotype"/>
          <w:lang w:val="es-ES" w:eastAsia="es-ES"/>
        </w:rPr>
      </w:pPr>
      <w:r>
        <w:rPr>
          <w:rFonts w:ascii="Palatino Linotype" w:hAnsi="Palatino Linotype" w:cs="Tahoma"/>
          <w:bCs/>
          <w:lang w:eastAsia="es-ES"/>
        </w:rPr>
        <w:t xml:space="preserve">No pasa desapercibido para este Órgano Garante que para el caso en el que </w:t>
      </w:r>
      <w:r w:rsidRPr="009459DB">
        <w:rPr>
          <w:rFonts w:ascii="Palatino Linotype" w:hAnsi="Palatino Linotype"/>
          <w:b/>
          <w:lang w:val="es-ES" w:eastAsia="es-ES"/>
        </w:rPr>
        <w:t>los expedientes por</w:t>
      </w:r>
      <w:r w:rsidRPr="009459DB">
        <w:rPr>
          <w:rFonts w:ascii="Palatino Linotype" w:hAnsi="Palatino Linotype"/>
          <w:lang w:val="es-ES" w:eastAsia="es-ES"/>
        </w:rPr>
        <w:t xml:space="preserve"> </w:t>
      </w:r>
      <w:r w:rsidRPr="009459DB">
        <w:rPr>
          <w:rFonts w:ascii="Palatino Linotype" w:hAnsi="Palatino Linotype"/>
          <w:b/>
          <w:lang w:val="es-ES" w:eastAsia="es-ES"/>
        </w:rPr>
        <w:t>las faltas administrativas que no hayan causado estado</w:t>
      </w:r>
      <w:r>
        <w:rPr>
          <w:rFonts w:ascii="Palatino Linotype" w:hAnsi="Palatino Linotype"/>
          <w:b/>
          <w:lang w:val="es-ES" w:eastAsia="es-ES"/>
        </w:rPr>
        <w:t xml:space="preserve"> o sean sujetos a sanciones por faltas administrativas no graves</w:t>
      </w:r>
      <w:r>
        <w:rPr>
          <w:rFonts w:ascii="Palatino Linotype" w:hAnsi="Palatino Linotype"/>
          <w:lang w:val="es-ES" w:eastAsia="es-ES"/>
        </w:rPr>
        <w:t xml:space="preserve">, deberá clasificarse </w:t>
      </w:r>
      <w:r w:rsidRPr="009459DB">
        <w:rPr>
          <w:rFonts w:ascii="Palatino Linotype" w:hAnsi="Palatino Linotype"/>
          <w:b/>
          <w:lang w:val="es-ES" w:eastAsia="es-ES"/>
        </w:rPr>
        <w:t xml:space="preserve">el nombre de los servidores </w:t>
      </w:r>
      <w:r>
        <w:rPr>
          <w:rFonts w:ascii="Palatino Linotype" w:hAnsi="Palatino Linotype"/>
          <w:b/>
          <w:lang w:val="es-ES" w:eastAsia="es-ES"/>
        </w:rPr>
        <w:t>públicos como reservado</w:t>
      </w:r>
      <w:r w:rsidRPr="009459DB">
        <w:rPr>
          <w:rFonts w:ascii="Palatino Linotype" w:hAnsi="Palatino Linotype"/>
          <w:lang w:val="es-ES" w:eastAsia="es-ES"/>
        </w:rPr>
        <w:t xml:space="preserve">, esto de conformidad con lo previsto en los artículos 91 y 140, fracciones VI y X de la Ley de Transparencia estatal, mismos que se traen a colación para mejor proveer del estudio: </w:t>
      </w:r>
    </w:p>
    <w:p w14:paraId="6CC76567" w14:textId="77777777" w:rsidR="009459DB" w:rsidRPr="009459DB" w:rsidRDefault="009459DB" w:rsidP="009459DB">
      <w:pPr>
        <w:spacing w:before="240" w:after="240"/>
        <w:ind w:left="567" w:right="900"/>
        <w:jc w:val="both"/>
        <w:rPr>
          <w:rFonts w:ascii="Palatino Linotype" w:hAnsi="Palatino Linotype"/>
          <w:i/>
          <w:sz w:val="22"/>
          <w:szCs w:val="22"/>
          <w:lang w:val="es-ES" w:eastAsia="es-ES"/>
        </w:rPr>
      </w:pPr>
      <w:r w:rsidRPr="009459DB">
        <w:rPr>
          <w:rFonts w:ascii="Palatino Linotype" w:hAnsi="Palatino Linotype"/>
          <w:i/>
          <w:lang w:val="es-ES" w:eastAsia="es-ES"/>
        </w:rPr>
        <w:t>“</w:t>
      </w:r>
      <w:r w:rsidRPr="009459DB">
        <w:rPr>
          <w:rFonts w:ascii="Palatino Linotype" w:hAnsi="Palatino Linotype"/>
          <w:b/>
          <w:i/>
          <w:sz w:val="22"/>
          <w:szCs w:val="22"/>
          <w:u w:val="single"/>
          <w:lang w:val="es-ES" w:eastAsia="es-ES"/>
        </w:rPr>
        <w:t>Artículo 91. El acceso a la información pública será restringido excepcionalmente, cuando ésta sea clasificada como reservada o confidencial.</w:t>
      </w:r>
    </w:p>
    <w:p w14:paraId="388A23EB" w14:textId="77777777" w:rsidR="009459DB" w:rsidRPr="009459DB" w:rsidRDefault="009459DB" w:rsidP="009459DB">
      <w:pPr>
        <w:spacing w:before="240" w:after="240"/>
        <w:ind w:left="567" w:right="900"/>
        <w:jc w:val="both"/>
        <w:rPr>
          <w:rFonts w:ascii="Palatino Linotype" w:hAnsi="Palatino Linotype"/>
          <w:b/>
          <w:i/>
          <w:sz w:val="22"/>
          <w:szCs w:val="22"/>
          <w:lang w:val="es-ES" w:eastAsia="es-ES"/>
        </w:rPr>
      </w:pPr>
      <w:r w:rsidRPr="009459DB">
        <w:rPr>
          <w:rFonts w:ascii="Palatino Linotype" w:hAnsi="Palatino Linotype"/>
          <w:b/>
          <w:i/>
          <w:sz w:val="22"/>
          <w:szCs w:val="22"/>
          <w:lang w:val="es-ES" w:eastAsia="es-ES"/>
        </w:rPr>
        <w:t>Artículo 140. El acceso a la información pública será restringido excepcionalmente, cuando por razones de interés público, ésta sea clasificada como reservada, conforme a los criterios siguientes:</w:t>
      </w:r>
    </w:p>
    <w:p w14:paraId="2690BFD2" w14:textId="77777777" w:rsidR="009459DB" w:rsidRPr="009459DB" w:rsidRDefault="009459DB" w:rsidP="009459DB">
      <w:pPr>
        <w:spacing w:before="240" w:after="240"/>
        <w:ind w:left="567" w:right="900"/>
        <w:jc w:val="both"/>
        <w:rPr>
          <w:rFonts w:ascii="Palatino Linotype" w:hAnsi="Palatino Linotype"/>
          <w:b/>
          <w:i/>
          <w:sz w:val="22"/>
          <w:szCs w:val="22"/>
          <w:lang w:val="es-ES" w:eastAsia="es-ES"/>
        </w:rPr>
      </w:pPr>
      <w:r w:rsidRPr="009459DB">
        <w:rPr>
          <w:rFonts w:ascii="Palatino Linotype" w:hAnsi="Palatino Linotype"/>
          <w:b/>
          <w:i/>
          <w:sz w:val="22"/>
          <w:szCs w:val="22"/>
          <w:lang w:val="es-ES" w:eastAsia="es-ES"/>
        </w:rPr>
        <w:t>[…]</w:t>
      </w:r>
    </w:p>
    <w:p w14:paraId="1A1B9FC7" w14:textId="77777777" w:rsidR="009459DB" w:rsidRPr="009459DB" w:rsidRDefault="009459DB" w:rsidP="009459DB">
      <w:pPr>
        <w:spacing w:before="240" w:after="240"/>
        <w:ind w:left="567" w:right="900"/>
        <w:jc w:val="both"/>
        <w:rPr>
          <w:rFonts w:ascii="Palatino Linotype" w:hAnsi="Palatino Linotype"/>
          <w:i/>
          <w:sz w:val="22"/>
          <w:szCs w:val="22"/>
          <w:lang w:val="es-ES" w:eastAsia="es-ES"/>
        </w:rPr>
      </w:pPr>
      <w:r w:rsidRPr="009459DB">
        <w:rPr>
          <w:rFonts w:ascii="Palatino Linotype" w:hAnsi="Palatino Linotype"/>
          <w:b/>
          <w:i/>
          <w:sz w:val="22"/>
          <w:szCs w:val="22"/>
          <w:u w:val="single"/>
          <w:lang w:val="es-ES" w:eastAsia="es-ES"/>
        </w:rPr>
        <w:t xml:space="preserve">VI.- Pueda causar daño </w:t>
      </w:r>
      <w:r w:rsidRPr="009459DB">
        <w:rPr>
          <w:rFonts w:ascii="Palatino Linotype" w:hAnsi="Palatino Linotype"/>
          <w:i/>
          <w:sz w:val="22"/>
          <w:szCs w:val="22"/>
          <w:lang w:val="es-ES" w:eastAsia="es-ES"/>
        </w:rPr>
        <w:t xml:space="preserve">u obstruya la prevención o persecución de los delitos, altere el proceso de investigación de las carpetas de investigación, </w:t>
      </w:r>
      <w:r w:rsidRPr="009459DB">
        <w:rPr>
          <w:rFonts w:ascii="Palatino Linotype" w:hAnsi="Palatino Linotype"/>
          <w:b/>
          <w:i/>
          <w:sz w:val="22"/>
          <w:szCs w:val="22"/>
          <w:u w:val="single"/>
          <w:lang w:val="es-ES" w:eastAsia="es-ES"/>
        </w:rPr>
        <w:t>afecte o vulnere la conducción o los derechos del debido proceso en los procedimientos judiciales o administrativos, incluidos los de</w:t>
      </w:r>
      <w:r w:rsidRPr="009459DB">
        <w:rPr>
          <w:rFonts w:ascii="Palatino Linotype" w:hAnsi="Palatino Linotype"/>
          <w:i/>
          <w:sz w:val="22"/>
          <w:szCs w:val="22"/>
          <w:lang w:val="es-ES" w:eastAsia="es-ES"/>
        </w:rPr>
        <w:t xml:space="preserve"> quejas, denuncias, inconformidades, </w:t>
      </w:r>
      <w:r w:rsidRPr="009459DB">
        <w:rPr>
          <w:rFonts w:ascii="Palatino Linotype" w:hAnsi="Palatino Linotype"/>
          <w:b/>
          <w:i/>
          <w:sz w:val="22"/>
          <w:szCs w:val="22"/>
          <w:u w:val="single"/>
          <w:lang w:val="es-ES" w:eastAsia="es-ES"/>
        </w:rPr>
        <w:t>responsabilidades administrativas</w:t>
      </w:r>
      <w:r w:rsidRPr="009459DB">
        <w:rPr>
          <w:rFonts w:ascii="Palatino Linotype" w:hAnsi="Palatino Linotype"/>
          <w:i/>
          <w:sz w:val="22"/>
          <w:szCs w:val="22"/>
          <w:lang w:val="es-ES" w:eastAsia="es-ES"/>
        </w:rPr>
        <w:t xml:space="preserve"> y resarcitorias en tanto no hayan quedado firmes o afecte la administración de justicia o la seguridad de un denunciante, querellante o testigo, así como sus familias, en los términos de las disposiciones jurídicas aplicables; </w:t>
      </w:r>
    </w:p>
    <w:p w14:paraId="30CD4985" w14:textId="77777777" w:rsidR="009459DB" w:rsidRPr="009459DB" w:rsidRDefault="009459DB" w:rsidP="009459DB">
      <w:pPr>
        <w:spacing w:before="240" w:after="240"/>
        <w:ind w:left="567" w:right="900"/>
        <w:jc w:val="both"/>
        <w:rPr>
          <w:rFonts w:ascii="Palatino Linotype" w:hAnsi="Palatino Linotype"/>
          <w:i/>
          <w:sz w:val="22"/>
          <w:szCs w:val="22"/>
          <w:lang w:val="es-ES" w:eastAsia="en-US"/>
        </w:rPr>
      </w:pPr>
      <w:r w:rsidRPr="009459DB">
        <w:rPr>
          <w:rFonts w:ascii="Palatino Linotype" w:hAnsi="Palatino Linotype"/>
          <w:b/>
          <w:i/>
          <w:sz w:val="22"/>
          <w:szCs w:val="22"/>
          <w:u w:val="single"/>
          <w:lang w:val="es-ES" w:eastAsia="en-US"/>
        </w:rPr>
        <w:lastRenderedPageBreak/>
        <w:t>X. El daño que pueda producirse con la publicación de la información sea mayor que el interés público de conocer la información de referencia, siempre que esté directamente relacionado con procesos o procedimientos administrativos</w:t>
      </w:r>
      <w:r w:rsidRPr="009459DB">
        <w:rPr>
          <w:rFonts w:ascii="Palatino Linotype" w:hAnsi="Palatino Linotype"/>
          <w:i/>
          <w:sz w:val="22"/>
          <w:szCs w:val="22"/>
          <w:lang w:val="es-ES" w:eastAsia="en-US"/>
        </w:rPr>
        <w:t xml:space="preserve"> o judiciales que no hayan quedado firmes;”</w:t>
      </w:r>
    </w:p>
    <w:p w14:paraId="4E8A3DF2" w14:textId="77777777" w:rsidR="009459DB" w:rsidRPr="009459DB" w:rsidRDefault="009459DB" w:rsidP="009459DB">
      <w:pPr>
        <w:spacing w:before="240" w:after="240"/>
        <w:ind w:left="567" w:right="900"/>
        <w:jc w:val="both"/>
        <w:rPr>
          <w:rFonts w:ascii="Palatino Linotype" w:hAnsi="Palatino Linotype"/>
          <w:i/>
          <w:sz w:val="22"/>
          <w:szCs w:val="22"/>
          <w:lang w:val="es-ES" w:eastAsia="en-US"/>
        </w:rPr>
      </w:pPr>
      <w:r w:rsidRPr="009459DB">
        <w:rPr>
          <w:rFonts w:ascii="Palatino Linotype" w:hAnsi="Palatino Linotype"/>
          <w:i/>
          <w:sz w:val="22"/>
          <w:szCs w:val="22"/>
          <w:lang w:val="es-ES" w:eastAsia="en-US"/>
        </w:rPr>
        <w:t>(Énfasis añadido)</w:t>
      </w:r>
    </w:p>
    <w:p w14:paraId="28774375" w14:textId="77777777" w:rsidR="009459DB" w:rsidRPr="009459DB" w:rsidRDefault="009459DB" w:rsidP="009459DB">
      <w:pPr>
        <w:spacing w:before="240" w:after="240" w:line="360" w:lineRule="auto"/>
        <w:ind w:right="49"/>
        <w:jc w:val="both"/>
        <w:rPr>
          <w:rFonts w:ascii="Palatino Linotype" w:hAnsi="Palatino Linotype" w:cs="Arial"/>
          <w:lang w:val="es-ES" w:eastAsia="es-ES"/>
        </w:rPr>
      </w:pPr>
      <w:r w:rsidRPr="009459DB">
        <w:rPr>
          <w:rFonts w:ascii="Palatino Linotype" w:hAnsi="Palatino Linotype" w:cs="Arial"/>
          <w:lang w:val="es-ES" w:eastAsia="es-ES"/>
        </w:rPr>
        <w:t xml:space="preserve">Para la fundamentación y motivación del Acuerdo de respectivo se debe observar estrictamente lo dispuesto por el máximo tribunal del país, respecto a lo que debe entenderse por fundamentación y motivación: </w:t>
      </w:r>
    </w:p>
    <w:p w14:paraId="0263B17B" w14:textId="77777777" w:rsidR="009459DB" w:rsidRPr="009459DB" w:rsidRDefault="009459DB" w:rsidP="009459DB">
      <w:pPr>
        <w:ind w:left="851" w:right="851"/>
        <w:jc w:val="both"/>
        <w:rPr>
          <w:rFonts w:ascii="Palatino Linotype" w:hAnsi="Palatino Linotype" w:cs="Arial"/>
          <w:i/>
          <w:sz w:val="22"/>
          <w:szCs w:val="22"/>
          <w:lang w:val="es-ES" w:eastAsia="es-ES"/>
        </w:rPr>
      </w:pPr>
      <w:r w:rsidRPr="009459DB">
        <w:rPr>
          <w:rFonts w:ascii="Palatino Linotype" w:hAnsi="Palatino Linotype" w:cs="Arial"/>
          <w:b/>
          <w:bCs/>
          <w:i/>
          <w:sz w:val="22"/>
          <w:szCs w:val="22"/>
          <w:lang w:val="es-ES" w:eastAsia="es-ES"/>
        </w:rPr>
        <w:t>“FUNDAMENTACIÓN Y MOTIVACIÓN DE LOS ACTOS ADMINISTRATIVOS</w:t>
      </w:r>
      <w:r w:rsidRPr="009459DB">
        <w:rPr>
          <w:rFonts w:ascii="Palatino Linotype" w:hAnsi="Palatino Linotype" w:cs="Arial"/>
          <w:i/>
          <w:sz w:val="22"/>
          <w:szCs w:val="22"/>
          <w:lang w:val="es-ES" w:eastAsia="es-ES"/>
        </w:rPr>
        <w:t xml:space="preserve">. De acuerdo con  el artículo 16 constitucional, </w:t>
      </w:r>
      <w:r w:rsidRPr="009459DB">
        <w:rPr>
          <w:rFonts w:ascii="Palatino Linotype" w:hAnsi="Palatino Linotype" w:cs="Arial"/>
          <w:b/>
          <w:i/>
          <w:sz w:val="22"/>
          <w:szCs w:val="22"/>
          <w:u w:val="single"/>
          <w:lang w:val="es-ES" w:eastAsia="es-ES"/>
        </w:rPr>
        <w:t>todo acto de autoridad debe estar suficientemente fundado y motivado, entendiéndose por lo primero que han de expresarse con precisión el precepto legal aplicable al caso y por lo segundo, que también deben señalarse con precisión, las circunstancias especiales, razones particulares o causas inmediatas que se hayan tenido en consideración para la emisión del acto, siendo necesario además, que exista adecuación entre los motivos aducidos y las normas aplicables, es decir, que en el caso concreto se configure la hipótesis normativa</w:t>
      </w:r>
      <w:r w:rsidRPr="009459DB">
        <w:rPr>
          <w:rFonts w:ascii="Palatino Linotype" w:hAnsi="Palatino Linotype" w:cs="Arial"/>
          <w:i/>
          <w:sz w:val="22"/>
          <w:szCs w:val="22"/>
          <w:lang w:val="es-ES" w:eastAsia="es-ES"/>
        </w:rPr>
        <w:t>. Esto es, que cuando el precepto en comento previene que nadie puede ser molestado en su persona, propiedades o derechos sino en virtud de mandamiento escrito de autoridad competente que funde y motive la causa legal del procedimiento, está exigiendo a todas las autoridades que apeguen sus actos a la ley, expresando de que ley se trata y los preceptos de ella que sirvan de apoyo al mandamiento relativo. En materia administrativa, específicamente, para poder considerar un acto autoritario como correctamente fundado, es necesario que en él se citen: a).- Los cuerpos legales y preceptos que se estén aplicando al caso concreto, es decir, los supuestos normativos en que se encuadra la conducta del gobernado para que esté obligado al pago, que serán señalados con toda exactitud, precisándose los incisos, subincisos, fracciones y preceptos aplicable, y b).- Los cuerpos legales y preceptos que otorgan competencia o facultades a las autoridades para emitir el acto en agravio del gobernado.”</w:t>
      </w:r>
    </w:p>
    <w:p w14:paraId="459C6438" w14:textId="77777777" w:rsidR="009459DB" w:rsidRPr="009459DB" w:rsidRDefault="009459DB" w:rsidP="009459DB">
      <w:pPr>
        <w:contextualSpacing/>
        <w:jc w:val="both"/>
        <w:rPr>
          <w:rFonts w:ascii="Palatino Linotype" w:eastAsia="Calibri" w:hAnsi="Palatino Linotype"/>
          <w:sz w:val="16"/>
          <w:szCs w:val="16"/>
          <w:lang w:eastAsia="en-US"/>
        </w:rPr>
      </w:pPr>
    </w:p>
    <w:p w14:paraId="73B0883C" w14:textId="4CBA28F6" w:rsidR="005D5BC7" w:rsidRDefault="009459DB" w:rsidP="005D5BC7">
      <w:pPr>
        <w:tabs>
          <w:tab w:val="left" w:pos="8222"/>
        </w:tabs>
        <w:spacing w:before="240" w:after="240" w:line="360" w:lineRule="auto"/>
        <w:jc w:val="both"/>
        <w:rPr>
          <w:rFonts w:ascii="Palatino Linotype" w:hAnsi="Palatino Linotype" w:cs="Tahoma"/>
          <w:bCs/>
          <w:lang w:eastAsia="es-ES"/>
        </w:rPr>
      </w:pPr>
      <w:r w:rsidRPr="00C621B1">
        <w:rPr>
          <w:rFonts w:ascii="Palatino Linotype" w:hAnsi="Palatino Linotype" w:cs="Tahoma"/>
          <w:bCs/>
          <w:lang w:eastAsia="es-ES"/>
        </w:rPr>
        <w:t xml:space="preserve">De lo anterior resulta dable ordenar al Sujeto Obligado el Acuerdo del Comité de Transparencia, donde clasifique de manera fundada y motivada </w:t>
      </w:r>
      <w:r w:rsidRPr="00C621B1">
        <w:rPr>
          <w:rFonts w:ascii="Palatino Linotype" w:eastAsia="Calibri" w:hAnsi="Palatino Linotype" w:cs="Tahoma"/>
          <w:iCs/>
          <w:lang w:eastAsia="es-ES_tradnl"/>
        </w:rPr>
        <w:t xml:space="preserve">los documentos </w:t>
      </w:r>
      <w:r w:rsidRPr="00C621B1">
        <w:rPr>
          <w:rFonts w:ascii="Palatino Linotype" w:eastAsia="Calibri" w:hAnsi="Palatino Linotype" w:cs="Tahoma"/>
          <w:iCs/>
          <w:lang w:eastAsia="es-ES_tradnl"/>
        </w:rPr>
        <w:lastRenderedPageBreak/>
        <w:t xml:space="preserve">donde se consten </w:t>
      </w:r>
      <w:r>
        <w:rPr>
          <w:rFonts w:ascii="Palatino Linotype" w:eastAsia="Calibri" w:hAnsi="Palatino Linotype" w:cs="Tahoma"/>
          <w:bCs/>
          <w:lang w:eastAsia="en-US"/>
        </w:rPr>
        <w:t xml:space="preserve"> los procedimientos, sanciones </w:t>
      </w:r>
      <w:r w:rsidRPr="00C621B1">
        <w:rPr>
          <w:rFonts w:ascii="Palatino Linotype" w:eastAsia="Calibri" w:hAnsi="Palatino Linotype" w:cs="Tahoma"/>
          <w:bCs/>
          <w:lang w:eastAsia="en-US"/>
        </w:rPr>
        <w:t>y/o q</w:t>
      </w:r>
      <w:r>
        <w:rPr>
          <w:rFonts w:ascii="Palatino Linotype" w:eastAsia="Calibri" w:hAnsi="Palatino Linotype" w:cs="Tahoma"/>
          <w:bCs/>
          <w:lang w:eastAsia="en-US"/>
        </w:rPr>
        <w:t>uejas en contra de los elementos policiacos municipales</w:t>
      </w:r>
      <w:r w:rsidRPr="00C621B1">
        <w:rPr>
          <w:rFonts w:ascii="Palatino Linotype" w:eastAsia="Calibri" w:hAnsi="Palatino Linotype" w:cs="Tahoma"/>
          <w:bCs/>
          <w:lang w:eastAsia="en-US"/>
        </w:rPr>
        <w:t xml:space="preserve"> a que se encuentren en trámite</w:t>
      </w:r>
      <w:r>
        <w:rPr>
          <w:rFonts w:ascii="Palatino Linotype" w:eastAsia="Calibri" w:hAnsi="Palatino Linotype" w:cs="Tahoma"/>
          <w:bCs/>
          <w:lang w:eastAsia="en-US"/>
        </w:rPr>
        <w:t>, esto</w:t>
      </w:r>
      <w:r w:rsidRPr="00C621B1">
        <w:rPr>
          <w:rFonts w:ascii="Palatino Linotype" w:eastAsia="Calibri" w:hAnsi="Palatino Linotype" w:cs="Tahoma"/>
          <w:bCs/>
          <w:lang w:eastAsia="en-US"/>
        </w:rPr>
        <w:t xml:space="preserve"> </w:t>
      </w:r>
      <w:r w:rsidRPr="00C621B1">
        <w:rPr>
          <w:rFonts w:ascii="Palatino Linotype" w:hAnsi="Palatino Linotype" w:cs="Tahoma"/>
          <w:bCs/>
          <w:lang w:eastAsia="es-ES"/>
        </w:rPr>
        <w:t>en términos de los artículos 49, fracciones II y VIII, 140, fracción VI y 141 de la Ley de Transparencia y Acceso a la Información Pública del Estado de México y Municipios.</w:t>
      </w:r>
    </w:p>
    <w:p w14:paraId="0508AF9D" w14:textId="7F26B5EF" w:rsidR="00884C08" w:rsidRPr="00884C08" w:rsidRDefault="00884C08" w:rsidP="005D5BC7">
      <w:pPr>
        <w:tabs>
          <w:tab w:val="left" w:pos="8222"/>
        </w:tabs>
        <w:spacing w:before="240" w:after="240" w:line="360" w:lineRule="auto"/>
        <w:jc w:val="both"/>
        <w:rPr>
          <w:rFonts w:ascii="Palatino Linotype" w:hAnsi="Palatino Linotype" w:cs="Tahoma"/>
          <w:bCs/>
          <w:lang w:eastAsia="es-ES"/>
        </w:rPr>
      </w:pPr>
      <w:r>
        <w:rPr>
          <w:rFonts w:ascii="Palatino Linotype" w:hAnsi="Palatino Linotype" w:cs="Tahoma"/>
          <w:bCs/>
          <w:lang w:eastAsia="es-ES"/>
        </w:rPr>
        <w:t xml:space="preserve">No obstante en aras de proteger el principio de máxima publicidad que conforma el derecho de acceso a la información pública, deberá entregarse el listado con número y rango de los elementos </w:t>
      </w:r>
      <w:r w:rsidRPr="00884C08">
        <w:rPr>
          <w:rFonts w:ascii="Palatino Linotype" w:hAnsi="Palatino Linotype" w:cs="Tahoma"/>
          <w:bCs/>
          <w:lang w:eastAsia="es-ES"/>
        </w:rPr>
        <w:t xml:space="preserve">policiacos </w:t>
      </w:r>
      <w:r w:rsidRPr="00884C08">
        <w:rPr>
          <w:rFonts w:ascii="Palatino Linotype" w:hAnsi="Palatino Linotype" w:cs="Arial"/>
        </w:rPr>
        <w:t>municipales que hayan sido objeto de procedimientos, quejas o sanciones</w:t>
      </w:r>
      <w:r>
        <w:rPr>
          <w:rFonts w:ascii="Palatino Linotype" w:hAnsi="Palatino Linotype" w:cs="Arial"/>
        </w:rPr>
        <w:t>.</w:t>
      </w:r>
    </w:p>
    <w:p w14:paraId="58C83F9D" w14:textId="4D31A1E9" w:rsidR="00AC31F1" w:rsidRDefault="00D27EDF" w:rsidP="00C621B1">
      <w:pPr>
        <w:spacing w:before="240" w:after="240" w:line="360" w:lineRule="auto"/>
        <w:jc w:val="both"/>
        <w:rPr>
          <w:rFonts w:ascii="Palatino Linotype" w:hAnsi="Palatino Linotype"/>
          <w:b/>
        </w:rPr>
      </w:pPr>
      <w:r>
        <w:rPr>
          <w:rFonts w:ascii="Palatino Linotype" w:hAnsi="Palatino Linotype"/>
          <w:b/>
        </w:rPr>
        <w:t>5</w:t>
      </w:r>
      <w:r w:rsidR="00AC31F1" w:rsidRPr="00AC31F1">
        <w:rPr>
          <w:rFonts w:ascii="Palatino Linotype" w:hAnsi="Palatino Linotype"/>
          <w:b/>
        </w:rPr>
        <w:t>.- Del periodo de entrega de la información</w:t>
      </w:r>
    </w:p>
    <w:p w14:paraId="07BEA97A" w14:textId="3E1CD8A8" w:rsidR="00AC31F1" w:rsidRDefault="005D5BC7" w:rsidP="00C621B1">
      <w:pPr>
        <w:spacing w:before="240" w:after="240" w:line="360" w:lineRule="auto"/>
        <w:jc w:val="both"/>
        <w:rPr>
          <w:rFonts w:ascii="Palatino Linotype" w:hAnsi="Palatino Linotype" w:cs="Arial"/>
          <w:lang w:eastAsia="es-ES"/>
        </w:rPr>
      </w:pPr>
      <w:r>
        <w:rPr>
          <w:rFonts w:ascii="Palatino Linotype" w:hAnsi="Palatino Linotype" w:cs="Arial"/>
          <w:lang w:eastAsia="es-ES"/>
        </w:rPr>
        <w:t xml:space="preserve">No escapa de la óptica de este Instituto </w:t>
      </w:r>
      <w:r w:rsidR="001F217C">
        <w:rPr>
          <w:rFonts w:ascii="Palatino Linotype" w:hAnsi="Palatino Linotype" w:cs="Arial"/>
          <w:lang w:eastAsia="es-ES"/>
        </w:rPr>
        <w:t xml:space="preserve">que la parte Recurrente fue omisa en señalar la temporalidad de la que requiere la información, por lo que en aras de salvaguardar el derecho de acceso a la información que la constitución y legislación aplicable en la materia le reconocen, conviene traer a colación el siguiente criterio orientador emitido por el Instituto Nacional de Transparencia, Acceso a la Información y Protección de Datos Personales: </w:t>
      </w:r>
    </w:p>
    <w:p w14:paraId="7F3E8E88" w14:textId="2EC7976F" w:rsidR="001F217C" w:rsidRPr="001F217C" w:rsidRDefault="00F84068" w:rsidP="001F217C">
      <w:pPr>
        <w:spacing w:before="240" w:after="240"/>
        <w:ind w:left="567" w:right="900"/>
        <w:jc w:val="both"/>
        <w:rPr>
          <w:rFonts w:ascii="Palatino Linotype" w:hAnsi="Palatino Linotype" w:cs="Arial"/>
          <w:i/>
          <w:sz w:val="22"/>
          <w:lang w:eastAsia="es-ES"/>
        </w:rPr>
      </w:pPr>
      <w:r>
        <w:rPr>
          <w:rFonts w:ascii="Palatino Linotype" w:hAnsi="Palatino Linotype" w:cs="Arial"/>
          <w:b/>
          <w:i/>
          <w:sz w:val="22"/>
          <w:lang w:eastAsia="es-ES"/>
        </w:rPr>
        <w:t>“</w:t>
      </w:r>
      <w:r w:rsidR="001F217C" w:rsidRPr="001F217C">
        <w:rPr>
          <w:rFonts w:ascii="Palatino Linotype" w:hAnsi="Palatino Linotype" w:cs="Arial"/>
          <w:b/>
          <w:i/>
          <w:sz w:val="22"/>
          <w:lang w:eastAsia="es-ES"/>
        </w:rPr>
        <w:t xml:space="preserve">Periodo de búsqueda de la información. </w:t>
      </w:r>
      <w:r w:rsidR="001F217C" w:rsidRPr="001F217C">
        <w:rPr>
          <w:rFonts w:ascii="Palatino Linotype" w:hAnsi="Palatino Linotype" w:cs="Arial"/>
          <w:i/>
          <w:sz w:val="22"/>
          <w:lang w:eastAsia="es-ES"/>
        </w:rPr>
        <w:t>En el supuesto de que el particular no haya señalado el periodo respecto del cual requiere la información, o bien, de la solicitud presentada no se adviertan elementos que permitan identificarlo, deberá considerarse, para efectos de la búsqueda de la información, que el requerimiento se refiere al año inmediato anterior, contado a partir de la fecha en que se presentó la solicitud.</w:t>
      </w:r>
    </w:p>
    <w:p w14:paraId="0A0668E1" w14:textId="04218147" w:rsidR="001F217C" w:rsidRDefault="001F217C" w:rsidP="001F217C">
      <w:pPr>
        <w:spacing w:before="240" w:after="240"/>
        <w:ind w:left="567"/>
        <w:jc w:val="both"/>
        <w:rPr>
          <w:rFonts w:ascii="Palatino Linotype" w:hAnsi="Palatino Linotype" w:cs="Arial"/>
          <w:b/>
          <w:i/>
          <w:sz w:val="22"/>
          <w:lang w:eastAsia="es-ES"/>
        </w:rPr>
      </w:pPr>
      <w:r w:rsidRPr="001F217C">
        <w:rPr>
          <w:rFonts w:ascii="Palatino Linotype" w:hAnsi="Palatino Linotype" w:cs="Arial"/>
          <w:b/>
          <w:i/>
          <w:sz w:val="22"/>
          <w:lang w:eastAsia="es-ES"/>
        </w:rPr>
        <w:t>Segunda Época                                                                                 Criterio 03/19</w:t>
      </w:r>
      <w:r w:rsidR="00F84068">
        <w:rPr>
          <w:rFonts w:ascii="Palatino Linotype" w:hAnsi="Palatino Linotype" w:cs="Arial"/>
          <w:b/>
          <w:i/>
          <w:sz w:val="22"/>
          <w:lang w:eastAsia="es-ES"/>
        </w:rPr>
        <w:t>”</w:t>
      </w:r>
    </w:p>
    <w:p w14:paraId="146930C0" w14:textId="09D833B1" w:rsidR="00F84068" w:rsidRPr="00F84068" w:rsidRDefault="00F84068" w:rsidP="001F217C">
      <w:pPr>
        <w:spacing w:before="240" w:after="240"/>
        <w:ind w:left="567"/>
        <w:jc w:val="both"/>
        <w:rPr>
          <w:rFonts w:ascii="Palatino Linotype" w:hAnsi="Palatino Linotype" w:cs="Arial"/>
          <w:i/>
          <w:sz w:val="22"/>
          <w:lang w:eastAsia="es-ES"/>
        </w:rPr>
      </w:pPr>
      <w:r w:rsidRPr="00F84068">
        <w:rPr>
          <w:rFonts w:ascii="Palatino Linotype" w:hAnsi="Palatino Linotype" w:cs="Arial"/>
          <w:i/>
          <w:sz w:val="22"/>
          <w:lang w:eastAsia="es-ES"/>
        </w:rPr>
        <w:t>(Énfasis añadido)</w:t>
      </w:r>
    </w:p>
    <w:p w14:paraId="79BBE606" w14:textId="2F9AEBBA" w:rsidR="001F217C" w:rsidRPr="001F217C" w:rsidRDefault="00F84068" w:rsidP="00C621B1">
      <w:pPr>
        <w:spacing w:before="240" w:after="240" w:line="360" w:lineRule="auto"/>
        <w:jc w:val="both"/>
        <w:rPr>
          <w:rFonts w:ascii="Palatino Linotype" w:hAnsi="Palatino Linotype" w:cs="Arial"/>
          <w:lang w:eastAsia="es-ES"/>
        </w:rPr>
      </w:pPr>
      <w:r>
        <w:rPr>
          <w:rFonts w:ascii="Palatino Linotype" w:hAnsi="Palatino Linotype" w:cs="Arial"/>
          <w:lang w:eastAsia="es-ES"/>
        </w:rPr>
        <w:lastRenderedPageBreak/>
        <w:t>De tal suerte que los soportes documentales a entregarse deberán comprender del cuatro de marzo de dos mil veinte al cuatro de marzo de dos mil veintiuno.</w:t>
      </w:r>
    </w:p>
    <w:p w14:paraId="52B20856" w14:textId="7071AEB5" w:rsidR="00D016BB" w:rsidRDefault="00D27EDF" w:rsidP="00D016BB">
      <w:pPr>
        <w:spacing w:before="240" w:after="240" w:line="360" w:lineRule="auto"/>
        <w:ind w:right="49"/>
        <w:jc w:val="both"/>
        <w:rPr>
          <w:rFonts w:ascii="Palatino Linotype" w:hAnsi="Palatino Linotype" w:cs="Arial"/>
          <w:b/>
        </w:rPr>
      </w:pPr>
      <w:r>
        <w:rPr>
          <w:rFonts w:ascii="Palatino Linotype" w:hAnsi="Palatino Linotype" w:cs="Arial"/>
          <w:b/>
        </w:rPr>
        <w:t>6</w:t>
      </w:r>
      <w:r w:rsidR="00D016BB" w:rsidRPr="00B136F9">
        <w:rPr>
          <w:rFonts w:ascii="Palatino Linotype" w:hAnsi="Palatino Linotype" w:cs="Arial"/>
          <w:b/>
        </w:rPr>
        <w:t>.- De la prueba de daño</w:t>
      </w:r>
    </w:p>
    <w:p w14:paraId="6DD7C373" w14:textId="3148F7BA" w:rsidR="002130A4" w:rsidRPr="00B22751" w:rsidRDefault="002130A4" w:rsidP="002130A4">
      <w:pPr>
        <w:spacing w:line="360" w:lineRule="auto"/>
        <w:jc w:val="both"/>
        <w:rPr>
          <w:rFonts w:ascii="Palatino Linotype" w:hAnsi="Palatino Linotype"/>
          <w:noProof/>
          <w:szCs w:val="22"/>
        </w:rPr>
      </w:pPr>
      <w:r>
        <w:rPr>
          <w:rFonts w:ascii="Palatino Linotype" w:hAnsi="Palatino Linotype"/>
          <w:noProof/>
          <w:szCs w:val="22"/>
        </w:rPr>
        <w:t xml:space="preserve">Para iniciar este apartado, conviene resaltar que los </w:t>
      </w:r>
      <w:r w:rsidRPr="002130A4">
        <w:rPr>
          <w:rFonts w:ascii="Palatino Linotype" w:hAnsi="Palatino Linotype"/>
          <w:noProof/>
          <w:szCs w:val="22"/>
        </w:rPr>
        <w:t xml:space="preserve">artículos 125, 128 y 129 de la </w:t>
      </w:r>
      <w:r w:rsidRPr="002130A4">
        <w:rPr>
          <w:rFonts w:ascii="Palatino Linotype" w:hAnsi="Palatino Linotype" w:cs="Tahoma"/>
          <w:noProof/>
          <w:szCs w:val="22"/>
        </w:rPr>
        <w:t>Ley de Transparencia y Acceso a la Información Pública del Estado de México y Municipios</w:t>
      </w:r>
      <w:r w:rsidRPr="002130A4">
        <w:rPr>
          <w:rFonts w:ascii="Palatino Linotype" w:hAnsi="Palatino Linotype"/>
          <w:noProof/>
          <w:szCs w:val="22"/>
        </w:rPr>
        <w:t xml:space="preserve">, </w:t>
      </w:r>
      <w:r>
        <w:rPr>
          <w:rFonts w:ascii="Palatino Linotype" w:hAnsi="Palatino Linotype"/>
          <w:noProof/>
          <w:szCs w:val="22"/>
        </w:rPr>
        <w:t xml:space="preserve">así como </w:t>
      </w:r>
      <w:r w:rsidRPr="002130A4">
        <w:rPr>
          <w:rFonts w:ascii="Palatino Linotype" w:hAnsi="Palatino Linotype"/>
          <w:noProof/>
          <w:szCs w:val="22"/>
        </w:rPr>
        <w:t>lo señalado en la Tesis Aislada número I.10o.A.79 A (10a.), (Gaceta del Semanario Judicial de la Federación, Libro 60, Noviembre de 2018, Tomo</w:t>
      </w:r>
      <w:r>
        <w:rPr>
          <w:rFonts w:ascii="Palatino Linotype" w:hAnsi="Palatino Linotype"/>
          <w:noProof/>
          <w:szCs w:val="22"/>
        </w:rPr>
        <w:t xml:space="preserve"> III, pag. 2318) la cual se inserta</w:t>
      </w:r>
      <w:r w:rsidRPr="002130A4">
        <w:rPr>
          <w:rFonts w:ascii="Palatino Linotype" w:hAnsi="Palatino Linotype"/>
          <w:noProof/>
          <w:szCs w:val="22"/>
        </w:rPr>
        <w:t xml:space="preserve"> a continuación</w:t>
      </w:r>
      <w:r>
        <w:rPr>
          <w:rFonts w:ascii="Palatino Linotype" w:hAnsi="Palatino Linotype"/>
          <w:noProof/>
          <w:szCs w:val="22"/>
        </w:rPr>
        <w:t xml:space="preserve"> para mejor proveer del presente asunto</w:t>
      </w:r>
      <w:r w:rsidR="00B22751">
        <w:rPr>
          <w:rFonts w:ascii="Palatino Linotype" w:hAnsi="Palatino Linotype"/>
          <w:noProof/>
          <w:szCs w:val="22"/>
        </w:rPr>
        <w:t>:</w:t>
      </w:r>
    </w:p>
    <w:p w14:paraId="09720426" w14:textId="162AEEA1" w:rsidR="002130A4" w:rsidRPr="002130A4" w:rsidRDefault="002130A4" w:rsidP="002130A4">
      <w:pPr>
        <w:ind w:left="567" w:right="618"/>
        <w:jc w:val="both"/>
        <w:rPr>
          <w:rFonts w:ascii="Palatino Linotype" w:hAnsi="Palatino Linotype"/>
          <w:b/>
          <w:bCs/>
          <w:i/>
          <w:iCs/>
          <w:noProof/>
          <w:sz w:val="22"/>
          <w:szCs w:val="22"/>
        </w:rPr>
      </w:pPr>
      <w:r w:rsidRPr="002130A4">
        <w:rPr>
          <w:rFonts w:ascii="Palatino Linotype" w:hAnsi="Palatino Linotype"/>
          <w:b/>
          <w:bCs/>
          <w:i/>
          <w:iCs/>
          <w:noProof/>
          <w:sz w:val="22"/>
          <w:szCs w:val="22"/>
        </w:rPr>
        <w:t>“PRUEBA DE DAÑO EN LA CLASIFICACIÓN DE LA INFORMACIÓN PÚBLICA. SU VALIDEZ NO DEPENDE DE LOS MEDIOS DE PRUEBA QUE EL SUJETO OBLIGADO APORTE.</w:t>
      </w:r>
    </w:p>
    <w:p w14:paraId="7615D289" w14:textId="77777777" w:rsidR="002130A4" w:rsidRPr="002130A4" w:rsidRDefault="002130A4" w:rsidP="002130A4">
      <w:pPr>
        <w:ind w:left="567" w:right="618"/>
        <w:jc w:val="both"/>
        <w:rPr>
          <w:rFonts w:ascii="Palatino Linotype" w:hAnsi="Palatino Linotype"/>
          <w:i/>
          <w:iCs/>
          <w:noProof/>
          <w:sz w:val="22"/>
          <w:szCs w:val="22"/>
        </w:rPr>
      </w:pPr>
    </w:p>
    <w:p w14:paraId="3E3ABC78" w14:textId="68CAE7EE" w:rsidR="002130A4" w:rsidRDefault="002130A4" w:rsidP="002130A4">
      <w:pPr>
        <w:ind w:left="567" w:right="618"/>
        <w:jc w:val="both"/>
        <w:rPr>
          <w:rFonts w:ascii="Palatino Linotype" w:hAnsi="Palatino Linotype"/>
          <w:b/>
          <w:bCs/>
          <w:i/>
          <w:iCs/>
          <w:noProof/>
          <w:sz w:val="22"/>
          <w:szCs w:val="22"/>
          <w:u w:val="single"/>
        </w:rPr>
      </w:pPr>
      <w:r w:rsidRPr="002130A4">
        <w:rPr>
          <w:rFonts w:ascii="Palatino Linotype" w:hAnsi="Palatino Linotype"/>
          <w:i/>
          <w:iCs/>
          <w:noProof/>
          <w:sz w:val="22"/>
          <w:szCs w:val="22"/>
        </w:rPr>
        <w:t>De acuerdo con el artículo 104 de la Ley General de Transparencia y Acceso a la Información Pública, y con los lineamientos segundo, fracción XIII y trigésimo tercero, de los Lineamientos generales en materia de clasificación y desclasificación de la información, así como para la elaboración de versiones públicas, aprobados por el Consejo Nacional del Sistema Nacional de Transparencia, Acceso a la Información Pública y Protección de Datos Personales y publicados en el Diario Oficial de la Federación el 15 de abril de 2016, la prueba de daño es la argumentación fundada y motivada que deben realizar los sujetos obligados para acreditar que la divulgación de la información lesiona un interés jurídicamente protegido y que el daño que puede producir es mayor que el interés de conocer ésta. Para tal efecto, disponen que en la clasificación de la información pública (como reservada o confidencial), debe justificarse que su divulgación representa un riesgo real, demostrable e identificable de perjuicio significativo al interés público o a la seguridad nacional; que ese riesgo supera el interés público general de que se difunda; y, que la limitación se adecua al principio de proporcionalidad y representa el medio menos restrictivo disponible para evitar el perjuicio. Así, la prueba de daño establece líneas argumentativas mínimas que deben cursarse, a fin de constatar que la publicidad de la información solicitada no ocasionaría un daño a un interés jurídicamente protegido, ya sea de índole estatal o particular. Por tanto, al tratarse de un aspecto constreñido al ámbito argumentativo</w:t>
      </w:r>
      <w:r w:rsidRPr="002130A4">
        <w:rPr>
          <w:rFonts w:ascii="Palatino Linotype" w:hAnsi="Palatino Linotype"/>
          <w:b/>
          <w:bCs/>
          <w:i/>
          <w:iCs/>
          <w:noProof/>
          <w:sz w:val="22"/>
          <w:szCs w:val="22"/>
          <w:u w:val="single"/>
        </w:rPr>
        <w:t xml:space="preserve">, la validez de la prueba de daño no depende de los medios de prueba que el sujeto obligado </w:t>
      </w:r>
      <w:r w:rsidRPr="002130A4">
        <w:rPr>
          <w:rFonts w:ascii="Palatino Linotype" w:hAnsi="Palatino Linotype"/>
          <w:b/>
          <w:bCs/>
          <w:i/>
          <w:iCs/>
          <w:noProof/>
          <w:sz w:val="22"/>
          <w:szCs w:val="22"/>
          <w:u w:val="single"/>
        </w:rPr>
        <w:lastRenderedPageBreak/>
        <w:t>aporte, sino de la solidez del juicio de ponderación que se efectúe en los términos señalados.</w:t>
      </w:r>
      <w:r>
        <w:rPr>
          <w:rFonts w:ascii="Palatino Linotype" w:hAnsi="Palatino Linotype"/>
          <w:b/>
          <w:bCs/>
          <w:i/>
          <w:iCs/>
          <w:noProof/>
          <w:sz w:val="22"/>
          <w:szCs w:val="22"/>
          <w:u w:val="single"/>
        </w:rPr>
        <w:t>”</w:t>
      </w:r>
    </w:p>
    <w:p w14:paraId="4B3088A0" w14:textId="77777777" w:rsidR="002130A4" w:rsidRDefault="002130A4" w:rsidP="002130A4">
      <w:pPr>
        <w:ind w:left="567" w:right="618"/>
        <w:jc w:val="both"/>
        <w:rPr>
          <w:rFonts w:ascii="Palatino Linotype" w:hAnsi="Palatino Linotype"/>
          <w:b/>
          <w:bCs/>
          <w:i/>
          <w:iCs/>
          <w:noProof/>
          <w:sz w:val="22"/>
          <w:szCs w:val="22"/>
          <w:u w:val="single"/>
        </w:rPr>
      </w:pPr>
    </w:p>
    <w:p w14:paraId="1FF642EF" w14:textId="5549E1AA" w:rsidR="002130A4" w:rsidRPr="002130A4" w:rsidRDefault="002130A4" w:rsidP="002130A4">
      <w:pPr>
        <w:ind w:left="567" w:right="618"/>
        <w:jc w:val="both"/>
        <w:rPr>
          <w:rFonts w:ascii="Palatino Linotype" w:hAnsi="Palatino Linotype"/>
          <w:bCs/>
          <w:i/>
          <w:iCs/>
          <w:noProof/>
          <w:sz w:val="22"/>
          <w:szCs w:val="22"/>
        </w:rPr>
      </w:pPr>
      <w:r w:rsidRPr="002130A4">
        <w:rPr>
          <w:rFonts w:ascii="Palatino Linotype" w:hAnsi="Palatino Linotype"/>
          <w:bCs/>
          <w:i/>
          <w:iCs/>
          <w:noProof/>
          <w:sz w:val="22"/>
          <w:szCs w:val="22"/>
        </w:rPr>
        <w:t>(Énfasis añadido)</w:t>
      </w:r>
    </w:p>
    <w:p w14:paraId="6E5D143E" w14:textId="77777777" w:rsidR="002130A4" w:rsidRPr="002130A4" w:rsidRDefault="002130A4" w:rsidP="002130A4">
      <w:pPr>
        <w:spacing w:line="360" w:lineRule="auto"/>
        <w:jc w:val="both"/>
        <w:rPr>
          <w:rFonts w:ascii="Palatino Linotype" w:hAnsi="Palatino Linotype"/>
          <w:noProof/>
          <w:sz w:val="22"/>
          <w:szCs w:val="22"/>
        </w:rPr>
      </w:pPr>
    </w:p>
    <w:p w14:paraId="03DE87C3" w14:textId="6C78B6C0" w:rsidR="002130A4" w:rsidRPr="002130A4" w:rsidRDefault="002130A4" w:rsidP="002130A4">
      <w:pPr>
        <w:spacing w:line="360" w:lineRule="auto"/>
        <w:jc w:val="both"/>
        <w:rPr>
          <w:rFonts w:ascii="Palatino Linotype" w:hAnsi="Palatino Linotype"/>
          <w:noProof/>
        </w:rPr>
      </w:pPr>
      <w:r w:rsidRPr="002130A4">
        <w:rPr>
          <w:rFonts w:ascii="Palatino Linotype" w:hAnsi="Palatino Linotype"/>
          <w:noProof/>
          <w:szCs w:val="22"/>
        </w:rPr>
        <w:t xml:space="preserve">Es así que de lo anteriormente citado se desprende que la información reservada, es aquella que cuando, de manera excepcional y por razones de interés público, su publicidad puede causar un daño al interés jurídico tutelado por la Ley, en alguno de los supuestos establecidos en el artículo 140 de la Ley de la materia, y desarrollar </w:t>
      </w:r>
      <w:r w:rsidRPr="002130A4">
        <w:rPr>
          <w:rFonts w:ascii="Palatino Linotype" w:hAnsi="Palatino Linotype"/>
          <w:noProof/>
        </w:rPr>
        <w:t>la prueba de daño de acuerdo a lo establecido en los Lineamientos Generales en materia de Clasificación y Desclasificación de la Información, así como para Elaboración de Versiones Públicas, misma que será caso por caso, ya que no se podrá clasificar la información unicamente por estar vinculada con los supuestos establecidos en la Ley sino que además se demostrará que efectivamente dar a conocer la información podría afectar las funciones y el actuar de los diversos susjetos obligados .</w:t>
      </w:r>
    </w:p>
    <w:p w14:paraId="0B0AF36C" w14:textId="77777777" w:rsidR="002130A4" w:rsidRPr="002130A4" w:rsidRDefault="002130A4" w:rsidP="002130A4">
      <w:pPr>
        <w:spacing w:line="360" w:lineRule="auto"/>
        <w:jc w:val="both"/>
        <w:rPr>
          <w:rFonts w:ascii="Palatino Linotype" w:hAnsi="Palatino Linotype"/>
          <w:noProof/>
        </w:rPr>
      </w:pPr>
    </w:p>
    <w:p w14:paraId="3E2936D3" w14:textId="77777777" w:rsidR="002130A4" w:rsidRPr="002130A4" w:rsidRDefault="002130A4" w:rsidP="002130A4">
      <w:pPr>
        <w:spacing w:line="360" w:lineRule="auto"/>
        <w:jc w:val="both"/>
        <w:rPr>
          <w:rFonts w:ascii="Palatino Linotype" w:hAnsi="Palatino Linotype"/>
          <w:noProof/>
        </w:rPr>
      </w:pPr>
      <w:r w:rsidRPr="002130A4">
        <w:rPr>
          <w:rFonts w:ascii="Palatino Linotype" w:hAnsi="Palatino Linotype"/>
          <w:noProof/>
        </w:rPr>
        <w:t xml:space="preserve">Dicha prueba de daño, consiste en exponer los argumentos y razones, basados en elementos verificables, a partir de los cuales se derive que la divulgación de información, en particular, puede afectar, poner en riesgo o dañar el interés protegido. Asimismo, esta no debe basarse en meras especulaciones o suposiciones, sino en elementos objetivos que deban evaluar que existe un riego actual e inminente. </w:t>
      </w:r>
    </w:p>
    <w:p w14:paraId="4E290628" w14:textId="77777777" w:rsidR="002130A4" w:rsidRPr="002130A4" w:rsidRDefault="002130A4" w:rsidP="002130A4">
      <w:pPr>
        <w:tabs>
          <w:tab w:val="left" w:pos="4962"/>
        </w:tabs>
        <w:spacing w:line="360" w:lineRule="auto"/>
        <w:jc w:val="both"/>
        <w:rPr>
          <w:rFonts w:ascii="Palatino Linotype" w:eastAsia="Calibri" w:hAnsi="Palatino Linotype" w:cs="Tahoma"/>
          <w:iCs/>
          <w:lang w:eastAsia="es-ES_tradnl"/>
        </w:rPr>
      </w:pPr>
    </w:p>
    <w:p w14:paraId="16DE0DA4" w14:textId="5C846304" w:rsidR="002130A4" w:rsidRPr="002130A4" w:rsidRDefault="002130A4" w:rsidP="002130A4">
      <w:pPr>
        <w:tabs>
          <w:tab w:val="left" w:pos="4962"/>
        </w:tabs>
        <w:spacing w:line="360" w:lineRule="auto"/>
        <w:jc w:val="both"/>
        <w:rPr>
          <w:rFonts w:ascii="Palatino Linotype" w:hAnsi="Palatino Linotype"/>
          <w:bCs/>
          <w:lang w:eastAsia="es-ES"/>
        </w:rPr>
      </w:pPr>
      <w:r w:rsidRPr="002130A4">
        <w:rPr>
          <w:rFonts w:ascii="Palatino Linotype" w:eastAsia="Calibri" w:hAnsi="Palatino Linotype" w:cs="Tahoma"/>
          <w:iCs/>
          <w:lang w:eastAsia="es-ES_tradnl"/>
        </w:rPr>
        <w:t>Ahora bien, por lo que hace a</w:t>
      </w:r>
      <w:r>
        <w:rPr>
          <w:rFonts w:ascii="Palatino Linotype" w:eastAsia="Calibri" w:hAnsi="Palatino Linotype" w:cs="Tahoma"/>
          <w:iCs/>
          <w:lang w:eastAsia="es-ES_tradnl"/>
        </w:rPr>
        <w:t xml:space="preserve"> los </w:t>
      </w:r>
      <w:r w:rsidRPr="002130A4">
        <w:rPr>
          <w:rFonts w:ascii="Palatino Linotype" w:eastAsia="Calibri" w:hAnsi="Palatino Linotype" w:cs="Tahoma"/>
          <w:iCs/>
          <w:lang w:eastAsia="es-ES_tradnl"/>
        </w:rPr>
        <w:t>expediente</w:t>
      </w:r>
      <w:r>
        <w:rPr>
          <w:rFonts w:ascii="Palatino Linotype" w:eastAsia="Calibri" w:hAnsi="Palatino Linotype" w:cs="Tahoma"/>
          <w:iCs/>
          <w:lang w:eastAsia="es-ES_tradnl"/>
        </w:rPr>
        <w:t>s</w:t>
      </w:r>
      <w:r w:rsidRPr="002130A4">
        <w:rPr>
          <w:rFonts w:ascii="Palatino Linotype" w:eastAsia="Calibri" w:hAnsi="Palatino Linotype" w:cs="Tahoma"/>
          <w:iCs/>
          <w:lang w:eastAsia="es-ES_tradnl"/>
        </w:rPr>
        <w:t xml:space="preserve"> que se encuentre</w:t>
      </w:r>
      <w:r>
        <w:rPr>
          <w:rFonts w:ascii="Palatino Linotype" w:eastAsia="Calibri" w:hAnsi="Palatino Linotype" w:cs="Tahoma"/>
          <w:iCs/>
          <w:lang w:eastAsia="es-ES_tradnl"/>
        </w:rPr>
        <w:t>n</w:t>
      </w:r>
      <w:r w:rsidRPr="002130A4">
        <w:rPr>
          <w:rFonts w:ascii="Palatino Linotype" w:eastAsia="Calibri" w:hAnsi="Palatino Linotype" w:cs="Tahoma"/>
          <w:iCs/>
          <w:lang w:eastAsia="es-ES_tradnl"/>
        </w:rPr>
        <w:t xml:space="preserve"> en trámite, </w:t>
      </w:r>
      <w:r>
        <w:rPr>
          <w:rFonts w:ascii="Palatino Linotype" w:eastAsia="Calibri" w:hAnsi="Palatino Linotype" w:cs="Tahoma"/>
          <w:iCs/>
          <w:lang w:eastAsia="es-ES_tradnl"/>
        </w:rPr>
        <w:t xml:space="preserve">debemos recordar que </w:t>
      </w:r>
      <w:r w:rsidRPr="002130A4">
        <w:rPr>
          <w:rFonts w:ascii="Palatino Linotype" w:eastAsia="Calibri" w:hAnsi="Palatino Linotype" w:cs="Tahoma"/>
          <w:iCs/>
          <w:lang w:eastAsia="es-ES_tradnl"/>
        </w:rPr>
        <w:t xml:space="preserve">el Sujeto Obligado </w:t>
      </w:r>
      <w:r>
        <w:rPr>
          <w:rFonts w:ascii="Palatino Linotype" w:eastAsia="Calibri" w:hAnsi="Palatino Linotype" w:cs="Tahoma"/>
          <w:iCs/>
          <w:lang w:eastAsia="es-ES_tradnl"/>
        </w:rPr>
        <w:t xml:space="preserve">no se pronunció sobre este punto, sin embargo </w:t>
      </w:r>
      <w:r>
        <w:rPr>
          <w:rFonts w:ascii="Palatino Linotype" w:eastAsia="Calibri" w:hAnsi="Palatino Linotype" w:cs="Tahoma"/>
          <w:iCs/>
          <w:lang w:eastAsia="es-ES_tradnl"/>
        </w:rPr>
        <w:lastRenderedPageBreak/>
        <w:t xml:space="preserve">pudiera darse el caso en el que </w:t>
      </w:r>
      <w:r w:rsidRPr="002130A4">
        <w:rPr>
          <w:rFonts w:ascii="Palatino Linotype" w:hAnsi="Palatino Linotype"/>
          <w:lang w:eastAsia="es-ES"/>
        </w:rPr>
        <w:t xml:space="preserve">la información requerida no puede ser proporcionada, ya que </w:t>
      </w:r>
      <w:r>
        <w:rPr>
          <w:rFonts w:ascii="Palatino Linotype" w:hAnsi="Palatino Linotype"/>
          <w:lang w:eastAsia="es-ES"/>
        </w:rPr>
        <w:t xml:space="preserve">actualiza la causal de reserva </w:t>
      </w:r>
      <w:r w:rsidRPr="002130A4">
        <w:rPr>
          <w:rFonts w:ascii="Palatino Linotype" w:hAnsi="Palatino Linotype"/>
          <w:lang w:eastAsia="es-ES"/>
        </w:rPr>
        <w:t xml:space="preserve">establecida </w:t>
      </w:r>
      <w:r>
        <w:rPr>
          <w:rFonts w:ascii="Palatino Linotype" w:hAnsi="Palatino Linotype"/>
          <w:lang w:eastAsia="es-ES"/>
        </w:rPr>
        <w:t>en el artículo 140, fracción VI</w:t>
      </w:r>
      <w:r w:rsidRPr="002130A4">
        <w:rPr>
          <w:rFonts w:ascii="Palatino Linotype" w:hAnsi="Palatino Linotype" w:cs="Tahoma"/>
          <w:bCs/>
          <w:lang w:eastAsia="es-ES"/>
        </w:rPr>
        <w:t xml:space="preserve"> </w:t>
      </w:r>
      <w:r w:rsidRPr="002130A4">
        <w:rPr>
          <w:rFonts w:ascii="Palatino Linotype" w:hAnsi="Palatino Linotype"/>
          <w:bCs/>
          <w:lang w:eastAsia="es-ES"/>
        </w:rPr>
        <w:t xml:space="preserve">de la Ley de Transparencia y Acceso a la Información Pública del Estado de México y </w:t>
      </w:r>
      <w:r>
        <w:rPr>
          <w:rFonts w:ascii="Palatino Linotype" w:hAnsi="Palatino Linotype"/>
          <w:bCs/>
          <w:lang w:eastAsia="es-ES"/>
        </w:rPr>
        <w:t xml:space="preserve">Municipios, pues debemos recordar que la parte solicitante requirió los </w:t>
      </w:r>
      <w:r w:rsidRPr="002130A4">
        <w:rPr>
          <w:rFonts w:ascii="Palatino Linotype" w:hAnsi="Palatino Linotype"/>
          <w:b/>
          <w:bCs/>
          <w:lang w:eastAsia="es-ES"/>
        </w:rPr>
        <w:t>procedimientos, quejas o sanciones con las que cuenta cada elemento policiaco</w:t>
      </w:r>
      <w:r>
        <w:rPr>
          <w:rFonts w:ascii="Palatino Linotype" w:hAnsi="Palatino Linotype"/>
          <w:bCs/>
          <w:lang w:eastAsia="es-ES"/>
        </w:rPr>
        <w:t xml:space="preserve">, por lo cual es posible que </w:t>
      </w:r>
      <w:r w:rsidRPr="002130A4">
        <w:rPr>
          <w:rFonts w:ascii="Palatino Linotype" w:hAnsi="Palatino Linotype"/>
          <w:bCs/>
          <w:lang w:eastAsia="es-ES"/>
        </w:rPr>
        <w:t>aún no ha</w:t>
      </w:r>
      <w:r>
        <w:rPr>
          <w:rFonts w:ascii="Palatino Linotype" w:hAnsi="Palatino Linotype"/>
          <w:bCs/>
          <w:lang w:eastAsia="es-ES"/>
        </w:rPr>
        <w:t>yan</w:t>
      </w:r>
      <w:r w:rsidRPr="002130A4">
        <w:rPr>
          <w:rFonts w:ascii="Palatino Linotype" w:hAnsi="Palatino Linotype"/>
          <w:bCs/>
          <w:lang w:eastAsia="es-ES"/>
        </w:rPr>
        <w:t xml:space="preserve"> quedado firme</w:t>
      </w:r>
      <w:r>
        <w:rPr>
          <w:rFonts w:ascii="Palatino Linotype" w:hAnsi="Palatino Linotype"/>
          <w:bCs/>
          <w:lang w:eastAsia="es-ES"/>
        </w:rPr>
        <w:t>s</w:t>
      </w:r>
      <w:r w:rsidR="00B22751">
        <w:rPr>
          <w:rFonts w:ascii="Palatino Linotype" w:hAnsi="Palatino Linotype"/>
          <w:bCs/>
          <w:lang w:eastAsia="es-ES"/>
        </w:rPr>
        <w:t>, por ello resulta pertinente realizar el siguiente análisis:</w:t>
      </w:r>
    </w:p>
    <w:p w14:paraId="5FBE0FA3" w14:textId="77777777" w:rsidR="002130A4" w:rsidRPr="002130A4" w:rsidRDefault="002130A4" w:rsidP="002130A4">
      <w:pPr>
        <w:spacing w:line="360" w:lineRule="auto"/>
        <w:jc w:val="both"/>
        <w:rPr>
          <w:rFonts w:ascii="Palatino Linotype" w:hAnsi="Palatino Linotype" w:cs="Tahoma"/>
          <w:bCs/>
          <w:lang w:eastAsia="es-ES"/>
        </w:rPr>
      </w:pPr>
    </w:p>
    <w:p w14:paraId="196ACFDC" w14:textId="77777777" w:rsidR="002130A4" w:rsidRPr="002130A4" w:rsidRDefault="002130A4" w:rsidP="002130A4">
      <w:pPr>
        <w:spacing w:line="360" w:lineRule="auto"/>
        <w:jc w:val="both"/>
        <w:rPr>
          <w:rFonts w:ascii="Palatino Linotype" w:hAnsi="Palatino Linotype" w:cs="Tahoma"/>
          <w:bCs/>
          <w:lang w:eastAsia="es-ES"/>
        </w:rPr>
      </w:pPr>
      <w:r w:rsidRPr="002130A4">
        <w:rPr>
          <w:rFonts w:ascii="Palatino Linotype" w:hAnsi="Palatino Linotype" w:cs="Tahoma"/>
          <w:bCs/>
          <w:lang w:eastAsia="es-ES"/>
        </w:rPr>
        <w:t>En principio, el artículo 140, fracción VIII, de la Ley de Transparencia y Acceso a la Información Pública del Estado de México y Municipios (homólogo al artículo 113, fracción XI de la Ley General de Transparencia y Acceso a la Información Pública), precisa lo siguiente:</w:t>
      </w:r>
    </w:p>
    <w:p w14:paraId="31B4F720" w14:textId="77777777" w:rsidR="002130A4" w:rsidRPr="002130A4" w:rsidRDefault="002130A4" w:rsidP="002130A4">
      <w:pPr>
        <w:spacing w:line="360" w:lineRule="auto"/>
        <w:ind w:right="-93"/>
        <w:jc w:val="both"/>
        <w:rPr>
          <w:rFonts w:ascii="Palatino Linotype" w:hAnsi="Palatino Linotype" w:cs="Tahoma"/>
          <w:bCs/>
          <w:sz w:val="20"/>
          <w:szCs w:val="20"/>
          <w:lang w:eastAsia="es-ES"/>
        </w:rPr>
      </w:pPr>
    </w:p>
    <w:p w14:paraId="0679560E" w14:textId="77777777" w:rsidR="002130A4" w:rsidRPr="00B22751" w:rsidRDefault="002130A4" w:rsidP="00B22751">
      <w:pPr>
        <w:ind w:left="567" w:right="900"/>
        <w:jc w:val="both"/>
        <w:rPr>
          <w:rFonts w:ascii="Palatino Linotype" w:hAnsi="Palatino Linotype" w:cs="Tahoma"/>
          <w:bCs/>
          <w:i/>
          <w:sz w:val="22"/>
          <w:szCs w:val="20"/>
          <w:lang w:eastAsia="es-ES"/>
        </w:rPr>
      </w:pPr>
      <w:r w:rsidRPr="00B22751">
        <w:rPr>
          <w:rFonts w:ascii="Palatino Linotype" w:hAnsi="Palatino Linotype" w:cs="Tahoma"/>
          <w:b/>
          <w:bCs/>
          <w:i/>
          <w:sz w:val="22"/>
          <w:szCs w:val="20"/>
          <w:lang w:eastAsia="es-ES"/>
        </w:rPr>
        <w:t>“Artículo 140.</w:t>
      </w:r>
      <w:r w:rsidRPr="00B22751">
        <w:rPr>
          <w:rFonts w:ascii="Palatino Linotype" w:hAnsi="Palatino Linotype" w:cs="Tahoma"/>
          <w:bCs/>
          <w:i/>
          <w:sz w:val="22"/>
          <w:szCs w:val="20"/>
          <w:lang w:eastAsia="es-ES"/>
        </w:rPr>
        <w:t xml:space="preserve"> El acceso a la información pública será restringido excepcionalmente, cuando por razones de interés público, ésta sea clasificada como reservada, conforme a los criterios siguientes:</w:t>
      </w:r>
    </w:p>
    <w:p w14:paraId="77E6F8E0" w14:textId="77777777" w:rsidR="002130A4" w:rsidRPr="00B22751" w:rsidRDefault="002130A4" w:rsidP="00B22751">
      <w:pPr>
        <w:ind w:left="567" w:right="900"/>
        <w:jc w:val="both"/>
        <w:rPr>
          <w:rFonts w:ascii="Palatino Linotype" w:hAnsi="Palatino Linotype" w:cs="Tahoma"/>
          <w:bCs/>
          <w:i/>
          <w:sz w:val="22"/>
          <w:szCs w:val="20"/>
          <w:lang w:eastAsia="es-ES"/>
        </w:rPr>
      </w:pPr>
      <w:r w:rsidRPr="00B22751">
        <w:rPr>
          <w:rFonts w:ascii="Palatino Linotype" w:hAnsi="Palatino Linotype" w:cs="Tahoma"/>
          <w:bCs/>
          <w:i/>
          <w:sz w:val="22"/>
          <w:szCs w:val="20"/>
          <w:lang w:eastAsia="es-ES"/>
        </w:rPr>
        <w:t>I a VII…</w:t>
      </w:r>
    </w:p>
    <w:p w14:paraId="72E6A681" w14:textId="77777777" w:rsidR="002130A4" w:rsidRPr="00B22751" w:rsidRDefault="002130A4" w:rsidP="00B22751">
      <w:pPr>
        <w:ind w:left="567" w:right="900"/>
        <w:jc w:val="both"/>
        <w:rPr>
          <w:rFonts w:ascii="Palatino Linotype" w:hAnsi="Palatino Linotype" w:cs="Tahoma"/>
          <w:bCs/>
          <w:i/>
          <w:sz w:val="22"/>
          <w:szCs w:val="20"/>
          <w:lang w:eastAsia="es-ES"/>
        </w:rPr>
      </w:pPr>
      <w:r w:rsidRPr="00B22751">
        <w:rPr>
          <w:rFonts w:ascii="Palatino Linotype" w:hAnsi="Palatino Linotype" w:cs="Tahoma"/>
          <w:bCs/>
          <w:i/>
          <w:sz w:val="22"/>
          <w:szCs w:val="20"/>
          <w:lang w:eastAsia="es-ES"/>
        </w:rPr>
        <w:t>VIII. Vulnere la conducción de los expedientes judiciales o de los procedimientos administrativos seguidos en forma de juicio, en tanto no hayan quedado firmes;</w:t>
      </w:r>
    </w:p>
    <w:p w14:paraId="158E89E5" w14:textId="77777777" w:rsidR="002130A4" w:rsidRPr="00B22751" w:rsidRDefault="002130A4" w:rsidP="00B22751">
      <w:pPr>
        <w:ind w:left="567" w:right="900"/>
        <w:jc w:val="both"/>
        <w:rPr>
          <w:rFonts w:ascii="Palatino Linotype" w:hAnsi="Palatino Linotype" w:cs="Tahoma"/>
          <w:bCs/>
          <w:i/>
          <w:sz w:val="22"/>
          <w:szCs w:val="20"/>
          <w:lang w:eastAsia="es-ES"/>
        </w:rPr>
      </w:pPr>
      <w:r w:rsidRPr="00B22751">
        <w:rPr>
          <w:rFonts w:ascii="Palatino Linotype" w:hAnsi="Palatino Linotype" w:cs="Tahoma"/>
          <w:bCs/>
          <w:i/>
          <w:sz w:val="22"/>
          <w:szCs w:val="20"/>
          <w:lang w:eastAsia="es-ES"/>
        </w:rPr>
        <w:t xml:space="preserve">IX a XI…” </w:t>
      </w:r>
    </w:p>
    <w:p w14:paraId="184CC061" w14:textId="77777777" w:rsidR="002130A4" w:rsidRPr="002130A4" w:rsidRDefault="002130A4" w:rsidP="002130A4">
      <w:pPr>
        <w:spacing w:line="360" w:lineRule="auto"/>
        <w:jc w:val="both"/>
        <w:rPr>
          <w:rFonts w:ascii="Palatino Linotype" w:eastAsia="Calibri" w:hAnsi="Palatino Linotype" w:cs="Tahoma"/>
          <w:iCs/>
          <w:sz w:val="22"/>
          <w:szCs w:val="22"/>
          <w:lang w:val="es-ES" w:eastAsia="es-ES_tradnl"/>
        </w:rPr>
      </w:pPr>
    </w:p>
    <w:p w14:paraId="537D06D4" w14:textId="7798C92D" w:rsidR="002130A4" w:rsidRPr="00B22751" w:rsidRDefault="00B22751" w:rsidP="002130A4">
      <w:pPr>
        <w:spacing w:line="360" w:lineRule="auto"/>
        <w:jc w:val="both"/>
        <w:rPr>
          <w:rFonts w:ascii="Palatino Linotype" w:eastAsia="Calibri" w:hAnsi="Palatino Linotype" w:cs="Tahoma"/>
          <w:iCs/>
          <w:szCs w:val="22"/>
          <w:lang w:val="es-ES" w:eastAsia="es-ES_tradnl"/>
        </w:rPr>
      </w:pPr>
      <w:r w:rsidRPr="00B22751">
        <w:rPr>
          <w:rFonts w:ascii="Palatino Linotype" w:eastAsia="Calibri" w:hAnsi="Palatino Linotype" w:cs="Tahoma"/>
          <w:iCs/>
          <w:szCs w:val="22"/>
          <w:lang w:val="es-ES" w:eastAsia="es-ES_tradnl"/>
        </w:rPr>
        <w:t xml:space="preserve">Por su parte, </w:t>
      </w:r>
      <w:r w:rsidR="002130A4" w:rsidRPr="00B22751">
        <w:rPr>
          <w:rFonts w:ascii="Palatino Linotype" w:eastAsia="Calibri" w:hAnsi="Palatino Linotype" w:cs="Tahoma"/>
          <w:iCs/>
          <w:szCs w:val="22"/>
          <w:lang w:val="es-ES" w:eastAsia="es-ES_tradnl"/>
        </w:rPr>
        <w:t>los Lineamientos Generales en materia de clasificación y desclasificación de la información, así como para la elabor</w:t>
      </w:r>
      <w:r w:rsidRPr="00B22751">
        <w:rPr>
          <w:rFonts w:ascii="Palatino Linotype" w:eastAsia="Calibri" w:hAnsi="Palatino Linotype" w:cs="Tahoma"/>
          <w:iCs/>
          <w:szCs w:val="22"/>
          <w:lang w:val="es-ES" w:eastAsia="es-ES_tradnl"/>
        </w:rPr>
        <w:t xml:space="preserve">ación de versiones públicas, </w:t>
      </w:r>
      <w:r w:rsidR="002130A4" w:rsidRPr="00B22751">
        <w:rPr>
          <w:rFonts w:ascii="Palatino Linotype" w:eastAsia="Calibri" w:hAnsi="Palatino Linotype" w:cs="Tahoma"/>
          <w:iCs/>
          <w:szCs w:val="22"/>
          <w:lang w:val="es-ES" w:eastAsia="es-ES_tradnl"/>
        </w:rPr>
        <w:t>prevé</w:t>
      </w:r>
      <w:r w:rsidRPr="00B22751">
        <w:rPr>
          <w:rFonts w:ascii="Palatino Linotype" w:eastAsia="Calibri" w:hAnsi="Palatino Linotype" w:cs="Tahoma"/>
          <w:iCs/>
          <w:szCs w:val="22"/>
          <w:lang w:val="es-ES" w:eastAsia="es-ES_tradnl"/>
        </w:rPr>
        <w:t>n</w:t>
      </w:r>
      <w:r w:rsidR="002130A4" w:rsidRPr="00B22751">
        <w:rPr>
          <w:rFonts w:ascii="Palatino Linotype" w:eastAsia="Calibri" w:hAnsi="Palatino Linotype" w:cs="Tahoma"/>
          <w:iCs/>
          <w:szCs w:val="22"/>
          <w:lang w:val="es-ES" w:eastAsia="es-ES_tradnl"/>
        </w:rPr>
        <w:t xml:space="preserve"> lo siguiente:</w:t>
      </w:r>
    </w:p>
    <w:p w14:paraId="7E7BD8B1" w14:textId="77777777" w:rsidR="002130A4" w:rsidRPr="002130A4" w:rsidRDefault="002130A4" w:rsidP="002130A4">
      <w:pPr>
        <w:spacing w:line="360" w:lineRule="auto"/>
        <w:jc w:val="both"/>
        <w:rPr>
          <w:rFonts w:ascii="Palatino Linotype" w:eastAsia="Calibri" w:hAnsi="Palatino Linotype" w:cs="Tahoma"/>
          <w:iCs/>
          <w:sz w:val="22"/>
          <w:szCs w:val="22"/>
          <w:lang w:val="es-ES" w:eastAsia="es-ES_tradnl"/>
        </w:rPr>
      </w:pPr>
    </w:p>
    <w:p w14:paraId="7034EACB" w14:textId="77777777" w:rsidR="002130A4" w:rsidRPr="00B22751" w:rsidRDefault="002130A4" w:rsidP="00B22751">
      <w:pPr>
        <w:ind w:left="567" w:right="567"/>
        <w:jc w:val="both"/>
        <w:rPr>
          <w:rFonts w:ascii="Palatino Linotype" w:hAnsi="Palatino Linotype" w:cs="Tahoma"/>
          <w:bCs/>
          <w:i/>
          <w:sz w:val="22"/>
          <w:szCs w:val="20"/>
          <w:lang w:val="es-ES" w:eastAsia="es-ES"/>
        </w:rPr>
      </w:pPr>
      <w:r w:rsidRPr="00B22751">
        <w:rPr>
          <w:rFonts w:ascii="Palatino Linotype" w:hAnsi="Palatino Linotype" w:cs="Tahoma"/>
          <w:b/>
          <w:bCs/>
          <w:i/>
          <w:sz w:val="22"/>
          <w:szCs w:val="20"/>
          <w:lang w:val="es-ES" w:eastAsia="es-ES"/>
        </w:rPr>
        <w:t>“Trigésimo.</w:t>
      </w:r>
      <w:r w:rsidRPr="00B22751">
        <w:rPr>
          <w:rFonts w:ascii="Palatino Linotype" w:hAnsi="Palatino Linotype" w:cs="Tahoma"/>
          <w:bCs/>
          <w:i/>
          <w:sz w:val="22"/>
          <w:szCs w:val="20"/>
          <w:lang w:val="es-ES" w:eastAsia="es-ES"/>
        </w:rPr>
        <w:t xml:space="preserve"> De conformidad con el artículo 113, fracción XI de la Ley General, podrá considerarse como información reservada, aquella que vulnere la conducción de los expedientes judiciales o de los procedimientos administrativos seguidos en forma de juicio, siempre y cuando se acrediten los siguientes elementos: </w:t>
      </w:r>
    </w:p>
    <w:p w14:paraId="39206E8C" w14:textId="77777777" w:rsidR="002130A4" w:rsidRPr="00B22751" w:rsidRDefault="002130A4" w:rsidP="00B22751">
      <w:pPr>
        <w:ind w:left="567" w:right="567"/>
        <w:jc w:val="both"/>
        <w:rPr>
          <w:rFonts w:ascii="Palatino Linotype" w:hAnsi="Palatino Linotype" w:cs="Tahoma"/>
          <w:bCs/>
          <w:i/>
          <w:sz w:val="22"/>
          <w:szCs w:val="20"/>
          <w:lang w:val="es-ES" w:eastAsia="es-ES"/>
        </w:rPr>
      </w:pPr>
    </w:p>
    <w:p w14:paraId="2C3DD3FE" w14:textId="77777777" w:rsidR="002130A4" w:rsidRPr="00B22751" w:rsidRDefault="002130A4" w:rsidP="00B22751">
      <w:pPr>
        <w:ind w:left="567" w:right="567"/>
        <w:jc w:val="both"/>
        <w:rPr>
          <w:rFonts w:ascii="Palatino Linotype" w:hAnsi="Palatino Linotype" w:cs="Tahoma"/>
          <w:bCs/>
          <w:i/>
          <w:sz w:val="22"/>
          <w:szCs w:val="20"/>
          <w:lang w:val="es-ES" w:eastAsia="es-ES"/>
        </w:rPr>
      </w:pPr>
      <w:r w:rsidRPr="00B22751">
        <w:rPr>
          <w:rFonts w:ascii="Palatino Linotype" w:hAnsi="Palatino Linotype" w:cs="Tahoma"/>
          <w:b/>
          <w:bCs/>
          <w:i/>
          <w:sz w:val="22"/>
          <w:szCs w:val="20"/>
          <w:lang w:val="es-ES" w:eastAsia="es-ES"/>
        </w:rPr>
        <w:t>I.</w:t>
      </w:r>
      <w:r w:rsidRPr="00B22751">
        <w:rPr>
          <w:rFonts w:ascii="Palatino Linotype" w:hAnsi="Palatino Linotype" w:cs="Tahoma"/>
          <w:bCs/>
          <w:i/>
          <w:sz w:val="22"/>
          <w:szCs w:val="20"/>
          <w:lang w:val="es-ES" w:eastAsia="es-ES"/>
        </w:rPr>
        <w:t xml:space="preserve"> La existencia de un juicio o procedimiento administrativo materialmente jurisdiccional, que se encuentre en trámite, y </w:t>
      </w:r>
    </w:p>
    <w:p w14:paraId="5AFA76A9" w14:textId="77777777" w:rsidR="002130A4" w:rsidRPr="00B22751" w:rsidRDefault="002130A4" w:rsidP="00B22751">
      <w:pPr>
        <w:ind w:left="567" w:right="567"/>
        <w:jc w:val="both"/>
        <w:rPr>
          <w:rFonts w:ascii="Palatino Linotype" w:hAnsi="Palatino Linotype" w:cs="Tahoma"/>
          <w:bCs/>
          <w:i/>
          <w:sz w:val="22"/>
          <w:szCs w:val="20"/>
          <w:lang w:val="es-ES" w:eastAsia="es-ES"/>
        </w:rPr>
      </w:pPr>
      <w:r w:rsidRPr="00B22751">
        <w:rPr>
          <w:rFonts w:ascii="Palatino Linotype" w:hAnsi="Palatino Linotype" w:cs="Tahoma"/>
          <w:b/>
          <w:bCs/>
          <w:i/>
          <w:sz w:val="22"/>
          <w:szCs w:val="20"/>
          <w:lang w:val="es-ES" w:eastAsia="es-ES"/>
        </w:rPr>
        <w:t>II.</w:t>
      </w:r>
      <w:r w:rsidRPr="00B22751">
        <w:rPr>
          <w:rFonts w:ascii="Palatino Linotype" w:hAnsi="Palatino Linotype" w:cs="Tahoma"/>
          <w:bCs/>
          <w:i/>
          <w:sz w:val="22"/>
          <w:szCs w:val="20"/>
          <w:lang w:val="es-ES" w:eastAsia="es-ES"/>
        </w:rPr>
        <w:t xml:space="preserve"> Que la información solicitada se refiera a actuaciones, diligencias o constancias propias del procedimiento. </w:t>
      </w:r>
    </w:p>
    <w:p w14:paraId="55A724DC" w14:textId="77777777" w:rsidR="002130A4" w:rsidRPr="002130A4" w:rsidRDefault="002130A4" w:rsidP="002130A4">
      <w:pPr>
        <w:spacing w:line="360" w:lineRule="auto"/>
        <w:ind w:left="567" w:right="567"/>
        <w:jc w:val="both"/>
        <w:rPr>
          <w:rFonts w:ascii="Palatino Linotype" w:hAnsi="Palatino Linotype" w:cs="Tahoma"/>
          <w:bCs/>
          <w:i/>
          <w:sz w:val="20"/>
          <w:szCs w:val="20"/>
          <w:lang w:val="es-ES" w:eastAsia="es-ES"/>
        </w:rPr>
      </w:pPr>
    </w:p>
    <w:p w14:paraId="083DE23E" w14:textId="77777777" w:rsidR="002130A4" w:rsidRPr="00B22751" w:rsidRDefault="002130A4" w:rsidP="00B22751">
      <w:pPr>
        <w:ind w:left="567" w:right="567"/>
        <w:jc w:val="both"/>
        <w:rPr>
          <w:rFonts w:ascii="Palatino Linotype" w:hAnsi="Palatino Linotype" w:cs="Tahoma"/>
          <w:bCs/>
          <w:i/>
          <w:sz w:val="22"/>
          <w:szCs w:val="20"/>
          <w:lang w:val="es-ES" w:eastAsia="es-ES"/>
        </w:rPr>
      </w:pPr>
      <w:r w:rsidRPr="00B22751">
        <w:rPr>
          <w:rFonts w:ascii="Palatino Linotype" w:hAnsi="Palatino Linotype" w:cs="Tahoma"/>
          <w:bCs/>
          <w:i/>
          <w:sz w:val="22"/>
          <w:szCs w:val="20"/>
          <w:lang w:val="es-ES" w:eastAsia="es-ES"/>
        </w:rPr>
        <w:t xml:space="preserve">Para los efectos del primer párrafo de este numeral, se considera procedimiento seguido en forma de juicio a aquel formalmente administrativo, pero materialmente jurisdiccional; esto es, en el que concurran los siguientes elementos: </w:t>
      </w:r>
    </w:p>
    <w:p w14:paraId="491D2197" w14:textId="77777777" w:rsidR="002130A4" w:rsidRPr="002130A4" w:rsidRDefault="002130A4" w:rsidP="002130A4">
      <w:pPr>
        <w:spacing w:line="360" w:lineRule="auto"/>
        <w:ind w:left="567" w:right="567"/>
        <w:jc w:val="both"/>
        <w:rPr>
          <w:rFonts w:ascii="Palatino Linotype" w:hAnsi="Palatino Linotype" w:cs="Tahoma"/>
          <w:bCs/>
          <w:i/>
          <w:sz w:val="20"/>
          <w:szCs w:val="20"/>
          <w:lang w:val="es-ES" w:eastAsia="es-ES"/>
        </w:rPr>
      </w:pPr>
    </w:p>
    <w:p w14:paraId="7D9E791D" w14:textId="77777777" w:rsidR="002130A4" w:rsidRPr="00B22751" w:rsidRDefault="002130A4" w:rsidP="00B22751">
      <w:pPr>
        <w:ind w:left="567" w:right="900"/>
        <w:jc w:val="both"/>
        <w:rPr>
          <w:rFonts w:ascii="Palatino Linotype" w:hAnsi="Palatino Linotype" w:cs="Tahoma"/>
          <w:bCs/>
          <w:i/>
          <w:sz w:val="22"/>
          <w:szCs w:val="20"/>
          <w:lang w:val="es-ES" w:eastAsia="es-ES"/>
        </w:rPr>
      </w:pPr>
      <w:r w:rsidRPr="00B22751">
        <w:rPr>
          <w:rFonts w:ascii="Palatino Linotype" w:hAnsi="Palatino Linotype" w:cs="Tahoma"/>
          <w:b/>
          <w:bCs/>
          <w:i/>
          <w:sz w:val="22"/>
          <w:szCs w:val="20"/>
          <w:lang w:val="es-ES" w:eastAsia="es-ES"/>
        </w:rPr>
        <w:t>1.</w:t>
      </w:r>
      <w:r w:rsidRPr="00B22751">
        <w:rPr>
          <w:rFonts w:ascii="Palatino Linotype" w:hAnsi="Palatino Linotype" w:cs="Tahoma"/>
          <w:bCs/>
          <w:i/>
          <w:sz w:val="22"/>
          <w:szCs w:val="20"/>
          <w:lang w:val="es-ES" w:eastAsia="es-ES"/>
        </w:rPr>
        <w:t xml:space="preserve"> Que se trate de un procedimiento en el que la autoridad dirima una controversia entre partes contendientes, así como los procedimientos en que la autoridad, frente al particular, prepare su resolución definitiva, aunque sólo sea un trámite para cumplir con la garantía de audiencia, y </w:t>
      </w:r>
    </w:p>
    <w:p w14:paraId="439956E1" w14:textId="77777777" w:rsidR="002130A4" w:rsidRPr="00B22751" w:rsidRDefault="002130A4" w:rsidP="00B22751">
      <w:pPr>
        <w:ind w:left="567" w:right="900"/>
        <w:jc w:val="both"/>
        <w:rPr>
          <w:rFonts w:ascii="Palatino Linotype" w:hAnsi="Palatino Linotype" w:cs="Tahoma"/>
          <w:bCs/>
          <w:i/>
          <w:sz w:val="22"/>
          <w:szCs w:val="20"/>
          <w:lang w:val="es-ES" w:eastAsia="es-ES"/>
        </w:rPr>
      </w:pPr>
      <w:r w:rsidRPr="00B22751">
        <w:rPr>
          <w:rFonts w:ascii="Palatino Linotype" w:hAnsi="Palatino Linotype" w:cs="Tahoma"/>
          <w:b/>
          <w:bCs/>
          <w:i/>
          <w:sz w:val="22"/>
          <w:szCs w:val="20"/>
          <w:lang w:val="es-ES" w:eastAsia="es-ES"/>
        </w:rPr>
        <w:t>2.</w:t>
      </w:r>
      <w:r w:rsidRPr="00B22751">
        <w:rPr>
          <w:rFonts w:ascii="Palatino Linotype" w:hAnsi="Palatino Linotype" w:cs="Tahoma"/>
          <w:bCs/>
          <w:i/>
          <w:sz w:val="22"/>
          <w:szCs w:val="20"/>
          <w:lang w:val="es-ES" w:eastAsia="es-ES"/>
        </w:rPr>
        <w:t xml:space="preserve"> Que se cumplan las formalidades esenciales del procedimiento. </w:t>
      </w:r>
    </w:p>
    <w:p w14:paraId="6CA6CDA0" w14:textId="77777777" w:rsidR="002130A4" w:rsidRPr="00B22751" w:rsidRDefault="002130A4" w:rsidP="00B22751">
      <w:pPr>
        <w:ind w:left="567" w:right="900"/>
        <w:jc w:val="both"/>
        <w:rPr>
          <w:rFonts w:ascii="Palatino Linotype" w:hAnsi="Palatino Linotype" w:cs="Tahoma"/>
          <w:bCs/>
          <w:i/>
          <w:sz w:val="22"/>
          <w:szCs w:val="20"/>
          <w:lang w:val="es-ES" w:eastAsia="es-ES"/>
        </w:rPr>
      </w:pPr>
    </w:p>
    <w:p w14:paraId="562B75CD" w14:textId="77777777" w:rsidR="002130A4" w:rsidRPr="00B22751" w:rsidRDefault="002130A4" w:rsidP="00B22751">
      <w:pPr>
        <w:ind w:left="567" w:right="900"/>
        <w:jc w:val="both"/>
        <w:rPr>
          <w:rFonts w:ascii="Palatino Linotype" w:hAnsi="Palatino Linotype" w:cs="Tahoma"/>
          <w:bCs/>
          <w:sz w:val="22"/>
          <w:szCs w:val="20"/>
          <w:lang w:val="es-ES" w:eastAsia="es-ES"/>
        </w:rPr>
      </w:pPr>
      <w:r w:rsidRPr="00B22751">
        <w:rPr>
          <w:rFonts w:ascii="Palatino Linotype" w:hAnsi="Palatino Linotype" w:cs="Tahoma"/>
          <w:bCs/>
          <w:i/>
          <w:sz w:val="22"/>
          <w:szCs w:val="20"/>
          <w:lang w:val="es-ES" w:eastAsia="es-ES"/>
        </w:rPr>
        <w:t>No serán objeto de reserva las resoluciones interlocutorias o definitivas que se dicten dentro de los procedimientos o con las que se concluya el mismo. En estos casos deberá otorgarse acceso a la resolución en versión pública, testando la información clasificada.”</w:t>
      </w:r>
    </w:p>
    <w:p w14:paraId="5C530AEB" w14:textId="77777777" w:rsidR="002130A4" w:rsidRPr="002130A4" w:rsidRDefault="002130A4" w:rsidP="002130A4">
      <w:pPr>
        <w:spacing w:line="360" w:lineRule="auto"/>
        <w:jc w:val="both"/>
        <w:rPr>
          <w:rFonts w:ascii="Palatino Linotype" w:hAnsi="Palatino Linotype" w:cs="Tahoma"/>
          <w:bCs/>
          <w:sz w:val="20"/>
          <w:szCs w:val="20"/>
          <w:lang w:val="es-ES" w:eastAsia="es-ES"/>
        </w:rPr>
      </w:pPr>
    </w:p>
    <w:p w14:paraId="78D6C437" w14:textId="77777777" w:rsidR="002130A4" w:rsidRPr="00B22751" w:rsidRDefault="002130A4" w:rsidP="002130A4">
      <w:pPr>
        <w:spacing w:line="360" w:lineRule="auto"/>
        <w:jc w:val="both"/>
        <w:rPr>
          <w:rFonts w:ascii="Palatino Linotype" w:eastAsia="Calibri" w:hAnsi="Palatino Linotype" w:cs="Tahoma"/>
          <w:iCs/>
          <w:szCs w:val="22"/>
          <w:lang w:val="es-ES" w:eastAsia="es-ES_tradnl"/>
        </w:rPr>
      </w:pPr>
      <w:r w:rsidRPr="00B22751">
        <w:rPr>
          <w:rFonts w:ascii="Palatino Linotype" w:eastAsia="Calibri" w:hAnsi="Palatino Linotype" w:cs="Tahoma"/>
          <w:iCs/>
          <w:szCs w:val="22"/>
          <w:lang w:val="es-ES" w:eastAsia="es-ES_tradnl"/>
        </w:rPr>
        <w:t>De la normatividad citada, se desprende que el supuesto de clasificación invocado prevé que, como información reservada, a aquella que vulnere la conducción de los expedientes judiciales o de los procedimientos administrativos seguidos en forma de juicio, en tanto no hayan causado estado. Por lo cual, para considerar que se actualiza dicha causal es necesario que se configuren los siguientes elementos:</w:t>
      </w:r>
    </w:p>
    <w:p w14:paraId="623272EE" w14:textId="77777777" w:rsidR="002130A4" w:rsidRPr="002130A4" w:rsidRDefault="002130A4" w:rsidP="002130A4">
      <w:pPr>
        <w:spacing w:line="360" w:lineRule="auto"/>
        <w:jc w:val="both"/>
        <w:rPr>
          <w:rFonts w:ascii="Palatino Linotype" w:hAnsi="Palatino Linotype" w:cs="Tahoma"/>
          <w:bCs/>
          <w:sz w:val="20"/>
          <w:szCs w:val="20"/>
          <w:lang w:val="es-ES" w:eastAsia="es-ES"/>
        </w:rPr>
      </w:pPr>
    </w:p>
    <w:p w14:paraId="44700587" w14:textId="77777777" w:rsidR="002130A4" w:rsidRPr="00B22751" w:rsidRDefault="002130A4" w:rsidP="002130A4">
      <w:pPr>
        <w:numPr>
          <w:ilvl w:val="0"/>
          <w:numId w:val="22"/>
        </w:numPr>
        <w:spacing w:line="360" w:lineRule="auto"/>
        <w:jc w:val="both"/>
        <w:rPr>
          <w:rFonts w:ascii="Palatino Linotype" w:hAnsi="Palatino Linotype" w:cs="Tahoma"/>
          <w:b/>
          <w:bCs/>
          <w:sz w:val="22"/>
          <w:szCs w:val="22"/>
          <w:lang w:eastAsia="es-ES"/>
        </w:rPr>
      </w:pPr>
      <w:r w:rsidRPr="00B22751">
        <w:rPr>
          <w:rFonts w:ascii="Palatino Linotype" w:hAnsi="Palatino Linotype" w:cs="Tahoma"/>
          <w:b/>
          <w:bCs/>
          <w:sz w:val="22"/>
          <w:szCs w:val="22"/>
          <w:lang w:eastAsia="es-ES"/>
        </w:rPr>
        <w:t>La existencia de un juicio o procedimiento administrativo materialmente jurisdiccional, que se encuentre en trámite, y</w:t>
      </w:r>
    </w:p>
    <w:p w14:paraId="1890E98E" w14:textId="77777777" w:rsidR="002130A4" w:rsidRPr="002130A4" w:rsidRDefault="002130A4" w:rsidP="002130A4">
      <w:pPr>
        <w:numPr>
          <w:ilvl w:val="0"/>
          <w:numId w:val="22"/>
        </w:numPr>
        <w:spacing w:line="360" w:lineRule="auto"/>
        <w:jc w:val="both"/>
        <w:rPr>
          <w:rFonts w:ascii="Palatino Linotype" w:hAnsi="Palatino Linotype" w:cs="Tahoma"/>
          <w:bCs/>
          <w:sz w:val="22"/>
          <w:szCs w:val="22"/>
          <w:lang w:eastAsia="es-ES"/>
        </w:rPr>
      </w:pPr>
      <w:r w:rsidRPr="00B22751">
        <w:rPr>
          <w:rFonts w:ascii="Palatino Linotype" w:hAnsi="Palatino Linotype" w:cs="Tahoma"/>
          <w:b/>
          <w:bCs/>
          <w:sz w:val="22"/>
          <w:szCs w:val="22"/>
          <w:lang w:eastAsia="es-ES"/>
        </w:rPr>
        <w:t>Que la información solicitada se refiera a actuaciones, diligencias o constancias propias del procedimiento</w:t>
      </w:r>
      <w:r w:rsidRPr="002130A4">
        <w:rPr>
          <w:rFonts w:ascii="Palatino Linotype" w:hAnsi="Palatino Linotype" w:cs="Tahoma"/>
          <w:bCs/>
          <w:sz w:val="22"/>
          <w:szCs w:val="22"/>
          <w:lang w:eastAsia="es-ES"/>
        </w:rPr>
        <w:t>.</w:t>
      </w:r>
    </w:p>
    <w:p w14:paraId="0A5CBA71" w14:textId="77777777" w:rsidR="002130A4" w:rsidRPr="002130A4" w:rsidRDefault="002130A4" w:rsidP="002130A4">
      <w:pPr>
        <w:spacing w:line="360" w:lineRule="auto"/>
        <w:jc w:val="both"/>
        <w:rPr>
          <w:rFonts w:ascii="Palatino Linotype" w:hAnsi="Palatino Linotype" w:cs="Tahoma"/>
          <w:bCs/>
          <w:sz w:val="20"/>
          <w:szCs w:val="20"/>
          <w:lang w:val="es-ES" w:eastAsia="es-ES"/>
        </w:rPr>
      </w:pPr>
    </w:p>
    <w:p w14:paraId="226929F7" w14:textId="77777777" w:rsidR="002130A4" w:rsidRPr="00B22751" w:rsidRDefault="002130A4" w:rsidP="002130A4">
      <w:pPr>
        <w:spacing w:line="360" w:lineRule="auto"/>
        <w:jc w:val="both"/>
        <w:rPr>
          <w:rFonts w:ascii="Palatino Linotype" w:hAnsi="Palatino Linotype" w:cs="Tahoma"/>
          <w:b/>
          <w:bCs/>
          <w:szCs w:val="22"/>
          <w:lang w:val="es-ES" w:eastAsia="es-ES"/>
        </w:rPr>
      </w:pPr>
      <w:r w:rsidRPr="00B22751">
        <w:rPr>
          <w:rFonts w:ascii="Palatino Linotype" w:hAnsi="Palatino Linotype" w:cs="Tahoma"/>
          <w:bCs/>
          <w:szCs w:val="22"/>
          <w:lang w:val="es-ES" w:eastAsia="es-ES"/>
        </w:rPr>
        <w:lastRenderedPageBreak/>
        <w:t xml:space="preserve">Con base en lo expuesto, se advierte que la información susceptible de clasificarse como reservada bajo el artículo 140, fracción VIII, de la Ley de la materia, es aquella cuya difusión </w:t>
      </w:r>
      <w:r w:rsidRPr="00B22751">
        <w:rPr>
          <w:rFonts w:ascii="Palatino Linotype" w:hAnsi="Palatino Linotype" w:cs="Tahoma"/>
          <w:b/>
          <w:bCs/>
          <w:szCs w:val="22"/>
          <w:lang w:val="es-ES" w:eastAsia="es-ES"/>
        </w:rPr>
        <w:t>vulnere la conducción de los expedientes de procedimientos administrativos seguidos en forma de juicio, que sigan en trámite.</w:t>
      </w:r>
    </w:p>
    <w:p w14:paraId="377BA2F3" w14:textId="77777777" w:rsidR="002130A4" w:rsidRPr="00B22751" w:rsidRDefault="002130A4" w:rsidP="002130A4">
      <w:pPr>
        <w:spacing w:line="360" w:lineRule="auto"/>
        <w:jc w:val="both"/>
        <w:rPr>
          <w:rFonts w:ascii="Palatino Linotype" w:hAnsi="Palatino Linotype" w:cs="Tahoma"/>
          <w:bCs/>
          <w:szCs w:val="22"/>
          <w:lang w:val="es-ES" w:eastAsia="es-ES"/>
        </w:rPr>
      </w:pPr>
    </w:p>
    <w:p w14:paraId="1D27234A" w14:textId="77777777" w:rsidR="002130A4" w:rsidRPr="00B22751" w:rsidRDefault="002130A4" w:rsidP="002130A4">
      <w:pPr>
        <w:spacing w:line="360" w:lineRule="auto"/>
        <w:jc w:val="both"/>
        <w:rPr>
          <w:rFonts w:ascii="Palatino Linotype" w:hAnsi="Palatino Linotype" w:cs="Tahoma"/>
          <w:bCs/>
          <w:szCs w:val="22"/>
          <w:lang w:val="es-ES" w:eastAsia="es-ES"/>
        </w:rPr>
      </w:pPr>
      <w:r w:rsidRPr="00B22751">
        <w:rPr>
          <w:rFonts w:ascii="Palatino Linotype" w:hAnsi="Palatino Linotype" w:cs="Tahoma"/>
          <w:bCs/>
          <w:szCs w:val="22"/>
          <w:lang w:val="es-ES" w:eastAsia="es-ES"/>
        </w:rPr>
        <w:t>En relación con lo anterior, es menester precisar que para que se trate de un</w:t>
      </w:r>
      <w:r w:rsidRPr="00B22751">
        <w:rPr>
          <w:rFonts w:ascii="Palatino Linotype" w:hAnsi="Palatino Linotype" w:cs="Tahoma"/>
          <w:b/>
          <w:bCs/>
          <w:szCs w:val="22"/>
          <w:lang w:val="es-ES" w:eastAsia="es-ES"/>
        </w:rPr>
        <w:t xml:space="preserve"> </w:t>
      </w:r>
      <w:r w:rsidRPr="00B22751">
        <w:rPr>
          <w:rFonts w:ascii="Palatino Linotype" w:hAnsi="Palatino Linotype" w:cs="Tahoma"/>
          <w:bCs/>
          <w:szCs w:val="22"/>
          <w:lang w:val="es-ES" w:eastAsia="es-ES"/>
        </w:rPr>
        <w:t xml:space="preserve">juicio o procedimiento administrativo materialmente jurisdiccional, debe cumplirse con lo dispuesto en los Lineamientos Generales en materia de clasificación y desclasificación de la información, así como lo sostenido por la Segunda Sala de la Suprema Corte de Justicia de la Nación, en la Tesis 2a./J. 22/2003, consistente en que un “procedimiento en forma de juicio”, debe entenderse </w:t>
      </w:r>
      <w:r w:rsidRPr="00B22751">
        <w:rPr>
          <w:rFonts w:ascii="Palatino Linotype" w:hAnsi="Palatino Linotype" w:cs="Tahoma"/>
          <w:bCs/>
          <w:i/>
          <w:szCs w:val="22"/>
          <w:lang w:val="es-ES" w:eastAsia="es-ES"/>
        </w:rPr>
        <w:t>lato sensu</w:t>
      </w:r>
      <w:r w:rsidRPr="00B22751">
        <w:rPr>
          <w:rFonts w:ascii="Palatino Linotype" w:hAnsi="Palatino Linotype" w:cs="Tahoma"/>
          <w:bCs/>
          <w:szCs w:val="22"/>
          <w:lang w:val="es-ES" w:eastAsia="es-ES"/>
        </w:rPr>
        <w:t>, no únicamente comprendiendo los procedimientos en que la autoridad dirime una controversia entre las partes, sino que deben incluir todos aquellos procedimientos en que una autoridad frente a la particular, prepara su resolución definitiva, aunque sólo sea un trámite para cumplir con la garantía de audiencia,</w:t>
      </w:r>
      <w:r w:rsidRPr="00B22751">
        <w:rPr>
          <w:rFonts w:ascii="Palatino Linotype" w:hAnsi="Palatino Linotype" w:cs="Tahoma"/>
          <w:b/>
          <w:bCs/>
          <w:szCs w:val="22"/>
          <w:lang w:val="es-ES" w:eastAsia="es-ES"/>
        </w:rPr>
        <w:t xml:space="preserve"> </w:t>
      </w:r>
      <w:r w:rsidRPr="00B22751">
        <w:rPr>
          <w:rFonts w:ascii="Palatino Linotype" w:hAnsi="Palatino Linotype" w:cs="Tahoma"/>
          <w:bCs/>
          <w:szCs w:val="22"/>
          <w:lang w:val="es-ES" w:eastAsia="es-ES"/>
        </w:rPr>
        <w:t>tal como se muestra a continuación:</w:t>
      </w:r>
    </w:p>
    <w:p w14:paraId="01818DA7" w14:textId="77777777" w:rsidR="002130A4" w:rsidRPr="002130A4" w:rsidRDefault="002130A4" w:rsidP="002130A4">
      <w:pPr>
        <w:spacing w:line="360" w:lineRule="auto"/>
        <w:jc w:val="both"/>
        <w:rPr>
          <w:rFonts w:ascii="Palatino Linotype" w:hAnsi="Palatino Linotype" w:cs="Tahoma"/>
          <w:bCs/>
          <w:sz w:val="20"/>
          <w:szCs w:val="20"/>
          <w:lang w:val="es-ES" w:eastAsia="es-ES"/>
        </w:rPr>
      </w:pPr>
    </w:p>
    <w:p w14:paraId="6223E2E2" w14:textId="77777777" w:rsidR="002130A4" w:rsidRPr="00B22751" w:rsidRDefault="002130A4" w:rsidP="00B22751">
      <w:pPr>
        <w:ind w:left="567" w:right="567"/>
        <w:jc w:val="both"/>
        <w:rPr>
          <w:rFonts w:ascii="Palatino Linotype" w:hAnsi="Palatino Linotype" w:cs="Tahoma"/>
          <w:b/>
          <w:bCs/>
          <w:i/>
          <w:sz w:val="22"/>
          <w:szCs w:val="20"/>
          <w:lang w:val="es-ES" w:eastAsia="es-ES"/>
        </w:rPr>
      </w:pPr>
      <w:r w:rsidRPr="00B22751">
        <w:rPr>
          <w:rFonts w:ascii="Palatino Linotype" w:hAnsi="Palatino Linotype" w:cs="Tahoma"/>
          <w:bCs/>
          <w:i/>
          <w:sz w:val="22"/>
          <w:szCs w:val="20"/>
          <w:lang w:val="es-ES" w:eastAsia="es-ES"/>
        </w:rPr>
        <w:t>“</w:t>
      </w:r>
      <w:r w:rsidRPr="00B22751">
        <w:rPr>
          <w:rFonts w:ascii="Palatino Linotype" w:hAnsi="Palatino Linotype" w:cs="Tahoma"/>
          <w:b/>
          <w:bCs/>
          <w:i/>
          <w:sz w:val="22"/>
          <w:szCs w:val="20"/>
          <w:lang w:val="es-ES" w:eastAsia="es-ES"/>
        </w:rPr>
        <w:t xml:space="preserve">PROCEDIMIENTOS EN FORMA DE JUICIO SEGUIDOS POR AUTORIDADES DISTINTAS DE TRIBUNALES A QUE SE REFIERE EL ARTÍCULO 114, FRACCIÓN II, PÁRRAFO SEGUNDO, DE LA LEY DE AMPARO. SU CONCEPTO COMPRENDE TANTO AQUELLOS EN QUE LA AUTORIDAD DIRIME UNA CONTROVERSIA ENTRE PARTES CONTENDIENTES, COMO LOS PROCEDIMIENTOS MEDIANTE LOS QUE LA AUTORIDAD PREPARA SU RESOLUCIÓN DEFINITIVA CON INTERVENCIÓN DEL PARTICULAR. </w:t>
      </w:r>
      <w:r w:rsidRPr="00B22751">
        <w:rPr>
          <w:rFonts w:ascii="Palatino Linotype" w:hAnsi="Palatino Linotype" w:cs="Tahoma"/>
          <w:bCs/>
          <w:i/>
          <w:sz w:val="22"/>
          <w:szCs w:val="20"/>
          <w:lang w:val="es-ES" w:eastAsia="es-ES"/>
        </w:rPr>
        <w:t xml:space="preserve">La Ley de Amparo establece que tratándose de actos dentro de un procedimiento, la </w:t>
      </w:r>
      <w:r w:rsidRPr="00B22751">
        <w:rPr>
          <w:rFonts w:ascii="Palatino Linotype" w:hAnsi="Palatino Linotype" w:cs="Tahoma"/>
          <w:b/>
          <w:bCs/>
          <w:i/>
          <w:sz w:val="22"/>
          <w:szCs w:val="20"/>
          <w:lang w:val="es-ES" w:eastAsia="es-ES"/>
        </w:rPr>
        <w:t>regla general, con algunas excepciones, es que el juicio constitucional sólo procede hasta la resolución definitiva,</w:t>
      </w:r>
      <w:r w:rsidRPr="00B22751">
        <w:rPr>
          <w:rFonts w:ascii="Palatino Linotype" w:hAnsi="Palatino Linotype" w:cs="Tahoma"/>
          <w:bCs/>
          <w:i/>
          <w:sz w:val="22"/>
          <w:szCs w:val="20"/>
          <w:lang w:val="es-ES" w:eastAsia="es-ES"/>
        </w:rPr>
        <w:t xml:space="preserve"> ocasión en la cual cabe alegar tanto violaciones de fondo como de procedimiento, sistema que tiene el propósito de armonizar la protección de las garantías constitucionales del </w:t>
      </w:r>
      <w:r w:rsidRPr="00B22751">
        <w:rPr>
          <w:rFonts w:ascii="Palatino Linotype" w:hAnsi="Palatino Linotype" w:cs="Tahoma"/>
          <w:bCs/>
          <w:i/>
          <w:sz w:val="22"/>
          <w:szCs w:val="20"/>
          <w:lang w:val="es-ES" w:eastAsia="es-ES"/>
        </w:rPr>
        <w:lastRenderedPageBreak/>
        <w:t xml:space="preserve">gobernado, con la necesidad de asegurar la expeditez de las diligencias procedimentales. Tal es la estructura que dicha Ley adopta en el amparo directo, así como en los procedimientos de ejecución y en los procedimientos de remate, como lo establece en sus artículos </w:t>
      </w:r>
      <w:hyperlink r:id="rId18" w:history="1">
        <w:r w:rsidRPr="00B22751">
          <w:rPr>
            <w:rFonts w:ascii="Palatino Linotype" w:hAnsi="Palatino Linotype" w:cs="Tahoma"/>
            <w:bCs/>
            <w:i/>
            <w:color w:val="0563C1"/>
            <w:sz w:val="22"/>
            <w:szCs w:val="20"/>
            <w:u w:val="single"/>
            <w:lang w:val="es-ES" w:eastAsia="es-ES"/>
          </w:rPr>
          <w:t>158</w:t>
        </w:r>
      </w:hyperlink>
      <w:r w:rsidRPr="00B22751">
        <w:rPr>
          <w:rFonts w:ascii="Palatino Linotype" w:hAnsi="Palatino Linotype" w:cs="Tahoma"/>
          <w:bCs/>
          <w:i/>
          <w:sz w:val="22"/>
          <w:szCs w:val="20"/>
          <w:lang w:val="es-ES" w:eastAsia="es-ES"/>
        </w:rPr>
        <w:t xml:space="preserve"> y </w:t>
      </w:r>
      <w:hyperlink r:id="rId19" w:history="1">
        <w:r w:rsidRPr="00B22751">
          <w:rPr>
            <w:rFonts w:ascii="Palatino Linotype" w:hAnsi="Palatino Linotype" w:cs="Tahoma"/>
            <w:bCs/>
            <w:i/>
            <w:color w:val="0563C1"/>
            <w:sz w:val="22"/>
            <w:szCs w:val="20"/>
            <w:u w:val="single"/>
            <w:lang w:val="es-ES" w:eastAsia="es-ES"/>
          </w:rPr>
          <w:t>114, fracción III</w:t>
        </w:r>
      </w:hyperlink>
      <w:r w:rsidRPr="00B22751">
        <w:rPr>
          <w:rFonts w:ascii="Palatino Linotype" w:hAnsi="Palatino Linotype" w:cs="Tahoma"/>
          <w:bCs/>
          <w:i/>
          <w:sz w:val="22"/>
          <w:szCs w:val="20"/>
          <w:lang w:val="es-ES" w:eastAsia="es-ES"/>
        </w:rPr>
        <w:t xml:space="preserve">, respectivamente. Por tanto, </w:t>
      </w:r>
      <w:r w:rsidRPr="00B22751">
        <w:rPr>
          <w:rFonts w:ascii="Palatino Linotype" w:hAnsi="Palatino Linotype" w:cs="Tahoma"/>
          <w:b/>
          <w:bCs/>
          <w:i/>
          <w:sz w:val="22"/>
          <w:szCs w:val="20"/>
          <w:lang w:val="es-ES" w:eastAsia="es-ES"/>
        </w:rPr>
        <w:t xml:space="preserve">al establecer el segundo párrafo de la fracción II del artículo 114 acabado de citar, que cuando el acto reclamado de autoridades distintas de tribunales judiciales, administrativos o del trabajo, emanen de un procedimiento en forma de juicio, el amparo sólo procede en contra de la resolución definitiva, </w:t>
      </w:r>
      <w:r w:rsidRPr="00B22751">
        <w:rPr>
          <w:rFonts w:ascii="Palatino Linotype" w:hAnsi="Palatino Linotype" w:cs="Tahoma"/>
          <w:b/>
          <w:bCs/>
          <w:i/>
          <w:sz w:val="22"/>
          <w:szCs w:val="20"/>
          <w:u w:val="single"/>
          <w:lang w:val="es-ES" w:eastAsia="es-ES"/>
        </w:rPr>
        <w:t>debe interpretarse de manera amplia</w:t>
      </w:r>
      <w:r w:rsidRPr="00B22751">
        <w:rPr>
          <w:rFonts w:ascii="Palatino Linotype" w:hAnsi="Palatino Linotype" w:cs="Tahoma"/>
          <w:b/>
          <w:bCs/>
          <w:i/>
          <w:sz w:val="22"/>
          <w:szCs w:val="20"/>
          <w:lang w:val="es-ES" w:eastAsia="es-ES"/>
        </w:rPr>
        <w:t xml:space="preserve"> la expresión "procedimiento en forma de juicio", comprendiendo aquellos en que la autoridad dirime una controversia entre partes contendientes, así como todos los procedimientos en que la autoridad, frente al particular, prepara su resolución definitiva, aunque sólo sea un trámite para cumplir con la garantía de audiencia, pues si en todos ellos se reclaman actos dentro de procedimiento, en todos debe de aplicarse la misma regla, conclusión que es acorde con la interpretación literal de dicho párrafo.</w:t>
      </w:r>
      <w:r w:rsidRPr="00B22751">
        <w:rPr>
          <w:rFonts w:ascii="Palatino Linotype" w:hAnsi="Palatino Linotype" w:cs="Tahoma"/>
          <w:bCs/>
          <w:i/>
          <w:sz w:val="22"/>
          <w:szCs w:val="20"/>
          <w:lang w:val="es-ES" w:eastAsia="es-ES"/>
        </w:rPr>
        <w:t>”</w:t>
      </w:r>
    </w:p>
    <w:p w14:paraId="15C3E02E" w14:textId="77777777" w:rsidR="002130A4" w:rsidRPr="002130A4" w:rsidRDefault="002130A4" w:rsidP="002130A4">
      <w:pPr>
        <w:spacing w:line="360" w:lineRule="auto"/>
        <w:jc w:val="both"/>
        <w:rPr>
          <w:rFonts w:ascii="Palatino Linotype" w:hAnsi="Palatino Linotype" w:cs="Tahoma"/>
          <w:b/>
          <w:bCs/>
          <w:sz w:val="22"/>
          <w:szCs w:val="22"/>
          <w:lang w:val="es-ES" w:eastAsia="es-ES"/>
        </w:rPr>
      </w:pPr>
    </w:p>
    <w:p w14:paraId="167C0F1E" w14:textId="77777777" w:rsidR="002130A4" w:rsidRPr="00B22751" w:rsidRDefault="002130A4" w:rsidP="002130A4">
      <w:pPr>
        <w:spacing w:line="360" w:lineRule="auto"/>
        <w:jc w:val="both"/>
        <w:rPr>
          <w:rFonts w:ascii="Palatino Linotype" w:hAnsi="Palatino Linotype" w:cs="Tahoma"/>
          <w:bCs/>
          <w:szCs w:val="22"/>
          <w:lang w:val="es-ES" w:eastAsia="es-ES"/>
        </w:rPr>
      </w:pPr>
      <w:r w:rsidRPr="00B22751">
        <w:rPr>
          <w:rFonts w:ascii="Palatino Linotype" w:hAnsi="Palatino Linotype" w:cs="Tahoma"/>
          <w:bCs/>
          <w:szCs w:val="22"/>
          <w:lang w:val="es-ES" w:eastAsia="es-ES"/>
        </w:rPr>
        <w:t>Ahora bien, es necesario señalar que, respecto a las formalidades esenciales del procedimiento, el Pleno de la Suprema de Corte de Justicia de la Nación mediante tesis jurisprudencial P./J.47/95, publicada en el Semanario Judicial de la Federación y su Gaceta, novena época, t. II, diciembre de 1995, página 133; ha sostenido:</w:t>
      </w:r>
    </w:p>
    <w:p w14:paraId="066CE1F6" w14:textId="77777777" w:rsidR="00B22751" w:rsidRDefault="00B22751" w:rsidP="002130A4">
      <w:pPr>
        <w:spacing w:line="360" w:lineRule="auto"/>
        <w:ind w:left="567" w:right="567"/>
        <w:jc w:val="both"/>
        <w:rPr>
          <w:rFonts w:ascii="Palatino Linotype" w:hAnsi="Palatino Linotype" w:cs="Tahoma"/>
          <w:bCs/>
          <w:i/>
          <w:sz w:val="20"/>
          <w:szCs w:val="20"/>
          <w:lang w:val="es-ES" w:eastAsia="es-ES"/>
        </w:rPr>
      </w:pPr>
    </w:p>
    <w:p w14:paraId="305CB389" w14:textId="77777777" w:rsidR="002130A4" w:rsidRPr="00B22751" w:rsidRDefault="002130A4" w:rsidP="00B22751">
      <w:pPr>
        <w:ind w:left="567" w:right="567"/>
        <w:jc w:val="both"/>
        <w:rPr>
          <w:rFonts w:ascii="Palatino Linotype" w:hAnsi="Palatino Linotype" w:cs="Tahoma"/>
          <w:bCs/>
          <w:i/>
          <w:sz w:val="22"/>
          <w:szCs w:val="20"/>
          <w:lang w:val="es-ES" w:eastAsia="es-ES"/>
        </w:rPr>
      </w:pPr>
      <w:r w:rsidRPr="00B22751">
        <w:rPr>
          <w:rFonts w:ascii="Palatino Linotype" w:hAnsi="Palatino Linotype" w:cs="Tahoma"/>
          <w:bCs/>
          <w:i/>
          <w:sz w:val="22"/>
          <w:szCs w:val="20"/>
          <w:lang w:val="es-ES" w:eastAsia="es-ES"/>
        </w:rPr>
        <w:t>“</w:t>
      </w:r>
      <w:r w:rsidRPr="00B22751">
        <w:rPr>
          <w:rFonts w:ascii="Palatino Linotype" w:hAnsi="Palatino Linotype" w:cs="Tahoma"/>
          <w:b/>
          <w:bCs/>
          <w:i/>
          <w:sz w:val="22"/>
          <w:szCs w:val="20"/>
          <w:lang w:val="es-ES" w:eastAsia="es-ES"/>
        </w:rPr>
        <w:t xml:space="preserve">FORMALIDADES ESENCIALES DEL PROCEDIMIENTO. SON LAS QUE GARANTIZAN UNA ADECUADA Y OPORTUNA DEFENSA PREVIA AL ACTO PRIVATIVO. </w:t>
      </w:r>
      <w:r w:rsidRPr="00B22751">
        <w:rPr>
          <w:rFonts w:ascii="Palatino Linotype" w:hAnsi="Palatino Linotype" w:cs="Tahoma"/>
          <w:bCs/>
          <w:i/>
          <w:sz w:val="22"/>
          <w:szCs w:val="20"/>
          <w:lang w:val="es-ES" w:eastAsia="es-ES"/>
        </w:rPr>
        <w:t>La garantía de audiencia establecida por el artículo 14 constitucional consiste en otorgar al gobernado la oportunidad de defensa previamente al acto privativo de la vida, libertad, propiedad, posesiones o derechos, y su debido respeto impone a las autoridades, entre otras obligaciones, la de que en el juicio que se siga ‘se cumplan las formalidades esenciales del procedimiento’. Estas son las que resultan necesarias para garantizar la defensa adecuada antes del acto de privación y que, de manera genérica, se traducen en los siguientes requisitos: 1) La notificación del inicio del procedimiento y sus consecuencias; 2) La oportunidad de ofrecer y desahogar las pruebas en que se finque la defensa; 3) La oportunidad de alegar; y 4) El dictado de una resolución que dirima las cuestiones debatidas. De no respetarse estos requisitos, se dejaría de cumplir con el fin de la garantía de audiencia, que es evitar la indefensión del afectado.”</w:t>
      </w:r>
    </w:p>
    <w:p w14:paraId="6F606D1A" w14:textId="77777777" w:rsidR="002130A4" w:rsidRPr="002130A4" w:rsidRDefault="002130A4" w:rsidP="002130A4">
      <w:pPr>
        <w:spacing w:line="360" w:lineRule="auto"/>
        <w:jc w:val="both"/>
        <w:rPr>
          <w:rFonts w:ascii="Palatino Linotype" w:hAnsi="Palatino Linotype" w:cs="Tahoma"/>
          <w:bCs/>
          <w:sz w:val="20"/>
          <w:szCs w:val="20"/>
          <w:lang w:val="es-ES" w:eastAsia="es-ES"/>
        </w:rPr>
      </w:pPr>
    </w:p>
    <w:p w14:paraId="61467295" w14:textId="77777777" w:rsidR="002130A4" w:rsidRPr="00B22751" w:rsidRDefault="002130A4" w:rsidP="002130A4">
      <w:pPr>
        <w:spacing w:line="360" w:lineRule="auto"/>
        <w:jc w:val="both"/>
        <w:rPr>
          <w:rFonts w:ascii="Palatino Linotype" w:hAnsi="Palatino Linotype" w:cs="Tahoma"/>
          <w:bCs/>
          <w:szCs w:val="22"/>
          <w:lang w:val="es-ES" w:eastAsia="es-ES"/>
        </w:rPr>
      </w:pPr>
      <w:r w:rsidRPr="00B22751">
        <w:rPr>
          <w:rFonts w:ascii="Palatino Linotype" w:hAnsi="Palatino Linotype" w:cs="Tahoma"/>
          <w:bCs/>
          <w:szCs w:val="22"/>
          <w:lang w:val="es-ES" w:eastAsia="es-ES"/>
        </w:rPr>
        <w:lastRenderedPageBreak/>
        <w:t>Del criterio jurisprudencial citado, se desprende que las formalidades esenciales del procedimiento que exige el párrafo segundo del artículo 14 de la Constitución Política de los Estados Unidos Mexicanos para que se respete la garantía de audiencia, son las que resultan necesarias para garantizar la defensa adecuada antes del acto de privación y que, de manera genérica, se traducen en los siguientes requisitos:</w:t>
      </w:r>
    </w:p>
    <w:p w14:paraId="66A6ACF2" w14:textId="77777777" w:rsidR="002130A4" w:rsidRPr="002130A4" w:rsidRDefault="002130A4" w:rsidP="002130A4">
      <w:pPr>
        <w:spacing w:line="360" w:lineRule="auto"/>
        <w:jc w:val="both"/>
        <w:rPr>
          <w:rFonts w:ascii="Palatino Linotype" w:hAnsi="Palatino Linotype" w:cs="Tahoma"/>
          <w:bCs/>
          <w:sz w:val="22"/>
          <w:szCs w:val="22"/>
          <w:lang w:val="es-ES" w:eastAsia="es-ES"/>
        </w:rPr>
      </w:pPr>
    </w:p>
    <w:p w14:paraId="2345B28E" w14:textId="77777777" w:rsidR="002130A4" w:rsidRPr="002130A4" w:rsidRDefault="002130A4" w:rsidP="002130A4">
      <w:pPr>
        <w:numPr>
          <w:ilvl w:val="0"/>
          <w:numId w:val="23"/>
        </w:numPr>
        <w:spacing w:line="360" w:lineRule="auto"/>
        <w:ind w:left="851"/>
        <w:jc w:val="both"/>
        <w:rPr>
          <w:rFonts w:ascii="Palatino Linotype" w:hAnsi="Palatino Linotype" w:cs="Tahoma"/>
          <w:bCs/>
          <w:sz w:val="22"/>
          <w:szCs w:val="22"/>
          <w:lang w:val="es-ES" w:eastAsia="es-ES"/>
        </w:rPr>
      </w:pPr>
      <w:r w:rsidRPr="002130A4">
        <w:rPr>
          <w:rFonts w:ascii="Palatino Linotype" w:hAnsi="Palatino Linotype" w:cs="Tahoma"/>
          <w:bCs/>
          <w:sz w:val="22"/>
          <w:szCs w:val="22"/>
          <w:lang w:val="es-ES" w:eastAsia="es-ES"/>
        </w:rPr>
        <w:t>La notificación del inicio del procedimiento y sus consecuencias;</w:t>
      </w:r>
    </w:p>
    <w:p w14:paraId="43DFC7FA" w14:textId="77777777" w:rsidR="002130A4" w:rsidRPr="002130A4" w:rsidRDefault="002130A4" w:rsidP="002130A4">
      <w:pPr>
        <w:numPr>
          <w:ilvl w:val="0"/>
          <w:numId w:val="23"/>
        </w:numPr>
        <w:spacing w:line="360" w:lineRule="auto"/>
        <w:ind w:left="851"/>
        <w:jc w:val="both"/>
        <w:rPr>
          <w:rFonts w:ascii="Palatino Linotype" w:hAnsi="Palatino Linotype" w:cs="Tahoma"/>
          <w:bCs/>
          <w:sz w:val="22"/>
          <w:szCs w:val="22"/>
          <w:lang w:val="es-ES" w:eastAsia="es-ES"/>
        </w:rPr>
      </w:pPr>
      <w:r w:rsidRPr="002130A4">
        <w:rPr>
          <w:rFonts w:ascii="Palatino Linotype" w:hAnsi="Palatino Linotype" w:cs="Tahoma"/>
          <w:bCs/>
          <w:sz w:val="22"/>
          <w:szCs w:val="22"/>
          <w:lang w:val="es-ES" w:eastAsia="es-ES"/>
        </w:rPr>
        <w:t xml:space="preserve">La oportunidad de ofrecer y desahogar pruebas; </w:t>
      </w:r>
    </w:p>
    <w:p w14:paraId="7B07AC37" w14:textId="77777777" w:rsidR="002130A4" w:rsidRPr="002130A4" w:rsidRDefault="002130A4" w:rsidP="002130A4">
      <w:pPr>
        <w:numPr>
          <w:ilvl w:val="0"/>
          <w:numId w:val="23"/>
        </w:numPr>
        <w:spacing w:line="360" w:lineRule="auto"/>
        <w:ind w:left="851"/>
        <w:jc w:val="both"/>
        <w:rPr>
          <w:rFonts w:ascii="Palatino Linotype" w:hAnsi="Palatino Linotype" w:cs="Tahoma"/>
          <w:bCs/>
          <w:sz w:val="22"/>
          <w:szCs w:val="22"/>
          <w:lang w:val="es-ES" w:eastAsia="es-ES"/>
        </w:rPr>
      </w:pPr>
      <w:r w:rsidRPr="002130A4">
        <w:rPr>
          <w:rFonts w:ascii="Palatino Linotype" w:hAnsi="Palatino Linotype" w:cs="Tahoma"/>
          <w:bCs/>
          <w:sz w:val="22"/>
          <w:szCs w:val="22"/>
          <w:lang w:val="es-ES" w:eastAsia="es-ES"/>
        </w:rPr>
        <w:t>La oportunidad de alegar; y</w:t>
      </w:r>
    </w:p>
    <w:p w14:paraId="7066B77C" w14:textId="77777777" w:rsidR="002130A4" w:rsidRPr="002130A4" w:rsidRDefault="002130A4" w:rsidP="002130A4">
      <w:pPr>
        <w:numPr>
          <w:ilvl w:val="0"/>
          <w:numId w:val="23"/>
        </w:numPr>
        <w:spacing w:line="360" w:lineRule="auto"/>
        <w:ind w:left="851"/>
        <w:jc w:val="both"/>
        <w:rPr>
          <w:rFonts w:ascii="Palatino Linotype" w:hAnsi="Palatino Linotype" w:cs="Tahoma"/>
          <w:bCs/>
          <w:sz w:val="22"/>
          <w:szCs w:val="22"/>
          <w:lang w:val="es-ES" w:eastAsia="es-ES"/>
        </w:rPr>
      </w:pPr>
      <w:r w:rsidRPr="002130A4">
        <w:rPr>
          <w:rFonts w:ascii="Palatino Linotype" w:hAnsi="Palatino Linotype" w:cs="Tahoma"/>
          <w:bCs/>
          <w:sz w:val="22"/>
          <w:szCs w:val="22"/>
          <w:lang w:val="es-ES" w:eastAsia="es-ES"/>
        </w:rPr>
        <w:t>El dictado de una resolución que dirima las cuestiones debatidas.</w:t>
      </w:r>
    </w:p>
    <w:p w14:paraId="2F99F37A" w14:textId="77777777" w:rsidR="002130A4" w:rsidRPr="002130A4" w:rsidRDefault="002130A4" w:rsidP="002130A4">
      <w:pPr>
        <w:spacing w:line="360" w:lineRule="auto"/>
        <w:jc w:val="both"/>
        <w:rPr>
          <w:rFonts w:ascii="Palatino Linotype" w:hAnsi="Palatino Linotype" w:cs="Tahoma"/>
          <w:bCs/>
          <w:sz w:val="20"/>
          <w:szCs w:val="20"/>
          <w:lang w:val="es-ES" w:eastAsia="es-ES"/>
        </w:rPr>
      </w:pPr>
    </w:p>
    <w:p w14:paraId="401E6AA9" w14:textId="6BB6A619" w:rsidR="002130A4" w:rsidRPr="00B22751" w:rsidRDefault="002130A4" w:rsidP="002130A4">
      <w:pPr>
        <w:spacing w:line="360" w:lineRule="auto"/>
        <w:jc w:val="both"/>
        <w:rPr>
          <w:rFonts w:ascii="Palatino Linotype" w:hAnsi="Palatino Linotype" w:cs="Tahoma"/>
          <w:bCs/>
          <w:szCs w:val="22"/>
          <w:lang w:eastAsia="es-ES"/>
        </w:rPr>
      </w:pPr>
      <w:r w:rsidRPr="00B22751">
        <w:rPr>
          <w:rFonts w:ascii="Palatino Linotype" w:hAnsi="Palatino Linotype" w:cs="Tahoma"/>
          <w:bCs/>
          <w:szCs w:val="22"/>
          <w:lang w:val="es-ES" w:eastAsia="es-ES"/>
        </w:rPr>
        <w:t xml:space="preserve">Por lo que hace a la notificación del inicio del procedimiento y sus consecuencias, es la </w:t>
      </w:r>
      <w:r w:rsidR="00B22751">
        <w:rPr>
          <w:rFonts w:ascii="Palatino Linotype" w:hAnsi="Palatino Linotype" w:cs="Tahoma"/>
          <w:bCs/>
          <w:szCs w:val="22"/>
          <w:lang w:val="es-ES" w:eastAsia="es-ES"/>
        </w:rPr>
        <w:t>etapa en la que se hace del con</w:t>
      </w:r>
      <w:r w:rsidR="00B22751" w:rsidRPr="00B22751">
        <w:rPr>
          <w:rFonts w:ascii="Palatino Linotype" w:hAnsi="Palatino Linotype" w:cs="Tahoma"/>
          <w:bCs/>
          <w:szCs w:val="22"/>
          <w:lang w:val="es-ES" w:eastAsia="es-ES"/>
        </w:rPr>
        <w:t>o</w:t>
      </w:r>
      <w:r w:rsidR="00B22751">
        <w:rPr>
          <w:rFonts w:ascii="Palatino Linotype" w:hAnsi="Palatino Linotype" w:cs="Tahoma"/>
          <w:bCs/>
          <w:szCs w:val="22"/>
          <w:lang w:val="es-ES" w:eastAsia="es-ES"/>
        </w:rPr>
        <w:t>ci</w:t>
      </w:r>
      <w:r w:rsidR="00B22751" w:rsidRPr="00B22751">
        <w:rPr>
          <w:rFonts w:ascii="Palatino Linotype" w:hAnsi="Palatino Linotype" w:cs="Tahoma"/>
          <w:bCs/>
          <w:szCs w:val="22"/>
          <w:lang w:val="es-ES" w:eastAsia="es-ES"/>
        </w:rPr>
        <w:t>miento</w:t>
      </w:r>
      <w:r w:rsidRPr="00B22751">
        <w:rPr>
          <w:rFonts w:ascii="Palatino Linotype" w:hAnsi="Palatino Linotype" w:cs="Tahoma"/>
          <w:bCs/>
          <w:szCs w:val="22"/>
          <w:lang w:val="es-ES" w:eastAsia="es-ES"/>
        </w:rPr>
        <w:t xml:space="preserve"> de una de las partes que se ha instaurado un procedimiento en su contra; por otra parte, la oportunidad de ofrecer y desahogar pruebas, es la instancia en la que se da a las partes de presentar aquellos elementos de convicción que acrediten sus pretensiones; en relación con la fase de alegar, es aquella del proceso en que las partes presentan las manifestaciones que a su derecho convenga, y finalmente, por lo que hace al dictado de la resolución, versa en la determinación de la autoridad competente de las cuestiones debatidas.</w:t>
      </w:r>
    </w:p>
    <w:p w14:paraId="69EE98FA" w14:textId="77777777" w:rsidR="002130A4" w:rsidRPr="002130A4" w:rsidRDefault="002130A4" w:rsidP="002130A4">
      <w:pPr>
        <w:spacing w:line="360" w:lineRule="auto"/>
        <w:jc w:val="both"/>
        <w:rPr>
          <w:rFonts w:ascii="Palatino Linotype" w:hAnsi="Palatino Linotype" w:cs="Tahoma"/>
          <w:bCs/>
          <w:sz w:val="20"/>
          <w:szCs w:val="20"/>
          <w:lang w:eastAsia="es-ES"/>
        </w:rPr>
      </w:pPr>
    </w:p>
    <w:p w14:paraId="18FDBBD3" w14:textId="028C92E6" w:rsidR="001E0D35" w:rsidRPr="001E0D35" w:rsidRDefault="002130A4" w:rsidP="001E0D35">
      <w:pPr>
        <w:spacing w:line="360" w:lineRule="auto"/>
        <w:ind w:right="-91"/>
        <w:jc w:val="both"/>
        <w:rPr>
          <w:rFonts w:ascii="Palatino Linotype" w:hAnsi="Palatino Linotype" w:cs="Tahoma"/>
          <w:bCs/>
          <w:szCs w:val="22"/>
          <w:lang w:eastAsia="es-ES"/>
        </w:rPr>
      </w:pPr>
      <w:r w:rsidRPr="00B22751">
        <w:rPr>
          <w:rFonts w:ascii="Palatino Linotype" w:hAnsi="Palatino Linotype" w:cs="Tahoma"/>
          <w:bCs/>
          <w:szCs w:val="22"/>
          <w:lang w:eastAsia="es-ES"/>
        </w:rPr>
        <w:t xml:space="preserve">En ese contexto, resulta </w:t>
      </w:r>
      <w:r w:rsidRPr="00B22751">
        <w:rPr>
          <w:rFonts w:ascii="Palatino Linotype" w:hAnsi="Palatino Linotype" w:cs="Tahoma"/>
          <w:bCs/>
          <w:szCs w:val="22"/>
          <w:lang w:val="es-ES" w:eastAsia="es-ES"/>
        </w:rPr>
        <w:t>necesario</w:t>
      </w:r>
      <w:r w:rsidRPr="00B22751">
        <w:rPr>
          <w:rFonts w:ascii="Palatino Linotype" w:hAnsi="Palatino Linotype" w:cs="Tahoma"/>
          <w:bCs/>
          <w:szCs w:val="22"/>
          <w:lang w:eastAsia="es-ES"/>
        </w:rPr>
        <w:t xml:space="preserve"> precisar que el proceso, en el presente caso, corresponde a aquel para resolver</w:t>
      </w:r>
      <w:r w:rsidR="001E0D35">
        <w:rPr>
          <w:rFonts w:ascii="Palatino Linotype" w:hAnsi="Palatino Linotype" w:cs="Tahoma"/>
          <w:bCs/>
          <w:szCs w:val="22"/>
          <w:lang w:eastAsia="es-ES"/>
        </w:rPr>
        <w:t xml:space="preserve"> procedimientos </w:t>
      </w:r>
      <w:r w:rsidR="001E0D35" w:rsidRPr="001E0D35">
        <w:rPr>
          <w:rFonts w:ascii="Palatino Linotype" w:hAnsi="Palatino Linotype" w:cs="Tahoma"/>
          <w:bCs/>
          <w:lang w:eastAsia="es-ES"/>
        </w:rPr>
        <w:t xml:space="preserve">en los que se resuelva la suspensión temporal, separación, remoción, baja, cese o cualquier otra forma de terminación del servicio de los elementos policiales; por lo que, es necesario traer a </w:t>
      </w:r>
      <w:r w:rsidR="001E0D35" w:rsidRPr="001E0D35">
        <w:rPr>
          <w:rFonts w:ascii="Palatino Linotype" w:hAnsi="Palatino Linotype" w:cs="Tahoma"/>
          <w:bCs/>
          <w:lang w:eastAsia="es-ES"/>
        </w:rPr>
        <w:lastRenderedPageBreak/>
        <w:t>colación lo señalado por la Ley de Seguridad del Estado de México, que establece lo siguiente:</w:t>
      </w:r>
    </w:p>
    <w:p w14:paraId="591B3E0E" w14:textId="68D4B753" w:rsidR="001E0D35" w:rsidRPr="001E0D35" w:rsidRDefault="001E0D35" w:rsidP="001E0D35">
      <w:pPr>
        <w:ind w:left="851" w:right="851"/>
        <w:jc w:val="both"/>
        <w:rPr>
          <w:rFonts w:ascii="Palatino Linotype" w:eastAsia="Calibri" w:hAnsi="Palatino Linotype" w:cs="Tahoma"/>
          <w:bCs/>
          <w:i/>
          <w:sz w:val="22"/>
          <w:szCs w:val="22"/>
          <w:lang w:eastAsia="en-US"/>
        </w:rPr>
      </w:pPr>
      <w:r>
        <w:rPr>
          <w:rFonts w:ascii="Palatino Linotype" w:eastAsia="Calibri" w:hAnsi="Palatino Linotype" w:cs="Tahoma"/>
          <w:b/>
          <w:bCs/>
          <w:i/>
          <w:sz w:val="22"/>
          <w:szCs w:val="22"/>
          <w:lang w:eastAsia="en-US"/>
        </w:rPr>
        <w:t>“</w:t>
      </w:r>
      <w:r w:rsidRPr="001E0D35">
        <w:rPr>
          <w:rFonts w:ascii="Palatino Linotype" w:eastAsia="Calibri" w:hAnsi="Palatino Linotype" w:cs="Tahoma"/>
          <w:b/>
          <w:bCs/>
          <w:i/>
          <w:sz w:val="22"/>
          <w:szCs w:val="22"/>
          <w:lang w:eastAsia="en-US"/>
        </w:rPr>
        <w:t>Artículo 160.-</w:t>
      </w:r>
      <w:r w:rsidRPr="001E0D35">
        <w:rPr>
          <w:rFonts w:ascii="Palatino Linotype" w:eastAsia="Calibri" w:hAnsi="Palatino Linotype" w:cs="Tahoma"/>
          <w:bCs/>
          <w:i/>
          <w:sz w:val="22"/>
          <w:szCs w:val="22"/>
          <w:lang w:eastAsia="en-US"/>
        </w:rPr>
        <w:t xml:space="preserve"> </w:t>
      </w:r>
      <w:r w:rsidRPr="001E0D35">
        <w:rPr>
          <w:rFonts w:ascii="Palatino Linotype" w:eastAsia="Calibri" w:hAnsi="Palatino Linotype" w:cs="Tahoma"/>
          <w:b/>
          <w:i/>
          <w:sz w:val="22"/>
          <w:szCs w:val="22"/>
          <w:u w:val="single"/>
          <w:lang w:eastAsia="en-US"/>
        </w:rPr>
        <w:t>La Comisión de Honor y Justicia, es un órgano colegiado que tendrá como atribución llevar a cabo</w:t>
      </w:r>
      <w:r w:rsidRPr="001E0D35">
        <w:rPr>
          <w:rFonts w:ascii="Palatino Linotype" w:eastAsia="Calibri" w:hAnsi="Palatino Linotype" w:cs="Tahoma"/>
          <w:bCs/>
          <w:i/>
          <w:sz w:val="22"/>
          <w:szCs w:val="22"/>
          <w:lang w:eastAsia="en-US"/>
        </w:rPr>
        <w:t xml:space="preserve">, en el ámbito de su competencia, </w:t>
      </w:r>
      <w:r w:rsidRPr="001E0D35">
        <w:rPr>
          <w:rFonts w:ascii="Palatino Linotype" w:eastAsia="Calibri" w:hAnsi="Palatino Linotype" w:cs="Tahoma"/>
          <w:b/>
          <w:i/>
          <w:sz w:val="22"/>
          <w:szCs w:val="22"/>
          <w:u w:val="single"/>
          <w:lang w:eastAsia="en-US"/>
        </w:rPr>
        <w:t>los procedimientos en los que se resuelva la suspensión temporal, separación, remoción, baja, cese o cualquier otra forma de terminación del servicio de los elementos policiales de conformidad con lo establecido en el artículo 123, apartado B, fracción XIII de la Constitución Federal y la Ley General</w:t>
      </w:r>
      <w:r w:rsidRPr="001E0D35">
        <w:rPr>
          <w:rFonts w:ascii="Palatino Linotype" w:eastAsia="Calibri" w:hAnsi="Palatino Linotype" w:cs="Tahoma"/>
          <w:bCs/>
          <w:i/>
          <w:sz w:val="22"/>
          <w:szCs w:val="22"/>
          <w:lang w:eastAsia="en-US"/>
        </w:rPr>
        <w:t>, cuando incumplan:</w:t>
      </w:r>
    </w:p>
    <w:p w14:paraId="052885F7" w14:textId="77777777" w:rsidR="001E0D35" w:rsidRPr="001E0D35" w:rsidRDefault="001E0D35" w:rsidP="001E0D35">
      <w:pPr>
        <w:ind w:left="851" w:right="851"/>
        <w:jc w:val="both"/>
        <w:rPr>
          <w:rFonts w:ascii="Palatino Linotype" w:eastAsia="Calibri" w:hAnsi="Palatino Linotype" w:cs="Tahoma"/>
          <w:bCs/>
          <w:i/>
          <w:sz w:val="22"/>
          <w:szCs w:val="22"/>
          <w:lang w:eastAsia="en-US"/>
        </w:rPr>
      </w:pPr>
      <w:r w:rsidRPr="001E0D35">
        <w:rPr>
          <w:rFonts w:ascii="Palatino Linotype" w:eastAsia="Calibri" w:hAnsi="Palatino Linotype" w:cs="Tahoma"/>
          <w:bCs/>
          <w:i/>
          <w:sz w:val="22"/>
          <w:szCs w:val="22"/>
          <w:lang w:eastAsia="en-US"/>
        </w:rPr>
        <w:t>I. Con los requisitos de permanencia que se establecen en la Ley General, esta Ley y demás disposiciones legales aplicables;</w:t>
      </w:r>
    </w:p>
    <w:p w14:paraId="7EA81743" w14:textId="77777777" w:rsidR="001E0D35" w:rsidRPr="001E0D35" w:rsidRDefault="001E0D35" w:rsidP="001E0D35">
      <w:pPr>
        <w:ind w:left="851" w:right="851"/>
        <w:jc w:val="both"/>
        <w:rPr>
          <w:rFonts w:ascii="Palatino Linotype" w:eastAsia="Calibri" w:hAnsi="Palatino Linotype" w:cs="Tahoma"/>
          <w:bCs/>
          <w:i/>
          <w:sz w:val="22"/>
          <w:szCs w:val="22"/>
          <w:lang w:eastAsia="en-US"/>
        </w:rPr>
      </w:pPr>
      <w:r w:rsidRPr="001E0D35">
        <w:rPr>
          <w:rFonts w:ascii="Palatino Linotype" w:eastAsia="Calibri" w:hAnsi="Palatino Linotype" w:cs="Tahoma"/>
          <w:bCs/>
          <w:i/>
          <w:sz w:val="22"/>
          <w:szCs w:val="22"/>
          <w:lang w:eastAsia="en-US"/>
        </w:rPr>
        <w:t>II. Con las obligaciones establecidas en la Ley General, esta Ley y los ordenamientos jurídicos internos que rigen su actuar; y</w:t>
      </w:r>
    </w:p>
    <w:p w14:paraId="119170EF" w14:textId="77777777" w:rsidR="001E0D35" w:rsidRPr="001E0D35" w:rsidRDefault="001E0D35" w:rsidP="001E0D35">
      <w:pPr>
        <w:ind w:left="851" w:right="851"/>
        <w:jc w:val="both"/>
        <w:rPr>
          <w:rFonts w:ascii="Palatino Linotype" w:eastAsia="Calibri" w:hAnsi="Palatino Linotype" w:cs="Tahoma"/>
          <w:bCs/>
          <w:i/>
          <w:sz w:val="22"/>
          <w:szCs w:val="22"/>
          <w:lang w:eastAsia="en-US"/>
        </w:rPr>
      </w:pPr>
      <w:r w:rsidRPr="001E0D35">
        <w:rPr>
          <w:rFonts w:ascii="Palatino Linotype" w:eastAsia="Calibri" w:hAnsi="Palatino Linotype" w:cs="Tahoma"/>
          <w:bCs/>
          <w:i/>
          <w:sz w:val="22"/>
          <w:szCs w:val="22"/>
          <w:lang w:eastAsia="en-US"/>
        </w:rPr>
        <w:t>III. Con el régimen disciplinario establecido en esta Ley.</w:t>
      </w:r>
    </w:p>
    <w:p w14:paraId="13A64397" w14:textId="77777777" w:rsidR="001E0D35" w:rsidRPr="001E0D35" w:rsidRDefault="001E0D35" w:rsidP="001E0D35">
      <w:pPr>
        <w:ind w:left="851" w:right="851"/>
        <w:jc w:val="both"/>
        <w:rPr>
          <w:rFonts w:ascii="Palatino Linotype" w:eastAsia="Calibri" w:hAnsi="Palatino Linotype" w:cs="Tahoma"/>
          <w:bCs/>
          <w:i/>
          <w:sz w:val="22"/>
          <w:szCs w:val="22"/>
          <w:lang w:eastAsia="en-US"/>
        </w:rPr>
      </w:pPr>
      <w:r w:rsidRPr="001E0D35">
        <w:rPr>
          <w:rFonts w:ascii="Palatino Linotype" w:eastAsia="Calibri" w:hAnsi="Palatino Linotype" w:cs="Tahoma"/>
          <w:bCs/>
          <w:i/>
          <w:sz w:val="22"/>
          <w:szCs w:val="22"/>
          <w:lang w:eastAsia="en-US"/>
        </w:rPr>
        <w:t>La Comisión de Honor y Justicia implementará una base de datos en la que se registrarán las sanciones impuestas a los integrantes de las Instituciones Policiales.</w:t>
      </w:r>
    </w:p>
    <w:p w14:paraId="6C7BA542" w14:textId="77777777" w:rsidR="001E0D35" w:rsidRPr="001E0D35" w:rsidRDefault="001E0D35" w:rsidP="001E0D35">
      <w:pPr>
        <w:ind w:left="851" w:right="851"/>
        <w:jc w:val="both"/>
        <w:rPr>
          <w:rFonts w:ascii="Palatino Linotype" w:eastAsia="Calibri" w:hAnsi="Palatino Linotype" w:cs="Tahoma"/>
          <w:bCs/>
          <w:i/>
          <w:sz w:val="22"/>
          <w:szCs w:val="22"/>
          <w:lang w:eastAsia="en-US"/>
        </w:rPr>
      </w:pPr>
    </w:p>
    <w:p w14:paraId="5E7FD806" w14:textId="77777777" w:rsidR="001E0D35" w:rsidRPr="001E0D35" w:rsidRDefault="001E0D35" w:rsidP="001E0D35">
      <w:pPr>
        <w:ind w:left="851" w:right="851"/>
        <w:jc w:val="both"/>
        <w:rPr>
          <w:rFonts w:ascii="Palatino Linotype" w:eastAsia="Calibri" w:hAnsi="Palatino Linotype" w:cs="Tahoma"/>
          <w:bCs/>
          <w:i/>
          <w:sz w:val="22"/>
          <w:szCs w:val="22"/>
          <w:lang w:eastAsia="en-US"/>
        </w:rPr>
      </w:pPr>
      <w:r w:rsidRPr="001E0D35">
        <w:rPr>
          <w:rFonts w:ascii="Palatino Linotype" w:eastAsia="Calibri" w:hAnsi="Palatino Linotype" w:cs="Tahoma"/>
          <w:b/>
          <w:bCs/>
          <w:i/>
          <w:sz w:val="22"/>
          <w:szCs w:val="22"/>
          <w:lang w:eastAsia="en-US"/>
        </w:rPr>
        <w:t>Artículo 161.-</w:t>
      </w:r>
      <w:r w:rsidRPr="001E0D35">
        <w:rPr>
          <w:rFonts w:ascii="Palatino Linotype" w:eastAsia="Calibri" w:hAnsi="Palatino Linotype" w:cs="Tahoma"/>
          <w:bCs/>
          <w:i/>
          <w:sz w:val="22"/>
          <w:szCs w:val="22"/>
          <w:lang w:eastAsia="en-US"/>
        </w:rPr>
        <w:t xml:space="preserve"> Las Instituciones Policiales establecerán una Comisión de Honor y Justicia, que estará integrada por:</w:t>
      </w:r>
    </w:p>
    <w:p w14:paraId="698F528B" w14:textId="77777777" w:rsidR="001E0D35" w:rsidRPr="001E0D35" w:rsidRDefault="001E0D35" w:rsidP="001E0D35">
      <w:pPr>
        <w:ind w:left="851" w:right="851"/>
        <w:jc w:val="both"/>
        <w:rPr>
          <w:rFonts w:ascii="Palatino Linotype" w:eastAsia="Calibri" w:hAnsi="Palatino Linotype" w:cs="Tahoma"/>
          <w:bCs/>
          <w:i/>
          <w:sz w:val="22"/>
          <w:szCs w:val="22"/>
          <w:lang w:eastAsia="en-US"/>
        </w:rPr>
      </w:pPr>
      <w:r w:rsidRPr="001E0D35">
        <w:rPr>
          <w:rFonts w:ascii="Palatino Linotype" w:eastAsia="Calibri" w:hAnsi="Palatino Linotype" w:cs="Tahoma"/>
          <w:bCs/>
          <w:i/>
          <w:sz w:val="22"/>
          <w:szCs w:val="22"/>
          <w:lang w:eastAsia="en-US"/>
        </w:rPr>
        <w:t>I. Un presidente que tendrá voto de calidad;</w:t>
      </w:r>
    </w:p>
    <w:p w14:paraId="3A5E7BB5" w14:textId="77777777" w:rsidR="001E0D35" w:rsidRPr="001E0D35" w:rsidRDefault="001E0D35" w:rsidP="001E0D35">
      <w:pPr>
        <w:ind w:left="851" w:right="851"/>
        <w:jc w:val="both"/>
        <w:rPr>
          <w:rFonts w:ascii="Palatino Linotype" w:eastAsia="Calibri" w:hAnsi="Palatino Linotype" w:cs="Tahoma"/>
          <w:bCs/>
          <w:i/>
          <w:sz w:val="22"/>
          <w:szCs w:val="22"/>
          <w:lang w:eastAsia="en-US"/>
        </w:rPr>
      </w:pPr>
      <w:r w:rsidRPr="001E0D35">
        <w:rPr>
          <w:rFonts w:ascii="Palatino Linotype" w:eastAsia="Calibri" w:hAnsi="Palatino Linotype" w:cs="Tahoma"/>
          <w:bCs/>
          <w:i/>
          <w:sz w:val="22"/>
          <w:szCs w:val="22"/>
          <w:lang w:eastAsia="en-US"/>
        </w:rPr>
        <w:t>II. Un secretario que será el titular del jurídico de la Institución y contará con voz y voto; y</w:t>
      </w:r>
    </w:p>
    <w:p w14:paraId="55BCA718" w14:textId="77777777" w:rsidR="001E0D35" w:rsidRPr="001E0D35" w:rsidRDefault="001E0D35" w:rsidP="001E0D35">
      <w:pPr>
        <w:ind w:left="851" w:right="851"/>
        <w:jc w:val="both"/>
        <w:rPr>
          <w:rFonts w:ascii="Palatino Linotype" w:eastAsia="Calibri" w:hAnsi="Palatino Linotype" w:cs="Tahoma"/>
          <w:bCs/>
          <w:i/>
          <w:sz w:val="22"/>
          <w:szCs w:val="22"/>
          <w:lang w:eastAsia="en-US"/>
        </w:rPr>
      </w:pPr>
      <w:r w:rsidRPr="001E0D35">
        <w:rPr>
          <w:rFonts w:ascii="Palatino Linotype" w:eastAsia="Calibri" w:hAnsi="Palatino Linotype" w:cs="Tahoma"/>
          <w:bCs/>
          <w:i/>
          <w:sz w:val="22"/>
          <w:szCs w:val="22"/>
          <w:lang w:eastAsia="en-US"/>
        </w:rPr>
        <w:t>III. Un representante de la unidad operativa de investigación, prevención o reacción según sea el caso.</w:t>
      </w:r>
    </w:p>
    <w:p w14:paraId="4163237A" w14:textId="77777777" w:rsidR="001E0D35" w:rsidRPr="001E0D35" w:rsidRDefault="001E0D35" w:rsidP="001E0D35">
      <w:pPr>
        <w:ind w:left="851" w:right="851"/>
        <w:jc w:val="both"/>
        <w:rPr>
          <w:rFonts w:ascii="Palatino Linotype" w:eastAsia="Calibri" w:hAnsi="Palatino Linotype" w:cs="Tahoma"/>
          <w:bCs/>
          <w:i/>
          <w:sz w:val="22"/>
          <w:szCs w:val="22"/>
          <w:lang w:eastAsia="en-US"/>
        </w:rPr>
      </w:pPr>
      <w:r w:rsidRPr="001E0D35">
        <w:rPr>
          <w:rFonts w:ascii="Palatino Linotype" w:eastAsia="Calibri" w:hAnsi="Palatino Linotype" w:cs="Tahoma"/>
          <w:bCs/>
          <w:i/>
          <w:sz w:val="22"/>
          <w:szCs w:val="22"/>
          <w:lang w:eastAsia="en-US"/>
        </w:rPr>
        <w:t>El presidente y el representante serán designados por el titular de la dependencia.</w:t>
      </w:r>
      <w:r w:rsidRPr="001E0D35">
        <w:rPr>
          <w:rFonts w:ascii="Palatino Linotype" w:eastAsia="Calibri" w:hAnsi="Palatino Linotype" w:cs="Tahoma"/>
          <w:bCs/>
          <w:i/>
          <w:sz w:val="22"/>
          <w:szCs w:val="22"/>
          <w:lang w:eastAsia="en-US"/>
        </w:rPr>
        <w:cr/>
      </w:r>
    </w:p>
    <w:p w14:paraId="1354DE68" w14:textId="77777777" w:rsidR="001E0D35" w:rsidRPr="001E0D35" w:rsidRDefault="001E0D35" w:rsidP="001E0D35">
      <w:pPr>
        <w:ind w:left="851" w:right="851"/>
        <w:jc w:val="both"/>
        <w:rPr>
          <w:rFonts w:ascii="Palatino Linotype" w:eastAsia="Calibri" w:hAnsi="Palatino Linotype" w:cs="Tahoma"/>
          <w:bCs/>
          <w:i/>
          <w:sz w:val="22"/>
          <w:szCs w:val="22"/>
          <w:lang w:eastAsia="en-US"/>
        </w:rPr>
      </w:pPr>
      <w:r w:rsidRPr="001E0D35">
        <w:rPr>
          <w:rFonts w:ascii="Palatino Linotype" w:eastAsia="Calibri" w:hAnsi="Palatino Linotype" w:cs="Tahoma"/>
          <w:b/>
          <w:bCs/>
          <w:i/>
          <w:sz w:val="22"/>
          <w:szCs w:val="22"/>
          <w:lang w:eastAsia="en-US"/>
        </w:rPr>
        <w:t>Artículo 163</w:t>
      </w:r>
      <w:r w:rsidRPr="001E0D35">
        <w:rPr>
          <w:rFonts w:ascii="Palatino Linotype" w:eastAsia="Calibri" w:hAnsi="Palatino Linotype" w:cs="Tahoma"/>
          <w:bCs/>
          <w:i/>
          <w:sz w:val="22"/>
          <w:szCs w:val="22"/>
          <w:lang w:eastAsia="en-US"/>
        </w:rPr>
        <w:t>. Cuando un integrante de las instituciones de seguridad pública incumpla con alguno de los requisitos de permanencia, las obligaciones establecidas en la Ley General, esta Ley y los ordenamientos jurídicos internos que rigen su actuar o con el régimen disciplinario establecido en este ordenamiento, la Unidad de Asuntos Internos integrará el expediente que sustente dicha irregularidad y lo remitirá a la brevedad a la Comisión de Honor y Justicia.</w:t>
      </w:r>
    </w:p>
    <w:p w14:paraId="39E50284" w14:textId="77777777" w:rsidR="001E0D35" w:rsidRPr="001E0D35" w:rsidRDefault="001E0D35" w:rsidP="001E0D35">
      <w:pPr>
        <w:ind w:left="851" w:right="851"/>
        <w:jc w:val="both"/>
        <w:rPr>
          <w:rFonts w:ascii="Palatino Linotype" w:eastAsia="Calibri" w:hAnsi="Palatino Linotype" w:cs="Tahoma"/>
          <w:b/>
          <w:bCs/>
          <w:i/>
          <w:sz w:val="22"/>
          <w:szCs w:val="22"/>
          <w:lang w:eastAsia="en-US"/>
        </w:rPr>
      </w:pPr>
    </w:p>
    <w:p w14:paraId="219E476A" w14:textId="77777777" w:rsidR="001E0D35" w:rsidRPr="001E0D35" w:rsidRDefault="001E0D35" w:rsidP="001E0D35">
      <w:pPr>
        <w:ind w:left="851" w:right="851"/>
        <w:jc w:val="both"/>
        <w:rPr>
          <w:rFonts w:ascii="Palatino Linotype" w:eastAsia="Calibri" w:hAnsi="Palatino Linotype" w:cs="Tahoma"/>
          <w:bCs/>
          <w:i/>
          <w:sz w:val="22"/>
          <w:szCs w:val="22"/>
          <w:lang w:eastAsia="en-US"/>
        </w:rPr>
      </w:pPr>
      <w:r w:rsidRPr="001E0D35">
        <w:rPr>
          <w:rFonts w:ascii="Palatino Linotype" w:eastAsia="Calibri" w:hAnsi="Palatino Linotype" w:cs="Tahoma"/>
          <w:b/>
          <w:bCs/>
          <w:i/>
          <w:sz w:val="22"/>
          <w:szCs w:val="22"/>
          <w:lang w:eastAsia="en-US"/>
        </w:rPr>
        <w:t>Artículo 164.-</w:t>
      </w:r>
      <w:r w:rsidRPr="001E0D35">
        <w:rPr>
          <w:rFonts w:ascii="Palatino Linotype" w:eastAsia="Calibri" w:hAnsi="Palatino Linotype" w:cs="Tahoma"/>
          <w:bCs/>
          <w:i/>
          <w:sz w:val="22"/>
          <w:szCs w:val="22"/>
          <w:lang w:eastAsia="en-US"/>
        </w:rPr>
        <w:t xml:space="preserve"> La Comisión de Honor y Justicia, cuando le sea remitido un expediente a que se refiere el artículo anterior, abrirá un periodo de información previa, con la finalidad de conocer las circunstancias del caso concreto y estar en posibilidad de determinar la conveniencia o no de tramitar el procedimiento administrativo correspondiente.</w:t>
      </w:r>
    </w:p>
    <w:p w14:paraId="50266F98" w14:textId="77777777" w:rsidR="001E0D35" w:rsidRPr="001E0D35" w:rsidRDefault="001E0D35" w:rsidP="001E0D35">
      <w:pPr>
        <w:ind w:left="851" w:right="851"/>
        <w:jc w:val="both"/>
        <w:rPr>
          <w:rFonts w:ascii="Palatino Linotype" w:eastAsia="Calibri" w:hAnsi="Palatino Linotype" w:cs="Tahoma"/>
          <w:b/>
          <w:bCs/>
          <w:i/>
          <w:sz w:val="22"/>
          <w:szCs w:val="22"/>
          <w:lang w:eastAsia="en-US"/>
        </w:rPr>
      </w:pPr>
    </w:p>
    <w:p w14:paraId="6D93FBFF" w14:textId="77777777" w:rsidR="001E0D35" w:rsidRPr="001E0D35" w:rsidRDefault="001E0D35" w:rsidP="001E0D35">
      <w:pPr>
        <w:ind w:left="851" w:right="851"/>
        <w:jc w:val="both"/>
        <w:rPr>
          <w:rFonts w:ascii="Palatino Linotype" w:eastAsia="Calibri" w:hAnsi="Palatino Linotype" w:cs="Tahoma"/>
          <w:bCs/>
          <w:i/>
          <w:sz w:val="22"/>
          <w:szCs w:val="22"/>
          <w:lang w:eastAsia="en-US"/>
        </w:rPr>
      </w:pPr>
      <w:r w:rsidRPr="001E0D35">
        <w:rPr>
          <w:rFonts w:ascii="Palatino Linotype" w:eastAsia="Calibri" w:hAnsi="Palatino Linotype" w:cs="Tahoma"/>
          <w:b/>
          <w:bCs/>
          <w:i/>
          <w:sz w:val="22"/>
          <w:szCs w:val="22"/>
          <w:lang w:eastAsia="en-US"/>
        </w:rPr>
        <w:t>Artículo 166.-</w:t>
      </w:r>
      <w:r w:rsidRPr="001E0D35">
        <w:rPr>
          <w:rFonts w:ascii="Palatino Linotype" w:eastAsia="Calibri" w:hAnsi="Palatino Linotype" w:cs="Tahoma"/>
          <w:bCs/>
          <w:i/>
          <w:sz w:val="22"/>
          <w:szCs w:val="22"/>
          <w:lang w:eastAsia="en-US"/>
        </w:rPr>
        <w:t xml:space="preserve"> De ser procedente, la Comisión de Honor y Justicia, iniciará procedimiento administrativo al elemento policial, asignándole al expediente correspondiente un número progresivo e incluirá el año que se inicia. El número se anotará en todas las promociones y actuaciones que se produzcan con el mismo.</w:t>
      </w:r>
    </w:p>
    <w:p w14:paraId="61376769" w14:textId="77777777" w:rsidR="001E0D35" w:rsidRPr="001E0D35" w:rsidRDefault="001E0D35" w:rsidP="001E0D35">
      <w:pPr>
        <w:ind w:left="851" w:right="851"/>
        <w:jc w:val="both"/>
        <w:rPr>
          <w:rFonts w:ascii="Palatino Linotype" w:eastAsia="Calibri" w:hAnsi="Palatino Linotype" w:cs="Tahoma"/>
          <w:b/>
          <w:bCs/>
          <w:i/>
          <w:sz w:val="22"/>
          <w:szCs w:val="22"/>
          <w:lang w:eastAsia="en-US"/>
        </w:rPr>
      </w:pPr>
    </w:p>
    <w:p w14:paraId="25871810" w14:textId="77777777" w:rsidR="001E0D35" w:rsidRPr="001E0D35" w:rsidRDefault="001E0D35" w:rsidP="001E0D35">
      <w:pPr>
        <w:ind w:left="851" w:right="851"/>
        <w:jc w:val="both"/>
        <w:rPr>
          <w:rFonts w:ascii="Palatino Linotype" w:eastAsia="Calibri" w:hAnsi="Palatino Linotype" w:cs="Tahoma"/>
          <w:bCs/>
          <w:i/>
          <w:sz w:val="22"/>
          <w:szCs w:val="22"/>
          <w:lang w:eastAsia="en-US"/>
        </w:rPr>
      </w:pPr>
      <w:r w:rsidRPr="001E0D35">
        <w:rPr>
          <w:rFonts w:ascii="Palatino Linotype" w:eastAsia="Calibri" w:hAnsi="Palatino Linotype" w:cs="Tahoma"/>
          <w:b/>
          <w:bCs/>
          <w:i/>
          <w:sz w:val="22"/>
          <w:szCs w:val="22"/>
          <w:lang w:eastAsia="en-US"/>
        </w:rPr>
        <w:t>Artículo 167.-</w:t>
      </w:r>
      <w:r w:rsidRPr="001E0D35">
        <w:rPr>
          <w:rFonts w:ascii="Palatino Linotype" w:eastAsia="Calibri" w:hAnsi="Palatino Linotype" w:cs="Tahoma"/>
          <w:bCs/>
          <w:i/>
          <w:sz w:val="22"/>
          <w:szCs w:val="22"/>
          <w:lang w:eastAsia="en-US"/>
        </w:rPr>
        <w:t xml:space="preserve"> La Comisión de Honor y Justicia otorgará al elemento policial sujeto a procedimiento garantía de audiencia a efecto de que conozca la irregularidad que se le imputa, ofrezca pruebas y alegue en su favor.</w:t>
      </w:r>
    </w:p>
    <w:p w14:paraId="4AB2ED63" w14:textId="77777777" w:rsidR="001E0D35" w:rsidRPr="001E0D35" w:rsidRDefault="001E0D35" w:rsidP="001E0D35">
      <w:pPr>
        <w:ind w:left="851" w:right="851"/>
        <w:jc w:val="both"/>
        <w:rPr>
          <w:rFonts w:ascii="Palatino Linotype" w:eastAsia="Calibri" w:hAnsi="Palatino Linotype" w:cs="Tahoma"/>
          <w:b/>
          <w:bCs/>
          <w:i/>
          <w:sz w:val="22"/>
          <w:szCs w:val="22"/>
          <w:lang w:eastAsia="en-US"/>
        </w:rPr>
      </w:pPr>
    </w:p>
    <w:p w14:paraId="4D49C50F" w14:textId="77777777" w:rsidR="001E0D35" w:rsidRPr="001E0D35" w:rsidRDefault="001E0D35" w:rsidP="001E0D35">
      <w:pPr>
        <w:ind w:left="851" w:right="851"/>
        <w:jc w:val="both"/>
        <w:rPr>
          <w:rFonts w:ascii="Palatino Linotype" w:eastAsia="Calibri" w:hAnsi="Palatino Linotype" w:cs="Tahoma"/>
          <w:bCs/>
          <w:i/>
          <w:sz w:val="22"/>
          <w:szCs w:val="22"/>
          <w:lang w:eastAsia="en-US"/>
        </w:rPr>
      </w:pPr>
      <w:r w:rsidRPr="001E0D35">
        <w:rPr>
          <w:rFonts w:ascii="Palatino Linotype" w:eastAsia="Calibri" w:hAnsi="Palatino Linotype" w:cs="Tahoma"/>
          <w:b/>
          <w:bCs/>
          <w:i/>
          <w:sz w:val="22"/>
          <w:szCs w:val="22"/>
          <w:lang w:eastAsia="en-US"/>
        </w:rPr>
        <w:t>Artículo 171.-</w:t>
      </w:r>
      <w:r w:rsidRPr="001E0D35">
        <w:rPr>
          <w:rFonts w:ascii="Palatino Linotype" w:eastAsia="Calibri" w:hAnsi="Palatino Linotype" w:cs="Tahoma"/>
          <w:bCs/>
          <w:i/>
          <w:sz w:val="22"/>
          <w:szCs w:val="22"/>
          <w:lang w:eastAsia="en-US"/>
        </w:rPr>
        <w:t xml:space="preserve"> De no comparecer el servidor público en el día y hora señalados en el citatorio, se hará constar su inasistencia y se tendrá por satisfecha la garantía de audiencia y perdido su derecho a ofrecer pruebas y alegar en su favor.</w:t>
      </w:r>
    </w:p>
    <w:p w14:paraId="22199EFA" w14:textId="77777777" w:rsidR="001E0D35" w:rsidRPr="001E0D35" w:rsidRDefault="001E0D35" w:rsidP="001E0D35">
      <w:pPr>
        <w:ind w:left="851" w:right="851"/>
        <w:jc w:val="both"/>
        <w:rPr>
          <w:rFonts w:ascii="Palatino Linotype" w:eastAsia="Calibri" w:hAnsi="Palatino Linotype" w:cs="Tahoma"/>
          <w:b/>
          <w:bCs/>
          <w:i/>
          <w:sz w:val="22"/>
          <w:szCs w:val="22"/>
          <w:lang w:eastAsia="en-US"/>
        </w:rPr>
      </w:pPr>
    </w:p>
    <w:p w14:paraId="4BF49E15" w14:textId="77777777" w:rsidR="001E0D35" w:rsidRPr="001E0D35" w:rsidRDefault="001E0D35" w:rsidP="001E0D35">
      <w:pPr>
        <w:ind w:left="851" w:right="851"/>
        <w:jc w:val="both"/>
        <w:rPr>
          <w:rFonts w:ascii="Palatino Linotype" w:eastAsia="Calibri" w:hAnsi="Palatino Linotype" w:cs="Tahoma"/>
          <w:bCs/>
          <w:i/>
          <w:sz w:val="22"/>
          <w:szCs w:val="22"/>
          <w:lang w:eastAsia="en-US"/>
        </w:rPr>
      </w:pPr>
      <w:r w:rsidRPr="001E0D35">
        <w:rPr>
          <w:rFonts w:ascii="Palatino Linotype" w:eastAsia="Calibri" w:hAnsi="Palatino Linotype" w:cs="Tahoma"/>
          <w:b/>
          <w:bCs/>
          <w:i/>
          <w:sz w:val="22"/>
          <w:szCs w:val="22"/>
          <w:lang w:eastAsia="en-US"/>
        </w:rPr>
        <w:t>Artículo 175.-</w:t>
      </w:r>
      <w:r w:rsidRPr="001E0D35">
        <w:rPr>
          <w:rFonts w:ascii="Palatino Linotype" w:eastAsia="Calibri" w:hAnsi="Palatino Linotype" w:cs="Tahoma"/>
          <w:bCs/>
          <w:i/>
          <w:sz w:val="22"/>
          <w:szCs w:val="22"/>
          <w:lang w:eastAsia="en-US"/>
        </w:rPr>
        <w:t xml:space="preserve"> El procedimiento terminará por:</w:t>
      </w:r>
    </w:p>
    <w:p w14:paraId="02616D7D" w14:textId="77777777" w:rsidR="001E0D35" w:rsidRPr="001E0D35" w:rsidRDefault="001E0D35" w:rsidP="001E0D35">
      <w:pPr>
        <w:ind w:left="851" w:right="851"/>
        <w:jc w:val="both"/>
        <w:rPr>
          <w:rFonts w:ascii="Palatino Linotype" w:eastAsia="Calibri" w:hAnsi="Palatino Linotype" w:cs="Tahoma"/>
          <w:bCs/>
          <w:i/>
          <w:sz w:val="22"/>
          <w:szCs w:val="22"/>
          <w:lang w:eastAsia="en-US"/>
        </w:rPr>
      </w:pPr>
      <w:r w:rsidRPr="001E0D35">
        <w:rPr>
          <w:rFonts w:ascii="Palatino Linotype" w:eastAsia="Calibri" w:hAnsi="Palatino Linotype" w:cs="Tahoma"/>
          <w:bCs/>
          <w:i/>
          <w:sz w:val="22"/>
          <w:szCs w:val="22"/>
          <w:lang w:eastAsia="en-US"/>
        </w:rPr>
        <w:t>I. Convenio; y</w:t>
      </w:r>
    </w:p>
    <w:p w14:paraId="6EB2106D" w14:textId="77777777" w:rsidR="001E0D35" w:rsidRPr="001E0D35" w:rsidRDefault="001E0D35" w:rsidP="001E0D35">
      <w:pPr>
        <w:ind w:left="851" w:right="851"/>
        <w:jc w:val="both"/>
        <w:rPr>
          <w:rFonts w:ascii="Palatino Linotype" w:eastAsia="Calibri" w:hAnsi="Palatino Linotype" w:cs="Tahoma"/>
          <w:bCs/>
          <w:i/>
          <w:sz w:val="22"/>
          <w:szCs w:val="22"/>
          <w:lang w:eastAsia="en-US"/>
        </w:rPr>
      </w:pPr>
      <w:r w:rsidRPr="001E0D35">
        <w:rPr>
          <w:rFonts w:ascii="Palatino Linotype" w:eastAsia="Calibri" w:hAnsi="Palatino Linotype" w:cs="Tahoma"/>
          <w:bCs/>
          <w:i/>
          <w:sz w:val="22"/>
          <w:szCs w:val="22"/>
          <w:lang w:eastAsia="en-US"/>
        </w:rPr>
        <w:t>II. Resolución expresa del mismo.</w:t>
      </w:r>
    </w:p>
    <w:p w14:paraId="402D1265" w14:textId="77777777" w:rsidR="001E0D35" w:rsidRPr="001E0D35" w:rsidRDefault="001E0D35" w:rsidP="001E0D35">
      <w:pPr>
        <w:ind w:left="851" w:right="851"/>
        <w:jc w:val="both"/>
        <w:rPr>
          <w:rFonts w:ascii="Palatino Linotype" w:eastAsia="Calibri" w:hAnsi="Palatino Linotype" w:cs="Tahoma"/>
          <w:b/>
          <w:bCs/>
          <w:i/>
          <w:sz w:val="22"/>
          <w:szCs w:val="22"/>
          <w:lang w:eastAsia="en-US"/>
        </w:rPr>
      </w:pPr>
    </w:p>
    <w:p w14:paraId="1C2793B8" w14:textId="77777777" w:rsidR="001E0D35" w:rsidRPr="001E0D35" w:rsidRDefault="001E0D35" w:rsidP="001E0D35">
      <w:pPr>
        <w:ind w:left="851" w:right="851"/>
        <w:jc w:val="both"/>
        <w:rPr>
          <w:rFonts w:ascii="Palatino Linotype" w:eastAsia="Calibri" w:hAnsi="Palatino Linotype" w:cs="Tahoma"/>
          <w:bCs/>
          <w:i/>
          <w:sz w:val="22"/>
          <w:szCs w:val="22"/>
          <w:lang w:eastAsia="en-US"/>
        </w:rPr>
      </w:pPr>
      <w:r w:rsidRPr="001E0D35">
        <w:rPr>
          <w:rFonts w:ascii="Palatino Linotype" w:eastAsia="Calibri" w:hAnsi="Palatino Linotype" w:cs="Tahoma"/>
          <w:b/>
          <w:bCs/>
          <w:i/>
          <w:sz w:val="22"/>
          <w:szCs w:val="22"/>
          <w:lang w:eastAsia="en-US"/>
        </w:rPr>
        <w:t>Artículo 177</w:t>
      </w:r>
      <w:r w:rsidRPr="001E0D35">
        <w:rPr>
          <w:rFonts w:ascii="Palatino Linotype" w:eastAsia="Calibri" w:hAnsi="Palatino Linotype" w:cs="Tahoma"/>
          <w:bCs/>
          <w:i/>
          <w:sz w:val="22"/>
          <w:szCs w:val="22"/>
          <w:lang w:eastAsia="en-US"/>
        </w:rPr>
        <w:t>.- La resolución expresa que ponga fin al procedimiento indicará:</w:t>
      </w:r>
    </w:p>
    <w:p w14:paraId="355ACA51" w14:textId="77777777" w:rsidR="001E0D35" w:rsidRPr="001E0D35" w:rsidRDefault="001E0D35" w:rsidP="001E0D35">
      <w:pPr>
        <w:ind w:left="851" w:right="851"/>
        <w:jc w:val="both"/>
        <w:rPr>
          <w:rFonts w:ascii="Palatino Linotype" w:eastAsia="Calibri" w:hAnsi="Palatino Linotype" w:cs="Tahoma"/>
          <w:bCs/>
          <w:i/>
          <w:sz w:val="22"/>
          <w:szCs w:val="22"/>
          <w:lang w:eastAsia="en-US"/>
        </w:rPr>
      </w:pPr>
      <w:r w:rsidRPr="001E0D35">
        <w:rPr>
          <w:rFonts w:ascii="Palatino Linotype" w:eastAsia="Calibri" w:hAnsi="Palatino Linotype" w:cs="Tahoma"/>
          <w:bCs/>
          <w:i/>
          <w:sz w:val="22"/>
          <w:szCs w:val="22"/>
          <w:lang w:eastAsia="en-US"/>
        </w:rPr>
        <w:t>I. Nombre del servidor público;</w:t>
      </w:r>
    </w:p>
    <w:p w14:paraId="77106269" w14:textId="77777777" w:rsidR="001E0D35" w:rsidRPr="001E0D35" w:rsidRDefault="001E0D35" w:rsidP="001E0D35">
      <w:pPr>
        <w:ind w:left="851" w:right="851"/>
        <w:jc w:val="both"/>
        <w:rPr>
          <w:rFonts w:ascii="Palatino Linotype" w:eastAsia="Calibri" w:hAnsi="Palatino Linotype" w:cs="Tahoma"/>
          <w:bCs/>
          <w:i/>
          <w:sz w:val="22"/>
          <w:szCs w:val="22"/>
          <w:lang w:eastAsia="en-US"/>
        </w:rPr>
      </w:pPr>
      <w:r w:rsidRPr="001E0D35">
        <w:rPr>
          <w:rFonts w:ascii="Palatino Linotype" w:eastAsia="Calibri" w:hAnsi="Palatino Linotype" w:cs="Tahoma"/>
          <w:bCs/>
          <w:i/>
          <w:sz w:val="22"/>
          <w:szCs w:val="22"/>
          <w:lang w:eastAsia="en-US"/>
        </w:rPr>
        <w:t>II. La determinación que podrá ser de: remoción, baja, cese, sobreseimiento o resolución sin sanción;</w:t>
      </w:r>
    </w:p>
    <w:p w14:paraId="4A9C3FF1" w14:textId="77777777" w:rsidR="001E0D35" w:rsidRPr="001E0D35" w:rsidRDefault="001E0D35" w:rsidP="001E0D35">
      <w:pPr>
        <w:ind w:left="851" w:right="851"/>
        <w:jc w:val="both"/>
        <w:rPr>
          <w:rFonts w:ascii="Palatino Linotype" w:eastAsia="Calibri" w:hAnsi="Palatino Linotype" w:cs="Tahoma"/>
          <w:bCs/>
          <w:i/>
          <w:sz w:val="22"/>
          <w:szCs w:val="22"/>
          <w:lang w:eastAsia="en-US"/>
        </w:rPr>
      </w:pPr>
      <w:r w:rsidRPr="001E0D35">
        <w:rPr>
          <w:rFonts w:ascii="Palatino Linotype" w:eastAsia="Calibri" w:hAnsi="Palatino Linotype" w:cs="Tahoma"/>
          <w:bCs/>
          <w:i/>
          <w:sz w:val="22"/>
          <w:szCs w:val="22"/>
          <w:lang w:eastAsia="en-US"/>
        </w:rPr>
        <w:t>III. Los fundamentos y motivos que la sustenten; y</w:t>
      </w:r>
    </w:p>
    <w:p w14:paraId="674DECAC" w14:textId="77777777" w:rsidR="001E0D35" w:rsidRPr="001E0D35" w:rsidRDefault="001E0D35" w:rsidP="001E0D35">
      <w:pPr>
        <w:ind w:left="851" w:right="851"/>
        <w:jc w:val="both"/>
        <w:rPr>
          <w:rFonts w:ascii="Palatino Linotype" w:eastAsia="Calibri" w:hAnsi="Palatino Linotype" w:cs="Tahoma"/>
          <w:bCs/>
          <w:i/>
          <w:sz w:val="22"/>
          <w:szCs w:val="22"/>
          <w:lang w:eastAsia="en-US"/>
        </w:rPr>
      </w:pPr>
      <w:r w:rsidRPr="001E0D35">
        <w:rPr>
          <w:rFonts w:ascii="Palatino Linotype" w:eastAsia="Calibri" w:hAnsi="Palatino Linotype" w:cs="Tahoma"/>
          <w:bCs/>
          <w:i/>
          <w:sz w:val="22"/>
          <w:szCs w:val="22"/>
          <w:lang w:eastAsia="en-US"/>
        </w:rPr>
        <w:t>IV. El nombre, cargo y firma de los integrantes de la Comisión de Honor y Justicia.</w:t>
      </w:r>
    </w:p>
    <w:p w14:paraId="337D6072" w14:textId="77777777" w:rsidR="001E0D35" w:rsidRPr="001E0D35" w:rsidRDefault="001E0D35" w:rsidP="001E0D35">
      <w:pPr>
        <w:ind w:left="851" w:right="851"/>
        <w:jc w:val="both"/>
        <w:rPr>
          <w:rFonts w:ascii="Palatino Linotype" w:eastAsia="Calibri" w:hAnsi="Palatino Linotype" w:cs="Tahoma"/>
          <w:bCs/>
          <w:i/>
          <w:sz w:val="22"/>
          <w:szCs w:val="22"/>
          <w:lang w:eastAsia="en-US"/>
        </w:rPr>
      </w:pPr>
    </w:p>
    <w:p w14:paraId="6BE9C6B5" w14:textId="77777777" w:rsidR="001E0D35" w:rsidRPr="001E0D35" w:rsidRDefault="001E0D35" w:rsidP="001E0D35">
      <w:pPr>
        <w:ind w:left="851" w:right="851"/>
        <w:jc w:val="both"/>
        <w:rPr>
          <w:rFonts w:ascii="Palatino Linotype" w:eastAsia="Calibri" w:hAnsi="Palatino Linotype" w:cs="Tahoma"/>
          <w:bCs/>
          <w:i/>
          <w:sz w:val="22"/>
          <w:szCs w:val="22"/>
          <w:lang w:eastAsia="en-US"/>
        </w:rPr>
      </w:pPr>
      <w:r w:rsidRPr="001E0D35">
        <w:rPr>
          <w:rFonts w:ascii="Palatino Linotype" w:eastAsia="Calibri" w:hAnsi="Palatino Linotype" w:cs="Tahoma"/>
          <w:b/>
          <w:i/>
          <w:sz w:val="22"/>
          <w:szCs w:val="22"/>
          <w:lang w:eastAsia="en-US"/>
        </w:rPr>
        <w:t>Artículo 178.-</w:t>
      </w:r>
      <w:r w:rsidRPr="001E0D35">
        <w:rPr>
          <w:rFonts w:ascii="Palatino Linotype" w:eastAsia="Calibri" w:hAnsi="Palatino Linotype" w:cs="Tahoma"/>
          <w:bCs/>
          <w:i/>
          <w:sz w:val="22"/>
          <w:szCs w:val="22"/>
          <w:lang w:eastAsia="en-US"/>
        </w:rPr>
        <w:t xml:space="preserve"> Cuando se impongan sanciones administrativas, la motivación de la resolución considerará las siguientes circunstancias:</w:t>
      </w:r>
    </w:p>
    <w:p w14:paraId="02791108" w14:textId="77777777" w:rsidR="001E0D35" w:rsidRPr="001E0D35" w:rsidRDefault="001E0D35" w:rsidP="001E0D35">
      <w:pPr>
        <w:ind w:left="851" w:right="851"/>
        <w:jc w:val="both"/>
        <w:rPr>
          <w:rFonts w:ascii="Palatino Linotype" w:eastAsia="Calibri" w:hAnsi="Palatino Linotype" w:cs="Tahoma"/>
          <w:bCs/>
          <w:i/>
          <w:sz w:val="22"/>
          <w:szCs w:val="22"/>
          <w:lang w:eastAsia="en-US"/>
        </w:rPr>
      </w:pPr>
      <w:r w:rsidRPr="001E0D35">
        <w:rPr>
          <w:rFonts w:ascii="Palatino Linotype" w:eastAsia="Calibri" w:hAnsi="Palatino Linotype" w:cs="Tahoma"/>
          <w:b/>
          <w:i/>
          <w:sz w:val="22"/>
          <w:szCs w:val="22"/>
          <w:lang w:eastAsia="en-US"/>
        </w:rPr>
        <w:t>I.</w:t>
      </w:r>
      <w:r w:rsidRPr="001E0D35">
        <w:rPr>
          <w:rFonts w:ascii="Palatino Linotype" w:eastAsia="Calibri" w:hAnsi="Palatino Linotype" w:cs="Tahoma"/>
          <w:bCs/>
          <w:i/>
          <w:sz w:val="22"/>
          <w:szCs w:val="22"/>
          <w:lang w:eastAsia="en-US"/>
        </w:rPr>
        <w:t xml:space="preserve"> La gravedad de la infracción en que se incurra;</w:t>
      </w:r>
    </w:p>
    <w:p w14:paraId="798F1C5F" w14:textId="77777777" w:rsidR="001E0D35" w:rsidRPr="001E0D35" w:rsidRDefault="001E0D35" w:rsidP="001E0D35">
      <w:pPr>
        <w:ind w:left="851" w:right="851"/>
        <w:jc w:val="both"/>
        <w:rPr>
          <w:rFonts w:ascii="Palatino Linotype" w:eastAsia="Calibri" w:hAnsi="Palatino Linotype" w:cs="Tahoma"/>
          <w:bCs/>
          <w:i/>
          <w:sz w:val="22"/>
          <w:szCs w:val="22"/>
          <w:lang w:eastAsia="en-US"/>
        </w:rPr>
      </w:pPr>
      <w:r w:rsidRPr="001E0D35">
        <w:rPr>
          <w:rFonts w:ascii="Palatino Linotype" w:eastAsia="Calibri" w:hAnsi="Palatino Linotype" w:cs="Tahoma"/>
          <w:b/>
          <w:i/>
          <w:sz w:val="22"/>
          <w:szCs w:val="22"/>
          <w:lang w:eastAsia="en-US"/>
        </w:rPr>
        <w:t>II.</w:t>
      </w:r>
      <w:r w:rsidRPr="001E0D35">
        <w:rPr>
          <w:rFonts w:ascii="Palatino Linotype" w:eastAsia="Calibri" w:hAnsi="Palatino Linotype" w:cs="Tahoma"/>
          <w:bCs/>
          <w:i/>
          <w:sz w:val="22"/>
          <w:szCs w:val="22"/>
          <w:lang w:eastAsia="en-US"/>
        </w:rPr>
        <w:t xml:space="preserve"> Los antecedentes del infractor;</w:t>
      </w:r>
    </w:p>
    <w:p w14:paraId="024058C3" w14:textId="77777777" w:rsidR="001E0D35" w:rsidRPr="001E0D35" w:rsidRDefault="001E0D35" w:rsidP="001E0D35">
      <w:pPr>
        <w:ind w:left="851" w:right="851"/>
        <w:jc w:val="both"/>
        <w:rPr>
          <w:rFonts w:ascii="Palatino Linotype" w:eastAsia="Calibri" w:hAnsi="Palatino Linotype" w:cs="Tahoma"/>
          <w:bCs/>
          <w:i/>
          <w:sz w:val="22"/>
          <w:szCs w:val="22"/>
          <w:lang w:eastAsia="en-US"/>
        </w:rPr>
      </w:pPr>
      <w:r w:rsidRPr="001E0D35">
        <w:rPr>
          <w:rFonts w:ascii="Palatino Linotype" w:eastAsia="Calibri" w:hAnsi="Palatino Linotype" w:cs="Tahoma"/>
          <w:b/>
          <w:i/>
          <w:sz w:val="22"/>
          <w:szCs w:val="22"/>
          <w:lang w:eastAsia="en-US"/>
        </w:rPr>
        <w:t>III.</w:t>
      </w:r>
      <w:r w:rsidRPr="001E0D35">
        <w:rPr>
          <w:rFonts w:ascii="Palatino Linotype" w:eastAsia="Calibri" w:hAnsi="Palatino Linotype" w:cs="Tahoma"/>
          <w:bCs/>
          <w:i/>
          <w:sz w:val="22"/>
          <w:szCs w:val="22"/>
          <w:lang w:eastAsia="en-US"/>
        </w:rPr>
        <w:t xml:space="preserve"> Las condiciones socio-económicas del infractor; y</w:t>
      </w:r>
    </w:p>
    <w:p w14:paraId="7999D8C6" w14:textId="77777777" w:rsidR="001E0D35" w:rsidRPr="001E0D35" w:rsidRDefault="001E0D35" w:rsidP="001E0D35">
      <w:pPr>
        <w:ind w:left="851" w:right="851"/>
        <w:jc w:val="both"/>
        <w:rPr>
          <w:rFonts w:ascii="Palatino Linotype" w:eastAsia="Calibri" w:hAnsi="Palatino Linotype" w:cs="Tahoma"/>
          <w:bCs/>
          <w:i/>
          <w:sz w:val="22"/>
          <w:szCs w:val="22"/>
          <w:lang w:eastAsia="en-US"/>
        </w:rPr>
      </w:pPr>
      <w:r w:rsidRPr="001E0D35">
        <w:rPr>
          <w:rFonts w:ascii="Palatino Linotype" w:eastAsia="Calibri" w:hAnsi="Palatino Linotype" w:cs="Tahoma"/>
          <w:b/>
          <w:i/>
          <w:sz w:val="22"/>
          <w:szCs w:val="22"/>
          <w:lang w:eastAsia="en-US"/>
        </w:rPr>
        <w:t>IV.</w:t>
      </w:r>
      <w:r w:rsidRPr="001E0D35">
        <w:rPr>
          <w:rFonts w:ascii="Palatino Linotype" w:eastAsia="Calibri" w:hAnsi="Palatino Linotype" w:cs="Tahoma"/>
          <w:bCs/>
          <w:i/>
          <w:sz w:val="22"/>
          <w:szCs w:val="22"/>
          <w:lang w:eastAsia="en-US"/>
        </w:rPr>
        <w:t xml:space="preserve"> La reincidencia en el incumplimiento de obligaciones, en su caso.</w:t>
      </w:r>
    </w:p>
    <w:p w14:paraId="1E1E1D05" w14:textId="77777777" w:rsidR="001E0D35" w:rsidRPr="001E0D35" w:rsidRDefault="001E0D35" w:rsidP="001E0D35">
      <w:pPr>
        <w:ind w:left="851" w:right="851"/>
        <w:jc w:val="both"/>
        <w:rPr>
          <w:rFonts w:ascii="Palatino Linotype" w:eastAsia="Calibri" w:hAnsi="Palatino Linotype" w:cs="Tahoma"/>
          <w:bCs/>
          <w:i/>
          <w:sz w:val="22"/>
          <w:szCs w:val="22"/>
          <w:lang w:eastAsia="en-US"/>
        </w:rPr>
      </w:pPr>
    </w:p>
    <w:p w14:paraId="044C0164" w14:textId="77777777" w:rsidR="001E0D35" w:rsidRPr="001E0D35" w:rsidRDefault="001E0D35" w:rsidP="001E0D35">
      <w:pPr>
        <w:ind w:left="851" w:right="851"/>
        <w:jc w:val="both"/>
        <w:rPr>
          <w:rFonts w:ascii="Palatino Linotype" w:eastAsia="Calibri" w:hAnsi="Palatino Linotype" w:cs="Tahoma"/>
          <w:bCs/>
          <w:i/>
          <w:sz w:val="22"/>
          <w:szCs w:val="22"/>
          <w:lang w:eastAsia="en-US"/>
        </w:rPr>
      </w:pPr>
      <w:r w:rsidRPr="001E0D35">
        <w:rPr>
          <w:rFonts w:ascii="Palatino Linotype" w:eastAsia="Calibri" w:hAnsi="Palatino Linotype" w:cs="Tahoma"/>
          <w:b/>
          <w:i/>
          <w:sz w:val="22"/>
          <w:szCs w:val="22"/>
          <w:lang w:eastAsia="en-US"/>
        </w:rPr>
        <w:t>Artículo 180.</w:t>
      </w:r>
      <w:r w:rsidRPr="001E0D35">
        <w:rPr>
          <w:rFonts w:ascii="Palatino Linotype" w:eastAsia="Calibri" w:hAnsi="Palatino Linotype" w:cs="Tahoma"/>
          <w:bCs/>
          <w:i/>
          <w:sz w:val="22"/>
          <w:szCs w:val="22"/>
          <w:lang w:eastAsia="en-US"/>
        </w:rPr>
        <w:t xml:space="preserve"> </w:t>
      </w:r>
      <w:r w:rsidRPr="001E0D35">
        <w:rPr>
          <w:rFonts w:ascii="Palatino Linotype" w:eastAsia="Calibri" w:hAnsi="Palatino Linotype" w:cs="Tahoma"/>
          <w:b/>
          <w:i/>
          <w:sz w:val="22"/>
          <w:szCs w:val="22"/>
          <w:u w:val="single"/>
          <w:lang w:eastAsia="en-US"/>
        </w:rPr>
        <w:t>Las resoluciones sancionadoras podrán ser impugnadas mediante el Recurso Administrativo de Inconformidad</w:t>
      </w:r>
      <w:r w:rsidRPr="001E0D35">
        <w:rPr>
          <w:rFonts w:ascii="Palatino Linotype" w:eastAsia="Calibri" w:hAnsi="Palatino Linotype" w:cs="Tahoma"/>
          <w:bCs/>
          <w:i/>
          <w:sz w:val="22"/>
          <w:szCs w:val="22"/>
          <w:lang w:eastAsia="en-US"/>
        </w:rPr>
        <w:t xml:space="preserve">, ante el Titular de la Institución Policial correspondiente </w:t>
      </w:r>
      <w:r w:rsidRPr="001E0D35">
        <w:rPr>
          <w:rFonts w:ascii="Palatino Linotype" w:eastAsia="Calibri" w:hAnsi="Palatino Linotype" w:cs="Tahoma"/>
          <w:b/>
          <w:i/>
          <w:sz w:val="22"/>
          <w:szCs w:val="22"/>
          <w:u w:val="single"/>
          <w:lang w:eastAsia="en-US"/>
        </w:rPr>
        <w:t>o a través del juicio ante el Tribunal de Justicia Administrativa del Estado de México</w:t>
      </w:r>
      <w:r w:rsidRPr="001E0D35">
        <w:rPr>
          <w:rFonts w:ascii="Palatino Linotype" w:eastAsia="Calibri" w:hAnsi="Palatino Linotype" w:cs="Tahoma"/>
          <w:bCs/>
          <w:i/>
          <w:sz w:val="22"/>
          <w:szCs w:val="22"/>
          <w:lang w:eastAsia="en-US"/>
        </w:rPr>
        <w:t>, dentro de los quince días posteriores al en que surta efectos la notificación de la resolución.</w:t>
      </w:r>
    </w:p>
    <w:p w14:paraId="72DE121F" w14:textId="77777777" w:rsidR="001E0D35" w:rsidRPr="001E0D35" w:rsidRDefault="001E0D35" w:rsidP="001E0D35">
      <w:pPr>
        <w:ind w:left="851" w:right="851"/>
        <w:jc w:val="both"/>
        <w:rPr>
          <w:rFonts w:ascii="Palatino Linotype" w:eastAsia="Calibri" w:hAnsi="Palatino Linotype" w:cs="Tahoma"/>
          <w:b/>
          <w:i/>
          <w:sz w:val="22"/>
          <w:szCs w:val="22"/>
          <w:lang w:eastAsia="en-US"/>
        </w:rPr>
      </w:pPr>
    </w:p>
    <w:p w14:paraId="4C6A2353" w14:textId="77777777" w:rsidR="001E0D35" w:rsidRPr="001E0D35" w:rsidRDefault="001E0D35" w:rsidP="001E0D35">
      <w:pPr>
        <w:ind w:left="851" w:right="851"/>
        <w:jc w:val="both"/>
        <w:rPr>
          <w:rFonts w:ascii="Palatino Linotype" w:eastAsia="Calibri" w:hAnsi="Palatino Linotype" w:cs="Tahoma"/>
          <w:bCs/>
          <w:i/>
          <w:sz w:val="22"/>
          <w:szCs w:val="22"/>
          <w:lang w:eastAsia="en-US"/>
        </w:rPr>
      </w:pPr>
      <w:r w:rsidRPr="001E0D35">
        <w:rPr>
          <w:rFonts w:ascii="Palatino Linotype" w:eastAsia="Calibri" w:hAnsi="Palatino Linotype" w:cs="Tahoma"/>
          <w:b/>
          <w:i/>
          <w:sz w:val="22"/>
          <w:szCs w:val="22"/>
          <w:lang w:eastAsia="en-US"/>
        </w:rPr>
        <w:t>Artículo 181.-</w:t>
      </w:r>
      <w:r w:rsidRPr="001E0D35">
        <w:rPr>
          <w:rFonts w:ascii="Palatino Linotype" w:eastAsia="Calibri" w:hAnsi="Palatino Linotype" w:cs="Tahoma"/>
          <w:bCs/>
          <w:i/>
          <w:sz w:val="22"/>
          <w:szCs w:val="22"/>
          <w:lang w:eastAsia="en-US"/>
        </w:rPr>
        <w:t xml:space="preserve"> </w:t>
      </w:r>
      <w:r w:rsidRPr="001E0D35">
        <w:rPr>
          <w:rFonts w:ascii="Palatino Linotype" w:eastAsia="Calibri" w:hAnsi="Palatino Linotype" w:cs="Tahoma"/>
          <w:b/>
          <w:i/>
          <w:sz w:val="22"/>
          <w:szCs w:val="22"/>
          <w:u w:val="single"/>
          <w:lang w:eastAsia="en-US"/>
        </w:rPr>
        <w:t xml:space="preserve">Es improcedente la reinstalación o restitución de los integrantes de las Instituciones Policiales separados de su cargo por </w:t>
      </w:r>
      <w:r w:rsidRPr="001E0D35">
        <w:rPr>
          <w:rFonts w:ascii="Palatino Linotype" w:eastAsia="Calibri" w:hAnsi="Palatino Linotype" w:cs="Tahoma"/>
          <w:b/>
          <w:i/>
          <w:sz w:val="22"/>
          <w:szCs w:val="22"/>
          <w:u w:val="single"/>
          <w:lang w:eastAsia="en-US"/>
        </w:rPr>
        <w:lastRenderedPageBreak/>
        <w:t>resolución de remoción, baja o cese, cualquiera que sea el resultado del juicio o medio de defensa que hubiere promovido y, en su caso, sólo procederá la indemnización</w:t>
      </w:r>
      <w:r w:rsidRPr="001E0D35">
        <w:rPr>
          <w:rFonts w:ascii="Palatino Linotype" w:eastAsia="Calibri" w:hAnsi="Palatino Linotype" w:cs="Tahoma"/>
          <w:bCs/>
          <w:i/>
          <w:sz w:val="22"/>
          <w:szCs w:val="22"/>
          <w:lang w:eastAsia="en-US"/>
        </w:rPr>
        <w:t>.</w:t>
      </w:r>
    </w:p>
    <w:p w14:paraId="1EDA0EEE" w14:textId="77777777" w:rsidR="001E0D35" w:rsidRPr="001E0D35" w:rsidRDefault="001E0D35" w:rsidP="001E0D35">
      <w:pPr>
        <w:ind w:left="851" w:right="851"/>
        <w:jc w:val="both"/>
        <w:rPr>
          <w:rFonts w:ascii="Palatino Linotype" w:eastAsia="Calibri" w:hAnsi="Palatino Linotype" w:cs="Tahoma"/>
          <w:bCs/>
          <w:i/>
          <w:sz w:val="22"/>
          <w:szCs w:val="22"/>
          <w:lang w:eastAsia="en-US"/>
        </w:rPr>
      </w:pPr>
    </w:p>
    <w:p w14:paraId="2E7B89E4" w14:textId="77777777" w:rsidR="001E0D35" w:rsidRPr="001E0D35" w:rsidRDefault="001E0D35" w:rsidP="001E0D35">
      <w:pPr>
        <w:ind w:left="851" w:right="851"/>
        <w:jc w:val="both"/>
        <w:rPr>
          <w:rFonts w:ascii="Palatino Linotype" w:eastAsia="Calibri" w:hAnsi="Palatino Linotype" w:cs="Tahoma"/>
          <w:bCs/>
          <w:i/>
          <w:sz w:val="22"/>
          <w:szCs w:val="22"/>
          <w:lang w:eastAsia="en-US"/>
        </w:rPr>
      </w:pPr>
      <w:r w:rsidRPr="001E0D35">
        <w:rPr>
          <w:rFonts w:ascii="Palatino Linotype" w:eastAsia="Calibri" w:hAnsi="Palatino Linotype" w:cs="Tahoma"/>
          <w:b/>
          <w:i/>
          <w:sz w:val="22"/>
          <w:szCs w:val="22"/>
          <w:u w:val="single"/>
          <w:lang w:eastAsia="en-US"/>
        </w:rPr>
        <w:t>En caso de que los órganos jurisdiccionales determinen que la resolución por la que se impone la separación o remoción es injustificada, las Instituciones Policiales solo estarán obligadas a la indemnización de tres meses de sueldo y al pago de prestaciones de ley</w:t>
      </w:r>
      <w:r w:rsidRPr="001E0D35">
        <w:rPr>
          <w:rFonts w:ascii="Palatino Linotype" w:eastAsia="Calibri" w:hAnsi="Palatino Linotype" w:cs="Tahoma"/>
          <w:bCs/>
          <w:i/>
          <w:sz w:val="22"/>
          <w:szCs w:val="22"/>
          <w:lang w:eastAsia="en-US"/>
        </w:rPr>
        <w:t>, estas, por el último año en que prestó sus servicios.</w:t>
      </w:r>
    </w:p>
    <w:p w14:paraId="5465C9F7" w14:textId="77777777" w:rsidR="001E0D35" w:rsidRPr="001E0D35" w:rsidRDefault="001E0D35" w:rsidP="001E0D35">
      <w:pPr>
        <w:ind w:left="851" w:right="851"/>
        <w:jc w:val="both"/>
        <w:rPr>
          <w:rFonts w:ascii="Palatino Linotype" w:eastAsia="Calibri" w:hAnsi="Palatino Linotype" w:cs="Tahoma"/>
          <w:bCs/>
          <w:i/>
          <w:sz w:val="22"/>
          <w:szCs w:val="22"/>
          <w:lang w:eastAsia="en-US"/>
        </w:rPr>
      </w:pPr>
    </w:p>
    <w:p w14:paraId="6001F646" w14:textId="77777777" w:rsidR="001E0D35" w:rsidRPr="001E0D35" w:rsidRDefault="001E0D35" w:rsidP="001E0D35">
      <w:pPr>
        <w:ind w:left="851" w:right="851"/>
        <w:jc w:val="both"/>
        <w:rPr>
          <w:rFonts w:ascii="Palatino Linotype" w:eastAsia="Calibri" w:hAnsi="Palatino Linotype" w:cs="Tahoma"/>
          <w:bCs/>
          <w:i/>
          <w:sz w:val="22"/>
          <w:szCs w:val="22"/>
          <w:lang w:eastAsia="en-US"/>
        </w:rPr>
      </w:pPr>
      <w:r w:rsidRPr="001E0D35">
        <w:rPr>
          <w:rFonts w:ascii="Palatino Linotype" w:eastAsia="Calibri" w:hAnsi="Palatino Linotype" w:cs="Tahoma"/>
          <w:bCs/>
          <w:i/>
          <w:sz w:val="22"/>
          <w:szCs w:val="22"/>
          <w:lang w:eastAsia="en-US"/>
        </w:rPr>
        <w:t xml:space="preserve">En aquellos juicios en que las instancias jurisdiccionales condenen al pago de haberes dejados de percibir o remuneración diaria ordinaria por el tiempo en que el servidor público haya estado suspendido, separado o removido del cargo de conformidad, se cubrirán hasta por un periodo máximo de doce meses. </w:t>
      </w:r>
      <w:r w:rsidRPr="001E0D35">
        <w:rPr>
          <w:rFonts w:ascii="Palatino Linotype" w:eastAsia="Calibri" w:hAnsi="Palatino Linotype" w:cs="Tahoma"/>
          <w:b/>
          <w:i/>
          <w:sz w:val="22"/>
          <w:szCs w:val="22"/>
          <w:u w:val="single"/>
          <w:lang w:eastAsia="en-US"/>
        </w:rPr>
        <w:t>La determinación que resultare injustificada por los órganos jurisdiccionales deberá anotarse en el o registros correspondientes</w:t>
      </w:r>
      <w:r w:rsidRPr="001E0D35">
        <w:rPr>
          <w:rFonts w:ascii="Palatino Linotype" w:eastAsia="Calibri" w:hAnsi="Palatino Linotype" w:cs="Tahoma"/>
          <w:bCs/>
          <w:i/>
          <w:sz w:val="22"/>
          <w:szCs w:val="22"/>
          <w:lang w:eastAsia="en-US"/>
        </w:rPr>
        <w:t>.</w:t>
      </w:r>
    </w:p>
    <w:p w14:paraId="4651CAB3" w14:textId="77777777" w:rsidR="001E0D35" w:rsidRPr="001E0D35" w:rsidRDefault="001E0D35" w:rsidP="001E0D35">
      <w:pPr>
        <w:ind w:left="851" w:right="851"/>
        <w:jc w:val="both"/>
        <w:rPr>
          <w:rFonts w:ascii="Palatino Linotype" w:eastAsia="Calibri" w:hAnsi="Palatino Linotype" w:cs="Tahoma"/>
          <w:bCs/>
          <w:i/>
          <w:sz w:val="22"/>
          <w:szCs w:val="22"/>
          <w:lang w:eastAsia="en-US"/>
        </w:rPr>
      </w:pPr>
    </w:p>
    <w:p w14:paraId="4ADA04C0" w14:textId="77777777" w:rsidR="001E0D35" w:rsidRPr="001E0D35" w:rsidRDefault="001E0D35" w:rsidP="001E0D35">
      <w:pPr>
        <w:ind w:left="851" w:right="851"/>
        <w:jc w:val="both"/>
        <w:rPr>
          <w:rFonts w:ascii="Palatino Linotype" w:eastAsia="Calibri" w:hAnsi="Palatino Linotype" w:cs="Tahoma"/>
          <w:bCs/>
          <w:i/>
          <w:sz w:val="22"/>
          <w:szCs w:val="22"/>
          <w:lang w:eastAsia="en-US"/>
        </w:rPr>
      </w:pPr>
      <w:r w:rsidRPr="001E0D35">
        <w:rPr>
          <w:rFonts w:ascii="Palatino Linotype" w:eastAsia="Calibri" w:hAnsi="Palatino Linotype" w:cs="Tahoma"/>
          <w:bCs/>
          <w:i/>
          <w:sz w:val="22"/>
          <w:szCs w:val="22"/>
          <w:lang w:eastAsia="en-US"/>
        </w:rPr>
        <w:t>El pago previsto en el párrafo anterior se hará con base al tabulador vigente de la fecha en que se exhiba.</w:t>
      </w:r>
    </w:p>
    <w:p w14:paraId="28F51DC8" w14:textId="77777777" w:rsidR="001E0D35" w:rsidRPr="001E0D35" w:rsidRDefault="001E0D35" w:rsidP="001E0D35">
      <w:pPr>
        <w:ind w:left="851" w:right="851"/>
        <w:jc w:val="both"/>
        <w:rPr>
          <w:rFonts w:ascii="Palatino Linotype" w:eastAsia="Calibri" w:hAnsi="Palatino Linotype" w:cs="Tahoma"/>
          <w:bCs/>
          <w:i/>
          <w:sz w:val="22"/>
          <w:szCs w:val="22"/>
          <w:lang w:eastAsia="en-US"/>
        </w:rPr>
      </w:pPr>
    </w:p>
    <w:p w14:paraId="5E8447F0" w14:textId="1A078C51" w:rsidR="001E0D35" w:rsidRPr="001E0D35" w:rsidRDefault="001E0D35" w:rsidP="001E0D35">
      <w:pPr>
        <w:ind w:left="851" w:right="851"/>
        <w:jc w:val="both"/>
        <w:rPr>
          <w:rFonts w:ascii="Palatino Linotype" w:eastAsia="Calibri" w:hAnsi="Palatino Linotype" w:cs="Tahoma"/>
          <w:bCs/>
          <w:i/>
          <w:sz w:val="22"/>
          <w:szCs w:val="22"/>
          <w:lang w:eastAsia="en-US"/>
        </w:rPr>
      </w:pPr>
      <w:r>
        <w:rPr>
          <w:rFonts w:ascii="Palatino Linotype" w:eastAsia="Calibri" w:hAnsi="Palatino Linotype" w:cs="Tahoma"/>
          <w:bCs/>
          <w:i/>
          <w:sz w:val="22"/>
          <w:szCs w:val="22"/>
          <w:lang w:eastAsia="en-US"/>
        </w:rPr>
        <w:t>(Énfasis añadido)</w:t>
      </w:r>
    </w:p>
    <w:p w14:paraId="4AA1AD93" w14:textId="77777777" w:rsidR="001E0D35" w:rsidRPr="001E0D35" w:rsidRDefault="001E0D35" w:rsidP="001E0D35">
      <w:pPr>
        <w:spacing w:before="240" w:after="240" w:line="360" w:lineRule="auto"/>
        <w:jc w:val="both"/>
        <w:rPr>
          <w:rFonts w:ascii="Palatino Linotype" w:hAnsi="Palatino Linotype" w:cs="Tahoma"/>
          <w:bCs/>
          <w:lang w:eastAsia="es-ES"/>
        </w:rPr>
      </w:pPr>
      <w:r w:rsidRPr="001E0D35">
        <w:rPr>
          <w:rFonts w:ascii="Palatino Linotype" w:hAnsi="Palatino Linotype" w:cs="Tahoma"/>
          <w:bCs/>
          <w:lang w:eastAsia="es-ES"/>
        </w:rPr>
        <w:t>Conforme a lo anterior, se advierte la existencia de faltas administrativas no graves y faltas administrativas graves, su clasificación, las sanciones que son susceptibles de imponerse, así como las circunstancias que se deben tomar en cuenta para su imposición, es decir, existen etapas en los procedimientos en los que se resuelva la suspensión temporal, separación, remoción, baja, cese o cualquier otra forma de terminación del servicio de los elementos policiales para determinar la falta en la que haya incurrido, a saber, las siguientes:</w:t>
      </w:r>
    </w:p>
    <w:p w14:paraId="378CC9D4" w14:textId="77777777" w:rsidR="001E0D35" w:rsidRPr="001E0D35" w:rsidRDefault="001E0D35" w:rsidP="001E0D35">
      <w:pPr>
        <w:numPr>
          <w:ilvl w:val="0"/>
          <w:numId w:val="7"/>
        </w:numPr>
        <w:spacing w:line="360" w:lineRule="auto"/>
        <w:contextualSpacing/>
        <w:jc w:val="both"/>
        <w:rPr>
          <w:rFonts w:ascii="Palatino Linotype" w:hAnsi="Palatino Linotype" w:cs="Tahoma"/>
          <w:bCs/>
          <w:lang w:eastAsia="en-US"/>
        </w:rPr>
      </w:pPr>
      <w:r w:rsidRPr="001E0D35">
        <w:rPr>
          <w:rFonts w:ascii="Palatino Linotype" w:hAnsi="Palatino Linotype" w:cs="Tahoma"/>
          <w:b/>
          <w:bCs/>
          <w:lang w:eastAsia="en-US"/>
        </w:rPr>
        <w:t xml:space="preserve">Investigación: </w:t>
      </w:r>
      <w:r w:rsidRPr="001E0D35">
        <w:rPr>
          <w:rFonts w:ascii="Palatino Linotype" w:hAnsi="Palatino Linotype" w:cs="Tahoma"/>
          <w:bCs/>
          <w:lang w:eastAsia="en-US"/>
        </w:rPr>
        <w:t>la cual consiste en lo siguiente:</w:t>
      </w:r>
    </w:p>
    <w:p w14:paraId="2F27934C" w14:textId="77777777" w:rsidR="001E0D35" w:rsidRPr="001E0D35" w:rsidRDefault="001E0D35" w:rsidP="001E0D35">
      <w:pPr>
        <w:numPr>
          <w:ilvl w:val="0"/>
          <w:numId w:val="9"/>
        </w:numPr>
        <w:spacing w:line="360" w:lineRule="auto"/>
        <w:ind w:left="709"/>
        <w:contextualSpacing/>
        <w:jc w:val="both"/>
        <w:rPr>
          <w:rFonts w:ascii="Palatino Linotype" w:hAnsi="Palatino Linotype" w:cs="Tahoma"/>
          <w:bCs/>
          <w:lang w:eastAsia="en-US"/>
        </w:rPr>
      </w:pPr>
      <w:r w:rsidRPr="001E0D35">
        <w:rPr>
          <w:rFonts w:ascii="Palatino Linotype" w:hAnsi="Palatino Linotype" w:cs="Tahoma"/>
          <w:bCs/>
          <w:lang w:eastAsia="en-US"/>
        </w:rPr>
        <w:t xml:space="preserve">Inicia: </w:t>
      </w:r>
    </w:p>
    <w:p w14:paraId="1C4A96D0" w14:textId="77777777" w:rsidR="001E0D35" w:rsidRPr="001E0D35" w:rsidRDefault="001E0D35" w:rsidP="001E0D35">
      <w:pPr>
        <w:spacing w:line="360" w:lineRule="auto"/>
        <w:ind w:left="708"/>
        <w:jc w:val="both"/>
        <w:rPr>
          <w:rFonts w:ascii="Palatino Linotype" w:hAnsi="Palatino Linotype" w:cs="Tahoma"/>
          <w:bCs/>
          <w:lang w:eastAsia="en-US"/>
        </w:rPr>
      </w:pPr>
      <w:r w:rsidRPr="001E0D35">
        <w:rPr>
          <w:rFonts w:ascii="Palatino Linotype" w:hAnsi="Palatino Linotype" w:cs="Tahoma"/>
          <w:bCs/>
          <w:lang w:eastAsia="en-US"/>
        </w:rPr>
        <w:t xml:space="preserve">De oficio </w:t>
      </w:r>
    </w:p>
    <w:p w14:paraId="748878FC" w14:textId="77777777" w:rsidR="001E0D35" w:rsidRPr="001E0D35" w:rsidRDefault="001E0D35" w:rsidP="001E0D35">
      <w:pPr>
        <w:spacing w:line="360" w:lineRule="auto"/>
        <w:ind w:left="708"/>
        <w:jc w:val="both"/>
        <w:rPr>
          <w:rFonts w:ascii="Palatino Linotype" w:hAnsi="Palatino Linotype" w:cs="Tahoma"/>
          <w:bCs/>
          <w:lang w:eastAsia="en-US"/>
        </w:rPr>
      </w:pPr>
      <w:r w:rsidRPr="001E0D35">
        <w:rPr>
          <w:rFonts w:ascii="Palatino Linotype" w:hAnsi="Palatino Linotype" w:cs="Tahoma"/>
          <w:bCs/>
          <w:lang w:eastAsia="en-US"/>
        </w:rPr>
        <w:t xml:space="preserve">Por denuncia </w:t>
      </w:r>
    </w:p>
    <w:p w14:paraId="32964A11" w14:textId="77777777" w:rsidR="001E0D35" w:rsidRPr="001E0D35" w:rsidRDefault="001E0D35" w:rsidP="001E0D35">
      <w:pPr>
        <w:numPr>
          <w:ilvl w:val="0"/>
          <w:numId w:val="7"/>
        </w:numPr>
        <w:spacing w:line="360" w:lineRule="auto"/>
        <w:contextualSpacing/>
        <w:jc w:val="both"/>
        <w:rPr>
          <w:rFonts w:ascii="Palatino Linotype" w:hAnsi="Palatino Linotype" w:cs="Tahoma"/>
          <w:b/>
          <w:bCs/>
          <w:lang w:eastAsia="en-US"/>
        </w:rPr>
      </w:pPr>
      <w:r w:rsidRPr="001E0D35">
        <w:rPr>
          <w:rFonts w:ascii="Palatino Linotype" w:hAnsi="Palatino Linotype" w:cs="Tahoma"/>
          <w:b/>
          <w:bCs/>
          <w:lang w:eastAsia="en-US"/>
        </w:rPr>
        <w:lastRenderedPageBreak/>
        <w:t xml:space="preserve">Sustanciación: </w:t>
      </w:r>
      <w:r w:rsidRPr="001E0D35">
        <w:rPr>
          <w:rFonts w:ascii="Palatino Linotype" w:hAnsi="Palatino Linotype" w:cs="Tahoma"/>
          <w:bCs/>
          <w:lang w:eastAsia="en-US"/>
        </w:rPr>
        <w:t>En este periodo se puede realizar lo siguiente:</w:t>
      </w:r>
    </w:p>
    <w:p w14:paraId="4AA44504" w14:textId="77777777" w:rsidR="001E0D35" w:rsidRPr="001E0D35" w:rsidRDefault="001E0D35" w:rsidP="001E0D35">
      <w:pPr>
        <w:numPr>
          <w:ilvl w:val="0"/>
          <w:numId w:val="9"/>
        </w:numPr>
        <w:spacing w:line="360" w:lineRule="auto"/>
        <w:ind w:left="709"/>
        <w:contextualSpacing/>
        <w:jc w:val="both"/>
        <w:rPr>
          <w:rFonts w:ascii="Palatino Linotype" w:hAnsi="Palatino Linotype" w:cs="Tahoma"/>
          <w:b/>
          <w:bCs/>
          <w:lang w:eastAsia="en-US"/>
        </w:rPr>
      </w:pPr>
      <w:r w:rsidRPr="001E0D35">
        <w:rPr>
          <w:rFonts w:ascii="Palatino Linotype" w:hAnsi="Palatino Linotype" w:cs="Tahoma"/>
          <w:bCs/>
          <w:lang w:eastAsia="en-US"/>
        </w:rPr>
        <w:t>La Comisión de Honor y Justicia, iniciará procedimiento administrativo al elemento policial</w:t>
      </w:r>
    </w:p>
    <w:p w14:paraId="1AF8984D" w14:textId="77777777" w:rsidR="001E0D35" w:rsidRPr="001E0D35" w:rsidRDefault="001E0D35" w:rsidP="001E0D35">
      <w:pPr>
        <w:numPr>
          <w:ilvl w:val="0"/>
          <w:numId w:val="9"/>
        </w:numPr>
        <w:spacing w:line="360" w:lineRule="auto"/>
        <w:ind w:left="709"/>
        <w:contextualSpacing/>
        <w:jc w:val="both"/>
        <w:rPr>
          <w:rFonts w:ascii="Palatino Linotype" w:hAnsi="Palatino Linotype" w:cs="Tahoma"/>
          <w:b/>
          <w:bCs/>
          <w:lang w:eastAsia="en-US"/>
        </w:rPr>
      </w:pPr>
      <w:r w:rsidRPr="001E0D35">
        <w:rPr>
          <w:rFonts w:ascii="Palatino Linotype" w:hAnsi="Palatino Linotype" w:cs="Tahoma"/>
          <w:bCs/>
          <w:lang w:eastAsia="en-US"/>
        </w:rPr>
        <w:t>Las partes, tienen derecho de audiencia así como presentar las pruebas o alegatos que consideren pertinentes.</w:t>
      </w:r>
    </w:p>
    <w:p w14:paraId="4DF78063" w14:textId="77777777" w:rsidR="001E0D35" w:rsidRPr="001E0D35" w:rsidRDefault="001E0D35" w:rsidP="001E0D35">
      <w:pPr>
        <w:numPr>
          <w:ilvl w:val="0"/>
          <w:numId w:val="7"/>
        </w:numPr>
        <w:spacing w:line="360" w:lineRule="auto"/>
        <w:contextualSpacing/>
        <w:jc w:val="both"/>
        <w:rPr>
          <w:rFonts w:ascii="Palatino Linotype" w:hAnsi="Palatino Linotype" w:cs="Tahoma"/>
          <w:b/>
          <w:bCs/>
          <w:lang w:eastAsia="en-US"/>
        </w:rPr>
      </w:pPr>
      <w:r w:rsidRPr="001E0D35">
        <w:rPr>
          <w:rFonts w:ascii="Palatino Linotype" w:hAnsi="Palatino Linotype" w:cs="Tahoma"/>
          <w:b/>
          <w:bCs/>
          <w:lang w:eastAsia="en-US"/>
        </w:rPr>
        <w:t>Resolución:</w:t>
      </w:r>
    </w:p>
    <w:p w14:paraId="2B053B92" w14:textId="77777777" w:rsidR="001E0D35" w:rsidRPr="001E0D35" w:rsidRDefault="001E0D35" w:rsidP="001E0D35">
      <w:pPr>
        <w:numPr>
          <w:ilvl w:val="0"/>
          <w:numId w:val="8"/>
        </w:numPr>
        <w:spacing w:line="360" w:lineRule="auto"/>
        <w:ind w:left="993"/>
        <w:contextualSpacing/>
        <w:jc w:val="both"/>
        <w:rPr>
          <w:rFonts w:ascii="Palatino Linotype" w:hAnsi="Palatino Linotype" w:cs="Tahoma"/>
          <w:b/>
          <w:bCs/>
          <w:lang w:eastAsia="en-US"/>
        </w:rPr>
      </w:pPr>
      <w:r w:rsidRPr="001E0D35">
        <w:rPr>
          <w:rFonts w:ascii="Palatino Linotype" w:hAnsi="Palatino Linotype" w:cs="Tahoma"/>
          <w:bCs/>
          <w:lang w:eastAsia="en-US"/>
        </w:rPr>
        <w:t>Se emite resolución y se notifica a las partes.</w:t>
      </w:r>
    </w:p>
    <w:p w14:paraId="43131C73" w14:textId="77777777" w:rsidR="001E0D35" w:rsidRDefault="001E0D35" w:rsidP="002130A4">
      <w:pPr>
        <w:spacing w:line="360" w:lineRule="auto"/>
        <w:ind w:right="-28"/>
        <w:jc w:val="both"/>
        <w:rPr>
          <w:rFonts w:ascii="Palatino Linotype" w:hAnsi="Palatino Linotype" w:cs="Tahoma"/>
          <w:b/>
          <w:bCs/>
          <w:sz w:val="22"/>
          <w:lang w:eastAsia="es-ES"/>
        </w:rPr>
      </w:pPr>
    </w:p>
    <w:p w14:paraId="55786C93" w14:textId="511CD985" w:rsidR="002130A4" w:rsidRPr="001E0D35" w:rsidRDefault="001E0D35" w:rsidP="002130A4">
      <w:pPr>
        <w:spacing w:line="360" w:lineRule="auto"/>
        <w:ind w:right="-28"/>
        <w:jc w:val="both"/>
        <w:rPr>
          <w:rFonts w:ascii="Palatino Linotype" w:hAnsi="Palatino Linotype" w:cs="Tahoma"/>
          <w:bCs/>
          <w:szCs w:val="22"/>
          <w:lang w:eastAsia="es-ES"/>
        </w:rPr>
      </w:pPr>
      <w:r>
        <w:rPr>
          <w:rFonts w:ascii="Palatino Linotype" w:hAnsi="Palatino Linotype" w:cs="Tahoma"/>
          <w:bCs/>
          <w:szCs w:val="22"/>
          <w:lang w:eastAsia="es-ES"/>
        </w:rPr>
        <w:t xml:space="preserve">Así, se desprende que los </w:t>
      </w:r>
      <w:r w:rsidR="002130A4" w:rsidRPr="001E0D35">
        <w:rPr>
          <w:rFonts w:ascii="Palatino Linotype" w:hAnsi="Palatino Linotype" w:cs="Tahoma"/>
          <w:bCs/>
          <w:szCs w:val="22"/>
          <w:lang w:eastAsia="es-ES"/>
        </w:rPr>
        <w:t>expediente</w:t>
      </w:r>
      <w:r>
        <w:rPr>
          <w:rFonts w:ascii="Palatino Linotype" w:hAnsi="Palatino Linotype" w:cs="Tahoma"/>
          <w:bCs/>
          <w:szCs w:val="22"/>
          <w:lang w:eastAsia="es-ES"/>
        </w:rPr>
        <w:t>s</w:t>
      </w:r>
      <w:r w:rsidR="002130A4" w:rsidRPr="001E0D35">
        <w:rPr>
          <w:rFonts w:ascii="Palatino Linotype" w:hAnsi="Palatino Linotype" w:cs="Tahoma"/>
          <w:bCs/>
          <w:szCs w:val="22"/>
          <w:lang w:eastAsia="es-ES"/>
        </w:rPr>
        <w:t xml:space="preserve"> </w:t>
      </w:r>
      <w:r>
        <w:rPr>
          <w:rFonts w:ascii="Palatino Linotype" w:eastAsia="Calibri" w:hAnsi="Palatino Linotype" w:cs="Tahoma"/>
          <w:iCs/>
          <w:szCs w:val="22"/>
          <w:lang w:eastAsia="es-ES_tradnl"/>
        </w:rPr>
        <w:t>que pudieran generarse derivado de los procedimientos, quejas o sanciones</w:t>
      </w:r>
      <w:r w:rsidR="002130A4" w:rsidRPr="001E0D35">
        <w:rPr>
          <w:rFonts w:ascii="Palatino Linotype" w:eastAsia="Calibri" w:hAnsi="Palatino Linotype" w:cs="Tahoma"/>
          <w:iCs/>
          <w:szCs w:val="22"/>
          <w:lang w:eastAsia="es-ES_tradnl"/>
        </w:rPr>
        <w:t>,</w:t>
      </w:r>
      <w:r w:rsidR="002130A4" w:rsidRPr="001E0D35">
        <w:rPr>
          <w:rFonts w:ascii="Palatino Linotype" w:hAnsi="Palatino Linotype" w:cs="Tahoma"/>
          <w:bCs/>
          <w:szCs w:val="22"/>
          <w:lang w:eastAsia="es-ES"/>
        </w:rPr>
        <w:t xml:space="preserve"> cuenta</w:t>
      </w:r>
      <w:r>
        <w:rPr>
          <w:rFonts w:ascii="Palatino Linotype" w:hAnsi="Palatino Linotype" w:cs="Tahoma"/>
          <w:bCs/>
          <w:szCs w:val="22"/>
          <w:lang w:eastAsia="es-ES"/>
        </w:rPr>
        <w:t>n</w:t>
      </w:r>
      <w:r w:rsidR="002130A4" w:rsidRPr="001E0D35">
        <w:rPr>
          <w:rFonts w:ascii="Palatino Linotype" w:hAnsi="Palatino Linotype" w:cs="Tahoma"/>
          <w:bCs/>
          <w:szCs w:val="22"/>
          <w:lang w:eastAsia="es-ES"/>
        </w:rPr>
        <w:t xml:space="preserve"> con las características de un </w:t>
      </w:r>
      <w:r w:rsidR="002130A4" w:rsidRPr="001E0D35">
        <w:rPr>
          <w:rFonts w:ascii="Palatino Linotype" w:hAnsi="Palatino Linotype" w:cs="Tahoma"/>
          <w:b/>
          <w:szCs w:val="22"/>
          <w:u w:val="single"/>
          <w:lang w:eastAsia="es-ES"/>
        </w:rPr>
        <w:t>procedimiento administrativo seguido en forma de juicio para determinar sobre presuntas violaciones a derechos humanos</w:t>
      </w:r>
      <w:r w:rsidR="002130A4" w:rsidRPr="001E0D35">
        <w:rPr>
          <w:rFonts w:ascii="Palatino Linotype" w:hAnsi="Palatino Linotype" w:cs="Tahoma"/>
          <w:bCs/>
          <w:szCs w:val="22"/>
          <w:lang w:eastAsia="es-ES"/>
        </w:rPr>
        <w:t>, por lo que, se procede a analizar cada uno de los requisitos señalados en los Lineamientos Generales en materia de clasificación y desclasificación de la información, con la finalidad de verificar si se configura la hipótesis de reserva en estudio:</w:t>
      </w:r>
    </w:p>
    <w:p w14:paraId="07EA26C3" w14:textId="77777777" w:rsidR="002130A4" w:rsidRPr="002130A4" w:rsidRDefault="002130A4" w:rsidP="002130A4">
      <w:pPr>
        <w:tabs>
          <w:tab w:val="left" w:pos="8222"/>
        </w:tabs>
        <w:spacing w:line="360" w:lineRule="auto"/>
        <w:ind w:right="397"/>
        <w:jc w:val="both"/>
        <w:rPr>
          <w:rFonts w:ascii="Palatino Linotype" w:hAnsi="Palatino Linotype" w:cs="Tahoma"/>
          <w:bCs/>
          <w:sz w:val="22"/>
          <w:szCs w:val="22"/>
          <w:lang w:eastAsia="es-ES"/>
        </w:rPr>
      </w:pPr>
    </w:p>
    <w:p w14:paraId="676FC0FD" w14:textId="51613A77" w:rsidR="001E0D35" w:rsidRDefault="002130A4" w:rsidP="001E0D35">
      <w:pPr>
        <w:numPr>
          <w:ilvl w:val="0"/>
          <w:numId w:val="21"/>
        </w:numPr>
        <w:tabs>
          <w:tab w:val="left" w:pos="8222"/>
        </w:tabs>
        <w:spacing w:line="360" w:lineRule="auto"/>
        <w:ind w:left="567" w:right="397" w:hanging="283"/>
        <w:contextualSpacing/>
        <w:jc w:val="both"/>
        <w:rPr>
          <w:rFonts w:ascii="Palatino Linotype" w:hAnsi="Palatino Linotype" w:cs="Tahoma"/>
          <w:b/>
          <w:bCs/>
          <w:sz w:val="22"/>
          <w:szCs w:val="22"/>
          <w:lang w:eastAsia="es-ES"/>
        </w:rPr>
      </w:pPr>
      <w:r w:rsidRPr="002130A4">
        <w:rPr>
          <w:rFonts w:ascii="Palatino Linotype" w:hAnsi="Palatino Linotype" w:cs="Tahoma"/>
          <w:b/>
          <w:bCs/>
          <w:sz w:val="22"/>
          <w:szCs w:val="22"/>
          <w:lang w:eastAsia="es-ES"/>
        </w:rPr>
        <w:t>La existencia de un juicio o procedimiento administrativo materialmente jurisdicciona</w:t>
      </w:r>
      <w:r w:rsidR="001E0D35">
        <w:rPr>
          <w:rFonts w:ascii="Palatino Linotype" w:hAnsi="Palatino Linotype" w:cs="Tahoma"/>
          <w:b/>
          <w:bCs/>
          <w:sz w:val="22"/>
          <w:szCs w:val="22"/>
          <w:lang w:eastAsia="es-ES"/>
        </w:rPr>
        <w:t>l, que se encuentre en trámite</w:t>
      </w:r>
    </w:p>
    <w:p w14:paraId="1A0CBB74" w14:textId="77777777" w:rsidR="001E0D35" w:rsidRPr="001E0D35" w:rsidRDefault="001E0D35" w:rsidP="001E0D35">
      <w:pPr>
        <w:tabs>
          <w:tab w:val="left" w:pos="8222"/>
        </w:tabs>
        <w:spacing w:line="360" w:lineRule="auto"/>
        <w:ind w:left="567" w:right="397"/>
        <w:contextualSpacing/>
        <w:jc w:val="both"/>
        <w:rPr>
          <w:rFonts w:ascii="Palatino Linotype" w:hAnsi="Palatino Linotype" w:cs="Tahoma"/>
          <w:b/>
          <w:bCs/>
          <w:sz w:val="22"/>
          <w:szCs w:val="22"/>
          <w:lang w:eastAsia="es-ES"/>
        </w:rPr>
      </w:pPr>
    </w:p>
    <w:p w14:paraId="2574408A" w14:textId="282849AE" w:rsidR="001E0D35" w:rsidRPr="001E0D35" w:rsidRDefault="001E0D35" w:rsidP="001E0D35">
      <w:pPr>
        <w:spacing w:line="360" w:lineRule="auto"/>
        <w:ind w:right="-28"/>
        <w:jc w:val="both"/>
        <w:rPr>
          <w:rFonts w:ascii="Palatino Linotype" w:hAnsi="Palatino Linotype" w:cs="Tahoma"/>
          <w:bCs/>
          <w:szCs w:val="22"/>
          <w:lang w:eastAsia="es-ES"/>
        </w:rPr>
      </w:pPr>
      <w:r w:rsidRPr="001E0D35">
        <w:rPr>
          <w:rFonts w:ascii="Palatino Linotype" w:hAnsi="Palatino Linotype" w:cs="Tahoma"/>
          <w:bCs/>
          <w:szCs w:val="22"/>
          <w:lang w:eastAsia="es-ES"/>
        </w:rPr>
        <w:t>En ese contexto, cabe precisar que de haber procedimiento</w:t>
      </w:r>
      <w:r>
        <w:rPr>
          <w:rFonts w:ascii="Palatino Linotype" w:hAnsi="Palatino Linotype" w:cs="Tahoma"/>
          <w:bCs/>
          <w:szCs w:val="22"/>
          <w:lang w:eastAsia="es-ES"/>
        </w:rPr>
        <w:t>s</w:t>
      </w:r>
      <w:r w:rsidRPr="001E0D35">
        <w:rPr>
          <w:rFonts w:ascii="Palatino Linotype" w:hAnsi="Palatino Linotype" w:cs="Tahoma"/>
          <w:bCs/>
          <w:szCs w:val="22"/>
          <w:lang w:eastAsia="es-ES"/>
        </w:rPr>
        <w:t>, quejas o sanciones</w:t>
      </w:r>
      <w:r>
        <w:rPr>
          <w:rFonts w:ascii="Palatino Linotype" w:hAnsi="Palatino Linotype" w:cs="Tahoma"/>
          <w:bCs/>
          <w:szCs w:val="22"/>
          <w:lang w:eastAsia="es-ES"/>
        </w:rPr>
        <w:t xml:space="preserve"> en contra de los elementos</w:t>
      </w:r>
      <w:r w:rsidRPr="001E0D35">
        <w:rPr>
          <w:rFonts w:ascii="Palatino Linotype" w:hAnsi="Palatino Linotype" w:cs="Tahoma"/>
          <w:bCs/>
          <w:szCs w:val="22"/>
          <w:lang w:eastAsia="es-ES"/>
        </w:rPr>
        <w:t xml:space="preserve"> en trámite y de encontrarse en la etapa de integración y/o substanciación, se estaría en la existencia de los procedimientos administrativos.</w:t>
      </w:r>
    </w:p>
    <w:p w14:paraId="206CD0AC" w14:textId="77DCA9EC" w:rsidR="002130A4" w:rsidRPr="001E0D35" w:rsidRDefault="001E0D35" w:rsidP="001E0D35">
      <w:pPr>
        <w:spacing w:line="360" w:lineRule="auto"/>
        <w:ind w:right="-28"/>
        <w:jc w:val="both"/>
        <w:rPr>
          <w:rFonts w:ascii="Palatino Linotype" w:hAnsi="Palatino Linotype" w:cs="Tahoma"/>
          <w:bCs/>
          <w:szCs w:val="22"/>
          <w:lang w:eastAsia="es-ES"/>
        </w:rPr>
      </w:pPr>
      <w:r w:rsidRPr="001E0D35">
        <w:rPr>
          <w:rFonts w:ascii="Palatino Linotype" w:hAnsi="Palatino Linotype" w:cs="Tahoma"/>
          <w:bCs/>
          <w:szCs w:val="22"/>
          <w:lang w:eastAsia="es-ES"/>
        </w:rPr>
        <w:t>Así, se acreditaría el primero de los requisitos establecidos en los Lineamientos Generales para acreditar la reserva en cuestión.</w:t>
      </w:r>
    </w:p>
    <w:p w14:paraId="2771C086" w14:textId="77777777" w:rsidR="002130A4" w:rsidRPr="002130A4" w:rsidRDefault="002130A4" w:rsidP="002130A4">
      <w:pPr>
        <w:tabs>
          <w:tab w:val="left" w:pos="8222"/>
        </w:tabs>
        <w:spacing w:line="360" w:lineRule="auto"/>
        <w:ind w:right="397"/>
        <w:jc w:val="both"/>
        <w:rPr>
          <w:rFonts w:ascii="Palatino Linotype" w:hAnsi="Palatino Linotype" w:cs="Tahoma"/>
          <w:bCs/>
          <w:sz w:val="22"/>
          <w:szCs w:val="22"/>
          <w:lang w:eastAsia="es-ES"/>
        </w:rPr>
      </w:pPr>
    </w:p>
    <w:p w14:paraId="51F396EA" w14:textId="77777777" w:rsidR="002130A4" w:rsidRDefault="002130A4" w:rsidP="001E0D35">
      <w:pPr>
        <w:numPr>
          <w:ilvl w:val="0"/>
          <w:numId w:val="21"/>
        </w:numPr>
        <w:tabs>
          <w:tab w:val="left" w:pos="8222"/>
        </w:tabs>
        <w:spacing w:line="360" w:lineRule="auto"/>
        <w:ind w:left="567" w:right="397" w:hanging="283"/>
        <w:contextualSpacing/>
        <w:jc w:val="both"/>
        <w:rPr>
          <w:rFonts w:ascii="Palatino Linotype" w:hAnsi="Palatino Linotype" w:cs="Tahoma"/>
          <w:b/>
          <w:bCs/>
          <w:sz w:val="22"/>
          <w:szCs w:val="22"/>
          <w:lang w:eastAsia="es-ES"/>
        </w:rPr>
      </w:pPr>
      <w:r w:rsidRPr="002130A4">
        <w:rPr>
          <w:rFonts w:ascii="Palatino Linotype" w:hAnsi="Palatino Linotype" w:cs="Tahoma"/>
          <w:b/>
          <w:bCs/>
          <w:sz w:val="22"/>
          <w:szCs w:val="22"/>
          <w:lang w:eastAsia="es-ES"/>
        </w:rPr>
        <w:lastRenderedPageBreak/>
        <w:t>Que la información solicitada se refiera a actuaciones, diligencias o constancias propias del procedimiento.</w:t>
      </w:r>
    </w:p>
    <w:p w14:paraId="3ADE3191" w14:textId="77777777" w:rsidR="001E0D35" w:rsidRPr="001E0D35" w:rsidRDefault="001E0D35" w:rsidP="001E0D35">
      <w:pPr>
        <w:tabs>
          <w:tab w:val="left" w:pos="8222"/>
        </w:tabs>
        <w:spacing w:line="360" w:lineRule="auto"/>
        <w:ind w:left="567" w:right="397"/>
        <w:contextualSpacing/>
        <w:jc w:val="both"/>
        <w:rPr>
          <w:rFonts w:ascii="Palatino Linotype" w:hAnsi="Palatino Linotype" w:cs="Tahoma"/>
          <w:bCs/>
          <w:sz w:val="22"/>
          <w:szCs w:val="22"/>
          <w:lang w:eastAsia="es-ES"/>
        </w:rPr>
      </w:pPr>
    </w:p>
    <w:p w14:paraId="14CCB1BD" w14:textId="2C9F71AD" w:rsidR="001E0D35" w:rsidRPr="001E0D35" w:rsidRDefault="001E0D35" w:rsidP="001E0D35">
      <w:pPr>
        <w:tabs>
          <w:tab w:val="left" w:pos="8222"/>
        </w:tabs>
        <w:spacing w:line="360" w:lineRule="auto"/>
        <w:ind w:right="397"/>
        <w:jc w:val="both"/>
        <w:rPr>
          <w:rFonts w:ascii="Palatino Linotype" w:hAnsi="Palatino Linotype" w:cs="Tahoma"/>
          <w:bCs/>
          <w:lang w:eastAsia="es-ES"/>
        </w:rPr>
      </w:pPr>
      <w:r w:rsidRPr="001E0D35">
        <w:rPr>
          <w:rFonts w:ascii="Palatino Linotype" w:hAnsi="Palatino Linotype" w:cs="Tahoma"/>
          <w:bCs/>
          <w:szCs w:val="22"/>
          <w:lang w:eastAsia="es-ES"/>
        </w:rPr>
        <w:t>Al respecto, de contar con procedimiento</w:t>
      </w:r>
      <w:r>
        <w:rPr>
          <w:rFonts w:ascii="Palatino Linotype" w:hAnsi="Palatino Linotype" w:cs="Tahoma"/>
          <w:bCs/>
          <w:szCs w:val="22"/>
          <w:lang w:eastAsia="es-ES"/>
        </w:rPr>
        <w:t>s</w:t>
      </w:r>
      <w:r w:rsidRPr="001E0D35">
        <w:rPr>
          <w:rFonts w:ascii="Palatino Linotype" w:hAnsi="Palatino Linotype" w:cs="Tahoma"/>
          <w:bCs/>
          <w:szCs w:val="22"/>
          <w:lang w:eastAsia="es-ES"/>
        </w:rPr>
        <w:t xml:space="preserve">, quejas o sanciones en contra de elementos policiales en trámite, se trata de la investigación para determinar la </w:t>
      </w:r>
      <w:r w:rsidRPr="001E0D35">
        <w:rPr>
          <w:rFonts w:ascii="Palatino Linotype" w:hAnsi="Palatino Linotype" w:cs="Tahoma"/>
          <w:bCs/>
          <w:lang w:eastAsia="es-ES"/>
        </w:rPr>
        <w:t>responsabilidad de elementos de seguridad, en la cual se analiza la gravedad de las faltas de estos, en las que incluso pueden ser destituidos.</w:t>
      </w:r>
    </w:p>
    <w:p w14:paraId="0BCB5A7B" w14:textId="77777777" w:rsidR="001E0D35" w:rsidRPr="001E0D35" w:rsidRDefault="001E0D35" w:rsidP="001E0D35">
      <w:pPr>
        <w:tabs>
          <w:tab w:val="left" w:pos="8222"/>
        </w:tabs>
        <w:spacing w:line="360" w:lineRule="auto"/>
        <w:ind w:right="397"/>
        <w:jc w:val="both"/>
        <w:rPr>
          <w:rFonts w:ascii="Palatino Linotype" w:hAnsi="Palatino Linotype" w:cs="Tahoma"/>
          <w:bCs/>
          <w:lang w:eastAsia="es-ES"/>
        </w:rPr>
      </w:pPr>
      <w:r w:rsidRPr="001E0D35">
        <w:rPr>
          <w:rFonts w:ascii="Palatino Linotype" w:hAnsi="Palatino Linotype" w:cs="Tahoma"/>
          <w:bCs/>
          <w:lang w:eastAsia="es-ES"/>
        </w:rPr>
        <w:t>Por lo que, se advierte que de contar con estos documentos en trámite correspondería a constancias propias que determinan la procedencia de los procedimientos, pues corresponden a determinar el tipo de falta que pudo haber cometido un servidor público, bajo la cual se planteará que tipo de pruebas pueden aportar las partes y ante que autoridad se resuelve; por lo que, se acreditaría el Segundo de los requisitos establecidos en los Lineamientos Generales.</w:t>
      </w:r>
    </w:p>
    <w:p w14:paraId="135AEAB7" w14:textId="77777777" w:rsidR="001E0D35" w:rsidRDefault="001E0D35" w:rsidP="001E0D35">
      <w:pPr>
        <w:tabs>
          <w:tab w:val="left" w:pos="8222"/>
        </w:tabs>
        <w:spacing w:line="360" w:lineRule="auto"/>
        <w:ind w:right="397"/>
        <w:jc w:val="both"/>
        <w:rPr>
          <w:rFonts w:ascii="Palatino Linotype" w:hAnsi="Palatino Linotype" w:cs="Tahoma"/>
          <w:bCs/>
          <w:lang w:eastAsia="es-ES"/>
        </w:rPr>
      </w:pPr>
      <w:r w:rsidRPr="001E0D35">
        <w:rPr>
          <w:rFonts w:ascii="Palatino Linotype" w:hAnsi="Palatino Linotype" w:cs="Tahoma"/>
          <w:bCs/>
          <w:lang w:eastAsia="es-ES"/>
        </w:rPr>
        <w:t>Sobre el particular, cabe traer a colación el artículo 141 de la Ley de la materia, que establece que las causales de reserva se deberán fundar y motivar, a través de la aplicación de la prueba de daño establecida en el artículo 129 de dicho ordenamiento, que se debe justificar de la siguiente manera:</w:t>
      </w:r>
    </w:p>
    <w:p w14:paraId="7C45D037" w14:textId="77777777" w:rsidR="001E0D35" w:rsidRPr="001E0D35" w:rsidRDefault="001E0D35" w:rsidP="001E0D35">
      <w:pPr>
        <w:tabs>
          <w:tab w:val="left" w:pos="8222"/>
        </w:tabs>
        <w:spacing w:line="360" w:lineRule="auto"/>
        <w:ind w:right="397"/>
        <w:jc w:val="both"/>
        <w:rPr>
          <w:rFonts w:ascii="Palatino Linotype" w:hAnsi="Palatino Linotype" w:cs="Tahoma"/>
          <w:bCs/>
          <w:lang w:eastAsia="es-ES"/>
        </w:rPr>
      </w:pPr>
    </w:p>
    <w:p w14:paraId="21EB33A4" w14:textId="66BE95EA" w:rsidR="001E0D35" w:rsidRPr="001E0D35" w:rsidRDefault="001E0D35" w:rsidP="001E0D35">
      <w:pPr>
        <w:tabs>
          <w:tab w:val="left" w:pos="7938"/>
          <w:tab w:val="left" w:pos="8222"/>
        </w:tabs>
        <w:spacing w:line="360" w:lineRule="auto"/>
        <w:ind w:left="567" w:right="758"/>
        <w:jc w:val="both"/>
        <w:rPr>
          <w:rFonts w:ascii="Palatino Linotype" w:hAnsi="Palatino Linotype" w:cs="Tahoma"/>
          <w:b/>
          <w:bCs/>
          <w:sz w:val="22"/>
          <w:szCs w:val="22"/>
          <w:lang w:eastAsia="es-ES"/>
        </w:rPr>
      </w:pPr>
      <w:r>
        <w:rPr>
          <w:rFonts w:ascii="Palatino Linotype" w:hAnsi="Palatino Linotype" w:cs="Tahoma"/>
          <w:b/>
          <w:bCs/>
          <w:sz w:val="22"/>
          <w:szCs w:val="22"/>
          <w:lang w:eastAsia="es-ES"/>
        </w:rPr>
        <w:t>I.</w:t>
      </w:r>
      <w:r w:rsidRPr="001E0D35">
        <w:rPr>
          <w:rFonts w:ascii="Palatino Linotype" w:hAnsi="Palatino Linotype" w:cs="Tahoma"/>
          <w:b/>
          <w:bCs/>
          <w:sz w:val="22"/>
          <w:szCs w:val="22"/>
          <w:lang w:eastAsia="es-ES"/>
        </w:rPr>
        <w:t>La divulgación de la información representa un riesgo real, demostrable e identificable de perjuicio significativo al interés público o a la seguridad nacional.</w:t>
      </w:r>
    </w:p>
    <w:p w14:paraId="5728E727" w14:textId="28421877" w:rsidR="001E0D35" w:rsidRPr="001E0D35" w:rsidRDefault="001E0D35" w:rsidP="001E0D35">
      <w:pPr>
        <w:tabs>
          <w:tab w:val="left" w:pos="7938"/>
          <w:tab w:val="left" w:pos="8222"/>
        </w:tabs>
        <w:spacing w:line="360" w:lineRule="auto"/>
        <w:ind w:left="567" w:right="758"/>
        <w:jc w:val="both"/>
        <w:rPr>
          <w:rFonts w:ascii="Palatino Linotype" w:hAnsi="Palatino Linotype" w:cs="Tahoma"/>
          <w:b/>
          <w:bCs/>
          <w:sz w:val="22"/>
          <w:szCs w:val="22"/>
          <w:lang w:eastAsia="es-ES"/>
        </w:rPr>
      </w:pPr>
      <w:r>
        <w:rPr>
          <w:rFonts w:ascii="Palatino Linotype" w:hAnsi="Palatino Linotype" w:cs="Tahoma"/>
          <w:b/>
          <w:bCs/>
          <w:sz w:val="22"/>
          <w:szCs w:val="22"/>
          <w:lang w:eastAsia="es-ES"/>
        </w:rPr>
        <w:t>II.</w:t>
      </w:r>
      <w:r w:rsidRPr="001E0D35">
        <w:rPr>
          <w:rFonts w:ascii="Palatino Linotype" w:hAnsi="Palatino Linotype" w:cs="Tahoma"/>
          <w:b/>
          <w:bCs/>
          <w:sz w:val="22"/>
          <w:szCs w:val="22"/>
          <w:lang w:eastAsia="es-ES"/>
        </w:rPr>
        <w:t>El riesgo de perjuicio supera el interés público general de que se difunda.</w:t>
      </w:r>
    </w:p>
    <w:p w14:paraId="5738B56F" w14:textId="4EAFDE8B" w:rsidR="001E0D35" w:rsidRDefault="001E0D35" w:rsidP="001E0D35">
      <w:pPr>
        <w:tabs>
          <w:tab w:val="left" w:pos="7938"/>
          <w:tab w:val="left" w:pos="8222"/>
        </w:tabs>
        <w:spacing w:line="360" w:lineRule="auto"/>
        <w:ind w:left="567" w:right="758"/>
        <w:jc w:val="both"/>
        <w:rPr>
          <w:rFonts w:ascii="Palatino Linotype" w:hAnsi="Palatino Linotype" w:cs="Tahoma"/>
          <w:b/>
          <w:bCs/>
          <w:sz w:val="22"/>
          <w:szCs w:val="22"/>
          <w:lang w:eastAsia="es-ES"/>
        </w:rPr>
      </w:pPr>
      <w:r>
        <w:rPr>
          <w:rFonts w:ascii="Palatino Linotype" w:hAnsi="Palatino Linotype" w:cs="Tahoma"/>
          <w:b/>
          <w:bCs/>
          <w:sz w:val="22"/>
          <w:szCs w:val="22"/>
          <w:lang w:eastAsia="es-ES"/>
        </w:rPr>
        <w:t>III.</w:t>
      </w:r>
      <w:r w:rsidRPr="001E0D35">
        <w:rPr>
          <w:rFonts w:ascii="Palatino Linotype" w:hAnsi="Palatino Linotype" w:cs="Tahoma"/>
          <w:b/>
          <w:bCs/>
          <w:sz w:val="22"/>
          <w:szCs w:val="22"/>
          <w:lang w:eastAsia="es-ES"/>
        </w:rPr>
        <w:t>Que la limitación se adecua al principio de proporcionalidad y representa el medio menos restrictivo disponible para evitar el perjuicio.</w:t>
      </w:r>
    </w:p>
    <w:p w14:paraId="529E0CD7" w14:textId="77777777" w:rsidR="001E0D35" w:rsidRPr="001E0D35" w:rsidRDefault="001E0D35" w:rsidP="001E0D35">
      <w:pPr>
        <w:tabs>
          <w:tab w:val="left" w:pos="7938"/>
          <w:tab w:val="left" w:pos="8222"/>
        </w:tabs>
        <w:spacing w:line="360" w:lineRule="auto"/>
        <w:ind w:left="567" w:right="758"/>
        <w:jc w:val="both"/>
        <w:rPr>
          <w:rFonts w:ascii="Palatino Linotype" w:hAnsi="Palatino Linotype" w:cs="Tahoma"/>
          <w:b/>
          <w:bCs/>
          <w:sz w:val="22"/>
          <w:szCs w:val="22"/>
          <w:lang w:eastAsia="es-ES"/>
        </w:rPr>
      </w:pPr>
    </w:p>
    <w:p w14:paraId="35953D3D" w14:textId="77777777" w:rsidR="001E0D35" w:rsidRDefault="001E0D35" w:rsidP="001E0D35">
      <w:pPr>
        <w:tabs>
          <w:tab w:val="left" w:pos="8222"/>
        </w:tabs>
        <w:spacing w:line="360" w:lineRule="auto"/>
        <w:ind w:right="397"/>
        <w:jc w:val="both"/>
        <w:rPr>
          <w:rFonts w:ascii="Palatino Linotype" w:hAnsi="Palatino Linotype" w:cs="Tahoma"/>
          <w:bCs/>
          <w:sz w:val="22"/>
          <w:szCs w:val="22"/>
          <w:lang w:eastAsia="es-ES"/>
        </w:rPr>
      </w:pPr>
      <w:r w:rsidRPr="001E0D35">
        <w:rPr>
          <w:rFonts w:ascii="Palatino Linotype" w:hAnsi="Palatino Linotype" w:cs="Tahoma"/>
          <w:bCs/>
          <w:sz w:val="22"/>
          <w:szCs w:val="22"/>
          <w:lang w:eastAsia="es-ES"/>
        </w:rPr>
        <w:t>Al respecto, este Instituto advierte lo siguiente:</w:t>
      </w:r>
    </w:p>
    <w:p w14:paraId="113C8A80" w14:textId="77777777" w:rsidR="001E0D35" w:rsidRPr="001E0D35" w:rsidRDefault="001E0D35" w:rsidP="001E0D35">
      <w:pPr>
        <w:tabs>
          <w:tab w:val="left" w:pos="8222"/>
        </w:tabs>
        <w:spacing w:line="360" w:lineRule="auto"/>
        <w:ind w:right="397"/>
        <w:jc w:val="both"/>
        <w:rPr>
          <w:rFonts w:ascii="Palatino Linotype" w:hAnsi="Palatino Linotype" w:cs="Tahoma"/>
          <w:bCs/>
          <w:sz w:val="22"/>
          <w:szCs w:val="22"/>
          <w:lang w:eastAsia="es-ES"/>
        </w:rPr>
      </w:pPr>
    </w:p>
    <w:p w14:paraId="395B25CD" w14:textId="4640F99C" w:rsidR="001E0D35" w:rsidRDefault="001E0D35" w:rsidP="001E0D35">
      <w:pPr>
        <w:tabs>
          <w:tab w:val="left" w:pos="8222"/>
        </w:tabs>
        <w:spacing w:line="360" w:lineRule="auto"/>
        <w:ind w:left="567" w:right="900"/>
        <w:jc w:val="both"/>
        <w:rPr>
          <w:rFonts w:ascii="Palatino Linotype" w:hAnsi="Palatino Linotype" w:cs="Tahoma"/>
          <w:bCs/>
          <w:sz w:val="22"/>
          <w:szCs w:val="22"/>
          <w:lang w:eastAsia="es-ES"/>
        </w:rPr>
      </w:pPr>
      <w:r>
        <w:rPr>
          <w:rFonts w:ascii="Palatino Linotype" w:hAnsi="Palatino Linotype" w:cs="Tahoma"/>
          <w:b/>
          <w:bCs/>
          <w:sz w:val="22"/>
          <w:szCs w:val="22"/>
          <w:lang w:eastAsia="es-ES"/>
        </w:rPr>
        <w:t xml:space="preserve">• </w:t>
      </w:r>
      <w:r w:rsidRPr="001E0D35">
        <w:rPr>
          <w:rFonts w:ascii="Palatino Linotype" w:hAnsi="Palatino Linotype" w:cs="Tahoma"/>
          <w:bCs/>
          <w:sz w:val="22"/>
          <w:szCs w:val="22"/>
          <w:lang w:eastAsia="es-ES"/>
        </w:rPr>
        <w:t xml:space="preserve">De existir </w:t>
      </w:r>
      <w:r w:rsidRPr="001E0D35">
        <w:rPr>
          <w:rFonts w:ascii="Palatino Linotype" w:hAnsi="Palatino Linotype" w:cs="Tahoma"/>
          <w:bCs/>
          <w:szCs w:val="22"/>
          <w:lang w:eastAsia="es-ES"/>
        </w:rPr>
        <w:t>procedimientos, quejas o sanciones en contra de elementos policiales</w:t>
      </w:r>
      <w:r w:rsidRPr="001E0D35">
        <w:rPr>
          <w:rFonts w:ascii="Palatino Linotype" w:hAnsi="Palatino Linotype" w:cs="Tahoma"/>
          <w:bCs/>
          <w:sz w:val="22"/>
          <w:szCs w:val="22"/>
          <w:lang w:eastAsia="es-ES"/>
        </w:rPr>
        <w:t xml:space="preserve"> en trámite hay un riesgo real, demostrable e identificable, toda vez que dar a conocer a terceros la información que se encuentra en los expedientes, podría propiciar que</w:t>
      </w:r>
      <w:r w:rsidRPr="001E0D35">
        <w:rPr>
          <w:rFonts w:ascii="Palatino Linotype" w:hAnsi="Palatino Linotype" w:cs="Tahoma"/>
          <w:b/>
          <w:bCs/>
          <w:sz w:val="22"/>
          <w:szCs w:val="22"/>
          <w:lang w:eastAsia="es-ES"/>
        </w:rPr>
        <w:t xml:space="preserve"> </w:t>
      </w:r>
      <w:r w:rsidRPr="001E0D35">
        <w:rPr>
          <w:rFonts w:ascii="Palatino Linotype" w:hAnsi="Palatino Linotype" w:cs="Tahoma"/>
          <w:bCs/>
          <w:sz w:val="22"/>
          <w:szCs w:val="22"/>
          <w:lang w:eastAsia="es-ES"/>
        </w:rPr>
        <w:t>la investigación se vea alterada y por lo tanto el resto del procedimiento ya que se pueden perder pruebas esenciales que permitan demostrar el tipo de falta realizada por el o los servidores públicos o la inexistencia de esta.</w:t>
      </w:r>
    </w:p>
    <w:p w14:paraId="234E8B82" w14:textId="6A1CDB33" w:rsidR="00FE385E" w:rsidRPr="002130A4" w:rsidRDefault="00FE385E" w:rsidP="00FE385E">
      <w:pPr>
        <w:tabs>
          <w:tab w:val="left" w:pos="8222"/>
        </w:tabs>
        <w:spacing w:line="360" w:lineRule="auto"/>
        <w:ind w:left="567" w:right="900"/>
        <w:contextualSpacing/>
        <w:jc w:val="both"/>
        <w:rPr>
          <w:rFonts w:ascii="Palatino Linotype" w:hAnsi="Palatino Linotype" w:cs="Tahoma"/>
          <w:bCs/>
          <w:sz w:val="22"/>
          <w:szCs w:val="22"/>
          <w:lang w:eastAsia="es-ES"/>
        </w:rPr>
      </w:pPr>
      <w:r>
        <w:rPr>
          <w:rFonts w:ascii="Palatino Linotype" w:hAnsi="Palatino Linotype" w:cs="Tahoma"/>
          <w:bCs/>
          <w:sz w:val="22"/>
          <w:szCs w:val="22"/>
          <w:lang w:eastAsia="es-ES"/>
        </w:rPr>
        <w:t>De tal suerte</w:t>
      </w:r>
      <w:r w:rsidRPr="002130A4">
        <w:rPr>
          <w:rFonts w:ascii="Palatino Linotype" w:hAnsi="Palatino Linotype" w:cs="Tahoma"/>
          <w:bCs/>
          <w:sz w:val="22"/>
          <w:szCs w:val="22"/>
          <w:lang w:eastAsia="es-ES"/>
        </w:rPr>
        <w:t xml:space="preserve"> que, hasta en tanto no exista una resolución que haya sido emitida por la autoridad competente, las constancias únicamente les</w:t>
      </w:r>
      <w:r>
        <w:rPr>
          <w:rFonts w:ascii="Palatino Linotype" w:hAnsi="Palatino Linotype" w:cs="Tahoma"/>
          <w:bCs/>
          <w:sz w:val="22"/>
          <w:szCs w:val="22"/>
          <w:lang w:eastAsia="es-ES"/>
        </w:rPr>
        <w:t xml:space="preserve"> conciernen </w:t>
      </w:r>
      <w:r w:rsidRPr="002130A4">
        <w:rPr>
          <w:rFonts w:ascii="Palatino Linotype" w:hAnsi="Palatino Linotype" w:cs="Tahoma"/>
          <w:bCs/>
          <w:sz w:val="22"/>
          <w:szCs w:val="22"/>
          <w:lang w:eastAsia="es-ES"/>
        </w:rPr>
        <w:t>a las autoridades investigadoras. En efecto, no existe en este momento procesal una afectación al interés público, en virtud de que se están realizando las etapas correspondientes y establecidas en la norma correspondiente para determinar si existió alguna violación a derechos humanos y una vez que la determinación sea tomada por la autoridad correspondiente, la limitación de acceso se termina.</w:t>
      </w:r>
    </w:p>
    <w:p w14:paraId="50FCCFB0" w14:textId="77777777" w:rsidR="00FE385E" w:rsidRPr="001E0D35" w:rsidRDefault="00FE385E" w:rsidP="001E0D35">
      <w:pPr>
        <w:tabs>
          <w:tab w:val="left" w:pos="8222"/>
        </w:tabs>
        <w:spacing w:line="360" w:lineRule="auto"/>
        <w:ind w:left="567" w:right="900"/>
        <w:jc w:val="both"/>
        <w:rPr>
          <w:rFonts w:ascii="Palatino Linotype" w:hAnsi="Palatino Linotype" w:cs="Tahoma"/>
          <w:b/>
          <w:bCs/>
          <w:sz w:val="22"/>
          <w:szCs w:val="22"/>
          <w:lang w:eastAsia="es-ES"/>
        </w:rPr>
      </w:pPr>
    </w:p>
    <w:p w14:paraId="78C5FEBD" w14:textId="6CBA645C" w:rsidR="001E0D35" w:rsidRDefault="001E0D35" w:rsidP="001E0D35">
      <w:pPr>
        <w:tabs>
          <w:tab w:val="left" w:pos="8222"/>
        </w:tabs>
        <w:spacing w:line="360" w:lineRule="auto"/>
        <w:ind w:left="567" w:right="900"/>
        <w:jc w:val="both"/>
        <w:rPr>
          <w:rFonts w:ascii="Palatino Linotype" w:hAnsi="Palatino Linotype" w:cs="Tahoma"/>
          <w:bCs/>
          <w:sz w:val="22"/>
          <w:szCs w:val="22"/>
          <w:lang w:eastAsia="es-ES"/>
        </w:rPr>
      </w:pPr>
      <w:r w:rsidRPr="001E0D35">
        <w:rPr>
          <w:rFonts w:ascii="Palatino Linotype" w:hAnsi="Palatino Linotype" w:cs="Tahoma"/>
          <w:bCs/>
          <w:sz w:val="22"/>
          <w:szCs w:val="22"/>
          <w:lang w:eastAsia="es-ES"/>
        </w:rPr>
        <w:t>•Que el riesgo de perjuicio que supone la divulgación de la información supera el interés público general; pues con dicha documentación, se daría a conocer la estrategia procesal de las partes, así como de la información que se allegó el Sujeto Obligado, al realizar la investigación correspondiente, lo cual podría alterar el derecho al debido proceso de la parte denunciada.</w:t>
      </w:r>
    </w:p>
    <w:p w14:paraId="0DB863DD" w14:textId="77777777" w:rsidR="00FE385E" w:rsidRPr="001E0D35" w:rsidRDefault="00FE385E" w:rsidP="001E0D35">
      <w:pPr>
        <w:tabs>
          <w:tab w:val="left" w:pos="8222"/>
        </w:tabs>
        <w:spacing w:line="360" w:lineRule="auto"/>
        <w:ind w:left="567" w:right="900"/>
        <w:jc w:val="both"/>
        <w:rPr>
          <w:rFonts w:ascii="Palatino Linotype" w:hAnsi="Palatino Linotype" w:cs="Tahoma"/>
          <w:bCs/>
          <w:sz w:val="22"/>
          <w:szCs w:val="22"/>
          <w:lang w:eastAsia="es-ES"/>
        </w:rPr>
      </w:pPr>
    </w:p>
    <w:p w14:paraId="5ECA8D9F" w14:textId="0397983D" w:rsidR="001E0D35" w:rsidRDefault="001E0D35" w:rsidP="001E0D35">
      <w:pPr>
        <w:tabs>
          <w:tab w:val="left" w:pos="8222"/>
        </w:tabs>
        <w:spacing w:line="360" w:lineRule="auto"/>
        <w:ind w:left="567" w:right="900"/>
        <w:jc w:val="both"/>
        <w:rPr>
          <w:rFonts w:ascii="Palatino Linotype" w:hAnsi="Palatino Linotype" w:cs="Tahoma"/>
          <w:bCs/>
          <w:sz w:val="22"/>
          <w:szCs w:val="22"/>
          <w:lang w:eastAsia="es-ES"/>
        </w:rPr>
      </w:pPr>
      <w:r w:rsidRPr="001E0D35">
        <w:rPr>
          <w:rFonts w:ascii="Palatino Linotype" w:hAnsi="Palatino Linotype" w:cs="Tahoma"/>
          <w:bCs/>
          <w:sz w:val="22"/>
          <w:szCs w:val="22"/>
          <w:lang w:eastAsia="es-ES"/>
        </w:rPr>
        <w:t xml:space="preserve">•La reserva no se traduce en un medio restrictivo al derecho de acceso a la información, en virtud, de que se trata de una medida temporal, cuya </w:t>
      </w:r>
      <w:r w:rsidRPr="001E0D35">
        <w:rPr>
          <w:rFonts w:ascii="Palatino Linotype" w:hAnsi="Palatino Linotype" w:cs="Tahoma"/>
          <w:bCs/>
          <w:sz w:val="22"/>
          <w:szCs w:val="22"/>
          <w:lang w:eastAsia="es-ES"/>
        </w:rPr>
        <w:lastRenderedPageBreak/>
        <w:t>finalidad es salvaguardar la conducción de dichos procedimientos, por lo que, no se trata de una medida desproporcional, ni excesiva.</w:t>
      </w:r>
    </w:p>
    <w:p w14:paraId="75DBCF5A" w14:textId="77777777" w:rsidR="00FE385E" w:rsidRPr="001E0D35" w:rsidRDefault="00FE385E" w:rsidP="001E0D35">
      <w:pPr>
        <w:tabs>
          <w:tab w:val="left" w:pos="8222"/>
        </w:tabs>
        <w:spacing w:line="360" w:lineRule="auto"/>
        <w:ind w:left="567" w:right="900"/>
        <w:jc w:val="both"/>
        <w:rPr>
          <w:rFonts w:ascii="Palatino Linotype" w:hAnsi="Palatino Linotype" w:cs="Tahoma"/>
          <w:bCs/>
          <w:sz w:val="22"/>
          <w:szCs w:val="22"/>
          <w:lang w:eastAsia="es-ES"/>
        </w:rPr>
      </w:pPr>
    </w:p>
    <w:p w14:paraId="1BA7FB6F" w14:textId="77777777" w:rsidR="001E0D35" w:rsidRPr="001E0D35" w:rsidRDefault="001E0D35" w:rsidP="001E0D35">
      <w:pPr>
        <w:tabs>
          <w:tab w:val="left" w:pos="8222"/>
        </w:tabs>
        <w:spacing w:line="360" w:lineRule="auto"/>
        <w:ind w:left="567" w:right="900"/>
        <w:jc w:val="both"/>
        <w:rPr>
          <w:rFonts w:ascii="Palatino Linotype" w:hAnsi="Palatino Linotype" w:cs="Tahoma"/>
          <w:bCs/>
          <w:sz w:val="22"/>
          <w:szCs w:val="22"/>
          <w:lang w:eastAsia="es-ES"/>
        </w:rPr>
      </w:pPr>
      <w:r w:rsidRPr="001E0D35">
        <w:rPr>
          <w:rFonts w:ascii="Palatino Linotype" w:hAnsi="Palatino Linotype" w:cs="Tahoma"/>
          <w:bCs/>
          <w:sz w:val="22"/>
          <w:szCs w:val="22"/>
          <w:lang w:eastAsia="es-ES"/>
        </w:rPr>
        <w:t>Conforme a lo anterior, resulta procedente la reserva invocada, en términos del artículo 140, fracción VI, de la Ley de Transparencia y Acceso a la Información Pública del Estado de México y Municipios.</w:t>
      </w:r>
    </w:p>
    <w:p w14:paraId="194F45FC" w14:textId="77777777" w:rsidR="001E0D35" w:rsidRPr="006433B3" w:rsidRDefault="001E0D35" w:rsidP="001E0D35">
      <w:pPr>
        <w:tabs>
          <w:tab w:val="left" w:pos="8222"/>
        </w:tabs>
        <w:spacing w:line="360" w:lineRule="auto"/>
        <w:ind w:right="397"/>
        <w:jc w:val="both"/>
        <w:rPr>
          <w:rFonts w:ascii="Palatino Linotype" w:hAnsi="Palatino Linotype" w:cs="Tahoma"/>
          <w:b/>
          <w:bCs/>
          <w:szCs w:val="22"/>
          <w:lang w:eastAsia="es-ES"/>
        </w:rPr>
      </w:pPr>
    </w:p>
    <w:p w14:paraId="16658FAB" w14:textId="77777777" w:rsidR="001E0D35" w:rsidRPr="006433B3" w:rsidRDefault="001E0D35" w:rsidP="001E0D35">
      <w:pPr>
        <w:tabs>
          <w:tab w:val="left" w:pos="8222"/>
        </w:tabs>
        <w:spacing w:line="360" w:lineRule="auto"/>
        <w:ind w:right="397"/>
        <w:jc w:val="both"/>
        <w:rPr>
          <w:rFonts w:ascii="Palatino Linotype" w:hAnsi="Palatino Linotype" w:cs="Tahoma"/>
          <w:bCs/>
          <w:szCs w:val="22"/>
          <w:lang w:eastAsia="es-ES"/>
        </w:rPr>
      </w:pPr>
      <w:r w:rsidRPr="006433B3">
        <w:rPr>
          <w:rFonts w:ascii="Palatino Linotype" w:hAnsi="Palatino Linotype" w:cs="Tahoma"/>
          <w:bCs/>
          <w:szCs w:val="22"/>
          <w:lang w:eastAsia="es-ES"/>
        </w:rPr>
        <w:t>Finalmente, respecto al plazo de reserva, el artículo 125 de la Ley de la materia, establece que la información clasificada como reservada según el artículo 140 de la Ley de Transparencia y Acceso a la Información Pública del Estado de México y Municipios, podrá permanecer con tal carácter hasta por un periodo de 5 años.</w:t>
      </w:r>
    </w:p>
    <w:p w14:paraId="701230A8" w14:textId="77777777" w:rsidR="00FE385E" w:rsidRPr="006433B3" w:rsidRDefault="00FE385E" w:rsidP="001E0D35">
      <w:pPr>
        <w:tabs>
          <w:tab w:val="left" w:pos="8222"/>
        </w:tabs>
        <w:spacing w:line="360" w:lineRule="auto"/>
        <w:ind w:right="397"/>
        <w:jc w:val="both"/>
        <w:rPr>
          <w:rFonts w:ascii="Palatino Linotype" w:hAnsi="Palatino Linotype" w:cs="Tahoma"/>
          <w:bCs/>
          <w:szCs w:val="22"/>
          <w:lang w:eastAsia="es-ES"/>
        </w:rPr>
      </w:pPr>
    </w:p>
    <w:p w14:paraId="51454B64" w14:textId="77777777" w:rsidR="001E0D35" w:rsidRPr="006433B3" w:rsidRDefault="001E0D35" w:rsidP="001E0D35">
      <w:pPr>
        <w:tabs>
          <w:tab w:val="left" w:pos="8222"/>
        </w:tabs>
        <w:spacing w:line="360" w:lineRule="auto"/>
        <w:ind w:right="397"/>
        <w:jc w:val="both"/>
        <w:rPr>
          <w:rFonts w:ascii="Palatino Linotype" w:hAnsi="Palatino Linotype" w:cs="Tahoma"/>
          <w:bCs/>
          <w:szCs w:val="22"/>
          <w:lang w:eastAsia="es-ES"/>
        </w:rPr>
      </w:pPr>
      <w:r w:rsidRPr="006433B3">
        <w:rPr>
          <w:rFonts w:ascii="Palatino Linotype" w:hAnsi="Palatino Linotype" w:cs="Tahoma"/>
          <w:bCs/>
          <w:szCs w:val="22"/>
          <w:lang w:eastAsia="es-ES"/>
        </w:rPr>
        <w:t>Asimismo señala que los documentos reservados serán desclasificados cuando se extingan las causas que dieron origen a su clasificación, expire el plazo establecido, exista resolución de una autoridad competente que determine que existe una causa de interés público que prevalece sobre la reserva de la información, o bien el Comité de Transparencia considere pertinente la desclasificación o se trate de información que esté relacionada con violaciones graves a derechos humanos o delitos de lesa humanidad.</w:t>
      </w:r>
    </w:p>
    <w:p w14:paraId="6A6A24FA" w14:textId="77777777" w:rsidR="001E0D35" w:rsidRPr="006433B3" w:rsidRDefault="001E0D35" w:rsidP="001E0D35">
      <w:pPr>
        <w:tabs>
          <w:tab w:val="left" w:pos="8222"/>
        </w:tabs>
        <w:spacing w:line="360" w:lineRule="auto"/>
        <w:ind w:right="397"/>
        <w:jc w:val="both"/>
        <w:rPr>
          <w:rFonts w:ascii="Palatino Linotype" w:hAnsi="Palatino Linotype" w:cs="Tahoma"/>
          <w:bCs/>
          <w:szCs w:val="22"/>
          <w:lang w:eastAsia="es-ES"/>
        </w:rPr>
      </w:pPr>
      <w:r w:rsidRPr="006433B3">
        <w:rPr>
          <w:rFonts w:ascii="Palatino Linotype" w:hAnsi="Palatino Linotype" w:cs="Tahoma"/>
          <w:bCs/>
          <w:szCs w:val="22"/>
          <w:lang w:eastAsia="es-ES"/>
        </w:rPr>
        <w:t>Sobre el particular, de acuerdo a las circunstancias de modo, tiempo y lugar, se considera que el Sujeto Obligado determinará el periodo de reserva de la información, a partir de la fecha de la presente resolución; lo anterior, toda vez que debe tomar en cuenta el tiempo para resolver los expedientes correspondientes.</w:t>
      </w:r>
    </w:p>
    <w:p w14:paraId="04E183E9" w14:textId="77777777" w:rsidR="00FE385E" w:rsidRPr="001E0D35" w:rsidRDefault="00FE385E" w:rsidP="001E0D35">
      <w:pPr>
        <w:tabs>
          <w:tab w:val="left" w:pos="8222"/>
        </w:tabs>
        <w:spacing w:line="360" w:lineRule="auto"/>
        <w:ind w:right="397"/>
        <w:jc w:val="both"/>
        <w:rPr>
          <w:rFonts w:ascii="Palatino Linotype" w:hAnsi="Palatino Linotype" w:cs="Tahoma"/>
          <w:bCs/>
          <w:sz w:val="22"/>
          <w:szCs w:val="22"/>
          <w:lang w:eastAsia="es-ES"/>
        </w:rPr>
      </w:pPr>
    </w:p>
    <w:p w14:paraId="08F17EBB" w14:textId="05196902" w:rsidR="002130A4" w:rsidRPr="006433B3" w:rsidRDefault="001E0D35" w:rsidP="001E0D35">
      <w:pPr>
        <w:tabs>
          <w:tab w:val="left" w:pos="8222"/>
        </w:tabs>
        <w:spacing w:line="360" w:lineRule="auto"/>
        <w:ind w:right="397"/>
        <w:jc w:val="both"/>
        <w:rPr>
          <w:rFonts w:ascii="Palatino Linotype" w:hAnsi="Palatino Linotype" w:cs="Tahoma"/>
          <w:bCs/>
          <w:szCs w:val="22"/>
          <w:lang w:eastAsia="es-ES"/>
        </w:rPr>
      </w:pPr>
      <w:r w:rsidRPr="006433B3">
        <w:rPr>
          <w:rFonts w:ascii="Palatino Linotype" w:hAnsi="Palatino Linotype" w:cs="Tahoma"/>
          <w:bCs/>
          <w:szCs w:val="22"/>
          <w:lang w:eastAsia="es-ES"/>
        </w:rPr>
        <w:lastRenderedPageBreak/>
        <w:t>De lo anterior resulta dable ordenar al Sujeto Obligado el Acuerdo del Comité de Transparencia, donde clasifique de manera fundada y motivada los documentos donde se consten las denuncias, querellas y/o quejas en contra de los oficiales que fueron cesados, inhabilitados, separados del cargo, destituidos, removidos y/o dados de baja que se encuentren en trámite en términos de los artículos 49, fracciones II y VIII, 140, fracción VI y 141 de la Ley de Transparencia y Acceso a la Información Pública del Estado de México y Municipios.</w:t>
      </w:r>
    </w:p>
    <w:p w14:paraId="4ED9926B" w14:textId="77777777" w:rsidR="002130A4" w:rsidRPr="006433B3" w:rsidRDefault="002130A4" w:rsidP="002130A4">
      <w:pPr>
        <w:tabs>
          <w:tab w:val="left" w:pos="4962"/>
        </w:tabs>
        <w:spacing w:line="360" w:lineRule="auto"/>
        <w:jc w:val="both"/>
        <w:rPr>
          <w:rFonts w:ascii="Palatino Linotype" w:eastAsia="Calibri" w:hAnsi="Palatino Linotype" w:cs="Tahoma"/>
          <w:iCs/>
          <w:szCs w:val="22"/>
          <w:lang w:val="es-ES" w:eastAsia="es-ES_tradnl"/>
        </w:rPr>
      </w:pPr>
      <w:r w:rsidRPr="006433B3">
        <w:rPr>
          <w:rFonts w:ascii="Palatino Linotype" w:hAnsi="Palatino Linotype" w:cs="Tahoma"/>
          <w:bCs/>
          <w:szCs w:val="22"/>
          <w:lang w:eastAsia="es-ES"/>
        </w:rPr>
        <w:t xml:space="preserve">Ahora bien, es necesario traer a colación lo </w:t>
      </w:r>
      <w:r w:rsidRPr="006433B3">
        <w:rPr>
          <w:rFonts w:ascii="Palatino Linotype" w:eastAsia="Calibri" w:hAnsi="Palatino Linotype" w:cs="Tahoma"/>
          <w:iCs/>
          <w:szCs w:val="22"/>
          <w:lang w:val="es-ES" w:eastAsia="es-ES_tradnl"/>
        </w:rPr>
        <w:t>dispuesto por la fracción IV del artículo 142 de la Ley de Transparencia y Acceso a la Información Pública del Estado de México y Municipios, mismo que se inserta a continuación:</w:t>
      </w:r>
    </w:p>
    <w:p w14:paraId="0BD2F614" w14:textId="77777777" w:rsidR="002130A4" w:rsidRPr="002130A4" w:rsidRDefault="002130A4" w:rsidP="002130A4">
      <w:pPr>
        <w:tabs>
          <w:tab w:val="left" w:pos="4962"/>
        </w:tabs>
        <w:spacing w:line="360" w:lineRule="auto"/>
        <w:jc w:val="both"/>
        <w:rPr>
          <w:rFonts w:ascii="Palatino Linotype" w:eastAsia="Calibri" w:hAnsi="Palatino Linotype" w:cs="Tahoma"/>
          <w:iCs/>
          <w:sz w:val="22"/>
          <w:szCs w:val="22"/>
          <w:lang w:val="es-ES" w:eastAsia="es-ES_tradnl"/>
        </w:rPr>
      </w:pPr>
    </w:p>
    <w:p w14:paraId="373723A0" w14:textId="77777777" w:rsidR="002130A4" w:rsidRPr="00FE385E" w:rsidRDefault="002130A4" w:rsidP="00FE385E">
      <w:pPr>
        <w:tabs>
          <w:tab w:val="left" w:pos="4962"/>
        </w:tabs>
        <w:ind w:left="567" w:right="900"/>
        <w:jc w:val="both"/>
        <w:rPr>
          <w:rFonts w:ascii="Palatino Linotype" w:eastAsia="Calibri" w:hAnsi="Palatino Linotype" w:cs="Tahoma"/>
          <w:i/>
          <w:iCs/>
          <w:sz w:val="22"/>
          <w:szCs w:val="22"/>
          <w:lang w:val="es-ES" w:eastAsia="es-ES_tradnl"/>
        </w:rPr>
      </w:pPr>
      <w:r w:rsidRPr="00FE385E">
        <w:rPr>
          <w:rFonts w:ascii="Palatino Linotype" w:eastAsia="Calibri" w:hAnsi="Palatino Linotype" w:cs="Tahoma"/>
          <w:i/>
          <w:iCs/>
          <w:sz w:val="22"/>
          <w:szCs w:val="22"/>
          <w:lang w:val="es-ES" w:eastAsia="es-ES_tradnl"/>
        </w:rPr>
        <w:t>“</w:t>
      </w:r>
      <w:r w:rsidRPr="00FE385E">
        <w:rPr>
          <w:rFonts w:ascii="Palatino Linotype" w:eastAsia="Calibri" w:hAnsi="Palatino Linotype" w:cs="Tahoma"/>
          <w:b/>
          <w:i/>
          <w:iCs/>
          <w:sz w:val="22"/>
          <w:szCs w:val="22"/>
          <w:lang w:val="es-ES" w:eastAsia="es-ES_tradnl"/>
        </w:rPr>
        <w:t>Artículo 142.</w:t>
      </w:r>
      <w:r w:rsidRPr="00FE385E">
        <w:rPr>
          <w:rFonts w:ascii="Palatino Linotype" w:eastAsia="Calibri" w:hAnsi="Palatino Linotype" w:cs="Tahoma"/>
          <w:i/>
          <w:iCs/>
          <w:sz w:val="22"/>
          <w:szCs w:val="22"/>
          <w:lang w:val="es-ES" w:eastAsia="es-ES_tradnl"/>
        </w:rPr>
        <w:t xml:space="preserve"> Bajo ninguna circunstancia podrá invocarse el carácter de reservado cuando:</w:t>
      </w:r>
    </w:p>
    <w:p w14:paraId="595E7A1B" w14:textId="77777777" w:rsidR="002130A4" w:rsidRPr="00FE385E" w:rsidRDefault="002130A4" w:rsidP="00FE385E">
      <w:pPr>
        <w:tabs>
          <w:tab w:val="left" w:pos="4962"/>
        </w:tabs>
        <w:ind w:left="567" w:right="900"/>
        <w:jc w:val="both"/>
        <w:rPr>
          <w:rFonts w:ascii="Palatino Linotype" w:eastAsia="Calibri" w:hAnsi="Palatino Linotype" w:cs="Tahoma"/>
          <w:i/>
          <w:iCs/>
          <w:sz w:val="22"/>
          <w:szCs w:val="22"/>
          <w:lang w:val="es-ES" w:eastAsia="es-ES_tradnl"/>
        </w:rPr>
      </w:pPr>
      <w:r w:rsidRPr="00FE385E">
        <w:rPr>
          <w:rFonts w:ascii="Palatino Linotype" w:eastAsia="Calibri" w:hAnsi="Palatino Linotype" w:cs="Tahoma"/>
          <w:i/>
          <w:iCs/>
          <w:sz w:val="22"/>
          <w:szCs w:val="22"/>
          <w:lang w:val="es-ES" w:eastAsia="es-ES_tradnl"/>
        </w:rPr>
        <w:t xml:space="preserve">I. Se trate de violaciones graves de derechos humanos, calificada así por autoridad competente. </w:t>
      </w:r>
    </w:p>
    <w:p w14:paraId="187F3481" w14:textId="77777777" w:rsidR="002130A4" w:rsidRPr="00FE385E" w:rsidRDefault="002130A4" w:rsidP="00FE385E">
      <w:pPr>
        <w:tabs>
          <w:tab w:val="left" w:pos="4962"/>
        </w:tabs>
        <w:ind w:left="567" w:right="900"/>
        <w:jc w:val="both"/>
        <w:rPr>
          <w:rFonts w:ascii="Palatino Linotype" w:eastAsia="Calibri" w:hAnsi="Palatino Linotype" w:cs="Tahoma"/>
          <w:i/>
          <w:iCs/>
          <w:sz w:val="22"/>
          <w:szCs w:val="22"/>
          <w:lang w:val="es-ES" w:eastAsia="es-ES_tradnl"/>
        </w:rPr>
      </w:pPr>
      <w:r w:rsidRPr="00FE385E">
        <w:rPr>
          <w:rFonts w:ascii="Palatino Linotype" w:eastAsia="Calibri" w:hAnsi="Palatino Linotype" w:cs="Tahoma"/>
          <w:i/>
          <w:iCs/>
          <w:sz w:val="22"/>
          <w:szCs w:val="22"/>
          <w:lang w:val="es-ES" w:eastAsia="es-ES_tradnl"/>
        </w:rPr>
        <w:t>II a IV… “</w:t>
      </w:r>
    </w:p>
    <w:p w14:paraId="630DF268" w14:textId="77777777" w:rsidR="002130A4" w:rsidRPr="002130A4" w:rsidRDefault="002130A4" w:rsidP="002130A4">
      <w:pPr>
        <w:tabs>
          <w:tab w:val="left" w:pos="4962"/>
        </w:tabs>
        <w:spacing w:line="360" w:lineRule="auto"/>
        <w:jc w:val="both"/>
        <w:rPr>
          <w:rFonts w:ascii="Palatino Linotype" w:eastAsia="Calibri" w:hAnsi="Palatino Linotype" w:cs="Tahoma"/>
          <w:iCs/>
          <w:sz w:val="22"/>
          <w:szCs w:val="22"/>
          <w:lang w:val="es-ES" w:eastAsia="es-ES_tradnl"/>
        </w:rPr>
      </w:pPr>
    </w:p>
    <w:p w14:paraId="29196CCE" w14:textId="77777777" w:rsidR="002130A4" w:rsidRPr="00FE385E" w:rsidRDefault="002130A4" w:rsidP="002130A4">
      <w:pPr>
        <w:tabs>
          <w:tab w:val="left" w:pos="4962"/>
        </w:tabs>
        <w:spacing w:line="360" w:lineRule="auto"/>
        <w:jc w:val="both"/>
        <w:rPr>
          <w:rFonts w:ascii="Palatino Linotype" w:eastAsia="Calibri" w:hAnsi="Palatino Linotype" w:cs="Tahoma"/>
          <w:iCs/>
          <w:szCs w:val="22"/>
          <w:lang w:val="es-ES" w:eastAsia="es-ES_tradnl"/>
        </w:rPr>
      </w:pPr>
      <w:r w:rsidRPr="00FE385E">
        <w:rPr>
          <w:rFonts w:ascii="Palatino Linotype" w:eastAsia="Calibri" w:hAnsi="Palatino Linotype" w:cs="Tahoma"/>
          <w:iCs/>
          <w:szCs w:val="22"/>
          <w:lang w:val="es-ES" w:eastAsia="es-ES_tradnl"/>
        </w:rPr>
        <w:t>Así las cosas, la Ley de la materia reconoce a toda la información relacionada con actos de violaciones graves a derechos humanos, como información inmune a recibir un tratamiento de clasificación como reservada, en el margen de que, justamente, el hacer del conocimiento a la ciudadanía este tipo de conductas realizadas por servidores públicos, atiende el objetivo fundamental de la normatividad: sobre la gestión pública para el combate a la corrupción y la rendición de cuentas.</w:t>
      </w:r>
    </w:p>
    <w:p w14:paraId="10F131BA" w14:textId="77777777" w:rsidR="002130A4" w:rsidRDefault="002130A4" w:rsidP="002130A4">
      <w:pPr>
        <w:spacing w:line="360" w:lineRule="auto"/>
        <w:jc w:val="both"/>
        <w:rPr>
          <w:rFonts w:ascii="Palatino Linotype" w:hAnsi="Palatino Linotype"/>
          <w:noProof/>
          <w:szCs w:val="22"/>
        </w:rPr>
      </w:pPr>
      <w:r w:rsidRPr="00FE385E">
        <w:rPr>
          <w:rFonts w:ascii="Palatino Linotype" w:hAnsi="Palatino Linotype"/>
          <w:noProof/>
          <w:szCs w:val="22"/>
        </w:rPr>
        <w:t xml:space="preserve">Aunado a lo anterior, se debe considerar ciertos criterios para determinar cuales son las determinaciones que se deben tomar en cuenta para señalar cuales son las violaciones consideradas graves para no clasificar como reservada la información, por lo que se trae a colación lo señalado en la Tesis Aislada número 1a. XI/2012 (10a.), </w:t>
      </w:r>
      <w:r w:rsidRPr="00FE385E">
        <w:rPr>
          <w:rFonts w:ascii="Palatino Linotype" w:hAnsi="Palatino Linotype"/>
          <w:noProof/>
          <w:szCs w:val="22"/>
        </w:rPr>
        <w:lastRenderedPageBreak/>
        <w:t>(Gaceta del Semanario Judicial de la Federación, Libro V, Febrero de 2012, Tomo 1, página 667) como se muestra a continuación:</w:t>
      </w:r>
    </w:p>
    <w:p w14:paraId="02457A5E" w14:textId="77777777" w:rsidR="00FE385E" w:rsidRPr="00FE385E" w:rsidRDefault="00FE385E" w:rsidP="00FE385E">
      <w:pPr>
        <w:jc w:val="both"/>
        <w:rPr>
          <w:rFonts w:ascii="Palatino Linotype" w:hAnsi="Palatino Linotype"/>
          <w:noProof/>
          <w:sz w:val="28"/>
          <w:szCs w:val="22"/>
        </w:rPr>
      </w:pPr>
    </w:p>
    <w:p w14:paraId="100D679E" w14:textId="6FD94AAD" w:rsidR="002130A4" w:rsidRPr="00FE385E" w:rsidRDefault="00FE385E" w:rsidP="00FE385E">
      <w:pPr>
        <w:ind w:left="567" w:right="616"/>
        <w:jc w:val="both"/>
        <w:rPr>
          <w:rFonts w:ascii="Palatino Linotype" w:hAnsi="Palatino Linotype"/>
          <w:b/>
          <w:bCs/>
          <w:i/>
          <w:iCs/>
          <w:noProof/>
          <w:sz w:val="22"/>
          <w:szCs w:val="20"/>
        </w:rPr>
      </w:pPr>
      <w:r w:rsidRPr="00FE385E">
        <w:rPr>
          <w:rFonts w:ascii="Palatino Linotype" w:hAnsi="Palatino Linotype"/>
          <w:b/>
          <w:bCs/>
          <w:i/>
          <w:iCs/>
          <w:noProof/>
          <w:sz w:val="22"/>
          <w:szCs w:val="20"/>
        </w:rPr>
        <w:t>“</w:t>
      </w:r>
      <w:r w:rsidR="002130A4" w:rsidRPr="00FE385E">
        <w:rPr>
          <w:rFonts w:ascii="Palatino Linotype" w:hAnsi="Palatino Linotype"/>
          <w:b/>
          <w:bCs/>
          <w:i/>
          <w:iCs/>
          <w:noProof/>
          <w:sz w:val="22"/>
          <w:szCs w:val="20"/>
        </w:rPr>
        <w:t>VIOLACIONES GRAVES A DERECHOS HUMANOS. SU CONCEPTO PARA EFECTOS DEL DERECHO DE ACCESO A LA INFORMACIÓN DE LA AVERIGUACIÓN PREVIA QUE LAS INVESTIGA.</w:t>
      </w:r>
    </w:p>
    <w:p w14:paraId="6D4CD0F8" w14:textId="77777777" w:rsidR="002130A4" w:rsidRPr="002130A4" w:rsidRDefault="002130A4" w:rsidP="002130A4">
      <w:pPr>
        <w:spacing w:line="360" w:lineRule="auto"/>
        <w:ind w:left="567" w:right="616"/>
        <w:jc w:val="both"/>
        <w:rPr>
          <w:rFonts w:ascii="Palatino Linotype" w:hAnsi="Palatino Linotype"/>
          <w:b/>
          <w:bCs/>
          <w:i/>
          <w:iCs/>
          <w:noProof/>
          <w:sz w:val="20"/>
          <w:szCs w:val="20"/>
        </w:rPr>
      </w:pPr>
    </w:p>
    <w:p w14:paraId="36F99941" w14:textId="77777777" w:rsidR="002130A4" w:rsidRPr="00FE385E" w:rsidRDefault="002130A4" w:rsidP="00FE385E">
      <w:pPr>
        <w:ind w:left="567" w:right="618"/>
        <w:jc w:val="both"/>
        <w:rPr>
          <w:rFonts w:ascii="Palatino Linotype" w:hAnsi="Palatino Linotype"/>
          <w:i/>
          <w:iCs/>
          <w:noProof/>
          <w:sz w:val="22"/>
          <w:szCs w:val="20"/>
        </w:rPr>
      </w:pPr>
      <w:r w:rsidRPr="00FE385E">
        <w:rPr>
          <w:rFonts w:ascii="Palatino Linotype" w:hAnsi="Palatino Linotype"/>
          <w:i/>
          <w:iCs/>
          <w:noProof/>
          <w:sz w:val="22"/>
          <w:szCs w:val="20"/>
        </w:rPr>
        <w:t>De conformidad con el artículo </w:t>
      </w:r>
      <w:r w:rsidRPr="00FE385E">
        <w:rPr>
          <w:rFonts w:ascii="Palatino Linotype" w:hAnsi="Palatino Linotype"/>
          <w:b/>
          <w:bCs/>
          <w:i/>
          <w:iCs/>
          <w:noProof/>
          <w:sz w:val="22"/>
          <w:szCs w:val="20"/>
        </w:rPr>
        <w:t>14 de la Ley Federal de Transparencia y Acceso a la Información Pública Gubernamental</w:t>
      </w:r>
      <w:r w:rsidRPr="00FE385E">
        <w:rPr>
          <w:rFonts w:ascii="Palatino Linotype" w:hAnsi="Palatino Linotype"/>
          <w:i/>
          <w:iCs/>
          <w:noProof/>
          <w:sz w:val="22"/>
          <w:szCs w:val="20"/>
        </w:rPr>
        <w:t xml:space="preserve">, no puede alegarse el carácter de reservado cuando la averiguación previa investigue hechos constitutivos de graves violaciones a derechos humanos o delitos de lesa humanidad. A fin de que el intérprete determine si un caso concreto se ubica en el supuesto de excepción relativo a las violaciones graves a derechos humanos y deba dar acceso a la averiguación previa correspondiente, es necesario que atienda a los lineamientos sentados por la Suprema Corte de Justicia de la Nación y por la Corte Interamericana de Derechos Humanos en esta materia. Siguiendo los lineamientos establecidos por este alto tribunal, </w:t>
      </w:r>
      <w:r w:rsidRPr="00FE385E">
        <w:rPr>
          <w:rFonts w:ascii="Palatino Linotype" w:hAnsi="Palatino Linotype"/>
          <w:b/>
          <w:i/>
          <w:iCs/>
          <w:noProof/>
          <w:sz w:val="22"/>
          <w:szCs w:val="20"/>
          <w:u w:val="single"/>
        </w:rPr>
        <w:t>para determinar que una violación a derechos humanos es "grave" se requiere comprobar la trascendencia social de las violaciones, lo cual se podrá determinar a través de criterios cuantitativos o cualitativos</w:t>
      </w:r>
      <w:r w:rsidRPr="00FE385E">
        <w:rPr>
          <w:rFonts w:ascii="Palatino Linotype" w:hAnsi="Palatino Linotype"/>
          <w:i/>
          <w:iCs/>
          <w:noProof/>
          <w:sz w:val="22"/>
          <w:szCs w:val="20"/>
        </w:rPr>
        <w:t>. El criterio cuantitativo determina la gravedad de las violaciones demostrando que tienen una trascendencia social en función de aspectos medibles o cuantificables, tales como el número, la intensidad, la amplitud, la generalidad, la frecuencia o su prolongación en el tiempo, así como, evidentemente, la combinación de varios de estos aspectos. Es lógico que el criterio anterior no haya podido aplicarse a todos los casos, razón por la cual esta Suprema Corte también ha entendido que en algunos supuestos la trascendencia social de las violaciones se puede demostrar mediante un criterio cualitativo, determinando si éstas presentan alguna característica o cualidad que les dé una dimensión específica. En lo que respecta a la jurisprudencia de la Corte Interamericana de Derechos Humanos, ese tribunal ha determinado que la "gravedad" radica, esencialmente, en que se presenten las siguientes características: multiplicidad de violaciones comprendidas dentro del fenómeno delictivo; especial magnitud de las violaciones en relación a la naturaleza de los derechos afectados; y una participación importante del Estado, al ser los actos cometidos por agentes estatales o con la aquiescencia, tolerancia o apoyo del Estado.</w:t>
      </w:r>
    </w:p>
    <w:p w14:paraId="20792077" w14:textId="77777777" w:rsidR="002130A4" w:rsidRPr="00FE385E" w:rsidRDefault="002130A4" w:rsidP="00FE385E">
      <w:pPr>
        <w:ind w:left="567" w:right="618"/>
        <w:jc w:val="both"/>
        <w:rPr>
          <w:rFonts w:ascii="Palatino Linotype" w:hAnsi="Palatino Linotype"/>
          <w:i/>
          <w:iCs/>
          <w:noProof/>
          <w:sz w:val="22"/>
          <w:szCs w:val="20"/>
        </w:rPr>
      </w:pPr>
    </w:p>
    <w:p w14:paraId="61DF4481" w14:textId="03C287B5" w:rsidR="002130A4" w:rsidRPr="00FE385E" w:rsidRDefault="002130A4" w:rsidP="00FE385E">
      <w:pPr>
        <w:ind w:left="567" w:right="618"/>
        <w:jc w:val="both"/>
        <w:rPr>
          <w:rFonts w:ascii="Palatino Linotype" w:hAnsi="Palatino Linotype"/>
          <w:i/>
          <w:iCs/>
          <w:noProof/>
          <w:sz w:val="22"/>
          <w:szCs w:val="20"/>
        </w:rPr>
      </w:pPr>
      <w:r w:rsidRPr="00FE385E">
        <w:rPr>
          <w:rFonts w:ascii="Palatino Linotype" w:hAnsi="Palatino Linotype"/>
          <w:i/>
          <w:iCs/>
          <w:noProof/>
          <w:sz w:val="22"/>
          <w:szCs w:val="20"/>
        </w:rPr>
        <w:t>Amparo en revisión 168/2011. Comisión Mexicana de Defensa y Protección de los Derechos Humanos, A.C. y otra. 30 de noviembre de 2011. Cinco votos. Ponente: Arturo Zaldívar Lelo de Larrea. Secretario: Javier Mijangos y González.</w:t>
      </w:r>
      <w:r w:rsidR="00FE385E">
        <w:rPr>
          <w:rFonts w:ascii="Palatino Linotype" w:hAnsi="Palatino Linotype"/>
          <w:i/>
          <w:iCs/>
          <w:noProof/>
          <w:sz w:val="22"/>
          <w:szCs w:val="20"/>
        </w:rPr>
        <w:t>”</w:t>
      </w:r>
    </w:p>
    <w:p w14:paraId="4D53E972" w14:textId="77777777" w:rsidR="002130A4" w:rsidRPr="002130A4" w:rsidRDefault="002130A4" w:rsidP="002130A4">
      <w:pPr>
        <w:spacing w:line="360" w:lineRule="auto"/>
        <w:ind w:left="567" w:right="616"/>
        <w:jc w:val="both"/>
        <w:rPr>
          <w:rFonts w:ascii="Palatino Linotype" w:hAnsi="Palatino Linotype"/>
          <w:i/>
          <w:iCs/>
          <w:noProof/>
          <w:sz w:val="20"/>
          <w:szCs w:val="20"/>
        </w:rPr>
      </w:pPr>
    </w:p>
    <w:p w14:paraId="4DB5CFEA" w14:textId="25604840" w:rsidR="002130A4" w:rsidRPr="006433B3" w:rsidRDefault="002130A4" w:rsidP="006433B3">
      <w:pPr>
        <w:tabs>
          <w:tab w:val="left" w:pos="8222"/>
        </w:tabs>
        <w:spacing w:line="360" w:lineRule="auto"/>
        <w:ind w:right="-28"/>
        <w:jc w:val="both"/>
        <w:rPr>
          <w:rFonts w:ascii="Palatino Linotype" w:hAnsi="Palatino Linotype" w:cs="Tahoma"/>
          <w:bCs/>
          <w:szCs w:val="22"/>
          <w:lang w:eastAsia="es-ES"/>
        </w:rPr>
      </w:pPr>
      <w:r w:rsidRPr="00FE385E">
        <w:rPr>
          <w:rFonts w:ascii="Palatino Linotype" w:hAnsi="Palatino Linotype" w:cs="Tahoma"/>
          <w:bCs/>
          <w:szCs w:val="22"/>
          <w:lang w:eastAsia="es-ES"/>
        </w:rPr>
        <w:lastRenderedPageBreak/>
        <w:t>Así, como ya se ha acreditado</w:t>
      </w:r>
      <w:r w:rsidR="00FE385E" w:rsidRPr="00FE385E">
        <w:rPr>
          <w:rFonts w:ascii="Palatino Linotype" w:hAnsi="Palatino Linotype" w:cs="Tahoma"/>
          <w:bCs/>
          <w:szCs w:val="22"/>
          <w:lang w:eastAsia="es-ES"/>
        </w:rPr>
        <w:t>, resulta</w:t>
      </w:r>
      <w:r w:rsidRPr="00FE385E">
        <w:rPr>
          <w:rFonts w:ascii="Palatino Linotype" w:hAnsi="Palatino Linotype" w:cs="Tahoma"/>
          <w:bCs/>
          <w:szCs w:val="22"/>
          <w:lang w:eastAsia="es-ES"/>
        </w:rPr>
        <w:t xml:space="preserve"> procede</w:t>
      </w:r>
      <w:r w:rsidR="00FE385E" w:rsidRPr="00FE385E">
        <w:rPr>
          <w:rFonts w:ascii="Palatino Linotype" w:hAnsi="Palatino Linotype" w:cs="Tahoma"/>
          <w:bCs/>
          <w:szCs w:val="22"/>
          <w:lang w:eastAsia="es-ES"/>
        </w:rPr>
        <w:t>nte</w:t>
      </w:r>
      <w:r w:rsidRPr="00FE385E">
        <w:rPr>
          <w:rFonts w:ascii="Palatino Linotype" w:hAnsi="Palatino Linotype" w:cs="Tahoma"/>
          <w:bCs/>
          <w:szCs w:val="22"/>
          <w:lang w:eastAsia="es-ES"/>
        </w:rPr>
        <w:t xml:space="preserve"> la reserva del expediente que se encuentra en trámite, </w:t>
      </w:r>
      <w:r w:rsidR="00FE385E" w:rsidRPr="00FE385E">
        <w:rPr>
          <w:rFonts w:ascii="Palatino Linotype" w:hAnsi="Palatino Linotype" w:cs="Tahoma"/>
          <w:bCs/>
          <w:szCs w:val="22"/>
          <w:lang w:eastAsia="es-ES"/>
        </w:rPr>
        <w:t xml:space="preserve">sin embargo, </w:t>
      </w:r>
      <w:r w:rsidRPr="00FE385E">
        <w:rPr>
          <w:rFonts w:ascii="Palatino Linotype" w:hAnsi="Palatino Linotype" w:cs="Tahoma"/>
          <w:bCs/>
          <w:szCs w:val="22"/>
          <w:lang w:eastAsia="es-ES"/>
        </w:rPr>
        <w:t xml:space="preserve">es necesario señalar que </w:t>
      </w:r>
      <w:r w:rsidR="00FE385E" w:rsidRPr="00FE385E">
        <w:rPr>
          <w:rFonts w:ascii="Palatino Linotype" w:hAnsi="Palatino Linotype" w:cs="Tahoma"/>
          <w:bCs/>
          <w:szCs w:val="22"/>
          <w:lang w:eastAsia="es-ES"/>
        </w:rPr>
        <w:t>de considerar y acreditar fehacientemente que el inicio del procedimiento, queja o sanción deriva de un</w:t>
      </w:r>
      <w:r w:rsidRPr="00FE385E">
        <w:rPr>
          <w:rFonts w:ascii="Palatino Linotype" w:hAnsi="Palatino Linotype" w:cs="Tahoma"/>
          <w:bCs/>
          <w:szCs w:val="22"/>
          <w:lang w:eastAsia="es-ES"/>
        </w:rPr>
        <w:t xml:space="preserve">a </w:t>
      </w:r>
      <w:r w:rsidR="00FE385E" w:rsidRPr="00FE385E">
        <w:rPr>
          <w:rFonts w:ascii="Palatino Linotype" w:hAnsi="Palatino Linotype" w:cs="Tahoma"/>
          <w:bCs/>
          <w:szCs w:val="22"/>
          <w:lang w:eastAsia="es-ES"/>
        </w:rPr>
        <w:t xml:space="preserve">violación grave a </w:t>
      </w:r>
      <w:r w:rsidRPr="00FE385E">
        <w:rPr>
          <w:rFonts w:ascii="Palatino Linotype" w:hAnsi="Palatino Linotype" w:cs="Tahoma"/>
          <w:bCs/>
          <w:szCs w:val="22"/>
          <w:lang w:eastAsia="es-ES"/>
        </w:rPr>
        <w:t>derechos su clasificación</w:t>
      </w:r>
      <w:r w:rsidR="00FE385E" w:rsidRPr="00FE385E">
        <w:rPr>
          <w:rFonts w:ascii="Palatino Linotype" w:hAnsi="Palatino Linotype" w:cs="Tahoma"/>
          <w:bCs/>
          <w:szCs w:val="22"/>
          <w:lang w:eastAsia="es-ES"/>
        </w:rPr>
        <w:t xml:space="preserve"> resultará improcedente</w:t>
      </w:r>
      <w:r w:rsidR="006433B3">
        <w:rPr>
          <w:rFonts w:ascii="Palatino Linotype" w:hAnsi="Palatino Linotype" w:cs="Tahoma"/>
          <w:bCs/>
          <w:szCs w:val="22"/>
          <w:lang w:eastAsia="es-ES"/>
        </w:rPr>
        <w:t>.</w:t>
      </w:r>
    </w:p>
    <w:p w14:paraId="66AAEE0D" w14:textId="42447931" w:rsidR="005D5BC7" w:rsidRDefault="00FE385E" w:rsidP="005D5BC7">
      <w:pPr>
        <w:spacing w:before="240" w:after="240" w:line="360" w:lineRule="auto"/>
        <w:jc w:val="both"/>
        <w:rPr>
          <w:rFonts w:ascii="Palatino Linotype" w:hAnsi="Palatino Linotype" w:cs="Arial"/>
          <w:lang w:eastAsia="es-ES"/>
        </w:rPr>
      </w:pPr>
      <w:r>
        <w:rPr>
          <w:rFonts w:ascii="Palatino Linotype" w:hAnsi="Palatino Linotype" w:cs="Arial"/>
          <w:lang w:eastAsia="es-ES"/>
        </w:rPr>
        <w:t>Por todo lo anteriormente expuesto</w:t>
      </w:r>
      <w:r w:rsidR="005D5BC7" w:rsidRPr="00C621B1">
        <w:rPr>
          <w:rFonts w:ascii="Palatino Linotype" w:hAnsi="Palatino Linotype" w:cs="Arial"/>
          <w:lang w:eastAsia="es-ES"/>
        </w:rPr>
        <w:t xml:space="preserve"> se concluye que el Sujeto Obligado no satisfizo el derecho de acceso a la información del particular, al emitir un pronunciamiento carente de fundamentación y motivación y sin reunir los requisitos enmarcados en la Ley de Transparencia en la Entidad, por tanto los agravios del particular devienen parcialmente fundados, por ello, con base en lo dispuesto en el artículo 186 fracción III de la Ley de Transparencia y Acceso a la Información Pública del Estado de México y Municipios, este Órgano Garante considera procedente revocar la respuesta del </w:t>
      </w:r>
      <w:r w:rsidR="005D5BC7" w:rsidRPr="00C621B1">
        <w:rPr>
          <w:rFonts w:ascii="Palatino Linotype" w:hAnsi="Palatino Linotype" w:cs="Arial"/>
          <w:b/>
          <w:lang w:eastAsia="es-ES"/>
        </w:rPr>
        <w:t xml:space="preserve">Sujeto Obligado </w:t>
      </w:r>
      <w:r w:rsidR="005D5BC7" w:rsidRPr="00C621B1">
        <w:rPr>
          <w:rFonts w:ascii="Palatino Linotype" w:hAnsi="Palatino Linotype" w:cs="Arial"/>
          <w:lang w:eastAsia="es-ES"/>
        </w:rPr>
        <w:t>y ordenar la haga entrega de la información materia del presente asunto, en versión pública, conforme a lo establecido en el considerando quinto de la presente resolución.</w:t>
      </w:r>
    </w:p>
    <w:p w14:paraId="39140E9C" w14:textId="77777777" w:rsidR="009165AB" w:rsidRDefault="009165AB" w:rsidP="005A52D2">
      <w:pPr>
        <w:spacing w:before="240" w:after="240" w:line="360" w:lineRule="auto"/>
        <w:ind w:right="49"/>
        <w:jc w:val="both"/>
        <w:rPr>
          <w:rFonts w:ascii="Palatino Linotype" w:hAnsi="Palatino Linotype"/>
          <w:b/>
        </w:rPr>
      </w:pPr>
    </w:p>
    <w:p w14:paraId="51215A37" w14:textId="77777777" w:rsidR="005A52D2" w:rsidRDefault="005A52D2" w:rsidP="005A52D2">
      <w:pPr>
        <w:spacing w:before="240" w:after="240" w:line="360" w:lineRule="auto"/>
        <w:ind w:right="49"/>
        <w:jc w:val="both"/>
        <w:rPr>
          <w:rFonts w:ascii="Palatino Linotype" w:hAnsi="Palatino Linotype"/>
        </w:rPr>
      </w:pPr>
      <w:r>
        <w:rPr>
          <w:rFonts w:ascii="Palatino Linotype" w:hAnsi="Palatino Linotype"/>
          <w:b/>
        </w:rPr>
        <w:t xml:space="preserve">Quinto. </w:t>
      </w:r>
      <w:r>
        <w:rPr>
          <w:rFonts w:ascii="Palatino Linotype" w:hAnsi="Palatino Linotype" w:cs="Arial"/>
          <w:b/>
        </w:rPr>
        <w:t>V</w:t>
      </w:r>
      <w:r>
        <w:rPr>
          <w:rFonts w:ascii="Palatino Linotype" w:hAnsi="Palatino Linotype"/>
          <w:b/>
        </w:rPr>
        <w:t xml:space="preserve">ersión Pública. </w:t>
      </w:r>
      <w:r>
        <w:rPr>
          <w:rFonts w:ascii="Palatino Linotype" w:hAnsi="Palatino Linotype"/>
        </w:rPr>
        <w:t xml:space="preserve">Finalmente para la entrega de los soportes documentales que en todo caso deberá proporcionar el sujeto obligado para dar satisfacción de la derecho humano de acceso a la información de la particular,  deberá considerar que ello no es absoluto, </w:t>
      </w:r>
      <w:r>
        <w:rPr>
          <w:rFonts w:ascii="Palatino Linotype" w:hAnsi="Palatino Linotype" w:cs="Arial"/>
        </w:rPr>
        <w:t xml:space="preserve">sino que encuentra como excepciones que la información sobre la cual se peticiona el acceso, contenga datos que deban ser clasificados en los términos que la misma Ley de la Materia señala, el Sujeto Obligado </w:t>
      </w:r>
      <w:r>
        <w:rPr>
          <w:rFonts w:ascii="Palatino Linotype" w:hAnsi="Palatino Linotype"/>
        </w:rPr>
        <w:t xml:space="preserve">tendrá que elaborar la versión pública de los documentos que vaya entregar para dar cumplimiento a esta resolución, a fin de satisfacer el derecho de acceso a la </w:t>
      </w:r>
      <w:r>
        <w:rPr>
          <w:rFonts w:ascii="Palatino Linotype" w:hAnsi="Palatino Linotype"/>
        </w:rPr>
        <w:lastRenderedPageBreak/>
        <w:t>información pública de la recurrente sin menoscabar el derecho a la protección de los datos personales de terceros.</w:t>
      </w:r>
    </w:p>
    <w:p w14:paraId="078ED1D7" w14:textId="77777777" w:rsidR="005A52D2" w:rsidRDefault="005A52D2" w:rsidP="005A52D2">
      <w:pPr>
        <w:autoSpaceDE w:val="0"/>
        <w:autoSpaceDN w:val="0"/>
        <w:adjustRightInd w:val="0"/>
        <w:spacing w:before="240" w:after="240" w:line="360" w:lineRule="auto"/>
        <w:ind w:right="50"/>
        <w:jc w:val="both"/>
        <w:rPr>
          <w:rFonts w:ascii="Palatino Linotype" w:hAnsi="Palatino Linotype" w:cs="Arial"/>
        </w:rPr>
      </w:pPr>
      <w:r>
        <w:rPr>
          <w:rFonts w:ascii="Palatino Linotype" w:hAnsi="Palatino Linotype" w:cs="Arial"/>
        </w:rPr>
        <w:t>Lo anterior, de conformidad a lo que señalan los artículos 3 fracciones IX, XX, XXI y XLV, 91, 132 fracciones II y III, y 143 fracción I de la Ley de Transparencia y Acceso a la Información Pública del Estado de México y Municipios que establecen:</w:t>
      </w:r>
    </w:p>
    <w:p w14:paraId="0D14E120" w14:textId="77777777" w:rsidR="005A52D2" w:rsidRDefault="005A52D2" w:rsidP="005A52D2">
      <w:pPr>
        <w:spacing w:before="120" w:after="120"/>
        <w:ind w:left="851" w:right="902"/>
        <w:jc w:val="both"/>
        <w:rPr>
          <w:rFonts w:ascii="Palatino Linotype" w:hAnsi="Palatino Linotype" w:cs="Arial"/>
          <w:i/>
          <w:sz w:val="22"/>
          <w:szCs w:val="20"/>
        </w:rPr>
      </w:pPr>
      <w:r>
        <w:rPr>
          <w:rFonts w:ascii="Palatino Linotype" w:hAnsi="Palatino Linotype" w:cs="Arial"/>
          <w:i/>
          <w:sz w:val="22"/>
          <w:szCs w:val="20"/>
        </w:rPr>
        <w:t>“</w:t>
      </w:r>
      <w:r>
        <w:rPr>
          <w:rFonts w:ascii="Palatino Linotype" w:hAnsi="Palatino Linotype" w:cs="Arial"/>
          <w:b/>
          <w:i/>
          <w:sz w:val="22"/>
          <w:szCs w:val="20"/>
        </w:rPr>
        <w:t>Artículo 3</w:t>
      </w:r>
      <w:r>
        <w:rPr>
          <w:rFonts w:ascii="Palatino Linotype" w:hAnsi="Palatino Linotype" w:cs="Arial"/>
          <w:i/>
          <w:sz w:val="22"/>
          <w:szCs w:val="20"/>
        </w:rPr>
        <w:t>. Para los efectos de la presente Ley se entenderá por:</w:t>
      </w:r>
    </w:p>
    <w:p w14:paraId="750D4F0E" w14:textId="77777777" w:rsidR="005A52D2" w:rsidRDefault="005A52D2" w:rsidP="005A52D2">
      <w:pPr>
        <w:spacing w:before="120" w:after="120"/>
        <w:ind w:left="993" w:right="902"/>
        <w:jc w:val="both"/>
        <w:rPr>
          <w:rFonts w:ascii="Palatino Linotype" w:hAnsi="Palatino Linotype" w:cs="Arial"/>
          <w:i/>
          <w:sz w:val="22"/>
          <w:szCs w:val="20"/>
        </w:rPr>
      </w:pPr>
      <w:r>
        <w:rPr>
          <w:rFonts w:ascii="Palatino Linotype" w:hAnsi="Palatino Linotype" w:cs="Arial"/>
          <w:i/>
          <w:sz w:val="22"/>
          <w:szCs w:val="20"/>
        </w:rPr>
        <w:t>[…]</w:t>
      </w:r>
    </w:p>
    <w:p w14:paraId="1A9EC266" w14:textId="77777777" w:rsidR="005A52D2" w:rsidRDefault="005A52D2" w:rsidP="005A52D2">
      <w:pPr>
        <w:spacing w:before="120" w:after="120"/>
        <w:ind w:left="993" w:right="902"/>
        <w:jc w:val="both"/>
        <w:rPr>
          <w:rFonts w:ascii="Palatino Linotype" w:hAnsi="Palatino Linotype" w:cs="Arial"/>
          <w:i/>
          <w:sz w:val="22"/>
          <w:szCs w:val="20"/>
        </w:rPr>
      </w:pPr>
      <w:r>
        <w:rPr>
          <w:rFonts w:ascii="Palatino Linotype" w:hAnsi="Palatino Linotype" w:cs="Arial"/>
          <w:b/>
          <w:i/>
          <w:sz w:val="22"/>
          <w:szCs w:val="20"/>
        </w:rPr>
        <w:t>IX. Datos personales:</w:t>
      </w:r>
      <w:r>
        <w:rPr>
          <w:rFonts w:ascii="Palatino Linotype" w:hAnsi="Palatino Linotype" w:cs="Arial"/>
          <w:i/>
          <w:sz w:val="22"/>
          <w:szCs w:val="20"/>
        </w:rPr>
        <w:t xml:space="preserve"> La información concerniente a una persona, identificada o identificable según lo dispuesto por la Ley de Protección de Datos Personales del Estado de México; </w:t>
      </w:r>
    </w:p>
    <w:p w14:paraId="579495B3" w14:textId="77777777" w:rsidR="005A52D2" w:rsidRDefault="005A52D2" w:rsidP="005A52D2">
      <w:pPr>
        <w:spacing w:before="120" w:after="120"/>
        <w:ind w:left="993" w:right="902"/>
        <w:jc w:val="both"/>
        <w:rPr>
          <w:rFonts w:ascii="Palatino Linotype" w:hAnsi="Palatino Linotype" w:cs="Arial"/>
          <w:i/>
          <w:sz w:val="22"/>
          <w:szCs w:val="20"/>
        </w:rPr>
      </w:pPr>
      <w:r>
        <w:rPr>
          <w:rFonts w:ascii="Palatino Linotype" w:hAnsi="Palatino Linotype" w:cs="Arial"/>
          <w:b/>
          <w:i/>
          <w:sz w:val="22"/>
          <w:szCs w:val="20"/>
        </w:rPr>
        <w:t>XX. Información clasificada</w:t>
      </w:r>
      <w:r>
        <w:rPr>
          <w:rFonts w:ascii="Palatino Linotype" w:hAnsi="Palatino Linotype" w:cs="Arial"/>
          <w:i/>
          <w:sz w:val="22"/>
          <w:szCs w:val="20"/>
        </w:rPr>
        <w:t>: Aquella considerada por la presente Ley como reservada o confidencial;</w:t>
      </w:r>
    </w:p>
    <w:p w14:paraId="7A3FDB46" w14:textId="77777777" w:rsidR="005A52D2" w:rsidRDefault="005A52D2" w:rsidP="005A52D2">
      <w:pPr>
        <w:spacing w:before="120" w:after="120"/>
        <w:ind w:left="993" w:right="902"/>
        <w:jc w:val="both"/>
        <w:rPr>
          <w:rFonts w:ascii="Palatino Linotype" w:hAnsi="Palatino Linotype" w:cs="Arial"/>
          <w:i/>
          <w:sz w:val="22"/>
          <w:szCs w:val="20"/>
        </w:rPr>
      </w:pPr>
      <w:r>
        <w:rPr>
          <w:rFonts w:ascii="Palatino Linotype" w:hAnsi="Palatino Linotype" w:cs="Arial"/>
          <w:b/>
          <w:i/>
          <w:sz w:val="22"/>
          <w:szCs w:val="20"/>
        </w:rPr>
        <w:t>XXI. Información confidencial:</w:t>
      </w:r>
      <w:r>
        <w:rPr>
          <w:rFonts w:ascii="Palatino Linotype" w:hAnsi="Palatino Linotype" w:cs="Arial"/>
          <w:i/>
          <w:sz w:val="22"/>
          <w:szCs w:val="20"/>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7ECC182B" w14:textId="77777777" w:rsidR="005A52D2" w:rsidRDefault="005A52D2" w:rsidP="005A52D2">
      <w:pPr>
        <w:spacing w:before="120" w:after="120"/>
        <w:ind w:left="993" w:right="902"/>
        <w:jc w:val="both"/>
        <w:rPr>
          <w:rFonts w:ascii="Palatino Linotype" w:hAnsi="Palatino Linotype" w:cs="Arial"/>
          <w:i/>
          <w:sz w:val="22"/>
          <w:szCs w:val="20"/>
        </w:rPr>
      </w:pPr>
      <w:r>
        <w:rPr>
          <w:rFonts w:ascii="Palatino Linotype" w:hAnsi="Palatino Linotype" w:cs="Arial"/>
          <w:b/>
          <w:i/>
          <w:sz w:val="22"/>
          <w:szCs w:val="20"/>
        </w:rPr>
        <w:t>XLV. Versión pública:</w:t>
      </w:r>
      <w:r>
        <w:rPr>
          <w:rFonts w:ascii="Palatino Linotype" w:hAnsi="Palatino Linotype" w:cs="Arial"/>
          <w:i/>
          <w:sz w:val="22"/>
          <w:szCs w:val="20"/>
        </w:rPr>
        <w:t xml:space="preserve"> Documento en el que se elimine, suprime o borra la información clasificada como reservada o confidencial para permitir su acceso.</w:t>
      </w:r>
    </w:p>
    <w:p w14:paraId="76C820AE" w14:textId="77777777" w:rsidR="005A52D2" w:rsidRDefault="005A52D2" w:rsidP="005A52D2">
      <w:pPr>
        <w:spacing w:before="120" w:after="120"/>
        <w:ind w:left="993" w:right="902"/>
        <w:jc w:val="both"/>
        <w:rPr>
          <w:rFonts w:ascii="Palatino Linotype" w:hAnsi="Palatino Linotype" w:cs="Arial"/>
          <w:i/>
          <w:sz w:val="22"/>
          <w:szCs w:val="20"/>
        </w:rPr>
      </w:pPr>
      <w:r>
        <w:rPr>
          <w:rFonts w:ascii="Palatino Linotype" w:hAnsi="Palatino Linotype" w:cs="Arial"/>
          <w:i/>
          <w:sz w:val="22"/>
          <w:szCs w:val="20"/>
        </w:rPr>
        <w:t>[…]</w:t>
      </w:r>
    </w:p>
    <w:p w14:paraId="769AA52D" w14:textId="77777777" w:rsidR="005A52D2" w:rsidRDefault="005A52D2" w:rsidP="005A52D2">
      <w:pPr>
        <w:spacing w:before="120" w:after="120"/>
        <w:ind w:left="851" w:right="902"/>
        <w:jc w:val="both"/>
        <w:rPr>
          <w:rFonts w:ascii="Palatino Linotype" w:hAnsi="Palatino Linotype" w:cs="Arial"/>
          <w:i/>
          <w:sz w:val="22"/>
          <w:szCs w:val="20"/>
        </w:rPr>
      </w:pPr>
      <w:r>
        <w:rPr>
          <w:rFonts w:ascii="Palatino Linotype" w:hAnsi="Palatino Linotype" w:cs="Arial"/>
          <w:b/>
          <w:i/>
          <w:sz w:val="22"/>
          <w:szCs w:val="20"/>
        </w:rPr>
        <w:t xml:space="preserve">Artículo 91. </w:t>
      </w:r>
      <w:r>
        <w:rPr>
          <w:rFonts w:ascii="Palatino Linotype" w:hAnsi="Palatino Linotype" w:cs="Arial"/>
          <w:i/>
          <w:sz w:val="22"/>
          <w:szCs w:val="20"/>
        </w:rPr>
        <w:t>El acceso a la información pública será restringido excepcionalmente, cuando ésta sea clasificada como reservada o confidencial.</w:t>
      </w:r>
    </w:p>
    <w:p w14:paraId="25BF93D4" w14:textId="77777777" w:rsidR="005A52D2" w:rsidRDefault="005A52D2" w:rsidP="005A52D2">
      <w:pPr>
        <w:spacing w:before="120" w:after="120"/>
        <w:ind w:left="851" w:right="902"/>
        <w:jc w:val="both"/>
        <w:rPr>
          <w:rFonts w:ascii="Palatino Linotype" w:hAnsi="Palatino Linotype" w:cs="Arial"/>
          <w:i/>
          <w:sz w:val="22"/>
          <w:szCs w:val="20"/>
        </w:rPr>
      </w:pPr>
      <w:r>
        <w:rPr>
          <w:rFonts w:ascii="Palatino Linotype" w:hAnsi="Palatino Linotype" w:cs="Arial"/>
          <w:b/>
          <w:i/>
          <w:sz w:val="22"/>
          <w:szCs w:val="20"/>
        </w:rPr>
        <w:t xml:space="preserve">Artículo 132. </w:t>
      </w:r>
      <w:r>
        <w:rPr>
          <w:rFonts w:ascii="Palatino Linotype" w:hAnsi="Palatino Linotype" w:cs="Arial"/>
          <w:i/>
          <w:sz w:val="22"/>
          <w:szCs w:val="20"/>
        </w:rPr>
        <w:t>La clasificación de la información se llevará a cabo en el momento en que:</w:t>
      </w:r>
    </w:p>
    <w:p w14:paraId="4196F5D2" w14:textId="77777777" w:rsidR="005A52D2" w:rsidRDefault="005A52D2" w:rsidP="005A52D2">
      <w:pPr>
        <w:spacing w:before="120" w:after="120"/>
        <w:ind w:left="993" w:right="902"/>
        <w:jc w:val="both"/>
        <w:rPr>
          <w:rFonts w:ascii="Palatino Linotype" w:hAnsi="Palatino Linotype" w:cs="Arial"/>
          <w:i/>
          <w:sz w:val="22"/>
          <w:szCs w:val="20"/>
        </w:rPr>
      </w:pPr>
      <w:r>
        <w:rPr>
          <w:rFonts w:ascii="Palatino Linotype" w:hAnsi="Palatino Linotype" w:cs="Arial"/>
          <w:b/>
          <w:i/>
          <w:sz w:val="22"/>
          <w:szCs w:val="20"/>
        </w:rPr>
        <w:t>I</w:t>
      </w:r>
      <w:r>
        <w:rPr>
          <w:rFonts w:ascii="Palatino Linotype" w:hAnsi="Palatino Linotype" w:cs="Arial"/>
          <w:i/>
          <w:sz w:val="22"/>
          <w:szCs w:val="20"/>
        </w:rPr>
        <w:t>. Se reciba una solicitud de acceso a la información;</w:t>
      </w:r>
    </w:p>
    <w:p w14:paraId="57614FE8" w14:textId="77777777" w:rsidR="005A52D2" w:rsidRDefault="005A52D2" w:rsidP="005A52D2">
      <w:pPr>
        <w:spacing w:before="120" w:after="120"/>
        <w:ind w:left="993" w:right="902"/>
        <w:jc w:val="both"/>
        <w:rPr>
          <w:rFonts w:ascii="Palatino Linotype" w:hAnsi="Palatino Linotype" w:cs="Arial"/>
          <w:i/>
          <w:sz w:val="22"/>
          <w:szCs w:val="20"/>
        </w:rPr>
      </w:pPr>
      <w:r>
        <w:rPr>
          <w:rFonts w:ascii="Palatino Linotype" w:hAnsi="Palatino Linotype" w:cs="Arial"/>
          <w:b/>
          <w:i/>
          <w:sz w:val="22"/>
          <w:szCs w:val="20"/>
        </w:rPr>
        <w:t>II</w:t>
      </w:r>
      <w:r>
        <w:rPr>
          <w:rFonts w:ascii="Palatino Linotype" w:hAnsi="Palatino Linotype" w:cs="Arial"/>
          <w:i/>
          <w:sz w:val="22"/>
          <w:szCs w:val="20"/>
        </w:rPr>
        <w:t>. Se determine mediante resolución de autoridad competente; o</w:t>
      </w:r>
    </w:p>
    <w:p w14:paraId="4B435039" w14:textId="77777777" w:rsidR="005A52D2" w:rsidRDefault="005A52D2" w:rsidP="005A52D2">
      <w:pPr>
        <w:spacing w:before="120" w:after="120"/>
        <w:ind w:left="993" w:right="902"/>
        <w:jc w:val="both"/>
        <w:rPr>
          <w:rFonts w:ascii="Palatino Linotype" w:hAnsi="Palatino Linotype" w:cs="Arial"/>
          <w:i/>
          <w:sz w:val="22"/>
          <w:szCs w:val="20"/>
        </w:rPr>
      </w:pPr>
      <w:r>
        <w:rPr>
          <w:rFonts w:ascii="Palatino Linotype" w:hAnsi="Palatino Linotype" w:cs="Arial"/>
          <w:b/>
          <w:i/>
          <w:sz w:val="22"/>
          <w:szCs w:val="20"/>
        </w:rPr>
        <w:t>III</w:t>
      </w:r>
      <w:r>
        <w:rPr>
          <w:rFonts w:ascii="Palatino Linotype" w:hAnsi="Palatino Linotype" w:cs="Arial"/>
          <w:i/>
          <w:sz w:val="22"/>
          <w:szCs w:val="20"/>
        </w:rPr>
        <w:t>. Se generen versiones públicas para dar cumplimiento a las obligaciones de transparencia previstas en esta Ley.</w:t>
      </w:r>
    </w:p>
    <w:p w14:paraId="7069657C" w14:textId="77777777" w:rsidR="005A52D2" w:rsidRDefault="005A52D2" w:rsidP="005A52D2">
      <w:pPr>
        <w:spacing w:before="120" w:after="120"/>
        <w:ind w:left="851" w:right="902"/>
        <w:jc w:val="both"/>
        <w:rPr>
          <w:rFonts w:ascii="Palatino Linotype" w:hAnsi="Palatino Linotype" w:cs="Arial"/>
          <w:i/>
          <w:sz w:val="22"/>
          <w:szCs w:val="20"/>
        </w:rPr>
      </w:pPr>
      <w:r>
        <w:rPr>
          <w:rFonts w:ascii="Palatino Linotype" w:hAnsi="Palatino Linotype" w:cs="Arial"/>
          <w:i/>
          <w:sz w:val="22"/>
          <w:szCs w:val="20"/>
        </w:rPr>
        <w:t>[…]</w:t>
      </w:r>
    </w:p>
    <w:p w14:paraId="16672A87" w14:textId="77777777" w:rsidR="005A52D2" w:rsidRDefault="005A52D2" w:rsidP="005A52D2">
      <w:pPr>
        <w:spacing w:before="120" w:after="120"/>
        <w:ind w:left="851" w:right="902"/>
        <w:jc w:val="both"/>
        <w:rPr>
          <w:rFonts w:ascii="Palatino Linotype" w:hAnsi="Palatino Linotype" w:cs="Arial"/>
          <w:i/>
          <w:sz w:val="22"/>
          <w:szCs w:val="20"/>
        </w:rPr>
      </w:pPr>
      <w:r>
        <w:rPr>
          <w:rFonts w:ascii="Palatino Linotype" w:hAnsi="Palatino Linotype" w:cs="Arial"/>
          <w:b/>
          <w:i/>
          <w:sz w:val="22"/>
          <w:szCs w:val="20"/>
        </w:rPr>
        <w:t>Artículo 143</w:t>
      </w:r>
      <w:r>
        <w:rPr>
          <w:rFonts w:ascii="Palatino Linotype" w:hAnsi="Palatino Linotype" w:cs="Arial"/>
          <w:i/>
          <w:sz w:val="22"/>
          <w:szCs w:val="20"/>
        </w:rPr>
        <w:t>. Para los efectos de esta Ley se considera información confidencial, la clasificada como tal, de manera permanente, por su naturaleza, cuando:</w:t>
      </w:r>
    </w:p>
    <w:p w14:paraId="0ED746DA" w14:textId="77777777" w:rsidR="005A52D2" w:rsidRDefault="005A52D2" w:rsidP="005A52D2">
      <w:pPr>
        <w:spacing w:before="120" w:after="120"/>
        <w:ind w:left="993" w:right="902"/>
        <w:jc w:val="both"/>
        <w:rPr>
          <w:rFonts w:ascii="Palatino Linotype" w:hAnsi="Palatino Linotype" w:cs="Arial"/>
          <w:i/>
          <w:sz w:val="22"/>
          <w:szCs w:val="20"/>
        </w:rPr>
      </w:pPr>
      <w:r>
        <w:rPr>
          <w:rFonts w:ascii="Palatino Linotype" w:hAnsi="Palatino Linotype" w:cs="Arial"/>
          <w:b/>
          <w:i/>
          <w:sz w:val="22"/>
          <w:szCs w:val="20"/>
        </w:rPr>
        <w:lastRenderedPageBreak/>
        <w:t>I.</w:t>
      </w:r>
      <w:r>
        <w:rPr>
          <w:rFonts w:ascii="Palatino Linotype" w:hAnsi="Palatino Linotype" w:cs="Arial"/>
          <w:i/>
          <w:sz w:val="22"/>
          <w:szCs w:val="20"/>
        </w:rPr>
        <w:t xml:space="preserve"> Se refiera a la información privada y los datos personales concernientes a una persona física o jurídico colectiva identificada o identificable;</w:t>
      </w:r>
    </w:p>
    <w:p w14:paraId="73C5C972" w14:textId="77777777" w:rsidR="005A52D2" w:rsidRDefault="005A52D2" w:rsidP="005A52D2">
      <w:pPr>
        <w:spacing w:before="120" w:after="120"/>
        <w:ind w:left="993" w:right="902"/>
        <w:jc w:val="both"/>
        <w:rPr>
          <w:rFonts w:ascii="Palatino Linotype" w:hAnsi="Palatino Linotype" w:cs="Arial"/>
          <w:i/>
          <w:sz w:val="22"/>
          <w:szCs w:val="20"/>
        </w:rPr>
      </w:pPr>
      <w:r>
        <w:rPr>
          <w:rFonts w:ascii="Palatino Linotype" w:hAnsi="Palatino Linotype" w:cs="Arial"/>
          <w:b/>
          <w:i/>
          <w:sz w:val="22"/>
          <w:szCs w:val="20"/>
        </w:rPr>
        <w:t>II.</w:t>
      </w:r>
      <w:r>
        <w:rPr>
          <w:rFonts w:ascii="Palatino Linotype" w:hAnsi="Palatino Linotype" w:cs="Arial"/>
          <w:i/>
          <w:sz w:val="22"/>
          <w:szCs w:val="20"/>
        </w:rPr>
        <w:t xml:space="preserve"> Los secretos bancario, fiduciario, industrial, comercial, fiscal, bursátil y postal, cuya titularidad corresponda a particulares, sujetos de derecho internacional o a sujetos obligados cuando no involucren el ejercicio de recursos públicos; y</w:t>
      </w:r>
    </w:p>
    <w:p w14:paraId="05CE19B9" w14:textId="77777777" w:rsidR="005A52D2" w:rsidRDefault="005A52D2" w:rsidP="005A52D2">
      <w:pPr>
        <w:spacing w:before="120" w:after="120"/>
        <w:ind w:left="993" w:right="902"/>
        <w:jc w:val="both"/>
        <w:rPr>
          <w:rFonts w:ascii="Palatino Linotype" w:hAnsi="Palatino Linotype" w:cs="Arial"/>
          <w:i/>
          <w:sz w:val="22"/>
          <w:szCs w:val="20"/>
        </w:rPr>
      </w:pPr>
      <w:r>
        <w:rPr>
          <w:rFonts w:ascii="Palatino Linotype" w:hAnsi="Palatino Linotype" w:cs="Arial"/>
          <w:b/>
          <w:i/>
          <w:sz w:val="22"/>
          <w:szCs w:val="20"/>
        </w:rPr>
        <w:t>III</w:t>
      </w:r>
      <w:r>
        <w:rPr>
          <w:rFonts w:ascii="Palatino Linotype" w:hAnsi="Palatino Linotype" w:cs="Arial"/>
          <w:i/>
          <w:sz w:val="22"/>
          <w:szCs w:val="20"/>
        </w:rPr>
        <w:t>. La que presenten los particulares a los sujetos obligados, de conformidad con lo dispuesto por las leyes o los tratados internacionales.</w:t>
      </w:r>
    </w:p>
    <w:p w14:paraId="4EBD72B2" w14:textId="77777777" w:rsidR="005A52D2" w:rsidRDefault="005A52D2" w:rsidP="005A52D2">
      <w:pPr>
        <w:spacing w:before="120" w:after="120"/>
        <w:ind w:left="851" w:right="902"/>
        <w:jc w:val="both"/>
        <w:rPr>
          <w:rFonts w:ascii="Palatino Linotype" w:hAnsi="Palatino Linotype" w:cs="Arial"/>
          <w:i/>
          <w:sz w:val="22"/>
          <w:szCs w:val="20"/>
        </w:rPr>
      </w:pPr>
      <w:r>
        <w:rPr>
          <w:rFonts w:ascii="Palatino Linotype" w:hAnsi="Palatino Linotype" w:cs="Arial"/>
          <w:i/>
          <w:sz w:val="22"/>
          <w:szCs w:val="20"/>
        </w:rPr>
        <w:t>La información confidencial no estará sujeta a temporalidad alguna y sólo podrán tener acceso a ella los titulares de la misma, sus representantes y los servidores públicos facultados para ello.</w:t>
      </w:r>
    </w:p>
    <w:p w14:paraId="54E6021C" w14:textId="77777777" w:rsidR="005A52D2" w:rsidRDefault="005A52D2" w:rsidP="005A52D2">
      <w:pPr>
        <w:spacing w:before="120" w:after="120"/>
        <w:ind w:left="851" w:right="902"/>
        <w:jc w:val="both"/>
        <w:rPr>
          <w:rFonts w:ascii="Palatino Linotype" w:hAnsi="Palatino Linotype" w:cs="Arial"/>
          <w:i/>
          <w:sz w:val="22"/>
          <w:szCs w:val="20"/>
        </w:rPr>
      </w:pPr>
      <w:r>
        <w:rPr>
          <w:rFonts w:ascii="Palatino Linotype" w:hAnsi="Palatino Linotype" w:cs="Arial"/>
          <w:i/>
          <w:sz w:val="22"/>
          <w:szCs w:val="20"/>
        </w:rPr>
        <w:t>No se considerará confidencial la información que se encuentre en los registros públicos o en fuentes de acceso público, ni tampoco la que sea considerada por la presente ley como información pública.”</w:t>
      </w:r>
    </w:p>
    <w:p w14:paraId="16EBD825" w14:textId="77777777" w:rsidR="005A52D2" w:rsidRDefault="005A52D2" w:rsidP="005A52D2">
      <w:pPr>
        <w:spacing w:before="240" w:after="240" w:line="360" w:lineRule="auto"/>
        <w:jc w:val="both"/>
        <w:rPr>
          <w:rFonts w:ascii="Palatino Linotype" w:hAnsi="Palatino Linotype" w:cs="Arial"/>
        </w:rPr>
      </w:pPr>
      <w:r>
        <w:rPr>
          <w:rFonts w:ascii="Palatino Linotype" w:hAnsi="Palatino Linotype" w:cs="Arial"/>
        </w:rPr>
        <w:t>Igualmente,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70CFD376" w14:textId="77777777" w:rsidR="005A52D2" w:rsidRDefault="005A52D2" w:rsidP="005A52D2">
      <w:pPr>
        <w:spacing w:before="240" w:after="240" w:line="360" w:lineRule="auto"/>
        <w:jc w:val="both"/>
        <w:rPr>
          <w:rFonts w:ascii="Palatino Linotype" w:hAnsi="Palatino Linotype" w:cs="Arial"/>
        </w:rPr>
      </w:pPr>
      <w:r>
        <w:rPr>
          <w:rFonts w:ascii="Palatino Linotype" w:hAnsi="Palatino Linotype" w:cs="Arial"/>
        </w:rPr>
        <w:t>Entorno a lo que aquí nos interesa, los Lineamientos Quincuagésimo sexto, Quincuagésimo séptimo y Quincuagésimo octavo, establecen lo siguiente:</w:t>
      </w:r>
    </w:p>
    <w:p w14:paraId="6FF055C4" w14:textId="77777777" w:rsidR="005A52D2" w:rsidRDefault="005A52D2" w:rsidP="005A52D2">
      <w:pPr>
        <w:spacing w:before="120" w:after="120"/>
        <w:ind w:left="851" w:right="902"/>
        <w:jc w:val="both"/>
        <w:rPr>
          <w:rFonts w:ascii="Palatino Linotype" w:hAnsi="Palatino Linotype" w:cs="Arial"/>
          <w:i/>
          <w:sz w:val="22"/>
          <w:szCs w:val="20"/>
        </w:rPr>
      </w:pPr>
      <w:r>
        <w:rPr>
          <w:rFonts w:ascii="Palatino Linotype" w:hAnsi="Palatino Linotype" w:cs="Arial"/>
          <w:i/>
          <w:sz w:val="22"/>
          <w:szCs w:val="20"/>
        </w:rPr>
        <w:t>“</w:t>
      </w:r>
      <w:r>
        <w:rPr>
          <w:rFonts w:ascii="Palatino Linotype" w:hAnsi="Palatino Linotype" w:cs="Arial"/>
          <w:b/>
          <w:i/>
          <w:sz w:val="22"/>
          <w:szCs w:val="20"/>
        </w:rPr>
        <w:t>Quincuagésimo sexto</w:t>
      </w:r>
      <w:r>
        <w:rPr>
          <w:rFonts w:ascii="Palatino Linotype" w:hAnsi="Palatino Linotype" w:cs="Arial"/>
          <w:i/>
          <w:sz w:val="22"/>
          <w:szCs w:val="20"/>
        </w:rPr>
        <w:t>. La versión pública del documento o expediente que contenga partes o secciones reservadas o confidenciales, será elaborada por los sujetos obligados, previo pago de los costos de reproducción, a través de sus áreas y deberá ser aprobada por su Comité de Transparencia</w:t>
      </w:r>
    </w:p>
    <w:p w14:paraId="721742CD" w14:textId="77777777" w:rsidR="005A52D2" w:rsidRDefault="005A52D2" w:rsidP="005A52D2">
      <w:pPr>
        <w:spacing w:before="120" w:after="120"/>
        <w:ind w:left="851" w:right="902"/>
        <w:jc w:val="both"/>
        <w:rPr>
          <w:rFonts w:ascii="Palatino Linotype" w:hAnsi="Palatino Linotype" w:cs="Arial"/>
          <w:i/>
          <w:sz w:val="22"/>
          <w:szCs w:val="20"/>
        </w:rPr>
      </w:pPr>
      <w:r>
        <w:rPr>
          <w:rFonts w:ascii="Palatino Linotype" w:hAnsi="Palatino Linotype" w:cs="Arial"/>
          <w:b/>
          <w:i/>
          <w:sz w:val="22"/>
          <w:szCs w:val="20"/>
        </w:rPr>
        <w:lastRenderedPageBreak/>
        <w:t>Quincuagésimo séptimo</w:t>
      </w:r>
      <w:r>
        <w:rPr>
          <w:rFonts w:ascii="Palatino Linotype" w:hAnsi="Palatino Linotype" w:cs="Arial"/>
          <w:i/>
          <w:sz w:val="22"/>
          <w:szCs w:val="20"/>
        </w:rPr>
        <w:t xml:space="preserve">. Se considera, en principio, como información pública y no podrá omitirse de las versiones públicas la siguiente: </w:t>
      </w:r>
    </w:p>
    <w:p w14:paraId="016AA365" w14:textId="77777777" w:rsidR="005A52D2" w:rsidRDefault="005A52D2" w:rsidP="005A52D2">
      <w:pPr>
        <w:spacing w:before="120" w:after="120"/>
        <w:ind w:left="993" w:right="902"/>
        <w:jc w:val="both"/>
        <w:rPr>
          <w:rFonts w:ascii="Palatino Linotype" w:hAnsi="Palatino Linotype" w:cs="Arial"/>
          <w:i/>
          <w:sz w:val="22"/>
          <w:szCs w:val="20"/>
        </w:rPr>
      </w:pPr>
      <w:r>
        <w:rPr>
          <w:rFonts w:ascii="Palatino Linotype" w:hAnsi="Palatino Linotype" w:cs="Arial"/>
          <w:b/>
          <w:i/>
          <w:sz w:val="22"/>
          <w:szCs w:val="20"/>
        </w:rPr>
        <w:t>I</w:t>
      </w:r>
      <w:r>
        <w:rPr>
          <w:rFonts w:ascii="Palatino Linotype" w:hAnsi="Palatino Linotype" w:cs="Arial"/>
          <w:i/>
          <w:sz w:val="22"/>
          <w:szCs w:val="20"/>
        </w:rPr>
        <w:t xml:space="preserve">. La relativa a las Obligaciones de Transparencia que contempla el Título V de la Ley General y las demás disposiciones legales aplicables; </w:t>
      </w:r>
    </w:p>
    <w:p w14:paraId="730B02F9" w14:textId="77777777" w:rsidR="005A52D2" w:rsidRDefault="005A52D2" w:rsidP="005A52D2">
      <w:pPr>
        <w:spacing w:before="120" w:after="120"/>
        <w:ind w:left="993" w:right="902"/>
        <w:jc w:val="both"/>
        <w:rPr>
          <w:rFonts w:ascii="Palatino Linotype" w:hAnsi="Palatino Linotype" w:cs="Arial"/>
          <w:i/>
          <w:sz w:val="22"/>
          <w:szCs w:val="20"/>
        </w:rPr>
      </w:pPr>
      <w:r>
        <w:rPr>
          <w:rFonts w:ascii="Palatino Linotype" w:hAnsi="Palatino Linotype" w:cs="Arial"/>
          <w:b/>
          <w:i/>
          <w:sz w:val="22"/>
          <w:szCs w:val="20"/>
        </w:rPr>
        <w:t>II.</w:t>
      </w:r>
      <w:r>
        <w:rPr>
          <w:rFonts w:ascii="Palatino Linotype" w:hAnsi="Palatino Linotype" w:cs="Arial"/>
          <w:i/>
          <w:sz w:val="22"/>
          <w:szCs w:val="20"/>
        </w:rPr>
        <w:t xml:space="preserve"> El nombre de los servidores públicos en los documentos, y sus firmas autógrafas, cuando sean utilizados en el ejercicio de las facultades conferidas para el desempeño del servicio público, y </w:t>
      </w:r>
    </w:p>
    <w:p w14:paraId="087E0DE3" w14:textId="77777777" w:rsidR="005A52D2" w:rsidRDefault="005A52D2" w:rsidP="005A52D2">
      <w:pPr>
        <w:spacing w:before="120" w:after="120"/>
        <w:ind w:left="993" w:right="902"/>
        <w:jc w:val="both"/>
        <w:rPr>
          <w:rFonts w:ascii="Palatino Linotype" w:hAnsi="Palatino Linotype" w:cs="Arial"/>
          <w:i/>
          <w:sz w:val="22"/>
          <w:szCs w:val="20"/>
        </w:rPr>
      </w:pPr>
      <w:r>
        <w:rPr>
          <w:rFonts w:ascii="Palatino Linotype" w:hAnsi="Palatino Linotype" w:cs="Arial"/>
          <w:b/>
          <w:i/>
          <w:sz w:val="22"/>
          <w:szCs w:val="20"/>
        </w:rPr>
        <w:t>III.</w:t>
      </w:r>
      <w:r>
        <w:rPr>
          <w:rFonts w:ascii="Palatino Linotype" w:hAnsi="Palatino Linotype" w:cs="Arial"/>
          <w:i/>
          <w:sz w:val="22"/>
          <w:szCs w:val="20"/>
        </w:rPr>
        <w:t xml:space="preserve"> La información que documente decisiones y los actos de autoridad concluidos de los sujetos obligados, así como el ejercicio de las facultades o actividades de los servidores públicos, de manera que se pueda valorar el desempeño de los mismos.</w:t>
      </w:r>
    </w:p>
    <w:p w14:paraId="66E76D0B" w14:textId="77777777" w:rsidR="005A52D2" w:rsidRDefault="005A52D2" w:rsidP="005A52D2">
      <w:pPr>
        <w:spacing w:before="120" w:after="120"/>
        <w:ind w:left="851" w:right="902"/>
        <w:jc w:val="both"/>
        <w:rPr>
          <w:rFonts w:ascii="Palatino Linotype" w:hAnsi="Palatino Linotype" w:cs="Arial"/>
          <w:i/>
          <w:sz w:val="22"/>
          <w:szCs w:val="20"/>
        </w:rPr>
      </w:pPr>
      <w:r>
        <w:rPr>
          <w:rFonts w:ascii="Palatino Linotype" w:hAnsi="Palatino Linotype" w:cs="Arial"/>
          <w:i/>
          <w:sz w:val="22"/>
          <w:szCs w:val="20"/>
        </w:rPr>
        <w:t xml:space="preserve">Lo anterior, siempre y cuando no se acredite alguna causal de clasificación, prevista en las leyes o en los tratados internaciones suscritos por el Estado mexicano. </w:t>
      </w:r>
    </w:p>
    <w:p w14:paraId="574F25F2" w14:textId="77777777" w:rsidR="005A52D2" w:rsidRDefault="005A52D2" w:rsidP="005A52D2">
      <w:pPr>
        <w:spacing w:before="120" w:after="120"/>
        <w:ind w:left="851" w:right="902"/>
        <w:jc w:val="both"/>
        <w:rPr>
          <w:rFonts w:ascii="Palatino Linotype" w:hAnsi="Palatino Linotype" w:cs="Arial"/>
          <w:i/>
          <w:sz w:val="22"/>
          <w:szCs w:val="20"/>
        </w:rPr>
      </w:pPr>
      <w:r>
        <w:rPr>
          <w:rFonts w:ascii="Palatino Linotype" w:hAnsi="Palatino Linotype" w:cs="Arial"/>
          <w:b/>
          <w:i/>
          <w:sz w:val="22"/>
          <w:szCs w:val="20"/>
        </w:rPr>
        <w:t>Quincuagésimo octavo</w:t>
      </w:r>
      <w:r>
        <w:rPr>
          <w:rFonts w:ascii="Palatino Linotype" w:hAnsi="Palatino Linotype" w:cs="Arial"/>
          <w:i/>
          <w:sz w:val="22"/>
          <w:szCs w:val="20"/>
        </w:rPr>
        <w:t>. Los sujetos obligados garantizarán que los sistemas o medios empleados para eliminar la información en las versiones públicas no permitan la recuperación o visualización de la misma.”</w:t>
      </w:r>
    </w:p>
    <w:p w14:paraId="126FA4C9" w14:textId="77777777" w:rsidR="005A52D2" w:rsidRDefault="005A52D2" w:rsidP="005A52D2">
      <w:pPr>
        <w:spacing w:before="240" w:after="240" w:line="360" w:lineRule="auto"/>
        <w:jc w:val="both"/>
        <w:rPr>
          <w:rFonts w:ascii="Palatino Linotype" w:hAnsi="Palatino Linotype" w:cs="Arial"/>
        </w:rPr>
      </w:pPr>
      <w:r>
        <w:rPr>
          <w:rFonts w:ascii="Palatino Linotype" w:hAnsi="Palatino Linotype" w:cs="Arial"/>
        </w:rPr>
        <w:t>Por lo tanto, la entrega de documentos en su versión pública debe acompañarse necesariamente del Acuerdo del Comité de Transparencia que la sustente el cual debe estar debidamente fundado y motivado, en el que se expongan los fundamentos y razonamientos que llevaron al Sujeto Obligado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14:paraId="60116DC3" w14:textId="77777777" w:rsidR="005A52D2" w:rsidRDefault="005A52D2" w:rsidP="005A52D2">
      <w:pPr>
        <w:spacing w:before="240" w:after="240" w:line="360" w:lineRule="auto"/>
        <w:jc w:val="both"/>
        <w:rPr>
          <w:rFonts w:ascii="Palatino Linotype" w:hAnsi="Palatino Linotype"/>
        </w:rPr>
      </w:pPr>
      <w:r>
        <w:rPr>
          <w:rFonts w:ascii="Palatino Linotype" w:hAnsi="Palatino Linotype" w:cs="Arial"/>
        </w:rPr>
        <w:t>En relación directa con ello, los Lineamientos en estudio</w:t>
      </w:r>
      <w:r>
        <w:rPr>
          <w:rFonts w:ascii="Palatino Linotype" w:hAnsi="Palatino Linotype"/>
        </w:rPr>
        <w:t xml:space="preserve"> establecen los formatos para la clasificación parcial y total de los documentos, que atienden a lo siguiente:</w:t>
      </w:r>
    </w:p>
    <w:tbl>
      <w:tblPr>
        <w:tblStyle w:val="Tabladelista1clara-nfasis1"/>
        <w:tblW w:w="0" w:type="auto"/>
        <w:tblLayout w:type="fixed"/>
        <w:tblLook w:val="04A0" w:firstRow="1" w:lastRow="0" w:firstColumn="1" w:lastColumn="0" w:noHBand="0" w:noVBand="1"/>
      </w:tblPr>
      <w:tblGrid>
        <w:gridCol w:w="1134"/>
        <w:gridCol w:w="3119"/>
        <w:gridCol w:w="1129"/>
        <w:gridCol w:w="3446"/>
      </w:tblGrid>
      <w:tr w:rsidR="005A52D2" w14:paraId="7D2ED7BF" w14:textId="77777777" w:rsidTr="008930C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3" w:type="dxa"/>
            <w:gridSpan w:val="2"/>
            <w:tcBorders>
              <w:top w:val="nil"/>
              <w:left w:val="nil"/>
              <w:right w:val="nil"/>
            </w:tcBorders>
            <w:hideMark/>
          </w:tcPr>
          <w:p w14:paraId="17ACBB44" w14:textId="77777777" w:rsidR="005A52D2" w:rsidRDefault="005A52D2" w:rsidP="008930CA">
            <w:pPr>
              <w:jc w:val="center"/>
              <w:rPr>
                <w:rFonts w:ascii="Palatino Linotype" w:hAnsi="Palatino Linotype"/>
                <w:b w:val="0"/>
                <w:sz w:val="12"/>
                <w:szCs w:val="12"/>
              </w:rPr>
            </w:pPr>
            <w:r>
              <w:rPr>
                <w:rFonts w:ascii="Palatino Linotype" w:hAnsi="Palatino Linotype"/>
                <w:b w:val="0"/>
                <w:sz w:val="12"/>
                <w:szCs w:val="12"/>
              </w:rPr>
              <w:lastRenderedPageBreak/>
              <w:t>Parcial</w:t>
            </w:r>
          </w:p>
        </w:tc>
        <w:tc>
          <w:tcPr>
            <w:tcW w:w="4575" w:type="dxa"/>
            <w:gridSpan w:val="2"/>
            <w:tcBorders>
              <w:top w:val="nil"/>
              <w:left w:val="nil"/>
              <w:right w:val="nil"/>
            </w:tcBorders>
            <w:hideMark/>
          </w:tcPr>
          <w:p w14:paraId="5898E8FB" w14:textId="77777777" w:rsidR="005A52D2" w:rsidRDefault="005A52D2" w:rsidP="008930CA">
            <w:pPr>
              <w:jc w:val="center"/>
              <w:cnfStyle w:val="100000000000" w:firstRow="1" w:lastRow="0" w:firstColumn="0" w:lastColumn="0" w:oddVBand="0" w:evenVBand="0" w:oddHBand="0" w:evenHBand="0" w:firstRowFirstColumn="0" w:firstRowLastColumn="0" w:lastRowFirstColumn="0" w:lastRowLastColumn="0"/>
              <w:rPr>
                <w:rFonts w:ascii="Palatino Linotype" w:hAnsi="Palatino Linotype"/>
                <w:b w:val="0"/>
                <w:sz w:val="12"/>
                <w:szCs w:val="12"/>
              </w:rPr>
            </w:pPr>
            <w:r>
              <w:rPr>
                <w:rFonts w:ascii="Palatino Linotype" w:hAnsi="Palatino Linotype"/>
                <w:b w:val="0"/>
                <w:sz w:val="12"/>
                <w:szCs w:val="12"/>
              </w:rPr>
              <w:t>Total</w:t>
            </w:r>
          </w:p>
        </w:tc>
      </w:tr>
      <w:tr w:rsidR="005A52D2" w14:paraId="45D7346D" w14:textId="77777777" w:rsidTr="008930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hideMark/>
          </w:tcPr>
          <w:p w14:paraId="0917B02D" w14:textId="77777777" w:rsidR="005A52D2" w:rsidRDefault="005A52D2" w:rsidP="008930CA">
            <w:pPr>
              <w:jc w:val="center"/>
              <w:rPr>
                <w:rFonts w:ascii="Palatino Linotype" w:hAnsi="Palatino Linotype"/>
                <w:b w:val="0"/>
                <w:sz w:val="12"/>
                <w:szCs w:val="12"/>
              </w:rPr>
            </w:pPr>
            <w:r>
              <w:rPr>
                <w:rFonts w:ascii="Palatino Linotype" w:hAnsi="Palatino Linotype"/>
                <w:b w:val="0"/>
                <w:sz w:val="12"/>
                <w:szCs w:val="12"/>
              </w:rPr>
              <w:t>Concepto</w:t>
            </w:r>
          </w:p>
        </w:tc>
        <w:tc>
          <w:tcPr>
            <w:tcW w:w="3119" w:type="dxa"/>
            <w:hideMark/>
          </w:tcPr>
          <w:p w14:paraId="6CCE7680" w14:textId="77777777" w:rsidR="005A52D2" w:rsidRDefault="005A52D2" w:rsidP="008930CA">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rPr>
            </w:pPr>
            <w:r>
              <w:rPr>
                <w:rFonts w:ascii="Palatino Linotype" w:hAnsi="Palatino Linotype"/>
                <w:b/>
                <w:sz w:val="12"/>
                <w:szCs w:val="12"/>
              </w:rPr>
              <w:t>Dónde</w:t>
            </w:r>
          </w:p>
        </w:tc>
        <w:tc>
          <w:tcPr>
            <w:tcW w:w="1129" w:type="dxa"/>
            <w:hideMark/>
          </w:tcPr>
          <w:p w14:paraId="47A509A1" w14:textId="77777777" w:rsidR="005A52D2" w:rsidRDefault="005A52D2" w:rsidP="008930CA">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rPr>
            </w:pPr>
            <w:r>
              <w:rPr>
                <w:rFonts w:ascii="Palatino Linotype" w:hAnsi="Palatino Linotype"/>
                <w:b/>
                <w:sz w:val="12"/>
                <w:szCs w:val="12"/>
              </w:rPr>
              <w:t>Concepto</w:t>
            </w:r>
          </w:p>
        </w:tc>
        <w:tc>
          <w:tcPr>
            <w:tcW w:w="3446" w:type="dxa"/>
            <w:hideMark/>
          </w:tcPr>
          <w:p w14:paraId="216F4C84" w14:textId="77777777" w:rsidR="005A52D2" w:rsidRDefault="005A52D2" w:rsidP="008930CA">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rPr>
            </w:pPr>
            <w:r>
              <w:rPr>
                <w:rFonts w:ascii="Palatino Linotype" w:hAnsi="Palatino Linotype"/>
                <w:b/>
                <w:sz w:val="12"/>
                <w:szCs w:val="12"/>
              </w:rPr>
              <w:t>Dónde</w:t>
            </w:r>
          </w:p>
        </w:tc>
      </w:tr>
      <w:tr w:rsidR="005A52D2" w14:paraId="4D863BED" w14:textId="77777777" w:rsidTr="008930CA">
        <w:tc>
          <w:tcPr>
            <w:cnfStyle w:val="001000000000" w:firstRow="0" w:lastRow="0" w:firstColumn="1" w:lastColumn="0" w:oddVBand="0" w:evenVBand="0" w:oddHBand="0" w:evenHBand="0" w:firstRowFirstColumn="0" w:firstRowLastColumn="0" w:lastRowFirstColumn="0" w:lastRowLastColumn="0"/>
            <w:tcW w:w="8828" w:type="dxa"/>
            <w:gridSpan w:val="4"/>
            <w:hideMark/>
          </w:tcPr>
          <w:p w14:paraId="6C031695" w14:textId="77777777" w:rsidR="005A52D2" w:rsidRDefault="005A52D2" w:rsidP="008930CA">
            <w:pPr>
              <w:jc w:val="center"/>
              <w:rPr>
                <w:rFonts w:ascii="Palatino Linotype" w:hAnsi="Palatino Linotype"/>
                <w:b w:val="0"/>
                <w:sz w:val="12"/>
                <w:szCs w:val="12"/>
              </w:rPr>
            </w:pPr>
            <w:r>
              <w:rPr>
                <w:rFonts w:ascii="Palatino Linotype" w:hAnsi="Palatino Linotype"/>
                <w:b w:val="0"/>
                <w:sz w:val="12"/>
                <w:szCs w:val="12"/>
              </w:rPr>
              <w:t>Sello oficial o logotipo del sujeto obligado</w:t>
            </w:r>
          </w:p>
        </w:tc>
      </w:tr>
      <w:tr w:rsidR="005A52D2" w14:paraId="428274AC" w14:textId="77777777" w:rsidTr="008930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hideMark/>
          </w:tcPr>
          <w:p w14:paraId="31B5DF38" w14:textId="77777777" w:rsidR="005A52D2" w:rsidRDefault="005A52D2" w:rsidP="008930CA">
            <w:pPr>
              <w:jc w:val="both"/>
              <w:rPr>
                <w:rFonts w:ascii="Palatino Linotype" w:hAnsi="Palatino Linotype"/>
                <w:b w:val="0"/>
                <w:sz w:val="12"/>
                <w:szCs w:val="12"/>
              </w:rPr>
            </w:pPr>
            <w:r>
              <w:rPr>
                <w:rFonts w:ascii="Palatino Linotype" w:hAnsi="Palatino Linotype"/>
                <w:b w:val="0"/>
                <w:sz w:val="12"/>
                <w:szCs w:val="12"/>
              </w:rPr>
              <w:t>Fecha de clasificación</w:t>
            </w:r>
          </w:p>
        </w:tc>
        <w:tc>
          <w:tcPr>
            <w:tcW w:w="3119" w:type="dxa"/>
            <w:hideMark/>
          </w:tcPr>
          <w:p w14:paraId="2941454E" w14:textId="77777777" w:rsidR="005A52D2" w:rsidRDefault="005A52D2" w:rsidP="008930CA">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Pr>
                <w:rFonts w:ascii="Palatino Linotype" w:hAnsi="Palatino Linotype"/>
                <w:sz w:val="12"/>
                <w:szCs w:val="12"/>
              </w:rPr>
              <w:t>Se anotará la fecha en la que el Comité de Transparencia confirmó la clasificación del documento, en su caso.</w:t>
            </w:r>
          </w:p>
        </w:tc>
        <w:tc>
          <w:tcPr>
            <w:tcW w:w="1129" w:type="dxa"/>
            <w:hideMark/>
          </w:tcPr>
          <w:p w14:paraId="480C92A2" w14:textId="77777777" w:rsidR="005A52D2" w:rsidRDefault="005A52D2" w:rsidP="008930CA">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rPr>
            </w:pPr>
            <w:r>
              <w:rPr>
                <w:rFonts w:ascii="Palatino Linotype" w:hAnsi="Palatino Linotype"/>
                <w:b/>
                <w:sz w:val="12"/>
                <w:szCs w:val="12"/>
              </w:rPr>
              <w:t>Fecha de clasificación</w:t>
            </w:r>
          </w:p>
        </w:tc>
        <w:tc>
          <w:tcPr>
            <w:tcW w:w="3446" w:type="dxa"/>
            <w:hideMark/>
          </w:tcPr>
          <w:p w14:paraId="25622DC4" w14:textId="77777777" w:rsidR="005A52D2" w:rsidRDefault="005A52D2" w:rsidP="008930CA">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Pr>
                <w:rFonts w:ascii="Palatino Linotype" w:hAnsi="Palatino Linotype"/>
                <w:sz w:val="12"/>
                <w:szCs w:val="12"/>
              </w:rPr>
              <w:t>Se anotará la fecha en la que el Comité de Transparencia confirmó la clasificación del documento, en su caso.</w:t>
            </w:r>
          </w:p>
        </w:tc>
      </w:tr>
      <w:tr w:rsidR="005A52D2" w14:paraId="0560C9F1" w14:textId="77777777" w:rsidTr="008930CA">
        <w:tc>
          <w:tcPr>
            <w:cnfStyle w:val="001000000000" w:firstRow="0" w:lastRow="0" w:firstColumn="1" w:lastColumn="0" w:oddVBand="0" w:evenVBand="0" w:oddHBand="0" w:evenHBand="0" w:firstRowFirstColumn="0" w:firstRowLastColumn="0" w:lastRowFirstColumn="0" w:lastRowLastColumn="0"/>
            <w:tcW w:w="1134" w:type="dxa"/>
            <w:hideMark/>
          </w:tcPr>
          <w:p w14:paraId="21C2B45E" w14:textId="77777777" w:rsidR="005A52D2" w:rsidRDefault="005A52D2" w:rsidP="008930CA">
            <w:pPr>
              <w:jc w:val="both"/>
              <w:rPr>
                <w:rFonts w:ascii="Palatino Linotype" w:hAnsi="Palatino Linotype"/>
                <w:b w:val="0"/>
                <w:sz w:val="12"/>
                <w:szCs w:val="12"/>
              </w:rPr>
            </w:pPr>
            <w:r>
              <w:rPr>
                <w:rFonts w:ascii="Palatino Linotype" w:hAnsi="Palatino Linotype"/>
                <w:b w:val="0"/>
                <w:sz w:val="12"/>
                <w:szCs w:val="12"/>
              </w:rPr>
              <w:t>Área</w:t>
            </w:r>
          </w:p>
        </w:tc>
        <w:tc>
          <w:tcPr>
            <w:tcW w:w="3119" w:type="dxa"/>
            <w:hideMark/>
          </w:tcPr>
          <w:p w14:paraId="458E315F" w14:textId="77777777" w:rsidR="005A52D2" w:rsidRDefault="005A52D2" w:rsidP="008930CA">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Pr>
                <w:rFonts w:ascii="Palatino Linotype" w:hAnsi="Palatino Linotype"/>
                <w:sz w:val="12"/>
                <w:szCs w:val="12"/>
              </w:rPr>
              <w:t>Se señalará el nombre del área del cual es titular quien clasifica.</w:t>
            </w:r>
          </w:p>
        </w:tc>
        <w:tc>
          <w:tcPr>
            <w:tcW w:w="1129" w:type="dxa"/>
            <w:hideMark/>
          </w:tcPr>
          <w:p w14:paraId="7B08DE54" w14:textId="77777777" w:rsidR="005A52D2" w:rsidRDefault="005A52D2" w:rsidP="008930CA">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b/>
                <w:sz w:val="12"/>
                <w:szCs w:val="12"/>
              </w:rPr>
            </w:pPr>
            <w:r>
              <w:rPr>
                <w:rFonts w:ascii="Palatino Linotype" w:hAnsi="Palatino Linotype"/>
                <w:b/>
                <w:sz w:val="12"/>
                <w:szCs w:val="12"/>
              </w:rPr>
              <w:t>Área</w:t>
            </w:r>
          </w:p>
        </w:tc>
        <w:tc>
          <w:tcPr>
            <w:tcW w:w="3446" w:type="dxa"/>
            <w:hideMark/>
          </w:tcPr>
          <w:p w14:paraId="1E462E09" w14:textId="77777777" w:rsidR="005A52D2" w:rsidRDefault="005A52D2" w:rsidP="008930CA">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Pr>
                <w:rFonts w:ascii="Palatino Linotype" w:hAnsi="Palatino Linotype"/>
                <w:sz w:val="12"/>
                <w:szCs w:val="12"/>
              </w:rPr>
              <w:t>Se señalará el nombre del área de la cual es el titular quien clasifica.</w:t>
            </w:r>
          </w:p>
        </w:tc>
      </w:tr>
      <w:tr w:rsidR="005A52D2" w14:paraId="586604BD" w14:textId="77777777" w:rsidTr="008930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hideMark/>
          </w:tcPr>
          <w:p w14:paraId="6D2FDEA4" w14:textId="77777777" w:rsidR="005A52D2" w:rsidRDefault="005A52D2" w:rsidP="008930CA">
            <w:pPr>
              <w:jc w:val="both"/>
              <w:rPr>
                <w:rFonts w:ascii="Palatino Linotype" w:hAnsi="Palatino Linotype"/>
                <w:b w:val="0"/>
                <w:sz w:val="12"/>
                <w:szCs w:val="12"/>
              </w:rPr>
            </w:pPr>
            <w:r>
              <w:rPr>
                <w:rFonts w:ascii="Palatino Linotype" w:hAnsi="Palatino Linotype"/>
                <w:b w:val="0"/>
                <w:sz w:val="12"/>
                <w:szCs w:val="12"/>
              </w:rPr>
              <w:t>Información reservada</w:t>
            </w:r>
          </w:p>
        </w:tc>
        <w:tc>
          <w:tcPr>
            <w:tcW w:w="3119" w:type="dxa"/>
            <w:hideMark/>
          </w:tcPr>
          <w:p w14:paraId="607D2D57" w14:textId="77777777" w:rsidR="005A52D2" w:rsidRDefault="005A52D2" w:rsidP="008930CA">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Pr>
                <w:rFonts w:ascii="Palatino Linotype" w:hAnsi="Palatino Linotype"/>
                <w:sz w:val="12"/>
                <w:szCs w:val="12"/>
              </w:rPr>
              <w:t>Se indicarán, en su caso, las partes o páginas del documento que se clasifican como reservadas. Si el documento fuera reservado en su totalidad, se anotarán todas las páginas que lo conforman. Si el documento no contiene información reservada, se tachará este apartado.</w:t>
            </w:r>
          </w:p>
        </w:tc>
        <w:tc>
          <w:tcPr>
            <w:tcW w:w="1129" w:type="dxa"/>
            <w:hideMark/>
          </w:tcPr>
          <w:p w14:paraId="3D4154DF" w14:textId="77777777" w:rsidR="005A52D2" w:rsidRDefault="005A52D2" w:rsidP="008930CA">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rPr>
            </w:pPr>
            <w:r>
              <w:rPr>
                <w:rFonts w:ascii="Palatino Linotype" w:hAnsi="Palatino Linotype"/>
                <w:b/>
                <w:sz w:val="12"/>
                <w:szCs w:val="12"/>
              </w:rPr>
              <w:t>Reservado</w:t>
            </w:r>
          </w:p>
        </w:tc>
        <w:tc>
          <w:tcPr>
            <w:tcW w:w="3446" w:type="dxa"/>
            <w:hideMark/>
          </w:tcPr>
          <w:p w14:paraId="0E61C8EE" w14:textId="77777777" w:rsidR="005A52D2" w:rsidRDefault="005A52D2" w:rsidP="008930CA">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Pr>
                <w:rFonts w:ascii="Palatino Linotype" w:hAnsi="Palatino Linotype"/>
                <w:sz w:val="12"/>
                <w:szCs w:val="12"/>
              </w:rPr>
              <w:t>Leyenda de información RESERVADA.</w:t>
            </w:r>
          </w:p>
        </w:tc>
      </w:tr>
      <w:tr w:rsidR="005A52D2" w14:paraId="12E785B1" w14:textId="77777777" w:rsidTr="008930CA">
        <w:tc>
          <w:tcPr>
            <w:cnfStyle w:val="001000000000" w:firstRow="0" w:lastRow="0" w:firstColumn="1" w:lastColumn="0" w:oddVBand="0" w:evenVBand="0" w:oddHBand="0" w:evenHBand="0" w:firstRowFirstColumn="0" w:firstRowLastColumn="0" w:lastRowFirstColumn="0" w:lastRowLastColumn="0"/>
            <w:tcW w:w="1134" w:type="dxa"/>
            <w:hideMark/>
          </w:tcPr>
          <w:p w14:paraId="5CD09BED" w14:textId="77777777" w:rsidR="005A52D2" w:rsidRDefault="005A52D2" w:rsidP="008930CA">
            <w:pPr>
              <w:jc w:val="both"/>
              <w:rPr>
                <w:rFonts w:ascii="Palatino Linotype" w:hAnsi="Palatino Linotype"/>
                <w:b w:val="0"/>
                <w:sz w:val="12"/>
                <w:szCs w:val="12"/>
              </w:rPr>
            </w:pPr>
            <w:r>
              <w:rPr>
                <w:rFonts w:ascii="Palatino Linotype" w:hAnsi="Palatino Linotype"/>
                <w:b w:val="0"/>
                <w:sz w:val="12"/>
                <w:szCs w:val="12"/>
              </w:rPr>
              <w:t>Fundamento legal</w:t>
            </w:r>
          </w:p>
        </w:tc>
        <w:tc>
          <w:tcPr>
            <w:tcW w:w="3119" w:type="dxa"/>
            <w:hideMark/>
          </w:tcPr>
          <w:p w14:paraId="49FAC80F" w14:textId="77777777" w:rsidR="005A52D2" w:rsidRDefault="005A52D2" w:rsidP="008930CA">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Pr>
                <w:rFonts w:ascii="Palatino Linotype" w:hAnsi="Palatino Linotype"/>
                <w:sz w:val="12"/>
                <w:szCs w:val="12"/>
              </w:rPr>
              <w:t>Se señalará el nombre del ordenamiento, el o los artículos, fracción(es), párrafo(s) con base en los cuales se sustente la reserva.</w:t>
            </w:r>
          </w:p>
        </w:tc>
        <w:tc>
          <w:tcPr>
            <w:tcW w:w="1129" w:type="dxa"/>
            <w:hideMark/>
          </w:tcPr>
          <w:p w14:paraId="34D9D60B" w14:textId="77777777" w:rsidR="005A52D2" w:rsidRDefault="005A52D2" w:rsidP="008930CA">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b/>
                <w:sz w:val="12"/>
                <w:szCs w:val="12"/>
              </w:rPr>
            </w:pPr>
            <w:r>
              <w:rPr>
                <w:rFonts w:ascii="Palatino Linotype" w:hAnsi="Palatino Linotype"/>
                <w:b/>
                <w:sz w:val="12"/>
                <w:szCs w:val="12"/>
              </w:rPr>
              <w:t>Periodo de reserva</w:t>
            </w:r>
          </w:p>
        </w:tc>
        <w:tc>
          <w:tcPr>
            <w:tcW w:w="3446" w:type="dxa"/>
            <w:hideMark/>
          </w:tcPr>
          <w:p w14:paraId="23F541BC" w14:textId="77777777" w:rsidR="005A52D2" w:rsidRDefault="005A52D2" w:rsidP="008930CA">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Pr>
                <w:rFonts w:ascii="Palatino Linotype" w:hAnsi="Palatino Linotype"/>
                <w:sz w:val="12"/>
                <w:szCs w:val="12"/>
              </w:rPr>
              <w:t>Se anotará el número de años o meses por los que se mantendrá el documento o las partes del mismo como reservado. Si el expediente no es reservado, sino confidencial, deberá tacharse este apartado.</w:t>
            </w:r>
          </w:p>
        </w:tc>
      </w:tr>
      <w:tr w:rsidR="005A52D2" w14:paraId="1968FA2E" w14:textId="77777777" w:rsidTr="008930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hideMark/>
          </w:tcPr>
          <w:p w14:paraId="57009A36" w14:textId="77777777" w:rsidR="005A52D2" w:rsidRDefault="005A52D2" w:rsidP="008930CA">
            <w:pPr>
              <w:jc w:val="both"/>
              <w:rPr>
                <w:rFonts w:ascii="Palatino Linotype" w:hAnsi="Palatino Linotype"/>
                <w:b w:val="0"/>
                <w:sz w:val="12"/>
                <w:szCs w:val="12"/>
              </w:rPr>
            </w:pPr>
            <w:r>
              <w:rPr>
                <w:rFonts w:ascii="Palatino Linotype" w:hAnsi="Palatino Linotype"/>
                <w:b w:val="0"/>
                <w:sz w:val="12"/>
                <w:szCs w:val="12"/>
              </w:rPr>
              <w:t>Ampliación del periodo de reserva</w:t>
            </w:r>
          </w:p>
        </w:tc>
        <w:tc>
          <w:tcPr>
            <w:tcW w:w="3119" w:type="dxa"/>
            <w:hideMark/>
          </w:tcPr>
          <w:p w14:paraId="4D28EB53" w14:textId="77777777" w:rsidR="005A52D2" w:rsidRDefault="005A52D2" w:rsidP="008930CA">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Pr>
                <w:rFonts w:ascii="Palatino Linotype" w:hAnsi="Palatino Linotype"/>
                <w:sz w:val="12"/>
                <w:szCs w:val="12"/>
              </w:rPr>
              <w:t>En caso de haber solicitado la ampliación del periodo de reserva originalmente establecido, se deberá anotar el número de años o meses por los que se amplía la reserva.</w:t>
            </w:r>
          </w:p>
        </w:tc>
        <w:tc>
          <w:tcPr>
            <w:tcW w:w="1129" w:type="dxa"/>
            <w:hideMark/>
          </w:tcPr>
          <w:p w14:paraId="35D8A399" w14:textId="77777777" w:rsidR="005A52D2" w:rsidRDefault="005A52D2" w:rsidP="008930CA">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rPr>
            </w:pPr>
            <w:r>
              <w:rPr>
                <w:rFonts w:ascii="Palatino Linotype" w:hAnsi="Palatino Linotype"/>
                <w:b/>
                <w:sz w:val="12"/>
                <w:szCs w:val="12"/>
              </w:rPr>
              <w:t>Fundamento legal</w:t>
            </w:r>
          </w:p>
        </w:tc>
        <w:tc>
          <w:tcPr>
            <w:tcW w:w="3446" w:type="dxa"/>
            <w:hideMark/>
          </w:tcPr>
          <w:p w14:paraId="5308F342" w14:textId="77777777" w:rsidR="005A52D2" w:rsidRDefault="005A52D2" w:rsidP="008930CA">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Pr>
                <w:rFonts w:ascii="Palatino Linotype" w:hAnsi="Palatino Linotype"/>
                <w:sz w:val="12"/>
                <w:szCs w:val="12"/>
              </w:rPr>
              <w:t>Se señalará el nombre del o de los ordenamientos jurídicos, el o los artículos, fracción(es), párrafo(s) con base en los cuales se sustenta la reserva.</w:t>
            </w:r>
          </w:p>
        </w:tc>
      </w:tr>
      <w:tr w:rsidR="005A52D2" w14:paraId="1FBA33AC" w14:textId="77777777" w:rsidTr="008930CA">
        <w:tc>
          <w:tcPr>
            <w:cnfStyle w:val="001000000000" w:firstRow="0" w:lastRow="0" w:firstColumn="1" w:lastColumn="0" w:oddVBand="0" w:evenVBand="0" w:oddHBand="0" w:evenHBand="0" w:firstRowFirstColumn="0" w:firstRowLastColumn="0" w:lastRowFirstColumn="0" w:lastRowLastColumn="0"/>
            <w:tcW w:w="1134" w:type="dxa"/>
            <w:hideMark/>
          </w:tcPr>
          <w:p w14:paraId="6B5269F6" w14:textId="77777777" w:rsidR="005A52D2" w:rsidRDefault="005A52D2" w:rsidP="008930CA">
            <w:pPr>
              <w:jc w:val="both"/>
              <w:rPr>
                <w:rFonts w:ascii="Palatino Linotype" w:hAnsi="Palatino Linotype"/>
                <w:b w:val="0"/>
                <w:sz w:val="12"/>
                <w:szCs w:val="12"/>
              </w:rPr>
            </w:pPr>
            <w:r>
              <w:rPr>
                <w:rFonts w:ascii="Palatino Linotype" w:hAnsi="Palatino Linotype"/>
                <w:b w:val="0"/>
                <w:sz w:val="12"/>
                <w:szCs w:val="12"/>
              </w:rPr>
              <w:t>Confidencial</w:t>
            </w:r>
          </w:p>
        </w:tc>
        <w:tc>
          <w:tcPr>
            <w:tcW w:w="3119" w:type="dxa"/>
            <w:hideMark/>
          </w:tcPr>
          <w:p w14:paraId="53B7E57F" w14:textId="77777777" w:rsidR="005A52D2" w:rsidRDefault="005A52D2" w:rsidP="008930CA">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Pr>
                <w:rFonts w:ascii="Palatino Linotype" w:hAnsi="Palatino Linotype"/>
                <w:sz w:val="12"/>
                <w:szCs w:val="12"/>
              </w:rPr>
              <w:t>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c>
          <w:tcPr>
            <w:tcW w:w="1129" w:type="dxa"/>
            <w:hideMark/>
          </w:tcPr>
          <w:p w14:paraId="50EC1EF7" w14:textId="77777777" w:rsidR="005A52D2" w:rsidRDefault="005A52D2" w:rsidP="008930CA">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b/>
                <w:sz w:val="12"/>
                <w:szCs w:val="12"/>
              </w:rPr>
            </w:pPr>
            <w:r>
              <w:rPr>
                <w:rFonts w:ascii="Palatino Linotype" w:hAnsi="Palatino Linotype"/>
                <w:b/>
                <w:sz w:val="12"/>
                <w:szCs w:val="12"/>
              </w:rPr>
              <w:t>Ampliación del periodo de reserva</w:t>
            </w:r>
          </w:p>
        </w:tc>
        <w:tc>
          <w:tcPr>
            <w:tcW w:w="3446" w:type="dxa"/>
            <w:hideMark/>
          </w:tcPr>
          <w:p w14:paraId="0D6CBDCE" w14:textId="77777777" w:rsidR="005A52D2" w:rsidRDefault="005A52D2" w:rsidP="008930CA">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Pr>
                <w:rFonts w:ascii="Palatino Linotype" w:hAnsi="Palatino Linotype"/>
                <w:sz w:val="12"/>
                <w:szCs w:val="12"/>
              </w:rPr>
              <w:t>En caso de haber solicitado la ampliación del periodo de reserva originalmente establecido, se deberá anotar el número de años o meses por los que se amplía la reserva.</w:t>
            </w:r>
          </w:p>
        </w:tc>
      </w:tr>
      <w:tr w:rsidR="005A52D2" w14:paraId="47F4F59C" w14:textId="77777777" w:rsidTr="008930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hideMark/>
          </w:tcPr>
          <w:p w14:paraId="455D0AED" w14:textId="77777777" w:rsidR="005A52D2" w:rsidRDefault="005A52D2" w:rsidP="008930CA">
            <w:pPr>
              <w:jc w:val="both"/>
              <w:rPr>
                <w:rFonts w:ascii="Palatino Linotype" w:hAnsi="Palatino Linotype"/>
                <w:b w:val="0"/>
                <w:sz w:val="12"/>
                <w:szCs w:val="12"/>
              </w:rPr>
            </w:pPr>
            <w:r>
              <w:rPr>
                <w:rFonts w:ascii="Palatino Linotype" w:hAnsi="Palatino Linotype"/>
                <w:b w:val="0"/>
                <w:sz w:val="12"/>
                <w:szCs w:val="12"/>
              </w:rPr>
              <w:t>Fundamento legal</w:t>
            </w:r>
          </w:p>
        </w:tc>
        <w:tc>
          <w:tcPr>
            <w:tcW w:w="3119" w:type="dxa"/>
            <w:hideMark/>
          </w:tcPr>
          <w:p w14:paraId="1D78FDD7" w14:textId="77777777" w:rsidR="005A52D2" w:rsidRDefault="005A52D2" w:rsidP="008930CA">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Pr>
                <w:rFonts w:ascii="Palatino Linotype" w:hAnsi="Palatino Linotype"/>
                <w:sz w:val="12"/>
                <w:szCs w:val="12"/>
              </w:rPr>
              <w:t>Se señalará el nombre del ordenamiento, el o los artículos, fracción(es), párrafo(s) con base en los cuales se sustente la confidencialidad.</w:t>
            </w:r>
          </w:p>
        </w:tc>
        <w:tc>
          <w:tcPr>
            <w:tcW w:w="1129" w:type="dxa"/>
            <w:hideMark/>
          </w:tcPr>
          <w:p w14:paraId="45AEEF7B" w14:textId="77777777" w:rsidR="005A52D2" w:rsidRDefault="005A52D2" w:rsidP="008930CA">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rPr>
            </w:pPr>
            <w:r>
              <w:rPr>
                <w:rFonts w:ascii="Palatino Linotype" w:hAnsi="Palatino Linotype"/>
                <w:b/>
                <w:sz w:val="12"/>
                <w:szCs w:val="12"/>
              </w:rPr>
              <w:t>Confidencial</w:t>
            </w:r>
          </w:p>
        </w:tc>
        <w:tc>
          <w:tcPr>
            <w:tcW w:w="3446" w:type="dxa"/>
            <w:hideMark/>
          </w:tcPr>
          <w:p w14:paraId="63261B5F" w14:textId="77777777" w:rsidR="005A52D2" w:rsidRDefault="005A52D2" w:rsidP="008930CA">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Pr>
                <w:rFonts w:ascii="Palatino Linotype" w:hAnsi="Palatino Linotype"/>
                <w:sz w:val="12"/>
                <w:szCs w:val="12"/>
              </w:rPr>
              <w:t>Leyenda de información CONFIDENCIAL.</w:t>
            </w:r>
          </w:p>
        </w:tc>
      </w:tr>
      <w:tr w:rsidR="005A52D2" w14:paraId="6F5FF7E4" w14:textId="77777777" w:rsidTr="008930CA">
        <w:tc>
          <w:tcPr>
            <w:cnfStyle w:val="001000000000" w:firstRow="0" w:lastRow="0" w:firstColumn="1" w:lastColumn="0" w:oddVBand="0" w:evenVBand="0" w:oddHBand="0" w:evenHBand="0" w:firstRowFirstColumn="0" w:firstRowLastColumn="0" w:lastRowFirstColumn="0" w:lastRowLastColumn="0"/>
            <w:tcW w:w="1134" w:type="dxa"/>
            <w:hideMark/>
          </w:tcPr>
          <w:p w14:paraId="1B7F434E" w14:textId="77777777" w:rsidR="005A52D2" w:rsidRDefault="005A52D2" w:rsidP="008930CA">
            <w:pPr>
              <w:jc w:val="both"/>
              <w:rPr>
                <w:rFonts w:ascii="Palatino Linotype" w:hAnsi="Palatino Linotype"/>
                <w:b w:val="0"/>
                <w:sz w:val="12"/>
                <w:szCs w:val="12"/>
              </w:rPr>
            </w:pPr>
            <w:r>
              <w:rPr>
                <w:rFonts w:ascii="Palatino Linotype" w:hAnsi="Palatino Linotype"/>
                <w:b w:val="0"/>
                <w:sz w:val="12"/>
                <w:szCs w:val="12"/>
              </w:rPr>
              <w:t>Rúbrica del titular del área</w:t>
            </w:r>
          </w:p>
        </w:tc>
        <w:tc>
          <w:tcPr>
            <w:tcW w:w="3119" w:type="dxa"/>
            <w:hideMark/>
          </w:tcPr>
          <w:p w14:paraId="7C45D4CF" w14:textId="77777777" w:rsidR="005A52D2" w:rsidRDefault="005A52D2" w:rsidP="008930CA">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Pr>
                <w:rFonts w:ascii="Palatino Linotype" w:hAnsi="Palatino Linotype"/>
                <w:sz w:val="12"/>
                <w:szCs w:val="12"/>
              </w:rPr>
              <w:t>Rúbrica autógrafa de quien clasifica.</w:t>
            </w:r>
          </w:p>
        </w:tc>
        <w:tc>
          <w:tcPr>
            <w:tcW w:w="1129" w:type="dxa"/>
            <w:hideMark/>
          </w:tcPr>
          <w:p w14:paraId="1E02025C" w14:textId="77777777" w:rsidR="005A52D2" w:rsidRDefault="005A52D2" w:rsidP="008930CA">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b/>
                <w:sz w:val="12"/>
                <w:szCs w:val="12"/>
              </w:rPr>
            </w:pPr>
            <w:r>
              <w:rPr>
                <w:rFonts w:ascii="Palatino Linotype" w:hAnsi="Palatino Linotype"/>
                <w:b/>
                <w:sz w:val="12"/>
                <w:szCs w:val="12"/>
              </w:rPr>
              <w:t>Fundamento legal</w:t>
            </w:r>
          </w:p>
        </w:tc>
        <w:tc>
          <w:tcPr>
            <w:tcW w:w="3446" w:type="dxa"/>
            <w:hideMark/>
          </w:tcPr>
          <w:p w14:paraId="4E215252" w14:textId="77777777" w:rsidR="005A52D2" w:rsidRDefault="005A52D2" w:rsidP="008930CA">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Pr>
                <w:rFonts w:ascii="Palatino Linotype" w:hAnsi="Palatino Linotype"/>
                <w:sz w:val="12"/>
                <w:szCs w:val="12"/>
              </w:rPr>
              <w:t>Se señalará el nombre del o de los ordenamientos jurídicos, el o los artículos, fracción(es), párrafo(s) con base en los cuales se sustente la confidencialidad.</w:t>
            </w:r>
          </w:p>
        </w:tc>
      </w:tr>
      <w:tr w:rsidR="005A52D2" w14:paraId="12214D72" w14:textId="77777777" w:rsidTr="008930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hideMark/>
          </w:tcPr>
          <w:p w14:paraId="4FB5D971" w14:textId="77777777" w:rsidR="005A52D2" w:rsidRDefault="005A52D2" w:rsidP="008930CA">
            <w:pPr>
              <w:jc w:val="both"/>
              <w:rPr>
                <w:rFonts w:ascii="Palatino Linotype" w:hAnsi="Palatino Linotype"/>
                <w:b w:val="0"/>
                <w:sz w:val="12"/>
                <w:szCs w:val="12"/>
              </w:rPr>
            </w:pPr>
            <w:r>
              <w:rPr>
                <w:rFonts w:ascii="Palatino Linotype" w:hAnsi="Palatino Linotype"/>
                <w:b w:val="0"/>
                <w:sz w:val="12"/>
                <w:szCs w:val="12"/>
              </w:rPr>
              <w:t>Fecha de desclasificación</w:t>
            </w:r>
          </w:p>
        </w:tc>
        <w:tc>
          <w:tcPr>
            <w:tcW w:w="3119" w:type="dxa"/>
            <w:hideMark/>
          </w:tcPr>
          <w:p w14:paraId="0E63A862" w14:textId="77777777" w:rsidR="005A52D2" w:rsidRDefault="005A52D2" w:rsidP="008930CA">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Pr>
                <w:rFonts w:ascii="Palatino Linotype" w:hAnsi="Palatino Linotype"/>
                <w:sz w:val="12"/>
                <w:szCs w:val="12"/>
              </w:rPr>
              <w:t>Se anotará la fecha en que se desclasifica el documento.</w:t>
            </w:r>
          </w:p>
        </w:tc>
        <w:tc>
          <w:tcPr>
            <w:tcW w:w="1129" w:type="dxa"/>
            <w:hideMark/>
          </w:tcPr>
          <w:p w14:paraId="203F7366" w14:textId="77777777" w:rsidR="005A52D2" w:rsidRDefault="005A52D2" w:rsidP="008930CA">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rPr>
            </w:pPr>
            <w:r>
              <w:rPr>
                <w:rFonts w:ascii="Palatino Linotype" w:hAnsi="Palatino Linotype"/>
                <w:b/>
                <w:sz w:val="12"/>
                <w:szCs w:val="12"/>
              </w:rPr>
              <w:t>Rúbrica del titular del área</w:t>
            </w:r>
          </w:p>
        </w:tc>
        <w:tc>
          <w:tcPr>
            <w:tcW w:w="3446" w:type="dxa"/>
            <w:hideMark/>
          </w:tcPr>
          <w:p w14:paraId="3D3AC195" w14:textId="77777777" w:rsidR="005A52D2" w:rsidRDefault="005A52D2" w:rsidP="008930CA">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Pr>
                <w:rFonts w:ascii="Palatino Linotype" w:hAnsi="Palatino Linotype"/>
                <w:sz w:val="12"/>
                <w:szCs w:val="12"/>
              </w:rPr>
              <w:t>Rúbrica autógrafa de quien clasifica.</w:t>
            </w:r>
          </w:p>
        </w:tc>
      </w:tr>
      <w:tr w:rsidR="005A52D2" w14:paraId="5AFB1C82" w14:textId="77777777" w:rsidTr="008930CA">
        <w:tc>
          <w:tcPr>
            <w:cnfStyle w:val="001000000000" w:firstRow="0" w:lastRow="0" w:firstColumn="1" w:lastColumn="0" w:oddVBand="0" w:evenVBand="0" w:oddHBand="0" w:evenHBand="0" w:firstRowFirstColumn="0" w:firstRowLastColumn="0" w:lastRowFirstColumn="0" w:lastRowLastColumn="0"/>
            <w:tcW w:w="1134" w:type="dxa"/>
            <w:hideMark/>
          </w:tcPr>
          <w:p w14:paraId="22A4B980" w14:textId="77777777" w:rsidR="005A52D2" w:rsidRDefault="005A52D2" w:rsidP="008930CA">
            <w:pPr>
              <w:jc w:val="both"/>
              <w:rPr>
                <w:rFonts w:ascii="Palatino Linotype" w:hAnsi="Palatino Linotype"/>
                <w:b w:val="0"/>
                <w:sz w:val="12"/>
                <w:szCs w:val="12"/>
              </w:rPr>
            </w:pPr>
            <w:r>
              <w:rPr>
                <w:rFonts w:ascii="Palatino Linotype" w:hAnsi="Palatino Linotype"/>
                <w:b w:val="0"/>
                <w:sz w:val="12"/>
                <w:szCs w:val="12"/>
              </w:rPr>
              <w:t>Rúbrica y cargo del servidor público</w:t>
            </w:r>
          </w:p>
        </w:tc>
        <w:tc>
          <w:tcPr>
            <w:tcW w:w="3119" w:type="dxa"/>
            <w:hideMark/>
          </w:tcPr>
          <w:p w14:paraId="246D27FD" w14:textId="77777777" w:rsidR="005A52D2" w:rsidRDefault="005A52D2" w:rsidP="008930CA">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Pr>
                <w:rFonts w:ascii="Palatino Linotype" w:hAnsi="Palatino Linotype"/>
                <w:sz w:val="12"/>
                <w:szCs w:val="12"/>
              </w:rPr>
              <w:t>Rúbrica autógrafa de quien desclasifica.</w:t>
            </w:r>
          </w:p>
        </w:tc>
        <w:tc>
          <w:tcPr>
            <w:tcW w:w="1129" w:type="dxa"/>
            <w:hideMark/>
          </w:tcPr>
          <w:p w14:paraId="0AA3C924" w14:textId="77777777" w:rsidR="005A52D2" w:rsidRDefault="005A52D2" w:rsidP="008930CA">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b/>
                <w:sz w:val="12"/>
                <w:szCs w:val="12"/>
              </w:rPr>
            </w:pPr>
            <w:r>
              <w:rPr>
                <w:rFonts w:ascii="Palatino Linotype" w:hAnsi="Palatino Linotype"/>
                <w:b/>
                <w:sz w:val="12"/>
                <w:szCs w:val="12"/>
              </w:rPr>
              <w:t>Fecha de desclasificación</w:t>
            </w:r>
          </w:p>
        </w:tc>
        <w:tc>
          <w:tcPr>
            <w:tcW w:w="3446" w:type="dxa"/>
            <w:hideMark/>
          </w:tcPr>
          <w:p w14:paraId="48680E58" w14:textId="77777777" w:rsidR="005A52D2" w:rsidRDefault="005A52D2" w:rsidP="008930CA">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Pr>
                <w:rFonts w:ascii="Palatino Linotype" w:hAnsi="Palatino Linotype"/>
                <w:sz w:val="12"/>
                <w:szCs w:val="12"/>
              </w:rPr>
              <w:t>Se anotará la fecha en que se desclasifica.</w:t>
            </w:r>
          </w:p>
        </w:tc>
      </w:tr>
      <w:tr w:rsidR="005A52D2" w14:paraId="2D9C3585" w14:textId="77777777" w:rsidTr="008930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14:paraId="6E819F8F" w14:textId="77777777" w:rsidR="005A52D2" w:rsidRDefault="005A52D2" w:rsidP="008930CA">
            <w:pPr>
              <w:jc w:val="both"/>
              <w:rPr>
                <w:rFonts w:ascii="Palatino Linotype" w:hAnsi="Palatino Linotype"/>
                <w:sz w:val="12"/>
                <w:szCs w:val="12"/>
              </w:rPr>
            </w:pPr>
          </w:p>
        </w:tc>
        <w:tc>
          <w:tcPr>
            <w:tcW w:w="3119" w:type="dxa"/>
          </w:tcPr>
          <w:p w14:paraId="7DD32635" w14:textId="77777777" w:rsidR="005A52D2" w:rsidRDefault="005A52D2" w:rsidP="008930CA">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p>
        </w:tc>
        <w:tc>
          <w:tcPr>
            <w:tcW w:w="1129" w:type="dxa"/>
            <w:hideMark/>
          </w:tcPr>
          <w:p w14:paraId="286DC9CC" w14:textId="77777777" w:rsidR="005A52D2" w:rsidRDefault="005A52D2" w:rsidP="008930CA">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rPr>
            </w:pPr>
            <w:r>
              <w:rPr>
                <w:rFonts w:ascii="Palatino Linotype" w:hAnsi="Palatino Linotype"/>
                <w:b/>
                <w:sz w:val="12"/>
                <w:szCs w:val="12"/>
              </w:rPr>
              <w:t>Partes o secciones reservadas o confidenciales</w:t>
            </w:r>
          </w:p>
        </w:tc>
        <w:tc>
          <w:tcPr>
            <w:tcW w:w="3446" w:type="dxa"/>
            <w:hideMark/>
          </w:tcPr>
          <w:p w14:paraId="16E36B68" w14:textId="77777777" w:rsidR="005A52D2" w:rsidRDefault="005A52D2" w:rsidP="008930CA">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Pr>
                <w:rFonts w:ascii="Palatino Linotype" w:hAnsi="Palatino Linotype"/>
                <w:sz w:val="12"/>
                <w:szCs w:val="12"/>
              </w:rPr>
              <w:t>En caso que una vez desclasificado el expediente, subsistanpartes o secciones del mismo reservadas o confidenciales, se señalará este hecho.</w:t>
            </w:r>
          </w:p>
        </w:tc>
      </w:tr>
      <w:tr w:rsidR="005A52D2" w14:paraId="720E0002" w14:textId="77777777" w:rsidTr="008930CA">
        <w:tc>
          <w:tcPr>
            <w:cnfStyle w:val="001000000000" w:firstRow="0" w:lastRow="0" w:firstColumn="1" w:lastColumn="0" w:oddVBand="0" w:evenVBand="0" w:oddHBand="0" w:evenHBand="0" w:firstRowFirstColumn="0" w:firstRowLastColumn="0" w:lastRowFirstColumn="0" w:lastRowLastColumn="0"/>
            <w:tcW w:w="1134" w:type="dxa"/>
          </w:tcPr>
          <w:p w14:paraId="5CBE06C2" w14:textId="77777777" w:rsidR="005A52D2" w:rsidRDefault="005A52D2" w:rsidP="008930CA">
            <w:pPr>
              <w:jc w:val="both"/>
              <w:rPr>
                <w:rFonts w:ascii="Palatino Linotype" w:hAnsi="Palatino Linotype"/>
                <w:sz w:val="12"/>
                <w:szCs w:val="12"/>
              </w:rPr>
            </w:pPr>
          </w:p>
        </w:tc>
        <w:tc>
          <w:tcPr>
            <w:tcW w:w="3119" w:type="dxa"/>
          </w:tcPr>
          <w:p w14:paraId="01161958" w14:textId="77777777" w:rsidR="005A52D2" w:rsidRDefault="005A52D2" w:rsidP="008930CA">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p>
        </w:tc>
        <w:tc>
          <w:tcPr>
            <w:tcW w:w="1129" w:type="dxa"/>
            <w:hideMark/>
          </w:tcPr>
          <w:p w14:paraId="47D708C7" w14:textId="77777777" w:rsidR="005A52D2" w:rsidRDefault="005A52D2" w:rsidP="008930CA">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b/>
                <w:sz w:val="12"/>
                <w:szCs w:val="12"/>
              </w:rPr>
            </w:pPr>
            <w:r>
              <w:rPr>
                <w:rFonts w:ascii="Palatino Linotype" w:hAnsi="Palatino Linotype"/>
                <w:b/>
                <w:sz w:val="12"/>
                <w:szCs w:val="12"/>
              </w:rPr>
              <w:t>Rúbrica y cargo del servidor público</w:t>
            </w:r>
          </w:p>
        </w:tc>
        <w:tc>
          <w:tcPr>
            <w:tcW w:w="3446" w:type="dxa"/>
            <w:hideMark/>
          </w:tcPr>
          <w:p w14:paraId="1F78A2E5" w14:textId="77777777" w:rsidR="005A52D2" w:rsidRDefault="005A52D2" w:rsidP="008930CA">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Pr>
                <w:rFonts w:ascii="Palatino Linotype" w:hAnsi="Palatino Linotype"/>
                <w:sz w:val="12"/>
                <w:szCs w:val="12"/>
              </w:rPr>
              <w:t>Rúbrica autógrafa de quien desclasifica.</w:t>
            </w:r>
          </w:p>
        </w:tc>
      </w:tr>
    </w:tbl>
    <w:p w14:paraId="4EF1FC32" w14:textId="7764F25C" w:rsidR="00ED1889" w:rsidRPr="001E538E" w:rsidRDefault="00ED1889" w:rsidP="00ED1889">
      <w:pPr>
        <w:autoSpaceDE w:val="0"/>
        <w:autoSpaceDN w:val="0"/>
        <w:adjustRightInd w:val="0"/>
        <w:spacing w:before="240" w:after="240" w:line="360" w:lineRule="auto"/>
        <w:jc w:val="both"/>
        <w:rPr>
          <w:rFonts w:ascii="Palatino Linotype" w:hAnsi="Palatino Linotype" w:cs="Arial"/>
        </w:rPr>
      </w:pPr>
      <w:r w:rsidRPr="001E538E">
        <w:rPr>
          <w:rFonts w:ascii="Palatino Linotype" w:hAnsi="Palatino Linotype" w:cs="Arial"/>
        </w:rPr>
        <w:t>Así, con fundamento en lo prescrito en los artículos 5 párrafos</w:t>
      </w:r>
      <w:r w:rsidR="00EB74A3" w:rsidRPr="00EB74A3">
        <w:rPr>
          <w:rFonts w:ascii="Palatino Linotype" w:hAnsi="Palatino Linotype" w:cs="Arial"/>
        </w:rPr>
        <w:t xml:space="preserve"> </w:t>
      </w:r>
      <w:r w:rsidR="00D66B1E">
        <w:rPr>
          <w:rFonts w:ascii="Palatino Linotype" w:hAnsi="Palatino Linotype" w:cs="Arial"/>
        </w:rPr>
        <w:t>vigésimo segundo, vigésimo tercero y vigésimo cuart</w:t>
      </w:r>
      <w:r w:rsidR="00D66B1E" w:rsidRPr="00A57CCB">
        <w:rPr>
          <w:rFonts w:ascii="Palatino Linotype" w:hAnsi="Palatino Linotype" w:cs="Arial"/>
        </w:rPr>
        <w:t>o</w:t>
      </w:r>
      <w:r w:rsidR="00EB74A3">
        <w:rPr>
          <w:rFonts w:ascii="Palatino Linotype" w:hAnsi="Palatino Linotype" w:cs="Arial"/>
        </w:rPr>
        <w:t>, fracciones IV y V</w:t>
      </w:r>
      <w:r w:rsidRPr="001E538E">
        <w:rPr>
          <w:rFonts w:ascii="Palatino Linotype" w:hAnsi="Palatino Linotype" w:cs="Arial"/>
        </w:rPr>
        <w:t xml:space="preserve"> de la Constitución Política del Estado Libre y Soberano de México; 2, fracción II; 29, 36 fracciones I y II; 176, 178, 181, 185 de la Ley de Transparencia y Acceso a la Información Pública del Estado de México y Municipios, este Pleno:</w:t>
      </w:r>
    </w:p>
    <w:p w14:paraId="3464E19B" w14:textId="77777777" w:rsidR="00ED1889" w:rsidRPr="001E538E" w:rsidRDefault="00ED1889" w:rsidP="00DF30D4">
      <w:pPr>
        <w:pStyle w:val="Prrafodelista"/>
        <w:numPr>
          <w:ilvl w:val="0"/>
          <w:numId w:val="1"/>
        </w:numPr>
        <w:spacing w:before="240" w:after="240" w:line="360" w:lineRule="auto"/>
        <w:jc w:val="center"/>
        <w:rPr>
          <w:rFonts w:ascii="Palatino Linotype" w:hAnsi="Palatino Linotype" w:cs="Arial"/>
          <w:b/>
        </w:rPr>
      </w:pPr>
      <w:r w:rsidRPr="001E538E">
        <w:rPr>
          <w:rFonts w:ascii="Palatino Linotype" w:hAnsi="Palatino Linotype" w:cs="Arial"/>
          <w:b/>
        </w:rPr>
        <w:t>R E S U E L V E:</w:t>
      </w:r>
    </w:p>
    <w:p w14:paraId="1D2FD02D" w14:textId="12DD4C24" w:rsidR="00ED1889" w:rsidRPr="001E538E" w:rsidRDefault="00ED1889" w:rsidP="00ED1889">
      <w:pPr>
        <w:spacing w:before="240" w:after="240" w:line="360" w:lineRule="auto"/>
        <w:jc w:val="both"/>
        <w:rPr>
          <w:rFonts w:ascii="Palatino Linotype" w:hAnsi="Palatino Linotype" w:cs="Arial"/>
        </w:rPr>
      </w:pPr>
      <w:r w:rsidRPr="001E538E">
        <w:rPr>
          <w:rFonts w:ascii="Palatino Linotype" w:hAnsi="Palatino Linotype" w:cs="Arial"/>
          <w:b/>
        </w:rPr>
        <w:t xml:space="preserve">Primero. </w:t>
      </w:r>
      <w:r w:rsidRPr="001E538E">
        <w:rPr>
          <w:rFonts w:ascii="Palatino Linotype" w:hAnsi="Palatino Linotype" w:cs="Arial"/>
        </w:rPr>
        <w:t xml:space="preserve">Son </w:t>
      </w:r>
      <w:r w:rsidRPr="00C54205">
        <w:rPr>
          <w:rFonts w:ascii="Palatino Linotype" w:hAnsi="Palatino Linotype" w:cs="Arial"/>
          <w:b/>
        </w:rPr>
        <w:t>fundadas</w:t>
      </w:r>
      <w:r w:rsidRPr="001E538E">
        <w:rPr>
          <w:rFonts w:ascii="Palatino Linotype" w:hAnsi="Palatino Linotype" w:cs="Arial"/>
        </w:rPr>
        <w:t xml:space="preserve"> </w:t>
      </w:r>
      <w:r w:rsidRPr="001E538E">
        <w:rPr>
          <w:rFonts w:ascii="Palatino Linotype" w:eastAsia="Arial Unicode MS" w:hAnsi="Palatino Linotype" w:cs="Arial"/>
        </w:rPr>
        <w:t>las razones o motivos de inconfo</w:t>
      </w:r>
      <w:r w:rsidR="00190510">
        <w:rPr>
          <w:rFonts w:ascii="Palatino Linotype" w:eastAsia="Arial Unicode MS" w:hAnsi="Palatino Linotype" w:cs="Arial"/>
        </w:rPr>
        <w:t xml:space="preserve">rmidad hechos valer por la </w:t>
      </w:r>
      <w:r w:rsidRPr="001E538E">
        <w:rPr>
          <w:rFonts w:ascii="Palatino Linotype" w:eastAsia="Arial Unicode MS" w:hAnsi="Palatino Linotype" w:cs="Arial"/>
        </w:rPr>
        <w:t xml:space="preserve"> Recurrente en </w:t>
      </w:r>
      <w:r w:rsidR="00012D74">
        <w:rPr>
          <w:rFonts w:ascii="Palatino Linotype" w:eastAsia="Arial Unicode MS" w:hAnsi="Palatino Linotype" w:cs="Arial"/>
        </w:rPr>
        <w:t>el</w:t>
      </w:r>
      <w:r w:rsidR="00F139A1" w:rsidRPr="001E538E">
        <w:rPr>
          <w:rFonts w:ascii="Palatino Linotype" w:eastAsia="Arial Unicode MS" w:hAnsi="Palatino Linotype" w:cs="Arial"/>
        </w:rPr>
        <w:t xml:space="preserve"> </w:t>
      </w:r>
      <w:r w:rsidRPr="001E538E">
        <w:rPr>
          <w:rFonts w:ascii="Palatino Linotype" w:eastAsia="Arial Unicode MS" w:hAnsi="Palatino Linotype" w:cs="Arial"/>
        </w:rPr>
        <w:t xml:space="preserve">recurso de </w:t>
      </w:r>
      <w:r w:rsidR="005422E3" w:rsidRPr="001E538E">
        <w:rPr>
          <w:rFonts w:ascii="Palatino Linotype" w:eastAsia="Arial Unicode MS" w:hAnsi="Palatino Linotype" w:cs="Arial"/>
        </w:rPr>
        <w:t>revisión</w:t>
      </w:r>
      <w:r w:rsidR="005422E3">
        <w:rPr>
          <w:rFonts w:ascii="Palatino Linotype" w:hAnsi="Palatino Linotype" w:cs="Arial"/>
          <w:b/>
        </w:rPr>
        <w:t xml:space="preserve"> </w:t>
      </w:r>
      <w:r w:rsidR="00AB503C">
        <w:rPr>
          <w:rFonts w:ascii="Palatino Linotype" w:hAnsi="Palatino Linotype"/>
          <w:b/>
          <w:sz w:val="22"/>
          <w:szCs w:val="22"/>
          <w:lang w:val="es-ES_tradnl"/>
        </w:rPr>
        <w:t>01734/INFOEM/IP/RR/2021,</w:t>
      </w:r>
      <w:r w:rsidR="005422E3" w:rsidRPr="005422E3">
        <w:rPr>
          <w:rFonts w:ascii="Palatino Linotype" w:hAnsi="Palatino Linotype"/>
          <w:b/>
          <w:szCs w:val="22"/>
          <w:lang w:val="es-ES_tradnl"/>
        </w:rPr>
        <w:t xml:space="preserve"> </w:t>
      </w:r>
      <w:r w:rsidRPr="001E538E">
        <w:rPr>
          <w:rFonts w:ascii="Palatino Linotype" w:hAnsi="Palatino Linotype" w:cs="Arial"/>
        </w:rPr>
        <w:t xml:space="preserve">por ende, en </w:t>
      </w:r>
      <w:r w:rsidRPr="001E538E">
        <w:rPr>
          <w:rFonts w:ascii="Palatino Linotype" w:hAnsi="Palatino Linotype" w:cs="Arial"/>
        </w:rPr>
        <w:lastRenderedPageBreak/>
        <w:t xml:space="preserve">términos de los argumentos de derecho señalados en el considerando </w:t>
      </w:r>
      <w:r w:rsidR="00607763" w:rsidRPr="002C1F21">
        <w:rPr>
          <w:rFonts w:ascii="Palatino Linotype" w:hAnsi="Palatino Linotype" w:cs="Arial"/>
          <w:b/>
        </w:rPr>
        <w:t>C</w:t>
      </w:r>
      <w:r w:rsidRPr="002C1F21">
        <w:rPr>
          <w:rFonts w:ascii="Palatino Linotype" w:hAnsi="Palatino Linotype" w:cs="Arial"/>
          <w:b/>
        </w:rPr>
        <w:t>uarto</w:t>
      </w:r>
      <w:r w:rsidRPr="001E538E">
        <w:rPr>
          <w:rFonts w:ascii="Palatino Linotype" w:hAnsi="Palatino Linotype" w:cs="Arial"/>
        </w:rPr>
        <w:t>, se</w:t>
      </w:r>
      <w:r w:rsidRPr="001E538E">
        <w:rPr>
          <w:rFonts w:ascii="Palatino Linotype" w:hAnsi="Palatino Linotype" w:cs="Arial"/>
          <w:b/>
        </w:rPr>
        <w:t xml:space="preserve"> </w:t>
      </w:r>
      <w:r w:rsidR="00F06531">
        <w:rPr>
          <w:rFonts w:ascii="Palatino Linotype" w:hAnsi="Palatino Linotype" w:cs="Arial"/>
          <w:b/>
        </w:rPr>
        <w:t>REVOCA</w:t>
      </w:r>
      <w:r w:rsidRPr="001E538E">
        <w:rPr>
          <w:rFonts w:ascii="Palatino Linotype" w:hAnsi="Palatino Linotype" w:cs="Arial"/>
          <w:b/>
        </w:rPr>
        <w:t xml:space="preserve"> </w:t>
      </w:r>
      <w:r w:rsidRPr="001E538E">
        <w:rPr>
          <w:rFonts w:ascii="Palatino Linotype" w:hAnsi="Palatino Linotype" w:cs="Arial"/>
        </w:rPr>
        <w:t xml:space="preserve">la respuesta del </w:t>
      </w:r>
      <w:r w:rsidR="00607763">
        <w:rPr>
          <w:rFonts w:ascii="Palatino Linotype" w:hAnsi="Palatino Linotype" w:cs="Arial"/>
          <w:b/>
        </w:rPr>
        <w:t>S</w:t>
      </w:r>
      <w:r w:rsidRPr="001E538E">
        <w:rPr>
          <w:rFonts w:ascii="Palatino Linotype" w:hAnsi="Palatino Linotype" w:cs="Arial"/>
          <w:b/>
        </w:rPr>
        <w:t xml:space="preserve">ujeto </w:t>
      </w:r>
      <w:r w:rsidR="00607763">
        <w:rPr>
          <w:rFonts w:ascii="Palatino Linotype" w:hAnsi="Palatino Linotype" w:cs="Arial"/>
          <w:b/>
        </w:rPr>
        <w:t>O</w:t>
      </w:r>
      <w:r w:rsidRPr="001E538E">
        <w:rPr>
          <w:rFonts w:ascii="Palatino Linotype" w:hAnsi="Palatino Linotype" w:cs="Arial"/>
          <w:b/>
        </w:rPr>
        <w:t>bligado</w:t>
      </w:r>
      <w:r w:rsidRPr="001E538E">
        <w:rPr>
          <w:rFonts w:ascii="Palatino Linotype" w:hAnsi="Palatino Linotype" w:cs="Arial"/>
        </w:rPr>
        <w:t>.</w:t>
      </w:r>
    </w:p>
    <w:p w14:paraId="32F9707A" w14:textId="31D123A8" w:rsidR="00607763" w:rsidRDefault="00ED1889" w:rsidP="00ED1889">
      <w:pPr>
        <w:spacing w:before="240" w:after="240" w:line="360" w:lineRule="auto"/>
        <w:jc w:val="both"/>
        <w:rPr>
          <w:rFonts w:ascii="Palatino Linotype" w:hAnsi="Palatino Linotype" w:cs="Arial"/>
        </w:rPr>
      </w:pPr>
      <w:r w:rsidRPr="001E538E">
        <w:rPr>
          <w:rFonts w:ascii="Palatino Linotype" w:hAnsi="Palatino Linotype" w:cs="Arial"/>
          <w:b/>
        </w:rPr>
        <w:t xml:space="preserve">Segundo. </w:t>
      </w:r>
      <w:r w:rsidR="00607763" w:rsidRPr="00415D4C">
        <w:rPr>
          <w:rFonts w:ascii="Palatino Linotype" w:hAnsi="Palatino Linotype" w:cs="Arial"/>
        </w:rPr>
        <w:t>Se</w:t>
      </w:r>
      <w:r w:rsidR="00607763" w:rsidRPr="00415D4C">
        <w:rPr>
          <w:rFonts w:ascii="Palatino Linotype" w:hAnsi="Palatino Linotype" w:cs="Arial"/>
          <w:b/>
        </w:rPr>
        <w:t xml:space="preserve"> ORDENA </w:t>
      </w:r>
      <w:r w:rsidR="00607763" w:rsidRPr="00415D4C">
        <w:rPr>
          <w:rFonts w:ascii="Palatino Linotype" w:hAnsi="Palatino Linotype" w:cs="Arial"/>
        </w:rPr>
        <w:t xml:space="preserve">al </w:t>
      </w:r>
      <w:r w:rsidR="00607763" w:rsidRPr="00415D4C">
        <w:rPr>
          <w:rFonts w:ascii="Palatino Linotype" w:hAnsi="Palatino Linotype" w:cs="Arial"/>
          <w:b/>
        </w:rPr>
        <w:t>Ayuntamiento de</w:t>
      </w:r>
      <w:r w:rsidR="00AB503C">
        <w:rPr>
          <w:rFonts w:ascii="Palatino Linotype" w:hAnsi="Palatino Linotype" w:cs="Arial"/>
          <w:b/>
        </w:rPr>
        <w:t xml:space="preserve"> Cuautitlán</w:t>
      </w:r>
      <w:r w:rsidR="00607763" w:rsidRPr="00415D4C">
        <w:rPr>
          <w:rFonts w:ascii="Palatino Linotype" w:hAnsi="Palatino Linotype" w:cs="Arial"/>
          <w:b/>
        </w:rPr>
        <w:t xml:space="preserve">, </w:t>
      </w:r>
      <w:r w:rsidR="00607763">
        <w:rPr>
          <w:rFonts w:ascii="Palatino Linotype" w:hAnsi="Palatino Linotype" w:cs="Arial"/>
        </w:rPr>
        <w:t xml:space="preserve">Sujeto Obligado, que </w:t>
      </w:r>
      <w:r w:rsidR="00607763" w:rsidRPr="00415D4C">
        <w:rPr>
          <w:rFonts w:ascii="Palatino Linotype" w:hAnsi="Palatino Linotype" w:cs="Arial"/>
        </w:rPr>
        <w:t>haga entrega</w:t>
      </w:r>
      <w:r w:rsidR="00607763">
        <w:rPr>
          <w:rFonts w:ascii="Palatino Linotype" w:hAnsi="Palatino Linotype" w:cs="Arial"/>
        </w:rPr>
        <w:t xml:space="preserve"> vía</w:t>
      </w:r>
      <w:r w:rsidR="002C1F21">
        <w:rPr>
          <w:rFonts w:ascii="Palatino Linotype" w:hAnsi="Palatino Linotype" w:cs="Arial"/>
        </w:rPr>
        <w:t xml:space="preserve"> </w:t>
      </w:r>
      <w:r w:rsidR="002C1F21" w:rsidRPr="002C1F21">
        <w:rPr>
          <w:rFonts w:ascii="Palatino Linotype" w:hAnsi="Palatino Linotype" w:cs="Arial"/>
          <w:b/>
        </w:rPr>
        <w:t>SAIMEX</w:t>
      </w:r>
      <w:r w:rsidR="00607763">
        <w:rPr>
          <w:rFonts w:ascii="Palatino Linotype" w:hAnsi="Palatino Linotype" w:cs="Arial"/>
        </w:rPr>
        <w:t xml:space="preserve">, </w:t>
      </w:r>
      <w:r w:rsidR="00090450" w:rsidRPr="00090450">
        <w:rPr>
          <w:rFonts w:ascii="Palatino Linotype" w:hAnsi="Palatino Linotype" w:cs="Arial"/>
          <w:b/>
        </w:rPr>
        <w:t>previa búsqueda exhaustiva y razonable</w:t>
      </w:r>
      <w:r w:rsidR="00090450">
        <w:rPr>
          <w:rFonts w:ascii="Palatino Linotype" w:hAnsi="Palatino Linotype" w:cs="Arial"/>
        </w:rPr>
        <w:t xml:space="preserve">, </w:t>
      </w:r>
      <w:r w:rsidR="00607763" w:rsidRPr="00090450">
        <w:rPr>
          <w:rFonts w:ascii="Palatino Linotype" w:hAnsi="Palatino Linotype" w:cs="Arial"/>
          <w:b/>
        </w:rPr>
        <w:t>en versión pública de resultar procedente</w:t>
      </w:r>
      <w:r w:rsidR="00607763">
        <w:rPr>
          <w:rFonts w:ascii="Palatino Linotype" w:hAnsi="Palatino Linotype" w:cs="Arial"/>
        </w:rPr>
        <w:t>,</w:t>
      </w:r>
      <w:r w:rsidR="00607763" w:rsidRPr="00415D4C">
        <w:rPr>
          <w:rFonts w:ascii="Palatino Linotype" w:hAnsi="Palatino Linotype" w:cs="Arial"/>
        </w:rPr>
        <w:t xml:space="preserve"> en términos de</w:t>
      </w:r>
      <w:r w:rsidR="00607763">
        <w:rPr>
          <w:rFonts w:ascii="Palatino Linotype" w:hAnsi="Palatino Linotype" w:cs="Arial"/>
        </w:rPr>
        <w:t xml:space="preserve"> </w:t>
      </w:r>
      <w:r w:rsidR="00607763" w:rsidRPr="00415D4C">
        <w:rPr>
          <w:rFonts w:ascii="Palatino Linotype" w:hAnsi="Palatino Linotype" w:cs="Arial"/>
        </w:rPr>
        <w:t>l</w:t>
      </w:r>
      <w:r w:rsidR="00607763">
        <w:rPr>
          <w:rFonts w:ascii="Palatino Linotype" w:hAnsi="Palatino Linotype" w:cs="Arial"/>
        </w:rPr>
        <w:t>os</w:t>
      </w:r>
      <w:r w:rsidR="00607763" w:rsidRPr="00415D4C">
        <w:rPr>
          <w:rFonts w:ascii="Palatino Linotype" w:hAnsi="Palatino Linotype" w:cs="Arial"/>
        </w:rPr>
        <w:t xml:space="preserve"> Considerando</w:t>
      </w:r>
      <w:r w:rsidR="00607763">
        <w:rPr>
          <w:rFonts w:ascii="Palatino Linotype" w:hAnsi="Palatino Linotype" w:cs="Arial"/>
        </w:rPr>
        <w:t>s</w:t>
      </w:r>
      <w:r w:rsidR="00607763" w:rsidRPr="00415D4C">
        <w:rPr>
          <w:rFonts w:ascii="Palatino Linotype" w:hAnsi="Palatino Linotype" w:cs="Arial"/>
        </w:rPr>
        <w:t xml:space="preserve"> </w:t>
      </w:r>
      <w:r w:rsidR="002C1F21">
        <w:rPr>
          <w:rFonts w:ascii="Palatino Linotype" w:hAnsi="Palatino Linotype" w:cs="Arial"/>
          <w:b/>
        </w:rPr>
        <w:t>Cuarto y</w:t>
      </w:r>
      <w:r w:rsidR="002C1F21" w:rsidRPr="002C1F21">
        <w:rPr>
          <w:rFonts w:ascii="Palatino Linotype" w:hAnsi="Palatino Linotype" w:cs="Arial"/>
          <w:b/>
        </w:rPr>
        <w:t xml:space="preserve"> Quinto</w:t>
      </w:r>
      <w:r w:rsidR="002C1F21" w:rsidRPr="00415D4C">
        <w:rPr>
          <w:rFonts w:ascii="Palatino Linotype" w:hAnsi="Palatino Linotype" w:cs="Arial"/>
        </w:rPr>
        <w:t xml:space="preserve"> </w:t>
      </w:r>
      <w:r w:rsidR="00607763" w:rsidRPr="00415D4C">
        <w:rPr>
          <w:rFonts w:ascii="Palatino Linotype" w:hAnsi="Palatino Linotype" w:cs="Arial"/>
        </w:rPr>
        <w:t>de esta resolución, lo siguiente:</w:t>
      </w:r>
    </w:p>
    <w:p w14:paraId="6BCE6425" w14:textId="5A062707" w:rsidR="004533CA" w:rsidRPr="006433B3" w:rsidRDefault="00090450" w:rsidP="006433B3">
      <w:pPr>
        <w:pStyle w:val="Prrafodelista"/>
        <w:numPr>
          <w:ilvl w:val="0"/>
          <w:numId w:val="18"/>
        </w:numPr>
        <w:spacing w:before="240" w:after="240"/>
        <w:ind w:left="714" w:right="900" w:hanging="357"/>
        <w:jc w:val="both"/>
        <w:rPr>
          <w:rFonts w:ascii="Palatino Linotype" w:hAnsi="Palatino Linotype" w:cs="Arial"/>
          <w:i/>
        </w:rPr>
      </w:pPr>
      <w:r w:rsidRPr="00090450">
        <w:rPr>
          <w:rFonts w:ascii="Palatino Linotype" w:hAnsi="Palatino Linotype" w:cs="Arial"/>
          <w:i/>
          <w:lang w:val="es-MX"/>
        </w:rPr>
        <w:t>L</w:t>
      </w:r>
      <w:r w:rsidR="00D016BB" w:rsidRPr="00090450">
        <w:rPr>
          <w:rFonts w:ascii="Palatino Linotype" w:hAnsi="Palatino Linotype" w:cs="Arial"/>
          <w:i/>
          <w:lang w:val="es-MX"/>
        </w:rPr>
        <w:t>os soportes documentales remitidos por el Director de Seguridad</w:t>
      </w:r>
      <w:r w:rsidR="009165AB">
        <w:rPr>
          <w:rFonts w:ascii="Palatino Linotype" w:hAnsi="Palatino Linotype" w:cs="Arial"/>
          <w:i/>
          <w:lang w:val="es-MX"/>
        </w:rPr>
        <w:t xml:space="preserve"> Pública, Tránsito y Vialidad en términos del artículo 22 Bis de la Ley de Seguridad del Estado de México para su nombramiento</w:t>
      </w:r>
      <w:r w:rsidR="00D016BB" w:rsidRPr="00090450">
        <w:rPr>
          <w:rFonts w:ascii="Palatino Linotype" w:hAnsi="Palatino Linotype" w:cs="Arial"/>
          <w:i/>
          <w:lang w:val="es-MX"/>
        </w:rPr>
        <w:t>, así como los documentos en donde obren sus facultades</w:t>
      </w:r>
      <w:r>
        <w:rPr>
          <w:rFonts w:ascii="Palatino Linotype" w:hAnsi="Palatino Linotype" w:cs="Arial"/>
          <w:i/>
          <w:lang w:val="es-MX"/>
        </w:rPr>
        <w:t>.</w:t>
      </w:r>
    </w:p>
    <w:p w14:paraId="3397C686" w14:textId="6128711A" w:rsidR="004533CA" w:rsidRPr="006433B3" w:rsidRDefault="000931F8" w:rsidP="006433B3">
      <w:pPr>
        <w:pStyle w:val="Prrafodelista"/>
        <w:numPr>
          <w:ilvl w:val="0"/>
          <w:numId w:val="18"/>
        </w:numPr>
        <w:spacing w:before="240" w:after="240"/>
        <w:ind w:left="714" w:right="900" w:hanging="357"/>
        <w:jc w:val="both"/>
        <w:rPr>
          <w:rFonts w:ascii="Palatino Linotype" w:hAnsi="Palatino Linotype" w:cs="Arial"/>
          <w:i/>
        </w:rPr>
      </w:pPr>
      <w:r>
        <w:rPr>
          <w:rFonts w:ascii="Palatino Linotype" w:hAnsi="Palatino Linotype" w:cs="Arial"/>
          <w:bCs/>
          <w:i/>
          <w:lang w:val="es-MX"/>
        </w:rPr>
        <w:t>R</w:t>
      </w:r>
      <w:r w:rsidRPr="000931F8">
        <w:rPr>
          <w:rFonts w:ascii="Palatino Linotype" w:hAnsi="Palatino Linotype" w:cs="Arial"/>
          <w:bCs/>
          <w:i/>
          <w:lang w:val="es-MX"/>
        </w:rPr>
        <w:t xml:space="preserve">eportes </w:t>
      </w:r>
      <w:r>
        <w:rPr>
          <w:rFonts w:ascii="Palatino Linotype" w:hAnsi="Palatino Linotype" w:cs="Arial"/>
          <w:bCs/>
          <w:i/>
          <w:lang w:val="es-MX"/>
        </w:rPr>
        <w:t xml:space="preserve">generados por la baja de los elementos policiales, del 4 de marzo de </w:t>
      </w:r>
      <w:r w:rsidR="005969D6">
        <w:rPr>
          <w:rFonts w:ascii="Palatino Linotype" w:hAnsi="Palatino Linotype" w:cs="Arial"/>
          <w:bCs/>
          <w:i/>
          <w:lang w:val="es-MX"/>
        </w:rPr>
        <w:t>2020 al 4 de marzo de 2021.</w:t>
      </w:r>
    </w:p>
    <w:p w14:paraId="72D3DFCC" w14:textId="665B011F" w:rsidR="004533CA" w:rsidRPr="006433B3" w:rsidRDefault="005969D6" w:rsidP="006433B3">
      <w:pPr>
        <w:pStyle w:val="Prrafodelista"/>
        <w:numPr>
          <w:ilvl w:val="0"/>
          <w:numId w:val="18"/>
        </w:numPr>
        <w:ind w:right="900"/>
        <w:jc w:val="both"/>
        <w:rPr>
          <w:rFonts w:ascii="Palatino Linotype" w:hAnsi="Palatino Linotype" w:cs="Arial"/>
          <w:i/>
        </w:rPr>
      </w:pPr>
      <w:r w:rsidRPr="005969D6">
        <w:rPr>
          <w:rFonts w:ascii="Palatino Linotype" w:hAnsi="Palatino Linotype" w:cs="Arial"/>
          <w:i/>
        </w:rPr>
        <w:t>Soporte documental de los expedientes o procedimientos que hayan quedado firmes, con motivo de sanciones graves y/o quejas en contra de los elementos policiacos municipales</w:t>
      </w:r>
      <w:r>
        <w:rPr>
          <w:rFonts w:ascii="Palatino Linotype" w:hAnsi="Palatino Linotype" w:cs="Arial"/>
          <w:i/>
        </w:rPr>
        <w:t xml:space="preserve">, </w:t>
      </w:r>
      <w:r w:rsidRPr="005969D6">
        <w:rPr>
          <w:rFonts w:ascii="Palatino Linotype" w:hAnsi="Palatino Linotype" w:cs="Arial"/>
          <w:i/>
        </w:rPr>
        <w:t>del 4 de marzo de 2020 al 4 de marzo de 2021.</w:t>
      </w:r>
    </w:p>
    <w:p w14:paraId="5A500550" w14:textId="4C46ED7C" w:rsidR="001158D5" w:rsidRPr="004533CA" w:rsidRDefault="001158D5" w:rsidP="004533CA">
      <w:pPr>
        <w:pStyle w:val="Prrafodelista"/>
        <w:numPr>
          <w:ilvl w:val="0"/>
          <w:numId w:val="18"/>
        </w:numPr>
        <w:ind w:right="900"/>
        <w:rPr>
          <w:rFonts w:ascii="Palatino Linotype" w:hAnsi="Palatino Linotype" w:cs="Arial"/>
          <w:i/>
        </w:rPr>
      </w:pPr>
      <w:r w:rsidRPr="004533CA">
        <w:rPr>
          <w:rFonts w:ascii="Palatino Linotype" w:hAnsi="Palatino Linotype" w:cs="Arial"/>
          <w:i/>
        </w:rPr>
        <w:t xml:space="preserve">Listado </w:t>
      </w:r>
      <w:r w:rsidR="004533CA" w:rsidRPr="004533CA">
        <w:rPr>
          <w:rFonts w:ascii="Palatino Linotype" w:hAnsi="Palatino Linotype" w:cs="Arial"/>
          <w:i/>
        </w:rPr>
        <w:t>con el número</w:t>
      </w:r>
      <w:r w:rsidRPr="004533CA">
        <w:rPr>
          <w:rFonts w:ascii="Palatino Linotype" w:hAnsi="Palatino Linotype" w:cs="Arial"/>
          <w:i/>
        </w:rPr>
        <w:t xml:space="preserve"> </w:t>
      </w:r>
      <w:r w:rsidR="006433B3">
        <w:rPr>
          <w:rFonts w:ascii="Palatino Linotype" w:hAnsi="Palatino Linotype" w:cs="Arial"/>
          <w:i/>
        </w:rPr>
        <w:t xml:space="preserve">y rango </w:t>
      </w:r>
      <w:r w:rsidRPr="004533CA">
        <w:rPr>
          <w:rFonts w:ascii="Palatino Linotype" w:hAnsi="Palatino Linotype" w:cs="Arial"/>
          <w:i/>
        </w:rPr>
        <w:t>de elementos pol</w:t>
      </w:r>
      <w:r w:rsidR="004533CA" w:rsidRPr="004533CA">
        <w:rPr>
          <w:rFonts w:ascii="Palatino Linotype" w:hAnsi="Palatino Linotype" w:cs="Arial"/>
          <w:i/>
        </w:rPr>
        <w:t xml:space="preserve">iciacos municipales que hayan sido objeto de </w:t>
      </w:r>
      <w:r w:rsidRPr="004533CA">
        <w:rPr>
          <w:rFonts w:ascii="Palatino Linotype" w:hAnsi="Palatino Linotype" w:cs="Arial"/>
          <w:i/>
        </w:rPr>
        <w:t>procedimientos, quejas o sanciones</w:t>
      </w:r>
      <w:r w:rsidR="004533CA" w:rsidRPr="004533CA">
        <w:rPr>
          <w:rFonts w:ascii="Palatino Linotype" w:hAnsi="Palatino Linotype" w:cs="Arial"/>
          <w:i/>
        </w:rPr>
        <w:t>, del 4 de marzo de 2020 al 4 de marzo de 2021.</w:t>
      </w:r>
    </w:p>
    <w:p w14:paraId="51FD004F" w14:textId="2A538485" w:rsidR="00607763" w:rsidRPr="006D0A2A" w:rsidRDefault="00607763" w:rsidP="00012D74">
      <w:pPr>
        <w:spacing w:before="240" w:after="240"/>
        <w:ind w:left="567" w:right="902"/>
        <w:jc w:val="both"/>
        <w:rPr>
          <w:rFonts w:ascii="Palatino Linotype" w:hAnsi="Palatino Linotype"/>
          <w:i/>
          <w:iCs/>
          <w:sz w:val="22"/>
        </w:rPr>
      </w:pPr>
      <w:r w:rsidRPr="006D0A2A">
        <w:rPr>
          <w:rFonts w:ascii="Palatino Linotype" w:hAnsi="Palatino Linotype"/>
          <w:i/>
          <w:iCs/>
          <w:sz w:val="22"/>
        </w:rPr>
        <w:t>De ser necesaria la versión pública, se deberá emitir el Acuerdo del Comité de Transparencia de acuerdo con la Ley de Transparencia y Acceso a la Información Pública del Estado de México y Municipios, en el que funde y motive las razones sobre los datos que se supriman o eliminen de los soportes documentales objeto de las versiones públicas que se formulen y se pongan a disposición de la parte recurrente, mismo que igualmente hará de su conocimiento.</w:t>
      </w:r>
    </w:p>
    <w:p w14:paraId="0F4F71ED" w14:textId="582DF342" w:rsidR="00090450" w:rsidRPr="00AC4A52" w:rsidRDefault="00090450" w:rsidP="00090450">
      <w:pPr>
        <w:autoSpaceDE w:val="0"/>
        <w:autoSpaceDN w:val="0"/>
        <w:adjustRightInd w:val="0"/>
        <w:spacing w:before="240" w:after="240"/>
        <w:ind w:left="567" w:right="902"/>
        <w:jc w:val="both"/>
        <w:rPr>
          <w:rFonts w:ascii="Palatino Linotype" w:hAnsi="Palatino Linotype" w:cs="Arial"/>
          <w:i/>
          <w:sz w:val="22"/>
          <w:szCs w:val="22"/>
          <w:lang w:eastAsia="en-US"/>
        </w:rPr>
      </w:pPr>
      <w:r w:rsidRPr="007D29DB">
        <w:rPr>
          <w:rFonts w:ascii="Palatino Linotype" w:hAnsi="Palatino Linotype" w:cs="Arial"/>
          <w:i/>
          <w:sz w:val="22"/>
          <w:szCs w:val="22"/>
          <w:lang w:eastAsia="en-US"/>
        </w:rPr>
        <w:t xml:space="preserve">Para el caso en el </w:t>
      </w:r>
      <w:r w:rsidR="005969D6">
        <w:rPr>
          <w:rFonts w:ascii="Palatino Linotype" w:hAnsi="Palatino Linotype" w:cs="Arial"/>
          <w:i/>
          <w:sz w:val="22"/>
          <w:szCs w:val="22"/>
          <w:lang w:eastAsia="en-US"/>
        </w:rPr>
        <w:t xml:space="preserve">que </w:t>
      </w:r>
      <w:r w:rsidR="005969D6" w:rsidRPr="005969D6">
        <w:rPr>
          <w:rFonts w:ascii="Palatino Linotype" w:eastAsia="Calibri" w:hAnsi="Palatino Linotype" w:cs="Arial"/>
          <w:i/>
          <w:sz w:val="23"/>
          <w:szCs w:val="23"/>
          <w:lang w:eastAsia="es-ES"/>
        </w:rPr>
        <w:t>la información que se ordena en el inciso</w:t>
      </w:r>
      <w:r w:rsidR="005969D6">
        <w:rPr>
          <w:rFonts w:ascii="Palatino Linotype" w:eastAsia="Calibri" w:hAnsi="Palatino Linotype" w:cs="Arial"/>
          <w:sz w:val="23"/>
          <w:szCs w:val="23"/>
          <w:lang w:eastAsia="es-ES"/>
        </w:rPr>
        <w:t xml:space="preserve"> </w:t>
      </w:r>
      <w:r w:rsidR="005969D6" w:rsidRPr="006D0A2A">
        <w:rPr>
          <w:rFonts w:ascii="Palatino Linotype" w:eastAsia="Calibri" w:hAnsi="Palatino Linotype" w:cs="Arial"/>
          <w:i/>
          <w:sz w:val="23"/>
          <w:szCs w:val="23"/>
          <w:lang w:eastAsia="es-ES"/>
        </w:rPr>
        <w:t>c)</w:t>
      </w:r>
      <w:r w:rsidR="006D0A2A">
        <w:rPr>
          <w:rFonts w:ascii="Palatino Linotype" w:eastAsia="Calibri" w:hAnsi="Palatino Linotype" w:cs="Arial"/>
          <w:i/>
          <w:sz w:val="23"/>
          <w:szCs w:val="23"/>
          <w:lang w:eastAsia="es-ES"/>
        </w:rPr>
        <w:t xml:space="preserve"> </w:t>
      </w:r>
      <w:r w:rsidR="006D0A2A">
        <w:rPr>
          <w:rFonts w:ascii="Palatino Linotype" w:hAnsi="Palatino Linotype" w:cs="Arial"/>
          <w:i/>
          <w:sz w:val="22"/>
          <w:szCs w:val="22"/>
          <w:lang w:eastAsia="en-US"/>
        </w:rPr>
        <w:t xml:space="preserve">aún no haya </w:t>
      </w:r>
      <w:r>
        <w:rPr>
          <w:rFonts w:ascii="Palatino Linotype" w:hAnsi="Palatino Linotype" w:cs="Arial"/>
          <w:i/>
          <w:sz w:val="22"/>
          <w:szCs w:val="22"/>
          <w:lang w:eastAsia="en-US"/>
        </w:rPr>
        <w:t>causado estado</w:t>
      </w:r>
      <w:r w:rsidRPr="007D29DB">
        <w:rPr>
          <w:rFonts w:ascii="Palatino Linotype" w:hAnsi="Palatino Linotype" w:cs="Arial"/>
          <w:i/>
          <w:sz w:val="22"/>
          <w:szCs w:val="22"/>
          <w:lang w:eastAsia="en-US"/>
        </w:rPr>
        <w:t xml:space="preserve">, </w:t>
      </w:r>
      <w:r w:rsidRPr="007D29DB">
        <w:rPr>
          <w:rFonts w:ascii="Palatino Linotype" w:hAnsi="Palatino Linotype"/>
          <w:i/>
          <w:sz w:val="22"/>
          <w:szCs w:val="22"/>
        </w:rPr>
        <w:t>deberá emitirse el Acuerdo de Clasificación</w:t>
      </w:r>
      <w:r>
        <w:rPr>
          <w:rFonts w:ascii="Palatino Linotype" w:hAnsi="Palatino Linotype"/>
          <w:i/>
          <w:sz w:val="22"/>
          <w:szCs w:val="22"/>
        </w:rPr>
        <w:t>, así como su respectiva prueba de daño en los</w:t>
      </w:r>
      <w:r w:rsidRPr="007D29DB">
        <w:rPr>
          <w:rFonts w:ascii="Palatino Linotype" w:hAnsi="Palatino Linotype"/>
          <w:i/>
          <w:sz w:val="22"/>
          <w:szCs w:val="22"/>
        </w:rPr>
        <w:t xml:space="preserve"> que se funden y motiven </w:t>
      </w:r>
      <w:r>
        <w:rPr>
          <w:rFonts w:ascii="Palatino Linotype" w:hAnsi="Palatino Linotype"/>
          <w:i/>
          <w:sz w:val="22"/>
          <w:szCs w:val="22"/>
        </w:rPr>
        <w:t>las razones de su reserva, mismos</w:t>
      </w:r>
      <w:r w:rsidRPr="007D29DB">
        <w:rPr>
          <w:rFonts w:ascii="Palatino Linotype" w:hAnsi="Palatino Linotype"/>
          <w:i/>
          <w:sz w:val="22"/>
          <w:szCs w:val="22"/>
        </w:rPr>
        <w:t xml:space="preserve"> que se hará</w:t>
      </w:r>
      <w:r>
        <w:rPr>
          <w:rFonts w:ascii="Palatino Linotype" w:hAnsi="Palatino Linotype"/>
          <w:i/>
          <w:sz w:val="22"/>
          <w:szCs w:val="22"/>
        </w:rPr>
        <w:t>n</w:t>
      </w:r>
      <w:r w:rsidRPr="007D29DB">
        <w:rPr>
          <w:rFonts w:ascii="Palatino Linotype" w:hAnsi="Palatino Linotype"/>
          <w:i/>
          <w:sz w:val="22"/>
          <w:szCs w:val="22"/>
        </w:rPr>
        <w:t xml:space="preserve"> del conocimiento </w:t>
      </w:r>
      <w:r w:rsidRPr="007D29DB">
        <w:rPr>
          <w:rFonts w:ascii="Palatino Linotype" w:hAnsi="Palatino Linotype"/>
          <w:b/>
          <w:i/>
          <w:sz w:val="22"/>
          <w:szCs w:val="22"/>
        </w:rPr>
        <w:t>del Recurrente</w:t>
      </w:r>
      <w:r w:rsidRPr="007D29DB">
        <w:rPr>
          <w:rFonts w:ascii="Palatino Linotype" w:hAnsi="Palatino Linotype"/>
          <w:i/>
          <w:sz w:val="22"/>
          <w:szCs w:val="22"/>
        </w:rPr>
        <w:t>.</w:t>
      </w:r>
    </w:p>
    <w:p w14:paraId="6FA81CE9" w14:textId="7860EC34" w:rsidR="00681225" w:rsidRPr="00C471AF" w:rsidRDefault="00B11C43" w:rsidP="00681225">
      <w:pPr>
        <w:spacing w:after="240" w:line="360" w:lineRule="auto"/>
        <w:jc w:val="both"/>
        <w:rPr>
          <w:rFonts w:ascii="Palatino Linotype" w:hAnsi="Palatino Linotype"/>
          <w:shd w:val="clear" w:color="auto" w:fill="FFFFFF"/>
        </w:rPr>
      </w:pPr>
      <w:r>
        <w:rPr>
          <w:rFonts w:ascii="Palatino Linotype" w:hAnsi="Palatino Linotype" w:cs="Arial"/>
          <w:b/>
          <w:bCs/>
          <w:shd w:val="clear" w:color="auto" w:fill="FFFFFF"/>
        </w:rPr>
        <w:t>Tercero. Notifíque</w:t>
      </w:r>
      <w:r w:rsidRPr="00C471AF">
        <w:rPr>
          <w:rFonts w:ascii="Palatino Linotype" w:hAnsi="Palatino Linotype" w:cs="Arial"/>
          <w:b/>
          <w:bCs/>
          <w:shd w:val="clear" w:color="auto" w:fill="FFFFFF"/>
        </w:rPr>
        <w:t>se</w:t>
      </w:r>
      <w:r w:rsidR="00681225" w:rsidRPr="00C471AF">
        <w:rPr>
          <w:rFonts w:ascii="Palatino Linotype" w:hAnsi="Palatino Linotype"/>
          <w:shd w:val="clear" w:color="auto" w:fill="FFFFFF"/>
        </w:rPr>
        <w:t xml:space="preserve"> al Responsable de la Unidad de Transparencia del</w:t>
      </w:r>
      <w:r w:rsidR="00681225" w:rsidRPr="00C471AF">
        <w:rPr>
          <w:rStyle w:val="apple-converted-space"/>
          <w:rFonts w:ascii="Palatino Linotype" w:hAnsi="Palatino Linotype"/>
          <w:bCs/>
          <w:shd w:val="clear" w:color="auto" w:fill="FFFFFF"/>
        </w:rPr>
        <w:t> </w:t>
      </w:r>
      <w:r w:rsidR="00681225" w:rsidRPr="00C471AF">
        <w:rPr>
          <w:rFonts w:ascii="Palatino Linotype" w:hAnsi="Palatino Linotype"/>
          <w:bCs/>
          <w:shd w:val="clear" w:color="auto" w:fill="FFFFFF"/>
        </w:rPr>
        <w:t xml:space="preserve">Sujeto Obligado </w:t>
      </w:r>
      <w:r w:rsidR="00681225" w:rsidRPr="00C471AF">
        <w:rPr>
          <w:rStyle w:val="apple-converted-space"/>
          <w:rFonts w:ascii="Palatino Linotype" w:hAnsi="Palatino Linotype" w:cs="Arial"/>
          <w:b/>
          <w:bCs/>
          <w:i/>
          <w:iCs/>
          <w:shd w:val="clear" w:color="auto" w:fill="FFFFFF"/>
        </w:rPr>
        <w:t> </w:t>
      </w:r>
      <w:r w:rsidR="00681225" w:rsidRPr="00C471AF">
        <w:rPr>
          <w:rStyle w:val="apple-converted-space"/>
          <w:rFonts w:ascii="Palatino Linotype" w:hAnsi="Palatino Linotype" w:cs="Arial"/>
          <w:bCs/>
          <w:iCs/>
          <w:shd w:val="clear" w:color="auto" w:fill="FFFFFF"/>
        </w:rPr>
        <w:t>la presente re</w:t>
      </w:r>
      <w:bookmarkStart w:id="1" w:name="_GoBack"/>
      <w:bookmarkEnd w:id="1"/>
      <w:r w:rsidR="00681225" w:rsidRPr="00C471AF">
        <w:rPr>
          <w:rStyle w:val="apple-converted-space"/>
          <w:rFonts w:ascii="Palatino Linotype" w:hAnsi="Palatino Linotype" w:cs="Arial"/>
          <w:bCs/>
          <w:iCs/>
          <w:shd w:val="clear" w:color="auto" w:fill="FFFFFF"/>
        </w:rPr>
        <w:t>solución</w:t>
      </w:r>
      <w:r w:rsidR="00681225" w:rsidRPr="00C471AF">
        <w:rPr>
          <w:rFonts w:ascii="Palatino Linotype" w:hAnsi="Palatino Linotype"/>
          <w:shd w:val="clear" w:color="auto" w:fill="FFFFFF"/>
        </w:rPr>
        <w:t xml:space="preserve">, para que conforme a los artículo 186, último </w:t>
      </w:r>
      <w:r w:rsidR="00681225" w:rsidRPr="00C471AF">
        <w:rPr>
          <w:rFonts w:ascii="Palatino Linotype" w:hAnsi="Palatino Linotype"/>
          <w:shd w:val="clear" w:color="auto" w:fill="FFFFFF"/>
        </w:rPr>
        <w:lastRenderedPageBreak/>
        <w:t xml:space="preserve">párrafo y 189, párrafo segundo de la Ley de Transparencia y Acceso a la Información Pública del Estado de México y Municipios dé cumplimiento a lo ordenado dentro </w:t>
      </w:r>
      <w:r w:rsidR="00681225" w:rsidRPr="002C1F21">
        <w:rPr>
          <w:rFonts w:ascii="Palatino Linotype" w:hAnsi="Palatino Linotype"/>
          <w:color w:val="0D0D0D" w:themeColor="text1" w:themeTint="F2"/>
          <w:shd w:val="clear" w:color="auto" w:fill="FFFFFF"/>
        </w:rPr>
        <w:t xml:space="preserve">del plazo de </w:t>
      </w:r>
      <w:r w:rsidR="00C621B1" w:rsidRPr="00C621B1">
        <w:rPr>
          <w:rFonts w:ascii="Palatino Linotype" w:hAnsi="Palatino Linotype"/>
          <w:color w:val="0D0D0D" w:themeColor="text1" w:themeTint="F2"/>
          <w:shd w:val="clear" w:color="auto" w:fill="FFFFFF"/>
        </w:rPr>
        <w:t>veinte</w:t>
      </w:r>
      <w:r w:rsidR="00681225" w:rsidRPr="00C621B1">
        <w:rPr>
          <w:rFonts w:ascii="Palatino Linotype" w:hAnsi="Palatino Linotype"/>
          <w:color w:val="0D0D0D" w:themeColor="text1" w:themeTint="F2"/>
          <w:shd w:val="clear" w:color="auto" w:fill="FFFFFF"/>
        </w:rPr>
        <w:t xml:space="preserve"> días hábiles,</w:t>
      </w:r>
      <w:r w:rsidR="00681225" w:rsidRPr="002C1F21">
        <w:rPr>
          <w:rFonts w:ascii="Palatino Linotype" w:hAnsi="Palatino Linotype"/>
          <w:color w:val="0D0D0D" w:themeColor="text1" w:themeTint="F2"/>
          <w:shd w:val="clear" w:color="auto" w:fill="FFFFFF"/>
        </w:rPr>
        <w:t xml:space="preserve"> </w:t>
      </w:r>
      <w:r w:rsidR="00681225" w:rsidRPr="00C471AF">
        <w:rPr>
          <w:rFonts w:ascii="Palatino Linotype" w:hAnsi="Palatino Linotype"/>
          <w:shd w:val="clear" w:color="auto" w:fill="FFFFFF"/>
        </w:rPr>
        <w:t>debiendo informar a este Instituto en un plazo de tres días hábiles siguientes sobre el cumplimiento dado a la misma.</w:t>
      </w:r>
    </w:p>
    <w:p w14:paraId="1F6A1BB8" w14:textId="67AE72DE" w:rsidR="00681225" w:rsidRPr="00C471AF" w:rsidRDefault="00C621B1" w:rsidP="00681225">
      <w:pPr>
        <w:spacing w:after="240" w:line="360" w:lineRule="auto"/>
        <w:jc w:val="both"/>
        <w:rPr>
          <w:rFonts w:ascii="Palatino Linotype" w:hAnsi="Palatino Linotype" w:cs="Arial"/>
          <w:b/>
        </w:rPr>
      </w:pPr>
      <w:r w:rsidRPr="00C621B1">
        <w:rPr>
          <w:rFonts w:ascii="Palatino Linotype" w:hAnsi="Palatino Linotype" w:cs="Arial"/>
          <w:b/>
          <w:bCs/>
        </w:rPr>
        <w:t>Cuarto.</w:t>
      </w:r>
      <w:r>
        <w:rPr>
          <w:rFonts w:ascii="Palatino Linotype" w:hAnsi="Palatino Linotype" w:cs="Arial"/>
          <w:bCs/>
        </w:rPr>
        <w:t xml:space="preserve"> </w:t>
      </w:r>
      <w:r w:rsidR="00681225" w:rsidRPr="00C471AF">
        <w:rPr>
          <w:rFonts w:ascii="Palatino Linotype" w:hAnsi="Palatino Linotype" w:cs="Arial"/>
          <w:bCs/>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44B62C19" w14:textId="15F5FCAB" w:rsidR="00681225" w:rsidRDefault="00C621B1" w:rsidP="00681225">
      <w:pPr>
        <w:spacing w:before="240" w:after="240" w:line="360" w:lineRule="auto"/>
        <w:jc w:val="both"/>
        <w:rPr>
          <w:rFonts w:ascii="Palatino Linotype" w:hAnsi="Palatino Linotype" w:cs="Arial"/>
        </w:rPr>
      </w:pPr>
      <w:r>
        <w:rPr>
          <w:rFonts w:ascii="Palatino Linotype" w:hAnsi="Palatino Linotype" w:cs="Arial"/>
          <w:b/>
        </w:rPr>
        <w:t>Quin</w:t>
      </w:r>
      <w:r w:rsidR="00681225" w:rsidRPr="00C471AF">
        <w:rPr>
          <w:rFonts w:ascii="Palatino Linotype" w:hAnsi="Palatino Linotype" w:cs="Arial"/>
          <w:b/>
        </w:rPr>
        <w:t>to.  Hágase del conocimiento</w:t>
      </w:r>
      <w:r w:rsidR="00681225" w:rsidRPr="00C471AF">
        <w:rPr>
          <w:rFonts w:ascii="Palatino Linotype" w:hAnsi="Palatino Linotype" w:cs="Arial"/>
        </w:rPr>
        <w:t xml:space="preserve"> de la parte recurrente, la presente resolución, así como, que de conformidad con lo establecido en el artículo 196 de la Ley de Transparencia y Acceso a la Información Pública del Estado de México y Municipios, podrá impugnarla vía </w:t>
      </w:r>
      <w:r w:rsidR="00681225" w:rsidRPr="00C621B1">
        <w:rPr>
          <w:rFonts w:ascii="Palatino Linotype" w:hAnsi="Palatino Linotype" w:cs="Arial"/>
          <w:b/>
        </w:rPr>
        <w:t>Juicio de Amparo</w:t>
      </w:r>
      <w:r w:rsidR="00681225" w:rsidRPr="00C471AF">
        <w:rPr>
          <w:rFonts w:ascii="Palatino Linotype" w:hAnsi="Palatino Linotype" w:cs="Arial"/>
        </w:rPr>
        <w:t xml:space="preserve"> en los términos de las leyes aplicables.</w:t>
      </w:r>
    </w:p>
    <w:p w14:paraId="16466E98" w14:textId="0EBF4570" w:rsidR="00F139A1" w:rsidRDefault="00AE06EE" w:rsidP="00F139A1">
      <w:pPr>
        <w:spacing w:before="240" w:after="240" w:line="360" w:lineRule="auto"/>
        <w:jc w:val="both"/>
        <w:rPr>
          <w:rFonts w:ascii="Palatino Linotype" w:hAnsi="Palatino Linotype" w:cs="Arial"/>
        </w:rPr>
      </w:pPr>
      <w:r w:rsidRPr="00AE06EE">
        <w:rPr>
          <w:rFonts w:ascii="Palatino Linotype" w:hAnsi="Palatino Linotype" w:cs="Arial"/>
          <w:lang w:val="es-ES"/>
        </w:rPr>
        <w:t>ASÍ LO RESUELVE, POR UNANIMIDAD DE VOTOS, EL PLENO DEL INSTITUTO DE TRANSPARENCIA, ACCESO A LA INFORMACIÓN PÚBLICA Y PROTECCIÓN DE DATOS PERSONALES DEL ESTADO DE MÉXICO Y MUNICIPIOS, CONFORMADO POR LOS COMISIONADOS </w:t>
      </w:r>
      <w:r w:rsidRPr="00AE06EE">
        <w:rPr>
          <w:rFonts w:ascii="Palatino Linotype" w:hAnsi="Palatino Linotype" w:cs="Arial"/>
        </w:rPr>
        <w:t>JOSÉ MARTÍNEZ VILCHIS, MARÍA DEL ROSARIO MEJÍA AYALA, SHARON CRISTINA MORALES MARTÍNEZ, LUIS GUSTAVO PARRA N</w:t>
      </w:r>
      <w:r>
        <w:rPr>
          <w:rFonts w:ascii="Palatino Linotype" w:hAnsi="Palatino Linotype" w:cs="Arial"/>
        </w:rPr>
        <w:t>ORIEGA Y GUADALUPE RAMÍREZ PEÑA</w:t>
      </w:r>
      <w:r w:rsidR="00F139A1" w:rsidRPr="001E538E">
        <w:rPr>
          <w:rFonts w:ascii="Palatino Linotype" w:hAnsi="Palatino Linotype"/>
        </w:rPr>
        <w:t>;</w:t>
      </w:r>
      <w:r w:rsidR="00F139A1" w:rsidRPr="001E538E">
        <w:rPr>
          <w:rFonts w:ascii="Palatino Linotype" w:hAnsi="Palatino Linotype" w:cs="Arial"/>
        </w:rPr>
        <w:t xml:space="preserve"> </w:t>
      </w:r>
      <w:r>
        <w:rPr>
          <w:rFonts w:ascii="Palatino Linotype" w:hAnsi="Palatino Linotype" w:cs="Arial"/>
        </w:rPr>
        <w:t>EN LA TRIGÉSIMA TERCER</w:t>
      </w:r>
      <w:r w:rsidR="00012D74">
        <w:rPr>
          <w:rFonts w:ascii="Palatino Linotype" w:hAnsi="Palatino Linotype" w:cs="Arial"/>
        </w:rPr>
        <w:t>A</w:t>
      </w:r>
      <w:r w:rsidR="00F139A1" w:rsidRPr="001E538E">
        <w:rPr>
          <w:rFonts w:ascii="Palatino Linotype" w:hAnsi="Palatino Linotype" w:cs="Arial"/>
        </w:rPr>
        <w:t xml:space="preserve"> SESIÓN ORDINARIA CELEBRADA EL </w:t>
      </w:r>
      <w:r>
        <w:rPr>
          <w:rFonts w:ascii="Palatino Linotype" w:hAnsi="Palatino Linotype" w:cs="Arial"/>
        </w:rPr>
        <w:t>VEINTIDÓS</w:t>
      </w:r>
      <w:r w:rsidR="00F139A1" w:rsidRPr="001E538E">
        <w:rPr>
          <w:rFonts w:ascii="Palatino Linotype" w:hAnsi="Palatino Linotype" w:cs="Arial"/>
        </w:rPr>
        <w:t xml:space="preserve"> DE </w:t>
      </w:r>
      <w:r>
        <w:rPr>
          <w:rFonts w:ascii="Palatino Linotype" w:hAnsi="Palatino Linotype" w:cs="Arial"/>
        </w:rPr>
        <w:t>SEPTIEMBRE</w:t>
      </w:r>
      <w:r w:rsidR="00F139A1" w:rsidRPr="001E538E">
        <w:rPr>
          <w:rFonts w:ascii="Palatino Linotype" w:hAnsi="Palatino Linotype" w:cs="Arial"/>
        </w:rPr>
        <w:t xml:space="preserve"> DE DOS MIL VEINT</w:t>
      </w:r>
      <w:r w:rsidR="00CC36D5">
        <w:rPr>
          <w:rFonts w:ascii="Palatino Linotype" w:hAnsi="Palatino Linotype" w:cs="Arial"/>
        </w:rPr>
        <w:t>IUNO</w:t>
      </w:r>
      <w:r w:rsidR="00F139A1" w:rsidRPr="001E538E">
        <w:rPr>
          <w:rFonts w:ascii="Palatino Linotype" w:hAnsi="Palatino Linotype" w:cs="Arial"/>
        </w:rPr>
        <w:t>, ANTE EL SECRETARIO TÉCNICO DEL PLENO, ALEXIS TAPIA</w:t>
      </w:r>
      <w:r w:rsidR="00F139A1" w:rsidRPr="001E538E">
        <w:rPr>
          <w:rFonts w:ascii="Palatino Linotype" w:hAnsi="Palatino Linotype" w:cs="Arial"/>
          <w:lang w:val="es-ES_tradnl"/>
        </w:rPr>
        <w:t xml:space="preserve"> RAMÍREZ</w:t>
      </w:r>
      <w:r w:rsidR="00F139A1" w:rsidRPr="001E538E">
        <w:rPr>
          <w:rFonts w:ascii="Palatino Linotype" w:hAnsi="Palatino Linotype" w:cs="Arial"/>
        </w:rPr>
        <w:t>.</w:t>
      </w:r>
    </w:p>
    <w:p w14:paraId="6F95BCCB" w14:textId="77777777" w:rsidR="00B11C43" w:rsidRDefault="00B11C43" w:rsidP="00F139A1">
      <w:pPr>
        <w:spacing w:before="240" w:after="240" w:line="360" w:lineRule="auto"/>
        <w:jc w:val="both"/>
        <w:rPr>
          <w:rFonts w:ascii="Palatino Linotype" w:hAnsi="Palatino Linotype" w:cs="Arial"/>
        </w:rPr>
        <w:sectPr w:rsidR="00B11C43" w:rsidSect="00DF49AD">
          <w:headerReference w:type="default" r:id="rId20"/>
          <w:footerReference w:type="default" r:id="rId21"/>
          <w:headerReference w:type="first" r:id="rId22"/>
          <w:footerReference w:type="first" r:id="rId23"/>
          <w:pgSz w:w="12240" w:h="15840" w:code="1"/>
          <w:pgMar w:top="1985" w:right="1701" w:bottom="1701" w:left="1701" w:header="709" w:footer="709" w:gutter="0"/>
          <w:cols w:space="708"/>
          <w:titlePg/>
          <w:docGrid w:linePitch="360"/>
        </w:sectPr>
      </w:pPr>
    </w:p>
    <w:p w14:paraId="7306B615" w14:textId="63AC99D0" w:rsidR="00B11C43" w:rsidRPr="001E538E" w:rsidRDefault="00B11C43" w:rsidP="00F139A1">
      <w:pPr>
        <w:spacing w:before="240" w:after="240" w:line="360" w:lineRule="auto"/>
        <w:jc w:val="both"/>
        <w:rPr>
          <w:rFonts w:ascii="Palatino Linotype" w:hAnsi="Palatino Linotype" w:cs="Arial"/>
        </w:rPr>
      </w:pPr>
    </w:p>
    <w:sectPr w:rsidR="00B11C43" w:rsidRPr="001E538E" w:rsidSect="00DF49AD">
      <w:headerReference w:type="first" r:id="rId24"/>
      <w:pgSz w:w="12240" w:h="15840" w:code="1"/>
      <w:pgMar w:top="1985" w:right="1701" w:bottom="1701"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764D5E7" w14:textId="77777777" w:rsidR="00976120" w:rsidRDefault="00976120" w:rsidP="00C80F8C">
      <w:r>
        <w:separator/>
      </w:r>
    </w:p>
  </w:endnote>
  <w:endnote w:type="continuationSeparator" w:id="0">
    <w:p w14:paraId="5E428165" w14:textId="77777777" w:rsidR="00976120" w:rsidRDefault="00976120"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Myriad Pro">
    <w:altName w:val="Segoe UI"/>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0947BD" w14:textId="77777777" w:rsidR="002130A4" w:rsidRPr="00F12350" w:rsidRDefault="002130A4" w:rsidP="00F12350">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B11C43">
      <w:rPr>
        <w:rFonts w:ascii="Palatino Linotype" w:hAnsi="Palatino Linotype" w:cs="Arial"/>
        <w:b/>
        <w:bCs/>
        <w:noProof/>
        <w:sz w:val="20"/>
        <w:szCs w:val="20"/>
      </w:rPr>
      <w:t>89</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B11C43">
      <w:rPr>
        <w:rFonts w:ascii="Palatino Linotype" w:hAnsi="Palatino Linotype" w:cs="Arial"/>
        <w:b/>
        <w:bCs/>
        <w:noProof/>
        <w:sz w:val="20"/>
        <w:szCs w:val="20"/>
      </w:rPr>
      <w:t>90</w:t>
    </w:r>
    <w:r w:rsidRPr="00F12350">
      <w:rPr>
        <w:rFonts w:ascii="Palatino Linotype" w:hAnsi="Palatino Linotype" w:cs="Arial"/>
        <w:b/>
        <w:bCs/>
        <w:sz w:val="20"/>
        <w:szCs w:val="20"/>
      </w:rPr>
      <w:fldChar w:fldCharType="end"/>
    </w:r>
  </w:p>
  <w:p w14:paraId="6C1210D3" w14:textId="77777777" w:rsidR="002130A4" w:rsidRDefault="002130A4" w:rsidP="006F30F8">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8B1E8B" w14:textId="77777777" w:rsidR="002130A4" w:rsidRPr="00F12350" w:rsidRDefault="002130A4" w:rsidP="00E66754">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B11C43">
      <w:rPr>
        <w:rFonts w:ascii="Palatino Linotype" w:hAnsi="Palatino Linotype" w:cs="Arial"/>
        <w:b/>
        <w:bCs/>
        <w:noProof/>
        <w:sz w:val="20"/>
        <w:szCs w:val="20"/>
      </w:rPr>
      <w:t>90</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B11C43">
      <w:rPr>
        <w:rFonts w:ascii="Palatino Linotype" w:hAnsi="Palatino Linotype" w:cs="Arial"/>
        <w:b/>
        <w:bCs/>
        <w:noProof/>
        <w:sz w:val="20"/>
        <w:szCs w:val="20"/>
      </w:rPr>
      <w:t>90</w:t>
    </w:r>
    <w:r w:rsidRPr="00F12350">
      <w:rPr>
        <w:rFonts w:ascii="Palatino Linotype" w:hAnsi="Palatino Linotype" w:cs="Arial"/>
        <w:b/>
        <w:bCs/>
        <w:sz w:val="20"/>
        <w:szCs w:val="20"/>
      </w:rPr>
      <w:fldChar w:fldCharType="end"/>
    </w:r>
  </w:p>
  <w:p w14:paraId="001FB156" w14:textId="0E1BF97A" w:rsidR="002130A4" w:rsidRDefault="002130A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5749957" w14:textId="77777777" w:rsidR="00976120" w:rsidRDefault="00976120" w:rsidP="00C80F8C">
      <w:r>
        <w:separator/>
      </w:r>
    </w:p>
  </w:footnote>
  <w:footnote w:type="continuationSeparator" w:id="0">
    <w:p w14:paraId="1FBB5EF5" w14:textId="77777777" w:rsidR="00976120" w:rsidRDefault="00976120" w:rsidP="00C80F8C">
      <w:r>
        <w:continuationSeparator/>
      </w:r>
    </w:p>
  </w:footnote>
  <w:footnote w:id="1">
    <w:p w14:paraId="3F5C4394" w14:textId="77777777" w:rsidR="002130A4" w:rsidRPr="00540511" w:rsidRDefault="002130A4" w:rsidP="00AB2168">
      <w:pPr>
        <w:autoSpaceDE w:val="0"/>
        <w:autoSpaceDN w:val="0"/>
        <w:adjustRightInd w:val="0"/>
        <w:jc w:val="both"/>
        <w:rPr>
          <w:rFonts w:ascii="Palatino Linotype" w:hAnsi="Palatino Linotype" w:cs="Arial"/>
          <w:sz w:val="16"/>
          <w:szCs w:val="16"/>
        </w:rPr>
      </w:pPr>
      <w:r w:rsidRPr="00540511">
        <w:rPr>
          <w:rStyle w:val="Refdenotaalpie"/>
          <w:rFonts w:ascii="Palatino Linotype" w:hAnsi="Palatino Linotype" w:cs="Arial"/>
          <w:sz w:val="16"/>
          <w:szCs w:val="16"/>
        </w:rPr>
        <w:footnoteRef/>
      </w:r>
      <w:r w:rsidRPr="00540511">
        <w:rPr>
          <w:rFonts w:ascii="Palatino Linotype" w:hAnsi="Palatino Linotype" w:cs="Arial"/>
          <w:sz w:val="16"/>
          <w:szCs w:val="16"/>
        </w:rPr>
        <w:t xml:space="preserve"> BURGOA ORIHUELA Ignacio. </w:t>
      </w:r>
      <w:r w:rsidRPr="00540511">
        <w:rPr>
          <w:rFonts w:ascii="Palatino Linotype" w:hAnsi="Palatino Linotype" w:cs="Arial"/>
          <w:i/>
          <w:sz w:val="16"/>
          <w:szCs w:val="16"/>
        </w:rPr>
        <w:t>Diccionario De Derecho Constitucional, Garantías y Amparo</w:t>
      </w:r>
      <w:r w:rsidRPr="00540511">
        <w:rPr>
          <w:rFonts w:ascii="Palatino Linotype" w:hAnsi="Palatino Linotype" w:cs="Arial"/>
          <w:sz w:val="16"/>
          <w:szCs w:val="16"/>
        </w:rPr>
        <w:t>. Ed. Porrúa, S.A., México. 1992. p. 115.</w:t>
      </w:r>
    </w:p>
  </w:footnote>
  <w:footnote w:id="2">
    <w:p w14:paraId="51994C19" w14:textId="77777777" w:rsidR="002130A4" w:rsidRPr="00540511" w:rsidRDefault="002130A4" w:rsidP="00AB2168">
      <w:pPr>
        <w:pStyle w:val="Textonotapie"/>
        <w:jc w:val="both"/>
        <w:rPr>
          <w:rFonts w:ascii="Palatino Linotype" w:hAnsi="Palatino Linotype" w:cs="Arial"/>
          <w:i/>
          <w:sz w:val="16"/>
          <w:szCs w:val="16"/>
        </w:rPr>
      </w:pPr>
      <w:r w:rsidRPr="00540511">
        <w:rPr>
          <w:rStyle w:val="Refdenotaalpie"/>
          <w:rFonts w:ascii="Palatino Linotype" w:hAnsi="Palatino Linotype" w:cs="Arial"/>
          <w:sz w:val="16"/>
          <w:szCs w:val="16"/>
        </w:rPr>
        <w:footnoteRef/>
      </w:r>
      <w:r w:rsidRPr="00540511">
        <w:rPr>
          <w:rFonts w:ascii="Palatino Linotype" w:hAnsi="Palatino Linotype" w:cs="Arial"/>
          <w:sz w:val="16"/>
          <w:szCs w:val="16"/>
        </w:rPr>
        <w:t xml:space="preserve"> CIENFUEGOS SALGADO David. </w:t>
      </w:r>
      <w:r w:rsidRPr="00540511">
        <w:rPr>
          <w:rFonts w:ascii="Palatino Linotype" w:hAnsi="Palatino Linotype" w:cs="Arial"/>
          <w:i/>
          <w:sz w:val="16"/>
          <w:szCs w:val="16"/>
        </w:rPr>
        <w:t xml:space="preserve">El Derecho de Petición en México. </w:t>
      </w:r>
      <w:r w:rsidRPr="00540511">
        <w:rPr>
          <w:rFonts w:ascii="Palatino Linotype" w:hAnsi="Palatino Linotype" w:cs="Arial"/>
          <w:sz w:val="16"/>
          <w:szCs w:val="16"/>
        </w:rPr>
        <w:t>Ed. Instituto de Investigaciones Jurídica UNAM. México 2004. p. 31</w:t>
      </w:r>
    </w:p>
  </w:footnote>
  <w:footnote w:id="3">
    <w:p w14:paraId="010931EE" w14:textId="77777777" w:rsidR="002130A4" w:rsidRPr="00540511" w:rsidRDefault="002130A4" w:rsidP="00AB2168">
      <w:pPr>
        <w:pStyle w:val="Textonotapie"/>
        <w:jc w:val="both"/>
        <w:rPr>
          <w:rFonts w:ascii="Palatino Linotype" w:hAnsi="Palatino Linotype" w:cs="Arial"/>
          <w:sz w:val="16"/>
          <w:szCs w:val="16"/>
        </w:rPr>
      </w:pPr>
      <w:r w:rsidRPr="00540511">
        <w:rPr>
          <w:rStyle w:val="Refdenotaalpie"/>
          <w:rFonts w:ascii="Palatino Linotype" w:hAnsi="Palatino Linotype" w:cs="Arial"/>
          <w:sz w:val="16"/>
          <w:szCs w:val="16"/>
        </w:rPr>
        <w:footnoteRef/>
      </w:r>
      <w:r w:rsidRPr="00540511">
        <w:rPr>
          <w:rFonts w:ascii="Palatino Linotype" w:hAnsi="Palatino Linotype" w:cs="Arial"/>
          <w:sz w:val="16"/>
          <w:szCs w:val="16"/>
        </w:rPr>
        <w:t xml:space="preserve"> ROBLES HERNÁNDEZ José Guadalupe. </w:t>
      </w:r>
      <w:r w:rsidRPr="00540511">
        <w:rPr>
          <w:rFonts w:ascii="Palatino Linotype" w:hAnsi="Palatino Linotype" w:cs="Arial"/>
          <w:i/>
          <w:sz w:val="16"/>
          <w:szCs w:val="16"/>
        </w:rPr>
        <w:t xml:space="preserve">Derecho de la Información y Comunicación Pública. </w:t>
      </w:r>
      <w:r w:rsidRPr="00540511">
        <w:rPr>
          <w:rFonts w:ascii="Palatino Linotype" w:hAnsi="Palatino Linotype" w:cs="Arial"/>
          <w:sz w:val="16"/>
          <w:szCs w:val="16"/>
        </w:rPr>
        <w:t>Ed. Universidad de Occidente. México. 2004, p. 72.</w:t>
      </w:r>
    </w:p>
  </w:footnote>
  <w:footnote w:id="4">
    <w:p w14:paraId="58CD1894" w14:textId="77777777" w:rsidR="002130A4" w:rsidRPr="00540511" w:rsidRDefault="002130A4" w:rsidP="00AB2168">
      <w:pPr>
        <w:autoSpaceDE w:val="0"/>
        <w:autoSpaceDN w:val="0"/>
        <w:adjustRightInd w:val="0"/>
        <w:jc w:val="both"/>
        <w:rPr>
          <w:rFonts w:ascii="Palatino Linotype" w:hAnsi="Palatino Linotype" w:cs="Arial"/>
          <w:sz w:val="16"/>
          <w:szCs w:val="16"/>
        </w:rPr>
      </w:pPr>
      <w:r w:rsidRPr="00540511">
        <w:rPr>
          <w:rStyle w:val="Refdenotaalpie"/>
          <w:rFonts w:ascii="Palatino Linotype" w:hAnsi="Palatino Linotype" w:cs="Arial"/>
          <w:sz w:val="16"/>
          <w:szCs w:val="16"/>
        </w:rPr>
        <w:footnoteRef/>
      </w:r>
      <w:r w:rsidRPr="00540511">
        <w:rPr>
          <w:rFonts w:ascii="Palatino Linotype" w:hAnsi="Palatino Linotype" w:cs="Arial"/>
          <w:sz w:val="16"/>
          <w:szCs w:val="16"/>
        </w:rPr>
        <w:t xml:space="preserve"> VILLANUEVA VILLANUEVA Ernesto. Derecho de la Información, Ed. Porrúa. S.A., México. 2006. p. 270.</w:t>
      </w:r>
      <w:r w:rsidRPr="00540511">
        <w:rPr>
          <w:rFonts w:ascii="Palatino Linotype" w:hAnsi="Palatino Linotype" w:cs="Arial"/>
          <w:sz w:val="16"/>
          <w:szCs w:val="16"/>
        </w:rPr>
        <w:tab/>
      </w:r>
    </w:p>
    <w:p w14:paraId="4F34CA8B" w14:textId="77777777" w:rsidR="002130A4" w:rsidRPr="00540511" w:rsidRDefault="002130A4" w:rsidP="00AB2168">
      <w:pPr>
        <w:pStyle w:val="Textonotapie"/>
        <w:jc w:val="both"/>
        <w:rPr>
          <w:rFonts w:ascii="Palatino Linotype" w:hAnsi="Palatino Linotype" w:cs="Arial"/>
          <w:sz w:val="16"/>
          <w:szCs w:val="16"/>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3441AB" w14:textId="12A1A2BB" w:rsidR="002130A4" w:rsidRDefault="002130A4" w:rsidP="006F30F8">
    <w:pPr>
      <w:pStyle w:val="Encabezado"/>
      <w:tabs>
        <w:tab w:val="clear" w:pos="4252"/>
        <w:tab w:val="clear" w:pos="8504"/>
        <w:tab w:val="left" w:pos="2326"/>
      </w:tabs>
    </w:pPr>
    <w:r>
      <w:rPr>
        <w:rFonts w:ascii="Palatino Linotype" w:hAnsi="Palatino Linotype"/>
        <w:noProof/>
        <w:lang w:val="es-MX" w:eastAsia="es-MX"/>
      </w:rPr>
      <w:drawing>
        <wp:anchor distT="0" distB="0" distL="114300" distR="114300" simplePos="0" relativeHeight="251661312" behindDoc="1" locked="0" layoutInCell="1" allowOverlap="1" wp14:anchorId="4AE04B97" wp14:editId="4A60B764">
          <wp:simplePos x="0" y="0"/>
          <wp:positionH relativeFrom="page">
            <wp:posOffset>-27940</wp:posOffset>
          </wp:positionH>
          <wp:positionV relativeFrom="paragraph">
            <wp:posOffset>-427134</wp:posOffset>
          </wp:positionV>
          <wp:extent cx="7809876" cy="10165823"/>
          <wp:effectExtent l="0" t="0" r="635" b="6985"/>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09876" cy="10165823"/>
                  </a:xfrm>
                  <a:prstGeom prst="rect">
                    <a:avLst/>
                  </a:prstGeom>
                  <a:noFill/>
                </pic:spPr>
              </pic:pic>
            </a:graphicData>
          </a:graphic>
          <wp14:sizeRelH relativeFrom="page">
            <wp14:pctWidth>0</wp14:pctWidth>
          </wp14:sizeRelH>
          <wp14:sizeRelV relativeFrom="page">
            <wp14:pctHeight>0</wp14:pctHeight>
          </wp14:sizeRelV>
        </wp:anchor>
      </w:drawing>
    </w:r>
  </w:p>
  <w:tbl>
    <w:tblPr>
      <w:tblW w:w="5953" w:type="dxa"/>
      <w:tblInd w:w="3261" w:type="dxa"/>
      <w:tblLayout w:type="fixed"/>
      <w:tblLook w:val="04A0" w:firstRow="1" w:lastRow="0" w:firstColumn="1" w:lastColumn="0" w:noHBand="0" w:noVBand="1"/>
    </w:tblPr>
    <w:tblGrid>
      <w:gridCol w:w="2489"/>
      <w:gridCol w:w="3464"/>
    </w:tblGrid>
    <w:tr w:rsidR="002130A4" w:rsidRPr="008A510F" w14:paraId="617605DB" w14:textId="77777777" w:rsidTr="00DF49AD">
      <w:tc>
        <w:tcPr>
          <w:tcW w:w="2489" w:type="dxa"/>
          <w:shd w:val="clear" w:color="auto" w:fill="auto"/>
        </w:tcPr>
        <w:p w14:paraId="3EC806A0" w14:textId="1E01B6CE" w:rsidR="002130A4" w:rsidRPr="008A510F" w:rsidRDefault="002130A4" w:rsidP="00D63FB4">
          <w:pPr>
            <w:rPr>
              <w:rFonts w:ascii="Palatino Linotype" w:hAnsi="Palatino Linotype"/>
              <w:b/>
              <w:sz w:val="22"/>
              <w:szCs w:val="22"/>
              <w:lang w:val="es-ES_tradnl"/>
            </w:rPr>
          </w:pPr>
          <w:r w:rsidRPr="008A510F">
            <w:rPr>
              <w:rFonts w:ascii="Palatino Linotype" w:hAnsi="Palatino Linotype"/>
              <w:b/>
              <w:sz w:val="22"/>
              <w:szCs w:val="22"/>
              <w:lang w:val="es-ES_tradnl"/>
            </w:rPr>
            <w:t>Recurso de Revisión:</w:t>
          </w:r>
        </w:p>
      </w:tc>
      <w:tc>
        <w:tcPr>
          <w:tcW w:w="3464" w:type="dxa"/>
          <w:shd w:val="clear" w:color="auto" w:fill="auto"/>
          <w:vAlign w:val="center"/>
        </w:tcPr>
        <w:p w14:paraId="1AB3093C" w14:textId="3EC70945" w:rsidR="002130A4" w:rsidRPr="008A510F" w:rsidRDefault="002130A4" w:rsidP="00F83E6F">
          <w:pPr>
            <w:ind w:right="175"/>
            <w:jc w:val="both"/>
            <w:rPr>
              <w:rFonts w:ascii="Palatino Linotype" w:hAnsi="Palatino Linotype"/>
              <w:b/>
              <w:sz w:val="22"/>
              <w:szCs w:val="22"/>
              <w:lang w:val="es-ES_tradnl"/>
            </w:rPr>
          </w:pPr>
          <w:r>
            <w:rPr>
              <w:rFonts w:ascii="Palatino Linotype" w:hAnsi="Palatino Linotype"/>
              <w:b/>
              <w:sz w:val="22"/>
              <w:szCs w:val="22"/>
              <w:lang w:val="es-ES_tradnl"/>
            </w:rPr>
            <w:t xml:space="preserve">01734/INFOEM/IP/RR/2021 </w:t>
          </w:r>
        </w:p>
      </w:tc>
    </w:tr>
    <w:tr w:rsidR="002130A4" w:rsidRPr="008A510F" w14:paraId="5794E524" w14:textId="77777777" w:rsidTr="00DF49AD">
      <w:trPr>
        <w:trHeight w:val="228"/>
      </w:trPr>
      <w:tc>
        <w:tcPr>
          <w:tcW w:w="2489" w:type="dxa"/>
          <w:shd w:val="clear" w:color="auto" w:fill="auto"/>
          <w:vAlign w:val="center"/>
        </w:tcPr>
        <w:p w14:paraId="07CB9235" w14:textId="3828DC8B" w:rsidR="002130A4" w:rsidRPr="008A510F" w:rsidRDefault="002130A4" w:rsidP="00B76005">
          <w:pPr>
            <w:rPr>
              <w:rFonts w:ascii="Palatino Linotype" w:hAnsi="Palatino Linotype"/>
              <w:b/>
              <w:sz w:val="22"/>
              <w:szCs w:val="22"/>
              <w:lang w:val="es-ES_tradnl"/>
            </w:rPr>
          </w:pPr>
          <w:r w:rsidRPr="008A510F">
            <w:rPr>
              <w:rFonts w:ascii="Palatino Linotype" w:hAnsi="Palatino Linotype"/>
              <w:b/>
              <w:sz w:val="22"/>
              <w:szCs w:val="22"/>
              <w:lang w:val="es-ES_tradnl"/>
            </w:rPr>
            <w:t>Sujeto obligado:</w:t>
          </w:r>
        </w:p>
      </w:tc>
      <w:tc>
        <w:tcPr>
          <w:tcW w:w="3464" w:type="dxa"/>
          <w:shd w:val="clear" w:color="auto" w:fill="auto"/>
          <w:vAlign w:val="center"/>
        </w:tcPr>
        <w:p w14:paraId="27B4A118" w14:textId="06855E6D" w:rsidR="002130A4" w:rsidRPr="00927A01" w:rsidRDefault="002130A4" w:rsidP="00F77CF7">
          <w:pPr>
            <w:ind w:left="-45" w:right="176"/>
            <w:jc w:val="both"/>
            <w:rPr>
              <w:rFonts w:ascii="Palatino Linotype" w:hAnsi="Palatino Linotype"/>
              <w:b/>
              <w:sz w:val="22"/>
              <w:szCs w:val="22"/>
              <w:lang w:val="es-ES_tradnl"/>
            </w:rPr>
          </w:pPr>
          <w:r>
            <w:rPr>
              <w:rFonts w:ascii="Palatino Linotype" w:hAnsi="Palatino Linotype"/>
              <w:b/>
              <w:sz w:val="22"/>
              <w:szCs w:val="22"/>
              <w:lang w:val="es-ES_tradnl"/>
            </w:rPr>
            <w:t>Ayuntamiento de Cuautitlán</w:t>
          </w:r>
        </w:p>
      </w:tc>
    </w:tr>
    <w:tr w:rsidR="002130A4" w:rsidRPr="008A510F" w14:paraId="43AB1535" w14:textId="77777777" w:rsidTr="00DF49AD">
      <w:tc>
        <w:tcPr>
          <w:tcW w:w="2489" w:type="dxa"/>
          <w:shd w:val="clear" w:color="auto" w:fill="auto"/>
          <w:vAlign w:val="center"/>
        </w:tcPr>
        <w:p w14:paraId="0627849A" w14:textId="4C7BB1D5" w:rsidR="002130A4" w:rsidRPr="008A510F" w:rsidRDefault="002130A4" w:rsidP="00535D4A">
          <w:pPr>
            <w:ind w:right="-108"/>
            <w:rPr>
              <w:rFonts w:ascii="Palatino Linotype" w:hAnsi="Palatino Linotype"/>
              <w:b/>
              <w:sz w:val="22"/>
              <w:szCs w:val="22"/>
              <w:lang w:val="es-ES_tradnl"/>
            </w:rPr>
          </w:pPr>
          <w:r w:rsidRPr="008A510F">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A510F">
            <w:rPr>
              <w:rFonts w:ascii="Palatino Linotype" w:hAnsi="Palatino Linotype"/>
              <w:b/>
              <w:sz w:val="22"/>
              <w:szCs w:val="22"/>
              <w:lang w:val="es-ES_tradnl"/>
            </w:rPr>
            <w:t>ponente:</w:t>
          </w:r>
        </w:p>
      </w:tc>
      <w:tc>
        <w:tcPr>
          <w:tcW w:w="3464" w:type="dxa"/>
          <w:shd w:val="clear" w:color="auto" w:fill="auto"/>
          <w:vAlign w:val="center"/>
        </w:tcPr>
        <w:p w14:paraId="3516B85A" w14:textId="067577DF" w:rsidR="002130A4" w:rsidRPr="008A510F" w:rsidRDefault="002130A4" w:rsidP="007F07C8">
          <w:pPr>
            <w:ind w:right="175"/>
            <w:jc w:val="both"/>
            <w:rPr>
              <w:rFonts w:ascii="Palatino Linotype" w:hAnsi="Palatino Linotype"/>
              <w:b/>
              <w:sz w:val="22"/>
              <w:szCs w:val="22"/>
              <w:lang w:val="es-ES_tradnl"/>
            </w:rPr>
          </w:pPr>
          <w:r>
            <w:rPr>
              <w:rFonts w:ascii="Palatino Linotype" w:hAnsi="Palatino Linotype"/>
              <w:b/>
              <w:sz w:val="22"/>
              <w:szCs w:val="22"/>
              <w:lang w:val="es-ES_tradnl"/>
            </w:rPr>
            <w:t>Guadalupe Ramírez Peña</w:t>
          </w:r>
        </w:p>
      </w:tc>
    </w:tr>
  </w:tbl>
  <w:p w14:paraId="15597B28" w14:textId="77777777" w:rsidR="002130A4" w:rsidRDefault="002130A4" w:rsidP="00E86E4F">
    <w:pPr>
      <w:pStyle w:val="Encabezado"/>
      <w:tabs>
        <w:tab w:val="clear" w:pos="4252"/>
        <w:tab w:val="clear" w:pos="8504"/>
        <w:tab w:val="left" w:pos="2326"/>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953" w:type="dxa"/>
      <w:tblInd w:w="3261" w:type="dxa"/>
      <w:tblLayout w:type="fixed"/>
      <w:tblLook w:val="04A0" w:firstRow="1" w:lastRow="0" w:firstColumn="1" w:lastColumn="0" w:noHBand="0" w:noVBand="1"/>
    </w:tblPr>
    <w:tblGrid>
      <w:gridCol w:w="2489"/>
      <w:gridCol w:w="3464"/>
    </w:tblGrid>
    <w:tr w:rsidR="002130A4" w:rsidRPr="008A510F" w14:paraId="05F038EC" w14:textId="77777777" w:rsidTr="00A072F4">
      <w:tc>
        <w:tcPr>
          <w:tcW w:w="2489" w:type="dxa"/>
          <w:shd w:val="clear" w:color="auto" w:fill="auto"/>
        </w:tcPr>
        <w:p w14:paraId="35212F6B" w14:textId="4EA8A204" w:rsidR="002130A4" w:rsidRPr="008A510F" w:rsidRDefault="002130A4" w:rsidP="003B30CF">
          <w:pPr>
            <w:rPr>
              <w:rFonts w:ascii="Palatino Linotype" w:hAnsi="Palatino Linotype"/>
              <w:b/>
              <w:sz w:val="22"/>
              <w:szCs w:val="22"/>
              <w:lang w:val="es-ES_tradnl"/>
            </w:rPr>
          </w:pPr>
          <w:r w:rsidRPr="008A510F">
            <w:rPr>
              <w:rFonts w:ascii="Palatino Linotype" w:hAnsi="Palatino Linotype"/>
              <w:b/>
              <w:sz w:val="22"/>
              <w:szCs w:val="22"/>
              <w:lang w:val="es-ES_tradnl"/>
            </w:rPr>
            <w:t>Recurso de Revisión:</w:t>
          </w:r>
        </w:p>
      </w:tc>
      <w:tc>
        <w:tcPr>
          <w:tcW w:w="3464" w:type="dxa"/>
          <w:shd w:val="clear" w:color="auto" w:fill="auto"/>
          <w:vAlign w:val="center"/>
        </w:tcPr>
        <w:p w14:paraId="5524F5A2" w14:textId="2A75DB89" w:rsidR="002130A4" w:rsidRPr="008A510F" w:rsidRDefault="002130A4" w:rsidP="00F31082">
          <w:pPr>
            <w:ind w:right="175"/>
            <w:jc w:val="both"/>
            <w:rPr>
              <w:rFonts w:ascii="Palatino Linotype" w:hAnsi="Palatino Linotype"/>
              <w:b/>
              <w:sz w:val="22"/>
              <w:szCs w:val="22"/>
              <w:lang w:val="es-ES_tradnl"/>
            </w:rPr>
          </w:pPr>
          <w:r>
            <w:rPr>
              <w:rFonts w:ascii="Palatino Linotype" w:hAnsi="Palatino Linotype"/>
              <w:b/>
              <w:sz w:val="22"/>
              <w:szCs w:val="22"/>
              <w:lang w:val="es-ES_tradnl"/>
            </w:rPr>
            <w:t xml:space="preserve">01734/INFOEM/IP/RR/2021 </w:t>
          </w:r>
        </w:p>
      </w:tc>
    </w:tr>
    <w:tr w:rsidR="002130A4" w:rsidRPr="008A510F" w14:paraId="1D7C4AFE" w14:textId="77777777" w:rsidTr="00A072F4">
      <w:tc>
        <w:tcPr>
          <w:tcW w:w="2489" w:type="dxa"/>
          <w:shd w:val="clear" w:color="auto" w:fill="auto"/>
        </w:tcPr>
        <w:p w14:paraId="6BC46CE1" w14:textId="77777777" w:rsidR="002130A4" w:rsidRPr="008A510F" w:rsidRDefault="002130A4" w:rsidP="003B30CF">
          <w:pPr>
            <w:rPr>
              <w:rFonts w:ascii="Palatino Linotype" w:hAnsi="Palatino Linotype"/>
              <w:b/>
              <w:sz w:val="22"/>
              <w:szCs w:val="22"/>
              <w:lang w:val="es-ES_tradnl"/>
            </w:rPr>
          </w:pPr>
          <w:r>
            <w:rPr>
              <w:rFonts w:ascii="Palatino Linotype" w:hAnsi="Palatino Linotype"/>
              <w:b/>
              <w:sz w:val="22"/>
              <w:szCs w:val="22"/>
              <w:lang w:val="es-ES_tradnl"/>
            </w:rPr>
            <w:t>Recurrente:</w:t>
          </w:r>
        </w:p>
      </w:tc>
      <w:tc>
        <w:tcPr>
          <w:tcW w:w="3464" w:type="dxa"/>
          <w:shd w:val="clear" w:color="auto" w:fill="auto"/>
          <w:vAlign w:val="center"/>
        </w:tcPr>
        <w:p w14:paraId="6991E7F3" w14:textId="0673CE72" w:rsidR="002130A4" w:rsidRPr="003F42DE" w:rsidRDefault="002130A4" w:rsidP="003F42DE">
          <w:pPr>
            <w:ind w:left="-45" w:right="176"/>
            <w:jc w:val="both"/>
          </w:pPr>
        </w:p>
      </w:tc>
    </w:tr>
    <w:tr w:rsidR="002130A4" w:rsidRPr="008A510F" w14:paraId="7708229D" w14:textId="77777777" w:rsidTr="00A072F4">
      <w:trPr>
        <w:trHeight w:val="228"/>
      </w:trPr>
      <w:tc>
        <w:tcPr>
          <w:tcW w:w="2489" w:type="dxa"/>
          <w:shd w:val="clear" w:color="auto" w:fill="auto"/>
          <w:vAlign w:val="center"/>
        </w:tcPr>
        <w:p w14:paraId="4455B376" w14:textId="77777777" w:rsidR="002130A4" w:rsidRPr="008A510F" w:rsidRDefault="002130A4" w:rsidP="003B30CF">
          <w:pPr>
            <w:rPr>
              <w:rFonts w:ascii="Palatino Linotype" w:hAnsi="Palatino Linotype"/>
              <w:b/>
              <w:sz w:val="22"/>
              <w:szCs w:val="22"/>
              <w:lang w:val="es-ES_tradnl"/>
            </w:rPr>
          </w:pPr>
          <w:r w:rsidRPr="008A510F">
            <w:rPr>
              <w:rFonts w:ascii="Palatino Linotype" w:hAnsi="Palatino Linotype"/>
              <w:b/>
              <w:sz w:val="22"/>
              <w:szCs w:val="22"/>
              <w:lang w:val="es-ES_tradnl"/>
            </w:rPr>
            <w:t>Sujeto obligado:</w:t>
          </w:r>
        </w:p>
      </w:tc>
      <w:tc>
        <w:tcPr>
          <w:tcW w:w="3464" w:type="dxa"/>
          <w:shd w:val="clear" w:color="auto" w:fill="auto"/>
          <w:vAlign w:val="center"/>
        </w:tcPr>
        <w:p w14:paraId="26D290C2" w14:textId="2B451817" w:rsidR="002130A4" w:rsidRPr="00927A01" w:rsidRDefault="002130A4" w:rsidP="00F83E6F">
          <w:pPr>
            <w:ind w:left="-45" w:right="176"/>
            <w:jc w:val="both"/>
            <w:rPr>
              <w:rFonts w:ascii="Palatino Linotype" w:hAnsi="Palatino Linotype"/>
              <w:b/>
              <w:sz w:val="22"/>
              <w:szCs w:val="22"/>
              <w:lang w:val="es-ES_tradnl"/>
            </w:rPr>
          </w:pPr>
          <w:r>
            <w:rPr>
              <w:rFonts w:ascii="Palatino Linotype" w:hAnsi="Palatino Linotype"/>
              <w:b/>
              <w:sz w:val="22"/>
              <w:szCs w:val="22"/>
              <w:lang w:val="es-ES_tradnl"/>
            </w:rPr>
            <w:t>Ayuntamiento de Cuautitlán</w:t>
          </w:r>
        </w:p>
      </w:tc>
    </w:tr>
    <w:tr w:rsidR="002130A4" w:rsidRPr="008A510F" w14:paraId="2FFC1B81" w14:textId="77777777" w:rsidTr="00A072F4">
      <w:tc>
        <w:tcPr>
          <w:tcW w:w="2489" w:type="dxa"/>
          <w:shd w:val="clear" w:color="auto" w:fill="auto"/>
          <w:vAlign w:val="center"/>
        </w:tcPr>
        <w:p w14:paraId="0E24CD76" w14:textId="77777777" w:rsidR="002130A4" w:rsidRPr="008A510F" w:rsidRDefault="002130A4" w:rsidP="003B30CF">
          <w:pPr>
            <w:ind w:right="-108"/>
            <w:rPr>
              <w:rFonts w:ascii="Palatino Linotype" w:hAnsi="Palatino Linotype"/>
              <w:b/>
              <w:sz w:val="22"/>
              <w:szCs w:val="22"/>
              <w:lang w:val="es-ES_tradnl"/>
            </w:rPr>
          </w:pPr>
          <w:r w:rsidRPr="008A510F">
            <w:rPr>
              <w:rFonts w:ascii="Palatino Linotype" w:hAnsi="Palatino Linotype"/>
              <w:b/>
              <w:sz w:val="22"/>
              <w:szCs w:val="22"/>
              <w:lang w:val="es-ES_tradnl"/>
            </w:rPr>
            <w:t>Comisionad</w:t>
          </w:r>
          <w:r>
            <w:rPr>
              <w:rFonts w:ascii="Palatino Linotype" w:hAnsi="Palatino Linotype"/>
              <w:b/>
              <w:sz w:val="22"/>
              <w:szCs w:val="22"/>
              <w:lang w:val="es-ES_tradnl"/>
            </w:rPr>
            <w:t xml:space="preserve">o </w:t>
          </w:r>
          <w:r w:rsidRPr="008A510F">
            <w:rPr>
              <w:rFonts w:ascii="Palatino Linotype" w:hAnsi="Palatino Linotype"/>
              <w:b/>
              <w:sz w:val="22"/>
              <w:szCs w:val="22"/>
              <w:lang w:val="es-ES_tradnl"/>
            </w:rPr>
            <w:t>ponente:</w:t>
          </w:r>
        </w:p>
      </w:tc>
      <w:tc>
        <w:tcPr>
          <w:tcW w:w="3464" w:type="dxa"/>
          <w:shd w:val="clear" w:color="auto" w:fill="auto"/>
          <w:vAlign w:val="center"/>
        </w:tcPr>
        <w:p w14:paraId="34EAD50D" w14:textId="5AB5AC04" w:rsidR="002130A4" w:rsidRPr="008A510F" w:rsidRDefault="002130A4" w:rsidP="003B30CF">
          <w:pPr>
            <w:ind w:right="175"/>
            <w:jc w:val="both"/>
            <w:rPr>
              <w:rFonts w:ascii="Palatino Linotype" w:hAnsi="Palatino Linotype"/>
              <w:b/>
              <w:sz w:val="22"/>
              <w:szCs w:val="22"/>
              <w:lang w:val="es-ES_tradnl"/>
            </w:rPr>
          </w:pPr>
          <w:r>
            <w:rPr>
              <w:rFonts w:ascii="Palatino Linotype" w:hAnsi="Palatino Linotype"/>
              <w:b/>
              <w:sz w:val="22"/>
              <w:szCs w:val="22"/>
              <w:lang w:val="es-ES_tradnl"/>
            </w:rPr>
            <w:t>Guadalupe Ramírez Peña</w:t>
          </w:r>
        </w:p>
      </w:tc>
    </w:tr>
  </w:tbl>
  <w:p w14:paraId="75B7FE26" w14:textId="365C47D3" w:rsidR="002130A4" w:rsidRDefault="002130A4" w:rsidP="006B1081">
    <w:pPr>
      <w:pStyle w:val="Encabezado"/>
    </w:pPr>
    <w:r>
      <w:rPr>
        <w:rFonts w:ascii="Palatino Linotype" w:hAnsi="Palatino Linotype"/>
        <w:noProof/>
        <w:lang w:val="es-MX" w:eastAsia="es-MX"/>
      </w:rPr>
      <w:drawing>
        <wp:anchor distT="0" distB="0" distL="114300" distR="114300" simplePos="0" relativeHeight="251659264" behindDoc="1" locked="0" layoutInCell="1" allowOverlap="1" wp14:anchorId="30D07E80" wp14:editId="0C645A2D">
          <wp:simplePos x="0" y="0"/>
          <wp:positionH relativeFrom="margin">
            <wp:posOffset>-1099185</wp:posOffset>
          </wp:positionH>
          <wp:positionV relativeFrom="paragraph">
            <wp:posOffset>-1384714</wp:posOffset>
          </wp:positionV>
          <wp:extent cx="7809876" cy="10165823"/>
          <wp:effectExtent l="0" t="0" r="635" b="6985"/>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09876" cy="10165823"/>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FCD25A" w14:textId="0F3A1651" w:rsidR="00B11C43" w:rsidRPr="00B11C43" w:rsidRDefault="00B11C43" w:rsidP="00B11C43">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2"/>
    <w:multiLevelType w:val="singleLevel"/>
    <w:tmpl w:val="294E23F0"/>
    <w:lvl w:ilvl="0">
      <w:start w:val="1"/>
      <w:numFmt w:val="bullet"/>
      <w:pStyle w:val="Listaconvietas3"/>
      <w:lvlText w:val=""/>
      <w:lvlJc w:val="left"/>
      <w:pPr>
        <w:tabs>
          <w:tab w:val="num" w:pos="926"/>
        </w:tabs>
        <w:ind w:left="926" w:hanging="360"/>
      </w:pPr>
      <w:rPr>
        <w:rFonts w:ascii="Symbol" w:hAnsi="Symbol" w:hint="default"/>
      </w:rPr>
    </w:lvl>
  </w:abstractNum>
  <w:abstractNum w:abstractNumId="1">
    <w:nsid w:val="01E60F0F"/>
    <w:multiLevelType w:val="hybridMultilevel"/>
    <w:tmpl w:val="2C32E512"/>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544293A"/>
    <w:multiLevelType w:val="hybridMultilevel"/>
    <w:tmpl w:val="3F34110A"/>
    <w:lvl w:ilvl="0" w:tplc="080A000F">
      <w:start w:val="1"/>
      <w:numFmt w:val="decimal"/>
      <w:lvlText w:val="%1."/>
      <w:lvlJc w:val="left"/>
      <w:pPr>
        <w:ind w:left="1440" w:hanging="72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
    <w:nsid w:val="07DD6841"/>
    <w:multiLevelType w:val="hybridMultilevel"/>
    <w:tmpl w:val="86526A06"/>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4">
    <w:nsid w:val="08683A06"/>
    <w:multiLevelType w:val="hybridMultilevel"/>
    <w:tmpl w:val="79FC247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10CB0008"/>
    <w:multiLevelType w:val="hybridMultilevel"/>
    <w:tmpl w:val="0720A7AA"/>
    <w:lvl w:ilvl="0" w:tplc="2A80F3D0">
      <w:start w:val="1"/>
      <w:numFmt w:val="upperRoman"/>
      <w:lvlText w:val="%1."/>
      <w:lvlJc w:val="left"/>
      <w:pPr>
        <w:ind w:left="1485" w:hanging="720"/>
      </w:pPr>
      <w:rPr>
        <w:rFonts w:hint="default"/>
      </w:rPr>
    </w:lvl>
    <w:lvl w:ilvl="1" w:tplc="080A0019" w:tentative="1">
      <w:start w:val="1"/>
      <w:numFmt w:val="lowerLetter"/>
      <w:lvlText w:val="%2."/>
      <w:lvlJc w:val="left"/>
      <w:pPr>
        <w:ind w:left="1845" w:hanging="360"/>
      </w:pPr>
    </w:lvl>
    <w:lvl w:ilvl="2" w:tplc="080A001B" w:tentative="1">
      <w:start w:val="1"/>
      <w:numFmt w:val="lowerRoman"/>
      <w:lvlText w:val="%3."/>
      <w:lvlJc w:val="right"/>
      <w:pPr>
        <w:ind w:left="2565" w:hanging="180"/>
      </w:pPr>
    </w:lvl>
    <w:lvl w:ilvl="3" w:tplc="080A000F" w:tentative="1">
      <w:start w:val="1"/>
      <w:numFmt w:val="decimal"/>
      <w:lvlText w:val="%4."/>
      <w:lvlJc w:val="left"/>
      <w:pPr>
        <w:ind w:left="3285" w:hanging="360"/>
      </w:pPr>
    </w:lvl>
    <w:lvl w:ilvl="4" w:tplc="080A0019" w:tentative="1">
      <w:start w:val="1"/>
      <w:numFmt w:val="lowerLetter"/>
      <w:lvlText w:val="%5."/>
      <w:lvlJc w:val="left"/>
      <w:pPr>
        <w:ind w:left="4005" w:hanging="360"/>
      </w:pPr>
    </w:lvl>
    <w:lvl w:ilvl="5" w:tplc="080A001B" w:tentative="1">
      <w:start w:val="1"/>
      <w:numFmt w:val="lowerRoman"/>
      <w:lvlText w:val="%6."/>
      <w:lvlJc w:val="right"/>
      <w:pPr>
        <w:ind w:left="4725" w:hanging="180"/>
      </w:pPr>
    </w:lvl>
    <w:lvl w:ilvl="6" w:tplc="080A000F" w:tentative="1">
      <w:start w:val="1"/>
      <w:numFmt w:val="decimal"/>
      <w:lvlText w:val="%7."/>
      <w:lvlJc w:val="left"/>
      <w:pPr>
        <w:ind w:left="5445" w:hanging="360"/>
      </w:pPr>
    </w:lvl>
    <w:lvl w:ilvl="7" w:tplc="080A0019" w:tentative="1">
      <w:start w:val="1"/>
      <w:numFmt w:val="lowerLetter"/>
      <w:lvlText w:val="%8."/>
      <w:lvlJc w:val="left"/>
      <w:pPr>
        <w:ind w:left="6165" w:hanging="360"/>
      </w:pPr>
    </w:lvl>
    <w:lvl w:ilvl="8" w:tplc="080A001B" w:tentative="1">
      <w:start w:val="1"/>
      <w:numFmt w:val="lowerRoman"/>
      <w:lvlText w:val="%9."/>
      <w:lvlJc w:val="right"/>
      <w:pPr>
        <w:ind w:left="6885" w:hanging="180"/>
      </w:pPr>
    </w:lvl>
  </w:abstractNum>
  <w:abstractNum w:abstractNumId="6">
    <w:nsid w:val="11B63009"/>
    <w:multiLevelType w:val="hybridMultilevel"/>
    <w:tmpl w:val="028ADAE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17DF017D"/>
    <w:multiLevelType w:val="hybridMultilevel"/>
    <w:tmpl w:val="A3B6ED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18621EE4"/>
    <w:multiLevelType w:val="hybridMultilevel"/>
    <w:tmpl w:val="E81E6D1C"/>
    <w:lvl w:ilvl="0" w:tplc="30D85BAE">
      <w:start w:val="1"/>
      <w:numFmt w:val="decimal"/>
      <w:lvlText w:val="%1)"/>
      <w:lvlJc w:val="left"/>
      <w:pPr>
        <w:ind w:left="720" w:hanging="360"/>
      </w:pPr>
      <w:rPr>
        <w:rFont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1E776399"/>
    <w:multiLevelType w:val="hybridMultilevel"/>
    <w:tmpl w:val="4A96CC4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201339B5"/>
    <w:multiLevelType w:val="hybridMultilevel"/>
    <w:tmpl w:val="2B500EC8"/>
    <w:lvl w:ilvl="0" w:tplc="080A000B">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1">
    <w:nsid w:val="2E360DEA"/>
    <w:multiLevelType w:val="hybridMultilevel"/>
    <w:tmpl w:val="005AFEEA"/>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2">
    <w:nsid w:val="30462314"/>
    <w:multiLevelType w:val="hybridMultilevel"/>
    <w:tmpl w:val="BB568318"/>
    <w:lvl w:ilvl="0" w:tplc="367A78EE">
      <w:start w:val="3"/>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37074847"/>
    <w:multiLevelType w:val="hybridMultilevel"/>
    <w:tmpl w:val="3F286E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3FCF25E3"/>
    <w:multiLevelType w:val="hybridMultilevel"/>
    <w:tmpl w:val="441408EA"/>
    <w:lvl w:ilvl="0" w:tplc="A75606D4">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50006265"/>
    <w:multiLevelType w:val="hybridMultilevel"/>
    <w:tmpl w:val="47D63C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5160252F"/>
    <w:multiLevelType w:val="hybridMultilevel"/>
    <w:tmpl w:val="255CA61C"/>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7">
    <w:nsid w:val="64DB61B5"/>
    <w:multiLevelType w:val="hybridMultilevel"/>
    <w:tmpl w:val="1C7ACA34"/>
    <w:lvl w:ilvl="0" w:tplc="DE6C5B06">
      <w:start w:val="1"/>
      <w:numFmt w:val="upperRoman"/>
      <w:lvlText w:val="%1."/>
      <w:lvlJc w:val="left"/>
      <w:pPr>
        <w:ind w:left="1080" w:hanging="720"/>
      </w:pPr>
      <w:rPr>
        <w:rFonts w:hint="default"/>
      </w:rPr>
    </w:lvl>
    <w:lvl w:ilvl="1" w:tplc="E0E8D1C6">
      <w:start w:val="2"/>
      <w:numFmt w:val="bullet"/>
      <w:lvlText w:val="•"/>
      <w:lvlJc w:val="left"/>
      <w:pPr>
        <w:ind w:left="1440" w:hanging="360"/>
      </w:pPr>
      <w:rPr>
        <w:rFonts w:ascii="Palatino Linotype" w:eastAsia="Times New Roman" w:hAnsi="Palatino Linotype" w:cs="Tahoma"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67602B3A"/>
    <w:multiLevelType w:val="hybridMultilevel"/>
    <w:tmpl w:val="F6EEA04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69110452"/>
    <w:multiLevelType w:val="hybridMultilevel"/>
    <w:tmpl w:val="093CA882"/>
    <w:lvl w:ilvl="0" w:tplc="C71E471E">
      <w:start w:val="1"/>
      <w:numFmt w:val="lowerRoman"/>
      <w:lvlText w:val="%1)"/>
      <w:lvlJc w:val="left"/>
      <w:pPr>
        <w:ind w:left="144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6E2A2077"/>
    <w:multiLevelType w:val="hybridMultilevel"/>
    <w:tmpl w:val="6DA6DC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718122CB"/>
    <w:multiLevelType w:val="hybridMultilevel"/>
    <w:tmpl w:val="8E3C0670"/>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77A67905"/>
    <w:multiLevelType w:val="hybridMultilevel"/>
    <w:tmpl w:val="74542EB4"/>
    <w:lvl w:ilvl="0" w:tplc="B6DA44D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2"/>
  </w:num>
  <w:num w:numId="2">
    <w:abstractNumId w:val="0"/>
  </w:num>
  <w:num w:numId="3">
    <w:abstractNumId w:val="15"/>
  </w:num>
  <w:num w:numId="4">
    <w:abstractNumId w:val="6"/>
  </w:num>
  <w:num w:numId="5">
    <w:abstractNumId w:val="5"/>
  </w:num>
  <w:num w:numId="6">
    <w:abstractNumId w:val="21"/>
  </w:num>
  <w:num w:numId="7">
    <w:abstractNumId w:val="1"/>
  </w:num>
  <w:num w:numId="8">
    <w:abstractNumId w:val="10"/>
  </w:num>
  <w:num w:numId="9">
    <w:abstractNumId w:val="11"/>
  </w:num>
  <w:num w:numId="10">
    <w:abstractNumId w:val="14"/>
  </w:num>
  <w:num w:numId="11">
    <w:abstractNumId w:val="17"/>
  </w:num>
  <w:num w:numId="12">
    <w:abstractNumId w:val="18"/>
  </w:num>
  <w:num w:numId="13">
    <w:abstractNumId w:val="7"/>
  </w:num>
  <w:num w:numId="14">
    <w:abstractNumId w:val="20"/>
  </w:num>
  <w:num w:numId="15">
    <w:abstractNumId w:val="13"/>
  </w:num>
  <w:num w:numId="16">
    <w:abstractNumId w:val="3"/>
  </w:num>
  <w:num w:numId="17">
    <w:abstractNumId w:val="16"/>
  </w:num>
  <w:num w:numId="18">
    <w:abstractNumId w:val="9"/>
  </w:num>
  <w:num w:numId="19">
    <w:abstractNumId w:val="4"/>
  </w:num>
  <w:num w:numId="20">
    <w:abstractNumId w:val="22"/>
  </w:num>
  <w:num w:numId="21">
    <w:abstractNumId w:val="2"/>
  </w:num>
  <w:num w:numId="22">
    <w:abstractNumId w:val="8"/>
  </w:num>
  <w:num w:numId="23">
    <w:abstractNumId w:val="19"/>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 w:vendorID="64" w:dllVersion="6" w:nlCheck="1" w:checkStyle="1"/>
  <w:activeWritingStyle w:appName="MSWord" w:lang="es-MX" w:vendorID="64" w:dllVersion="6" w:nlCheck="1" w:checkStyle="1"/>
  <w:activeWritingStyle w:appName="MSWord" w:lang="es-ES_tradnl" w:vendorID="64" w:dllVersion="6" w:nlCheck="1" w:checkStyle="1"/>
  <w:activeWritingStyle w:appName="MSWord" w:lang="es-AR" w:vendorID="64" w:dllVersion="6" w:nlCheck="1" w:checkStyle="1"/>
  <w:activeWritingStyle w:appName="MSWord" w:lang="es-CO" w:vendorID="64" w:dllVersion="6" w:nlCheck="1" w:checkStyle="1"/>
  <w:activeWritingStyle w:appName="MSWord" w:lang="es-ES" w:vendorID="64" w:dllVersion="0" w:nlCheck="1" w:checkStyle="0"/>
  <w:activeWritingStyle w:appName="MSWord" w:lang="es-MX" w:vendorID="64" w:dllVersion="0" w:nlCheck="1" w:checkStyle="0"/>
  <w:activeWritingStyle w:appName="MSWord" w:lang="es-ES_tradnl" w:vendorID="64" w:dllVersion="0" w:nlCheck="1" w:checkStyle="0"/>
  <w:activeWritingStyle w:appName="MSWord" w:lang="es-ES" w:vendorID="64" w:dllVersion="4096" w:nlCheck="1" w:checkStyle="0"/>
  <w:activeWritingStyle w:appName="MSWord" w:lang="es-ES_tradnl" w:vendorID="64" w:dllVersion="4096" w:nlCheck="1" w:checkStyle="0"/>
  <w:activeWritingStyle w:appName="MSWord" w:lang="es-MX" w:vendorID="64" w:dllVersion="4096" w:nlCheck="1" w:checkStyle="0"/>
  <w:activeWritingStyle w:appName="MSWord" w:lang="es-MX" w:vendorID="64" w:dllVersion="131078" w:nlCheck="1" w:checkStyle="1"/>
  <w:activeWritingStyle w:appName="MSWord" w:lang="es-ES" w:vendorID="64" w:dllVersion="131078" w:nlCheck="1" w:checkStyle="1"/>
  <w:activeWritingStyle w:appName="MSWord" w:lang="es-ES_tradnl" w:vendorID="64" w:dllVersion="131078" w:nlCheck="1" w:checkStyle="1"/>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648"/>
    <w:rsid w:val="000006E1"/>
    <w:rsid w:val="00000739"/>
    <w:rsid w:val="00000D12"/>
    <w:rsid w:val="00001AA1"/>
    <w:rsid w:val="00001B65"/>
    <w:rsid w:val="000023D4"/>
    <w:rsid w:val="000023E2"/>
    <w:rsid w:val="000024F6"/>
    <w:rsid w:val="00002575"/>
    <w:rsid w:val="000026C2"/>
    <w:rsid w:val="0000274C"/>
    <w:rsid w:val="00002FBE"/>
    <w:rsid w:val="00003182"/>
    <w:rsid w:val="00003C42"/>
    <w:rsid w:val="00003F5B"/>
    <w:rsid w:val="000041F0"/>
    <w:rsid w:val="00004981"/>
    <w:rsid w:val="00004B1F"/>
    <w:rsid w:val="00004B3B"/>
    <w:rsid w:val="000053DB"/>
    <w:rsid w:val="0000568D"/>
    <w:rsid w:val="00005DEA"/>
    <w:rsid w:val="00006AEC"/>
    <w:rsid w:val="00007133"/>
    <w:rsid w:val="00007349"/>
    <w:rsid w:val="000074FA"/>
    <w:rsid w:val="0000766A"/>
    <w:rsid w:val="00007CE9"/>
    <w:rsid w:val="00007DDC"/>
    <w:rsid w:val="00010367"/>
    <w:rsid w:val="0001095D"/>
    <w:rsid w:val="0001176F"/>
    <w:rsid w:val="00012129"/>
    <w:rsid w:val="000121F1"/>
    <w:rsid w:val="00012388"/>
    <w:rsid w:val="00012D74"/>
    <w:rsid w:val="0001326A"/>
    <w:rsid w:val="000132BA"/>
    <w:rsid w:val="0001395B"/>
    <w:rsid w:val="00013E9E"/>
    <w:rsid w:val="000141D5"/>
    <w:rsid w:val="00014256"/>
    <w:rsid w:val="0001448F"/>
    <w:rsid w:val="00014521"/>
    <w:rsid w:val="00014551"/>
    <w:rsid w:val="000145B3"/>
    <w:rsid w:val="00014682"/>
    <w:rsid w:val="000149A7"/>
    <w:rsid w:val="00014D7E"/>
    <w:rsid w:val="00015119"/>
    <w:rsid w:val="000151C8"/>
    <w:rsid w:val="000154A8"/>
    <w:rsid w:val="0001594F"/>
    <w:rsid w:val="00015BB7"/>
    <w:rsid w:val="00015BDA"/>
    <w:rsid w:val="00016059"/>
    <w:rsid w:val="00016170"/>
    <w:rsid w:val="00016555"/>
    <w:rsid w:val="000169F7"/>
    <w:rsid w:val="00016E80"/>
    <w:rsid w:val="00017203"/>
    <w:rsid w:val="0001757A"/>
    <w:rsid w:val="000176C5"/>
    <w:rsid w:val="00017899"/>
    <w:rsid w:val="00017DEC"/>
    <w:rsid w:val="000208EF"/>
    <w:rsid w:val="00020AF4"/>
    <w:rsid w:val="00020DB3"/>
    <w:rsid w:val="00021550"/>
    <w:rsid w:val="000215E2"/>
    <w:rsid w:val="00021A61"/>
    <w:rsid w:val="00021B72"/>
    <w:rsid w:val="00021FDB"/>
    <w:rsid w:val="00022392"/>
    <w:rsid w:val="000223A3"/>
    <w:rsid w:val="00022ECC"/>
    <w:rsid w:val="000235D2"/>
    <w:rsid w:val="0002401E"/>
    <w:rsid w:val="00024543"/>
    <w:rsid w:val="00024A6B"/>
    <w:rsid w:val="00024A9A"/>
    <w:rsid w:val="00024AC5"/>
    <w:rsid w:val="00025298"/>
    <w:rsid w:val="00025299"/>
    <w:rsid w:val="00025366"/>
    <w:rsid w:val="00025950"/>
    <w:rsid w:val="00025A32"/>
    <w:rsid w:val="00025F0D"/>
    <w:rsid w:val="0002649B"/>
    <w:rsid w:val="000265F8"/>
    <w:rsid w:val="00026E3B"/>
    <w:rsid w:val="00026F66"/>
    <w:rsid w:val="00027165"/>
    <w:rsid w:val="000272DE"/>
    <w:rsid w:val="0002753D"/>
    <w:rsid w:val="00027B19"/>
    <w:rsid w:val="000302DF"/>
    <w:rsid w:val="00030445"/>
    <w:rsid w:val="000306DD"/>
    <w:rsid w:val="00030799"/>
    <w:rsid w:val="00030B88"/>
    <w:rsid w:val="00030C6C"/>
    <w:rsid w:val="0003133C"/>
    <w:rsid w:val="00032007"/>
    <w:rsid w:val="00032E4B"/>
    <w:rsid w:val="00033820"/>
    <w:rsid w:val="000338F5"/>
    <w:rsid w:val="00033AB3"/>
    <w:rsid w:val="00033B37"/>
    <w:rsid w:val="00034003"/>
    <w:rsid w:val="0003424A"/>
    <w:rsid w:val="00034466"/>
    <w:rsid w:val="000344A3"/>
    <w:rsid w:val="00034C6C"/>
    <w:rsid w:val="00034ECC"/>
    <w:rsid w:val="000351A5"/>
    <w:rsid w:val="00035621"/>
    <w:rsid w:val="000357A7"/>
    <w:rsid w:val="00035880"/>
    <w:rsid w:val="00035CA2"/>
    <w:rsid w:val="00035FA1"/>
    <w:rsid w:val="00036178"/>
    <w:rsid w:val="0003644F"/>
    <w:rsid w:val="0003681E"/>
    <w:rsid w:val="00036A62"/>
    <w:rsid w:val="00036AF5"/>
    <w:rsid w:val="00036D51"/>
    <w:rsid w:val="0003789D"/>
    <w:rsid w:val="00037904"/>
    <w:rsid w:val="00037C3E"/>
    <w:rsid w:val="00037D55"/>
    <w:rsid w:val="000406D1"/>
    <w:rsid w:val="000408E6"/>
    <w:rsid w:val="00040AFD"/>
    <w:rsid w:val="00040BD0"/>
    <w:rsid w:val="00040F01"/>
    <w:rsid w:val="00041861"/>
    <w:rsid w:val="00041968"/>
    <w:rsid w:val="000419B9"/>
    <w:rsid w:val="00041E53"/>
    <w:rsid w:val="00042499"/>
    <w:rsid w:val="00042D1E"/>
    <w:rsid w:val="00043052"/>
    <w:rsid w:val="00043810"/>
    <w:rsid w:val="000440F2"/>
    <w:rsid w:val="00044238"/>
    <w:rsid w:val="00044295"/>
    <w:rsid w:val="00044302"/>
    <w:rsid w:val="00044653"/>
    <w:rsid w:val="000457C8"/>
    <w:rsid w:val="00045B17"/>
    <w:rsid w:val="000464C0"/>
    <w:rsid w:val="00046DEB"/>
    <w:rsid w:val="000470F2"/>
    <w:rsid w:val="000470FE"/>
    <w:rsid w:val="000473AA"/>
    <w:rsid w:val="000473B3"/>
    <w:rsid w:val="00047622"/>
    <w:rsid w:val="000476A2"/>
    <w:rsid w:val="00047D51"/>
    <w:rsid w:val="00047E69"/>
    <w:rsid w:val="0005078C"/>
    <w:rsid w:val="00051975"/>
    <w:rsid w:val="000530F8"/>
    <w:rsid w:val="0005336D"/>
    <w:rsid w:val="00053829"/>
    <w:rsid w:val="00053C62"/>
    <w:rsid w:val="000546CC"/>
    <w:rsid w:val="00054B4C"/>
    <w:rsid w:val="0005547F"/>
    <w:rsid w:val="000559AB"/>
    <w:rsid w:val="000559F8"/>
    <w:rsid w:val="00055A97"/>
    <w:rsid w:val="00056302"/>
    <w:rsid w:val="0005637D"/>
    <w:rsid w:val="0005640C"/>
    <w:rsid w:val="00056A69"/>
    <w:rsid w:val="00056C16"/>
    <w:rsid w:val="00057386"/>
    <w:rsid w:val="0005759C"/>
    <w:rsid w:val="0005767C"/>
    <w:rsid w:val="00057B34"/>
    <w:rsid w:val="00060185"/>
    <w:rsid w:val="00060500"/>
    <w:rsid w:val="000606CB"/>
    <w:rsid w:val="000607E3"/>
    <w:rsid w:val="00060BBA"/>
    <w:rsid w:val="00060C59"/>
    <w:rsid w:val="000610D8"/>
    <w:rsid w:val="0006110D"/>
    <w:rsid w:val="0006148B"/>
    <w:rsid w:val="00061CBB"/>
    <w:rsid w:val="00062167"/>
    <w:rsid w:val="00063573"/>
    <w:rsid w:val="00063717"/>
    <w:rsid w:val="000638CC"/>
    <w:rsid w:val="00063DF5"/>
    <w:rsid w:val="00063E57"/>
    <w:rsid w:val="000644BE"/>
    <w:rsid w:val="00064682"/>
    <w:rsid w:val="00064FF9"/>
    <w:rsid w:val="00065029"/>
    <w:rsid w:val="000650FA"/>
    <w:rsid w:val="00066134"/>
    <w:rsid w:val="00066BAA"/>
    <w:rsid w:val="00066BE9"/>
    <w:rsid w:val="00066F09"/>
    <w:rsid w:val="00066F7A"/>
    <w:rsid w:val="00067149"/>
    <w:rsid w:val="00067D83"/>
    <w:rsid w:val="00067EBE"/>
    <w:rsid w:val="00070034"/>
    <w:rsid w:val="0007007A"/>
    <w:rsid w:val="000708D5"/>
    <w:rsid w:val="00070E4A"/>
    <w:rsid w:val="00071A97"/>
    <w:rsid w:val="00071C6C"/>
    <w:rsid w:val="00071CBC"/>
    <w:rsid w:val="00071D9F"/>
    <w:rsid w:val="0007202E"/>
    <w:rsid w:val="00072101"/>
    <w:rsid w:val="00072431"/>
    <w:rsid w:val="00072998"/>
    <w:rsid w:val="00072FC0"/>
    <w:rsid w:val="000732FF"/>
    <w:rsid w:val="000734C5"/>
    <w:rsid w:val="0007380A"/>
    <w:rsid w:val="000746C9"/>
    <w:rsid w:val="00074B17"/>
    <w:rsid w:val="00074E94"/>
    <w:rsid w:val="00075015"/>
    <w:rsid w:val="000754EB"/>
    <w:rsid w:val="00075CD7"/>
    <w:rsid w:val="0007607B"/>
    <w:rsid w:val="00076330"/>
    <w:rsid w:val="0007652E"/>
    <w:rsid w:val="000766C8"/>
    <w:rsid w:val="00076B85"/>
    <w:rsid w:val="00076EEA"/>
    <w:rsid w:val="00076FFA"/>
    <w:rsid w:val="0007721A"/>
    <w:rsid w:val="000775A4"/>
    <w:rsid w:val="0007794D"/>
    <w:rsid w:val="0007798E"/>
    <w:rsid w:val="000779EE"/>
    <w:rsid w:val="00077B7C"/>
    <w:rsid w:val="00077D7E"/>
    <w:rsid w:val="00077F29"/>
    <w:rsid w:val="00080086"/>
    <w:rsid w:val="00080185"/>
    <w:rsid w:val="000806B8"/>
    <w:rsid w:val="00080CA0"/>
    <w:rsid w:val="00081A5E"/>
    <w:rsid w:val="00081D22"/>
    <w:rsid w:val="00081DCD"/>
    <w:rsid w:val="00082165"/>
    <w:rsid w:val="000821DF"/>
    <w:rsid w:val="00082AEF"/>
    <w:rsid w:val="00082AFC"/>
    <w:rsid w:val="000831D1"/>
    <w:rsid w:val="000831F0"/>
    <w:rsid w:val="00083976"/>
    <w:rsid w:val="000839A1"/>
    <w:rsid w:val="00084798"/>
    <w:rsid w:val="00084F44"/>
    <w:rsid w:val="0008531B"/>
    <w:rsid w:val="0008532C"/>
    <w:rsid w:val="0008542A"/>
    <w:rsid w:val="00085D4A"/>
    <w:rsid w:val="00085F4B"/>
    <w:rsid w:val="00086105"/>
    <w:rsid w:val="000867B6"/>
    <w:rsid w:val="00086AA4"/>
    <w:rsid w:val="00086C1F"/>
    <w:rsid w:val="0008790A"/>
    <w:rsid w:val="0008798F"/>
    <w:rsid w:val="00087F07"/>
    <w:rsid w:val="00087F26"/>
    <w:rsid w:val="00090450"/>
    <w:rsid w:val="000905D6"/>
    <w:rsid w:val="000906BF"/>
    <w:rsid w:val="000907D5"/>
    <w:rsid w:val="00090E23"/>
    <w:rsid w:val="000910EC"/>
    <w:rsid w:val="000910F7"/>
    <w:rsid w:val="000914B2"/>
    <w:rsid w:val="00091A1B"/>
    <w:rsid w:val="00091C8A"/>
    <w:rsid w:val="000922DA"/>
    <w:rsid w:val="000931F8"/>
    <w:rsid w:val="00093E8D"/>
    <w:rsid w:val="000942DA"/>
    <w:rsid w:val="000943AF"/>
    <w:rsid w:val="00094772"/>
    <w:rsid w:val="0009499F"/>
    <w:rsid w:val="00095680"/>
    <w:rsid w:val="000957AA"/>
    <w:rsid w:val="00095862"/>
    <w:rsid w:val="000959B4"/>
    <w:rsid w:val="00095CED"/>
    <w:rsid w:val="00095D75"/>
    <w:rsid w:val="00096029"/>
    <w:rsid w:val="00096190"/>
    <w:rsid w:val="00096231"/>
    <w:rsid w:val="000970AD"/>
    <w:rsid w:val="0009710B"/>
    <w:rsid w:val="00097687"/>
    <w:rsid w:val="00097DFA"/>
    <w:rsid w:val="000A025A"/>
    <w:rsid w:val="000A02C3"/>
    <w:rsid w:val="000A05A0"/>
    <w:rsid w:val="000A0A47"/>
    <w:rsid w:val="000A0CF8"/>
    <w:rsid w:val="000A13CA"/>
    <w:rsid w:val="000A18A9"/>
    <w:rsid w:val="000A1D24"/>
    <w:rsid w:val="000A1E2C"/>
    <w:rsid w:val="000A2041"/>
    <w:rsid w:val="000A26DC"/>
    <w:rsid w:val="000A2BD0"/>
    <w:rsid w:val="000A2D0C"/>
    <w:rsid w:val="000A31D0"/>
    <w:rsid w:val="000A3394"/>
    <w:rsid w:val="000A3465"/>
    <w:rsid w:val="000A4685"/>
    <w:rsid w:val="000A489D"/>
    <w:rsid w:val="000A48A8"/>
    <w:rsid w:val="000A4ADC"/>
    <w:rsid w:val="000A4AEF"/>
    <w:rsid w:val="000A5739"/>
    <w:rsid w:val="000A5A50"/>
    <w:rsid w:val="000A5A52"/>
    <w:rsid w:val="000A5ED9"/>
    <w:rsid w:val="000A6219"/>
    <w:rsid w:val="000A6402"/>
    <w:rsid w:val="000A6A7F"/>
    <w:rsid w:val="000A6B77"/>
    <w:rsid w:val="000A7047"/>
    <w:rsid w:val="000A7568"/>
    <w:rsid w:val="000A7741"/>
    <w:rsid w:val="000B04AB"/>
    <w:rsid w:val="000B0865"/>
    <w:rsid w:val="000B0E9A"/>
    <w:rsid w:val="000B13BC"/>
    <w:rsid w:val="000B164B"/>
    <w:rsid w:val="000B1AF8"/>
    <w:rsid w:val="000B1E5C"/>
    <w:rsid w:val="000B202F"/>
    <w:rsid w:val="000B2442"/>
    <w:rsid w:val="000B25ED"/>
    <w:rsid w:val="000B282E"/>
    <w:rsid w:val="000B30A0"/>
    <w:rsid w:val="000B30BC"/>
    <w:rsid w:val="000B3390"/>
    <w:rsid w:val="000B38D6"/>
    <w:rsid w:val="000B39E4"/>
    <w:rsid w:val="000B3FFD"/>
    <w:rsid w:val="000B42EA"/>
    <w:rsid w:val="000B4397"/>
    <w:rsid w:val="000B440F"/>
    <w:rsid w:val="000B460A"/>
    <w:rsid w:val="000B4639"/>
    <w:rsid w:val="000B5360"/>
    <w:rsid w:val="000B5437"/>
    <w:rsid w:val="000B5481"/>
    <w:rsid w:val="000B5555"/>
    <w:rsid w:val="000B55BF"/>
    <w:rsid w:val="000B5CDE"/>
    <w:rsid w:val="000B5F0E"/>
    <w:rsid w:val="000B6357"/>
    <w:rsid w:val="000B6573"/>
    <w:rsid w:val="000B69AE"/>
    <w:rsid w:val="000B6B38"/>
    <w:rsid w:val="000B6B4B"/>
    <w:rsid w:val="000B7135"/>
    <w:rsid w:val="000B7258"/>
    <w:rsid w:val="000B72CA"/>
    <w:rsid w:val="000B7486"/>
    <w:rsid w:val="000B782E"/>
    <w:rsid w:val="000B7867"/>
    <w:rsid w:val="000B7CC3"/>
    <w:rsid w:val="000C01A9"/>
    <w:rsid w:val="000C0284"/>
    <w:rsid w:val="000C05D1"/>
    <w:rsid w:val="000C073F"/>
    <w:rsid w:val="000C07B1"/>
    <w:rsid w:val="000C096A"/>
    <w:rsid w:val="000C0BB1"/>
    <w:rsid w:val="000C0FC2"/>
    <w:rsid w:val="000C1C81"/>
    <w:rsid w:val="000C2B11"/>
    <w:rsid w:val="000C30D9"/>
    <w:rsid w:val="000C30F6"/>
    <w:rsid w:val="000C36AB"/>
    <w:rsid w:val="000C3A4C"/>
    <w:rsid w:val="000C3ADF"/>
    <w:rsid w:val="000C3BC6"/>
    <w:rsid w:val="000C4352"/>
    <w:rsid w:val="000C4453"/>
    <w:rsid w:val="000C4583"/>
    <w:rsid w:val="000C46A7"/>
    <w:rsid w:val="000C4742"/>
    <w:rsid w:val="000C4FC4"/>
    <w:rsid w:val="000C5DDC"/>
    <w:rsid w:val="000C5ECF"/>
    <w:rsid w:val="000C6A05"/>
    <w:rsid w:val="000C702A"/>
    <w:rsid w:val="000C7091"/>
    <w:rsid w:val="000C7BB4"/>
    <w:rsid w:val="000C7BF2"/>
    <w:rsid w:val="000D03E1"/>
    <w:rsid w:val="000D06E4"/>
    <w:rsid w:val="000D0E47"/>
    <w:rsid w:val="000D1043"/>
    <w:rsid w:val="000D12A1"/>
    <w:rsid w:val="000D13AF"/>
    <w:rsid w:val="000D14BF"/>
    <w:rsid w:val="000D160E"/>
    <w:rsid w:val="000D187F"/>
    <w:rsid w:val="000D1AEF"/>
    <w:rsid w:val="000D1E9D"/>
    <w:rsid w:val="000D1F26"/>
    <w:rsid w:val="000D22C1"/>
    <w:rsid w:val="000D2317"/>
    <w:rsid w:val="000D26EB"/>
    <w:rsid w:val="000D287A"/>
    <w:rsid w:val="000D2AC1"/>
    <w:rsid w:val="000D2D89"/>
    <w:rsid w:val="000D2E1A"/>
    <w:rsid w:val="000D366B"/>
    <w:rsid w:val="000D3A56"/>
    <w:rsid w:val="000D4269"/>
    <w:rsid w:val="000D42EF"/>
    <w:rsid w:val="000D45A0"/>
    <w:rsid w:val="000D4F1A"/>
    <w:rsid w:val="000D5129"/>
    <w:rsid w:val="000D5790"/>
    <w:rsid w:val="000D5E9F"/>
    <w:rsid w:val="000D63BF"/>
    <w:rsid w:val="000D6E17"/>
    <w:rsid w:val="000D6F3D"/>
    <w:rsid w:val="000D6F81"/>
    <w:rsid w:val="000D6FA7"/>
    <w:rsid w:val="000E1104"/>
    <w:rsid w:val="000E126B"/>
    <w:rsid w:val="000E14DD"/>
    <w:rsid w:val="000E1A7B"/>
    <w:rsid w:val="000E1B7F"/>
    <w:rsid w:val="000E1EA1"/>
    <w:rsid w:val="000E2295"/>
    <w:rsid w:val="000E22A4"/>
    <w:rsid w:val="000E23D7"/>
    <w:rsid w:val="000E259B"/>
    <w:rsid w:val="000E2727"/>
    <w:rsid w:val="000E2974"/>
    <w:rsid w:val="000E2BDC"/>
    <w:rsid w:val="000E2E79"/>
    <w:rsid w:val="000E2FAC"/>
    <w:rsid w:val="000E3219"/>
    <w:rsid w:val="000E32A9"/>
    <w:rsid w:val="000E34AF"/>
    <w:rsid w:val="000E3B4F"/>
    <w:rsid w:val="000E3CB5"/>
    <w:rsid w:val="000E3DD1"/>
    <w:rsid w:val="000E40F5"/>
    <w:rsid w:val="000E4151"/>
    <w:rsid w:val="000E4499"/>
    <w:rsid w:val="000E45AB"/>
    <w:rsid w:val="000E48D2"/>
    <w:rsid w:val="000E4919"/>
    <w:rsid w:val="000E4947"/>
    <w:rsid w:val="000E4B33"/>
    <w:rsid w:val="000E5049"/>
    <w:rsid w:val="000E5877"/>
    <w:rsid w:val="000E592A"/>
    <w:rsid w:val="000E70AD"/>
    <w:rsid w:val="000E7AFA"/>
    <w:rsid w:val="000F0445"/>
    <w:rsid w:val="000F0A63"/>
    <w:rsid w:val="000F0B2B"/>
    <w:rsid w:val="000F0B6A"/>
    <w:rsid w:val="000F0FF5"/>
    <w:rsid w:val="000F15B8"/>
    <w:rsid w:val="000F1A31"/>
    <w:rsid w:val="000F1BD5"/>
    <w:rsid w:val="000F1DDC"/>
    <w:rsid w:val="000F23A9"/>
    <w:rsid w:val="000F2F43"/>
    <w:rsid w:val="000F3214"/>
    <w:rsid w:val="000F32FD"/>
    <w:rsid w:val="000F36CA"/>
    <w:rsid w:val="000F3B3D"/>
    <w:rsid w:val="000F3EAB"/>
    <w:rsid w:val="000F4680"/>
    <w:rsid w:val="000F46C9"/>
    <w:rsid w:val="000F4EA0"/>
    <w:rsid w:val="000F540E"/>
    <w:rsid w:val="000F54DD"/>
    <w:rsid w:val="000F6049"/>
    <w:rsid w:val="000F620C"/>
    <w:rsid w:val="000F65B7"/>
    <w:rsid w:val="000F676A"/>
    <w:rsid w:val="000F6933"/>
    <w:rsid w:val="000F70AD"/>
    <w:rsid w:val="000F70F5"/>
    <w:rsid w:val="000F73CB"/>
    <w:rsid w:val="000F7425"/>
    <w:rsid w:val="000F7BE8"/>
    <w:rsid w:val="0010030C"/>
    <w:rsid w:val="0010035E"/>
    <w:rsid w:val="00100808"/>
    <w:rsid w:val="00101844"/>
    <w:rsid w:val="00101AEB"/>
    <w:rsid w:val="00101B60"/>
    <w:rsid w:val="0010226E"/>
    <w:rsid w:val="00102A68"/>
    <w:rsid w:val="00103A50"/>
    <w:rsid w:val="00103DCE"/>
    <w:rsid w:val="00103F07"/>
    <w:rsid w:val="001047CE"/>
    <w:rsid w:val="00104D59"/>
    <w:rsid w:val="001056ED"/>
    <w:rsid w:val="00105721"/>
    <w:rsid w:val="0010592C"/>
    <w:rsid w:val="001059F8"/>
    <w:rsid w:val="00105B0D"/>
    <w:rsid w:val="001061B6"/>
    <w:rsid w:val="001063B4"/>
    <w:rsid w:val="0010645C"/>
    <w:rsid w:val="001066DC"/>
    <w:rsid w:val="00106957"/>
    <w:rsid w:val="00107042"/>
    <w:rsid w:val="00107114"/>
    <w:rsid w:val="001073E0"/>
    <w:rsid w:val="00110808"/>
    <w:rsid w:val="00111668"/>
    <w:rsid w:val="00111F66"/>
    <w:rsid w:val="00112434"/>
    <w:rsid w:val="0011254C"/>
    <w:rsid w:val="00112751"/>
    <w:rsid w:val="0011276E"/>
    <w:rsid w:val="00112E84"/>
    <w:rsid w:val="001130DF"/>
    <w:rsid w:val="001131A7"/>
    <w:rsid w:val="001135C4"/>
    <w:rsid w:val="00113623"/>
    <w:rsid w:val="00113BA4"/>
    <w:rsid w:val="00113E6D"/>
    <w:rsid w:val="00113F0C"/>
    <w:rsid w:val="00114066"/>
    <w:rsid w:val="001140F8"/>
    <w:rsid w:val="0011437B"/>
    <w:rsid w:val="001144F7"/>
    <w:rsid w:val="00114785"/>
    <w:rsid w:val="00114950"/>
    <w:rsid w:val="00114F1C"/>
    <w:rsid w:val="00115142"/>
    <w:rsid w:val="00115330"/>
    <w:rsid w:val="001158D5"/>
    <w:rsid w:val="00115D45"/>
    <w:rsid w:val="00115F17"/>
    <w:rsid w:val="00117056"/>
    <w:rsid w:val="001170DB"/>
    <w:rsid w:val="00117441"/>
    <w:rsid w:val="00117585"/>
    <w:rsid w:val="0011762E"/>
    <w:rsid w:val="0011780B"/>
    <w:rsid w:val="001178C2"/>
    <w:rsid w:val="00117A90"/>
    <w:rsid w:val="00117C9E"/>
    <w:rsid w:val="001200BC"/>
    <w:rsid w:val="0012019B"/>
    <w:rsid w:val="001204F8"/>
    <w:rsid w:val="001208EF"/>
    <w:rsid w:val="00120AE0"/>
    <w:rsid w:val="00120B69"/>
    <w:rsid w:val="001217E2"/>
    <w:rsid w:val="00121809"/>
    <w:rsid w:val="00121B54"/>
    <w:rsid w:val="00121B9D"/>
    <w:rsid w:val="0012201D"/>
    <w:rsid w:val="00122389"/>
    <w:rsid w:val="001223EF"/>
    <w:rsid w:val="00122A25"/>
    <w:rsid w:val="00122C3F"/>
    <w:rsid w:val="0012477A"/>
    <w:rsid w:val="00124DD3"/>
    <w:rsid w:val="00124F20"/>
    <w:rsid w:val="00125F96"/>
    <w:rsid w:val="00125F9A"/>
    <w:rsid w:val="00126513"/>
    <w:rsid w:val="001269A9"/>
    <w:rsid w:val="00126E23"/>
    <w:rsid w:val="001273F8"/>
    <w:rsid w:val="00127BCA"/>
    <w:rsid w:val="00127C8C"/>
    <w:rsid w:val="0013048C"/>
    <w:rsid w:val="00130BC7"/>
    <w:rsid w:val="00130D2D"/>
    <w:rsid w:val="00131190"/>
    <w:rsid w:val="00131296"/>
    <w:rsid w:val="001315B8"/>
    <w:rsid w:val="00131681"/>
    <w:rsid w:val="0013272B"/>
    <w:rsid w:val="00132996"/>
    <w:rsid w:val="00132A8A"/>
    <w:rsid w:val="00132D9A"/>
    <w:rsid w:val="00132E57"/>
    <w:rsid w:val="0013363C"/>
    <w:rsid w:val="0013381E"/>
    <w:rsid w:val="001338F3"/>
    <w:rsid w:val="00133F22"/>
    <w:rsid w:val="001348A2"/>
    <w:rsid w:val="00134AEE"/>
    <w:rsid w:val="0013575F"/>
    <w:rsid w:val="0013618C"/>
    <w:rsid w:val="0013664E"/>
    <w:rsid w:val="001367F7"/>
    <w:rsid w:val="00136816"/>
    <w:rsid w:val="00136866"/>
    <w:rsid w:val="00136D1B"/>
    <w:rsid w:val="0013733D"/>
    <w:rsid w:val="00137529"/>
    <w:rsid w:val="00137997"/>
    <w:rsid w:val="00137EA0"/>
    <w:rsid w:val="00140136"/>
    <w:rsid w:val="001405F4"/>
    <w:rsid w:val="001407C2"/>
    <w:rsid w:val="00140A2C"/>
    <w:rsid w:val="001410EC"/>
    <w:rsid w:val="0014198E"/>
    <w:rsid w:val="00141AE7"/>
    <w:rsid w:val="00141E62"/>
    <w:rsid w:val="0014226C"/>
    <w:rsid w:val="00142281"/>
    <w:rsid w:val="00142421"/>
    <w:rsid w:val="00143F5D"/>
    <w:rsid w:val="0014406F"/>
    <w:rsid w:val="00144328"/>
    <w:rsid w:val="00144351"/>
    <w:rsid w:val="0014441C"/>
    <w:rsid w:val="001447E3"/>
    <w:rsid w:val="0014486E"/>
    <w:rsid w:val="00144924"/>
    <w:rsid w:val="00144AF4"/>
    <w:rsid w:val="001452F8"/>
    <w:rsid w:val="001452FC"/>
    <w:rsid w:val="0014546B"/>
    <w:rsid w:val="00145631"/>
    <w:rsid w:val="0014574E"/>
    <w:rsid w:val="001457A8"/>
    <w:rsid w:val="001458EB"/>
    <w:rsid w:val="001459A3"/>
    <w:rsid w:val="00145CC2"/>
    <w:rsid w:val="00145E32"/>
    <w:rsid w:val="00145E77"/>
    <w:rsid w:val="001462C0"/>
    <w:rsid w:val="0014632A"/>
    <w:rsid w:val="0014698D"/>
    <w:rsid w:val="001469DE"/>
    <w:rsid w:val="0014704B"/>
    <w:rsid w:val="001473DB"/>
    <w:rsid w:val="00147813"/>
    <w:rsid w:val="001478CB"/>
    <w:rsid w:val="00147957"/>
    <w:rsid w:val="00147FF3"/>
    <w:rsid w:val="00150001"/>
    <w:rsid w:val="00150488"/>
    <w:rsid w:val="00150860"/>
    <w:rsid w:val="001508D9"/>
    <w:rsid w:val="001516B6"/>
    <w:rsid w:val="0015173E"/>
    <w:rsid w:val="00151840"/>
    <w:rsid w:val="00152551"/>
    <w:rsid w:val="00152AD8"/>
    <w:rsid w:val="00152C23"/>
    <w:rsid w:val="001532CC"/>
    <w:rsid w:val="001537D5"/>
    <w:rsid w:val="00153FA8"/>
    <w:rsid w:val="00154249"/>
    <w:rsid w:val="001545A5"/>
    <w:rsid w:val="00154D5A"/>
    <w:rsid w:val="0015510A"/>
    <w:rsid w:val="00155236"/>
    <w:rsid w:val="00155695"/>
    <w:rsid w:val="00155944"/>
    <w:rsid w:val="00156179"/>
    <w:rsid w:val="0015619C"/>
    <w:rsid w:val="0015644E"/>
    <w:rsid w:val="00156976"/>
    <w:rsid w:val="00156D5A"/>
    <w:rsid w:val="0015757F"/>
    <w:rsid w:val="00157A60"/>
    <w:rsid w:val="00157D6D"/>
    <w:rsid w:val="00157E73"/>
    <w:rsid w:val="00157E82"/>
    <w:rsid w:val="00160927"/>
    <w:rsid w:val="00160A11"/>
    <w:rsid w:val="00161360"/>
    <w:rsid w:val="001613E1"/>
    <w:rsid w:val="00161FC5"/>
    <w:rsid w:val="001620FC"/>
    <w:rsid w:val="00162324"/>
    <w:rsid w:val="00162478"/>
    <w:rsid w:val="00163186"/>
    <w:rsid w:val="0016323E"/>
    <w:rsid w:val="00163292"/>
    <w:rsid w:val="001632F2"/>
    <w:rsid w:val="0016346E"/>
    <w:rsid w:val="00163EA0"/>
    <w:rsid w:val="00164333"/>
    <w:rsid w:val="001643C5"/>
    <w:rsid w:val="001643E6"/>
    <w:rsid w:val="001648B9"/>
    <w:rsid w:val="00164BD1"/>
    <w:rsid w:val="00164F0E"/>
    <w:rsid w:val="00165265"/>
    <w:rsid w:val="001656BB"/>
    <w:rsid w:val="00165C15"/>
    <w:rsid w:val="00165CAF"/>
    <w:rsid w:val="00165EBE"/>
    <w:rsid w:val="001660D8"/>
    <w:rsid w:val="001660DF"/>
    <w:rsid w:val="00166211"/>
    <w:rsid w:val="00166877"/>
    <w:rsid w:val="00166A53"/>
    <w:rsid w:val="00166BFE"/>
    <w:rsid w:val="00167222"/>
    <w:rsid w:val="0016762B"/>
    <w:rsid w:val="00167905"/>
    <w:rsid w:val="00170080"/>
    <w:rsid w:val="00170571"/>
    <w:rsid w:val="00170B7B"/>
    <w:rsid w:val="00170E1F"/>
    <w:rsid w:val="00172B98"/>
    <w:rsid w:val="00172C49"/>
    <w:rsid w:val="00172F81"/>
    <w:rsid w:val="00173064"/>
    <w:rsid w:val="001730B8"/>
    <w:rsid w:val="00173473"/>
    <w:rsid w:val="0017348F"/>
    <w:rsid w:val="00173EDB"/>
    <w:rsid w:val="0017417A"/>
    <w:rsid w:val="00174377"/>
    <w:rsid w:val="001745FF"/>
    <w:rsid w:val="00174CC6"/>
    <w:rsid w:val="0017515A"/>
    <w:rsid w:val="00175610"/>
    <w:rsid w:val="0017573A"/>
    <w:rsid w:val="001759B9"/>
    <w:rsid w:val="00175AD2"/>
    <w:rsid w:val="001765F2"/>
    <w:rsid w:val="001770A8"/>
    <w:rsid w:val="001770C7"/>
    <w:rsid w:val="001774A1"/>
    <w:rsid w:val="001777B5"/>
    <w:rsid w:val="0017791F"/>
    <w:rsid w:val="00180031"/>
    <w:rsid w:val="00180217"/>
    <w:rsid w:val="001802AD"/>
    <w:rsid w:val="001809F3"/>
    <w:rsid w:val="001811B7"/>
    <w:rsid w:val="001814C8"/>
    <w:rsid w:val="0018164D"/>
    <w:rsid w:val="0018173D"/>
    <w:rsid w:val="001824E9"/>
    <w:rsid w:val="00182CC5"/>
    <w:rsid w:val="001837BB"/>
    <w:rsid w:val="00183FFE"/>
    <w:rsid w:val="00184175"/>
    <w:rsid w:val="0018493C"/>
    <w:rsid w:val="00184ACC"/>
    <w:rsid w:val="00184AF3"/>
    <w:rsid w:val="00184BBB"/>
    <w:rsid w:val="00184CE7"/>
    <w:rsid w:val="001858A8"/>
    <w:rsid w:val="00185B5A"/>
    <w:rsid w:val="00185BAF"/>
    <w:rsid w:val="00185BF0"/>
    <w:rsid w:val="00186547"/>
    <w:rsid w:val="001869F3"/>
    <w:rsid w:val="00186ADF"/>
    <w:rsid w:val="00186E8F"/>
    <w:rsid w:val="00187FA7"/>
    <w:rsid w:val="0019006E"/>
    <w:rsid w:val="001901D8"/>
    <w:rsid w:val="001901E6"/>
    <w:rsid w:val="001903F3"/>
    <w:rsid w:val="001904AE"/>
    <w:rsid w:val="00190510"/>
    <w:rsid w:val="001905C3"/>
    <w:rsid w:val="001906BB"/>
    <w:rsid w:val="0019083E"/>
    <w:rsid w:val="001909D4"/>
    <w:rsid w:val="00191133"/>
    <w:rsid w:val="001912A3"/>
    <w:rsid w:val="00191CAF"/>
    <w:rsid w:val="001934D2"/>
    <w:rsid w:val="001938EE"/>
    <w:rsid w:val="0019412A"/>
    <w:rsid w:val="00194135"/>
    <w:rsid w:val="00194589"/>
    <w:rsid w:val="001949C4"/>
    <w:rsid w:val="00194B1A"/>
    <w:rsid w:val="00194CFF"/>
    <w:rsid w:val="00195236"/>
    <w:rsid w:val="0019545D"/>
    <w:rsid w:val="001954B6"/>
    <w:rsid w:val="001954BC"/>
    <w:rsid w:val="001955BB"/>
    <w:rsid w:val="001960D5"/>
    <w:rsid w:val="00196177"/>
    <w:rsid w:val="00196300"/>
    <w:rsid w:val="0019635D"/>
    <w:rsid w:val="00196411"/>
    <w:rsid w:val="00196A91"/>
    <w:rsid w:val="00196E46"/>
    <w:rsid w:val="00197722"/>
    <w:rsid w:val="00197A65"/>
    <w:rsid w:val="00197B17"/>
    <w:rsid w:val="00197CE4"/>
    <w:rsid w:val="00197FBA"/>
    <w:rsid w:val="001A03C8"/>
    <w:rsid w:val="001A0600"/>
    <w:rsid w:val="001A0B9A"/>
    <w:rsid w:val="001A0EB2"/>
    <w:rsid w:val="001A1388"/>
    <w:rsid w:val="001A13AD"/>
    <w:rsid w:val="001A242F"/>
    <w:rsid w:val="001A2453"/>
    <w:rsid w:val="001A281E"/>
    <w:rsid w:val="001A389C"/>
    <w:rsid w:val="001A3C8E"/>
    <w:rsid w:val="001A3DD8"/>
    <w:rsid w:val="001A3E84"/>
    <w:rsid w:val="001A3E96"/>
    <w:rsid w:val="001A3F6A"/>
    <w:rsid w:val="001A477D"/>
    <w:rsid w:val="001A49E2"/>
    <w:rsid w:val="001A4C2D"/>
    <w:rsid w:val="001A4C61"/>
    <w:rsid w:val="001A4E78"/>
    <w:rsid w:val="001A590F"/>
    <w:rsid w:val="001A5AA0"/>
    <w:rsid w:val="001A5F72"/>
    <w:rsid w:val="001A600E"/>
    <w:rsid w:val="001A6454"/>
    <w:rsid w:val="001A6687"/>
    <w:rsid w:val="001A6C29"/>
    <w:rsid w:val="001A6F14"/>
    <w:rsid w:val="001A7540"/>
    <w:rsid w:val="001A7A84"/>
    <w:rsid w:val="001A7EEA"/>
    <w:rsid w:val="001B012F"/>
    <w:rsid w:val="001B05BC"/>
    <w:rsid w:val="001B096F"/>
    <w:rsid w:val="001B0B12"/>
    <w:rsid w:val="001B0C21"/>
    <w:rsid w:val="001B0EC0"/>
    <w:rsid w:val="001B137C"/>
    <w:rsid w:val="001B1EC8"/>
    <w:rsid w:val="001B205E"/>
    <w:rsid w:val="001B210C"/>
    <w:rsid w:val="001B21D7"/>
    <w:rsid w:val="001B2402"/>
    <w:rsid w:val="001B2DEC"/>
    <w:rsid w:val="001B482C"/>
    <w:rsid w:val="001B4BD8"/>
    <w:rsid w:val="001B54F4"/>
    <w:rsid w:val="001B5836"/>
    <w:rsid w:val="001B58EB"/>
    <w:rsid w:val="001B5A73"/>
    <w:rsid w:val="001B5D17"/>
    <w:rsid w:val="001B5EB6"/>
    <w:rsid w:val="001B648C"/>
    <w:rsid w:val="001B7257"/>
    <w:rsid w:val="001B72D4"/>
    <w:rsid w:val="001B7694"/>
    <w:rsid w:val="001B7857"/>
    <w:rsid w:val="001B7F0C"/>
    <w:rsid w:val="001C0465"/>
    <w:rsid w:val="001C06D6"/>
    <w:rsid w:val="001C0DB5"/>
    <w:rsid w:val="001C1918"/>
    <w:rsid w:val="001C1921"/>
    <w:rsid w:val="001C1C0A"/>
    <w:rsid w:val="001C1E1E"/>
    <w:rsid w:val="001C2084"/>
    <w:rsid w:val="001C248C"/>
    <w:rsid w:val="001C27AE"/>
    <w:rsid w:val="001C27D1"/>
    <w:rsid w:val="001C2C7E"/>
    <w:rsid w:val="001C3650"/>
    <w:rsid w:val="001C3CE9"/>
    <w:rsid w:val="001C3FD7"/>
    <w:rsid w:val="001C4372"/>
    <w:rsid w:val="001C4C72"/>
    <w:rsid w:val="001C4E66"/>
    <w:rsid w:val="001C553F"/>
    <w:rsid w:val="001C58E8"/>
    <w:rsid w:val="001C59BF"/>
    <w:rsid w:val="001C5BB1"/>
    <w:rsid w:val="001C5E3D"/>
    <w:rsid w:val="001C64C7"/>
    <w:rsid w:val="001C65CE"/>
    <w:rsid w:val="001C6F00"/>
    <w:rsid w:val="001C6FA6"/>
    <w:rsid w:val="001C71DB"/>
    <w:rsid w:val="001C73A8"/>
    <w:rsid w:val="001D0016"/>
    <w:rsid w:val="001D04B9"/>
    <w:rsid w:val="001D0561"/>
    <w:rsid w:val="001D070D"/>
    <w:rsid w:val="001D0A8A"/>
    <w:rsid w:val="001D0B9E"/>
    <w:rsid w:val="001D0BE2"/>
    <w:rsid w:val="001D0E01"/>
    <w:rsid w:val="001D270B"/>
    <w:rsid w:val="001D2D78"/>
    <w:rsid w:val="001D2EBA"/>
    <w:rsid w:val="001D2F10"/>
    <w:rsid w:val="001D2F58"/>
    <w:rsid w:val="001D3363"/>
    <w:rsid w:val="001D3923"/>
    <w:rsid w:val="001D3C9C"/>
    <w:rsid w:val="001D40B4"/>
    <w:rsid w:val="001D4E9C"/>
    <w:rsid w:val="001D5E8A"/>
    <w:rsid w:val="001D611D"/>
    <w:rsid w:val="001D64D7"/>
    <w:rsid w:val="001D6661"/>
    <w:rsid w:val="001D6672"/>
    <w:rsid w:val="001D6687"/>
    <w:rsid w:val="001D7271"/>
    <w:rsid w:val="001D7487"/>
    <w:rsid w:val="001D7D15"/>
    <w:rsid w:val="001E009E"/>
    <w:rsid w:val="001E0562"/>
    <w:rsid w:val="001E099C"/>
    <w:rsid w:val="001E0ACF"/>
    <w:rsid w:val="001E0CED"/>
    <w:rsid w:val="001E0D35"/>
    <w:rsid w:val="001E17AE"/>
    <w:rsid w:val="001E1969"/>
    <w:rsid w:val="001E1982"/>
    <w:rsid w:val="001E1AAE"/>
    <w:rsid w:val="001E2604"/>
    <w:rsid w:val="001E2837"/>
    <w:rsid w:val="001E2899"/>
    <w:rsid w:val="001E2966"/>
    <w:rsid w:val="001E2D79"/>
    <w:rsid w:val="001E33BE"/>
    <w:rsid w:val="001E4271"/>
    <w:rsid w:val="001E47C7"/>
    <w:rsid w:val="001E4982"/>
    <w:rsid w:val="001E49CD"/>
    <w:rsid w:val="001E4AAE"/>
    <w:rsid w:val="001E4B5F"/>
    <w:rsid w:val="001E4BFC"/>
    <w:rsid w:val="001E4C41"/>
    <w:rsid w:val="001E4D78"/>
    <w:rsid w:val="001E525F"/>
    <w:rsid w:val="001E529C"/>
    <w:rsid w:val="001E538E"/>
    <w:rsid w:val="001E5B67"/>
    <w:rsid w:val="001E5C8A"/>
    <w:rsid w:val="001E600F"/>
    <w:rsid w:val="001E6185"/>
    <w:rsid w:val="001E65A1"/>
    <w:rsid w:val="001E66FE"/>
    <w:rsid w:val="001E7485"/>
    <w:rsid w:val="001E750B"/>
    <w:rsid w:val="001E7AE5"/>
    <w:rsid w:val="001E7D0B"/>
    <w:rsid w:val="001F039E"/>
    <w:rsid w:val="001F0440"/>
    <w:rsid w:val="001F05A4"/>
    <w:rsid w:val="001F067D"/>
    <w:rsid w:val="001F0B09"/>
    <w:rsid w:val="001F1058"/>
    <w:rsid w:val="001F1E4F"/>
    <w:rsid w:val="001F217C"/>
    <w:rsid w:val="001F2ED5"/>
    <w:rsid w:val="001F3807"/>
    <w:rsid w:val="001F4105"/>
    <w:rsid w:val="001F419B"/>
    <w:rsid w:val="001F4348"/>
    <w:rsid w:val="001F44A6"/>
    <w:rsid w:val="001F451F"/>
    <w:rsid w:val="001F474D"/>
    <w:rsid w:val="001F4E38"/>
    <w:rsid w:val="001F591B"/>
    <w:rsid w:val="001F5B48"/>
    <w:rsid w:val="001F5D61"/>
    <w:rsid w:val="001F5ECB"/>
    <w:rsid w:val="001F5F32"/>
    <w:rsid w:val="001F6064"/>
    <w:rsid w:val="001F6823"/>
    <w:rsid w:val="001F6AA4"/>
    <w:rsid w:val="001F73EE"/>
    <w:rsid w:val="001F74ED"/>
    <w:rsid w:val="001F777C"/>
    <w:rsid w:val="001F780A"/>
    <w:rsid w:val="001F7D91"/>
    <w:rsid w:val="001F7E99"/>
    <w:rsid w:val="002009A4"/>
    <w:rsid w:val="00200A01"/>
    <w:rsid w:val="00200F5C"/>
    <w:rsid w:val="002014B8"/>
    <w:rsid w:val="0020199C"/>
    <w:rsid w:val="00201BA0"/>
    <w:rsid w:val="00201DDF"/>
    <w:rsid w:val="002020DA"/>
    <w:rsid w:val="00202297"/>
    <w:rsid w:val="00202340"/>
    <w:rsid w:val="00202383"/>
    <w:rsid w:val="002026C8"/>
    <w:rsid w:val="00202AC8"/>
    <w:rsid w:val="00202F50"/>
    <w:rsid w:val="00202F92"/>
    <w:rsid w:val="002035DE"/>
    <w:rsid w:val="00203893"/>
    <w:rsid w:val="0020389C"/>
    <w:rsid w:val="00203A06"/>
    <w:rsid w:val="00203E98"/>
    <w:rsid w:val="00203ED3"/>
    <w:rsid w:val="0020419D"/>
    <w:rsid w:val="00204491"/>
    <w:rsid w:val="00204507"/>
    <w:rsid w:val="002046F7"/>
    <w:rsid w:val="00204E18"/>
    <w:rsid w:val="002058B4"/>
    <w:rsid w:val="00205FC0"/>
    <w:rsid w:val="00206351"/>
    <w:rsid w:val="00206B43"/>
    <w:rsid w:val="00206F29"/>
    <w:rsid w:val="002072CF"/>
    <w:rsid w:val="00207B3C"/>
    <w:rsid w:val="00207C90"/>
    <w:rsid w:val="00210091"/>
    <w:rsid w:val="0021025C"/>
    <w:rsid w:val="00210C3F"/>
    <w:rsid w:val="00210C50"/>
    <w:rsid w:val="00211644"/>
    <w:rsid w:val="00211EF7"/>
    <w:rsid w:val="00212760"/>
    <w:rsid w:val="00212C9A"/>
    <w:rsid w:val="002130A4"/>
    <w:rsid w:val="00213234"/>
    <w:rsid w:val="00213300"/>
    <w:rsid w:val="0021334C"/>
    <w:rsid w:val="00213EB2"/>
    <w:rsid w:val="00214152"/>
    <w:rsid w:val="002144E5"/>
    <w:rsid w:val="002145D6"/>
    <w:rsid w:val="00214618"/>
    <w:rsid w:val="00214915"/>
    <w:rsid w:val="00214CD1"/>
    <w:rsid w:val="00214D98"/>
    <w:rsid w:val="00214E76"/>
    <w:rsid w:val="00214FBD"/>
    <w:rsid w:val="002156D7"/>
    <w:rsid w:val="00215990"/>
    <w:rsid w:val="00215DBB"/>
    <w:rsid w:val="00216147"/>
    <w:rsid w:val="002161B4"/>
    <w:rsid w:val="002164AB"/>
    <w:rsid w:val="00216672"/>
    <w:rsid w:val="0021682D"/>
    <w:rsid w:val="00216AB9"/>
    <w:rsid w:val="002171AA"/>
    <w:rsid w:val="00217655"/>
    <w:rsid w:val="00217900"/>
    <w:rsid w:val="00217B30"/>
    <w:rsid w:val="00217E73"/>
    <w:rsid w:val="00217F14"/>
    <w:rsid w:val="002205AC"/>
    <w:rsid w:val="00220CED"/>
    <w:rsid w:val="00220E88"/>
    <w:rsid w:val="00220FD6"/>
    <w:rsid w:val="0022116E"/>
    <w:rsid w:val="00221577"/>
    <w:rsid w:val="002218A8"/>
    <w:rsid w:val="00221E77"/>
    <w:rsid w:val="002223DE"/>
    <w:rsid w:val="002223F1"/>
    <w:rsid w:val="00222777"/>
    <w:rsid w:val="00222854"/>
    <w:rsid w:val="00222868"/>
    <w:rsid w:val="0022312B"/>
    <w:rsid w:val="00223D05"/>
    <w:rsid w:val="00224204"/>
    <w:rsid w:val="00224592"/>
    <w:rsid w:val="00224979"/>
    <w:rsid w:val="00224DE7"/>
    <w:rsid w:val="0022511E"/>
    <w:rsid w:val="00225381"/>
    <w:rsid w:val="00225811"/>
    <w:rsid w:val="00225E05"/>
    <w:rsid w:val="00225FE2"/>
    <w:rsid w:val="00226285"/>
    <w:rsid w:val="002262E3"/>
    <w:rsid w:val="00226B9C"/>
    <w:rsid w:val="00227318"/>
    <w:rsid w:val="0022784E"/>
    <w:rsid w:val="0022790E"/>
    <w:rsid w:val="002279C2"/>
    <w:rsid w:val="00227A6E"/>
    <w:rsid w:val="00227EE3"/>
    <w:rsid w:val="00230375"/>
    <w:rsid w:val="00230622"/>
    <w:rsid w:val="00230681"/>
    <w:rsid w:val="002309BF"/>
    <w:rsid w:val="00230E91"/>
    <w:rsid w:val="0023134F"/>
    <w:rsid w:val="00231711"/>
    <w:rsid w:val="00232113"/>
    <w:rsid w:val="00232287"/>
    <w:rsid w:val="0023271C"/>
    <w:rsid w:val="0023279A"/>
    <w:rsid w:val="002327C8"/>
    <w:rsid w:val="002329A0"/>
    <w:rsid w:val="00233907"/>
    <w:rsid w:val="00233D03"/>
    <w:rsid w:val="00234452"/>
    <w:rsid w:val="002347EF"/>
    <w:rsid w:val="00234F68"/>
    <w:rsid w:val="00235017"/>
    <w:rsid w:val="002350EA"/>
    <w:rsid w:val="00235CD9"/>
    <w:rsid w:val="00235F37"/>
    <w:rsid w:val="00236153"/>
    <w:rsid w:val="002363E6"/>
    <w:rsid w:val="002364E3"/>
    <w:rsid w:val="00236690"/>
    <w:rsid w:val="00237024"/>
    <w:rsid w:val="002374FD"/>
    <w:rsid w:val="00240C76"/>
    <w:rsid w:val="0024121A"/>
    <w:rsid w:val="00241347"/>
    <w:rsid w:val="00241FCD"/>
    <w:rsid w:val="002423C7"/>
    <w:rsid w:val="002425AF"/>
    <w:rsid w:val="002426FE"/>
    <w:rsid w:val="00242BB4"/>
    <w:rsid w:val="00242EAD"/>
    <w:rsid w:val="002434FE"/>
    <w:rsid w:val="0024350E"/>
    <w:rsid w:val="00244A1E"/>
    <w:rsid w:val="00244A4B"/>
    <w:rsid w:val="00244D7E"/>
    <w:rsid w:val="00244FFD"/>
    <w:rsid w:val="00245260"/>
    <w:rsid w:val="00245267"/>
    <w:rsid w:val="0024561F"/>
    <w:rsid w:val="002457D5"/>
    <w:rsid w:val="00245E9C"/>
    <w:rsid w:val="00245EA1"/>
    <w:rsid w:val="002460C4"/>
    <w:rsid w:val="002461AD"/>
    <w:rsid w:val="002466F0"/>
    <w:rsid w:val="00246845"/>
    <w:rsid w:val="00246BA0"/>
    <w:rsid w:val="00246D50"/>
    <w:rsid w:val="00246DCE"/>
    <w:rsid w:val="00247235"/>
    <w:rsid w:val="002475AE"/>
    <w:rsid w:val="0024767B"/>
    <w:rsid w:val="002479BF"/>
    <w:rsid w:val="00247EFE"/>
    <w:rsid w:val="00247FF9"/>
    <w:rsid w:val="00250117"/>
    <w:rsid w:val="002502FC"/>
    <w:rsid w:val="00250309"/>
    <w:rsid w:val="00250458"/>
    <w:rsid w:val="00251025"/>
    <w:rsid w:val="0025118F"/>
    <w:rsid w:val="002512AD"/>
    <w:rsid w:val="00251472"/>
    <w:rsid w:val="00251A6E"/>
    <w:rsid w:val="00251B17"/>
    <w:rsid w:val="00251CAD"/>
    <w:rsid w:val="00251D0D"/>
    <w:rsid w:val="00251D31"/>
    <w:rsid w:val="00252BF3"/>
    <w:rsid w:val="00252C69"/>
    <w:rsid w:val="00252DC7"/>
    <w:rsid w:val="00252E8F"/>
    <w:rsid w:val="00252FF4"/>
    <w:rsid w:val="002535B9"/>
    <w:rsid w:val="00254EDB"/>
    <w:rsid w:val="0025594A"/>
    <w:rsid w:val="00255CD7"/>
    <w:rsid w:val="00255F18"/>
    <w:rsid w:val="002561DF"/>
    <w:rsid w:val="00256A73"/>
    <w:rsid w:val="00256BF7"/>
    <w:rsid w:val="002571EE"/>
    <w:rsid w:val="00257425"/>
    <w:rsid w:val="002574C8"/>
    <w:rsid w:val="00257AD7"/>
    <w:rsid w:val="0026052F"/>
    <w:rsid w:val="00260989"/>
    <w:rsid w:val="00260CA8"/>
    <w:rsid w:val="00260D3C"/>
    <w:rsid w:val="00260D8C"/>
    <w:rsid w:val="002616BB"/>
    <w:rsid w:val="0026268A"/>
    <w:rsid w:val="002632BA"/>
    <w:rsid w:val="0026356F"/>
    <w:rsid w:val="002645B0"/>
    <w:rsid w:val="002645C0"/>
    <w:rsid w:val="0026464A"/>
    <w:rsid w:val="00264A96"/>
    <w:rsid w:val="00264C5B"/>
    <w:rsid w:val="002650AB"/>
    <w:rsid w:val="002652B8"/>
    <w:rsid w:val="00265E69"/>
    <w:rsid w:val="002662BD"/>
    <w:rsid w:val="00267C03"/>
    <w:rsid w:val="00270333"/>
    <w:rsid w:val="00270539"/>
    <w:rsid w:val="00270F46"/>
    <w:rsid w:val="00271166"/>
    <w:rsid w:val="002711FB"/>
    <w:rsid w:val="0027121C"/>
    <w:rsid w:val="0027140B"/>
    <w:rsid w:val="002714F4"/>
    <w:rsid w:val="00271A70"/>
    <w:rsid w:val="00271EBE"/>
    <w:rsid w:val="00273A2E"/>
    <w:rsid w:val="00273D21"/>
    <w:rsid w:val="00273E3C"/>
    <w:rsid w:val="00274329"/>
    <w:rsid w:val="0027492C"/>
    <w:rsid w:val="00274E7C"/>
    <w:rsid w:val="0027513A"/>
    <w:rsid w:val="00275195"/>
    <w:rsid w:val="00275366"/>
    <w:rsid w:val="002753D6"/>
    <w:rsid w:val="00275690"/>
    <w:rsid w:val="00275B50"/>
    <w:rsid w:val="00275BA9"/>
    <w:rsid w:val="00275DC7"/>
    <w:rsid w:val="00275F71"/>
    <w:rsid w:val="00276AA6"/>
    <w:rsid w:val="00276CA7"/>
    <w:rsid w:val="00276D55"/>
    <w:rsid w:val="00277037"/>
    <w:rsid w:val="00277982"/>
    <w:rsid w:val="002779C6"/>
    <w:rsid w:val="00277A0B"/>
    <w:rsid w:val="00277A97"/>
    <w:rsid w:val="00277E86"/>
    <w:rsid w:val="00280085"/>
    <w:rsid w:val="00280C96"/>
    <w:rsid w:val="00280DAF"/>
    <w:rsid w:val="00280EAA"/>
    <w:rsid w:val="00281520"/>
    <w:rsid w:val="0028161B"/>
    <w:rsid w:val="002817B3"/>
    <w:rsid w:val="002817BD"/>
    <w:rsid w:val="0028190A"/>
    <w:rsid w:val="0028219B"/>
    <w:rsid w:val="00283198"/>
    <w:rsid w:val="0028332D"/>
    <w:rsid w:val="00283381"/>
    <w:rsid w:val="00283484"/>
    <w:rsid w:val="002836BA"/>
    <w:rsid w:val="00283F75"/>
    <w:rsid w:val="002843C2"/>
    <w:rsid w:val="00284794"/>
    <w:rsid w:val="002847DA"/>
    <w:rsid w:val="00285241"/>
    <w:rsid w:val="00285375"/>
    <w:rsid w:val="002855AB"/>
    <w:rsid w:val="002857BB"/>
    <w:rsid w:val="00286119"/>
    <w:rsid w:val="00286655"/>
    <w:rsid w:val="002866C5"/>
    <w:rsid w:val="0028694D"/>
    <w:rsid w:val="00286C9D"/>
    <w:rsid w:val="00286F27"/>
    <w:rsid w:val="00287523"/>
    <w:rsid w:val="0028756E"/>
    <w:rsid w:val="00287676"/>
    <w:rsid w:val="00287B2A"/>
    <w:rsid w:val="00287DD9"/>
    <w:rsid w:val="00287E98"/>
    <w:rsid w:val="002902C1"/>
    <w:rsid w:val="00290DA2"/>
    <w:rsid w:val="00291383"/>
    <w:rsid w:val="00291F6A"/>
    <w:rsid w:val="002925BD"/>
    <w:rsid w:val="00293CA5"/>
    <w:rsid w:val="00293D2C"/>
    <w:rsid w:val="002940E9"/>
    <w:rsid w:val="002944C8"/>
    <w:rsid w:val="0029492D"/>
    <w:rsid w:val="002949D9"/>
    <w:rsid w:val="00294D96"/>
    <w:rsid w:val="0029534F"/>
    <w:rsid w:val="00295974"/>
    <w:rsid w:val="00295C49"/>
    <w:rsid w:val="00295DD1"/>
    <w:rsid w:val="00295F22"/>
    <w:rsid w:val="00296164"/>
    <w:rsid w:val="00296255"/>
    <w:rsid w:val="00296373"/>
    <w:rsid w:val="0029675B"/>
    <w:rsid w:val="002967E6"/>
    <w:rsid w:val="00297161"/>
    <w:rsid w:val="002971D3"/>
    <w:rsid w:val="0029786B"/>
    <w:rsid w:val="0029791A"/>
    <w:rsid w:val="002979F3"/>
    <w:rsid w:val="00297F2A"/>
    <w:rsid w:val="002A0102"/>
    <w:rsid w:val="002A05F6"/>
    <w:rsid w:val="002A0AD1"/>
    <w:rsid w:val="002A0B60"/>
    <w:rsid w:val="002A0C56"/>
    <w:rsid w:val="002A0EA8"/>
    <w:rsid w:val="002A113F"/>
    <w:rsid w:val="002A1343"/>
    <w:rsid w:val="002A1A6A"/>
    <w:rsid w:val="002A1AA1"/>
    <w:rsid w:val="002A1AD9"/>
    <w:rsid w:val="002A1CB3"/>
    <w:rsid w:val="002A1EEB"/>
    <w:rsid w:val="002A2473"/>
    <w:rsid w:val="002A258F"/>
    <w:rsid w:val="002A2B49"/>
    <w:rsid w:val="002A3A26"/>
    <w:rsid w:val="002A3E37"/>
    <w:rsid w:val="002A3FD0"/>
    <w:rsid w:val="002A412F"/>
    <w:rsid w:val="002A49F4"/>
    <w:rsid w:val="002A51A6"/>
    <w:rsid w:val="002A54FE"/>
    <w:rsid w:val="002A5627"/>
    <w:rsid w:val="002A5B17"/>
    <w:rsid w:val="002A68BD"/>
    <w:rsid w:val="002A6948"/>
    <w:rsid w:val="002A6F41"/>
    <w:rsid w:val="002A7DEA"/>
    <w:rsid w:val="002B02F1"/>
    <w:rsid w:val="002B0929"/>
    <w:rsid w:val="002B0963"/>
    <w:rsid w:val="002B279D"/>
    <w:rsid w:val="002B2828"/>
    <w:rsid w:val="002B28C8"/>
    <w:rsid w:val="002B29C4"/>
    <w:rsid w:val="002B2DE4"/>
    <w:rsid w:val="002B2FFF"/>
    <w:rsid w:val="002B3065"/>
    <w:rsid w:val="002B308F"/>
    <w:rsid w:val="002B30F6"/>
    <w:rsid w:val="002B3ADE"/>
    <w:rsid w:val="002B41FE"/>
    <w:rsid w:val="002B42EA"/>
    <w:rsid w:val="002B4813"/>
    <w:rsid w:val="002B49D7"/>
    <w:rsid w:val="002B4A1A"/>
    <w:rsid w:val="002B4D76"/>
    <w:rsid w:val="002B4DB8"/>
    <w:rsid w:val="002B5536"/>
    <w:rsid w:val="002B582C"/>
    <w:rsid w:val="002B5DE5"/>
    <w:rsid w:val="002B5ED5"/>
    <w:rsid w:val="002B643E"/>
    <w:rsid w:val="002B66C4"/>
    <w:rsid w:val="002B6DDE"/>
    <w:rsid w:val="002B6E44"/>
    <w:rsid w:val="002B7575"/>
    <w:rsid w:val="002B7C16"/>
    <w:rsid w:val="002B7EB1"/>
    <w:rsid w:val="002B7EC6"/>
    <w:rsid w:val="002C0167"/>
    <w:rsid w:val="002C03E2"/>
    <w:rsid w:val="002C0545"/>
    <w:rsid w:val="002C09D7"/>
    <w:rsid w:val="002C0F6B"/>
    <w:rsid w:val="002C120F"/>
    <w:rsid w:val="002C16DC"/>
    <w:rsid w:val="002C1F21"/>
    <w:rsid w:val="002C203A"/>
    <w:rsid w:val="002C26A5"/>
    <w:rsid w:val="002C2FB5"/>
    <w:rsid w:val="002C34C1"/>
    <w:rsid w:val="002C4ED1"/>
    <w:rsid w:val="002C4F71"/>
    <w:rsid w:val="002C4FA8"/>
    <w:rsid w:val="002C532B"/>
    <w:rsid w:val="002C56F7"/>
    <w:rsid w:val="002C5721"/>
    <w:rsid w:val="002C587B"/>
    <w:rsid w:val="002C5A08"/>
    <w:rsid w:val="002C5AF2"/>
    <w:rsid w:val="002C5AF3"/>
    <w:rsid w:val="002C5EEB"/>
    <w:rsid w:val="002C636B"/>
    <w:rsid w:val="002C640F"/>
    <w:rsid w:val="002C697C"/>
    <w:rsid w:val="002C69A6"/>
    <w:rsid w:val="002C6D55"/>
    <w:rsid w:val="002C7087"/>
    <w:rsid w:val="002C71E9"/>
    <w:rsid w:val="002C784A"/>
    <w:rsid w:val="002C79B6"/>
    <w:rsid w:val="002C7EB1"/>
    <w:rsid w:val="002D0581"/>
    <w:rsid w:val="002D0A92"/>
    <w:rsid w:val="002D12B3"/>
    <w:rsid w:val="002D1397"/>
    <w:rsid w:val="002D1D8D"/>
    <w:rsid w:val="002D2355"/>
    <w:rsid w:val="002D236E"/>
    <w:rsid w:val="002D246E"/>
    <w:rsid w:val="002D265E"/>
    <w:rsid w:val="002D28BB"/>
    <w:rsid w:val="002D2B3B"/>
    <w:rsid w:val="002D2C86"/>
    <w:rsid w:val="002D3931"/>
    <w:rsid w:val="002D393F"/>
    <w:rsid w:val="002D39AB"/>
    <w:rsid w:val="002D432F"/>
    <w:rsid w:val="002D4601"/>
    <w:rsid w:val="002D466E"/>
    <w:rsid w:val="002D4E33"/>
    <w:rsid w:val="002D4FF5"/>
    <w:rsid w:val="002D572C"/>
    <w:rsid w:val="002D5A38"/>
    <w:rsid w:val="002D5A45"/>
    <w:rsid w:val="002D6782"/>
    <w:rsid w:val="002E0213"/>
    <w:rsid w:val="002E02EC"/>
    <w:rsid w:val="002E05B2"/>
    <w:rsid w:val="002E0C1B"/>
    <w:rsid w:val="002E0D1C"/>
    <w:rsid w:val="002E137A"/>
    <w:rsid w:val="002E1B61"/>
    <w:rsid w:val="002E1ED0"/>
    <w:rsid w:val="002E20E2"/>
    <w:rsid w:val="002E223B"/>
    <w:rsid w:val="002E2493"/>
    <w:rsid w:val="002E260D"/>
    <w:rsid w:val="002E2642"/>
    <w:rsid w:val="002E26CE"/>
    <w:rsid w:val="002E2A91"/>
    <w:rsid w:val="002E2FAF"/>
    <w:rsid w:val="002E34B9"/>
    <w:rsid w:val="002E37FA"/>
    <w:rsid w:val="002E3FA0"/>
    <w:rsid w:val="002E40CC"/>
    <w:rsid w:val="002E4468"/>
    <w:rsid w:val="002E4D52"/>
    <w:rsid w:val="002E55EA"/>
    <w:rsid w:val="002E5693"/>
    <w:rsid w:val="002E5B0E"/>
    <w:rsid w:val="002E628C"/>
    <w:rsid w:val="002E6671"/>
    <w:rsid w:val="002E6B18"/>
    <w:rsid w:val="002E6C47"/>
    <w:rsid w:val="002E70FC"/>
    <w:rsid w:val="002E7226"/>
    <w:rsid w:val="002F00A7"/>
    <w:rsid w:val="002F06A9"/>
    <w:rsid w:val="002F06DF"/>
    <w:rsid w:val="002F0761"/>
    <w:rsid w:val="002F0A42"/>
    <w:rsid w:val="002F0DC1"/>
    <w:rsid w:val="002F0E35"/>
    <w:rsid w:val="002F176A"/>
    <w:rsid w:val="002F195F"/>
    <w:rsid w:val="002F1B1D"/>
    <w:rsid w:val="002F1E9A"/>
    <w:rsid w:val="002F1FDC"/>
    <w:rsid w:val="002F201A"/>
    <w:rsid w:val="002F206A"/>
    <w:rsid w:val="002F2B5F"/>
    <w:rsid w:val="002F2D9C"/>
    <w:rsid w:val="002F33D1"/>
    <w:rsid w:val="002F359D"/>
    <w:rsid w:val="002F37FA"/>
    <w:rsid w:val="002F3983"/>
    <w:rsid w:val="002F3B6A"/>
    <w:rsid w:val="002F47F4"/>
    <w:rsid w:val="002F4ABC"/>
    <w:rsid w:val="002F51B9"/>
    <w:rsid w:val="002F55F3"/>
    <w:rsid w:val="002F56FB"/>
    <w:rsid w:val="002F59D2"/>
    <w:rsid w:val="002F5A29"/>
    <w:rsid w:val="002F5E98"/>
    <w:rsid w:val="002F6457"/>
    <w:rsid w:val="002F723D"/>
    <w:rsid w:val="002F7474"/>
    <w:rsid w:val="002F753C"/>
    <w:rsid w:val="002F7C4A"/>
    <w:rsid w:val="002F7D0D"/>
    <w:rsid w:val="00300183"/>
    <w:rsid w:val="00300547"/>
    <w:rsid w:val="00300607"/>
    <w:rsid w:val="0030075D"/>
    <w:rsid w:val="00300F91"/>
    <w:rsid w:val="00301288"/>
    <w:rsid w:val="003013A4"/>
    <w:rsid w:val="00302287"/>
    <w:rsid w:val="003025FE"/>
    <w:rsid w:val="00303C22"/>
    <w:rsid w:val="00303D34"/>
    <w:rsid w:val="00303DFF"/>
    <w:rsid w:val="00303E1F"/>
    <w:rsid w:val="0030473F"/>
    <w:rsid w:val="00304806"/>
    <w:rsid w:val="003048BC"/>
    <w:rsid w:val="0030494F"/>
    <w:rsid w:val="00305C58"/>
    <w:rsid w:val="00305F93"/>
    <w:rsid w:val="003069F4"/>
    <w:rsid w:val="003076BC"/>
    <w:rsid w:val="003105ED"/>
    <w:rsid w:val="00310712"/>
    <w:rsid w:val="003108E7"/>
    <w:rsid w:val="00311203"/>
    <w:rsid w:val="003114FB"/>
    <w:rsid w:val="003117FF"/>
    <w:rsid w:val="00311BD3"/>
    <w:rsid w:val="00312193"/>
    <w:rsid w:val="0031252D"/>
    <w:rsid w:val="003127E9"/>
    <w:rsid w:val="00312871"/>
    <w:rsid w:val="00312B47"/>
    <w:rsid w:val="00312CB7"/>
    <w:rsid w:val="00312E0F"/>
    <w:rsid w:val="00312F69"/>
    <w:rsid w:val="00312F83"/>
    <w:rsid w:val="00313471"/>
    <w:rsid w:val="003134C1"/>
    <w:rsid w:val="00314634"/>
    <w:rsid w:val="0031499A"/>
    <w:rsid w:val="00314BA7"/>
    <w:rsid w:val="00314C43"/>
    <w:rsid w:val="0031525F"/>
    <w:rsid w:val="003152E0"/>
    <w:rsid w:val="00315390"/>
    <w:rsid w:val="003155D8"/>
    <w:rsid w:val="00315630"/>
    <w:rsid w:val="003163DB"/>
    <w:rsid w:val="003168F3"/>
    <w:rsid w:val="003169D7"/>
    <w:rsid w:val="00316A70"/>
    <w:rsid w:val="00320038"/>
    <w:rsid w:val="0032003D"/>
    <w:rsid w:val="00320E4B"/>
    <w:rsid w:val="00320F28"/>
    <w:rsid w:val="00321089"/>
    <w:rsid w:val="003210BB"/>
    <w:rsid w:val="00321996"/>
    <w:rsid w:val="003219FE"/>
    <w:rsid w:val="00321B45"/>
    <w:rsid w:val="00321C7B"/>
    <w:rsid w:val="00322905"/>
    <w:rsid w:val="00322B25"/>
    <w:rsid w:val="00323202"/>
    <w:rsid w:val="0032350A"/>
    <w:rsid w:val="00323A25"/>
    <w:rsid w:val="00323E5C"/>
    <w:rsid w:val="00323F22"/>
    <w:rsid w:val="0032403F"/>
    <w:rsid w:val="00324CE7"/>
    <w:rsid w:val="0032517F"/>
    <w:rsid w:val="00325616"/>
    <w:rsid w:val="003256D5"/>
    <w:rsid w:val="00325968"/>
    <w:rsid w:val="00325D55"/>
    <w:rsid w:val="003268C5"/>
    <w:rsid w:val="00326927"/>
    <w:rsid w:val="003269E1"/>
    <w:rsid w:val="00326AA2"/>
    <w:rsid w:val="00326D2A"/>
    <w:rsid w:val="00327021"/>
    <w:rsid w:val="003271C8"/>
    <w:rsid w:val="0032723C"/>
    <w:rsid w:val="0032746A"/>
    <w:rsid w:val="003274D9"/>
    <w:rsid w:val="00327519"/>
    <w:rsid w:val="00327EBF"/>
    <w:rsid w:val="0033010C"/>
    <w:rsid w:val="003303E9"/>
    <w:rsid w:val="0033077B"/>
    <w:rsid w:val="00330833"/>
    <w:rsid w:val="00330F32"/>
    <w:rsid w:val="003314AC"/>
    <w:rsid w:val="003321A6"/>
    <w:rsid w:val="00332499"/>
    <w:rsid w:val="00332F5B"/>
    <w:rsid w:val="00333865"/>
    <w:rsid w:val="003338F7"/>
    <w:rsid w:val="00333947"/>
    <w:rsid w:val="00333DEC"/>
    <w:rsid w:val="00333DF9"/>
    <w:rsid w:val="003344EF"/>
    <w:rsid w:val="003349F4"/>
    <w:rsid w:val="00334A11"/>
    <w:rsid w:val="00334B09"/>
    <w:rsid w:val="003357C6"/>
    <w:rsid w:val="0033585B"/>
    <w:rsid w:val="00335892"/>
    <w:rsid w:val="00335978"/>
    <w:rsid w:val="00335A86"/>
    <w:rsid w:val="00335DA7"/>
    <w:rsid w:val="00335E47"/>
    <w:rsid w:val="0033678E"/>
    <w:rsid w:val="003367F5"/>
    <w:rsid w:val="00336840"/>
    <w:rsid w:val="00336B0F"/>
    <w:rsid w:val="00337026"/>
    <w:rsid w:val="00337111"/>
    <w:rsid w:val="003375C9"/>
    <w:rsid w:val="00337CC2"/>
    <w:rsid w:val="00337E62"/>
    <w:rsid w:val="00340191"/>
    <w:rsid w:val="00340859"/>
    <w:rsid w:val="00340A36"/>
    <w:rsid w:val="00340D2C"/>
    <w:rsid w:val="003411BA"/>
    <w:rsid w:val="003411F4"/>
    <w:rsid w:val="003417C8"/>
    <w:rsid w:val="00341DAB"/>
    <w:rsid w:val="003422F2"/>
    <w:rsid w:val="0034244D"/>
    <w:rsid w:val="0034246D"/>
    <w:rsid w:val="00342E84"/>
    <w:rsid w:val="00342EA0"/>
    <w:rsid w:val="00343181"/>
    <w:rsid w:val="003433F4"/>
    <w:rsid w:val="003435DA"/>
    <w:rsid w:val="00343658"/>
    <w:rsid w:val="003439D5"/>
    <w:rsid w:val="00344604"/>
    <w:rsid w:val="0034489C"/>
    <w:rsid w:val="00344B23"/>
    <w:rsid w:val="00344F2D"/>
    <w:rsid w:val="003451BB"/>
    <w:rsid w:val="00345486"/>
    <w:rsid w:val="00345760"/>
    <w:rsid w:val="003457E1"/>
    <w:rsid w:val="00345F6E"/>
    <w:rsid w:val="003463E7"/>
    <w:rsid w:val="003465D1"/>
    <w:rsid w:val="00346638"/>
    <w:rsid w:val="00346730"/>
    <w:rsid w:val="0034743F"/>
    <w:rsid w:val="00347480"/>
    <w:rsid w:val="003476EA"/>
    <w:rsid w:val="003477DD"/>
    <w:rsid w:val="00347865"/>
    <w:rsid w:val="00347E6E"/>
    <w:rsid w:val="003503FA"/>
    <w:rsid w:val="0035054A"/>
    <w:rsid w:val="00350A92"/>
    <w:rsid w:val="00351078"/>
    <w:rsid w:val="00351DA8"/>
    <w:rsid w:val="00351DDC"/>
    <w:rsid w:val="003523CD"/>
    <w:rsid w:val="0035242E"/>
    <w:rsid w:val="00352758"/>
    <w:rsid w:val="00352795"/>
    <w:rsid w:val="00352920"/>
    <w:rsid w:val="003530AB"/>
    <w:rsid w:val="00353206"/>
    <w:rsid w:val="003532BB"/>
    <w:rsid w:val="003534FB"/>
    <w:rsid w:val="003534FC"/>
    <w:rsid w:val="003538C9"/>
    <w:rsid w:val="00354649"/>
    <w:rsid w:val="0035487E"/>
    <w:rsid w:val="00354AC9"/>
    <w:rsid w:val="00354DB7"/>
    <w:rsid w:val="003554A9"/>
    <w:rsid w:val="00355921"/>
    <w:rsid w:val="00355B61"/>
    <w:rsid w:val="00355DF1"/>
    <w:rsid w:val="00355F3B"/>
    <w:rsid w:val="00356016"/>
    <w:rsid w:val="003565DD"/>
    <w:rsid w:val="00356B18"/>
    <w:rsid w:val="00356E01"/>
    <w:rsid w:val="00356E6C"/>
    <w:rsid w:val="00356EDD"/>
    <w:rsid w:val="00356FF9"/>
    <w:rsid w:val="003576B8"/>
    <w:rsid w:val="00357881"/>
    <w:rsid w:val="00357D2F"/>
    <w:rsid w:val="00357F31"/>
    <w:rsid w:val="00357F86"/>
    <w:rsid w:val="00360251"/>
    <w:rsid w:val="0036055E"/>
    <w:rsid w:val="003606E1"/>
    <w:rsid w:val="00360CD8"/>
    <w:rsid w:val="003611D6"/>
    <w:rsid w:val="00361BA6"/>
    <w:rsid w:val="00361CBA"/>
    <w:rsid w:val="003620C6"/>
    <w:rsid w:val="00362417"/>
    <w:rsid w:val="0036257F"/>
    <w:rsid w:val="00362726"/>
    <w:rsid w:val="00362B27"/>
    <w:rsid w:val="00362D4F"/>
    <w:rsid w:val="00363156"/>
    <w:rsid w:val="003631C3"/>
    <w:rsid w:val="003637BA"/>
    <w:rsid w:val="00363850"/>
    <w:rsid w:val="00363954"/>
    <w:rsid w:val="00363AEC"/>
    <w:rsid w:val="00363D84"/>
    <w:rsid w:val="003640DA"/>
    <w:rsid w:val="003642C1"/>
    <w:rsid w:val="003646FF"/>
    <w:rsid w:val="00364F91"/>
    <w:rsid w:val="00365760"/>
    <w:rsid w:val="00365861"/>
    <w:rsid w:val="00366A4D"/>
    <w:rsid w:val="00366AC8"/>
    <w:rsid w:val="00366C57"/>
    <w:rsid w:val="00366FC1"/>
    <w:rsid w:val="003673D9"/>
    <w:rsid w:val="00367AE7"/>
    <w:rsid w:val="003702F1"/>
    <w:rsid w:val="0037035F"/>
    <w:rsid w:val="0037054A"/>
    <w:rsid w:val="003709E2"/>
    <w:rsid w:val="003710B9"/>
    <w:rsid w:val="0037116A"/>
    <w:rsid w:val="003711E8"/>
    <w:rsid w:val="00371B35"/>
    <w:rsid w:val="00371C2C"/>
    <w:rsid w:val="00371CEA"/>
    <w:rsid w:val="00372735"/>
    <w:rsid w:val="00372956"/>
    <w:rsid w:val="003732F9"/>
    <w:rsid w:val="00373884"/>
    <w:rsid w:val="00373B2E"/>
    <w:rsid w:val="00373D01"/>
    <w:rsid w:val="00373F6A"/>
    <w:rsid w:val="00374252"/>
    <w:rsid w:val="00375618"/>
    <w:rsid w:val="003761BF"/>
    <w:rsid w:val="003761EC"/>
    <w:rsid w:val="0037666F"/>
    <w:rsid w:val="003767A4"/>
    <w:rsid w:val="00377B79"/>
    <w:rsid w:val="00377BB5"/>
    <w:rsid w:val="00377D3D"/>
    <w:rsid w:val="00377F3A"/>
    <w:rsid w:val="0038046C"/>
    <w:rsid w:val="00380929"/>
    <w:rsid w:val="00380AE1"/>
    <w:rsid w:val="00380BAD"/>
    <w:rsid w:val="00380F69"/>
    <w:rsid w:val="0038175B"/>
    <w:rsid w:val="00381A46"/>
    <w:rsid w:val="00381B95"/>
    <w:rsid w:val="00382149"/>
    <w:rsid w:val="003821B8"/>
    <w:rsid w:val="003822CA"/>
    <w:rsid w:val="003829E3"/>
    <w:rsid w:val="0038313B"/>
    <w:rsid w:val="00383BE4"/>
    <w:rsid w:val="00384411"/>
    <w:rsid w:val="00384DA5"/>
    <w:rsid w:val="00384ECC"/>
    <w:rsid w:val="00385A37"/>
    <w:rsid w:val="00385D32"/>
    <w:rsid w:val="003865FE"/>
    <w:rsid w:val="00386712"/>
    <w:rsid w:val="00386C05"/>
    <w:rsid w:val="0038730B"/>
    <w:rsid w:val="00387C64"/>
    <w:rsid w:val="00387F3A"/>
    <w:rsid w:val="00390819"/>
    <w:rsid w:val="00390D44"/>
    <w:rsid w:val="00390E01"/>
    <w:rsid w:val="00391177"/>
    <w:rsid w:val="003912E8"/>
    <w:rsid w:val="003914D4"/>
    <w:rsid w:val="003915AD"/>
    <w:rsid w:val="0039169E"/>
    <w:rsid w:val="003917AA"/>
    <w:rsid w:val="0039196E"/>
    <w:rsid w:val="003919FD"/>
    <w:rsid w:val="00391E5B"/>
    <w:rsid w:val="003920EA"/>
    <w:rsid w:val="003926E8"/>
    <w:rsid w:val="00392945"/>
    <w:rsid w:val="00392C04"/>
    <w:rsid w:val="003930A7"/>
    <w:rsid w:val="003931B2"/>
    <w:rsid w:val="0039396A"/>
    <w:rsid w:val="00393CEF"/>
    <w:rsid w:val="00393F3A"/>
    <w:rsid w:val="00394105"/>
    <w:rsid w:val="00394798"/>
    <w:rsid w:val="00394874"/>
    <w:rsid w:val="00394EB3"/>
    <w:rsid w:val="00395E14"/>
    <w:rsid w:val="00396181"/>
    <w:rsid w:val="003970AE"/>
    <w:rsid w:val="00397740"/>
    <w:rsid w:val="003A0096"/>
    <w:rsid w:val="003A0368"/>
    <w:rsid w:val="003A0D61"/>
    <w:rsid w:val="003A0E65"/>
    <w:rsid w:val="003A1643"/>
    <w:rsid w:val="003A178E"/>
    <w:rsid w:val="003A1D14"/>
    <w:rsid w:val="003A1D8E"/>
    <w:rsid w:val="003A1EF4"/>
    <w:rsid w:val="003A2223"/>
    <w:rsid w:val="003A22E4"/>
    <w:rsid w:val="003A293E"/>
    <w:rsid w:val="003A30AA"/>
    <w:rsid w:val="003A3ACE"/>
    <w:rsid w:val="003A4454"/>
    <w:rsid w:val="003A46DA"/>
    <w:rsid w:val="003A4F1B"/>
    <w:rsid w:val="003A4F87"/>
    <w:rsid w:val="003A5139"/>
    <w:rsid w:val="003A5297"/>
    <w:rsid w:val="003A5529"/>
    <w:rsid w:val="003A5B49"/>
    <w:rsid w:val="003A5FCC"/>
    <w:rsid w:val="003A60CB"/>
    <w:rsid w:val="003A675A"/>
    <w:rsid w:val="003A68BB"/>
    <w:rsid w:val="003A7106"/>
    <w:rsid w:val="003B01D4"/>
    <w:rsid w:val="003B01F0"/>
    <w:rsid w:val="003B0627"/>
    <w:rsid w:val="003B09AA"/>
    <w:rsid w:val="003B147C"/>
    <w:rsid w:val="003B169E"/>
    <w:rsid w:val="003B195A"/>
    <w:rsid w:val="003B1BD8"/>
    <w:rsid w:val="003B1CB3"/>
    <w:rsid w:val="003B1E5A"/>
    <w:rsid w:val="003B226F"/>
    <w:rsid w:val="003B284D"/>
    <w:rsid w:val="003B30CF"/>
    <w:rsid w:val="003B30EA"/>
    <w:rsid w:val="003B3623"/>
    <w:rsid w:val="003B365D"/>
    <w:rsid w:val="003B37F5"/>
    <w:rsid w:val="003B3E8E"/>
    <w:rsid w:val="003B3EEE"/>
    <w:rsid w:val="003B41D6"/>
    <w:rsid w:val="003B4500"/>
    <w:rsid w:val="003B48C3"/>
    <w:rsid w:val="003B4CCE"/>
    <w:rsid w:val="003B519F"/>
    <w:rsid w:val="003B5464"/>
    <w:rsid w:val="003B573B"/>
    <w:rsid w:val="003B57B8"/>
    <w:rsid w:val="003B618F"/>
    <w:rsid w:val="003B73B8"/>
    <w:rsid w:val="003B786E"/>
    <w:rsid w:val="003B7935"/>
    <w:rsid w:val="003C0178"/>
    <w:rsid w:val="003C02F5"/>
    <w:rsid w:val="003C069E"/>
    <w:rsid w:val="003C0955"/>
    <w:rsid w:val="003C1DD3"/>
    <w:rsid w:val="003C1DFF"/>
    <w:rsid w:val="003C24C5"/>
    <w:rsid w:val="003C25A2"/>
    <w:rsid w:val="003C2683"/>
    <w:rsid w:val="003C2753"/>
    <w:rsid w:val="003C27EB"/>
    <w:rsid w:val="003C281A"/>
    <w:rsid w:val="003C2BE5"/>
    <w:rsid w:val="003C2D31"/>
    <w:rsid w:val="003C2F7C"/>
    <w:rsid w:val="003C428A"/>
    <w:rsid w:val="003C43B2"/>
    <w:rsid w:val="003C49AD"/>
    <w:rsid w:val="003C6103"/>
    <w:rsid w:val="003C636E"/>
    <w:rsid w:val="003C6613"/>
    <w:rsid w:val="003C6801"/>
    <w:rsid w:val="003C68FB"/>
    <w:rsid w:val="003C74FE"/>
    <w:rsid w:val="003C7602"/>
    <w:rsid w:val="003C7726"/>
    <w:rsid w:val="003C77CA"/>
    <w:rsid w:val="003C7B9A"/>
    <w:rsid w:val="003D0546"/>
    <w:rsid w:val="003D08DE"/>
    <w:rsid w:val="003D0AAD"/>
    <w:rsid w:val="003D18DB"/>
    <w:rsid w:val="003D1B5F"/>
    <w:rsid w:val="003D1C30"/>
    <w:rsid w:val="003D21E7"/>
    <w:rsid w:val="003D2C18"/>
    <w:rsid w:val="003D34C2"/>
    <w:rsid w:val="003D35F8"/>
    <w:rsid w:val="003D3608"/>
    <w:rsid w:val="003D37C6"/>
    <w:rsid w:val="003D39EA"/>
    <w:rsid w:val="003D4014"/>
    <w:rsid w:val="003D43E5"/>
    <w:rsid w:val="003D47BF"/>
    <w:rsid w:val="003D49DF"/>
    <w:rsid w:val="003D4C07"/>
    <w:rsid w:val="003D5280"/>
    <w:rsid w:val="003D52BC"/>
    <w:rsid w:val="003D573A"/>
    <w:rsid w:val="003D5B7A"/>
    <w:rsid w:val="003D5DDB"/>
    <w:rsid w:val="003D6013"/>
    <w:rsid w:val="003D62A3"/>
    <w:rsid w:val="003D657F"/>
    <w:rsid w:val="003D6674"/>
    <w:rsid w:val="003D69C6"/>
    <w:rsid w:val="003D6B5A"/>
    <w:rsid w:val="003D6F07"/>
    <w:rsid w:val="003D6F25"/>
    <w:rsid w:val="003D707F"/>
    <w:rsid w:val="003D774A"/>
    <w:rsid w:val="003D798F"/>
    <w:rsid w:val="003D7A22"/>
    <w:rsid w:val="003D7BCE"/>
    <w:rsid w:val="003D7E49"/>
    <w:rsid w:val="003D7F0B"/>
    <w:rsid w:val="003E0565"/>
    <w:rsid w:val="003E0646"/>
    <w:rsid w:val="003E0D0F"/>
    <w:rsid w:val="003E0D15"/>
    <w:rsid w:val="003E1A04"/>
    <w:rsid w:val="003E21FC"/>
    <w:rsid w:val="003E27EA"/>
    <w:rsid w:val="003E3E8B"/>
    <w:rsid w:val="003E4458"/>
    <w:rsid w:val="003E44B2"/>
    <w:rsid w:val="003E4D59"/>
    <w:rsid w:val="003E52D9"/>
    <w:rsid w:val="003E5663"/>
    <w:rsid w:val="003E56CD"/>
    <w:rsid w:val="003E5747"/>
    <w:rsid w:val="003E60C3"/>
    <w:rsid w:val="003E6319"/>
    <w:rsid w:val="003E6896"/>
    <w:rsid w:val="003E6930"/>
    <w:rsid w:val="003E6C5E"/>
    <w:rsid w:val="003E79B4"/>
    <w:rsid w:val="003E7B97"/>
    <w:rsid w:val="003E7E53"/>
    <w:rsid w:val="003E7E85"/>
    <w:rsid w:val="003F03CA"/>
    <w:rsid w:val="003F059F"/>
    <w:rsid w:val="003F063F"/>
    <w:rsid w:val="003F0CCD"/>
    <w:rsid w:val="003F1028"/>
    <w:rsid w:val="003F1484"/>
    <w:rsid w:val="003F170F"/>
    <w:rsid w:val="003F1BA2"/>
    <w:rsid w:val="003F1EE4"/>
    <w:rsid w:val="003F277B"/>
    <w:rsid w:val="003F292C"/>
    <w:rsid w:val="003F2F40"/>
    <w:rsid w:val="003F30D2"/>
    <w:rsid w:val="003F3940"/>
    <w:rsid w:val="003F3C65"/>
    <w:rsid w:val="003F4266"/>
    <w:rsid w:val="003F42DE"/>
    <w:rsid w:val="003F4329"/>
    <w:rsid w:val="003F4693"/>
    <w:rsid w:val="003F5541"/>
    <w:rsid w:val="003F61C5"/>
    <w:rsid w:val="003F6963"/>
    <w:rsid w:val="003F6BB9"/>
    <w:rsid w:val="003F6CD4"/>
    <w:rsid w:val="003F6ED1"/>
    <w:rsid w:val="003F6FD3"/>
    <w:rsid w:val="003F7CA7"/>
    <w:rsid w:val="003F7E60"/>
    <w:rsid w:val="00400053"/>
    <w:rsid w:val="0040006B"/>
    <w:rsid w:val="00401E11"/>
    <w:rsid w:val="0040237E"/>
    <w:rsid w:val="004023D0"/>
    <w:rsid w:val="00402840"/>
    <w:rsid w:val="00402FE4"/>
    <w:rsid w:val="004039B5"/>
    <w:rsid w:val="00403C54"/>
    <w:rsid w:val="00403C97"/>
    <w:rsid w:val="00404265"/>
    <w:rsid w:val="004044D1"/>
    <w:rsid w:val="00404CFB"/>
    <w:rsid w:val="004050DB"/>
    <w:rsid w:val="004056CA"/>
    <w:rsid w:val="0040616E"/>
    <w:rsid w:val="00406D88"/>
    <w:rsid w:val="00406FF2"/>
    <w:rsid w:val="004071F0"/>
    <w:rsid w:val="00407341"/>
    <w:rsid w:val="00407DC8"/>
    <w:rsid w:val="0041082E"/>
    <w:rsid w:val="00410D75"/>
    <w:rsid w:val="00410F2A"/>
    <w:rsid w:val="00411C72"/>
    <w:rsid w:val="00411F51"/>
    <w:rsid w:val="00412138"/>
    <w:rsid w:val="00412675"/>
    <w:rsid w:val="00412ACD"/>
    <w:rsid w:val="004134C2"/>
    <w:rsid w:val="00413AA4"/>
    <w:rsid w:val="004143FD"/>
    <w:rsid w:val="004155F8"/>
    <w:rsid w:val="00415D60"/>
    <w:rsid w:val="00415E8C"/>
    <w:rsid w:val="00415EAC"/>
    <w:rsid w:val="004160F7"/>
    <w:rsid w:val="0041674C"/>
    <w:rsid w:val="0041678C"/>
    <w:rsid w:val="00416B9D"/>
    <w:rsid w:val="00416DE7"/>
    <w:rsid w:val="0041726E"/>
    <w:rsid w:val="00417642"/>
    <w:rsid w:val="0041782E"/>
    <w:rsid w:val="00417A3D"/>
    <w:rsid w:val="00417DC6"/>
    <w:rsid w:val="00417F76"/>
    <w:rsid w:val="00417FEB"/>
    <w:rsid w:val="004208B3"/>
    <w:rsid w:val="00420CB0"/>
    <w:rsid w:val="00420E81"/>
    <w:rsid w:val="00421441"/>
    <w:rsid w:val="00421DCD"/>
    <w:rsid w:val="00422257"/>
    <w:rsid w:val="00422638"/>
    <w:rsid w:val="004226B9"/>
    <w:rsid w:val="00423236"/>
    <w:rsid w:val="004233D0"/>
    <w:rsid w:val="004241A2"/>
    <w:rsid w:val="0042426F"/>
    <w:rsid w:val="004247A1"/>
    <w:rsid w:val="00424B75"/>
    <w:rsid w:val="00424E65"/>
    <w:rsid w:val="00424E9F"/>
    <w:rsid w:val="00424EC1"/>
    <w:rsid w:val="004258CB"/>
    <w:rsid w:val="00425C6D"/>
    <w:rsid w:val="004264CA"/>
    <w:rsid w:val="00426AC2"/>
    <w:rsid w:val="00426B78"/>
    <w:rsid w:val="00426C25"/>
    <w:rsid w:val="004272D5"/>
    <w:rsid w:val="004275E2"/>
    <w:rsid w:val="004276ED"/>
    <w:rsid w:val="00427B48"/>
    <w:rsid w:val="004312A9"/>
    <w:rsid w:val="004312BC"/>
    <w:rsid w:val="00431692"/>
    <w:rsid w:val="00432483"/>
    <w:rsid w:val="004327D3"/>
    <w:rsid w:val="00432BCD"/>
    <w:rsid w:val="004330AB"/>
    <w:rsid w:val="00433777"/>
    <w:rsid w:val="004338CF"/>
    <w:rsid w:val="00433FE2"/>
    <w:rsid w:val="00434478"/>
    <w:rsid w:val="00434B64"/>
    <w:rsid w:val="00434E66"/>
    <w:rsid w:val="00434E97"/>
    <w:rsid w:val="00434FCB"/>
    <w:rsid w:val="00435267"/>
    <w:rsid w:val="00435285"/>
    <w:rsid w:val="00435478"/>
    <w:rsid w:val="0043571E"/>
    <w:rsid w:val="004361E9"/>
    <w:rsid w:val="004364DF"/>
    <w:rsid w:val="004366E6"/>
    <w:rsid w:val="0043685F"/>
    <w:rsid w:val="004369BA"/>
    <w:rsid w:val="004369D5"/>
    <w:rsid w:val="00437B88"/>
    <w:rsid w:val="00437CA4"/>
    <w:rsid w:val="00437EAA"/>
    <w:rsid w:val="00437F05"/>
    <w:rsid w:val="00440182"/>
    <w:rsid w:val="004402D5"/>
    <w:rsid w:val="00440617"/>
    <w:rsid w:val="004410D1"/>
    <w:rsid w:val="004411A7"/>
    <w:rsid w:val="004413B5"/>
    <w:rsid w:val="00441712"/>
    <w:rsid w:val="00441A71"/>
    <w:rsid w:val="00441A9B"/>
    <w:rsid w:val="00441CE6"/>
    <w:rsid w:val="0044236D"/>
    <w:rsid w:val="0044270F"/>
    <w:rsid w:val="00442AFD"/>
    <w:rsid w:val="00442C0D"/>
    <w:rsid w:val="00442CC6"/>
    <w:rsid w:val="00442D63"/>
    <w:rsid w:val="00442DA5"/>
    <w:rsid w:val="00443683"/>
    <w:rsid w:val="00443804"/>
    <w:rsid w:val="004439B4"/>
    <w:rsid w:val="00443A06"/>
    <w:rsid w:val="00443A3D"/>
    <w:rsid w:val="00444559"/>
    <w:rsid w:val="0044481D"/>
    <w:rsid w:val="00444962"/>
    <w:rsid w:val="00444C69"/>
    <w:rsid w:val="00444DF2"/>
    <w:rsid w:val="00444EA6"/>
    <w:rsid w:val="00445124"/>
    <w:rsid w:val="00445273"/>
    <w:rsid w:val="004452FD"/>
    <w:rsid w:val="004457AF"/>
    <w:rsid w:val="00445B93"/>
    <w:rsid w:val="00445EBF"/>
    <w:rsid w:val="004463FD"/>
    <w:rsid w:val="00446723"/>
    <w:rsid w:val="0044764B"/>
    <w:rsid w:val="00447709"/>
    <w:rsid w:val="00447D94"/>
    <w:rsid w:val="0045042A"/>
    <w:rsid w:val="00450ECE"/>
    <w:rsid w:val="00451926"/>
    <w:rsid w:val="00451FC4"/>
    <w:rsid w:val="00452A2B"/>
    <w:rsid w:val="00452AF2"/>
    <w:rsid w:val="00452CF3"/>
    <w:rsid w:val="00453310"/>
    <w:rsid w:val="004533CA"/>
    <w:rsid w:val="004546BB"/>
    <w:rsid w:val="00454C5F"/>
    <w:rsid w:val="00455209"/>
    <w:rsid w:val="004557F4"/>
    <w:rsid w:val="00455F0A"/>
    <w:rsid w:val="004564C5"/>
    <w:rsid w:val="00456A96"/>
    <w:rsid w:val="00456AFB"/>
    <w:rsid w:val="00456EE2"/>
    <w:rsid w:val="00457490"/>
    <w:rsid w:val="004575C4"/>
    <w:rsid w:val="0046047D"/>
    <w:rsid w:val="00460518"/>
    <w:rsid w:val="00460989"/>
    <w:rsid w:val="004613EE"/>
    <w:rsid w:val="004615E4"/>
    <w:rsid w:val="004625D8"/>
    <w:rsid w:val="0046270B"/>
    <w:rsid w:val="004627E6"/>
    <w:rsid w:val="00462A99"/>
    <w:rsid w:val="00462BFC"/>
    <w:rsid w:val="00462C2D"/>
    <w:rsid w:val="004630C7"/>
    <w:rsid w:val="00463ACF"/>
    <w:rsid w:val="00463CEC"/>
    <w:rsid w:val="0046422D"/>
    <w:rsid w:val="004646A0"/>
    <w:rsid w:val="00464B80"/>
    <w:rsid w:val="00464C00"/>
    <w:rsid w:val="00464D59"/>
    <w:rsid w:val="00464EB5"/>
    <w:rsid w:val="004650F6"/>
    <w:rsid w:val="004650FB"/>
    <w:rsid w:val="00465F46"/>
    <w:rsid w:val="00465F7C"/>
    <w:rsid w:val="0046600F"/>
    <w:rsid w:val="00466024"/>
    <w:rsid w:val="00466600"/>
    <w:rsid w:val="0046668F"/>
    <w:rsid w:val="00466B8F"/>
    <w:rsid w:val="00466E5E"/>
    <w:rsid w:val="0046711A"/>
    <w:rsid w:val="00467B9F"/>
    <w:rsid w:val="00467E75"/>
    <w:rsid w:val="00470116"/>
    <w:rsid w:val="00470141"/>
    <w:rsid w:val="00470A1B"/>
    <w:rsid w:val="00470E2D"/>
    <w:rsid w:val="00470E92"/>
    <w:rsid w:val="00471488"/>
    <w:rsid w:val="0047160C"/>
    <w:rsid w:val="004716D9"/>
    <w:rsid w:val="00471727"/>
    <w:rsid w:val="00471D66"/>
    <w:rsid w:val="004720EB"/>
    <w:rsid w:val="00472539"/>
    <w:rsid w:val="00472717"/>
    <w:rsid w:val="004732D4"/>
    <w:rsid w:val="004737C8"/>
    <w:rsid w:val="00473CB0"/>
    <w:rsid w:val="00473DE3"/>
    <w:rsid w:val="00474090"/>
    <w:rsid w:val="004745F4"/>
    <w:rsid w:val="00474EBB"/>
    <w:rsid w:val="00475272"/>
    <w:rsid w:val="0047567A"/>
    <w:rsid w:val="00475709"/>
    <w:rsid w:val="004758F1"/>
    <w:rsid w:val="00476105"/>
    <w:rsid w:val="0047646D"/>
    <w:rsid w:val="00476727"/>
    <w:rsid w:val="00476B6A"/>
    <w:rsid w:val="00476F59"/>
    <w:rsid w:val="0047707E"/>
    <w:rsid w:val="00477238"/>
    <w:rsid w:val="0047786F"/>
    <w:rsid w:val="00477C80"/>
    <w:rsid w:val="00477D6B"/>
    <w:rsid w:val="00480125"/>
    <w:rsid w:val="004803B4"/>
    <w:rsid w:val="00480F4B"/>
    <w:rsid w:val="004811E6"/>
    <w:rsid w:val="0048191F"/>
    <w:rsid w:val="00481951"/>
    <w:rsid w:val="00481ACD"/>
    <w:rsid w:val="00482B0E"/>
    <w:rsid w:val="00482B69"/>
    <w:rsid w:val="00482CAA"/>
    <w:rsid w:val="00483068"/>
    <w:rsid w:val="0048315F"/>
    <w:rsid w:val="0048435B"/>
    <w:rsid w:val="0048464A"/>
    <w:rsid w:val="00484937"/>
    <w:rsid w:val="00484AC9"/>
    <w:rsid w:val="00484B5C"/>
    <w:rsid w:val="00485BA7"/>
    <w:rsid w:val="00486542"/>
    <w:rsid w:val="004869DE"/>
    <w:rsid w:val="00486AE2"/>
    <w:rsid w:val="004870F1"/>
    <w:rsid w:val="004871C4"/>
    <w:rsid w:val="00487321"/>
    <w:rsid w:val="0049022F"/>
    <w:rsid w:val="004910CC"/>
    <w:rsid w:val="004912A5"/>
    <w:rsid w:val="004916C9"/>
    <w:rsid w:val="00491708"/>
    <w:rsid w:val="0049175B"/>
    <w:rsid w:val="00492707"/>
    <w:rsid w:val="0049279B"/>
    <w:rsid w:val="00492E09"/>
    <w:rsid w:val="00492EB7"/>
    <w:rsid w:val="004939D8"/>
    <w:rsid w:val="00493EFC"/>
    <w:rsid w:val="004946EA"/>
    <w:rsid w:val="004950CE"/>
    <w:rsid w:val="00495157"/>
    <w:rsid w:val="00495570"/>
    <w:rsid w:val="0049561C"/>
    <w:rsid w:val="00495986"/>
    <w:rsid w:val="00495A8A"/>
    <w:rsid w:val="00495B06"/>
    <w:rsid w:val="00496271"/>
    <w:rsid w:val="00496A03"/>
    <w:rsid w:val="00496F35"/>
    <w:rsid w:val="00497341"/>
    <w:rsid w:val="0049754A"/>
    <w:rsid w:val="0049769D"/>
    <w:rsid w:val="00497B4B"/>
    <w:rsid w:val="00497D97"/>
    <w:rsid w:val="00497EAE"/>
    <w:rsid w:val="004A0479"/>
    <w:rsid w:val="004A0752"/>
    <w:rsid w:val="004A155D"/>
    <w:rsid w:val="004A18DA"/>
    <w:rsid w:val="004A1995"/>
    <w:rsid w:val="004A1D7F"/>
    <w:rsid w:val="004A1D92"/>
    <w:rsid w:val="004A218B"/>
    <w:rsid w:val="004A2843"/>
    <w:rsid w:val="004A2EE3"/>
    <w:rsid w:val="004A380F"/>
    <w:rsid w:val="004A4243"/>
    <w:rsid w:val="004A434C"/>
    <w:rsid w:val="004A4E0A"/>
    <w:rsid w:val="004A50A2"/>
    <w:rsid w:val="004A55FB"/>
    <w:rsid w:val="004A58E9"/>
    <w:rsid w:val="004A5A35"/>
    <w:rsid w:val="004A6090"/>
    <w:rsid w:val="004A6568"/>
    <w:rsid w:val="004A65E9"/>
    <w:rsid w:val="004A6772"/>
    <w:rsid w:val="004A6839"/>
    <w:rsid w:val="004A69D9"/>
    <w:rsid w:val="004A711E"/>
    <w:rsid w:val="004A71B3"/>
    <w:rsid w:val="004A72E2"/>
    <w:rsid w:val="004B0F19"/>
    <w:rsid w:val="004B144D"/>
    <w:rsid w:val="004B174B"/>
    <w:rsid w:val="004B1A00"/>
    <w:rsid w:val="004B251C"/>
    <w:rsid w:val="004B2A7E"/>
    <w:rsid w:val="004B37EB"/>
    <w:rsid w:val="004B3843"/>
    <w:rsid w:val="004B3924"/>
    <w:rsid w:val="004B3A6E"/>
    <w:rsid w:val="004B3DED"/>
    <w:rsid w:val="004B3F2C"/>
    <w:rsid w:val="004B3F9A"/>
    <w:rsid w:val="004B428A"/>
    <w:rsid w:val="004B42BB"/>
    <w:rsid w:val="004B4634"/>
    <w:rsid w:val="004B4BE0"/>
    <w:rsid w:val="004B54C6"/>
    <w:rsid w:val="004B5511"/>
    <w:rsid w:val="004B5E76"/>
    <w:rsid w:val="004B6289"/>
    <w:rsid w:val="004B63C6"/>
    <w:rsid w:val="004B66B1"/>
    <w:rsid w:val="004B6CC3"/>
    <w:rsid w:val="004B6D34"/>
    <w:rsid w:val="004B76C0"/>
    <w:rsid w:val="004B7A4A"/>
    <w:rsid w:val="004B7CC0"/>
    <w:rsid w:val="004B7EFB"/>
    <w:rsid w:val="004C027E"/>
    <w:rsid w:val="004C07D0"/>
    <w:rsid w:val="004C083C"/>
    <w:rsid w:val="004C09A0"/>
    <w:rsid w:val="004C0DCE"/>
    <w:rsid w:val="004C1279"/>
    <w:rsid w:val="004C15FA"/>
    <w:rsid w:val="004C172B"/>
    <w:rsid w:val="004C17EC"/>
    <w:rsid w:val="004C28BB"/>
    <w:rsid w:val="004C341C"/>
    <w:rsid w:val="004C3C01"/>
    <w:rsid w:val="004C3D6E"/>
    <w:rsid w:val="004C3E63"/>
    <w:rsid w:val="004C4A8B"/>
    <w:rsid w:val="004C4BF3"/>
    <w:rsid w:val="004C4C35"/>
    <w:rsid w:val="004C4D33"/>
    <w:rsid w:val="004C50B8"/>
    <w:rsid w:val="004C5143"/>
    <w:rsid w:val="004C52D1"/>
    <w:rsid w:val="004C5311"/>
    <w:rsid w:val="004C5A7E"/>
    <w:rsid w:val="004C67DA"/>
    <w:rsid w:val="004C6ACC"/>
    <w:rsid w:val="004C73B9"/>
    <w:rsid w:val="004C748B"/>
    <w:rsid w:val="004C74D4"/>
    <w:rsid w:val="004C7A98"/>
    <w:rsid w:val="004C7EF3"/>
    <w:rsid w:val="004D0572"/>
    <w:rsid w:val="004D0A26"/>
    <w:rsid w:val="004D0A3C"/>
    <w:rsid w:val="004D0F03"/>
    <w:rsid w:val="004D1143"/>
    <w:rsid w:val="004D16E0"/>
    <w:rsid w:val="004D1903"/>
    <w:rsid w:val="004D1999"/>
    <w:rsid w:val="004D1D4C"/>
    <w:rsid w:val="004D30BA"/>
    <w:rsid w:val="004D3139"/>
    <w:rsid w:val="004D33CB"/>
    <w:rsid w:val="004D362E"/>
    <w:rsid w:val="004D367F"/>
    <w:rsid w:val="004D3B85"/>
    <w:rsid w:val="004D3BAB"/>
    <w:rsid w:val="004D4A41"/>
    <w:rsid w:val="004D4BF2"/>
    <w:rsid w:val="004D5490"/>
    <w:rsid w:val="004D5961"/>
    <w:rsid w:val="004D5A22"/>
    <w:rsid w:val="004D5D83"/>
    <w:rsid w:val="004D5DC9"/>
    <w:rsid w:val="004D5FB7"/>
    <w:rsid w:val="004D6166"/>
    <w:rsid w:val="004D6A13"/>
    <w:rsid w:val="004D6B32"/>
    <w:rsid w:val="004D6D8C"/>
    <w:rsid w:val="004D6E87"/>
    <w:rsid w:val="004D6ED7"/>
    <w:rsid w:val="004D70ED"/>
    <w:rsid w:val="004D726D"/>
    <w:rsid w:val="004D76D8"/>
    <w:rsid w:val="004D7E1F"/>
    <w:rsid w:val="004D7E37"/>
    <w:rsid w:val="004E0381"/>
    <w:rsid w:val="004E13C1"/>
    <w:rsid w:val="004E179A"/>
    <w:rsid w:val="004E1B4B"/>
    <w:rsid w:val="004E1E8C"/>
    <w:rsid w:val="004E1ECD"/>
    <w:rsid w:val="004E2200"/>
    <w:rsid w:val="004E2501"/>
    <w:rsid w:val="004E2594"/>
    <w:rsid w:val="004E2A3A"/>
    <w:rsid w:val="004E3036"/>
    <w:rsid w:val="004E316D"/>
    <w:rsid w:val="004E3CD2"/>
    <w:rsid w:val="004E3D9F"/>
    <w:rsid w:val="004E3EB0"/>
    <w:rsid w:val="004E41D9"/>
    <w:rsid w:val="004E4277"/>
    <w:rsid w:val="004E4355"/>
    <w:rsid w:val="004E443E"/>
    <w:rsid w:val="004E4443"/>
    <w:rsid w:val="004E452C"/>
    <w:rsid w:val="004E53E5"/>
    <w:rsid w:val="004E581B"/>
    <w:rsid w:val="004E58B0"/>
    <w:rsid w:val="004E6072"/>
    <w:rsid w:val="004E6201"/>
    <w:rsid w:val="004E6F8E"/>
    <w:rsid w:val="004E71AA"/>
    <w:rsid w:val="004E76B4"/>
    <w:rsid w:val="004E77D1"/>
    <w:rsid w:val="004E7953"/>
    <w:rsid w:val="004E7BCB"/>
    <w:rsid w:val="004E7BD4"/>
    <w:rsid w:val="004E7BDE"/>
    <w:rsid w:val="004E7E07"/>
    <w:rsid w:val="004F070D"/>
    <w:rsid w:val="004F080F"/>
    <w:rsid w:val="004F10DF"/>
    <w:rsid w:val="004F1236"/>
    <w:rsid w:val="004F18A1"/>
    <w:rsid w:val="004F2457"/>
    <w:rsid w:val="004F2657"/>
    <w:rsid w:val="004F28EF"/>
    <w:rsid w:val="004F2990"/>
    <w:rsid w:val="004F2B34"/>
    <w:rsid w:val="004F31A6"/>
    <w:rsid w:val="004F3CE3"/>
    <w:rsid w:val="004F3ED4"/>
    <w:rsid w:val="004F40F6"/>
    <w:rsid w:val="004F426E"/>
    <w:rsid w:val="004F4C5A"/>
    <w:rsid w:val="004F50F1"/>
    <w:rsid w:val="004F55B7"/>
    <w:rsid w:val="004F5954"/>
    <w:rsid w:val="004F599A"/>
    <w:rsid w:val="004F5FF0"/>
    <w:rsid w:val="004F6333"/>
    <w:rsid w:val="004F6942"/>
    <w:rsid w:val="004F7406"/>
    <w:rsid w:val="004F74F1"/>
    <w:rsid w:val="004F7592"/>
    <w:rsid w:val="004F79AD"/>
    <w:rsid w:val="00500521"/>
    <w:rsid w:val="00500559"/>
    <w:rsid w:val="005007F5"/>
    <w:rsid w:val="00500C13"/>
    <w:rsid w:val="005011B3"/>
    <w:rsid w:val="00501EC4"/>
    <w:rsid w:val="005020D7"/>
    <w:rsid w:val="005022D0"/>
    <w:rsid w:val="005031F9"/>
    <w:rsid w:val="00503D33"/>
    <w:rsid w:val="00504446"/>
    <w:rsid w:val="00504979"/>
    <w:rsid w:val="00504C7B"/>
    <w:rsid w:val="00504E25"/>
    <w:rsid w:val="00505277"/>
    <w:rsid w:val="0050567B"/>
    <w:rsid w:val="0050649C"/>
    <w:rsid w:val="00506538"/>
    <w:rsid w:val="005066A5"/>
    <w:rsid w:val="00506B4D"/>
    <w:rsid w:val="00506BAC"/>
    <w:rsid w:val="00506D1A"/>
    <w:rsid w:val="0050718B"/>
    <w:rsid w:val="005104B0"/>
    <w:rsid w:val="00510544"/>
    <w:rsid w:val="00510A49"/>
    <w:rsid w:val="005111F1"/>
    <w:rsid w:val="0051144B"/>
    <w:rsid w:val="005118DA"/>
    <w:rsid w:val="005119B7"/>
    <w:rsid w:val="0051250E"/>
    <w:rsid w:val="0051284B"/>
    <w:rsid w:val="00512B66"/>
    <w:rsid w:val="00512C7A"/>
    <w:rsid w:val="00512F91"/>
    <w:rsid w:val="005130DC"/>
    <w:rsid w:val="00513330"/>
    <w:rsid w:val="00513BDB"/>
    <w:rsid w:val="005145DC"/>
    <w:rsid w:val="00514A40"/>
    <w:rsid w:val="00514F6D"/>
    <w:rsid w:val="00514FC6"/>
    <w:rsid w:val="005151ED"/>
    <w:rsid w:val="005159BA"/>
    <w:rsid w:val="00515A06"/>
    <w:rsid w:val="00515D91"/>
    <w:rsid w:val="00515FB5"/>
    <w:rsid w:val="00516A1A"/>
    <w:rsid w:val="0051730C"/>
    <w:rsid w:val="00517441"/>
    <w:rsid w:val="00517894"/>
    <w:rsid w:val="00517BC6"/>
    <w:rsid w:val="00517FDE"/>
    <w:rsid w:val="0052000B"/>
    <w:rsid w:val="00520401"/>
    <w:rsid w:val="0052063E"/>
    <w:rsid w:val="00520949"/>
    <w:rsid w:val="0052098B"/>
    <w:rsid w:val="005209BE"/>
    <w:rsid w:val="00521210"/>
    <w:rsid w:val="005213B7"/>
    <w:rsid w:val="00521698"/>
    <w:rsid w:val="00521BDE"/>
    <w:rsid w:val="00521CEC"/>
    <w:rsid w:val="005220BA"/>
    <w:rsid w:val="00522138"/>
    <w:rsid w:val="00522D9A"/>
    <w:rsid w:val="005232A4"/>
    <w:rsid w:val="0052377F"/>
    <w:rsid w:val="00523AEB"/>
    <w:rsid w:val="00523C56"/>
    <w:rsid w:val="005240AB"/>
    <w:rsid w:val="00524577"/>
    <w:rsid w:val="00524632"/>
    <w:rsid w:val="00524652"/>
    <w:rsid w:val="0052472D"/>
    <w:rsid w:val="00524A5E"/>
    <w:rsid w:val="005251C5"/>
    <w:rsid w:val="0052573A"/>
    <w:rsid w:val="00525FB0"/>
    <w:rsid w:val="00526219"/>
    <w:rsid w:val="00526309"/>
    <w:rsid w:val="005268F0"/>
    <w:rsid w:val="00526D00"/>
    <w:rsid w:val="00526DCE"/>
    <w:rsid w:val="00526ECD"/>
    <w:rsid w:val="005270BD"/>
    <w:rsid w:val="005273C2"/>
    <w:rsid w:val="005274F8"/>
    <w:rsid w:val="0052758E"/>
    <w:rsid w:val="00527C24"/>
    <w:rsid w:val="00527C98"/>
    <w:rsid w:val="0053002D"/>
    <w:rsid w:val="00530512"/>
    <w:rsid w:val="00530AAF"/>
    <w:rsid w:val="00530BAA"/>
    <w:rsid w:val="005310A0"/>
    <w:rsid w:val="0053173C"/>
    <w:rsid w:val="00531976"/>
    <w:rsid w:val="005319B2"/>
    <w:rsid w:val="00531BDD"/>
    <w:rsid w:val="00531D1D"/>
    <w:rsid w:val="00531DED"/>
    <w:rsid w:val="00532194"/>
    <w:rsid w:val="005322CB"/>
    <w:rsid w:val="00532744"/>
    <w:rsid w:val="0053284C"/>
    <w:rsid w:val="00532AFE"/>
    <w:rsid w:val="00532C10"/>
    <w:rsid w:val="00532CC6"/>
    <w:rsid w:val="0053302A"/>
    <w:rsid w:val="00533504"/>
    <w:rsid w:val="005339EB"/>
    <w:rsid w:val="005340C5"/>
    <w:rsid w:val="0053414F"/>
    <w:rsid w:val="005343EB"/>
    <w:rsid w:val="005355D8"/>
    <w:rsid w:val="00535A08"/>
    <w:rsid w:val="00535D4A"/>
    <w:rsid w:val="00535ED7"/>
    <w:rsid w:val="005368F4"/>
    <w:rsid w:val="00536C1E"/>
    <w:rsid w:val="00536D4F"/>
    <w:rsid w:val="00536DF8"/>
    <w:rsid w:val="005375EF"/>
    <w:rsid w:val="00537E72"/>
    <w:rsid w:val="005400C0"/>
    <w:rsid w:val="00540227"/>
    <w:rsid w:val="0054025A"/>
    <w:rsid w:val="00540282"/>
    <w:rsid w:val="00540353"/>
    <w:rsid w:val="005414AE"/>
    <w:rsid w:val="005416ED"/>
    <w:rsid w:val="005417F6"/>
    <w:rsid w:val="00541921"/>
    <w:rsid w:val="00541C57"/>
    <w:rsid w:val="00541EB7"/>
    <w:rsid w:val="005422E3"/>
    <w:rsid w:val="0054232A"/>
    <w:rsid w:val="00542AB5"/>
    <w:rsid w:val="00542D76"/>
    <w:rsid w:val="00543AF4"/>
    <w:rsid w:val="00544199"/>
    <w:rsid w:val="005447FC"/>
    <w:rsid w:val="00545692"/>
    <w:rsid w:val="005458AD"/>
    <w:rsid w:val="00545A06"/>
    <w:rsid w:val="00545B79"/>
    <w:rsid w:val="00545C7A"/>
    <w:rsid w:val="0054603B"/>
    <w:rsid w:val="00546414"/>
    <w:rsid w:val="00546472"/>
    <w:rsid w:val="00546692"/>
    <w:rsid w:val="00546C9E"/>
    <w:rsid w:val="005473D5"/>
    <w:rsid w:val="00547451"/>
    <w:rsid w:val="0054779A"/>
    <w:rsid w:val="00550193"/>
    <w:rsid w:val="00550855"/>
    <w:rsid w:val="00550F6A"/>
    <w:rsid w:val="005513D5"/>
    <w:rsid w:val="005514E6"/>
    <w:rsid w:val="00551547"/>
    <w:rsid w:val="00551664"/>
    <w:rsid w:val="005523BC"/>
    <w:rsid w:val="005524D0"/>
    <w:rsid w:val="00552B12"/>
    <w:rsid w:val="005537D5"/>
    <w:rsid w:val="00553E9A"/>
    <w:rsid w:val="005543F8"/>
    <w:rsid w:val="0055463C"/>
    <w:rsid w:val="00554BB0"/>
    <w:rsid w:val="00554D2B"/>
    <w:rsid w:val="00554F84"/>
    <w:rsid w:val="005553FC"/>
    <w:rsid w:val="00555646"/>
    <w:rsid w:val="0055571F"/>
    <w:rsid w:val="00555A5C"/>
    <w:rsid w:val="00555A85"/>
    <w:rsid w:val="00555B0C"/>
    <w:rsid w:val="00555F8E"/>
    <w:rsid w:val="005564FB"/>
    <w:rsid w:val="00556640"/>
    <w:rsid w:val="00557246"/>
    <w:rsid w:val="005577E6"/>
    <w:rsid w:val="005578C8"/>
    <w:rsid w:val="00557A79"/>
    <w:rsid w:val="00557B99"/>
    <w:rsid w:val="00557F8A"/>
    <w:rsid w:val="005604D9"/>
    <w:rsid w:val="005604EC"/>
    <w:rsid w:val="00560737"/>
    <w:rsid w:val="005609A0"/>
    <w:rsid w:val="00560BCB"/>
    <w:rsid w:val="00560E5B"/>
    <w:rsid w:val="00560E93"/>
    <w:rsid w:val="005618AF"/>
    <w:rsid w:val="00562E5E"/>
    <w:rsid w:val="005630BA"/>
    <w:rsid w:val="00563448"/>
    <w:rsid w:val="00565053"/>
    <w:rsid w:val="0056541A"/>
    <w:rsid w:val="00565583"/>
    <w:rsid w:val="0056575D"/>
    <w:rsid w:val="00565863"/>
    <w:rsid w:val="005658DE"/>
    <w:rsid w:val="00565DC2"/>
    <w:rsid w:val="00565E48"/>
    <w:rsid w:val="00566193"/>
    <w:rsid w:val="005666D5"/>
    <w:rsid w:val="00566AD4"/>
    <w:rsid w:val="00566EAF"/>
    <w:rsid w:val="00566FB0"/>
    <w:rsid w:val="0056731F"/>
    <w:rsid w:val="00567AFE"/>
    <w:rsid w:val="00570279"/>
    <w:rsid w:val="00570584"/>
    <w:rsid w:val="0057070F"/>
    <w:rsid w:val="00570816"/>
    <w:rsid w:val="005709B3"/>
    <w:rsid w:val="00570EE7"/>
    <w:rsid w:val="00571B99"/>
    <w:rsid w:val="00571BE1"/>
    <w:rsid w:val="0057214B"/>
    <w:rsid w:val="005721B9"/>
    <w:rsid w:val="00572804"/>
    <w:rsid w:val="00572983"/>
    <w:rsid w:val="00572BD5"/>
    <w:rsid w:val="00572E57"/>
    <w:rsid w:val="00572F3A"/>
    <w:rsid w:val="005734CC"/>
    <w:rsid w:val="00573D2C"/>
    <w:rsid w:val="00573DED"/>
    <w:rsid w:val="00573EF4"/>
    <w:rsid w:val="00574219"/>
    <w:rsid w:val="005745F9"/>
    <w:rsid w:val="00574644"/>
    <w:rsid w:val="005746F4"/>
    <w:rsid w:val="005746F5"/>
    <w:rsid w:val="005747AE"/>
    <w:rsid w:val="0057484D"/>
    <w:rsid w:val="005748EB"/>
    <w:rsid w:val="00574ACF"/>
    <w:rsid w:val="00574BDD"/>
    <w:rsid w:val="005750FD"/>
    <w:rsid w:val="0057522C"/>
    <w:rsid w:val="0057547F"/>
    <w:rsid w:val="0057550F"/>
    <w:rsid w:val="00575798"/>
    <w:rsid w:val="00575C1F"/>
    <w:rsid w:val="00576257"/>
    <w:rsid w:val="005762AC"/>
    <w:rsid w:val="0057652F"/>
    <w:rsid w:val="005767B2"/>
    <w:rsid w:val="00576A37"/>
    <w:rsid w:val="00576D09"/>
    <w:rsid w:val="00576D0A"/>
    <w:rsid w:val="0057753B"/>
    <w:rsid w:val="0057760C"/>
    <w:rsid w:val="00577D09"/>
    <w:rsid w:val="0058018A"/>
    <w:rsid w:val="00580219"/>
    <w:rsid w:val="005810A0"/>
    <w:rsid w:val="005810D0"/>
    <w:rsid w:val="00581CA7"/>
    <w:rsid w:val="00581F17"/>
    <w:rsid w:val="00581F5E"/>
    <w:rsid w:val="005828AF"/>
    <w:rsid w:val="00583052"/>
    <w:rsid w:val="0058310C"/>
    <w:rsid w:val="0058342D"/>
    <w:rsid w:val="00583942"/>
    <w:rsid w:val="0058435F"/>
    <w:rsid w:val="00584426"/>
    <w:rsid w:val="00584B77"/>
    <w:rsid w:val="00584E08"/>
    <w:rsid w:val="00584E45"/>
    <w:rsid w:val="00584F91"/>
    <w:rsid w:val="00585328"/>
    <w:rsid w:val="005856C3"/>
    <w:rsid w:val="00585785"/>
    <w:rsid w:val="00585DF9"/>
    <w:rsid w:val="0058616C"/>
    <w:rsid w:val="0058636F"/>
    <w:rsid w:val="005863DC"/>
    <w:rsid w:val="00586DE6"/>
    <w:rsid w:val="005870D0"/>
    <w:rsid w:val="00587104"/>
    <w:rsid w:val="0058711B"/>
    <w:rsid w:val="00587226"/>
    <w:rsid w:val="00587751"/>
    <w:rsid w:val="00587DAC"/>
    <w:rsid w:val="005904AF"/>
    <w:rsid w:val="005909B1"/>
    <w:rsid w:val="00590F54"/>
    <w:rsid w:val="00591073"/>
    <w:rsid w:val="00591D5A"/>
    <w:rsid w:val="00591FCF"/>
    <w:rsid w:val="00592B80"/>
    <w:rsid w:val="0059380E"/>
    <w:rsid w:val="00593849"/>
    <w:rsid w:val="00593A50"/>
    <w:rsid w:val="00593A9F"/>
    <w:rsid w:val="00593F82"/>
    <w:rsid w:val="0059424E"/>
    <w:rsid w:val="005944BF"/>
    <w:rsid w:val="0059452A"/>
    <w:rsid w:val="00594719"/>
    <w:rsid w:val="00594E53"/>
    <w:rsid w:val="005950A8"/>
    <w:rsid w:val="0059541A"/>
    <w:rsid w:val="0059594C"/>
    <w:rsid w:val="00595F1B"/>
    <w:rsid w:val="00595FD5"/>
    <w:rsid w:val="0059638E"/>
    <w:rsid w:val="0059667A"/>
    <w:rsid w:val="0059689F"/>
    <w:rsid w:val="005969D6"/>
    <w:rsid w:val="00596B16"/>
    <w:rsid w:val="005970EF"/>
    <w:rsid w:val="00597395"/>
    <w:rsid w:val="00597834"/>
    <w:rsid w:val="005A0848"/>
    <w:rsid w:val="005A0A08"/>
    <w:rsid w:val="005A1169"/>
    <w:rsid w:val="005A1AC4"/>
    <w:rsid w:val="005A1BDA"/>
    <w:rsid w:val="005A286C"/>
    <w:rsid w:val="005A28D2"/>
    <w:rsid w:val="005A290C"/>
    <w:rsid w:val="005A2E9B"/>
    <w:rsid w:val="005A315C"/>
    <w:rsid w:val="005A3240"/>
    <w:rsid w:val="005A335D"/>
    <w:rsid w:val="005A3393"/>
    <w:rsid w:val="005A3545"/>
    <w:rsid w:val="005A3929"/>
    <w:rsid w:val="005A3B20"/>
    <w:rsid w:val="005A3C96"/>
    <w:rsid w:val="005A3D25"/>
    <w:rsid w:val="005A3E24"/>
    <w:rsid w:val="005A3EAA"/>
    <w:rsid w:val="005A441C"/>
    <w:rsid w:val="005A4C7E"/>
    <w:rsid w:val="005A4E6F"/>
    <w:rsid w:val="005A5199"/>
    <w:rsid w:val="005A52D2"/>
    <w:rsid w:val="005A5E02"/>
    <w:rsid w:val="005A5F60"/>
    <w:rsid w:val="005A608F"/>
    <w:rsid w:val="005A6579"/>
    <w:rsid w:val="005A6682"/>
    <w:rsid w:val="005A6C07"/>
    <w:rsid w:val="005A6E64"/>
    <w:rsid w:val="005A7000"/>
    <w:rsid w:val="005A70A5"/>
    <w:rsid w:val="005A7C28"/>
    <w:rsid w:val="005A7D4E"/>
    <w:rsid w:val="005B0769"/>
    <w:rsid w:val="005B0909"/>
    <w:rsid w:val="005B099B"/>
    <w:rsid w:val="005B0CEF"/>
    <w:rsid w:val="005B1495"/>
    <w:rsid w:val="005B1736"/>
    <w:rsid w:val="005B1AB5"/>
    <w:rsid w:val="005B231E"/>
    <w:rsid w:val="005B2595"/>
    <w:rsid w:val="005B2AB2"/>
    <w:rsid w:val="005B2BB9"/>
    <w:rsid w:val="005B3298"/>
    <w:rsid w:val="005B3378"/>
    <w:rsid w:val="005B4407"/>
    <w:rsid w:val="005B4CB5"/>
    <w:rsid w:val="005B4EBC"/>
    <w:rsid w:val="005B4F32"/>
    <w:rsid w:val="005B5192"/>
    <w:rsid w:val="005B5771"/>
    <w:rsid w:val="005B5C0E"/>
    <w:rsid w:val="005B5CA1"/>
    <w:rsid w:val="005B66B7"/>
    <w:rsid w:val="005B674E"/>
    <w:rsid w:val="005B6895"/>
    <w:rsid w:val="005B68DB"/>
    <w:rsid w:val="005B6C08"/>
    <w:rsid w:val="005B6FFA"/>
    <w:rsid w:val="005B728B"/>
    <w:rsid w:val="005B77FB"/>
    <w:rsid w:val="005C01A2"/>
    <w:rsid w:val="005C0262"/>
    <w:rsid w:val="005C07B0"/>
    <w:rsid w:val="005C0E27"/>
    <w:rsid w:val="005C128D"/>
    <w:rsid w:val="005C13AF"/>
    <w:rsid w:val="005C1583"/>
    <w:rsid w:val="005C18CF"/>
    <w:rsid w:val="005C198E"/>
    <w:rsid w:val="005C1C68"/>
    <w:rsid w:val="005C260B"/>
    <w:rsid w:val="005C26B3"/>
    <w:rsid w:val="005C2DA6"/>
    <w:rsid w:val="005C3374"/>
    <w:rsid w:val="005C381D"/>
    <w:rsid w:val="005C3A5B"/>
    <w:rsid w:val="005C4405"/>
    <w:rsid w:val="005C467B"/>
    <w:rsid w:val="005C4D22"/>
    <w:rsid w:val="005C52C5"/>
    <w:rsid w:val="005C56EB"/>
    <w:rsid w:val="005C629E"/>
    <w:rsid w:val="005C633E"/>
    <w:rsid w:val="005C67A6"/>
    <w:rsid w:val="005C6E37"/>
    <w:rsid w:val="005C6F70"/>
    <w:rsid w:val="005C6FF4"/>
    <w:rsid w:val="005C7063"/>
    <w:rsid w:val="005C7207"/>
    <w:rsid w:val="005C7759"/>
    <w:rsid w:val="005C77BE"/>
    <w:rsid w:val="005C7D70"/>
    <w:rsid w:val="005D0C76"/>
    <w:rsid w:val="005D1062"/>
    <w:rsid w:val="005D1175"/>
    <w:rsid w:val="005D1A4F"/>
    <w:rsid w:val="005D1E2D"/>
    <w:rsid w:val="005D2153"/>
    <w:rsid w:val="005D22C5"/>
    <w:rsid w:val="005D2553"/>
    <w:rsid w:val="005D2AEA"/>
    <w:rsid w:val="005D3266"/>
    <w:rsid w:val="005D3285"/>
    <w:rsid w:val="005D3530"/>
    <w:rsid w:val="005D40EE"/>
    <w:rsid w:val="005D4357"/>
    <w:rsid w:val="005D532C"/>
    <w:rsid w:val="005D533C"/>
    <w:rsid w:val="005D558F"/>
    <w:rsid w:val="005D580E"/>
    <w:rsid w:val="005D5B22"/>
    <w:rsid w:val="005D5BC7"/>
    <w:rsid w:val="005D5E3D"/>
    <w:rsid w:val="005D693B"/>
    <w:rsid w:val="005D6BB2"/>
    <w:rsid w:val="005D74A4"/>
    <w:rsid w:val="005D74CE"/>
    <w:rsid w:val="005D7B3D"/>
    <w:rsid w:val="005E066A"/>
    <w:rsid w:val="005E0C42"/>
    <w:rsid w:val="005E0CE4"/>
    <w:rsid w:val="005E0E75"/>
    <w:rsid w:val="005E106F"/>
    <w:rsid w:val="005E1098"/>
    <w:rsid w:val="005E1167"/>
    <w:rsid w:val="005E1B00"/>
    <w:rsid w:val="005E2066"/>
    <w:rsid w:val="005E209F"/>
    <w:rsid w:val="005E2BB9"/>
    <w:rsid w:val="005E2EFA"/>
    <w:rsid w:val="005E3B88"/>
    <w:rsid w:val="005E3F80"/>
    <w:rsid w:val="005E4FC1"/>
    <w:rsid w:val="005E512D"/>
    <w:rsid w:val="005E53CC"/>
    <w:rsid w:val="005E5A37"/>
    <w:rsid w:val="005E5BEF"/>
    <w:rsid w:val="005E6AC8"/>
    <w:rsid w:val="005E6D3A"/>
    <w:rsid w:val="005E71E9"/>
    <w:rsid w:val="005E74F3"/>
    <w:rsid w:val="005E7659"/>
    <w:rsid w:val="005E76C0"/>
    <w:rsid w:val="005F01BB"/>
    <w:rsid w:val="005F020B"/>
    <w:rsid w:val="005F028C"/>
    <w:rsid w:val="005F0949"/>
    <w:rsid w:val="005F11C8"/>
    <w:rsid w:val="005F1365"/>
    <w:rsid w:val="005F1447"/>
    <w:rsid w:val="005F17BD"/>
    <w:rsid w:val="005F1F27"/>
    <w:rsid w:val="005F2111"/>
    <w:rsid w:val="005F23BC"/>
    <w:rsid w:val="005F289D"/>
    <w:rsid w:val="005F2DD4"/>
    <w:rsid w:val="005F3282"/>
    <w:rsid w:val="005F3351"/>
    <w:rsid w:val="005F3538"/>
    <w:rsid w:val="005F3B15"/>
    <w:rsid w:val="005F43AF"/>
    <w:rsid w:val="005F44F4"/>
    <w:rsid w:val="005F4602"/>
    <w:rsid w:val="005F4709"/>
    <w:rsid w:val="005F4994"/>
    <w:rsid w:val="005F4BDD"/>
    <w:rsid w:val="005F4C2F"/>
    <w:rsid w:val="005F4EB3"/>
    <w:rsid w:val="005F51FC"/>
    <w:rsid w:val="005F5928"/>
    <w:rsid w:val="005F625C"/>
    <w:rsid w:val="005F6982"/>
    <w:rsid w:val="005F69A6"/>
    <w:rsid w:val="005F6C76"/>
    <w:rsid w:val="005F6CC2"/>
    <w:rsid w:val="005F6FB2"/>
    <w:rsid w:val="005F704F"/>
    <w:rsid w:val="005F7316"/>
    <w:rsid w:val="005F7528"/>
    <w:rsid w:val="005F76C1"/>
    <w:rsid w:val="005F77BD"/>
    <w:rsid w:val="005F7843"/>
    <w:rsid w:val="005F7CC1"/>
    <w:rsid w:val="005F7CE4"/>
    <w:rsid w:val="006001CD"/>
    <w:rsid w:val="006003C9"/>
    <w:rsid w:val="00600509"/>
    <w:rsid w:val="00600BBE"/>
    <w:rsid w:val="00600CA7"/>
    <w:rsid w:val="00602297"/>
    <w:rsid w:val="006027DA"/>
    <w:rsid w:val="00602F70"/>
    <w:rsid w:val="00603197"/>
    <w:rsid w:val="00603B2D"/>
    <w:rsid w:val="00603D72"/>
    <w:rsid w:val="00604676"/>
    <w:rsid w:val="00604BD9"/>
    <w:rsid w:val="00604D6D"/>
    <w:rsid w:val="00604E8D"/>
    <w:rsid w:val="006050C3"/>
    <w:rsid w:val="006057A0"/>
    <w:rsid w:val="00605DED"/>
    <w:rsid w:val="00606223"/>
    <w:rsid w:val="00606468"/>
    <w:rsid w:val="006064F3"/>
    <w:rsid w:val="00606654"/>
    <w:rsid w:val="0060687C"/>
    <w:rsid w:val="006069D2"/>
    <w:rsid w:val="00606B33"/>
    <w:rsid w:val="006072A2"/>
    <w:rsid w:val="00607434"/>
    <w:rsid w:val="00607763"/>
    <w:rsid w:val="00607995"/>
    <w:rsid w:val="00607BC4"/>
    <w:rsid w:val="00610390"/>
    <w:rsid w:val="0061061D"/>
    <w:rsid w:val="00610B33"/>
    <w:rsid w:val="00610E58"/>
    <w:rsid w:val="00610F5F"/>
    <w:rsid w:val="006114FC"/>
    <w:rsid w:val="0061159F"/>
    <w:rsid w:val="00611771"/>
    <w:rsid w:val="0061288C"/>
    <w:rsid w:val="00612ED2"/>
    <w:rsid w:val="006132D9"/>
    <w:rsid w:val="0061349D"/>
    <w:rsid w:val="00613EFF"/>
    <w:rsid w:val="006144EF"/>
    <w:rsid w:val="00614DA9"/>
    <w:rsid w:val="00615060"/>
    <w:rsid w:val="006150C3"/>
    <w:rsid w:val="006167A5"/>
    <w:rsid w:val="006168F7"/>
    <w:rsid w:val="00616A66"/>
    <w:rsid w:val="006171D5"/>
    <w:rsid w:val="006171FA"/>
    <w:rsid w:val="00617659"/>
    <w:rsid w:val="00617B86"/>
    <w:rsid w:val="00617ED7"/>
    <w:rsid w:val="006202E0"/>
    <w:rsid w:val="00621056"/>
    <w:rsid w:val="006216FD"/>
    <w:rsid w:val="006217EE"/>
    <w:rsid w:val="006217F0"/>
    <w:rsid w:val="006218FE"/>
    <w:rsid w:val="006219B9"/>
    <w:rsid w:val="006219EB"/>
    <w:rsid w:val="00621EEF"/>
    <w:rsid w:val="0062204B"/>
    <w:rsid w:val="006227FC"/>
    <w:rsid w:val="006231A5"/>
    <w:rsid w:val="006232DE"/>
    <w:rsid w:val="006234E6"/>
    <w:rsid w:val="00623511"/>
    <w:rsid w:val="00623C72"/>
    <w:rsid w:val="00623F9D"/>
    <w:rsid w:val="0062420D"/>
    <w:rsid w:val="0062463C"/>
    <w:rsid w:val="006250A2"/>
    <w:rsid w:val="00625445"/>
    <w:rsid w:val="006260E3"/>
    <w:rsid w:val="00626310"/>
    <w:rsid w:val="00626432"/>
    <w:rsid w:val="00626877"/>
    <w:rsid w:val="006272FA"/>
    <w:rsid w:val="0062773D"/>
    <w:rsid w:val="00627AEC"/>
    <w:rsid w:val="00627E73"/>
    <w:rsid w:val="006302EC"/>
    <w:rsid w:val="0063044F"/>
    <w:rsid w:val="006305D8"/>
    <w:rsid w:val="0063130F"/>
    <w:rsid w:val="00632405"/>
    <w:rsid w:val="006329C2"/>
    <w:rsid w:val="00632C26"/>
    <w:rsid w:val="00633034"/>
    <w:rsid w:val="0063316C"/>
    <w:rsid w:val="00633488"/>
    <w:rsid w:val="006336A2"/>
    <w:rsid w:val="00633CE5"/>
    <w:rsid w:val="00633F7E"/>
    <w:rsid w:val="006340B6"/>
    <w:rsid w:val="00634485"/>
    <w:rsid w:val="006347CF"/>
    <w:rsid w:val="006349E2"/>
    <w:rsid w:val="00634E33"/>
    <w:rsid w:val="00635166"/>
    <w:rsid w:val="00635E46"/>
    <w:rsid w:val="006363B6"/>
    <w:rsid w:val="0063657C"/>
    <w:rsid w:val="0063697C"/>
    <w:rsid w:val="00636ACB"/>
    <w:rsid w:val="00636B79"/>
    <w:rsid w:val="00637287"/>
    <w:rsid w:val="0063765E"/>
    <w:rsid w:val="00637A53"/>
    <w:rsid w:val="00637BAB"/>
    <w:rsid w:val="006409B4"/>
    <w:rsid w:val="00640F1D"/>
    <w:rsid w:val="00641198"/>
    <w:rsid w:val="0064154A"/>
    <w:rsid w:val="0064171B"/>
    <w:rsid w:val="00641777"/>
    <w:rsid w:val="00641C34"/>
    <w:rsid w:val="006424C5"/>
    <w:rsid w:val="00643019"/>
    <w:rsid w:val="006433B3"/>
    <w:rsid w:val="0064351D"/>
    <w:rsid w:val="00643579"/>
    <w:rsid w:val="006436A4"/>
    <w:rsid w:val="00643C40"/>
    <w:rsid w:val="00643CCD"/>
    <w:rsid w:val="00643D3D"/>
    <w:rsid w:val="00643FB6"/>
    <w:rsid w:val="006447A4"/>
    <w:rsid w:val="00644A90"/>
    <w:rsid w:val="0064567F"/>
    <w:rsid w:val="00645F20"/>
    <w:rsid w:val="00646069"/>
    <w:rsid w:val="00646353"/>
    <w:rsid w:val="00647163"/>
    <w:rsid w:val="006472E6"/>
    <w:rsid w:val="00647E4C"/>
    <w:rsid w:val="00647EBB"/>
    <w:rsid w:val="00650F81"/>
    <w:rsid w:val="00651CC2"/>
    <w:rsid w:val="00651D8F"/>
    <w:rsid w:val="00651F8F"/>
    <w:rsid w:val="0065246D"/>
    <w:rsid w:val="0065274C"/>
    <w:rsid w:val="00652B0D"/>
    <w:rsid w:val="00652D29"/>
    <w:rsid w:val="00653140"/>
    <w:rsid w:val="0065326C"/>
    <w:rsid w:val="006532CF"/>
    <w:rsid w:val="0065365D"/>
    <w:rsid w:val="0065421A"/>
    <w:rsid w:val="006546AE"/>
    <w:rsid w:val="00654A04"/>
    <w:rsid w:val="00654AD6"/>
    <w:rsid w:val="0065522F"/>
    <w:rsid w:val="006555E9"/>
    <w:rsid w:val="00656105"/>
    <w:rsid w:val="00656C56"/>
    <w:rsid w:val="00656D49"/>
    <w:rsid w:val="00657305"/>
    <w:rsid w:val="006576A8"/>
    <w:rsid w:val="006602EB"/>
    <w:rsid w:val="00660AB3"/>
    <w:rsid w:val="006623FB"/>
    <w:rsid w:val="006626FB"/>
    <w:rsid w:val="0066331A"/>
    <w:rsid w:val="006637F9"/>
    <w:rsid w:val="00664347"/>
    <w:rsid w:val="006643F7"/>
    <w:rsid w:val="00664408"/>
    <w:rsid w:val="0066449D"/>
    <w:rsid w:val="00664699"/>
    <w:rsid w:val="0066469A"/>
    <w:rsid w:val="006648EA"/>
    <w:rsid w:val="006649F4"/>
    <w:rsid w:val="00664B8B"/>
    <w:rsid w:val="00665004"/>
    <w:rsid w:val="00665010"/>
    <w:rsid w:val="006656D8"/>
    <w:rsid w:val="00665D5C"/>
    <w:rsid w:val="00665F0C"/>
    <w:rsid w:val="00666534"/>
    <w:rsid w:val="00666B1F"/>
    <w:rsid w:val="00666BC2"/>
    <w:rsid w:val="00666BF8"/>
    <w:rsid w:val="00666C5A"/>
    <w:rsid w:val="0066748C"/>
    <w:rsid w:val="00667ABB"/>
    <w:rsid w:val="00667E6E"/>
    <w:rsid w:val="00670403"/>
    <w:rsid w:val="006704FA"/>
    <w:rsid w:val="006706E3"/>
    <w:rsid w:val="00670E03"/>
    <w:rsid w:val="006710FC"/>
    <w:rsid w:val="006716DC"/>
    <w:rsid w:val="00671AB5"/>
    <w:rsid w:val="00671DD8"/>
    <w:rsid w:val="00672428"/>
    <w:rsid w:val="00672543"/>
    <w:rsid w:val="006732C0"/>
    <w:rsid w:val="006732D9"/>
    <w:rsid w:val="00673665"/>
    <w:rsid w:val="006736E9"/>
    <w:rsid w:val="00673AA0"/>
    <w:rsid w:val="00673E66"/>
    <w:rsid w:val="00673F52"/>
    <w:rsid w:val="00674172"/>
    <w:rsid w:val="00674816"/>
    <w:rsid w:val="00675185"/>
    <w:rsid w:val="00675444"/>
    <w:rsid w:val="0067576E"/>
    <w:rsid w:val="0067597D"/>
    <w:rsid w:val="00675D55"/>
    <w:rsid w:val="00676454"/>
    <w:rsid w:val="006767C4"/>
    <w:rsid w:val="006768EC"/>
    <w:rsid w:val="006769EC"/>
    <w:rsid w:val="006769FA"/>
    <w:rsid w:val="00676AB9"/>
    <w:rsid w:val="00676CAE"/>
    <w:rsid w:val="00676F0F"/>
    <w:rsid w:val="006777D7"/>
    <w:rsid w:val="006778CF"/>
    <w:rsid w:val="00677B5C"/>
    <w:rsid w:val="00677DDF"/>
    <w:rsid w:val="006806CB"/>
    <w:rsid w:val="00681079"/>
    <w:rsid w:val="00681225"/>
    <w:rsid w:val="0068210F"/>
    <w:rsid w:val="00682422"/>
    <w:rsid w:val="00682BE6"/>
    <w:rsid w:val="00682C9C"/>
    <w:rsid w:val="00683259"/>
    <w:rsid w:val="006832D4"/>
    <w:rsid w:val="00683AAC"/>
    <w:rsid w:val="00683CBF"/>
    <w:rsid w:val="00683F9B"/>
    <w:rsid w:val="00684CF9"/>
    <w:rsid w:val="00685573"/>
    <w:rsid w:val="0068587A"/>
    <w:rsid w:val="00685BB9"/>
    <w:rsid w:val="00686196"/>
    <w:rsid w:val="006864F5"/>
    <w:rsid w:val="00687BAA"/>
    <w:rsid w:val="006904E1"/>
    <w:rsid w:val="00690A5E"/>
    <w:rsid w:val="006917EA"/>
    <w:rsid w:val="006919FC"/>
    <w:rsid w:val="0069214C"/>
    <w:rsid w:val="00692301"/>
    <w:rsid w:val="006926A2"/>
    <w:rsid w:val="0069274A"/>
    <w:rsid w:val="00692AE2"/>
    <w:rsid w:val="00693D82"/>
    <w:rsid w:val="00693E2E"/>
    <w:rsid w:val="00694055"/>
    <w:rsid w:val="006944D7"/>
    <w:rsid w:val="00694935"/>
    <w:rsid w:val="00694F8E"/>
    <w:rsid w:val="00694FDA"/>
    <w:rsid w:val="006960CB"/>
    <w:rsid w:val="00696439"/>
    <w:rsid w:val="00697004"/>
    <w:rsid w:val="00697742"/>
    <w:rsid w:val="006978FF"/>
    <w:rsid w:val="006A0270"/>
    <w:rsid w:val="006A03B1"/>
    <w:rsid w:val="006A047F"/>
    <w:rsid w:val="006A13CF"/>
    <w:rsid w:val="006A1829"/>
    <w:rsid w:val="006A19EA"/>
    <w:rsid w:val="006A1C6F"/>
    <w:rsid w:val="006A24CC"/>
    <w:rsid w:val="006A3D4E"/>
    <w:rsid w:val="006A3DA1"/>
    <w:rsid w:val="006A3DAE"/>
    <w:rsid w:val="006A3F80"/>
    <w:rsid w:val="006A44CF"/>
    <w:rsid w:val="006A4742"/>
    <w:rsid w:val="006A5A7E"/>
    <w:rsid w:val="006A61EB"/>
    <w:rsid w:val="006A64F9"/>
    <w:rsid w:val="006A6598"/>
    <w:rsid w:val="006A66A9"/>
    <w:rsid w:val="006A68BB"/>
    <w:rsid w:val="006A6ECB"/>
    <w:rsid w:val="006A6FC9"/>
    <w:rsid w:val="006A72CA"/>
    <w:rsid w:val="006A76B6"/>
    <w:rsid w:val="006A7910"/>
    <w:rsid w:val="006A7D91"/>
    <w:rsid w:val="006B035D"/>
    <w:rsid w:val="006B09AB"/>
    <w:rsid w:val="006B0CB6"/>
    <w:rsid w:val="006B0E07"/>
    <w:rsid w:val="006B0E38"/>
    <w:rsid w:val="006B1081"/>
    <w:rsid w:val="006B2394"/>
    <w:rsid w:val="006B23A3"/>
    <w:rsid w:val="006B2688"/>
    <w:rsid w:val="006B2F3A"/>
    <w:rsid w:val="006B3B5A"/>
    <w:rsid w:val="006B3B80"/>
    <w:rsid w:val="006B3F90"/>
    <w:rsid w:val="006B447C"/>
    <w:rsid w:val="006B4633"/>
    <w:rsid w:val="006B5283"/>
    <w:rsid w:val="006B5FBB"/>
    <w:rsid w:val="006B64BE"/>
    <w:rsid w:val="006B6A51"/>
    <w:rsid w:val="006B73F6"/>
    <w:rsid w:val="006B753E"/>
    <w:rsid w:val="006B78BE"/>
    <w:rsid w:val="006B78F4"/>
    <w:rsid w:val="006B7CF3"/>
    <w:rsid w:val="006B7D51"/>
    <w:rsid w:val="006B7F8B"/>
    <w:rsid w:val="006C051B"/>
    <w:rsid w:val="006C087E"/>
    <w:rsid w:val="006C1311"/>
    <w:rsid w:val="006C151C"/>
    <w:rsid w:val="006C1590"/>
    <w:rsid w:val="006C1D0F"/>
    <w:rsid w:val="006C20AF"/>
    <w:rsid w:val="006C2777"/>
    <w:rsid w:val="006C27D7"/>
    <w:rsid w:val="006C290E"/>
    <w:rsid w:val="006C2F4E"/>
    <w:rsid w:val="006C3107"/>
    <w:rsid w:val="006C35AE"/>
    <w:rsid w:val="006C3F5F"/>
    <w:rsid w:val="006C4470"/>
    <w:rsid w:val="006C4EF1"/>
    <w:rsid w:val="006C50DE"/>
    <w:rsid w:val="006C5409"/>
    <w:rsid w:val="006C6743"/>
    <w:rsid w:val="006C675C"/>
    <w:rsid w:val="006C7068"/>
    <w:rsid w:val="006C758C"/>
    <w:rsid w:val="006C76CE"/>
    <w:rsid w:val="006C76D8"/>
    <w:rsid w:val="006C7864"/>
    <w:rsid w:val="006C7E81"/>
    <w:rsid w:val="006D019B"/>
    <w:rsid w:val="006D08F4"/>
    <w:rsid w:val="006D095C"/>
    <w:rsid w:val="006D0A2A"/>
    <w:rsid w:val="006D0A70"/>
    <w:rsid w:val="006D0F25"/>
    <w:rsid w:val="006D2373"/>
    <w:rsid w:val="006D276A"/>
    <w:rsid w:val="006D2889"/>
    <w:rsid w:val="006D2EFC"/>
    <w:rsid w:val="006D33CF"/>
    <w:rsid w:val="006D4050"/>
    <w:rsid w:val="006D44D7"/>
    <w:rsid w:val="006D5846"/>
    <w:rsid w:val="006D58DB"/>
    <w:rsid w:val="006D5E18"/>
    <w:rsid w:val="006D5E3A"/>
    <w:rsid w:val="006D67CB"/>
    <w:rsid w:val="006D72AC"/>
    <w:rsid w:val="006D744D"/>
    <w:rsid w:val="006D766B"/>
    <w:rsid w:val="006D7B05"/>
    <w:rsid w:val="006D7B1B"/>
    <w:rsid w:val="006E021F"/>
    <w:rsid w:val="006E0A92"/>
    <w:rsid w:val="006E0C40"/>
    <w:rsid w:val="006E0D87"/>
    <w:rsid w:val="006E15D9"/>
    <w:rsid w:val="006E2125"/>
    <w:rsid w:val="006E212F"/>
    <w:rsid w:val="006E2883"/>
    <w:rsid w:val="006E3027"/>
    <w:rsid w:val="006E30FF"/>
    <w:rsid w:val="006E35DB"/>
    <w:rsid w:val="006E3B2E"/>
    <w:rsid w:val="006E4958"/>
    <w:rsid w:val="006E4F2D"/>
    <w:rsid w:val="006E4F86"/>
    <w:rsid w:val="006E545D"/>
    <w:rsid w:val="006E5C56"/>
    <w:rsid w:val="006E6389"/>
    <w:rsid w:val="006E65B0"/>
    <w:rsid w:val="006E67E0"/>
    <w:rsid w:val="006E6A8B"/>
    <w:rsid w:val="006E6C5C"/>
    <w:rsid w:val="006E75E0"/>
    <w:rsid w:val="006E7816"/>
    <w:rsid w:val="006E7B0E"/>
    <w:rsid w:val="006F02B9"/>
    <w:rsid w:val="006F156A"/>
    <w:rsid w:val="006F2024"/>
    <w:rsid w:val="006F2094"/>
    <w:rsid w:val="006F2BF2"/>
    <w:rsid w:val="006F2E08"/>
    <w:rsid w:val="006F2F99"/>
    <w:rsid w:val="006F301C"/>
    <w:rsid w:val="006F3040"/>
    <w:rsid w:val="006F30F8"/>
    <w:rsid w:val="006F3522"/>
    <w:rsid w:val="006F37A9"/>
    <w:rsid w:val="006F3DA4"/>
    <w:rsid w:val="006F477A"/>
    <w:rsid w:val="006F4C20"/>
    <w:rsid w:val="006F55E1"/>
    <w:rsid w:val="006F5BB0"/>
    <w:rsid w:val="006F5CA3"/>
    <w:rsid w:val="006F6286"/>
    <w:rsid w:val="006F63A0"/>
    <w:rsid w:val="006F63F1"/>
    <w:rsid w:val="006F6778"/>
    <w:rsid w:val="006F729C"/>
    <w:rsid w:val="006F7B1A"/>
    <w:rsid w:val="006F7E05"/>
    <w:rsid w:val="007004C9"/>
    <w:rsid w:val="00700B1A"/>
    <w:rsid w:val="00700BE4"/>
    <w:rsid w:val="00702955"/>
    <w:rsid w:val="00702986"/>
    <w:rsid w:val="007029FB"/>
    <w:rsid w:val="00702BB7"/>
    <w:rsid w:val="007030A3"/>
    <w:rsid w:val="00703444"/>
    <w:rsid w:val="00703581"/>
    <w:rsid w:val="00703622"/>
    <w:rsid w:val="00704000"/>
    <w:rsid w:val="007041E8"/>
    <w:rsid w:val="00704396"/>
    <w:rsid w:val="007046D6"/>
    <w:rsid w:val="007049AA"/>
    <w:rsid w:val="00704E7C"/>
    <w:rsid w:val="007054CE"/>
    <w:rsid w:val="0070554C"/>
    <w:rsid w:val="00705777"/>
    <w:rsid w:val="00705C18"/>
    <w:rsid w:val="00705CAE"/>
    <w:rsid w:val="00705D56"/>
    <w:rsid w:val="00706109"/>
    <w:rsid w:val="0070631A"/>
    <w:rsid w:val="00706343"/>
    <w:rsid w:val="00706931"/>
    <w:rsid w:val="00706BF4"/>
    <w:rsid w:val="00706C72"/>
    <w:rsid w:val="00706CBF"/>
    <w:rsid w:val="00706E65"/>
    <w:rsid w:val="00706F8D"/>
    <w:rsid w:val="0070703E"/>
    <w:rsid w:val="00707983"/>
    <w:rsid w:val="00707B32"/>
    <w:rsid w:val="007101C1"/>
    <w:rsid w:val="00710259"/>
    <w:rsid w:val="007104A0"/>
    <w:rsid w:val="00710FEF"/>
    <w:rsid w:val="00711E44"/>
    <w:rsid w:val="007127E8"/>
    <w:rsid w:val="00712FF2"/>
    <w:rsid w:val="00713965"/>
    <w:rsid w:val="007140DC"/>
    <w:rsid w:val="00714256"/>
    <w:rsid w:val="007158C1"/>
    <w:rsid w:val="007168AC"/>
    <w:rsid w:val="007169F0"/>
    <w:rsid w:val="00716A17"/>
    <w:rsid w:val="00716B5C"/>
    <w:rsid w:val="00716CFB"/>
    <w:rsid w:val="007171AE"/>
    <w:rsid w:val="0071742A"/>
    <w:rsid w:val="007174FB"/>
    <w:rsid w:val="00717CA7"/>
    <w:rsid w:val="00720150"/>
    <w:rsid w:val="0072039E"/>
    <w:rsid w:val="00720474"/>
    <w:rsid w:val="00721221"/>
    <w:rsid w:val="007214EF"/>
    <w:rsid w:val="00721A5C"/>
    <w:rsid w:val="00722F52"/>
    <w:rsid w:val="00722F77"/>
    <w:rsid w:val="007231F2"/>
    <w:rsid w:val="00723EAB"/>
    <w:rsid w:val="007241AA"/>
    <w:rsid w:val="007253C1"/>
    <w:rsid w:val="0072551F"/>
    <w:rsid w:val="00725945"/>
    <w:rsid w:val="00725B17"/>
    <w:rsid w:val="00725C83"/>
    <w:rsid w:val="00725F17"/>
    <w:rsid w:val="00726140"/>
    <w:rsid w:val="007262A8"/>
    <w:rsid w:val="00726733"/>
    <w:rsid w:val="00726DA1"/>
    <w:rsid w:val="00726EA5"/>
    <w:rsid w:val="00726FC9"/>
    <w:rsid w:val="00727923"/>
    <w:rsid w:val="007305FC"/>
    <w:rsid w:val="00730818"/>
    <w:rsid w:val="00731E29"/>
    <w:rsid w:val="0073211B"/>
    <w:rsid w:val="00733652"/>
    <w:rsid w:val="007336E7"/>
    <w:rsid w:val="00733C9F"/>
    <w:rsid w:val="00733FF3"/>
    <w:rsid w:val="0073487E"/>
    <w:rsid w:val="00734D68"/>
    <w:rsid w:val="00734DA4"/>
    <w:rsid w:val="00734DF2"/>
    <w:rsid w:val="00734EE0"/>
    <w:rsid w:val="0073551B"/>
    <w:rsid w:val="007359EB"/>
    <w:rsid w:val="00735A0E"/>
    <w:rsid w:val="00735B72"/>
    <w:rsid w:val="00735B98"/>
    <w:rsid w:val="00735F40"/>
    <w:rsid w:val="00736B47"/>
    <w:rsid w:val="00736C06"/>
    <w:rsid w:val="00736EF9"/>
    <w:rsid w:val="007373A9"/>
    <w:rsid w:val="007403AD"/>
    <w:rsid w:val="0074069D"/>
    <w:rsid w:val="007406B6"/>
    <w:rsid w:val="0074072E"/>
    <w:rsid w:val="00740731"/>
    <w:rsid w:val="007410CB"/>
    <w:rsid w:val="0074133B"/>
    <w:rsid w:val="007414DA"/>
    <w:rsid w:val="007417FE"/>
    <w:rsid w:val="007417FF"/>
    <w:rsid w:val="00741F5C"/>
    <w:rsid w:val="007420F1"/>
    <w:rsid w:val="00742E2B"/>
    <w:rsid w:val="00743046"/>
    <w:rsid w:val="007431B6"/>
    <w:rsid w:val="007432C6"/>
    <w:rsid w:val="00743383"/>
    <w:rsid w:val="00743468"/>
    <w:rsid w:val="0074499E"/>
    <w:rsid w:val="007455EF"/>
    <w:rsid w:val="007457F1"/>
    <w:rsid w:val="0074592E"/>
    <w:rsid w:val="00745A64"/>
    <w:rsid w:val="00745ACE"/>
    <w:rsid w:val="00745C37"/>
    <w:rsid w:val="00746045"/>
    <w:rsid w:val="00746079"/>
    <w:rsid w:val="007461DC"/>
    <w:rsid w:val="007462DB"/>
    <w:rsid w:val="00746801"/>
    <w:rsid w:val="007471DF"/>
    <w:rsid w:val="007472BB"/>
    <w:rsid w:val="007474D2"/>
    <w:rsid w:val="0074753C"/>
    <w:rsid w:val="007475B6"/>
    <w:rsid w:val="0074771C"/>
    <w:rsid w:val="00747AD1"/>
    <w:rsid w:val="00747B95"/>
    <w:rsid w:val="00747CBE"/>
    <w:rsid w:val="00747ECD"/>
    <w:rsid w:val="00747EDE"/>
    <w:rsid w:val="00750203"/>
    <w:rsid w:val="00750AD8"/>
    <w:rsid w:val="00750B09"/>
    <w:rsid w:val="00750BAD"/>
    <w:rsid w:val="00750C5B"/>
    <w:rsid w:val="00750E0A"/>
    <w:rsid w:val="00750F4D"/>
    <w:rsid w:val="007510FB"/>
    <w:rsid w:val="00751543"/>
    <w:rsid w:val="00751B71"/>
    <w:rsid w:val="00751B88"/>
    <w:rsid w:val="00751C3F"/>
    <w:rsid w:val="00751CD1"/>
    <w:rsid w:val="00752100"/>
    <w:rsid w:val="0075210E"/>
    <w:rsid w:val="007522D6"/>
    <w:rsid w:val="007527E5"/>
    <w:rsid w:val="00752822"/>
    <w:rsid w:val="00752E12"/>
    <w:rsid w:val="007531F1"/>
    <w:rsid w:val="00753759"/>
    <w:rsid w:val="00753A4D"/>
    <w:rsid w:val="00754347"/>
    <w:rsid w:val="00754AFA"/>
    <w:rsid w:val="00754DB2"/>
    <w:rsid w:val="00754ED5"/>
    <w:rsid w:val="00755541"/>
    <w:rsid w:val="0075566E"/>
    <w:rsid w:val="00755B60"/>
    <w:rsid w:val="00755EB0"/>
    <w:rsid w:val="0075695A"/>
    <w:rsid w:val="007569AF"/>
    <w:rsid w:val="00756B56"/>
    <w:rsid w:val="00756BAA"/>
    <w:rsid w:val="00757ED1"/>
    <w:rsid w:val="00760422"/>
    <w:rsid w:val="007605BE"/>
    <w:rsid w:val="007608A9"/>
    <w:rsid w:val="00760DE7"/>
    <w:rsid w:val="00760EEA"/>
    <w:rsid w:val="00761258"/>
    <w:rsid w:val="0076156C"/>
    <w:rsid w:val="00761A16"/>
    <w:rsid w:val="00762A3C"/>
    <w:rsid w:val="00762FD7"/>
    <w:rsid w:val="007631FE"/>
    <w:rsid w:val="00763A7B"/>
    <w:rsid w:val="00763E6F"/>
    <w:rsid w:val="00763F87"/>
    <w:rsid w:val="00764010"/>
    <w:rsid w:val="00765062"/>
    <w:rsid w:val="00765660"/>
    <w:rsid w:val="00765A64"/>
    <w:rsid w:val="00765EDE"/>
    <w:rsid w:val="00766906"/>
    <w:rsid w:val="0076694A"/>
    <w:rsid w:val="00767545"/>
    <w:rsid w:val="00767BC8"/>
    <w:rsid w:val="00767FDF"/>
    <w:rsid w:val="007700B9"/>
    <w:rsid w:val="00770581"/>
    <w:rsid w:val="00770631"/>
    <w:rsid w:val="0077140F"/>
    <w:rsid w:val="00771744"/>
    <w:rsid w:val="007725A0"/>
    <w:rsid w:val="0077277F"/>
    <w:rsid w:val="007727C8"/>
    <w:rsid w:val="00772C3F"/>
    <w:rsid w:val="00772CEC"/>
    <w:rsid w:val="00772F5D"/>
    <w:rsid w:val="00772FF8"/>
    <w:rsid w:val="0077358E"/>
    <w:rsid w:val="0077386B"/>
    <w:rsid w:val="00773956"/>
    <w:rsid w:val="00773B49"/>
    <w:rsid w:val="00774696"/>
    <w:rsid w:val="007746A1"/>
    <w:rsid w:val="00774988"/>
    <w:rsid w:val="0077503C"/>
    <w:rsid w:val="00775439"/>
    <w:rsid w:val="00775470"/>
    <w:rsid w:val="007754B5"/>
    <w:rsid w:val="007755C1"/>
    <w:rsid w:val="00775A0E"/>
    <w:rsid w:val="00775C2B"/>
    <w:rsid w:val="00775EB4"/>
    <w:rsid w:val="00775FC7"/>
    <w:rsid w:val="00775FE1"/>
    <w:rsid w:val="00776161"/>
    <w:rsid w:val="007761A8"/>
    <w:rsid w:val="00776246"/>
    <w:rsid w:val="007766FA"/>
    <w:rsid w:val="00776C9C"/>
    <w:rsid w:val="00776D3B"/>
    <w:rsid w:val="00776ED7"/>
    <w:rsid w:val="00777260"/>
    <w:rsid w:val="0077737C"/>
    <w:rsid w:val="007775E3"/>
    <w:rsid w:val="0077772A"/>
    <w:rsid w:val="00777A3E"/>
    <w:rsid w:val="00777BE0"/>
    <w:rsid w:val="00777BE5"/>
    <w:rsid w:val="00777C01"/>
    <w:rsid w:val="0078042F"/>
    <w:rsid w:val="0078064A"/>
    <w:rsid w:val="0078096A"/>
    <w:rsid w:val="00780C95"/>
    <w:rsid w:val="00781C48"/>
    <w:rsid w:val="0078234C"/>
    <w:rsid w:val="00782395"/>
    <w:rsid w:val="007824BA"/>
    <w:rsid w:val="00782744"/>
    <w:rsid w:val="00782837"/>
    <w:rsid w:val="00782A70"/>
    <w:rsid w:val="00783661"/>
    <w:rsid w:val="0078393A"/>
    <w:rsid w:val="00784173"/>
    <w:rsid w:val="0078425E"/>
    <w:rsid w:val="007844EE"/>
    <w:rsid w:val="00784515"/>
    <w:rsid w:val="0078458D"/>
    <w:rsid w:val="0078473E"/>
    <w:rsid w:val="0078501D"/>
    <w:rsid w:val="00785419"/>
    <w:rsid w:val="00785796"/>
    <w:rsid w:val="007857DD"/>
    <w:rsid w:val="0078591E"/>
    <w:rsid w:val="00786455"/>
    <w:rsid w:val="0078668F"/>
    <w:rsid w:val="00786D82"/>
    <w:rsid w:val="00786E16"/>
    <w:rsid w:val="0078714A"/>
    <w:rsid w:val="007875E8"/>
    <w:rsid w:val="007900DF"/>
    <w:rsid w:val="007909D9"/>
    <w:rsid w:val="0079157A"/>
    <w:rsid w:val="007917A6"/>
    <w:rsid w:val="00791DD5"/>
    <w:rsid w:val="007923F9"/>
    <w:rsid w:val="00792A67"/>
    <w:rsid w:val="00792A9D"/>
    <w:rsid w:val="00792C6D"/>
    <w:rsid w:val="007932B8"/>
    <w:rsid w:val="00793399"/>
    <w:rsid w:val="007939DD"/>
    <w:rsid w:val="00793CC7"/>
    <w:rsid w:val="0079415C"/>
    <w:rsid w:val="007941D5"/>
    <w:rsid w:val="00794235"/>
    <w:rsid w:val="00794B52"/>
    <w:rsid w:val="00794F58"/>
    <w:rsid w:val="0079508E"/>
    <w:rsid w:val="00795092"/>
    <w:rsid w:val="00795116"/>
    <w:rsid w:val="007953A1"/>
    <w:rsid w:val="007959BD"/>
    <w:rsid w:val="00795AF5"/>
    <w:rsid w:val="00795BEC"/>
    <w:rsid w:val="00795CBD"/>
    <w:rsid w:val="00795D0B"/>
    <w:rsid w:val="00795F81"/>
    <w:rsid w:val="00797082"/>
    <w:rsid w:val="00797826"/>
    <w:rsid w:val="007A02E5"/>
    <w:rsid w:val="007A0350"/>
    <w:rsid w:val="007A0A39"/>
    <w:rsid w:val="007A0A63"/>
    <w:rsid w:val="007A0CAC"/>
    <w:rsid w:val="007A0D06"/>
    <w:rsid w:val="007A0E45"/>
    <w:rsid w:val="007A10A8"/>
    <w:rsid w:val="007A1102"/>
    <w:rsid w:val="007A1204"/>
    <w:rsid w:val="007A1667"/>
    <w:rsid w:val="007A2434"/>
    <w:rsid w:val="007A354E"/>
    <w:rsid w:val="007A3EF4"/>
    <w:rsid w:val="007A4595"/>
    <w:rsid w:val="007A4620"/>
    <w:rsid w:val="007A4E97"/>
    <w:rsid w:val="007A59C7"/>
    <w:rsid w:val="007A5B4C"/>
    <w:rsid w:val="007A651D"/>
    <w:rsid w:val="007A6571"/>
    <w:rsid w:val="007A69FC"/>
    <w:rsid w:val="007A6B51"/>
    <w:rsid w:val="007A6DDA"/>
    <w:rsid w:val="007A6EBD"/>
    <w:rsid w:val="007A71A0"/>
    <w:rsid w:val="007A760A"/>
    <w:rsid w:val="007A7743"/>
    <w:rsid w:val="007A7A43"/>
    <w:rsid w:val="007A7DC7"/>
    <w:rsid w:val="007B00BD"/>
    <w:rsid w:val="007B017E"/>
    <w:rsid w:val="007B0193"/>
    <w:rsid w:val="007B0271"/>
    <w:rsid w:val="007B09E3"/>
    <w:rsid w:val="007B0CA9"/>
    <w:rsid w:val="007B0CC2"/>
    <w:rsid w:val="007B0DCE"/>
    <w:rsid w:val="007B0E0F"/>
    <w:rsid w:val="007B0E43"/>
    <w:rsid w:val="007B0F5A"/>
    <w:rsid w:val="007B1365"/>
    <w:rsid w:val="007B144B"/>
    <w:rsid w:val="007B14E6"/>
    <w:rsid w:val="007B154E"/>
    <w:rsid w:val="007B165C"/>
    <w:rsid w:val="007B168A"/>
    <w:rsid w:val="007B1822"/>
    <w:rsid w:val="007B187A"/>
    <w:rsid w:val="007B1B04"/>
    <w:rsid w:val="007B264B"/>
    <w:rsid w:val="007B2863"/>
    <w:rsid w:val="007B2A00"/>
    <w:rsid w:val="007B2B96"/>
    <w:rsid w:val="007B2EB8"/>
    <w:rsid w:val="007B3331"/>
    <w:rsid w:val="007B3600"/>
    <w:rsid w:val="007B3A16"/>
    <w:rsid w:val="007B3DF6"/>
    <w:rsid w:val="007B42B3"/>
    <w:rsid w:val="007B47FD"/>
    <w:rsid w:val="007B4B4B"/>
    <w:rsid w:val="007B503A"/>
    <w:rsid w:val="007B5291"/>
    <w:rsid w:val="007B5884"/>
    <w:rsid w:val="007B61CB"/>
    <w:rsid w:val="007B679F"/>
    <w:rsid w:val="007B68F1"/>
    <w:rsid w:val="007B6EED"/>
    <w:rsid w:val="007B7427"/>
    <w:rsid w:val="007B75C1"/>
    <w:rsid w:val="007B75F8"/>
    <w:rsid w:val="007B77A3"/>
    <w:rsid w:val="007B78E2"/>
    <w:rsid w:val="007B7E50"/>
    <w:rsid w:val="007B7E68"/>
    <w:rsid w:val="007C0454"/>
    <w:rsid w:val="007C065B"/>
    <w:rsid w:val="007C06A0"/>
    <w:rsid w:val="007C09A3"/>
    <w:rsid w:val="007C1115"/>
    <w:rsid w:val="007C178D"/>
    <w:rsid w:val="007C1B36"/>
    <w:rsid w:val="007C1F2A"/>
    <w:rsid w:val="007C2074"/>
    <w:rsid w:val="007C2393"/>
    <w:rsid w:val="007C2601"/>
    <w:rsid w:val="007C2678"/>
    <w:rsid w:val="007C2834"/>
    <w:rsid w:val="007C2882"/>
    <w:rsid w:val="007C2DA1"/>
    <w:rsid w:val="007C328B"/>
    <w:rsid w:val="007C3BAB"/>
    <w:rsid w:val="007C46A0"/>
    <w:rsid w:val="007C4A8E"/>
    <w:rsid w:val="007C4F14"/>
    <w:rsid w:val="007C4FF4"/>
    <w:rsid w:val="007C54F1"/>
    <w:rsid w:val="007C550C"/>
    <w:rsid w:val="007C5B64"/>
    <w:rsid w:val="007C619A"/>
    <w:rsid w:val="007C6810"/>
    <w:rsid w:val="007C6A00"/>
    <w:rsid w:val="007C6B25"/>
    <w:rsid w:val="007C6C8E"/>
    <w:rsid w:val="007C6CBA"/>
    <w:rsid w:val="007C6D62"/>
    <w:rsid w:val="007C6EEC"/>
    <w:rsid w:val="007C6F72"/>
    <w:rsid w:val="007C7506"/>
    <w:rsid w:val="007C76B2"/>
    <w:rsid w:val="007C770E"/>
    <w:rsid w:val="007C7A5A"/>
    <w:rsid w:val="007C7AEE"/>
    <w:rsid w:val="007D0004"/>
    <w:rsid w:val="007D09A4"/>
    <w:rsid w:val="007D0ABD"/>
    <w:rsid w:val="007D0B4C"/>
    <w:rsid w:val="007D162F"/>
    <w:rsid w:val="007D1BB9"/>
    <w:rsid w:val="007D275B"/>
    <w:rsid w:val="007D2871"/>
    <w:rsid w:val="007D2EDF"/>
    <w:rsid w:val="007D386F"/>
    <w:rsid w:val="007D3928"/>
    <w:rsid w:val="007D4281"/>
    <w:rsid w:val="007D4FE6"/>
    <w:rsid w:val="007D593C"/>
    <w:rsid w:val="007D5B9E"/>
    <w:rsid w:val="007D5F4A"/>
    <w:rsid w:val="007D60F5"/>
    <w:rsid w:val="007D62D4"/>
    <w:rsid w:val="007D654C"/>
    <w:rsid w:val="007D6CEB"/>
    <w:rsid w:val="007D6D45"/>
    <w:rsid w:val="007D6D70"/>
    <w:rsid w:val="007D73EC"/>
    <w:rsid w:val="007D7A63"/>
    <w:rsid w:val="007D7E31"/>
    <w:rsid w:val="007E064B"/>
    <w:rsid w:val="007E0844"/>
    <w:rsid w:val="007E0C21"/>
    <w:rsid w:val="007E0E21"/>
    <w:rsid w:val="007E13A3"/>
    <w:rsid w:val="007E16E6"/>
    <w:rsid w:val="007E18C6"/>
    <w:rsid w:val="007E1FF4"/>
    <w:rsid w:val="007E21EC"/>
    <w:rsid w:val="007E25AB"/>
    <w:rsid w:val="007E265C"/>
    <w:rsid w:val="007E281C"/>
    <w:rsid w:val="007E2857"/>
    <w:rsid w:val="007E2EA4"/>
    <w:rsid w:val="007E2FEA"/>
    <w:rsid w:val="007E303D"/>
    <w:rsid w:val="007E335F"/>
    <w:rsid w:val="007E3596"/>
    <w:rsid w:val="007E3854"/>
    <w:rsid w:val="007E4089"/>
    <w:rsid w:val="007E52F6"/>
    <w:rsid w:val="007E5F96"/>
    <w:rsid w:val="007E6263"/>
    <w:rsid w:val="007E629D"/>
    <w:rsid w:val="007E6365"/>
    <w:rsid w:val="007E6546"/>
    <w:rsid w:val="007E680D"/>
    <w:rsid w:val="007E6A0E"/>
    <w:rsid w:val="007E6B4D"/>
    <w:rsid w:val="007E6E4D"/>
    <w:rsid w:val="007E6FDE"/>
    <w:rsid w:val="007E7016"/>
    <w:rsid w:val="007E79BE"/>
    <w:rsid w:val="007E7A3E"/>
    <w:rsid w:val="007E7C1F"/>
    <w:rsid w:val="007E7CB9"/>
    <w:rsid w:val="007F07C8"/>
    <w:rsid w:val="007F14FC"/>
    <w:rsid w:val="007F1693"/>
    <w:rsid w:val="007F183E"/>
    <w:rsid w:val="007F1D0A"/>
    <w:rsid w:val="007F1DC9"/>
    <w:rsid w:val="007F267B"/>
    <w:rsid w:val="007F2C11"/>
    <w:rsid w:val="007F2DBE"/>
    <w:rsid w:val="007F3524"/>
    <w:rsid w:val="007F3958"/>
    <w:rsid w:val="007F39EA"/>
    <w:rsid w:val="007F4202"/>
    <w:rsid w:val="007F42AA"/>
    <w:rsid w:val="007F4439"/>
    <w:rsid w:val="007F4801"/>
    <w:rsid w:val="007F4933"/>
    <w:rsid w:val="007F4DD8"/>
    <w:rsid w:val="007F518C"/>
    <w:rsid w:val="007F522F"/>
    <w:rsid w:val="007F587C"/>
    <w:rsid w:val="007F5CAA"/>
    <w:rsid w:val="007F5EDC"/>
    <w:rsid w:val="007F60EB"/>
    <w:rsid w:val="007F6425"/>
    <w:rsid w:val="007F767F"/>
    <w:rsid w:val="007F78B5"/>
    <w:rsid w:val="00800275"/>
    <w:rsid w:val="00800351"/>
    <w:rsid w:val="00800813"/>
    <w:rsid w:val="00800C92"/>
    <w:rsid w:val="00800D6B"/>
    <w:rsid w:val="00801016"/>
    <w:rsid w:val="008015F5"/>
    <w:rsid w:val="008015FC"/>
    <w:rsid w:val="00801689"/>
    <w:rsid w:val="00801785"/>
    <w:rsid w:val="0080185D"/>
    <w:rsid w:val="00801C98"/>
    <w:rsid w:val="00801E49"/>
    <w:rsid w:val="00801F1D"/>
    <w:rsid w:val="00801FAE"/>
    <w:rsid w:val="008022CC"/>
    <w:rsid w:val="0080235E"/>
    <w:rsid w:val="00802863"/>
    <w:rsid w:val="008028A1"/>
    <w:rsid w:val="008028C2"/>
    <w:rsid w:val="00802B57"/>
    <w:rsid w:val="00802EE9"/>
    <w:rsid w:val="00803191"/>
    <w:rsid w:val="008039EB"/>
    <w:rsid w:val="00803B0F"/>
    <w:rsid w:val="008043F6"/>
    <w:rsid w:val="00804526"/>
    <w:rsid w:val="00804853"/>
    <w:rsid w:val="0080540C"/>
    <w:rsid w:val="008054D5"/>
    <w:rsid w:val="00805CA7"/>
    <w:rsid w:val="00805E1B"/>
    <w:rsid w:val="008060D9"/>
    <w:rsid w:val="0080612D"/>
    <w:rsid w:val="008061AC"/>
    <w:rsid w:val="0080665E"/>
    <w:rsid w:val="008071FF"/>
    <w:rsid w:val="008076BB"/>
    <w:rsid w:val="00807CED"/>
    <w:rsid w:val="00807E7F"/>
    <w:rsid w:val="008101A5"/>
    <w:rsid w:val="00810C97"/>
    <w:rsid w:val="00811078"/>
    <w:rsid w:val="008110D0"/>
    <w:rsid w:val="008112B9"/>
    <w:rsid w:val="008113EC"/>
    <w:rsid w:val="00811A88"/>
    <w:rsid w:val="008120AB"/>
    <w:rsid w:val="00813463"/>
    <w:rsid w:val="008135EA"/>
    <w:rsid w:val="008136AC"/>
    <w:rsid w:val="00813C0E"/>
    <w:rsid w:val="00813C6B"/>
    <w:rsid w:val="00813E02"/>
    <w:rsid w:val="00813E14"/>
    <w:rsid w:val="00813F06"/>
    <w:rsid w:val="00814AAC"/>
    <w:rsid w:val="00815040"/>
    <w:rsid w:val="008156BE"/>
    <w:rsid w:val="008157CD"/>
    <w:rsid w:val="00815E19"/>
    <w:rsid w:val="00815F3F"/>
    <w:rsid w:val="00815FF6"/>
    <w:rsid w:val="00816A82"/>
    <w:rsid w:val="00816B05"/>
    <w:rsid w:val="00816BD1"/>
    <w:rsid w:val="00817C70"/>
    <w:rsid w:val="00820348"/>
    <w:rsid w:val="0082044B"/>
    <w:rsid w:val="0082079F"/>
    <w:rsid w:val="008208D4"/>
    <w:rsid w:val="00820FB0"/>
    <w:rsid w:val="00821362"/>
    <w:rsid w:val="00821722"/>
    <w:rsid w:val="00821C80"/>
    <w:rsid w:val="00821CA4"/>
    <w:rsid w:val="00822150"/>
    <w:rsid w:val="00822B72"/>
    <w:rsid w:val="00822C5B"/>
    <w:rsid w:val="00822D04"/>
    <w:rsid w:val="0082319B"/>
    <w:rsid w:val="00823A10"/>
    <w:rsid w:val="00824A76"/>
    <w:rsid w:val="00824CB4"/>
    <w:rsid w:val="00825E81"/>
    <w:rsid w:val="00826FFC"/>
    <w:rsid w:val="008271E9"/>
    <w:rsid w:val="008272FD"/>
    <w:rsid w:val="008279B4"/>
    <w:rsid w:val="00830FA0"/>
    <w:rsid w:val="00831035"/>
    <w:rsid w:val="008311E6"/>
    <w:rsid w:val="0083212B"/>
    <w:rsid w:val="008322F4"/>
    <w:rsid w:val="008324F6"/>
    <w:rsid w:val="008326E9"/>
    <w:rsid w:val="00832731"/>
    <w:rsid w:val="00832959"/>
    <w:rsid w:val="00832BD6"/>
    <w:rsid w:val="00832E66"/>
    <w:rsid w:val="00833482"/>
    <w:rsid w:val="008336E9"/>
    <w:rsid w:val="0083381C"/>
    <w:rsid w:val="008339B3"/>
    <w:rsid w:val="00834649"/>
    <w:rsid w:val="00834B74"/>
    <w:rsid w:val="00834CB7"/>
    <w:rsid w:val="00834E05"/>
    <w:rsid w:val="00834F9B"/>
    <w:rsid w:val="00835499"/>
    <w:rsid w:val="008358A4"/>
    <w:rsid w:val="00835B89"/>
    <w:rsid w:val="00835F27"/>
    <w:rsid w:val="00835FD5"/>
    <w:rsid w:val="0083685B"/>
    <w:rsid w:val="00837491"/>
    <w:rsid w:val="0083770F"/>
    <w:rsid w:val="00837AAA"/>
    <w:rsid w:val="00837CFD"/>
    <w:rsid w:val="00837E8F"/>
    <w:rsid w:val="00837F7F"/>
    <w:rsid w:val="0084018C"/>
    <w:rsid w:val="0084067E"/>
    <w:rsid w:val="0084159A"/>
    <w:rsid w:val="00841974"/>
    <w:rsid w:val="008419C9"/>
    <w:rsid w:val="00841A25"/>
    <w:rsid w:val="00841F45"/>
    <w:rsid w:val="00842394"/>
    <w:rsid w:val="00842CB8"/>
    <w:rsid w:val="00842DFC"/>
    <w:rsid w:val="00842F0D"/>
    <w:rsid w:val="0084382D"/>
    <w:rsid w:val="00843D15"/>
    <w:rsid w:val="0084432D"/>
    <w:rsid w:val="00845064"/>
    <w:rsid w:val="00845795"/>
    <w:rsid w:val="0084607A"/>
    <w:rsid w:val="0084607D"/>
    <w:rsid w:val="00846482"/>
    <w:rsid w:val="00846504"/>
    <w:rsid w:val="008469E1"/>
    <w:rsid w:val="00847100"/>
    <w:rsid w:val="008476FB"/>
    <w:rsid w:val="008504B5"/>
    <w:rsid w:val="00850521"/>
    <w:rsid w:val="00850971"/>
    <w:rsid w:val="00850B32"/>
    <w:rsid w:val="00850BA6"/>
    <w:rsid w:val="00850BD2"/>
    <w:rsid w:val="00851591"/>
    <w:rsid w:val="00851615"/>
    <w:rsid w:val="00851BE0"/>
    <w:rsid w:val="00851E5A"/>
    <w:rsid w:val="008527DE"/>
    <w:rsid w:val="00852BBC"/>
    <w:rsid w:val="00852C71"/>
    <w:rsid w:val="00852E82"/>
    <w:rsid w:val="0085371A"/>
    <w:rsid w:val="0085397E"/>
    <w:rsid w:val="00853A3B"/>
    <w:rsid w:val="00854067"/>
    <w:rsid w:val="00854308"/>
    <w:rsid w:val="008544B9"/>
    <w:rsid w:val="008546DC"/>
    <w:rsid w:val="00854827"/>
    <w:rsid w:val="00854B35"/>
    <w:rsid w:val="00854E15"/>
    <w:rsid w:val="008551D0"/>
    <w:rsid w:val="00856227"/>
    <w:rsid w:val="0085626D"/>
    <w:rsid w:val="00856793"/>
    <w:rsid w:val="00856CB0"/>
    <w:rsid w:val="00856EF4"/>
    <w:rsid w:val="00857CFD"/>
    <w:rsid w:val="0086007A"/>
    <w:rsid w:val="00860098"/>
    <w:rsid w:val="00860259"/>
    <w:rsid w:val="0086049D"/>
    <w:rsid w:val="00860634"/>
    <w:rsid w:val="008608C0"/>
    <w:rsid w:val="00861D7D"/>
    <w:rsid w:val="008625EE"/>
    <w:rsid w:val="00862B42"/>
    <w:rsid w:val="00862DFF"/>
    <w:rsid w:val="00863105"/>
    <w:rsid w:val="00863285"/>
    <w:rsid w:val="008634BB"/>
    <w:rsid w:val="008644F5"/>
    <w:rsid w:val="00864BD7"/>
    <w:rsid w:val="00865213"/>
    <w:rsid w:val="00865356"/>
    <w:rsid w:val="008653E3"/>
    <w:rsid w:val="00865696"/>
    <w:rsid w:val="00865AEE"/>
    <w:rsid w:val="00865BF5"/>
    <w:rsid w:val="008663D1"/>
    <w:rsid w:val="00866A39"/>
    <w:rsid w:val="00866E6B"/>
    <w:rsid w:val="00867001"/>
    <w:rsid w:val="00867229"/>
    <w:rsid w:val="00867D02"/>
    <w:rsid w:val="00870B66"/>
    <w:rsid w:val="00870CCA"/>
    <w:rsid w:val="00870DD0"/>
    <w:rsid w:val="0087104B"/>
    <w:rsid w:val="008718F3"/>
    <w:rsid w:val="0087225E"/>
    <w:rsid w:val="008723CE"/>
    <w:rsid w:val="008725B3"/>
    <w:rsid w:val="008726C5"/>
    <w:rsid w:val="00873562"/>
    <w:rsid w:val="00873669"/>
    <w:rsid w:val="00873960"/>
    <w:rsid w:val="00873C0B"/>
    <w:rsid w:val="00873C79"/>
    <w:rsid w:val="00873DBB"/>
    <w:rsid w:val="008741B6"/>
    <w:rsid w:val="00874350"/>
    <w:rsid w:val="008749A7"/>
    <w:rsid w:val="008749C3"/>
    <w:rsid w:val="00875110"/>
    <w:rsid w:val="00875630"/>
    <w:rsid w:val="008757F1"/>
    <w:rsid w:val="00875F33"/>
    <w:rsid w:val="0087613F"/>
    <w:rsid w:val="008764F7"/>
    <w:rsid w:val="008765BA"/>
    <w:rsid w:val="0087666A"/>
    <w:rsid w:val="0087698E"/>
    <w:rsid w:val="0087719B"/>
    <w:rsid w:val="0087736F"/>
    <w:rsid w:val="00877437"/>
    <w:rsid w:val="00877682"/>
    <w:rsid w:val="00877941"/>
    <w:rsid w:val="00877C00"/>
    <w:rsid w:val="00877CAA"/>
    <w:rsid w:val="00877D3B"/>
    <w:rsid w:val="00877F1D"/>
    <w:rsid w:val="00880470"/>
    <w:rsid w:val="00880BE2"/>
    <w:rsid w:val="008811FC"/>
    <w:rsid w:val="0088137A"/>
    <w:rsid w:val="00881D2E"/>
    <w:rsid w:val="00881D40"/>
    <w:rsid w:val="00882265"/>
    <w:rsid w:val="008822D2"/>
    <w:rsid w:val="00882429"/>
    <w:rsid w:val="008829C9"/>
    <w:rsid w:val="00882A86"/>
    <w:rsid w:val="00882D8E"/>
    <w:rsid w:val="00882D93"/>
    <w:rsid w:val="00883031"/>
    <w:rsid w:val="00883727"/>
    <w:rsid w:val="00883BB2"/>
    <w:rsid w:val="00883DB4"/>
    <w:rsid w:val="008846E7"/>
    <w:rsid w:val="00884B53"/>
    <w:rsid w:val="00884C08"/>
    <w:rsid w:val="00884DD1"/>
    <w:rsid w:val="00885D95"/>
    <w:rsid w:val="00885DFC"/>
    <w:rsid w:val="00886481"/>
    <w:rsid w:val="0088696E"/>
    <w:rsid w:val="00886F62"/>
    <w:rsid w:val="00886F81"/>
    <w:rsid w:val="00887860"/>
    <w:rsid w:val="00887898"/>
    <w:rsid w:val="00887BC5"/>
    <w:rsid w:val="00890545"/>
    <w:rsid w:val="008907C0"/>
    <w:rsid w:val="008909A5"/>
    <w:rsid w:val="00890AA4"/>
    <w:rsid w:val="008917C6"/>
    <w:rsid w:val="00891E30"/>
    <w:rsid w:val="0089215C"/>
    <w:rsid w:val="00892341"/>
    <w:rsid w:val="00892A83"/>
    <w:rsid w:val="00892AFC"/>
    <w:rsid w:val="00892B1E"/>
    <w:rsid w:val="008930CA"/>
    <w:rsid w:val="0089324E"/>
    <w:rsid w:val="00893B4B"/>
    <w:rsid w:val="0089404B"/>
    <w:rsid w:val="008944FC"/>
    <w:rsid w:val="00894B93"/>
    <w:rsid w:val="00894F8B"/>
    <w:rsid w:val="00895784"/>
    <w:rsid w:val="00895D85"/>
    <w:rsid w:val="0089604A"/>
    <w:rsid w:val="008963EF"/>
    <w:rsid w:val="00896528"/>
    <w:rsid w:val="0089760A"/>
    <w:rsid w:val="00897A0D"/>
    <w:rsid w:val="00897A35"/>
    <w:rsid w:val="00897CF1"/>
    <w:rsid w:val="00897EFB"/>
    <w:rsid w:val="008A07E0"/>
    <w:rsid w:val="008A0ABE"/>
    <w:rsid w:val="008A0AE3"/>
    <w:rsid w:val="008A0D4D"/>
    <w:rsid w:val="008A0E36"/>
    <w:rsid w:val="008A0EEB"/>
    <w:rsid w:val="008A115E"/>
    <w:rsid w:val="008A13A1"/>
    <w:rsid w:val="008A13F3"/>
    <w:rsid w:val="008A1733"/>
    <w:rsid w:val="008A17F1"/>
    <w:rsid w:val="008A19AF"/>
    <w:rsid w:val="008A1B30"/>
    <w:rsid w:val="008A1DCD"/>
    <w:rsid w:val="008A1F6B"/>
    <w:rsid w:val="008A2B20"/>
    <w:rsid w:val="008A2F0E"/>
    <w:rsid w:val="008A3637"/>
    <w:rsid w:val="008A37CE"/>
    <w:rsid w:val="008A3E38"/>
    <w:rsid w:val="008A3F13"/>
    <w:rsid w:val="008A4058"/>
    <w:rsid w:val="008A4123"/>
    <w:rsid w:val="008A44BB"/>
    <w:rsid w:val="008A4658"/>
    <w:rsid w:val="008A46E9"/>
    <w:rsid w:val="008A4A69"/>
    <w:rsid w:val="008A5059"/>
    <w:rsid w:val="008A52C1"/>
    <w:rsid w:val="008A532F"/>
    <w:rsid w:val="008A53AE"/>
    <w:rsid w:val="008A57F9"/>
    <w:rsid w:val="008A5824"/>
    <w:rsid w:val="008A5960"/>
    <w:rsid w:val="008A60A5"/>
    <w:rsid w:val="008A62B1"/>
    <w:rsid w:val="008A65B4"/>
    <w:rsid w:val="008A6773"/>
    <w:rsid w:val="008A68DC"/>
    <w:rsid w:val="008A6F8C"/>
    <w:rsid w:val="008A7415"/>
    <w:rsid w:val="008A7BFE"/>
    <w:rsid w:val="008A7EE6"/>
    <w:rsid w:val="008B0246"/>
    <w:rsid w:val="008B0317"/>
    <w:rsid w:val="008B035D"/>
    <w:rsid w:val="008B0C8C"/>
    <w:rsid w:val="008B0F11"/>
    <w:rsid w:val="008B1B3B"/>
    <w:rsid w:val="008B1CC7"/>
    <w:rsid w:val="008B20DF"/>
    <w:rsid w:val="008B220C"/>
    <w:rsid w:val="008B24D6"/>
    <w:rsid w:val="008B2542"/>
    <w:rsid w:val="008B2902"/>
    <w:rsid w:val="008B2AEC"/>
    <w:rsid w:val="008B2BED"/>
    <w:rsid w:val="008B2DE5"/>
    <w:rsid w:val="008B2E2C"/>
    <w:rsid w:val="008B3222"/>
    <w:rsid w:val="008B3D17"/>
    <w:rsid w:val="008B3E3C"/>
    <w:rsid w:val="008B4150"/>
    <w:rsid w:val="008B425E"/>
    <w:rsid w:val="008B4B2D"/>
    <w:rsid w:val="008B4DF2"/>
    <w:rsid w:val="008B5056"/>
    <w:rsid w:val="008B554A"/>
    <w:rsid w:val="008B599B"/>
    <w:rsid w:val="008B59D3"/>
    <w:rsid w:val="008B5D57"/>
    <w:rsid w:val="008B6015"/>
    <w:rsid w:val="008B6253"/>
    <w:rsid w:val="008B6A36"/>
    <w:rsid w:val="008B6AFE"/>
    <w:rsid w:val="008B6B40"/>
    <w:rsid w:val="008B7207"/>
    <w:rsid w:val="008B72C9"/>
    <w:rsid w:val="008B7955"/>
    <w:rsid w:val="008C13EB"/>
    <w:rsid w:val="008C15B8"/>
    <w:rsid w:val="008C1609"/>
    <w:rsid w:val="008C240F"/>
    <w:rsid w:val="008C25B1"/>
    <w:rsid w:val="008C2C2F"/>
    <w:rsid w:val="008C33A7"/>
    <w:rsid w:val="008C33FB"/>
    <w:rsid w:val="008C36D2"/>
    <w:rsid w:val="008C36F2"/>
    <w:rsid w:val="008C3816"/>
    <w:rsid w:val="008C3DA2"/>
    <w:rsid w:val="008C3F06"/>
    <w:rsid w:val="008C4220"/>
    <w:rsid w:val="008C490C"/>
    <w:rsid w:val="008C4CEC"/>
    <w:rsid w:val="008C51B3"/>
    <w:rsid w:val="008C549B"/>
    <w:rsid w:val="008C6229"/>
    <w:rsid w:val="008C6898"/>
    <w:rsid w:val="008C6AC3"/>
    <w:rsid w:val="008C7673"/>
    <w:rsid w:val="008C7685"/>
    <w:rsid w:val="008C7BC4"/>
    <w:rsid w:val="008C7CCA"/>
    <w:rsid w:val="008D0C84"/>
    <w:rsid w:val="008D13F0"/>
    <w:rsid w:val="008D14B3"/>
    <w:rsid w:val="008D1526"/>
    <w:rsid w:val="008D1766"/>
    <w:rsid w:val="008D1D9E"/>
    <w:rsid w:val="008D2096"/>
    <w:rsid w:val="008D2337"/>
    <w:rsid w:val="008D27A8"/>
    <w:rsid w:val="008D31C6"/>
    <w:rsid w:val="008D3629"/>
    <w:rsid w:val="008D3C96"/>
    <w:rsid w:val="008D413B"/>
    <w:rsid w:val="008D44A6"/>
    <w:rsid w:val="008D47A9"/>
    <w:rsid w:val="008D47F6"/>
    <w:rsid w:val="008D4A93"/>
    <w:rsid w:val="008D4AD2"/>
    <w:rsid w:val="008D4B7A"/>
    <w:rsid w:val="008D4D80"/>
    <w:rsid w:val="008D4E1F"/>
    <w:rsid w:val="008D5096"/>
    <w:rsid w:val="008D55F4"/>
    <w:rsid w:val="008D5851"/>
    <w:rsid w:val="008D601C"/>
    <w:rsid w:val="008D6A46"/>
    <w:rsid w:val="008D6A6D"/>
    <w:rsid w:val="008D6BA3"/>
    <w:rsid w:val="008D6EDA"/>
    <w:rsid w:val="008D71B7"/>
    <w:rsid w:val="008D74DD"/>
    <w:rsid w:val="008E0554"/>
    <w:rsid w:val="008E07C0"/>
    <w:rsid w:val="008E114D"/>
    <w:rsid w:val="008E1367"/>
    <w:rsid w:val="008E1943"/>
    <w:rsid w:val="008E1D06"/>
    <w:rsid w:val="008E2AB3"/>
    <w:rsid w:val="008E31C6"/>
    <w:rsid w:val="008E3438"/>
    <w:rsid w:val="008E3708"/>
    <w:rsid w:val="008E386B"/>
    <w:rsid w:val="008E3B44"/>
    <w:rsid w:val="008E3B71"/>
    <w:rsid w:val="008E3D8D"/>
    <w:rsid w:val="008E440B"/>
    <w:rsid w:val="008E4FA7"/>
    <w:rsid w:val="008E523B"/>
    <w:rsid w:val="008E565D"/>
    <w:rsid w:val="008E56AC"/>
    <w:rsid w:val="008E5946"/>
    <w:rsid w:val="008E6767"/>
    <w:rsid w:val="008E6841"/>
    <w:rsid w:val="008E6882"/>
    <w:rsid w:val="008E6ABC"/>
    <w:rsid w:val="008E71A8"/>
    <w:rsid w:val="008E75D7"/>
    <w:rsid w:val="008E7606"/>
    <w:rsid w:val="008E7880"/>
    <w:rsid w:val="008E7E23"/>
    <w:rsid w:val="008F06BB"/>
    <w:rsid w:val="008F0D27"/>
    <w:rsid w:val="008F0DCA"/>
    <w:rsid w:val="008F0DFF"/>
    <w:rsid w:val="008F1399"/>
    <w:rsid w:val="008F13CA"/>
    <w:rsid w:val="008F14B6"/>
    <w:rsid w:val="008F14FD"/>
    <w:rsid w:val="008F1798"/>
    <w:rsid w:val="008F182B"/>
    <w:rsid w:val="008F1A63"/>
    <w:rsid w:val="008F1FE5"/>
    <w:rsid w:val="008F2435"/>
    <w:rsid w:val="008F263E"/>
    <w:rsid w:val="008F2B61"/>
    <w:rsid w:val="008F2CCB"/>
    <w:rsid w:val="008F2D36"/>
    <w:rsid w:val="008F2DE9"/>
    <w:rsid w:val="008F2FB3"/>
    <w:rsid w:val="008F3158"/>
    <w:rsid w:val="008F3222"/>
    <w:rsid w:val="008F3235"/>
    <w:rsid w:val="008F4063"/>
    <w:rsid w:val="008F40D4"/>
    <w:rsid w:val="008F443E"/>
    <w:rsid w:val="008F45E2"/>
    <w:rsid w:val="008F479B"/>
    <w:rsid w:val="008F4C7E"/>
    <w:rsid w:val="008F5BBA"/>
    <w:rsid w:val="008F606D"/>
    <w:rsid w:val="008F69A8"/>
    <w:rsid w:val="008F6B33"/>
    <w:rsid w:val="008F6E02"/>
    <w:rsid w:val="008F7691"/>
    <w:rsid w:val="008F77C3"/>
    <w:rsid w:val="008F7AC9"/>
    <w:rsid w:val="008F7B57"/>
    <w:rsid w:val="008F7E25"/>
    <w:rsid w:val="009000DE"/>
    <w:rsid w:val="0090038C"/>
    <w:rsid w:val="0090063D"/>
    <w:rsid w:val="00900F5C"/>
    <w:rsid w:val="00900FE9"/>
    <w:rsid w:val="009013AB"/>
    <w:rsid w:val="00901529"/>
    <w:rsid w:val="00901785"/>
    <w:rsid w:val="00902021"/>
    <w:rsid w:val="009020E8"/>
    <w:rsid w:val="00902D7B"/>
    <w:rsid w:val="00902D95"/>
    <w:rsid w:val="00903344"/>
    <w:rsid w:val="00903696"/>
    <w:rsid w:val="009036B5"/>
    <w:rsid w:val="0090388E"/>
    <w:rsid w:val="00903991"/>
    <w:rsid w:val="009050BE"/>
    <w:rsid w:val="009057DC"/>
    <w:rsid w:val="00905A61"/>
    <w:rsid w:val="00905E52"/>
    <w:rsid w:val="009066F6"/>
    <w:rsid w:val="009072A8"/>
    <w:rsid w:val="00910019"/>
    <w:rsid w:val="00910391"/>
    <w:rsid w:val="009109BD"/>
    <w:rsid w:val="009110F7"/>
    <w:rsid w:val="00911756"/>
    <w:rsid w:val="00911B41"/>
    <w:rsid w:val="00911CDB"/>
    <w:rsid w:val="00911D3F"/>
    <w:rsid w:val="00911D8E"/>
    <w:rsid w:val="00912272"/>
    <w:rsid w:val="00912AB9"/>
    <w:rsid w:val="00912B2F"/>
    <w:rsid w:val="009132E7"/>
    <w:rsid w:val="00913440"/>
    <w:rsid w:val="009139FB"/>
    <w:rsid w:val="00913DDA"/>
    <w:rsid w:val="009143B4"/>
    <w:rsid w:val="00914572"/>
    <w:rsid w:val="00914B9E"/>
    <w:rsid w:val="00914F8F"/>
    <w:rsid w:val="009161F0"/>
    <w:rsid w:val="0091642B"/>
    <w:rsid w:val="00916512"/>
    <w:rsid w:val="009165AB"/>
    <w:rsid w:val="00916668"/>
    <w:rsid w:val="009166BC"/>
    <w:rsid w:val="0091683D"/>
    <w:rsid w:val="00916849"/>
    <w:rsid w:val="00916E89"/>
    <w:rsid w:val="0092037A"/>
    <w:rsid w:val="009203E4"/>
    <w:rsid w:val="00920893"/>
    <w:rsid w:val="00920A38"/>
    <w:rsid w:val="00921378"/>
    <w:rsid w:val="009217D1"/>
    <w:rsid w:val="009218EF"/>
    <w:rsid w:val="0092193A"/>
    <w:rsid w:val="00921D03"/>
    <w:rsid w:val="00921E34"/>
    <w:rsid w:val="00922119"/>
    <w:rsid w:val="00922FC8"/>
    <w:rsid w:val="00922FEA"/>
    <w:rsid w:val="00923622"/>
    <w:rsid w:val="00923B73"/>
    <w:rsid w:val="00924578"/>
    <w:rsid w:val="00924914"/>
    <w:rsid w:val="00924B7C"/>
    <w:rsid w:val="0092515E"/>
    <w:rsid w:val="00925F06"/>
    <w:rsid w:val="009261C6"/>
    <w:rsid w:val="009262BE"/>
    <w:rsid w:val="00926590"/>
    <w:rsid w:val="00926591"/>
    <w:rsid w:val="009269F2"/>
    <w:rsid w:val="00927159"/>
    <w:rsid w:val="0092787A"/>
    <w:rsid w:val="00927AA9"/>
    <w:rsid w:val="009301DF"/>
    <w:rsid w:val="00930999"/>
    <w:rsid w:val="00930AD4"/>
    <w:rsid w:val="00930BD9"/>
    <w:rsid w:val="00930D4A"/>
    <w:rsid w:val="00930F4E"/>
    <w:rsid w:val="0093144E"/>
    <w:rsid w:val="00931657"/>
    <w:rsid w:val="00931929"/>
    <w:rsid w:val="00931AAD"/>
    <w:rsid w:val="00931B1A"/>
    <w:rsid w:val="00931C7B"/>
    <w:rsid w:val="009320A9"/>
    <w:rsid w:val="00932321"/>
    <w:rsid w:val="0093253F"/>
    <w:rsid w:val="009325BD"/>
    <w:rsid w:val="00932BD3"/>
    <w:rsid w:val="00933082"/>
    <w:rsid w:val="00933BB2"/>
    <w:rsid w:val="00933D6E"/>
    <w:rsid w:val="0093474C"/>
    <w:rsid w:val="00934831"/>
    <w:rsid w:val="00934930"/>
    <w:rsid w:val="00934B71"/>
    <w:rsid w:val="0093540B"/>
    <w:rsid w:val="009355D3"/>
    <w:rsid w:val="009356A3"/>
    <w:rsid w:val="00935E02"/>
    <w:rsid w:val="009372A6"/>
    <w:rsid w:val="0093771B"/>
    <w:rsid w:val="00937D02"/>
    <w:rsid w:val="00937E76"/>
    <w:rsid w:val="00941140"/>
    <w:rsid w:val="00941315"/>
    <w:rsid w:val="009413FB"/>
    <w:rsid w:val="0094180D"/>
    <w:rsid w:val="00941F23"/>
    <w:rsid w:val="00941F77"/>
    <w:rsid w:val="00942235"/>
    <w:rsid w:val="00942279"/>
    <w:rsid w:val="00942415"/>
    <w:rsid w:val="009425AF"/>
    <w:rsid w:val="00942BAE"/>
    <w:rsid w:val="00943A19"/>
    <w:rsid w:val="00943B51"/>
    <w:rsid w:val="00944113"/>
    <w:rsid w:val="009442F3"/>
    <w:rsid w:val="009444CD"/>
    <w:rsid w:val="00944AAE"/>
    <w:rsid w:val="00944B09"/>
    <w:rsid w:val="00944B64"/>
    <w:rsid w:val="00944E71"/>
    <w:rsid w:val="00944F83"/>
    <w:rsid w:val="0094521E"/>
    <w:rsid w:val="0094527D"/>
    <w:rsid w:val="009459DB"/>
    <w:rsid w:val="00946262"/>
    <w:rsid w:val="009462E2"/>
    <w:rsid w:val="00946455"/>
    <w:rsid w:val="009465BE"/>
    <w:rsid w:val="0094796F"/>
    <w:rsid w:val="00950A5C"/>
    <w:rsid w:val="00950B8C"/>
    <w:rsid w:val="00950CFE"/>
    <w:rsid w:val="00950D5C"/>
    <w:rsid w:val="00950E32"/>
    <w:rsid w:val="00950ED6"/>
    <w:rsid w:val="009516E0"/>
    <w:rsid w:val="0095187E"/>
    <w:rsid w:val="00951AE4"/>
    <w:rsid w:val="00951B4E"/>
    <w:rsid w:val="00951F13"/>
    <w:rsid w:val="00952217"/>
    <w:rsid w:val="00952311"/>
    <w:rsid w:val="009524E3"/>
    <w:rsid w:val="00952A1D"/>
    <w:rsid w:val="00952AF2"/>
    <w:rsid w:val="00952D91"/>
    <w:rsid w:val="00952EB7"/>
    <w:rsid w:val="00953088"/>
    <w:rsid w:val="009531BB"/>
    <w:rsid w:val="009531E7"/>
    <w:rsid w:val="009532F6"/>
    <w:rsid w:val="00953365"/>
    <w:rsid w:val="00953373"/>
    <w:rsid w:val="009533C6"/>
    <w:rsid w:val="0095449B"/>
    <w:rsid w:val="00954507"/>
    <w:rsid w:val="00954AEB"/>
    <w:rsid w:val="00954C4D"/>
    <w:rsid w:val="00954CFD"/>
    <w:rsid w:val="00954D16"/>
    <w:rsid w:val="00954E86"/>
    <w:rsid w:val="009552DE"/>
    <w:rsid w:val="009555E2"/>
    <w:rsid w:val="00955AB6"/>
    <w:rsid w:val="00955D8B"/>
    <w:rsid w:val="00955DA5"/>
    <w:rsid w:val="00955F90"/>
    <w:rsid w:val="00956479"/>
    <w:rsid w:val="0095667E"/>
    <w:rsid w:val="00956787"/>
    <w:rsid w:val="00956971"/>
    <w:rsid w:val="00957037"/>
    <w:rsid w:val="009573CA"/>
    <w:rsid w:val="00957549"/>
    <w:rsid w:val="00960115"/>
    <w:rsid w:val="00960143"/>
    <w:rsid w:val="0096031E"/>
    <w:rsid w:val="009604ED"/>
    <w:rsid w:val="0096089A"/>
    <w:rsid w:val="00960E56"/>
    <w:rsid w:val="00961022"/>
    <w:rsid w:val="00961185"/>
    <w:rsid w:val="009611F4"/>
    <w:rsid w:val="00961A93"/>
    <w:rsid w:val="00961D80"/>
    <w:rsid w:val="009620A8"/>
    <w:rsid w:val="00963694"/>
    <w:rsid w:val="00963724"/>
    <w:rsid w:val="00963A3E"/>
    <w:rsid w:val="00964401"/>
    <w:rsid w:val="00964545"/>
    <w:rsid w:val="0096495C"/>
    <w:rsid w:val="00964E4F"/>
    <w:rsid w:val="00964E5D"/>
    <w:rsid w:val="009653CE"/>
    <w:rsid w:val="00965440"/>
    <w:rsid w:val="0096574E"/>
    <w:rsid w:val="00965A05"/>
    <w:rsid w:val="00965BC4"/>
    <w:rsid w:val="00965CFE"/>
    <w:rsid w:val="00965E0E"/>
    <w:rsid w:val="00966606"/>
    <w:rsid w:val="00966AFF"/>
    <w:rsid w:val="00966BD7"/>
    <w:rsid w:val="009678AC"/>
    <w:rsid w:val="00967AD0"/>
    <w:rsid w:val="00967C63"/>
    <w:rsid w:val="0097050B"/>
    <w:rsid w:val="00970511"/>
    <w:rsid w:val="00970B66"/>
    <w:rsid w:val="009713BA"/>
    <w:rsid w:val="009716E5"/>
    <w:rsid w:val="00971757"/>
    <w:rsid w:val="009718EB"/>
    <w:rsid w:val="00972741"/>
    <w:rsid w:val="00972A01"/>
    <w:rsid w:val="00973242"/>
    <w:rsid w:val="0097349F"/>
    <w:rsid w:val="0097428A"/>
    <w:rsid w:val="00974534"/>
    <w:rsid w:val="00974942"/>
    <w:rsid w:val="00974B93"/>
    <w:rsid w:val="0097500F"/>
    <w:rsid w:val="00975708"/>
    <w:rsid w:val="00975733"/>
    <w:rsid w:val="00975E51"/>
    <w:rsid w:val="00975EB9"/>
    <w:rsid w:val="009760EC"/>
    <w:rsid w:val="00976120"/>
    <w:rsid w:val="009763B2"/>
    <w:rsid w:val="009769F9"/>
    <w:rsid w:val="00976A90"/>
    <w:rsid w:val="00976BF8"/>
    <w:rsid w:val="00977715"/>
    <w:rsid w:val="0097782E"/>
    <w:rsid w:val="00977C60"/>
    <w:rsid w:val="00980144"/>
    <w:rsid w:val="009802B8"/>
    <w:rsid w:val="0098033B"/>
    <w:rsid w:val="00980617"/>
    <w:rsid w:val="00980B7E"/>
    <w:rsid w:val="0098101B"/>
    <w:rsid w:val="00981522"/>
    <w:rsid w:val="00981933"/>
    <w:rsid w:val="009825AF"/>
    <w:rsid w:val="00982688"/>
    <w:rsid w:val="00982B08"/>
    <w:rsid w:val="00982C45"/>
    <w:rsid w:val="0098328A"/>
    <w:rsid w:val="009832A0"/>
    <w:rsid w:val="00983762"/>
    <w:rsid w:val="00983AFC"/>
    <w:rsid w:val="00983EE2"/>
    <w:rsid w:val="009847BD"/>
    <w:rsid w:val="0098494A"/>
    <w:rsid w:val="00984BF6"/>
    <w:rsid w:val="009856A3"/>
    <w:rsid w:val="009860FB"/>
    <w:rsid w:val="00987103"/>
    <w:rsid w:val="0098760D"/>
    <w:rsid w:val="00990158"/>
    <w:rsid w:val="009903C1"/>
    <w:rsid w:val="00990407"/>
    <w:rsid w:val="00990745"/>
    <w:rsid w:val="009908C6"/>
    <w:rsid w:val="0099090C"/>
    <w:rsid w:val="00990BE6"/>
    <w:rsid w:val="0099100C"/>
    <w:rsid w:val="009914FE"/>
    <w:rsid w:val="00991753"/>
    <w:rsid w:val="00991A5B"/>
    <w:rsid w:val="00991B08"/>
    <w:rsid w:val="00991D13"/>
    <w:rsid w:val="00992360"/>
    <w:rsid w:val="0099240B"/>
    <w:rsid w:val="0099264A"/>
    <w:rsid w:val="009927D8"/>
    <w:rsid w:val="00992B34"/>
    <w:rsid w:val="00992D5E"/>
    <w:rsid w:val="00992DA4"/>
    <w:rsid w:val="00992EEE"/>
    <w:rsid w:val="0099310F"/>
    <w:rsid w:val="009932D8"/>
    <w:rsid w:val="0099371E"/>
    <w:rsid w:val="00993761"/>
    <w:rsid w:val="00993A3C"/>
    <w:rsid w:val="00993F9D"/>
    <w:rsid w:val="00994894"/>
    <w:rsid w:val="009948C3"/>
    <w:rsid w:val="00994CD5"/>
    <w:rsid w:val="00994F1D"/>
    <w:rsid w:val="00995057"/>
    <w:rsid w:val="009951B9"/>
    <w:rsid w:val="00995C45"/>
    <w:rsid w:val="00995F05"/>
    <w:rsid w:val="00996154"/>
    <w:rsid w:val="00996678"/>
    <w:rsid w:val="00996BF5"/>
    <w:rsid w:val="009972C1"/>
    <w:rsid w:val="009974C8"/>
    <w:rsid w:val="00997558"/>
    <w:rsid w:val="00997EB2"/>
    <w:rsid w:val="009A0381"/>
    <w:rsid w:val="009A05B6"/>
    <w:rsid w:val="009A06D9"/>
    <w:rsid w:val="009A09DB"/>
    <w:rsid w:val="009A0AAA"/>
    <w:rsid w:val="009A0C1B"/>
    <w:rsid w:val="009A1424"/>
    <w:rsid w:val="009A1601"/>
    <w:rsid w:val="009A174A"/>
    <w:rsid w:val="009A1964"/>
    <w:rsid w:val="009A1B0C"/>
    <w:rsid w:val="009A1BEB"/>
    <w:rsid w:val="009A2076"/>
    <w:rsid w:val="009A21AC"/>
    <w:rsid w:val="009A2D74"/>
    <w:rsid w:val="009A31B9"/>
    <w:rsid w:val="009A3308"/>
    <w:rsid w:val="009A36BD"/>
    <w:rsid w:val="009A3704"/>
    <w:rsid w:val="009A4021"/>
    <w:rsid w:val="009A45B4"/>
    <w:rsid w:val="009A4C7F"/>
    <w:rsid w:val="009A5033"/>
    <w:rsid w:val="009A507D"/>
    <w:rsid w:val="009A5231"/>
    <w:rsid w:val="009A5651"/>
    <w:rsid w:val="009A577A"/>
    <w:rsid w:val="009A5798"/>
    <w:rsid w:val="009A5B81"/>
    <w:rsid w:val="009A5CAD"/>
    <w:rsid w:val="009A5E05"/>
    <w:rsid w:val="009A5E6C"/>
    <w:rsid w:val="009A600F"/>
    <w:rsid w:val="009A618A"/>
    <w:rsid w:val="009A623D"/>
    <w:rsid w:val="009A6C1C"/>
    <w:rsid w:val="009A6C2F"/>
    <w:rsid w:val="009A6E68"/>
    <w:rsid w:val="009A7066"/>
    <w:rsid w:val="009A7167"/>
    <w:rsid w:val="009A71E2"/>
    <w:rsid w:val="009A735F"/>
    <w:rsid w:val="009A73BC"/>
    <w:rsid w:val="009A7426"/>
    <w:rsid w:val="009A7462"/>
    <w:rsid w:val="009A765A"/>
    <w:rsid w:val="009B1E76"/>
    <w:rsid w:val="009B20AB"/>
    <w:rsid w:val="009B23A2"/>
    <w:rsid w:val="009B2485"/>
    <w:rsid w:val="009B2A35"/>
    <w:rsid w:val="009B30C1"/>
    <w:rsid w:val="009B31EE"/>
    <w:rsid w:val="009B32D5"/>
    <w:rsid w:val="009B4451"/>
    <w:rsid w:val="009B4609"/>
    <w:rsid w:val="009B4764"/>
    <w:rsid w:val="009B47BC"/>
    <w:rsid w:val="009B483E"/>
    <w:rsid w:val="009B4A68"/>
    <w:rsid w:val="009B56B5"/>
    <w:rsid w:val="009B6213"/>
    <w:rsid w:val="009B64FC"/>
    <w:rsid w:val="009B65B6"/>
    <w:rsid w:val="009B679D"/>
    <w:rsid w:val="009B78B8"/>
    <w:rsid w:val="009B79C3"/>
    <w:rsid w:val="009B7B1B"/>
    <w:rsid w:val="009B7F36"/>
    <w:rsid w:val="009C036B"/>
    <w:rsid w:val="009C0607"/>
    <w:rsid w:val="009C08B0"/>
    <w:rsid w:val="009C0912"/>
    <w:rsid w:val="009C0C14"/>
    <w:rsid w:val="009C0CA8"/>
    <w:rsid w:val="009C12E8"/>
    <w:rsid w:val="009C12F5"/>
    <w:rsid w:val="009C1E77"/>
    <w:rsid w:val="009C231F"/>
    <w:rsid w:val="009C2421"/>
    <w:rsid w:val="009C2856"/>
    <w:rsid w:val="009C3089"/>
    <w:rsid w:val="009C38C3"/>
    <w:rsid w:val="009C3B06"/>
    <w:rsid w:val="009C4A78"/>
    <w:rsid w:val="009C50EF"/>
    <w:rsid w:val="009C54A8"/>
    <w:rsid w:val="009C54E2"/>
    <w:rsid w:val="009C589E"/>
    <w:rsid w:val="009C5C7F"/>
    <w:rsid w:val="009C5F6E"/>
    <w:rsid w:val="009C62A2"/>
    <w:rsid w:val="009C6602"/>
    <w:rsid w:val="009C6930"/>
    <w:rsid w:val="009C7170"/>
    <w:rsid w:val="009C7768"/>
    <w:rsid w:val="009C7967"/>
    <w:rsid w:val="009D00F3"/>
    <w:rsid w:val="009D0839"/>
    <w:rsid w:val="009D0E58"/>
    <w:rsid w:val="009D0F3F"/>
    <w:rsid w:val="009D107B"/>
    <w:rsid w:val="009D1805"/>
    <w:rsid w:val="009D1821"/>
    <w:rsid w:val="009D26C7"/>
    <w:rsid w:val="009D27FC"/>
    <w:rsid w:val="009D307C"/>
    <w:rsid w:val="009D3482"/>
    <w:rsid w:val="009D3954"/>
    <w:rsid w:val="009D3973"/>
    <w:rsid w:val="009D48CA"/>
    <w:rsid w:val="009D4CC7"/>
    <w:rsid w:val="009D54CF"/>
    <w:rsid w:val="009D5E6C"/>
    <w:rsid w:val="009D5F0D"/>
    <w:rsid w:val="009D6108"/>
    <w:rsid w:val="009D61E7"/>
    <w:rsid w:val="009D65B4"/>
    <w:rsid w:val="009D6B04"/>
    <w:rsid w:val="009D6CC9"/>
    <w:rsid w:val="009D6FEC"/>
    <w:rsid w:val="009D7ED2"/>
    <w:rsid w:val="009E04BB"/>
    <w:rsid w:val="009E0740"/>
    <w:rsid w:val="009E0B0E"/>
    <w:rsid w:val="009E104A"/>
    <w:rsid w:val="009E1199"/>
    <w:rsid w:val="009E15CD"/>
    <w:rsid w:val="009E251D"/>
    <w:rsid w:val="009E283D"/>
    <w:rsid w:val="009E2BFF"/>
    <w:rsid w:val="009E2FF0"/>
    <w:rsid w:val="009E3462"/>
    <w:rsid w:val="009E3A65"/>
    <w:rsid w:val="009E45D9"/>
    <w:rsid w:val="009E49B2"/>
    <w:rsid w:val="009E4CEB"/>
    <w:rsid w:val="009E5724"/>
    <w:rsid w:val="009E5F44"/>
    <w:rsid w:val="009E5FD3"/>
    <w:rsid w:val="009F01AC"/>
    <w:rsid w:val="009F075D"/>
    <w:rsid w:val="009F0CCF"/>
    <w:rsid w:val="009F0FEB"/>
    <w:rsid w:val="009F1096"/>
    <w:rsid w:val="009F109A"/>
    <w:rsid w:val="009F12E8"/>
    <w:rsid w:val="009F15E6"/>
    <w:rsid w:val="009F1D1B"/>
    <w:rsid w:val="009F20B2"/>
    <w:rsid w:val="009F23A2"/>
    <w:rsid w:val="009F25C8"/>
    <w:rsid w:val="009F2924"/>
    <w:rsid w:val="009F2D7E"/>
    <w:rsid w:val="009F2DF4"/>
    <w:rsid w:val="009F3663"/>
    <w:rsid w:val="009F3E34"/>
    <w:rsid w:val="009F4480"/>
    <w:rsid w:val="009F473A"/>
    <w:rsid w:val="009F4804"/>
    <w:rsid w:val="009F493B"/>
    <w:rsid w:val="009F494F"/>
    <w:rsid w:val="009F5271"/>
    <w:rsid w:val="009F56CF"/>
    <w:rsid w:val="009F59C1"/>
    <w:rsid w:val="009F5C03"/>
    <w:rsid w:val="009F5E3B"/>
    <w:rsid w:val="009F62B0"/>
    <w:rsid w:val="009F6334"/>
    <w:rsid w:val="009F68BC"/>
    <w:rsid w:val="009F6977"/>
    <w:rsid w:val="009F6CC3"/>
    <w:rsid w:val="009F6E5F"/>
    <w:rsid w:val="009F70DE"/>
    <w:rsid w:val="009F720B"/>
    <w:rsid w:val="009F7345"/>
    <w:rsid w:val="009F73E4"/>
    <w:rsid w:val="009F7616"/>
    <w:rsid w:val="009F77A2"/>
    <w:rsid w:val="009F783B"/>
    <w:rsid w:val="00A005C3"/>
    <w:rsid w:val="00A00A7C"/>
    <w:rsid w:val="00A00C98"/>
    <w:rsid w:val="00A0155E"/>
    <w:rsid w:val="00A01A2C"/>
    <w:rsid w:val="00A01A3E"/>
    <w:rsid w:val="00A01A8C"/>
    <w:rsid w:val="00A01B91"/>
    <w:rsid w:val="00A01EE8"/>
    <w:rsid w:val="00A026DF"/>
    <w:rsid w:val="00A02C72"/>
    <w:rsid w:val="00A02E49"/>
    <w:rsid w:val="00A02E4E"/>
    <w:rsid w:val="00A030EA"/>
    <w:rsid w:val="00A03163"/>
    <w:rsid w:val="00A04326"/>
    <w:rsid w:val="00A0438D"/>
    <w:rsid w:val="00A04CD1"/>
    <w:rsid w:val="00A05064"/>
    <w:rsid w:val="00A05715"/>
    <w:rsid w:val="00A060A8"/>
    <w:rsid w:val="00A0618A"/>
    <w:rsid w:val="00A06FD2"/>
    <w:rsid w:val="00A072F4"/>
    <w:rsid w:val="00A075C8"/>
    <w:rsid w:val="00A07D84"/>
    <w:rsid w:val="00A101B1"/>
    <w:rsid w:val="00A1064D"/>
    <w:rsid w:val="00A10677"/>
    <w:rsid w:val="00A10AE5"/>
    <w:rsid w:val="00A11253"/>
    <w:rsid w:val="00A114B4"/>
    <w:rsid w:val="00A11DB7"/>
    <w:rsid w:val="00A12BD3"/>
    <w:rsid w:val="00A13018"/>
    <w:rsid w:val="00A133D2"/>
    <w:rsid w:val="00A13BCD"/>
    <w:rsid w:val="00A13F40"/>
    <w:rsid w:val="00A14E51"/>
    <w:rsid w:val="00A14FB7"/>
    <w:rsid w:val="00A152A6"/>
    <w:rsid w:val="00A16154"/>
    <w:rsid w:val="00A16314"/>
    <w:rsid w:val="00A17141"/>
    <w:rsid w:val="00A17213"/>
    <w:rsid w:val="00A179E9"/>
    <w:rsid w:val="00A201F5"/>
    <w:rsid w:val="00A20913"/>
    <w:rsid w:val="00A21140"/>
    <w:rsid w:val="00A21456"/>
    <w:rsid w:val="00A21498"/>
    <w:rsid w:val="00A216DF"/>
    <w:rsid w:val="00A21A33"/>
    <w:rsid w:val="00A21AFF"/>
    <w:rsid w:val="00A21C88"/>
    <w:rsid w:val="00A2214B"/>
    <w:rsid w:val="00A2247E"/>
    <w:rsid w:val="00A224FA"/>
    <w:rsid w:val="00A22CB6"/>
    <w:rsid w:val="00A238EB"/>
    <w:rsid w:val="00A23B31"/>
    <w:rsid w:val="00A23C82"/>
    <w:rsid w:val="00A24585"/>
    <w:rsid w:val="00A24743"/>
    <w:rsid w:val="00A24F60"/>
    <w:rsid w:val="00A2541D"/>
    <w:rsid w:val="00A2584C"/>
    <w:rsid w:val="00A26AB7"/>
    <w:rsid w:val="00A26AEE"/>
    <w:rsid w:val="00A26BA5"/>
    <w:rsid w:val="00A27845"/>
    <w:rsid w:val="00A27CC7"/>
    <w:rsid w:val="00A27DA0"/>
    <w:rsid w:val="00A3018C"/>
    <w:rsid w:val="00A30278"/>
    <w:rsid w:val="00A3136B"/>
    <w:rsid w:val="00A3139C"/>
    <w:rsid w:val="00A318A6"/>
    <w:rsid w:val="00A31D42"/>
    <w:rsid w:val="00A31E2D"/>
    <w:rsid w:val="00A31F9C"/>
    <w:rsid w:val="00A32052"/>
    <w:rsid w:val="00A3255A"/>
    <w:rsid w:val="00A32659"/>
    <w:rsid w:val="00A3331B"/>
    <w:rsid w:val="00A33409"/>
    <w:rsid w:val="00A34DAF"/>
    <w:rsid w:val="00A350B3"/>
    <w:rsid w:val="00A353F3"/>
    <w:rsid w:val="00A3564A"/>
    <w:rsid w:val="00A35715"/>
    <w:rsid w:val="00A35AAD"/>
    <w:rsid w:val="00A35B9C"/>
    <w:rsid w:val="00A35D0C"/>
    <w:rsid w:val="00A35DA7"/>
    <w:rsid w:val="00A36550"/>
    <w:rsid w:val="00A36748"/>
    <w:rsid w:val="00A3714B"/>
    <w:rsid w:val="00A37185"/>
    <w:rsid w:val="00A37301"/>
    <w:rsid w:val="00A373D4"/>
    <w:rsid w:val="00A3758D"/>
    <w:rsid w:val="00A37B08"/>
    <w:rsid w:val="00A401D7"/>
    <w:rsid w:val="00A403D3"/>
    <w:rsid w:val="00A40642"/>
    <w:rsid w:val="00A407F7"/>
    <w:rsid w:val="00A40ADF"/>
    <w:rsid w:val="00A40CE3"/>
    <w:rsid w:val="00A415CB"/>
    <w:rsid w:val="00A4195E"/>
    <w:rsid w:val="00A41CD8"/>
    <w:rsid w:val="00A420D6"/>
    <w:rsid w:val="00A42DCC"/>
    <w:rsid w:val="00A42EC5"/>
    <w:rsid w:val="00A4313C"/>
    <w:rsid w:val="00A435CE"/>
    <w:rsid w:val="00A43C02"/>
    <w:rsid w:val="00A43CCC"/>
    <w:rsid w:val="00A4408A"/>
    <w:rsid w:val="00A444E6"/>
    <w:rsid w:val="00A44D1E"/>
    <w:rsid w:val="00A45109"/>
    <w:rsid w:val="00A4550A"/>
    <w:rsid w:val="00A45591"/>
    <w:rsid w:val="00A45C22"/>
    <w:rsid w:val="00A46250"/>
    <w:rsid w:val="00A46279"/>
    <w:rsid w:val="00A463E0"/>
    <w:rsid w:val="00A463EF"/>
    <w:rsid w:val="00A46422"/>
    <w:rsid w:val="00A46661"/>
    <w:rsid w:val="00A46884"/>
    <w:rsid w:val="00A46903"/>
    <w:rsid w:val="00A474D8"/>
    <w:rsid w:val="00A4754A"/>
    <w:rsid w:val="00A47B01"/>
    <w:rsid w:val="00A47E1D"/>
    <w:rsid w:val="00A5009F"/>
    <w:rsid w:val="00A50522"/>
    <w:rsid w:val="00A507A1"/>
    <w:rsid w:val="00A507E6"/>
    <w:rsid w:val="00A50AF3"/>
    <w:rsid w:val="00A50BF2"/>
    <w:rsid w:val="00A50F71"/>
    <w:rsid w:val="00A5107E"/>
    <w:rsid w:val="00A517B6"/>
    <w:rsid w:val="00A51BFB"/>
    <w:rsid w:val="00A522C6"/>
    <w:rsid w:val="00A523AE"/>
    <w:rsid w:val="00A52A83"/>
    <w:rsid w:val="00A52AE3"/>
    <w:rsid w:val="00A53B9A"/>
    <w:rsid w:val="00A53C1E"/>
    <w:rsid w:val="00A53D2C"/>
    <w:rsid w:val="00A53D8E"/>
    <w:rsid w:val="00A53DB0"/>
    <w:rsid w:val="00A5417F"/>
    <w:rsid w:val="00A54BAC"/>
    <w:rsid w:val="00A54EBC"/>
    <w:rsid w:val="00A550DE"/>
    <w:rsid w:val="00A55483"/>
    <w:rsid w:val="00A556D8"/>
    <w:rsid w:val="00A55D9B"/>
    <w:rsid w:val="00A55F6B"/>
    <w:rsid w:val="00A5622C"/>
    <w:rsid w:val="00A567A0"/>
    <w:rsid w:val="00A56939"/>
    <w:rsid w:val="00A57429"/>
    <w:rsid w:val="00A57DF3"/>
    <w:rsid w:val="00A60959"/>
    <w:rsid w:val="00A60F4D"/>
    <w:rsid w:val="00A61C51"/>
    <w:rsid w:val="00A625F2"/>
    <w:rsid w:val="00A627D5"/>
    <w:rsid w:val="00A62A99"/>
    <w:rsid w:val="00A62C06"/>
    <w:rsid w:val="00A62FE2"/>
    <w:rsid w:val="00A63582"/>
    <w:rsid w:val="00A635A3"/>
    <w:rsid w:val="00A640ED"/>
    <w:rsid w:val="00A642FB"/>
    <w:rsid w:val="00A6431C"/>
    <w:rsid w:val="00A646AA"/>
    <w:rsid w:val="00A64D21"/>
    <w:rsid w:val="00A6586A"/>
    <w:rsid w:val="00A65FAC"/>
    <w:rsid w:val="00A65FED"/>
    <w:rsid w:val="00A6638D"/>
    <w:rsid w:val="00A66D2A"/>
    <w:rsid w:val="00A66F26"/>
    <w:rsid w:val="00A67542"/>
    <w:rsid w:val="00A6766E"/>
    <w:rsid w:val="00A67831"/>
    <w:rsid w:val="00A6799E"/>
    <w:rsid w:val="00A67D96"/>
    <w:rsid w:val="00A7004E"/>
    <w:rsid w:val="00A700FC"/>
    <w:rsid w:val="00A70554"/>
    <w:rsid w:val="00A70FA5"/>
    <w:rsid w:val="00A7183E"/>
    <w:rsid w:val="00A71CDC"/>
    <w:rsid w:val="00A72027"/>
    <w:rsid w:val="00A7212C"/>
    <w:rsid w:val="00A722B1"/>
    <w:rsid w:val="00A732CA"/>
    <w:rsid w:val="00A73318"/>
    <w:rsid w:val="00A7377D"/>
    <w:rsid w:val="00A739EC"/>
    <w:rsid w:val="00A73ABD"/>
    <w:rsid w:val="00A73AC5"/>
    <w:rsid w:val="00A73C2E"/>
    <w:rsid w:val="00A73DF7"/>
    <w:rsid w:val="00A747AD"/>
    <w:rsid w:val="00A749F7"/>
    <w:rsid w:val="00A74E1E"/>
    <w:rsid w:val="00A74ECA"/>
    <w:rsid w:val="00A75340"/>
    <w:rsid w:val="00A76053"/>
    <w:rsid w:val="00A7643C"/>
    <w:rsid w:val="00A76475"/>
    <w:rsid w:val="00A766B8"/>
    <w:rsid w:val="00A76706"/>
    <w:rsid w:val="00A769C4"/>
    <w:rsid w:val="00A76A19"/>
    <w:rsid w:val="00A76B4F"/>
    <w:rsid w:val="00A76D35"/>
    <w:rsid w:val="00A76F41"/>
    <w:rsid w:val="00A77CA2"/>
    <w:rsid w:val="00A77EFC"/>
    <w:rsid w:val="00A77F5E"/>
    <w:rsid w:val="00A8001A"/>
    <w:rsid w:val="00A800A4"/>
    <w:rsid w:val="00A80184"/>
    <w:rsid w:val="00A81140"/>
    <w:rsid w:val="00A81746"/>
    <w:rsid w:val="00A8328A"/>
    <w:rsid w:val="00A83573"/>
    <w:rsid w:val="00A8367C"/>
    <w:rsid w:val="00A83815"/>
    <w:rsid w:val="00A8431D"/>
    <w:rsid w:val="00A8487B"/>
    <w:rsid w:val="00A8498E"/>
    <w:rsid w:val="00A84F16"/>
    <w:rsid w:val="00A851DD"/>
    <w:rsid w:val="00A85C50"/>
    <w:rsid w:val="00A85D7C"/>
    <w:rsid w:val="00A85D86"/>
    <w:rsid w:val="00A85E67"/>
    <w:rsid w:val="00A85F5F"/>
    <w:rsid w:val="00A8600C"/>
    <w:rsid w:val="00A86B2A"/>
    <w:rsid w:val="00A8740F"/>
    <w:rsid w:val="00A87537"/>
    <w:rsid w:val="00A9042D"/>
    <w:rsid w:val="00A9046F"/>
    <w:rsid w:val="00A90814"/>
    <w:rsid w:val="00A90842"/>
    <w:rsid w:val="00A90942"/>
    <w:rsid w:val="00A90EA3"/>
    <w:rsid w:val="00A9114C"/>
    <w:rsid w:val="00A91191"/>
    <w:rsid w:val="00A91AF3"/>
    <w:rsid w:val="00A923B1"/>
    <w:rsid w:val="00A92491"/>
    <w:rsid w:val="00A924EC"/>
    <w:rsid w:val="00A9283D"/>
    <w:rsid w:val="00A92FCE"/>
    <w:rsid w:val="00A930F0"/>
    <w:rsid w:val="00A932B7"/>
    <w:rsid w:val="00A93563"/>
    <w:rsid w:val="00A93993"/>
    <w:rsid w:val="00A93C0F"/>
    <w:rsid w:val="00A940B1"/>
    <w:rsid w:val="00A94146"/>
    <w:rsid w:val="00A94529"/>
    <w:rsid w:val="00A95D46"/>
    <w:rsid w:val="00A95F2E"/>
    <w:rsid w:val="00A96318"/>
    <w:rsid w:val="00A96540"/>
    <w:rsid w:val="00A96843"/>
    <w:rsid w:val="00A96E27"/>
    <w:rsid w:val="00A96F28"/>
    <w:rsid w:val="00A96F58"/>
    <w:rsid w:val="00A970BB"/>
    <w:rsid w:val="00A97657"/>
    <w:rsid w:val="00A97AC6"/>
    <w:rsid w:val="00A97C11"/>
    <w:rsid w:val="00AA0108"/>
    <w:rsid w:val="00AA036C"/>
    <w:rsid w:val="00AA06BF"/>
    <w:rsid w:val="00AA1282"/>
    <w:rsid w:val="00AA16D9"/>
    <w:rsid w:val="00AA19E6"/>
    <w:rsid w:val="00AA1C73"/>
    <w:rsid w:val="00AA1DC5"/>
    <w:rsid w:val="00AA224C"/>
    <w:rsid w:val="00AA22A9"/>
    <w:rsid w:val="00AA2B62"/>
    <w:rsid w:val="00AA316F"/>
    <w:rsid w:val="00AA3207"/>
    <w:rsid w:val="00AA326A"/>
    <w:rsid w:val="00AA3B5E"/>
    <w:rsid w:val="00AA3F13"/>
    <w:rsid w:val="00AA419F"/>
    <w:rsid w:val="00AA4934"/>
    <w:rsid w:val="00AA4B36"/>
    <w:rsid w:val="00AA4D14"/>
    <w:rsid w:val="00AA51BA"/>
    <w:rsid w:val="00AA5641"/>
    <w:rsid w:val="00AA59CD"/>
    <w:rsid w:val="00AA5EE7"/>
    <w:rsid w:val="00AA605C"/>
    <w:rsid w:val="00AA63D2"/>
    <w:rsid w:val="00AA6971"/>
    <w:rsid w:val="00AA6A2D"/>
    <w:rsid w:val="00AA6E4D"/>
    <w:rsid w:val="00AA6F34"/>
    <w:rsid w:val="00AA7088"/>
    <w:rsid w:val="00AA7255"/>
    <w:rsid w:val="00AA7398"/>
    <w:rsid w:val="00AA73BC"/>
    <w:rsid w:val="00AA74F0"/>
    <w:rsid w:val="00AA76D4"/>
    <w:rsid w:val="00AA7B02"/>
    <w:rsid w:val="00AB0EAF"/>
    <w:rsid w:val="00AB140D"/>
    <w:rsid w:val="00AB1D19"/>
    <w:rsid w:val="00AB1E50"/>
    <w:rsid w:val="00AB1FD2"/>
    <w:rsid w:val="00AB2168"/>
    <w:rsid w:val="00AB21AE"/>
    <w:rsid w:val="00AB2291"/>
    <w:rsid w:val="00AB28D8"/>
    <w:rsid w:val="00AB2A07"/>
    <w:rsid w:val="00AB313E"/>
    <w:rsid w:val="00AB403D"/>
    <w:rsid w:val="00AB4391"/>
    <w:rsid w:val="00AB44B2"/>
    <w:rsid w:val="00AB46E5"/>
    <w:rsid w:val="00AB4840"/>
    <w:rsid w:val="00AB4D42"/>
    <w:rsid w:val="00AB4F3A"/>
    <w:rsid w:val="00AB503C"/>
    <w:rsid w:val="00AB579C"/>
    <w:rsid w:val="00AB6103"/>
    <w:rsid w:val="00AB6165"/>
    <w:rsid w:val="00AB68F6"/>
    <w:rsid w:val="00AB7017"/>
    <w:rsid w:val="00AB7235"/>
    <w:rsid w:val="00AB75DB"/>
    <w:rsid w:val="00AB779E"/>
    <w:rsid w:val="00AB78AB"/>
    <w:rsid w:val="00AB78DC"/>
    <w:rsid w:val="00AB79EB"/>
    <w:rsid w:val="00AB7E00"/>
    <w:rsid w:val="00AB7F36"/>
    <w:rsid w:val="00AC00D8"/>
    <w:rsid w:val="00AC01B2"/>
    <w:rsid w:val="00AC03F9"/>
    <w:rsid w:val="00AC0AEE"/>
    <w:rsid w:val="00AC0C51"/>
    <w:rsid w:val="00AC16AE"/>
    <w:rsid w:val="00AC1C1B"/>
    <w:rsid w:val="00AC1EF9"/>
    <w:rsid w:val="00AC1FA3"/>
    <w:rsid w:val="00AC2E1F"/>
    <w:rsid w:val="00AC31F1"/>
    <w:rsid w:val="00AC397A"/>
    <w:rsid w:val="00AC398B"/>
    <w:rsid w:val="00AC3CA5"/>
    <w:rsid w:val="00AC3EB2"/>
    <w:rsid w:val="00AC404E"/>
    <w:rsid w:val="00AC46B4"/>
    <w:rsid w:val="00AC47D9"/>
    <w:rsid w:val="00AC486A"/>
    <w:rsid w:val="00AC4A9E"/>
    <w:rsid w:val="00AC4C38"/>
    <w:rsid w:val="00AC5034"/>
    <w:rsid w:val="00AC5283"/>
    <w:rsid w:val="00AC537E"/>
    <w:rsid w:val="00AC57C3"/>
    <w:rsid w:val="00AC6057"/>
    <w:rsid w:val="00AC67B3"/>
    <w:rsid w:val="00AC6851"/>
    <w:rsid w:val="00AC68B2"/>
    <w:rsid w:val="00AC6B98"/>
    <w:rsid w:val="00AC6C93"/>
    <w:rsid w:val="00AC6D73"/>
    <w:rsid w:val="00AC703F"/>
    <w:rsid w:val="00AC7189"/>
    <w:rsid w:val="00AC71BE"/>
    <w:rsid w:val="00AC7440"/>
    <w:rsid w:val="00AC775D"/>
    <w:rsid w:val="00AC7BC6"/>
    <w:rsid w:val="00AC7D71"/>
    <w:rsid w:val="00AD03F6"/>
    <w:rsid w:val="00AD0DB0"/>
    <w:rsid w:val="00AD1034"/>
    <w:rsid w:val="00AD1165"/>
    <w:rsid w:val="00AD129B"/>
    <w:rsid w:val="00AD1A35"/>
    <w:rsid w:val="00AD1C2F"/>
    <w:rsid w:val="00AD2010"/>
    <w:rsid w:val="00AD2145"/>
    <w:rsid w:val="00AD22C3"/>
    <w:rsid w:val="00AD237A"/>
    <w:rsid w:val="00AD268E"/>
    <w:rsid w:val="00AD38C9"/>
    <w:rsid w:val="00AD3F33"/>
    <w:rsid w:val="00AD4D9C"/>
    <w:rsid w:val="00AD50B3"/>
    <w:rsid w:val="00AD56DC"/>
    <w:rsid w:val="00AD58FA"/>
    <w:rsid w:val="00AD5C71"/>
    <w:rsid w:val="00AD640B"/>
    <w:rsid w:val="00AD64A3"/>
    <w:rsid w:val="00AD65CC"/>
    <w:rsid w:val="00AD665F"/>
    <w:rsid w:val="00AD6DB1"/>
    <w:rsid w:val="00AD73A1"/>
    <w:rsid w:val="00AD77C4"/>
    <w:rsid w:val="00AD7E8F"/>
    <w:rsid w:val="00AE00D1"/>
    <w:rsid w:val="00AE06EE"/>
    <w:rsid w:val="00AE0F39"/>
    <w:rsid w:val="00AE19BF"/>
    <w:rsid w:val="00AE1E23"/>
    <w:rsid w:val="00AE2513"/>
    <w:rsid w:val="00AE2B3B"/>
    <w:rsid w:val="00AE2B75"/>
    <w:rsid w:val="00AE3A3A"/>
    <w:rsid w:val="00AE3E6A"/>
    <w:rsid w:val="00AE4460"/>
    <w:rsid w:val="00AE4746"/>
    <w:rsid w:val="00AE4D95"/>
    <w:rsid w:val="00AE5385"/>
    <w:rsid w:val="00AE5652"/>
    <w:rsid w:val="00AE583C"/>
    <w:rsid w:val="00AE6512"/>
    <w:rsid w:val="00AE6734"/>
    <w:rsid w:val="00AE7149"/>
    <w:rsid w:val="00AE76A0"/>
    <w:rsid w:val="00AF069E"/>
    <w:rsid w:val="00AF0C35"/>
    <w:rsid w:val="00AF0C64"/>
    <w:rsid w:val="00AF1165"/>
    <w:rsid w:val="00AF14E4"/>
    <w:rsid w:val="00AF17AC"/>
    <w:rsid w:val="00AF19B0"/>
    <w:rsid w:val="00AF1AAD"/>
    <w:rsid w:val="00AF2BD0"/>
    <w:rsid w:val="00AF31BC"/>
    <w:rsid w:val="00AF3294"/>
    <w:rsid w:val="00AF450A"/>
    <w:rsid w:val="00AF458C"/>
    <w:rsid w:val="00AF4739"/>
    <w:rsid w:val="00AF4B6D"/>
    <w:rsid w:val="00AF4F7D"/>
    <w:rsid w:val="00AF5558"/>
    <w:rsid w:val="00AF6407"/>
    <w:rsid w:val="00AF68D6"/>
    <w:rsid w:val="00AF6917"/>
    <w:rsid w:val="00AF70DD"/>
    <w:rsid w:val="00AF729E"/>
    <w:rsid w:val="00AF75CA"/>
    <w:rsid w:val="00B00A3B"/>
    <w:rsid w:val="00B00A79"/>
    <w:rsid w:val="00B00F24"/>
    <w:rsid w:val="00B012DD"/>
    <w:rsid w:val="00B01679"/>
    <w:rsid w:val="00B01E0E"/>
    <w:rsid w:val="00B0246B"/>
    <w:rsid w:val="00B028E6"/>
    <w:rsid w:val="00B02CEB"/>
    <w:rsid w:val="00B02F27"/>
    <w:rsid w:val="00B0365A"/>
    <w:rsid w:val="00B03859"/>
    <w:rsid w:val="00B03881"/>
    <w:rsid w:val="00B03E20"/>
    <w:rsid w:val="00B03E33"/>
    <w:rsid w:val="00B04862"/>
    <w:rsid w:val="00B0492F"/>
    <w:rsid w:val="00B04DCA"/>
    <w:rsid w:val="00B04FDF"/>
    <w:rsid w:val="00B05776"/>
    <w:rsid w:val="00B05E70"/>
    <w:rsid w:val="00B065B9"/>
    <w:rsid w:val="00B06C41"/>
    <w:rsid w:val="00B06F4F"/>
    <w:rsid w:val="00B074D3"/>
    <w:rsid w:val="00B07858"/>
    <w:rsid w:val="00B07B3E"/>
    <w:rsid w:val="00B10568"/>
    <w:rsid w:val="00B106BD"/>
    <w:rsid w:val="00B10B2B"/>
    <w:rsid w:val="00B11640"/>
    <w:rsid w:val="00B11B43"/>
    <w:rsid w:val="00B11C43"/>
    <w:rsid w:val="00B130AE"/>
    <w:rsid w:val="00B132F2"/>
    <w:rsid w:val="00B137F2"/>
    <w:rsid w:val="00B1386B"/>
    <w:rsid w:val="00B139C0"/>
    <w:rsid w:val="00B13C39"/>
    <w:rsid w:val="00B13F29"/>
    <w:rsid w:val="00B13F7F"/>
    <w:rsid w:val="00B141A9"/>
    <w:rsid w:val="00B1434A"/>
    <w:rsid w:val="00B1474B"/>
    <w:rsid w:val="00B15A26"/>
    <w:rsid w:val="00B15E6D"/>
    <w:rsid w:val="00B15FC8"/>
    <w:rsid w:val="00B1693B"/>
    <w:rsid w:val="00B16CA0"/>
    <w:rsid w:val="00B16E1A"/>
    <w:rsid w:val="00B178AD"/>
    <w:rsid w:val="00B203A4"/>
    <w:rsid w:val="00B20EDE"/>
    <w:rsid w:val="00B21252"/>
    <w:rsid w:val="00B213E2"/>
    <w:rsid w:val="00B215CB"/>
    <w:rsid w:val="00B218F4"/>
    <w:rsid w:val="00B21C38"/>
    <w:rsid w:val="00B21DCC"/>
    <w:rsid w:val="00B21E5E"/>
    <w:rsid w:val="00B22289"/>
    <w:rsid w:val="00B22733"/>
    <w:rsid w:val="00B22751"/>
    <w:rsid w:val="00B22DE1"/>
    <w:rsid w:val="00B22E8B"/>
    <w:rsid w:val="00B22F3E"/>
    <w:rsid w:val="00B233A3"/>
    <w:rsid w:val="00B2352A"/>
    <w:rsid w:val="00B23765"/>
    <w:rsid w:val="00B23D8C"/>
    <w:rsid w:val="00B24088"/>
    <w:rsid w:val="00B24135"/>
    <w:rsid w:val="00B242A7"/>
    <w:rsid w:val="00B242D6"/>
    <w:rsid w:val="00B2466E"/>
    <w:rsid w:val="00B24896"/>
    <w:rsid w:val="00B24FE3"/>
    <w:rsid w:val="00B25556"/>
    <w:rsid w:val="00B262D3"/>
    <w:rsid w:val="00B26577"/>
    <w:rsid w:val="00B26792"/>
    <w:rsid w:val="00B269E3"/>
    <w:rsid w:val="00B26AC9"/>
    <w:rsid w:val="00B26ADD"/>
    <w:rsid w:val="00B2745F"/>
    <w:rsid w:val="00B274E3"/>
    <w:rsid w:val="00B3059E"/>
    <w:rsid w:val="00B305CE"/>
    <w:rsid w:val="00B306E6"/>
    <w:rsid w:val="00B30E10"/>
    <w:rsid w:val="00B31423"/>
    <w:rsid w:val="00B31654"/>
    <w:rsid w:val="00B31726"/>
    <w:rsid w:val="00B31846"/>
    <w:rsid w:val="00B318E9"/>
    <w:rsid w:val="00B32115"/>
    <w:rsid w:val="00B32228"/>
    <w:rsid w:val="00B32AC2"/>
    <w:rsid w:val="00B32B4D"/>
    <w:rsid w:val="00B32ECE"/>
    <w:rsid w:val="00B33398"/>
    <w:rsid w:val="00B337DA"/>
    <w:rsid w:val="00B34CB9"/>
    <w:rsid w:val="00B34EC9"/>
    <w:rsid w:val="00B35573"/>
    <w:rsid w:val="00B357DF"/>
    <w:rsid w:val="00B358C4"/>
    <w:rsid w:val="00B35BCB"/>
    <w:rsid w:val="00B36304"/>
    <w:rsid w:val="00B365A7"/>
    <w:rsid w:val="00B366B2"/>
    <w:rsid w:val="00B36A20"/>
    <w:rsid w:val="00B36BD5"/>
    <w:rsid w:val="00B36F53"/>
    <w:rsid w:val="00B37032"/>
    <w:rsid w:val="00B37299"/>
    <w:rsid w:val="00B37511"/>
    <w:rsid w:val="00B37851"/>
    <w:rsid w:val="00B37DE7"/>
    <w:rsid w:val="00B37FA5"/>
    <w:rsid w:val="00B40189"/>
    <w:rsid w:val="00B401B2"/>
    <w:rsid w:val="00B40655"/>
    <w:rsid w:val="00B408E1"/>
    <w:rsid w:val="00B40905"/>
    <w:rsid w:val="00B40921"/>
    <w:rsid w:val="00B40CBB"/>
    <w:rsid w:val="00B41A9A"/>
    <w:rsid w:val="00B41F34"/>
    <w:rsid w:val="00B41FB3"/>
    <w:rsid w:val="00B41FDF"/>
    <w:rsid w:val="00B42232"/>
    <w:rsid w:val="00B427A0"/>
    <w:rsid w:val="00B42BD8"/>
    <w:rsid w:val="00B4313B"/>
    <w:rsid w:val="00B43412"/>
    <w:rsid w:val="00B43ADD"/>
    <w:rsid w:val="00B43D9D"/>
    <w:rsid w:val="00B44576"/>
    <w:rsid w:val="00B448C7"/>
    <w:rsid w:val="00B44E87"/>
    <w:rsid w:val="00B45191"/>
    <w:rsid w:val="00B4552D"/>
    <w:rsid w:val="00B45754"/>
    <w:rsid w:val="00B459FB"/>
    <w:rsid w:val="00B45BD6"/>
    <w:rsid w:val="00B45BD9"/>
    <w:rsid w:val="00B460A4"/>
    <w:rsid w:val="00B462BA"/>
    <w:rsid w:val="00B466A0"/>
    <w:rsid w:val="00B5031D"/>
    <w:rsid w:val="00B504F9"/>
    <w:rsid w:val="00B508B6"/>
    <w:rsid w:val="00B50AD4"/>
    <w:rsid w:val="00B50BD5"/>
    <w:rsid w:val="00B51445"/>
    <w:rsid w:val="00B516B6"/>
    <w:rsid w:val="00B517DE"/>
    <w:rsid w:val="00B5180B"/>
    <w:rsid w:val="00B52912"/>
    <w:rsid w:val="00B529AB"/>
    <w:rsid w:val="00B52D5C"/>
    <w:rsid w:val="00B52F72"/>
    <w:rsid w:val="00B52FA8"/>
    <w:rsid w:val="00B53710"/>
    <w:rsid w:val="00B53D1A"/>
    <w:rsid w:val="00B54B28"/>
    <w:rsid w:val="00B54DA5"/>
    <w:rsid w:val="00B551E9"/>
    <w:rsid w:val="00B55501"/>
    <w:rsid w:val="00B5589C"/>
    <w:rsid w:val="00B55DCD"/>
    <w:rsid w:val="00B5666C"/>
    <w:rsid w:val="00B56AA8"/>
    <w:rsid w:val="00B56C11"/>
    <w:rsid w:val="00B5784F"/>
    <w:rsid w:val="00B579ED"/>
    <w:rsid w:val="00B57D92"/>
    <w:rsid w:val="00B60A3B"/>
    <w:rsid w:val="00B60D3E"/>
    <w:rsid w:val="00B618FF"/>
    <w:rsid w:val="00B62611"/>
    <w:rsid w:val="00B628C5"/>
    <w:rsid w:val="00B62D85"/>
    <w:rsid w:val="00B63612"/>
    <w:rsid w:val="00B63C71"/>
    <w:rsid w:val="00B63D2E"/>
    <w:rsid w:val="00B63EE5"/>
    <w:rsid w:val="00B646A8"/>
    <w:rsid w:val="00B64835"/>
    <w:rsid w:val="00B64DD1"/>
    <w:rsid w:val="00B64EC1"/>
    <w:rsid w:val="00B6505A"/>
    <w:rsid w:val="00B6528C"/>
    <w:rsid w:val="00B657FD"/>
    <w:rsid w:val="00B659A4"/>
    <w:rsid w:val="00B65AA5"/>
    <w:rsid w:val="00B65BF6"/>
    <w:rsid w:val="00B662D7"/>
    <w:rsid w:val="00B66389"/>
    <w:rsid w:val="00B666B4"/>
    <w:rsid w:val="00B66C0A"/>
    <w:rsid w:val="00B6709D"/>
    <w:rsid w:val="00B673DA"/>
    <w:rsid w:val="00B67469"/>
    <w:rsid w:val="00B67639"/>
    <w:rsid w:val="00B67682"/>
    <w:rsid w:val="00B67BCA"/>
    <w:rsid w:val="00B701A2"/>
    <w:rsid w:val="00B7042F"/>
    <w:rsid w:val="00B7078B"/>
    <w:rsid w:val="00B70913"/>
    <w:rsid w:val="00B70BC1"/>
    <w:rsid w:val="00B70DF0"/>
    <w:rsid w:val="00B70EE2"/>
    <w:rsid w:val="00B71358"/>
    <w:rsid w:val="00B7160C"/>
    <w:rsid w:val="00B7165B"/>
    <w:rsid w:val="00B71810"/>
    <w:rsid w:val="00B71AA6"/>
    <w:rsid w:val="00B71B7E"/>
    <w:rsid w:val="00B71CE3"/>
    <w:rsid w:val="00B71ED4"/>
    <w:rsid w:val="00B72270"/>
    <w:rsid w:val="00B72E8F"/>
    <w:rsid w:val="00B73535"/>
    <w:rsid w:val="00B735FF"/>
    <w:rsid w:val="00B73A0D"/>
    <w:rsid w:val="00B73D15"/>
    <w:rsid w:val="00B74F4C"/>
    <w:rsid w:val="00B75AFE"/>
    <w:rsid w:val="00B75DC0"/>
    <w:rsid w:val="00B76005"/>
    <w:rsid w:val="00B766E4"/>
    <w:rsid w:val="00B76AC6"/>
    <w:rsid w:val="00B76EC4"/>
    <w:rsid w:val="00B7706D"/>
    <w:rsid w:val="00B771A6"/>
    <w:rsid w:val="00B778B2"/>
    <w:rsid w:val="00B77A80"/>
    <w:rsid w:val="00B77B48"/>
    <w:rsid w:val="00B77F24"/>
    <w:rsid w:val="00B80068"/>
    <w:rsid w:val="00B81DA6"/>
    <w:rsid w:val="00B81F75"/>
    <w:rsid w:val="00B81FB2"/>
    <w:rsid w:val="00B829FB"/>
    <w:rsid w:val="00B82B81"/>
    <w:rsid w:val="00B83455"/>
    <w:rsid w:val="00B83495"/>
    <w:rsid w:val="00B83890"/>
    <w:rsid w:val="00B83ADC"/>
    <w:rsid w:val="00B83FF1"/>
    <w:rsid w:val="00B84993"/>
    <w:rsid w:val="00B84C84"/>
    <w:rsid w:val="00B84EBB"/>
    <w:rsid w:val="00B84FF2"/>
    <w:rsid w:val="00B85B21"/>
    <w:rsid w:val="00B85BFC"/>
    <w:rsid w:val="00B85C7C"/>
    <w:rsid w:val="00B86177"/>
    <w:rsid w:val="00B8617B"/>
    <w:rsid w:val="00B8627B"/>
    <w:rsid w:val="00B862CF"/>
    <w:rsid w:val="00B868EC"/>
    <w:rsid w:val="00B879D6"/>
    <w:rsid w:val="00B87B28"/>
    <w:rsid w:val="00B90899"/>
    <w:rsid w:val="00B90A12"/>
    <w:rsid w:val="00B90DBE"/>
    <w:rsid w:val="00B90EC1"/>
    <w:rsid w:val="00B91E66"/>
    <w:rsid w:val="00B9224C"/>
    <w:rsid w:val="00B923F3"/>
    <w:rsid w:val="00B9271F"/>
    <w:rsid w:val="00B92BBB"/>
    <w:rsid w:val="00B92CBA"/>
    <w:rsid w:val="00B93369"/>
    <w:rsid w:val="00B9347E"/>
    <w:rsid w:val="00B93967"/>
    <w:rsid w:val="00B93D68"/>
    <w:rsid w:val="00B93EA0"/>
    <w:rsid w:val="00B94529"/>
    <w:rsid w:val="00B94C94"/>
    <w:rsid w:val="00B95BDE"/>
    <w:rsid w:val="00B95C8C"/>
    <w:rsid w:val="00B96194"/>
    <w:rsid w:val="00B9647E"/>
    <w:rsid w:val="00B97082"/>
    <w:rsid w:val="00B972F5"/>
    <w:rsid w:val="00B9768C"/>
    <w:rsid w:val="00B97EB4"/>
    <w:rsid w:val="00B97F79"/>
    <w:rsid w:val="00BA0064"/>
    <w:rsid w:val="00BA06E8"/>
    <w:rsid w:val="00BA0796"/>
    <w:rsid w:val="00BA084E"/>
    <w:rsid w:val="00BA0912"/>
    <w:rsid w:val="00BA09D6"/>
    <w:rsid w:val="00BA131C"/>
    <w:rsid w:val="00BA154A"/>
    <w:rsid w:val="00BA2545"/>
    <w:rsid w:val="00BA2771"/>
    <w:rsid w:val="00BA28EC"/>
    <w:rsid w:val="00BA2CB8"/>
    <w:rsid w:val="00BA3521"/>
    <w:rsid w:val="00BA4630"/>
    <w:rsid w:val="00BA4CE4"/>
    <w:rsid w:val="00BA5008"/>
    <w:rsid w:val="00BA5058"/>
    <w:rsid w:val="00BA59B7"/>
    <w:rsid w:val="00BA64DE"/>
    <w:rsid w:val="00BA6845"/>
    <w:rsid w:val="00BA6B19"/>
    <w:rsid w:val="00BA6C5F"/>
    <w:rsid w:val="00BA701E"/>
    <w:rsid w:val="00BA71CF"/>
    <w:rsid w:val="00BA7563"/>
    <w:rsid w:val="00BA7892"/>
    <w:rsid w:val="00BA7925"/>
    <w:rsid w:val="00BA7940"/>
    <w:rsid w:val="00BA7F0D"/>
    <w:rsid w:val="00BB00A6"/>
    <w:rsid w:val="00BB0C15"/>
    <w:rsid w:val="00BB0FEC"/>
    <w:rsid w:val="00BB2360"/>
    <w:rsid w:val="00BB2539"/>
    <w:rsid w:val="00BB2D47"/>
    <w:rsid w:val="00BB34A6"/>
    <w:rsid w:val="00BB36C1"/>
    <w:rsid w:val="00BB3903"/>
    <w:rsid w:val="00BB3AE1"/>
    <w:rsid w:val="00BB3C05"/>
    <w:rsid w:val="00BB3C54"/>
    <w:rsid w:val="00BB44FD"/>
    <w:rsid w:val="00BB48E4"/>
    <w:rsid w:val="00BB4ED5"/>
    <w:rsid w:val="00BB5513"/>
    <w:rsid w:val="00BB593C"/>
    <w:rsid w:val="00BB5AC1"/>
    <w:rsid w:val="00BB60E4"/>
    <w:rsid w:val="00BB653E"/>
    <w:rsid w:val="00BB6BC1"/>
    <w:rsid w:val="00BB77E8"/>
    <w:rsid w:val="00BB78D7"/>
    <w:rsid w:val="00BB790F"/>
    <w:rsid w:val="00BB79C7"/>
    <w:rsid w:val="00BB7E37"/>
    <w:rsid w:val="00BC06B1"/>
    <w:rsid w:val="00BC0D87"/>
    <w:rsid w:val="00BC11BB"/>
    <w:rsid w:val="00BC1806"/>
    <w:rsid w:val="00BC1825"/>
    <w:rsid w:val="00BC18D4"/>
    <w:rsid w:val="00BC2377"/>
    <w:rsid w:val="00BC2C39"/>
    <w:rsid w:val="00BC2CEE"/>
    <w:rsid w:val="00BC38E3"/>
    <w:rsid w:val="00BC3A7F"/>
    <w:rsid w:val="00BC4597"/>
    <w:rsid w:val="00BC470A"/>
    <w:rsid w:val="00BC49EA"/>
    <w:rsid w:val="00BC4D41"/>
    <w:rsid w:val="00BC50F5"/>
    <w:rsid w:val="00BC5109"/>
    <w:rsid w:val="00BC5288"/>
    <w:rsid w:val="00BC555C"/>
    <w:rsid w:val="00BC59DC"/>
    <w:rsid w:val="00BC59F2"/>
    <w:rsid w:val="00BC6543"/>
    <w:rsid w:val="00BC67EC"/>
    <w:rsid w:val="00BC6A55"/>
    <w:rsid w:val="00BC6AA8"/>
    <w:rsid w:val="00BC6E03"/>
    <w:rsid w:val="00BC70F7"/>
    <w:rsid w:val="00BC7589"/>
    <w:rsid w:val="00BC75A7"/>
    <w:rsid w:val="00BC770B"/>
    <w:rsid w:val="00BC7942"/>
    <w:rsid w:val="00BD018D"/>
    <w:rsid w:val="00BD05C1"/>
    <w:rsid w:val="00BD15B6"/>
    <w:rsid w:val="00BD197E"/>
    <w:rsid w:val="00BD2050"/>
    <w:rsid w:val="00BD246C"/>
    <w:rsid w:val="00BD2570"/>
    <w:rsid w:val="00BD25C4"/>
    <w:rsid w:val="00BD27FC"/>
    <w:rsid w:val="00BD2948"/>
    <w:rsid w:val="00BD29F7"/>
    <w:rsid w:val="00BD3D84"/>
    <w:rsid w:val="00BD4829"/>
    <w:rsid w:val="00BD48BB"/>
    <w:rsid w:val="00BD496A"/>
    <w:rsid w:val="00BD4C44"/>
    <w:rsid w:val="00BD4F59"/>
    <w:rsid w:val="00BD4F74"/>
    <w:rsid w:val="00BD5766"/>
    <w:rsid w:val="00BD58D9"/>
    <w:rsid w:val="00BD59B0"/>
    <w:rsid w:val="00BD5A2A"/>
    <w:rsid w:val="00BD6183"/>
    <w:rsid w:val="00BD631B"/>
    <w:rsid w:val="00BD6991"/>
    <w:rsid w:val="00BD6BAE"/>
    <w:rsid w:val="00BD7232"/>
    <w:rsid w:val="00BD7483"/>
    <w:rsid w:val="00BD75B7"/>
    <w:rsid w:val="00BD7CA8"/>
    <w:rsid w:val="00BE02C0"/>
    <w:rsid w:val="00BE080C"/>
    <w:rsid w:val="00BE0880"/>
    <w:rsid w:val="00BE0AED"/>
    <w:rsid w:val="00BE1027"/>
    <w:rsid w:val="00BE10FC"/>
    <w:rsid w:val="00BE1CF7"/>
    <w:rsid w:val="00BE2055"/>
    <w:rsid w:val="00BE234B"/>
    <w:rsid w:val="00BE251C"/>
    <w:rsid w:val="00BE2991"/>
    <w:rsid w:val="00BE2BE7"/>
    <w:rsid w:val="00BE2E5D"/>
    <w:rsid w:val="00BE3745"/>
    <w:rsid w:val="00BE3B02"/>
    <w:rsid w:val="00BE3FEC"/>
    <w:rsid w:val="00BE41FD"/>
    <w:rsid w:val="00BE43F3"/>
    <w:rsid w:val="00BE4672"/>
    <w:rsid w:val="00BE46FC"/>
    <w:rsid w:val="00BE4B35"/>
    <w:rsid w:val="00BE5191"/>
    <w:rsid w:val="00BE5743"/>
    <w:rsid w:val="00BE5A67"/>
    <w:rsid w:val="00BE5B5B"/>
    <w:rsid w:val="00BE5B82"/>
    <w:rsid w:val="00BE5F39"/>
    <w:rsid w:val="00BE615E"/>
    <w:rsid w:val="00BE6311"/>
    <w:rsid w:val="00BE6418"/>
    <w:rsid w:val="00BE6423"/>
    <w:rsid w:val="00BE6815"/>
    <w:rsid w:val="00BE73EE"/>
    <w:rsid w:val="00BE77DF"/>
    <w:rsid w:val="00BE7AAE"/>
    <w:rsid w:val="00BE7B66"/>
    <w:rsid w:val="00BF0026"/>
    <w:rsid w:val="00BF00FF"/>
    <w:rsid w:val="00BF145E"/>
    <w:rsid w:val="00BF158A"/>
    <w:rsid w:val="00BF1A53"/>
    <w:rsid w:val="00BF1BEF"/>
    <w:rsid w:val="00BF25CA"/>
    <w:rsid w:val="00BF2888"/>
    <w:rsid w:val="00BF2A81"/>
    <w:rsid w:val="00BF2F39"/>
    <w:rsid w:val="00BF3348"/>
    <w:rsid w:val="00BF34D0"/>
    <w:rsid w:val="00BF4690"/>
    <w:rsid w:val="00BF4D43"/>
    <w:rsid w:val="00BF4D45"/>
    <w:rsid w:val="00BF4D96"/>
    <w:rsid w:val="00BF4E92"/>
    <w:rsid w:val="00BF5339"/>
    <w:rsid w:val="00BF5475"/>
    <w:rsid w:val="00BF585B"/>
    <w:rsid w:val="00BF5BC3"/>
    <w:rsid w:val="00BF5C68"/>
    <w:rsid w:val="00BF63A9"/>
    <w:rsid w:val="00BF659B"/>
    <w:rsid w:val="00BF6846"/>
    <w:rsid w:val="00BF69DF"/>
    <w:rsid w:val="00BF6C75"/>
    <w:rsid w:val="00BF6D9C"/>
    <w:rsid w:val="00BF6EF3"/>
    <w:rsid w:val="00BF7493"/>
    <w:rsid w:val="00BF7837"/>
    <w:rsid w:val="00BF7ABD"/>
    <w:rsid w:val="00C0013B"/>
    <w:rsid w:val="00C00AA6"/>
    <w:rsid w:val="00C00D96"/>
    <w:rsid w:val="00C00DD9"/>
    <w:rsid w:val="00C00EE2"/>
    <w:rsid w:val="00C00FD2"/>
    <w:rsid w:val="00C013FE"/>
    <w:rsid w:val="00C01C3D"/>
    <w:rsid w:val="00C01C91"/>
    <w:rsid w:val="00C0254C"/>
    <w:rsid w:val="00C025BF"/>
    <w:rsid w:val="00C025F2"/>
    <w:rsid w:val="00C02CF8"/>
    <w:rsid w:val="00C02F51"/>
    <w:rsid w:val="00C03111"/>
    <w:rsid w:val="00C03665"/>
    <w:rsid w:val="00C03E00"/>
    <w:rsid w:val="00C0445A"/>
    <w:rsid w:val="00C045DE"/>
    <w:rsid w:val="00C04BFF"/>
    <w:rsid w:val="00C04EBB"/>
    <w:rsid w:val="00C04FB1"/>
    <w:rsid w:val="00C056AA"/>
    <w:rsid w:val="00C0587B"/>
    <w:rsid w:val="00C068B7"/>
    <w:rsid w:val="00C06E55"/>
    <w:rsid w:val="00C06FC6"/>
    <w:rsid w:val="00C072DB"/>
    <w:rsid w:val="00C074B0"/>
    <w:rsid w:val="00C0754B"/>
    <w:rsid w:val="00C07A96"/>
    <w:rsid w:val="00C1041A"/>
    <w:rsid w:val="00C10632"/>
    <w:rsid w:val="00C10AAE"/>
    <w:rsid w:val="00C10C94"/>
    <w:rsid w:val="00C10EDB"/>
    <w:rsid w:val="00C1130F"/>
    <w:rsid w:val="00C11B0F"/>
    <w:rsid w:val="00C122D6"/>
    <w:rsid w:val="00C125C7"/>
    <w:rsid w:val="00C12A9A"/>
    <w:rsid w:val="00C12CB1"/>
    <w:rsid w:val="00C12E2D"/>
    <w:rsid w:val="00C13458"/>
    <w:rsid w:val="00C135A6"/>
    <w:rsid w:val="00C13983"/>
    <w:rsid w:val="00C145B3"/>
    <w:rsid w:val="00C14933"/>
    <w:rsid w:val="00C1532C"/>
    <w:rsid w:val="00C1589A"/>
    <w:rsid w:val="00C15EBB"/>
    <w:rsid w:val="00C15F11"/>
    <w:rsid w:val="00C160A3"/>
    <w:rsid w:val="00C160AA"/>
    <w:rsid w:val="00C163F2"/>
    <w:rsid w:val="00C1696F"/>
    <w:rsid w:val="00C16BF5"/>
    <w:rsid w:val="00C1782F"/>
    <w:rsid w:val="00C17B0F"/>
    <w:rsid w:val="00C20078"/>
    <w:rsid w:val="00C201D0"/>
    <w:rsid w:val="00C20365"/>
    <w:rsid w:val="00C209CB"/>
    <w:rsid w:val="00C217AA"/>
    <w:rsid w:val="00C21EAE"/>
    <w:rsid w:val="00C224F8"/>
    <w:rsid w:val="00C2257B"/>
    <w:rsid w:val="00C225B8"/>
    <w:rsid w:val="00C22A65"/>
    <w:rsid w:val="00C2324D"/>
    <w:rsid w:val="00C23790"/>
    <w:rsid w:val="00C237C3"/>
    <w:rsid w:val="00C23C55"/>
    <w:rsid w:val="00C23E24"/>
    <w:rsid w:val="00C24562"/>
    <w:rsid w:val="00C2490E"/>
    <w:rsid w:val="00C24BD1"/>
    <w:rsid w:val="00C24DE6"/>
    <w:rsid w:val="00C253DF"/>
    <w:rsid w:val="00C2563C"/>
    <w:rsid w:val="00C25F4D"/>
    <w:rsid w:val="00C2637C"/>
    <w:rsid w:val="00C2674B"/>
    <w:rsid w:val="00C268CC"/>
    <w:rsid w:val="00C2774E"/>
    <w:rsid w:val="00C27A02"/>
    <w:rsid w:val="00C27CFF"/>
    <w:rsid w:val="00C27D01"/>
    <w:rsid w:val="00C27FFE"/>
    <w:rsid w:val="00C30087"/>
    <w:rsid w:val="00C301FB"/>
    <w:rsid w:val="00C302AF"/>
    <w:rsid w:val="00C3039B"/>
    <w:rsid w:val="00C30AA3"/>
    <w:rsid w:val="00C31544"/>
    <w:rsid w:val="00C322BC"/>
    <w:rsid w:val="00C3260D"/>
    <w:rsid w:val="00C327F7"/>
    <w:rsid w:val="00C32890"/>
    <w:rsid w:val="00C33008"/>
    <w:rsid w:val="00C3336A"/>
    <w:rsid w:val="00C334D4"/>
    <w:rsid w:val="00C33CC5"/>
    <w:rsid w:val="00C33EC3"/>
    <w:rsid w:val="00C34006"/>
    <w:rsid w:val="00C340A2"/>
    <w:rsid w:val="00C34724"/>
    <w:rsid w:val="00C347EC"/>
    <w:rsid w:val="00C350C5"/>
    <w:rsid w:val="00C3550F"/>
    <w:rsid w:val="00C355CD"/>
    <w:rsid w:val="00C35929"/>
    <w:rsid w:val="00C35B78"/>
    <w:rsid w:val="00C368FC"/>
    <w:rsid w:val="00C36C8B"/>
    <w:rsid w:val="00C36F44"/>
    <w:rsid w:val="00C371A1"/>
    <w:rsid w:val="00C37222"/>
    <w:rsid w:val="00C37360"/>
    <w:rsid w:val="00C37456"/>
    <w:rsid w:val="00C374C5"/>
    <w:rsid w:val="00C37656"/>
    <w:rsid w:val="00C37AA0"/>
    <w:rsid w:val="00C37BA7"/>
    <w:rsid w:val="00C37CA4"/>
    <w:rsid w:val="00C37D60"/>
    <w:rsid w:val="00C37DBF"/>
    <w:rsid w:val="00C37DF0"/>
    <w:rsid w:val="00C37E07"/>
    <w:rsid w:val="00C400CF"/>
    <w:rsid w:val="00C40566"/>
    <w:rsid w:val="00C40AB7"/>
    <w:rsid w:val="00C410D0"/>
    <w:rsid w:val="00C418C2"/>
    <w:rsid w:val="00C41D5F"/>
    <w:rsid w:val="00C41D92"/>
    <w:rsid w:val="00C41E8E"/>
    <w:rsid w:val="00C42071"/>
    <w:rsid w:val="00C422DF"/>
    <w:rsid w:val="00C423C4"/>
    <w:rsid w:val="00C427ED"/>
    <w:rsid w:val="00C42B4D"/>
    <w:rsid w:val="00C42F52"/>
    <w:rsid w:val="00C42F91"/>
    <w:rsid w:val="00C434C9"/>
    <w:rsid w:val="00C43933"/>
    <w:rsid w:val="00C43B70"/>
    <w:rsid w:val="00C4455B"/>
    <w:rsid w:val="00C445B9"/>
    <w:rsid w:val="00C44CA3"/>
    <w:rsid w:val="00C45158"/>
    <w:rsid w:val="00C45F64"/>
    <w:rsid w:val="00C4603E"/>
    <w:rsid w:val="00C465E1"/>
    <w:rsid w:val="00C46878"/>
    <w:rsid w:val="00C4690D"/>
    <w:rsid w:val="00C46ABF"/>
    <w:rsid w:val="00C46B10"/>
    <w:rsid w:val="00C47200"/>
    <w:rsid w:val="00C4789B"/>
    <w:rsid w:val="00C47CF4"/>
    <w:rsid w:val="00C47F65"/>
    <w:rsid w:val="00C5026D"/>
    <w:rsid w:val="00C50290"/>
    <w:rsid w:val="00C50312"/>
    <w:rsid w:val="00C5056D"/>
    <w:rsid w:val="00C50608"/>
    <w:rsid w:val="00C50A52"/>
    <w:rsid w:val="00C52ED6"/>
    <w:rsid w:val="00C53135"/>
    <w:rsid w:val="00C5328B"/>
    <w:rsid w:val="00C53599"/>
    <w:rsid w:val="00C536F2"/>
    <w:rsid w:val="00C53715"/>
    <w:rsid w:val="00C53738"/>
    <w:rsid w:val="00C537A6"/>
    <w:rsid w:val="00C538F7"/>
    <w:rsid w:val="00C54205"/>
    <w:rsid w:val="00C5458D"/>
    <w:rsid w:val="00C546B9"/>
    <w:rsid w:val="00C5489D"/>
    <w:rsid w:val="00C5491A"/>
    <w:rsid w:val="00C549B2"/>
    <w:rsid w:val="00C54B26"/>
    <w:rsid w:val="00C550A4"/>
    <w:rsid w:val="00C553A1"/>
    <w:rsid w:val="00C55966"/>
    <w:rsid w:val="00C559FE"/>
    <w:rsid w:val="00C55B65"/>
    <w:rsid w:val="00C55D7B"/>
    <w:rsid w:val="00C55F87"/>
    <w:rsid w:val="00C56311"/>
    <w:rsid w:val="00C56344"/>
    <w:rsid w:val="00C565F1"/>
    <w:rsid w:val="00C56917"/>
    <w:rsid w:val="00C56BCB"/>
    <w:rsid w:val="00C56DDB"/>
    <w:rsid w:val="00C5702B"/>
    <w:rsid w:val="00C57447"/>
    <w:rsid w:val="00C576BF"/>
    <w:rsid w:val="00C579F1"/>
    <w:rsid w:val="00C57BDA"/>
    <w:rsid w:val="00C621B1"/>
    <w:rsid w:val="00C62579"/>
    <w:rsid w:val="00C62621"/>
    <w:rsid w:val="00C62F46"/>
    <w:rsid w:val="00C63030"/>
    <w:rsid w:val="00C63AD9"/>
    <w:rsid w:val="00C63B11"/>
    <w:rsid w:val="00C63CF7"/>
    <w:rsid w:val="00C645A5"/>
    <w:rsid w:val="00C6471B"/>
    <w:rsid w:val="00C65596"/>
    <w:rsid w:val="00C65CCA"/>
    <w:rsid w:val="00C6675F"/>
    <w:rsid w:val="00C6695A"/>
    <w:rsid w:val="00C66A96"/>
    <w:rsid w:val="00C66B1D"/>
    <w:rsid w:val="00C66B2D"/>
    <w:rsid w:val="00C66B40"/>
    <w:rsid w:val="00C66B65"/>
    <w:rsid w:val="00C66BFB"/>
    <w:rsid w:val="00C66FD4"/>
    <w:rsid w:val="00C6749F"/>
    <w:rsid w:val="00C7069F"/>
    <w:rsid w:val="00C70A80"/>
    <w:rsid w:val="00C70ADF"/>
    <w:rsid w:val="00C710C2"/>
    <w:rsid w:val="00C713E4"/>
    <w:rsid w:val="00C7173F"/>
    <w:rsid w:val="00C71C19"/>
    <w:rsid w:val="00C7227B"/>
    <w:rsid w:val="00C72494"/>
    <w:rsid w:val="00C72830"/>
    <w:rsid w:val="00C72F27"/>
    <w:rsid w:val="00C73166"/>
    <w:rsid w:val="00C731A3"/>
    <w:rsid w:val="00C731FD"/>
    <w:rsid w:val="00C73725"/>
    <w:rsid w:val="00C73771"/>
    <w:rsid w:val="00C73C13"/>
    <w:rsid w:val="00C74CB7"/>
    <w:rsid w:val="00C74F1F"/>
    <w:rsid w:val="00C75350"/>
    <w:rsid w:val="00C75585"/>
    <w:rsid w:val="00C75786"/>
    <w:rsid w:val="00C7596C"/>
    <w:rsid w:val="00C75C19"/>
    <w:rsid w:val="00C75E98"/>
    <w:rsid w:val="00C75F02"/>
    <w:rsid w:val="00C76076"/>
    <w:rsid w:val="00C7643A"/>
    <w:rsid w:val="00C7676A"/>
    <w:rsid w:val="00C76F0A"/>
    <w:rsid w:val="00C770A3"/>
    <w:rsid w:val="00C770F6"/>
    <w:rsid w:val="00C77596"/>
    <w:rsid w:val="00C806E1"/>
    <w:rsid w:val="00C80782"/>
    <w:rsid w:val="00C807EF"/>
    <w:rsid w:val="00C80C0D"/>
    <w:rsid w:val="00C80EF0"/>
    <w:rsid w:val="00C80F8C"/>
    <w:rsid w:val="00C81F7F"/>
    <w:rsid w:val="00C82851"/>
    <w:rsid w:val="00C82DC2"/>
    <w:rsid w:val="00C82EDE"/>
    <w:rsid w:val="00C83297"/>
    <w:rsid w:val="00C83420"/>
    <w:rsid w:val="00C834C8"/>
    <w:rsid w:val="00C83603"/>
    <w:rsid w:val="00C836EA"/>
    <w:rsid w:val="00C8392F"/>
    <w:rsid w:val="00C8398E"/>
    <w:rsid w:val="00C83DDD"/>
    <w:rsid w:val="00C848D9"/>
    <w:rsid w:val="00C84F3E"/>
    <w:rsid w:val="00C8559B"/>
    <w:rsid w:val="00C85864"/>
    <w:rsid w:val="00C85BA2"/>
    <w:rsid w:val="00C85C73"/>
    <w:rsid w:val="00C85FD2"/>
    <w:rsid w:val="00C86C35"/>
    <w:rsid w:val="00C86E7B"/>
    <w:rsid w:val="00C87A72"/>
    <w:rsid w:val="00C906E1"/>
    <w:rsid w:val="00C9091A"/>
    <w:rsid w:val="00C90A04"/>
    <w:rsid w:val="00C90C03"/>
    <w:rsid w:val="00C90E84"/>
    <w:rsid w:val="00C914DA"/>
    <w:rsid w:val="00C917B4"/>
    <w:rsid w:val="00C91D4F"/>
    <w:rsid w:val="00C91E5C"/>
    <w:rsid w:val="00C91FCD"/>
    <w:rsid w:val="00C92238"/>
    <w:rsid w:val="00C9243E"/>
    <w:rsid w:val="00C92E3C"/>
    <w:rsid w:val="00C92FBA"/>
    <w:rsid w:val="00C93230"/>
    <w:rsid w:val="00C936B9"/>
    <w:rsid w:val="00C93E5D"/>
    <w:rsid w:val="00C93FB6"/>
    <w:rsid w:val="00C941A1"/>
    <w:rsid w:val="00C94421"/>
    <w:rsid w:val="00C948AA"/>
    <w:rsid w:val="00C94990"/>
    <w:rsid w:val="00C951E6"/>
    <w:rsid w:val="00C95578"/>
    <w:rsid w:val="00C95675"/>
    <w:rsid w:val="00C958E3"/>
    <w:rsid w:val="00C95B1C"/>
    <w:rsid w:val="00C95F8E"/>
    <w:rsid w:val="00C95FDF"/>
    <w:rsid w:val="00C96375"/>
    <w:rsid w:val="00C967AB"/>
    <w:rsid w:val="00C96846"/>
    <w:rsid w:val="00C96DAF"/>
    <w:rsid w:val="00C97118"/>
    <w:rsid w:val="00C9784F"/>
    <w:rsid w:val="00C97C58"/>
    <w:rsid w:val="00CA04A6"/>
    <w:rsid w:val="00CA04F7"/>
    <w:rsid w:val="00CA0557"/>
    <w:rsid w:val="00CA069F"/>
    <w:rsid w:val="00CA1478"/>
    <w:rsid w:val="00CA1BC1"/>
    <w:rsid w:val="00CA1BCF"/>
    <w:rsid w:val="00CA1F37"/>
    <w:rsid w:val="00CA21A0"/>
    <w:rsid w:val="00CA2507"/>
    <w:rsid w:val="00CA2D5A"/>
    <w:rsid w:val="00CA30DB"/>
    <w:rsid w:val="00CA31A8"/>
    <w:rsid w:val="00CA3259"/>
    <w:rsid w:val="00CA3653"/>
    <w:rsid w:val="00CA384E"/>
    <w:rsid w:val="00CA3F9F"/>
    <w:rsid w:val="00CA4360"/>
    <w:rsid w:val="00CA4AB9"/>
    <w:rsid w:val="00CA4D4A"/>
    <w:rsid w:val="00CA4DBE"/>
    <w:rsid w:val="00CA4EEE"/>
    <w:rsid w:val="00CA4F9F"/>
    <w:rsid w:val="00CA5356"/>
    <w:rsid w:val="00CA58A7"/>
    <w:rsid w:val="00CA5B10"/>
    <w:rsid w:val="00CA5CD1"/>
    <w:rsid w:val="00CA60E4"/>
    <w:rsid w:val="00CA67DD"/>
    <w:rsid w:val="00CA7967"/>
    <w:rsid w:val="00CA7CFF"/>
    <w:rsid w:val="00CB032B"/>
    <w:rsid w:val="00CB063C"/>
    <w:rsid w:val="00CB06FE"/>
    <w:rsid w:val="00CB081F"/>
    <w:rsid w:val="00CB0BEC"/>
    <w:rsid w:val="00CB1EF7"/>
    <w:rsid w:val="00CB1F2D"/>
    <w:rsid w:val="00CB2176"/>
    <w:rsid w:val="00CB22E6"/>
    <w:rsid w:val="00CB240B"/>
    <w:rsid w:val="00CB26A5"/>
    <w:rsid w:val="00CB31CB"/>
    <w:rsid w:val="00CB322B"/>
    <w:rsid w:val="00CB3251"/>
    <w:rsid w:val="00CB37B5"/>
    <w:rsid w:val="00CB3905"/>
    <w:rsid w:val="00CB4563"/>
    <w:rsid w:val="00CB5009"/>
    <w:rsid w:val="00CB5029"/>
    <w:rsid w:val="00CB53FC"/>
    <w:rsid w:val="00CB5725"/>
    <w:rsid w:val="00CB5A00"/>
    <w:rsid w:val="00CB63C4"/>
    <w:rsid w:val="00CB6976"/>
    <w:rsid w:val="00CB6BB2"/>
    <w:rsid w:val="00CB7033"/>
    <w:rsid w:val="00CB70A9"/>
    <w:rsid w:val="00CB70AF"/>
    <w:rsid w:val="00CB70F5"/>
    <w:rsid w:val="00CB719A"/>
    <w:rsid w:val="00CB73FE"/>
    <w:rsid w:val="00CB77F7"/>
    <w:rsid w:val="00CB7828"/>
    <w:rsid w:val="00CB7845"/>
    <w:rsid w:val="00CB7F2E"/>
    <w:rsid w:val="00CC044F"/>
    <w:rsid w:val="00CC07F4"/>
    <w:rsid w:val="00CC1074"/>
    <w:rsid w:val="00CC12D5"/>
    <w:rsid w:val="00CC16C7"/>
    <w:rsid w:val="00CC17FF"/>
    <w:rsid w:val="00CC1BCC"/>
    <w:rsid w:val="00CC2960"/>
    <w:rsid w:val="00CC36D5"/>
    <w:rsid w:val="00CC37D6"/>
    <w:rsid w:val="00CC46F4"/>
    <w:rsid w:val="00CC54F8"/>
    <w:rsid w:val="00CC5A44"/>
    <w:rsid w:val="00CC5AEE"/>
    <w:rsid w:val="00CC64AB"/>
    <w:rsid w:val="00CC66E5"/>
    <w:rsid w:val="00CC6C64"/>
    <w:rsid w:val="00CC6F40"/>
    <w:rsid w:val="00CC7083"/>
    <w:rsid w:val="00CC730D"/>
    <w:rsid w:val="00CC7472"/>
    <w:rsid w:val="00CC7704"/>
    <w:rsid w:val="00CC7854"/>
    <w:rsid w:val="00CD04B7"/>
    <w:rsid w:val="00CD0C17"/>
    <w:rsid w:val="00CD0EF8"/>
    <w:rsid w:val="00CD123D"/>
    <w:rsid w:val="00CD1A07"/>
    <w:rsid w:val="00CD20FF"/>
    <w:rsid w:val="00CD289E"/>
    <w:rsid w:val="00CD28F2"/>
    <w:rsid w:val="00CD2A23"/>
    <w:rsid w:val="00CD3124"/>
    <w:rsid w:val="00CD3942"/>
    <w:rsid w:val="00CD3B29"/>
    <w:rsid w:val="00CD3B35"/>
    <w:rsid w:val="00CD3B64"/>
    <w:rsid w:val="00CD3F79"/>
    <w:rsid w:val="00CD4024"/>
    <w:rsid w:val="00CD45B7"/>
    <w:rsid w:val="00CD4604"/>
    <w:rsid w:val="00CD4C7E"/>
    <w:rsid w:val="00CD515B"/>
    <w:rsid w:val="00CD5505"/>
    <w:rsid w:val="00CD55CA"/>
    <w:rsid w:val="00CD589D"/>
    <w:rsid w:val="00CD5DBD"/>
    <w:rsid w:val="00CD62D5"/>
    <w:rsid w:val="00CD633A"/>
    <w:rsid w:val="00CD68E5"/>
    <w:rsid w:val="00CD6CF9"/>
    <w:rsid w:val="00CD6FA9"/>
    <w:rsid w:val="00CD7977"/>
    <w:rsid w:val="00CE0082"/>
    <w:rsid w:val="00CE00AA"/>
    <w:rsid w:val="00CE0147"/>
    <w:rsid w:val="00CE0843"/>
    <w:rsid w:val="00CE08E7"/>
    <w:rsid w:val="00CE0A27"/>
    <w:rsid w:val="00CE1110"/>
    <w:rsid w:val="00CE1321"/>
    <w:rsid w:val="00CE19D9"/>
    <w:rsid w:val="00CE1EF6"/>
    <w:rsid w:val="00CE201A"/>
    <w:rsid w:val="00CE2B8F"/>
    <w:rsid w:val="00CE2BC5"/>
    <w:rsid w:val="00CE3B9E"/>
    <w:rsid w:val="00CE3D7D"/>
    <w:rsid w:val="00CE3DF6"/>
    <w:rsid w:val="00CE4E73"/>
    <w:rsid w:val="00CE5674"/>
    <w:rsid w:val="00CE5693"/>
    <w:rsid w:val="00CE5DD1"/>
    <w:rsid w:val="00CE6384"/>
    <w:rsid w:val="00CE64DF"/>
    <w:rsid w:val="00CE6A09"/>
    <w:rsid w:val="00CE6A4B"/>
    <w:rsid w:val="00CE79B9"/>
    <w:rsid w:val="00CF0275"/>
    <w:rsid w:val="00CF0628"/>
    <w:rsid w:val="00CF0953"/>
    <w:rsid w:val="00CF0B09"/>
    <w:rsid w:val="00CF100F"/>
    <w:rsid w:val="00CF1285"/>
    <w:rsid w:val="00CF169F"/>
    <w:rsid w:val="00CF1BFD"/>
    <w:rsid w:val="00CF1D7A"/>
    <w:rsid w:val="00CF25A8"/>
    <w:rsid w:val="00CF2FE7"/>
    <w:rsid w:val="00CF30E7"/>
    <w:rsid w:val="00CF38C5"/>
    <w:rsid w:val="00CF3DC1"/>
    <w:rsid w:val="00CF3F05"/>
    <w:rsid w:val="00CF4864"/>
    <w:rsid w:val="00CF4D4B"/>
    <w:rsid w:val="00CF4F5E"/>
    <w:rsid w:val="00CF51DB"/>
    <w:rsid w:val="00CF5C70"/>
    <w:rsid w:val="00CF5CD8"/>
    <w:rsid w:val="00CF605E"/>
    <w:rsid w:val="00CF7004"/>
    <w:rsid w:val="00CF74E0"/>
    <w:rsid w:val="00CF7681"/>
    <w:rsid w:val="00CF7FF9"/>
    <w:rsid w:val="00D00410"/>
    <w:rsid w:val="00D0090F"/>
    <w:rsid w:val="00D00DEB"/>
    <w:rsid w:val="00D0113B"/>
    <w:rsid w:val="00D016BB"/>
    <w:rsid w:val="00D0245C"/>
    <w:rsid w:val="00D02808"/>
    <w:rsid w:val="00D0318C"/>
    <w:rsid w:val="00D03444"/>
    <w:rsid w:val="00D03961"/>
    <w:rsid w:val="00D03C96"/>
    <w:rsid w:val="00D04592"/>
    <w:rsid w:val="00D04A1A"/>
    <w:rsid w:val="00D04FAE"/>
    <w:rsid w:val="00D05475"/>
    <w:rsid w:val="00D056DC"/>
    <w:rsid w:val="00D06012"/>
    <w:rsid w:val="00D0694D"/>
    <w:rsid w:val="00D06AB1"/>
    <w:rsid w:val="00D06D17"/>
    <w:rsid w:val="00D06F4C"/>
    <w:rsid w:val="00D07302"/>
    <w:rsid w:val="00D07507"/>
    <w:rsid w:val="00D0769A"/>
    <w:rsid w:val="00D10ACF"/>
    <w:rsid w:val="00D10FEE"/>
    <w:rsid w:val="00D1111C"/>
    <w:rsid w:val="00D119FD"/>
    <w:rsid w:val="00D11BA3"/>
    <w:rsid w:val="00D12181"/>
    <w:rsid w:val="00D12220"/>
    <w:rsid w:val="00D124F9"/>
    <w:rsid w:val="00D126D6"/>
    <w:rsid w:val="00D12AAE"/>
    <w:rsid w:val="00D13454"/>
    <w:rsid w:val="00D134E8"/>
    <w:rsid w:val="00D13651"/>
    <w:rsid w:val="00D13EC2"/>
    <w:rsid w:val="00D13FF2"/>
    <w:rsid w:val="00D1434D"/>
    <w:rsid w:val="00D14EE6"/>
    <w:rsid w:val="00D156FB"/>
    <w:rsid w:val="00D15907"/>
    <w:rsid w:val="00D15979"/>
    <w:rsid w:val="00D163E8"/>
    <w:rsid w:val="00D16853"/>
    <w:rsid w:val="00D170AD"/>
    <w:rsid w:val="00D1743E"/>
    <w:rsid w:val="00D177A6"/>
    <w:rsid w:val="00D20167"/>
    <w:rsid w:val="00D201F2"/>
    <w:rsid w:val="00D207DD"/>
    <w:rsid w:val="00D20820"/>
    <w:rsid w:val="00D20A4F"/>
    <w:rsid w:val="00D20B5C"/>
    <w:rsid w:val="00D21098"/>
    <w:rsid w:val="00D211A6"/>
    <w:rsid w:val="00D211F0"/>
    <w:rsid w:val="00D2302E"/>
    <w:rsid w:val="00D23440"/>
    <w:rsid w:val="00D236AC"/>
    <w:rsid w:val="00D248FB"/>
    <w:rsid w:val="00D24C89"/>
    <w:rsid w:val="00D24D47"/>
    <w:rsid w:val="00D24EE1"/>
    <w:rsid w:val="00D24FA9"/>
    <w:rsid w:val="00D24FDB"/>
    <w:rsid w:val="00D250FE"/>
    <w:rsid w:val="00D25451"/>
    <w:rsid w:val="00D259B8"/>
    <w:rsid w:val="00D25A44"/>
    <w:rsid w:val="00D25AB5"/>
    <w:rsid w:val="00D25E88"/>
    <w:rsid w:val="00D267C9"/>
    <w:rsid w:val="00D26CD5"/>
    <w:rsid w:val="00D26EEE"/>
    <w:rsid w:val="00D26FA5"/>
    <w:rsid w:val="00D274BB"/>
    <w:rsid w:val="00D274E0"/>
    <w:rsid w:val="00D27599"/>
    <w:rsid w:val="00D27C96"/>
    <w:rsid w:val="00D27CE4"/>
    <w:rsid w:val="00D27EDF"/>
    <w:rsid w:val="00D3013E"/>
    <w:rsid w:val="00D302CA"/>
    <w:rsid w:val="00D30433"/>
    <w:rsid w:val="00D30A80"/>
    <w:rsid w:val="00D30BBE"/>
    <w:rsid w:val="00D3194D"/>
    <w:rsid w:val="00D3218E"/>
    <w:rsid w:val="00D3236D"/>
    <w:rsid w:val="00D331DD"/>
    <w:rsid w:val="00D3320A"/>
    <w:rsid w:val="00D333CC"/>
    <w:rsid w:val="00D334AF"/>
    <w:rsid w:val="00D33563"/>
    <w:rsid w:val="00D3399A"/>
    <w:rsid w:val="00D33B85"/>
    <w:rsid w:val="00D33C79"/>
    <w:rsid w:val="00D33EAD"/>
    <w:rsid w:val="00D340E5"/>
    <w:rsid w:val="00D34480"/>
    <w:rsid w:val="00D34CF4"/>
    <w:rsid w:val="00D34FC3"/>
    <w:rsid w:val="00D35466"/>
    <w:rsid w:val="00D3574F"/>
    <w:rsid w:val="00D35793"/>
    <w:rsid w:val="00D35D17"/>
    <w:rsid w:val="00D35DCB"/>
    <w:rsid w:val="00D3614A"/>
    <w:rsid w:val="00D36647"/>
    <w:rsid w:val="00D36A84"/>
    <w:rsid w:val="00D36BD1"/>
    <w:rsid w:val="00D373B8"/>
    <w:rsid w:val="00D37E8A"/>
    <w:rsid w:val="00D4032F"/>
    <w:rsid w:val="00D40677"/>
    <w:rsid w:val="00D40718"/>
    <w:rsid w:val="00D4150E"/>
    <w:rsid w:val="00D41A11"/>
    <w:rsid w:val="00D41B47"/>
    <w:rsid w:val="00D421BB"/>
    <w:rsid w:val="00D421D6"/>
    <w:rsid w:val="00D4249A"/>
    <w:rsid w:val="00D424BC"/>
    <w:rsid w:val="00D425DC"/>
    <w:rsid w:val="00D425F6"/>
    <w:rsid w:val="00D4265F"/>
    <w:rsid w:val="00D42CCD"/>
    <w:rsid w:val="00D43958"/>
    <w:rsid w:val="00D4410F"/>
    <w:rsid w:val="00D44C46"/>
    <w:rsid w:val="00D44CB4"/>
    <w:rsid w:val="00D452CA"/>
    <w:rsid w:val="00D4578E"/>
    <w:rsid w:val="00D45815"/>
    <w:rsid w:val="00D462F8"/>
    <w:rsid w:val="00D4647E"/>
    <w:rsid w:val="00D4759E"/>
    <w:rsid w:val="00D500DE"/>
    <w:rsid w:val="00D50616"/>
    <w:rsid w:val="00D507A6"/>
    <w:rsid w:val="00D50EE1"/>
    <w:rsid w:val="00D51CFF"/>
    <w:rsid w:val="00D51FD2"/>
    <w:rsid w:val="00D5268C"/>
    <w:rsid w:val="00D52845"/>
    <w:rsid w:val="00D5287C"/>
    <w:rsid w:val="00D52EFD"/>
    <w:rsid w:val="00D532B6"/>
    <w:rsid w:val="00D5346C"/>
    <w:rsid w:val="00D53760"/>
    <w:rsid w:val="00D539C8"/>
    <w:rsid w:val="00D53ADF"/>
    <w:rsid w:val="00D53BBF"/>
    <w:rsid w:val="00D53C6D"/>
    <w:rsid w:val="00D53D9A"/>
    <w:rsid w:val="00D53F30"/>
    <w:rsid w:val="00D5407C"/>
    <w:rsid w:val="00D54324"/>
    <w:rsid w:val="00D54A7D"/>
    <w:rsid w:val="00D54D03"/>
    <w:rsid w:val="00D552C7"/>
    <w:rsid w:val="00D55350"/>
    <w:rsid w:val="00D55C78"/>
    <w:rsid w:val="00D55D10"/>
    <w:rsid w:val="00D5623B"/>
    <w:rsid w:val="00D56429"/>
    <w:rsid w:val="00D569BC"/>
    <w:rsid w:val="00D5723F"/>
    <w:rsid w:val="00D578C8"/>
    <w:rsid w:val="00D57AF9"/>
    <w:rsid w:val="00D6099B"/>
    <w:rsid w:val="00D60F2A"/>
    <w:rsid w:val="00D60F5B"/>
    <w:rsid w:val="00D61042"/>
    <w:rsid w:val="00D6145E"/>
    <w:rsid w:val="00D6191F"/>
    <w:rsid w:val="00D62B54"/>
    <w:rsid w:val="00D62CD1"/>
    <w:rsid w:val="00D63218"/>
    <w:rsid w:val="00D63620"/>
    <w:rsid w:val="00D6389D"/>
    <w:rsid w:val="00D63985"/>
    <w:rsid w:val="00D639F5"/>
    <w:rsid w:val="00D63E82"/>
    <w:rsid w:val="00D63FB4"/>
    <w:rsid w:val="00D642C6"/>
    <w:rsid w:val="00D645CB"/>
    <w:rsid w:val="00D64895"/>
    <w:rsid w:val="00D6494E"/>
    <w:rsid w:val="00D6507A"/>
    <w:rsid w:val="00D650A8"/>
    <w:rsid w:val="00D6546D"/>
    <w:rsid w:val="00D65603"/>
    <w:rsid w:val="00D65BDB"/>
    <w:rsid w:val="00D66497"/>
    <w:rsid w:val="00D66B1E"/>
    <w:rsid w:val="00D66C66"/>
    <w:rsid w:val="00D66E7C"/>
    <w:rsid w:val="00D675D9"/>
    <w:rsid w:val="00D67B86"/>
    <w:rsid w:val="00D67F36"/>
    <w:rsid w:val="00D70195"/>
    <w:rsid w:val="00D7072C"/>
    <w:rsid w:val="00D70A1C"/>
    <w:rsid w:val="00D70D7F"/>
    <w:rsid w:val="00D70DBD"/>
    <w:rsid w:val="00D715A6"/>
    <w:rsid w:val="00D7164C"/>
    <w:rsid w:val="00D717AC"/>
    <w:rsid w:val="00D717C8"/>
    <w:rsid w:val="00D725FC"/>
    <w:rsid w:val="00D726AF"/>
    <w:rsid w:val="00D726B2"/>
    <w:rsid w:val="00D726BB"/>
    <w:rsid w:val="00D7321B"/>
    <w:rsid w:val="00D733B5"/>
    <w:rsid w:val="00D73ABF"/>
    <w:rsid w:val="00D73B09"/>
    <w:rsid w:val="00D73C11"/>
    <w:rsid w:val="00D7482B"/>
    <w:rsid w:val="00D74E06"/>
    <w:rsid w:val="00D74EC0"/>
    <w:rsid w:val="00D74EF9"/>
    <w:rsid w:val="00D751B5"/>
    <w:rsid w:val="00D75269"/>
    <w:rsid w:val="00D75B34"/>
    <w:rsid w:val="00D75C92"/>
    <w:rsid w:val="00D75EBA"/>
    <w:rsid w:val="00D76621"/>
    <w:rsid w:val="00D76881"/>
    <w:rsid w:val="00D7689A"/>
    <w:rsid w:val="00D76D8A"/>
    <w:rsid w:val="00D77430"/>
    <w:rsid w:val="00D77508"/>
    <w:rsid w:val="00D778EF"/>
    <w:rsid w:val="00D77B79"/>
    <w:rsid w:val="00D8063B"/>
    <w:rsid w:val="00D80C68"/>
    <w:rsid w:val="00D80E29"/>
    <w:rsid w:val="00D818C0"/>
    <w:rsid w:val="00D81B40"/>
    <w:rsid w:val="00D81D80"/>
    <w:rsid w:val="00D822D5"/>
    <w:rsid w:val="00D826C5"/>
    <w:rsid w:val="00D82D2C"/>
    <w:rsid w:val="00D83165"/>
    <w:rsid w:val="00D833D8"/>
    <w:rsid w:val="00D841EC"/>
    <w:rsid w:val="00D843FE"/>
    <w:rsid w:val="00D84442"/>
    <w:rsid w:val="00D8456D"/>
    <w:rsid w:val="00D84C32"/>
    <w:rsid w:val="00D84FBA"/>
    <w:rsid w:val="00D8532D"/>
    <w:rsid w:val="00D854C9"/>
    <w:rsid w:val="00D85691"/>
    <w:rsid w:val="00D856BB"/>
    <w:rsid w:val="00D8580E"/>
    <w:rsid w:val="00D85C2E"/>
    <w:rsid w:val="00D85E63"/>
    <w:rsid w:val="00D865E0"/>
    <w:rsid w:val="00D8755D"/>
    <w:rsid w:val="00D8755E"/>
    <w:rsid w:val="00D8761B"/>
    <w:rsid w:val="00D87CB0"/>
    <w:rsid w:val="00D87CF6"/>
    <w:rsid w:val="00D87D40"/>
    <w:rsid w:val="00D90130"/>
    <w:rsid w:val="00D90138"/>
    <w:rsid w:val="00D90433"/>
    <w:rsid w:val="00D9073A"/>
    <w:rsid w:val="00D90ADA"/>
    <w:rsid w:val="00D90C58"/>
    <w:rsid w:val="00D90F03"/>
    <w:rsid w:val="00D910C7"/>
    <w:rsid w:val="00D9198B"/>
    <w:rsid w:val="00D91DC1"/>
    <w:rsid w:val="00D92B1C"/>
    <w:rsid w:val="00D92F47"/>
    <w:rsid w:val="00D93204"/>
    <w:rsid w:val="00D9385F"/>
    <w:rsid w:val="00D93980"/>
    <w:rsid w:val="00D94EB1"/>
    <w:rsid w:val="00D94F2C"/>
    <w:rsid w:val="00D95640"/>
    <w:rsid w:val="00D95827"/>
    <w:rsid w:val="00D95A47"/>
    <w:rsid w:val="00D95F33"/>
    <w:rsid w:val="00D9685C"/>
    <w:rsid w:val="00D96998"/>
    <w:rsid w:val="00D96C6E"/>
    <w:rsid w:val="00D96EEC"/>
    <w:rsid w:val="00D9730D"/>
    <w:rsid w:val="00D975BB"/>
    <w:rsid w:val="00D97754"/>
    <w:rsid w:val="00D97997"/>
    <w:rsid w:val="00D97B91"/>
    <w:rsid w:val="00D97CFC"/>
    <w:rsid w:val="00DA01BE"/>
    <w:rsid w:val="00DA0316"/>
    <w:rsid w:val="00DA038F"/>
    <w:rsid w:val="00DA04F1"/>
    <w:rsid w:val="00DA069B"/>
    <w:rsid w:val="00DA0A4F"/>
    <w:rsid w:val="00DA0BAF"/>
    <w:rsid w:val="00DA0FCC"/>
    <w:rsid w:val="00DA11BE"/>
    <w:rsid w:val="00DA1666"/>
    <w:rsid w:val="00DA182D"/>
    <w:rsid w:val="00DA1E5A"/>
    <w:rsid w:val="00DA24AB"/>
    <w:rsid w:val="00DA27EC"/>
    <w:rsid w:val="00DA2BD2"/>
    <w:rsid w:val="00DA3BD9"/>
    <w:rsid w:val="00DA402E"/>
    <w:rsid w:val="00DA41E3"/>
    <w:rsid w:val="00DA48BE"/>
    <w:rsid w:val="00DA4EB2"/>
    <w:rsid w:val="00DA50F5"/>
    <w:rsid w:val="00DA56B8"/>
    <w:rsid w:val="00DA58C8"/>
    <w:rsid w:val="00DA5A87"/>
    <w:rsid w:val="00DA666A"/>
    <w:rsid w:val="00DA66D5"/>
    <w:rsid w:val="00DA671F"/>
    <w:rsid w:val="00DA6A94"/>
    <w:rsid w:val="00DA6CF7"/>
    <w:rsid w:val="00DA728E"/>
    <w:rsid w:val="00DA744A"/>
    <w:rsid w:val="00DB0224"/>
    <w:rsid w:val="00DB037C"/>
    <w:rsid w:val="00DB0D60"/>
    <w:rsid w:val="00DB1650"/>
    <w:rsid w:val="00DB1716"/>
    <w:rsid w:val="00DB23C8"/>
    <w:rsid w:val="00DB2AF8"/>
    <w:rsid w:val="00DB47B2"/>
    <w:rsid w:val="00DB525F"/>
    <w:rsid w:val="00DB57A6"/>
    <w:rsid w:val="00DB5B51"/>
    <w:rsid w:val="00DB5DFC"/>
    <w:rsid w:val="00DB63D7"/>
    <w:rsid w:val="00DB6452"/>
    <w:rsid w:val="00DB6AEF"/>
    <w:rsid w:val="00DB6F77"/>
    <w:rsid w:val="00DB7C20"/>
    <w:rsid w:val="00DB7EE4"/>
    <w:rsid w:val="00DB7F79"/>
    <w:rsid w:val="00DC043C"/>
    <w:rsid w:val="00DC0894"/>
    <w:rsid w:val="00DC104B"/>
    <w:rsid w:val="00DC1692"/>
    <w:rsid w:val="00DC1729"/>
    <w:rsid w:val="00DC188A"/>
    <w:rsid w:val="00DC1BFC"/>
    <w:rsid w:val="00DC21CF"/>
    <w:rsid w:val="00DC246A"/>
    <w:rsid w:val="00DC25EC"/>
    <w:rsid w:val="00DC26D8"/>
    <w:rsid w:val="00DC26EF"/>
    <w:rsid w:val="00DC3439"/>
    <w:rsid w:val="00DC34A3"/>
    <w:rsid w:val="00DC36A7"/>
    <w:rsid w:val="00DC3844"/>
    <w:rsid w:val="00DC3962"/>
    <w:rsid w:val="00DC3AD8"/>
    <w:rsid w:val="00DC404C"/>
    <w:rsid w:val="00DC46E9"/>
    <w:rsid w:val="00DC4745"/>
    <w:rsid w:val="00DC4820"/>
    <w:rsid w:val="00DC4B63"/>
    <w:rsid w:val="00DC4BDB"/>
    <w:rsid w:val="00DC6070"/>
    <w:rsid w:val="00DC6EE9"/>
    <w:rsid w:val="00DC7894"/>
    <w:rsid w:val="00DC7A93"/>
    <w:rsid w:val="00DC7F4B"/>
    <w:rsid w:val="00DD0C44"/>
    <w:rsid w:val="00DD0C59"/>
    <w:rsid w:val="00DD1708"/>
    <w:rsid w:val="00DD214F"/>
    <w:rsid w:val="00DD23E3"/>
    <w:rsid w:val="00DD2468"/>
    <w:rsid w:val="00DD2BD6"/>
    <w:rsid w:val="00DD2F03"/>
    <w:rsid w:val="00DD2FC5"/>
    <w:rsid w:val="00DD3339"/>
    <w:rsid w:val="00DD3377"/>
    <w:rsid w:val="00DD3824"/>
    <w:rsid w:val="00DD3870"/>
    <w:rsid w:val="00DD3AF0"/>
    <w:rsid w:val="00DD4522"/>
    <w:rsid w:val="00DD4605"/>
    <w:rsid w:val="00DD4734"/>
    <w:rsid w:val="00DD47DA"/>
    <w:rsid w:val="00DD5986"/>
    <w:rsid w:val="00DD6C30"/>
    <w:rsid w:val="00DD7A6F"/>
    <w:rsid w:val="00DE078A"/>
    <w:rsid w:val="00DE0B33"/>
    <w:rsid w:val="00DE1204"/>
    <w:rsid w:val="00DE146C"/>
    <w:rsid w:val="00DE1509"/>
    <w:rsid w:val="00DE1938"/>
    <w:rsid w:val="00DE1B9C"/>
    <w:rsid w:val="00DE1BB4"/>
    <w:rsid w:val="00DE208C"/>
    <w:rsid w:val="00DE228F"/>
    <w:rsid w:val="00DE2E52"/>
    <w:rsid w:val="00DE2F40"/>
    <w:rsid w:val="00DE2FE4"/>
    <w:rsid w:val="00DE3371"/>
    <w:rsid w:val="00DE3A9C"/>
    <w:rsid w:val="00DE3CF6"/>
    <w:rsid w:val="00DE3E99"/>
    <w:rsid w:val="00DE4DF8"/>
    <w:rsid w:val="00DE4FB9"/>
    <w:rsid w:val="00DE4FD4"/>
    <w:rsid w:val="00DE531C"/>
    <w:rsid w:val="00DE535B"/>
    <w:rsid w:val="00DE572A"/>
    <w:rsid w:val="00DE5A1F"/>
    <w:rsid w:val="00DE5A26"/>
    <w:rsid w:val="00DE5CDF"/>
    <w:rsid w:val="00DE7065"/>
    <w:rsid w:val="00DE71D5"/>
    <w:rsid w:val="00DE78A6"/>
    <w:rsid w:val="00DE7DDB"/>
    <w:rsid w:val="00DE7E30"/>
    <w:rsid w:val="00DF0083"/>
    <w:rsid w:val="00DF009A"/>
    <w:rsid w:val="00DF0851"/>
    <w:rsid w:val="00DF0BDE"/>
    <w:rsid w:val="00DF1975"/>
    <w:rsid w:val="00DF1A0E"/>
    <w:rsid w:val="00DF1C01"/>
    <w:rsid w:val="00DF1DDE"/>
    <w:rsid w:val="00DF2107"/>
    <w:rsid w:val="00DF25EC"/>
    <w:rsid w:val="00DF26CD"/>
    <w:rsid w:val="00DF30D4"/>
    <w:rsid w:val="00DF3227"/>
    <w:rsid w:val="00DF3625"/>
    <w:rsid w:val="00DF42A3"/>
    <w:rsid w:val="00DF49AD"/>
    <w:rsid w:val="00DF4B0C"/>
    <w:rsid w:val="00DF538C"/>
    <w:rsid w:val="00DF565A"/>
    <w:rsid w:val="00DF592F"/>
    <w:rsid w:val="00DF5D22"/>
    <w:rsid w:val="00DF5EA5"/>
    <w:rsid w:val="00DF6352"/>
    <w:rsid w:val="00DF6592"/>
    <w:rsid w:val="00DF6707"/>
    <w:rsid w:val="00DF6E04"/>
    <w:rsid w:val="00DF6E3F"/>
    <w:rsid w:val="00DF6E51"/>
    <w:rsid w:val="00E006F6"/>
    <w:rsid w:val="00E009CC"/>
    <w:rsid w:val="00E00CB0"/>
    <w:rsid w:val="00E01374"/>
    <w:rsid w:val="00E013EF"/>
    <w:rsid w:val="00E01421"/>
    <w:rsid w:val="00E01506"/>
    <w:rsid w:val="00E016A4"/>
    <w:rsid w:val="00E019DF"/>
    <w:rsid w:val="00E01DCD"/>
    <w:rsid w:val="00E01F1B"/>
    <w:rsid w:val="00E025A0"/>
    <w:rsid w:val="00E02E40"/>
    <w:rsid w:val="00E032E8"/>
    <w:rsid w:val="00E035B9"/>
    <w:rsid w:val="00E035E3"/>
    <w:rsid w:val="00E03793"/>
    <w:rsid w:val="00E03854"/>
    <w:rsid w:val="00E040BE"/>
    <w:rsid w:val="00E0410A"/>
    <w:rsid w:val="00E0431F"/>
    <w:rsid w:val="00E0482B"/>
    <w:rsid w:val="00E04C06"/>
    <w:rsid w:val="00E04E3B"/>
    <w:rsid w:val="00E054A5"/>
    <w:rsid w:val="00E05D84"/>
    <w:rsid w:val="00E065F0"/>
    <w:rsid w:val="00E068FC"/>
    <w:rsid w:val="00E06C71"/>
    <w:rsid w:val="00E07049"/>
    <w:rsid w:val="00E070A8"/>
    <w:rsid w:val="00E07E77"/>
    <w:rsid w:val="00E10247"/>
    <w:rsid w:val="00E10829"/>
    <w:rsid w:val="00E10EFF"/>
    <w:rsid w:val="00E11DD0"/>
    <w:rsid w:val="00E124BA"/>
    <w:rsid w:val="00E13296"/>
    <w:rsid w:val="00E13DDC"/>
    <w:rsid w:val="00E13E1A"/>
    <w:rsid w:val="00E142DE"/>
    <w:rsid w:val="00E14D4F"/>
    <w:rsid w:val="00E1517B"/>
    <w:rsid w:val="00E15485"/>
    <w:rsid w:val="00E15C0B"/>
    <w:rsid w:val="00E15C39"/>
    <w:rsid w:val="00E15E5B"/>
    <w:rsid w:val="00E16021"/>
    <w:rsid w:val="00E162C1"/>
    <w:rsid w:val="00E16E21"/>
    <w:rsid w:val="00E16F6C"/>
    <w:rsid w:val="00E175CC"/>
    <w:rsid w:val="00E177E7"/>
    <w:rsid w:val="00E178FE"/>
    <w:rsid w:val="00E17F55"/>
    <w:rsid w:val="00E2028C"/>
    <w:rsid w:val="00E20530"/>
    <w:rsid w:val="00E20681"/>
    <w:rsid w:val="00E20807"/>
    <w:rsid w:val="00E2098B"/>
    <w:rsid w:val="00E20D2E"/>
    <w:rsid w:val="00E20EB1"/>
    <w:rsid w:val="00E21581"/>
    <w:rsid w:val="00E215F3"/>
    <w:rsid w:val="00E21913"/>
    <w:rsid w:val="00E22004"/>
    <w:rsid w:val="00E223B6"/>
    <w:rsid w:val="00E22434"/>
    <w:rsid w:val="00E22E1D"/>
    <w:rsid w:val="00E23090"/>
    <w:rsid w:val="00E2365E"/>
    <w:rsid w:val="00E236AD"/>
    <w:rsid w:val="00E239A5"/>
    <w:rsid w:val="00E23D70"/>
    <w:rsid w:val="00E24630"/>
    <w:rsid w:val="00E249B7"/>
    <w:rsid w:val="00E258AE"/>
    <w:rsid w:val="00E25B60"/>
    <w:rsid w:val="00E26326"/>
    <w:rsid w:val="00E26CB2"/>
    <w:rsid w:val="00E26D87"/>
    <w:rsid w:val="00E26DF8"/>
    <w:rsid w:val="00E279B3"/>
    <w:rsid w:val="00E27B0E"/>
    <w:rsid w:val="00E27D56"/>
    <w:rsid w:val="00E30092"/>
    <w:rsid w:val="00E30337"/>
    <w:rsid w:val="00E3056B"/>
    <w:rsid w:val="00E306F0"/>
    <w:rsid w:val="00E3081B"/>
    <w:rsid w:val="00E308EC"/>
    <w:rsid w:val="00E3092B"/>
    <w:rsid w:val="00E30AB4"/>
    <w:rsid w:val="00E31A49"/>
    <w:rsid w:val="00E31D78"/>
    <w:rsid w:val="00E31E80"/>
    <w:rsid w:val="00E32250"/>
    <w:rsid w:val="00E323A8"/>
    <w:rsid w:val="00E323CC"/>
    <w:rsid w:val="00E3268C"/>
    <w:rsid w:val="00E32A6D"/>
    <w:rsid w:val="00E32D22"/>
    <w:rsid w:val="00E33662"/>
    <w:rsid w:val="00E33969"/>
    <w:rsid w:val="00E33DC0"/>
    <w:rsid w:val="00E34821"/>
    <w:rsid w:val="00E358BB"/>
    <w:rsid w:val="00E35BC6"/>
    <w:rsid w:val="00E35F5A"/>
    <w:rsid w:val="00E36031"/>
    <w:rsid w:val="00E3689D"/>
    <w:rsid w:val="00E369BA"/>
    <w:rsid w:val="00E36D28"/>
    <w:rsid w:val="00E36EA6"/>
    <w:rsid w:val="00E372EF"/>
    <w:rsid w:val="00E37A3C"/>
    <w:rsid w:val="00E37BD7"/>
    <w:rsid w:val="00E37CDD"/>
    <w:rsid w:val="00E404AC"/>
    <w:rsid w:val="00E40561"/>
    <w:rsid w:val="00E40E7A"/>
    <w:rsid w:val="00E4111C"/>
    <w:rsid w:val="00E41A2B"/>
    <w:rsid w:val="00E41CB2"/>
    <w:rsid w:val="00E41F81"/>
    <w:rsid w:val="00E4271C"/>
    <w:rsid w:val="00E42901"/>
    <w:rsid w:val="00E429E5"/>
    <w:rsid w:val="00E42BAA"/>
    <w:rsid w:val="00E42D84"/>
    <w:rsid w:val="00E42E49"/>
    <w:rsid w:val="00E43177"/>
    <w:rsid w:val="00E437B3"/>
    <w:rsid w:val="00E437FD"/>
    <w:rsid w:val="00E4411B"/>
    <w:rsid w:val="00E441D0"/>
    <w:rsid w:val="00E4421C"/>
    <w:rsid w:val="00E444D6"/>
    <w:rsid w:val="00E44ADC"/>
    <w:rsid w:val="00E44C22"/>
    <w:rsid w:val="00E44DB9"/>
    <w:rsid w:val="00E44E7D"/>
    <w:rsid w:val="00E455EB"/>
    <w:rsid w:val="00E455F4"/>
    <w:rsid w:val="00E456E8"/>
    <w:rsid w:val="00E456E9"/>
    <w:rsid w:val="00E45BB8"/>
    <w:rsid w:val="00E46091"/>
    <w:rsid w:val="00E46750"/>
    <w:rsid w:val="00E469C3"/>
    <w:rsid w:val="00E47133"/>
    <w:rsid w:val="00E47DBF"/>
    <w:rsid w:val="00E47F8D"/>
    <w:rsid w:val="00E50148"/>
    <w:rsid w:val="00E50955"/>
    <w:rsid w:val="00E509AC"/>
    <w:rsid w:val="00E50B53"/>
    <w:rsid w:val="00E5124D"/>
    <w:rsid w:val="00E513D7"/>
    <w:rsid w:val="00E51778"/>
    <w:rsid w:val="00E51881"/>
    <w:rsid w:val="00E51D4C"/>
    <w:rsid w:val="00E520B6"/>
    <w:rsid w:val="00E52645"/>
    <w:rsid w:val="00E5268F"/>
    <w:rsid w:val="00E52771"/>
    <w:rsid w:val="00E52A20"/>
    <w:rsid w:val="00E52B09"/>
    <w:rsid w:val="00E52BB3"/>
    <w:rsid w:val="00E53183"/>
    <w:rsid w:val="00E535AC"/>
    <w:rsid w:val="00E53841"/>
    <w:rsid w:val="00E53A11"/>
    <w:rsid w:val="00E53DF3"/>
    <w:rsid w:val="00E541C4"/>
    <w:rsid w:val="00E54509"/>
    <w:rsid w:val="00E54FB4"/>
    <w:rsid w:val="00E55149"/>
    <w:rsid w:val="00E55221"/>
    <w:rsid w:val="00E5591E"/>
    <w:rsid w:val="00E55AC2"/>
    <w:rsid w:val="00E55E99"/>
    <w:rsid w:val="00E561E9"/>
    <w:rsid w:val="00E561ED"/>
    <w:rsid w:val="00E565B6"/>
    <w:rsid w:val="00E56BFD"/>
    <w:rsid w:val="00E56D90"/>
    <w:rsid w:val="00E56E82"/>
    <w:rsid w:val="00E57C2D"/>
    <w:rsid w:val="00E57FFB"/>
    <w:rsid w:val="00E60168"/>
    <w:rsid w:val="00E601C6"/>
    <w:rsid w:val="00E60461"/>
    <w:rsid w:val="00E609E7"/>
    <w:rsid w:val="00E60B64"/>
    <w:rsid w:val="00E61755"/>
    <w:rsid w:val="00E61CFD"/>
    <w:rsid w:val="00E61F2A"/>
    <w:rsid w:val="00E61FC0"/>
    <w:rsid w:val="00E623A5"/>
    <w:rsid w:val="00E624C7"/>
    <w:rsid w:val="00E62DCB"/>
    <w:rsid w:val="00E630DF"/>
    <w:rsid w:val="00E63210"/>
    <w:rsid w:val="00E63EBA"/>
    <w:rsid w:val="00E64769"/>
    <w:rsid w:val="00E64821"/>
    <w:rsid w:val="00E64F8F"/>
    <w:rsid w:val="00E6540D"/>
    <w:rsid w:val="00E65575"/>
    <w:rsid w:val="00E656E6"/>
    <w:rsid w:val="00E65810"/>
    <w:rsid w:val="00E65A78"/>
    <w:rsid w:val="00E663BD"/>
    <w:rsid w:val="00E66754"/>
    <w:rsid w:val="00E66E1C"/>
    <w:rsid w:val="00E67542"/>
    <w:rsid w:val="00E67CCD"/>
    <w:rsid w:val="00E7044C"/>
    <w:rsid w:val="00E70687"/>
    <w:rsid w:val="00E70CD3"/>
    <w:rsid w:val="00E70FA4"/>
    <w:rsid w:val="00E71314"/>
    <w:rsid w:val="00E715B4"/>
    <w:rsid w:val="00E7199D"/>
    <w:rsid w:val="00E72170"/>
    <w:rsid w:val="00E7237A"/>
    <w:rsid w:val="00E723FD"/>
    <w:rsid w:val="00E727A9"/>
    <w:rsid w:val="00E727FC"/>
    <w:rsid w:val="00E72B87"/>
    <w:rsid w:val="00E72D3C"/>
    <w:rsid w:val="00E73491"/>
    <w:rsid w:val="00E73870"/>
    <w:rsid w:val="00E7439E"/>
    <w:rsid w:val="00E7450A"/>
    <w:rsid w:val="00E74AEB"/>
    <w:rsid w:val="00E74B4C"/>
    <w:rsid w:val="00E75640"/>
    <w:rsid w:val="00E75831"/>
    <w:rsid w:val="00E759BC"/>
    <w:rsid w:val="00E75A12"/>
    <w:rsid w:val="00E75CA7"/>
    <w:rsid w:val="00E75E5A"/>
    <w:rsid w:val="00E76940"/>
    <w:rsid w:val="00E76A99"/>
    <w:rsid w:val="00E77000"/>
    <w:rsid w:val="00E77045"/>
    <w:rsid w:val="00E77CEB"/>
    <w:rsid w:val="00E77DAB"/>
    <w:rsid w:val="00E77EC4"/>
    <w:rsid w:val="00E800F8"/>
    <w:rsid w:val="00E805C0"/>
    <w:rsid w:val="00E8133E"/>
    <w:rsid w:val="00E8189A"/>
    <w:rsid w:val="00E81B4A"/>
    <w:rsid w:val="00E82102"/>
    <w:rsid w:val="00E826F1"/>
    <w:rsid w:val="00E82916"/>
    <w:rsid w:val="00E829EF"/>
    <w:rsid w:val="00E82CED"/>
    <w:rsid w:val="00E82D4D"/>
    <w:rsid w:val="00E82E5B"/>
    <w:rsid w:val="00E83145"/>
    <w:rsid w:val="00E834CD"/>
    <w:rsid w:val="00E83908"/>
    <w:rsid w:val="00E839F6"/>
    <w:rsid w:val="00E83B11"/>
    <w:rsid w:val="00E83B5B"/>
    <w:rsid w:val="00E83E31"/>
    <w:rsid w:val="00E83FE2"/>
    <w:rsid w:val="00E84B3A"/>
    <w:rsid w:val="00E84FE1"/>
    <w:rsid w:val="00E8595A"/>
    <w:rsid w:val="00E865C6"/>
    <w:rsid w:val="00E86855"/>
    <w:rsid w:val="00E86E4F"/>
    <w:rsid w:val="00E879FB"/>
    <w:rsid w:val="00E87D65"/>
    <w:rsid w:val="00E90915"/>
    <w:rsid w:val="00E91377"/>
    <w:rsid w:val="00E914D8"/>
    <w:rsid w:val="00E91EFF"/>
    <w:rsid w:val="00E9249A"/>
    <w:rsid w:val="00E9259E"/>
    <w:rsid w:val="00E927D6"/>
    <w:rsid w:val="00E92995"/>
    <w:rsid w:val="00E92AC2"/>
    <w:rsid w:val="00E930E3"/>
    <w:rsid w:val="00E9344B"/>
    <w:rsid w:val="00E9387D"/>
    <w:rsid w:val="00E93B11"/>
    <w:rsid w:val="00E94472"/>
    <w:rsid w:val="00E94A9F"/>
    <w:rsid w:val="00E94AA0"/>
    <w:rsid w:val="00E94B22"/>
    <w:rsid w:val="00E94FE7"/>
    <w:rsid w:val="00E951A5"/>
    <w:rsid w:val="00E952EA"/>
    <w:rsid w:val="00E95629"/>
    <w:rsid w:val="00E95BF6"/>
    <w:rsid w:val="00E962AB"/>
    <w:rsid w:val="00E9691F"/>
    <w:rsid w:val="00E96A63"/>
    <w:rsid w:val="00E97969"/>
    <w:rsid w:val="00E979BE"/>
    <w:rsid w:val="00E97BCA"/>
    <w:rsid w:val="00E97D58"/>
    <w:rsid w:val="00EA01EC"/>
    <w:rsid w:val="00EA08F8"/>
    <w:rsid w:val="00EA0C6A"/>
    <w:rsid w:val="00EA1279"/>
    <w:rsid w:val="00EA12E7"/>
    <w:rsid w:val="00EA13EF"/>
    <w:rsid w:val="00EA1A04"/>
    <w:rsid w:val="00EA1B75"/>
    <w:rsid w:val="00EA22F1"/>
    <w:rsid w:val="00EA2BC4"/>
    <w:rsid w:val="00EA2EBB"/>
    <w:rsid w:val="00EA2F9A"/>
    <w:rsid w:val="00EA3328"/>
    <w:rsid w:val="00EA3844"/>
    <w:rsid w:val="00EA39B6"/>
    <w:rsid w:val="00EA3C08"/>
    <w:rsid w:val="00EA4132"/>
    <w:rsid w:val="00EA44E2"/>
    <w:rsid w:val="00EA4784"/>
    <w:rsid w:val="00EA483B"/>
    <w:rsid w:val="00EA4ACC"/>
    <w:rsid w:val="00EA4B93"/>
    <w:rsid w:val="00EA4DB1"/>
    <w:rsid w:val="00EA4E9B"/>
    <w:rsid w:val="00EA4FA6"/>
    <w:rsid w:val="00EA5C33"/>
    <w:rsid w:val="00EA60BF"/>
    <w:rsid w:val="00EA645D"/>
    <w:rsid w:val="00EA6497"/>
    <w:rsid w:val="00EA6A6D"/>
    <w:rsid w:val="00EA7063"/>
    <w:rsid w:val="00EA70A5"/>
    <w:rsid w:val="00EA7740"/>
    <w:rsid w:val="00EA7D69"/>
    <w:rsid w:val="00EA7E91"/>
    <w:rsid w:val="00EB058D"/>
    <w:rsid w:val="00EB129B"/>
    <w:rsid w:val="00EB12BE"/>
    <w:rsid w:val="00EB13F9"/>
    <w:rsid w:val="00EB1409"/>
    <w:rsid w:val="00EB14DB"/>
    <w:rsid w:val="00EB16BA"/>
    <w:rsid w:val="00EB1D5C"/>
    <w:rsid w:val="00EB1DDF"/>
    <w:rsid w:val="00EB257C"/>
    <w:rsid w:val="00EB2B69"/>
    <w:rsid w:val="00EB34CE"/>
    <w:rsid w:val="00EB36D0"/>
    <w:rsid w:val="00EB3C89"/>
    <w:rsid w:val="00EB430D"/>
    <w:rsid w:val="00EB4C66"/>
    <w:rsid w:val="00EB502C"/>
    <w:rsid w:val="00EB5089"/>
    <w:rsid w:val="00EB50D8"/>
    <w:rsid w:val="00EB5451"/>
    <w:rsid w:val="00EB54C1"/>
    <w:rsid w:val="00EB567E"/>
    <w:rsid w:val="00EB599E"/>
    <w:rsid w:val="00EB5D86"/>
    <w:rsid w:val="00EB617F"/>
    <w:rsid w:val="00EB62EE"/>
    <w:rsid w:val="00EB646F"/>
    <w:rsid w:val="00EB6DFC"/>
    <w:rsid w:val="00EB6EB1"/>
    <w:rsid w:val="00EB7470"/>
    <w:rsid w:val="00EB74A3"/>
    <w:rsid w:val="00EB7565"/>
    <w:rsid w:val="00EB78DD"/>
    <w:rsid w:val="00EC01E5"/>
    <w:rsid w:val="00EC0372"/>
    <w:rsid w:val="00EC07DD"/>
    <w:rsid w:val="00EC0D38"/>
    <w:rsid w:val="00EC0ED6"/>
    <w:rsid w:val="00EC0F3E"/>
    <w:rsid w:val="00EC12E0"/>
    <w:rsid w:val="00EC156B"/>
    <w:rsid w:val="00EC1752"/>
    <w:rsid w:val="00EC1DF0"/>
    <w:rsid w:val="00EC1E80"/>
    <w:rsid w:val="00EC20F3"/>
    <w:rsid w:val="00EC24F6"/>
    <w:rsid w:val="00EC2FD2"/>
    <w:rsid w:val="00EC302B"/>
    <w:rsid w:val="00EC30FB"/>
    <w:rsid w:val="00EC3E73"/>
    <w:rsid w:val="00EC3F22"/>
    <w:rsid w:val="00EC4ECD"/>
    <w:rsid w:val="00EC53A8"/>
    <w:rsid w:val="00EC55F4"/>
    <w:rsid w:val="00EC5865"/>
    <w:rsid w:val="00EC58E0"/>
    <w:rsid w:val="00EC596B"/>
    <w:rsid w:val="00EC59EE"/>
    <w:rsid w:val="00EC5D60"/>
    <w:rsid w:val="00EC60E1"/>
    <w:rsid w:val="00EC6F9C"/>
    <w:rsid w:val="00EC70F2"/>
    <w:rsid w:val="00EC7400"/>
    <w:rsid w:val="00EC7442"/>
    <w:rsid w:val="00EC75CE"/>
    <w:rsid w:val="00EC76F1"/>
    <w:rsid w:val="00EC7F47"/>
    <w:rsid w:val="00ED08C1"/>
    <w:rsid w:val="00ED0950"/>
    <w:rsid w:val="00ED0FDB"/>
    <w:rsid w:val="00ED1339"/>
    <w:rsid w:val="00ED1889"/>
    <w:rsid w:val="00ED1BE4"/>
    <w:rsid w:val="00ED3200"/>
    <w:rsid w:val="00ED378D"/>
    <w:rsid w:val="00ED4677"/>
    <w:rsid w:val="00ED4B23"/>
    <w:rsid w:val="00ED4D6C"/>
    <w:rsid w:val="00ED4ECF"/>
    <w:rsid w:val="00ED50C5"/>
    <w:rsid w:val="00ED5A73"/>
    <w:rsid w:val="00ED5C06"/>
    <w:rsid w:val="00ED5C1D"/>
    <w:rsid w:val="00ED5FA7"/>
    <w:rsid w:val="00ED64DF"/>
    <w:rsid w:val="00ED6877"/>
    <w:rsid w:val="00ED68AD"/>
    <w:rsid w:val="00ED6979"/>
    <w:rsid w:val="00ED6E87"/>
    <w:rsid w:val="00ED72AF"/>
    <w:rsid w:val="00ED72EB"/>
    <w:rsid w:val="00ED755F"/>
    <w:rsid w:val="00ED7585"/>
    <w:rsid w:val="00ED769C"/>
    <w:rsid w:val="00ED76BE"/>
    <w:rsid w:val="00ED7839"/>
    <w:rsid w:val="00ED783A"/>
    <w:rsid w:val="00ED7CEC"/>
    <w:rsid w:val="00ED7D0B"/>
    <w:rsid w:val="00EE00C4"/>
    <w:rsid w:val="00EE011E"/>
    <w:rsid w:val="00EE01A1"/>
    <w:rsid w:val="00EE07AE"/>
    <w:rsid w:val="00EE0CB7"/>
    <w:rsid w:val="00EE0D7C"/>
    <w:rsid w:val="00EE170B"/>
    <w:rsid w:val="00EE1B49"/>
    <w:rsid w:val="00EE1F32"/>
    <w:rsid w:val="00EE2284"/>
    <w:rsid w:val="00EE2643"/>
    <w:rsid w:val="00EE2B97"/>
    <w:rsid w:val="00EE2FAF"/>
    <w:rsid w:val="00EE354F"/>
    <w:rsid w:val="00EE3C27"/>
    <w:rsid w:val="00EE4023"/>
    <w:rsid w:val="00EE4107"/>
    <w:rsid w:val="00EE42D2"/>
    <w:rsid w:val="00EE430A"/>
    <w:rsid w:val="00EE4389"/>
    <w:rsid w:val="00EE43FE"/>
    <w:rsid w:val="00EE4617"/>
    <w:rsid w:val="00EE482D"/>
    <w:rsid w:val="00EE4A8B"/>
    <w:rsid w:val="00EE51A3"/>
    <w:rsid w:val="00EE568F"/>
    <w:rsid w:val="00EE5BAF"/>
    <w:rsid w:val="00EE5F5B"/>
    <w:rsid w:val="00EE6153"/>
    <w:rsid w:val="00EE6D40"/>
    <w:rsid w:val="00EE77A9"/>
    <w:rsid w:val="00EE7968"/>
    <w:rsid w:val="00EF02B5"/>
    <w:rsid w:val="00EF0641"/>
    <w:rsid w:val="00EF0C37"/>
    <w:rsid w:val="00EF123D"/>
    <w:rsid w:val="00EF1D2B"/>
    <w:rsid w:val="00EF1E1E"/>
    <w:rsid w:val="00EF20AD"/>
    <w:rsid w:val="00EF20E3"/>
    <w:rsid w:val="00EF2823"/>
    <w:rsid w:val="00EF2EE0"/>
    <w:rsid w:val="00EF33E7"/>
    <w:rsid w:val="00EF3A57"/>
    <w:rsid w:val="00EF41B5"/>
    <w:rsid w:val="00EF41CC"/>
    <w:rsid w:val="00EF427F"/>
    <w:rsid w:val="00EF4322"/>
    <w:rsid w:val="00EF445C"/>
    <w:rsid w:val="00EF48B5"/>
    <w:rsid w:val="00EF50C5"/>
    <w:rsid w:val="00EF52BB"/>
    <w:rsid w:val="00EF556E"/>
    <w:rsid w:val="00EF5949"/>
    <w:rsid w:val="00EF5C85"/>
    <w:rsid w:val="00EF5F51"/>
    <w:rsid w:val="00EF6016"/>
    <w:rsid w:val="00EF60C4"/>
    <w:rsid w:val="00EF63E3"/>
    <w:rsid w:val="00EF6591"/>
    <w:rsid w:val="00EF6CE2"/>
    <w:rsid w:val="00EF6FA2"/>
    <w:rsid w:val="00EF740B"/>
    <w:rsid w:val="00EF7621"/>
    <w:rsid w:val="00EF7A33"/>
    <w:rsid w:val="00EF7CAB"/>
    <w:rsid w:val="00F004E5"/>
    <w:rsid w:val="00F0053E"/>
    <w:rsid w:val="00F005E7"/>
    <w:rsid w:val="00F00E1F"/>
    <w:rsid w:val="00F01506"/>
    <w:rsid w:val="00F01576"/>
    <w:rsid w:val="00F0169B"/>
    <w:rsid w:val="00F016A3"/>
    <w:rsid w:val="00F018DC"/>
    <w:rsid w:val="00F02757"/>
    <w:rsid w:val="00F0293F"/>
    <w:rsid w:val="00F02F34"/>
    <w:rsid w:val="00F03540"/>
    <w:rsid w:val="00F037AB"/>
    <w:rsid w:val="00F04097"/>
    <w:rsid w:val="00F056F0"/>
    <w:rsid w:val="00F05815"/>
    <w:rsid w:val="00F059BD"/>
    <w:rsid w:val="00F05BCA"/>
    <w:rsid w:val="00F0644C"/>
    <w:rsid w:val="00F06531"/>
    <w:rsid w:val="00F06A49"/>
    <w:rsid w:val="00F07069"/>
    <w:rsid w:val="00F070A0"/>
    <w:rsid w:val="00F070E5"/>
    <w:rsid w:val="00F071DF"/>
    <w:rsid w:val="00F072B1"/>
    <w:rsid w:val="00F0731F"/>
    <w:rsid w:val="00F077F3"/>
    <w:rsid w:val="00F079CE"/>
    <w:rsid w:val="00F07AFE"/>
    <w:rsid w:val="00F07E9A"/>
    <w:rsid w:val="00F07FCE"/>
    <w:rsid w:val="00F10279"/>
    <w:rsid w:val="00F1065B"/>
    <w:rsid w:val="00F10895"/>
    <w:rsid w:val="00F10F6E"/>
    <w:rsid w:val="00F112B7"/>
    <w:rsid w:val="00F1157A"/>
    <w:rsid w:val="00F11707"/>
    <w:rsid w:val="00F12350"/>
    <w:rsid w:val="00F12469"/>
    <w:rsid w:val="00F12FFA"/>
    <w:rsid w:val="00F13057"/>
    <w:rsid w:val="00F130B8"/>
    <w:rsid w:val="00F13139"/>
    <w:rsid w:val="00F1356C"/>
    <w:rsid w:val="00F139A1"/>
    <w:rsid w:val="00F14215"/>
    <w:rsid w:val="00F149F0"/>
    <w:rsid w:val="00F14CA8"/>
    <w:rsid w:val="00F14F41"/>
    <w:rsid w:val="00F15C42"/>
    <w:rsid w:val="00F15DA6"/>
    <w:rsid w:val="00F1617B"/>
    <w:rsid w:val="00F167C3"/>
    <w:rsid w:val="00F16E7C"/>
    <w:rsid w:val="00F17327"/>
    <w:rsid w:val="00F17614"/>
    <w:rsid w:val="00F20507"/>
    <w:rsid w:val="00F209A0"/>
    <w:rsid w:val="00F20A4F"/>
    <w:rsid w:val="00F20BF0"/>
    <w:rsid w:val="00F20EA3"/>
    <w:rsid w:val="00F210CB"/>
    <w:rsid w:val="00F210FA"/>
    <w:rsid w:val="00F21914"/>
    <w:rsid w:val="00F219EA"/>
    <w:rsid w:val="00F21DCA"/>
    <w:rsid w:val="00F21F31"/>
    <w:rsid w:val="00F2247B"/>
    <w:rsid w:val="00F227C5"/>
    <w:rsid w:val="00F23828"/>
    <w:rsid w:val="00F238D9"/>
    <w:rsid w:val="00F23AB9"/>
    <w:rsid w:val="00F23B30"/>
    <w:rsid w:val="00F23C6A"/>
    <w:rsid w:val="00F249C9"/>
    <w:rsid w:val="00F250FC"/>
    <w:rsid w:val="00F251A7"/>
    <w:rsid w:val="00F255DA"/>
    <w:rsid w:val="00F25F96"/>
    <w:rsid w:val="00F260F7"/>
    <w:rsid w:val="00F261FD"/>
    <w:rsid w:val="00F26522"/>
    <w:rsid w:val="00F26620"/>
    <w:rsid w:val="00F26D94"/>
    <w:rsid w:val="00F26E9D"/>
    <w:rsid w:val="00F27135"/>
    <w:rsid w:val="00F27386"/>
    <w:rsid w:val="00F2743B"/>
    <w:rsid w:val="00F3007D"/>
    <w:rsid w:val="00F300C1"/>
    <w:rsid w:val="00F3092B"/>
    <w:rsid w:val="00F3094C"/>
    <w:rsid w:val="00F31082"/>
    <w:rsid w:val="00F31824"/>
    <w:rsid w:val="00F31F01"/>
    <w:rsid w:val="00F32BD0"/>
    <w:rsid w:val="00F32C81"/>
    <w:rsid w:val="00F33348"/>
    <w:rsid w:val="00F334C7"/>
    <w:rsid w:val="00F3363B"/>
    <w:rsid w:val="00F339B7"/>
    <w:rsid w:val="00F33A9C"/>
    <w:rsid w:val="00F33B89"/>
    <w:rsid w:val="00F33C02"/>
    <w:rsid w:val="00F34A73"/>
    <w:rsid w:val="00F34BC1"/>
    <w:rsid w:val="00F34DFA"/>
    <w:rsid w:val="00F35031"/>
    <w:rsid w:val="00F35297"/>
    <w:rsid w:val="00F3599C"/>
    <w:rsid w:val="00F361C6"/>
    <w:rsid w:val="00F362FE"/>
    <w:rsid w:val="00F369CB"/>
    <w:rsid w:val="00F37432"/>
    <w:rsid w:val="00F3757F"/>
    <w:rsid w:val="00F37697"/>
    <w:rsid w:val="00F37C8C"/>
    <w:rsid w:val="00F401B4"/>
    <w:rsid w:val="00F40315"/>
    <w:rsid w:val="00F40494"/>
    <w:rsid w:val="00F405F5"/>
    <w:rsid w:val="00F40BB3"/>
    <w:rsid w:val="00F40C1A"/>
    <w:rsid w:val="00F40E5F"/>
    <w:rsid w:val="00F40FB3"/>
    <w:rsid w:val="00F411D5"/>
    <w:rsid w:val="00F41306"/>
    <w:rsid w:val="00F41E50"/>
    <w:rsid w:val="00F42117"/>
    <w:rsid w:val="00F421CB"/>
    <w:rsid w:val="00F42CE1"/>
    <w:rsid w:val="00F430A0"/>
    <w:rsid w:val="00F43173"/>
    <w:rsid w:val="00F43668"/>
    <w:rsid w:val="00F44794"/>
    <w:rsid w:val="00F44D84"/>
    <w:rsid w:val="00F44E32"/>
    <w:rsid w:val="00F4529A"/>
    <w:rsid w:val="00F469EC"/>
    <w:rsid w:val="00F46A8B"/>
    <w:rsid w:val="00F46E36"/>
    <w:rsid w:val="00F473B1"/>
    <w:rsid w:val="00F475BA"/>
    <w:rsid w:val="00F50088"/>
    <w:rsid w:val="00F5055E"/>
    <w:rsid w:val="00F507B7"/>
    <w:rsid w:val="00F50C18"/>
    <w:rsid w:val="00F51686"/>
    <w:rsid w:val="00F5191D"/>
    <w:rsid w:val="00F524C4"/>
    <w:rsid w:val="00F53495"/>
    <w:rsid w:val="00F5386C"/>
    <w:rsid w:val="00F538FA"/>
    <w:rsid w:val="00F54076"/>
    <w:rsid w:val="00F54782"/>
    <w:rsid w:val="00F54C2C"/>
    <w:rsid w:val="00F56971"/>
    <w:rsid w:val="00F56C87"/>
    <w:rsid w:val="00F56DBD"/>
    <w:rsid w:val="00F56F85"/>
    <w:rsid w:val="00F578C9"/>
    <w:rsid w:val="00F57E81"/>
    <w:rsid w:val="00F60090"/>
    <w:rsid w:val="00F60722"/>
    <w:rsid w:val="00F61152"/>
    <w:rsid w:val="00F6117D"/>
    <w:rsid w:val="00F614C0"/>
    <w:rsid w:val="00F615BA"/>
    <w:rsid w:val="00F61CF5"/>
    <w:rsid w:val="00F61DC2"/>
    <w:rsid w:val="00F61FB9"/>
    <w:rsid w:val="00F6227F"/>
    <w:rsid w:val="00F6229D"/>
    <w:rsid w:val="00F6278D"/>
    <w:rsid w:val="00F6286C"/>
    <w:rsid w:val="00F63019"/>
    <w:rsid w:val="00F63254"/>
    <w:rsid w:val="00F6360E"/>
    <w:rsid w:val="00F638A6"/>
    <w:rsid w:val="00F63B0B"/>
    <w:rsid w:val="00F63BF1"/>
    <w:rsid w:val="00F640F0"/>
    <w:rsid w:val="00F644F3"/>
    <w:rsid w:val="00F6521B"/>
    <w:rsid w:val="00F6586F"/>
    <w:rsid w:val="00F65F65"/>
    <w:rsid w:val="00F65F6F"/>
    <w:rsid w:val="00F660E7"/>
    <w:rsid w:val="00F6743D"/>
    <w:rsid w:val="00F675A0"/>
    <w:rsid w:val="00F7007F"/>
    <w:rsid w:val="00F701F9"/>
    <w:rsid w:val="00F702D3"/>
    <w:rsid w:val="00F7040E"/>
    <w:rsid w:val="00F70651"/>
    <w:rsid w:val="00F70BF5"/>
    <w:rsid w:val="00F70F34"/>
    <w:rsid w:val="00F70FB7"/>
    <w:rsid w:val="00F715D5"/>
    <w:rsid w:val="00F7161D"/>
    <w:rsid w:val="00F71DEE"/>
    <w:rsid w:val="00F71DF4"/>
    <w:rsid w:val="00F71E23"/>
    <w:rsid w:val="00F7230D"/>
    <w:rsid w:val="00F726D6"/>
    <w:rsid w:val="00F7278D"/>
    <w:rsid w:val="00F73323"/>
    <w:rsid w:val="00F733AA"/>
    <w:rsid w:val="00F73738"/>
    <w:rsid w:val="00F73B93"/>
    <w:rsid w:val="00F73EFE"/>
    <w:rsid w:val="00F73F82"/>
    <w:rsid w:val="00F73FCD"/>
    <w:rsid w:val="00F741DB"/>
    <w:rsid w:val="00F741DC"/>
    <w:rsid w:val="00F749DF"/>
    <w:rsid w:val="00F74AE4"/>
    <w:rsid w:val="00F74B24"/>
    <w:rsid w:val="00F7562D"/>
    <w:rsid w:val="00F75ACE"/>
    <w:rsid w:val="00F76521"/>
    <w:rsid w:val="00F76637"/>
    <w:rsid w:val="00F773D6"/>
    <w:rsid w:val="00F77B9C"/>
    <w:rsid w:val="00F77CF7"/>
    <w:rsid w:val="00F808EB"/>
    <w:rsid w:val="00F80E2A"/>
    <w:rsid w:val="00F80E83"/>
    <w:rsid w:val="00F80E8A"/>
    <w:rsid w:val="00F812CE"/>
    <w:rsid w:val="00F81607"/>
    <w:rsid w:val="00F81CCF"/>
    <w:rsid w:val="00F81E40"/>
    <w:rsid w:val="00F82011"/>
    <w:rsid w:val="00F823F6"/>
    <w:rsid w:val="00F82BF0"/>
    <w:rsid w:val="00F82C0E"/>
    <w:rsid w:val="00F830F6"/>
    <w:rsid w:val="00F83809"/>
    <w:rsid w:val="00F838B9"/>
    <w:rsid w:val="00F83E6F"/>
    <w:rsid w:val="00F83F2E"/>
    <w:rsid w:val="00F83FA3"/>
    <w:rsid w:val="00F84068"/>
    <w:rsid w:val="00F845EE"/>
    <w:rsid w:val="00F8485F"/>
    <w:rsid w:val="00F849BC"/>
    <w:rsid w:val="00F84B92"/>
    <w:rsid w:val="00F84D05"/>
    <w:rsid w:val="00F8520E"/>
    <w:rsid w:val="00F85357"/>
    <w:rsid w:val="00F8618F"/>
    <w:rsid w:val="00F86393"/>
    <w:rsid w:val="00F86A4F"/>
    <w:rsid w:val="00F86C26"/>
    <w:rsid w:val="00F86CBE"/>
    <w:rsid w:val="00F86DC1"/>
    <w:rsid w:val="00F86DED"/>
    <w:rsid w:val="00F86FB1"/>
    <w:rsid w:val="00F87384"/>
    <w:rsid w:val="00F87922"/>
    <w:rsid w:val="00F87D20"/>
    <w:rsid w:val="00F87F23"/>
    <w:rsid w:val="00F87F69"/>
    <w:rsid w:val="00F9083A"/>
    <w:rsid w:val="00F90C60"/>
    <w:rsid w:val="00F91457"/>
    <w:rsid w:val="00F9174B"/>
    <w:rsid w:val="00F9199D"/>
    <w:rsid w:val="00F91E88"/>
    <w:rsid w:val="00F9205A"/>
    <w:rsid w:val="00F92BAA"/>
    <w:rsid w:val="00F92C10"/>
    <w:rsid w:val="00F92DC8"/>
    <w:rsid w:val="00F93851"/>
    <w:rsid w:val="00F93878"/>
    <w:rsid w:val="00F939AC"/>
    <w:rsid w:val="00F93F3F"/>
    <w:rsid w:val="00F93F9F"/>
    <w:rsid w:val="00F94290"/>
    <w:rsid w:val="00F9523A"/>
    <w:rsid w:val="00F952C5"/>
    <w:rsid w:val="00F95509"/>
    <w:rsid w:val="00F95A17"/>
    <w:rsid w:val="00F963EC"/>
    <w:rsid w:val="00F9650F"/>
    <w:rsid w:val="00F96C4D"/>
    <w:rsid w:val="00F96DDB"/>
    <w:rsid w:val="00F9700C"/>
    <w:rsid w:val="00F97763"/>
    <w:rsid w:val="00F97FB3"/>
    <w:rsid w:val="00FA00BC"/>
    <w:rsid w:val="00FA0F51"/>
    <w:rsid w:val="00FA118B"/>
    <w:rsid w:val="00FA1590"/>
    <w:rsid w:val="00FA1A6B"/>
    <w:rsid w:val="00FA234B"/>
    <w:rsid w:val="00FA2519"/>
    <w:rsid w:val="00FA2705"/>
    <w:rsid w:val="00FA2BA0"/>
    <w:rsid w:val="00FA3B5E"/>
    <w:rsid w:val="00FA4640"/>
    <w:rsid w:val="00FA4963"/>
    <w:rsid w:val="00FA49C4"/>
    <w:rsid w:val="00FA4D4A"/>
    <w:rsid w:val="00FA58FA"/>
    <w:rsid w:val="00FA6247"/>
    <w:rsid w:val="00FA63E9"/>
    <w:rsid w:val="00FA6557"/>
    <w:rsid w:val="00FA6659"/>
    <w:rsid w:val="00FA6B73"/>
    <w:rsid w:val="00FA6C20"/>
    <w:rsid w:val="00FA6C85"/>
    <w:rsid w:val="00FA6DA1"/>
    <w:rsid w:val="00FA6E84"/>
    <w:rsid w:val="00FA71AB"/>
    <w:rsid w:val="00FA7209"/>
    <w:rsid w:val="00FA7746"/>
    <w:rsid w:val="00FA7CC6"/>
    <w:rsid w:val="00FB0787"/>
    <w:rsid w:val="00FB07BE"/>
    <w:rsid w:val="00FB07FE"/>
    <w:rsid w:val="00FB1362"/>
    <w:rsid w:val="00FB14EE"/>
    <w:rsid w:val="00FB1850"/>
    <w:rsid w:val="00FB1925"/>
    <w:rsid w:val="00FB1C56"/>
    <w:rsid w:val="00FB2196"/>
    <w:rsid w:val="00FB2650"/>
    <w:rsid w:val="00FB2802"/>
    <w:rsid w:val="00FB2D5A"/>
    <w:rsid w:val="00FB2F4C"/>
    <w:rsid w:val="00FB369B"/>
    <w:rsid w:val="00FB420E"/>
    <w:rsid w:val="00FB476C"/>
    <w:rsid w:val="00FB4856"/>
    <w:rsid w:val="00FB48D6"/>
    <w:rsid w:val="00FB5634"/>
    <w:rsid w:val="00FB628A"/>
    <w:rsid w:val="00FB6420"/>
    <w:rsid w:val="00FB656B"/>
    <w:rsid w:val="00FB661E"/>
    <w:rsid w:val="00FB6EFE"/>
    <w:rsid w:val="00FB6F69"/>
    <w:rsid w:val="00FB71B2"/>
    <w:rsid w:val="00FB7A55"/>
    <w:rsid w:val="00FB7C28"/>
    <w:rsid w:val="00FB7C2E"/>
    <w:rsid w:val="00FB7CB6"/>
    <w:rsid w:val="00FB7F88"/>
    <w:rsid w:val="00FC026C"/>
    <w:rsid w:val="00FC0983"/>
    <w:rsid w:val="00FC10E1"/>
    <w:rsid w:val="00FC13AE"/>
    <w:rsid w:val="00FC19DE"/>
    <w:rsid w:val="00FC1FB3"/>
    <w:rsid w:val="00FC2111"/>
    <w:rsid w:val="00FC221B"/>
    <w:rsid w:val="00FC22D7"/>
    <w:rsid w:val="00FC22EA"/>
    <w:rsid w:val="00FC23A3"/>
    <w:rsid w:val="00FC25C4"/>
    <w:rsid w:val="00FC2995"/>
    <w:rsid w:val="00FC3025"/>
    <w:rsid w:val="00FC30C7"/>
    <w:rsid w:val="00FC33D2"/>
    <w:rsid w:val="00FC3573"/>
    <w:rsid w:val="00FC3982"/>
    <w:rsid w:val="00FC3FC0"/>
    <w:rsid w:val="00FC44A1"/>
    <w:rsid w:val="00FC47A9"/>
    <w:rsid w:val="00FC49B3"/>
    <w:rsid w:val="00FC4A7A"/>
    <w:rsid w:val="00FC4E4F"/>
    <w:rsid w:val="00FC51A9"/>
    <w:rsid w:val="00FC5274"/>
    <w:rsid w:val="00FC52B1"/>
    <w:rsid w:val="00FC52D3"/>
    <w:rsid w:val="00FC58FD"/>
    <w:rsid w:val="00FC5D00"/>
    <w:rsid w:val="00FC5FD4"/>
    <w:rsid w:val="00FC6325"/>
    <w:rsid w:val="00FC6387"/>
    <w:rsid w:val="00FC683E"/>
    <w:rsid w:val="00FC6999"/>
    <w:rsid w:val="00FC6A62"/>
    <w:rsid w:val="00FC6F0D"/>
    <w:rsid w:val="00FC6F63"/>
    <w:rsid w:val="00FC72F1"/>
    <w:rsid w:val="00FC789B"/>
    <w:rsid w:val="00FC78AE"/>
    <w:rsid w:val="00FC79F9"/>
    <w:rsid w:val="00FD01A1"/>
    <w:rsid w:val="00FD03F2"/>
    <w:rsid w:val="00FD06A0"/>
    <w:rsid w:val="00FD09E4"/>
    <w:rsid w:val="00FD0EB6"/>
    <w:rsid w:val="00FD0F0E"/>
    <w:rsid w:val="00FD10F5"/>
    <w:rsid w:val="00FD197B"/>
    <w:rsid w:val="00FD19B6"/>
    <w:rsid w:val="00FD27CB"/>
    <w:rsid w:val="00FD2A38"/>
    <w:rsid w:val="00FD2B89"/>
    <w:rsid w:val="00FD317B"/>
    <w:rsid w:val="00FD345B"/>
    <w:rsid w:val="00FD3659"/>
    <w:rsid w:val="00FD3885"/>
    <w:rsid w:val="00FD38DB"/>
    <w:rsid w:val="00FD3950"/>
    <w:rsid w:val="00FD462F"/>
    <w:rsid w:val="00FD4A5A"/>
    <w:rsid w:val="00FD4D58"/>
    <w:rsid w:val="00FD54F9"/>
    <w:rsid w:val="00FD5B69"/>
    <w:rsid w:val="00FD5D31"/>
    <w:rsid w:val="00FD5ED0"/>
    <w:rsid w:val="00FD5F81"/>
    <w:rsid w:val="00FD627A"/>
    <w:rsid w:val="00FD654F"/>
    <w:rsid w:val="00FD6F5B"/>
    <w:rsid w:val="00FD6FC4"/>
    <w:rsid w:val="00FD70F2"/>
    <w:rsid w:val="00FD70F8"/>
    <w:rsid w:val="00FD711A"/>
    <w:rsid w:val="00FD718A"/>
    <w:rsid w:val="00FD73A4"/>
    <w:rsid w:val="00FD7589"/>
    <w:rsid w:val="00FE046B"/>
    <w:rsid w:val="00FE0FC5"/>
    <w:rsid w:val="00FE1B02"/>
    <w:rsid w:val="00FE1F5A"/>
    <w:rsid w:val="00FE2795"/>
    <w:rsid w:val="00FE288E"/>
    <w:rsid w:val="00FE2B0E"/>
    <w:rsid w:val="00FE3261"/>
    <w:rsid w:val="00FE32CF"/>
    <w:rsid w:val="00FE3578"/>
    <w:rsid w:val="00FE3841"/>
    <w:rsid w:val="00FE385E"/>
    <w:rsid w:val="00FE3E59"/>
    <w:rsid w:val="00FE4EAB"/>
    <w:rsid w:val="00FE588A"/>
    <w:rsid w:val="00FE58FA"/>
    <w:rsid w:val="00FE5928"/>
    <w:rsid w:val="00FE5AE2"/>
    <w:rsid w:val="00FE5CA1"/>
    <w:rsid w:val="00FE5D48"/>
    <w:rsid w:val="00FE5FD4"/>
    <w:rsid w:val="00FE6A4F"/>
    <w:rsid w:val="00FE6BFD"/>
    <w:rsid w:val="00FE703B"/>
    <w:rsid w:val="00FE7109"/>
    <w:rsid w:val="00FE74CF"/>
    <w:rsid w:val="00FE7502"/>
    <w:rsid w:val="00FE75A8"/>
    <w:rsid w:val="00FE76F3"/>
    <w:rsid w:val="00FE78BF"/>
    <w:rsid w:val="00FE7D64"/>
    <w:rsid w:val="00FE7E37"/>
    <w:rsid w:val="00FF0057"/>
    <w:rsid w:val="00FF0085"/>
    <w:rsid w:val="00FF04B6"/>
    <w:rsid w:val="00FF0E96"/>
    <w:rsid w:val="00FF142D"/>
    <w:rsid w:val="00FF149E"/>
    <w:rsid w:val="00FF1B64"/>
    <w:rsid w:val="00FF1C43"/>
    <w:rsid w:val="00FF2116"/>
    <w:rsid w:val="00FF21EE"/>
    <w:rsid w:val="00FF2266"/>
    <w:rsid w:val="00FF2351"/>
    <w:rsid w:val="00FF2815"/>
    <w:rsid w:val="00FF2B18"/>
    <w:rsid w:val="00FF3477"/>
    <w:rsid w:val="00FF3A3D"/>
    <w:rsid w:val="00FF3E29"/>
    <w:rsid w:val="00FF41DE"/>
    <w:rsid w:val="00FF4919"/>
    <w:rsid w:val="00FF4AF4"/>
    <w:rsid w:val="00FF4BD5"/>
    <w:rsid w:val="00FF4C9B"/>
    <w:rsid w:val="00FF4D5C"/>
    <w:rsid w:val="00FF4F9A"/>
    <w:rsid w:val="00FF5474"/>
    <w:rsid w:val="00FF5508"/>
    <w:rsid w:val="00FF57AF"/>
    <w:rsid w:val="00FF5B60"/>
    <w:rsid w:val="00FF5D72"/>
    <w:rsid w:val="00FF62CB"/>
    <w:rsid w:val="00FF63B4"/>
    <w:rsid w:val="00FF6AC5"/>
    <w:rsid w:val="00FF6C8B"/>
    <w:rsid w:val="00FF6CBA"/>
    <w:rsid w:val="00FF74B3"/>
    <w:rsid w:val="00FF7786"/>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51FD563"/>
  <w15:docId w15:val="{19757C3A-CF3D-428B-A960-6579733702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F4680"/>
    <w:rPr>
      <w:rFonts w:ascii="Times New Roman" w:eastAsia="Times New Roman" w:hAnsi="Times New Roman" w:cs="Times New Roman"/>
      <w:lang w:val="es-MX" w:eastAsia="es-MX"/>
    </w:rPr>
  </w:style>
  <w:style w:type="paragraph" w:styleId="Ttulo1">
    <w:name w:val="heading 1"/>
    <w:basedOn w:val="Normal"/>
    <w:next w:val="Normal"/>
    <w:link w:val="Ttulo1Car"/>
    <w:uiPriority w:val="9"/>
    <w:qFormat/>
    <w:rsid w:val="00603D72"/>
    <w:pPr>
      <w:keepNext/>
      <w:keepLines/>
      <w:spacing w:before="240"/>
      <w:outlineLvl w:val="0"/>
    </w:pPr>
    <w:rPr>
      <w:rFonts w:asciiTheme="majorHAnsi" w:eastAsiaTheme="majorEastAsia" w:hAnsiTheme="majorHAnsi" w:cstheme="majorBidi"/>
      <w:color w:val="365F91" w:themeColor="accent1" w:themeShade="BF"/>
      <w:sz w:val="32"/>
      <w:szCs w:val="32"/>
      <w:lang w:val="es-ES" w:eastAsia="es-ES"/>
    </w:rPr>
  </w:style>
  <w:style w:type="paragraph" w:styleId="Ttulo2">
    <w:name w:val="heading 2"/>
    <w:basedOn w:val="Normal"/>
    <w:next w:val="Normal"/>
    <w:link w:val="Ttulo2Car"/>
    <w:uiPriority w:val="9"/>
    <w:unhideWhenUsed/>
    <w:qFormat/>
    <w:rsid w:val="00603D72"/>
    <w:pPr>
      <w:keepNext/>
      <w:keepLines/>
      <w:spacing w:before="40"/>
      <w:outlineLvl w:val="1"/>
    </w:pPr>
    <w:rPr>
      <w:rFonts w:asciiTheme="majorHAnsi" w:eastAsiaTheme="majorEastAsia" w:hAnsiTheme="majorHAnsi" w:cstheme="majorBidi"/>
      <w:color w:val="365F91" w:themeColor="accent1" w:themeShade="BF"/>
      <w:sz w:val="26"/>
      <w:szCs w:val="26"/>
      <w:lang w:val="es-ES" w:eastAsia="es-ES"/>
    </w:rPr>
  </w:style>
  <w:style w:type="paragraph" w:styleId="Ttulo3">
    <w:name w:val="heading 3"/>
    <w:basedOn w:val="Normal"/>
    <w:next w:val="Normal"/>
    <w:link w:val="Ttulo3Car"/>
    <w:uiPriority w:val="9"/>
    <w:semiHidden/>
    <w:unhideWhenUsed/>
    <w:qFormat/>
    <w:rsid w:val="00570816"/>
    <w:pPr>
      <w:keepNext/>
      <w:keepLines/>
      <w:spacing w:before="40"/>
      <w:outlineLvl w:val="2"/>
    </w:pPr>
    <w:rPr>
      <w:rFonts w:asciiTheme="majorHAnsi" w:eastAsiaTheme="majorEastAsia" w:hAnsiTheme="majorHAnsi" w:cstheme="majorBidi"/>
      <w:color w:val="243F60" w:themeColor="accent1" w:themeShade="7F"/>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eastAsia="es-ES"/>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eastAsia="es-ES"/>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eastAsia="es-ES"/>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70703E"/>
    <w:pPr>
      <w:ind w:left="720"/>
      <w:contextualSpacing/>
    </w:pPr>
    <w:rPr>
      <w:lang w:val="es-ES" w:eastAsia="es-ES"/>
    </w:r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rPr>
      <w:lang w:val="es-ES" w:eastAsia="es-ES"/>
    </w:r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aliases w:val="independiente,independiente Car Car Car"/>
    <w:basedOn w:val="Normal"/>
    <w:link w:val="TextoCar"/>
    <w:qFormat/>
    <w:rsid w:val="000470FE"/>
    <w:pPr>
      <w:spacing w:after="101" w:line="216" w:lineRule="exact"/>
      <w:ind w:firstLine="288"/>
      <w:jc w:val="both"/>
    </w:pPr>
    <w:rPr>
      <w:rFonts w:ascii="Arial" w:hAnsi="Arial" w:cs="Arial"/>
      <w:sz w:val="18"/>
      <w:szCs w:val="18"/>
      <w:lang w:eastAsia="es-ES"/>
    </w:rPr>
  </w:style>
  <w:style w:type="paragraph" w:styleId="NormalWeb">
    <w:name w:val="Normal (Web)"/>
    <w:basedOn w:val="Normal"/>
    <w:uiPriority w:val="99"/>
    <w:rsid w:val="000470FE"/>
    <w:pPr>
      <w:spacing w:before="100" w:beforeAutospacing="1" w:after="100" w:afterAutospacing="1"/>
    </w:pPr>
    <w:rPr>
      <w:lang w:val="es-ES" w:eastAsia="es-ES"/>
    </w:r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2944C8"/>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rsid w:val="002944C8"/>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nhideWhenUsed/>
    <w:qFormat/>
    <w:rsid w:val="002944C8"/>
    <w:rPr>
      <w:vertAlign w:val="superscript"/>
    </w:rPr>
  </w:style>
  <w:style w:type="paragraph" w:styleId="Sinespaciado">
    <w:name w:val="No Spacing"/>
    <w:aliases w:val="Francesa"/>
    <w:link w:val="SinespaciadoCar"/>
    <w:uiPriority w:val="1"/>
    <w:qFormat/>
    <w:rsid w:val="002944C8"/>
    <w:rPr>
      <w:rFonts w:ascii="Times New Roman" w:eastAsia="Times New Roman" w:hAnsi="Times New Roman" w:cs="Times New Roman"/>
      <w:lang w:val="es-MX"/>
    </w:rPr>
  </w:style>
  <w:style w:type="paragraph" w:styleId="Textoindependiente2">
    <w:name w:val="Body Text 2"/>
    <w:basedOn w:val="Normal"/>
    <w:link w:val="Textoindependiente2Car"/>
    <w:uiPriority w:val="99"/>
    <w:unhideWhenUsed/>
    <w:rsid w:val="002944C8"/>
    <w:pPr>
      <w:spacing w:after="120" w:line="480" w:lineRule="auto"/>
    </w:pPr>
    <w:rPr>
      <w:lang w:val="es-ES" w:eastAsia="es-ES"/>
    </w:r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lang w:val="es-ES" w:eastAsia="es-ES"/>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
    <w:link w:val="Sinespaciado"/>
    <w:uiPriority w:val="1"/>
    <w:locked/>
    <w:rsid w:val="00270539"/>
    <w:rPr>
      <w:rFonts w:ascii="Times New Roman" w:eastAsia="Times New Roman" w:hAnsi="Times New Roman" w:cs="Times New Roman"/>
      <w:lang w:val="es-MX"/>
    </w:rPr>
  </w:style>
  <w:style w:type="character" w:customStyle="1" w:styleId="medium">
    <w:name w:val="medium"/>
    <w:basedOn w:val="Fuentedeprrafopredeter"/>
    <w:rsid w:val="00354DB7"/>
  </w:style>
  <w:style w:type="table" w:styleId="Tablaconcuadrcula">
    <w:name w:val="Table Grid"/>
    <w:basedOn w:val="Tablanormal"/>
    <w:uiPriority w:val="59"/>
    <w:rsid w:val="00BB3AE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umeroconsecutivo">
    <w:name w:val="numeroconsecutivo"/>
    <w:basedOn w:val="Fuentedeprrafopredeter"/>
    <w:rsid w:val="00615060"/>
  </w:style>
  <w:style w:type="character" w:customStyle="1" w:styleId="titulorubrolgt">
    <w:name w:val="titulorubrolgt"/>
    <w:basedOn w:val="Fuentedeprrafopredeter"/>
    <w:rsid w:val="00615060"/>
  </w:style>
  <w:style w:type="character" w:customStyle="1" w:styleId="ctr">
    <w:name w:val="ctr"/>
    <w:basedOn w:val="Fuentedeprrafopredeter"/>
    <w:rsid w:val="00615060"/>
  </w:style>
  <w:style w:type="paragraph" w:styleId="Textonotaalfinal">
    <w:name w:val="endnote text"/>
    <w:basedOn w:val="Normal"/>
    <w:link w:val="TextonotaalfinalCar"/>
    <w:uiPriority w:val="99"/>
    <w:semiHidden/>
    <w:unhideWhenUsed/>
    <w:rsid w:val="00D25E88"/>
    <w:rPr>
      <w:sz w:val="20"/>
      <w:szCs w:val="20"/>
      <w:lang w:val="es-ES" w:eastAsia="es-ES"/>
    </w:rPr>
  </w:style>
  <w:style w:type="character" w:customStyle="1" w:styleId="TextonotaalfinalCar">
    <w:name w:val="Texto nota al final Car"/>
    <w:basedOn w:val="Fuentedeprrafopredeter"/>
    <w:link w:val="Textonotaalfinal"/>
    <w:uiPriority w:val="99"/>
    <w:semiHidden/>
    <w:rsid w:val="00D25E88"/>
    <w:rPr>
      <w:rFonts w:ascii="Times New Roman" w:eastAsia="Times New Roman" w:hAnsi="Times New Roman" w:cs="Times New Roman"/>
      <w:sz w:val="20"/>
      <w:szCs w:val="20"/>
      <w:lang w:val="es-ES"/>
    </w:rPr>
  </w:style>
  <w:style w:type="character" w:styleId="Refdenotaalfinal">
    <w:name w:val="endnote reference"/>
    <w:basedOn w:val="Fuentedeprrafopredeter"/>
    <w:uiPriority w:val="99"/>
    <w:semiHidden/>
    <w:unhideWhenUsed/>
    <w:rsid w:val="00D25E88"/>
    <w:rPr>
      <w:vertAlign w:val="superscript"/>
    </w:rPr>
  </w:style>
  <w:style w:type="character" w:customStyle="1" w:styleId="A1">
    <w:name w:val="A1"/>
    <w:uiPriority w:val="99"/>
    <w:rsid w:val="00EC4ECD"/>
    <w:rPr>
      <w:rFonts w:ascii="Myriad Pro" w:hAnsi="Myriad Pro" w:cs="Myriad Pro" w:hint="default"/>
      <w:color w:val="000000"/>
      <w:sz w:val="22"/>
      <w:szCs w:val="22"/>
    </w:rPr>
  </w:style>
  <w:style w:type="paragraph" w:customStyle="1" w:styleId="Pa9">
    <w:name w:val="Pa9"/>
    <w:basedOn w:val="Normal"/>
    <w:next w:val="Normal"/>
    <w:uiPriority w:val="99"/>
    <w:rsid w:val="00EC4ECD"/>
    <w:pPr>
      <w:autoSpaceDE w:val="0"/>
      <w:autoSpaceDN w:val="0"/>
      <w:adjustRightInd w:val="0"/>
      <w:spacing w:line="241" w:lineRule="atLeast"/>
    </w:pPr>
    <w:rPr>
      <w:rFonts w:ascii="Myriad Pro" w:eastAsiaTheme="minorHAnsi" w:hAnsi="Myriad Pro" w:cstheme="minorBidi"/>
      <w:lang w:eastAsia="en-US"/>
    </w:rPr>
  </w:style>
  <w:style w:type="paragraph" w:customStyle="1" w:styleId="Pa5">
    <w:name w:val="Pa5"/>
    <w:basedOn w:val="Normal"/>
    <w:next w:val="Normal"/>
    <w:uiPriority w:val="99"/>
    <w:rsid w:val="00EC4ECD"/>
    <w:pPr>
      <w:autoSpaceDE w:val="0"/>
      <w:autoSpaceDN w:val="0"/>
      <w:adjustRightInd w:val="0"/>
      <w:spacing w:line="201" w:lineRule="atLeast"/>
    </w:pPr>
    <w:rPr>
      <w:rFonts w:ascii="Myriad Pro" w:eastAsiaTheme="minorHAnsi" w:hAnsi="Myriad Pro" w:cstheme="minorBidi"/>
      <w:lang w:eastAsia="en-US"/>
    </w:rPr>
  </w:style>
  <w:style w:type="paragraph" w:customStyle="1" w:styleId="m5127500252372250437gmail-paragraph">
    <w:name w:val="m_5127500252372250437gmail-paragraph"/>
    <w:basedOn w:val="Normal"/>
    <w:rsid w:val="00980B7E"/>
    <w:pPr>
      <w:spacing w:before="100" w:beforeAutospacing="1" w:after="100" w:afterAutospacing="1"/>
    </w:pPr>
  </w:style>
  <w:style w:type="character" w:customStyle="1" w:styleId="nombrefraccder">
    <w:name w:val="nombrefraccder"/>
    <w:basedOn w:val="Fuentedeprrafopredeter"/>
    <w:rsid w:val="009B4A68"/>
  </w:style>
  <w:style w:type="character" w:customStyle="1" w:styleId="numberfraccder">
    <w:name w:val="numberfraccder"/>
    <w:basedOn w:val="Fuentedeprrafopredeter"/>
    <w:rsid w:val="009B4A68"/>
  </w:style>
  <w:style w:type="character" w:customStyle="1" w:styleId="TextoCar">
    <w:name w:val="Texto Car"/>
    <w:link w:val="Texto"/>
    <w:locked/>
    <w:rsid w:val="002B0963"/>
    <w:rPr>
      <w:rFonts w:ascii="Arial" w:eastAsia="Times New Roman" w:hAnsi="Arial" w:cs="Arial"/>
      <w:sz w:val="18"/>
      <w:szCs w:val="18"/>
      <w:lang w:val="es-MX"/>
    </w:rPr>
  </w:style>
  <w:style w:type="character" w:styleId="nfasis">
    <w:name w:val="Emphasis"/>
    <w:basedOn w:val="Fuentedeprrafopredeter"/>
    <w:uiPriority w:val="20"/>
    <w:qFormat/>
    <w:rsid w:val="00C536F2"/>
    <w:rPr>
      <w:i/>
      <w:iCs/>
    </w:rPr>
  </w:style>
  <w:style w:type="character" w:customStyle="1" w:styleId="normaltextrun">
    <w:name w:val="normaltextrun"/>
    <w:basedOn w:val="Fuentedeprrafopredeter"/>
    <w:rsid w:val="0011437B"/>
  </w:style>
  <w:style w:type="character" w:customStyle="1" w:styleId="m5127500252372250437gmail-normaltextrun">
    <w:name w:val="m_5127500252372250437gmail-normaltextrun"/>
    <w:basedOn w:val="Fuentedeprrafopredeter"/>
    <w:rsid w:val="0011437B"/>
  </w:style>
  <w:style w:type="paragraph" w:customStyle="1" w:styleId="m-60081275284358516gmail-msolistparagraph">
    <w:name w:val="m_-60081275284358516gmail-msolistparagraph"/>
    <w:basedOn w:val="Normal"/>
    <w:rsid w:val="00207C90"/>
    <w:pPr>
      <w:spacing w:before="100" w:beforeAutospacing="1" w:after="100" w:afterAutospacing="1"/>
    </w:pPr>
  </w:style>
  <w:style w:type="paragraph" w:customStyle="1" w:styleId="ANOTACION">
    <w:name w:val="ANOTACION"/>
    <w:basedOn w:val="Normal"/>
    <w:link w:val="ANOTACIONCar"/>
    <w:rsid w:val="001B5A73"/>
    <w:pPr>
      <w:spacing w:before="101" w:after="101" w:line="216" w:lineRule="atLeast"/>
      <w:jc w:val="center"/>
    </w:pPr>
    <w:rPr>
      <w:b/>
      <w:sz w:val="18"/>
      <w:szCs w:val="20"/>
      <w:lang w:val="es-ES_tradnl" w:eastAsia="es-ES"/>
    </w:rPr>
  </w:style>
  <w:style w:type="character" w:customStyle="1" w:styleId="ANOTACIONCar">
    <w:name w:val="ANOTACION Car"/>
    <w:link w:val="ANOTACION"/>
    <w:locked/>
    <w:rsid w:val="001B5A73"/>
    <w:rPr>
      <w:rFonts w:ascii="Times New Roman" w:eastAsia="Times New Roman" w:hAnsi="Times New Roman" w:cs="Times New Roman"/>
      <w:b/>
      <w:sz w:val="18"/>
      <w:szCs w:val="20"/>
    </w:rPr>
  </w:style>
  <w:style w:type="paragraph" w:customStyle="1" w:styleId="j">
    <w:name w:val="j"/>
    <w:basedOn w:val="Normal"/>
    <w:rsid w:val="007B00BD"/>
    <w:pPr>
      <w:spacing w:before="100" w:beforeAutospacing="1" w:after="100" w:afterAutospacing="1"/>
    </w:pPr>
  </w:style>
  <w:style w:type="character" w:customStyle="1" w:styleId="nacep">
    <w:name w:val="n_acep"/>
    <w:basedOn w:val="Fuentedeprrafopredeter"/>
    <w:rsid w:val="007B00BD"/>
  </w:style>
  <w:style w:type="paragraph" w:customStyle="1" w:styleId="k5">
    <w:name w:val="k5"/>
    <w:basedOn w:val="Normal"/>
    <w:rsid w:val="007B00BD"/>
    <w:pPr>
      <w:spacing w:before="100" w:beforeAutospacing="1" w:after="100" w:afterAutospacing="1"/>
    </w:pPr>
  </w:style>
  <w:style w:type="paragraph" w:customStyle="1" w:styleId="m">
    <w:name w:val="m"/>
    <w:basedOn w:val="Normal"/>
    <w:rsid w:val="007B00BD"/>
    <w:pPr>
      <w:spacing w:before="100" w:beforeAutospacing="1" w:after="100" w:afterAutospacing="1"/>
    </w:pPr>
  </w:style>
  <w:style w:type="character" w:styleId="Refdecomentario">
    <w:name w:val="annotation reference"/>
    <w:basedOn w:val="Fuentedeprrafopredeter"/>
    <w:uiPriority w:val="99"/>
    <w:semiHidden/>
    <w:unhideWhenUsed/>
    <w:rsid w:val="003219FE"/>
    <w:rPr>
      <w:sz w:val="16"/>
      <w:szCs w:val="16"/>
    </w:rPr>
  </w:style>
  <w:style w:type="paragraph" w:styleId="Textocomentario">
    <w:name w:val="annotation text"/>
    <w:basedOn w:val="Normal"/>
    <w:link w:val="TextocomentarioCar"/>
    <w:uiPriority w:val="99"/>
    <w:semiHidden/>
    <w:unhideWhenUsed/>
    <w:rsid w:val="003219FE"/>
    <w:rPr>
      <w:sz w:val="20"/>
      <w:szCs w:val="20"/>
      <w:lang w:val="es-ES" w:eastAsia="es-ES"/>
    </w:rPr>
  </w:style>
  <w:style w:type="character" w:customStyle="1" w:styleId="TextocomentarioCar">
    <w:name w:val="Texto comentario Car"/>
    <w:basedOn w:val="Fuentedeprrafopredeter"/>
    <w:link w:val="Textocomentario"/>
    <w:uiPriority w:val="99"/>
    <w:semiHidden/>
    <w:rsid w:val="003219FE"/>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3219FE"/>
    <w:rPr>
      <w:b/>
      <w:bCs/>
    </w:rPr>
  </w:style>
  <w:style w:type="character" w:customStyle="1" w:styleId="AsuntodelcomentarioCar">
    <w:name w:val="Asunto del comentario Car"/>
    <w:basedOn w:val="TextocomentarioCar"/>
    <w:link w:val="Asuntodelcomentario"/>
    <w:uiPriority w:val="99"/>
    <w:semiHidden/>
    <w:rsid w:val="003219FE"/>
    <w:rPr>
      <w:rFonts w:ascii="Times New Roman" w:eastAsia="Times New Roman" w:hAnsi="Times New Roman" w:cs="Times New Roman"/>
      <w:b/>
      <w:bCs/>
      <w:sz w:val="20"/>
      <w:szCs w:val="20"/>
      <w:lang w:val="es-ES"/>
    </w:rPr>
  </w:style>
  <w:style w:type="paragraph" w:customStyle="1" w:styleId="FAFunotente1">
    <w:name w:val="FA Fu?notente1"/>
    <w:basedOn w:val="Normal"/>
    <w:next w:val="Textonotapie"/>
    <w:uiPriority w:val="99"/>
    <w:unhideWhenUsed/>
    <w:rsid w:val="00A403D3"/>
    <w:rPr>
      <w:rFonts w:asciiTheme="minorHAnsi" w:eastAsia="Cambria" w:hAnsiTheme="minorHAnsi" w:cstheme="minorBidi"/>
      <w:sz w:val="20"/>
      <w:szCs w:val="20"/>
      <w:lang w:eastAsia="en-US"/>
    </w:rPr>
  </w:style>
  <w:style w:type="character" w:customStyle="1" w:styleId="Ttulo1Car">
    <w:name w:val="Título 1 Car"/>
    <w:basedOn w:val="Fuentedeprrafopredeter"/>
    <w:link w:val="Ttulo1"/>
    <w:uiPriority w:val="9"/>
    <w:rsid w:val="00603D72"/>
    <w:rPr>
      <w:rFonts w:asciiTheme="majorHAnsi" w:eastAsiaTheme="majorEastAsia" w:hAnsiTheme="majorHAnsi" w:cstheme="majorBidi"/>
      <w:color w:val="365F91" w:themeColor="accent1" w:themeShade="BF"/>
      <w:sz w:val="32"/>
      <w:szCs w:val="32"/>
      <w:lang w:val="es-ES"/>
    </w:rPr>
  </w:style>
  <w:style w:type="character" w:customStyle="1" w:styleId="Ttulo2Car">
    <w:name w:val="Título 2 Car"/>
    <w:basedOn w:val="Fuentedeprrafopredeter"/>
    <w:link w:val="Ttulo2"/>
    <w:uiPriority w:val="9"/>
    <w:rsid w:val="00603D72"/>
    <w:rPr>
      <w:rFonts w:asciiTheme="majorHAnsi" w:eastAsiaTheme="majorEastAsia" w:hAnsiTheme="majorHAnsi" w:cstheme="majorBidi"/>
      <w:color w:val="365F91" w:themeColor="accent1" w:themeShade="BF"/>
      <w:sz w:val="26"/>
      <w:szCs w:val="26"/>
      <w:lang w:val="es-ES"/>
    </w:rPr>
  </w:style>
  <w:style w:type="paragraph" w:styleId="Lista">
    <w:name w:val="List"/>
    <w:basedOn w:val="Normal"/>
    <w:uiPriority w:val="99"/>
    <w:unhideWhenUsed/>
    <w:rsid w:val="00603D72"/>
    <w:pPr>
      <w:ind w:left="283" w:hanging="283"/>
      <w:contextualSpacing/>
    </w:pPr>
    <w:rPr>
      <w:lang w:val="es-ES" w:eastAsia="es-ES"/>
    </w:rPr>
  </w:style>
  <w:style w:type="paragraph" w:styleId="Lista2">
    <w:name w:val="List 2"/>
    <w:basedOn w:val="Normal"/>
    <w:uiPriority w:val="99"/>
    <w:unhideWhenUsed/>
    <w:rsid w:val="00603D72"/>
    <w:pPr>
      <w:ind w:left="566" w:hanging="283"/>
      <w:contextualSpacing/>
    </w:pPr>
    <w:rPr>
      <w:lang w:val="es-ES" w:eastAsia="es-ES"/>
    </w:rPr>
  </w:style>
  <w:style w:type="paragraph" w:styleId="Lista3">
    <w:name w:val="List 3"/>
    <w:basedOn w:val="Normal"/>
    <w:uiPriority w:val="99"/>
    <w:unhideWhenUsed/>
    <w:rsid w:val="00603D72"/>
    <w:pPr>
      <w:ind w:left="849" w:hanging="283"/>
      <w:contextualSpacing/>
    </w:pPr>
    <w:rPr>
      <w:lang w:val="es-ES" w:eastAsia="es-ES"/>
    </w:rPr>
  </w:style>
  <w:style w:type="paragraph" w:styleId="Listaconvietas3">
    <w:name w:val="List Bullet 3"/>
    <w:basedOn w:val="Normal"/>
    <w:uiPriority w:val="99"/>
    <w:unhideWhenUsed/>
    <w:rsid w:val="00603D72"/>
    <w:pPr>
      <w:numPr>
        <w:numId w:val="2"/>
      </w:numPr>
      <w:contextualSpacing/>
    </w:pPr>
    <w:rPr>
      <w:lang w:val="es-ES" w:eastAsia="es-ES"/>
    </w:rPr>
  </w:style>
  <w:style w:type="paragraph" w:styleId="Continuarlista">
    <w:name w:val="List Continue"/>
    <w:basedOn w:val="Normal"/>
    <w:uiPriority w:val="99"/>
    <w:unhideWhenUsed/>
    <w:rsid w:val="00603D72"/>
    <w:pPr>
      <w:spacing w:after="120"/>
      <w:ind w:left="283"/>
      <w:contextualSpacing/>
    </w:pPr>
    <w:rPr>
      <w:lang w:val="es-ES" w:eastAsia="es-ES"/>
    </w:rPr>
  </w:style>
  <w:style w:type="paragraph" w:styleId="Continuarlista2">
    <w:name w:val="List Continue 2"/>
    <w:basedOn w:val="Normal"/>
    <w:uiPriority w:val="99"/>
    <w:unhideWhenUsed/>
    <w:rsid w:val="00603D72"/>
    <w:pPr>
      <w:spacing w:after="120"/>
      <w:ind w:left="566"/>
      <w:contextualSpacing/>
    </w:pPr>
    <w:rPr>
      <w:lang w:val="es-ES" w:eastAsia="es-ES"/>
    </w:rPr>
  </w:style>
  <w:style w:type="paragraph" w:styleId="Textoindependiente">
    <w:name w:val="Body Text"/>
    <w:basedOn w:val="Normal"/>
    <w:link w:val="TextoindependienteCar"/>
    <w:uiPriority w:val="99"/>
    <w:unhideWhenUsed/>
    <w:rsid w:val="00603D72"/>
    <w:pPr>
      <w:spacing w:after="120"/>
    </w:pPr>
    <w:rPr>
      <w:lang w:val="es-ES" w:eastAsia="es-ES"/>
    </w:rPr>
  </w:style>
  <w:style w:type="character" w:customStyle="1" w:styleId="TextoindependienteCar">
    <w:name w:val="Texto independiente Car"/>
    <w:basedOn w:val="Fuentedeprrafopredeter"/>
    <w:link w:val="Textoindependiente"/>
    <w:uiPriority w:val="99"/>
    <w:rsid w:val="00603D72"/>
    <w:rPr>
      <w:rFonts w:ascii="Times New Roman" w:eastAsia="Times New Roman" w:hAnsi="Times New Roman" w:cs="Times New Roman"/>
      <w:lang w:val="es-ES"/>
    </w:rPr>
  </w:style>
  <w:style w:type="paragraph" w:styleId="Sangradetextonormal">
    <w:name w:val="Body Text Indent"/>
    <w:basedOn w:val="Normal"/>
    <w:link w:val="SangradetextonormalCar"/>
    <w:uiPriority w:val="99"/>
    <w:semiHidden/>
    <w:unhideWhenUsed/>
    <w:rsid w:val="00603D72"/>
    <w:pPr>
      <w:spacing w:after="120"/>
      <w:ind w:left="283"/>
    </w:pPr>
    <w:rPr>
      <w:lang w:val="es-ES" w:eastAsia="es-ES"/>
    </w:rPr>
  </w:style>
  <w:style w:type="character" w:customStyle="1" w:styleId="SangradetextonormalCar">
    <w:name w:val="Sangría de texto normal Car"/>
    <w:basedOn w:val="Fuentedeprrafopredeter"/>
    <w:link w:val="Sangradetextonormal"/>
    <w:uiPriority w:val="99"/>
    <w:semiHidden/>
    <w:rsid w:val="00603D72"/>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603D7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03D72"/>
    <w:rPr>
      <w:rFonts w:ascii="Times New Roman" w:eastAsia="Times New Roman" w:hAnsi="Times New Roman" w:cs="Times New Roman"/>
      <w:lang w:val="es-ES"/>
    </w:rPr>
  </w:style>
  <w:style w:type="paragraph" w:customStyle="1" w:styleId="paragraph">
    <w:name w:val="paragraph"/>
    <w:basedOn w:val="Normal"/>
    <w:rsid w:val="00E34821"/>
    <w:pPr>
      <w:spacing w:before="100" w:beforeAutospacing="1" w:after="100" w:afterAutospacing="1"/>
    </w:pPr>
  </w:style>
  <w:style w:type="paragraph" w:customStyle="1" w:styleId="n2">
    <w:name w:val="n2"/>
    <w:basedOn w:val="Normal"/>
    <w:rsid w:val="009D307C"/>
    <w:pPr>
      <w:spacing w:before="100" w:beforeAutospacing="1" w:after="100" w:afterAutospacing="1"/>
    </w:pPr>
  </w:style>
  <w:style w:type="character" w:customStyle="1" w:styleId="u">
    <w:name w:val="u"/>
    <w:basedOn w:val="Fuentedeprrafopredeter"/>
    <w:rsid w:val="009D307C"/>
  </w:style>
  <w:style w:type="paragraph" w:customStyle="1" w:styleId="j1">
    <w:name w:val="j1"/>
    <w:basedOn w:val="Normal"/>
    <w:rsid w:val="009D307C"/>
    <w:pPr>
      <w:spacing w:before="100" w:beforeAutospacing="1" w:after="100" w:afterAutospacing="1"/>
    </w:pPr>
  </w:style>
  <w:style w:type="paragraph" w:customStyle="1" w:styleId="j2">
    <w:name w:val="j2"/>
    <w:basedOn w:val="Normal"/>
    <w:rsid w:val="009D307C"/>
    <w:pPr>
      <w:spacing w:before="100" w:beforeAutospacing="1" w:after="100" w:afterAutospacing="1"/>
    </w:pPr>
  </w:style>
  <w:style w:type="table" w:styleId="Tabladelista1clara-nfasis1">
    <w:name w:val="List Table 1 Light Accent 1"/>
    <w:basedOn w:val="Tablanormal"/>
    <w:uiPriority w:val="46"/>
    <w:rsid w:val="00A01B91"/>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Ttulo3Car">
    <w:name w:val="Título 3 Car"/>
    <w:basedOn w:val="Fuentedeprrafopredeter"/>
    <w:link w:val="Ttulo3"/>
    <w:uiPriority w:val="9"/>
    <w:semiHidden/>
    <w:rsid w:val="00570816"/>
    <w:rPr>
      <w:rFonts w:asciiTheme="majorHAnsi" w:eastAsiaTheme="majorEastAsia" w:hAnsiTheme="majorHAnsi" w:cstheme="majorBidi"/>
      <w:color w:val="243F60" w:themeColor="accent1" w:themeShade="7F"/>
      <w:lang w:val="es-ES"/>
    </w:rPr>
  </w:style>
  <w:style w:type="table" w:customStyle="1" w:styleId="Tabladelista1clara-nfasis1112">
    <w:name w:val="Tabla de lista 1 clara - Énfasis 1112"/>
    <w:basedOn w:val="Tablanormal"/>
    <w:next w:val="Tabladelista1clara-nfasis1"/>
    <w:uiPriority w:val="46"/>
    <w:rsid w:val="00776161"/>
    <w:rPr>
      <w:rFonts w:eastAsia="MS Minch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Mencinsinresolver1">
    <w:name w:val="Mención sin resolver1"/>
    <w:basedOn w:val="Fuentedeprrafopredeter"/>
    <w:uiPriority w:val="99"/>
    <w:semiHidden/>
    <w:unhideWhenUsed/>
    <w:rsid w:val="00B771A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59840">
      <w:bodyDiv w:val="1"/>
      <w:marLeft w:val="0"/>
      <w:marRight w:val="0"/>
      <w:marTop w:val="0"/>
      <w:marBottom w:val="0"/>
      <w:divBdr>
        <w:top w:val="none" w:sz="0" w:space="0" w:color="auto"/>
        <w:left w:val="none" w:sz="0" w:space="0" w:color="auto"/>
        <w:bottom w:val="none" w:sz="0" w:space="0" w:color="auto"/>
        <w:right w:val="none" w:sz="0" w:space="0" w:color="auto"/>
      </w:divBdr>
    </w:div>
    <w:div w:id="4944675">
      <w:bodyDiv w:val="1"/>
      <w:marLeft w:val="0"/>
      <w:marRight w:val="0"/>
      <w:marTop w:val="0"/>
      <w:marBottom w:val="0"/>
      <w:divBdr>
        <w:top w:val="none" w:sz="0" w:space="0" w:color="auto"/>
        <w:left w:val="none" w:sz="0" w:space="0" w:color="auto"/>
        <w:bottom w:val="none" w:sz="0" w:space="0" w:color="auto"/>
        <w:right w:val="none" w:sz="0" w:space="0" w:color="auto"/>
      </w:divBdr>
    </w:div>
    <w:div w:id="8526625">
      <w:bodyDiv w:val="1"/>
      <w:marLeft w:val="0"/>
      <w:marRight w:val="0"/>
      <w:marTop w:val="0"/>
      <w:marBottom w:val="0"/>
      <w:divBdr>
        <w:top w:val="none" w:sz="0" w:space="0" w:color="auto"/>
        <w:left w:val="none" w:sz="0" w:space="0" w:color="auto"/>
        <w:bottom w:val="none" w:sz="0" w:space="0" w:color="auto"/>
        <w:right w:val="none" w:sz="0" w:space="0" w:color="auto"/>
      </w:divBdr>
    </w:div>
    <w:div w:id="11693235">
      <w:bodyDiv w:val="1"/>
      <w:marLeft w:val="0"/>
      <w:marRight w:val="0"/>
      <w:marTop w:val="0"/>
      <w:marBottom w:val="0"/>
      <w:divBdr>
        <w:top w:val="none" w:sz="0" w:space="0" w:color="auto"/>
        <w:left w:val="none" w:sz="0" w:space="0" w:color="auto"/>
        <w:bottom w:val="none" w:sz="0" w:space="0" w:color="auto"/>
        <w:right w:val="none" w:sz="0" w:space="0" w:color="auto"/>
      </w:divBdr>
    </w:div>
    <w:div w:id="14501550">
      <w:bodyDiv w:val="1"/>
      <w:marLeft w:val="0"/>
      <w:marRight w:val="0"/>
      <w:marTop w:val="0"/>
      <w:marBottom w:val="0"/>
      <w:divBdr>
        <w:top w:val="none" w:sz="0" w:space="0" w:color="auto"/>
        <w:left w:val="none" w:sz="0" w:space="0" w:color="auto"/>
        <w:bottom w:val="none" w:sz="0" w:space="0" w:color="auto"/>
        <w:right w:val="none" w:sz="0" w:space="0" w:color="auto"/>
      </w:divBdr>
    </w:div>
    <w:div w:id="21714623">
      <w:bodyDiv w:val="1"/>
      <w:marLeft w:val="0"/>
      <w:marRight w:val="0"/>
      <w:marTop w:val="0"/>
      <w:marBottom w:val="0"/>
      <w:divBdr>
        <w:top w:val="none" w:sz="0" w:space="0" w:color="auto"/>
        <w:left w:val="none" w:sz="0" w:space="0" w:color="auto"/>
        <w:bottom w:val="none" w:sz="0" w:space="0" w:color="auto"/>
        <w:right w:val="none" w:sz="0" w:space="0" w:color="auto"/>
      </w:divBdr>
    </w:div>
    <w:div w:id="26413010">
      <w:bodyDiv w:val="1"/>
      <w:marLeft w:val="0"/>
      <w:marRight w:val="0"/>
      <w:marTop w:val="0"/>
      <w:marBottom w:val="0"/>
      <w:divBdr>
        <w:top w:val="none" w:sz="0" w:space="0" w:color="auto"/>
        <w:left w:val="none" w:sz="0" w:space="0" w:color="auto"/>
        <w:bottom w:val="none" w:sz="0" w:space="0" w:color="auto"/>
        <w:right w:val="none" w:sz="0" w:space="0" w:color="auto"/>
      </w:divBdr>
    </w:div>
    <w:div w:id="28846299">
      <w:bodyDiv w:val="1"/>
      <w:marLeft w:val="0"/>
      <w:marRight w:val="0"/>
      <w:marTop w:val="0"/>
      <w:marBottom w:val="0"/>
      <w:divBdr>
        <w:top w:val="none" w:sz="0" w:space="0" w:color="auto"/>
        <w:left w:val="none" w:sz="0" w:space="0" w:color="auto"/>
        <w:bottom w:val="none" w:sz="0" w:space="0" w:color="auto"/>
        <w:right w:val="none" w:sz="0" w:space="0" w:color="auto"/>
      </w:divBdr>
    </w:div>
    <w:div w:id="32197651">
      <w:bodyDiv w:val="1"/>
      <w:marLeft w:val="0"/>
      <w:marRight w:val="0"/>
      <w:marTop w:val="0"/>
      <w:marBottom w:val="0"/>
      <w:divBdr>
        <w:top w:val="none" w:sz="0" w:space="0" w:color="auto"/>
        <w:left w:val="none" w:sz="0" w:space="0" w:color="auto"/>
        <w:bottom w:val="none" w:sz="0" w:space="0" w:color="auto"/>
        <w:right w:val="none" w:sz="0" w:space="0" w:color="auto"/>
      </w:divBdr>
    </w:div>
    <w:div w:id="34013556">
      <w:bodyDiv w:val="1"/>
      <w:marLeft w:val="0"/>
      <w:marRight w:val="0"/>
      <w:marTop w:val="0"/>
      <w:marBottom w:val="0"/>
      <w:divBdr>
        <w:top w:val="none" w:sz="0" w:space="0" w:color="auto"/>
        <w:left w:val="none" w:sz="0" w:space="0" w:color="auto"/>
        <w:bottom w:val="none" w:sz="0" w:space="0" w:color="auto"/>
        <w:right w:val="none" w:sz="0" w:space="0" w:color="auto"/>
      </w:divBdr>
    </w:div>
    <w:div w:id="36315583">
      <w:bodyDiv w:val="1"/>
      <w:marLeft w:val="0"/>
      <w:marRight w:val="0"/>
      <w:marTop w:val="0"/>
      <w:marBottom w:val="0"/>
      <w:divBdr>
        <w:top w:val="none" w:sz="0" w:space="0" w:color="auto"/>
        <w:left w:val="none" w:sz="0" w:space="0" w:color="auto"/>
        <w:bottom w:val="none" w:sz="0" w:space="0" w:color="auto"/>
        <w:right w:val="none" w:sz="0" w:space="0" w:color="auto"/>
      </w:divBdr>
    </w:div>
    <w:div w:id="38356977">
      <w:bodyDiv w:val="1"/>
      <w:marLeft w:val="0"/>
      <w:marRight w:val="0"/>
      <w:marTop w:val="0"/>
      <w:marBottom w:val="0"/>
      <w:divBdr>
        <w:top w:val="none" w:sz="0" w:space="0" w:color="auto"/>
        <w:left w:val="none" w:sz="0" w:space="0" w:color="auto"/>
        <w:bottom w:val="none" w:sz="0" w:space="0" w:color="auto"/>
        <w:right w:val="none" w:sz="0" w:space="0" w:color="auto"/>
      </w:divBdr>
    </w:div>
    <w:div w:id="45035330">
      <w:bodyDiv w:val="1"/>
      <w:marLeft w:val="0"/>
      <w:marRight w:val="0"/>
      <w:marTop w:val="0"/>
      <w:marBottom w:val="0"/>
      <w:divBdr>
        <w:top w:val="none" w:sz="0" w:space="0" w:color="auto"/>
        <w:left w:val="none" w:sz="0" w:space="0" w:color="auto"/>
        <w:bottom w:val="none" w:sz="0" w:space="0" w:color="auto"/>
        <w:right w:val="none" w:sz="0" w:space="0" w:color="auto"/>
      </w:divBdr>
      <w:divsChild>
        <w:div w:id="620958339">
          <w:marLeft w:val="0"/>
          <w:marRight w:val="0"/>
          <w:marTop w:val="0"/>
          <w:marBottom w:val="101"/>
          <w:divBdr>
            <w:top w:val="none" w:sz="0" w:space="0" w:color="auto"/>
            <w:left w:val="none" w:sz="0" w:space="0" w:color="auto"/>
            <w:bottom w:val="none" w:sz="0" w:space="0" w:color="auto"/>
            <w:right w:val="none" w:sz="0" w:space="0" w:color="auto"/>
          </w:divBdr>
        </w:div>
        <w:div w:id="981544927">
          <w:marLeft w:val="0"/>
          <w:marRight w:val="0"/>
          <w:marTop w:val="0"/>
          <w:marBottom w:val="101"/>
          <w:divBdr>
            <w:top w:val="none" w:sz="0" w:space="0" w:color="auto"/>
            <w:left w:val="none" w:sz="0" w:space="0" w:color="auto"/>
            <w:bottom w:val="none" w:sz="0" w:space="0" w:color="auto"/>
            <w:right w:val="none" w:sz="0" w:space="0" w:color="auto"/>
          </w:divBdr>
        </w:div>
        <w:div w:id="476848514">
          <w:marLeft w:val="720"/>
          <w:marRight w:val="0"/>
          <w:marTop w:val="0"/>
          <w:marBottom w:val="101"/>
          <w:divBdr>
            <w:top w:val="none" w:sz="0" w:space="0" w:color="auto"/>
            <w:left w:val="none" w:sz="0" w:space="0" w:color="auto"/>
            <w:bottom w:val="none" w:sz="0" w:space="0" w:color="auto"/>
            <w:right w:val="none" w:sz="0" w:space="0" w:color="auto"/>
          </w:divBdr>
        </w:div>
        <w:div w:id="283075285">
          <w:marLeft w:val="720"/>
          <w:marRight w:val="0"/>
          <w:marTop w:val="0"/>
          <w:marBottom w:val="101"/>
          <w:divBdr>
            <w:top w:val="none" w:sz="0" w:space="0" w:color="auto"/>
            <w:left w:val="none" w:sz="0" w:space="0" w:color="auto"/>
            <w:bottom w:val="none" w:sz="0" w:space="0" w:color="auto"/>
            <w:right w:val="none" w:sz="0" w:space="0" w:color="auto"/>
          </w:divBdr>
        </w:div>
        <w:div w:id="947198066">
          <w:marLeft w:val="720"/>
          <w:marRight w:val="0"/>
          <w:marTop w:val="0"/>
          <w:marBottom w:val="101"/>
          <w:divBdr>
            <w:top w:val="none" w:sz="0" w:space="0" w:color="auto"/>
            <w:left w:val="none" w:sz="0" w:space="0" w:color="auto"/>
            <w:bottom w:val="none" w:sz="0" w:space="0" w:color="auto"/>
            <w:right w:val="none" w:sz="0" w:space="0" w:color="auto"/>
          </w:divBdr>
        </w:div>
        <w:div w:id="1650137193">
          <w:marLeft w:val="720"/>
          <w:marRight w:val="0"/>
          <w:marTop w:val="0"/>
          <w:marBottom w:val="101"/>
          <w:divBdr>
            <w:top w:val="none" w:sz="0" w:space="0" w:color="auto"/>
            <w:left w:val="none" w:sz="0" w:space="0" w:color="auto"/>
            <w:bottom w:val="none" w:sz="0" w:space="0" w:color="auto"/>
            <w:right w:val="none" w:sz="0" w:space="0" w:color="auto"/>
          </w:divBdr>
        </w:div>
        <w:div w:id="288097059">
          <w:marLeft w:val="720"/>
          <w:marRight w:val="0"/>
          <w:marTop w:val="0"/>
          <w:marBottom w:val="101"/>
          <w:divBdr>
            <w:top w:val="none" w:sz="0" w:space="0" w:color="auto"/>
            <w:left w:val="none" w:sz="0" w:space="0" w:color="auto"/>
            <w:bottom w:val="none" w:sz="0" w:space="0" w:color="auto"/>
            <w:right w:val="none" w:sz="0" w:space="0" w:color="auto"/>
          </w:divBdr>
        </w:div>
        <w:div w:id="1444610646">
          <w:marLeft w:val="720"/>
          <w:marRight w:val="0"/>
          <w:marTop w:val="0"/>
          <w:marBottom w:val="101"/>
          <w:divBdr>
            <w:top w:val="none" w:sz="0" w:space="0" w:color="auto"/>
            <w:left w:val="none" w:sz="0" w:space="0" w:color="auto"/>
            <w:bottom w:val="none" w:sz="0" w:space="0" w:color="auto"/>
            <w:right w:val="none" w:sz="0" w:space="0" w:color="auto"/>
          </w:divBdr>
        </w:div>
        <w:div w:id="673992908">
          <w:marLeft w:val="0"/>
          <w:marRight w:val="0"/>
          <w:marTop w:val="0"/>
          <w:marBottom w:val="101"/>
          <w:divBdr>
            <w:top w:val="none" w:sz="0" w:space="0" w:color="auto"/>
            <w:left w:val="none" w:sz="0" w:space="0" w:color="auto"/>
            <w:bottom w:val="none" w:sz="0" w:space="0" w:color="auto"/>
            <w:right w:val="none" w:sz="0" w:space="0" w:color="auto"/>
          </w:divBdr>
        </w:div>
        <w:div w:id="1390575558">
          <w:marLeft w:val="0"/>
          <w:marRight w:val="0"/>
          <w:marTop w:val="0"/>
          <w:marBottom w:val="101"/>
          <w:divBdr>
            <w:top w:val="none" w:sz="0" w:space="0" w:color="auto"/>
            <w:left w:val="none" w:sz="0" w:space="0" w:color="auto"/>
            <w:bottom w:val="none" w:sz="0" w:space="0" w:color="auto"/>
            <w:right w:val="none" w:sz="0" w:space="0" w:color="auto"/>
          </w:divBdr>
        </w:div>
        <w:div w:id="113526969">
          <w:marLeft w:val="0"/>
          <w:marRight w:val="0"/>
          <w:marTop w:val="0"/>
          <w:marBottom w:val="101"/>
          <w:divBdr>
            <w:top w:val="none" w:sz="0" w:space="0" w:color="auto"/>
            <w:left w:val="none" w:sz="0" w:space="0" w:color="auto"/>
            <w:bottom w:val="none" w:sz="0" w:space="0" w:color="auto"/>
            <w:right w:val="none" w:sz="0" w:space="0" w:color="auto"/>
          </w:divBdr>
        </w:div>
      </w:divsChild>
    </w:div>
    <w:div w:id="46801744">
      <w:bodyDiv w:val="1"/>
      <w:marLeft w:val="0"/>
      <w:marRight w:val="0"/>
      <w:marTop w:val="0"/>
      <w:marBottom w:val="0"/>
      <w:divBdr>
        <w:top w:val="none" w:sz="0" w:space="0" w:color="auto"/>
        <w:left w:val="none" w:sz="0" w:space="0" w:color="auto"/>
        <w:bottom w:val="none" w:sz="0" w:space="0" w:color="auto"/>
        <w:right w:val="none" w:sz="0" w:space="0" w:color="auto"/>
      </w:divBdr>
    </w:div>
    <w:div w:id="51929726">
      <w:bodyDiv w:val="1"/>
      <w:marLeft w:val="0"/>
      <w:marRight w:val="0"/>
      <w:marTop w:val="0"/>
      <w:marBottom w:val="0"/>
      <w:divBdr>
        <w:top w:val="none" w:sz="0" w:space="0" w:color="auto"/>
        <w:left w:val="none" w:sz="0" w:space="0" w:color="auto"/>
        <w:bottom w:val="none" w:sz="0" w:space="0" w:color="auto"/>
        <w:right w:val="none" w:sz="0" w:space="0" w:color="auto"/>
      </w:divBdr>
    </w:div>
    <w:div w:id="68701152">
      <w:bodyDiv w:val="1"/>
      <w:marLeft w:val="0"/>
      <w:marRight w:val="0"/>
      <w:marTop w:val="0"/>
      <w:marBottom w:val="0"/>
      <w:divBdr>
        <w:top w:val="none" w:sz="0" w:space="0" w:color="auto"/>
        <w:left w:val="none" w:sz="0" w:space="0" w:color="auto"/>
        <w:bottom w:val="none" w:sz="0" w:space="0" w:color="auto"/>
        <w:right w:val="none" w:sz="0" w:space="0" w:color="auto"/>
      </w:divBdr>
    </w:div>
    <w:div w:id="74866933">
      <w:bodyDiv w:val="1"/>
      <w:marLeft w:val="0"/>
      <w:marRight w:val="0"/>
      <w:marTop w:val="0"/>
      <w:marBottom w:val="0"/>
      <w:divBdr>
        <w:top w:val="none" w:sz="0" w:space="0" w:color="auto"/>
        <w:left w:val="none" w:sz="0" w:space="0" w:color="auto"/>
        <w:bottom w:val="none" w:sz="0" w:space="0" w:color="auto"/>
        <w:right w:val="none" w:sz="0" w:space="0" w:color="auto"/>
      </w:divBdr>
    </w:div>
    <w:div w:id="95833249">
      <w:bodyDiv w:val="1"/>
      <w:marLeft w:val="0"/>
      <w:marRight w:val="0"/>
      <w:marTop w:val="0"/>
      <w:marBottom w:val="0"/>
      <w:divBdr>
        <w:top w:val="none" w:sz="0" w:space="0" w:color="auto"/>
        <w:left w:val="none" w:sz="0" w:space="0" w:color="auto"/>
        <w:bottom w:val="none" w:sz="0" w:space="0" w:color="auto"/>
        <w:right w:val="none" w:sz="0" w:space="0" w:color="auto"/>
      </w:divBdr>
      <w:divsChild>
        <w:div w:id="1792434443">
          <w:marLeft w:val="0"/>
          <w:marRight w:val="0"/>
          <w:marTop w:val="0"/>
          <w:marBottom w:val="0"/>
          <w:divBdr>
            <w:top w:val="none" w:sz="0" w:space="0" w:color="auto"/>
            <w:left w:val="none" w:sz="0" w:space="0" w:color="auto"/>
            <w:bottom w:val="none" w:sz="0" w:space="0" w:color="auto"/>
            <w:right w:val="none" w:sz="0" w:space="0" w:color="auto"/>
          </w:divBdr>
          <w:divsChild>
            <w:div w:id="2102944377">
              <w:marLeft w:val="0"/>
              <w:marRight w:val="0"/>
              <w:marTop w:val="0"/>
              <w:marBottom w:val="0"/>
              <w:divBdr>
                <w:top w:val="none" w:sz="0" w:space="0" w:color="auto"/>
                <w:left w:val="none" w:sz="0" w:space="0" w:color="auto"/>
                <w:bottom w:val="none" w:sz="0" w:space="0" w:color="auto"/>
                <w:right w:val="none" w:sz="0" w:space="0" w:color="auto"/>
              </w:divBdr>
              <w:divsChild>
                <w:div w:id="873738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410087">
      <w:bodyDiv w:val="1"/>
      <w:marLeft w:val="0"/>
      <w:marRight w:val="0"/>
      <w:marTop w:val="0"/>
      <w:marBottom w:val="0"/>
      <w:divBdr>
        <w:top w:val="none" w:sz="0" w:space="0" w:color="auto"/>
        <w:left w:val="none" w:sz="0" w:space="0" w:color="auto"/>
        <w:bottom w:val="none" w:sz="0" w:space="0" w:color="auto"/>
        <w:right w:val="none" w:sz="0" w:space="0" w:color="auto"/>
      </w:divBdr>
    </w:div>
    <w:div w:id="136380965">
      <w:bodyDiv w:val="1"/>
      <w:marLeft w:val="0"/>
      <w:marRight w:val="0"/>
      <w:marTop w:val="0"/>
      <w:marBottom w:val="0"/>
      <w:divBdr>
        <w:top w:val="none" w:sz="0" w:space="0" w:color="auto"/>
        <w:left w:val="none" w:sz="0" w:space="0" w:color="auto"/>
        <w:bottom w:val="none" w:sz="0" w:space="0" w:color="auto"/>
        <w:right w:val="none" w:sz="0" w:space="0" w:color="auto"/>
      </w:divBdr>
    </w:div>
    <w:div w:id="140195550">
      <w:bodyDiv w:val="1"/>
      <w:marLeft w:val="0"/>
      <w:marRight w:val="0"/>
      <w:marTop w:val="0"/>
      <w:marBottom w:val="0"/>
      <w:divBdr>
        <w:top w:val="none" w:sz="0" w:space="0" w:color="auto"/>
        <w:left w:val="none" w:sz="0" w:space="0" w:color="auto"/>
        <w:bottom w:val="none" w:sz="0" w:space="0" w:color="auto"/>
        <w:right w:val="none" w:sz="0" w:space="0" w:color="auto"/>
      </w:divBdr>
    </w:div>
    <w:div w:id="143738635">
      <w:bodyDiv w:val="1"/>
      <w:marLeft w:val="0"/>
      <w:marRight w:val="0"/>
      <w:marTop w:val="0"/>
      <w:marBottom w:val="0"/>
      <w:divBdr>
        <w:top w:val="none" w:sz="0" w:space="0" w:color="auto"/>
        <w:left w:val="none" w:sz="0" w:space="0" w:color="auto"/>
        <w:bottom w:val="none" w:sz="0" w:space="0" w:color="auto"/>
        <w:right w:val="none" w:sz="0" w:space="0" w:color="auto"/>
      </w:divBdr>
    </w:div>
    <w:div w:id="143744506">
      <w:bodyDiv w:val="1"/>
      <w:marLeft w:val="0"/>
      <w:marRight w:val="0"/>
      <w:marTop w:val="0"/>
      <w:marBottom w:val="0"/>
      <w:divBdr>
        <w:top w:val="none" w:sz="0" w:space="0" w:color="auto"/>
        <w:left w:val="none" w:sz="0" w:space="0" w:color="auto"/>
        <w:bottom w:val="none" w:sz="0" w:space="0" w:color="auto"/>
        <w:right w:val="none" w:sz="0" w:space="0" w:color="auto"/>
      </w:divBdr>
    </w:div>
    <w:div w:id="147482852">
      <w:bodyDiv w:val="1"/>
      <w:marLeft w:val="0"/>
      <w:marRight w:val="0"/>
      <w:marTop w:val="0"/>
      <w:marBottom w:val="0"/>
      <w:divBdr>
        <w:top w:val="none" w:sz="0" w:space="0" w:color="auto"/>
        <w:left w:val="none" w:sz="0" w:space="0" w:color="auto"/>
        <w:bottom w:val="none" w:sz="0" w:space="0" w:color="auto"/>
        <w:right w:val="none" w:sz="0" w:space="0" w:color="auto"/>
      </w:divBdr>
    </w:div>
    <w:div w:id="153497875">
      <w:bodyDiv w:val="1"/>
      <w:marLeft w:val="0"/>
      <w:marRight w:val="0"/>
      <w:marTop w:val="0"/>
      <w:marBottom w:val="0"/>
      <w:divBdr>
        <w:top w:val="none" w:sz="0" w:space="0" w:color="auto"/>
        <w:left w:val="none" w:sz="0" w:space="0" w:color="auto"/>
        <w:bottom w:val="none" w:sz="0" w:space="0" w:color="auto"/>
        <w:right w:val="none" w:sz="0" w:space="0" w:color="auto"/>
      </w:divBdr>
    </w:div>
    <w:div w:id="161547866">
      <w:bodyDiv w:val="1"/>
      <w:marLeft w:val="0"/>
      <w:marRight w:val="0"/>
      <w:marTop w:val="0"/>
      <w:marBottom w:val="0"/>
      <w:divBdr>
        <w:top w:val="none" w:sz="0" w:space="0" w:color="auto"/>
        <w:left w:val="none" w:sz="0" w:space="0" w:color="auto"/>
        <w:bottom w:val="none" w:sz="0" w:space="0" w:color="auto"/>
        <w:right w:val="none" w:sz="0" w:space="0" w:color="auto"/>
      </w:divBdr>
    </w:div>
    <w:div w:id="166335779">
      <w:bodyDiv w:val="1"/>
      <w:marLeft w:val="0"/>
      <w:marRight w:val="0"/>
      <w:marTop w:val="0"/>
      <w:marBottom w:val="0"/>
      <w:divBdr>
        <w:top w:val="none" w:sz="0" w:space="0" w:color="auto"/>
        <w:left w:val="none" w:sz="0" w:space="0" w:color="auto"/>
        <w:bottom w:val="none" w:sz="0" w:space="0" w:color="auto"/>
        <w:right w:val="none" w:sz="0" w:space="0" w:color="auto"/>
      </w:divBdr>
    </w:div>
    <w:div w:id="181938407">
      <w:bodyDiv w:val="1"/>
      <w:marLeft w:val="0"/>
      <w:marRight w:val="0"/>
      <w:marTop w:val="0"/>
      <w:marBottom w:val="0"/>
      <w:divBdr>
        <w:top w:val="none" w:sz="0" w:space="0" w:color="auto"/>
        <w:left w:val="none" w:sz="0" w:space="0" w:color="auto"/>
        <w:bottom w:val="none" w:sz="0" w:space="0" w:color="auto"/>
        <w:right w:val="none" w:sz="0" w:space="0" w:color="auto"/>
      </w:divBdr>
    </w:div>
    <w:div w:id="185797541">
      <w:bodyDiv w:val="1"/>
      <w:marLeft w:val="0"/>
      <w:marRight w:val="0"/>
      <w:marTop w:val="0"/>
      <w:marBottom w:val="0"/>
      <w:divBdr>
        <w:top w:val="none" w:sz="0" w:space="0" w:color="auto"/>
        <w:left w:val="none" w:sz="0" w:space="0" w:color="auto"/>
        <w:bottom w:val="none" w:sz="0" w:space="0" w:color="auto"/>
        <w:right w:val="none" w:sz="0" w:space="0" w:color="auto"/>
      </w:divBdr>
    </w:div>
    <w:div w:id="199897848">
      <w:bodyDiv w:val="1"/>
      <w:marLeft w:val="0"/>
      <w:marRight w:val="0"/>
      <w:marTop w:val="0"/>
      <w:marBottom w:val="0"/>
      <w:divBdr>
        <w:top w:val="none" w:sz="0" w:space="0" w:color="auto"/>
        <w:left w:val="none" w:sz="0" w:space="0" w:color="auto"/>
        <w:bottom w:val="none" w:sz="0" w:space="0" w:color="auto"/>
        <w:right w:val="none" w:sz="0" w:space="0" w:color="auto"/>
      </w:divBdr>
    </w:div>
    <w:div w:id="201291205">
      <w:bodyDiv w:val="1"/>
      <w:marLeft w:val="0"/>
      <w:marRight w:val="0"/>
      <w:marTop w:val="0"/>
      <w:marBottom w:val="0"/>
      <w:divBdr>
        <w:top w:val="none" w:sz="0" w:space="0" w:color="auto"/>
        <w:left w:val="none" w:sz="0" w:space="0" w:color="auto"/>
        <w:bottom w:val="none" w:sz="0" w:space="0" w:color="auto"/>
        <w:right w:val="none" w:sz="0" w:space="0" w:color="auto"/>
      </w:divBdr>
    </w:div>
    <w:div w:id="206651412">
      <w:bodyDiv w:val="1"/>
      <w:marLeft w:val="0"/>
      <w:marRight w:val="0"/>
      <w:marTop w:val="0"/>
      <w:marBottom w:val="0"/>
      <w:divBdr>
        <w:top w:val="none" w:sz="0" w:space="0" w:color="auto"/>
        <w:left w:val="none" w:sz="0" w:space="0" w:color="auto"/>
        <w:bottom w:val="none" w:sz="0" w:space="0" w:color="auto"/>
        <w:right w:val="none" w:sz="0" w:space="0" w:color="auto"/>
      </w:divBdr>
    </w:div>
    <w:div w:id="213582546">
      <w:bodyDiv w:val="1"/>
      <w:marLeft w:val="0"/>
      <w:marRight w:val="0"/>
      <w:marTop w:val="0"/>
      <w:marBottom w:val="0"/>
      <w:divBdr>
        <w:top w:val="none" w:sz="0" w:space="0" w:color="auto"/>
        <w:left w:val="none" w:sz="0" w:space="0" w:color="auto"/>
        <w:bottom w:val="none" w:sz="0" w:space="0" w:color="auto"/>
        <w:right w:val="none" w:sz="0" w:space="0" w:color="auto"/>
      </w:divBdr>
    </w:div>
    <w:div w:id="213660112">
      <w:bodyDiv w:val="1"/>
      <w:marLeft w:val="0"/>
      <w:marRight w:val="0"/>
      <w:marTop w:val="0"/>
      <w:marBottom w:val="0"/>
      <w:divBdr>
        <w:top w:val="none" w:sz="0" w:space="0" w:color="auto"/>
        <w:left w:val="none" w:sz="0" w:space="0" w:color="auto"/>
        <w:bottom w:val="none" w:sz="0" w:space="0" w:color="auto"/>
        <w:right w:val="none" w:sz="0" w:space="0" w:color="auto"/>
      </w:divBdr>
    </w:div>
    <w:div w:id="220561173">
      <w:bodyDiv w:val="1"/>
      <w:marLeft w:val="0"/>
      <w:marRight w:val="0"/>
      <w:marTop w:val="0"/>
      <w:marBottom w:val="0"/>
      <w:divBdr>
        <w:top w:val="none" w:sz="0" w:space="0" w:color="auto"/>
        <w:left w:val="none" w:sz="0" w:space="0" w:color="auto"/>
        <w:bottom w:val="none" w:sz="0" w:space="0" w:color="auto"/>
        <w:right w:val="none" w:sz="0" w:space="0" w:color="auto"/>
      </w:divBdr>
    </w:div>
    <w:div w:id="221453947">
      <w:bodyDiv w:val="1"/>
      <w:marLeft w:val="0"/>
      <w:marRight w:val="0"/>
      <w:marTop w:val="0"/>
      <w:marBottom w:val="0"/>
      <w:divBdr>
        <w:top w:val="none" w:sz="0" w:space="0" w:color="auto"/>
        <w:left w:val="none" w:sz="0" w:space="0" w:color="auto"/>
        <w:bottom w:val="none" w:sz="0" w:space="0" w:color="auto"/>
        <w:right w:val="none" w:sz="0" w:space="0" w:color="auto"/>
      </w:divBdr>
    </w:div>
    <w:div w:id="229771318">
      <w:bodyDiv w:val="1"/>
      <w:marLeft w:val="0"/>
      <w:marRight w:val="0"/>
      <w:marTop w:val="0"/>
      <w:marBottom w:val="0"/>
      <w:divBdr>
        <w:top w:val="none" w:sz="0" w:space="0" w:color="auto"/>
        <w:left w:val="none" w:sz="0" w:space="0" w:color="auto"/>
        <w:bottom w:val="none" w:sz="0" w:space="0" w:color="auto"/>
        <w:right w:val="none" w:sz="0" w:space="0" w:color="auto"/>
      </w:divBdr>
    </w:div>
    <w:div w:id="232471963">
      <w:bodyDiv w:val="1"/>
      <w:marLeft w:val="0"/>
      <w:marRight w:val="0"/>
      <w:marTop w:val="0"/>
      <w:marBottom w:val="0"/>
      <w:divBdr>
        <w:top w:val="none" w:sz="0" w:space="0" w:color="auto"/>
        <w:left w:val="none" w:sz="0" w:space="0" w:color="auto"/>
        <w:bottom w:val="none" w:sz="0" w:space="0" w:color="auto"/>
        <w:right w:val="none" w:sz="0" w:space="0" w:color="auto"/>
      </w:divBdr>
    </w:div>
    <w:div w:id="237786635">
      <w:bodyDiv w:val="1"/>
      <w:marLeft w:val="0"/>
      <w:marRight w:val="0"/>
      <w:marTop w:val="0"/>
      <w:marBottom w:val="0"/>
      <w:divBdr>
        <w:top w:val="none" w:sz="0" w:space="0" w:color="auto"/>
        <w:left w:val="none" w:sz="0" w:space="0" w:color="auto"/>
        <w:bottom w:val="none" w:sz="0" w:space="0" w:color="auto"/>
        <w:right w:val="none" w:sz="0" w:space="0" w:color="auto"/>
      </w:divBdr>
    </w:div>
    <w:div w:id="240792238">
      <w:bodyDiv w:val="1"/>
      <w:marLeft w:val="0"/>
      <w:marRight w:val="0"/>
      <w:marTop w:val="0"/>
      <w:marBottom w:val="0"/>
      <w:divBdr>
        <w:top w:val="none" w:sz="0" w:space="0" w:color="auto"/>
        <w:left w:val="none" w:sz="0" w:space="0" w:color="auto"/>
        <w:bottom w:val="none" w:sz="0" w:space="0" w:color="auto"/>
        <w:right w:val="none" w:sz="0" w:space="0" w:color="auto"/>
      </w:divBdr>
    </w:div>
    <w:div w:id="241066847">
      <w:bodyDiv w:val="1"/>
      <w:marLeft w:val="0"/>
      <w:marRight w:val="0"/>
      <w:marTop w:val="0"/>
      <w:marBottom w:val="0"/>
      <w:divBdr>
        <w:top w:val="none" w:sz="0" w:space="0" w:color="auto"/>
        <w:left w:val="none" w:sz="0" w:space="0" w:color="auto"/>
        <w:bottom w:val="none" w:sz="0" w:space="0" w:color="auto"/>
        <w:right w:val="none" w:sz="0" w:space="0" w:color="auto"/>
      </w:divBdr>
    </w:div>
    <w:div w:id="244188562">
      <w:bodyDiv w:val="1"/>
      <w:marLeft w:val="0"/>
      <w:marRight w:val="0"/>
      <w:marTop w:val="0"/>
      <w:marBottom w:val="0"/>
      <w:divBdr>
        <w:top w:val="none" w:sz="0" w:space="0" w:color="auto"/>
        <w:left w:val="none" w:sz="0" w:space="0" w:color="auto"/>
        <w:bottom w:val="none" w:sz="0" w:space="0" w:color="auto"/>
        <w:right w:val="none" w:sz="0" w:space="0" w:color="auto"/>
      </w:divBdr>
      <w:divsChild>
        <w:div w:id="1242564976">
          <w:marLeft w:val="0"/>
          <w:marRight w:val="0"/>
          <w:marTop w:val="0"/>
          <w:marBottom w:val="0"/>
          <w:divBdr>
            <w:top w:val="none" w:sz="0" w:space="0" w:color="auto"/>
            <w:left w:val="none" w:sz="0" w:space="0" w:color="auto"/>
            <w:bottom w:val="none" w:sz="0" w:space="0" w:color="auto"/>
            <w:right w:val="none" w:sz="0" w:space="0" w:color="auto"/>
          </w:divBdr>
          <w:divsChild>
            <w:div w:id="771702724">
              <w:marLeft w:val="0"/>
              <w:marRight w:val="0"/>
              <w:marTop w:val="0"/>
              <w:marBottom w:val="0"/>
              <w:divBdr>
                <w:top w:val="none" w:sz="0" w:space="0" w:color="auto"/>
                <w:left w:val="none" w:sz="0" w:space="0" w:color="auto"/>
                <w:bottom w:val="none" w:sz="0" w:space="0" w:color="auto"/>
                <w:right w:val="none" w:sz="0" w:space="0" w:color="auto"/>
              </w:divBdr>
              <w:divsChild>
                <w:div w:id="1164131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8315948">
      <w:bodyDiv w:val="1"/>
      <w:marLeft w:val="0"/>
      <w:marRight w:val="0"/>
      <w:marTop w:val="0"/>
      <w:marBottom w:val="0"/>
      <w:divBdr>
        <w:top w:val="none" w:sz="0" w:space="0" w:color="auto"/>
        <w:left w:val="none" w:sz="0" w:space="0" w:color="auto"/>
        <w:bottom w:val="none" w:sz="0" w:space="0" w:color="auto"/>
        <w:right w:val="none" w:sz="0" w:space="0" w:color="auto"/>
      </w:divBdr>
    </w:div>
    <w:div w:id="250162294">
      <w:bodyDiv w:val="1"/>
      <w:marLeft w:val="0"/>
      <w:marRight w:val="0"/>
      <w:marTop w:val="0"/>
      <w:marBottom w:val="0"/>
      <w:divBdr>
        <w:top w:val="none" w:sz="0" w:space="0" w:color="auto"/>
        <w:left w:val="none" w:sz="0" w:space="0" w:color="auto"/>
        <w:bottom w:val="none" w:sz="0" w:space="0" w:color="auto"/>
        <w:right w:val="none" w:sz="0" w:space="0" w:color="auto"/>
      </w:divBdr>
    </w:div>
    <w:div w:id="259070607">
      <w:bodyDiv w:val="1"/>
      <w:marLeft w:val="0"/>
      <w:marRight w:val="0"/>
      <w:marTop w:val="0"/>
      <w:marBottom w:val="0"/>
      <w:divBdr>
        <w:top w:val="none" w:sz="0" w:space="0" w:color="auto"/>
        <w:left w:val="none" w:sz="0" w:space="0" w:color="auto"/>
        <w:bottom w:val="none" w:sz="0" w:space="0" w:color="auto"/>
        <w:right w:val="none" w:sz="0" w:space="0" w:color="auto"/>
      </w:divBdr>
    </w:div>
    <w:div w:id="261569977">
      <w:bodyDiv w:val="1"/>
      <w:marLeft w:val="0"/>
      <w:marRight w:val="0"/>
      <w:marTop w:val="0"/>
      <w:marBottom w:val="0"/>
      <w:divBdr>
        <w:top w:val="none" w:sz="0" w:space="0" w:color="auto"/>
        <w:left w:val="none" w:sz="0" w:space="0" w:color="auto"/>
        <w:bottom w:val="none" w:sz="0" w:space="0" w:color="auto"/>
        <w:right w:val="none" w:sz="0" w:space="0" w:color="auto"/>
      </w:divBdr>
    </w:div>
    <w:div w:id="262495206">
      <w:bodyDiv w:val="1"/>
      <w:marLeft w:val="0"/>
      <w:marRight w:val="0"/>
      <w:marTop w:val="0"/>
      <w:marBottom w:val="0"/>
      <w:divBdr>
        <w:top w:val="none" w:sz="0" w:space="0" w:color="auto"/>
        <w:left w:val="none" w:sz="0" w:space="0" w:color="auto"/>
        <w:bottom w:val="none" w:sz="0" w:space="0" w:color="auto"/>
        <w:right w:val="none" w:sz="0" w:space="0" w:color="auto"/>
      </w:divBdr>
      <w:divsChild>
        <w:div w:id="1093354301">
          <w:marLeft w:val="0"/>
          <w:marRight w:val="0"/>
          <w:marTop w:val="0"/>
          <w:marBottom w:val="0"/>
          <w:divBdr>
            <w:top w:val="none" w:sz="0" w:space="0" w:color="auto"/>
            <w:left w:val="none" w:sz="0" w:space="0" w:color="auto"/>
            <w:bottom w:val="none" w:sz="0" w:space="0" w:color="auto"/>
            <w:right w:val="none" w:sz="0" w:space="0" w:color="auto"/>
          </w:divBdr>
          <w:divsChild>
            <w:div w:id="935134357">
              <w:marLeft w:val="0"/>
              <w:marRight w:val="0"/>
              <w:marTop w:val="0"/>
              <w:marBottom w:val="0"/>
              <w:divBdr>
                <w:top w:val="none" w:sz="0" w:space="0" w:color="auto"/>
                <w:left w:val="none" w:sz="0" w:space="0" w:color="auto"/>
                <w:bottom w:val="none" w:sz="0" w:space="0" w:color="auto"/>
                <w:right w:val="none" w:sz="0" w:space="0" w:color="auto"/>
              </w:divBdr>
              <w:divsChild>
                <w:div w:id="470708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7468872">
      <w:bodyDiv w:val="1"/>
      <w:marLeft w:val="0"/>
      <w:marRight w:val="0"/>
      <w:marTop w:val="0"/>
      <w:marBottom w:val="0"/>
      <w:divBdr>
        <w:top w:val="none" w:sz="0" w:space="0" w:color="auto"/>
        <w:left w:val="none" w:sz="0" w:space="0" w:color="auto"/>
        <w:bottom w:val="none" w:sz="0" w:space="0" w:color="auto"/>
        <w:right w:val="none" w:sz="0" w:space="0" w:color="auto"/>
      </w:divBdr>
    </w:div>
    <w:div w:id="268004161">
      <w:bodyDiv w:val="1"/>
      <w:marLeft w:val="0"/>
      <w:marRight w:val="0"/>
      <w:marTop w:val="0"/>
      <w:marBottom w:val="0"/>
      <w:divBdr>
        <w:top w:val="none" w:sz="0" w:space="0" w:color="auto"/>
        <w:left w:val="none" w:sz="0" w:space="0" w:color="auto"/>
        <w:bottom w:val="none" w:sz="0" w:space="0" w:color="auto"/>
        <w:right w:val="none" w:sz="0" w:space="0" w:color="auto"/>
      </w:divBdr>
    </w:div>
    <w:div w:id="271713583">
      <w:bodyDiv w:val="1"/>
      <w:marLeft w:val="0"/>
      <w:marRight w:val="0"/>
      <w:marTop w:val="0"/>
      <w:marBottom w:val="0"/>
      <w:divBdr>
        <w:top w:val="none" w:sz="0" w:space="0" w:color="auto"/>
        <w:left w:val="none" w:sz="0" w:space="0" w:color="auto"/>
        <w:bottom w:val="none" w:sz="0" w:space="0" w:color="auto"/>
        <w:right w:val="none" w:sz="0" w:space="0" w:color="auto"/>
      </w:divBdr>
    </w:div>
    <w:div w:id="278998882">
      <w:bodyDiv w:val="1"/>
      <w:marLeft w:val="0"/>
      <w:marRight w:val="0"/>
      <w:marTop w:val="0"/>
      <w:marBottom w:val="0"/>
      <w:divBdr>
        <w:top w:val="none" w:sz="0" w:space="0" w:color="auto"/>
        <w:left w:val="none" w:sz="0" w:space="0" w:color="auto"/>
        <w:bottom w:val="none" w:sz="0" w:space="0" w:color="auto"/>
        <w:right w:val="none" w:sz="0" w:space="0" w:color="auto"/>
      </w:divBdr>
      <w:divsChild>
        <w:div w:id="1335380561">
          <w:marLeft w:val="0"/>
          <w:marRight w:val="0"/>
          <w:marTop w:val="0"/>
          <w:marBottom w:val="0"/>
          <w:divBdr>
            <w:top w:val="none" w:sz="0" w:space="0" w:color="auto"/>
            <w:left w:val="none" w:sz="0" w:space="0" w:color="auto"/>
            <w:bottom w:val="none" w:sz="0" w:space="0" w:color="auto"/>
            <w:right w:val="none" w:sz="0" w:space="0" w:color="auto"/>
          </w:divBdr>
          <w:divsChild>
            <w:div w:id="371155066">
              <w:marLeft w:val="0"/>
              <w:marRight w:val="0"/>
              <w:marTop w:val="0"/>
              <w:marBottom w:val="0"/>
              <w:divBdr>
                <w:top w:val="none" w:sz="0" w:space="0" w:color="auto"/>
                <w:left w:val="none" w:sz="0" w:space="0" w:color="auto"/>
                <w:bottom w:val="none" w:sz="0" w:space="0" w:color="auto"/>
                <w:right w:val="none" w:sz="0" w:space="0" w:color="auto"/>
              </w:divBdr>
              <w:divsChild>
                <w:div w:id="1804882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2004301">
      <w:bodyDiv w:val="1"/>
      <w:marLeft w:val="0"/>
      <w:marRight w:val="0"/>
      <w:marTop w:val="0"/>
      <w:marBottom w:val="0"/>
      <w:divBdr>
        <w:top w:val="none" w:sz="0" w:space="0" w:color="auto"/>
        <w:left w:val="none" w:sz="0" w:space="0" w:color="auto"/>
        <w:bottom w:val="none" w:sz="0" w:space="0" w:color="auto"/>
        <w:right w:val="none" w:sz="0" w:space="0" w:color="auto"/>
      </w:divBdr>
      <w:divsChild>
        <w:div w:id="1518545409">
          <w:marLeft w:val="0"/>
          <w:marRight w:val="0"/>
          <w:marTop w:val="0"/>
          <w:marBottom w:val="0"/>
          <w:divBdr>
            <w:top w:val="none" w:sz="0" w:space="0" w:color="auto"/>
            <w:left w:val="none" w:sz="0" w:space="0" w:color="auto"/>
            <w:bottom w:val="none" w:sz="0" w:space="0" w:color="auto"/>
            <w:right w:val="none" w:sz="0" w:space="0" w:color="auto"/>
          </w:divBdr>
        </w:div>
        <w:div w:id="140929864">
          <w:marLeft w:val="0"/>
          <w:marRight w:val="0"/>
          <w:marTop w:val="0"/>
          <w:marBottom w:val="0"/>
          <w:divBdr>
            <w:top w:val="none" w:sz="0" w:space="0" w:color="auto"/>
            <w:left w:val="none" w:sz="0" w:space="0" w:color="auto"/>
            <w:bottom w:val="none" w:sz="0" w:space="0" w:color="auto"/>
            <w:right w:val="none" w:sz="0" w:space="0" w:color="auto"/>
          </w:divBdr>
        </w:div>
        <w:div w:id="1363241815">
          <w:marLeft w:val="0"/>
          <w:marRight w:val="0"/>
          <w:marTop w:val="0"/>
          <w:marBottom w:val="0"/>
          <w:divBdr>
            <w:top w:val="none" w:sz="0" w:space="0" w:color="auto"/>
            <w:left w:val="none" w:sz="0" w:space="0" w:color="auto"/>
            <w:bottom w:val="none" w:sz="0" w:space="0" w:color="auto"/>
            <w:right w:val="none" w:sz="0" w:space="0" w:color="auto"/>
          </w:divBdr>
        </w:div>
        <w:div w:id="282540047">
          <w:marLeft w:val="0"/>
          <w:marRight w:val="0"/>
          <w:marTop w:val="0"/>
          <w:marBottom w:val="0"/>
          <w:divBdr>
            <w:top w:val="none" w:sz="0" w:space="0" w:color="auto"/>
            <w:left w:val="none" w:sz="0" w:space="0" w:color="auto"/>
            <w:bottom w:val="none" w:sz="0" w:space="0" w:color="auto"/>
            <w:right w:val="none" w:sz="0" w:space="0" w:color="auto"/>
          </w:divBdr>
        </w:div>
        <w:div w:id="727070111">
          <w:marLeft w:val="0"/>
          <w:marRight w:val="0"/>
          <w:marTop w:val="0"/>
          <w:marBottom w:val="0"/>
          <w:divBdr>
            <w:top w:val="none" w:sz="0" w:space="0" w:color="auto"/>
            <w:left w:val="none" w:sz="0" w:space="0" w:color="auto"/>
            <w:bottom w:val="none" w:sz="0" w:space="0" w:color="auto"/>
            <w:right w:val="none" w:sz="0" w:space="0" w:color="auto"/>
          </w:divBdr>
        </w:div>
        <w:div w:id="878517070">
          <w:marLeft w:val="0"/>
          <w:marRight w:val="0"/>
          <w:marTop w:val="0"/>
          <w:marBottom w:val="0"/>
          <w:divBdr>
            <w:top w:val="none" w:sz="0" w:space="0" w:color="auto"/>
            <w:left w:val="none" w:sz="0" w:space="0" w:color="auto"/>
            <w:bottom w:val="none" w:sz="0" w:space="0" w:color="auto"/>
            <w:right w:val="none" w:sz="0" w:space="0" w:color="auto"/>
          </w:divBdr>
        </w:div>
        <w:div w:id="251354470">
          <w:marLeft w:val="0"/>
          <w:marRight w:val="0"/>
          <w:marTop w:val="0"/>
          <w:marBottom w:val="0"/>
          <w:divBdr>
            <w:top w:val="none" w:sz="0" w:space="0" w:color="auto"/>
            <w:left w:val="none" w:sz="0" w:space="0" w:color="auto"/>
            <w:bottom w:val="none" w:sz="0" w:space="0" w:color="auto"/>
            <w:right w:val="none" w:sz="0" w:space="0" w:color="auto"/>
          </w:divBdr>
        </w:div>
        <w:div w:id="1053968733">
          <w:marLeft w:val="0"/>
          <w:marRight w:val="0"/>
          <w:marTop w:val="0"/>
          <w:marBottom w:val="0"/>
          <w:divBdr>
            <w:top w:val="none" w:sz="0" w:space="0" w:color="auto"/>
            <w:left w:val="none" w:sz="0" w:space="0" w:color="auto"/>
            <w:bottom w:val="none" w:sz="0" w:space="0" w:color="auto"/>
            <w:right w:val="none" w:sz="0" w:space="0" w:color="auto"/>
          </w:divBdr>
        </w:div>
        <w:div w:id="547841771">
          <w:marLeft w:val="0"/>
          <w:marRight w:val="0"/>
          <w:marTop w:val="0"/>
          <w:marBottom w:val="0"/>
          <w:divBdr>
            <w:top w:val="none" w:sz="0" w:space="0" w:color="auto"/>
            <w:left w:val="none" w:sz="0" w:space="0" w:color="auto"/>
            <w:bottom w:val="none" w:sz="0" w:space="0" w:color="auto"/>
            <w:right w:val="none" w:sz="0" w:space="0" w:color="auto"/>
          </w:divBdr>
        </w:div>
        <w:div w:id="2038769614">
          <w:marLeft w:val="0"/>
          <w:marRight w:val="0"/>
          <w:marTop w:val="0"/>
          <w:marBottom w:val="0"/>
          <w:divBdr>
            <w:top w:val="none" w:sz="0" w:space="0" w:color="auto"/>
            <w:left w:val="none" w:sz="0" w:space="0" w:color="auto"/>
            <w:bottom w:val="none" w:sz="0" w:space="0" w:color="auto"/>
            <w:right w:val="none" w:sz="0" w:space="0" w:color="auto"/>
          </w:divBdr>
        </w:div>
        <w:div w:id="685524032">
          <w:marLeft w:val="0"/>
          <w:marRight w:val="0"/>
          <w:marTop w:val="0"/>
          <w:marBottom w:val="0"/>
          <w:divBdr>
            <w:top w:val="none" w:sz="0" w:space="0" w:color="auto"/>
            <w:left w:val="none" w:sz="0" w:space="0" w:color="auto"/>
            <w:bottom w:val="none" w:sz="0" w:space="0" w:color="auto"/>
            <w:right w:val="none" w:sz="0" w:space="0" w:color="auto"/>
          </w:divBdr>
        </w:div>
        <w:div w:id="1663851358">
          <w:marLeft w:val="0"/>
          <w:marRight w:val="0"/>
          <w:marTop w:val="0"/>
          <w:marBottom w:val="0"/>
          <w:divBdr>
            <w:top w:val="none" w:sz="0" w:space="0" w:color="auto"/>
            <w:left w:val="none" w:sz="0" w:space="0" w:color="auto"/>
            <w:bottom w:val="none" w:sz="0" w:space="0" w:color="auto"/>
            <w:right w:val="none" w:sz="0" w:space="0" w:color="auto"/>
          </w:divBdr>
        </w:div>
        <w:div w:id="1183662481">
          <w:marLeft w:val="0"/>
          <w:marRight w:val="0"/>
          <w:marTop w:val="0"/>
          <w:marBottom w:val="0"/>
          <w:divBdr>
            <w:top w:val="none" w:sz="0" w:space="0" w:color="auto"/>
            <w:left w:val="none" w:sz="0" w:space="0" w:color="auto"/>
            <w:bottom w:val="none" w:sz="0" w:space="0" w:color="auto"/>
            <w:right w:val="none" w:sz="0" w:space="0" w:color="auto"/>
          </w:divBdr>
        </w:div>
        <w:div w:id="1986884486">
          <w:marLeft w:val="0"/>
          <w:marRight w:val="0"/>
          <w:marTop w:val="0"/>
          <w:marBottom w:val="0"/>
          <w:divBdr>
            <w:top w:val="none" w:sz="0" w:space="0" w:color="auto"/>
            <w:left w:val="none" w:sz="0" w:space="0" w:color="auto"/>
            <w:bottom w:val="none" w:sz="0" w:space="0" w:color="auto"/>
            <w:right w:val="none" w:sz="0" w:space="0" w:color="auto"/>
          </w:divBdr>
        </w:div>
        <w:div w:id="2111774671">
          <w:marLeft w:val="0"/>
          <w:marRight w:val="0"/>
          <w:marTop w:val="0"/>
          <w:marBottom w:val="0"/>
          <w:divBdr>
            <w:top w:val="none" w:sz="0" w:space="0" w:color="auto"/>
            <w:left w:val="none" w:sz="0" w:space="0" w:color="auto"/>
            <w:bottom w:val="none" w:sz="0" w:space="0" w:color="auto"/>
            <w:right w:val="none" w:sz="0" w:space="0" w:color="auto"/>
          </w:divBdr>
        </w:div>
        <w:div w:id="1536772105">
          <w:marLeft w:val="0"/>
          <w:marRight w:val="0"/>
          <w:marTop w:val="0"/>
          <w:marBottom w:val="0"/>
          <w:divBdr>
            <w:top w:val="none" w:sz="0" w:space="0" w:color="auto"/>
            <w:left w:val="none" w:sz="0" w:space="0" w:color="auto"/>
            <w:bottom w:val="none" w:sz="0" w:space="0" w:color="auto"/>
            <w:right w:val="none" w:sz="0" w:space="0" w:color="auto"/>
          </w:divBdr>
        </w:div>
        <w:div w:id="578098851">
          <w:marLeft w:val="0"/>
          <w:marRight w:val="0"/>
          <w:marTop w:val="0"/>
          <w:marBottom w:val="0"/>
          <w:divBdr>
            <w:top w:val="none" w:sz="0" w:space="0" w:color="auto"/>
            <w:left w:val="none" w:sz="0" w:space="0" w:color="auto"/>
            <w:bottom w:val="none" w:sz="0" w:space="0" w:color="auto"/>
            <w:right w:val="none" w:sz="0" w:space="0" w:color="auto"/>
          </w:divBdr>
        </w:div>
        <w:div w:id="1735006436">
          <w:marLeft w:val="0"/>
          <w:marRight w:val="0"/>
          <w:marTop w:val="0"/>
          <w:marBottom w:val="0"/>
          <w:divBdr>
            <w:top w:val="none" w:sz="0" w:space="0" w:color="auto"/>
            <w:left w:val="none" w:sz="0" w:space="0" w:color="auto"/>
            <w:bottom w:val="none" w:sz="0" w:space="0" w:color="auto"/>
            <w:right w:val="none" w:sz="0" w:space="0" w:color="auto"/>
          </w:divBdr>
        </w:div>
        <w:div w:id="1693148311">
          <w:marLeft w:val="0"/>
          <w:marRight w:val="0"/>
          <w:marTop w:val="0"/>
          <w:marBottom w:val="0"/>
          <w:divBdr>
            <w:top w:val="none" w:sz="0" w:space="0" w:color="auto"/>
            <w:left w:val="none" w:sz="0" w:space="0" w:color="auto"/>
            <w:bottom w:val="none" w:sz="0" w:space="0" w:color="auto"/>
            <w:right w:val="none" w:sz="0" w:space="0" w:color="auto"/>
          </w:divBdr>
        </w:div>
        <w:div w:id="701825709">
          <w:marLeft w:val="0"/>
          <w:marRight w:val="0"/>
          <w:marTop w:val="0"/>
          <w:marBottom w:val="0"/>
          <w:divBdr>
            <w:top w:val="none" w:sz="0" w:space="0" w:color="auto"/>
            <w:left w:val="none" w:sz="0" w:space="0" w:color="auto"/>
            <w:bottom w:val="none" w:sz="0" w:space="0" w:color="auto"/>
            <w:right w:val="none" w:sz="0" w:space="0" w:color="auto"/>
          </w:divBdr>
        </w:div>
        <w:div w:id="871382621">
          <w:marLeft w:val="0"/>
          <w:marRight w:val="0"/>
          <w:marTop w:val="0"/>
          <w:marBottom w:val="0"/>
          <w:divBdr>
            <w:top w:val="none" w:sz="0" w:space="0" w:color="auto"/>
            <w:left w:val="none" w:sz="0" w:space="0" w:color="auto"/>
            <w:bottom w:val="none" w:sz="0" w:space="0" w:color="auto"/>
            <w:right w:val="none" w:sz="0" w:space="0" w:color="auto"/>
          </w:divBdr>
        </w:div>
        <w:div w:id="217983362">
          <w:marLeft w:val="0"/>
          <w:marRight w:val="0"/>
          <w:marTop w:val="0"/>
          <w:marBottom w:val="0"/>
          <w:divBdr>
            <w:top w:val="none" w:sz="0" w:space="0" w:color="auto"/>
            <w:left w:val="none" w:sz="0" w:space="0" w:color="auto"/>
            <w:bottom w:val="none" w:sz="0" w:space="0" w:color="auto"/>
            <w:right w:val="none" w:sz="0" w:space="0" w:color="auto"/>
          </w:divBdr>
        </w:div>
        <w:div w:id="2119249002">
          <w:marLeft w:val="0"/>
          <w:marRight w:val="0"/>
          <w:marTop w:val="0"/>
          <w:marBottom w:val="0"/>
          <w:divBdr>
            <w:top w:val="none" w:sz="0" w:space="0" w:color="auto"/>
            <w:left w:val="none" w:sz="0" w:space="0" w:color="auto"/>
            <w:bottom w:val="none" w:sz="0" w:space="0" w:color="auto"/>
            <w:right w:val="none" w:sz="0" w:space="0" w:color="auto"/>
          </w:divBdr>
        </w:div>
        <w:div w:id="1631789292">
          <w:marLeft w:val="0"/>
          <w:marRight w:val="0"/>
          <w:marTop w:val="0"/>
          <w:marBottom w:val="0"/>
          <w:divBdr>
            <w:top w:val="none" w:sz="0" w:space="0" w:color="auto"/>
            <w:left w:val="none" w:sz="0" w:space="0" w:color="auto"/>
            <w:bottom w:val="none" w:sz="0" w:space="0" w:color="auto"/>
            <w:right w:val="none" w:sz="0" w:space="0" w:color="auto"/>
          </w:divBdr>
        </w:div>
        <w:div w:id="87891700">
          <w:marLeft w:val="0"/>
          <w:marRight w:val="0"/>
          <w:marTop w:val="0"/>
          <w:marBottom w:val="0"/>
          <w:divBdr>
            <w:top w:val="none" w:sz="0" w:space="0" w:color="auto"/>
            <w:left w:val="none" w:sz="0" w:space="0" w:color="auto"/>
            <w:bottom w:val="none" w:sz="0" w:space="0" w:color="auto"/>
            <w:right w:val="none" w:sz="0" w:space="0" w:color="auto"/>
          </w:divBdr>
        </w:div>
        <w:div w:id="26612087">
          <w:marLeft w:val="0"/>
          <w:marRight w:val="0"/>
          <w:marTop w:val="0"/>
          <w:marBottom w:val="0"/>
          <w:divBdr>
            <w:top w:val="none" w:sz="0" w:space="0" w:color="auto"/>
            <w:left w:val="none" w:sz="0" w:space="0" w:color="auto"/>
            <w:bottom w:val="none" w:sz="0" w:space="0" w:color="auto"/>
            <w:right w:val="none" w:sz="0" w:space="0" w:color="auto"/>
          </w:divBdr>
        </w:div>
        <w:div w:id="491486819">
          <w:marLeft w:val="0"/>
          <w:marRight w:val="0"/>
          <w:marTop w:val="0"/>
          <w:marBottom w:val="0"/>
          <w:divBdr>
            <w:top w:val="none" w:sz="0" w:space="0" w:color="auto"/>
            <w:left w:val="none" w:sz="0" w:space="0" w:color="auto"/>
            <w:bottom w:val="none" w:sz="0" w:space="0" w:color="auto"/>
            <w:right w:val="none" w:sz="0" w:space="0" w:color="auto"/>
          </w:divBdr>
        </w:div>
        <w:div w:id="1193953232">
          <w:marLeft w:val="0"/>
          <w:marRight w:val="0"/>
          <w:marTop w:val="0"/>
          <w:marBottom w:val="0"/>
          <w:divBdr>
            <w:top w:val="none" w:sz="0" w:space="0" w:color="auto"/>
            <w:left w:val="none" w:sz="0" w:space="0" w:color="auto"/>
            <w:bottom w:val="none" w:sz="0" w:space="0" w:color="auto"/>
            <w:right w:val="none" w:sz="0" w:space="0" w:color="auto"/>
          </w:divBdr>
        </w:div>
        <w:div w:id="552011677">
          <w:marLeft w:val="0"/>
          <w:marRight w:val="0"/>
          <w:marTop w:val="0"/>
          <w:marBottom w:val="0"/>
          <w:divBdr>
            <w:top w:val="none" w:sz="0" w:space="0" w:color="auto"/>
            <w:left w:val="none" w:sz="0" w:space="0" w:color="auto"/>
            <w:bottom w:val="none" w:sz="0" w:space="0" w:color="auto"/>
            <w:right w:val="none" w:sz="0" w:space="0" w:color="auto"/>
          </w:divBdr>
        </w:div>
        <w:div w:id="334000612">
          <w:marLeft w:val="0"/>
          <w:marRight w:val="0"/>
          <w:marTop w:val="0"/>
          <w:marBottom w:val="0"/>
          <w:divBdr>
            <w:top w:val="none" w:sz="0" w:space="0" w:color="auto"/>
            <w:left w:val="none" w:sz="0" w:space="0" w:color="auto"/>
            <w:bottom w:val="none" w:sz="0" w:space="0" w:color="auto"/>
            <w:right w:val="none" w:sz="0" w:space="0" w:color="auto"/>
          </w:divBdr>
        </w:div>
        <w:div w:id="1740442757">
          <w:marLeft w:val="0"/>
          <w:marRight w:val="0"/>
          <w:marTop w:val="0"/>
          <w:marBottom w:val="0"/>
          <w:divBdr>
            <w:top w:val="none" w:sz="0" w:space="0" w:color="auto"/>
            <w:left w:val="none" w:sz="0" w:space="0" w:color="auto"/>
            <w:bottom w:val="none" w:sz="0" w:space="0" w:color="auto"/>
            <w:right w:val="none" w:sz="0" w:space="0" w:color="auto"/>
          </w:divBdr>
        </w:div>
        <w:div w:id="1277174822">
          <w:marLeft w:val="0"/>
          <w:marRight w:val="0"/>
          <w:marTop w:val="0"/>
          <w:marBottom w:val="0"/>
          <w:divBdr>
            <w:top w:val="none" w:sz="0" w:space="0" w:color="auto"/>
            <w:left w:val="none" w:sz="0" w:space="0" w:color="auto"/>
            <w:bottom w:val="none" w:sz="0" w:space="0" w:color="auto"/>
            <w:right w:val="none" w:sz="0" w:space="0" w:color="auto"/>
          </w:divBdr>
        </w:div>
        <w:div w:id="1698041437">
          <w:marLeft w:val="0"/>
          <w:marRight w:val="0"/>
          <w:marTop w:val="0"/>
          <w:marBottom w:val="0"/>
          <w:divBdr>
            <w:top w:val="none" w:sz="0" w:space="0" w:color="auto"/>
            <w:left w:val="none" w:sz="0" w:space="0" w:color="auto"/>
            <w:bottom w:val="none" w:sz="0" w:space="0" w:color="auto"/>
            <w:right w:val="none" w:sz="0" w:space="0" w:color="auto"/>
          </w:divBdr>
        </w:div>
      </w:divsChild>
    </w:div>
    <w:div w:id="283269074">
      <w:bodyDiv w:val="1"/>
      <w:marLeft w:val="0"/>
      <w:marRight w:val="0"/>
      <w:marTop w:val="0"/>
      <w:marBottom w:val="0"/>
      <w:divBdr>
        <w:top w:val="none" w:sz="0" w:space="0" w:color="auto"/>
        <w:left w:val="none" w:sz="0" w:space="0" w:color="auto"/>
        <w:bottom w:val="none" w:sz="0" w:space="0" w:color="auto"/>
        <w:right w:val="none" w:sz="0" w:space="0" w:color="auto"/>
      </w:divBdr>
    </w:div>
    <w:div w:id="290793462">
      <w:bodyDiv w:val="1"/>
      <w:marLeft w:val="0"/>
      <w:marRight w:val="0"/>
      <w:marTop w:val="0"/>
      <w:marBottom w:val="0"/>
      <w:divBdr>
        <w:top w:val="none" w:sz="0" w:space="0" w:color="auto"/>
        <w:left w:val="none" w:sz="0" w:space="0" w:color="auto"/>
        <w:bottom w:val="none" w:sz="0" w:space="0" w:color="auto"/>
        <w:right w:val="none" w:sz="0" w:space="0" w:color="auto"/>
      </w:divBdr>
    </w:div>
    <w:div w:id="292712645">
      <w:bodyDiv w:val="1"/>
      <w:marLeft w:val="0"/>
      <w:marRight w:val="0"/>
      <w:marTop w:val="0"/>
      <w:marBottom w:val="0"/>
      <w:divBdr>
        <w:top w:val="none" w:sz="0" w:space="0" w:color="auto"/>
        <w:left w:val="none" w:sz="0" w:space="0" w:color="auto"/>
        <w:bottom w:val="none" w:sz="0" w:space="0" w:color="auto"/>
        <w:right w:val="none" w:sz="0" w:space="0" w:color="auto"/>
      </w:divBdr>
    </w:div>
    <w:div w:id="293683859">
      <w:bodyDiv w:val="1"/>
      <w:marLeft w:val="0"/>
      <w:marRight w:val="0"/>
      <w:marTop w:val="0"/>
      <w:marBottom w:val="0"/>
      <w:divBdr>
        <w:top w:val="none" w:sz="0" w:space="0" w:color="auto"/>
        <w:left w:val="none" w:sz="0" w:space="0" w:color="auto"/>
        <w:bottom w:val="none" w:sz="0" w:space="0" w:color="auto"/>
        <w:right w:val="none" w:sz="0" w:space="0" w:color="auto"/>
      </w:divBdr>
    </w:div>
    <w:div w:id="294525119">
      <w:bodyDiv w:val="1"/>
      <w:marLeft w:val="0"/>
      <w:marRight w:val="0"/>
      <w:marTop w:val="0"/>
      <w:marBottom w:val="0"/>
      <w:divBdr>
        <w:top w:val="none" w:sz="0" w:space="0" w:color="auto"/>
        <w:left w:val="none" w:sz="0" w:space="0" w:color="auto"/>
        <w:bottom w:val="none" w:sz="0" w:space="0" w:color="auto"/>
        <w:right w:val="none" w:sz="0" w:space="0" w:color="auto"/>
      </w:divBdr>
    </w:div>
    <w:div w:id="308827641">
      <w:bodyDiv w:val="1"/>
      <w:marLeft w:val="0"/>
      <w:marRight w:val="0"/>
      <w:marTop w:val="0"/>
      <w:marBottom w:val="0"/>
      <w:divBdr>
        <w:top w:val="none" w:sz="0" w:space="0" w:color="auto"/>
        <w:left w:val="none" w:sz="0" w:space="0" w:color="auto"/>
        <w:bottom w:val="none" w:sz="0" w:space="0" w:color="auto"/>
        <w:right w:val="none" w:sz="0" w:space="0" w:color="auto"/>
      </w:divBdr>
    </w:div>
    <w:div w:id="320735469">
      <w:bodyDiv w:val="1"/>
      <w:marLeft w:val="0"/>
      <w:marRight w:val="0"/>
      <w:marTop w:val="0"/>
      <w:marBottom w:val="0"/>
      <w:divBdr>
        <w:top w:val="none" w:sz="0" w:space="0" w:color="auto"/>
        <w:left w:val="none" w:sz="0" w:space="0" w:color="auto"/>
        <w:bottom w:val="none" w:sz="0" w:space="0" w:color="auto"/>
        <w:right w:val="none" w:sz="0" w:space="0" w:color="auto"/>
      </w:divBdr>
    </w:div>
    <w:div w:id="325791137">
      <w:bodyDiv w:val="1"/>
      <w:marLeft w:val="0"/>
      <w:marRight w:val="0"/>
      <w:marTop w:val="0"/>
      <w:marBottom w:val="0"/>
      <w:divBdr>
        <w:top w:val="none" w:sz="0" w:space="0" w:color="auto"/>
        <w:left w:val="none" w:sz="0" w:space="0" w:color="auto"/>
        <w:bottom w:val="none" w:sz="0" w:space="0" w:color="auto"/>
        <w:right w:val="none" w:sz="0" w:space="0" w:color="auto"/>
      </w:divBdr>
    </w:div>
    <w:div w:id="331034324">
      <w:bodyDiv w:val="1"/>
      <w:marLeft w:val="0"/>
      <w:marRight w:val="0"/>
      <w:marTop w:val="0"/>
      <w:marBottom w:val="0"/>
      <w:divBdr>
        <w:top w:val="none" w:sz="0" w:space="0" w:color="auto"/>
        <w:left w:val="none" w:sz="0" w:space="0" w:color="auto"/>
        <w:bottom w:val="none" w:sz="0" w:space="0" w:color="auto"/>
        <w:right w:val="none" w:sz="0" w:space="0" w:color="auto"/>
      </w:divBdr>
    </w:div>
    <w:div w:id="338044739">
      <w:bodyDiv w:val="1"/>
      <w:marLeft w:val="0"/>
      <w:marRight w:val="0"/>
      <w:marTop w:val="0"/>
      <w:marBottom w:val="0"/>
      <w:divBdr>
        <w:top w:val="none" w:sz="0" w:space="0" w:color="auto"/>
        <w:left w:val="none" w:sz="0" w:space="0" w:color="auto"/>
        <w:bottom w:val="none" w:sz="0" w:space="0" w:color="auto"/>
        <w:right w:val="none" w:sz="0" w:space="0" w:color="auto"/>
      </w:divBdr>
    </w:div>
    <w:div w:id="347681938">
      <w:bodyDiv w:val="1"/>
      <w:marLeft w:val="0"/>
      <w:marRight w:val="0"/>
      <w:marTop w:val="0"/>
      <w:marBottom w:val="0"/>
      <w:divBdr>
        <w:top w:val="none" w:sz="0" w:space="0" w:color="auto"/>
        <w:left w:val="none" w:sz="0" w:space="0" w:color="auto"/>
        <w:bottom w:val="none" w:sz="0" w:space="0" w:color="auto"/>
        <w:right w:val="none" w:sz="0" w:space="0" w:color="auto"/>
      </w:divBdr>
    </w:div>
    <w:div w:id="349452318">
      <w:bodyDiv w:val="1"/>
      <w:marLeft w:val="0"/>
      <w:marRight w:val="0"/>
      <w:marTop w:val="0"/>
      <w:marBottom w:val="0"/>
      <w:divBdr>
        <w:top w:val="none" w:sz="0" w:space="0" w:color="auto"/>
        <w:left w:val="none" w:sz="0" w:space="0" w:color="auto"/>
        <w:bottom w:val="none" w:sz="0" w:space="0" w:color="auto"/>
        <w:right w:val="none" w:sz="0" w:space="0" w:color="auto"/>
      </w:divBdr>
    </w:div>
    <w:div w:id="358048769">
      <w:bodyDiv w:val="1"/>
      <w:marLeft w:val="0"/>
      <w:marRight w:val="0"/>
      <w:marTop w:val="0"/>
      <w:marBottom w:val="0"/>
      <w:divBdr>
        <w:top w:val="none" w:sz="0" w:space="0" w:color="auto"/>
        <w:left w:val="none" w:sz="0" w:space="0" w:color="auto"/>
        <w:bottom w:val="none" w:sz="0" w:space="0" w:color="auto"/>
        <w:right w:val="none" w:sz="0" w:space="0" w:color="auto"/>
      </w:divBdr>
    </w:div>
    <w:div w:id="362898652">
      <w:bodyDiv w:val="1"/>
      <w:marLeft w:val="0"/>
      <w:marRight w:val="0"/>
      <w:marTop w:val="0"/>
      <w:marBottom w:val="0"/>
      <w:divBdr>
        <w:top w:val="none" w:sz="0" w:space="0" w:color="auto"/>
        <w:left w:val="none" w:sz="0" w:space="0" w:color="auto"/>
        <w:bottom w:val="none" w:sz="0" w:space="0" w:color="auto"/>
        <w:right w:val="none" w:sz="0" w:space="0" w:color="auto"/>
      </w:divBdr>
    </w:div>
    <w:div w:id="363600434">
      <w:bodyDiv w:val="1"/>
      <w:marLeft w:val="0"/>
      <w:marRight w:val="0"/>
      <w:marTop w:val="0"/>
      <w:marBottom w:val="0"/>
      <w:divBdr>
        <w:top w:val="none" w:sz="0" w:space="0" w:color="auto"/>
        <w:left w:val="none" w:sz="0" w:space="0" w:color="auto"/>
        <w:bottom w:val="none" w:sz="0" w:space="0" w:color="auto"/>
        <w:right w:val="none" w:sz="0" w:space="0" w:color="auto"/>
      </w:divBdr>
    </w:div>
    <w:div w:id="364327264">
      <w:bodyDiv w:val="1"/>
      <w:marLeft w:val="0"/>
      <w:marRight w:val="0"/>
      <w:marTop w:val="0"/>
      <w:marBottom w:val="0"/>
      <w:divBdr>
        <w:top w:val="none" w:sz="0" w:space="0" w:color="auto"/>
        <w:left w:val="none" w:sz="0" w:space="0" w:color="auto"/>
        <w:bottom w:val="none" w:sz="0" w:space="0" w:color="auto"/>
        <w:right w:val="none" w:sz="0" w:space="0" w:color="auto"/>
      </w:divBdr>
    </w:div>
    <w:div w:id="370303568">
      <w:bodyDiv w:val="1"/>
      <w:marLeft w:val="0"/>
      <w:marRight w:val="0"/>
      <w:marTop w:val="0"/>
      <w:marBottom w:val="0"/>
      <w:divBdr>
        <w:top w:val="none" w:sz="0" w:space="0" w:color="auto"/>
        <w:left w:val="none" w:sz="0" w:space="0" w:color="auto"/>
        <w:bottom w:val="none" w:sz="0" w:space="0" w:color="auto"/>
        <w:right w:val="none" w:sz="0" w:space="0" w:color="auto"/>
      </w:divBdr>
    </w:div>
    <w:div w:id="381249957">
      <w:bodyDiv w:val="1"/>
      <w:marLeft w:val="0"/>
      <w:marRight w:val="0"/>
      <w:marTop w:val="0"/>
      <w:marBottom w:val="0"/>
      <w:divBdr>
        <w:top w:val="none" w:sz="0" w:space="0" w:color="auto"/>
        <w:left w:val="none" w:sz="0" w:space="0" w:color="auto"/>
        <w:bottom w:val="none" w:sz="0" w:space="0" w:color="auto"/>
        <w:right w:val="none" w:sz="0" w:space="0" w:color="auto"/>
      </w:divBdr>
    </w:div>
    <w:div w:id="384138585">
      <w:bodyDiv w:val="1"/>
      <w:marLeft w:val="0"/>
      <w:marRight w:val="0"/>
      <w:marTop w:val="0"/>
      <w:marBottom w:val="0"/>
      <w:divBdr>
        <w:top w:val="none" w:sz="0" w:space="0" w:color="auto"/>
        <w:left w:val="none" w:sz="0" w:space="0" w:color="auto"/>
        <w:bottom w:val="none" w:sz="0" w:space="0" w:color="auto"/>
        <w:right w:val="none" w:sz="0" w:space="0" w:color="auto"/>
      </w:divBdr>
    </w:div>
    <w:div w:id="395207306">
      <w:bodyDiv w:val="1"/>
      <w:marLeft w:val="0"/>
      <w:marRight w:val="0"/>
      <w:marTop w:val="0"/>
      <w:marBottom w:val="0"/>
      <w:divBdr>
        <w:top w:val="none" w:sz="0" w:space="0" w:color="auto"/>
        <w:left w:val="none" w:sz="0" w:space="0" w:color="auto"/>
        <w:bottom w:val="none" w:sz="0" w:space="0" w:color="auto"/>
        <w:right w:val="none" w:sz="0" w:space="0" w:color="auto"/>
      </w:divBdr>
      <w:divsChild>
        <w:div w:id="110786212">
          <w:marLeft w:val="0"/>
          <w:marRight w:val="0"/>
          <w:marTop w:val="0"/>
          <w:marBottom w:val="0"/>
          <w:divBdr>
            <w:top w:val="none" w:sz="0" w:space="0" w:color="auto"/>
            <w:left w:val="none" w:sz="0" w:space="0" w:color="auto"/>
            <w:bottom w:val="none" w:sz="0" w:space="0" w:color="auto"/>
            <w:right w:val="none" w:sz="0" w:space="0" w:color="auto"/>
          </w:divBdr>
          <w:divsChild>
            <w:div w:id="936790802">
              <w:marLeft w:val="0"/>
              <w:marRight w:val="0"/>
              <w:marTop w:val="0"/>
              <w:marBottom w:val="0"/>
              <w:divBdr>
                <w:top w:val="none" w:sz="0" w:space="0" w:color="auto"/>
                <w:left w:val="none" w:sz="0" w:space="0" w:color="auto"/>
                <w:bottom w:val="none" w:sz="0" w:space="0" w:color="auto"/>
                <w:right w:val="none" w:sz="0" w:space="0" w:color="auto"/>
              </w:divBdr>
              <w:divsChild>
                <w:div w:id="425343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2873696">
      <w:bodyDiv w:val="1"/>
      <w:marLeft w:val="0"/>
      <w:marRight w:val="0"/>
      <w:marTop w:val="0"/>
      <w:marBottom w:val="0"/>
      <w:divBdr>
        <w:top w:val="none" w:sz="0" w:space="0" w:color="auto"/>
        <w:left w:val="none" w:sz="0" w:space="0" w:color="auto"/>
        <w:bottom w:val="none" w:sz="0" w:space="0" w:color="auto"/>
        <w:right w:val="none" w:sz="0" w:space="0" w:color="auto"/>
      </w:divBdr>
      <w:divsChild>
        <w:div w:id="2051765363">
          <w:marLeft w:val="0"/>
          <w:marRight w:val="0"/>
          <w:marTop w:val="0"/>
          <w:marBottom w:val="240"/>
          <w:divBdr>
            <w:top w:val="none" w:sz="0" w:space="0" w:color="auto"/>
            <w:left w:val="none" w:sz="0" w:space="0" w:color="auto"/>
            <w:bottom w:val="none" w:sz="0" w:space="0" w:color="auto"/>
            <w:right w:val="none" w:sz="0" w:space="0" w:color="auto"/>
          </w:divBdr>
        </w:div>
      </w:divsChild>
    </w:div>
    <w:div w:id="406537826">
      <w:bodyDiv w:val="1"/>
      <w:marLeft w:val="0"/>
      <w:marRight w:val="0"/>
      <w:marTop w:val="0"/>
      <w:marBottom w:val="0"/>
      <w:divBdr>
        <w:top w:val="none" w:sz="0" w:space="0" w:color="auto"/>
        <w:left w:val="none" w:sz="0" w:space="0" w:color="auto"/>
        <w:bottom w:val="none" w:sz="0" w:space="0" w:color="auto"/>
        <w:right w:val="none" w:sz="0" w:space="0" w:color="auto"/>
      </w:divBdr>
    </w:div>
    <w:div w:id="410660210">
      <w:bodyDiv w:val="1"/>
      <w:marLeft w:val="0"/>
      <w:marRight w:val="0"/>
      <w:marTop w:val="0"/>
      <w:marBottom w:val="0"/>
      <w:divBdr>
        <w:top w:val="none" w:sz="0" w:space="0" w:color="auto"/>
        <w:left w:val="none" w:sz="0" w:space="0" w:color="auto"/>
        <w:bottom w:val="none" w:sz="0" w:space="0" w:color="auto"/>
        <w:right w:val="none" w:sz="0" w:space="0" w:color="auto"/>
      </w:divBdr>
    </w:div>
    <w:div w:id="419259716">
      <w:bodyDiv w:val="1"/>
      <w:marLeft w:val="0"/>
      <w:marRight w:val="0"/>
      <w:marTop w:val="0"/>
      <w:marBottom w:val="0"/>
      <w:divBdr>
        <w:top w:val="none" w:sz="0" w:space="0" w:color="auto"/>
        <w:left w:val="none" w:sz="0" w:space="0" w:color="auto"/>
        <w:bottom w:val="none" w:sz="0" w:space="0" w:color="auto"/>
        <w:right w:val="none" w:sz="0" w:space="0" w:color="auto"/>
      </w:divBdr>
    </w:div>
    <w:div w:id="433326831">
      <w:bodyDiv w:val="1"/>
      <w:marLeft w:val="0"/>
      <w:marRight w:val="0"/>
      <w:marTop w:val="0"/>
      <w:marBottom w:val="0"/>
      <w:divBdr>
        <w:top w:val="none" w:sz="0" w:space="0" w:color="auto"/>
        <w:left w:val="none" w:sz="0" w:space="0" w:color="auto"/>
        <w:bottom w:val="none" w:sz="0" w:space="0" w:color="auto"/>
        <w:right w:val="none" w:sz="0" w:space="0" w:color="auto"/>
      </w:divBdr>
    </w:div>
    <w:div w:id="436605743">
      <w:bodyDiv w:val="1"/>
      <w:marLeft w:val="0"/>
      <w:marRight w:val="0"/>
      <w:marTop w:val="0"/>
      <w:marBottom w:val="0"/>
      <w:divBdr>
        <w:top w:val="none" w:sz="0" w:space="0" w:color="auto"/>
        <w:left w:val="none" w:sz="0" w:space="0" w:color="auto"/>
        <w:bottom w:val="none" w:sz="0" w:space="0" w:color="auto"/>
        <w:right w:val="none" w:sz="0" w:space="0" w:color="auto"/>
      </w:divBdr>
    </w:div>
    <w:div w:id="445659773">
      <w:bodyDiv w:val="1"/>
      <w:marLeft w:val="0"/>
      <w:marRight w:val="0"/>
      <w:marTop w:val="0"/>
      <w:marBottom w:val="0"/>
      <w:divBdr>
        <w:top w:val="none" w:sz="0" w:space="0" w:color="auto"/>
        <w:left w:val="none" w:sz="0" w:space="0" w:color="auto"/>
        <w:bottom w:val="none" w:sz="0" w:space="0" w:color="auto"/>
        <w:right w:val="none" w:sz="0" w:space="0" w:color="auto"/>
      </w:divBdr>
    </w:div>
    <w:div w:id="448092968">
      <w:bodyDiv w:val="1"/>
      <w:marLeft w:val="0"/>
      <w:marRight w:val="0"/>
      <w:marTop w:val="0"/>
      <w:marBottom w:val="0"/>
      <w:divBdr>
        <w:top w:val="none" w:sz="0" w:space="0" w:color="auto"/>
        <w:left w:val="none" w:sz="0" w:space="0" w:color="auto"/>
        <w:bottom w:val="none" w:sz="0" w:space="0" w:color="auto"/>
        <w:right w:val="none" w:sz="0" w:space="0" w:color="auto"/>
      </w:divBdr>
    </w:div>
    <w:div w:id="458888227">
      <w:bodyDiv w:val="1"/>
      <w:marLeft w:val="0"/>
      <w:marRight w:val="0"/>
      <w:marTop w:val="0"/>
      <w:marBottom w:val="0"/>
      <w:divBdr>
        <w:top w:val="none" w:sz="0" w:space="0" w:color="auto"/>
        <w:left w:val="none" w:sz="0" w:space="0" w:color="auto"/>
        <w:bottom w:val="none" w:sz="0" w:space="0" w:color="auto"/>
        <w:right w:val="none" w:sz="0" w:space="0" w:color="auto"/>
      </w:divBdr>
    </w:div>
    <w:div w:id="465392307">
      <w:bodyDiv w:val="1"/>
      <w:marLeft w:val="0"/>
      <w:marRight w:val="0"/>
      <w:marTop w:val="0"/>
      <w:marBottom w:val="0"/>
      <w:divBdr>
        <w:top w:val="none" w:sz="0" w:space="0" w:color="auto"/>
        <w:left w:val="none" w:sz="0" w:space="0" w:color="auto"/>
        <w:bottom w:val="none" w:sz="0" w:space="0" w:color="auto"/>
        <w:right w:val="none" w:sz="0" w:space="0" w:color="auto"/>
      </w:divBdr>
    </w:div>
    <w:div w:id="472983468">
      <w:bodyDiv w:val="1"/>
      <w:marLeft w:val="0"/>
      <w:marRight w:val="0"/>
      <w:marTop w:val="0"/>
      <w:marBottom w:val="0"/>
      <w:divBdr>
        <w:top w:val="none" w:sz="0" w:space="0" w:color="auto"/>
        <w:left w:val="none" w:sz="0" w:space="0" w:color="auto"/>
        <w:bottom w:val="none" w:sz="0" w:space="0" w:color="auto"/>
        <w:right w:val="none" w:sz="0" w:space="0" w:color="auto"/>
      </w:divBdr>
    </w:div>
    <w:div w:id="476610085">
      <w:bodyDiv w:val="1"/>
      <w:marLeft w:val="0"/>
      <w:marRight w:val="0"/>
      <w:marTop w:val="0"/>
      <w:marBottom w:val="0"/>
      <w:divBdr>
        <w:top w:val="none" w:sz="0" w:space="0" w:color="auto"/>
        <w:left w:val="none" w:sz="0" w:space="0" w:color="auto"/>
        <w:bottom w:val="none" w:sz="0" w:space="0" w:color="auto"/>
        <w:right w:val="none" w:sz="0" w:space="0" w:color="auto"/>
      </w:divBdr>
    </w:div>
    <w:div w:id="482740521">
      <w:bodyDiv w:val="1"/>
      <w:marLeft w:val="0"/>
      <w:marRight w:val="0"/>
      <w:marTop w:val="0"/>
      <w:marBottom w:val="0"/>
      <w:divBdr>
        <w:top w:val="none" w:sz="0" w:space="0" w:color="auto"/>
        <w:left w:val="none" w:sz="0" w:space="0" w:color="auto"/>
        <w:bottom w:val="none" w:sz="0" w:space="0" w:color="auto"/>
        <w:right w:val="none" w:sz="0" w:space="0" w:color="auto"/>
      </w:divBdr>
    </w:div>
    <w:div w:id="483014910">
      <w:bodyDiv w:val="1"/>
      <w:marLeft w:val="0"/>
      <w:marRight w:val="0"/>
      <w:marTop w:val="0"/>
      <w:marBottom w:val="0"/>
      <w:divBdr>
        <w:top w:val="none" w:sz="0" w:space="0" w:color="auto"/>
        <w:left w:val="none" w:sz="0" w:space="0" w:color="auto"/>
        <w:bottom w:val="none" w:sz="0" w:space="0" w:color="auto"/>
        <w:right w:val="none" w:sz="0" w:space="0" w:color="auto"/>
      </w:divBdr>
    </w:div>
    <w:div w:id="484781275">
      <w:bodyDiv w:val="1"/>
      <w:marLeft w:val="0"/>
      <w:marRight w:val="0"/>
      <w:marTop w:val="0"/>
      <w:marBottom w:val="0"/>
      <w:divBdr>
        <w:top w:val="none" w:sz="0" w:space="0" w:color="auto"/>
        <w:left w:val="none" w:sz="0" w:space="0" w:color="auto"/>
        <w:bottom w:val="none" w:sz="0" w:space="0" w:color="auto"/>
        <w:right w:val="none" w:sz="0" w:space="0" w:color="auto"/>
      </w:divBdr>
    </w:div>
    <w:div w:id="484973824">
      <w:bodyDiv w:val="1"/>
      <w:marLeft w:val="0"/>
      <w:marRight w:val="0"/>
      <w:marTop w:val="0"/>
      <w:marBottom w:val="0"/>
      <w:divBdr>
        <w:top w:val="none" w:sz="0" w:space="0" w:color="auto"/>
        <w:left w:val="none" w:sz="0" w:space="0" w:color="auto"/>
        <w:bottom w:val="none" w:sz="0" w:space="0" w:color="auto"/>
        <w:right w:val="none" w:sz="0" w:space="0" w:color="auto"/>
      </w:divBdr>
      <w:divsChild>
        <w:div w:id="1786194030">
          <w:marLeft w:val="0"/>
          <w:marRight w:val="0"/>
          <w:marTop w:val="0"/>
          <w:marBottom w:val="0"/>
          <w:divBdr>
            <w:top w:val="none" w:sz="0" w:space="0" w:color="auto"/>
            <w:left w:val="none" w:sz="0" w:space="0" w:color="auto"/>
            <w:bottom w:val="none" w:sz="0" w:space="0" w:color="auto"/>
            <w:right w:val="none" w:sz="0" w:space="0" w:color="auto"/>
          </w:divBdr>
          <w:divsChild>
            <w:div w:id="1700937735">
              <w:marLeft w:val="0"/>
              <w:marRight w:val="0"/>
              <w:marTop w:val="0"/>
              <w:marBottom w:val="0"/>
              <w:divBdr>
                <w:top w:val="none" w:sz="0" w:space="0" w:color="auto"/>
                <w:left w:val="none" w:sz="0" w:space="0" w:color="auto"/>
                <w:bottom w:val="none" w:sz="0" w:space="0" w:color="auto"/>
                <w:right w:val="none" w:sz="0" w:space="0" w:color="auto"/>
              </w:divBdr>
              <w:divsChild>
                <w:div w:id="1401438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1679050">
      <w:bodyDiv w:val="1"/>
      <w:marLeft w:val="0"/>
      <w:marRight w:val="0"/>
      <w:marTop w:val="0"/>
      <w:marBottom w:val="0"/>
      <w:divBdr>
        <w:top w:val="none" w:sz="0" w:space="0" w:color="auto"/>
        <w:left w:val="none" w:sz="0" w:space="0" w:color="auto"/>
        <w:bottom w:val="none" w:sz="0" w:space="0" w:color="auto"/>
        <w:right w:val="none" w:sz="0" w:space="0" w:color="auto"/>
      </w:divBdr>
    </w:div>
    <w:div w:id="505440791">
      <w:bodyDiv w:val="1"/>
      <w:marLeft w:val="0"/>
      <w:marRight w:val="0"/>
      <w:marTop w:val="0"/>
      <w:marBottom w:val="0"/>
      <w:divBdr>
        <w:top w:val="none" w:sz="0" w:space="0" w:color="auto"/>
        <w:left w:val="none" w:sz="0" w:space="0" w:color="auto"/>
        <w:bottom w:val="none" w:sz="0" w:space="0" w:color="auto"/>
        <w:right w:val="none" w:sz="0" w:space="0" w:color="auto"/>
      </w:divBdr>
    </w:div>
    <w:div w:id="507527468">
      <w:bodyDiv w:val="1"/>
      <w:marLeft w:val="0"/>
      <w:marRight w:val="0"/>
      <w:marTop w:val="0"/>
      <w:marBottom w:val="0"/>
      <w:divBdr>
        <w:top w:val="none" w:sz="0" w:space="0" w:color="auto"/>
        <w:left w:val="none" w:sz="0" w:space="0" w:color="auto"/>
        <w:bottom w:val="none" w:sz="0" w:space="0" w:color="auto"/>
        <w:right w:val="none" w:sz="0" w:space="0" w:color="auto"/>
      </w:divBdr>
    </w:div>
    <w:div w:id="508176437">
      <w:bodyDiv w:val="1"/>
      <w:marLeft w:val="0"/>
      <w:marRight w:val="0"/>
      <w:marTop w:val="0"/>
      <w:marBottom w:val="0"/>
      <w:divBdr>
        <w:top w:val="none" w:sz="0" w:space="0" w:color="auto"/>
        <w:left w:val="none" w:sz="0" w:space="0" w:color="auto"/>
        <w:bottom w:val="none" w:sz="0" w:space="0" w:color="auto"/>
        <w:right w:val="none" w:sz="0" w:space="0" w:color="auto"/>
      </w:divBdr>
    </w:div>
    <w:div w:id="510224946">
      <w:bodyDiv w:val="1"/>
      <w:marLeft w:val="0"/>
      <w:marRight w:val="0"/>
      <w:marTop w:val="0"/>
      <w:marBottom w:val="0"/>
      <w:divBdr>
        <w:top w:val="none" w:sz="0" w:space="0" w:color="auto"/>
        <w:left w:val="none" w:sz="0" w:space="0" w:color="auto"/>
        <w:bottom w:val="none" w:sz="0" w:space="0" w:color="auto"/>
        <w:right w:val="none" w:sz="0" w:space="0" w:color="auto"/>
      </w:divBdr>
    </w:div>
    <w:div w:id="513031606">
      <w:bodyDiv w:val="1"/>
      <w:marLeft w:val="0"/>
      <w:marRight w:val="0"/>
      <w:marTop w:val="0"/>
      <w:marBottom w:val="0"/>
      <w:divBdr>
        <w:top w:val="none" w:sz="0" w:space="0" w:color="auto"/>
        <w:left w:val="none" w:sz="0" w:space="0" w:color="auto"/>
        <w:bottom w:val="none" w:sz="0" w:space="0" w:color="auto"/>
        <w:right w:val="none" w:sz="0" w:space="0" w:color="auto"/>
      </w:divBdr>
    </w:div>
    <w:div w:id="513034576">
      <w:bodyDiv w:val="1"/>
      <w:marLeft w:val="0"/>
      <w:marRight w:val="0"/>
      <w:marTop w:val="0"/>
      <w:marBottom w:val="0"/>
      <w:divBdr>
        <w:top w:val="none" w:sz="0" w:space="0" w:color="auto"/>
        <w:left w:val="none" w:sz="0" w:space="0" w:color="auto"/>
        <w:bottom w:val="none" w:sz="0" w:space="0" w:color="auto"/>
        <w:right w:val="none" w:sz="0" w:space="0" w:color="auto"/>
      </w:divBdr>
    </w:div>
    <w:div w:id="513761008">
      <w:bodyDiv w:val="1"/>
      <w:marLeft w:val="0"/>
      <w:marRight w:val="0"/>
      <w:marTop w:val="0"/>
      <w:marBottom w:val="0"/>
      <w:divBdr>
        <w:top w:val="none" w:sz="0" w:space="0" w:color="auto"/>
        <w:left w:val="none" w:sz="0" w:space="0" w:color="auto"/>
        <w:bottom w:val="none" w:sz="0" w:space="0" w:color="auto"/>
        <w:right w:val="none" w:sz="0" w:space="0" w:color="auto"/>
      </w:divBdr>
    </w:div>
    <w:div w:id="517086586">
      <w:bodyDiv w:val="1"/>
      <w:marLeft w:val="0"/>
      <w:marRight w:val="0"/>
      <w:marTop w:val="0"/>
      <w:marBottom w:val="0"/>
      <w:divBdr>
        <w:top w:val="none" w:sz="0" w:space="0" w:color="auto"/>
        <w:left w:val="none" w:sz="0" w:space="0" w:color="auto"/>
        <w:bottom w:val="none" w:sz="0" w:space="0" w:color="auto"/>
        <w:right w:val="none" w:sz="0" w:space="0" w:color="auto"/>
      </w:divBdr>
    </w:div>
    <w:div w:id="517231479">
      <w:bodyDiv w:val="1"/>
      <w:marLeft w:val="0"/>
      <w:marRight w:val="0"/>
      <w:marTop w:val="0"/>
      <w:marBottom w:val="0"/>
      <w:divBdr>
        <w:top w:val="none" w:sz="0" w:space="0" w:color="auto"/>
        <w:left w:val="none" w:sz="0" w:space="0" w:color="auto"/>
        <w:bottom w:val="none" w:sz="0" w:space="0" w:color="auto"/>
        <w:right w:val="none" w:sz="0" w:space="0" w:color="auto"/>
      </w:divBdr>
    </w:div>
    <w:div w:id="522674600">
      <w:bodyDiv w:val="1"/>
      <w:marLeft w:val="0"/>
      <w:marRight w:val="0"/>
      <w:marTop w:val="0"/>
      <w:marBottom w:val="0"/>
      <w:divBdr>
        <w:top w:val="none" w:sz="0" w:space="0" w:color="auto"/>
        <w:left w:val="none" w:sz="0" w:space="0" w:color="auto"/>
        <w:bottom w:val="none" w:sz="0" w:space="0" w:color="auto"/>
        <w:right w:val="none" w:sz="0" w:space="0" w:color="auto"/>
      </w:divBdr>
    </w:div>
    <w:div w:id="526408641">
      <w:bodyDiv w:val="1"/>
      <w:marLeft w:val="0"/>
      <w:marRight w:val="0"/>
      <w:marTop w:val="0"/>
      <w:marBottom w:val="0"/>
      <w:divBdr>
        <w:top w:val="none" w:sz="0" w:space="0" w:color="auto"/>
        <w:left w:val="none" w:sz="0" w:space="0" w:color="auto"/>
        <w:bottom w:val="none" w:sz="0" w:space="0" w:color="auto"/>
        <w:right w:val="none" w:sz="0" w:space="0" w:color="auto"/>
      </w:divBdr>
      <w:divsChild>
        <w:div w:id="1848055758">
          <w:marLeft w:val="0"/>
          <w:marRight w:val="0"/>
          <w:marTop w:val="0"/>
          <w:marBottom w:val="0"/>
          <w:divBdr>
            <w:top w:val="none" w:sz="0" w:space="0" w:color="auto"/>
            <w:left w:val="none" w:sz="0" w:space="0" w:color="auto"/>
            <w:bottom w:val="none" w:sz="0" w:space="0" w:color="auto"/>
            <w:right w:val="none" w:sz="0" w:space="0" w:color="auto"/>
          </w:divBdr>
        </w:div>
        <w:div w:id="1188444295">
          <w:marLeft w:val="0"/>
          <w:marRight w:val="0"/>
          <w:marTop w:val="0"/>
          <w:marBottom w:val="0"/>
          <w:divBdr>
            <w:top w:val="none" w:sz="0" w:space="0" w:color="auto"/>
            <w:left w:val="none" w:sz="0" w:space="0" w:color="auto"/>
            <w:bottom w:val="none" w:sz="0" w:space="0" w:color="auto"/>
            <w:right w:val="none" w:sz="0" w:space="0" w:color="auto"/>
          </w:divBdr>
        </w:div>
        <w:div w:id="728387495">
          <w:marLeft w:val="0"/>
          <w:marRight w:val="0"/>
          <w:marTop w:val="0"/>
          <w:marBottom w:val="0"/>
          <w:divBdr>
            <w:top w:val="none" w:sz="0" w:space="0" w:color="auto"/>
            <w:left w:val="none" w:sz="0" w:space="0" w:color="auto"/>
            <w:bottom w:val="none" w:sz="0" w:space="0" w:color="auto"/>
            <w:right w:val="none" w:sz="0" w:space="0" w:color="auto"/>
          </w:divBdr>
        </w:div>
        <w:div w:id="1644507913">
          <w:marLeft w:val="0"/>
          <w:marRight w:val="0"/>
          <w:marTop w:val="0"/>
          <w:marBottom w:val="0"/>
          <w:divBdr>
            <w:top w:val="none" w:sz="0" w:space="0" w:color="auto"/>
            <w:left w:val="none" w:sz="0" w:space="0" w:color="auto"/>
            <w:bottom w:val="none" w:sz="0" w:space="0" w:color="auto"/>
            <w:right w:val="none" w:sz="0" w:space="0" w:color="auto"/>
          </w:divBdr>
        </w:div>
        <w:div w:id="1780491258">
          <w:marLeft w:val="0"/>
          <w:marRight w:val="0"/>
          <w:marTop w:val="0"/>
          <w:marBottom w:val="0"/>
          <w:divBdr>
            <w:top w:val="none" w:sz="0" w:space="0" w:color="auto"/>
            <w:left w:val="none" w:sz="0" w:space="0" w:color="auto"/>
            <w:bottom w:val="none" w:sz="0" w:space="0" w:color="auto"/>
            <w:right w:val="none" w:sz="0" w:space="0" w:color="auto"/>
          </w:divBdr>
        </w:div>
        <w:div w:id="1400322768">
          <w:marLeft w:val="0"/>
          <w:marRight w:val="0"/>
          <w:marTop w:val="0"/>
          <w:marBottom w:val="0"/>
          <w:divBdr>
            <w:top w:val="none" w:sz="0" w:space="0" w:color="auto"/>
            <w:left w:val="none" w:sz="0" w:space="0" w:color="auto"/>
            <w:bottom w:val="none" w:sz="0" w:space="0" w:color="auto"/>
            <w:right w:val="none" w:sz="0" w:space="0" w:color="auto"/>
          </w:divBdr>
        </w:div>
        <w:div w:id="1721513967">
          <w:marLeft w:val="0"/>
          <w:marRight w:val="0"/>
          <w:marTop w:val="0"/>
          <w:marBottom w:val="0"/>
          <w:divBdr>
            <w:top w:val="none" w:sz="0" w:space="0" w:color="auto"/>
            <w:left w:val="none" w:sz="0" w:space="0" w:color="auto"/>
            <w:bottom w:val="none" w:sz="0" w:space="0" w:color="auto"/>
            <w:right w:val="none" w:sz="0" w:space="0" w:color="auto"/>
          </w:divBdr>
        </w:div>
        <w:div w:id="1914194976">
          <w:marLeft w:val="0"/>
          <w:marRight w:val="0"/>
          <w:marTop w:val="0"/>
          <w:marBottom w:val="0"/>
          <w:divBdr>
            <w:top w:val="none" w:sz="0" w:space="0" w:color="auto"/>
            <w:left w:val="none" w:sz="0" w:space="0" w:color="auto"/>
            <w:bottom w:val="none" w:sz="0" w:space="0" w:color="auto"/>
            <w:right w:val="none" w:sz="0" w:space="0" w:color="auto"/>
          </w:divBdr>
        </w:div>
        <w:div w:id="185675473">
          <w:marLeft w:val="0"/>
          <w:marRight w:val="0"/>
          <w:marTop w:val="0"/>
          <w:marBottom w:val="0"/>
          <w:divBdr>
            <w:top w:val="none" w:sz="0" w:space="0" w:color="auto"/>
            <w:left w:val="none" w:sz="0" w:space="0" w:color="auto"/>
            <w:bottom w:val="none" w:sz="0" w:space="0" w:color="auto"/>
            <w:right w:val="none" w:sz="0" w:space="0" w:color="auto"/>
          </w:divBdr>
        </w:div>
        <w:div w:id="772435575">
          <w:marLeft w:val="0"/>
          <w:marRight w:val="0"/>
          <w:marTop w:val="0"/>
          <w:marBottom w:val="0"/>
          <w:divBdr>
            <w:top w:val="none" w:sz="0" w:space="0" w:color="auto"/>
            <w:left w:val="none" w:sz="0" w:space="0" w:color="auto"/>
            <w:bottom w:val="none" w:sz="0" w:space="0" w:color="auto"/>
            <w:right w:val="none" w:sz="0" w:space="0" w:color="auto"/>
          </w:divBdr>
        </w:div>
        <w:div w:id="2040429557">
          <w:marLeft w:val="0"/>
          <w:marRight w:val="0"/>
          <w:marTop w:val="0"/>
          <w:marBottom w:val="0"/>
          <w:divBdr>
            <w:top w:val="none" w:sz="0" w:space="0" w:color="auto"/>
            <w:left w:val="none" w:sz="0" w:space="0" w:color="auto"/>
            <w:bottom w:val="none" w:sz="0" w:space="0" w:color="auto"/>
            <w:right w:val="none" w:sz="0" w:space="0" w:color="auto"/>
          </w:divBdr>
        </w:div>
        <w:div w:id="97528740">
          <w:marLeft w:val="0"/>
          <w:marRight w:val="0"/>
          <w:marTop w:val="0"/>
          <w:marBottom w:val="0"/>
          <w:divBdr>
            <w:top w:val="none" w:sz="0" w:space="0" w:color="auto"/>
            <w:left w:val="none" w:sz="0" w:space="0" w:color="auto"/>
            <w:bottom w:val="none" w:sz="0" w:space="0" w:color="auto"/>
            <w:right w:val="none" w:sz="0" w:space="0" w:color="auto"/>
          </w:divBdr>
        </w:div>
        <w:div w:id="948316584">
          <w:marLeft w:val="0"/>
          <w:marRight w:val="0"/>
          <w:marTop w:val="0"/>
          <w:marBottom w:val="0"/>
          <w:divBdr>
            <w:top w:val="none" w:sz="0" w:space="0" w:color="auto"/>
            <w:left w:val="none" w:sz="0" w:space="0" w:color="auto"/>
            <w:bottom w:val="none" w:sz="0" w:space="0" w:color="auto"/>
            <w:right w:val="none" w:sz="0" w:space="0" w:color="auto"/>
          </w:divBdr>
        </w:div>
        <w:div w:id="604581555">
          <w:marLeft w:val="0"/>
          <w:marRight w:val="0"/>
          <w:marTop w:val="0"/>
          <w:marBottom w:val="0"/>
          <w:divBdr>
            <w:top w:val="none" w:sz="0" w:space="0" w:color="auto"/>
            <w:left w:val="none" w:sz="0" w:space="0" w:color="auto"/>
            <w:bottom w:val="none" w:sz="0" w:space="0" w:color="auto"/>
            <w:right w:val="none" w:sz="0" w:space="0" w:color="auto"/>
          </w:divBdr>
        </w:div>
        <w:div w:id="712340925">
          <w:marLeft w:val="0"/>
          <w:marRight w:val="0"/>
          <w:marTop w:val="0"/>
          <w:marBottom w:val="0"/>
          <w:divBdr>
            <w:top w:val="none" w:sz="0" w:space="0" w:color="auto"/>
            <w:left w:val="none" w:sz="0" w:space="0" w:color="auto"/>
            <w:bottom w:val="none" w:sz="0" w:space="0" w:color="auto"/>
            <w:right w:val="none" w:sz="0" w:space="0" w:color="auto"/>
          </w:divBdr>
        </w:div>
        <w:div w:id="1831216270">
          <w:marLeft w:val="0"/>
          <w:marRight w:val="0"/>
          <w:marTop w:val="0"/>
          <w:marBottom w:val="0"/>
          <w:divBdr>
            <w:top w:val="none" w:sz="0" w:space="0" w:color="auto"/>
            <w:left w:val="none" w:sz="0" w:space="0" w:color="auto"/>
            <w:bottom w:val="none" w:sz="0" w:space="0" w:color="auto"/>
            <w:right w:val="none" w:sz="0" w:space="0" w:color="auto"/>
          </w:divBdr>
        </w:div>
        <w:div w:id="1710522293">
          <w:marLeft w:val="0"/>
          <w:marRight w:val="0"/>
          <w:marTop w:val="0"/>
          <w:marBottom w:val="0"/>
          <w:divBdr>
            <w:top w:val="none" w:sz="0" w:space="0" w:color="auto"/>
            <w:left w:val="none" w:sz="0" w:space="0" w:color="auto"/>
            <w:bottom w:val="none" w:sz="0" w:space="0" w:color="auto"/>
            <w:right w:val="none" w:sz="0" w:space="0" w:color="auto"/>
          </w:divBdr>
        </w:div>
        <w:div w:id="2065055789">
          <w:marLeft w:val="0"/>
          <w:marRight w:val="0"/>
          <w:marTop w:val="0"/>
          <w:marBottom w:val="0"/>
          <w:divBdr>
            <w:top w:val="none" w:sz="0" w:space="0" w:color="auto"/>
            <w:left w:val="none" w:sz="0" w:space="0" w:color="auto"/>
            <w:bottom w:val="none" w:sz="0" w:space="0" w:color="auto"/>
            <w:right w:val="none" w:sz="0" w:space="0" w:color="auto"/>
          </w:divBdr>
        </w:div>
        <w:div w:id="687828935">
          <w:marLeft w:val="0"/>
          <w:marRight w:val="0"/>
          <w:marTop w:val="0"/>
          <w:marBottom w:val="0"/>
          <w:divBdr>
            <w:top w:val="none" w:sz="0" w:space="0" w:color="auto"/>
            <w:left w:val="none" w:sz="0" w:space="0" w:color="auto"/>
            <w:bottom w:val="none" w:sz="0" w:space="0" w:color="auto"/>
            <w:right w:val="none" w:sz="0" w:space="0" w:color="auto"/>
          </w:divBdr>
        </w:div>
        <w:div w:id="1381779538">
          <w:marLeft w:val="0"/>
          <w:marRight w:val="0"/>
          <w:marTop w:val="0"/>
          <w:marBottom w:val="0"/>
          <w:divBdr>
            <w:top w:val="none" w:sz="0" w:space="0" w:color="auto"/>
            <w:left w:val="none" w:sz="0" w:space="0" w:color="auto"/>
            <w:bottom w:val="none" w:sz="0" w:space="0" w:color="auto"/>
            <w:right w:val="none" w:sz="0" w:space="0" w:color="auto"/>
          </w:divBdr>
        </w:div>
        <w:div w:id="2143958241">
          <w:marLeft w:val="0"/>
          <w:marRight w:val="0"/>
          <w:marTop w:val="0"/>
          <w:marBottom w:val="0"/>
          <w:divBdr>
            <w:top w:val="none" w:sz="0" w:space="0" w:color="auto"/>
            <w:left w:val="none" w:sz="0" w:space="0" w:color="auto"/>
            <w:bottom w:val="none" w:sz="0" w:space="0" w:color="auto"/>
            <w:right w:val="none" w:sz="0" w:space="0" w:color="auto"/>
          </w:divBdr>
        </w:div>
        <w:div w:id="638414261">
          <w:marLeft w:val="0"/>
          <w:marRight w:val="0"/>
          <w:marTop w:val="0"/>
          <w:marBottom w:val="0"/>
          <w:divBdr>
            <w:top w:val="none" w:sz="0" w:space="0" w:color="auto"/>
            <w:left w:val="none" w:sz="0" w:space="0" w:color="auto"/>
            <w:bottom w:val="none" w:sz="0" w:space="0" w:color="auto"/>
            <w:right w:val="none" w:sz="0" w:space="0" w:color="auto"/>
          </w:divBdr>
        </w:div>
        <w:div w:id="1371153042">
          <w:marLeft w:val="0"/>
          <w:marRight w:val="0"/>
          <w:marTop w:val="0"/>
          <w:marBottom w:val="0"/>
          <w:divBdr>
            <w:top w:val="none" w:sz="0" w:space="0" w:color="auto"/>
            <w:left w:val="none" w:sz="0" w:space="0" w:color="auto"/>
            <w:bottom w:val="none" w:sz="0" w:space="0" w:color="auto"/>
            <w:right w:val="none" w:sz="0" w:space="0" w:color="auto"/>
          </w:divBdr>
        </w:div>
        <w:div w:id="1566909697">
          <w:marLeft w:val="0"/>
          <w:marRight w:val="0"/>
          <w:marTop w:val="0"/>
          <w:marBottom w:val="0"/>
          <w:divBdr>
            <w:top w:val="none" w:sz="0" w:space="0" w:color="auto"/>
            <w:left w:val="none" w:sz="0" w:space="0" w:color="auto"/>
            <w:bottom w:val="none" w:sz="0" w:space="0" w:color="auto"/>
            <w:right w:val="none" w:sz="0" w:space="0" w:color="auto"/>
          </w:divBdr>
        </w:div>
        <w:div w:id="694621481">
          <w:marLeft w:val="0"/>
          <w:marRight w:val="0"/>
          <w:marTop w:val="0"/>
          <w:marBottom w:val="0"/>
          <w:divBdr>
            <w:top w:val="none" w:sz="0" w:space="0" w:color="auto"/>
            <w:left w:val="none" w:sz="0" w:space="0" w:color="auto"/>
            <w:bottom w:val="none" w:sz="0" w:space="0" w:color="auto"/>
            <w:right w:val="none" w:sz="0" w:space="0" w:color="auto"/>
          </w:divBdr>
        </w:div>
        <w:div w:id="1409766516">
          <w:marLeft w:val="0"/>
          <w:marRight w:val="0"/>
          <w:marTop w:val="0"/>
          <w:marBottom w:val="0"/>
          <w:divBdr>
            <w:top w:val="none" w:sz="0" w:space="0" w:color="auto"/>
            <w:left w:val="none" w:sz="0" w:space="0" w:color="auto"/>
            <w:bottom w:val="none" w:sz="0" w:space="0" w:color="auto"/>
            <w:right w:val="none" w:sz="0" w:space="0" w:color="auto"/>
          </w:divBdr>
        </w:div>
        <w:div w:id="191193811">
          <w:marLeft w:val="0"/>
          <w:marRight w:val="0"/>
          <w:marTop w:val="0"/>
          <w:marBottom w:val="0"/>
          <w:divBdr>
            <w:top w:val="none" w:sz="0" w:space="0" w:color="auto"/>
            <w:left w:val="none" w:sz="0" w:space="0" w:color="auto"/>
            <w:bottom w:val="none" w:sz="0" w:space="0" w:color="auto"/>
            <w:right w:val="none" w:sz="0" w:space="0" w:color="auto"/>
          </w:divBdr>
        </w:div>
        <w:div w:id="1387995589">
          <w:marLeft w:val="0"/>
          <w:marRight w:val="0"/>
          <w:marTop w:val="0"/>
          <w:marBottom w:val="0"/>
          <w:divBdr>
            <w:top w:val="none" w:sz="0" w:space="0" w:color="auto"/>
            <w:left w:val="none" w:sz="0" w:space="0" w:color="auto"/>
            <w:bottom w:val="none" w:sz="0" w:space="0" w:color="auto"/>
            <w:right w:val="none" w:sz="0" w:space="0" w:color="auto"/>
          </w:divBdr>
        </w:div>
      </w:divsChild>
    </w:div>
    <w:div w:id="528883761">
      <w:bodyDiv w:val="1"/>
      <w:marLeft w:val="0"/>
      <w:marRight w:val="0"/>
      <w:marTop w:val="0"/>
      <w:marBottom w:val="0"/>
      <w:divBdr>
        <w:top w:val="none" w:sz="0" w:space="0" w:color="auto"/>
        <w:left w:val="none" w:sz="0" w:space="0" w:color="auto"/>
        <w:bottom w:val="none" w:sz="0" w:space="0" w:color="auto"/>
        <w:right w:val="none" w:sz="0" w:space="0" w:color="auto"/>
      </w:divBdr>
    </w:div>
    <w:div w:id="536546951">
      <w:bodyDiv w:val="1"/>
      <w:marLeft w:val="0"/>
      <w:marRight w:val="0"/>
      <w:marTop w:val="0"/>
      <w:marBottom w:val="0"/>
      <w:divBdr>
        <w:top w:val="none" w:sz="0" w:space="0" w:color="auto"/>
        <w:left w:val="none" w:sz="0" w:space="0" w:color="auto"/>
        <w:bottom w:val="none" w:sz="0" w:space="0" w:color="auto"/>
        <w:right w:val="none" w:sz="0" w:space="0" w:color="auto"/>
      </w:divBdr>
    </w:div>
    <w:div w:id="538204933">
      <w:bodyDiv w:val="1"/>
      <w:marLeft w:val="0"/>
      <w:marRight w:val="0"/>
      <w:marTop w:val="0"/>
      <w:marBottom w:val="0"/>
      <w:divBdr>
        <w:top w:val="none" w:sz="0" w:space="0" w:color="auto"/>
        <w:left w:val="none" w:sz="0" w:space="0" w:color="auto"/>
        <w:bottom w:val="none" w:sz="0" w:space="0" w:color="auto"/>
        <w:right w:val="none" w:sz="0" w:space="0" w:color="auto"/>
      </w:divBdr>
    </w:div>
    <w:div w:id="538249934">
      <w:bodyDiv w:val="1"/>
      <w:marLeft w:val="0"/>
      <w:marRight w:val="0"/>
      <w:marTop w:val="0"/>
      <w:marBottom w:val="0"/>
      <w:divBdr>
        <w:top w:val="none" w:sz="0" w:space="0" w:color="auto"/>
        <w:left w:val="none" w:sz="0" w:space="0" w:color="auto"/>
        <w:bottom w:val="none" w:sz="0" w:space="0" w:color="auto"/>
        <w:right w:val="none" w:sz="0" w:space="0" w:color="auto"/>
      </w:divBdr>
    </w:div>
    <w:div w:id="540673249">
      <w:bodyDiv w:val="1"/>
      <w:marLeft w:val="0"/>
      <w:marRight w:val="0"/>
      <w:marTop w:val="0"/>
      <w:marBottom w:val="0"/>
      <w:divBdr>
        <w:top w:val="none" w:sz="0" w:space="0" w:color="auto"/>
        <w:left w:val="none" w:sz="0" w:space="0" w:color="auto"/>
        <w:bottom w:val="none" w:sz="0" w:space="0" w:color="auto"/>
        <w:right w:val="none" w:sz="0" w:space="0" w:color="auto"/>
      </w:divBdr>
    </w:div>
    <w:div w:id="545215655">
      <w:bodyDiv w:val="1"/>
      <w:marLeft w:val="0"/>
      <w:marRight w:val="0"/>
      <w:marTop w:val="0"/>
      <w:marBottom w:val="0"/>
      <w:divBdr>
        <w:top w:val="none" w:sz="0" w:space="0" w:color="auto"/>
        <w:left w:val="none" w:sz="0" w:space="0" w:color="auto"/>
        <w:bottom w:val="none" w:sz="0" w:space="0" w:color="auto"/>
        <w:right w:val="none" w:sz="0" w:space="0" w:color="auto"/>
      </w:divBdr>
    </w:div>
    <w:div w:id="545335185">
      <w:bodyDiv w:val="1"/>
      <w:marLeft w:val="0"/>
      <w:marRight w:val="0"/>
      <w:marTop w:val="0"/>
      <w:marBottom w:val="0"/>
      <w:divBdr>
        <w:top w:val="none" w:sz="0" w:space="0" w:color="auto"/>
        <w:left w:val="none" w:sz="0" w:space="0" w:color="auto"/>
        <w:bottom w:val="none" w:sz="0" w:space="0" w:color="auto"/>
        <w:right w:val="none" w:sz="0" w:space="0" w:color="auto"/>
      </w:divBdr>
    </w:div>
    <w:div w:id="551580415">
      <w:bodyDiv w:val="1"/>
      <w:marLeft w:val="0"/>
      <w:marRight w:val="0"/>
      <w:marTop w:val="0"/>
      <w:marBottom w:val="0"/>
      <w:divBdr>
        <w:top w:val="none" w:sz="0" w:space="0" w:color="auto"/>
        <w:left w:val="none" w:sz="0" w:space="0" w:color="auto"/>
        <w:bottom w:val="none" w:sz="0" w:space="0" w:color="auto"/>
        <w:right w:val="none" w:sz="0" w:space="0" w:color="auto"/>
      </w:divBdr>
    </w:div>
    <w:div w:id="557088337">
      <w:bodyDiv w:val="1"/>
      <w:marLeft w:val="0"/>
      <w:marRight w:val="0"/>
      <w:marTop w:val="0"/>
      <w:marBottom w:val="0"/>
      <w:divBdr>
        <w:top w:val="none" w:sz="0" w:space="0" w:color="auto"/>
        <w:left w:val="none" w:sz="0" w:space="0" w:color="auto"/>
        <w:bottom w:val="none" w:sz="0" w:space="0" w:color="auto"/>
        <w:right w:val="none" w:sz="0" w:space="0" w:color="auto"/>
      </w:divBdr>
    </w:div>
    <w:div w:id="561020466">
      <w:bodyDiv w:val="1"/>
      <w:marLeft w:val="0"/>
      <w:marRight w:val="0"/>
      <w:marTop w:val="0"/>
      <w:marBottom w:val="0"/>
      <w:divBdr>
        <w:top w:val="none" w:sz="0" w:space="0" w:color="auto"/>
        <w:left w:val="none" w:sz="0" w:space="0" w:color="auto"/>
        <w:bottom w:val="none" w:sz="0" w:space="0" w:color="auto"/>
        <w:right w:val="none" w:sz="0" w:space="0" w:color="auto"/>
      </w:divBdr>
    </w:div>
    <w:div w:id="573585738">
      <w:bodyDiv w:val="1"/>
      <w:marLeft w:val="0"/>
      <w:marRight w:val="0"/>
      <w:marTop w:val="0"/>
      <w:marBottom w:val="0"/>
      <w:divBdr>
        <w:top w:val="none" w:sz="0" w:space="0" w:color="auto"/>
        <w:left w:val="none" w:sz="0" w:space="0" w:color="auto"/>
        <w:bottom w:val="none" w:sz="0" w:space="0" w:color="auto"/>
        <w:right w:val="none" w:sz="0" w:space="0" w:color="auto"/>
      </w:divBdr>
    </w:div>
    <w:div w:id="576012670">
      <w:bodyDiv w:val="1"/>
      <w:marLeft w:val="0"/>
      <w:marRight w:val="0"/>
      <w:marTop w:val="0"/>
      <w:marBottom w:val="0"/>
      <w:divBdr>
        <w:top w:val="none" w:sz="0" w:space="0" w:color="auto"/>
        <w:left w:val="none" w:sz="0" w:space="0" w:color="auto"/>
        <w:bottom w:val="none" w:sz="0" w:space="0" w:color="auto"/>
        <w:right w:val="none" w:sz="0" w:space="0" w:color="auto"/>
      </w:divBdr>
    </w:div>
    <w:div w:id="580524264">
      <w:bodyDiv w:val="1"/>
      <w:marLeft w:val="0"/>
      <w:marRight w:val="0"/>
      <w:marTop w:val="0"/>
      <w:marBottom w:val="0"/>
      <w:divBdr>
        <w:top w:val="none" w:sz="0" w:space="0" w:color="auto"/>
        <w:left w:val="none" w:sz="0" w:space="0" w:color="auto"/>
        <w:bottom w:val="none" w:sz="0" w:space="0" w:color="auto"/>
        <w:right w:val="none" w:sz="0" w:space="0" w:color="auto"/>
      </w:divBdr>
    </w:div>
    <w:div w:id="587424067">
      <w:bodyDiv w:val="1"/>
      <w:marLeft w:val="0"/>
      <w:marRight w:val="0"/>
      <w:marTop w:val="0"/>
      <w:marBottom w:val="0"/>
      <w:divBdr>
        <w:top w:val="none" w:sz="0" w:space="0" w:color="auto"/>
        <w:left w:val="none" w:sz="0" w:space="0" w:color="auto"/>
        <w:bottom w:val="none" w:sz="0" w:space="0" w:color="auto"/>
        <w:right w:val="none" w:sz="0" w:space="0" w:color="auto"/>
      </w:divBdr>
    </w:div>
    <w:div w:id="591931974">
      <w:bodyDiv w:val="1"/>
      <w:marLeft w:val="0"/>
      <w:marRight w:val="0"/>
      <w:marTop w:val="0"/>
      <w:marBottom w:val="0"/>
      <w:divBdr>
        <w:top w:val="none" w:sz="0" w:space="0" w:color="auto"/>
        <w:left w:val="none" w:sz="0" w:space="0" w:color="auto"/>
        <w:bottom w:val="none" w:sz="0" w:space="0" w:color="auto"/>
        <w:right w:val="none" w:sz="0" w:space="0" w:color="auto"/>
      </w:divBdr>
    </w:div>
    <w:div w:id="594244581">
      <w:bodyDiv w:val="1"/>
      <w:marLeft w:val="0"/>
      <w:marRight w:val="0"/>
      <w:marTop w:val="0"/>
      <w:marBottom w:val="0"/>
      <w:divBdr>
        <w:top w:val="none" w:sz="0" w:space="0" w:color="auto"/>
        <w:left w:val="none" w:sz="0" w:space="0" w:color="auto"/>
        <w:bottom w:val="none" w:sz="0" w:space="0" w:color="auto"/>
        <w:right w:val="none" w:sz="0" w:space="0" w:color="auto"/>
      </w:divBdr>
    </w:div>
    <w:div w:id="602495504">
      <w:bodyDiv w:val="1"/>
      <w:marLeft w:val="0"/>
      <w:marRight w:val="0"/>
      <w:marTop w:val="0"/>
      <w:marBottom w:val="0"/>
      <w:divBdr>
        <w:top w:val="none" w:sz="0" w:space="0" w:color="auto"/>
        <w:left w:val="none" w:sz="0" w:space="0" w:color="auto"/>
        <w:bottom w:val="none" w:sz="0" w:space="0" w:color="auto"/>
        <w:right w:val="none" w:sz="0" w:space="0" w:color="auto"/>
      </w:divBdr>
      <w:divsChild>
        <w:div w:id="1691834648">
          <w:marLeft w:val="0"/>
          <w:marRight w:val="0"/>
          <w:marTop w:val="0"/>
          <w:marBottom w:val="94"/>
          <w:divBdr>
            <w:top w:val="none" w:sz="0" w:space="0" w:color="auto"/>
            <w:left w:val="none" w:sz="0" w:space="0" w:color="auto"/>
            <w:bottom w:val="none" w:sz="0" w:space="0" w:color="auto"/>
            <w:right w:val="none" w:sz="0" w:space="0" w:color="auto"/>
          </w:divBdr>
        </w:div>
        <w:div w:id="55131848">
          <w:marLeft w:val="864"/>
          <w:marRight w:val="0"/>
          <w:marTop w:val="0"/>
          <w:marBottom w:val="94"/>
          <w:divBdr>
            <w:top w:val="none" w:sz="0" w:space="0" w:color="auto"/>
            <w:left w:val="none" w:sz="0" w:space="0" w:color="auto"/>
            <w:bottom w:val="none" w:sz="0" w:space="0" w:color="auto"/>
            <w:right w:val="none" w:sz="0" w:space="0" w:color="auto"/>
          </w:divBdr>
        </w:div>
      </w:divsChild>
    </w:div>
    <w:div w:id="610862753">
      <w:bodyDiv w:val="1"/>
      <w:marLeft w:val="0"/>
      <w:marRight w:val="0"/>
      <w:marTop w:val="0"/>
      <w:marBottom w:val="0"/>
      <w:divBdr>
        <w:top w:val="none" w:sz="0" w:space="0" w:color="auto"/>
        <w:left w:val="none" w:sz="0" w:space="0" w:color="auto"/>
        <w:bottom w:val="none" w:sz="0" w:space="0" w:color="auto"/>
        <w:right w:val="none" w:sz="0" w:space="0" w:color="auto"/>
      </w:divBdr>
    </w:div>
    <w:div w:id="619652368">
      <w:bodyDiv w:val="1"/>
      <w:marLeft w:val="0"/>
      <w:marRight w:val="0"/>
      <w:marTop w:val="0"/>
      <w:marBottom w:val="0"/>
      <w:divBdr>
        <w:top w:val="none" w:sz="0" w:space="0" w:color="auto"/>
        <w:left w:val="none" w:sz="0" w:space="0" w:color="auto"/>
        <w:bottom w:val="none" w:sz="0" w:space="0" w:color="auto"/>
        <w:right w:val="none" w:sz="0" w:space="0" w:color="auto"/>
      </w:divBdr>
    </w:div>
    <w:div w:id="622080403">
      <w:bodyDiv w:val="1"/>
      <w:marLeft w:val="0"/>
      <w:marRight w:val="0"/>
      <w:marTop w:val="0"/>
      <w:marBottom w:val="0"/>
      <w:divBdr>
        <w:top w:val="none" w:sz="0" w:space="0" w:color="auto"/>
        <w:left w:val="none" w:sz="0" w:space="0" w:color="auto"/>
        <w:bottom w:val="none" w:sz="0" w:space="0" w:color="auto"/>
        <w:right w:val="none" w:sz="0" w:space="0" w:color="auto"/>
      </w:divBdr>
    </w:div>
    <w:div w:id="640891592">
      <w:bodyDiv w:val="1"/>
      <w:marLeft w:val="0"/>
      <w:marRight w:val="0"/>
      <w:marTop w:val="0"/>
      <w:marBottom w:val="0"/>
      <w:divBdr>
        <w:top w:val="none" w:sz="0" w:space="0" w:color="auto"/>
        <w:left w:val="none" w:sz="0" w:space="0" w:color="auto"/>
        <w:bottom w:val="none" w:sz="0" w:space="0" w:color="auto"/>
        <w:right w:val="none" w:sz="0" w:space="0" w:color="auto"/>
      </w:divBdr>
    </w:div>
    <w:div w:id="648096405">
      <w:bodyDiv w:val="1"/>
      <w:marLeft w:val="0"/>
      <w:marRight w:val="0"/>
      <w:marTop w:val="0"/>
      <w:marBottom w:val="0"/>
      <w:divBdr>
        <w:top w:val="none" w:sz="0" w:space="0" w:color="auto"/>
        <w:left w:val="none" w:sz="0" w:space="0" w:color="auto"/>
        <w:bottom w:val="none" w:sz="0" w:space="0" w:color="auto"/>
        <w:right w:val="none" w:sz="0" w:space="0" w:color="auto"/>
      </w:divBdr>
      <w:divsChild>
        <w:div w:id="1998262034">
          <w:marLeft w:val="0"/>
          <w:marRight w:val="0"/>
          <w:marTop w:val="0"/>
          <w:marBottom w:val="0"/>
          <w:divBdr>
            <w:top w:val="none" w:sz="0" w:space="0" w:color="auto"/>
            <w:left w:val="none" w:sz="0" w:space="0" w:color="auto"/>
            <w:bottom w:val="none" w:sz="0" w:space="0" w:color="auto"/>
            <w:right w:val="none" w:sz="0" w:space="0" w:color="auto"/>
          </w:divBdr>
          <w:divsChild>
            <w:div w:id="812060089">
              <w:marLeft w:val="0"/>
              <w:marRight w:val="0"/>
              <w:marTop w:val="0"/>
              <w:marBottom w:val="0"/>
              <w:divBdr>
                <w:top w:val="none" w:sz="0" w:space="0" w:color="auto"/>
                <w:left w:val="none" w:sz="0" w:space="0" w:color="auto"/>
                <w:bottom w:val="none" w:sz="0" w:space="0" w:color="auto"/>
                <w:right w:val="none" w:sz="0" w:space="0" w:color="auto"/>
              </w:divBdr>
              <w:divsChild>
                <w:div w:id="1743983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1372608">
      <w:bodyDiv w:val="1"/>
      <w:marLeft w:val="0"/>
      <w:marRight w:val="0"/>
      <w:marTop w:val="0"/>
      <w:marBottom w:val="0"/>
      <w:divBdr>
        <w:top w:val="none" w:sz="0" w:space="0" w:color="auto"/>
        <w:left w:val="none" w:sz="0" w:space="0" w:color="auto"/>
        <w:bottom w:val="none" w:sz="0" w:space="0" w:color="auto"/>
        <w:right w:val="none" w:sz="0" w:space="0" w:color="auto"/>
      </w:divBdr>
    </w:div>
    <w:div w:id="659847963">
      <w:bodyDiv w:val="1"/>
      <w:marLeft w:val="0"/>
      <w:marRight w:val="0"/>
      <w:marTop w:val="0"/>
      <w:marBottom w:val="0"/>
      <w:divBdr>
        <w:top w:val="none" w:sz="0" w:space="0" w:color="auto"/>
        <w:left w:val="none" w:sz="0" w:space="0" w:color="auto"/>
        <w:bottom w:val="none" w:sz="0" w:space="0" w:color="auto"/>
        <w:right w:val="none" w:sz="0" w:space="0" w:color="auto"/>
      </w:divBdr>
    </w:div>
    <w:div w:id="664743722">
      <w:bodyDiv w:val="1"/>
      <w:marLeft w:val="0"/>
      <w:marRight w:val="0"/>
      <w:marTop w:val="0"/>
      <w:marBottom w:val="0"/>
      <w:divBdr>
        <w:top w:val="none" w:sz="0" w:space="0" w:color="auto"/>
        <w:left w:val="none" w:sz="0" w:space="0" w:color="auto"/>
        <w:bottom w:val="none" w:sz="0" w:space="0" w:color="auto"/>
        <w:right w:val="none" w:sz="0" w:space="0" w:color="auto"/>
      </w:divBdr>
    </w:div>
    <w:div w:id="669990195">
      <w:bodyDiv w:val="1"/>
      <w:marLeft w:val="0"/>
      <w:marRight w:val="0"/>
      <w:marTop w:val="0"/>
      <w:marBottom w:val="0"/>
      <w:divBdr>
        <w:top w:val="none" w:sz="0" w:space="0" w:color="auto"/>
        <w:left w:val="none" w:sz="0" w:space="0" w:color="auto"/>
        <w:bottom w:val="none" w:sz="0" w:space="0" w:color="auto"/>
        <w:right w:val="none" w:sz="0" w:space="0" w:color="auto"/>
      </w:divBdr>
    </w:div>
    <w:div w:id="677539372">
      <w:bodyDiv w:val="1"/>
      <w:marLeft w:val="0"/>
      <w:marRight w:val="0"/>
      <w:marTop w:val="0"/>
      <w:marBottom w:val="0"/>
      <w:divBdr>
        <w:top w:val="none" w:sz="0" w:space="0" w:color="auto"/>
        <w:left w:val="none" w:sz="0" w:space="0" w:color="auto"/>
        <w:bottom w:val="none" w:sz="0" w:space="0" w:color="auto"/>
        <w:right w:val="none" w:sz="0" w:space="0" w:color="auto"/>
      </w:divBdr>
      <w:divsChild>
        <w:div w:id="998266751">
          <w:marLeft w:val="0"/>
          <w:marRight w:val="0"/>
          <w:marTop w:val="0"/>
          <w:marBottom w:val="0"/>
          <w:divBdr>
            <w:top w:val="none" w:sz="0" w:space="0" w:color="auto"/>
            <w:left w:val="none" w:sz="0" w:space="0" w:color="auto"/>
            <w:bottom w:val="none" w:sz="0" w:space="0" w:color="auto"/>
            <w:right w:val="none" w:sz="0" w:space="0" w:color="auto"/>
          </w:divBdr>
        </w:div>
        <w:div w:id="1419214593">
          <w:marLeft w:val="0"/>
          <w:marRight w:val="0"/>
          <w:marTop w:val="0"/>
          <w:marBottom w:val="0"/>
          <w:divBdr>
            <w:top w:val="none" w:sz="0" w:space="0" w:color="auto"/>
            <w:left w:val="none" w:sz="0" w:space="0" w:color="auto"/>
            <w:bottom w:val="none" w:sz="0" w:space="0" w:color="auto"/>
            <w:right w:val="none" w:sz="0" w:space="0" w:color="auto"/>
          </w:divBdr>
        </w:div>
        <w:div w:id="2129200870">
          <w:marLeft w:val="0"/>
          <w:marRight w:val="0"/>
          <w:marTop w:val="0"/>
          <w:marBottom w:val="0"/>
          <w:divBdr>
            <w:top w:val="none" w:sz="0" w:space="0" w:color="auto"/>
            <w:left w:val="none" w:sz="0" w:space="0" w:color="auto"/>
            <w:bottom w:val="none" w:sz="0" w:space="0" w:color="auto"/>
            <w:right w:val="none" w:sz="0" w:space="0" w:color="auto"/>
          </w:divBdr>
        </w:div>
        <w:div w:id="938022537">
          <w:marLeft w:val="0"/>
          <w:marRight w:val="0"/>
          <w:marTop w:val="0"/>
          <w:marBottom w:val="0"/>
          <w:divBdr>
            <w:top w:val="none" w:sz="0" w:space="0" w:color="auto"/>
            <w:left w:val="none" w:sz="0" w:space="0" w:color="auto"/>
            <w:bottom w:val="none" w:sz="0" w:space="0" w:color="auto"/>
            <w:right w:val="none" w:sz="0" w:space="0" w:color="auto"/>
          </w:divBdr>
        </w:div>
        <w:div w:id="515772121">
          <w:marLeft w:val="0"/>
          <w:marRight w:val="0"/>
          <w:marTop w:val="0"/>
          <w:marBottom w:val="0"/>
          <w:divBdr>
            <w:top w:val="none" w:sz="0" w:space="0" w:color="auto"/>
            <w:left w:val="none" w:sz="0" w:space="0" w:color="auto"/>
            <w:bottom w:val="none" w:sz="0" w:space="0" w:color="auto"/>
            <w:right w:val="none" w:sz="0" w:space="0" w:color="auto"/>
          </w:divBdr>
        </w:div>
        <w:div w:id="844630598">
          <w:marLeft w:val="0"/>
          <w:marRight w:val="0"/>
          <w:marTop w:val="0"/>
          <w:marBottom w:val="0"/>
          <w:divBdr>
            <w:top w:val="none" w:sz="0" w:space="0" w:color="auto"/>
            <w:left w:val="none" w:sz="0" w:space="0" w:color="auto"/>
            <w:bottom w:val="none" w:sz="0" w:space="0" w:color="auto"/>
            <w:right w:val="none" w:sz="0" w:space="0" w:color="auto"/>
          </w:divBdr>
        </w:div>
        <w:div w:id="439565587">
          <w:marLeft w:val="0"/>
          <w:marRight w:val="0"/>
          <w:marTop w:val="0"/>
          <w:marBottom w:val="0"/>
          <w:divBdr>
            <w:top w:val="none" w:sz="0" w:space="0" w:color="auto"/>
            <w:left w:val="none" w:sz="0" w:space="0" w:color="auto"/>
            <w:bottom w:val="none" w:sz="0" w:space="0" w:color="auto"/>
            <w:right w:val="none" w:sz="0" w:space="0" w:color="auto"/>
          </w:divBdr>
        </w:div>
        <w:div w:id="627932802">
          <w:marLeft w:val="0"/>
          <w:marRight w:val="0"/>
          <w:marTop w:val="0"/>
          <w:marBottom w:val="0"/>
          <w:divBdr>
            <w:top w:val="none" w:sz="0" w:space="0" w:color="auto"/>
            <w:left w:val="none" w:sz="0" w:space="0" w:color="auto"/>
            <w:bottom w:val="none" w:sz="0" w:space="0" w:color="auto"/>
            <w:right w:val="none" w:sz="0" w:space="0" w:color="auto"/>
          </w:divBdr>
        </w:div>
        <w:div w:id="2114782775">
          <w:marLeft w:val="0"/>
          <w:marRight w:val="0"/>
          <w:marTop w:val="0"/>
          <w:marBottom w:val="0"/>
          <w:divBdr>
            <w:top w:val="none" w:sz="0" w:space="0" w:color="auto"/>
            <w:left w:val="none" w:sz="0" w:space="0" w:color="auto"/>
            <w:bottom w:val="none" w:sz="0" w:space="0" w:color="auto"/>
            <w:right w:val="none" w:sz="0" w:space="0" w:color="auto"/>
          </w:divBdr>
        </w:div>
        <w:div w:id="1871722429">
          <w:marLeft w:val="0"/>
          <w:marRight w:val="0"/>
          <w:marTop w:val="0"/>
          <w:marBottom w:val="0"/>
          <w:divBdr>
            <w:top w:val="none" w:sz="0" w:space="0" w:color="auto"/>
            <w:left w:val="none" w:sz="0" w:space="0" w:color="auto"/>
            <w:bottom w:val="none" w:sz="0" w:space="0" w:color="auto"/>
            <w:right w:val="none" w:sz="0" w:space="0" w:color="auto"/>
          </w:divBdr>
        </w:div>
        <w:div w:id="1751152130">
          <w:marLeft w:val="0"/>
          <w:marRight w:val="0"/>
          <w:marTop w:val="0"/>
          <w:marBottom w:val="0"/>
          <w:divBdr>
            <w:top w:val="none" w:sz="0" w:space="0" w:color="auto"/>
            <w:left w:val="none" w:sz="0" w:space="0" w:color="auto"/>
            <w:bottom w:val="none" w:sz="0" w:space="0" w:color="auto"/>
            <w:right w:val="none" w:sz="0" w:space="0" w:color="auto"/>
          </w:divBdr>
        </w:div>
        <w:div w:id="1418550999">
          <w:marLeft w:val="0"/>
          <w:marRight w:val="0"/>
          <w:marTop w:val="0"/>
          <w:marBottom w:val="0"/>
          <w:divBdr>
            <w:top w:val="none" w:sz="0" w:space="0" w:color="auto"/>
            <w:left w:val="none" w:sz="0" w:space="0" w:color="auto"/>
            <w:bottom w:val="none" w:sz="0" w:space="0" w:color="auto"/>
            <w:right w:val="none" w:sz="0" w:space="0" w:color="auto"/>
          </w:divBdr>
        </w:div>
        <w:div w:id="1886915901">
          <w:marLeft w:val="0"/>
          <w:marRight w:val="0"/>
          <w:marTop w:val="0"/>
          <w:marBottom w:val="0"/>
          <w:divBdr>
            <w:top w:val="none" w:sz="0" w:space="0" w:color="auto"/>
            <w:left w:val="none" w:sz="0" w:space="0" w:color="auto"/>
            <w:bottom w:val="none" w:sz="0" w:space="0" w:color="auto"/>
            <w:right w:val="none" w:sz="0" w:space="0" w:color="auto"/>
          </w:divBdr>
        </w:div>
        <w:div w:id="1647004126">
          <w:marLeft w:val="0"/>
          <w:marRight w:val="0"/>
          <w:marTop w:val="0"/>
          <w:marBottom w:val="0"/>
          <w:divBdr>
            <w:top w:val="none" w:sz="0" w:space="0" w:color="auto"/>
            <w:left w:val="none" w:sz="0" w:space="0" w:color="auto"/>
            <w:bottom w:val="none" w:sz="0" w:space="0" w:color="auto"/>
            <w:right w:val="none" w:sz="0" w:space="0" w:color="auto"/>
          </w:divBdr>
        </w:div>
        <w:div w:id="1574198285">
          <w:marLeft w:val="0"/>
          <w:marRight w:val="0"/>
          <w:marTop w:val="0"/>
          <w:marBottom w:val="0"/>
          <w:divBdr>
            <w:top w:val="none" w:sz="0" w:space="0" w:color="auto"/>
            <w:left w:val="none" w:sz="0" w:space="0" w:color="auto"/>
            <w:bottom w:val="none" w:sz="0" w:space="0" w:color="auto"/>
            <w:right w:val="none" w:sz="0" w:space="0" w:color="auto"/>
          </w:divBdr>
        </w:div>
        <w:div w:id="2103985488">
          <w:marLeft w:val="0"/>
          <w:marRight w:val="0"/>
          <w:marTop w:val="0"/>
          <w:marBottom w:val="0"/>
          <w:divBdr>
            <w:top w:val="none" w:sz="0" w:space="0" w:color="auto"/>
            <w:left w:val="none" w:sz="0" w:space="0" w:color="auto"/>
            <w:bottom w:val="none" w:sz="0" w:space="0" w:color="auto"/>
            <w:right w:val="none" w:sz="0" w:space="0" w:color="auto"/>
          </w:divBdr>
        </w:div>
      </w:divsChild>
    </w:div>
    <w:div w:id="685903764">
      <w:bodyDiv w:val="1"/>
      <w:marLeft w:val="0"/>
      <w:marRight w:val="0"/>
      <w:marTop w:val="0"/>
      <w:marBottom w:val="0"/>
      <w:divBdr>
        <w:top w:val="none" w:sz="0" w:space="0" w:color="auto"/>
        <w:left w:val="none" w:sz="0" w:space="0" w:color="auto"/>
        <w:bottom w:val="none" w:sz="0" w:space="0" w:color="auto"/>
        <w:right w:val="none" w:sz="0" w:space="0" w:color="auto"/>
      </w:divBdr>
    </w:div>
    <w:div w:id="687216151">
      <w:bodyDiv w:val="1"/>
      <w:marLeft w:val="0"/>
      <w:marRight w:val="0"/>
      <w:marTop w:val="0"/>
      <w:marBottom w:val="0"/>
      <w:divBdr>
        <w:top w:val="none" w:sz="0" w:space="0" w:color="auto"/>
        <w:left w:val="none" w:sz="0" w:space="0" w:color="auto"/>
        <w:bottom w:val="none" w:sz="0" w:space="0" w:color="auto"/>
        <w:right w:val="none" w:sz="0" w:space="0" w:color="auto"/>
      </w:divBdr>
    </w:div>
    <w:div w:id="690960657">
      <w:bodyDiv w:val="1"/>
      <w:marLeft w:val="0"/>
      <w:marRight w:val="0"/>
      <w:marTop w:val="0"/>
      <w:marBottom w:val="0"/>
      <w:divBdr>
        <w:top w:val="none" w:sz="0" w:space="0" w:color="auto"/>
        <w:left w:val="none" w:sz="0" w:space="0" w:color="auto"/>
        <w:bottom w:val="none" w:sz="0" w:space="0" w:color="auto"/>
        <w:right w:val="none" w:sz="0" w:space="0" w:color="auto"/>
      </w:divBdr>
    </w:div>
    <w:div w:id="703098971">
      <w:bodyDiv w:val="1"/>
      <w:marLeft w:val="0"/>
      <w:marRight w:val="0"/>
      <w:marTop w:val="0"/>
      <w:marBottom w:val="0"/>
      <w:divBdr>
        <w:top w:val="none" w:sz="0" w:space="0" w:color="auto"/>
        <w:left w:val="none" w:sz="0" w:space="0" w:color="auto"/>
        <w:bottom w:val="none" w:sz="0" w:space="0" w:color="auto"/>
        <w:right w:val="none" w:sz="0" w:space="0" w:color="auto"/>
      </w:divBdr>
    </w:div>
    <w:div w:id="707074824">
      <w:bodyDiv w:val="1"/>
      <w:marLeft w:val="0"/>
      <w:marRight w:val="0"/>
      <w:marTop w:val="0"/>
      <w:marBottom w:val="0"/>
      <w:divBdr>
        <w:top w:val="none" w:sz="0" w:space="0" w:color="auto"/>
        <w:left w:val="none" w:sz="0" w:space="0" w:color="auto"/>
        <w:bottom w:val="none" w:sz="0" w:space="0" w:color="auto"/>
        <w:right w:val="none" w:sz="0" w:space="0" w:color="auto"/>
      </w:divBdr>
    </w:div>
    <w:div w:id="722365184">
      <w:bodyDiv w:val="1"/>
      <w:marLeft w:val="0"/>
      <w:marRight w:val="0"/>
      <w:marTop w:val="0"/>
      <w:marBottom w:val="0"/>
      <w:divBdr>
        <w:top w:val="none" w:sz="0" w:space="0" w:color="auto"/>
        <w:left w:val="none" w:sz="0" w:space="0" w:color="auto"/>
        <w:bottom w:val="none" w:sz="0" w:space="0" w:color="auto"/>
        <w:right w:val="none" w:sz="0" w:space="0" w:color="auto"/>
      </w:divBdr>
    </w:div>
    <w:div w:id="727337043">
      <w:bodyDiv w:val="1"/>
      <w:marLeft w:val="0"/>
      <w:marRight w:val="0"/>
      <w:marTop w:val="0"/>
      <w:marBottom w:val="0"/>
      <w:divBdr>
        <w:top w:val="none" w:sz="0" w:space="0" w:color="auto"/>
        <w:left w:val="none" w:sz="0" w:space="0" w:color="auto"/>
        <w:bottom w:val="none" w:sz="0" w:space="0" w:color="auto"/>
        <w:right w:val="none" w:sz="0" w:space="0" w:color="auto"/>
      </w:divBdr>
      <w:divsChild>
        <w:div w:id="1729838382">
          <w:marLeft w:val="0"/>
          <w:marRight w:val="0"/>
          <w:marTop w:val="0"/>
          <w:marBottom w:val="0"/>
          <w:divBdr>
            <w:top w:val="none" w:sz="0" w:space="0" w:color="auto"/>
            <w:left w:val="none" w:sz="0" w:space="0" w:color="auto"/>
            <w:bottom w:val="none" w:sz="0" w:space="0" w:color="auto"/>
            <w:right w:val="none" w:sz="0" w:space="0" w:color="auto"/>
          </w:divBdr>
          <w:divsChild>
            <w:div w:id="674847493">
              <w:marLeft w:val="0"/>
              <w:marRight w:val="0"/>
              <w:marTop w:val="0"/>
              <w:marBottom w:val="0"/>
              <w:divBdr>
                <w:top w:val="none" w:sz="0" w:space="0" w:color="auto"/>
                <w:left w:val="none" w:sz="0" w:space="0" w:color="auto"/>
                <w:bottom w:val="none" w:sz="0" w:space="0" w:color="auto"/>
                <w:right w:val="none" w:sz="0" w:space="0" w:color="auto"/>
              </w:divBdr>
              <w:divsChild>
                <w:div w:id="1533029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7800926">
      <w:bodyDiv w:val="1"/>
      <w:marLeft w:val="0"/>
      <w:marRight w:val="0"/>
      <w:marTop w:val="0"/>
      <w:marBottom w:val="0"/>
      <w:divBdr>
        <w:top w:val="none" w:sz="0" w:space="0" w:color="auto"/>
        <w:left w:val="none" w:sz="0" w:space="0" w:color="auto"/>
        <w:bottom w:val="none" w:sz="0" w:space="0" w:color="auto"/>
        <w:right w:val="none" w:sz="0" w:space="0" w:color="auto"/>
      </w:divBdr>
    </w:div>
    <w:div w:id="733747254">
      <w:bodyDiv w:val="1"/>
      <w:marLeft w:val="0"/>
      <w:marRight w:val="0"/>
      <w:marTop w:val="0"/>
      <w:marBottom w:val="0"/>
      <w:divBdr>
        <w:top w:val="none" w:sz="0" w:space="0" w:color="auto"/>
        <w:left w:val="none" w:sz="0" w:space="0" w:color="auto"/>
        <w:bottom w:val="none" w:sz="0" w:space="0" w:color="auto"/>
        <w:right w:val="none" w:sz="0" w:space="0" w:color="auto"/>
      </w:divBdr>
    </w:div>
    <w:div w:id="743063333">
      <w:bodyDiv w:val="1"/>
      <w:marLeft w:val="0"/>
      <w:marRight w:val="0"/>
      <w:marTop w:val="0"/>
      <w:marBottom w:val="0"/>
      <w:divBdr>
        <w:top w:val="none" w:sz="0" w:space="0" w:color="auto"/>
        <w:left w:val="none" w:sz="0" w:space="0" w:color="auto"/>
        <w:bottom w:val="none" w:sz="0" w:space="0" w:color="auto"/>
        <w:right w:val="none" w:sz="0" w:space="0" w:color="auto"/>
      </w:divBdr>
    </w:div>
    <w:div w:id="746459219">
      <w:bodyDiv w:val="1"/>
      <w:marLeft w:val="0"/>
      <w:marRight w:val="0"/>
      <w:marTop w:val="0"/>
      <w:marBottom w:val="0"/>
      <w:divBdr>
        <w:top w:val="none" w:sz="0" w:space="0" w:color="auto"/>
        <w:left w:val="none" w:sz="0" w:space="0" w:color="auto"/>
        <w:bottom w:val="none" w:sz="0" w:space="0" w:color="auto"/>
        <w:right w:val="none" w:sz="0" w:space="0" w:color="auto"/>
      </w:divBdr>
    </w:div>
    <w:div w:id="758676272">
      <w:bodyDiv w:val="1"/>
      <w:marLeft w:val="0"/>
      <w:marRight w:val="0"/>
      <w:marTop w:val="0"/>
      <w:marBottom w:val="0"/>
      <w:divBdr>
        <w:top w:val="none" w:sz="0" w:space="0" w:color="auto"/>
        <w:left w:val="none" w:sz="0" w:space="0" w:color="auto"/>
        <w:bottom w:val="none" w:sz="0" w:space="0" w:color="auto"/>
        <w:right w:val="none" w:sz="0" w:space="0" w:color="auto"/>
      </w:divBdr>
    </w:div>
    <w:div w:id="761141847">
      <w:bodyDiv w:val="1"/>
      <w:marLeft w:val="0"/>
      <w:marRight w:val="0"/>
      <w:marTop w:val="0"/>
      <w:marBottom w:val="0"/>
      <w:divBdr>
        <w:top w:val="none" w:sz="0" w:space="0" w:color="auto"/>
        <w:left w:val="none" w:sz="0" w:space="0" w:color="auto"/>
        <w:bottom w:val="none" w:sz="0" w:space="0" w:color="auto"/>
        <w:right w:val="none" w:sz="0" w:space="0" w:color="auto"/>
      </w:divBdr>
    </w:div>
    <w:div w:id="762528547">
      <w:bodyDiv w:val="1"/>
      <w:marLeft w:val="0"/>
      <w:marRight w:val="0"/>
      <w:marTop w:val="0"/>
      <w:marBottom w:val="0"/>
      <w:divBdr>
        <w:top w:val="none" w:sz="0" w:space="0" w:color="auto"/>
        <w:left w:val="none" w:sz="0" w:space="0" w:color="auto"/>
        <w:bottom w:val="none" w:sz="0" w:space="0" w:color="auto"/>
        <w:right w:val="none" w:sz="0" w:space="0" w:color="auto"/>
      </w:divBdr>
    </w:div>
    <w:div w:id="763766055">
      <w:bodyDiv w:val="1"/>
      <w:marLeft w:val="0"/>
      <w:marRight w:val="0"/>
      <w:marTop w:val="0"/>
      <w:marBottom w:val="0"/>
      <w:divBdr>
        <w:top w:val="none" w:sz="0" w:space="0" w:color="auto"/>
        <w:left w:val="none" w:sz="0" w:space="0" w:color="auto"/>
        <w:bottom w:val="none" w:sz="0" w:space="0" w:color="auto"/>
        <w:right w:val="none" w:sz="0" w:space="0" w:color="auto"/>
      </w:divBdr>
      <w:divsChild>
        <w:div w:id="804274585">
          <w:marLeft w:val="0"/>
          <w:marRight w:val="0"/>
          <w:marTop w:val="0"/>
          <w:marBottom w:val="0"/>
          <w:divBdr>
            <w:top w:val="none" w:sz="0" w:space="0" w:color="auto"/>
            <w:left w:val="none" w:sz="0" w:space="0" w:color="auto"/>
            <w:bottom w:val="none" w:sz="0" w:space="0" w:color="auto"/>
            <w:right w:val="none" w:sz="0" w:space="0" w:color="auto"/>
          </w:divBdr>
        </w:div>
        <w:div w:id="488594752">
          <w:marLeft w:val="0"/>
          <w:marRight w:val="0"/>
          <w:marTop w:val="0"/>
          <w:marBottom w:val="0"/>
          <w:divBdr>
            <w:top w:val="none" w:sz="0" w:space="0" w:color="auto"/>
            <w:left w:val="none" w:sz="0" w:space="0" w:color="auto"/>
            <w:bottom w:val="none" w:sz="0" w:space="0" w:color="auto"/>
            <w:right w:val="none" w:sz="0" w:space="0" w:color="auto"/>
          </w:divBdr>
        </w:div>
        <w:div w:id="265231184">
          <w:marLeft w:val="0"/>
          <w:marRight w:val="0"/>
          <w:marTop w:val="0"/>
          <w:marBottom w:val="0"/>
          <w:divBdr>
            <w:top w:val="none" w:sz="0" w:space="0" w:color="auto"/>
            <w:left w:val="none" w:sz="0" w:space="0" w:color="auto"/>
            <w:bottom w:val="none" w:sz="0" w:space="0" w:color="auto"/>
            <w:right w:val="none" w:sz="0" w:space="0" w:color="auto"/>
          </w:divBdr>
        </w:div>
        <w:div w:id="1343626054">
          <w:marLeft w:val="0"/>
          <w:marRight w:val="0"/>
          <w:marTop w:val="0"/>
          <w:marBottom w:val="0"/>
          <w:divBdr>
            <w:top w:val="none" w:sz="0" w:space="0" w:color="auto"/>
            <w:left w:val="none" w:sz="0" w:space="0" w:color="auto"/>
            <w:bottom w:val="none" w:sz="0" w:space="0" w:color="auto"/>
            <w:right w:val="none" w:sz="0" w:space="0" w:color="auto"/>
          </w:divBdr>
        </w:div>
        <w:div w:id="1800566525">
          <w:marLeft w:val="0"/>
          <w:marRight w:val="0"/>
          <w:marTop w:val="0"/>
          <w:marBottom w:val="0"/>
          <w:divBdr>
            <w:top w:val="none" w:sz="0" w:space="0" w:color="auto"/>
            <w:left w:val="none" w:sz="0" w:space="0" w:color="auto"/>
            <w:bottom w:val="none" w:sz="0" w:space="0" w:color="auto"/>
            <w:right w:val="none" w:sz="0" w:space="0" w:color="auto"/>
          </w:divBdr>
        </w:div>
        <w:div w:id="16853767">
          <w:marLeft w:val="0"/>
          <w:marRight w:val="0"/>
          <w:marTop w:val="0"/>
          <w:marBottom w:val="0"/>
          <w:divBdr>
            <w:top w:val="none" w:sz="0" w:space="0" w:color="auto"/>
            <w:left w:val="none" w:sz="0" w:space="0" w:color="auto"/>
            <w:bottom w:val="none" w:sz="0" w:space="0" w:color="auto"/>
            <w:right w:val="none" w:sz="0" w:space="0" w:color="auto"/>
          </w:divBdr>
        </w:div>
        <w:div w:id="1290939980">
          <w:marLeft w:val="0"/>
          <w:marRight w:val="0"/>
          <w:marTop w:val="0"/>
          <w:marBottom w:val="0"/>
          <w:divBdr>
            <w:top w:val="none" w:sz="0" w:space="0" w:color="auto"/>
            <w:left w:val="none" w:sz="0" w:space="0" w:color="auto"/>
            <w:bottom w:val="none" w:sz="0" w:space="0" w:color="auto"/>
            <w:right w:val="none" w:sz="0" w:space="0" w:color="auto"/>
          </w:divBdr>
        </w:div>
        <w:div w:id="725763603">
          <w:marLeft w:val="0"/>
          <w:marRight w:val="0"/>
          <w:marTop w:val="0"/>
          <w:marBottom w:val="0"/>
          <w:divBdr>
            <w:top w:val="none" w:sz="0" w:space="0" w:color="auto"/>
            <w:left w:val="none" w:sz="0" w:space="0" w:color="auto"/>
            <w:bottom w:val="none" w:sz="0" w:space="0" w:color="auto"/>
            <w:right w:val="none" w:sz="0" w:space="0" w:color="auto"/>
          </w:divBdr>
        </w:div>
        <w:div w:id="1905139674">
          <w:marLeft w:val="0"/>
          <w:marRight w:val="0"/>
          <w:marTop w:val="0"/>
          <w:marBottom w:val="0"/>
          <w:divBdr>
            <w:top w:val="none" w:sz="0" w:space="0" w:color="auto"/>
            <w:left w:val="none" w:sz="0" w:space="0" w:color="auto"/>
            <w:bottom w:val="none" w:sz="0" w:space="0" w:color="auto"/>
            <w:right w:val="none" w:sz="0" w:space="0" w:color="auto"/>
          </w:divBdr>
        </w:div>
        <w:div w:id="2105221142">
          <w:marLeft w:val="0"/>
          <w:marRight w:val="0"/>
          <w:marTop w:val="0"/>
          <w:marBottom w:val="0"/>
          <w:divBdr>
            <w:top w:val="none" w:sz="0" w:space="0" w:color="auto"/>
            <w:left w:val="none" w:sz="0" w:space="0" w:color="auto"/>
            <w:bottom w:val="none" w:sz="0" w:space="0" w:color="auto"/>
            <w:right w:val="none" w:sz="0" w:space="0" w:color="auto"/>
          </w:divBdr>
        </w:div>
        <w:div w:id="2117823353">
          <w:marLeft w:val="0"/>
          <w:marRight w:val="0"/>
          <w:marTop w:val="0"/>
          <w:marBottom w:val="0"/>
          <w:divBdr>
            <w:top w:val="none" w:sz="0" w:space="0" w:color="auto"/>
            <w:left w:val="none" w:sz="0" w:space="0" w:color="auto"/>
            <w:bottom w:val="none" w:sz="0" w:space="0" w:color="auto"/>
            <w:right w:val="none" w:sz="0" w:space="0" w:color="auto"/>
          </w:divBdr>
        </w:div>
        <w:div w:id="575627364">
          <w:marLeft w:val="0"/>
          <w:marRight w:val="0"/>
          <w:marTop w:val="0"/>
          <w:marBottom w:val="0"/>
          <w:divBdr>
            <w:top w:val="none" w:sz="0" w:space="0" w:color="auto"/>
            <w:left w:val="none" w:sz="0" w:space="0" w:color="auto"/>
            <w:bottom w:val="none" w:sz="0" w:space="0" w:color="auto"/>
            <w:right w:val="none" w:sz="0" w:space="0" w:color="auto"/>
          </w:divBdr>
        </w:div>
        <w:div w:id="2101944867">
          <w:marLeft w:val="0"/>
          <w:marRight w:val="0"/>
          <w:marTop w:val="0"/>
          <w:marBottom w:val="0"/>
          <w:divBdr>
            <w:top w:val="none" w:sz="0" w:space="0" w:color="auto"/>
            <w:left w:val="none" w:sz="0" w:space="0" w:color="auto"/>
            <w:bottom w:val="none" w:sz="0" w:space="0" w:color="auto"/>
            <w:right w:val="none" w:sz="0" w:space="0" w:color="auto"/>
          </w:divBdr>
        </w:div>
        <w:div w:id="535698552">
          <w:marLeft w:val="0"/>
          <w:marRight w:val="0"/>
          <w:marTop w:val="0"/>
          <w:marBottom w:val="0"/>
          <w:divBdr>
            <w:top w:val="none" w:sz="0" w:space="0" w:color="auto"/>
            <w:left w:val="none" w:sz="0" w:space="0" w:color="auto"/>
            <w:bottom w:val="none" w:sz="0" w:space="0" w:color="auto"/>
            <w:right w:val="none" w:sz="0" w:space="0" w:color="auto"/>
          </w:divBdr>
        </w:div>
        <w:div w:id="840855286">
          <w:marLeft w:val="0"/>
          <w:marRight w:val="0"/>
          <w:marTop w:val="0"/>
          <w:marBottom w:val="0"/>
          <w:divBdr>
            <w:top w:val="none" w:sz="0" w:space="0" w:color="auto"/>
            <w:left w:val="none" w:sz="0" w:space="0" w:color="auto"/>
            <w:bottom w:val="none" w:sz="0" w:space="0" w:color="auto"/>
            <w:right w:val="none" w:sz="0" w:space="0" w:color="auto"/>
          </w:divBdr>
        </w:div>
        <w:div w:id="2086609878">
          <w:marLeft w:val="0"/>
          <w:marRight w:val="0"/>
          <w:marTop w:val="0"/>
          <w:marBottom w:val="0"/>
          <w:divBdr>
            <w:top w:val="none" w:sz="0" w:space="0" w:color="auto"/>
            <w:left w:val="none" w:sz="0" w:space="0" w:color="auto"/>
            <w:bottom w:val="none" w:sz="0" w:space="0" w:color="auto"/>
            <w:right w:val="none" w:sz="0" w:space="0" w:color="auto"/>
          </w:divBdr>
        </w:div>
        <w:div w:id="1813324193">
          <w:marLeft w:val="0"/>
          <w:marRight w:val="0"/>
          <w:marTop w:val="0"/>
          <w:marBottom w:val="0"/>
          <w:divBdr>
            <w:top w:val="none" w:sz="0" w:space="0" w:color="auto"/>
            <w:left w:val="none" w:sz="0" w:space="0" w:color="auto"/>
            <w:bottom w:val="none" w:sz="0" w:space="0" w:color="auto"/>
            <w:right w:val="none" w:sz="0" w:space="0" w:color="auto"/>
          </w:divBdr>
        </w:div>
        <w:div w:id="1037655638">
          <w:marLeft w:val="0"/>
          <w:marRight w:val="0"/>
          <w:marTop w:val="0"/>
          <w:marBottom w:val="0"/>
          <w:divBdr>
            <w:top w:val="none" w:sz="0" w:space="0" w:color="auto"/>
            <w:left w:val="none" w:sz="0" w:space="0" w:color="auto"/>
            <w:bottom w:val="none" w:sz="0" w:space="0" w:color="auto"/>
            <w:right w:val="none" w:sz="0" w:space="0" w:color="auto"/>
          </w:divBdr>
        </w:div>
        <w:div w:id="943534355">
          <w:marLeft w:val="0"/>
          <w:marRight w:val="0"/>
          <w:marTop w:val="0"/>
          <w:marBottom w:val="0"/>
          <w:divBdr>
            <w:top w:val="none" w:sz="0" w:space="0" w:color="auto"/>
            <w:left w:val="none" w:sz="0" w:space="0" w:color="auto"/>
            <w:bottom w:val="none" w:sz="0" w:space="0" w:color="auto"/>
            <w:right w:val="none" w:sz="0" w:space="0" w:color="auto"/>
          </w:divBdr>
        </w:div>
        <w:div w:id="939875352">
          <w:marLeft w:val="0"/>
          <w:marRight w:val="0"/>
          <w:marTop w:val="0"/>
          <w:marBottom w:val="0"/>
          <w:divBdr>
            <w:top w:val="none" w:sz="0" w:space="0" w:color="auto"/>
            <w:left w:val="none" w:sz="0" w:space="0" w:color="auto"/>
            <w:bottom w:val="none" w:sz="0" w:space="0" w:color="auto"/>
            <w:right w:val="none" w:sz="0" w:space="0" w:color="auto"/>
          </w:divBdr>
        </w:div>
        <w:div w:id="603345341">
          <w:marLeft w:val="0"/>
          <w:marRight w:val="0"/>
          <w:marTop w:val="0"/>
          <w:marBottom w:val="0"/>
          <w:divBdr>
            <w:top w:val="none" w:sz="0" w:space="0" w:color="auto"/>
            <w:left w:val="none" w:sz="0" w:space="0" w:color="auto"/>
            <w:bottom w:val="none" w:sz="0" w:space="0" w:color="auto"/>
            <w:right w:val="none" w:sz="0" w:space="0" w:color="auto"/>
          </w:divBdr>
        </w:div>
        <w:div w:id="1409762868">
          <w:marLeft w:val="0"/>
          <w:marRight w:val="0"/>
          <w:marTop w:val="0"/>
          <w:marBottom w:val="0"/>
          <w:divBdr>
            <w:top w:val="none" w:sz="0" w:space="0" w:color="auto"/>
            <w:left w:val="none" w:sz="0" w:space="0" w:color="auto"/>
            <w:bottom w:val="none" w:sz="0" w:space="0" w:color="auto"/>
            <w:right w:val="none" w:sz="0" w:space="0" w:color="auto"/>
          </w:divBdr>
        </w:div>
        <w:div w:id="1468547458">
          <w:marLeft w:val="0"/>
          <w:marRight w:val="0"/>
          <w:marTop w:val="0"/>
          <w:marBottom w:val="0"/>
          <w:divBdr>
            <w:top w:val="none" w:sz="0" w:space="0" w:color="auto"/>
            <w:left w:val="none" w:sz="0" w:space="0" w:color="auto"/>
            <w:bottom w:val="none" w:sz="0" w:space="0" w:color="auto"/>
            <w:right w:val="none" w:sz="0" w:space="0" w:color="auto"/>
          </w:divBdr>
        </w:div>
        <w:div w:id="719549871">
          <w:marLeft w:val="0"/>
          <w:marRight w:val="0"/>
          <w:marTop w:val="0"/>
          <w:marBottom w:val="0"/>
          <w:divBdr>
            <w:top w:val="none" w:sz="0" w:space="0" w:color="auto"/>
            <w:left w:val="none" w:sz="0" w:space="0" w:color="auto"/>
            <w:bottom w:val="none" w:sz="0" w:space="0" w:color="auto"/>
            <w:right w:val="none" w:sz="0" w:space="0" w:color="auto"/>
          </w:divBdr>
        </w:div>
        <w:div w:id="1528762273">
          <w:marLeft w:val="0"/>
          <w:marRight w:val="0"/>
          <w:marTop w:val="0"/>
          <w:marBottom w:val="0"/>
          <w:divBdr>
            <w:top w:val="none" w:sz="0" w:space="0" w:color="auto"/>
            <w:left w:val="none" w:sz="0" w:space="0" w:color="auto"/>
            <w:bottom w:val="none" w:sz="0" w:space="0" w:color="auto"/>
            <w:right w:val="none" w:sz="0" w:space="0" w:color="auto"/>
          </w:divBdr>
        </w:div>
        <w:div w:id="776952814">
          <w:marLeft w:val="0"/>
          <w:marRight w:val="0"/>
          <w:marTop w:val="0"/>
          <w:marBottom w:val="0"/>
          <w:divBdr>
            <w:top w:val="none" w:sz="0" w:space="0" w:color="auto"/>
            <w:left w:val="none" w:sz="0" w:space="0" w:color="auto"/>
            <w:bottom w:val="none" w:sz="0" w:space="0" w:color="auto"/>
            <w:right w:val="none" w:sz="0" w:space="0" w:color="auto"/>
          </w:divBdr>
        </w:div>
        <w:div w:id="1401094862">
          <w:marLeft w:val="0"/>
          <w:marRight w:val="0"/>
          <w:marTop w:val="0"/>
          <w:marBottom w:val="0"/>
          <w:divBdr>
            <w:top w:val="none" w:sz="0" w:space="0" w:color="auto"/>
            <w:left w:val="none" w:sz="0" w:space="0" w:color="auto"/>
            <w:bottom w:val="none" w:sz="0" w:space="0" w:color="auto"/>
            <w:right w:val="none" w:sz="0" w:space="0" w:color="auto"/>
          </w:divBdr>
        </w:div>
        <w:div w:id="671375172">
          <w:marLeft w:val="0"/>
          <w:marRight w:val="0"/>
          <w:marTop w:val="0"/>
          <w:marBottom w:val="0"/>
          <w:divBdr>
            <w:top w:val="none" w:sz="0" w:space="0" w:color="auto"/>
            <w:left w:val="none" w:sz="0" w:space="0" w:color="auto"/>
            <w:bottom w:val="none" w:sz="0" w:space="0" w:color="auto"/>
            <w:right w:val="none" w:sz="0" w:space="0" w:color="auto"/>
          </w:divBdr>
        </w:div>
        <w:div w:id="1786923770">
          <w:marLeft w:val="0"/>
          <w:marRight w:val="0"/>
          <w:marTop w:val="0"/>
          <w:marBottom w:val="0"/>
          <w:divBdr>
            <w:top w:val="none" w:sz="0" w:space="0" w:color="auto"/>
            <w:left w:val="none" w:sz="0" w:space="0" w:color="auto"/>
            <w:bottom w:val="none" w:sz="0" w:space="0" w:color="auto"/>
            <w:right w:val="none" w:sz="0" w:space="0" w:color="auto"/>
          </w:divBdr>
        </w:div>
        <w:div w:id="1870026288">
          <w:marLeft w:val="0"/>
          <w:marRight w:val="0"/>
          <w:marTop w:val="0"/>
          <w:marBottom w:val="0"/>
          <w:divBdr>
            <w:top w:val="none" w:sz="0" w:space="0" w:color="auto"/>
            <w:left w:val="none" w:sz="0" w:space="0" w:color="auto"/>
            <w:bottom w:val="none" w:sz="0" w:space="0" w:color="auto"/>
            <w:right w:val="none" w:sz="0" w:space="0" w:color="auto"/>
          </w:divBdr>
        </w:div>
        <w:div w:id="294990661">
          <w:marLeft w:val="0"/>
          <w:marRight w:val="0"/>
          <w:marTop w:val="0"/>
          <w:marBottom w:val="0"/>
          <w:divBdr>
            <w:top w:val="none" w:sz="0" w:space="0" w:color="auto"/>
            <w:left w:val="none" w:sz="0" w:space="0" w:color="auto"/>
            <w:bottom w:val="none" w:sz="0" w:space="0" w:color="auto"/>
            <w:right w:val="none" w:sz="0" w:space="0" w:color="auto"/>
          </w:divBdr>
        </w:div>
        <w:div w:id="2139105698">
          <w:marLeft w:val="0"/>
          <w:marRight w:val="0"/>
          <w:marTop w:val="0"/>
          <w:marBottom w:val="0"/>
          <w:divBdr>
            <w:top w:val="none" w:sz="0" w:space="0" w:color="auto"/>
            <w:left w:val="none" w:sz="0" w:space="0" w:color="auto"/>
            <w:bottom w:val="none" w:sz="0" w:space="0" w:color="auto"/>
            <w:right w:val="none" w:sz="0" w:space="0" w:color="auto"/>
          </w:divBdr>
        </w:div>
      </w:divsChild>
    </w:div>
    <w:div w:id="777413808">
      <w:bodyDiv w:val="1"/>
      <w:marLeft w:val="0"/>
      <w:marRight w:val="0"/>
      <w:marTop w:val="0"/>
      <w:marBottom w:val="0"/>
      <w:divBdr>
        <w:top w:val="none" w:sz="0" w:space="0" w:color="auto"/>
        <w:left w:val="none" w:sz="0" w:space="0" w:color="auto"/>
        <w:bottom w:val="none" w:sz="0" w:space="0" w:color="auto"/>
        <w:right w:val="none" w:sz="0" w:space="0" w:color="auto"/>
      </w:divBdr>
      <w:divsChild>
        <w:div w:id="1450274745">
          <w:marLeft w:val="0"/>
          <w:marRight w:val="0"/>
          <w:marTop w:val="0"/>
          <w:marBottom w:val="0"/>
          <w:divBdr>
            <w:top w:val="none" w:sz="0" w:space="0" w:color="auto"/>
            <w:left w:val="none" w:sz="0" w:space="0" w:color="auto"/>
            <w:bottom w:val="none" w:sz="0" w:space="0" w:color="auto"/>
            <w:right w:val="none" w:sz="0" w:space="0" w:color="auto"/>
          </w:divBdr>
        </w:div>
        <w:div w:id="839538479">
          <w:marLeft w:val="0"/>
          <w:marRight w:val="0"/>
          <w:marTop w:val="0"/>
          <w:marBottom w:val="0"/>
          <w:divBdr>
            <w:top w:val="none" w:sz="0" w:space="0" w:color="auto"/>
            <w:left w:val="none" w:sz="0" w:space="0" w:color="auto"/>
            <w:bottom w:val="none" w:sz="0" w:space="0" w:color="auto"/>
            <w:right w:val="none" w:sz="0" w:space="0" w:color="auto"/>
          </w:divBdr>
        </w:div>
        <w:div w:id="1275140413">
          <w:marLeft w:val="0"/>
          <w:marRight w:val="0"/>
          <w:marTop w:val="0"/>
          <w:marBottom w:val="0"/>
          <w:divBdr>
            <w:top w:val="none" w:sz="0" w:space="0" w:color="auto"/>
            <w:left w:val="none" w:sz="0" w:space="0" w:color="auto"/>
            <w:bottom w:val="none" w:sz="0" w:space="0" w:color="auto"/>
            <w:right w:val="none" w:sz="0" w:space="0" w:color="auto"/>
          </w:divBdr>
        </w:div>
        <w:div w:id="1026322536">
          <w:marLeft w:val="0"/>
          <w:marRight w:val="0"/>
          <w:marTop w:val="0"/>
          <w:marBottom w:val="0"/>
          <w:divBdr>
            <w:top w:val="none" w:sz="0" w:space="0" w:color="auto"/>
            <w:left w:val="none" w:sz="0" w:space="0" w:color="auto"/>
            <w:bottom w:val="none" w:sz="0" w:space="0" w:color="auto"/>
            <w:right w:val="none" w:sz="0" w:space="0" w:color="auto"/>
          </w:divBdr>
        </w:div>
        <w:div w:id="2101830157">
          <w:marLeft w:val="0"/>
          <w:marRight w:val="0"/>
          <w:marTop w:val="0"/>
          <w:marBottom w:val="0"/>
          <w:divBdr>
            <w:top w:val="none" w:sz="0" w:space="0" w:color="auto"/>
            <w:left w:val="none" w:sz="0" w:space="0" w:color="auto"/>
            <w:bottom w:val="none" w:sz="0" w:space="0" w:color="auto"/>
            <w:right w:val="none" w:sz="0" w:space="0" w:color="auto"/>
          </w:divBdr>
        </w:div>
      </w:divsChild>
    </w:div>
    <w:div w:id="777915323">
      <w:bodyDiv w:val="1"/>
      <w:marLeft w:val="0"/>
      <w:marRight w:val="0"/>
      <w:marTop w:val="0"/>
      <w:marBottom w:val="0"/>
      <w:divBdr>
        <w:top w:val="none" w:sz="0" w:space="0" w:color="auto"/>
        <w:left w:val="none" w:sz="0" w:space="0" w:color="auto"/>
        <w:bottom w:val="none" w:sz="0" w:space="0" w:color="auto"/>
        <w:right w:val="none" w:sz="0" w:space="0" w:color="auto"/>
      </w:divBdr>
    </w:div>
    <w:div w:id="779644683">
      <w:bodyDiv w:val="1"/>
      <w:marLeft w:val="0"/>
      <w:marRight w:val="0"/>
      <w:marTop w:val="0"/>
      <w:marBottom w:val="0"/>
      <w:divBdr>
        <w:top w:val="none" w:sz="0" w:space="0" w:color="auto"/>
        <w:left w:val="none" w:sz="0" w:space="0" w:color="auto"/>
        <w:bottom w:val="none" w:sz="0" w:space="0" w:color="auto"/>
        <w:right w:val="none" w:sz="0" w:space="0" w:color="auto"/>
      </w:divBdr>
    </w:div>
    <w:div w:id="788939190">
      <w:bodyDiv w:val="1"/>
      <w:marLeft w:val="0"/>
      <w:marRight w:val="0"/>
      <w:marTop w:val="0"/>
      <w:marBottom w:val="0"/>
      <w:divBdr>
        <w:top w:val="none" w:sz="0" w:space="0" w:color="auto"/>
        <w:left w:val="none" w:sz="0" w:space="0" w:color="auto"/>
        <w:bottom w:val="none" w:sz="0" w:space="0" w:color="auto"/>
        <w:right w:val="none" w:sz="0" w:space="0" w:color="auto"/>
      </w:divBdr>
    </w:div>
    <w:div w:id="803425334">
      <w:bodyDiv w:val="1"/>
      <w:marLeft w:val="0"/>
      <w:marRight w:val="0"/>
      <w:marTop w:val="0"/>
      <w:marBottom w:val="0"/>
      <w:divBdr>
        <w:top w:val="none" w:sz="0" w:space="0" w:color="auto"/>
        <w:left w:val="none" w:sz="0" w:space="0" w:color="auto"/>
        <w:bottom w:val="none" w:sz="0" w:space="0" w:color="auto"/>
        <w:right w:val="none" w:sz="0" w:space="0" w:color="auto"/>
      </w:divBdr>
    </w:div>
    <w:div w:id="803700621">
      <w:bodyDiv w:val="1"/>
      <w:marLeft w:val="0"/>
      <w:marRight w:val="0"/>
      <w:marTop w:val="0"/>
      <w:marBottom w:val="0"/>
      <w:divBdr>
        <w:top w:val="none" w:sz="0" w:space="0" w:color="auto"/>
        <w:left w:val="none" w:sz="0" w:space="0" w:color="auto"/>
        <w:bottom w:val="none" w:sz="0" w:space="0" w:color="auto"/>
        <w:right w:val="none" w:sz="0" w:space="0" w:color="auto"/>
      </w:divBdr>
    </w:div>
    <w:div w:id="808591878">
      <w:bodyDiv w:val="1"/>
      <w:marLeft w:val="0"/>
      <w:marRight w:val="0"/>
      <w:marTop w:val="0"/>
      <w:marBottom w:val="0"/>
      <w:divBdr>
        <w:top w:val="none" w:sz="0" w:space="0" w:color="auto"/>
        <w:left w:val="none" w:sz="0" w:space="0" w:color="auto"/>
        <w:bottom w:val="none" w:sz="0" w:space="0" w:color="auto"/>
        <w:right w:val="none" w:sz="0" w:space="0" w:color="auto"/>
      </w:divBdr>
    </w:div>
    <w:div w:id="809518651">
      <w:bodyDiv w:val="1"/>
      <w:marLeft w:val="0"/>
      <w:marRight w:val="0"/>
      <w:marTop w:val="0"/>
      <w:marBottom w:val="0"/>
      <w:divBdr>
        <w:top w:val="none" w:sz="0" w:space="0" w:color="auto"/>
        <w:left w:val="none" w:sz="0" w:space="0" w:color="auto"/>
        <w:bottom w:val="none" w:sz="0" w:space="0" w:color="auto"/>
        <w:right w:val="none" w:sz="0" w:space="0" w:color="auto"/>
      </w:divBdr>
    </w:div>
    <w:div w:id="811093771">
      <w:bodyDiv w:val="1"/>
      <w:marLeft w:val="0"/>
      <w:marRight w:val="0"/>
      <w:marTop w:val="0"/>
      <w:marBottom w:val="0"/>
      <w:divBdr>
        <w:top w:val="none" w:sz="0" w:space="0" w:color="auto"/>
        <w:left w:val="none" w:sz="0" w:space="0" w:color="auto"/>
        <w:bottom w:val="none" w:sz="0" w:space="0" w:color="auto"/>
        <w:right w:val="none" w:sz="0" w:space="0" w:color="auto"/>
      </w:divBdr>
    </w:div>
    <w:div w:id="812016817">
      <w:bodyDiv w:val="1"/>
      <w:marLeft w:val="0"/>
      <w:marRight w:val="0"/>
      <w:marTop w:val="0"/>
      <w:marBottom w:val="0"/>
      <w:divBdr>
        <w:top w:val="none" w:sz="0" w:space="0" w:color="auto"/>
        <w:left w:val="none" w:sz="0" w:space="0" w:color="auto"/>
        <w:bottom w:val="none" w:sz="0" w:space="0" w:color="auto"/>
        <w:right w:val="none" w:sz="0" w:space="0" w:color="auto"/>
      </w:divBdr>
      <w:divsChild>
        <w:div w:id="955790020">
          <w:marLeft w:val="0"/>
          <w:marRight w:val="0"/>
          <w:marTop w:val="0"/>
          <w:marBottom w:val="0"/>
          <w:divBdr>
            <w:top w:val="none" w:sz="0" w:space="0" w:color="auto"/>
            <w:left w:val="none" w:sz="0" w:space="0" w:color="auto"/>
            <w:bottom w:val="none" w:sz="0" w:space="0" w:color="auto"/>
            <w:right w:val="none" w:sz="0" w:space="0" w:color="auto"/>
          </w:divBdr>
          <w:divsChild>
            <w:div w:id="1459301821">
              <w:marLeft w:val="0"/>
              <w:marRight w:val="0"/>
              <w:marTop w:val="0"/>
              <w:marBottom w:val="0"/>
              <w:divBdr>
                <w:top w:val="none" w:sz="0" w:space="0" w:color="auto"/>
                <w:left w:val="none" w:sz="0" w:space="0" w:color="auto"/>
                <w:bottom w:val="none" w:sz="0" w:space="0" w:color="auto"/>
                <w:right w:val="none" w:sz="0" w:space="0" w:color="auto"/>
              </w:divBdr>
              <w:divsChild>
                <w:div w:id="41710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5100150">
      <w:bodyDiv w:val="1"/>
      <w:marLeft w:val="0"/>
      <w:marRight w:val="0"/>
      <w:marTop w:val="0"/>
      <w:marBottom w:val="0"/>
      <w:divBdr>
        <w:top w:val="none" w:sz="0" w:space="0" w:color="auto"/>
        <w:left w:val="none" w:sz="0" w:space="0" w:color="auto"/>
        <w:bottom w:val="none" w:sz="0" w:space="0" w:color="auto"/>
        <w:right w:val="none" w:sz="0" w:space="0" w:color="auto"/>
      </w:divBdr>
    </w:div>
    <w:div w:id="816531805">
      <w:bodyDiv w:val="1"/>
      <w:marLeft w:val="0"/>
      <w:marRight w:val="0"/>
      <w:marTop w:val="0"/>
      <w:marBottom w:val="0"/>
      <w:divBdr>
        <w:top w:val="none" w:sz="0" w:space="0" w:color="auto"/>
        <w:left w:val="none" w:sz="0" w:space="0" w:color="auto"/>
        <w:bottom w:val="none" w:sz="0" w:space="0" w:color="auto"/>
        <w:right w:val="none" w:sz="0" w:space="0" w:color="auto"/>
      </w:divBdr>
    </w:div>
    <w:div w:id="816797201">
      <w:bodyDiv w:val="1"/>
      <w:marLeft w:val="0"/>
      <w:marRight w:val="0"/>
      <w:marTop w:val="0"/>
      <w:marBottom w:val="0"/>
      <w:divBdr>
        <w:top w:val="none" w:sz="0" w:space="0" w:color="auto"/>
        <w:left w:val="none" w:sz="0" w:space="0" w:color="auto"/>
        <w:bottom w:val="none" w:sz="0" w:space="0" w:color="auto"/>
        <w:right w:val="none" w:sz="0" w:space="0" w:color="auto"/>
      </w:divBdr>
    </w:div>
    <w:div w:id="822889829">
      <w:bodyDiv w:val="1"/>
      <w:marLeft w:val="0"/>
      <w:marRight w:val="0"/>
      <w:marTop w:val="0"/>
      <w:marBottom w:val="0"/>
      <w:divBdr>
        <w:top w:val="none" w:sz="0" w:space="0" w:color="auto"/>
        <w:left w:val="none" w:sz="0" w:space="0" w:color="auto"/>
        <w:bottom w:val="none" w:sz="0" w:space="0" w:color="auto"/>
        <w:right w:val="none" w:sz="0" w:space="0" w:color="auto"/>
      </w:divBdr>
    </w:div>
    <w:div w:id="823012841">
      <w:bodyDiv w:val="1"/>
      <w:marLeft w:val="0"/>
      <w:marRight w:val="0"/>
      <w:marTop w:val="0"/>
      <w:marBottom w:val="0"/>
      <w:divBdr>
        <w:top w:val="none" w:sz="0" w:space="0" w:color="auto"/>
        <w:left w:val="none" w:sz="0" w:space="0" w:color="auto"/>
        <w:bottom w:val="none" w:sz="0" w:space="0" w:color="auto"/>
        <w:right w:val="none" w:sz="0" w:space="0" w:color="auto"/>
      </w:divBdr>
    </w:div>
    <w:div w:id="823930813">
      <w:bodyDiv w:val="1"/>
      <w:marLeft w:val="0"/>
      <w:marRight w:val="0"/>
      <w:marTop w:val="0"/>
      <w:marBottom w:val="0"/>
      <w:divBdr>
        <w:top w:val="none" w:sz="0" w:space="0" w:color="auto"/>
        <w:left w:val="none" w:sz="0" w:space="0" w:color="auto"/>
        <w:bottom w:val="none" w:sz="0" w:space="0" w:color="auto"/>
        <w:right w:val="none" w:sz="0" w:space="0" w:color="auto"/>
      </w:divBdr>
    </w:div>
    <w:div w:id="832722886">
      <w:bodyDiv w:val="1"/>
      <w:marLeft w:val="0"/>
      <w:marRight w:val="0"/>
      <w:marTop w:val="0"/>
      <w:marBottom w:val="0"/>
      <w:divBdr>
        <w:top w:val="none" w:sz="0" w:space="0" w:color="auto"/>
        <w:left w:val="none" w:sz="0" w:space="0" w:color="auto"/>
        <w:bottom w:val="none" w:sz="0" w:space="0" w:color="auto"/>
        <w:right w:val="none" w:sz="0" w:space="0" w:color="auto"/>
      </w:divBdr>
    </w:div>
    <w:div w:id="832993975">
      <w:bodyDiv w:val="1"/>
      <w:marLeft w:val="0"/>
      <w:marRight w:val="0"/>
      <w:marTop w:val="0"/>
      <w:marBottom w:val="0"/>
      <w:divBdr>
        <w:top w:val="none" w:sz="0" w:space="0" w:color="auto"/>
        <w:left w:val="none" w:sz="0" w:space="0" w:color="auto"/>
        <w:bottom w:val="none" w:sz="0" w:space="0" w:color="auto"/>
        <w:right w:val="none" w:sz="0" w:space="0" w:color="auto"/>
      </w:divBdr>
    </w:div>
    <w:div w:id="833230604">
      <w:bodyDiv w:val="1"/>
      <w:marLeft w:val="0"/>
      <w:marRight w:val="0"/>
      <w:marTop w:val="0"/>
      <w:marBottom w:val="0"/>
      <w:divBdr>
        <w:top w:val="none" w:sz="0" w:space="0" w:color="auto"/>
        <w:left w:val="none" w:sz="0" w:space="0" w:color="auto"/>
        <w:bottom w:val="none" w:sz="0" w:space="0" w:color="auto"/>
        <w:right w:val="none" w:sz="0" w:space="0" w:color="auto"/>
      </w:divBdr>
    </w:div>
    <w:div w:id="837887695">
      <w:bodyDiv w:val="1"/>
      <w:marLeft w:val="0"/>
      <w:marRight w:val="0"/>
      <w:marTop w:val="0"/>
      <w:marBottom w:val="0"/>
      <w:divBdr>
        <w:top w:val="none" w:sz="0" w:space="0" w:color="auto"/>
        <w:left w:val="none" w:sz="0" w:space="0" w:color="auto"/>
        <w:bottom w:val="none" w:sz="0" w:space="0" w:color="auto"/>
        <w:right w:val="none" w:sz="0" w:space="0" w:color="auto"/>
      </w:divBdr>
    </w:div>
    <w:div w:id="846556634">
      <w:bodyDiv w:val="1"/>
      <w:marLeft w:val="0"/>
      <w:marRight w:val="0"/>
      <w:marTop w:val="0"/>
      <w:marBottom w:val="0"/>
      <w:divBdr>
        <w:top w:val="none" w:sz="0" w:space="0" w:color="auto"/>
        <w:left w:val="none" w:sz="0" w:space="0" w:color="auto"/>
        <w:bottom w:val="none" w:sz="0" w:space="0" w:color="auto"/>
        <w:right w:val="none" w:sz="0" w:space="0" w:color="auto"/>
      </w:divBdr>
    </w:div>
    <w:div w:id="849753445">
      <w:bodyDiv w:val="1"/>
      <w:marLeft w:val="0"/>
      <w:marRight w:val="0"/>
      <w:marTop w:val="0"/>
      <w:marBottom w:val="0"/>
      <w:divBdr>
        <w:top w:val="none" w:sz="0" w:space="0" w:color="auto"/>
        <w:left w:val="none" w:sz="0" w:space="0" w:color="auto"/>
        <w:bottom w:val="none" w:sz="0" w:space="0" w:color="auto"/>
        <w:right w:val="none" w:sz="0" w:space="0" w:color="auto"/>
      </w:divBdr>
    </w:div>
    <w:div w:id="858009108">
      <w:bodyDiv w:val="1"/>
      <w:marLeft w:val="0"/>
      <w:marRight w:val="0"/>
      <w:marTop w:val="0"/>
      <w:marBottom w:val="0"/>
      <w:divBdr>
        <w:top w:val="none" w:sz="0" w:space="0" w:color="auto"/>
        <w:left w:val="none" w:sz="0" w:space="0" w:color="auto"/>
        <w:bottom w:val="none" w:sz="0" w:space="0" w:color="auto"/>
        <w:right w:val="none" w:sz="0" w:space="0" w:color="auto"/>
      </w:divBdr>
    </w:div>
    <w:div w:id="873494302">
      <w:bodyDiv w:val="1"/>
      <w:marLeft w:val="0"/>
      <w:marRight w:val="0"/>
      <w:marTop w:val="0"/>
      <w:marBottom w:val="0"/>
      <w:divBdr>
        <w:top w:val="none" w:sz="0" w:space="0" w:color="auto"/>
        <w:left w:val="none" w:sz="0" w:space="0" w:color="auto"/>
        <w:bottom w:val="none" w:sz="0" w:space="0" w:color="auto"/>
        <w:right w:val="none" w:sz="0" w:space="0" w:color="auto"/>
      </w:divBdr>
    </w:div>
    <w:div w:id="874775836">
      <w:bodyDiv w:val="1"/>
      <w:marLeft w:val="0"/>
      <w:marRight w:val="0"/>
      <w:marTop w:val="0"/>
      <w:marBottom w:val="0"/>
      <w:divBdr>
        <w:top w:val="none" w:sz="0" w:space="0" w:color="auto"/>
        <w:left w:val="none" w:sz="0" w:space="0" w:color="auto"/>
        <w:bottom w:val="none" w:sz="0" w:space="0" w:color="auto"/>
        <w:right w:val="none" w:sz="0" w:space="0" w:color="auto"/>
      </w:divBdr>
    </w:div>
    <w:div w:id="878319652">
      <w:bodyDiv w:val="1"/>
      <w:marLeft w:val="0"/>
      <w:marRight w:val="0"/>
      <w:marTop w:val="0"/>
      <w:marBottom w:val="0"/>
      <w:divBdr>
        <w:top w:val="none" w:sz="0" w:space="0" w:color="auto"/>
        <w:left w:val="none" w:sz="0" w:space="0" w:color="auto"/>
        <w:bottom w:val="none" w:sz="0" w:space="0" w:color="auto"/>
        <w:right w:val="none" w:sz="0" w:space="0" w:color="auto"/>
      </w:divBdr>
    </w:div>
    <w:div w:id="885027095">
      <w:bodyDiv w:val="1"/>
      <w:marLeft w:val="0"/>
      <w:marRight w:val="0"/>
      <w:marTop w:val="0"/>
      <w:marBottom w:val="0"/>
      <w:divBdr>
        <w:top w:val="none" w:sz="0" w:space="0" w:color="auto"/>
        <w:left w:val="none" w:sz="0" w:space="0" w:color="auto"/>
        <w:bottom w:val="none" w:sz="0" w:space="0" w:color="auto"/>
        <w:right w:val="none" w:sz="0" w:space="0" w:color="auto"/>
      </w:divBdr>
    </w:div>
    <w:div w:id="897939940">
      <w:bodyDiv w:val="1"/>
      <w:marLeft w:val="0"/>
      <w:marRight w:val="0"/>
      <w:marTop w:val="0"/>
      <w:marBottom w:val="0"/>
      <w:divBdr>
        <w:top w:val="none" w:sz="0" w:space="0" w:color="auto"/>
        <w:left w:val="none" w:sz="0" w:space="0" w:color="auto"/>
        <w:bottom w:val="none" w:sz="0" w:space="0" w:color="auto"/>
        <w:right w:val="none" w:sz="0" w:space="0" w:color="auto"/>
      </w:divBdr>
    </w:div>
    <w:div w:id="899630320">
      <w:bodyDiv w:val="1"/>
      <w:marLeft w:val="0"/>
      <w:marRight w:val="0"/>
      <w:marTop w:val="0"/>
      <w:marBottom w:val="0"/>
      <w:divBdr>
        <w:top w:val="none" w:sz="0" w:space="0" w:color="auto"/>
        <w:left w:val="none" w:sz="0" w:space="0" w:color="auto"/>
        <w:bottom w:val="none" w:sz="0" w:space="0" w:color="auto"/>
        <w:right w:val="none" w:sz="0" w:space="0" w:color="auto"/>
      </w:divBdr>
    </w:div>
    <w:div w:id="908225892">
      <w:bodyDiv w:val="1"/>
      <w:marLeft w:val="0"/>
      <w:marRight w:val="0"/>
      <w:marTop w:val="0"/>
      <w:marBottom w:val="0"/>
      <w:divBdr>
        <w:top w:val="none" w:sz="0" w:space="0" w:color="auto"/>
        <w:left w:val="none" w:sz="0" w:space="0" w:color="auto"/>
        <w:bottom w:val="none" w:sz="0" w:space="0" w:color="auto"/>
        <w:right w:val="none" w:sz="0" w:space="0" w:color="auto"/>
      </w:divBdr>
    </w:div>
    <w:div w:id="927345592">
      <w:bodyDiv w:val="1"/>
      <w:marLeft w:val="0"/>
      <w:marRight w:val="0"/>
      <w:marTop w:val="0"/>
      <w:marBottom w:val="0"/>
      <w:divBdr>
        <w:top w:val="none" w:sz="0" w:space="0" w:color="auto"/>
        <w:left w:val="none" w:sz="0" w:space="0" w:color="auto"/>
        <w:bottom w:val="none" w:sz="0" w:space="0" w:color="auto"/>
        <w:right w:val="none" w:sz="0" w:space="0" w:color="auto"/>
      </w:divBdr>
      <w:divsChild>
        <w:div w:id="1376155802">
          <w:marLeft w:val="0"/>
          <w:marRight w:val="0"/>
          <w:marTop w:val="0"/>
          <w:marBottom w:val="101"/>
          <w:divBdr>
            <w:top w:val="none" w:sz="0" w:space="0" w:color="auto"/>
            <w:left w:val="none" w:sz="0" w:space="0" w:color="auto"/>
            <w:bottom w:val="none" w:sz="0" w:space="0" w:color="auto"/>
            <w:right w:val="none" w:sz="0" w:space="0" w:color="auto"/>
          </w:divBdr>
        </w:div>
        <w:div w:id="1754206452">
          <w:marLeft w:val="864"/>
          <w:marRight w:val="0"/>
          <w:marTop w:val="0"/>
          <w:marBottom w:val="101"/>
          <w:divBdr>
            <w:top w:val="none" w:sz="0" w:space="0" w:color="auto"/>
            <w:left w:val="none" w:sz="0" w:space="0" w:color="auto"/>
            <w:bottom w:val="none" w:sz="0" w:space="0" w:color="auto"/>
            <w:right w:val="none" w:sz="0" w:space="0" w:color="auto"/>
          </w:divBdr>
        </w:div>
        <w:div w:id="1823741229">
          <w:marLeft w:val="864"/>
          <w:marRight w:val="0"/>
          <w:marTop w:val="0"/>
          <w:marBottom w:val="101"/>
          <w:divBdr>
            <w:top w:val="none" w:sz="0" w:space="0" w:color="auto"/>
            <w:left w:val="none" w:sz="0" w:space="0" w:color="auto"/>
            <w:bottom w:val="none" w:sz="0" w:space="0" w:color="auto"/>
            <w:right w:val="none" w:sz="0" w:space="0" w:color="auto"/>
          </w:divBdr>
        </w:div>
        <w:div w:id="1596210110">
          <w:marLeft w:val="864"/>
          <w:marRight w:val="0"/>
          <w:marTop w:val="0"/>
          <w:marBottom w:val="101"/>
          <w:divBdr>
            <w:top w:val="none" w:sz="0" w:space="0" w:color="auto"/>
            <w:left w:val="none" w:sz="0" w:space="0" w:color="auto"/>
            <w:bottom w:val="none" w:sz="0" w:space="0" w:color="auto"/>
            <w:right w:val="none" w:sz="0" w:space="0" w:color="auto"/>
          </w:divBdr>
        </w:div>
        <w:div w:id="2077434075">
          <w:marLeft w:val="864"/>
          <w:marRight w:val="0"/>
          <w:marTop w:val="0"/>
          <w:marBottom w:val="101"/>
          <w:divBdr>
            <w:top w:val="none" w:sz="0" w:space="0" w:color="auto"/>
            <w:left w:val="none" w:sz="0" w:space="0" w:color="auto"/>
            <w:bottom w:val="none" w:sz="0" w:space="0" w:color="auto"/>
            <w:right w:val="none" w:sz="0" w:space="0" w:color="auto"/>
          </w:divBdr>
        </w:div>
        <w:div w:id="233319274">
          <w:marLeft w:val="864"/>
          <w:marRight w:val="0"/>
          <w:marTop w:val="0"/>
          <w:marBottom w:val="101"/>
          <w:divBdr>
            <w:top w:val="none" w:sz="0" w:space="0" w:color="auto"/>
            <w:left w:val="none" w:sz="0" w:space="0" w:color="auto"/>
            <w:bottom w:val="none" w:sz="0" w:space="0" w:color="auto"/>
            <w:right w:val="none" w:sz="0" w:space="0" w:color="auto"/>
          </w:divBdr>
        </w:div>
        <w:div w:id="301497052">
          <w:marLeft w:val="864"/>
          <w:marRight w:val="0"/>
          <w:marTop w:val="0"/>
          <w:marBottom w:val="101"/>
          <w:divBdr>
            <w:top w:val="none" w:sz="0" w:space="0" w:color="auto"/>
            <w:left w:val="none" w:sz="0" w:space="0" w:color="auto"/>
            <w:bottom w:val="none" w:sz="0" w:space="0" w:color="auto"/>
            <w:right w:val="none" w:sz="0" w:space="0" w:color="auto"/>
          </w:divBdr>
        </w:div>
        <w:div w:id="1786727738">
          <w:marLeft w:val="864"/>
          <w:marRight w:val="0"/>
          <w:marTop w:val="0"/>
          <w:marBottom w:val="101"/>
          <w:divBdr>
            <w:top w:val="none" w:sz="0" w:space="0" w:color="auto"/>
            <w:left w:val="none" w:sz="0" w:space="0" w:color="auto"/>
            <w:bottom w:val="none" w:sz="0" w:space="0" w:color="auto"/>
            <w:right w:val="none" w:sz="0" w:space="0" w:color="auto"/>
          </w:divBdr>
        </w:div>
        <w:div w:id="1001616258">
          <w:marLeft w:val="864"/>
          <w:marRight w:val="0"/>
          <w:marTop w:val="0"/>
          <w:marBottom w:val="101"/>
          <w:divBdr>
            <w:top w:val="none" w:sz="0" w:space="0" w:color="auto"/>
            <w:left w:val="none" w:sz="0" w:space="0" w:color="auto"/>
            <w:bottom w:val="none" w:sz="0" w:space="0" w:color="auto"/>
            <w:right w:val="none" w:sz="0" w:space="0" w:color="auto"/>
          </w:divBdr>
        </w:div>
        <w:div w:id="1776899588">
          <w:marLeft w:val="864"/>
          <w:marRight w:val="0"/>
          <w:marTop w:val="0"/>
          <w:marBottom w:val="101"/>
          <w:divBdr>
            <w:top w:val="none" w:sz="0" w:space="0" w:color="auto"/>
            <w:left w:val="none" w:sz="0" w:space="0" w:color="auto"/>
            <w:bottom w:val="none" w:sz="0" w:space="0" w:color="auto"/>
            <w:right w:val="none" w:sz="0" w:space="0" w:color="auto"/>
          </w:divBdr>
        </w:div>
        <w:div w:id="2030373535">
          <w:marLeft w:val="864"/>
          <w:marRight w:val="0"/>
          <w:marTop w:val="0"/>
          <w:marBottom w:val="101"/>
          <w:divBdr>
            <w:top w:val="none" w:sz="0" w:space="0" w:color="auto"/>
            <w:left w:val="none" w:sz="0" w:space="0" w:color="auto"/>
            <w:bottom w:val="none" w:sz="0" w:space="0" w:color="auto"/>
            <w:right w:val="none" w:sz="0" w:space="0" w:color="auto"/>
          </w:divBdr>
        </w:div>
        <w:div w:id="1872380349">
          <w:marLeft w:val="864"/>
          <w:marRight w:val="0"/>
          <w:marTop w:val="0"/>
          <w:marBottom w:val="101"/>
          <w:divBdr>
            <w:top w:val="none" w:sz="0" w:space="0" w:color="auto"/>
            <w:left w:val="none" w:sz="0" w:space="0" w:color="auto"/>
            <w:bottom w:val="none" w:sz="0" w:space="0" w:color="auto"/>
            <w:right w:val="none" w:sz="0" w:space="0" w:color="auto"/>
          </w:divBdr>
        </w:div>
        <w:div w:id="119999460">
          <w:marLeft w:val="864"/>
          <w:marRight w:val="0"/>
          <w:marTop w:val="0"/>
          <w:marBottom w:val="101"/>
          <w:divBdr>
            <w:top w:val="none" w:sz="0" w:space="0" w:color="auto"/>
            <w:left w:val="none" w:sz="0" w:space="0" w:color="auto"/>
            <w:bottom w:val="none" w:sz="0" w:space="0" w:color="auto"/>
            <w:right w:val="none" w:sz="0" w:space="0" w:color="auto"/>
          </w:divBdr>
        </w:div>
        <w:div w:id="1078017428">
          <w:marLeft w:val="864"/>
          <w:marRight w:val="0"/>
          <w:marTop w:val="0"/>
          <w:marBottom w:val="101"/>
          <w:divBdr>
            <w:top w:val="none" w:sz="0" w:space="0" w:color="auto"/>
            <w:left w:val="none" w:sz="0" w:space="0" w:color="auto"/>
            <w:bottom w:val="none" w:sz="0" w:space="0" w:color="auto"/>
            <w:right w:val="none" w:sz="0" w:space="0" w:color="auto"/>
          </w:divBdr>
        </w:div>
        <w:div w:id="1768231218">
          <w:marLeft w:val="864"/>
          <w:marRight w:val="0"/>
          <w:marTop w:val="0"/>
          <w:marBottom w:val="101"/>
          <w:divBdr>
            <w:top w:val="none" w:sz="0" w:space="0" w:color="auto"/>
            <w:left w:val="none" w:sz="0" w:space="0" w:color="auto"/>
            <w:bottom w:val="none" w:sz="0" w:space="0" w:color="auto"/>
            <w:right w:val="none" w:sz="0" w:space="0" w:color="auto"/>
          </w:divBdr>
        </w:div>
        <w:div w:id="1029185085">
          <w:marLeft w:val="864"/>
          <w:marRight w:val="0"/>
          <w:marTop w:val="0"/>
          <w:marBottom w:val="101"/>
          <w:divBdr>
            <w:top w:val="none" w:sz="0" w:space="0" w:color="auto"/>
            <w:left w:val="none" w:sz="0" w:space="0" w:color="auto"/>
            <w:bottom w:val="none" w:sz="0" w:space="0" w:color="auto"/>
            <w:right w:val="none" w:sz="0" w:space="0" w:color="auto"/>
          </w:divBdr>
        </w:div>
        <w:div w:id="752167974">
          <w:marLeft w:val="864"/>
          <w:marRight w:val="0"/>
          <w:marTop w:val="0"/>
          <w:marBottom w:val="101"/>
          <w:divBdr>
            <w:top w:val="none" w:sz="0" w:space="0" w:color="auto"/>
            <w:left w:val="none" w:sz="0" w:space="0" w:color="auto"/>
            <w:bottom w:val="none" w:sz="0" w:space="0" w:color="auto"/>
            <w:right w:val="none" w:sz="0" w:space="0" w:color="auto"/>
          </w:divBdr>
        </w:div>
        <w:div w:id="1105811757">
          <w:marLeft w:val="864"/>
          <w:marRight w:val="0"/>
          <w:marTop w:val="0"/>
          <w:marBottom w:val="101"/>
          <w:divBdr>
            <w:top w:val="none" w:sz="0" w:space="0" w:color="auto"/>
            <w:left w:val="none" w:sz="0" w:space="0" w:color="auto"/>
            <w:bottom w:val="none" w:sz="0" w:space="0" w:color="auto"/>
            <w:right w:val="none" w:sz="0" w:space="0" w:color="auto"/>
          </w:divBdr>
        </w:div>
      </w:divsChild>
    </w:div>
    <w:div w:id="930506757">
      <w:bodyDiv w:val="1"/>
      <w:marLeft w:val="0"/>
      <w:marRight w:val="0"/>
      <w:marTop w:val="0"/>
      <w:marBottom w:val="0"/>
      <w:divBdr>
        <w:top w:val="none" w:sz="0" w:space="0" w:color="auto"/>
        <w:left w:val="none" w:sz="0" w:space="0" w:color="auto"/>
        <w:bottom w:val="none" w:sz="0" w:space="0" w:color="auto"/>
        <w:right w:val="none" w:sz="0" w:space="0" w:color="auto"/>
      </w:divBdr>
    </w:div>
    <w:div w:id="935553638">
      <w:bodyDiv w:val="1"/>
      <w:marLeft w:val="0"/>
      <w:marRight w:val="0"/>
      <w:marTop w:val="0"/>
      <w:marBottom w:val="0"/>
      <w:divBdr>
        <w:top w:val="none" w:sz="0" w:space="0" w:color="auto"/>
        <w:left w:val="none" w:sz="0" w:space="0" w:color="auto"/>
        <w:bottom w:val="none" w:sz="0" w:space="0" w:color="auto"/>
        <w:right w:val="none" w:sz="0" w:space="0" w:color="auto"/>
      </w:divBdr>
    </w:div>
    <w:div w:id="935946056">
      <w:bodyDiv w:val="1"/>
      <w:marLeft w:val="0"/>
      <w:marRight w:val="0"/>
      <w:marTop w:val="0"/>
      <w:marBottom w:val="0"/>
      <w:divBdr>
        <w:top w:val="none" w:sz="0" w:space="0" w:color="auto"/>
        <w:left w:val="none" w:sz="0" w:space="0" w:color="auto"/>
        <w:bottom w:val="none" w:sz="0" w:space="0" w:color="auto"/>
        <w:right w:val="none" w:sz="0" w:space="0" w:color="auto"/>
      </w:divBdr>
    </w:div>
    <w:div w:id="937636495">
      <w:bodyDiv w:val="1"/>
      <w:marLeft w:val="0"/>
      <w:marRight w:val="0"/>
      <w:marTop w:val="0"/>
      <w:marBottom w:val="0"/>
      <w:divBdr>
        <w:top w:val="none" w:sz="0" w:space="0" w:color="auto"/>
        <w:left w:val="none" w:sz="0" w:space="0" w:color="auto"/>
        <w:bottom w:val="none" w:sz="0" w:space="0" w:color="auto"/>
        <w:right w:val="none" w:sz="0" w:space="0" w:color="auto"/>
      </w:divBdr>
    </w:div>
    <w:div w:id="941495990">
      <w:bodyDiv w:val="1"/>
      <w:marLeft w:val="0"/>
      <w:marRight w:val="0"/>
      <w:marTop w:val="0"/>
      <w:marBottom w:val="0"/>
      <w:divBdr>
        <w:top w:val="none" w:sz="0" w:space="0" w:color="auto"/>
        <w:left w:val="none" w:sz="0" w:space="0" w:color="auto"/>
        <w:bottom w:val="none" w:sz="0" w:space="0" w:color="auto"/>
        <w:right w:val="none" w:sz="0" w:space="0" w:color="auto"/>
      </w:divBdr>
    </w:div>
    <w:div w:id="949700687">
      <w:bodyDiv w:val="1"/>
      <w:marLeft w:val="0"/>
      <w:marRight w:val="0"/>
      <w:marTop w:val="0"/>
      <w:marBottom w:val="0"/>
      <w:divBdr>
        <w:top w:val="none" w:sz="0" w:space="0" w:color="auto"/>
        <w:left w:val="none" w:sz="0" w:space="0" w:color="auto"/>
        <w:bottom w:val="none" w:sz="0" w:space="0" w:color="auto"/>
        <w:right w:val="none" w:sz="0" w:space="0" w:color="auto"/>
      </w:divBdr>
    </w:div>
    <w:div w:id="950016161">
      <w:bodyDiv w:val="1"/>
      <w:marLeft w:val="0"/>
      <w:marRight w:val="0"/>
      <w:marTop w:val="0"/>
      <w:marBottom w:val="0"/>
      <w:divBdr>
        <w:top w:val="none" w:sz="0" w:space="0" w:color="auto"/>
        <w:left w:val="none" w:sz="0" w:space="0" w:color="auto"/>
        <w:bottom w:val="none" w:sz="0" w:space="0" w:color="auto"/>
        <w:right w:val="none" w:sz="0" w:space="0" w:color="auto"/>
      </w:divBdr>
    </w:div>
    <w:div w:id="973563836">
      <w:bodyDiv w:val="1"/>
      <w:marLeft w:val="0"/>
      <w:marRight w:val="0"/>
      <w:marTop w:val="0"/>
      <w:marBottom w:val="0"/>
      <w:divBdr>
        <w:top w:val="none" w:sz="0" w:space="0" w:color="auto"/>
        <w:left w:val="none" w:sz="0" w:space="0" w:color="auto"/>
        <w:bottom w:val="none" w:sz="0" w:space="0" w:color="auto"/>
        <w:right w:val="none" w:sz="0" w:space="0" w:color="auto"/>
      </w:divBdr>
    </w:div>
    <w:div w:id="987128264">
      <w:bodyDiv w:val="1"/>
      <w:marLeft w:val="0"/>
      <w:marRight w:val="0"/>
      <w:marTop w:val="0"/>
      <w:marBottom w:val="0"/>
      <w:divBdr>
        <w:top w:val="none" w:sz="0" w:space="0" w:color="auto"/>
        <w:left w:val="none" w:sz="0" w:space="0" w:color="auto"/>
        <w:bottom w:val="none" w:sz="0" w:space="0" w:color="auto"/>
        <w:right w:val="none" w:sz="0" w:space="0" w:color="auto"/>
      </w:divBdr>
    </w:div>
    <w:div w:id="1003583642">
      <w:bodyDiv w:val="1"/>
      <w:marLeft w:val="0"/>
      <w:marRight w:val="0"/>
      <w:marTop w:val="0"/>
      <w:marBottom w:val="0"/>
      <w:divBdr>
        <w:top w:val="none" w:sz="0" w:space="0" w:color="auto"/>
        <w:left w:val="none" w:sz="0" w:space="0" w:color="auto"/>
        <w:bottom w:val="none" w:sz="0" w:space="0" w:color="auto"/>
        <w:right w:val="none" w:sz="0" w:space="0" w:color="auto"/>
      </w:divBdr>
    </w:div>
    <w:div w:id="1006177489">
      <w:bodyDiv w:val="1"/>
      <w:marLeft w:val="0"/>
      <w:marRight w:val="0"/>
      <w:marTop w:val="0"/>
      <w:marBottom w:val="0"/>
      <w:divBdr>
        <w:top w:val="none" w:sz="0" w:space="0" w:color="auto"/>
        <w:left w:val="none" w:sz="0" w:space="0" w:color="auto"/>
        <w:bottom w:val="none" w:sz="0" w:space="0" w:color="auto"/>
        <w:right w:val="none" w:sz="0" w:space="0" w:color="auto"/>
      </w:divBdr>
      <w:divsChild>
        <w:div w:id="749738911">
          <w:marLeft w:val="0"/>
          <w:marRight w:val="0"/>
          <w:marTop w:val="0"/>
          <w:marBottom w:val="0"/>
          <w:divBdr>
            <w:top w:val="none" w:sz="0" w:space="0" w:color="auto"/>
            <w:left w:val="none" w:sz="0" w:space="0" w:color="auto"/>
            <w:bottom w:val="none" w:sz="0" w:space="0" w:color="auto"/>
            <w:right w:val="none" w:sz="0" w:space="0" w:color="auto"/>
          </w:divBdr>
          <w:divsChild>
            <w:div w:id="966857760">
              <w:marLeft w:val="0"/>
              <w:marRight w:val="0"/>
              <w:marTop w:val="0"/>
              <w:marBottom w:val="0"/>
              <w:divBdr>
                <w:top w:val="none" w:sz="0" w:space="0" w:color="auto"/>
                <w:left w:val="none" w:sz="0" w:space="0" w:color="auto"/>
                <w:bottom w:val="none" w:sz="0" w:space="0" w:color="auto"/>
                <w:right w:val="none" w:sz="0" w:space="0" w:color="auto"/>
              </w:divBdr>
              <w:divsChild>
                <w:div w:id="768819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6324340">
      <w:bodyDiv w:val="1"/>
      <w:marLeft w:val="0"/>
      <w:marRight w:val="0"/>
      <w:marTop w:val="0"/>
      <w:marBottom w:val="0"/>
      <w:divBdr>
        <w:top w:val="none" w:sz="0" w:space="0" w:color="auto"/>
        <w:left w:val="none" w:sz="0" w:space="0" w:color="auto"/>
        <w:bottom w:val="none" w:sz="0" w:space="0" w:color="auto"/>
        <w:right w:val="none" w:sz="0" w:space="0" w:color="auto"/>
      </w:divBdr>
    </w:div>
    <w:div w:id="1007249483">
      <w:bodyDiv w:val="1"/>
      <w:marLeft w:val="0"/>
      <w:marRight w:val="0"/>
      <w:marTop w:val="0"/>
      <w:marBottom w:val="0"/>
      <w:divBdr>
        <w:top w:val="none" w:sz="0" w:space="0" w:color="auto"/>
        <w:left w:val="none" w:sz="0" w:space="0" w:color="auto"/>
        <w:bottom w:val="none" w:sz="0" w:space="0" w:color="auto"/>
        <w:right w:val="none" w:sz="0" w:space="0" w:color="auto"/>
      </w:divBdr>
    </w:div>
    <w:div w:id="1031151647">
      <w:bodyDiv w:val="1"/>
      <w:marLeft w:val="0"/>
      <w:marRight w:val="0"/>
      <w:marTop w:val="0"/>
      <w:marBottom w:val="0"/>
      <w:divBdr>
        <w:top w:val="none" w:sz="0" w:space="0" w:color="auto"/>
        <w:left w:val="none" w:sz="0" w:space="0" w:color="auto"/>
        <w:bottom w:val="none" w:sz="0" w:space="0" w:color="auto"/>
        <w:right w:val="none" w:sz="0" w:space="0" w:color="auto"/>
      </w:divBdr>
    </w:div>
    <w:div w:id="1033962416">
      <w:bodyDiv w:val="1"/>
      <w:marLeft w:val="0"/>
      <w:marRight w:val="0"/>
      <w:marTop w:val="0"/>
      <w:marBottom w:val="0"/>
      <w:divBdr>
        <w:top w:val="none" w:sz="0" w:space="0" w:color="auto"/>
        <w:left w:val="none" w:sz="0" w:space="0" w:color="auto"/>
        <w:bottom w:val="none" w:sz="0" w:space="0" w:color="auto"/>
        <w:right w:val="none" w:sz="0" w:space="0" w:color="auto"/>
      </w:divBdr>
    </w:div>
    <w:div w:id="1034158462">
      <w:bodyDiv w:val="1"/>
      <w:marLeft w:val="0"/>
      <w:marRight w:val="0"/>
      <w:marTop w:val="0"/>
      <w:marBottom w:val="0"/>
      <w:divBdr>
        <w:top w:val="none" w:sz="0" w:space="0" w:color="auto"/>
        <w:left w:val="none" w:sz="0" w:space="0" w:color="auto"/>
        <w:bottom w:val="none" w:sz="0" w:space="0" w:color="auto"/>
        <w:right w:val="none" w:sz="0" w:space="0" w:color="auto"/>
      </w:divBdr>
    </w:div>
    <w:div w:id="1037703687">
      <w:bodyDiv w:val="1"/>
      <w:marLeft w:val="0"/>
      <w:marRight w:val="0"/>
      <w:marTop w:val="0"/>
      <w:marBottom w:val="0"/>
      <w:divBdr>
        <w:top w:val="none" w:sz="0" w:space="0" w:color="auto"/>
        <w:left w:val="none" w:sz="0" w:space="0" w:color="auto"/>
        <w:bottom w:val="none" w:sz="0" w:space="0" w:color="auto"/>
        <w:right w:val="none" w:sz="0" w:space="0" w:color="auto"/>
      </w:divBdr>
    </w:div>
    <w:div w:id="1039087745">
      <w:bodyDiv w:val="1"/>
      <w:marLeft w:val="0"/>
      <w:marRight w:val="0"/>
      <w:marTop w:val="0"/>
      <w:marBottom w:val="0"/>
      <w:divBdr>
        <w:top w:val="none" w:sz="0" w:space="0" w:color="auto"/>
        <w:left w:val="none" w:sz="0" w:space="0" w:color="auto"/>
        <w:bottom w:val="none" w:sz="0" w:space="0" w:color="auto"/>
        <w:right w:val="none" w:sz="0" w:space="0" w:color="auto"/>
      </w:divBdr>
    </w:div>
    <w:div w:id="1040126397">
      <w:bodyDiv w:val="1"/>
      <w:marLeft w:val="0"/>
      <w:marRight w:val="0"/>
      <w:marTop w:val="0"/>
      <w:marBottom w:val="0"/>
      <w:divBdr>
        <w:top w:val="none" w:sz="0" w:space="0" w:color="auto"/>
        <w:left w:val="none" w:sz="0" w:space="0" w:color="auto"/>
        <w:bottom w:val="none" w:sz="0" w:space="0" w:color="auto"/>
        <w:right w:val="none" w:sz="0" w:space="0" w:color="auto"/>
      </w:divBdr>
    </w:div>
    <w:div w:id="1048140483">
      <w:bodyDiv w:val="1"/>
      <w:marLeft w:val="0"/>
      <w:marRight w:val="0"/>
      <w:marTop w:val="0"/>
      <w:marBottom w:val="0"/>
      <w:divBdr>
        <w:top w:val="none" w:sz="0" w:space="0" w:color="auto"/>
        <w:left w:val="none" w:sz="0" w:space="0" w:color="auto"/>
        <w:bottom w:val="none" w:sz="0" w:space="0" w:color="auto"/>
        <w:right w:val="none" w:sz="0" w:space="0" w:color="auto"/>
      </w:divBdr>
    </w:div>
    <w:div w:id="1049263484">
      <w:bodyDiv w:val="1"/>
      <w:marLeft w:val="0"/>
      <w:marRight w:val="0"/>
      <w:marTop w:val="0"/>
      <w:marBottom w:val="0"/>
      <w:divBdr>
        <w:top w:val="none" w:sz="0" w:space="0" w:color="auto"/>
        <w:left w:val="none" w:sz="0" w:space="0" w:color="auto"/>
        <w:bottom w:val="none" w:sz="0" w:space="0" w:color="auto"/>
        <w:right w:val="none" w:sz="0" w:space="0" w:color="auto"/>
      </w:divBdr>
    </w:div>
    <w:div w:id="1056274887">
      <w:bodyDiv w:val="1"/>
      <w:marLeft w:val="0"/>
      <w:marRight w:val="0"/>
      <w:marTop w:val="0"/>
      <w:marBottom w:val="0"/>
      <w:divBdr>
        <w:top w:val="none" w:sz="0" w:space="0" w:color="auto"/>
        <w:left w:val="none" w:sz="0" w:space="0" w:color="auto"/>
        <w:bottom w:val="none" w:sz="0" w:space="0" w:color="auto"/>
        <w:right w:val="none" w:sz="0" w:space="0" w:color="auto"/>
      </w:divBdr>
    </w:div>
    <w:div w:id="1057313468">
      <w:bodyDiv w:val="1"/>
      <w:marLeft w:val="0"/>
      <w:marRight w:val="0"/>
      <w:marTop w:val="0"/>
      <w:marBottom w:val="0"/>
      <w:divBdr>
        <w:top w:val="none" w:sz="0" w:space="0" w:color="auto"/>
        <w:left w:val="none" w:sz="0" w:space="0" w:color="auto"/>
        <w:bottom w:val="none" w:sz="0" w:space="0" w:color="auto"/>
        <w:right w:val="none" w:sz="0" w:space="0" w:color="auto"/>
      </w:divBdr>
    </w:div>
    <w:div w:id="1071580604">
      <w:bodyDiv w:val="1"/>
      <w:marLeft w:val="0"/>
      <w:marRight w:val="0"/>
      <w:marTop w:val="0"/>
      <w:marBottom w:val="0"/>
      <w:divBdr>
        <w:top w:val="none" w:sz="0" w:space="0" w:color="auto"/>
        <w:left w:val="none" w:sz="0" w:space="0" w:color="auto"/>
        <w:bottom w:val="none" w:sz="0" w:space="0" w:color="auto"/>
        <w:right w:val="none" w:sz="0" w:space="0" w:color="auto"/>
      </w:divBdr>
    </w:div>
    <w:div w:id="1082608859">
      <w:bodyDiv w:val="1"/>
      <w:marLeft w:val="0"/>
      <w:marRight w:val="0"/>
      <w:marTop w:val="0"/>
      <w:marBottom w:val="0"/>
      <w:divBdr>
        <w:top w:val="none" w:sz="0" w:space="0" w:color="auto"/>
        <w:left w:val="none" w:sz="0" w:space="0" w:color="auto"/>
        <w:bottom w:val="none" w:sz="0" w:space="0" w:color="auto"/>
        <w:right w:val="none" w:sz="0" w:space="0" w:color="auto"/>
      </w:divBdr>
    </w:div>
    <w:div w:id="1102801179">
      <w:bodyDiv w:val="1"/>
      <w:marLeft w:val="0"/>
      <w:marRight w:val="0"/>
      <w:marTop w:val="0"/>
      <w:marBottom w:val="0"/>
      <w:divBdr>
        <w:top w:val="none" w:sz="0" w:space="0" w:color="auto"/>
        <w:left w:val="none" w:sz="0" w:space="0" w:color="auto"/>
        <w:bottom w:val="none" w:sz="0" w:space="0" w:color="auto"/>
        <w:right w:val="none" w:sz="0" w:space="0" w:color="auto"/>
      </w:divBdr>
    </w:div>
    <w:div w:id="1109398607">
      <w:bodyDiv w:val="1"/>
      <w:marLeft w:val="0"/>
      <w:marRight w:val="0"/>
      <w:marTop w:val="0"/>
      <w:marBottom w:val="0"/>
      <w:divBdr>
        <w:top w:val="none" w:sz="0" w:space="0" w:color="auto"/>
        <w:left w:val="none" w:sz="0" w:space="0" w:color="auto"/>
        <w:bottom w:val="none" w:sz="0" w:space="0" w:color="auto"/>
        <w:right w:val="none" w:sz="0" w:space="0" w:color="auto"/>
      </w:divBdr>
    </w:div>
    <w:div w:id="1117288540">
      <w:bodyDiv w:val="1"/>
      <w:marLeft w:val="0"/>
      <w:marRight w:val="0"/>
      <w:marTop w:val="0"/>
      <w:marBottom w:val="0"/>
      <w:divBdr>
        <w:top w:val="none" w:sz="0" w:space="0" w:color="auto"/>
        <w:left w:val="none" w:sz="0" w:space="0" w:color="auto"/>
        <w:bottom w:val="none" w:sz="0" w:space="0" w:color="auto"/>
        <w:right w:val="none" w:sz="0" w:space="0" w:color="auto"/>
      </w:divBdr>
    </w:div>
    <w:div w:id="1117485233">
      <w:bodyDiv w:val="1"/>
      <w:marLeft w:val="0"/>
      <w:marRight w:val="0"/>
      <w:marTop w:val="0"/>
      <w:marBottom w:val="0"/>
      <w:divBdr>
        <w:top w:val="none" w:sz="0" w:space="0" w:color="auto"/>
        <w:left w:val="none" w:sz="0" w:space="0" w:color="auto"/>
        <w:bottom w:val="none" w:sz="0" w:space="0" w:color="auto"/>
        <w:right w:val="none" w:sz="0" w:space="0" w:color="auto"/>
      </w:divBdr>
    </w:div>
    <w:div w:id="1118791616">
      <w:bodyDiv w:val="1"/>
      <w:marLeft w:val="0"/>
      <w:marRight w:val="0"/>
      <w:marTop w:val="0"/>
      <w:marBottom w:val="0"/>
      <w:divBdr>
        <w:top w:val="none" w:sz="0" w:space="0" w:color="auto"/>
        <w:left w:val="none" w:sz="0" w:space="0" w:color="auto"/>
        <w:bottom w:val="none" w:sz="0" w:space="0" w:color="auto"/>
        <w:right w:val="none" w:sz="0" w:space="0" w:color="auto"/>
      </w:divBdr>
    </w:div>
    <w:div w:id="1122185500">
      <w:bodyDiv w:val="1"/>
      <w:marLeft w:val="0"/>
      <w:marRight w:val="0"/>
      <w:marTop w:val="0"/>
      <w:marBottom w:val="0"/>
      <w:divBdr>
        <w:top w:val="none" w:sz="0" w:space="0" w:color="auto"/>
        <w:left w:val="none" w:sz="0" w:space="0" w:color="auto"/>
        <w:bottom w:val="none" w:sz="0" w:space="0" w:color="auto"/>
        <w:right w:val="none" w:sz="0" w:space="0" w:color="auto"/>
      </w:divBdr>
    </w:div>
    <w:div w:id="1132941394">
      <w:bodyDiv w:val="1"/>
      <w:marLeft w:val="0"/>
      <w:marRight w:val="0"/>
      <w:marTop w:val="0"/>
      <w:marBottom w:val="0"/>
      <w:divBdr>
        <w:top w:val="none" w:sz="0" w:space="0" w:color="auto"/>
        <w:left w:val="none" w:sz="0" w:space="0" w:color="auto"/>
        <w:bottom w:val="none" w:sz="0" w:space="0" w:color="auto"/>
        <w:right w:val="none" w:sz="0" w:space="0" w:color="auto"/>
      </w:divBdr>
    </w:div>
    <w:div w:id="1133792079">
      <w:bodyDiv w:val="1"/>
      <w:marLeft w:val="0"/>
      <w:marRight w:val="0"/>
      <w:marTop w:val="0"/>
      <w:marBottom w:val="0"/>
      <w:divBdr>
        <w:top w:val="none" w:sz="0" w:space="0" w:color="auto"/>
        <w:left w:val="none" w:sz="0" w:space="0" w:color="auto"/>
        <w:bottom w:val="none" w:sz="0" w:space="0" w:color="auto"/>
        <w:right w:val="none" w:sz="0" w:space="0" w:color="auto"/>
      </w:divBdr>
    </w:div>
    <w:div w:id="1135367589">
      <w:bodyDiv w:val="1"/>
      <w:marLeft w:val="0"/>
      <w:marRight w:val="0"/>
      <w:marTop w:val="0"/>
      <w:marBottom w:val="0"/>
      <w:divBdr>
        <w:top w:val="none" w:sz="0" w:space="0" w:color="auto"/>
        <w:left w:val="none" w:sz="0" w:space="0" w:color="auto"/>
        <w:bottom w:val="none" w:sz="0" w:space="0" w:color="auto"/>
        <w:right w:val="none" w:sz="0" w:space="0" w:color="auto"/>
      </w:divBdr>
    </w:div>
    <w:div w:id="1136950623">
      <w:bodyDiv w:val="1"/>
      <w:marLeft w:val="0"/>
      <w:marRight w:val="0"/>
      <w:marTop w:val="0"/>
      <w:marBottom w:val="0"/>
      <w:divBdr>
        <w:top w:val="none" w:sz="0" w:space="0" w:color="auto"/>
        <w:left w:val="none" w:sz="0" w:space="0" w:color="auto"/>
        <w:bottom w:val="none" w:sz="0" w:space="0" w:color="auto"/>
        <w:right w:val="none" w:sz="0" w:space="0" w:color="auto"/>
      </w:divBdr>
    </w:div>
    <w:div w:id="1137648195">
      <w:bodyDiv w:val="1"/>
      <w:marLeft w:val="0"/>
      <w:marRight w:val="0"/>
      <w:marTop w:val="0"/>
      <w:marBottom w:val="0"/>
      <w:divBdr>
        <w:top w:val="none" w:sz="0" w:space="0" w:color="auto"/>
        <w:left w:val="none" w:sz="0" w:space="0" w:color="auto"/>
        <w:bottom w:val="none" w:sz="0" w:space="0" w:color="auto"/>
        <w:right w:val="none" w:sz="0" w:space="0" w:color="auto"/>
      </w:divBdr>
      <w:divsChild>
        <w:div w:id="958949458">
          <w:marLeft w:val="0"/>
          <w:marRight w:val="0"/>
          <w:marTop w:val="0"/>
          <w:marBottom w:val="0"/>
          <w:divBdr>
            <w:top w:val="none" w:sz="0" w:space="0" w:color="auto"/>
            <w:left w:val="none" w:sz="0" w:space="0" w:color="auto"/>
            <w:bottom w:val="none" w:sz="0" w:space="0" w:color="auto"/>
            <w:right w:val="none" w:sz="0" w:space="0" w:color="auto"/>
          </w:divBdr>
          <w:divsChild>
            <w:div w:id="492915125">
              <w:marLeft w:val="0"/>
              <w:marRight w:val="0"/>
              <w:marTop w:val="0"/>
              <w:marBottom w:val="0"/>
              <w:divBdr>
                <w:top w:val="none" w:sz="0" w:space="0" w:color="auto"/>
                <w:left w:val="none" w:sz="0" w:space="0" w:color="auto"/>
                <w:bottom w:val="none" w:sz="0" w:space="0" w:color="auto"/>
                <w:right w:val="none" w:sz="0" w:space="0" w:color="auto"/>
              </w:divBdr>
              <w:divsChild>
                <w:div w:id="744572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7840887">
      <w:bodyDiv w:val="1"/>
      <w:marLeft w:val="0"/>
      <w:marRight w:val="0"/>
      <w:marTop w:val="0"/>
      <w:marBottom w:val="0"/>
      <w:divBdr>
        <w:top w:val="none" w:sz="0" w:space="0" w:color="auto"/>
        <w:left w:val="none" w:sz="0" w:space="0" w:color="auto"/>
        <w:bottom w:val="none" w:sz="0" w:space="0" w:color="auto"/>
        <w:right w:val="none" w:sz="0" w:space="0" w:color="auto"/>
      </w:divBdr>
    </w:div>
    <w:div w:id="1141771440">
      <w:bodyDiv w:val="1"/>
      <w:marLeft w:val="0"/>
      <w:marRight w:val="0"/>
      <w:marTop w:val="0"/>
      <w:marBottom w:val="0"/>
      <w:divBdr>
        <w:top w:val="none" w:sz="0" w:space="0" w:color="auto"/>
        <w:left w:val="none" w:sz="0" w:space="0" w:color="auto"/>
        <w:bottom w:val="none" w:sz="0" w:space="0" w:color="auto"/>
        <w:right w:val="none" w:sz="0" w:space="0" w:color="auto"/>
      </w:divBdr>
    </w:div>
    <w:div w:id="1143931144">
      <w:bodyDiv w:val="1"/>
      <w:marLeft w:val="0"/>
      <w:marRight w:val="0"/>
      <w:marTop w:val="0"/>
      <w:marBottom w:val="0"/>
      <w:divBdr>
        <w:top w:val="none" w:sz="0" w:space="0" w:color="auto"/>
        <w:left w:val="none" w:sz="0" w:space="0" w:color="auto"/>
        <w:bottom w:val="none" w:sz="0" w:space="0" w:color="auto"/>
        <w:right w:val="none" w:sz="0" w:space="0" w:color="auto"/>
      </w:divBdr>
    </w:div>
    <w:div w:id="1156727959">
      <w:bodyDiv w:val="1"/>
      <w:marLeft w:val="0"/>
      <w:marRight w:val="0"/>
      <w:marTop w:val="0"/>
      <w:marBottom w:val="0"/>
      <w:divBdr>
        <w:top w:val="none" w:sz="0" w:space="0" w:color="auto"/>
        <w:left w:val="none" w:sz="0" w:space="0" w:color="auto"/>
        <w:bottom w:val="none" w:sz="0" w:space="0" w:color="auto"/>
        <w:right w:val="none" w:sz="0" w:space="0" w:color="auto"/>
      </w:divBdr>
    </w:div>
    <w:div w:id="1157306863">
      <w:bodyDiv w:val="1"/>
      <w:marLeft w:val="0"/>
      <w:marRight w:val="0"/>
      <w:marTop w:val="0"/>
      <w:marBottom w:val="0"/>
      <w:divBdr>
        <w:top w:val="none" w:sz="0" w:space="0" w:color="auto"/>
        <w:left w:val="none" w:sz="0" w:space="0" w:color="auto"/>
        <w:bottom w:val="none" w:sz="0" w:space="0" w:color="auto"/>
        <w:right w:val="none" w:sz="0" w:space="0" w:color="auto"/>
      </w:divBdr>
    </w:div>
    <w:div w:id="1165777350">
      <w:bodyDiv w:val="1"/>
      <w:marLeft w:val="0"/>
      <w:marRight w:val="0"/>
      <w:marTop w:val="0"/>
      <w:marBottom w:val="0"/>
      <w:divBdr>
        <w:top w:val="none" w:sz="0" w:space="0" w:color="auto"/>
        <w:left w:val="none" w:sz="0" w:space="0" w:color="auto"/>
        <w:bottom w:val="none" w:sz="0" w:space="0" w:color="auto"/>
        <w:right w:val="none" w:sz="0" w:space="0" w:color="auto"/>
      </w:divBdr>
    </w:div>
    <w:div w:id="1177769947">
      <w:bodyDiv w:val="1"/>
      <w:marLeft w:val="0"/>
      <w:marRight w:val="0"/>
      <w:marTop w:val="0"/>
      <w:marBottom w:val="0"/>
      <w:divBdr>
        <w:top w:val="none" w:sz="0" w:space="0" w:color="auto"/>
        <w:left w:val="none" w:sz="0" w:space="0" w:color="auto"/>
        <w:bottom w:val="none" w:sz="0" w:space="0" w:color="auto"/>
        <w:right w:val="none" w:sz="0" w:space="0" w:color="auto"/>
      </w:divBdr>
    </w:div>
    <w:div w:id="1191146483">
      <w:bodyDiv w:val="1"/>
      <w:marLeft w:val="0"/>
      <w:marRight w:val="0"/>
      <w:marTop w:val="0"/>
      <w:marBottom w:val="0"/>
      <w:divBdr>
        <w:top w:val="none" w:sz="0" w:space="0" w:color="auto"/>
        <w:left w:val="none" w:sz="0" w:space="0" w:color="auto"/>
        <w:bottom w:val="none" w:sz="0" w:space="0" w:color="auto"/>
        <w:right w:val="none" w:sz="0" w:space="0" w:color="auto"/>
      </w:divBdr>
    </w:div>
    <w:div w:id="1193686774">
      <w:bodyDiv w:val="1"/>
      <w:marLeft w:val="0"/>
      <w:marRight w:val="0"/>
      <w:marTop w:val="0"/>
      <w:marBottom w:val="0"/>
      <w:divBdr>
        <w:top w:val="none" w:sz="0" w:space="0" w:color="auto"/>
        <w:left w:val="none" w:sz="0" w:space="0" w:color="auto"/>
        <w:bottom w:val="none" w:sz="0" w:space="0" w:color="auto"/>
        <w:right w:val="none" w:sz="0" w:space="0" w:color="auto"/>
      </w:divBdr>
    </w:div>
    <w:div w:id="1198353669">
      <w:bodyDiv w:val="1"/>
      <w:marLeft w:val="0"/>
      <w:marRight w:val="0"/>
      <w:marTop w:val="0"/>
      <w:marBottom w:val="0"/>
      <w:divBdr>
        <w:top w:val="none" w:sz="0" w:space="0" w:color="auto"/>
        <w:left w:val="none" w:sz="0" w:space="0" w:color="auto"/>
        <w:bottom w:val="none" w:sz="0" w:space="0" w:color="auto"/>
        <w:right w:val="none" w:sz="0" w:space="0" w:color="auto"/>
      </w:divBdr>
    </w:div>
    <w:div w:id="1200555473">
      <w:bodyDiv w:val="1"/>
      <w:marLeft w:val="0"/>
      <w:marRight w:val="0"/>
      <w:marTop w:val="0"/>
      <w:marBottom w:val="0"/>
      <w:divBdr>
        <w:top w:val="none" w:sz="0" w:space="0" w:color="auto"/>
        <w:left w:val="none" w:sz="0" w:space="0" w:color="auto"/>
        <w:bottom w:val="none" w:sz="0" w:space="0" w:color="auto"/>
        <w:right w:val="none" w:sz="0" w:space="0" w:color="auto"/>
      </w:divBdr>
    </w:div>
    <w:div w:id="1213732512">
      <w:bodyDiv w:val="1"/>
      <w:marLeft w:val="0"/>
      <w:marRight w:val="0"/>
      <w:marTop w:val="0"/>
      <w:marBottom w:val="0"/>
      <w:divBdr>
        <w:top w:val="none" w:sz="0" w:space="0" w:color="auto"/>
        <w:left w:val="none" w:sz="0" w:space="0" w:color="auto"/>
        <w:bottom w:val="none" w:sz="0" w:space="0" w:color="auto"/>
        <w:right w:val="none" w:sz="0" w:space="0" w:color="auto"/>
      </w:divBdr>
      <w:divsChild>
        <w:div w:id="1238176033">
          <w:marLeft w:val="0"/>
          <w:marRight w:val="0"/>
          <w:marTop w:val="0"/>
          <w:marBottom w:val="82"/>
          <w:divBdr>
            <w:top w:val="none" w:sz="0" w:space="0" w:color="auto"/>
            <w:left w:val="none" w:sz="0" w:space="0" w:color="auto"/>
            <w:bottom w:val="none" w:sz="0" w:space="0" w:color="auto"/>
            <w:right w:val="none" w:sz="0" w:space="0" w:color="auto"/>
          </w:divBdr>
        </w:div>
        <w:div w:id="1023020081">
          <w:marLeft w:val="0"/>
          <w:marRight w:val="0"/>
          <w:marTop w:val="0"/>
          <w:marBottom w:val="82"/>
          <w:divBdr>
            <w:top w:val="none" w:sz="0" w:space="0" w:color="auto"/>
            <w:left w:val="none" w:sz="0" w:space="0" w:color="auto"/>
            <w:bottom w:val="none" w:sz="0" w:space="0" w:color="auto"/>
            <w:right w:val="none" w:sz="0" w:space="0" w:color="auto"/>
          </w:divBdr>
        </w:div>
      </w:divsChild>
    </w:div>
    <w:div w:id="1215893829">
      <w:bodyDiv w:val="1"/>
      <w:marLeft w:val="0"/>
      <w:marRight w:val="0"/>
      <w:marTop w:val="0"/>
      <w:marBottom w:val="0"/>
      <w:divBdr>
        <w:top w:val="none" w:sz="0" w:space="0" w:color="auto"/>
        <w:left w:val="none" w:sz="0" w:space="0" w:color="auto"/>
        <w:bottom w:val="none" w:sz="0" w:space="0" w:color="auto"/>
        <w:right w:val="none" w:sz="0" w:space="0" w:color="auto"/>
      </w:divBdr>
    </w:div>
    <w:div w:id="1223560307">
      <w:bodyDiv w:val="1"/>
      <w:marLeft w:val="0"/>
      <w:marRight w:val="0"/>
      <w:marTop w:val="0"/>
      <w:marBottom w:val="0"/>
      <w:divBdr>
        <w:top w:val="none" w:sz="0" w:space="0" w:color="auto"/>
        <w:left w:val="none" w:sz="0" w:space="0" w:color="auto"/>
        <w:bottom w:val="none" w:sz="0" w:space="0" w:color="auto"/>
        <w:right w:val="none" w:sz="0" w:space="0" w:color="auto"/>
      </w:divBdr>
    </w:div>
    <w:div w:id="1228146849">
      <w:bodyDiv w:val="1"/>
      <w:marLeft w:val="0"/>
      <w:marRight w:val="0"/>
      <w:marTop w:val="0"/>
      <w:marBottom w:val="0"/>
      <w:divBdr>
        <w:top w:val="none" w:sz="0" w:space="0" w:color="auto"/>
        <w:left w:val="none" w:sz="0" w:space="0" w:color="auto"/>
        <w:bottom w:val="none" w:sz="0" w:space="0" w:color="auto"/>
        <w:right w:val="none" w:sz="0" w:space="0" w:color="auto"/>
      </w:divBdr>
    </w:div>
    <w:div w:id="1229078025">
      <w:bodyDiv w:val="1"/>
      <w:marLeft w:val="0"/>
      <w:marRight w:val="0"/>
      <w:marTop w:val="0"/>
      <w:marBottom w:val="0"/>
      <w:divBdr>
        <w:top w:val="none" w:sz="0" w:space="0" w:color="auto"/>
        <w:left w:val="none" w:sz="0" w:space="0" w:color="auto"/>
        <w:bottom w:val="none" w:sz="0" w:space="0" w:color="auto"/>
        <w:right w:val="none" w:sz="0" w:space="0" w:color="auto"/>
      </w:divBdr>
    </w:div>
    <w:div w:id="1234241794">
      <w:bodyDiv w:val="1"/>
      <w:marLeft w:val="0"/>
      <w:marRight w:val="0"/>
      <w:marTop w:val="0"/>
      <w:marBottom w:val="0"/>
      <w:divBdr>
        <w:top w:val="none" w:sz="0" w:space="0" w:color="auto"/>
        <w:left w:val="none" w:sz="0" w:space="0" w:color="auto"/>
        <w:bottom w:val="none" w:sz="0" w:space="0" w:color="auto"/>
        <w:right w:val="none" w:sz="0" w:space="0" w:color="auto"/>
      </w:divBdr>
    </w:div>
    <w:div w:id="1248226754">
      <w:bodyDiv w:val="1"/>
      <w:marLeft w:val="0"/>
      <w:marRight w:val="0"/>
      <w:marTop w:val="0"/>
      <w:marBottom w:val="0"/>
      <w:divBdr>
        <w:top w:val="none" w:sz="0" w:space="0" w:color="auto"/>
        <w:left w:val="none" w:sz="0" w:space="0" w:color="auto"/>
        <w:bottom w:val="none" w:sz="0" w:space="0" w:color="auto"/>
        <w:right w:val="none" w:sz="0" w:space="0" w:color="auto"/>
      </w:divBdr>
    </w:div>
    <w:div w:id="1252005197">
      <w:bodyDiv w:val="1"/>
      <w:marLeft w:val="0"/>
      <w:marRight w:val="0"/>
      <w:marTop w:val="0"/>
      <w:marBottom w:val="0"/>
      <w:divBdr>
        <w:top w:val="none" w:sz="0" w:space="0" w:color="auto"/>
        <w:left w:val="none" w:sz="0" w:space="0" w:color="auto"/>
        <w:bottom w:val="none" w:sz="0" w:space="0" w:color="auto"/>
        <w:right w:val="none" w:sz="0" w:space="0" w:color="auto"/>
      </w:divBdr>
    </w:div>
    <w:div w:id="1265919796">
      <w:bodyDiv w:val="1"/>
      <w:marLeft w:val="0"/>
      <w:marRight w:val="0"/>
      <w:marTop w:val="0"/>
      <w:marBottom w:val="0"/>
      <w:divBdr>
        <w:top w:val="none" w:sz="0" w:space="0" w:color="auto"/>
        <w:left w:val="none" w:sz="0" w:space="0" w:color="auto"/>
        <w:bottom w:val="none" w:sz="0" w:space="0" w:color="auto"/>
        <w:right w:val="none" w:sz="0" w:space="0" w:color="auto"/>
      </w:divBdr>
    </w:div>
    <w:div w:id="1268545162">
      <w:bodyDiv w:val="1"/>
      <w:marLeft w:val="0"/>
      <w:marRight w:val="0"/>
      <w:marTop w:val="0"/>
      <w:marBottom w:val="0"/>
      <w:divBdr>
        <w:top w:val="none" w:sz="0" w:space="0" w:color="auto"/>
        <w:left w:val="none" w:sz="0" w:space="0" w:color="auto"/>
        <w:bottom w:val="none" w:sz="0" w:space="0" w:color="auto"/>
        <w:right w:val="none" w:sz="0" w:space="0" w:color="auto"/>
      </w:divBdr>
    </w:div>
    <w:div w:id="1272787373">
      <w:bodyDiv w:val="1"/>
      <w:marLeft w:val="0"/>
      <w:marRight w:val="0"/>
      <w:marTop w:val="0"/>
      <w:marBottom w:val="0"/>
      <w:divBdr>
        <w:top w:val="none" w:sz="0" w:space="0" w:color="auto"/>
        <w:left w:val="none" w:sz="0" w:space="0" w:color="auto"/>
        <w:bottom w:val="none" w:sz="0" w:space="0" w:color="auto"/>
        <w:right w:val="none" w:sz="0" w:space="0" w:color="auto"/>
      </w:divBdr>
    </w:div>
    <w:div w:id="1276643112">
      <w:bodyDiv w:val="1"/>
      <w:marLeft w:val="0"/>
      <w:marRight w:val="0"/>
      <w:marTop w:val="0"/>
      <w:marBottom w:val="0"/>
      <w:divBdr>
        <w:top w:val="none" w:sz="0" w:space="0" w:color="auto"/>
        <w:left w:val="none" w:sz="0" w:space="0" w:color="auto"/>
        <w:bottom w:val="none" w:sz="0" w:space="0" w:color="auto"/>
        <w:right w:val="none" w:sz="0" w:space="0" w:color="auto"/>
      </w:divBdr>
      <w:divsChild>
        <w:div w:id="582447401">
          <w:marLeft w:val="0"/>
          <w:marRight w:val="0"/>
          <w:marTop w:val="0"/>
          <w:marBottom w:val="0"/>
          <w:divBdr>
            <w:top w:val="none" w:sz="0" w:space="0" w:color="auto"/>
            <w:left w:val="none" w:sz="0" w:space="0" w:color="auto"/>
            <w:bottom w:val="none" w:sz="0" w:space="0" w:color="auto"/>
            <w:right w:val="none" w:sz="0" w:space="0" w:color="auto"/>
          </w:divBdr>
          <w:divsChild>
            <w:div w:id="1630624678">
              <w:marLeft w:val="0"/>
              <w:marRight w:val="0"/>
              <w:marTop w:val="0"/>
              <w:marBottom w:val="0"/>
              <w:divBdr>
                <w:top w:val="none" w:sz="0" w:space="0" w:color="auto"/>
                <w:left w:val="none" w:sz="0" w:space="0" w:color="auto"/>
                <w:bottom w:val="none" w:sz="0" w:space="0" w:color="auto"/>
                <w:right w:val="none" w:sz="0" w:space="0" w:color="auto"/>
              </w:divBdr>
              <w:divsChild>
                <w:div w:id="168493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8224745">
      <w:bodyDiv w:val="1"/>
      <w:marLeft w:val="0"/>
      <w:marRight w:val="0"/>
      <w:marTop w:val="0"/>
      <w:marBottom w:val="0"/>
      <w:divBdr>
        <w:top w:val="none" w:sz="0" w:space="0" w:color="auto"/>
        <w:left w:val="none" w:sz="0" w:space="0" w:color="auto"/>
        <w:bottom w:val="none" w:sz="0" w:space="0" w:color="auto"/>
        <w:right w:val="none" w:sz="0" w:space="0" w:color="auto"/>
      </w:divBdr>
    </w:div>
    <w:div w:id="1302225913">
      <w:bodyDiv w:val="1"/>
      <w:marLeft w:val="0"/>
      <w:marRight w:val="0"/>
      <w:marTop w:val="0"/>
      <w:marBottom w:val="0"/>
      <w:divBdr>
        <w:top w:val="none" w:sz="0" w:space="0" w:color="auto"/>
        <w:left w:val="none" w:sz="0" w:space="0" w:color="auto"/>
        <w:bottom w:val="none" w:sz="0" w:space="0" w:color="auto"/>
        <w:right w:val="none" w:sz="0" w:space="0" w:color="auto"/>
      </w:divBdr>
    </w:div>
    <w:div w:id="1306857311">
      <w:bodyDiv w:val="1"/>
      <w:marLeft w:val="0"/>
      <w:marRight w:val="0"/>
      <w:marTop w:val="0"/>
      <w:marBottom w:val="0"/>
      <w:divBdr>
        <w:top w:val="none" w:sz="0" w:space="0" w:color="auto"/>
        <w:left w:val="none" w:sz="0" w:space="0" w:color="auto"/>
        <w:bottom w:val="none" w:sz="0" w:space="0" w:color="auto"/>
        <w:right w:val="none" w:sz="0" w:space="0" w:color="auto"/>
      </w:divBdr>
    </w:div>
    <w:div w:id="1307735044">
      <w:bodyDiv w:val="1"/>
      <w:marLeft w:val="0"/>
      <w:marRight w:val="0"/>
      <w:marTop w:val="0"/>
      <w:marBottom w:val="0"/>
      <w:divBdr>
        <w:top w:val="none" w:sz="0" w:space="0" w:color="auto"/>
        <w:left w:val="none" w:sz="0" w:space="0" w:color="auto"/>
        <w:bottom w:val="none" w:sz="0" w:space="0" w:color="auto"/>
        <w:right w:val="none" w:sz="0" w:space="0" w:color="auto"/>
      </w:divBdr>
    </w:div>
    <w:div w:id="1310014059">
      <w:bodyDiv w:val="1"/>
      <w:marLeft w:val="0"/>
      <w:marRight w:val="0"/>
      <w:marTop w:val="0"/>
      <w:marBottom w:val="0"/>
      <w:divBdr>
        <w:top w:val="none" w:sz="0" w:space="0" w:color="auto"/>
        <w:left w:val="none" w:sz="0" w:space="0" w:color="auto"/>
        <w:bottom w:val="none" w:sz="0" w:space="0" w:color="auto"/>
        <w:right w:val="none" w:sz="0" w:space="0" w:color="auto"/>
      </w:divBdr>
    </w:div>
    <w:div w:id="1311179860">
      <w:bodyDiv w:val="1"/>
      <w:marLeft w:val="0"/>
      <w:marRight w:val="0"/>
      <w:marTop w:val="0"/>
      <w:marBottom w:val="0"/>
      <w:divBdr>
        <w:top w:val="none" w:sz="0" w:space="0" w:color="auto"/>
        <w:left w:val="none" w:sz="0" w:space="0" w:color="auto"/>
        <w:bottom w:val="none" w:sz="0" w:space="0" w:color="auto"/>
        <w:right w:val="none" w:sz="0" w:space="0" w:color="auto"/>
      </w:divBdr>
    </w:div>
    <w:div w:id="1324119802">
      <w:bodyDiv w:val="1"/>
      <w:marLeft w:val="0"/>
      <w:marRight w:val="0"/>
      <w:marTop w:val="0"/>
      <w:marBottom w:val="0"/>
      <w:divBdr>
        <w:top w:val="none" w:sz="0" w:space="0" w:color="auto"/>
        <w:left w:val="none" w:sz="0" w:space="0" w:color="auto"/>
        <w:bottom w:val="none" w:sz="0" w:space="0" w:color="auto"/>
        <w:right w:val="none" w:sz="0" w:space="0" w:color="auto"/>
      </w:divBdr>
    </w:div>
    <w:div w:id="1324553093">
      <w:bodyDiv w:val="1"/>
      <w:marLeft w:val="0"/>
      <w:marRight w:val="0"/>
      <w:marTop w:val="0"/>
      <w:marBottom w:val="0"/>
      <w:divBdr>
        <w:top w:val="none" w:sz="0" w:space="0" w:color="auto"/>
        <w:left w:val="none" w:sz="0" w:space="0" w:color="auto"/>
        <w:bottom w:val="none" w:sz="0" w:space="0" w:color="auto"/>
        <w:right w:val="none" w:sz="0" w:space="0" w:color="auto"/>
      </w:divBdr>
    </w:div>
    <w:div w:id="1334186159">
      <w:bodyDiv w:val="1"/>
      <w:marLeft w:val="0"/>
      <w:marRight w:val="0"/>
      <w:marTop w:val="0"/>
      <w:marBottom w:val="0"/>
      <w:divBdr>
        <w:top w:val="none" w:sz="0" w:space="0" w:color="auto"/>
        <w:left w:val="none" w:sz="0" w:space="0" w:color="auto"/>
        <w:bottom w:val="none" w:sz="0" w:space="0" w:color="auto"/>
        <w:right w:val="none" w:sz="0" w:space="0" w:color="auto"/>
      </w:divBdr>
    </w:div>
    <w:div w:id="1338073377">
      <w:bodyDiv w:val="1"/>
      <w:marLeft w:val="0"/>
      <w:marRight w:val="0"/>
      <w:marTop w:val="0"/>
      <w:marBottom w:val="0"/>
      <w:divBdr>
        <w:top w:val="none" w:sz="0" w:space="0" w:color="auto"/>
        <w:left w:val="none" w:sz="0" w:space="0" w:color="auto"/>
        <w:bottom w:val="none" w:sz="0" w:space="0" w:color="auto"/>
        <w:right w:val="none" w:sz="0" w:space="0" w:color="auto"/>
      </w:divBdr>
    </w:div>
    <w:div w:id="1342202829">
      <w:bodyDiv w:val="1"/>
      <w:marLeft w:val="0"/>
      <w:marRight w:val="0"/>
      <w:marTop w:val="0"/>
      <w:marBottom w:val="0"/>
      <w:divBdr>
        <w:top w:val="none" w:sz="0" w:space="0" w:color="auto"/>
        <w:left w:val="none" w:sz="0" w:space="0" w:color="auto"/>
        <w:bottom w:val="none" w:sz="0" w:space="0" w:color="auto"/>
        <w:right w:val="none" w:sz="0" w:space="0" w:color="auto"/>
      </w:divBdr>
    </w:div>
    <w:div w:id="1344629344">
      <w:bodyDiv w:val="1"/>
      <w:marLeft w:val="0"/>
      <w:marRight w:val="0"/>
      <w:marTop w:val="0"/>
      <w:marBottom w:val="0"/>
      <w:divBdr>
        <w:top w:val="none" w:sz="0" w:space="0" w:color="auto"/>
        <w:left w:val="none" w:sz="0" w:space="0" w:color="auto"/>
        <w:bottom w:val="none" w:sz="0" w:space="0" w:color="auto"/>
        <w:right w:val="none" w:sz="0" w:space="0" w:color="auto"/>
      </w:divBdr>
    </w:div>
    <w:div w:id="1352219626">
      <w:bodyDiv w:val="1"/>
      <w:marLeft w:val="0"/>
      <w:marRight w:val="0"/>
      <w:marTop w:val="0"/>
      <w:marBottom w:val="0"/>
      <w:divBdr>
        <w:top w:val="none" w:sz="0" w:space="0" w:color="auto"/>
        <w:left w:val="none" w:sz="0" w:space="0" w:color="auto"/>
        <w:bottom w:val="none" w:sz="0" w:space="0" w:color="auto"/>
        <w:right w:val="none" w:sz="0" w:space="0" w:color="auto"/>
      </w:divBdr>
    </w:div>
    <w:div w:id="1355109750">
      <w:bodyDiv w:val="1"/>
      <w:marLeft w:val="0"/>
      <w:marRight w:val="0"/>
      <w:marTop w:val="0"/>
      <w:marBottom w:val="0"/>
      <w:divBdr>
        <w:top w:val="none" w:sz="0" w:space="0" w:color="auto"/>
        <w:left w:val="none" w:sz="0" w:space="0" w:color="auto"/>
        <w:bottom w:val="none" w:sz="0" w:space="0" w:color="auto"/>
        <w:right w:val="none" w:sz="0" w:space="0" w:color="auto"/>
      </w:divBdr>
    </w:div>
    <w:div w:id="1358041904">
      <w:bodyDiv w:val="1"/>
      <w:marLeft w:val="0"/>
      <w:marRight w:val="0"/>
      <w:marTop w:val="0"/>
      <w:marBottom w:val="0"/>
      <w:divBdr>
        <w:top w:val="none" w:sz="0" w:space="0" w:color="auto"/>
        <w:left w:val="none" w:sz="0" w:space="0" w:color="auto"/>
        <w:bottom w:val="none" w:sz="0" w:space="0" w:color="auto"/>
        <w:right w:val="none" w:sz="0" w:space="0" w:color="auto"/>
      </w:divBdr>
    </w:div>
    <w:div w:id="1365443224">
      <w:bodyDiv w:val="1"/>
      <w:marLeft w:val="0"/>
      <w:marRight w:val="0"/>
      <w:marTop w:val="0"/>
      <w:marBottom w:val="0"/>
      <w:divBdr>
        <w:top w:val="none" w:sz="0" w:space="0" w:color="auto"/>
        <w:left w:val="none" w:sz="0" w:space="0" w:color="auto"/>
        <w:bottom w:val="none" w:sz="0" w:space="0" w:color="auto"/>
        <w:right w:val="none" w:sz="0" w:space="0" w:color="auto"/>
      </w:divBdr>
    </w:div>
    <w:div w:id="1391227037">
      <w:bodyDiv w:val="1"/>
      <w:marLeft w:val="0"/>
      <w:marRight w:val="0"/>
      <w:marTop w:val="0"/>
      <w:marBottom w:val="0"/>
      <w:divBdr>
        <w:top w:val="none" w:sz="0" w:space="0" w:color="auto"/>
        <w:left w:val="none" w:sz="0" w:space="0" w:color="auto"/>
        <w:bottom w:val="none" w:sz="0" w:space="0" w:color="auto"/>
        <w:right w:val="none" w:sz="0" w:space="0" w:color="auto"/>
      </w:divBdr>
    </w:div>
    <w:div w:id="1392386508">
      <w:bodyDiv w:val="1"/>
      <w:marLeft w:val="0"/>
      <w:marRight w:val="0"/>
      <w:marTop w:val="0"/>
      <w:marBottom w:val="0"/>
      <w:divBdr>
        <w:top w:val="none" w:sz="0" w:space="0" w:color="auto"/>
        <w:left w:val="none" w:sz="0" w:space="0" w:color="auto"/>
        <w:bottom w:val="none" w:sz="0" w:space="0" w:color="auto"/>
        <w:right w:val="none" w:sz="0" w:space="0" w:color="auto"/>
      </w:divBdr>
    </w:div>
    <w:div w:id="1407729926">
      <w:bodyDiv w:val="1"/>
      <w:marLeft w:val="0"/>
      <w:marRight w:val="0"/>
      <w:marTop w:val="0"/>
      <w:marBottom w:val="0"/>
      <w:divBdr>
        <w:top w:val="none" w:sz="0" w:space="0" w:color="auto"/>
        <w:left w:val="none" w:sz="0" w:space="0" w:color="auto"/>
        <w:bottom w:val="none" w:sz="0" w:space="0" w:color="auto"/>
        <w:right w:val="none" w:sz="0" w:space="0" w:color="auto"/>
      </w:divBdr>
    </w:div>
    <w:div w:id="1408841351">
      <w:bodyDiv w:val="1"/>
      <w:marLeft w:val="0"/>
      <w:marRight w:val="0"/>
      <w:marTop w:val="0"/>
      <w:marBottom w:val="0"/>
      <w:divBdr>
        <w:top w:val="none" w:sz="0" w:space="0" w:color="auto"/>
        <w:left w:val="none" w:sz="0" w:space="0" w:color="auto"/>
        <w:bottom w:val="none" w:sz="0" w:space="0" w:color="auto"/>
        <w:right w:val="none" w:sz="0" w:space="0" w:color="auto"/>
      </w:divBdr>
    </w:div>
    <w:div w:id="1413429714">
      <w:bodyDiv w:val="1"/>
      <w:marLeft w:val="0"/>
      <w:marRight w:val="0"/>
      <w:marTop w:val="0"/>
      <w:marBottom w:val="0"/>
      <w:divBdr>
        <w:top w:val="none" w:sz="0" w:space="0" w:color="auto"/>
        <w:left w:val="none" w:sz="0" w:space="0" w:color="auto"/>
        <w:bottom w:val="none" w:sz="0" w:space="0" w:color="auto"/>
        <w:right w:val="none" w:sz="0" w:space="0" w:color="auto"/>
      </w:divBdr>
    </w:div>
    <w:div w:id="1426918906">
      <w:bodyDiv w:val="1"/>
      <w:marLeft w:val="0"/>
      <w:marRight w:val="0"/>
      <w:marTop w:val="0"/>
      <w:marBottom w:val="0"/>
      <w:divBdr>
        <w:top w:val="none" w:sz="0" w:space="0" w:color="auto"/>
        <w:left w:val="none" w:sz="0" w:space="0" w:color="auto"/>
        <w:bottom w:val="none" w:sz="0" w:space="0" w:color="auto"/>
        <w:right w:val="none" w:sz="0" w:space="0" w:color="auto"/>
      </w:divBdr>
    </w:div>
    <w:div w:id="1431311728">
      <w:bodyDiv w:val="1"/>
      <w:marLeft w:val="0"/>
      <w:marRight w:val="0"/>
      <w:marTop w:val="0"/>
      <w:marBottom w:val="0"/>
      <w:divBdr>
        <w:top w:val="none" w:sz="0" w:space="0" w:color="auto"/>
        <w:left w:val="none" w:sz="0" w:space="0" w:color="auto"/>
        <w:bottom w:val="none" w:sz="0" w:space="0" w:color="auto"/>
        <w:right w:val="none" w:sz="0" w:space="0" w:color="auto"/>
      </w:divBdr>
    </w:div>
    <w:div w:id="1442216347">
      <w:bodyDiv w:val="1"/>
      <w:marLeft w:val="0"/>
      <w:marRight w:val="0"/>
      <w:marTop w:val="0"/>
      <w:marBottom w:val="0"/>
      <w:divBdr>
        <w:top w:val="none" w:sz="0" w:space="0" w:color="auto"/>
        <w:left w:val="none" w:sz="0" w:space="0" w:color="auto"/>
        <w:bottom w:val="none" w:sz="0" w:space="0" w:color="auto"/>
        <w:right w:val="none" w:sz="0" w:space="0" w:color="auto"/>
      </w:divBdr>
    </w:div>
    <w:div w:id="1459645961">
      <w:bodyDiv w:val="1"/>
      <w:marLeft w:val="0"/>
      <w:marRight w:val="0"/>
      <w:marTop w:val="0"/>
      <w:marBottom w:val="0"/>
      <w:divBdr>
        <w:top w:val="none" w:sz="0" w:space="0" w:color="auto"/>
        <w:left w:val="none" w:sz="0" w:space="0" w:color="auto"/>
        <w:bottom w:val="none" w:sz="0" w:space="0" w:color="auto"/>
        <w:right w:val="none" w:sz="0" w:space="0" w:color="auto"/>
      </w:divBdr>
    </w:div>
    <w:div w:id="1463039137">
      <w:bodyDiv w:val="1"/>
      <w:marLeft w:val="0"/>
      <w:marRight w:val="0"/>
      <w:marTop w:val="0"/>
      <w:marBottom w:val="0"/>
      <w:divBdr>
        <w:top w:val="none" w:sz="0" w:space="0" w:color="auto"/>
        <w:left w:val="none" w:sz="0" w:space="0" w:color="auto"/>
        <w:bottom w:val="none" w:sz="0" w:space="0" w:color="auto"/>
        <w:right w:val="none" w:sz="0" w:space="0" w:color="auto"/>
      </w:divBdr>
    </w:div>
    <w:div w:id="1464694668">
      <w:bodyDiv w:val="1"/>
      <w:marLeft w:val="0"/>
      <w:marRight w:val="0"/>
      <w:marTop w:val="0"/>
      <w:marBottom w:val="0"/>
      <w:divBdr>
        <w:top w:val="none" w:sz="0" w:space="0" w:color="auto"/>
        <w:left w:val="none" w:sz="0" w:space="0" w:color="auto"/>
        <w:bottom w:val="none" w:sz="0" w:space="0" w:color="auto"/>
        <w:right w:val="none" w:sz="0" w:space="0" w:color="auto"/>
      </w:divBdr>
    </w:div>
    <w:div w:id="1465584878">
      <w:bodyDiv w:val="1"/>
      <w:marLeft w:val="0"/>
      <w:marRight w:val="0"/>
      <w:marTop w:val="0"/>
      <w:marBottom w:val="0"/>
      <w:divBdr>
        <w:top w:val="none" w:sz="0" w:space="0" w:color="auto"/>
        <w:left w:val="none" w:sz="0" w:space="0" w:color="auto"/>
        <w:bottom w:val="none" w:sz="0" w:space="0" w:color="auto"/>
        <w:right w:val="none" w:sz="0" w:space="0" w:color="auto"/>
      </w:divBdr>
      <w:divsChild>
        <w:div w:id="1432045712">
          <w:marLeft w:val="0"/>
          <w:marRight w:val="0"/>
          <w:marTop w:val="0"/>
          <w:marBottom w:val="0"/>
          <w:divBdr>
            <w:top w:val="none" w:sz="0" w:space="0" w:color="auto"/>
            <w:left w:val="none" w:sz="0" w:space="0" w:color="auto"/>
            <w:bottom w:val="none" w:sz="0" w:space="0" w:color="auto"/>
            <w:right w:val="none" w:sz="0" w:space="0" w:color="auto"/>
          </w:divBdr>
        </w:div>
      </w:divsChild>
    </w:div>
    <w:div w:id="1478231340">
      <w:bodyDiv w:val="1"/>
      <w:marLeft w:val="0"/>
      <w:marRight w:val="0"/>
      <w:marTop w:val="0"/>
      <w:marBottom w:val="0"/>
      <w:divBdr>
        <w:top w:val="none" w:sz="0" w:space="0" w:color="auto"/>
        <w:left w:val="none" w:sz="0" w:space="0" w:color="auto"/>
        <w:bottom w:val="none" w:sz="0" w:space="0" w:color="auto"/>
        <w:right w:val="none" w:sz="0" w:space="0" w:color="auto"/>
      </w:divBdr>
    </w:div>
    <w:div w:id="1481652144">
      <w:bodyDiv w:val="1"/>
      <w:marLeft w:val="0"/>
      <w:marRight w:val="0"/>
      <w:marTop w:val="0"/>
      <w:marBottom w:val="0"/>
      <w:divBdr>
        <w:top w:val="none" w:sz="0" w:space="0" w:color="auto"/>
        <w:left w:val="none" w:sz="0" w:space="0" w:color="auto"/>
        <w:bottom w:val="none" w:sz="0" w:space="0" w:color="auto"/>
        <w:right w:val="none" w:sz="0" w:space="0" w:color="auto"/>
      </w:divBdr>
    </w:div>
    <w:div w:id="1490900565">
      <w:bodyDiv w:val="1"/>
      <w:marLeft w:val="0"/>
      <w:marRight w:val="0"/>
      <w:marTop w:val="0"/>
      <w:marBottom w:val="0"/>
      <w:divBdr>
        <w:top w:val="none" w:sz="0" w:space="0" w:color="auto"/>
        <w:left w:val="none" w:sz="0" w:space="0" w:color="auto"/>
        <w:bottom w:val="none" w:sz="0" w:space="0" w:color="auto"/>
        <w:right w:val="none" w:sz="0" w:space="0" w:color="auto"/>
      </w:divBdr>
    </w:div>
    <w:div w:id="1492793039">
      <w:bodyDiv w:val="1"/>
      <w:marLeft w:val="0"/>
      <w:marRight w:val="0"/>
      <w:marTop w:val="0"/>
      <w:marBottom w:val="0"/>
      <w:divBdr>
        <w:top w:val="none" w:sz="0" w:space="0" w:color="auto"/>
        <w:left w:val="none" w:sz="0" w:space="0" w:color="auto"/>
        <w:bottom w:val="none" w:sz="0" w:space="0" w:color="auto"/>
        <w:right w:val="none" w:sz="0" w:space="0" w:color="auto"/>
      </w:divBdr>
    </w:div>
    <w:div w:id="1504248033">
      <w:bodyDiv w:val="1"/>
      <w:marLeft w:val="0"/>
      <w:marRight w:val="0"/>
      <w:marTop w:val="0"/>
      <w:marBottom w:val="0"/>
      <w:divBdr>
        <w:top w:val="none" w:sz="0" w:space="0" w:color="auto"/>
        <w:left w:val="none" w:sz="0" w:space="0" w:color="auto"/>
        <w:bottom w:val="none" w:sz="0" w:space="0" w:color="auto"/>
        <w:right w:val="none" w:sz="0" w:space="0" w:color="auto"/>
      </w:divBdr>
    </w:div>
    <w:div w:id="1512988849">
      <w:bodyDiv w:val="1"/>
      <w:marLeft w:val="0"/>
      <w:marRight w:val="0"/>
      <w:marTop w:val="0"/>
      <w:marBottom w:val="0"/>
      <w:divBdr>
        <w:top w:val="none" w:sz="0" w:space="0" w:color="auto"/>
        <w:left w:val="none" w:sz="0" w:space="0" w:color="auto"/>
        <w:bottom w:val="none" w:sz="0" w:space="0" w:color="auto"/>
        <w:right w:val="none" w:sz="0" w:space="0" w:color="auto"/>
      </w:divBdr>
    </w:div>
    <w:div w:id="1513835533">
      <w:bodyDiv w:val="1"/>
      <w:marLeft w:val="0"/>
      <w:marRight w:val="0"/>
      <w:marTop w:val="0"/>
      <w:marBottom w:val="0"/>
      <w:divBdr>
        <w:top w:val="none" w:sz="0" w:space="0" w:color="auto"/>
        <w:left w:val="none" w:sz="0" w:space="0" w:color="auto"/>
        <w:bottom w:val="none" w:sz="0" w:space="0" w:color="auto"/>
        <w:right w:val="none" w:sz="0" w:space="0" w:color="auto"/>
      </w:divBdr>
    </w:div>
    <w:div w:id="1526210756">
      <w:bodyDiv w:val="1"/>
      <w:marLeft w:val="0"/>
      <w:marRight w:val="0"/>
      <w:marTop w:val="0"/>
      <w:marBottom w:val="0"/>
      <w:divBdr>
        <w:top w:val="none" w:sz="0" w:space="0" w:color="auto"/>
        <w:left w:val="none" w:sz="0" w:space="0" w:color="auto"/>
        <w:bottom w:val="none" w:sz="0" w:space="0" w:color="auto"/>
        <w:right w:val="none" w:sz="0" w:space="0" w:color="auto"/>
      </w:divBdr>
    </w:div>
    <w:div w:id="1542598626">
      <w:bodyDiv w:val="1"/>
      <w:marLeft w:val="0"/>
      <w:marRight w:val="0"/>
      <w:marTop w:val="0"/>
      <w:marBottom w:val="0"/>
      <w:divBdr>
        <w:top w:val="none" w:sz="0" w:space="0" w:color="auto"/>
        <w:left w:val="none" w:sz="0" w:space="0" w:color="auto"/>
        <w:bottom w:val="none" w:sz="0" w:space="0" w:color="auto"/>
        <w:right w:val="none" w:sz="0" w:space="0" w:color="auto"/>
      </w:divBdr>
    </w:div>
    <w:div w:id="1554273907">
      <w:bodyDiv w:val="1"/>
      <w:marLeft w:val="0"/>
      <w:marRight w:val="0"/>
      <w:marTop w:val="0"/>
      <w:marBottom w:val="0"/>
      <w:divBdr>
        <w:top w:val="none" w:sz="0" w:space="0" w:color="auto"/>
        <w:left w:val="none" w:sz="0" w:space="0" w:color="auto"/>
        <w:bottom w:val="none" w:sz="0" w:space="0" w:color="auto"/>
        <w:right w:val="none" w:sz="0" w:space="0" w:color="auto"/>
      </w:divBdr>
    </w:div>
    <w:div w:id="1564102836">
      <w:bodyDiv w:val="1"/>
      <w:marLeft w:val="0"/>
      <w:marRight w:val="0"/>
      <w:marTop w:val="0"/>
      <w:marBottom w:val="0"/>
      <w:divBdr>
        <w:top w:val="none" w:sz="0" w:space="0" w:color="auto"/>
        <w:left w:val="none" w:sz="0" w:space="0" w:color="auto"/>
        <w:bottom w:val="none" w:sz="0" w:space="0" w:color="auto"/>
        <w:right w:val="none" w:sz="0" w:space="0" w:color="auto"/>
      </w:divBdr>
    </w:div>
    <w:div w:id="1582986737">
      <w:bodyDiv w:val="1"/>
      <w:marLeft w:val="0"/>
      <w:marRight w:val="0"/>
      <w:marTop w:val="0"/>
      <w:marBottom w:val="0"/>
      <w:divBdr>
        <w:top w:val="none" w:sz="0" w:space="0" w:color="auto"/>
        <w:left w:val="none" w:sz="0" w:space="0" w:color="auto"/>
        <w:bottom w:val="none" w:sz="0" w:space="0" w:color="auto"/>
        <w:right w:val="none" w:sz="0" w:space="0" w:color="auto"/>
      </w:divBdr>
    </w:div>
    <w:div w:id="1597980956">
      <w:bodyDiv w:val="1"/>
      <w:marLeft w:val="0"/>
      <w:marRight w:val="0"/>
      <w:marTop w:val="0"/>
      <w:marBottom w:val="0"/>
      <w:divBdr>
        <w:top w:val="none" w:sz="0" w:space="0" w:color="auto"/>
        <w:left w:val="none" w:sz="0" w:space="0" w:color="auto"/>
        <w:bottom w:val="none" w:sz="0" w:space="0" w:color="auto"/>
        <w:right w:val="none" w:sz="0" w:space="0" w:color="auto"/>
      </w:divBdr>
    </w:div>
    <w:div w:id="1606501091">
      <w:bodyDiv w:val="1"/>
      <w:marLeft w:val="0"/>
      <w:marRight w:val="0"/>
      <w:marTop w:val="0"/>
      <w:marBottom w:val="0"/>
      <w:divBdr>
        <w:top w:val="none" w:sz="0" w:space="0" w:color="auto"/>
        <w:left w:val="none" w:sz="0" w:space="0" w:color="auto"/>
        <w:bottom w:val="none" w:sz="0" w:space="0" w:color="auto"/>
        <w:right w:val="none" w:sz="0" w:space="0" w:color="auto"/>
      </w:divBdr>
    </w:div>
    <w:div w:id="1611476913">
      <w:bodyDiv w:val="1"/>
      <w:marLeft w:val="0"/>
      <w:marRight w:val="0"/>
      <w:marTop w:val="0"/>
      <w:marBottom w:val="0"/>
      <w:divBdr>
        <w:top w:val="none" w:sz="0" w:space="0" w:color="auto"/>
        <w:left w:val="none" w:sz="0" w:space="0" w:color="auto"/>
        <w:bottom w:val="none" w:sz="0" w:space="0" w:color="auto"/>
        <w:right w:val="none" w:sz="0" w:space="0" w:color="auto"/>
      </w:divBdr>
    </w:div>
    <w:div w:id="1612782587">
      <w:bodyDiv w:val="1"/>
      <w:marLeft w:val="0"/>
      <w:marRight w:val="0"/>
      <w:marTop w:val="0"/>
      <w:marBottom w:val="0"/>
      <w:divBdr>
        <w:top w:val="none" w:sz="0" w:space="0" w:color="auto"/>
        <w:left w:val="none" w:sz="0" w:space="0" w:color="auto"/>
        <w:bottom w:val="none" w:sz="0" w:space="0" w:color="auto"/>
        <w:right w:val="none" w:sz="0" w:space="0" w:color="auto"/>
      </w:divBdr>
    </w:div>
    <w:div w:id="1616593490">
      <w:bodyDiv w:val="1"/>
      <w:marLeft w:val="0"/>
      <w:marRight w:val="0"/>
      <w:marTop w:val="0"/>
      <w:marBottom w:val="0"/>
      <w:divBdr>
        <w:top w:val="none" w:sz="0" w:space="0" w:color="auto"/>
        <w:left w:val="none" w:sz="0" w:space="0" w:color="auto"/>
        <w:bottom w:val="none" w:sz="0" w:space="0" w:color="auto"/>
        <w:right w:val="none" w:sz="0" w:space="0" w:color="auto"/>
      </w:divBdr>
    </w:div>
    <w:div w:id="1626766120">
      <w:bodyDiv w:val="1"/>
      <w:marLeft w:val="0"/>
      <w:marRight w:val="0"/>
      <w:marTop w:val="0"/>
      <w:marBottom w:val="0"/>
      <w:divBdr>
        <w:top w:val="none" w:sz="0" w:space="0" w:color="auto"/>
        <w:left w:val="none" w:sz="0" w:space="0" w:color="auto"/>
        <w:bottom w:val="none" w:sz="0" w:space="0" w:color="auto"/>
        <w:right w:val="none" w:sz="0" w:space="0" w:color="auto"/>
      </w:divBdr>
    </w:div>
    <w:div w:id="1627853525">
      <w:bodyDiv w:val="1"/>
      <w:marLeft w:val="0"/>
      <w:marRight w:val="0"/>
      <w:marTop w:val="0"/>
      <w:marBottom w:val="0"/>
      <w:divBdr>
        <w:top w:val="none" w:sz="0" w:space="0" w:color="auto"/>
        <w:left w:val="none" w:sz="0" w:space="0" w:color="auto"/>
        <w:bottom w:val="none" w:sz="0" w:space="0" w:color="auto"/>
        <w:right w:val="none" w:sz="0" w:space="0" w:color="auto"/>
      </w:divBdr>
      <w:divsChild>
        <w:div w:id="456415613">
          <w:marLeft w:val="0"/>
          <w:marRight w:val="0"/>
          <w:marTop w:val="0"/>
          <w:marBottom w:val="101"/>
          <w:divBdr>
            <w:top w:val="none" w:sz="0" w:space="0" w:color="auto"/>
            <w:left w:val="none" w:sz="0" w:space="0" w:color="auto"/>
            <w:bottom w:val="none" w:sz="0" w:space="0" w:color="auto"/>
            <w:right w:val="none" w:sz="0" w:space="0" w:color="auto"/>
          </w:divBdr>
        </w:div>
        <w:div w:id="1039865264">
          <w:marLeft w:val="864"/>
          <w:marRight w:val="0"/>
          <w:marTop w:val="0"/>
          <w:marBottom w:val="101"/>
          <w:divBdr>
            <w:top w:val="none" w:sz="0" w:space="0" w:color="auto"/>
            <w:left w:val="none" w:sz="0" w:space="0" w:color="auto"/>
            <w:bottom w:val="none" w:sz="0" w:space="0" w:color="auto"/>
            <w:right w:val="none" w:sz="0" w:space="0" w:color="auto"/>
          </w:divBdr>
        </w:div>
        <w:div w:id="427195915">
          <w:marLeft w:val="864"/>
          <w:marRight w:val="0"/>
          <w:marTop w:val="0"/>
          <w:marBottom w:val="101"/>
          <w:divBdr>
            <w:top w:val="none" w:sz="0" w:space="0" w:color="auto"/>
            <w:left w:val="none" w:sz="0" w:space="0" w:color="auto"/>
            <w:bottom w:val="none" w:sz="0" w:space="0" w:color="auto"/>
            <w:right w:val="none" w:sz="0" w:space="0" w:color="auto"/>
          </w:divBdr>
        </w:div>
        <w:div w:id="315457089">
          <w:marLeft w:val="864"/>
          <w:marRight w:val="0"/>
          <w:marTop w:val="0"/>
          <w:marBottom w:val="101"/>
          <w:divBdr>
            <w:top w:val="none" w:sz="0" w:space="0" w:color="auto"/>
            <w:left w:val="none" w:sz="0" w:space="0" w:color="auto"/>
            <w:bottom w:val="none" w:sz="0" w:space="0" w:color="auto"/>
            <w:right w:val="none" w:sz="0" w:space="0" w:color="auto"/>
          </w:divBdr>
        </w:div>
        <w:div w:id="994457070">
          <w:marLeft w:val="864"/>
          <w:marRight w:val="0"/>
          <w:marTop w:val="0"/>
          <w:marBottom w:val="101"/>
          <w:divBdr>
            <w:top w:val="none" w:sz="0" w:space="0" w:color="auto"/>
            <w:left w:val="none" w:sz="0" w:space="0" w:color="auto"/>
            <w:bottom w:val="none" w:sz="0" w:space="0" w:color="auto"/>
            <w:right w:val="none" w:sz="0" w:space="0" w:color="auto"/>
          </w:divBdr>
        </w:div>
        <w:div w:id="82842768">
          <w:marLeft w:val="864"/>
          <w:marRight w:val="0"/>
          <w:marTop w:val="0"/>
          <w:marBottom w:val="101"/>
          <w:divBdr>
            <w:top w:val="none" w:sz="0" w:space="0" w:color="auto"/>
            <w:left w:val="none" w:sz="0" w:space="0" w:color="auto"/>
            <w:bottom w:val="none" w:sz="0" w:space="0" w:color="auto"/>
            <w:right w:val="none" w:sz="0" w:space="0" w:color="auto"/>
          </w:divBdr>
        </w:div>
        <w:div w:id="1722749179">
          <w:marLeft w:val="864"/>
          <w:marRight w:val="0"/>
          <w:marTop w:val="0"/>
          <w:marBottom w:val="101"/>
          <w:divBdr>
            <w:top w:val="none" w:sz="0" w:space="0" w:color="auto"/>
            <w:left w:val="none" w:sz="0" w:space="0" w:color="auto"/>
            <w:bottom w:val="none" w:sz="0" w:space="0" w:color="auto"/>
            <w:right w:val="none" w:sz="0" w:space="0" w:color="auto"/>
          </w:divBdr>
        </w:div>
        <w:div w:id="127281753">
          <w:marLeft w:val="864"/>
          <w:marRight w:val="0"/>
          <w:marTop w:val="0"/>
          <w:marBottom w:val="101"/>
          <w:divBdr>
            <w:top w:val="none" w:sz="0" w:space="0" w:color="auto"/>
            <w:left w:val="none" w:sz="0" w:space="0" w:color="auto"/>
            <w:bottom w:val="none" w:sz="0" w:space="0" w:color="auto"/>
            <w:right w:val="none" w:sz="0" w:space="0" w:color="auto"/>
          </w:divBdr>
        </w:div>
        <w:div w:id="1062824573">
          <w:marLeft w:val="864"/>
          <w:marRight w:val="0"/>
          <w:marTop w:val="0"/>
          <w:marBottom w:val="101"/>
          <w:divBdr>
            <w:top w:val="none" w:sz="0" w:space="0" w:color="auto"/>
            <w:left w:val="none" w:sz="0" w:space="0" w:color="auto"/>
            <w:bottom w:val="none" w:sz="0" w:space="0" w:color="auto"/>
            <w:right w:val="none" w:sz="0" w:space="0" w:color="auto"/>
          </w:divBdr>
        </w:div>
        <w:div w:id="1657609496">
          <w:marLeft w:val="864"/>
          <w:marRight w:val="0"/>
          <w:marTop w:val="0"/>
          <w:marBottom w:val="101"/>
          <w:divBdr>
            <w:top w:val="none" w:sz="0" w:space="0" w:color="auto"/>
            <w:left w:val="none" w:sz="0" w:space="0" w:color="auto"/>
            <w:bottom w:val="none" w:sz="0" w:space="0" w:color="auto"/>
            <w:right w:val="none" w:sz="0" w:space="0" w:color="auto"/>
          </w:divBdr>
        </w:div>
        <w:div w:id="947468023">
          <w:marLeft w:val="864"/>
          <w:marRight w:val="0"/>
          <w:marTop w:val="0"/>
          <w:marBottom w:val="101"/>
          <w:divBdr>
            <w:top w:val="none" w:sz="0" w:space="0" w:color="auto"/>
            <w:left w:val="none" w:sz="0" w:space="0" w:color="auto"/>
            <w:bottom w:val="none" w:sz="0" w:space="0" w:color="auto"/>
            <w:right w:val="none" w:sz="0" w:space="0" w:color="auto"/>
          </w:divBdr>
        </w:div>
        <w:div w:id="733285329">
          <w:marLeft w:val="864"/>
          <w:marRight w:val="0"/>
          <w:marTop w:val="0"/>
          <w:marBottom w:val="101"/>
          <w:divBdr>
            <w:top w:val="none" w:sz="0" w:space="0" w:color="auto"/>
            <w:left w:val="none" w:sz="0" w:space="0" w:color="auto"/>
            <w:bottom w:val="none" w:sz="0" w:space="0" w:color="auto"/>
            <w:right w:val="none" w:sz="0" w:space="0" w:color="auto"/>
          </w:divBdr>
        </w:div>
        <w:div w:id="1369574766">
          <w:marLeft w:val="864"/>
          <w:marRight w:val="0"/>
          <w:marTop w:val="0"/>
          <w:marBottom w:val="101"/>
          <w:divBdr>
            <w:top w:val="none" w:sz="0" w:space="0" w:color="auto"/>
            <w:left w:val="none" w:sz="0" w:space="0" w:color="auto"/>
            <w:bottom w:val="none" w:sz="0" w:space="0" w:color="auto"/>
            <w:right w:val="none" w:sz="0" w:space="0" w:color="auto"/>
          </w:divBdr>
        </w:div>
        <w:div w:id="883567632">
          <w:marLeft w:val="864"/>
          <w:marRight w:val="0"/>
          <w:marTop w:val="0"/>
          <w:marBottom w:val="101"/>
          <w:divBdr>
            <w:top w:val="none" w:sz="0" w:space="0" w:color="auto"/>
            <w:left w:val="none" w:sz="0" w:space="0" w:color="auto"/>
            <w:bottom w:val="none" w:sz="0" w:space="0" w:color="auto"/>
            <w:right w:val="none" w:sz="0" w:space="0" w:color="auto"/>
          </w:divBdr>
        </w:div>
        <w:div w:id="27880583">
          <w:marLeft w:val="864"/>
          <w:marRight w:val="0"/>
          <w:marTop w:val="0"/>
          <w:marBottom w:val="101"/>
          <w:divBdr>
            <w:top w:val="none" w:sz="0" w:space="0" w:color="auto"/>
            <w:left w:val="none" w:sz="0" w:space="0" w:color="auto"/>
            <w:bottom w:val="none" w:sz="0" w:space="0" w:color="auto"/>
            <w:right w:val="none" w:sz="0" w:space="0" w:color="auto"/>
          </w:divBdr>
        </w:div>
        <w:div w:id="610665717">
          <w:marLeft w:val="864"/>
          <w:marRight w:val="0"/>
          <w:marTop w:val="0"/>
          <w:marBottom w:val="101"/>
          <w:divBdr>
            <w:top w:val="none" w:sz="0" w:space="0" w:color="auto"/>
            <w:left w:val="none" w:sz="0" w:space="0" w:color="auto"/>
            <w:bottom w:val="none" w:sz="0" w:space="0" w:color="auto"/>
            <w:right w:val="none" w:sz="0" w:space="0" w:color="auto"/>
          </w:divBdr>
        </w:div>
        <w:div w:id="976226697">
          <w:marLeft w:val="864"/>
          <w:marRight w:val="0"/>
          <w:marTop w:val="0"/>
          <w:marBottom w:val="101"/>
          <w:divBdr>
            <w:top w:val="none" w:sz="0" w:space="0" w:color="auto"/>
            <w:left w:val="none" w:sz="0" w:space="0" w:color="auto"/>
            <w:bottom w:val="none" w:sz="0" w:space="0" w:color="auto"/>
            <w:right w:val="none" w:sz="0" w:space="0" w:color="auto"/>
          </w:divBdr>
        </w:div>
        <w:div w:id="1339506348">
          <w:marLeft w:val="864"/>
          <w:marRight w:val="0"/>
          <w:marTop w:val="0"/>
          <w:marBottom w:val="101"/>
          <w:divBdr>
            <w:top w:val="none" w:sz="0" w:space="0" w:color="auto"/>
            <w:left w:val="none" w:sz="0" w:space="0" w:color="auto"/>
            <w:bottom w:val="none" w:sz="0" w:space="0" w:color="auto"/>
            <w:right w:val="none" w:sz="0" w:space="0" w:color="auto"/>
          </w:divBdr>
        </w:div>
      </w:divsChild>
    </w:div>
    <w:div w:id="1635062831">
      <w:bodyDiv w:val="1"/>
      <w:marLeft w:val="0"/>
      <w:marRight w:val="0"/>
      <w:marTop w:val="0"/>
      <w:marBottom w:val="0"/>
      <w:divBdr>
        <w:top w:val="none" w:sz="0" w:space="0" w:color="auto"/>
        <w:left w:val="none" w:sz="0" w:space="0" w:color="auto"/>
        <w:bottom w:val="none" w:sz="0" w:space="0" w:color="auto"/>
        <w:right w:val="none" w:sz="0" w:space="0" w:color="auto"/>
      </w:divBdr>
    </w:div>
    <w:div w:id="1635676642">
      <w:bodyDiv w:val="1"/>
      <w:marLeft w:val="0"/>
      <w:marRight w:val="0"/>
      <w:marTop w:val="0"/>
      <w:marBottom w:val="0"/>
      <w:divBdr>
        <w:top w:val="none" w:sz="0" w:space="0" w:color="auto"/>
        <w:left w:val="none" w:sz="0" w:space="0" w:color="auto"/>
        <w:bottom w:val="none" w:sz="0" w:space="0" w:color="auto"/>
        <w:right w:val="none" w:sz="0" w:space="0" w:color="auto"/>
      </w:divBdr>
    </w:div>
    <w:div w:id="1638143302">
      <w:bodyDiv w:val="1"/>
      <w:marLeft w:val="0"/>
      <w:marRight w:val="0"/>
      <w:marTop w:val="0"/>
      <w:marBottom w:val="0"/>
      <w:divBdr>
        <w:top w:val="none" w:sz="0" w:space="0" w:color="auto"/>
        <w:left w:val="none" w:sz="0" w:space="0" w:color="auto"/>
        <w:bottom w:val="none" w:sz="0" w:space="0" w:color="auto"/>
        <w:right w:val="none" w:sz="0" w:space="0" w:color="auto"/>
      </w:divBdr>
    </w:div>
    <w:div w:id="1638337524">
      <w:bodyDiv w:val="1"/>
      <w:marLeft w:val="0"/>
      <w:marRight w:val="0"/>
      <w:marTop w:val="0"/>
      <w:marBottom w:val="0"/>
      <w:divBdr>
        <w:top w:val="none" w:sz="0" w:space="0" w:color="auto"/>
        <w:left w:val="none" w:sz="0" w:space="0" w:color="auto"/>
        <w:bottom w:val="none" w:sz="0" w:space="0" w:color="auto"/>
        <w:right w:val="none" w:sz="0" w:space="0" w:color="auto"/>
      </w:divBdr>
    </w:div>
    <w:div w:id="1664157938">
      <w:bodyDiv w:val="1"/>
      <w:marLeft w:val="0"/>
      <w:marRight w:val="0"/>
      <w:marTop w:val="0"/>
      <w:marBottom w:val="0"/>
      <w:divBdr>
        <w:top w:val="none" w:sz="0" w:space="0" w:color="auto"/>
        <w:left w:val="none" w:sz="0" w:space="0" w:color="auto"/>
        <w:bottom w:val="none" w:sz="0" w:space="0" w:color="auto"/>
        <w:right w:val="none" w:sz="0" w:space="0" w:color="auto"/>
      </w:divBdr>
    </w:div>
    <w:div w:id="1675842320">
      <w:bodyDiv w:val="1"/>
      <w:marLeft w:val="0"/>
      <w:marRight w:val="0"/>
      <w:marTop w:val="0"/>
      <w:marBottom w:val="0"/>
      <w:divBdr>
        <w:top w:val="none" w:sz="0" w:space="0" w:color="auto"/>
        <w:left w:val="none" w:sz="0" w:space="0" w:color="auto"/>
        <w:bottom w:val="none" w:sz="0" w:space="0" w:color="auto"/>
        <w:right w:val="none" w:sz="0" w:space="0" w:color="auto"/>
      </w:divBdr>
    </w:div>
    <w:div w:id="1677270080">
      <w:bodyDiv w:val="1"/>
      <w:marLeft w:val="0"/>
      <w:marRight w:val="0"/>
      <w:marTop w:val="0"/>
      <w:marBottom w:val="0"/>
      <w:divBdr>
        <w:top w:val="none" w:sz="0" w:space="0" w:color="auto"/>
        <w:left w:val="none" w:sz="0" w:space="0" w:color="auto"/>
        <w:bottom w:val="none" w:sz="0" w:space="0" w:color="auto"/>
        <w:right w:val="none" w:sz="0" w:space="0" w:color="auto"/>
      </w:divBdr>
      <w:divsChild>
        <w:div w:id="842160440">
          <w:marLeft w:val="0"/>
          <w:marRight w:val="0"/>
          <w:marTop w:val="0"/>
          <w:marBottom w:val="0"/>
          <w:divBdr>
            <w:top w:val="none" w:sz="0" w:space="0" w:color="auto"/>
            <w:left w:val="none" w:sz="0" w:space="0" w:color="auto"/>
            <w:bottom w:val="none" w:sz="0" w:space="0" w:color="auto"/>
            <w:right w:val="none" w:sz="0" w:space="0" w:color="auto"/>
          </w:divBdr>
          <w:divsChild>
            <w:div w:id="1761752309">
              <w:marLeft w:val="0"/>
              <w:marRight w:val="0"/>
              <w:marTop w:val="0"/>
              <w:marBottom w:val="0"/>
              <w:divBdr>
                <w:top w:val="none" w:sz="0" w:space="0" w:color="auto"/>
                <w:left w:val="none" w:sz="0" w:space="0" w:color="auto"/>
                <w:bottom w:val="none" w:sz="0" w:space="0" w:color="auto"/>
                <w:right w:val="none" w:sz="0" w:space="0" w:color="auto"/>
              </w:divBdr>
              <w:divsChild>
                <w:div w:id="1239752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9989636">
      <w:bodyDiv w:val="1"/>
      <w:marLeft w:val="0"/>
      <w:marRight w:val="0"/>
      <w:marTop w:val="0"/>
      <w:marBottom w:val="0"/>
      <w:divBdr>
        <w:top w:val="none" w:sz="0" w:space="0" w:color="auto"/>
        <w:left w:val="none" w:sz="0" w:space="0" w:color="auto"/>
        <w:bottom w:val="none" w:sz="0" w:space="0" w:color="auto"/>
        <w:right w:val="none" w:sz="0" w:space="0" w:color="auto"/>
      </w:divBdr>
    </w:div>
    <w:div w:id="1701197630">
      <w:bodyDiv w:val="1"/>
      <w:marLeft w:val="0"/>
      <w:marRight w:val="0"/>
      <w:marTop w:val="0"/>
      <w:marBottom w:val="0"/>
      <w:divBdr>
        <w:top w:val="none" w:sz="0" w:space="0" w:color="auto"/>
        <w:left w:val="none" w:sz="0" w:space="0" w:color="auto"/>
        <w:bottom w:val="none" w:sz="0" w:space="0" w:color="auto"/>
        <w:right w:val="none" w:sz="0" w:space="0" w:color="auto"/>
      </w:divBdr>
    </w:div>
    <w:div w:id="1708331380">
      <w:bodyDiv w:val="1"/>
      <w:marLeft w:val="0"/>
      <w:marRight w:val="0"/>
      <w:marTop w:val="0"/>
      <w:marBottom w:val="0"/>
      <w:divBdr>
        <w:top w:val="none" w:sz="0" w:space="0" w:color="auto"/>
        <w:left w:val="none" w:sz="0" w:space="0" w:color="auto"/>
        <w:bottom w:val="none" w:sz="0" w:space="0" w:color="auto"/>
        <w:right w:val="none" w:sz="0" w:space="0" w:color="auto"/>
      </w:divBdr>
    </w:div>
    <w:div w:id="1715154794">
      <w:bodyDiv w:val="1"/>
      <w:marLeft w:val="0"/>
      <w:marRight w:val="0"/>
      <w:marTop w:val="0"/>
      <w:marBottom w:val="0"/>
      <w:divBdr>
        <w:top w:val="none" w:sz="0" w:space="0" w:color="auto"/>
        <w:left w:val="none" w:sz="0" w:space="0" w:color="auto"/>
        <w:bottom w:val="none" w:sz="0" w:space="0" w:color="auto"/>
        <w:right w:val="none" w:sz="0" w:space="0" w:color="auto"/>
      </w:divBdr>
    </w:div>
    <w:div w:id="1724939585">
      <w:bodyDiv w:val="1"/>
      <w:marLeft w:val="0"/>
      <w:marRight w:val="0"/>
      <w:marTop w:val="0"/>
      <w:marBottom w:val="0"/>
      <w:divBdr>
        <w:top w:val="none" w:sz="0" w:space="0" w:color="auto"/>
        <w:left w:val="none" w:sz="0" w:space="0" w:color="auto"/>
        <w:bottom w:val="none" w:sz="0" w:space="0" w:color="auto"/>
        <w:right w:val="none" w:sz="0" w:space="0" w:color="auto"/>
      </w:divBdr>
    </w:div>
    <w:div w:id="1727608409">
      <w:bodyDiv w:val="1"/>
      <w:marLeft w:val="0"/>
      <w:marRight w:val="0"/>
      <w:marTop w:val="0"/>
      <w:marBottom w:val="0"/>
      <w:divBdr>
        <w:top w:val="none" w:sz="0" w:space="0" w:color="auto"/>
        <w:left w:val="none" w:sz="0" w:space="0" w:color="auto"/>
        <w:bottom w:val="none" w:sz="0" w:space="0" w:color="auto"/>
        <w:right w:val="none" w:sz="0" w:space="0" w:color="auto"/>
      </w:divBdr>
    </w:div>
    <w:div w:id="1731928357">
      <w:bodyDiv w:val="1"/>
      <w:marLeft w:val="0"/>
      <w:marRight w:val="0"/>
      <w:marTop w:val="0"/>
      <w:marBottom w:val="0"/>
      <w:divBdr>
        <w:top w:val="none" w:sz="0" w:space="0" w:color="auto"/>
        <w:left w:val="none" w:sz="0" w:space="0" w:color="auto"/>
        <w:bottom w:val="none" w:sz="0" w:space="0" w:color="auto"/>
        <w:right w:val="none" w:sz="0" w:space="0" w:color="auto"/>
      </w:divBdr>
    </w:div>
    <w:div w:id="1734353241">
      <w:bodyDiv w:val="1"/>
      <w:marLeft w:val="0"/>
      <w:marRight w:val="0"/>
      <w:marTop w:val="0"/>
      <w:marBottom w:val="0"/>
      <w:divBdr>
        <w:top w:val="none" w:sz="0" w:space="0" w:color="auto"/>
        <w:left w:val="none" w:sz="0" w:space="0" w:color="auto"/>
        <w:bottom w:val="none" w:sz="0" w:space="0" w:color="auto"/>
        <w:right w:val="none" w:sz="0" w:space="0" w:color="auto"/>
      </w:divBdr>
    </w:div>
    <w:div w:id="1740593480">
      <w:bodyDiv w:val="1"/>
      <w:marLeft w:val="0"/>
      <w:marRight w:val="0"/>
      <w:marTop w:val="0"/>
      <w:marBottom w:val="0"/>
      <w:divBdr>
        <w:top w:val="none" w:sz="0" w:space="0" w:color="auto"/>
        <w:left w:val="none" w:sz="0" w:space="0" w:color="auto"/>
        <w:bottom w:val="none" w:sz="0" w:space="0" w:color="auto"/>
        <w:right w:val="none" w:sz="0" w:space="0" w:color="auto"/>
      </w:divBdr>
    </w:div>
    <w:div w:id="1743673886">
      <w:bodyDiv w:val="1"/>
      <w:marLeft w:val="0"/>
      <w:marRight w:val="0"/>
      <w:marTop w:val="0"/>
      <w:marBottom w:val="0"/>
      <w:divBdr>
        <w:top w:val="none" w:sz="0" w:space="0" w:color="auto"/>
        <w:left w:val="none" w:sz="0" w:space="0" w:color="auto"/>
        <w:bottom w:val="none" w:sz="0" w:space="0" w:color="auto"/>
        <w:right w:val="none" w:sz="0" w:space="0" w:color="auto"/>
      </w:divBdr>
    </w:div>
    <w:div w:id="1744066023">
      <w:bodyDiv w:val="1"/>
      <w:marLeft w:val="0"/>
      <w:marRight w:val="0"/>
      <w:marTop w:val="0"/>
      <w:marBottom w:val="0"/>
      <w:divBdr>
        <w:top w:val="none" w:sz="0" w:space="0" w:color="auto"/>
        <w:left w:val="none" w:sz="0" w:space="0" w:color="auto"/>
        <w:bottom w:val="none" w:sz="0" w:space="0" w:color="auto"/>
        <w:right w:val="none" w:sz="0" w:space="0" w:color="auto"/>
      </w:divBdr>
    </w:div>
    <w:div w:id="1748651280">
      <w:bodyDiv w:val="1"/>
      <w:marLeft w:val="0"/>
      <w:marRight w:val="0"/>
      <w:marTop w:val="0"/>
      <w:marBottom w:val="0"/>
      <w:divBdr>
        <w:top w:val="none" w:sz="0" w:space="0" w:color="auto"/>
        <w:left w:val="none" w:sz="0" w:space="0" w:color="auto"/>
        <w:bottom w:val="none" w:sz="0" w:space="0" w:color="auto"/>
        <w:right w:val="none" w:sz="0" w:space="0" w:color="auto"/>
      </w:divBdr>
      <w:divsChild>
        <w:div w:id="1160343132">
          <w:marLeft w:val="0"/>
          <w:marRight w:val="0"/>
          <w:marTop w:val="0"/>
          <w:marBottom w:val="0"/>
          <w:divBdr>
            <w:top w:val="none" w:sz="0" w:space="0" w:color="auto"/>
            <w:left w:val="none" w:sz="0" w:space="0" w:color="auto"/>
            <w:bottom w:val="none" w:sz="0" w:space="0" w:color="auto"/>
            <w:right w:val="none" w:sz="0" w:space="0" w:color="auto"/>
          </w:divBdr>
        </w:div>
        <w:div w:id="1682244010">
          <w:marLeft w:val="0"/>
          <w:marRight w:val="0"/>
          <w:marTop w:val="0"/>
          <w:marBottom w:val="0"/>
          <w:divBdr>
            <w:top w:val="none" w:sz="0" w:space="0" w:color="auto"/>
            <w:left w:val="none" w:sz="0" w:space="0" w:color="auto"/>
            <w:bottom w:val="none" w:sz="0" w:space="0" w:color="auto"/>
            <w:right w:val="none" w:sz="0" w:space="0" w:color="auto"/>
          </w:divBdr>
        </w:div>
        <w:div w:id="1515417821">
          <w:marLeft w:val="0"/>
          <w:marRight w:val="0"/>
          <w:marTop w:val="0"/>
          <w:marBottom w:val="0"/>
          <w:divBdr>
            <w:top w:val="none" w:sz="0" w:space="0" w:color="auto"/>
            <w:left w:val="none" w:sz="0" w:space="0" w:color="auto"/>
            <w:bottom w:val="none" w:sz="0" w:space="0" w:color="auto"/>
            <w:right w:val="none" w:sz="0" w:space="0" w:color="auto"/>
          </w:divBdr>
        </w:div>
        <w:div w:id="1990819114">
          <w:marLeft w:val="0"/>
          <w:marRight w:val="0"/>
          <w:marTop w:val="0"/>
          <w:marBottom w:val="0"/>
          <w:divBdr>
            <w:top w:val="none" w:sz="0" w:space="0" w:color="auto"/>
            <w:left w:val="none" w:sz="0" w:space="0" w:color="auto"/>
            <w:bottom w:val="none" w:sz="0" w:space="0" w:color="auto"/>
            <w:right w:val="none" w:sz="0" w:space="0" w:color="auto"/>
          </w:divBdr>
        </w:div>
        <w:div w:id="1363481921">
          <w:marLeft w:val="0"/>
          <w:marRight w:val="0"/>
          <w:marTop w:val="0"/>
          <w:marBottom w:val="0"/>
          <w:divBdr>
            <w:top w:val="none" w:sz="0" w:space="0" w:color="auto"/>
            <w:left w:val="none" w:sz="0" w:space="0" w:color="auto"/>
            <w:bottom w:val="none" w:sz="0" w:space="0" w:color="auto"/>
            <w:right w:val="none" w:sz="0" w:space="0" w:color="auto"/>
          </w:divBdr>
        </w:div>
        <w:div w:id="1866014627">
          <w:marLeft w:val="0"/>
          <w:marRight w:val="0"/>
          <w:marTop w:val="0"/>
          <w:marBottom w:val="0"/>
          <w:divBdr>
            <w:top w:val="none" w:sz="0" w:space="0" w:color="auto"/>
            <w:left w:val="none" w:sz="0" w:space="0" w:color="auto"/>
            <w:bottom w:val="none" w:sz="0" w:space="0" w:color="auto"/>
            <w:right w:val="none" w:sz="0" w:space="0" w:color="auto"/>
          </w:divBdr>
        </w:div>
        <w:div w:id="988706028">
          <w:marLeft w:val="0"/>
          <w:marRight w:val="0"/>
          <w:marTop w:val="0"/>
          <w:marBottom w:val="0"/>
          <w:divBdr>
            <w:top w:val="none" w:sz="0" w:space="0" w:color="auto"/>
            <w:left w:val="none" w:sz="0" w:space="0" w:color="auto"/>
            <w:bottom w:val="none" w:sz="0" w:space="0" w:color="auto"/>
            <w:right w:val="none" w:sz="0" w:space="0" w:color="auto"/>
          </w:divBdr>
        </w:div>
        <w:div w:id="580795791">
          <w:marLeft w:val="0"/>
          <w:marRight w:val="0"/>
          <w:marTop w:val="0"/>
          <w:marBottom w:val="0"/>
          <w:divBdr>
            <w:top w:val="none" w:sz="0" w:space="0" w:color="auto"/>
            <w:left w:val="none" w:sz="0" w:space="0" w:color="auto"/>
            <w:bottom w:val="none" w:sz="0" w:space="0" w:color="auto"/>
            <w:right w:val="none" w:sz="0" w:space="0" w:color="auto"/>
          </w:divBdr>
        </w:div>
        <w:div w:id="827525019">
          <w:marLeft w:val="0"/>
          <w:marRight w:val="0"/>
          <w:marTop w:val="0"/>
          <w:marBottom w:val="0"/>
          <w:divBdr>
            <w:top w:val="none" w:sz="0" w:space="0" w:color="auto"/>
            <w:left w:val="none" w:sz="0" w:space="0" w:color="auto"/>
            <w:bottom w:val="none" w:sz="0" w:space="0" w:color="auto"/>
            <w:right w:val="none" w:sz="0" w:space="0" w:color="auto"/>
          </w:divBdr>
        </w:div>
        <w:div w:id="1425104901">
          <w:marLeft w:val="0"/>
          <w:marRight w:val="0"/>
          <w:marTop w:val="0"/>
          <w:marBottom w:val="0"/>
          <w:divBdr>
            <w:top w:val="none" w:sz="0" w:space="0" w:color="auto"/>
            <w:left w:val="none" w:sz="0" w:space="0" w:color="auto"/>
            <w:bottom w:val="none" w:sz="0" w:space="0" w:color="auto"/>
            <w:right w:val="none" w:sz="0" w:space="0" w:color="auto"/>
          </w:divBdr>
        </w:div>
        <w:div w:id="1295671164">
          <w:marLeft w:val="0"/>
          <w:marRight w:val="0"/>
          <w:marTop w:val="0"/>
          <w:marBottom w:val="0"/>
          <w:divBdr>
            <w:top w:val="none" w:sz="0" w:space="0" w:color="auto"/>
            <w:left w:val="none" w:sz="0" w:space="0" w:color="auto"/>
            <w:bottom w:val="none" w:sz="0" w:space="0" w:color="auto"/>
            <w:right w:val="none" w:sz="0" w:space="0" w:color="auto"/>
          </w:divBdr>
        </w:div>
        <w:div w:id="1097755805">
          <w:marLeft w:val="0"/>
          <w:marRight w:val="0"/>
          <w:marTop w:val="0"/>
          <w:marBottom w:val="0"/>
          <w:divBdr>
            <w:top w:val="none" w:sz="0" w:space="0" w:color="auto"/>
            <w:left w:val="none" w:sz="0" w:space="0" w:color="auto"/>
            <w:bottom w:val="none" w:sz="0" w:space="0" w:color="auto"/>
            <w:right w:val="none" w:sz="0" w:space="0" w:color="auto"/>
          </w:divBdr>
        </w:div>
      </w:divsChild>
    </w:div>
    <w:div w:id="1748841245">
      <w:bodyDiv w:val="1"/>
      <w:marLeft w:val="0"/>
      <w:marRight w:val="0"/>
      <w:marTop w:val="0"/>
      <w:marBottom w:val="0"/>
      <w:divBdr>
        <w:top w:val="none" w:sz="0" w:space="0" w:color="auto"/>
        <w:left w:val="none" w:sz="0" w:space="0" w:color="auto"/>
        <w:bottom w:val="none" w:sz="0" w:space="0" w:color="auto"/>
        <w:right w:val="none" w:sz="0" w:space="0" w:color="auto"/>
      </w:divBdr>
    </w:div>
    <w:div w:id="1768963081">
      <w:bodyDiv w:val="1"/>
      <w:marLeft w:val="0"/>
      <w:marRight w:val="0"/>
      <w:marTop w:val="0"/>
      <w:marBottom w:val="0"/>
      <w:divBdr>
        <w:top w:val="none" w:sz="0" w:space="0" w:color="auto"/>
        <w:left w:val="none" w:sz="0" w:space="0" w:color="auto"/>
        <w:bottom w:val="none" w:sz="0" w:space="0" w:color="auto"/>
        <w:right w:val="none" w:sz="0" w:space="0" w:color="auto"/>
      </w:divBdr>
    </w:div>
    <w:div w:id="1777943647">
      <w:bodyDiv w:val="1"/>
      <w:marLeft w:val="0"/>
      <w:marRight w:val="0"/>
      <w:marTop w:val="0"/>
      <w:marBottom w:val="0"/>
      <w:divBdr>
        <w:top w:val="none" w:sz="0" w:space="0" w:color="auto"/>
        <w:left w:val="none" w:sz="0" w:space="0" w:color="auto"/>
        <w:bottom w:val="none" w:sz="0" w:space="0" w:color="auto"/>
        <w:right w:val="none" w:sz="0" w:space="0" w:color="auto"/>
      </w:divBdr>
    </w:div>
    <w:div w:id="1778403805">
      <w:bodyDiv w:val="1"/>
      <w:marLeft w:val="0"/>
      <w:marRight w:val="0"/>
      <w:marTop w:val="0"/>
      <w:marBottom w:val="0"/>
      <w:divBdr>
        <w:top w:val="none" w:sz="0" w:space="0" w:color="auto"/>
        <w:left w:val="none" w:sz="0" w:space="0" w:color="auto"/>
        <w:bottom w:val="none" w:sz="0" w:space="0" w:color="auto"/>
        <w:right w:val="none" w:sz="0" w:space="0" w:color="auto"/>
      </w:divBdr>
    </w:div>
    <w:div w:id="1781027823">
      <w:bodyDiv w:val="1"/>
      <w:marLeft w:val="0"/>
      <w:marRight w:val="0"/>
      <w:marTop w:val="0"/>
      <w:marBottom w:val="0"/>
      <w:divBdr>
        <w:top w:val="none" w:sz="0" w:space="0" w:color="auto"/>
        <w:left w:val="none" w:sz="0" w:space="0" w:color="auto"/>
        <w:bottom w:val="none" w:sz="0" w:space="0" w:color="auto"/>
        <w:right w:val="none" w:sz="0" w:space="0" w:color="auto"/>
      </w:divBdr>
    </w:div>
    <w:div w:id="1790247444">
      <w:bodyDiv w:val="1"/>
      <w:marLeft w:val="0"/>
      <w:marRight w:val="0"/>
      <w:marTop w:val="0"/>
      <w:marBottom w:val="0"/>
      <w:divBdr>
        <w:top w:val="none" w:sz="0" w:space="0" w:color="auto"/>
        <w:left w:val="none" w:sz="0" w:space="0" w:color="auto"/>
        <w:bottom w:val="none" w:sz="0" w:space="0" w:color="auto"/>
        <w:right w:val="none" w:sz="0" w:space="0" w:color="auto"/>
      </w:divBdr>
    </w:div>
    <w:div w:id="1797065506">
      <w:bodyDiv w:val="1"/>
      <w:marLeft w:val="0"/>
      <w:marRight w:val="0"/>
      <w:marTop w:val="0"/>
      <w:marBottom w:val="0"/>
      <w:divBdr>
        <w:top w:val="none" w:sz="0" w:space="0" w:color="auto"/>
        <w:left w:val="none" w:sz="0" w:space="0" w:color="auto"/>
        <w:bottom w:val="none" w:sz="0" w:space="0" w:color="auto"/>
        <w:right w:val="none" w:sz="0" w:space="0" w:color="auto"/>
      </w:divBdr>
    </w:div>
    <w:div w:id="1798527428">
      <w:bodyDiv w:val="1"/>
      <w:marLeft w:val="0"/>
      <w:marRight w:val="0"/>
      <w:marTop w:val="0"/>
      <w:marBottom w:val="0"/>
      <w:divBdr>
        <w:top w:val="none" w:sz="0" w:space="0" w:color="auto"/>
        <w:left w:val="none" w:sz="0" w:space="0" w:color="auto"/>
        <w:bottom w:val="none" w:sz="0" w:space="0" w:color="auto"/>
        <w:right w:val="none" w:sz="0" w:space="0" w:color="auto"/>
      </w:divBdr>
    </w:div>
    <w:div w:id="1798840420">
      <w:bodyDiv w:val="1"/>
      <w:marLeft w:val="0"/>
      <w:marRight w:val="0"/>
      <w:marTop w:val="0"/>
      <w:marBottom w:val="0"/>
      <w:divBdr>
        <w:top w:val="none" w:sz="0" w:space="0" w:color="auto"/>
        <w:left w:val="none" w:sz="0" w:space="0" w:color="auto"/>
        <w:bottom w:val="none" w:sz="0" w:space="0" w:color="auto"/>
        <w:right w:val="none" w:sz="0" w:space="0" w:color="auto"/>
      </w:divBdr>
    </w:div>
    <w:div w:id="1801995292">
      <w:bodyDiv w:val="1"/>
      <w:marLeft w:val="0"/>
      <w:marRight w:val="0"/>
      <w:marTop w:val="0"/>
      <w:marBottom w:val="0"/>
      <w:divBdr>
        <w:top w:val="none" w:sz="0" w:space="0" w:color="auto"/>
        <w:left w:val="none" w:sz="0" w:space="0" w:color="auto"/>
        <w:bottom w:val="none" w:sz="0" w:space="0" w:color="auto"/>
        <w:right w:val="none" w:sz="0" w:space="0" w:color="auto"/>
      </w:divBdr>
      <w:divsChild>
        <w:div w:id="422921050">
          <w:marLeft w:val="0"/>
          <w:marRight w:val="0"/>
          <w:marTop w:val="0"/>
          <w:marBottom w:val="0"/>
          <w:divBdr>
            <w:top w:val="none" w:sz="0" w:space="0" w:color="auto"/>
            <w:left w:val="none" w:sz="0" w:space="0" w:color="auto"/>
            <w:bottom w:val="none" w:sz="0" w:space="0" w:color="auto"/>
            <w:right w:val="none" w:sz="0" w:space="0" w:color="auto"/>
          </w:divBdr>
          <w:divsChild>
            <w:div w:id="1577281197">
              <w:marLeft w:val="0"/>
              <w:marRight w:val="0"/>
              <w:marTop w:val="0"/>
              <w:marBottom w:val="0"/>
              <w:divBdr>
                <w:top w:val="none" w:sz="0" w:space="0" w:color="auto"/>
                <w:left w:val="none" w:sz="0" w:space="0" w:color="auto"/>
                <w:bottom w:val="none" w:sz="0" w:space="0" w:color="auto"/>
                <w:right w:val="none" w:sz="0" w:space="0" w:color="auto"/>
              </w:divBdr>
              <w:divsChild>
                <w:div w:id="2008552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3688275">
      <w:bodyDiv w:val="1"/>
      <w:marLeft w:val="0"/>
      <w:marRight w:val="0"/>
      <w:marTop w:val="0"/>
      <w:marBottom w:val="0"/>
      <w:divBdr>
        <w:top w:val="none" w:sz="0" w:space="0" w:color="auto"/>
        <w:left w:val="none" w:sz="0" w:space="0" w:color="auto"/>
        <w:bottom w:val="none" w:sz="0" w:space="0" w:color="auto"/>
        <w:right w:val="none" w:sz="0" w:space="0" w:color="auto"/>
      </w:divBdr>
    </w:div>
    <w:div w:id="1809660407">
      <w:bodyDiv w:val="1"/>
      <w:marLeft w:val="0"/>
      <w:marRight w:val="0"/>
      <w:marTop w:val="0"/>
      <w:marBottom w:val="0"/>
      <w:divBdr>
        <w:top w:val="none" w:sz="0" w:space="0" w:color="auto"/>
        <w:left w:val="none" w:sz="0" w:space="0" w:color="auto"/>
        <w:bottom w:val="none" w:sz="0" w:space="0" w:color="auto"/>
        <w:right w:val="none" w:sz="0" w:space="0" w:color="auto"/>
      </w:divBdr>
    </w:div>
    <w:div w:id="1810169914">
      <w:bodyDiv w:val="1"/>
      <w:marLeft w:val="0"/>
      <w:marRight w:val="0"/>
      <w:marTop w:val="0"/>
      <w:marBottom w:val="0"/>
      <w:divBdr>
        <w:top w:val="none" w:sz="0" w:space="0" w:color="auto"/>
        <w:left w:val="none" w:sz="0" w:space="0" w:color="auto"/>
        <w:bottom w:val="none" w:sz="0" w:space="0" w:color="auto"/>
        <w:right w:val="none" w:sz="0" w:space="0" w:color="auto"/>
      </w:divBdr>
    </w:div>
    <w:div w:id="1818260956">
      <w:bodyDiv w:val="1"/>
      <w:marLeft w:val="0"/>
      <w:marRight w:val="0"/>
      <w:marTop w:val="0"/>
      <w:marBottom w:val="0"/>
      <w:divBdr>
        <w:top w:val="none" w:sz="0" w:space="0" w:color="auto"/>
        <w:left w:val="none" w:sz="0" w:space="0" w:color="auto"/>
        <w:bottom w:val="none" w:sz="0" w:space="0" w:color="auto"/>
        <w:right w:val="none" w:sz="0" w:space="0" w:color="auto"/>
      </w:divBdr>
    </w:div>
    <w:div w:id="1832669890">
      <w:bodyDiv w:val="1"/>
      <w:marLeft w:val="0"/>
      <w:marRight w:val="0"/>
      <w:marTop w:val="0"/>
      <w:marBottom w:val="0"/>
      <w:divBdr>
        <w:top w:val="none" w:sz="0" w:space="0" w:color="auto"/>
        <w:left w:val="none" w:sz="0" w:space="0" w:color="auto"/>
        <w:bottom w:val="none" w:sz="0" w:space="0" w:color="auto"/>
        <w:right w:val="none" w:sz="0" w:space="0" w:color="auto"/>
      </w:divBdr>
    </w:div>
    <w:div w:id="1835950877">
      <w:bodyDiv w:val="1"/>
      <w:marLeft w:val="0"/>
      <w:marRight w:val="0"/>
      <w:marTop w:val="0"/>
      <w:marBottom w:val="0"/>
      <w:divBdr>
        <w:top w:val="none" w:sz="0" w:space="0" w:color="auto"/>
        <w:left w:val="none" w:sz="0" w:space="0" w:color="auto"/>
        <w:bottom w:val="none" w:sz="0" w:space="0" w:color="auto"/>
        <w:right w:val="none" w:sz="0" w:space="0" w:color="auto"/>
      </w:divBdr>
    </w:div>
    <w:div w:id="1844733614">
      <w:bodyDiv w:val="1"/>
      <w:marLeft w:val="0"/>
      <w:marRight w:val="0"/>
      <w:marTop w:val="0"/>
      <w:marBottom w:val="0"/>
      <w:divBdr>
        <w:top w:val="none" w:sz="0" w:space="0" w:color="auto"/>
        <w:left w:val="none" w:sz="0" w:space="0" w:color="auto"/>
        <w:bottom w:val="none" w:sz="0" w:space="0" w:color="auto"/>
        <w:right w:val="none" w:sz="0" w:space="0" w:color="auto"/>
      </w:divBdr>
    </w:div>
    <w:div w:id="1850486844">
      <w:bodyDiv w:val="1"/>
      <w:marLeft w:val="0"/>
      <w:marRight w:val="0"/>
      <w:marTop w:val="0"/>
      <w:marBottom w:val="0"/>
      <w:divBdr>
        <w:top w:val="none" w:sz="0" w:space="0" w:color="auto"/>
        <w:left w:val="none" w:sz="0" w:space="0" w:color="auto"/>
        <w:bottom w:val="none" w:sz="0" w:space="0" w:color="auto"/>
        <w:right w:val="none" w:sz="0" w:space="0" w:color="auto"/>
      </w:divBdr>
    </w:div>
    <w:div w:id="1856459602">
      <w:bodyDiv w:val="1"/>
      <w:marLeft w:val="0"/>
      <w:marRight w:val="0"/>
      <w:marTop w:val="0"/>
      <w:marBottom w:val="0"/>
      <w:divBdr>
        <w:top w:val="none" w:sz="0" w:space="0" w:color="auto"/>
        <w:left w:val="none" w:sz="0" w:space="0" w:color="auto"/>
        <w:bottom w:val="none" w:sz="0" w:space="0" w:color="auto"/>
        <w:right w:val="none" w:sz="0" w:space="0" w:color="auto"/>
      </w:divBdr>
    </w:div>
    <w:div w:id="1856919701">
      <w:bodyDiv w:val="1"/>
      <w:marLeft w:val="0"/>
      <w:marRight w:val="0"/>
      <w:marTop w:val="0"/>
      <w:marBottom w:val="0"/>
      <w:divBdr>
        <w:top w:val="none" w:sz="0" w:space="0" w:color="auto"/>
        <w:left w:val="none" w:sz="0" w:space="0" w:color="auto"/>
        <w:bottom w:val="none" w:sz="0" w:space="0" w:color="auto"/>
        <w:right w:val="none" w:sz="0" w:space="0" w:color="auto"/>
      </w:divBdr>
    </w:div>
    <w:div w:id="1859928685">
      <w:bodyDiv w:val="1"/>
      <w:marLeft w:val="0"/>
      <w:marRight w:val="0"/>
      <w:marTop w:val="0"/>
      <w:marBottom w:val="0"/>
      <w:divBdr>
        <w:top w:val="none" w:sz="0" w:space="0" w:color="auto"/>
        <w:left w:val="none" w:sz="0" w:space="0" w:color="auto"/>
        <w:bottom w:val="none" w:sz="0" w:space="0" w:color="auto"/>
        <w:right w:val="none" w:sz="0" w:space="0" w:color="auto"/>
      </w:divBdr>
    </w:div>
    <w:div w:id="1861355604">
      <w:bodyDiv w:val="1"/>
      <w:marLeft w:val="0"/>
      <w:marRight w:val="0"/>
      <w:marTop w:val="0"/>
      <w:marBottom w:val="0"/>
      <w:divBdr>
        <w:top w:val="none" w:sz="0" w:space="0" w:color="auto"/>
        <w:left w:val="none" w:sz="0" w:space="0" w:color="auto"/>
        <w:bottom w:val="none" w:sz="0" w:space="0" w:color="auto"/>
        <w:right w:val="none" w:sz="0" w:space="0" w:color="auto"/>
      </w:divBdr>
    </w:div>
    <w:div w:id="1881241547">
      <w:bodyDiv w:val="1"/>
      <w:marLeft w:val="0"/>
      <w:marRight w:val="0"/>
      <w:marTop w:val="0"/>
      <w:marBottom w:val="0"/>
      <w:divBdr>
        <w:top w:val="none" w:sz="0" w:space="0" w:color="auto"/>
        <w:left w:val="none" w:sz="0" w:space="0" w:color="auto"/>
        <w:bottom w:val="none" w:sz="0" w:space="0" w:color="auto"/>
        <w:right w:val="none" w:sz="0" w:space="0" w:color="auto"/>
      </w:divBdr>
    </w:div>
    <w:div w:id="1885632381">
      <w:bodyDiv w:val="1"/>
      <w:marLeft w:val="0"/>
      <w:marRight w:val="0"/>
      <w:marTop w:val="0"/>
      <w:marBottom w:val="0"/>
      <w:divBdr>
        <w:top w:val="none" w:sz="0" w:space="0" w:color="auto"/>
        <w:left w:val="none" w:sz="0" w:space="0" w:color="auto"/>
        <w:bottom w:val="none" w:sz="0" w:space="0" w:color="auto"/>
        <w:right w:val="none" w:sz="0" w:space="0" w:color="auto"/>
      </w:divBdr>
    </w:div>
    <w:div w:id="1886212606">
      <w:bodyDiv w:val="1"/>
      <w:marLeft w:val="0"/>
      <w:marRight w:val="0"/>
      <w:marTop w:val="0"/>
      <w:marBottom w:val="0"/>
      <w:divBdr>
        <w:top w:val="none" w:sz="0" w:space="0" w:color="auto"/>
        <w:left w:val="none" w:sz="0" w:space="0" w:color="auto"/>
        <w:bottom w:val="none" w:sz="0" w:space="0" w:color="auto"/>
        <w:right w:val="none" w:sz="0" w:space="0" w:color="auto"/>
      </w:divBdr>
    </w:div>
    <w:div w:id="1889491408">
      <w:bodyDiv w:val="1"/>
      <w:marLeft w:val="0"/>
      <w:marRight w:val="0"/>
      <w:marTop w:val="0"/>
      <w:marBottom w:val="0"/>
      <w:divBdr>
        <w:top w:val="none" w:sz="0" w:space="0" w:color="auto"/>
        <w:left w:val="none" w:sz="0" w:space="0" w:color="auto"/>
        <w:bottom w:val="none" w:sz="0" w:space="0" w:color="auto"/>
        <w:right w:val="none" w:sz="0" w:space="0" w:color="auto"/>
      </w:divBdr>
    </w:div>
    <w:div w:id="1898079056">
      <w:bodyDiv w:val="1"/>
      <w:marLeft w:val="0"/>
      <w:marRight w:val="0"/>
      <w:marTop w:val="0"/>
      <w:marBottom w:val="0"/>
      <w:divBdr>
        <w:top w:val="none" w:sz="0" w:space="0" w:color="auto"/>
        <w:left w:val="none" w:sz="0" w:space="0" w:color="auto"/>
        <w:bottom w:val="none" w:sz="0" w:space="0" w:color="auto"/>
        <w:right w:val="none" w:sz="0" w:space="0" w:color="auto"/>
      </w:divBdr>
    </w:div>
    <w:div w:id="1902790687">
      <w:bodyDiv w:val="1"/>
      <w:marLeft w:val="0"/>
      <w:marRight w:val="0"/>
      <w:marTop w:val="0"/>
      <w:marBottom w:val="0"/>
      <w:divBdr>
        <w:top w:val="none" w:sz="0" w:space="0" w:color="auto"/>
        <w:left w:val="none" w:sz="0" w:space="0" w:color="auto"/>
        <w:bottom w:val="none" w:sz="0" w:space="0" w:color="auto"/>
        <w:right w:val="none" w:sz="0" w:space="0" w:color="auto"/>
      </w:divBdr>
    </w:div>
    <w:div w:id="1903322390">
      <w:bodyDiv w:val="1"/>
      <w:marLeft w:val="0"/>
      <w:marRight w:val="0"/>
      <w:marTop w:val="0"/>
      <w:marBottom w:val="0"/>
      <w:divBdr>
        <w:top w:val="none" w:sz="0" w:space="0" w:color="auto"/>
        <w:left w:val="none" w:sz="0" w:space="0" w:color="auto"/>
        <w:bottom w:val="none" w:sz="0" w:space="0" w:color="auto"/>
        <w:right w:val="none" w:sz="0" w:space="0" w:color="auto"/>
      </w:divBdr>
    </w:div>
    <w:div w:id="1908804892">
      <w:bodyDiv w:val="1"/>
      <w:marLeft w:val="0"/>
      <w:marRight w:val="0"/>
      <w:marTop w:val="0"/>
      <w:marBottom w:val="0"/>
      <w:divBdr>
        <w:top w:val="none" w:sz="0" w:space="0" w:color="auto"/>
        <w:left w:val="none" w:sz="0" w:space="0" w:color="auto"/>
        <w:bottom w:val="none" w:sz="0" w:space="0" w:color="auto"/>
        <w:right w:val="none" w:sz="0" w:space="0" w:color="auto"/>
      </w:divBdr>
      <w:divsChild>
        <w:div w:id="982274967">
          <w:marLeft w:val="0"/>
          <w:marRight w:val="0"/>
          <w:marTop w:val="0"/>
          <w:marBottom w:val="0"/>
          <w:divBdr>
            <w:top w:val="none" w:sz="0" w:space="0" w:color="auto"/>
            <w:left w:val="none" w:sz="0" w:space="0" w:color="auto"/>
            <w:bottom w:val="none" w:sz="0" w:space="0" w:color="auto"/>
            <w:right w:val="none" w:sz="0" w:space="0" w:color="auto"/>
          </w:divBdr>
          <w:divsChild>
            <w:div w:id="548542057">
              <w:marLeft w:val="0"/>
              <w:marRight w:val="0"/>
              <w:marTop w:val="0"/>
              <w:marBottom w:val="0"/>
              <w:divBdr>
                <w:top w:val="none" w:sz="0" w:space="0" w:color="auto"/>
                <w:left w:val="none" w:sz="0" w:space="0" w:color="auto"/>
                <w:bottom w:val="none" w:sz="0" w:space="0" w:color="auto"/>
                <w:right w:val="none" w:sz="0" w:space="0" w:color="auto"/>
              </w:divBdr>
              <w:divsChild>
                <w:div w:id="1334526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4047242">
      <w:bodyDiv w:val="1"/>
      <w:marLeft w:val="0"/>
      <w:marRight w:val="0"/>
      <w:marTop w:val="0"/>
      <w:marBottom w:val="0"/>
      <w:divBdr>
        <w:top w:val="none" w:sz="0" w:space="0" w:color="auto"/>
        <w:left w:val="none" w:sz="0" w:space="0" w:color="auto"/>
        <w:bottom w:val="none" w:sz="0" w:space="0" w:color="auto"/>
        <w:right w:val="none" w:sz="0" w:space="0" w:color="auto"/>
      </w:divBdr>
      <w:divsChild>
        <w:div w:id="1707751147">
          <w:marLeft w:val="0"/>
          <w:marRight w:val="0"/>
          <w:marTop w:val="0"/>
          <w:marBottom w:val="0"/>
          <w:divBdr>
            <w:top w:val="none" w:sz="0" w:space="0" w:color="auto"/>
            <w:left w:val="none" w:sz="0" w:space="0" w:color="auto"/>
            <w:bottom w:val="none" w:sz="0" w:space="0" w:color="auto"/>
            <w:right w:val="none" w:sz="0" w:space="0" w:color="auto"/>
          </w:divBdr>
          <w:divsChild>
            <w:div w:id="460417474">
              <w:marLeft w:val="0"/>
              <w:marRight w:val="0"/>
              <w:marTop w:val="0"/>
              <w:marBottom w:val="0"/>
              <w:divBdr>
                <w:top w:val="none" w:sz="0" w:space="0" w:color="auto"/>
                <w:left w:val="none" w:sz="0" w:space="0" w:color="auto"/>
                <w:bottom w:val="none" w:sz="0" w:space="0" w:color="auto"/>
                <w:right w:val="none" w:sz="0" w:space="0" w:color="auto"/>
              </w:divBdr>
              <w:divsChild>
                <w:div w:id="293558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4193704">
      <w:bodyDiv w:val="1"/>
      <w:marLeft w:val="0"/>
      <w:marRight w:val="0"/>
      <w:marTop w:val="0"/>
      <w:marBottom w:val="0"/>
      <w:divBdr>
        <w:top w:val="none" w:sz="0" w:space="0" w:color="auto"/>
        <w:left w:val="none" w:sz="0" w:space="0" w:color="auto"/>
        <w:bottom w:val="none" w:sz="0" w:space="0" w:color="auto"/>
        <w:right w:val="none" w:sz="0" w:space="0" w:color="auto"/>
      </w:divBdr>
    </w:div>
    <w:div w:id="1935552453">
      <w:bodyDiv w:val="1"/>
      <w:marLeft w:val="0"/>
      <w:marRight w:val="0"/>
      <w:marTop w:val="0"/>
      <w:marBottom w:val="0"/>
      <w:divBdr>
        <w:top w:val="none" w:sz="0" w:space="0" w:color="auto"/>
        <w:left w:val="none" w:sz="0" w:space="0" w:color="auto"/>
        <w:bottom w:val="none" w:sz="0" w:space="0" w:color="auto"/>
        <w:right w:val="none" w:sz="0" w:space="0" w:color="auto"/>
      </w:divBdr>
    </w:div>
    <w:div w:id="1936861132">
      <w:bodyDiv w:val="1"/>
      <w:marLeft w:val="0"/>
      <w:marRight w:val="0"/>
      <w:marTop w:val="0"/>
      <w:marBottom w:val="0"/>
      <w:divBdr>
        <w:top w:val="none" w:sz="0" w:space="0" w:color="auto"/>
        <w:left w:val="none" w:sz="0" w:space="0" w:color="auto"/>
        <w:bottom w:val="none" w:sz="0" w:space="0" w:color="auto"/>
        <w:right w:val="none" w:sz="0" w:space="0" w:color="auto"/>
      </w:divBdr>
    </w:div>
    <w:div w:id="1940867436">
      <w:bodyDiv w:val="1"/>
      <w:marLeft w:val="0"/>
      <w:marRight w:val="0"/>
      <w:marTop w:val="0"/>
      <w:marBottom w:val="0"/>
      <w:divBdr>
        <w:top w:val="none" w:sz="0" w:space="0" w:color="auto"/>
        <w:left w:val="none" w:sz="0" w:space="0" w:color="auto"/>
        <w:bottom w:val="none" w:sz="0" w:space="0" w:color="auto"/>
        <w:right w:val="none" w:sz="0" w:space="0" w:color="auto"/>
      </w:divBdr>
    </w:div>
    <w:div w:id="1943798459">
      <w:bodyDiv w:val="1"/>
      <w:marLeft w:val="0"/>
      <w:marRight w:val="0"/>
      <w:marTop w:val="0"/>
      <w:marBottom w:val="0"/>
      <w:divBdr>
        <w:top w:val="none" w:sz="0" w:space="0" w:color="auto"/>
        <w:left w:val="none" w:sz="0" w:space="0" w:color="auto"/>
        <w:bottom w:val="none" w:sz="0" w:space="0" w:color="auto"/>
        <w:right w:val="none" w:sz="0" w:space="0" w:color="auto"/>
      </w:divBdr>
    </w:div>
    <w:div w:id="1944065984">
      <w:bodyDiv w:val="1"/>
      <w:marLeft w:val="0"/>
      <w:marRight w:val="0"/>
      <w:marTop w:val="0"/>
      <w:marBottom w:val="0"/>
      <w:divBdr>
        <w:top w:val="none" w:sz="0" w:space="0" w:color="auto"/>
        <w:left w:val="none" w:sz="0" w:space="0" w:color="auto"/>
        <w:bottom w:val="none" w:sz="0" w:space="0" w:color="auto"/>
        <w:right w:val="none" w:sz="0" w:space="0" w:color="auto"/>
      </w:divBdr>
    </w:div>
    <w:div w:id="1955163560">
      <w:bodyDiv w:val="1"/>
      <w:marLeft w:val="0"/>
      <w:marRight w:val="0"/>
      <w:marTop w:val="0"/>
      <w:marBottom w:val="0"/>
      <w:divBdr>
        <w:top w:val="none" w:sz="0" w:space="0" w:color="auto"/>
        <w:left w:val="none" w:sz="0" w:space="0" w:color="auto"/>
        <w:bottom w:val="none" w:sz="0" w:space="0" w:color="auto"/>
        <w:right w:val="none" w:sz="0" w:space="0" w:color="auto"/>
      </w:divBdr>
    </w:div>
    <w:div w:id="1957447350">
      <w:bodyDiv w:val="1"/>
      <w:marLeft w:val="0"/>
      <w:marRight w:val="0"/>
      <w:marTop w:val="0"/>
      <w:marBottom w:val="0"/>
      <w:divBdr>
        <w:top w:val="none" w:sz="0" w:space="0" w:color="auto"/>
        <w:left w:val="none" w:sz="0" w:space="0" w:color="auto"/>
        <w:bottom w:val="none" w:sz="0" w:space="0" w:color="auto"/>
        <w:right w:val="none" w:sz="0" w:space="0" w:color="auto"/>
      </w:divBdr>
    </w:div>
    <w:div w:id="1958369558">
      <w:bodyDiv w:val="1"/>
      <w:marLeft w:val="0"/>
      <w:marRight w:val="0"/>
      <w:marTop w:val="0"/>
      <w:marBottom w:val="0"/>
      <w:divBdr>
        <w:top w:val="none" w:sz="0" w:space="0" w:color="auto"/>
        <w:left w:val="none" w:sz="0" w:space="0" w:color="auto"/>
        <w:bottom w:val="none" w:sz="0" w:space="0" w:color="auto"/>
        <w:right w:val="none" w:sz="0" w:space="0" w:color="auto"/>
      </w:divBdr>
    </w:div>
    <w:div w:id="1977370602">
      <w:bodyDiv w:val="1"/>
      <w:marLeft w:val="0"/>
      <w:marRight w:val="0"/>
      <w:marTop w:val="0"/>
      <w:marBottom w:val="0"/>
      <w:divBdr>
        <w:top w:val="none" w:sz="0" w:space="0" w:color="auto"/>
        <w:left w:val="none" w:sz="0" w:space="0" w:color="auto"/>
        <w:bottom w:val="none" w:sz="0" w:space="0" w:color="auto"/>
        <w:right w:val="none" w:sz="0" w:space="0" w:color="auto"/>
      </w:divBdr>
    </w:div>
    <w:div w:id="1982154354">
      <w:bodyDiv w:val="1"/>
      <w:marLeft w:val="0"/>
      <w:marRight w:val="0"/>
      <w:marTop w:val="0"/>
      <w:marBottom w:val="0"/>
      <w:divBdr>
        <w:top w:val="none" w:sz="0" w:space="0" w:color="auto"/>
        <w:left w:val="none" w:sz="0" w:space="0" w:color="auto"/>
        <w:bottom w:val="none" w:sz="0" w:space="0" w:color="auto"/>
        <w:right w:val="none" w:sz="0" w:space="0" w:color="auto"/>
      </w:divBdr>
    </w:div>
    <w:div w:id="1989898058">
      <w:bodyDiv w:val="1"/>
      <w:marLeft w:val="0"/>
      <w:marRight w:val="0"/>
      <w:marTop w:val="0"/>
      <w:marBottom w:val="0"/>
      <w:divBdr>
        <w:top w:val="none" w:sz="0" w:space="0" w:color="auto"/>
        <w:left w:val="none" w:sz="0" w:space="0" w:color="auto"/>
        <w:bottom w:val="none" w:sz="0" w:space="0" w:color="auto"/>
        <w:right w:val="none" w:sz="0" w:space="0" w:color="auto"/>
      </w:divBdr>
    </w:div>
    <w:div w:id="1997487973">
      <w:bodyDiv w:val="1"/>
      <w:marLeft w:val="0"/>
      <w:marRight w:val="0"/>
      <w:marTop w:val="0"/>
      <w:marBottom w:val="0"/>
      <w:divBdr>
        <w:top w:val="none" w:sz="0" w:space="0" w:color="auto"/>
        <w:left w:val="none" w:sz="0" w:space="0" w:color="auto"/>
        <w:bottom w:val="none" w:sz="0" w:space="0" w:color="auto"/>
        <w:right w:val="none" w:sz="0" w:space="0" w:color="auto"/>
      </w:divBdr>
    </w:div>
    <w:div w:id="1999843371">
      <w:bodyDiv w:val="1"/>
      <w:marLeft w:val="0"/>
      <w:marRight w:val="0"/>
      <w:marTop w:val="0"/>
      <w:marBottom w:val="0"/>
      <w:divBdr>
        <w:top w:val="none" w:sz="0" w:space="0" w:color="auto"/>
        <w:left w:val="none" w:sz="0" w:space="0" w:color="auto"/>
        <w:bottom w:val="none" w:sz="0" w:space="0" w:color="auto"/>
        <w:right w:val="none" w:sz="0" w:space="0" w:color="auto"/>
      </w:divBdr>
    </w:div>
    <w:div w:id="2003923684">
      <w:bodyDiv w:val="1"/>
      <w:marLeft w:val="0"/>
      <w:marRight w:val="0"/>
      <w:marTop w:val="0"/>
      <w:marBottom w:val="0"/>
      <w:divBdr>
        <w:top w:val="none" w:sz="0" w:space="0" w:color="auto"/>
        <w:left w:val="none" w:sz="0" w:space="0" w:color="auto"/>
        <w:bottom w:val="none" w:sz="0" w:space="0" w:color="auto"/>
        <w:right w:val="none" w:sz="0" w:space="0" w:color="auto"/>
      </w:divBdr>
    </w:div>
    <w:div w:id="2008362413">
      <w:bodyDiv w:val="1"/>
      <w:marLeft w:val="0"/>
      <w:marRight w:val="0"/>
      <w:marTop w:val="0"/>
      <w:marBottom w:val="0"/>
      <w:divBdr>
        <w:top w:val="none" w:sz="0" w:space="0" w:color="auto"/>
        <w:left w:val="none" w:sz="0" w:space="0" w:color="auto"/>
        <w:bottom w:val="none" w:sz="0" w:space="0" w:color="auto"/>
        <w:right w:val="none" w:sz="0" w:space="0" w:color="auto"/>
      </w:divBdr>
    </w:div>
    <w:div w:id="2008551709">
      <w:bodyDiv w:val="1"/>
      <w:marLeft w:val="0"/>
      <w:marRight w:val="0"/>
      <w:marTop w:val="0"/>
      <w:marBottom w:val="0"/>
      <w:divBdr>
        <w:top w:val="none" w:sz="0" w:space="0" w:color="auto"/>
        <w:left w:val="none" w:sz="0" w:space="0" w:color="auto"/>
        <w:bottom w:val="none" w:sz="0" w:space="0" w:color="auto"/>
        <w:right w:val="none" w:sz="0" w:space="0" w:color="auto"/>
      </w:divBdr>
    </w:div>
    <w:div w:id="2011759524">
      <w:bodyDiv w:val="1"/>
      <w:marLeft w:val="0"/>
      <w:marRight w:val="0"/>
      <w:marTop w:val="0"/>
      <w:marBottom w:val="0"/>
      <w:divBdr>
        <w:top w:val="none" w:sz="0" w:space="0" w:color="auto"/>
        <w:left w:val="none" w:sz="0" w:space="0" w:color="auto"/>
        <w:bottom w:val="none" w:sz="0" w:space="0" w:color="auto"/>
        <w:right w:val="none" w:sz="0" w:space="0" w:color="auto"/>
      </w:divBdr>
    </w:div>
    <w:div w:id="2022970447">
      <w:bodyDiv w:val="1"/>
      <w:marLeft w:val="0"/>
      <w:marRight w:val="0"/>
      <w:marTop w:val="0"/>
      <w:marBottom w:val="0"/>
      <w:divBdr>
        <w:top w:val="none" w:sz="0" w:space="0" w:color="auto"/>
        <w:left w:val="none" w:sz="0" w:space="0" w:color="auto"/>
        <w:bottom w:val="none" w:sz="0" w:space="0" w:color="auto"/>
        <w:right w:val="none" w:sz="0" w:space="0" w:color="auto"/>
      </w:divBdr>
    </w:div>
    <w:div w:id="2028947358">
      <w:bodyDiv w:val="1"/>
      <w:marLeft w:val="0"/>
      <w:marRight w:val="0"/>
      <w:marTop w:val="0"/>
      <w:marBottom w:val="0"/>
      <w:divBdr>
        <w:top w:val="none" w:sz="0" w:space="0" w:color="auto"/>
        <w:left w:val="none" w:sz="0" w:space="0" w:color="auto"/>
        <w:bottom w:val="none" w:sz="0" w:space="0" w:color="auto"/>
        <w:right w:val="none" w:sz="0" w:space="0" w:color="auto"/>
      </w:divBdr>
    </w:div>
    <w:div w:id="2030325505">
      <w:bodyDiv w:val="1"/>
      <w:marLeft w:val="0"/>
      <w:marRight w:val="0"/>
      <w:marTop w:val="0"/>
      <w:marBottom w:val="0"/>
      <w:divBdr>
        <w:top w:val="none" w:sz="0" w:space="0" w:color="auto"/>
        <w:left w:val="none" w:sz="0" w:space="0" w:color="auto"/>
        <w:bottom w:val="none" w:sz="0" w:space="0" w:color="auto"/>
        <w:right w:val="none" w:sz="0" w:space="0" w:color="auto"/>
      </w:divBdr>
    </w:div>
    <w:div w:id="2033913596">
      <w:bodyDiv w:val="1"/>
      <w:marLeft w:val="0"/>
      <w:marRight w:val="0"/>
      <w:marTop w:val="0"/>
      <w:marBottom w:val="0"/>
      <w:divBdr>
        <w:top w:val="none" w:sz="0" w:space="0" w:color="auto"/>
        <w:left w:val="none" w:sz="0" w:space="0" w:color="auto"/>
        <w:bottom w:val="none" w:sz="0" w:space="0" w:color="auto"/>
        <w:right w:val="none" w:sz="0" w:space="0" w:color="auto"/>
      </w:divBdr>
    </w:div>
    <w:div w:id="2046832581">
      <w:bodyDiv w:val="1"/>
      <w:marLeft w:val="0"/>
      <w:marRight w:val="0"/>
      <w:marTop w:val="0"/>
      <w:marBottom w:val="0"/>
      <w:divBdr>
        <w:top w:val="none" w:sz="0" w:space="0" w:color="auto"/>
        <w:left w:val="none" w:sz="0" w:space="0" w:color="auto"/>
        <w:bottom w:val="none" w:sz="0" w:space="0" w:color="auto"/>
        <w:right w:val="none" w:sz="0" w:space="0" w:color="auto"/>
      </w:divBdr>
    </w:div>
    <w:div w:id="2047562560">
      <w:bodyDiv w:val="1"/>
      <w:marLeft w:val="0"/>
      <w:marRight w:val="0"/>
      <w:marTop w:val="0"/>
      <w:marBottom w:val="0"/>
      <w:divBdr>
        <w:top w:val="none" w:sz="0" w:space="0" w:color="auto"/>
        <w:left w:val="none" w:sz="0" w:space="0" w:color="auto"/>
        <w:bottom w:val="none" w:sz="0" w:space="0" w:color="auto"/>
        <w:right w:val="none" w:sz="0" w:space="0" w:color="auto"/>
      </w:divBdr>
    </w:div>
    <w:div w:id="2056269239">
      <w:bodyDiv w:val="1"/>
      <w:marLeft w:val="0"/>
      <w:marRight w:val="0"/>
      <w:marTop w:val="0"/>
      <w:marBottom w:val="0"/>
      <w:divBdr>
        <w:top w:val="none" w:sz="0" w:space="0" w:color="auto"/>
        <w:left w:val="none" w:sz="0" w:space="0" w:color="auto"/>
        <w:bottom w:val="none" w:sz="0" w:space="0" w:color="auto"/>
        <w:right w:val="none" w:sz="0" w:space="0" w:color="auto"/>
      </w:divBdr>
    </w:div>
    <w:div w:id="2076582054">
      <w:bodyDiv w:val="1"/>
      <w:marLeft w:val="0"/>
      <w:marRight w:val="0"/>
      <w:marTop w:val="0"/>
      <w:marBottom w:val="0"/>
      <w:divBdr>
        <w:top w:val="none" w:sz="0" w:space="0" w:color="auto"/>
        <w:left w:val="none" w:sz="0" w:space="0" w:color="auto"/>
        <w:bottom w:val="none" w:sz="0" w:space="0" w:color="auto"/>
        <w:right w:val="none" w:sz="0" w:space="0" w:color="auto"/>
      </w:divBdr>
    </w:div>
    <w:div w:id="2081251479">
      <w:bodyDiv w:val="1"/>
      <w:marLeft w:val="0"/>
      <w:marRight w:val="0"/>
      <w:marTop w:val="0"/>
      <w:marBottom w:val="0"/>
      <w:divBdr>
        <w:top w:val="none" w:sz="0" w:space="0" w:color="auto"/>
        <w:left w:val="none" w:sz="0" w:space="0" w:color="auto"/>
        <w:bottom w:val="none" w:sz="0" w:space="0" w:color="auto"/>
        <w:right w:val="none" w:sz="0" w:space="0" w:color="auto"/>
      </w:divBdr>
    </w:div>
    <w:div w:id="2083673659">
      <w:bodyDiv w:val="1"/>
      <w:marLeft w:val="0"/>
      <w:marRight w:val="0"/>
      <w:marTop w:val="0"/>
      <w:marBottom w:val="0"/>
      <w:divBdr>
        <w:top w:val="none" w:sz="0" w:space="0" w:color="auto"/>
        <w:left w:val="none" w:sz="0" w:space="0" w:color="auto"/>
        <w:bottom w:val="none" w:sz="0" w:space="0" w:color="auto"/>
        <w:right w:val="none" w:sz="0" w:space="0" w:color="auto"/>
      </w:divBdr>
    </w:div>
    <w:div w:id="2091998045">
      <w:bodyDiv w:val="1"/>
      <w:marLeft w:val="0"/>
      <w:marRight w:val="0"/>
      <w:marTop w:val="0"/>
      <w:marBottom w:val="0"/>
      <w:divBdr>
        <w:top w:val="none" w:sz="0" w:space="0" w:color="auto"/>
        <w:left w:val="none" w:sz="0" w:space="0" w:color="auto"/>
        <w:bottom w:val="none" w:sz="0" w:space="0" w:color="auto"/>
        <w:right w:val="none" w:sz="0" w:space="0" w:color="auto"/>
      </w:divBdr>
    </w:div>
    <w:div w:id="2097049159">
      <w:bodyDiv w:val="1"/>
      <w:marLeft w:val="0"/>
      <w:marRight w:val="0"/>
      <w:marTop w:val="0"/>
      <w:marBottom w:val="0"/>
      <w:divBdr>
        <w:top w:val="none" w:sz="0" w:space="0" w:color="auto"/>
        <w:left w:val="none" w:sz="0" w:space="0" w:color="auto"/>
        <w:bottom w:val="none" w:sz="0" w:space="0" w:color="auto"/>
        <w:right w:val="none" w:sz="0" w:space="0" w:color="auto"/>
      </w:divBdr>
    </w:div>
    <w:div w:id="2101288651">
      <w:bodyDiv w:val="1"/>
      <w:marLeft w:val="0"/>
      <w:marRight w:val="0"/>
      <w:marTop w:val="0"/>
      <w:marBottom w:val="0"/>
      <w:divBdr>
        <w:top w:val="none" w:sz="0" w:space="0" w:color="auto"/>
        <w:left w:val="none" w:sz="0" w:space="0" w:color="auto"/>
        <w:bottom w:val="none" w:sz="0" w:space="0" w:color="auto"/>
        <w:right w:val="none" w:sz="0" w:space="0" w:color="auto"/>
      </w:divBdr>
      <w:divsChild>
        <w:div w:id="108934053">
          <w:marLeft w:val="1008"/>
          <w:marRight w:val="0"/>
          <w:marTop w:val="0"/>
          <w:marBottom w:val="82"/>
          <w:divBdr>
            <w:top w:val="none" w:sz="0" w:space="0" w:color="auto"/>
            <w:left w:val="none" w:sz="0" w:space="0" w:color="auto"/>
            <w:bottom w:val="none" w:sz="0" w:space="0" w:color="auto"/>
            <w:right w:val="none" w:sz="0" w:space="0" w:color="auto"/>
          </w:divBdr>
        </w:div>
        <w:div w:id="1383945455">
          <w:marLeft w:val="1008"/>
          <w:marRight w:val="0"/>
          <w:marTop w:val="0"/>
          <w:marBottom w:val="82"/>
          <w:divBdr>
            <w:top w:val="none" w:sz="0" w:space="0" w:color="auto"/>
            <w:left w:val="none" w:sz="0" w:space="0" w:color="auto"/>
            <w:bottom w:val="none" w:sz="0" w:space="0" w:color="auto"/>
            <w:right w:val="none" w:sz="0" w:space="0" w:color="auto"/>
          </w:divBdr>
        </w:div>
      </w:divsChild>
    </w:div>
    <w:div w:id="2110880821">
      <w:bodyDiv w:val="1"/>
      <w:marLeft w:val="0"/>
      <w:marRight w:val="0"/>
      <w:marTop w:val="0"/>
      <w:marBottom w:val="0"/>
      <w:divBdr>
        <w:top w:val="none" w:sz="0" w:space="0" w:color="auto"/>
        <w:left w:val="none" w:sz="0" w:space="0" w:color="auto"/>
        <w:bottom w:val="none" w:sz="0" w:space="0" w:color="auto"/>
        <w:right w:val="none" w:sz="0" w:space="0" w:color="auto"/>
      </w:divBdr>
    </w:div>
    <w:div w:id="2141796379">
      <w:bodyDiv w:val="1"/>
      <w:marLeft w:val="0"/>
      <w:marRight w:val="0"/>
      <w:marTop w:val="0"/>
      <w:marBottom w:val="0"/>
      <w:divBdr>
        <w:top w:val="none" w:sz="0" w:space="0" w:color="auto"/>
        <w:left w:val="none" w:sz="0" w:space="0" w:color="auto"/>
        <w:bottom w:val="none" w:sz="0" w:space="0" w:color="auto"/>
        <w:right w:val="none" w:sz="0" w:space="0" w:color="auto"/>
      </w:divBdr>
    </w:div>
    <w:div w:id="214245680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javascript:AbrirModal(2)"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hyperlink" Target="javascript:AbrirModal(3)"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2F6056-C11E-4E5C-B523-13F9DB877E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90</Pages>
  <Words>22723</Words>
  <Characters>124980</Characters>
  <Application>Microsoft Office Word</Application>
  <DocSecurity>0</DocSecurity>
  <Lines>1041</Lines>
  <Paragraphs>294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147409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user</cp:lastModifiedBy>
  <cp:revision>11</cp:revision>
  <cp:lastPrinted>2020-03-11T19:26:00Z</cp:lastPrinted>
  <dcterms:created xsi:type="dcterms:W3CDTF">2021-09-16T04:30:00Z</dcterms:created>
  <dcterms:modified xsi:type="dcterms:W3CDTF">2021-09-22T18:48:00Z</dcterms:modified>
</cp:coreProperties>
</file>