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1ED" w:rsidRPr="009B6FD5" w:rsidRDefault="00D771ED" w:rsidP="009B6FD5">
      <w:pPr>
        <w:spacing w:line="360" w:lineRule="auto"/>
        <w:jc w:val="both"/>
        <w:rPr>
          <w:rFonts w:ascii="Palatino Linotype" w:hAnsi="Palatino Linotype"/>
          <w:lang w:val="es-ES_tradnl" w:eastAsia="es-ES"/>
        </w:rPr>
      </w:pPr>
      <w:bookmarkStart w:id="0" w:name="_GoBack"/>
      <w:bookmarkEnd w:id="0"/>
    </w:p>
    <w:p w:rsidR="00D771ED" w:rsidRPr="009B6FD5" w:rsidRDefault="00D771ED" w:rsidP="009B6FD5">
      <w:pPr>
        <w:spacing w:line="360" w:lineRule="auto"/>
        <w:jc w:val="center"/>
        <w:rPr>
          <w:rFonts w:ascii="Palatino Linotype" w:eastAsiaTheme="minorEastAsia" w:hAnsi="Palatino Linotype"/>
          <w:lang w:val="es-ES_tradnl" w:eastAsia="es-ES"/>
        </w:rPr>
      </w:pPr>
      <w:r w:rsidRPr="009B6FD5">
        <w:rPr>
          <w:rFonts w:ascii="Palatino Linotype" w:eastAsiaTheme="minorEastAsia" w:hAnsi="Palatino Linotype"/>
          <w:b/>
          <w:lang w:val="es-ES_tradnl" w:eastAsia="es-ES"/>
        </w:rPr>
        <w:t>ÍNDICE</w:t>
      </w:r>
      <w:r w:rsidRPr="009B6FD5">
        <w:rPr>
          <w:rFonts w:ascii="Palatino Linotype" w:eastAsiaTheme="minorEastAsia" w:hAnsi="Palatino Linotype"/>
          <w:lang w:val="es-ES_tradnl" w:eastAsia="es-ES"/>
        </w:rPr>
        <w:t>.</w:t>
      </w:r>
    </w:p>
    <w:sdt>
      <w:sdtPr>
        <w:rPr>
          <w:rFonts w:ascii="Palatino Linotype" w:eastAsiaTheme="minorEastAsia" w:hAnsi="Palatino Linotype"/>
          <w:lang w:val="es-ES" w:eastAsia="es-ES"/>
        </w:rPr>
        <w:id w:val="1703668029"/>
        <w:docPartObj>
          <w:docPartGallery w:val="Table of Contents"/>
          <w:docPartUnique/>
        </w:docPartObj>
      </w:sdtPr>
      <w:sdtEndPr>
        <w:rPr>
          <w:bCs/>
        </w:rPr>
      </w:sdtEndPr>
      <w:sdtContent>
        <w:p w:rsidR="00D771ED" w:rsidRPr="009B6FD5" w:rsidRDefault="00D771ED" w:rsidP="009B6FD5">
          <w:pPr>
            <w:keepNext/>
            <w:keepLines/>
            <w:spacing w:line="360" w:lineRule="auto"/>
            <w:rPr>
              <w:rFonts w:ascii="Palatino Linotype" w:eastAsiaTheme="majorEastAsia" w:hAnsi="Palatino Linotype" w:cstheme="majorBidi"/>
              <w:b/>
              <w:szCs w:val="32"/>
            </w:rPr>
          </w:pPr>
        </w:p>
        <w:p w:rsidR="00A657B2" w:rsidRPr="009B6FD5" w:rsidRDefault="00D771ED" w:rsidP="009B6FD5">
          <w:pPr>
            <w:pStyle w:val="TDC1"/>
            <w:tabs>
              <w:tab w:val="right" w:leader="dot" w:pos="9034"/>
            </w:tabs>
            <w:spacing w:after="0" w:line="360" w:lineRule="auto"/>
            <w:jc w:val="right"/>
            <w:rPr>
              <w:rFonts w:ascii="Palatino Linotype" w:eastAsiaTheme="minorEastAsia" w:hAnsi="Palatino Linotype"/>
              <w:b/>
              <w:noProof/>
              <w:sz w:val="24"/>
              <w:lang w:val="es-ES" w:eastAsia="es-ES"/>
            </w:rPr>
          </w:pPr>
          <w:r w:rsidRPr="009B6FD5">
            <w:rPr>
              <w:rFonts w:ascii="Palatino Linotype" w:eastAsiaTheme="minorEastAsia" w:hAnsi="Palatino Linotype"/>
              <w:b/>
              <w:sz w:val="24"/>
              <w:szCs w:val="24"/>
              <w:lang w:val="es-ES_tradnl" w:eastAsia="es-ES"/>
            </w:rPr>
            <w:fldChar w:fldCharType="begin"/>
          </w:r>
          <w:r w:rsidRPr="009B6FD5">
            <w:rPr>
              <w:rFonts w:ascii="Palatino Linotype" w:eastAsiaTheme="minorEastAsia" w:hAnsi="Palatino Linotype"/>
              <w:b/>
              <w:sz w:val="24"/>
              <w:szCs w:val="24"/>
              <w:lang w:val="es-ES_tradnl" w:eastAsia="es-ES"/>
            </w:rPr>
            <w:instrText xml:space="preserve"> TOC \o "1-3" \h \z \u </w:instrText>
          </w:r>
          <w:r w:rsidRPr="009B6FD5">
            <w:rPr>
              <w:rFonts w:ascii="Palatino Linotype" w:eastAsiaTheme="minorEastAsia" w:hAnsi="Palatino Linotype"/>
              <w:b/>
              <w:sz w:val="24"/>
              <w:szCs w:val="24"/>
              <w:lang w:val="es-ES_tradnl" w:eastAsia="es-ES"/>
            </w:rPr>
            <w:fldChar w:fldCharType="separate"/>
          </w:r>
          <w:hyperlink w:anchor="_Toc83301633" w:history="1">
            <w:r w:rsidR="00A657B2" w:rsidRPr="009B6FD5">
              <w:rPr>
                <w:rStyle w:val="Hipervnculo"/>
                <w:rFonts w:ascii="Palatino Linotype" w:eastAsiaTheme="majorEastAsia" w:hAnsi="Palatino Linotype" w:cstheme="majorBidi"/>
                <w:b/>
                <w:noProof/>
                <w:sz w:val="24"/>
              </w:rPr>
              <w:t>ANTECEDENTES</w:t>
            </w:r>
            <w:r w:rsidR="00A657B2" w:rsidRPr="009B6FD5">
              <w:rPr>
                <w:rFonts w:ascii="Palatino Linotype" w:hAnsi="Palatino Linotype"/>
                <w:b/>
                <w:noProof/>
                <w:webHidden/>
                <w:sz w:val="24"/>
              </w:rPr>
              <w:tab/>
            </w:r>
            <w:r w:rsidR="00A657B2" w:rsidRPr="009B6FD5">
              <w:rPr>
                <w:rFonts w:ascii="Palatino Linotype" w:hAnsi="Palatino Linotype"/>
                <w:b/>
                <w:noProof/>
                <w:webHidden/>
                <w:sz w:val="24"/>
              </w:rPr>
              <w:fldChar w:fldCharType="begin"/>
            </w:r>
            <w:r w:rsidR="00A657B2" w:rsidRPr="009B6FD5">
              <w:rPr>
                <w:rFonts w:ascii="Palatino Linotype" w:hAnsi="Palatino Linotype"/>
                <w:b/>
                <w:noProof/>
                <w:webHidden/>
                <w:sz w:val="24"/>
              </w:rPr>
              <w:instrText xml:space="preserve"> PAGEREF _Toc83301633 \h </w:instrText>
            </w:r>
            <w:r w:rsidR="00A657B2" w:rsidRPr="009B6FD5">
              <w:rPr>
                <w:rFonts w:ascii="Palatino Linotype" w:hAnsi="Palatino Linotype"/>
                <w:b/>
                <w:noProof/>
                <w:webHidden/>
                <w:sz w:val="24"/>
              </w:rPr>
            </w:r>
            <w:r w:rsidR="00A657B2" w:rsidRPr="009B6FD5">
              <w:rPr>
                <w:rFonts w:ascii="Palatino Linotype" w:hAnsi="Palatino Linotype"/>
                <w:b/>
                <w:noProof/>
                <w:webHidden/>
                <w:sz w:val="24"/>
              </w:rPr>
              <w:fldChar w:fldCharType="separate"/>
            </w:r>
            <w:r w:rsidR="00F30210">
              <w:rPr>
                <w:rFonts w:ascii="Palatino Linotype" w:hAnsi="Palatino Linotype"/>
                <w:b/>
                <w:noProof/>
                <w:webHidden/>
                <w:sz w:val="24"/>
              </w:rPr>
              <w:t>2</w:t>
            </w:r>
            <w:r w:rsidR="00A657B2" w:rsidRPr="009B6FD5">
              <w:rPr>
                <w:rFonts w:ascii="Palatino Linotype" w:hAnsi="Palatino Linotype"/>
                <w:b/>
                <w:noProof/>
                <w:webHidden/>
                <w:sz w:val="24"/>
              </w:rPr>
              <w:fldChar w:fldCharType="end"/>
            </w:r>
          </w:hyperlink>
        </w:p>
        <w:p w:rsidR="00A657B2" w:rsidRPr="009B6FD5" w:rsidRDefault="00604643" w:rsidP="009B6FD5">
          <w:pPr>
            <w:pStyle w:val="TDC1"/>
            <w:tabs>
              <w:tab w:val="right" w:leader="dot" w:pos="9034"/>
            </w:tabs>
            <w:spacing w:after="0" w:line="360" w:lineRule="auto"/>
            <w:jc w:val="right"/>
            <w:rPr>
              <w:rFonts w:ascii="Palatino Linotype" w:eastAsiaTheme="minorEastAsia" w:hAnsi="Palatino Linotype"/>
              <w:b/>
              <w:noProof/>
              <w:sz w:val="24"/>
              <w:lang w:val="es-ES" w:eastAsia="es-ES"/>
            </w:rPr>
          </w:pPr>
          <w:hyperlink w:anchor="_Toc83301634" w:history="1">
            <w:r w:rsidR="00A657B2" w:rsidRPr="009B6FD5">
              <w:rPr>
                <w:rStyle w:val="Hipervnculo"/>
                <w:rFonts w:ascii="Palatino Linotype" w:eastAsiaTheme="majorEastAsia" w:hAnsi="Palatino Linotype" w:cstheme="majorBidi"/>
                <w:b/>
                <w:noProof/>
                <w:sz w:val="24"/>
              </w:rPr>
              <w:t>CONSIDERANDO</w:t>
            </w:r>
            <w:r w:rsidR="00A657B2" w:rsidRPr="009B6FD5">
              <w:rPr>
                <w:rFonts w:ascii="Palatino Linotype" w:hAnsi="Palatino Linotype"/>
                <w:b/>
                <w:noProof/>
                <w:webHidden/>
                <w:sz w:val="24"/>
              </w:rPr>
              <w:tab/>
            </w:r>
            <w:r w:rsidR="00A657B2" w:rsidRPr="009B6FD5">
              <w:rPr>
                <w:rFonts w:ascii="Palatino Linotype" w:hAnsi="Palatino Linotype"/>
                <w:b/>
                <w:noProof/>
                <w:webHidden/>
                <w:sz w:val="24"/>
              </w:rPr>
              <w:fldChar w:fldCharType="begin"/>
            </w:r>
            <w:r w:rsidR="00A657B2" w:rsidRPr="009B6FD5">
              <w:rPr>
                <w:rFonts w:ascii="Palatino Linotype" w:hAnsi="Palatino Linotype"/>
                <w:b/>
                <w:noProof/>
                <w:webHidden/>
                <w:sz w:val="24"/>
              </w:rPr>
              <w:instrText xml:space="preserve"> PAGEREF _Toc83301634 \h </w:instrText>
            </w:r>
            <w:r w:rsidR="00A657B2" w:rsidRPr="009B6FD5">
              <w:rPr>
                <w:rFonts w:ascii="Palatino Linotype" w:hAnsi="Palatino Linotype"/>
                <w:b/>
                <w:noProof/>
                <w:webHidden/>
                <w:sz w:val="24"/>
              </w:rPr>
            </w:r>
            <w:r w:rsidR="00A657B2" w:rsidRPr="009B6FD5">
              <w:rPr>
                <w:rFonts w:ascii="Palatino Linotype" w:hAnsi="Palatino Linotype"/>
                <w:b/>
                <w:noProof/>
                <w:webHidden/>
                <w:sz w:val="24"/>
              </w:rPr>
              <w:fldChar w:fldCharType="separate"/>
            </w:r>
            <w:r w:rsidR="00F30210">
              <w:rPr>
                <w:rFonts w:ascii="Palatino Linotype" w:hAnsi="Palatino Linotype"/>
                <w:b/>
                <w:noProof/>
                <w:webHidden/>
                <w:sz w:val="24"/>
              </w:rPr>
              <w:t>6</w:t>
            </w:r>
            <w:r w:rsidR="00A657B2" w:rsidRPr="009B6FD5">
              <w:rPr>
                <w:rFonts w:ascii="Palatino Linotype" w:hAnsi="Palatino Linotype"/>
                <w:b/>
                <w:noProof/>
                <w:webHidden/>
                <w:sz w:val="24"/>
              </w:rPr>
              <w:fldChar w:fldCharType="end"/>
            </w:r>
          </w:hyperlink>
        </w:p>
        <w:p w:rsidR="00A657B2" w:rsidRPr="009B6FD5" w:rsidRDefault="00604643" w:rsidP="009B6FD5">
          <w:pPr>
            <w:pStyle w:val="TDC2"/>
            <w:spacing w:line="360" w:lineRule="auto"/>
            <w:jc w:val="right"/>
            <w:rPr>
              <w:rFonts w:ascii="Palatino Linotype" w:eastAsiaTheme="minorEastAsia" w:hAnsi="Palatino Linotype"/>
              <w:b/>
              <w:noProof/>
              <w:sz w:val="24"/>
              <w:lang w:val="es-ES" w:eastAsia="es-ES"/>
            </w:rPr>
          </w:pPr>
          <w:hyperlink w:anchor="_Toc83301635" w:history="1">
            <w:r w:rsidR="00A657B2" w:rsidRPr="009B6FD5">
              <w:rPr>
                <w:rStyle w:val="Hipervnculo"/>
                <w:rFonts w:ascii="Palatino Linotype" w:eastAsiaTheme="majorEastAsia" w:hAnsi="Palatino Linotype" w:cstheme="majorBidi"/>
                <w:b/>
                <w:noProof/>
                <w:sz w:val="24"/>
              </w:rPr>
              <w:t>PRIMERO. De la competencia</w:t>
            </w:r>
            <w:r w:rsidR="00A657B2" w:rsidRPr="009B6FD5">
              <w:rPr>
                <w:rFonts w:ascii="Palatino Linotype" w:hAnsi="Palatino Linotype"/>
                <w:b/>
                <w:noProof/>
                <w:webHidden/>
                <w:sz w:val="24"/>
              </w:rPr>
              <w:tab/>
            </w:r>
            <w:r w:rsidR="00A657B2" w:rsidRPr="009B6FD5">
              <w:rPr>
                <w:rFonts w:ascii="Palatino Linotype" w:hAnsi="Palatino Linotype"/>
                <w:b/>
                <w:noProof/>
                <w:webHidden/>
                <w:sz w:val="24"/>
              </w:rPr>
              <w:fldChar w:fldCharType="begin"/>
            </w:r>
            <w:r w:rsidR="00A657B2" w:rsidRPr="009B6FD5">
              <w:rPr>
                <w:rFonts w:ascii="Palatino Linotype" w:hAnsi="Palatino Linotype"/>
                <w:b/>
                <w:noProof/>
                <w:webHidden/>
                <w:sz w:val="24"/>
              </w:rPr>
              <w:instrText xml:space="preserve"> PAGEREF _Toc83301635 \h </w:instrText>
            </w:r>
            <w:r w:rsidR="00A657B2" w:rsidRPr="009B6FD5">
              <w:rPr>
                <w:rFonts w:ascii="Palatino Linotype" w:hAnsi="Palatino Linotype"/>
                <w:b/>
                <w:noProof/>
                <w:webHidden/>
                <w:sz w:val="24"/>
              </w:rPr>
            </w:r>
            <w:r w:rsidR="00A657B2" w:rsidRPr="009B6FD5">
              <w:rPr>
                <w:rFonts w:ascii="Palatino Linotype" w:hAnsi="Palatino Linotype"/>
                <w:b/>
                <w:noProof/>
                <w:webHidden/>
                <w:sz w:val="24"/>
              </w:rPr>
              <w:fldChar w:fldCharType="separate"/>
            </w:r>
            <w:r w:rsidR="00F30210">
              <w:rPr>
                <w:rFonts w:ascii="Palatino Linotype" w:hAnsi="Palatino Linotype"/>
                <w:b/>
                <w:noProof/>
                <w:webHidden/>
                <w:sz w:val="24"/>
              </w:rPr>
              <w:t>6</w:t>
            </w:r>
            <w:r w:rsidR="00A657B2" w:rsidRPr="009B6FD5">
              <w:rPr>
                <w:rFonts w:ascii="Palatino Linotype" w:hAnsi="Palatino Linotype"/>
                <w:b/>
                <w:noProof/>
                <w:webHidden/>
                <w:sz w:val="24"/>
              </w:rPr>
              <w:fldChar w:fldCharType="end"/>
            </w:r>
          </w:hyperlink>
        </w:p>
        <w:p w:rsidR="00A657B2" w:rsidRPr="009B6FD5" w:rsidRDefault="00604643" w:rsidP="009B6FD5">
          <w:pPr>
            <w:pStyle w:val="TDC2"/>
            <w:spacing w:line="360" w:lineRule="auto"/>
            <w:jc w:val="right"/>
            <w:rPr>
              <w:rFonts w:ascii="Palatino Linotype" w:eastAsiaTheme="minorEastAsia" w:hAnsi="Palatino Linotype"/>
              <w:b/>
              <w:noProof/>
              <w:sz w:val="24"/>
              <w:lang w:val="es-ES" w:eastAsia="es-ES"/>
            </w:rPr>
          </w:pPr>
          <w:hyperlink w:anchor="_Toc83301636" w:history="1">
            <w:r w:rsidR="00A657B2" w:rsidRPr="009B6FD5">
              <w:rPr>
                <w:rStyle w:val="Hipervnculo"/>
                <w:rFonts w:ascii="Palatino Linotype" w:eastAsiaTheme="majorEastAsia" w:hAnsi="Palatino Linotype" w:cstheme="majorBidi"/>
                <w:b/>
                <w:noProof/>
                <w:sz w:val="24"/>
              </w:rPr>
              <w:t>SEGUNDO. De la oportunidad y procedencia.</w:t>
            </w:r>
            <w:r w:rsidR="00A657B2" w:rsidRPr="009B6FD5">
              <w:rPr>
                <w:rFonts w:ascii="Palatino Linotype" w:hAnsi="Palatino Linotype"/>
                <w:b/>
                <w:noProof/>
                <w:webHidden/>
                <w:sz w:val="24"/>
              </w:rPr>
              <w:tab/>
            </w:r>
            <w:r w:rsidR="00A657B2" w:rsidRPr="009B6FD5">
              <w:rPr>
                <w:rFonts w:ascii="Palatino Linotype" w:hAnsi="Palatino Linotype"/>
                <w:b/>
                <w:noProof/>
                <w:webHidden/>
                <w:sz w:val="24"/>
              </w:rPr>
              <w:fldChar w:fldCharType="begin"/>
            </w:r>
            <w:r w:rsidR="00A657B2" w:rsidRPr="009B6FD5">
              <w:rPr>
                <w:rFonts w:ascii="Palatino Linotype" w:hAnsi="Palatino Linotype"/>
                <w:b/>
                <w:noProof/>
                <w:webHidden/>
                <w:sz w:val="24"/>
              </w:rPr>
              <w:instrText xml:space="preserve"> PAGEREF _Toc83301636 \h </w:instrText>
            </w:r>
            <w:r w:rsidR="00A657B2" w:rsidRPr="009B6FD5">
              <w:rPr>
                <w:rFonts w:ascii="Palatino Linotype" w:hAnsi="Palatino Linotype"/>
                <w:b/>
                <w:noProof/>
                <w:webHidden/>
                <w:sz w:val="24"/>
              </w:rPr>
            </w:r>
            <w:r w:rsidR="00A657B2" w:rsidRPr="009B6FD5">
              <w:rPr>
                <w:rFonts w:ascii="Palatino Linotype" w:hAnsi="Palatino Linotype"/>
                <w:b/>
                <w:noProof/>
                <w:webHidden/>
                <w:sz w:val="24"/>
              </w:rPr>
              <w:fldChar w:fldCharType="separate"/>
            </w:r>
            <w:r w:rsidR="00F30210">
              <w:rPr>
                <w:rFonts w:ascii="Palatino Linotype" w:hAnsi="Palatino Linotype"/>
                <w:b/>
                <w:noProof/>
                <w:webHidden/>
                <w:sz w:val="24"/>
              </w:rPr>
              <w:t>7</w:t>
            </w:r>
            <w:r w:rsidR="00A657B2" w:rsidRPr="009B6FD5">
              <w:rPr>
                <w:rFonts w:ascii="Palatino Linotype" w:hAnsi="Palatino Linotype"/>
                <w:b/>
                <w:noProof/>
                <w:webHidden/>
                <w:sz w:val="24"/>
              </w:rPr>
              <w:fldChar w:fldCharType="end"/>
            </w:r>
          </w:hyperlink>
        </w:p>
        <w:p w:rsidR="00A657B2" w:rsidRPr="009B6FD5" w:rsidRDefault="00604643" w:rsidP="009B6FD5">
          <w:pPr>
            <w:pStyle w:val="TDC1"/>
            <w:tabs>
              <w:tab w:val="right" w:leader="dot" w:pos="9034"/>
            </w:tabs>
            <w:spacing w:after="0" w:line="360" w:lineRule="auto"/>
            <w:jc w:val="right"/>
            <w:rPr>
              <w:rFonts w:ascii="Palatino Linotype" w:eastAsiaTheme="minorEastAsia" w:hAnsi="Palatino Linotype"/>
              <w:b/>
              <w:noProof/>
              <w:sz w:val="24"/>
              <w:lang w:val="es-ES" w:eastAsia="es-ES"/>
            </w:rPr>
          </w:pPr>
          <w:hyperlink w:anchor="_Toc83301637" w:history="1">
            <w:r w:rsidR="00A657B2" w:rsidRPr="009B6FD5">
              <w:rPr>
                <w:rStyle w:val="Hipervnculo"/>
                <w:rFonts w:ascii="Palatino Linotype" w:eastAsia="MS Gothic" w:hAnsi="Palatino Linotype" w:cstheme="majorBidi"/>
                <w:b/>
                <w:noProof/>
                <w:sz w:val="24"/>
                <w:lang w:val="es-ES_tradnl" w:eastAsia="es-ES"/>
              </w:rPr>
              <w:t>TERCERO. Planteamiento de la Litis</w:t>
            </w:r>
            <w:r w:rsidR="00A657B2" w:rsidRPr="009B6FD5">
              <w:rPr>
                <w:rFonts w:ascii="Palatino Linotype" w:hAnsi="Palatino Linotype"/>
                <w:b/>
                <w:noProof/>
                <w:webHidden/>
                <w:sz w:val="24"/>
              </w:rPr>
              <w:tab/>
            </w:r>
            <w:r w:rsidR="00A657B2" w:rsidRPr="009B6FD5">
              <w:rPr>
                <w:rFonts w:ascii="Palatino Linotype" w:hAnsi="Palatino Linotype"/>
                <w:b/>
                <w:noProof/>
                <w:webHidden/>
                <w:sz w:val="24"/>
              </w:rPr>
              <w:fldChar w:fldCharType="begin"/>
            </w:r>
            <w:r w:rsidR="00A657B2" w:rsidRPr="009B6FD5">
              <w:rPr>
                <w:rFonts w:ascii="Palatino Linotype" w:hAnsi="Palatino Linotype"/>
                <w:b/>
                <w:noProof/>
                <w:webHidden/>
                <w:sz w:val="24"/>
              </w:rPr>
              <w:instrText xml:space="preserve"> PAGEREF _Toc83301637 \h </w:instrText>
            </w:r>
            <w:r w:rsidR="00A657B2" w:rsidRPr="009B6FD5">
              <w:rPr>
                <w:rFonts w:ascii="Palatino Linotype" w:hAnsi="Palatino Linotype"/>
                <w:b/>
                <w:noProof/>
                <w:webHidden/>
                <w:sz w:val="24"/>
              </w:rPr>
            </w:r>
            <w:r w:rsidR="00A657B2" w:rsidRPr="009B6FD5">
              <w:rPr>
                <w:rFonts w:ascii="Palatino Linotype" w:hAnsi="Palatino Linotype"/>
                <w:b/>
                <w:noProof/>
                <w:webHidden/>
                <w:sz w:val="24"/>
              </w:rPr>
              <w:fldChar w:fldCharType="separate"/>
            </w:r>
            <w:r w:rsidR="00F30210">
              <w:rPr>
                <w:rFonts w:ascii="Palatino Linotype" w:hAnsi="Palatino Linotype"/>
                <w:b/>
                <w:noProof/>
                <w:webHidden/>
                <w:sz w:val="24"/>
              </w:rPr>
              <w:t>9</w:t>
            </w:r>
            <w:r w:rsidR="00A657B2" w:rsidRPr="009B6FD5">
              <w:rPr>
                <w:rFonts w:ascii="Palatino Linotype" w:hAnsi="Palatino Linotype"/>
                <w:b/>
                <w:noProof/>
                <w:webHidden/>
                <w:sz w:val="24"/>
              </w:rPr>
              <w:fldChar w:fldCharType="end"/>
            </w:r>
          </w:hyperlink>
        </w:p>
        <w:p w:rsidR="00A657B2" w:rsidRPr="009B6FD5" w:rsidRDefault="00604643" w:rsidP="009B6FD5">
          <w:pPr>
            <w:pStyle w:val="TDC1"/>
            <w:tabs>
              <w:tab w:val="right" w:leader="dot" w:pos="9034"/>
            </w:tabs>
            <w:spacing w:after="0" w:line="360" w:lineRule="auto"/>
            <w:jc w:val="right"/>
            <w:rPr>
              <w:rFonts w:ascii="Palatino Linotype" w:eastAsiaTheme="minorEastAsia" w:hAnsi="Palatino Linotype"/>
              <w:b/>
              <w:noProof/>
              <w:sz w:val="24"/>
              <w:lang w:val="es-ES" w:eastAsia="es-ES"/>
            </w:rPr>
          </w:pPr>
          <w:hyperlink w:anchor="_Toc83301638" w:history="1">
            <w:r w:rsidR="00A657B2" w:rsidRPr="009B6FD5">
              <w:rPr>
                <w:rStyle w:val="Hipervnculo"/>
                <w:rFonts w:ascii="Palatino Linotype" w:eastAsia="MS Gothic" w:hAnsi="Palatino Linotype" w:cstheme="majorBidi"/>
                <w:b/>
                <w:noProof/>
                <w:sz w:val="24"/>
                <w:lang w:val="es-ES_tradnl" w:eastAsia="es-ES"/>
              </w:rPr>
              <w:t>CUARTO. Del estudio y resolución del recurso de revisión.</w:t>
            </w:r>
            <w:r w:rsidR="00A657B2" w:rsidRPr="009B6FD5">
              <w:rPr>
                <w:rFonts w:ascii="Palatino Linotype" w:hAnsi="Palatino Linotype"/>
                <w:b/>
                <w:noProof/>
                <w:webHidden/>
                <w:sz w:val="24"/>
              </w:rPr>
              <w:tab/>
            </w:r>
            <w:r w:rsidR="00A657B2" w:rsidRPr="009B6FD5">
              <w:rPr>
                <w:rFonts w:ascii="Palatino Linotype" w:hAnsi="Palatino Linotype"/>
                <w:b/>
                <w:noProof/>
                <w:webHidden/>
                <w:sz w:val="24"/>
              </w:rPr>
              <w:fldChar w:fldCharType="begin"/>
            </w:r>
            <w:r w:rsidR="00A657B2" w:rsidRPr="009B6FD5">
              <w:rPr>
                <w:rFonts w:ascii="Palatino Linotype" w:hAnsi="Palatino Linotype"/>
                <w:b/>
                <w:noProof/>
                <w:webHidden/>
                <w:sz w:val="24"/>
              </w:rPr>
              <w:instrText xml:space="preserve"> PAGEREF _Toc83301638 \h </w:instrText>
            </w:r>
            <w:r w:rsidR="00A657B2" w:rsidRPr="009B6FD5">
              <w:rPr>
                <w:rFonts w:ascii="Palatino Linotype" w:hAnsi="Palatino Linotype"/>
                <w:b/>
                <w:noProof/>
                <w:webHidden/>
                <w:sz w:val="24"/>
              </w:rPr>
            </w:r>
            <w:r w:rsidR="00A657B2" w:rsidRPr="009B6FD5">
              <w:rPr>
                <w:rFonts w:ascii="Palatino Linotype" w:hAnsi="Palatino Linotype"/>
                <w:b/>
                <w:noProof/>
                <w:webHidden/>
                <w:sz w:val="24"/>
              </w:rPr>
              <w:fldChar w:fldCharType="separate"/>
            </w:r>
            <w:r w:rsidR="00F30210">
              <w:rPr>
                <w:rFonts w:ascii="Palatino Linotype" w:hAnsi="Palatino Linotype"/>
                <w:b/>
                <w:noProof/>
                <w:webHidden/>
                <w:sz w:val="24"/>
              </w:rPr>
              <w:t>11</w:t>
            </w:r>
            <w:r w:rsidR="00A657B2" w:rsidRPr="009B6FD5">
              <w:rPr>
                <w:rFonts w:ascii="Palatino Linotype" w:hAnsi="Palatino Linotype"/>
                <w:b/>
                <w:noProof/>
                <w:webHidden/>
                <w:sz w:val="24"/>
              </w:rPr>
              <w:fldChar w:fldCharType="end"/>
            </w:r>
          </w:hyperlink>
        </w:p>
        <w:p w:rsidR="00A657B2" w:rsidRPr="009B6FD5" w:rsidRDefault="00604643" w:rsidP="009B6FD5">
          <w:pPr>
            <w:pStyle w:val="TDC2"/>
            <w:tabs>
              <w:tab w:val="left" w:pos="480"/>
            </w:tabs>
            <w:spacing w:line="360" w:lineRule="auto"/>
            <w:jc w:val="right"/>
            <w:rPr>
              <w:rFonts w:ascii="Palatino Linotype" w:eastAsiaTheme="minorEastAsia" w:hAnsi="Palatino Linotype"/>
              <w:b/>
              <w:noProof/>
              <w:sz w:val="24"/>
              <w:lang w:val="es-ES" w:eastAsia="es-ES"/>
            </w:rPr>
          </w:pPr>
          <w:hyperlink w:anchor="_Toc83301639" w:history="1">
            <w:r w:rsidR="00A657B2" w:rsidRPr="009B6FD5">
              <w:rPr>
                <w:rStyle w:val="Hipervnculo"/>
                <w:rFonts w:ascii="Palatino Linotype" w:eastAsia="MS Gothic" w:hAnsi="Palatino Linotype"/>
                <w:b/>
                <w:noProof/>
                <w:sz w:val="24"/>
                <w:lang w:val="es-ES_tradnl" w:eastAsia="es-ES"/>
              </w:rPr>
              <w:t>I.</w:t>
            </w:r>
            <w:r w:rsidR="00A657B2" w:rsidRPr="009B6FD5">
              <w:rPr>
                <w:rFonts w:ascii="Palatino Linotype" w:eastAsiaTheme="minorEastAsia" w:hAnsi="Palatino Linotype"/>
                <w:b/>
                <w:noProof/>
                <w:sz w:val="24"/>
                <w:lang w:val="es-ES" w:eastAsia="es-ES"/>
              </w:rPr>
              <w:tab/>
            </w:r>
            <w:r w:rsidR="00A657B2" w:rsidRPr="009B6FD5">
              <w:rPr>
                <w:rStyle w:val="Hipervnculo"/>
                <w:rFonts w:ascii="Palatino Linotype" w:eastAsia="MS Gothic" w:hAnsi="Palatino Linotype"/>
                <w:b/>
                <w:noProof/>
                <w:sz w:val="24"/>
                <w:lang w:val="es-ES_tradnl" w:eastAsia="es-ES"/>
              </w:rPr>
              <w:t>Del derecho de acceso a la información.</w:t>
            </w:r>
            <w:r w:rsidR="00A657B2" w:rsidRPr="009B6FD5">
              <w:rPr>
                <w:rFonts w:ascii="Palatino Linotype" w:hAnsi="Palatino Linotype"/>
                <w:b/>
                <w:noProof/>
                <w:webHidden/>
                <w:sz w:val="24"/>
              </w:rPr>
              <w:tab/>
            </w:r>
            <w:r w:rsidR="00A657B2" w:rsidRPr="009B6FD5">
              <w:rPr>
                <w:rFonts w:ascii="Palatino Linotype" w:hAnsi="Palatino Linotype"/>
                <w:b/>
                <w:noProof/>
                <w:webHidden/>
                <w:sz w:val="24"/>
              </w:rPr>
              <w:fldChar w:fldCharType="begin"/>
            </w:r>
            <w:r w:rsidR="00A657B2" w:rsidRPr="009B6FD5">
              <w:rPr>
                <w:rFonts w:ascii="Palatino Linotype" w:hAnsi="Palatino Linotype"/>
                <w:b/>
                <w:noProof/>
                <w:webHidden/>
                <w:sz w:val="24"/>
              </w:rPr>
              <w:instrText xml:space="preserve"> PAGEREF _Toc83301639 \h </w:instrText>
            </w:r>
            <w:r w:rsidR="00A657B2" w:rsidRPr="009B6FD5">
              <w:rPr>
                <w:rFonts w:ascii="Palatino Linotype" w:hAnsi="Palatino Linotype"/>
                <w:b/>
                <w:noProof/>
                <w:webHidden/>
                <w:sz w:val="24"/>
              </w:rPr>
            </w:r>
            <w:r w:rsidR="00A657B2" w:rsidRPr="009B6FD5">
              <w:rPr>
                <w:rFonts w:ascii="Palatino Linotype" w:hAnsi="Palatino Linotype"/>
                <w:b/>
                <w:noProof/>
                <w:webHidden/>
                <w:sz w:val="24"/>
              </w:rPr>
              <w:fldChar w:fldCharType="separate"/>
            </w:r>
            <w:r w:rsidR="00F30210">
              <w:rPr>
                <w:rFonts w:ascii="Palatino Linotype" w:hAnsi="Palatino Linotype"/>
                <w:b/>
                <w:noProof/>
                <w:webHidden/>
                <w:sz w:val="24"/>
              </w:rPr>
              <w:t>11</w:t>
            </w:r>
            <w:r w:rsidR="00A657B2" w:rsidRPr="009B6FD5">
              <w:rPr>
                <w:rFonts w:ascii="Palatino Linotype" w:hAnsi="Palatino Linotype"/>
                <w:b/>
                <w:noProof/>
                <w:webHidden/>
                <w:sz w:val="24"/>
              </w:rPr>
              <w:fldChar w:fldCharType="end"/>
            </w:r>
          </w:hyperlink>
        </w:p>
        <w:p w:rsidR="00A657B2" w:rsidRPr="009B6FD5" w:rsidRDefault="00604643" w:rsidP="009B6FD5">
          <w:pPr>
            <w:pStyle w:val="TDC1"/>
            <w:tabs>
              <w:tab w:val="right" w:leader="dot" w:pos="9034"/>
            </w:tabs>
            <w:spacing w:after="0" w:line="360" w:lineRule="auto"/>
            <w:jc w:val="right"/>
            <w:rPr>
              <w:rFonts w:ascii="Palatino Linotype" w:eastAsiaTheme="minorEastAsia" w:hAnsi="Palatino Linotype"/>
              <w:b/>
              <w:noProof/>
              <w:sz w:val="24"/>
              <w:lang w:val="es-ES" w:eastAsia="es-ES"/>
            </w:rPr>
          </w:pPr>
          <w:hyperlink w:anchor="_Toc83301640" w:history="1">
            <w:r w:rsidR="00A657B2" w:rsidRPr="009B6FD5">
              <w:rPr>
                <w:rStyle w:val="Hipervnculo"/>
                <w:rFonts w:ascii="Palatino Linotype" w:hAnsi="Palatino Linotype"/>
                <w:b/>
                <w:noProof/>
                <w:sz w:val="24"/>
                <w:lang w:eastAsia="es-ES"/>
              </w:rPr>
              <w:t>II. De la Suplencia de la queja</w:t>
            </w:r>
            <w:r w:rsidR="00A657B2" w:rsidRPr="009B6FD5">
              <w:rPr>
                <w:rFonts w:ascii="Palatino Linotype" w:hAnsi="Palatino Linotype"/>
                <w:b/>
                <w:noProof/>
                <w:webHidden/>
                <w:sz w:val="24"/>
              </w:rPr>
              <w:tab/>
            </w:r>
            <w:r w:rsidR="00A657B2" w:rsidRPr="009B6FD5">
              <w:rPr>
                <w:rFonts w:ascii="Palatino Linotype" w:hAnsi="Palatino Linotype"/>
                <w:b/>
                <w:noProof/>
                <w:webHidden/>
                <w:sz w:val="24"/>
              </w:rPr>
              <w:fldChar w:fldCharType="begin"/>
            </w:r>
            <w:r w:rsidR="00A657B2" w:rsidRPr="009B6FD5">
              <w:rPr>
                <w:rFonts w:ascii="Palatino Linotype" w:hAnsi="Palatino Linotype"/>
                <w:b/>
                <w:noProof/>
                <w:webHidden/>
                <w:sz w:val="24"/>
              </w:rPr>
              <w:instrText xml:space="preserve"> PAGEREF _Toc83301640 \h </w:instrText>
            </w:r>
            <w:r w:rsidR="00A657B2" w:rsidRPr="009B6FD5">
              <w:rPr>
                <w:rFonts w:ascii="Palatino Linotype" w:hAnsi="Palatino Linotype"/>
                <w:b/>
                <w:noProof/>
                <w:webHidden/>
                <w:sz w:val="24"/>
              </w:rPr>
            </w:r>
            <w:r w:rsidR="00A657B2" w:rsidRPr="009B6FD5">
              <w:rPr>
                <w:rFonts w:ascii="Palatino Linotype" w:hAnsi="Palatino Linotype"/>
                <w:b/>
                <w:noProof/>
                <w:webHidden/>
                <w:sz w:val="24"/>
              </w:rPr>
              <w:fldChar w:fldCharType="separate"/>
            </w:r>
            <w:r w:rsidR="00F30210">
              <w:rPr>
                <w:rFonts w:ascii="Palatino Linotype" w:hAnsi="Palatino Linotype"/>
                <w:b/>
                <w:noProof/>
                <w:webHidden/>
                <w:sz w:val="24"/>
              </w:rPr>
              <w:t>16</w:t>
            </w:r>
            <w:r w:rsidR="00A657B2" w:rsidRPr="009B6FD5">
              <w:rPr>
                <w:rFonts w:ascii="Palatino Linotype" w:hAnsi="Palatino Linotype"/>
                <w:b/>
                <w:noProof/>
                <w:webHidden/>
                <w:sz w:val="24"/>
              </w:rPr>
              <w:fldChar w:fldCharType="end"/>
            </w:r>
          </w:hyperlink>
        </w:p>
        <w:p w:rsidR="00A657B2" w:rsidRPr="009B6FD5" w:rsidRDefault="00604643" w:rsidP="009B6FD5">
          <w:pPr>
            <w:pStyle w:val="TDC1"/>
            <w:tabs>
              <w:tab w:val="right" w:leader="dot" w:pos="9034"/>
            </w:tabs>
            <w:spacing w:after="0" w:line="360" w:lineRule="auto"/>
            <w:jc w:val="right"/>
            <w:rPr>
              <w:rFonts w:ascii="Palatino Linotype" w:eastAsiaTheme="minorEastAsia" w:hAnsi="Palatino Linotype"/>
              <w:b/>
              <w:noProof/>
              <w:sz w:val="24"/>
              <w:lang w:val="es-ES" w:eastAsia="es-ES"/>
            </w:rPr>
          </w:pPr>
          <w:hyperlink w:anchor="_Toc83301641" w:history="1">
            <w:r w:rsidR="00A657B2" w:rsidRPr="009B6FD5">
              <w:rPr>
                <w:rStyle w:val="Hipervnculo"/>
                <w:rFonts w:ascii="Palatino Linotype" w:hAnsi="Palatino Linotype"/>
                <w:b/>
                <w:noProof/>
                <w:sz w:val="24"/>
              </w:rPr>
              <w:t>III. De la información solicitada y la respuesta del Sujeto Obligado.</w:t>
            </w:r>
            <w:r w:rsidR="00A657B2" w:rsidRPr="009B6FD5">
              <w:rPr>
                <w:rFonts w:ascii="Palatino Linotype" w:hAnsi="Palatino Linotype"/>
                <w:b/>
                <w:noProof/>
                <w:webHidden/>
                <w:sz w:val="24"/>
              </w:rPr>
              <w:tab/>
            </w:r>
            <w:r w:rsidR="00A657B2" w:rsidRPr="009B6FD5">
              <w:rPr>
                <w:rFonts w:ascii="Palatino Linotype" w:hAnsi="Palatino Linotype"/>
                <w:b/>
                <w:noProof/>
                <w:webHidden/>
                <w:sz w:val="24"/>
              </w:rPr>
              <w:fldChar w:fldCharType="begin"/>
            </w:r>
            <w:r w:rsidR="00A657B2" w:rsidRPr="009B6FD5">
              <w:rPr>
                <w:rFonts w:ascii="Palatino Linotype" w:hAnsi="Palatino Linotype"/>
                <w:b/>
                <w:noProof/>
                <w:webHidden/>
                <w:sz w:val="24"/>
              </w:rPr>
              <w:instrText xml:space="preserve"> PAGEREF _Toc83301641 \h </w:instrText>
            </w:r>
            <w:r w:rsidR="00A657B2" w:rsidRPr="009B6FD5">
              <w:rPr>
                <w:rFonts w:ascii="Palatino Linotype" w:hAnsi="Palatino Linotype"/>
                <w:b/>
                <w:noProof/>
                <w:webHidden/>
                <w:sz w:val="24"/>
              </w:rPr>
            </w:r>
            <w:r w:rsidR="00A657B2" w:rsidRPr="009B6FD5">
              <w:rPr>
                <w:rFonts w:ascii="Palatino Linotype" w:hAnsi="Palatino Linotype"/>
                <w:b/>
                <w:noProof/>
                <w:webHidden/>
                <w:sz w:val="24"/>
              </w:rPr>
              <w:fldChar w:fldCharType="separate"/>
            </w:r>
            <w:r w:rsidR="00F30210">
              <w:rPr>
                <w:rFonts w:ascii="Palatino Linotype" w:hAnsi="Palatino Linotype"/>
                <w:b/>
                <w:noProof/>
                <w:webHidden/>
                <w:sz w:val="24"/>
              </w:rPr>
              <w:t>19</w:t>
            </w:r>
            <w:r w:rsidR="00A657B2" w:rsidRPr="009B6FD5">
              <w:rPr>
                <w:rFonts w:ascii="Palatino Linotype" w:hAnsi="Palatino Linotype"/>
                <w:b/>
                <w:noProof/>
                <w:webHidden/>
                <w:sz w:val="24"/>
              </w:rPr>
              <w:fldChar w:fldCharType="end"/>
            </w:r>
          </w:hyperlink>
        </w:p>
        <w:p w:rsidR="00A657B2" w:rsidRPr="009B6FD5" w:rsidRDefault="00604643" w:rsidP="009B6FD5">
          <w:pPr>
            <w:pStyle w:val="TDC1"/>
            <w:tabs>
              <w:tab w:val="right" w:leader="dot" w:pos="9034"/>
            </w:tabs>
            <w:spacing w:after="0" w:line="360" w:lineRule="auto"/>
            <w:jc w:val="right"/>
            <w:rPr>
              <w:rFonts w:ascii="Palatino Linotype" w:eastAsiaTheme="minorEastAsia" w:hAnsi="Palatino Linotype"/>
              <w:b/>
              <w:noProof/>
              <w:sz w:val="24"/>
              <w:lang w:val="es-ES" w:eastAsia="es-ES"/>
            </w:rPr>
          </w:pPr>
          <w:hyperlink w:anchor="_Toc83301642" w:history="1">
            <w:r w:rsidR="00A657B2" w:rsidRPr="009B6FD5">
              <w:rPr>
                <w:rStyle w:val="Hipervnculo"/>
                <w:rFonts w:ascii="Palatino Linotype" w:hAnsi="Palatino Linotype" w:cs="Times New Roman"/>
                <w:b/>
                <w:noProof/>
                <w:sz w:val="24"/>
                <w:lang w:eastAsia="es-ES_tradnl"/>
              </w:rPr>
              <w:t xml:space="preserve">QUINTO. </w:t>
            </w:r>
            <w:r w:rsidR="00A657B2" w:rsidRPr="009B6FD5">
              <w:rPr>
                <w:rStyle w:val="Hipervnculo"/>
                <w:rFonts w:ascii="Palatino Linotype" w:hAnsi="Palatino Linotype"/>
                <w:b/>
                <w:noProof/>
                <w:sz w:val="24"/>
              </w:rPr>
              <w:t xml:space="preserve"> De la elaboración de la versión pública.</w:t>
            </w:r>
            <w:r w:rsidR="00A657B2" w:rsidRPr="009B6FD5">
              <w:rPr>
                <w:rFonts w:ascii="Palatino Linotype" w:hAnsi="Palatino Linotype"/>
                <w:b/>
                <w:noProof/>
                <w:webHidden/>
                <w:sz w:val="24"/>
              </w:rPr>
              <w:tab/>
            </w:r>
            <w:r w:rsidR="00A657B2" w:rsidRPr="009B6FD5">
              <w:rPr>
                <w:rFonts w:ascii="Palatino Linotype" w:hAnsi="Palatino Linotype"/>
                <w:b/>
                <w:noProof/>
                <w:webHidden/>
                <w:sz w:val="24"/>
              </w:rPr>
              <w:fldChar w:fldCharType="begin"/>
            </w:r>
            <w:r w:rsidR="00A657B2" w:rsidRPr="009B6FD5">
              <w:rPr>
                <w:rFonts w:ascii="Palatino Linotype" w:hAnsi="Palatino Linotype"/>
                <w:b/>
                <w:noProof/>
                <w:webHidden/>
                <w:sz w:val="24"/>
              </w:rPr>
              <w:instrText xml:space="preserve"> PAGEREF _Toc83301642 \h </w:instrText>
            </w:r>
            <w:r w:rsidR="00A657B2" w:rsidRPr="009B6FD5">
              <w:rPr>
                <w:rFonts w:ascii="Palatino Linotype" w:hAnsi="Palatino Linotype"/>
                <w:b/>
                <w:noProof/>
                <w:webHidden/>
                <w:sz w:val="24"/>
              </w:rPr>
            </w:r>
            <w:r w:rsidR="00A657B2" w:rsidRPr="009B6FD5">
              <w:rPr>
                <w:rFonts w:ascii="Palatino Linotype" w:hAnsi="Palatino Linotype"/>
                <w:b/>
                <w:noProof/>
                <w:webHidden/>
                <w:sz w:val="24"/>
              </w:rPr>
              <w:fldChar w:fldCharType="separate"/>
            </w:r>
            <w:r w:rsidR="00F30210">
              <w:rPr>
                <w:rFonts w:ascii="Palatino Linotype" w:hAnsi="Palatino Linotype"/>
                <w:b/>
                <w:noProof/>
                <w:webHidden/>
                <w:sz w:val="24"/>
              </w:rPr>
              <w:t>37</w:t>
            </w:r>
            <w:r w:rsidR="00A657B2" w:rsidRPr="009B6FD5">
              <w:rPr>
                <w:rFonts w:ascii="Palatino Linotype" w:hAnsi="Palatino Linotype"/>
                <w:b/>
                <w:noProof/>
                <w:webHidden/>
                <w:sz w:val="24"/>
              </w:rPr>
              <w:fldChar w:fldCharType="end"/>
            </w:r>
          </w:hyperlink>
        </w:p>
        <w:p w:rsidR="00A657B2" w:rsidRPr="009B6FD5" w:rsidRDefault="00604643" w:rsidP="009B6FD5">
          <w:pPr>
            <w:pStyle w:val="TDC1"/>
            <w:tabs>
              <w:tab w:val="right" w:leader="dot" w:pos="9034"/>
            </w:tabs>
            <w:spacing w:after="0" w:line="360" w:lineRule="auto"/>
            <w:jc w:val="right"/>
            <w:rPr>
              <w:rFonts w:ascii="Palatino Linotype" w:eastAsiaTheme="minorEastAsia" w:hAnsi="Palatino Linotype"/>
              <w:b/>
              <w:noProof/>
              <w:sz w:val="24"/>
              <w:lang w:val="es-ES" w:eastAsia="es-ES"/>
            </w:rPr>
          </w:pPr>
          <w:hyperlink w:anchor="_Toc83301643" w:history="1">
            <w:r w:rsidR="00A657B2" w:rsidRPr="009B6FD5">
              <w:rPr>
                <w:rStyle w:val="Hipervnculo"/>
                <w:rFonts w:ascii="Palatino Linotype" w:eastAsiaTheme="majorEastAsia" w:hAnsi="Palatino Linotype" w:cstheme="majorBidi"/>
                <w:b/>
                <w:noProof/>
                <w:sz w:val="24"/>
              </w:rPr>
              <w:t>R E S O L U T I V O S</w:t>
            </w:r>
            <w:r w:rsidR="00A657B2" w:rsidRPr="009B6FD5">
              <w:rPr>
                <w:rFonts w:ascii="Palatino Linotype" w:hAnsi="Palatino Linotype"/>
                <w:b/>
                <w:noProof/>
                <w:webHidden/>
                <w:sz w:val="24"/>
              </w:rPr>
              <w:tab/>
            </w:r>
            <w:r w:rsidR="00A657B2" w:rsidRPr="009B6FD5">
              <w:rPr>
                <w:rFonts w:ascii="Palatino Linotype" w:hAnsi="Palatino Linotype"/>
                <w:b/>
                <w:noProof/>
                <w:webHidden/>
                <w:sz w:val="24"/>
              </w:rPr>
              <w:fldChar w:fldCharType="begin"/>
            </w:r>
            <w:r w:rsidR="00A657B2" w:rsidRPr="009B6FD5">
              <w:rPr>
                <w:rFonts w:ascii="Palatino Linotype" w:hAnsi="Palatino Linotype"/>
                <w:b/>
                <w:noProof/>
                <w:webHidden/>
                <w:sz w:val="24"/>
              </w:rPr>
              <w:instrText xml:space="preserve"> PAGEREF _Toc83301643 \h </w:instrText>
            </w:r>
            <w:r w:rsidR="00A657B2" w:rsidRPr="009B6FD5">
              <w:rPr>
                <w:rFonts w:ascii="Palatino Linotype" w:hAnsi="Palatino Linotype"/>
                <w:b/>
                <w:noProof/>
                <w:webHidden/>
                <w:sz w:val="24"/>
              </w:rPr>
            </w:r>
            <w:r w:rsidR="00A657B2" w:rsidRPr="009B6FD5">
              <w:rPr>
                <w:rFonts w:ascii="Palatino Linotype" w:hAnsi="Palatino Linotype"/>
                <w:b/>
                <w:noProof/>
                <w:webHidden/>
                <w:sz w:val="24"/>
              </w:rPr>
              <w:fldChar w:fldCharType="separate"/>
            </w:r>
            <w:r w:rsidR="00F30210">
              <w:rPr>
                <w:rFonts w:ascii="Palatino Linotype" w:hAnsi="Palatino Linotype"/>
                <w:b/>
                <w:noProof/>
                <w:webHidden/>
                <w:sz w:val="24"/>
              </w:rPr>
              <w:t>62</w:t>
            </w:r>
            <w:r w:rsidR="00A657B2" w:rsidRPr="009B6FD5">
              <w:rPr>
                <w:rFonts w:ascii="Palatino Linotype" w:hAnsi="Palatino Linotype"/>
                <w:b/>
                <w:noProof/>
                <w:webHidden/>
                <w:sz w:val="24"/>
              </w:rPr>
              <w:fldChar w:fldCharType="end"/>
            </w:r>
          </w:hyperlink>
        </w:p>
        <w:p w:rsidR="00D771ED" w:rsidRPr="009B6FD5" w:rsidRDefault="00D771ED" w:rsidP="009B6FD5">
          <w:pPr>
            <w:spacing w:line="360" w:lineRule="auto"/>
            <w:rPr>
              <w:rFonts w:ascii="Palatino Linotype" w:eastAsiaTheme="minorEastAsia" w:hAnsi="Palatino Linotype"/>
              <w:lang w:val="es-ES_tradnl" w:eastAsia="es-ES"/>
            </w:rPr>
          </w:pPr>
          <w:r w:rsidRPr="009B6FD5">
            <w:rPr>
              <w:rFonts w:ascii="Palatino Linotype" w:eastAsiaTheme="minorEastAsia" w:hAnsi="Palatino Linotype"/>
              <w:b/>
              <w:bCs/>
              <w:lang w:val="es-ES" w:eastAsia="es-ES"/>
            </w:rPr>
            <w:fldChar w:fldCharType="end"/>
          </w:r>
        </w:p>
      </w:sdtContent>
    </w:sdt>
    <w:p w:rsidR="00D771ED" w:rsidRPr="009B6FD5" w:rsidRDefault="00D771ED" w:rsidP="009B6FD5">
      <w:pPr>
        <w:spacing w:line="360" w:lineRule="auto"/>
        <w:jc w:val="both"/>
        <w:rPr>
          <w:rFonts w:ascii="Palatino Linotype" w:eastAsiaTheme="minorEastAsia" w:hAnsi="Palatino Linotype"/>
          <w:lang w:val="es-ES_tradnl" w:eastAsia="es-ES"/>
        </w:rPr>
      </w:pPr>
    </w:p>
    <w:p w:rsidR="00D771ED" w:rsidRPr="009B6FD5" w:rsidRDefault="00D771ED" w:rsidP="009B6FD5">
      <w:pPr>
        <w:spacing w:line="360" w:lineRule="auto"/>
        <w:jc w:val="both"/>
        <w:rPr>
          <w:rFonts w:ascii="Palatino Linotype" w:eastAsiaTheme="minorEastAsia" w:hAnsi="Palatino Linotype"/>
          <w:lang w:val="es-ES_tradnl" w:eastAsia="es-ES"/>
        </w:rPr>
      </w:pPr>
    </w:p>
    <w:p w:rsidR="00C02C47" w:rsidRPr="009B6FD5" w:rsidRDefault="00C02C47" w:rsidP="009B6FD5">
      <w:pPr>
        <w:spacing w:line="360" w:lineRule="auto"/>
        <w:jc w:val="both"/>
        <w:rPr>
          <w:rFonts w:ascii="Palatino Linotype" w:eastAsiaTheme="minorEastAsia" w:hAnsi="Palatino Linotype"/>
          <w:lang w:val="es-ES_tradnl" w:eastAsia="es-ES"/>
        </w:rPr>
      </w:pPr>
    </w:p>
    <w:p w:rsidR="00A657B2" w:rsidRPr="009B6FD5" w:rsidRDefault="00A657B2" w:rsidP="009B6FD5">
      <w:pPr>
        <w:spacing w:line="360" w:lineRule="auto"/>
        <w:jc w:val="both"/>
        <w:rPr>
          <w:rFonts w:ascii="Palatino Linotype" w:eastAsiaTheme="minorEastAsia" w:hAnsi="Palatino Linotype"/>
          <w:lang w:val="es-ES_tradnl" w:eastAsia="es-ES"/>
        </w:rPr>
      </w:pPr>
    </w:p>
    <w:p w:rsidR="00A657B2" w:rsidRPr="009B6FD5" w:rsidRDefault="00A657B2" w:rsidP="009B6FD5">
      <w:pPr>
        <w:spacing w:line="360" w:lineRule="auto"/>
        <w:jc w:val="both"/>
        <w:rPr>
          <w:rFonts w:ascii="Palatino Linotype" w:eastAsiaTheme="minorEastAsia" w:hAnsi="Palatino Linotype"/>
          <w:lang w:val="es-ES_tradnl" w:eastAsia="es-ES"/>
        </w:rPr>
      </w:pPr>
    </w:p>
    <w:p w:rsidR="00C02C47" w:rsidRPr="009B6FD5" w:rsidRDefault="00C02C47" w:rsidP="009B6FD5">
      <w:pPr>
        <w:spacing w:line="360" w:lineRule="auto"/>
        <w:jc w:val="both"/>
        <w:rPr>
          <w:rFonts w:ascii="Palatino Linotype" w:eastAsiaTheme="minorEastAsia" w:hAnsi="Palatino Linotype"/>
          <w:lang w:val="es-ES_tradnl" w:eastAsia="es-ES"/>
        </w:rPr>
      </w:pPr>
    </w:p>
    <w:p w:rsidR="00C02C47" w:rsidRPr="009B6FD5" w:rsidRDefault="00C02C47" w:rsidP="009B6FD5">
      <w:pPr>
        <w:spacing w:line="360" w:lineRule="auto"/>
        <w:jc w:val="both"/>
        <w:rPr>
          <w:rFonts w:ascii="Palatino Linotype" w:eastAsiaTheme="minorEastAsia" w:hAnsi="Palatino Linotype"/>
          <w:lang w:val="es-ES_tradnl" w:eastAsia="es-ES"/>
        </w:rPr>
      </w:pPr>
    </w:p>
    <w:p w:rsidR="00A657B2" w:rsidRPr="009B6FD5" w:rsidRDefault="00A657B2" w:rsidP="009B6FD5">
      <w:pPr>
        <w:spacing w:line="360" w:lineRule="auto"/>
        <w:jc w:val="both"/>
        <w:rPr>
          <w:rFonts w:ascii="Palatino Linotype" w:eastAsiaTheme="minorEastAsia" w:hAnsi="Palatino Linotype"/>
          <w:lang w:val="es-ES_tradnl" w:eastAsia="es-ES"/>
        </w:rPr>
      </w:pPr>
    </w:p>
    <w:p w:rsidR="009B6FD5" w:rsidRDefault="009B6FD5" w:rsidP="009B6FD5">
      <w:pPr>
        <w:spacing w:line="360" w:lineRule="auto"/>
        <w:jc w:val="both"/>
        <w:rPr>
          <w:rFonts w:ascii="Palatino Linotype" w:eastAsiaTheme="minorEastAsia" w:hAnsi="Palatino Linotype"/>
          <w:lang w:val="es-ES_tradnl" w:eastAsia="es-ES"/>
        </w:rPr>
      </w:pPr>
    </w:p>
    <w:p w:rsidR="009B6FD5" w:rsidRDefault="009B6FD5" w:rsidP="009B6FD5">
      <w:pPr>
        <w:spacing w:line="360" w:lineRule="auto"/>
        <w:jc w:val="both"/>
        <w:rPr>
          <w:rFonts w:ascii="Palatino Linotype" w:eastAsiaTheme="minorEastAsia" w:hAnsi="Palatino Linotype"/>
          <w:lang w:val="es-ES_tradnl" w:eastAsia="es-ES"/>
        </w:rPr>
      </w:pPr>
    </w:p>
    <w:p w:rsidR="00D771ED" w:rsidRPr="009B6FD5" w:rsidRDefault="00D771ED" w:rsidP="009B6FD5">
      <w:pPr>
        <w:spacing w:line="360" w:lineRule="auto"/>
        <w:jc w:val="both"/>
        <w:rPr>
          <w:rFonts w:ascii="Palatino Linotype" w:eastAsiaTheme="minorEastAsia" w:hAnsi="Palatino Linotype"/>
          <w:lang w:val="es-ES_tradnl" w:eastAsia="es-ES"/>
        </w:rPr>
      </w:pPr>
      <w:r w:rsidRPr="009B6FD5">
        <w:rPr>
          <w:rFonts w:ascii="Palatino Linotype" w:eastAsiaTheme="minorEastAsia" w:hAnsi="Palatino Linotype"/>
          <w:lang w:val="es-ES_tradnl" w:eastAsia="es-ES"/>
        </w:rPr>
        <w:lastRenderedPageBreak/>
        <w:t>Resolución del Pleno del Instituto de Transparencia, Acceso a la Información Pública y Protección de Datos Personales del Estado de México y Municipios, con domicilio en Metepec, Estado de México; de fecha veintinueve (29) de septiembre  de dos mil veintiuno.</w:t>
      </w:r>
    </w:p>
    <w:p w:rsidR="00D771ED" w:rsidRPr="009B6FD5" w:rsidRDefault="00D771ED" w:rsidP="009B6FD5">
      <w:pPr>
        <w:spacing w:line="360" w:lineRule="auto"/>
        <w:jc w:val="both"/>
        <w:rPr>
          <w:rFonts w:ascii="Palatino Linotype" w:eastAsiaTheme="minorEastAsia" w:hAnsi="Palatino Linotype"/>
          <w:lang w:val="es-ES_tradnl" w:eastAsia="es-ES"/>
        </w:rPr>
      </w:pPr>
    </w:p>
    <w:p w:rsidR="00D771ED" w:rsidRPr="009B6FD5" w:rsidRDefault="00D771ED" w:rsidP="009B6FD5">
      <w:pPr>
        <w:spacing w:line="360" w:lineRule="auto"/>
        <w:jc w:val="both"/>
        <w:rPr>
          <w:rFonts w:ascii="Palatino Linotype" w:hAnsi="Palatino Linotype"/>
        </w:rPr>
      </w:pPr>
      <w:r w:rsidRPr="009B6FD5">
        <w:rPr>
          <w:rFonts w:ascii="Palatino Linotype" w:hAnsi="Palatino Linotype"/>
          <w:b/>
        </w:rPr>
        <w:t>VISTO</w:t>
      </w:r>
      <w:r w:rsidRPr="009B6FD5">
        <w:rPr>
          <w:rFonts w:ascii="Palatino Linotype" w:hAnsi="Palatino Linotype"/>
        </w:rPr>
        <w:t xml:space="preserve"> el expediente electrónico formado con motivo del recurso de revisión </w:t>
      </w:r>
      <w:r w:rsidRPr="009B6FD5">
        <w:rPr>
          <w:rFonts w:ascii="Palatino Linotype" w:hAnsi="Palatino Linotype"/>
          <w:b/>
        </w:rPr>
        <w:t>03638/INFOEM/IP/RR/2021,</w:t>
      </w:r>
      <w:r w:rsidRPr="009B6FD5">
        <w:rPr>
          <w:rFonts w:ascii="Palatino Linotype" w:hAnsi="Palatino Linotype" w:cs="Arial"/>
          <w:b/>
          <w:bCs/>
        </w:rPr>
        <w:t xml:space="preserve"> </w:t>
      </w:r>
      <w:r w:rsidRPr="009B6FD5">
        <w:rPr>
          <w:rFonts w:ascii="Palatino Linotype" w:eastAsiaTheme="minorEastAsia" w:hAnsi="Palatino Linotype"/>
          <w:lang w:val="es-ES_tradnl" w:eastAsia="es-ES"/>
        </w:rPr>
        <w:t>promovido por un usuario del Sistema de Acceso a la Información Mexiquense (SAIMEX)</w:t>
      </w:r>
      <w:r w:rsidRPr="009B6FD5">
        <w:rPr>
          <w:rFonts w:ascii="Palatino Linotype" w:hAnsi="Palatino Linotype"/>
        </w:rPr>
        <w:t xml:space="preserve">, quien no proporciono nombre o pseudónimo para ser identificado, y que en lo sucesivo se identificará como </w:t>
      </w:r>
      <w:r w:rsidRPr="009B6FD5">
        <w:rPr>
          <w:rFonts w:ascii="Palatino Linotype" w:hAnsi="Palatino Linotype"/>
          <w:b/>
        </w:rPr>
        <w:t xml:space="preserve">EL </w:t>
      </w:r>
      <w:r w:rsidRPr="009B6FD5">
        <w:rPr>
          <w:rFonts w:ascii="Palatino Linotype" w:hAnsi="Palatino Linotype" w:cs="Arial"/>
          <w:b/>
        </w:rPr>
        <w:t>RECURRENTE</w:t>
      </w:r>
      <w:r w:rsidRPr="009B6FD5">
        <w:rPr>
          <w:rFonts w:ascii="Palatino Linotype" w:hAnsi="Palatino Linotype" w:cs="Arial"/>
        </w:rPr>
        <w:t xml:space="preserve">, en contra de la respuesta del </w:t>
      </w:r>
      <w:r w:rsidRPr="009B6FD5">
        <w:rPr>
          <w:rFonts w:ascii="Palatino Linotype" w:hAnsi="Palatino Linotype" w:cs="Arial"/>
          <w:b/>
        </w:rPr>
        <w:t>Ayuntamiento de Chicoloapan,</w:t>
      </w:r>
      <w:r w:rsidRPr="009B6FD5">
        <w:rPr>
          <w:rFonts w:ascii="Palatino Linotype" w:hAnsi="Palatino Linotype"/>
          <w:b/>
        </w:rPr>
        <w:t xml:space="preserve"> </w:t>
      </w:r>
      <w:r w:rsidRPr="009B6FD5">
        <w:rPr>
          <w:rFonts w:ascii="Palatino Linotype" w:hAnsi="Palatino Linotype"/>
        </w:rPr>
        <w:t>en lo sucesivo el</w:t>
      </w:r>
      <w:r w:rsidRPr="009B6FD5">
        <w:rPr>
          <w:rFonts w:ascii="Palatino Linotype" w:hAnsi="Palatino Linotype"/>
          <w:b/>
        </w:rPr>
        <w:t xml:space="preserve"> SUJETO OBLIGADO</w:t>
      </w:r>
      <w:r w:rsidRPr="009B6FD5">
        <w:rPr>
          <w:rFonts w:ascii="Palatino Linotype" w:hAnsi="Palatino Linotype"/>
        </w:rPr>
        <w:t>, por lo que se procede a dictar la presente resoluci</w:t>
      </w:r>
      <w:r w:rsidR="003A0EBB" w:rsidRPr="009B6FD5">
        <w:rPr>
          <w:rFonts w:ascii="Palatino Linotype" w:hAnsi="Palatino Linotype"/>
        </w:rPr>
        <w:t>ón, con base en los siguientes:</w:t>
      </w:r>
    </w:p>
    <w:p w:rsidR="003A0EBB" w:rsidRPr="009B6FD5" w:rsidRDefault="003A0EBB" w:rsidP="009B6FD5">
      <w:pPr>
        <w:spacing w:line="360" w:lineRule="auto"/>
        <w:jc w:val="both"/>
        <w:rPr>
          <w:rFonts w:ascii="Palatino Linotype" w:hAnsi="Palatino Linotype"/>
        </w:rPr>
      </w:pPr>
    </w:p>
    <w:p w:rsidR="00D771ED" w:rsidRPr="009B6FD5" w:rsidRDefault="00D771ED" w:rsidP="009B6FD5">
      <w:pPr>
        <w:keepNext/>
        <w:keepLines/>
        <w:spacing w:line="360" w:lineRule="auto"/>
        <w:jc w:val="center"/>
        <w:outlineLvl w:val="0"/>
        <w:rPr>
          <w:rFonts w:ascii="Palatino Linotype" w:eastAsiaTheme="majorEastAsia" w:hAnsi="Palatino Linotype" w:cstheme="majorBidi"/>
          <w:b/>
          <w:szCs w:val="32"/>
        </w:rPr>
      </w:pPr>
      <w:bookmarkStart w:id="1" w:name="_Toc83301633"/>
      <w:r w:rsidRPr="009B6FD5">
        <w:rPr>
          <w:rFonts w:ascii="Palatino Linotype" w:eastAsiaTheme="majorEastAsia" w:hAnsi="Palatino Linotype" w:cstheme="majorBidi"/>
          <w:b/>
          <w:szCs w:val="32"/>
        </w:rPr>
        <w:t>ANTECEDENTES</w:t>
      </w:r>
      <w:bookmarkEnd w:id="1"/>
    </w:p>
    <w:p w:rsidR="00D771ED" w:rsidRPr="009B6FD5" w:rsidRDefault="00D771ED" w:rsidP="009B6FD5">
      <w:pPr>
        <w:spacing w:line="360" w:lineRule="auto"/>
        <w:rPr>
          <w:rFonts w:ascii="Palatino Linotype" w:eastAsiaTheme="minorEastAsia" w:hAnsi="Palatino Linotype"/>
        </w:rPr>
      </w:pPr>
    </w:p>
    <w:p w:rsidR="00D771ED" w:rsidRPr="009B6FD5" w:rsidRDefault="00D771ED" w:rsidP="009B6FD5">
      <w:pPr>
        <w:numPr>
          <w:ilvl w:val="0"/>
          <w:numId w:val="1"/>
        </w:numPr>
        <w:spacing w:line="360" w:lineRule="auto"/>
        <w:ind w:left="0" w:firstLine="0"/>
        <w:contextualSpacing/>
        <w:jc w:val="both"/>
        <w:rPr>
          <w:rFonts w:ascii="Palatino Linotype" w:hAnsi="Palatino Linotype" w:cs="Arial"/>
          <w:lang w:val="es-ES" w:eastAsia="es-ES"/>
        </w:rPr>
      </w:pPr>
      <w:r w:rsidRPr="009B6FD5">
        <w:rPr>
          <w:rFonts w:ascii="Palatino Linotype" w:eastAsia="Calibri" w:hAnsi="Palatino Linotype" w:cs="Arial"/>
          <w:lang w:val="es-ES" w:eastAsia="es-ES"/>
        </w:rPr>
        <w:t>El día once (11) de junio  de dos mil veintiuno,</w:t>
      </w:r>
      <w:r w:rsidRPr="009B6FD5">
        <w:rPr>
          <w:rFonts w:ascii="Palatino Linotype" w:eastAsia="Calibri" w:hAnsi="Palatino Linotype"/>
          <w:lang w:val="es-ES" w:eastAsia="es-ES"/>
        </w:rPr>
        <w:t xml:space="preserve"> </w:t>
      </w:r>
      <w:r w:rsidRPr="009B6FD5">
        <w:rPr>
          <w:rFonts w:ascii="Palatino Linotype" w:eastAsia="Calibri" w:hAnsi="Palatino Linotype"/>
          <w:b/>
          <w:lang w:val="es-ES" w:eastAsia="es-ES"/>
        </w:rPr>
        <w:t>EL RECURRENTE</w:t>
      </w:r>
      <w:r w:rsidRPr="009B6FD5">
        <w:rPr>
          <w:rFonts w:ascii="Palatino Linotype" w:eastAsiaTheme="minorEastAsia" w:hAnsi="Palatino Linotype"/>
          <w:b/>
          <w:lang w:val="es-ES_tradnl" w:eastAsia="es-ES"/>
        </w:rPr>
        <w:t>,</w:t>
      </w:r>
      <w:r w:rsidRPr="009B6FD5">
        <w:rPr>
          <w:rFonts w:ascii="Palatino Linotype" w:eastAsia="Calibri" w:hAnsi="Palatino Linotype" w:cs="Arial"/>
          <w:lang w:val="es-ES" w:eastAsia="es-ES"/>
        </w:rPr>
        <w:t xml:space="preserve"> ante el </w:t>
      </w:r>
      <w:r w:rsidRPr="009B6FD5">
        <w:rPr>
          <w:rFonts w:ascii="Palatino Linotype" w:eastAsia="Calibri" w:hAnsi="Palatino Linotype" w:cs="Arial"/>
          <w:b/>
          <w:lang w:val="es-ES" w:eastAsia="es-ES"/>
        </w:rPr>
        <w:t>SUJETO OBLIGADO</w:t>
      </w:r>
      <w:r w:rsidRPr="009B6FD5">
        <w:rPr>
          <w:rFonts w:ascii="Palatino Linotype" w:eastAsia="Calibri" w:hAnsi="Palatino Linotype" w:cs="Arial"/>
          <w:lang w:val="es-ES_tradnl" w:eastAsia="es-ES"/>
        </w:rPr>
        <w:t xml:space="preserve"> vía </w:t>
      </w:r>
      <w:r w:rsidRPr="009B6FD5">
        <w:rPr>
          <w:rFonts w:ascii="Palatino Linotype" w:eastAsia="Calibri" w:hAnsi="Palatino Linotype" w:cs="Arial"/>
          <w:lang w:val="es-ES" w:eastAsia="es-ES"/>
        </w:rPr>
        <w:t>Sistema de Acceso a la Información Mexiquense (</w:t>
      </w:r>
      <w:r w:rsidRPr="009B6FD5">
        <w:rPr>
          <w:rFonts w:ascii="Palatino Linotype" w:eastAsia="Calibri" w:hAnsi="Palatino Linotype" w:cs="Arial"/>
          <w:b/>
          <w:lang w:val="es-ES" w:eastAsia="es-ES"/>
        </w:rPr>
        <w:t>SAIMEX)</w:t>
      </w:r>
      <w:r w:rsidRPr="009B6FD5">
        <w:rPr>
          <w:rFonts w:ascii="Palatino Linotype" w:eastAsia="Calibri" w:hAnsi="Palatino Linotype" w:cs="Arial"/>
          <w:lang w:val="es-ES" w:eastAsia="es-ES"/>
        </w:rPr>
        <w:t xml:space="preserve">, presentó una solicitud de información registrada con el número </w:t>
      </w:r>
      <w:r w:rsidRPr="009B6FD5">
        <w:rPr>
          <w:rFonts w:ascii="Palatino Linotype" w:hAnsi="Palatino Linotype"/>
          <w:b/>
          <w:bCs/>
        </w:rPr>
        <w:t>00111/CHICOLOA/IP/2021</w:t>
      </w:r>
      <w:r w:rsidRPr="009B6FD5">
        <w:rPr>
          <w:rFonts w:ascii="Palatino Linotype" w:eastAsiaTheme="minorEastAsia" w:hAnsi="Palatino Linotype"/>
          <w:b/>
          <w:lang w:val="es-ES_tradnl" w:eastAsia="es-ES"/>
        </w:rPr>
        <w:t xml:space="preserve">, </w:t>
      </w:r>
      <w:r w:rsidRPr="009B6FD5">
        <w:rPr>
          <w:rFonts w:ascii="Palatino Linotype" w:eastAsia="Calibri" w:hAnsi="Palatino Linotype" w:cs="Arial"/>
          <w:lang w:val="es-ES" w:eastAsia="es-ES"/>
        </w:rPr>
        <w:t>mediante la cual solicitó lo siguiente:</w:t>
      </w:r>
    </w:p>
    <w:p w:rsidR="00D771ED" w:rsidRPr="009B6FD5" w:rsidRDefault="00D771ED" w:rsidP="009B6FD5">
      <w:pPr>
        <w:spacing w:line="360" w:lineRule="auto"/>
        <w:contextualSpacing/>
        <w:jc w:val="both"/>
        <w:rPr>
          <w:rFonts w:ascii="Palatino Linotype" w:hAnsi="Palatino Linotype" w:cs="Arial"/>
          <w:lang w:val="es-ES" w:eastAsia="es-ES"/>
        </w:rPr>
      </w:pPr>
    </w:p>
    <w:p w:rsidR="00D771ED" w:rsidRPr="009B6FD5" w:rsidRDefault="00D771ED" w:rsidP="009B6FD5">
      <w:pPr>
        <w:pStyle w:val="Prrafodelista"/>
        <w:spacing w:line="360" w:lineRule="auto"/>
        <w:ind w:left="1069" w:right="567"/>
        <w:jc w:val="both"/>
        <w:rPr>
          <w:rFonts w:ascii="Palatino Linotype" w:hAnsi="Palatino Linotype"/>
          <w:i/>
          <w:color w:val="000000"/>
        </w:rPr>
      </w:pPr>
      <w:r w:rsidRPr="009B6FD5">
        <w:rPr>
          <w:rFonts w:ascii="Palatino Linotype" w:hAnsi="Palatino Linotype"/>
          <w:i/>
          <w:color w:val="000000"/>
        </w:rPr>
        <w:t xml:space="preserve"> “Del municipio de chicoloapan, requiero el fundamento jurídico y administrativo, así como los requisitos para solicitar en el catastro del municipio de Chicoloapan la asignación de una nueva cuenta predial respecto de la fracción de un terreno. Derivado de lo anterior, requiero en digital todos y cada uno de los formatos que deban ser requisitados para dicho trámite. También, requiero los costos y el </w:t>
      </w:r>
      <w:r w:rsidRPr="009B6FD5">
        <w:rPr>
          <w:rFonts w:ascii="Palatino Linotype" w:hAnsi="Palatino Linotype"/>
          <w:i/>
          <w:color w:val="000000"/>
        </w:rPr>
        <w:lastRenderedPageBreak/>
        <w:t xml:space="preserve">fundamento legal de dichos costos, la duración del trámite, el extracto del manual administrativo y de procedimientos donde este asentado dicho trámite, así como el nombre del área, nombre del titular del área, horarios, ubicación de dicha área, y nombre de los servidores públicos quienes recepcionan la documentación. Finalmente requiero de un periodo entre el año 2019 al 10 de junio de 2021, la versión pública de los últimos tres expedientes que obra en sus archivos respecto del tramite para solicitar en catastro una nueva cuenta predial.” (Sic) </w:t>
      </w:r>
    </w:p>
    <w:p w:rsidR="00D771ED" w:rsidRPr="009B6FD5" w:rsidRDefault="00D771ED" w:rsidP="009B6FD5">
      <w:pPr>
        <w:pStyle w:val="Prrafodelista"/>
        <w:spacing w:line="360" w:lineRule="auto"/>
        <w:ind w:left="1069" w:right="567"/>
        <w:jc w:val="both"/>
        <w:rPr>
          <w:rFonts w:ascii="Palatino Linotype" w:eastAsia="Calibri" w:hAnsi="Palatino Linotype" w:cs="Arial"/>
          <w:i/>
          <w:lang w:val="es-ES" w:eastAsia="es-ES"/>
        </w:rPr>
      </w:pPr>
    </w:p>
    <w:p w:rsidR="00D771ED" w:rsidRPr="009B6FD5" w:rsidRDefault="00D771ED" w:rsidP="009B6FD5">
      <w:pPr>
        <w:numPr>
          <w:ilvl w:val="0"/>
          <w:numId w:val="1"/>
        </w:numPr>
        <w:spacing w:line="360" w:lineRule="auto"/>
        <w:ind w:left="0" w:firstLine="0"/>
        <w:contextualSpacing/>
        <w:jc w:val="both"/>
        <w:rPr>
          <w:rFonts w:ascii="Palatino Linotype" w:eastAsia="Calibri" w:hAnsi="Palatino Linotype"/>
          <w:lang w:val="es-ES" w:eastAsia="es-ES"/>
        </w:rPr>
      </w:pPr>
      <w:r w:rsidRPr="009B6FD5">
        <w:rPr>
          <w:rFonts w:ascii="Palatino Linotype" w:eastAsia="Calibri" w:hAnsi="Palatino Linotype"/>
          <w:lang w:val="es-ES" w:eastAsia="es-ES"/>
        </w:rPr>
        <w:t>Se eligió como modalidad de entrega a través de la plataforma digital Sistema de Acceso a la Información Mexiquense (SAIMEX).</w:t>
      </w:r>
    </w:p>
    <w:p w:rsidR="00D771ED" w:rsidRPr="009B6FD5" w:rsidRDefault="00D771ED" w:rsidP="009B6FD5">
      <w:pPr>
        <w:spacing w:line="360" w:lineRule="auto"/>
        <w:contextualSpacing/>
        <w:jc w:val="both"/>
        <w:rPr>
          <w:rFonts w:ascii="Palatino Linotype" w:eastAsia="Calibri" w:hAnsi="Palatino Linotype"/>
          <w:lang w:val="es-ES" w:eastAsia="es-ES"/>
        </w:rPr>
      </w:pPr>
    </w:p>
    <w:p w:rsidR="00D771ED" w:rsidRPr="009B6FD5" w:rsidRDefault="00D771ED" w:rsidP="009B6FD5">
      <w:pPr>
        <w:numPr>
          <w:ilvl w:val="0"/>
          <w:numId w:val="1"/>
        </w:numPr>
        <w:spacing w:line="360" w:lineRule="auto"/>
        <w:ind w:left="0" w:firstLine="0"/>
        <w:contextualSpacing/>
        <w:jc w:val="both"/>
        <w:rPr>
          <w:rFonts w:ascii="Palatino Linotype" w:eastAsia="Calibri" w:hAnsi="Palatino Linotype"/>
          <w:lang w:val="es-ES" w:eastAsia="es-ES"/>
        </w:rPr>
      </w:pPr>
      <w:r w:rsidRPr="009B6FD5">
        <w:rPr>
          <w:rFonts w:ascii="Palatino Linotype" w:eastAsiaTheme="minorEastAsia" w:hAnsi="Palatino Linotype"/>
          <w:lang w:val="es-ES_tradnl" w:eastAsia="es-ES"/>
        </w:rPr>
        <w:t xml:space="preserve">El cinco (05) de julio  de dos mil veintiuno, </w:t>
      </w:r>
      <w:r w:rsidRPr="009B6FD5">
        <w:rPr>
          <w:rFonts w:ascii="Palatino Linotype" w:eastAsia="Calibri" w:hAnsi="Palatino Linotype"/>
          <w:lang w:val="es-ES" w:eastAsia="es-ES"/>
        </w:rPr>
        <w:t xml:space="preserve">el </w:t>
      </w:r>
      <w:r w:rsidRPr="009B6FD5">
        <w:rPr>
          <w:rFonts w:ascii="Palatino Linotype" w:eastAsia="Calibri" w:hAnsi="Palatino Linotype" w:cs="Arial"/>
          <w:b/>
          <w:lang w:val="es-AR" w:eastAsia="es-ES"/>
        </w:rPr>
        <w:t>SUJETO OBLIGADO</w:t>
      </w:r>
      <w:r w:rsidRPr="009B6FD5">
        <w:rPr>
          <w:rFonts w:ascii="Palatino Linotype" w:eastAsia="Calibri" w:hAnsi="Palatino Linotype" w:cs="Arial"/>
          <w:b/>
          <w:i/>
          <w:lang w:val="es-AR" w:eastAsia="es-ES"/>
        </w:rPr>
        <w:t xml:space="preserve"> </w:t>
      </w:r>
      <w:r w:rsidR="00A657B2" w:rsidRPr="009B6FD5">
        <w:rPr>
          <w:rFonts w:ascii="Palatino Linotype" w:hAnsi="Palatino Linotype" w:cs="Arial"/>
          <w:lang w:val="es-ES" w:eastAsia="es-ES"/>
        </w:rPr>
        <w:t>dio respuesta</w:t>
      </w:r>
      <w:r w:rsidRPr="009B6FD5">
        <w:rPr>
          <w:rFonts w:ascii="Palatino Linotype" w:hAnsi="Palatino Linotype" w:cs="Arial"/>
          <w:lang w:val="es-ES" w:eastAsia="es-ES"/>
        </w:rPr>
        <w:t xml:space="preserve"> a la solicitud de información en los siguientes términos:</w:t>
      </w:r>
    </w:p>
    <w:p w:rsidR="00D771ED" w:rsidRPr="009B6FD5" w:rsidRDefault="00D771ED" w:rsidP="009B6FD5">
      <w:pPr>
        <w:spacing w:line="360" w:lineRule="auto"/>
        <w:contextualSpacing/>
        <w:jc w:val="both"/>
        <w:rPr>
          <w:rFonts w:ascii="Palatino Linotype" w:eastAsia="Calibri" w:hAnsi="Palatino Linotype"/>
          <w:lang w:val="es-ES" w:eastAsia="es-ES"/>
        </w:rPr>
      </w:pPr>
    </w:p>
    <w:tbl>
      <w:tblPr>
        <w:tblW w:w="6908" w:type="dxa"/>
        <w:jc w:val="center"/>
        <w:tblCellSpacing w:w="0" w:type="dxa"/>
        <w:tblCellMar>
          <w:left w:w="0" w:type="dxa"/>
          <w:right w:w="0" w:type="dxa"/>
        </w:tblCellMar>
        <w:tblLook w:val="04A0" w:firstRow="1" w:lastRow="0" w:firstColumn="1" w:lastColumn="0" w:noHBand="0" w:noVBand="1"/>
      </w:tblPr>
      <w:tblGrid>
        <w:gridCol w:w="6908"/>
      </w:tblGrid>
      <w:tr w:rsidR="00D771ED" w:rsidRPr="009B6FD5" w:rsidTr="00D771ED">
        <w:trPr>
          <w:trHeight w:val="313"/>
          <w:tblCellSpacing w:w="0" w:type="dxa"/>
          <w:jc w:val="center"/>
        </w:trPr>
        <w:tc>
          <w:tcPr>
            <w:tcW w:w="0" w:type="auto"/>
            <w:vAlign w:val="center"/>
            <w:hideMark/>
          </w:tcPr>
          <w:p w:rsidR="00D771ED" w:rsidRPr="009B6FD5" w:rsidRDefault="00D771ED" w:rsidP="009B6FD5">
            <w:pPr>
              <w:spacing w:line="360" w:lineRule="auto"/>
              <w:jc w:val="right"/>
              <w:rPr>
                <w:rFonts w:ascii="Palatino Linotype" w:hAnsi="Palatino Linotype"/>
                <w:i/>
                <w:sz w:val="32"/>
                <w:lang w:val="es-ES" w:eastAsia="es-ES"/>
              </w:rPr>
            </w:pPr>
            <w:r w:rsidRPr="009B6FD5">
              <w:rPr>
                <w:rFonts w:ascii="Palatino Linotype" w:hAnsi="Palatino Linotype"/>
                <w:i/>
                <w:sz w:val="22"/>
                <w:szCs w:val="18"/>
                <w:lang w:val="es-ES" w:eastAsia="es-ES"/>
              </w:rPr>
              <w:t>Chicoloapan, México a 05 de Julio de 2021</w:t>
            </w:r>
          </w:p>
        </w:tc>
      </w:tr>
      <w:tr w:rsidR="00D771ED" w:rsidRPr="009B6FD5" w:rsidTr="00D771ED">
        <w:trPr>
          <w:trHeight w:val="313"/>
          <w:tblCellSpacing w:w="0" w:type="dxa"/>
          <w:jc w:val="center"/>
        </w:trPr>
        <w:tc>
          <w:tcPr>
            <w:tcW w:w="0" w:type="auto"/>
            <w:vAlign w:val="center"/>
            <w:hideMark/>
          </w:tcPr>
          <w:p w:rsidR="00D771ED" w:rsidRPr="009B6FD5" w:rsidRDefault="00D771ED" w:rsidP="009B6FD5">
            <w:pPr>
              <w:spacing w:line="360" w:lineRule="auto"/>
              <w:jc w:val="right"/>
              <w:rPr>
                <w:rFonts w:ascii="Palatino Linotype" w:hAnsi="Palatino Linotype"/>
                <w:i/>
                <w:sz w:val="32"/>
                <w:lang w:val="es-ES" w:eastAsia="es-ES"/>
              </w:rPr>
            </w:pPr>
            <w:r w:rsidRPr="009B6FD5">
              <w:rPr>
                <w:rFonts w:ascii="Palatino Linotype" w:hAnsi="Palatino Linotype"/>
                <w:i/>
                <w:sz w:val="22"/>
                <w:szCs w:val="18"/>
                <w:lang w:val="es-ES" w:eastAsia="es-ES"/>
              </w:rPr>
              <w:t>Nombre del solicitante:</w:t>
            </w:r>
          </w:p>
        </w:tc>
      </w:tr>
      <w:tr w:rsidR="00D771ED" w:rsidRPr="009B6FD5" w:rsidTr="00D771ED">
        <w:trPr>
          <w:trHeight w:val="313"/>
          <w:tblCellSpacing w:w="0" w:type="dxa"/>
          <w:jc w:val="center"/>
        </w:trPr>
        <w:tc>
          <w:tcPr>
            <w:tcW w:w="0" w:type="auto"/>
            <w:vAlign w:val="center"/>
            <w:hideMark/>
          </w:tcPr>
          <w:p w:rsidR="00D771ED" w:rsidRPr="009B6FD5" w:rsidRDefault="00D771ED" w:rsidP="009B6FD5">
            <w:pPr>
              <w:spacing w:line="360" w:lineRule="auto"/>
              <w:jc w:val="right"/>
              <w:rPr>
                <w:rFonts w:ascii="Palatino Linotype" w:hAnsi="Palatino Linotype"/>
                <w:i/>
                <w:sz w:val="32"/>
                <w:lang w:val="es-ES" w:eastAsia="es-ES"/>
              </w:rPr>
            </w:pPr>
            <w:r w:rsidRPr="009B6FD5">
              <w:rPr>
                <w:rFonts w:ascii="Palatino Linotype" w:hAnsi="Palatino Linotype"/>
                <w:i/>
                <w:sz w:val="22"/>
                <w:szCs w:val="18"/>
                <w:lang w:val="es-ES" w:eastAsia="es-ES"/>
              </w:rPr>
              <w:t>Folio de la solicitud: 00111/CHICOLOA/IP/2021</w:t>
            </w:r>
          </w:p>
        </w:tc>
      </w:tr>
      <w:tr w:rsidR="00D771ED" w:rsidRPr="009B6FD5" w:rsidTr="00D771ED">
        <w:trPr>
          <w:trHeight w:val="469"/>
          <w:tblCellSpacing w:w="0" w:type="dxa"/>
          <w:jc w:val="center"/>
        </w:trPr>
        <w:tc>
          <w:tcPr>
            <w:tcW w:w="0" w:type="auto"/>
            <w:vAlign w:val="center"/>
            <w:hideMark/>
          </w:tcPr>
          <w:p w:rsidR="00D771ED" w:rsidRPr="009B6FD5" w:rsidRDefault="00D771ED" w:rsidP="009B6FD5">
            <w:pPr>
              <w:spacing w:line="360" w:lineRule="auto"/>
              <w:jc w:val="right"/>
              <w:rPr>
                <w:rFonts w:ascii="Palatino Linotype" w:hAnsi="Palatino Linotype"/>
                <w:i/>
                <w:sz w:val="32"/>
                <w:lang w:val="es-ES" w:eastAsia="es-ES"/>
              </w:rPr>
            </w:pPr>
          </w:p>
        </w:tc>
      </w:tr>
      <w:tr w:rsidR="00D771ED" w:rsidRPr="009B6FD5" w:rsidTr="00D771ED">
        <w:trPr>
          <w:trHeight w:val="156"/>
          <w:tblCellSpacing w:w="0" w:type="dxa"/>
          <w:jc w:val="center"/>
        </w:trPr>
        <w:tc>
          <w:tcPr>
            <w:tcW w:w="0" w:type="auto"/>
            <w:vAlign w:val="center"/>
            <w:hideMark/>
          </w:tcPr>
          <w:p w:rsidR="00D771ED" w:rsidRPr="009B6FD5" w:rsidRDefault="00D771ED" w:rsidP="009B6FD5">
            <w:pPr>
              <w:spacing w:line="360" w:lineRule="auto"/>
              <w:jc w:val="center"/>
              <w:rPr>
                <w:rFonts w:ascii="Palatino Linotype" w:hAnsi="Palatino Linotype"/>
                <w:i/>
                <w:szCs w:val="20"/>
                <w:lang w:val="es-ES" w:eastAsia="es-ES"/>
              </w:rPr>
            </w:pPr>
          </w:p>
        </w:tc>
      </w:tr>
      <w:tr w:rsidR="00D771ED" w:rsidRPr="009B6FD5" w:rsidTr="00D771ED">
        <w:trPr>
          <w:trHeight w:val="391"/>
          <w:tblCellSpacing w:w="0" w:type="dxa"/>
          <w:jc w:val="center"/>
        </w:trPr>
        <w:tc>
          <w:tcPr>
            <w:tcW w:w="0" w:type="auto"/>
            <w:vAlign w:val="center"/>
            <w:hideMark/>
          </w:tcPr>
          <w:p w:rsidR="00D771ED" w:rsidRPr="009B6FD5" w:rsidRDefault="00D771ED" w:rsidP="009B6FD5">
            <w:pPr>
              <w:spacing w:line="360" w:lineRule="auto"/>
              <w:rPr>
                <w:rFonts w:ascii="Palatino Linotype" w:hAnsi="Palatino Linotype"/>
                <w:i/>
                <w:szCs w:val="20"/>
                <w:lang w:val="es-ES" w:eastAsia="es-ES"/>
              </w:rPr>
            </w:pPr>
          </w:p>
        </w:tc>
      </w:tr>
      <w:tr w:rsidR="00D771ED" w:rsidRPr="009B6FD5" w:rsidTr="00D771ED">
        <w:trPr>
          <w:trHeight w:val="156"/>
          <w:tblCellSpacing w:w="0" w:type="dxa"/>
          <w:jc w:val="center"/>
        </w:trPr>
        <w:tc>
          <w:tcPr>
            <w:tcW w:w="0" w:type="auto"/>
            <w:vAlign w:val="center"/>
            <w:hideMark/>
          </w:tcPr>
          <w:p w:rsidR="00D771ED" w:rsidRPr="009B6FD5" w:rsidRDefault="00D771ED" w:rsidP="009B6FD5">
            <w:pPr>
              <w:spacing w:line="360" w:lineRule="auto"/>
              <w:rPr>
                <w:rFonts w:ascii="Palatino Linotype" w:hAnsi="Palatino Linotype"/>
                <w:i/>
                <w:sz w:val="32"/>
                <w:lang w:val="es-ES" w:eastAsia="es-ES"/>
              </w:rPr>
            </w:pPr>
            <w:r w:rsidRPr="009B6FD5">
              <w:rPr>
                <w:rFonts w:ascii="Palatino Linotype" w:hAnsi="Palatino Linotype"/>
                <w:i/>
                <w:sz w:val="22"/>
                <w:szCs w:val="18"/>
                <w:lang w:val="es-ES" w:eastAsia="es-ES"/>
              </w:rPr>
              <w:t>Se remite oficio de respuesta número CHIC/PM/TM/C/100/2021, con información brindada por el Catastro Municipal, en atención a su solicitud de información. Recordándole que tiene derecho a interponer el recurso de revisión ante la respuesta brindada, para lo cual, cuenta con un plazo de quince días hábiles contados a partir de la fecha de notificación de la presente.</w:t>
            </w:r>
          </w:p>
        </w:tc>
      </w:tr>
      <w:tr w:rsidR="00D771ED" w:rsidRPr="009B6FD5" w:rsidTr="00D771ED">
        <w:trPr>
          <w:trHeight w:val="391"/>
          <w:tblCellSpacing w:w="0" w:type="dxa"/>
          <w:jc w:val="center"/>
        </w:trPr>
        <w:tc>
          <w:tcPr>
            <w:tcW w:w="0" w:type="auto"/>
            <w:vAlign w:val="center"/>
            <w:hideMark/>
          </w:tcPr>
          <w:p w:rsidR="00D771ED" w:rsidRPr="009B6FD5" w:rsidRDefault="00D771ED" w:rsidP="009B6FD5">
            <w:pPr>
              <w:spacing w:line="360" w:lineRule="auto"/>
              <w:rPr>
                <w:rFonts w:ascii="Palatino Linotype" w:hAnsi="Palatino Linotype"/>
                <w:i/>
                <w:sz w:val="32"/>
                <w:lang w:val="es-ES" w:eastAsia="es-ES"/>
              </w:rPr>
            </w:pPr>
          </w:p>
        </w:tc>
      </w:tr>
      <w:tr w:rsidR="00D771ED" w:rsidRPr="009B6FD5" w:rsidTr="00D771ED">
        <w:trPr>
          <w:trHeight w:val="156"/>
          <w:tblCellSpacing w:w="0" w:type="dxa"/>
          <w:jc w:val="center"/>
        </w:trPr>
        <w:tc>
          <w:tcPr>
            <w:tcW w:w="0" w:type="auto"/>
            <w:vAlign w:val="center"/>
            <w:hideMark/>
          </w:tcPr>
          <w:p w:rsidR="00D771ED" w:rsidRPr="009B6FD5" w:rsidRDefault="00D771ED" w:rsidP="009B6FD5">
            <w:pPr>
              <w:spacing w:line="360" w:lineRule="auto"/>
              <w:jc w:val="center"/>
              <w:rPr>
                <w:rFonts w:ascii="Palatino Linotype" w:hAnsi="Palatino Linotype"/>
                <w:i/>
                <w:szCs w:val="20"/>
                <w:lang w:val="es-ES" w:eastAsia="es-ES"/>
              </w:rPr>
            </w:pPr>
          </w:p>
        </w:tc>
      </w:tr>
      <w:tr w:rsidR="00D771ED" w:rsidRPr="009B6FD5" w:rsidTr="00D771ED">
        <w:trPr>
          <w:trHeight w:val="156"/>
          <w:tblCellSpacing w:w="0" w:type="dxa"/>
          <w:jc w:val="center"/>
        </w:trPr>
        <w:tc>
          <w:tcPr>
            <w:tcW w:w="0" w:type="auto"/>
            <w:vAlign w:val="center"/>
            <w:hideMark/>
          </w:tcPr>
          <w:p w:rsidR="00D771ED" w:rsidRPr="009B6FD5" w:rsidRDefault="00D771ED" w:rsidP="009B6FD5">
            <w:pPr>
              <w:spacing w:line="360" w:lineRule="auto"/>
              <w:rPr>
                <w:rFonts w:ascii="Palatino Linotype" w:hAnsi="Palatino Linotype"/>
                <w:i/>
                <w:szCs w:val="20"/>
                <w:lang w:val="es-ES" w:eastAsia="es-ES"/>
              </w:rPr>
            </w:pPr>
          </w:p>
        </w:tc>
      </w:tr>
      <w:tr w:rsidR="00D771ED" w:rsidRPr="009B6FD5" w:rsidTr="00D771ED">
        <w:trPr>
          <w:trHeight w:val="156"/>
          <w:tblCellSpacing w:w="0" w:type="dxa"/>
          <w:jc w:val="center"/>
        </w:trPr>
        <w:tc>
          <w:tcPr>
            <w:tcW w:w="0" w:type="auto"/>
            <w:vAlign w:val="center"/>
            <w:hideMark/>
          </w:tcPr>
          <w:p w:rsidR="00D771ED" w:rsidRPr="009B6FD5" w:rsidRDefault="00D771ED" w:rsidP="009B6FD5">
            <w:pPr>
              <w:spacing w:line="360" w:lineRule="auto"/>
              <w:rPr>
                <w:rFonts w:ascii="Palatino Linotype" w:hAnsi="Palatino Linotype"/>
                <w:i/>
                <w:sz w:val="32"/>
                <w:lang w:val="es-ES" w:eastAsia="es-ES"/>
              </w:rPr>
            </w:pPr>
            <w:r w:rsidRPr="009B6FD5">
              <w:rPr>
                <w:rFonts w:ascii="Palatino Linotype" w:hAnsi="Palatino Linotype"/>
                <w:i/>
                <w:sz w:val="22"/>
                <w:szCs w:val="18"/>
                <w:lang w:val="es-ES" w:eastAsia="es-ES"/>
              </w:rPr>
              <w:lastRenderedPageBreak/>
              <w:t>ATENTAMENTE</w:t>
            </w:r>
          </w:p>
        </w:tc>
      </w:tr>
      <w:tr w:rsidR="00D771ED" w:rsidRPr="009B6FD5" w:rsidTr="00D771ED">
        <w:trPr>
          <w:trHeight w:val="234"/>
          <w:tblCellSpacing w:w="0" w:type="dxa"/>
          <w:jc w:val="center"/>
        </w:trPr>
        <w:tc>
          <w:tcPr>
            <w:tcW w:w="0" w:type="auto"/>
            <w:vAlign w:val="center"/>
            <w:hideMark/>
          </w:tcPr>
          <w:p w:rsidR="00D771ED" w:rsidRPr="009B6FD5" w:rsidRDefault="00D771ED" w:rsidP="009B6FD5">
            <w:pPr>
              <w:spacing w:line="360" w:lineRule="auto"/>
              <w:rPr>
                <w:rFonts w:ascii="Palatino Linotype" w:hAnsi="Palatino Linotype"/>
                <w:i/>
                <w:sz w:val="32"/>
                <w:lang w:val="es-ES" w:eastAsia="es-ES"/>
              </w:rPr>
            </w:pPr>
          </w:p>
        </w:tc>
      </w:tr>
      <w:tr w:rsidR="00D771ED" w:rsidRPr="009B6FD5" w:rsidTr="00D771ED">
        <w:trPr>
          <w:trHeight w:val="156"/>
          <w:tblCellSpacing w:w="0" w:type="dxa"/>
          <w:jc w:val="center"/>
        </w:trPr>
        <w:tc>
          <w:tcPr>
            <w:tcW w:w="0" w:type="auto"/>
            <w:vAlign w:val="center"/>
            <w:hideMark/>
          </w:tcPr>
          <w:p w:rsidR="00D771ED" w:rsidRPr="009B6FD5" w:rsidRDefault="00D771ED" w:rsidP="009B6FD5">
            <w:pPr>
              <w:spacing w:line="360" w:lineRule="auto"/>
              <w:rPr>
                <w:rFonts w:ascii="Palatino Linotype" w:hAnsi="Palatino Linotype"/>
                <w:i/>
                <w:sz w:val="32"/>
                <w:lang w:val="es-ES" w:eastAsia="es-ES"/>
              </w:rPr>
            </w:pPr>
            <w:r w:rsidRPr="009B6FD5">
              <w:rPr>
                <w:rFonts w:ascii="Palatino Linotype" w:hAnsi="Palatino Linotype"/>
                <w:i/>
                <w:sz w:val="22"/>
                <w:szCs w:val="18"/>
                <w:lang w:val="es-ES" w:eastAsia="es-ES"/>
              </w:rPr>
              <w:t>M. EN A.P. YANETT MARIBEL SOTO DIAZ</w:t>
            </w:r>
          </w:p>
        </w:tc>
      </w:tr>
    </w:tbl>
    <w:p w:rsidR="00D771ED" w:rsidRPr="009B6FD5" w:rsidRDefault="00D771ED" w:rsidP="009B6FD5">
      <w:pPr>
        <w:spacing w:line="360" w:lineRule="auto"/>
        <w:ind w:right="567"/>
        <w:jc w:val="both"/>
        <w:rPr>
          <w:rFonts w:ascii="Palatino Linotype" w:hAnsi="Palatino Linotype"/>
        </w:rPr>
      </w:pPr>
    </w:p>
    <w:p w:rsidR="00D771ED" w:rsidRPr="009B6FD5" w:rsidRDefault="00D771ED" w:rsidP="009B6FD5">
      <w:pPr>
        <w:spacing w:line="360" w:lineRule="auto"/>
        <w:ind w:right="567"/>
        <w:jc w:val="both"/>
        <w:rPr>
          <w:rFonts w:ascii="Palatino Linotype" w:hAnsi="Palatino Linotype"/>
        </w:rPr>
      </w:pPr>
      <w:r w:rsidRPr="009B6FD5">
        <w:rPr>
          <w:rFonts w:ascii="Palatino Linotype" w:hAnsi="Palatino Linotype"/>
        </w:rPr>
        <w:t>A la respuesta se adjuntaron los siguientes documentos:</w:t>
      </w:r>
    </w:p>
    <w:p w:rsidR="00D771ED" w:rsidRPr="009B6FD5" w:rsidRDefault="00D771ED" w:rsidP="009B6FD5">
      <w:pPr>
        <w:spacing w:line="360" w:lineRule="auto"/>
        <w:ind w:right="567"/>
        <w:jc w:val="both"/>
        <w:rPr>
          <w:rFonts w:ascii="Palatino Linotype" w:hAnsi="Palatino Linotype"/>
          <w:b/>
        </w:rPr>
      </w:pPr>
    </w:p>
    <w:p w:rsidR="00D771ED" w:rsidRPr="009B6FD5" w:rsidRDefault="00604643" w:rsidP="009B6FD5">
      <w:pPr>
        <w:pStyle w:val="Prrafodelista"/>
        <w:numPr>
          <w:ilvl w:val="0"/>
          <w:numId w:val="7"/>
        </w:numPr>
        <w:spacing w:line="360" w:lineRule="auto"/>
        <w:ind w:right="567"/>
        <w:jc w:val="both"/>
        <w:rPr>
          <w:rFonts w:ascii="Palatino Linotype" w:hAnsi="Palatino Linotype"/>
          <w:b/>
          <w:i/>
        </w:rPr>
      </w:pPr>
      <w:hyperlink r:id="rId8" w:tgtFrame="_blank" w:history="1">
        <w:r w:rsidR="00D771ED" w:rsidRPr="009B6FD5">
          <w:rPr>
            <w:rStyle w:val="Hipervnculo"/>
            <w:rFonts w:ascii="Palatino Linotype" w:eastAsiaTheme="majorEastAsia" w:hAnsi="Palatino Linotype" w:cs="Arial"/>
            <w:b/>
            <w:bCs/>
            <w:color w:val="auto"/>
          </w:rPr>
          <w:t>Respuesta Sol 111.pdf</w:t>
        </w:r>
      </w:hyperlink>
      <w:r w:rsidR="00D771ED" w:rsidRPr="009B6FD5">
        <w:rPr>
          <w:rFonts w:ascii="Palatino Linotype" w:hAnsi="Palatino Linotype"/>
          <w:b/>
        </w:rPr>
        <w:t>:</w:t>
      </w:r>
      <w:r w:rsidR="00397389" w:rsidRPr="009B6FD5">
        <w:rPr>
          <w:rFonts w:ascii="Palatino Linotype" w:hAnsi="Palatino Linotype"/>
          <w:b/>
        </w:rPr>
        <w:t xml:space="preserve"> </w:t>
      </w:r>
      <w:r w:rsidR="00397389" w:rsidRPr="009B6FD5">
        <w:rPr>
          <w:rFonts w:ascii="Palatino Linotype" w:hAnsi="Palatino Linotype"/>
        </w:rPr>
        <w:t xml:space="preserve">Oficio CHIC/PM/TM/C/100/2021 de fecha dieciséis de junio de dos mil veintiuno, suscrito por el Jefe de Catastro y dirigido al Titular de la Unidad de Transparencia mediante el cual manifestó </w:t>
      </w:r>
      <w:r w:rsidR="00397389" w:rsidRPr="009B6FD5">
        <w:rPr>
          <w:rFonts w:ascii="Palatino Linotype" w:hAnsi="Palatino Linotype"/>
          <w:i/>
        </w:rPr>
        <w:t xml:space="preserve">“Me permito informarle , que esta jefatura de catastro a mi cargo, no asigna cuentas prediales, no obstante le informo que dentro de mi competencia de acuerdo a los Artículo 169 fracción IV, 171 fracción VIII y 183 del Código Financiero del Estado de México y Municipios, hago de su conocimiento los Servicios Catastrales que presta esta Jefatura, con relación a la Normatividad que se enuncia en </w:t>
      </w:r>
      <w:r w:rsidR="00D82C77" w:rsidRPr="009B6FD5">
        <w:rPr>
          <w:rFonts w:ascii="Palatino Linotype" w:hAnsi="Palatino Linotype"/>
          <w:i/>
        </w:rPr>
        <w:t>el Apartado I, en su Política General, ACGC004, ACGC005, ACGC007 y ACGC014, Apartado II, Política ACC001 y ACC002, Apartado VI, en su Política ARA002 del Manual Catastral del Estado de México. Con respecto a la obtención de los formatos se anexan copias simples de los mismos, con respecto a los costos y su fundamento, estos se pueden consultar en el artículo 166 del Código Financiero del Estado de México y Municipios, y finalmente en lo referente a los expedientes solicitados no a lugar deribado que toda documentación anexa a las solicitudes de servicios catastrales a petición de parte de uso y manejo exclusivo de la autoridad competente…”.</w:t>
      </w:r>
      <w:r w:rsidR="00D82C77" w:rsidRPr="009B6FD5">
        <w:rPr>
          <w:rFonts w:ascii="Palatino Linotype" w:hAnsi="Palatino Linotype"/>
        </w:rPr>
        <w:t xml:space="preserve"> Aunado a ello, se anexo un formato de solicitud de servicios catastrales y uno de manifestación catastral. </w:t>
      </w:r>
    </w:p>
    <w:p w:rsidR="00D771ED" w:rsidRPr="009B6FD5" w:rsidRDefault="00D771ED" w:rsidP="009B6FD5">
      <w:pPr>
        <w:spacing w:line="360" w:lineRule="auto"/>
        <w:ind w:right="567"/>
        <w:jc w:val="both"/>
        <w:rPr>
          <w:rFonts w:ascii="Palatino Linotype" w:hAnsi="Palatino Linotype"/>
        </w:rPr>
      </w:pPr>
    </w:p>
    <w:p w:rsidR="00D771ED" w:rsidRPr="009B6FD5" w:rsidRDefault="00D771ED" w:rsidP="009B6FD5">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9B6FD5">
        <w:rPr>
          <w:rFonts w:ascii="Palatino Linotype" w:eastAsia="Calibri" w:hAnsi="Palatino Linotype" w:cs="Arial"/>
          <w:lang w:val="es-AR" w:eastAsia="es-ES"/>
        </w:rPr>
        <w:t>El seis (06) de julio  de dos mil veintiuno</w:t>
      </w:r>
      <w:r w:rsidRPr="009B6FD5">
        <w:rPr>
          <w:rFonts w:ascii="Palatino Linotype" w:hAnsi="Palatino Linotype" w:cs="Arial"/>
          <w:lang w:val="es-ES" w:eastAsia="es-ES"/>
        </w:rPr>
        <w:t xml:space="preserve">, </w:t>
      </w:r>
      <w:r w:rsidRPr="009B6FD5">
        <w:rPr>
          <w:rFonts w:ascii="Palatino Linotype" w:eastAsiaTheme="minorEastAsia" w:hAnsi="Palatino Linotype"/>
          <w:b/>
          <w:lang w:val="es-ES_tradnl" w:eastAsia="es-ES"/>
        </w:rPr>
        <w:t>EL RECURRENTE</w:t>
      </w:r>
      <w:r w:rsidRPr="009B6FD5">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rsidR="00D771ED" w:rsidRPr="009B6FD5" w:rsidRDefault="00D771ED" w:rsidP="009B6FD5">
      <w:pPr>
        <w:spacing w:line="360" w:lineRule="auto"/>
        <w:ind w:left="567" w:right="567"/>
        <w:contextualSpacing/>
        <w:rPr>
          <w:rFonts w:ascii="Palatino Linotype" w:eastAsiaTheme="minorEastAsia" w:hAnsi="Palatino Linotype" w:cs="Arial"/>
          <w:i/>
          <w:lang w:val="es-ES_tradnl" w:eastAsia="es-ES"/>
        </w:rPr>
      </w:pPr>
    </w:p>
    <w:p w:rsidR="00D771ED" w:rsidRPr="009B6FD5" w:rsidRDefault="00D771ED" w:rsidP="009B6FD5">
      <w:pPr>
        <w:spacing w:line="360" w:lineRule="auto"/>
        <w:ind w:left="567" w:right="567"/>
        <w:contextualSpacing/>
        <w:jc w:val="both"/>
        <w:rPr>
          <w:rFonts w:ascii="Palatino Linotype" w:eastAsia="Calibri" w:hAnsi="Palatino Linotype" w:cs="Arial"/>
          <w:i/>
          <w:lang w:val="es-ES" w:eastAsia="es-ES"/>
        </w:rPr>
      </w:pPr>
      <w:r w:rsidRPr="009B6FD5">
        <w:rPr>
          <w:rFonts w:ascii="Palatino Linotype" w:eastAsiaTheme="minorEastAsia" w:hAnsi="Palatino Linotype"/>
          <w:b/>
          <w:lang w:val="es-ES_tradnl" w:eastAsia="es-ES"/>
        </w:rPr>
        <w:lastRenderedPageBreak/>
        <w:t>Acto impugnado</w:t>
      </w:r>
      <w:r w:rsidRPr="009B6FD5">
        <w:rPr>
          <w:rFonts w:ascii="Palatino Linotype" w:eastAsiaTheme="minorEastAsia" w:hAnsi="Palatino Linotype"/>
          <w:b/>
          <w:i/>
          <w:lang w:val="es-ES_tradnl" w:eastAsia="es-ES"/>
        </w:rPr>
        <w:t>:</w:t>
      </w:r>
      <w:r w:rsidRPr="009B6FD5">
        <w:rPr>
          <w:rFonts w:ascii="Palatino Linotype" w:hAnsi="Palatino Linotype"/>
          <w:i/>
          <w:color w:val="000000"/>
        </w:rPr>
        <w:t xml:space="preserve"> “</w:t>
      </w:r>
      <w:r w:rsidR="00F11CA3" w:rsidRPr="009B6FD5">
        <w:rPr>
          <w:rFonts w:ascii="Palatino Linotype" w:hAnsi="Palatino Linotype"/>
          <w:i/>
          <w:color w:val="000000"/>
        </w:rPr>
        <w:t>Impugno la respuesta ya que no están entregando correctamente en su totalidad la información, recodemos que una pregunta concreta merece una respuesta correcta.</w:t>
      </w:r>
      <w:r w:rsidRPr="009B6FD5">
        <w:rPr>
          <w:rFonts w:ascii="Palatino Linotype" w:hAnsi="Palatino Linotype"/>
          <w:i/>
          <w:color w:val="000000"/>
        </w:rPr>
        <w:t xml:space="preserve">” (Sic); </w:t>
      </w:r>
      <w:r w:rsidRPr="009B6FD5">
        <w:rPr>
          <w:rFonts w:ascii="Palatino Linotype" w:eastAsia="Calibri" w:hAnsi="Palatino Linotype" w:cs="Arial"/>
          <w:i/>
          <w:lang w:val="es-ES" w:eastAsia="es-ES"/>
        </w:rPr>
        <w:t>Y</w:t>
      </w:r>
    </w:p>
    <w:p w:rsidR="00D771ED" w:rsidRPr="009B6FD5" w:rsidRDefault="00D771ED" w:rsidP="009B6FD5">
      <w:pPr>
        <w:spacing w:line="360" w:lineRule="auto"/>
        <w:ind w:left="567" w:right="567"/>
        <w:contextualSpacing/>
        <w:jc w:val="both"/>
        <w:rPr>
          <w:rFonts w:ascii="Palatino Linotype" w:eastAsia="Calibri" w:hAnsi="Palatino Linotype" w:cs="Arial"/>
          <w:lang w:val="es-ES" w:eastAsia="es-ES"/>
        </w:rPr>
      </w:pPr>
    </w:p>
    <w:p w:rsidR="00D771ED" w:rsidRPr="009B6FD5" w:rsidRDefault="00D771ED" w:rsidP="009B6FD5">
      <w:pPr>
        <w:spacing w:line="360" w:lineRule="auto"/>
        <w:ind w:left="567" w:right="567"/>
        <w:contextualSpacing/>
        <w:jc w:val="both"/>
        <w:rPr>
          <w:rFonts w:ascii="Palatino Linotype" w:hAnsi="Palatino Linotype"/>
          <w:i/>
          <w:color w:val="000000"/>
        </w:rPr>
      </w:pPr>
      <w:r w:rsidRPr="009B6FD5">
        <w:rPr>
          <w:rFonts w:ascii="Palatino Linotype" w:eastAsiaTheme="minorEastAsia" w:hAnsi="Palatino Linotype"/>
          <w:b/>
          <w:lang w:val="es-ES_tradnl" w:eastAsia="es-ES"/>
        </w:rPr>
        <w:t>Razones o Motivos de inconformidad:</w:t>
      </w:r>
      <w:r w:rsidRPr="009B6FD5">
        <w:rPr>
          <w:rFonts w:ascii="Palatino Linotype" w:eastAsiaTheme="majorEastAsia" w:hAnsi="Palatino Linotype" w:cstheme="majorBidi"/>
          <w:b/>
          <w:color w:val="2E74B5" w:themeColor="accent1" w:themeShade="BF"/>
          <w:sz w:val="26"/>
          <w:szCs w:val="26"/>
          <w:lang w:val="es-ES" w:eastAsia="es-ES"/>
        </w:rPr>
        <w:t xml:space="preserve"> </w:t>
      </w:r>
      <w:r w:rsidRPr="009B6FD5">
        <w:rPr>
          <w:rFonts w:ascii="Palatino Linotype" w:eastAsiaTheme="majorEastAsia" w:hAnsi="Palatino Linotype" w:cstheme="majorBidi"/>
          <w:i/>
          <w:lang w:val="es-ES" w:eastAsia="es-ES"/>
        </w:rPr>
        <w:t>“</w:t>
      </w:r>
      <w:r w:rsidR="00F11CA3" w:rsidRPr="009B6FD5">
        <w:rPr>
          <w:rFonts w:ascii="Palatino Linotype" w:hAnsi="Palatino Linotype"/>
          <w:i/>
          <w:color w:val="000000"/>
        </w:rPr>
        <w:t>Se entrega la información mal hecha, de manera mediocre lo cual viola el derecho humano al acceso a la información.</w:t>
      </w:r>
      <w:r w:rsidRPr="009B6FD5">
        <w:rPr>
          <w:rFonts w:ascii="Palatino Linotype" w:hAnsi="Palatino Linotype"/>
          <w:i/>
          <w:color w:val="000000"/>
        </w:rPr>
        <w:t>” (Sic).</w:t>
      </w:r>
    </w:p>
    <w:bookmarkEnd w:id="2"/>
    <w:bookmarkEnd w:id="3"/>
    <w:bookmarkEnd w:id="4"/>
    <w:p w:rsidR="00D771ED" w:rsidRPr="009B6FD5" w:rsidRDefault="00D771ED" w:rsidP="009B6FD5">
      <w:pPr>
        <w:spacing w:line="360" w:lineRule="auto"/>
        <w:jc w:val="both"/>
        <w:rPr>
          <w:rFonts w:ascii="Palatino Linotype" w:eastAsia="Calibri" w:hAnsi="Palatino Linotype" w:cs="Arial"/>
          <w:lang w:val="es-AR" w:eastAsia="es-ES"/>
        </w:rPr>
      </w:pPr>
    </w:p>
    <w:p w:rsidR="00D771ED" w:rsidRPr="009B6FD5" w:rsidRDefault="00D771ED" w:rsidP="009B6FD5">
      <w:pPr>
        <w:numPr>
          <w:ilvl w:val="0"/>
          <w:numId w:val="1"/>
        </w:numPr>
        <w:spacing w:line="360" w:lineRule="auto"/>
        <w:ind w:left="0" w:firstLine="0"/>
        <w:contextualSpacing/>
        <w:jc w:val="both"/>
        <w:rPr>
          <w:rFonts w:ascii="Palatino Linotype" w:eastAsia="Calibri" w:hAnsi="Palatino Linotype" w:cs="Arial"/>
          <w:lang w:val="es-AR" w:eastAsia="es-ES"/>
        </w:rPr>
      </w:pPr>
      <w:r w:rsidRPr="009B6FD5">
        <w:rPr>
          <w:rFonts w:ascii="Palatino Linotype" w:hAnsi="Palatino Linotype" w:cs="Arial"/>
          <w:lang w:val="es-ES" w:eastAsia="es-ES"/>
        </w:rPr>
        <w:t xml:space="preserve">Se registró el recurso de revisión bajo el número de expediente </w:t>
      </w:r>
      <w:r w:rsidRPr="009B6FD5">
        <w:rPr>
          <w:rFonts w:ascii="Palatino Linotype" w:eastAsiaTheme="minorEastAsia" w:hAnsi="Palatino Linotype" w:cs="Arial"/>
          <w:bCs/>
          <w:lang w:val="es-ES_tradnl" w:eastAsia="es-ES"/>
        </w:rPr>
        <w:t xml:space="preserve">al rubro indicado, asimismo con fundamento en lo dispuesto por el </w:t>
      </w:r>
      <w:r w:rsidRPr="009B6FD5">
        <w:rPr>
          <w:rFonts w:ascii="Palatino Linotype" w:eastAsia="Calibri" w:hAnsi="Palatino Linotype" w:cs="Arial"/>
          <w:lang w:val="es-ES" w:eastAsia="es-ES"/>
        </w:rPr>
        <w:t xml:space="preserve">artículo 185 fracción I de la </w:t>
      </w:r>
      <w:r w:rsidRPr="009B6FD5">
        <w:rPr>
          <w:rFonts w:ascii="Palatino Linotype" w:eastAsia="Calibri" w:hAnsi="Palatino Linotype" w:cs="Arial"/>
          <w:b/>
          <w:lang w:val="es-ES" w:eastAsia="es-ES"/>
        </w:rPr>
        <w:t xml:space="preserve">Ley de Transparencia y Acceso a la Información Pública del Estado de México y Municipios </w:t>
      </w:r>
      <w:r w:rsidRPr="009B6FD5">
        <w:rPr>
          <w:rFonts w:ascii="Palatino Linotype" w:hAnsi="Palatino Linotype" w:cs="Arial"/>
          <w:lang w:val="es-ES" w:eastAsia="es-ES"/>
        </w:rPr>
        <w:t>se turnó al</w:t>
      </w:r>
      <w:r w:rsidR="00086B87" w:rsidRPr="009B6FD5">
        <w:rPr>
          <w:rFonts w:ascii="Palatino Linotype" w:hAnsi="Palatino Linotype" w:cs="Arial"/>
          <w:lang w:val="es-ES" w:eastAsia="es-ES"/>
        </w:rPr>
        <w:t xml:space="preserve"> entonces</w:t>
      </w:r>
      <w:r w:rsidRPr="009B6FD5">
        <w:rPr>
          <w:rFonts w:ascii="Palatino Linotype" w:hAnsi="Palatino Linotype" w:cs="Arial"/>
          <w:lang w:val="es-ES" w:eastAsia="es-ES"/>
        </w:rPr>
        <w:t xml:space="preserve"> </w:t>
      </w:r>
      <w:r w:rsidRPr="009B6FD5">
        <w:rPr>
          <w:rFonts w:ascii="Palatino Linotype" w:hAnsi="Palatino Linotype" w:cs="Arial"/>
          <w:b/>
          <w:lang w:val="es-ES" w:eastAsia="es-ES"/>
        </w:rPr>
        <w:t xml:space="preserve">Comisionado </w:t>
      </w:r>
      <w:r w:rsidR="00F11CA3" w:rsidRPr="009B6FD5">
        <w:rPr>
          <w:rFonts w:ascii="Palatino Linotype" w:hAnsi="Palatino Linotype" w:cs="Arial"/>
          <w:b/>
          <w:lang w:val="es-ES" w:eastAsia="es-ES"/>
        </w:rPr>
        <w:t>Javier Martínez Cruz</w:t>
      </w:r>
      <w:r w:rsidRPr="009B6FD5">
        <w:rPr>
          <w:rFonts w:ascii="Palatino Linotype" w:hAnsi="Palatino Linotype" w:cs="Arial"/>
          <w:b/>
          <w:lang w:val="es-ES" w:eastAsia="es-ES"/>
        </w:rPr>
        <w:t xml:space="preserve">, </w:t>
      </w:r>
      <w:r w:rsidRPr="009B6FD5">
        <w:rPr>
          <w:rFonts w:ascii="Palatino Linotype" w:hAnsi="Palatino Linotype" w:cs="Arial"/>
          <w:lang w:val="es-ES" w:eastAsia="es-ES"/>
        </w:rPr>
        <w:t xml:space="preserve">con el objeto de </w:t>
      </w:r>
      <w:r w:rsidRPr="009B6FD5">
        <w:rPr>
          <w:rFonts w:ascii="Palatino Linotype" w:hAnsi="Palatino Linotype" w:cs="Arial"/>
          <w:lang w:eastAsia="es-ES"/>
        </w:rPr>
        <w:t xml:space="preserve">su análisis. </w:t>
      </w:r>
    </w:p>
    <w:p w:rsidR="00D771ED" w:rsidRPr="009B6FD5" w:rsidRDefault="00D771ED" w:rsidP="009B6FD5">
      <w:pPr>
        <w:spacing w:line="360" w:lineRule="auto"/>
        <w:contextualSpacing/>
        <w:jc w:val="both"/>
        <w:rPr>
          <w:rFonts w:ascii="Palatino Linotype" w:eastAsia="Calibri" w:hAnsi="Palatino Linotype" w:cs="Arial"/>
          <w:lang w:val="es-AR" w:eastAsia="es-ES"/>
        </w:rPr>
      </w:pPr>
    </w:p>
    <w:p w:rsidR="00D771ED" w:rsidRPr="009B6FD5" w:rsidRDefault="00D771ED" w:rsidP="009B6FD5">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9B6FD5">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nueve (09) de julio de dos mil veintiuno, puso a disposición de las partes el expediente electrónico </w:t>
      </w:r>
      <w:r w:rsidRPr="009B6FD5">
        <w:rPr>
          <w:rFonts w:ascii="Palatino Linotype" w:eastAsia="Calibri" w:hAnsi="Palatino Linotype" w:cs="Arial"/>
          <w:lang w:val="es-ES_tradnl" w:eastAsia="es-ES"/>
        </w:rPr>
        <w:t xml:space="preserve">vía </w:t>
      </w:r>
      <w:r w:rsidRPr="009B6FD5">
        <w:rPr>
          <w:rFonts w:ascii="Palatino Linotype" w:eastAsia="Calibri" w:hAnsi="Palatino Linotype" w:cs="Arial"/>
          <w:b/>
          <w:lang w:val="es-ES" w:eastAsia="es-ES"/>
        </w:rPr>
        <w:t xml:space="preserve">SAIMEX </w:t>
      </w:r>
      <w:r w:rsidRPr="009B6FD5">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9B6FD5">
        <w:rPr>
          <w:rFonts w:ascii="Palatino Linotype" w:eastAsia="Calibri" w:hAnsi="Palatino Linotype" w:cs="Arial"/>
          <w:b/>
          <w:lang w:val="es-ES" w:eastAsia="es-ES"/>
        </w:rPr>
        <w:t>SUJETO OBLIGADO</w:t>
      </w:r>
      <w:r w:rsidRPr="009B6FD5">
        <w:rPr>
          <w:rFonts w:ascii="Palatino Linotype" w:eastAsia="Calibri" w:hAnsi="Palatino Linotype" w:cs="Arial"/>
          <w:lang w:val="es-ES" w:eastAsia="es-ES"/>
        </w:rPr>
        <w:t xml:space="preserve"> presentara el informe justificado procedente. </w:t>
      </w:r>
    </w:p>
    <w:p w:rsidR="00D771ED" w:rsidRPr="009B6FD5" w:rsidRDefault="00D771ED" w:rsidP="009B6FD5">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D771ED" w:rsidRPr="009B6FD5" w:rsidRDefault="00F11CA3" w:rsidP="009B6FD5">
      <w:pPr>
        <w:numPr>
          <w:ilvl w:val="0"/>
          <w:numId w:val="1"/>
        </w:numPr>
        <w:spacing w:line="360" w:lineRule="auto"/>
        <w:ind w:left="0" w:firstLine="0"/>
        <w:contextualSpacing/>
        <w:jc w:val="both"/>
        <w:rPr>
          <w:rFonts w:ascii="Palatino Linotype" w:eastAsia="Calibri" w:hAnsi="Palatino Linotype" w:cs="Arial"/>
          <w:lang w:val="es-ES" w:eastAsia="es-ES"/>
        </w:rPr>
      </w:pPr>
      <w:r w:rsidRPr="009B6FD5">
        <w:rPr>
          <w:rFonts w:ascii="Palatino Linotype" w:eastAsia="Calibri" w:hAnsi="Palatino Linotype" w:cs="Arial"/>
          <w:lang w:val="es-ES" w:eastAsia="es-ES"/>
        </w:rPr>
        <w:t>De las constancias en el expediente electrónico SAIMEX, se observa que el particular no realizó manifestaciones, por su parte el Sujeto Obligado no remitió informe justificado:</w:t>
      </w:r>
    </w:p>
    <w:p w:rsidR="00F11CA3" w:rsidRPr="009B6FD5" w:rsidRDefault="00F11CA3" w:rsidP="009B6FD5">
      <w:pPr>
        <w:spacing w:line="360" w:lineRule="auto"/>
        <w:contextualSpacing/>
        <w:jc w:val="center"/>
        <w:rPr>
          <w:rFonts w:ascii="Palatino Linotype" w:eastAsia="Calibri" w:hAnsi="Palatino Linotype" w:cs="Arial"/>
          <w:lang w:val="es-ES" w:eastAsia="es-ES"/>
        </w:rPr>
      </w:pPr>
      <w:r w:rsidRPr="009B6FD5">
        <w:rPr>
          <w:rFonts w:ascii="Palatino Linotype" w:hAnsi="Palatino Linotype"/>
          <w:noProof/>
        </w:rPr>
        <w:lastRenderedPageBreak/>
        <w:drawing>
          <wp:inline distT="0" distB="0" distL="0" distR="0" wp14:anchorId="796BE78F" wp14:editId="0FDB90B6">
            <wp:extent cx="4783015" cy="1248099"/>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782" t="24773" r="29569" b="55906"/>
                    <a:stretch/>
                  </pic:blipFill>
                  <pic:spPr bwMode="auto">
                    <a:xfrm>
                      <a:off x="0" y="0"/>
                      <a:ext cx="4818714" cy="1257414"/>
                    </a:xfrm>
                    <a:prstGeom prst="rect">
                      <a:avLst/>
                    </a:prstGeom>
                    <a:ln>
                      <a:noFill/>
                    </a:ln>
                    <a:extLst>
                      <a:ext uri="{53640926-AAD7-44D8-BBD7-CCE9431645EC}">
                        <a14:shadowObscured xmlns:a14="http://schemas.microsoft.com/office/drawing/2010/main"/>
                      </a:ext>
                    </a:extLst>
                  </pic:spPr>
                </pic:pic>
              </a:graphicData>
            </a:graphic>
          </wp:inline>
        </w:drawing>
      </w:r>
    </w:p>
    <w:p w:rsidR="00D771ED" w:rsidRPr="009B6FD5" w:rsidRDefault="00D771ED" w:rsidP="009B6FD5">
      <w:pPr>
        <w:spacing w:line="360" w:lineRule="auto"/>
        <w:jc w:val="both"/>
        <w:rPr>
          <w:rFonts w:ascii="Palatino Linotype" w:hAnsi="Palatino Linotype"/>
        </w:rPr>
      </w:pPr>
    </w:p>
    <w:p w:rsidR="00D771ED" w:rsidRPr="009B6FD5" w:rsidRDefault="00D771ED" w:rsidP="009B6FD5">
      <w:pPr>
        <w:pStyle w:val="Prrafodelista"/>
        <w:numPr>
          <w:ilvl w:val="0"/>
          <w:numId w:val="1"/>
        </w:numPr>
        <w:spacing w:line="360" w:lineRule="auto"/>
        <w:ind w:left="0" w:right="48" w:firstLine="0"/>
        <w:jc w:val="both"/>
        <w:rPr>
          <w:rFonts w:ascii="Palatino Linotype" w:hAnsi="Palatino Linotype"/>
          <w:b/>
          <w:sz w:val="24"/>
        </w:rPr>
      </w:pPr>
      <w:r w:rsidRPr="009B6FD5">
        <w:rPr>
          <w:rFonts w:ascii="Palatino Linotype" w:hAnsi="Palatino Linotype"/>
          <w:sz w:val="24"/>
        </w:rPr>
        <w:t xml:space="preserve">El veintitrés (23) de agosto de dos mil veintiuno, en la Segunda Sesión Extraordinaria, el Pleno de este Órgano Garante aprobó el returno del recurso de revisión al rubro indicado, a la Ponencia de la </w:t>
      </w:r>
      <w:r w:rsidRPr="009B6FD5">
        <w:rPr>
          <w:rFonts w:ascii="Palatino Linotype" w:hAnsi="Palatino Linotype"/>
          <w:b/>
          <w:sz w:val="24"/>
        </w:rPr>
        <w:t>Comisionada María del Rosario Mejía Ayala.</w:t>
      </w:r>
    </w:p>
    <w:p w:rsidR="00D771ED" w:rsidRPr="009B6FD5" w:rsidRDefault="00D771ED" w:rsidP="009B6FD5">
      <w:pPr>
        <w:spacing w:line="360" w:lineRule="auto"/>
        <w:contextualSpacing/>
        <w:jc w:val="both"/>
        <w:rPr>
          <w:rFonts w:ascii="Palatino Linotype" w:eastAsiaTheme="minorEastAsia" w:hAnsi="Palatino Linotype"/>
          <w:b/>
          <w:u w:val="single"/>
          <w:lang w:val="es-ES_tradnl" w:eastAsia="es-ES"/>
        </w:rPr>
      </w:pPr>
    </w:p>
    <w:p w:rsidR="00D771ED" w:rsidRPr="009B6FD5" w:rsidRDefault="00D771ED" w:rsidP="009B6FD5">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9B6FD5">
        <w:rPr>
          <w:rFonts w:ascii="Palatino Linotype" w:eastAsiaTheme="minorEastAsia" w:hAnsi="Palatino Linotype"/>
          <w:lang w:val="es-ES_tradnl" w:eastAsia="es-ES"/>
        </w:rPr>
        <w:t>El Comisionado Ponente decretó el cierre de instrucción</w:t>
      </w:r>
      <w:r w:rsidRPr="009B6FD5">
        <w:rPr>
          <w:rFonts w:ascii="Palatino Linotype" w:eastAsiaTheme="minorEastAsia" w:hAnsi="Palatino Linotype" w:cs="Arial"/>
          <w:lang w:val="es-ES_tradnl" w:eastAsia="es-ES"/>
        </w:rPr>
        <w:t xml:space="preserve"> </w:t>
      </w:r>
      <w:r w:rsidRPr="009B6FD5">
        <w:rPr>
          <w:rFonts w:ascii="Palatino Linotype" w:eastAsiaTheme="minorEastAsia" w:hAnsi="Palatino Linotype"/>
          <w:lang w:val="es-ES_tradnl" w:eastAsia="es-ES"/>
        </w:rPr>
        <w:t xml:space="preserve">mediante el acuerdo de fecha </w:t>
      </w:r>
      <w:r w:rsidR="00F11CA3" w:rsidRPr="009B6FD5">
        <w:rPr>
          <w:rFonts w:ascii="Palatino Linotype" w:eastAsiaTheme="minorEastAsia" w:hAnsi="Palatino Linotype"/>
          <w:lang w:val="es-ES_tradnl" w:eastAsia="es-ES"/>
        </w:rPr>
        <w:t>veintiséis (26) de agosto</w:t>
      </w:r>
      <w:r w:rsidRPr="009B6FD5">
        <w:rPr>
          <w:rFonts w:ascii="Palatino Linotype" w:eastAsiaTheme="minorEastAsia" w:hAnsi="Palatino Linotype"/>
          <w:lang w:val="es-ES_tradnl" w:eastAsia="es-ES"/>
        </w:rPr>
        <w:t xml:space="preserve"> de dos mil veintiuno.</w:t>
      </w:r>
      <w:r w:rsidRPr="009B6FD5">
        <w:rPr>
          <w:rFonts w:ascii="Palatino Linotype" w:eastAsiaTheme="minorEastAsia" w:hAnsi="Palatino Linotype" w:cs="Arial"/>
          <w:lang w:val="es-ES_tradnl" w:eastAsia="es-ES"/>
        </w:rPr>
        <w:t xml:space="preserve"> </w:t>
      </w:r>
    </w:p>
    <w:p w:rsidR="00F11CA3" w:rsidRPr="009B6FD5" w:rsidRDefault="00F11CA3" w:rsidP="009B6FD5">
      <w:pPr>
        <w:spacing w:line="360" w:lineRule="auto"/>
        <w:contextualSpacing/>
        <w:jc w:val="both"/>
        <w:rPr>
          <w:rFonts w:ascii="Palatino Linotype" w:eastAsiaTheme="minorEastAsia" w:hAnsi="Palatino Linotype"/>
          <w:b/>
          <w:u w:val="single"/>
          <w:lang w:val="es-ES_tradnl" w:eastAsia="es-ES"/>
        </w:rPr>
      </w:pPr>
    </w:p>
    <w:p w:rsidR="00F11CA3" w:rsidRPr="009B6FD5" w:rsidRDefault="00F11CA3" w:rsidP="009B6FD5">
      <w:pPr>
        <w:pStyle w:val="Prrafodelista"/>
        <w:numPr>
          <w:ilvl w:val="0"/>
          <w:numId w:val="1"/>
        </w:numPr>
        <w:spacing w:line="360" w:lineRule="auto"/>
        <w:ind w:left="0" w:firstLine="0"/>
        <w:jc w:val="both"/>
        <w:rPr>
          <w:rFonts w:ascii="Palatino Linotype" w:eastAsia="Calibri" w:hAnsi="Palatino Linotype" w:cs="Arial"/>
          <w:sz w:val="24"/>
          <w:lang w:val="es-ES"/>
        </w:rPr>
      </w:pPr>
      <w:r w:rsidRPr="009B6FD5">
        <w:rPr>
          <w:rFonts w:ascii="Palatino Linotype" w:eastAsia="Calibri" w:hAnsi="Palatino Linotype" w:cs="Arial"/>
          <w:sz w:val="24"/>
          <w:lang w:val="es-ES"/>
        </w:rPr>
        <w:t>El diecisiete (17) de septiembre de dos mil veintiuno, se notificó mediante acuerdo que el plazo para resolver el recurso de revisión, se ampliaría por un periodo de quince días hábiles</w:t>
      </w:r>
      <w:r w:rsidR="00F10F86" w:rsidRPr="009B6FD5">
        <w:rPr>
          <w:rFonts w:ascii="Palatino Linotype" w:eastAsia="Calibri" w:hAnsi="Palatino Linotype" w:cs="Arial"/>
          <w:sz w:val="24"/>
          <w:lang w:val="es-ES"/>
        </w:rPr>
        <w:t xml:space="preserve">; </w:t>
      </w:r>
      <w:r w:rsidR="00F10F86" w:rsidRPr="009B6FD5">
        <w:rPr>
          <w:rFonts w:ascii="Palatino Linotype" w:hAnsi="Palatino Linotype" w:cs="Arial"/>
          <w:sz w:val="24"/>
        </w:rPr>
        <w:t>posterior a ello ordenó turnar el expediente a resolución, misma que ahora se pronuncia; y---------------------------------------------------------------------</w:t>
      </w:r>
    </w:p>
    <w:p w:rsidR="00D771ED" w:rsidRPr="009B6FD5" w:rsidRDefault="00D771ED" w:rsidP="009B6FD5">
      <w:pPr>
        <w:spacing w:line="360" w:lineRule="auto"/>
        <w:contextualSpacing/>
        <w:jc w:val="both"/>
        <w:rPr>
          <w:rFonts w:ascii="Palatino Linotype" w:eastAsiaTheme="minorEastAsia" w:hAnsi="Palatino Linotype"/>
          <w:b/>
          <w:u w:val="single"/>
          <w:lang w:val="es-ES_tradnl" w:eastAsia="es-ES"/>
        </w:rPr>
      </w:pPr>
    </w:p>
    <w:p w:rsidR="00D771ED" w:rsidRPr="009B6FD5" w:rsidRDefault="00D771ED" w:rsidP="009B6FD5">
      <w:pPr>
        <w:keepNext/>
        <w:keepLines/>
        <w:spacing w:line="360" w:lineRule="auto"/>
        <w:jc w:val="center"/>
        <w:outlineLvl w:val="0"/>
        <w:rPr>
          <w:rFonts w:ascii="Palatino Linotype" w:eastAsiaTheme="majorEastAsia" w:hAnsi="Palatino Linotype" w:cstheme="majorBidi"/>
        </w:rPr>
      </w:pPr>
      <w:bookmarkStart w:id="5" w:name="_Toc83301634"/>
      <w:r w:rsidRPr="009B6FD5">
        <w:rPr>
          <w:rFonts w:ascii="Palatino Linotype" w:eastAsiaTheme="majorEastAsia" w:hAnsi="Palatino Linotype" w:cstheme="majorBidi"/>
          <w:b/>
        </w:rPr>
        <w:t>CONSIDERANDO</w:t>
      </w:r>
      <w:bookmarkEnd w:id="5"/>
      <w:r w:rsidRPr="009B6FD5">
        <w:rPr>
          <w:rFonts w:ascii="Palatino Linotype" w:eastAsiaTheme="majorEastAsia" w:hAnsi="Palatino Linotype" w:cstheme="majorBidi"/>
          <w:b/>
        </w:rPr>
        <w:t xml:space="preserve"> </w:t>
      </w:r>
    </w:p>
    <w:p w:rsidR="00D771ED" w:rsidRPr="009B6FD5" w:rsidRDefault="00D771ED" w:rsidP="009B6FD5">
      <w:pPr>
        <w:spacing w:line="360" w:lineRule="auto"/>
        <w:rPr>
          <w:rFonts w:ascii="Palatino Linotype" w:eastAsiaTheme="minorEastAsia" w:hAnsi="Palatino Linotype"/>
        </w:rPr>
      </w:pPr>
    </w:p>
    <w:p w:rsidR="00D771ED" w:rsidRPr="009B6FD5" w:rsidRDefault="00D771ED" w:rsidP="009B6FD5">
      <w:pPr>
        <w:keepNext/>
        <w:keepLines/>
        <w:spacing w:line="360" w:lineRule="auto"/>
        <w:outlineLvl w:val="1"/>
        <w:rPr>
          <w:rFonts w:ascii="Palatino Linotype" w:eastAsiaTheme="majorEastAsia" w:hAnsi="Palatino Linotype" w:cstheme="majorBidi"/>
          <w:b/>
          <w:szCs w:val="26"/>
        </w:rPr>
      </w:pPr>
      <w:bookmarkStart w:id="6" w:name="_Toc83301635"/>
      <w:r w:rsidRPr="009B6FD5">
        <w:rPr>
          <w:rFonts w:ascii="Palatino Linotype" w:eastAsiaTheme="majorEastAsia" w:hAnsi="Palatino Linotype" w:cstheme="majorBidi"/>
          <w:b/>
          <w:szCs w:val="26"/>
        </w:rPr>
        <w:t>PRIMERO. De la competencia</w:t>
      </w:r>
      <w:bookmarkEnd w:id="6"/>
    </w:p>
    <w:p w:rsidR="00D771ED" w:rsidRPr="009B6FD5" w:rsidRDefault="00D771ED" w:rsidP="009B6FD5">
      <w:pPr>
        <w:keepNext/>
        <w:keepLines/>
        <w:spacing w:line="360" w:lineRule="auto"/>
        <w:outlineLvl w:val="1"/>
        <w:rPr>
          <w:rFonts w:ascii="Palatino Linotype" w:eastAsiaTheme="majorEastAsia" w:hAnsi="Palatino Linotype" w:cstheme="majorBidi"/>
          <w:b/>
          <w:bCs/>
          <w:spacing w:val="60"/>
          <w:szCs w:val="26"/>
        </w:rPr>
      </w:pPr>
    </w:p>
    <w:p w:rsidR="00D771ED" w:rsidRPr="009B6FD5" w:rsidRDefault="00D771ED" w:rsidP="009B6FD5">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9B6FD5">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w:t>
      </w:r>
      <w:r w:rsidRPr="009B6FD5">
        <w:rPr>
          <w:rFonts w:ascii="Palatino Linotype" w:eastAsia="Calibri" w:hAnsi="Palatino Linotype"/>
          <w:lang w:val="es-ES" w:eastAsia="es-ES"/>
        </w:rPr>
        <w:lastRenderedPageBreak/>
        <w:t xml:space="preserve">y resolver del presente recurso de conformidad con el artículo: 6, apartado A, fracción IV de la </w:t>
      </w:r>
      <w:r w:rsidRPr="009B6FD5">
        <w:rPr>
          <w:rFonts w:ascii="Palatino Linotype" w:eastAsia="Calibri" w:hAnsi="Palatino Linotype"/>
          <w:b/>
          <w:lang w:val="es-ES" w:eastAsia="es-ES"/>
        </w:rPr>
        <w:t>Constitución Política de los Estados Unidos Mexicanos</w:t>
      </w:r>
      <w:r w:rsidRPr="009B6FD5">
        <w:rPr>
          <w:rFonts w:ascii="Palatino Linotype" w:eastAsia="Calibri" w:hAnsi="Palatino Linotype"/>
          <w:lang w:val="es-ES" w:eastAsia="es-ES"/>
        </w:rPr>
        <w:t xml:space="preserve">; 5, párrafos </w:t>
      </w:r>
      <w:r w:rsidRPr="009B6FD5">
        <w:rPr>
          <w:rFonts w:ascii="Palatino Linotype" w:eastAsiaTheme="minorEastAsia" w:hAnsi="Palatino Linotype" w:cs="Arial"/>
          <w:bCs/>
          <w:color w:val="222222"/>
          <w:lang w:val="es-ES" w:eastAsia="es-ES"/>
        </w:rPr>
        <w:t xml:space="preserve">vigésimo, vigésimo primero y vigésimo segundo </w:t>
      </w:r>
      <w:r w:rsidRPr="009B6FD5">
        <w:rPr>
          <w:rFonts w:ascii="Palatino Linotype" w:eastAsia="Calibri" w:hAnsi="Palatino Linotype"/>
          <w:lang w:val="es-ES" w:eastAsia="es-ES"/>
        </w:rPr>
        <w:t xml:space="preserve">fracciones IV y V de la </w:t>
      </w:r>
      <w:r w:rsidRPr="009B6FD5">
        <w:rPr>
          <w:rFonts w:ascii="Palatino Linotype" w:eastAsia="Calibri" w:hAnsi="Palatino Linotype"/>
          <w:b/>
          <w:lang w:val="es-ES" w:eastAsia="es-ES"/>
        </w:rPr>
        <w:t>Constitución Política del Estado Libre y Soberano de México</w:t>
      </w:r>
      <w:r w:rsidRPr="009B6FD5">
        <w:rPr>
          <w:rFonts w:ascii="Palatino Linotype" w:eastAsia="Calibri" w:hAnsi="Palatino Linotype"/>
          <w:lang w:val="es-ES" w:eastAsia="es-ES"/>
        </w:rPr>
        <w:t xml:space="preserve">; artículos 1, 2 fracción II, 13, 29, 36 fracciones I y II, 176, 178, 179, 181 párrafo tercero y 185 </w:t>
      </w:r>
      <w:r w:rsidRPr="009B6FD5">
        <w:rPr>
          <w:rFonts w:ascii="Palatino Linotype" w:eastAsia="Calibri" w:hAnsi="Palatino Linotype" w:cs="Arial"/>
          <w:lang w:val="es-ES" w:eastAsia="es-ES"/>
        </w:rPr>
        <w:t xml:space="preserve">de la </w:t>
      </w:r>
      <w:r w:rsidRPr="009B6FD5">
        <w:rPr>
          <w:rFonts w:ascii="Palatino Linotype" w:eastAsia="Calibri" w:hAnsi="Palatino Linotype" w:cs="Arial"/>
          <w:b/>
          <w:lang w:val="es-ES" w:eastAsia="es-ES"/>
        </w:rPr>
        <w:t>Ley de Transparencia y Acceso a la Información Pública del Estado de México y Municipios</w:t>
      </w:r>
      <w:r w:rsidRPr="009B6FD5">
        <w:rPr>
          <w:rFonts w:ascii="Palatino Linotype" w:eastAsia="Calibri" w:hAnsi="Palatino Linotype" w:cs="Arial"/>
          <w:lang w:val="es-ES" w:eastAsia="es-ES"/>
        </w:rPr>
        <w:t xml:space="preserve">; y 7, 9 fracciones I y XXIV, y 11 del </w:t>
      </w:r>
      <w:r w:rsidRPr="009B6FD5">
        <w:rPr>
          <w:rFonts w:ascii="Palatino Linotype" w:eastAsia="Calibri" w:hAnsi="Palatino Linotype" w:cs="Arial"/>
          <w:b/>
          <w:lang w:val="es-ES" w:eastAsia="es-ES"/>
        </w:rPr>
        <w:t>Reglamento Interior del Instituto de Transparencia, Acceso a la Información Pública y Protección de Datos Personales del Estado de México y Municipios</w:t>
      </w:r>
      <w:r w:rsidRPr="009B6FD5">
        <w:rPr>
          <w:rFonts w:ascii="Palatino Linotype" w:eastAsiaTheme="minorEastAsia" w:hAnsi="Palatino Linotype"/>
          <w:lang w:val="es-ES_tradnl" w:eastAsia="es-ES"/>
        </w:rPr>
        <w:t>.</w:t>
      </w:r>
    </w:p>
    <w:p w:rsidR="00D771ED" w:rsidRPr="009B6FD5" w:rsidRDefault="00D771ED" w:rsidP="009B6FD5">
      <w:pPr>
        <w:spacing w:line="360" w:lineRule="auto"/>
        <w:contextualSpacing/>
        <w:jc w:val="both"/>
        <w:rPr>
          <w:rFonts w:ascii="Palatino Linotype" w:eastAsiaTheme="minorEastAsia" w:hAnsi="Palatino Linotype"/>
          <w:lang w:val="es-ES_tradnl" w:eastAsia="es-ES"/>
        </w:rPr>
      </w:pPr>
    </w:p>
    <w:p w:rsidR="00D771ED" w:rsidRPr="009B6FD5" w:rsidRDefault="00D771ED" w:rsidP="009B6FD5">
      <w:pPr>
        <w:keepNext/>
        <w:keepLines/>
        <w:spacing w:line="360" w:lineRule="auto"/>
        <w:outlineLvl w:val="1"/>
        <w:rPr>
          <w:rFonts w:ascii="Palatino Linotype" w:eastAsiaTheme="majorEastAsia" w:hAnsi="Palatino Linotype" w:cstheme="majorBidi"/>
          <w:b/>
          <w:szCs w:val="26"/>
        </w:rPr>
      </w:pPr>
      <w:bookmarkStart w:id="7" w:name="_Toc83301636"/>
      <w:r w:rsidRPr="009B6FD5">
        <w:rPr>
          <w:rFonts w:ascii="Palatino Linotype" w:eastAsiaTheme="majorEastAsia" w:hAnsi="Palatino Linotype" w:cstheme="majorBidi"/>
          <w:b/>
          <w:szCs w:val="26"/>
        </w:rPr>
        <w:t>SEGUNDO. De la oportunidad y procedencia.</w:t>
      </w:r>
      <w:bookmarkEnd w:id="7"/>
    </w:p>
    <w:p w:rsidR="00D771ED" w:rsidRPr="009B6FD5" w:rsidRDefault="00D771ED" w:rsidP="009B6FD5">
      <w:pPr>
        <w:spacing w:line="360" w:lineRule="auto"/>
        <w:rPr>
          <w:rFonts w:ascii="Palatino Linotype" w:eastAsiaTheme="minorEastAsia" w:hAnsi="Palatino Linotype"/>
        </w:rPr>
      </w:pPr>
    </w:p>
    <w:p w:rsidR="00D771ED" w:rsidRPr="009B6FD5"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libri" w:hAnsi="Palatino Linotype" w:cs="Arial"/>
          <w:lang w:val="es-ES_tradnl" w:eastAsia="es-ES"/>
        </w:rPr>
        <w:t xml:space="preserve">El medio de impugnación fue presentado a través del </w:t>
      </w:r>
      <w:r w:rsidRPr="009B6FD5">
        <w:rPr>
          <w:rFonts w:ascii="Palatino Linotype" w:eastAsia="Calibri" w:hAnsi="Palatino Linotype" w:cs="Arial"/>
          <w:b/>
          <w:lang w:val="es-ES_tradnl" w:eastAsia="es-ES"/>
        </w:rPr>
        <w:t>SAIMEX,</w:t>
      </w:r>
      <w:r w:rsidRPr="009B6FD5">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9B6FD5">
        <w:rPr>
          <w:rFonts w:ascii="Palatino Linotype" w:eastAsia="Calibri" w:hAnsi="Palatino Linotype" w:cs="Arial"/>
          <w:b/>
          <w:lang w:val="es-ES_tradnl" w:eastAsia="es-ES"/>
        </w:rPr>
        <w:t>SUJETO OBLIGADO</w:t>
      </w:r>
      <w:r w:rsidRPr="009B6FD5">
        <w:rPr>
          <w:rFonts w:ascii="Palatino Linotype" w:eastAsia="Calibri" w:hAnsi="Palatino Linotype" w:cs="Arial"/>
          <w:lang w:val="es-ES_tradnl" w:eastAsia="es-ES"/>
        </w:rPr>
        <w:t xml:space="preserve"> entregó respuesta a la solicitud el día cinco (05) de julio  de dos mil veintiuno, </w:t>
      </w:r>
      <w:r w:rsidRPr="009B6FD5">
        <w:rPr>
          <w:rFonts w:ascii="Palatino Linotype" w:eastAsiaTheme="minorEastAsia" w:hAnsi="Palatino Linotype" w:cs="Arial"/>
          <w:lang w:val="es-ES_tradnl" w:eastAsia="es-ES"/>
        </w:rPr>
        <w:t xml:space="preserve">de tal forma que el plazo para interponer el recurso de revisión transcurrió del seis (06) de julio  al nueve (09) de agosto  de dos mil veintiuno; en consecuencia, presentó su inconformidad el día seis (06) de julio  de dos mil veintiuno, por lo que se encuentra dentro de los márgenes temporales previstos en el artículo 178 de la </w:t>
      </w:r>
      <w:r w:rsidRPr="009B6FD5">
        <w:rPr>
          <w:rFonts w:ascii="Palatino Linotype" w:eastAsiaTheme="minorEastAsia" w:hAnsi="Palatino Linotype" w:cs="Arial"/>
          <w:b/>
          <w:lang w:val="es-ES_tradnl" w:eastAsia="es-ES"/>
        </w:rPr>
        <w:t xml:space="preserve">Ley de Transparencia y Acceso a la Información Pública del Estado de México y Municipios </w:t>
      </w:r>
      <w:r w:rsidRPr="009B6FD5">
        <w:rPr>
          <w:rFonts w:ascii="Palatino Linotype" w:eastAsiaTheme="minorEastAsia" w:hAnsi="Palatino Linotype" w:cs="Arial"/>
          <w:lang w:val="es-ES_tradnl" w:eastAsia="es-ES"/>
        </w:rPr>
        <w:t>vigente.</w:t>
      </w:r>
    </w:p>
    <w:p w:rsidR="00F10F86" w:rsidRPr="009B6FD5" w:rsidRDefault="00F10F86" w:rsidP="009B6FD5">
      <w:pPr>
        <w:spacing w:line="360" w:lineRule="auto"/>
        <w:ind w:right="49"/>
        <w:contextualSpacing/>
        <w:jc w:val="both"/>
        <w:rPr>
          <w:rFonts w:ascii="Palatino Linotype" w:eastAsiaTheme="minorEastAsia" w:hAnsi="Palatino Linotype"/>
          <w:lang w:val="es-ES_tradnl" w:eastAsia="es-ES"/>
        </w:rPr>
      </w:pPr>
    </w:p>
    <w:p w:rsidR="00F10F86" w:rsidRPr="009B6FD5" w:rsidRDefault="00F10F86" w:rsidP="009B6FD5">
      <w:pPr>
        <w:pStyle w:val="Prrafodelista"/>
        <w:numPr>
          <w:ilvl w:val="0"/>
          <w:numId w:val="1"/>
        </w:numPr>
        <w:spacing w:line="360" w:lineRule="auto"/>
        <w:ind w:left="0" w:firstLine="0"/>
        <w:jc w:val="both"/>
        <w:rPr>
          <w:rFonts w:ascii="Palatino Linotype" w:hAnsi="Palatino Linotype"/>
          <w:sz w:val="24"/>
        </w:rPr>
      </w:pPr>
      <w:r w:rsidRPr="009B6FD5">
        <w:rPr>
          <w:rFonts w:ascii="Palatino Linotype" w:eastAsia="Calibri" w:hAnsi="Palatino Linotype" w:cs="Arial"/>
          <w:sz w:val="24"/>
        </w:rPr>
        <w:t>Asimismo</w:t>
      </w:r>
      <w:r w:rsidRPr="009B6FD5">
        <w:rPr>
          <w:rFonts w:ascii="Palatino Linotype" w:eastAsia="Calibri" w:hAnsi="Palatino Linotype"/>
          <w:sz w:val="24"/>
          <w:lang w:val="es-ES"/>
        </w:rPr>
        <w:t xml:space="preserve">,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9B6FD5">
        <w:rPr>
          <w:rFonts w:ascii="Palatino Linotype" w:eastAsia="Calibri" w:hAnsi="Palatino Linotype"/>
          <w:b/>
          <w:sz w:val="24"/>
          <w:lang w:val="es-ES"/>
        </w:rPr>
        <w:t xml:space="preserve">no proporciona su nombre completo para que sea </w:t>
      </w:r>
      <w:r w:rsidRPr="009B6FD5">
        <w:rPr>
          <w:rFonts w:ascii="Palatino Linotype" w:eastAsia="Calibri" w:hAnsi="Palatino Linotype"/>
          <w:b/>
          <w:sz w:val="24"/>
          <w:u w:val="single"/>
          <w:lang w:val="es-ES"/>
        </w:rPr>
        <w:lastRenderedPageBreak/>
        <w:t>identificado</w:t>
      </w:r>
      <w:r w:rsidRPr="009B6FD5">
        <w:rPr>
          <w:rFonts w:ascii="Palatino Linotype" w:eastAsia="Calibri" w:hAnsi="Palatino Linotype"/>
          <w:b/>
          <w:sz w:val="24"/>
          <w:lang w:val="es-ES"/>
        </w:rPr>
        <w:t>,</w:t>
      </w:r>
      <w:r w:rsidRPr="009B6FD5">
        <w:rPr>
          <w:rFonts w:ascii="Palatino Linotype" w:eastAsia="Calibri" w:hAnsi="Palatino Linotype"/>
          <w:sz w:val="24"/>
          <w:lang w:val="es-ES"/>
        </w:rPr>
        <w:t xml:space="preserve"> ni se tiene la certeza sobre su identidad, sin embargo, es importante señalar también que </w:t>
      </w:r>
      <w:r w:rsidRPr="009B6FD5">
        <w:rPr>
          <w:rFonts w:ascii="Palatino Linotype" w:eastAsiaTheme="minorHAnsi" w:hAnsi="Palatino Linotype" w:cs="Arial"/>
          <w:sz w:val="24"/>
          <w:lang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F10F86" w:rsidRPr="009B6FD5" w:rsidRDefault="00F10F86" w:rsidP="009B6FD5">
      <w:pPr>
        <w:pStyle w:val="Prrafodelista"/>
        <w:spacing w:line="360" w:lineRule="auto"/>
        <w:rPr>
          <w:rFonts w:ascii="Palatino Linotype" w:hAnsi="Palatino Linotype"/>
          <w:sz w:val="24"/>
        </w:rPr>
      </w:pPr>
    </w:p>
    <w:p w:rsidR="00F10F86" w:rsidRPr="009B6FD5" w:rsidRDefault="00F10F86" w:rsidP="009B6FD5">
      <w:pPr>
        <w:pStyle w:val="Prrafodelista"/>
        <w:numPr>
          <w:ilvl w:val="0"/>
          <w:numId w:val="1"/>
        </w:numPr>
        <w:spacing w:line="360" w:lineRule="auto"/>
        <w:ind w:left="0" w:firstLine="0"/>
        <w:jc w:val="both"/>
        <w:rPr>
          <w:rFonts w:ascii="Palatino Linotype" w:hAnsi="Palatino Linotype"/>
          <w:sz w:val="24"/>
        </w:rPr>
      </w:pPr>
      <w:r w:rsidRPr="009B6FD5">
        <w:rPr>
          <w:rFonts w:ascii="Palatino Linotype" w:eastAsia="Calibri" w:hAnsi="Palatino Linotype" w:cs="Arial"/>
          <w:sz w:val="24"/>
        </w:rPr>
        <w:t>Esto</w:t>
      </w:r>
      <w:r w:rsidRPr="009B6FD5">
        <w:rPr>
          <w:rFonts w:ascii="Palatino Linotype" w:eastAsia="Calibri" w:hAnsi="Palatino Linotype"/>
          <w:sz w:val="24"/>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F10F86" w:rsidRPr="009B6FD5" w:rsidRDefault="00F10F86" w:rsidP="009B6FD5">
      <w:pPr>
        <w:pStyle w:val="Prrafodelista"/>
        <w:spacing w:line="360" w:lineRule="auto"/>
        <w:rPr>
          <w:rFonts w:ascii="Palatino Linotype" w:eastAsia="Calibri" w:hAnsi="Palatino Linotype"/>
          <w:sz w:val="24"/>
          <w:lang w:val="es-ES"/>
        </w:rPr>
      </w:pPr>
    </w:p>
    <w:p w:rsidR="00F10F86" w:rsidRPr="009B6FD5" w:rsidRDefault="00F10F86" w:rsidP="009B6FD5">
      <w:pPr>
        <w:pStyle w:val="Prrafodelista"/>
        <w:numPr>
          <w:ilvl w:val="0"/>
          <w:numId w:val="1"/>
        </w:numPr>
        <w:spacing w:line="360" w:lineRule="auto"/>
        <w:ind w:left="0" w:firstLine="0"/>
        <w:jc w:val="both"/>
        <w:rPr>
          <w:rFonts w:ascii="Palatino Linotype" w:hAnsi="Palatino Linotype"/>
          <w:sz w:val="24"/>
        </w:rPr>
      </w:pPr>
      <w:r w:rsidRPr="009B6FD5">
        <w:rPr>
          <w:rFonts w:ascii="Palatino Linotype" w:eastAsia="Calibri" w:hAnsi="Palatino Linotype" w:cs="Arial"/>
          <w:sz w:val="24"/>
        </w:rPr>
        <w:t>Por</w:t>
      </w:r>
      <w:r w:rsidRPr="009B6FD5">
        <w:rPr>
          <w:rFonts w:ascii="Palatino Linotype" w:eastAsia="Calibri" w:hAnsi="Palatino Linotype"/>
          <w:sz w:val="24"/>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10F86" w:rsidRPr="009B6FD5" w:rsidRDefault="00F10F86" w:rsidP="009B6FD5">
      <w:pPr>
        <w:pStyle w:val="Prrafodelista"/>
        <w:spacing w:line="360" w:lineRule="auto"/>
        <w:rPr>
          <w:rFonts w:ascii="Palatino Linotype" w:eastAsia="Calibri" w:hAnsi="Palatino Linotype"/>
          <w:sz w:val="24"/>
          <w:lang w:val="es-ES"/>
        </w:rPr>
      </w:pPr>
    </w:p>
    <w:p w:rsidR="00F10F86" w:rsidRPr="009B6FD5" w:rsidRDefault="00F10F86" w:rsidP="009B6FD5">
      <w:pPr>
        <w:pStyle w:val="Prrafodelista"/>
        <w:numPr>
          <w:ilvl w:val="0"/>
          <w:numId w:val="1"/>
        </w:numPr>
        <w:spacing w:line="360" w:lineRule="auto"/>
        <w:ind w:left="0" w:firstLine="0"/>
        <w:jc w:val="both"/>
        <w:rPr>
          <w:rFonts w:ascii="Palatino Linotype" w:hAnsi="Palatino Linotype"/>
          <w:sz w:val="24"/>
        </w:rPr>
      </w:pPr>
      <w:r w:rsidRPr="009B6FD5">
        <w:rPr>
          <w:rFonts w:ascii="Palatino Linotype" w:eastAsia="Calibri" w:hAnsi="Palatino Linotype" w:cs="Arial"/>
          <w:sz w:val="24"/>
        </w:rPr>
        <w:lastRenderedPageBreak/>
        <w:t>En</w:t>
      </w:r>
      <w:r w:rsidRPr="009B6FD5">
        <w:rPr>
          <w:rFonts w:ascii="Palatino Linotype" w:eastAsia="Calibri" w:hAnsi="Palatino Linotype"/>
          <w:sz w:val="24"/>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F10F86" w:rsidRPr="009B6FD5" w:rsidRDefault="00F10F86" w:rsidP="009B6FD5">
      <w:pPr>
        <w:pStyle w:val="Prrafodelista"/>
        <w:spacing w:line="360" w:lineRule="auto"/>
        <w:rPr>
          <w:rFonts w:ascii="Palatino Linotype" w:hAnsi="Palatino Linotype" w:cs="Arial"/>
          <w:sz w:val="24"/>
          <w:lang w:val="es-ES"/>
        </w:rPr>
      </w:pPr>
    </w:p>
    <w:p w:rsidR="00F10F86" w:rsidRPr="009B6FD5" w:rsidRDefault="00F10F86" w:rsidP="009B6FD5">
      <w:pPr>
        <w:pStyle w:val="Prrafodelista"/>
        <w:numPr>
          <w:ilvl w:val="0"/>
          <w:numId w:val="1"/>
        </w:numPr>
        <w:spacing w:line="360" w:lineRule="auto"/>
        <w:ind w:left="0" w:firstLine="0"/>
        <w:jc w:val="both"/>
        <w:rPr>
          <w:rFonts w:ascii="Palatino Linotype" w:hAnsi="Palatino Linotype"/>
          <w:sz w:val="24"/>
        </w:rPr>
      </w:pPr>
      <w:r w:rsidRPr="009B6FD5">
        <w:rPr>
          <w:rFonts w:ascii="Palatino Linotype" w:eastAsia="Calibri" w:hAnsi="Palatino Linotype" w:cs="Arial"/>
          <w:sz w:val="24"/>
        </w:rPr>
        <w:t>Por</w:t>
      </w:r>
      <w:r w:rsidRPr="009B6FD5">
        <w:rPr>
          <w:rFonts w:ascii="Palatino Linotype" w:hAnsi="Palatino Linotype" w:cs="Arial"/>
          <w:sz w:val="24"/>
          <w:lang w:val="es-ES"/>
        </w:rPr>
        <w:t xml:space="preserve">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D771ED" w:rsidRPr="009B6FD5" w:rsidRDefault="00D771ED" w:rsidP="009B6FD5">
      <w:pPr>
        <w:spacing w:line="360" w:lineRule="auto"/>
        <w:ind w:right="49"/>
        <w:contextualSpacing/>
        <w:jc w:val="both"/>
        <w:rPr>
          <w:rFonts w:ascii="Palatino Linotype" w:eastAsiaTheme="minorEastAsia" w:hAnsi="Palatino Linotype"/>
          <w:sz w:val="28"/>
          <w:lang w:val="es-ES_tradnl" w:eastAsia="es-ES"/>
        </w:rPr>
      </w:pPr>
    </w:p>
    <w:p w:rsidR="00D771ED" w:rsidRPr="009B6FD5"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rsidR="00D771ED" w:rsidRPr="009B6FD5"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9B6FD5" w:rsidRDefault="00D771ED" w:rsidP="009B6FD5">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83301637"/>
      <w:r w:rsidRPr="009B6FD5">
        <w:rPr>
          <w:rFonts w:ascii="Palatino Linotype" w:eastAsia="MS Gothic" w:hAnsi="Palatino Linotype" w:cstheme="majorBidi"/>
          <w:b/>
          <w:lang w:val="es-ES_tradnl" w:eastAsia="es-ES"/>
        </w:rPr>
        <w:t>TERCERO. Planteamiento de la Litis</w:t>
      </w:r>
      <w:bookmarkEnd w:id="11"/>
      <w:bookmarkEnd w:id="12"/>
      <w:bookmarkEnd w:id="13"/>
    </w:p>
    <w:p w:rsidR="00D771ED" w:rsidRPr="009B6FD5" w:rsidRDefault="00D771ED" w:rsidP="009B6FD5">
      <w:pPr>
        <w:spacing w:line="360" w:lineRule="auto"/>
        <w:ind w:right="49"/>
        <w:contextualSpacing/>
        <w:jc w:val="both"/>
        <w:rPr>
          <w:rFonts w:ascii="Palatino Linotype" w:eastAsiaTheme="minorEastAsia" w:hAnsi="Palatino Linotype"/>
          <w:lang w:val="es-ES_tradnl" w:eastAsia="es-ES"/>
        </w:rPr>
      </w:pPr>
    </w:p>
    <w:p w:rsidR="00FC7B9E" w:rsidRPr="009B6FD5"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MS Gothic" w:hAnsi="Palatino Linotype"/>
        </w:rPr>
        <w:t xml:space="preserve">El particular solicitó </w:t>
      </w:r>
      <w:r w:rsidR="00FC7B9E" w:rsidRPr="009B6FD5">
        <w:rPr>
          <w:rFonts w:ascii="Palatino Linotype" w:eastAsia="MS Gothic" w:hAnsi="Palatino Linotype"/>
        </w:rPr>
        <w:t>la siguiente información para realizar trámite de una nueva cuenta predial respecto de la fracción de un terreno:</w:t>
      </w:r>
    </w:p>
    <w:p w:rsidR="00FC7B9E" w:rsidRPr="009B6FD5" w:rsidRDefault="00FC7B9E" w:rsidP="009B6FD5">
      <w:pPr>
        <w:spacing w:line="360" w:lineRule="auto"/>
        <w:ind w:right="49"/>
        <w:contextualSpacing/>
        <w:jc w:val="both"/>
        <w:rPr>
          <w:rFonts w:ascii="Palatino Linotype" w:eastAsiaTheme="minorEastAsia" w:hAnsi="Palatino Linotype"/>
          <w:lang w:val="es-ES_tradnl" w:eastAsia="es-ES"/>
        </w:rPr>
      </w:pPr>
    </w:p>
    <w:p w:rsidR="00FC7B9E" w:rsidRPr="009B6FD5" w:rsidRDefault="00FC7B9E" w:rsidP="009B6FD5">
      <w:pPr>
        <w:spacing w:line="360" w:lineRule="auto"/>
        <w:ind w:right="49"/>
        <w:contextualSpacing/>
        <w:jc w:val="both"/>
        <w:rPr>
          <w:rFonts w:ascii="Palatino Linotype" w:eastAsia="MS Gothic" w:hAnsi="Palatino Linotype"/>
        </w:rPr>
      </w:pPr>
      <w:r w:rsidRPr="009B6FD5">
        <w:rPr>
          <w:rFonts w:ascii="Palatino Linotype" w:eastAsia="MS Gothic" w:hAnsi="Palatino Linotype"/>
        </w:rPr>
        <w:t>a). F</w:t>
      </w:r>
      <w:r w:rsidR="008755DD" w:rsidRPr="009B6FD5">
        <w:rPr>
          <w:rFonts w:ascii="Palatino Linotype" w:eastAsia="MS Gothic" w:hAnsi="Palatino Linotype"/>
        </w:rPr>
        <w:t>undamento jur</w:t>
      </w:r>
      <w:r w:rsidRPr="009B6FD5">
        <w:rPr>
          <w:rFonts w:ascii="Palatino Linotype" w:eastAsia="MS Gothic" w:hAnsi="Palatino Linotype"/>
        </w:rPr>
        <w:t>ídico y administrativo;</w:t>
      </w:r>
      <w:r w:rsidR="008755DD" w:rsidRPr="009B6FD5">
        <w:rPr>
          <w:rFonts w:ascii="Palatino Linotype" w:eastAsia="MS Gothic" w:hAnsi="Palatino Linotype"/>
        </w:rPr>
        <w:t xml:space="preserve"> </w:t>
      </w:r>
    </w:p>
    <w:p w:rsidR="00FC7B9E" w:rsidRPr="009B6FD5" w:rsidRDefault="00FC7B9E" w:rsidP="009B6FD5">
      <w:pPr>
        <w:spacing w:line="360" w:lineRule="auto"/>
        <w:ind w:right="49"/>
        <w:contextualSpacing/>
        <w:jc w:val="both"/>
        <w:rPr>
          <w:rFonts w:ascii="Palatino Linotype" w:eastAsia="MS Gothic" w:hAnsi="Palatino Linotype"/>
        </w:rPr>
      </w:pPr>
      <w:r w:rsidRPr="009B6FD5">
        <w:rPr>
          <w:rFonts w:ascii="Palatino Linotype" w:eastAsia="MS Gothic" w:hAnsi="Palatino Linotype"/>
        </w:rPr>
        <w:t>b). R</w:t>
      </w:r>
      <w:r w:rsidR="00BA5E14" w:rsidRPr="009B6FD5">
        <w:rPr>
          <w:rFonts w:ascii="Palatino Linotype" w:eastAsia="MS Gothic" w:hAnsi="Palatino Linotype"/>
        </w:rPr>
        <w:t>equisitos;</w:t>
      </w:r>
      <w:r w:rsidR="008755DD" w:rsidRPr="009B6FD5">
        <w:rPr>
          <w:rFonts w:ascii="Palatino Linotype" w:eastAsia="MS Gothic" w:hAnsi="Palatino Linotype"/>
        </w:rPr>
        <w:t xml:space="preserve"> </w:t>
      </w:r>
    </w:p>
    <w:p w:rsidR="00FC7B9E" w:rsidRPr="009B6FD5" w:rsidRDefault="00FC7B9E" w:rsidP="009B6FD5">
      <w:pPr>
        <w:spacing w:line="360" w:lineRule="auto"/>
        <w:ind w:right="49"/>
        <w:contextualSpacing/>
        <w:jc w:val="both"/>
        <w:rPr>
          <w:rFonts w:ascii="Palatino Linotype" w:eastAsia="MS Gothic" w:hAnsi="Palatino Linotype"/>
        </w:rPr>
      </w:pPr>
      <w:proofErr w:type="gramStart"/>
      <w:r w:rsidRPr="009B6FD5">
        <w:rPr>
          <w:rFonts w:ascii="Palatino Linotype" w:eastAsia="MS Gothic" w:hAnsi="Palatino Linotype"/>
        </w:rPr>
        <w:t>c)</w:t>
      </w:r>
      <w:proofErr w:type="gramEnd"/>
      <w:r w:rsidRPr="009B6FD5">
        <w:rPr>
          <w:rFonts w:ascii="Palatino Linotype" w:eastAsia="MS Gothic" w:hAnsi="Palatino Linotype"/>
        </w:rPr>
        <w:t>. F</w:t>
      </w:r>
      <w:r w:rsidR="00BA5E14" w:rsidRPr="009B6FD5">
        <w:rPr>
          <w:rFonts w:ascii="Palatino Linotype" w:eastAsia="MS Gothic" w:hAnsi="Palatino Linotype"/>
        </w:rPr>
        <w:t>ormatos;</w:t>
      </w:r>
    </w:p>
    <w:p w:rsidR="00FC7B9E" w:rsidRPr="009B6FD5" w:rsidRDefault="00FC7B9E" w:rsidP="009B6FD5">
      <w:pPr>
        <w:spacing w:line="360" w:lineRule="auto"/>
        <w:ind w:right="49"/>
        <w:contextualSpacing/>
        <w:jc w:val="both"/>
        <w:rPr>
          <w:rFonts w:ascii="Palatino Linotype" w:eastAsia="MS Gothic" w:hAnsi="Palatino Linotype"/>
        </w:rPr>
      </w:pPr>
      <w:r w:rsidRPr="009B6FD5">
        <w:rPr>
          <w:rFonts w:ascii="Palatino Linotype" w:eastAsia="MS Gothic" w:hAnsi="Palatino Linotype"/>
        </w:rPr>
        <w:t>d). C</w:t>
      </w:r>
      <w:r w:rsidR="00BA5E14" w:rsidRPr="009B6FD5">
        <w:rPr>
          <w:rFonts w:ascii="Palatino Linotype" w:eastAsia="MS Gothic" w:hAnsi="Palatino Linotype"/>
        </w:rPr>
        <w:t>ostos y su fundamento legal;</w:t>
      </w:r>
    </w:p>
    <w:p w:rsidR="00FC7B9E" w:rsidRPr="009B6FD5" w:rsidRDefault="00FC7B9E" w:rsidP="009B6FD5">
      <w:pPr>
        <w:spacing w:line="360" w:lineRule="auto"/>
        <w:ind w:right="49"/>
        <w:contextualSpacing/>
        <w:jc w:val="both"/>
        <w:rPr>
          <w:rFonts w:ascii="Palatino Linotype" w:eastAsia="MS Gothic" w:hAnsi="Palatino Linotype"/>
        </w:rPr>
      </w:pPr>
      <w:r w:rsidRPr="009B6FD5">
        <w:rPr>
          <w:rFonts w:ascii="Palatino Linotype" w:eastAsia="MS Gothic" w:hAnsi="Palatino Linotype"/>
        </w:rPr>
        <w:lastRenderedPageBreak/>
        <w:t>e). D</w:t>
      </w:r>
      <w:r w:rsidR="008755DD" w:rsidRPr="009B6FD5">
        <w:rPr>
          <w:rFonts w:ascii="Palatino Linotype" w:eastAsia="MS Gothic" w:hAnsi="Palatino Linotype"/>
        </w:rPr>
        <w:t>uración del tr</w:t>
      </w:r>
      <w:r w:rsidR="00BA5E14" w:rsidRPr="009B6FD5">
        <w:rPr>
          <w:rFonts w:ascii="Palatino Linotype" w:eastAsia="MS Gothic" w:hAnsi="Palatino Linotype"/>
        </w:rPr>
        <w:t>ámite;</w:t>
      </w:r>
      <w:r w:rsidR="008755DD" w:rsidRPr="009B6FD5">
        <w:rPr>
          <w:rFonts w:ascii="Palatino Linotype" w:eastAsia="MS Gothic" w:hAnsi="Palatino Linotype"/>
        </w:rPr>
        <w:t xml:space="preserve"> </w:t>
      </w:r>
    </w:p>
    <w:p w:rsidR="00FC7B9E" w:rsidRPr="009B6FD5" w:rsidRDefault="00FC7B9E" w:rsidP="009B6FD5">
      <w:pPr>
        <w:spacing w:line="360" w:lineRule="auto"/>
        <w:ind w:right="49"/>
        <w:contextualSpacing/>
        <w:jc w:val="both"/>
        <w:rPr>
          <w:rFonts w:ascii="Palatino Linotype" w:eastAsia="MS Gothic" w:hAnsi="Palatino Linotype"/>
        </w:rPr>
      </w:pPr>
      <w:r w:rsidRPr="009B6FD5">
        <w:rPr>
          <w:rFonts w:ascii="Palatino Linotype" w:eastAsia="MS Gothic" w:hAnsi="Palatino Linotype"/>
        </w:rPr>
        <w:t>f). Extracto del manual administrativo y de procedimientos donde este asentado el tr</w:t>
      </w:r>
      <w:r w:rsidR="00BA5E14" w:rsidRPr="009B6FD5">
        <w:rPr>
          <w:rFonts w:ascii="Palatino Linotype" w:eastAsia="MS Gothic" w:hAnsi="Palatino Linotype"/>
        </w:rPr>
        <w:t>ámite;</w:t>
      </w:r>
      <w:r w:rsidRPr="009B6FD5">
        <w:rPr>
          <w:rFonts w:ascii="Palatino Linotype" w:eastAsia="MS Gothic" w:hAnsi="Palatino Linotype"/>
        </w:rPr>
        <w:t xml:space="preserve"> </w:t>
      </w:r>
    </w:p>
    <w:p w:rsidR="00BD4BF5" w:rsidRPr="009B6FD5" w:rsidRDefault="00FC7B9E" w:rsidP="009B6FD5">
      <w:pPr>
        <w:spacing w:line="360" w:lineRule="auto"/>
        <w:ind w:right="49"/>
        <w:contextualSpacing/>
        <w:jc w:val="both"/>
        <w:rPr>
          <w:rFonts w:ascii="Palatino Linotype" w:eastAsia="MS Gothic" w:hAnsi="Palatino Linotype"/>
        </w:rPr>
      </w:pPr>
      <w:r w:rsidRPr="009B6FD5">
        <w:rPr>
          <w:rFonts w:ascii="Palatino Linotype" w:eastAsia="MS Gothic" w:hAnsi="Palatino Linotype"/>
        </w:rPr>
        <w:t>g). Á</w:t>
      </w:r>
      <w:r w:rsidR="00BD4BF5" w:rsidRPr="009B6FD5">
        <w:rPr>
          <w:rFonts w:ascii="Palatino Linotype" w:eastAsia="MS Gothic" w:hAnsi="Palatino Linotype"/>
        </w:rPr>
        <w:t>rea y nombre del titular;</w:t>
      </w:r>
    </w:p>
    <w:p w:rsidR="00FC7B9E" w:rsidRPr="009B6FD5" w:rsidRDefault="00BD4BF5" w:rsidP="009B6FD5">
      <w:pPr>
        <w:spacing w:line="360" w:lineRule="auto"/>
        <w:ind w:right="49"/>
        <w:contextualSpacing/>
        <w:jc w:val="both"/>
        <w:rPr>
          <w:rFonts w:ascii="Palatino Linotype" w:eastAsia="MS Gothic" w:hAnsi="Palatino Linotype"/>
        </w:rPr>
      </w:pPr>
      <w:r w:rsidRPr="009B6FD5">
        <w:rPr>
          <w:rFonts w:ascii="Palatino Linotype" w:eastAsia="MS Gothic" w:hAnsi="Palatino Linotype"/>
        </w:rPr>
        <w:t>h). U</w:t>
      </w:r>
      <w:r w:rsidR="00BA5E14" w:rsidRPr="009B6FD5">
        <w:rPr>
          <w:rFonts w:ascii="Palatino Linotype" w:eastAsia="MS Gothic" w:hAnsi="Palatino Linotype"/>
        </w:rPr>
        <w:t xml:space="preserve">bicación </w:t>
      </w:r>
    </w:p>
    <w:p w:rsidR="00BA5E14" w:rsidRPr="009B6FD5" w:rsidRDefault="00BD4BF5" w:rsidP="009B6FD5">
      <w:pPr>
        <w:spacing w:line="360" w:lineRule="auto"/>
        <w:ind w:right="49"/>
        <w:contextualSpacing/>
        <w:jc w:val="both"/>
        <w:rPr>
          <w:rFonts w:ascii="Palatino Linotype" w:eastAsia="MS Gothic" w:hAnsi="Palatino Linotype"/>
        </w:rPr>
      </w:pPr>
      <w:r w:rsidRPr="009B6FD5">
        <w:rPr>
          <w:rFonts w:ascii="Palatino Linotype" w:eastAsia="MS Gothic" w:hAnsi="Palatino Linotype"/>
        </w:rPr>
        <w:t>i</w:t>
      </w:r>
      <w:r w:rsidR="00FC7B9E" w:rsidRPr="009B6FD5">
        <w:rPr>
          <w:rFonts w:ascii="Palatino Linotype" w:eastAsia="MS Gothic" w:hAnsi="Palatino Linotype"/>
        </w:rPr>
        <w:t>). Nombre</w:t>
      </w:r>
      <w:r w:rsidR="008755DD" w:rsidRPr="009B6FD5">
        <w:rPr>
          <w:rFonts w:ascii="Palatino Linotype" w:eastAsia="MS Gothic" w:hAnsi="Palatino Linotype"/>
        </w:rPr>
        <w:t xml:space="preserve"> de los servidores públicos para la recepción del tr</w:t>
      </w:r>
      <w:r w:rsidR="00BA5E14" w:rsidRPr="009B6FD5">
        <w:rPr>
          <w:rFonts w:ascii="Palatino Linotype" w:eastAsia="MS Gothic" w:hAnsi="Palatino Linotype"/>
        </w:rPr>
        <w:t>ámite;</w:t>
      </w:r>
      <w:r w:rsidR="008755DD" w:rsidRPr="009B6FD5">
        <w:rPr>
          <w:rFonts w:ascii="Palatino Linotype" w:eastAsia="MS Gothic" w:hAnsi="Palatino Linotype"/>
        </w:rPr>
        <w:t xml:space="preserve"> </w:t>
      </w:r>
      <w:r w:rsidR="00BA5E14" w:rsidRPr="009B6FD5">
        <w:rPr>
          <w:rFonts w:ascii="Palatino Linotype" w:eastAsia="MS Gothic" w:hAnsi="Palatino Linotype"/>
        </w:rPr>
        <w:t>y</w:t>
      </w:r>
    </w:p>
    <w:p w:rsidR="00F10F86" w:rsidRPr="009B6FD5" w:rsidRDefault="00BD4BF5" w:rsidP="009B6FD5">
      <w:pPr>
        <w:spacing w:line="360" w:lineRule="auto"/>
        <w:ind w:right="49"/>
        <w:contextualSpacing/>
        <w:jc w:val="both"/>
        <w:rPr>
          <w:rFonts w:ascii="Palatino Linotype" w:eastAsia="MS Gothic" w:hAnsi="Palatino Linotype"/>
        </w:rPr>
      </w:pPr>
      <w:r w:rsidRPr="009B6FD5">
        <w:rPr>
          <w:rFonts w:ascii="Palatino Linotype" w:eastAsia="MS Gothic" w:hAnsi="Palatino Linotype"/>
        </w:rPr>
        <w:t>j</w:t>
      </w:r>
      <w:r w:rsidR="00FC7B9E" w:rsidRPr="009B6FD5">
        <w:rPr>
          <w:rFonts w:ascii="Palatino Linotype" w:eastAsia="MS Gothic" w:hAnsi="Palatino Linotype"/>
        </w:rPr>
        <w:t>). L</w:t>
      </w:r>
      <w:r w:rsidR="008755DD" w:rsidRPr="009B6FD5">
        <w:rPr>
          <w:rFonts w:ascii="Palatino Linotype" w:eastAsia="MS Gothic" w:hAnsi="Palatino Linotype"/>
        </w:rPr>
        <w:t>os último tres expedientes que obran en sus archivos del trámite para solicitar una cuenta predial.</w:t>
      </w:r>
    </w:p>
    <w:p w:rsidR="00D771ED" w:rsidRPr="009B6FD5"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9B6FD5" w:rsidRDefault="00D771ED" w:rsidP="009B6FD5">
      <w:pPr>
        <w:numPr>
          <w:ilvl w:val="0"/>
          <w:numId w:val="1"/>
        </w:numPr>
        <w:spacing w:line="360" w:lineRule="auto"/>
        <w:ind w:left="0" w:right="49" w:firstLine="0"/>
        <w:jc w:val="both"/>
        <w:rPr>
          <w:rFonts w:ascii="Palatino Linotype" w:hAnsi="Palatino Linotype"/>
          <w:b/>
          <w:i/>
          <w:iCs/>
          <w:color w:val="000000"/>
        </w:rPr>
      </w:pPr>
      <w:r w:rsidRPr="009B6FD5">
        <w:rPr>
          <w:rFonts w:ascii="Palatino Linotype" w:hAnsi="Palatino Linotype"/>
          <w:iCs/>
          <w:color w:val="000000"/>
        </w:rPr>
        <w:t xml:space="preserve">En respuesta, el SUJETO OBLIGADO manifestó </w:t>
      </w:r>
      <w:r w:rsidR="00DF2A3A" w:rsidRPr="009B6FD5">
        <w:rPr>
          <w:rFonts w:ascii="Palatino Linotype" w:hAnsi="Palatino Linotype"/>
          <w:i/>
          <w:iCs/>
          <w:color w:val="000000"/>
        </w:rPr>
        <w:t>“Me permito informarle , que esta jefatura de catastro a mi cargo, no asigna cuentas prediales, no obstante le informo que dentro de mi competencia de acuerdo a los Artículo 169 fracción IV, 171 fracción VIII y 183 del Código Financiero del Estado de México y Municipios, hago de su conocimiento los Servicios Catastrales que presta esta Jefatura, con relación a la Normatividad que se enuncia en el Apartado I, en su Política General, ACGC004, ACGC005, ACGC007 y ACGC014, Apartado II, Política ACC001 y ACC002, Apartado VI, en su Política ARA002 del Manual Catastral del Estado de México. Con respecto a la obtención de los formatos se anexan copias simples de los mismos, con respecto a los costos y su fundamento, estos se pueden consultar en el artículo 166 del Código Financiero del Estado de México y Municipios, y finalmente en lo referente a los expedientes solicitados no a lugar deribado que toda documentación anexa a las solicitudes de servicios catastrales a petición de parte de uso y manejo exclusivo de la autoridad competente…”.</w:t>
      </w:r>
      <w:r w:rsidR="00DF2A3A" w:rsidRPr="009B6FD5">
        <w:rPr>
          <w:rFonts w:ascii="Palatino Linotype" w:hAnsi="Palatino Linotype"/>
          <w:iCs/>
          <w:color w:val="000000"/>
        </w:rPr>
        <w:t xml:space="preserve"> Aunado a ello, se anexo un formato de solicitud de servicios catastrales y uno de manifestación catastral. </w:t>
      </w:r>
    </w:p>
    <w:p w:rsidR="00BD4BF5" w:rsidRPr="009B6FD5" w:rsidRDefault="00BD4BF5" w:rsidP="009B6FD5">
      <w:pPr>
        <w:spacing w:line="360" w:lineRule="auto"/>
        <w:ind w:right="49"/>
        <w:contextualSpacing/>
        <w:jc w:val="both"/>
        <w:rPr>
          <w:rFonts w:ascii="Palatino Linotype" w:eastAsiaTheme="minorEastAsia" w:hAnsi="Palatino Linotype"/>
          <w:lang w:val="es-ES_tradnl" w:eastAsia="es-ES"/>
        </w:rPr>
      </w:pPr>
    </w:p>
    <w:p w:rsidR="00D771ED" w:rsidRPr="009B6FD5" w:rsidRDefault="00D771ED" w:rsidP="009B6FD5">
      <w:pPr>
        <w:numPr>
          <w:ilvl w:val="0"/>
          <w:numId w:val="1"/>
        </w:numPr>
        <w:spacing w:line="360" w:lineRule="auto"/>
        <w:ind w:left="0" w:right="49" w:firstLine="0"/>
        <w:contextualSpacing/>
        <w:jc w:val="both"/>
        <w:rPr>
          <w:rFonts w:ascii="Palatino Linotype" w:hAnsi="Palatino Linotype"/>
          <w:i/>
          <w:color w:val="000000"/>
        </w:rPr>
      </w:pPr>
      <w:r w:rsidRPr="009B6FD5">
        <w:rPr>
          <w:rFonts w:ascii="Palatino Linotype" w:hAnsi="Palatino Linotype"/>
        </w:rPr>
        <w:lastRenderedPageBreak/>
        <w:t xml:space="preserve">Derivado de ello, el particular interpuso recurso de revisión; manifestó en sus motivos de inconformidad </w:t>
      </w:r>
      <w:r w:rsidR="00DF2A3A" w:rsidRPr="009B6FD5">
        <w:rPr>
          <w:rFonts w:ascii="Palatino Linotype" w:hAnsi="Palatino Linotype"/>
          <w:i/>
          <w:color w:val="000000"/>
          <w:lang w:val="es-ES"/>
        </w:rPr>
        <w:t>“</w:t>
      </w:r>
      <w:r w:rsidR="00DF2A3A" w:rsidRPr="009B6FD5">
        <w:rPr>
          <w:rFonts w:ascii="Palatino Linotype" w:hAnsi="Palatino Linotype"/>
          <w:i/>
          <w:color w:val="000000"/>
        </w:rPr>
        <w:t>Se entrega la información mal hecha, de manera mediocre lo cual viola el derecho humano al acceso a la información.” (Sic).</w:t>
      </w:r>
    </w:p>
    <w:p w:rsidR="00D771ED" w:rsidRPr="009B6FD5"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9B6FD5"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MS Gothic" w:hAnsi="Palatino Linotype"/>
        </w:rPr>
        <w:t>En consecuencia, la Litis del presente asunto corresponde en resolver si el SUJETO OBLIGADO atendió la solicitud con apego a los principios establecidos en el artículo 11 de la Ley de Transparencia Local, si con la entrega de los documentos en respuesta se garantiza que la informa</w:t>
      </w:r>
      <w:r w:rsidR="00697765" w:rsidRPr="009B6FD5">
        <w:rPr>
          <w:rFonts w:ascii="Palatino Linotype" w:eastAsia="MS Gothic" w:hAnsi="Palatino Linotype"/>
        </w:rPr>
        <w:t>ción sea congruente</w:t>
      </w:r>
      <w:r w:rsidRPr="009B6FD5">
        <w:rPr>
          <w:rFonts w:ascii="Palatino Linotype" w:eastAsia="MS Gothic" w:hAnsi="Palatino Linotype"/>
        </w:rPr>
        <w:t>.</w:t>
      </w:r>
    </w:p>
    <w:p w:rsidR="00D771ED" w:rsidRPr="009B6FD5"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9B6FD5"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MS Gothic" w:hAnsi="Palatino Linotype"/>
        </w:rPr>
        <w:t>Así mismo determinar si se actualizan las causales de procedencia previstas en la fracciones I y V</w:t>
      </w:r>
      <w:r w:rsidR="00697765" w:rsidRPr="009B6FD5">
        <w:rPr>
          <w:rFonts w:ascii="Palatino Linotype" w:eastAsia="MS Gothic" w:hAnsi="Palatino Linotype"/>
        </w:rPr>
        <w:t>I</w:t>
      </w:r>
      <w:r w:rsidRPr="009B6FD5">
        <w:rPr>
          <w:rFonts w:ascii="Palatino Linotype" w:eastAsia="MS Gothic" w:hAnsi="Palatino Linotype"/>
        </w:rPr>
        <w:t xml:space="preserve"> del artículo 179 de la Ley de Transparencia y Acceso a la Información Pública del Estado de México y sus Municipios, que establecen la negativa de la información solicitada y la e</w:t>
      </w:r>
      <w:r w:rsidR="00697765" w:rsidRPr="009B6FD5">
        <w:rPr>
          <w:rFonts w:ascii="Palatino Linotype" w:eastAsia="MS Gothic" w:hAnsi="Palatino Linotype"/>
        </w:rPr>
        <w:t>ntrega de la información que no corresponde con lo solicitado</w:t>
      </w:r>
      <w:r w:rsidRPr="009B6FD5">
        <w:rPr>
          <w:rFonts w:ascii="Palatino Linotype" w:eastAsia="MS Gothic" w:hAnsi="Palatino Linotype"/>
        </w:rPr>
        <w:t>.</w:t>
      </w:r>
    </w:p>
    <w:p w:rsidR="00D771ED" w:rsidRPr="009B6FD5" w:rsidRDefault="00D771ED" w:rsidP="009B6FD5">
      <w:pPr>
        <w:spacing w:line="360" w:lineRule="auto"/>
        <w:ind w:right="49"/>
        <w:contextualSpacing/>
        <w:jc w:val="both"/>
        <w:rPr>
          <w:rFonts w:ascii="Palatino Linotype" w:eastAsia="MS Gothic" w:hAnsi="Palatino Linotype"/>
        </w:rPr>
      </w:pPr>
    </w:p>
    <w:p w:rsidR="00D771ED" w:rsidRPr="009B6FD5" w:rsidRDefault="00D771ED" w:rsidP="009B6FD5">
      <w:pPr>
        <w:keepNext/>
        <w:keepLines/>
        <w:spacing w:line="360" w:lineRule="auto"/>
        <w:ind w:right="48"/>
        <w:outlineLvl w:val="0"/>
        <w:rPr>
          <w:rFonts w:ascii="Palatino Linotype" w:eastAsia="MS Gothic" w:hAnsi="Palatino Linotype" w:cstheme="majorBidi"/>
          <w:b/>
          <w:lang w:val="es-ES_tradnl" w:eastAsia="es-ES"/>
        </w:rPr>
      </w:pPr>
      <w:bookmarkStart w:id="14" w:name="_Toc70417466"/>
      <w:bookmarkStart w:id="15" w:name="_Toc80812775"/>
      <w:bookmarkStart w:id="16" w:name="_Toc83301638"/>
      <w:r w:rsidRPr="009B6FD5">
        <w:rPr>
          <w:rFonts w:ascii="Palatino Linotype" w:eastAsia="MS Gothic" w:hAnsi="Palatino Linotype" w:cstheme="majorBidi"/>
          <w:b/>
          <w:lang w:val="es-ES_tradnl" w:eastAsia="es-ES"/>
        </w:rPr>
        <w:t>CUARTO. Del estudio y resolución del recurso de revisión.</w:t>
      </w:r>
      <w:bookmarkEnd w:id="14"/>
      <w:bookmarkEnd w:id="15"/>
      <w:bookmarkEnd w:id="16"/>
    </w:p>
    <w:p w:rsidR="00D771ED" w:rsidRPr="009B6FD5" w:rsidRDefault="00D771ED" w:rsidP="009B6FD5">
      <w:pPr>
        <w:keepNext/>
        <w:keepLines/>
        <w:spacing w:line="360" w:lineRule="auto"/>
        <w:ind w:right="48"/>
        <w:outlineLvl w:val="0"/>
        <w:rPr>
          <w:rFonts w:ascii="Palatino Linotype" w:eastAsia="MS Gothic" w:hAnsi="Palatino Linotype" w:cstheme="majorBidi"/>
          <w:b/>
          <w:lang w:val="es-ES_tradnl" w:eastAsia="es-ES"/>
        </w:rPr>
      </w:pPr>
    </w:p>
    <w:p w:rsidR="00D771ED" w:rsidRPr="009B6FD5" w:rsidRDefault="00D771ED" w:rsidP="009B6FD5">
      <w:pPr>
        <w:pStyle w:val="Prrafodelista"/>
        <w:keepNext/>
        <w:keepLines/>
        <w:numPr>
          <w:ilvl w:val="0"/>
          <w:numId w:val="4"/>
        </w:numPr>
        <w:spacing w:line="360" w:lineRule="auto"/>
        <w:jc w:val="both"/>
        <w:outlineLvl w:val="1"/>
        <w:rPr>
          <w:rFonts w:ascii="Palatino Linotype" w:eastAsia="MS Gothic" w:hAnsi="Palatino Linotype"/>
          <w:b/>
          <w:sz w:val="24"/>
          <w:lang w:val="es-ES_tradnl" w:eastAsia="es-ES"/>
        </w:rPr>
      </w:pPr>
      <w:bookmarkStart w:id="17" w:name="_Toc498528948"/>
      <w:bookmarkStart w:id="18" w:name="_Toc71234379"/>
      <w:bookmarkStart w:id="19" w:name="_Toc71239557"/>
      <w:bookmarkStart w:id="20" w:name="_Toc80812776"/>
      <w:bookmarkStart w:id="21" w:name="_Toc83301639"/>
      <w:r w:rsidRPr="009B6FD5">
        <w:rPr>
          <w:rFonts w:ascii="Palatino Linotype" w:eastAsia="MS Gothic" w:hAnsi="Palatino Linotype"/>
          <w:b/>
          <w:sz w:val="24"/>
          <w:lang w:val="es-ES_tradnl" w:eastAsia="es-ES"/>
        </w:rPr>
        <w:t>De</w:t>
      </w:r>
      <w:bookmarkEnd w:id="17"/>
      <w:r w:rsidRPr="009B6FD5">
        <w:rPr>
          <w:rFonts w:ascii="Palatino Linotype" w:eastAsia="MS Gothic" w:hAnsi="Palatino Linotype"/>
          <w:b/>
          <w:sz w:val="24"/>
          <w:lang w:val="es-ES_tradnl" w:eastAsia="es-ES"/>
        </w:rPr>
        <w:t>l derecho de acceso a la información.</w:t>
      </w:r>
      <w:bookmarkEnd w:id="18"/>
      <w:bookmarkEnd w:id="19"/>
      <w:bookmarkEnd w:id="20"/>
      <w:bookmarkEnd w:id="21"/>
    </w:p>
    <w:p w:rsidR="00D771ED" w:rsidRPr="009B6FD5"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9B6FD5"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Theme="minorEastAsia" w:hAnsi="Palatino Linotype"/>
          <w:lang w:val="es-ES_tradnl" w:eastAsia="es-ES"/>
        </w:rPr>
        <w:t>E</w:t>
      </w:r>
      <w:r w:rsidRPr="009B6FD5">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9B6FD5">
        <w:rPr>
          <w:rFonts w:ascii="Palatino Linotype" w:hAnsi="Palatino Linotype" w:cs="Arial"/>
          <w:color w:val="000000"/>
          <w:lang w:val="es-ES_tradnl" w:eastAsia="es-ES"/>
        </w:rPr>
        <w:t xml:space="preserve">. </w:t>
      </w:r>
    </w:p>
    <w:p w:rsidR="00D771ED" w:rsidRPr="009B6FD5"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9B6FD5"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hAnsi="Palatino Linotype"/>
          <w:lang w:val="es-ES_tradnl" w:eastAsia="es-ES"/>
        </w:rPr>
        <w:lastRenderedPageBreak/>
        <w:t xml:space="preserve">Definiendo el Derecho de Acceso a la Información Pública como: </w:t>
      </w:r>
      <w:r w:rsidRPr="009B6FD5">
        <w:rPr>
          <w:rFonts w:ascii="Palatino Linotype" w:eastAsiaTheme="minorEastAsia" w:hAnsi="Palatino Linotype"/>
          <w:i/>
          <w:color w:val="000000"/>
          <w:lang w:val="es-ES_tradnl" w:eastAsia="es-ES"/>
        </w:rPr>
        <w:t>La igualdad de oportunidades para recibir, buscar e impartir información</w:t>
      </w:r>
      <w:r w:rsidRPr="009B6FD5">
        <w:rPr>
          <w:rFonts w:ascii="Palatino Linotype" w:eastAsiaTheme="minorEastAsia" w:hAnsi="Palatino Linotype"/>
          <w:i/>
          <w:vertAlign w:val="superscript"/>
          <w:lang w:val="es-ES_tradnl" w:eastAsia="es-ES"/>
        </w:rPr>
        <w:footnoteReference w:id="1"/>
      </w:r>
      <w:r w:rsidRPr="009B6FD5">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B6FD5">
        <w:rPr>
          <w:rFonts w:ascii="Palatino Linotype" w:eastAsiaTheme="minorEastAsia" w:hAnsi="Palatino Linotype"/>
          <w:i/>
          <w:vertAlign w:val="superscript"/>
          <w:lang w:val="es-ES_tradnl" w:eastAsia="es-ES"/>
        </w:rPr>
        <w:footnoteReference w:id="2"/>
      </w:r>
      <w:r w:rsidRPr="009B6FD5">
        <w:rPr>
          <w:rFonts w:ascii="Palatino Linotype" w:eastAsiaTheme="minorEastAsia" w:hAnsi="Palatino Linotype"/>
          <w:color w:val="000000"/>
          <w:lang w:val="es-ES_tradnl" w:eastAsia="es-ES"/>
        </w:rPr>
        <w:t>que se constituye como una herramienta fundamental para ejercer</w:t>
      </w:r>
      <w:r w:rsidRPr="009B6FD5">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9B6FD5">
        <w:rPr>
          <w:rFonts w:ascii="Palatino Linotype" w:eastAsiaTheme="minorEastAsia" w:hAnsi="Palatino Linotype"/>
          <w:i/>
          <w:vertAlign w:val="superscript"/>
          <w:lang w:val="es-ES_tradnl" w:eastAsia="es-ES"/>
        </w:rPr>
        <w:footnoteReference w:id="3"/>
      </w:r>
      <w:r w:rsidRPr="009B6FD5">
        <w:rPr>
          <w:rFonts w:ascii="Palatino Linotype" w:eastAsiaTheme="minorEastAsia" w:hAnsi="Palatino Linotype"/>
          <w:color w:val="000000"/>
          <w:lang w:val="es-ES_tradnl" w:eastAsia="es-ES"/>
        </w:rPr>
        <w:t>fomentando</w:t>
      </w:r>
      <w:r w:rsidRPr="009B6FD5">
        <w:rPr>
          <w:rFonts w:ascii="Palatino Linotype" w:eastAsiaTheme="minorEastAsia" w:hAnsi="Palatino Linotype"/>
          <w:i/>
          <w:color w:val="000000"/>
          <w:lang w:val="es-ES_tradnl" w:eastAsia="es-ES"/>
        </w:rPr>
        <w:t xml:space="preserve"> la transparencia de las actividades estatales y </w:t>
      </w:r>
      <w:r w:rsidRPr="009B6FD5">
        <w:rPr>
          <w:rFonts w:ascii="Palatino Linotype" w:eastAsiaTheme="minorEastAsia" w:hAnsi="Palatino Linotype"/>
          <w:color w:val="000000"/>
          <w:lang w:val="es-ES_tradnl" w:eastAsia="es-ES"/>
        </w:rPr>
        <w:t>promoviendo</w:t>
      </w:r>
      <w:r w:rsidRPr="009B6FD5">
        <w:rPr>
          <w:rFonts w:ascii="Palatino Linotype" w:eastAsiaTheme="minorEastAsia" w:hAnsi="Palatino Linotype"/>
          <w:i/>
          <w:color w:val="000000"/>
          <w:lang w:val="es-ES_tradnl" w:eastAsia="es-ES"/>
        </w:rPr>
        <w:t xml:space="preserve"> la responsabilidad de los funcionarios sobre su gestión pública,</w:t>
      </w:r>
      <w:r w:rsidRPr="009B6FD5">
        <w:rPr>
          <w:rFonts w:ascii="Palatino Linotype" w:eastAsiaTheme="minorEastAsia" w:hAnsi="Palatino Linotype"/>
          <w:i/>
          <w:vertAlign w:val="superscript"/>
          <w:lang w:val="es-ES_tradnl" w:eastAsia="es-ES"/>
        </w:rPr>
        <w:footnoteReference w:id="4"/>
      </w:r>
      <w:r w:rsidRPr="009B6FD5">
        <w:rPr>
          <w:rFonts w:ascii="Palatino Linotype" w:eastAsiaTheme="minorEastAsia" w:hAnsi="Palatino Linotype"/>
          <w:color w:val="000000"/>
          <w:lang w:val="es-ES_tradnl" w:eastAsia="es-ES"/>
        </w:rPr>
        <w:t>que permite</w:t>
      </w:r>
      <w:r w:rsidRPr="009B6FD5">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D771ED" w:rsidRPr="009B6FD5"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9B6FD5"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D771ED" w:rsidRPr="009B6FD5" w:rsidRDefault="00D771ED" w:rsidP="009B6FD5">
      <w:pPr>
        <w:spacing w:line="360" w:lineRule="auto"/>
        <w:ind w:right="49"/>
        <w:contextualSpacing/>
        <w:jc w:val="both"/>
        <w:rPr>
          <w:rFonts w:ascii="Palatino Linotype" w:hAnsi="Palatino Linotype"/>
          <w:lang w:val="es-ES_tradnl" w:eastAsia="es-ES"/>
        </w:rPr>
      </w:pPr>
    </w:p>
    <w:p w:rsidR="00D771ED" w:rsidRPr="009B6FD5" w:rsidRDefault="00D771ED" w:rsidP="009B6FD5">
      <w:pPr>
        <w:spacing w:line="360" w:lineRule="auto"/>
        <w:ind w:left="567" w:right="567"/>
        <w:contextualSpacing/>
        <w:jc w:val="both"/>
        <w:rPr>
          <w:rFonts w:ascii="Palatino Linotype" w:hAnsi="Palatino Linotype"/>
          <w:i/>
          <w:sz w:val="22"/>
          <w:lang w:val="es-ES_tradnl" w:eastAsia="es-ES"/>
        </w:rPr>
      </w:pPr>
      <w:r w:rsidRPr="009B6FD5">
        <w:rPr>
          <w:rFonts w:ascii="Palatino Linotype" w:hAnsi="Palatino Linotype"/>
          <w:i/>
          <w:sz w:val="22"/>
          <w:lang w:val="es-ES_tradnl" w:eastAsia="es-ES"/>
        </w:rPr>
        <w:t>“</w:t>
      </w:r>
      <w:r w:rsidRPr="009B6FD5">
        <w:rPr>
          <w:rFonts w:ascii="Palatino Linotype" w:hAnsi="Palatino Linotype"/>
          <w:b/>
          <w:i/>
          <w:sz w:val="22"/>
          <w:lang w:val="es-ES_tradnl" w:eastAsia="es-ES"/>
        </w:rPr>
        <w:t>Artículo 1.-</w:t>
      </w:r>
      <w:r w:rsidRPr="009B6FD5">
        <w:rPr>
          <w:rFonts w:ascii="Palatino Linotype" w:hAnsi="Palatino Linotype"/>
          <w:i/>
          <w:sz w:val="22"/>
          <w:lang w:val="es-ES_tradnl" w:eastAsia="es-ES"/>
        </w:rPr>
        <w:t xml:space="preserve"> </w:t>
      </w:r>
    </w:p>
    <w:p w:rsidR="00D771ED" w:rsidRPr="009B6FD5" w:rsidRDefault="00D771ED" w:rsidP="009B6FD5">
      <w:pPr>
        <w:spacing w:line="360" w:lineRule="auto"/>
        <w:ind w:left="567" w:right="567"/>
        <w:contextualSpacing/>
        <w:jc w:val="both"/>
        <w:rPr>
          <w:rFonts w:ascii="Palatino Linotype" w:hAnsi="Palatino Linotype"/>
          <w:i/>
          <w:sz w:val="22"/>
          <w:lang w:val="es-ES_tradnl" w:eastAsia="es-ES"/>
        </w:rPr>
      </w:pPr>
      <w:r w:rsidRPr="009B6FD5">
        <w:rPr>
          <w:rFonts w:ascii="Palatino Linotype" w:hAnsi="Palatino Linotype"/>
          <w:i/>
          <w:sz w:val="22"/>
          <w:lang w:val="es-ES_tradnl" w:eastAsia="es-ES"/>
        </w:rPr>
        <w:t>(…)</w:t>
      </w:r>
    </w:p>
    <w:p w:rsidR="00D771ED" w:rsidRPr="009B6FD5" w:rsidRDefault="00D771ED" w:rsidP="009B6FD5">
      <w:pPr>
        <w:spacing w:line="360" w:lineRule="auto"/>
        <w:ind w:left="567" w:right="567"/>
        <w:contextualSpacing/>
        <w:jc w:val="both"/>
        <w:rPr>
          <w:rFonts w:ascii="Palatino Linotype" w:hAnsi="Palatino Linotype"/>
          <w:i/>
          <w:sz w:val="22"/>
        </w:rPr>
      </w:pPr>
      <w:r w:rsidRPr="009B6FD5">
        <w:rPr>
          <w:rFonts w:ascii="Palatino Linotype" w:hAnsi="Palatino Linotype"/>
          <w:i/>
          <w:sz w:val="22"/>
          <w:lang w:val="es-ES_tradnl" w:eastAsia="es-ES"/>
        </w:rPr>
        <w:t>Todas las</w:t>
      </w:r>
      <w:r w:rsidRPr="009B6FD5">
        <w:rPr>
          <w:rFonts w:ascii="Palatino Linotype" w:hAnsi="Palatino Linotype"/>
          <w:sz w:val="22"/>
          <w:lang w:val="es-ES_tradnl" w:eastAsia="es-ES"/>
        </w:rPr>
        <w:t xml:space="preserve"> </w:t>
      </w:r>
      <w:r w:rsidRPr="009B6FD5">
        <w:rPr>
          <w:rFonts w:ascii="Palatino Linotype" w:hAnsi="Palatino Linotype"/>
          <w:i/>
          <w:sz w:val="22"/>
        </w:rPr>
        <w:t xml:space="preserve">autoridades, en el ámbito de sus competencias, tienen la obligación de promover, respetar, proteger y garantizar los derechos humanos de conformidad con los principios de universalidad, interdependencia, indivisibilidad y progresividad. En consecuencia, el </w:t>
      </w:r>
      <w:r w:rsidRPr="009B6FD5">
        <w:rPr>
          <w:rFonts w:ascii="Palatino Linotype" w:hAnsi="Palatino Linotype"/>
          <w:i/>
          <w:sz w:val="22"/>
        </w:rPr>
        <w:lastRenderedPageBreak/>
        <w:t>Estado deberá prevenir, investigar, sancionar y reparar las violaciones a los derechos humanos, en los términos que establezca la ley.</w:t>
      </w:r>
    </w:p>
    <w:p w:rsidR="00D771ED" w:rsidRPr="009B6FD5" w:rsidRDefault="00D771ED" w:rsidP="009B6FD5">
      <w:pPr>
        <w:spacing w:line="360" w:lineRule="auto"/>
        <w:ind w:left="567" w:right="567"/>
        <w:contextualSpacing/>
        <w:jc w:val="both"/>
        <w:rPr>
          <w:rFonts w:ascii="Palatino Linotype" w:hAnsi="Palatino Linotype"/>
          <w:sz w:val="22"/>
          <w:lang w:val="es-ES_tradnl" w:eastAsia="es-ES"/>
        </w:rPr>
      </w:pPr>
      <w:r w:rsidRPr="009B6FD5">
        <w:rPr>
          <w:rFonts w:ascii="Palatino Linotype" w:hAnsi="Palatino Linotype"/>
          <w:i/>
          <w:sz w:val="22"/>
        </w:rPr>
        <w:t>(…)</w:t>
      </w:r>
      <w:r w:rsidRPr="009B6FD5">
        <w:rPr>
          <w:rFonts w:ascii="Palatino Linotype" w:hAnsi="Palatino Linotype"/>
          <w:sz w:val="22"/>
          <w:lang w:val="es-ES_tradnl" w:eastAsia="es-ES"/>
        </w:rPr>
        <w:t>”.</w:t>
      </w:r>
    </w:p>
    <w:p w:rsidR="00D771ED" w:rsidRPr="009B6FD5" w:rsidRDefault="00D771ED" w:rsidP="009B6FD5">
      <w:pPr>
        <w:spacing w:line="360" w:lineRule="auto"/>
        <w:ind w:left="567" w:right="567"/>
        <w:contextualSpacing/>
        <w:jc w:val="both"/>
        <w:rPr>
          <w:rFonts w:ascii="Palatino Linotype" w:hAnsi="Palatino Linotype"/>
          <w:b/>
          <w:sz w:val="22"/>
          <w:lang w:val="es-ES_tradnl" w:eastAsia="es-ES"/>
        </w:rPr>
      </w:pPr>
      <w:r w:rsidRPr="009B6FD5">
        <w:rPr>
          <w:rFonts w:ascii="Palatino Linotype" w:hAnsi="Palatino Linotype"/>
          <w:b/>
          <w:i/>
          <w:sz w:val="22"/>
        </w:rPr>
        <w:t>(Énfasis Añadido)</w:t>
      </w:r>
    </w:p>
    <w:p w:rsidR="00D771ED" w:rsidRPr="009B6FD5"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9B6FD5"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D771ED" w:rsidRPr="009B6FD5"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9B6FD5"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Theme="minorEastAsia" w:hAnsi="Palatino Linotype"/>
          <w:lang w:val="es-ES_tradnl" w:eastAsia="es-ES"/>
        </w:rPr>
        <w:t xml:space="preserve">Así, conforme a la Constitución Política de las Estado Unidos Mexicanos </w:t>
      </w:r>
      <w:r w:rsidRPr="009B6FD5">
        <w:rPr>
          <w:rFonts w:ascii="Palatino Linotype" w:eastAsia="Calibri" w:hAnsi="Palatino Linotype"/>
          <w:lang w:val="es-ES_tradnl" w:eastAsia="es-ES"/>
        </w:rPr>
        <w:t>y la Constitución Política del Estado Libre y Soberano de México respectivamente</w:t>
      </w:r>
      <w:r w:rsidRPr="009B6FD5">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D771ED" w:rsidRPr="009B6FD5"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9B6FD5" w:rsidRDefault="00D771ED" w:rsidP="009B6FD5">
      <w:pPr>
        <w:spacing w:line="360" w:lineRule="auto"/>
        <w:ind w:left="567" w:right="567"/>
        <w:jc w:val="center"/>
        <w:rPr>
          <w:rFonts w:ascii="Palatino Linotype" w:eastAsiaTheme="minorEastAsia" w:hAnsi="Palatino Linotype" w:cs="Arial"/>
          <w:b/>
          <w:bCs/>
          <w:i/>
          <w:sz w:val="22"/>
          <w:lang w:val="es-ES_tradnl" w:eastAsia="es-ES"/>
        </w:rPr>
      </w:pPr>
      <w:r w:rsidRPr="009B6FD5">
        <w:rPr>
          <w:rFonts w:ascii="Palatino Linotype" w:eastAsiaTheme="minorEastAsia" w:hAnsi="Palatino Linotype" w:cs="Arial"/>
          <w:b/>
          <w:bCs/>
          <w:i/>
          <w:sz w:val="22"/>
          <w:lang w:val="es-ES_tradnl" w:eastAsia="es-ES"/>
        </w:rPr>
        <w:t>Constitución Política de los Estados Unidos Mexicanos</w:t>
      </w:r>
    </w:p>
    <w:p w:rsidR="00D771ED" w:rsidRPr="009B6FD5" w:rsidRDefault="00D771ED" w:rsidP="009B6FD5">
      <w:pPr>
        <w:spacing w:line="360" w:lineRule="auto"/>
        <w:ind w:left="567" w:right="567"/>
        <w:jc w:val="both"/>
        <w:rPr>
          <w:rFonts w:ascii="Palatino Linotype" w:eastAsiaTheme="minorEastAsia" w:hAnsi="Palatino Linotype" w:cs="Arial"/>
          <w:b/>
          <w:bCs/>
          <w:i/>
          <w:sz w:val="22"/>
          <w:lang w:val="es-ES_tradnl" w:eastAsia="es-ES"/>
        </w:rPr>
      </w:pPr>
      <w:r w:rsidRPr="009B6FD5">
        <w:rPr>
          <w:rFonts w:ascii="Palatino Linotype" w:eastAsiaTheme="minorEastAsia" w:hAnsi="Palatino Linotype" w:cs="Arial"/>
          <w:b/>
          <w:bCs/>
          <w:i/>
          <w:sz w:val="22"/>
          <w:lang w:val="es-ES_tradnl" w:eastAsia="es-ES"/>
        </w:rPr>
        <w:t>“Artículo 6.</w:t>
      </w:r>
      <w:r w:rsidRPr="009B6FD5">
        <w:rPr>
          <w:rFonts w:ascii="Palatino Linotype" w:eastAsiaTheme="minorEastAsia" w:hAnsi="Palatino Linotype" w:cs="Arial"/>
          <w:bCs/>
          <w:i/>
          <w:sz w:val="22"/>
          <w:lang w:val="es-ES_tradnl" w:eastAsia="es-ES"/>
        </w:rPr>
        <w:t xml:space="preserve"> …</w:t>
      </w:r>
    </w:p>
    <w:p w:rsidR="00D771ED" w:rsidRPr="009B6FD5"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9B6FD5">
        <w:rPr>
          <w:rFonts w:ascii="Palatino Linotype" w:eastAsiaTheme="minorEastAsia" w:hAnsi="Palatino Linotype" w:cs="Arial"/>
          <w:bCs/>
          <w:i/>
          <w:sz w:val="22"/>
          <w:lang w:val="es-ES_tradnl" w:eastAsia="es-ES"/>
        </w:rPr>
        <w:t>…</w:t>
      </w:r>
    </w:p>
    <w:p w:rsidR="00D771ED" w:rsidRPr="009B6FD5"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9B6FD5">
        <w:rPr>
          <w:rFonts w:ascii="Palatino Linotype" w:eastAsiaTheme="minorEastAsia" w:hAnsi="Palatino Linotype" w:cs="Arial"/>
          <w:bCs/>
          <w:i/>
          <w:sz w:val="22"/>
          <w:lang w:val="es-ES_tradnl" w:eastAsia="es-ES"/>
        </w:rPr>
        <w:t>Para efectos de lo dispuesto en el presente artículo se observará lo siguiente:</w:t>
      </w:r>
    </w:p>
    <w:p w:rsidR="00D771ED" w:rsidRPr="009B6FD5" w:rsidRDefault="00D771ED" w:rsidP="009B6FD5">
      <w:pPr>
        <w:spacing w:line="360" w:lineRule="auto"/>
        <w:ind w:left="567" w:right="567"/>
        <w:jc w:val="both"/>
        <w:rPr>
          <w:rFonts w:ascii="Palatino Linotype" w:eastAsiaTheme="minorEastAsia" w:hAnsi="Palatino Linotype" w:cs="Arial"/>
          <w:b/>
          <w:bCs/>
          <w:i/>
          <w:sz w:val="22"/>
          <w:lang w:val="es-ES_tradnl" w:eastAsia="es-ES"/>
        </w:rPr>
      </w:pPr>
      <w:r w:rsidRPr="009B6FD5">
        <w:rPr>
          <w:rFonts w:ascii="Palatino Linotype" w:eastAsiaTheme="minorEastAsia" w:hAnsi="Palatino Linotype" w:cs="Arial"/>
          <w:b/>
          <w:bCs/>
          <w:i/>
          <w:sz w:val="22"/>
          <w:lang w:val="es-ES_tradnl" w:eastAsia="es-ES"/>
        </w:rPr>
        <w:t>A</w:t>
      </w:r>
      <w:r w:rsidRPr="009B6FD5">
        <w:rPr>
          <w:rFonts w:ascii="Palatino Linotype" w:eastAsiaTheme="minorEastAsia" w:hAnsi="Palatino Linotype" w:cs="Arial"/>
          <w:bCs/>
          <w:i/>
          <w:sz w:val="22"/>
          <w:lang w:val="es-ES_tradnl" w:eastAsia="es-ES"/>
        </w:rPr>
        <w:t xml:space="preserve">. </w:t>
      </w:r>
      <w:r w:rsidRPr="009B6FD5">
        <w:rPr>
          <w:rFonts w:ascii="Palatino Linotype" w:eastAsiaTheme="minorEastAsia" w:hAnsi="Palatino Linotype" w:cs="Arial"/>
          <w:b/>
          <w:bCs/>
          <w:i/>
          <w:sz w:val="22"/>
          <w:lang w:val="es-ES_tradnl" w:eastAsia="es-ES"/>
        </w:rPr>
        <w:t>Para el ejercicio del derecho de acceso a la información</w:t>
      </w:r>
      <w:r w:rsidRPr="009B6FD5">
        <w:rPr>
          <w:rFonts w:ascii="Palatino Linotype" w:eastAsiaTheme="minorEastAsia" w:hAnsi="Palatino Linotype" w:cs="Arial"/>
          <w:bCs/>
          <w:i/>
          <w:sz w:val="22"/>
          <w:lang w:val="es-ES_tradnl" w:eastAsia="es-ES"/>
        </w:rPr>
        <w:t xml:space="preserve">, la Federación y </w:t>
      </w:r>
      <w:r w:rsidRPr="009B6FD5">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D771ED" w:rsidRPr="009B6FD5"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9B6FD5">
        <w:rPr>
          <w:rFonts w:ascii="Palatino Linotype" w:eastAsiaTheme="minorEastAsia" w:hAnsi="Palatino Linotype" w:cs="Arial"/>
          <w:b/>
          <w:bCs/>
          <w:i/>
          <w:sz w:val="22"/>
          <w:lang w:val="es-ES_tradnl" w:eastAsia="es-ES"/>
        </w:rPr>
        <w:t xml:space="preserve">I. </w:t>
      </w:r>
      <w:r w:rsidRPr="009B6FD5">
        <w:rPr>
          <w:rFonts w:ascii="Palatino Linotype" w:eastAsiaTheme="minorEastAsia" w:hAnsi="Palatino Linotype" w:cs="Arial"/>
          <w:b/>
          <w:bCs/>
          <w:i/>
          <w:sz w:val="22"/>
          <w:lang w:val="es-ES_tradnl" w:eastAsia="es-ES"/>
        </w:rPr>
        <w:tab/>
        <w:t>Toda la información en posesión de cualquier</w:t>
      </w:r>
      <w:r w:rsidRPr="009B6FD5">
        <w:rPr>
          <w:rFonts w:ascii="Palatino Linotype" w:eastAsiaTheme="minorEastAsia" w:hAnsi="Palatino Linotype" w:cs="Arial"/>
          <w:bCs/>
          <w:i/>
          <w:sz w:val="22"/>
          <w:lang w:val="es-ES_tradnl" w:eastAsia="es-ES"/>
        </w:rPr>
        <w:t xml:space="preserve"> </w:t>
      </w:r>
      <w:r w:rsidRPr="009B6FD5">
        <w:rPr>
          <w:rFonts w:ascii="Palatino Linotype" w:eastAsiaTheme="minorEastAsia" w:hAnsi="Palatino Linotype" w:cs="Arial"/>
          <w:b/>
          <w:bCs/>
          <w:i/>
          <w:sz w:val="22"/>
          <w:lang w:val="es-ES_tradnl" w:eastAsia="es-ES"/>
        </w:rPr>
        <w:t>autoridad</w:t>
      </w:r>
      <w:r w:rsidRPr="009B6FD5">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w:t>
      </w:r>
      <w:r w:rsidRPr="009B6FD5">
        <w:rPr>
          <w:rFonts w:ascii="Palatino Linotype" w:eastAsiaTheme="minorEastAsia" w:hAnsi="Palatino Linotype" w:cs="Arial"/>
          <w:bCs/>
          <w:i/>
          <w:sz w:val="22"/>
          <w:lang w:val="es-ES_tradnl" w:eastAsia="es-ES"/>
        </w:rPr>
        <w:lastRenderedPageBreak/>
        <w:t xml:space="preserve">políticos, fideicomisos y fondos públicos, así como de cualquier persona física, moral o sindicato que reciba y ejerza recursos públicos o realice actos de autoridad en el ámbito federal, estatal y </w:t>
      </w:r>
      <w:r w:rsidRPr="009B6FD5">
        <w:rPr>
          <w:rFonts w:ascii="Palatino Linotype" w:eastAsiaTheme="minorEastAsia" w:hAnsi="Palatino Linotype" w:cs="Arial"/>
          <w:b/>
          <w:bCs/>
          <w:i/>
          <w:sz w:val="22"/>
          <w:lang w:val="es-ES_tradnl" w:eastAsia="es-ES"/>
        </w:rPr>
        <w:t>municipal</w:t>
      </w:r>
      <w:r w:rsidRPr="009B6FD5">
        <w:rPr>
          <w:rFonts w:ascii="Palatino Linotype" w:eastAsiaTheme="minorEastAsia" w:hAnsi="Palatino Linotype" w:cs="Arial"/>
          <w:bCs/>
          <w:i/>
          <w:sz w:val="22"/>
          <w:lang w:val="es-ES_tradnl" w:eastAsia="es-ES"/>
        </w:rPr>
        <w:t xml:space="preserve">, </w:t>
      </w:r>
      <w:r w:rsidRPr="009B6FD5">
        <w:rPr>
          <w:rFonts w:ascii="Palatino Linotype" w:eastAsiaTheme="minorEastAsia" w:hAnsi="Palatino Linotype" w:cs="Arial"/>
          <w:b/>
          <w:bCs/>
          <w:i/>
          <w:sz w:val="22"/>
          <w:lang w:val="es-ES_tradnl" w:eastAsia="es-ES"/>
        </w:rPr>
        <w:t>es pública</w:t>
      </w:r>
      <w:r w:rsidRPr="009B6FD5">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9B6FD5">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B6FD5">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D771ED" w:rsidRPr="009B6FD5" w:rsidRDefault="00D771ED" w:rsidP="009B6FD5">
      <w:pPr>
        <w:pStyle w:val="Prrafodelista"/>
        <w:tabs>
          <w:tab w:val="left" w:pos="567"/>
        </w:tabs>
        <w:spacing w:line="360" w:lineRule="auto"/>
        <w:ind w:left="567" w:right="567"/>
        <w:jc w:val="both"/>
        <w:rPr>
          <w:rFonts w:ascii="Palatino Linotype" w:hAnsi="Palatino Linotype" w:cs="Arial"/>
          <w:b/>
          <w:bCs/>
          <w:i/>
        </w:rPr>
      </w:pPr>
      <w:r w:rsidRPr="009B6FD5">
        <w:rPr>
          <w:rFonts w:ascii="Palatino Linotype" w:hAnsi="Palatino Linotype" w:cs="Arial"/>
          <w:b/>
          <w:bCs/>
          <w:i/>
        </w:rPr>
        <w:t>(Énfasis añadido)</w:t>
      </w:r>
    </w:p>
    <w:p w:rsidR="00D771ED" w:rsidRPr="009B6FD5" w:rsidRDefault="00D771ED" w:rsidP="009B6FD5">
      <w:pPr>
        <w:pStyle w:val="Prrafodelista"/>
        <w:tabs>
          <w:tab w:val="left" w:pos="567"/>
        </w:tabs>
        <w:spacing w:line="360" w:lineRule="auto"/>
        <w:ind w:left="567" w:right="567"/>
        <w:jc w:val="both"/>
        <w:rPr>
          <w:rFonts w:ascii="Palatino Linotype" w:hAnsi="Palatino Linotype" w:cs="Arial"/>
          <w:b/>
          <w:bCs/>
          <w:i/>
        </w:rPr>
      </w:pPr>
    </w:p>
    <w:p w:rsidR="00D771ED" w:rsidRPr="009B6FD5" w:rsidRDefault="00D771ED" w:rsidP="009B6FD5">
      <w:pPr>
        <w:spacing w:line="360" w:lineRule="auto"/>
        <w:ind w:left="567" w:right="567"/>
        <w:jc w:val="center"/>
        <w:rPr>
          <w:rFonts w:ascii="Palatino Linotype" w:eastAsiaTheme="minorEastAsia" w:hAnsi="Palatino Linotype" w:cs="Arial"/>
          <w:b/>
          <w:bCs/>
          <w:i/>
          <w:sz w:val="22"/>
          <w:lang w:val="es-ES_tradnl" w:eastAsia="es-ES"/>
        </w:rPr>
      </w:pPr>
      <w:r w:rsidRPr="009B6FD5">
        <w:rPr>
          <w:rFonts w:ascii="Palatino Linotype" w:eastAsiaTheme="minorEastAsia" w:hAnsi="Palatino Linotype" w:cs="Arial"/>
          <w:b/>
          <w:bCs/>
          <w:i/>
          <w:sz w:val="22"/>
          <w:lang w:val="es-ES_tradnl" w:eastAsia="es-ES"/>
        </w:rPr>
        <w:t>Constitución Política del Estado Libre y Soberano de México</w:t>
      </w:r>
    </w:p>
    <w:p w:rsidR="00D771ED" w:rsidRPr="009B6FD5"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9B6FD5">
        <w:rPr>
          <w:rFonts w:ascii="Palatino Linotype" w:eastAsiaTheme="minorEastAsia" w:hAnsi="Palatino Linotype" w:cs="Arial"/>
          <w:b/>
          <w:bCs/>
          <w:i/>
          <w:sz w:val="22"/>
          <w:lang w:val="es-ES_tradnl" w:eastAsia="es-ES"/>
        </w:rPr>
        <w:t>“Artículo 5</w:t>
      </w:r>
      <w:r w:rsidRPr="009B6FD5">
        <w:rPr>
          <w:rFonts w:ascii="Palatino Linotype" w:eastAsiaTheme="minorEastAsia" w:hAnsi="Palatino Linotype" w:cs="Arial"/>
          <w:bCs/>
          <w:i/>
          <w:sz w:val="22"/>
          <w:lang w:val="es-ES_tradnl" w:eastAsia="es-ES"/>
        </w:rPr>
        <w:t>.</w:t>
      </w:r>
      <w:proofErr w:type="gramStart"/>
      <w:r w:rsidRPr="009B6FD5">
        <w:rPr>
          <w:rFonts w:ascii="Palatino Linotype" w:eastAsiaTheme="minorEastAsia" w:hAnsi="Palatino Linotype" w:cs="Arial"/>
          <w:bCs/>
          <w:i/>
          <w:sz w:val="22"/>
          <w:lang w:val="es-ES_tradnl" w:eastAsia="es-ES"/>
        </w:rPr>
        <w:t>- …</w:t>
      </w:r>
      <w:proofErr w:type="gramEnd"/>
    </w:p>
    <w:p w:rsidR="00D771ED" w:rsidRPr="009B6FD5"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9B6FD5">
        <w:rPr>
          <w:rFonts w:ascii="Palatino Linotype" w:eastAsiaTheme="minorEastAsia" w:hAnsi="Palatino Linotype" w:cs="Arial"/>
          <w:bCs/>
          <w:i/>
          <w:sz w:val="22"/>
          <w:lang w:val="es-ES_tradnl" w:eastAsia="es-ES"/>
        </w:rPr>
        <w:t>…</w:t>
      </w:r>
    </w:p>
    <w:p w:rsidR="00D771ED" w:rsidRPr="009B6FD5"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9B6FD5">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9B6FD5">
        <w:rPr>
          <w:rFonts w:ascii="Palatino Linotype" w:eastAsiaTheme="minorEastAsia" w:hAnsi="Palatino Linotype" w:cs="Arial"/>
          <w:bCs/>
          <w:i/>
          <w:sz w:val="22"/>
          <w:lang w:val="es-ES_tradnl" w:eastAsia="es-ES"/>
        </w:rPr>
        <w:t>.</w:t>
      </w:r>
    </w:p>
    <w:p w:rsidR="00D771ED" w:rsidRPr="009B6FD5"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9B6FD5">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771ED" w:rsidRPr="009B6FD5"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9B6FD5">
        <w:rPr>
          <w:rFonts w:ascii="Palatino Linotype" w:eastAsiaTheme="minorEastAsia" w:hAnsi="Palatino Linotype" w:cs="Arial"/>
          <w:b/>
          <w:bCs/>
          <w:i/>
          <w:sz w:val="22"/>
          <w:lang w:val="es-ES_tradnl" w:eastAsia="es-ES"/>
        </w:rPr>
        <w:t>Este derecho se regirá por los principios y bases siguientes</w:t>
      </w:r>
      <w:r w:rsidRPr="009B6FD5">
        <w:rPr>
          <w:rFonts w:ascii="Palatino Linotype" w:eastAsiaTheme="minorEastAsia" w:hAnsi="Palatino Linotype" w:cs="Arial"/>
          <w:bCs/>
          <w:i/>
          <w:sz w:val="22"/>
          <w:lang w:val="es-ES_tradnl" w:eastAsia="es-ES"/>
        </w:rPr>
        <w:t>:</w:t>
      </w:r>
    </w:p>
    <w:p w:rsidR="00D771ED" w:rsidRPr="009B6FD5"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9B6FD5">
        <w:rPr>
          <w:rFonts w:ascii="Palatino Linotype" w:eastAsiaTheme="minorEastAsia" w:hAnsi="Palatino Linotype" w:cs="Arial"/>
          <w:b/>
          <w:bCs/>
          <w:i/>
          <w:sz w:val="22"/>
          <w:lang w:val="es-ES_tradnl" w:eastAsia="es-ES"/>
        </w:rPr>
        <w:t>I. Toda la información en posesión de cualquier autoridad, entidad, órgano y organismos de los</w:t>
      </w:r>
      <w:r w:rsidRPr="009B6FD5">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9B6FD5">
        <w:rPr>
          <w:rFonts w:ascii="Palatino Linotype" w:eastAsiaTheme="minorEastAsia" w:hAnsi="Palatino Linotype" w:cs="Arial"/>
          <w:b/>
          <w:bCs/>
          <w:i/>
          <w:sz w:val="22"/>
          <w:lang w:val="es-ES_tradnl" w:eastAsia="es-ES"/>
        </w:rPr>
        <w:t>municipales</w:t>
      </w:r>
      <w:r w:rsidRPr="009B6FD5">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6FD5">
        <w:rPr>
          <w:rFonts w:ascii="Palatino Linotype" w:eastAsiaTheme="minorEastAsia" w:hAnsi="Palatino Linotype" w:cs="Arial"/>
          <w:b/>
          <w:bCs/>
          <w:i/>
          <w:sz w:val="22"/>
          <w:lang w:val="es-ES_tradnl" w:eastAsia="es-ES"/>
        </w:rPr>
        <w:t>es pública</w:t>
      </w:r>
      <w:r w:rsidRPr="009B6FD5">
        <w:rPr>
          <w:rFonts w:ascii="Palatino Linotype" w:eastAsiaTheme="minorEastAsia" w:hAnsi="Palatino Linotype" w:cs="Arial"/>
          <w:bCs/>
          <w:i/>
          <w:sz w:val="22"/>
          <w:lang w:val="es-ES_tradnl" w:eastAsia="es-ES"/>
        </w:rPr>
        <w:t xml:space="preserve"> y sólo podrá ser </w:t>
      </w:r>
      <w:r w:rsidRPr="009B6FD5">
        <w:rPr>
          <w:rFonts w:ascii="Palatino Linotype" w:eastAsiaTheme="minorEastAsia" w:hAnsi="Palatino Linotype" w:cs="Arial"/>
          <w:bCs/>
          <w:i/>
          <w:sz w:val="22"/>
          <w:lang w:val="es-ES_tradnl" w:eastAsia="es-ES"/>
        </w:rPr>
        <w:lastRenderedPageBreak/>
        <w:t xml:space="preserve">reservada temporalmente por razones previstas en la Constitución Política de los Estados Unidos Mexicanos de interés público y seguridad, en los términos que fijen las leyes. </w:t>
      </w:r>
      <w:r w:rsidRPr="009B6FD5">
        <w:rPr>
          <w:rFonts w:ascii="Palatino Linotype" w:eastAsiaTheme="minorEastAsia" w:hAnsi="Palatino Linotype" w:cs="Arial"/>
          <w:b/>
          <w:bCs/>
          <w:i/>
          <w:sz w:val="22"/>
          <w:lang w:val="es-ES_tradnl" w:eastAsia="es-ES"/>
        </w:rPr>
        <w:t>En la interpretación de este derecho deberá prevalecer el principio de máxima publicidad</w:t>
      </w:r>
      <w:r w:rsidRPr="009B6FD5">
        <w:rPr>
          <w:rFonts w:ascii="Palatino Linotype" w:eastAsiaTheme="minorEastAsia" w:hAnsi="Palatino Linotype" w:cs="Arial"/>
          <w:bCs/>
          <w:i/>
          <w:sz w:val="22"/>
          <w:lang w:val="es-ES_tradnl" w:eastAsia="es-ES"/>
        </w:rPr>
        <w:t xml:space="preserve">. </w:t>
      </w:r>
      <w:r w:rsidRPr="009B6FD5">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9B6FD5">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D771ED" w:rsidRPr="009B6FD5" w:rsidRDefault="00D771ED" w:rsidP="009B6FD5">
      <w:pPr>
        <w:pStyle w:val="Prrafodelista"/>
        <w:tabs>
          <w:tab w:val="left" w:pos="567"/>
        </w:tabs>
        <w:spacing w:line="360" w:lineRule="auto"/>
        <w:ind w:left="567" w:right="567"/>
        <w:jc w:val="both"/>
        <w:rPr>
          <w:rFonts w:ascii="Palatino Linotype" w:hAnsi="Palatino Linotype" w:cs="Arial"/>
          <w:b/>
          <w:bCs/>
          <w:i/>
        </w:rPr>
      </w:pPr>
      <w:r w:rsidRPr="009B6FD5">
        <w:rPr>
          <w:rFonts w:ascii="Palatino Linotype" w:hAnsi="Palatino Linotype" w:cs="Arial"/>
          <w:b/>
          <w:bCs/>
          <w:i/>
        </w:rPr>
        <w:t>(Énfasis añadido)</w:t>
      </w:r>
    </w:p>
    <w:p w:rsidR="00D771ED" w:rsidRPr="009B6FD5"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9B6FD5"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9B6FD5">
        <w:rPr>
          <w:rFonts w:ascii="Palatino Linotype" w:eastAsiaTheme="minorEastAsia" w:hAnsi="Palatino Linotype" w:cs="Arial"/>
          <w:i/>
          <w:lang w:val="es-ES_tradnl" w:eastAsia="es-ES"/>
        </w:rPr>
        <w:t>por los principios de simplicidad, rapidez gratuidad del procedimiento, auxilio y orientación a los particulares</w:t>
      </w:r>
      <w:r w:rsidRPr="009B6FD5">
        <w:rPr>
          <w:rFonts w:ascii="Palatino Linotype" w:eastAsiaTheme="minorEastAsia" w:hAnsi="Palatino Linotype" w:cs="Arial"/>
          <w:lang w:val="es-ES_tradnl" w:eastAsia="es-ES"/>
        </w:rPr>
        <w:t>, contemplando el derecho de las personas con discapacidad y hablantes de lengua indígena.</w:t>
      </w:r>
    </w:p>
    <w:p w:rsidR="00D771ED" w:rsidRPr="009B6FD5"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9B6FD5"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9B6FD5">
        <w:rPr>
          <w:rFonts w:ascii="Palatino Linotype" w:eastAsiaTheme="minorEastAsia" w:hAnsi="Palatino Linotype" w:cs="Arial"/>
          <w:i/>
          <w:lang w:val="es-ES_tradnl" w:eastAsia="es-ES"/>
        </w:rPr>
        <w:t>solicitudes de acceso a la información</w:t>
      </w:r>
      <w:r w:rsidRPr="009B6FD5">
        <w:rPr>
          <w:rFonts w:ascii="Palatino Linotype" w:eastAsiaTheme="minorEastAsia" w:hAnsi="Palatino Linotype" w:cs="Arial"/>
          <w:lang w:val="es-ES_tradnl" w:eastAsia="es-ES"/>
        </w:rPr>
        <w:t>.</w:t>
      </w:r>
    </w:p>
    <w:p w:rsidR="00D771ED" w:rsidRPr="009B6FD5"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9B6FD5"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6D15E0" w:rsidRPr="009B6FD5" w:rsidRDefault="006D15E0" w:rsidP="009B6FD5">
      <w:pPr>
        <w:spacing w:line="360" w:lineRule="auto"/>
        <w:ind w:right="49"/>
        <w:contextualSpacing/>
        <w:jc w:val="both"/>
        <w:rPr>
          <w:rFonts w:ascii="Palatino Linotype" w:eastAsiaTheme="minorEastAsia" w:hAnsi="Palatino Linotype" w:cs="Arial"/>
          <w:lang w:val="es-ES_tradnl" w:eastAsia="es-ES"/>
        </w:rPr>
      </w:pPr>
    </w:p>
    <w:p w:rsidR="006D15E0" w:rsidRPr="009B6FD5" w:rsidRDefault="00D64AFE" w:rsidP="009B6FD5">
      <w:pPr>
        <w:pStyle w:val="Ttulo1"/>
        <w:spacing w:before="0" w:line="360" w:lineRule="auto"/>
        <w:rPr>
          <w:rFonts w:ascii="Palatino Linotype" w:eastAsiaTheme="minorEastAsia" w:hAnsi="Palatino Linotype"/>
          <w:b/>
          <w:lang w:eastAsia="es-ES"/>
        </w:rPr>
      </w:pPr>
      <w:bookmarkStart w:id="22" w:name="_Toc83301640"/>
      <w:r w:rsidRPr="009B6FD5">
        <w:rPr>
          <w:rFonts w:ascii="Palatino Linotype" w:eastAsiaTheme="minorEastAsia" w:hAnsi="Palatino Linotype"/>
          <w:b/>
          <w:color w:val="auto"/>
          <w:sz w:val="24"/>
          <w:lang w:eastAsia="es-ES"/>
        </w:rPr>
        <w:lastRenderedPageBreak/>
        <w:t xml:space="preserve">II. </w:t>
      </w:r>
      <w:r w:rsidR="006D15E0" w:rsidRPr="009B6FD5">
        <w:rPr>
          <w:rFonts w:ascii="Palatino Linotype" w:eastAsiaTheme="minorEastAsia" w:hAnsi="Palatino Linotype"/>
          <w:b/>
          <w:color w:val="auto"/>
          <w:sz w:val="24"/>
          <w:lang w:eastAsia="es-ES"/>
        </w:rPr>
        <w:t>De la Suplencia de la queja</w:t>
      </w:r>
      <w:bookmarkEnd w:id="22"/>
    </w:p>
    <w:p w:rsidR="006D15E0" w:rsidRPr="009B6FD5" w:rsidRDefault="00D64AFE" w:rsidP="009B6FD5">
      <w:pPr>
        <w:tabs>
          <w:tab w:val="left" w:pos="1190"/>
        </w:tabs>
        <w:spacing w:line="360" w:lineRule="auto"/>
        <w:ind w:right="49"/>
        <w:contextualSpacing/>
        <w:jc w:val="both"/>
        <w:rPr>
          <w:rFonts w:ascii="Palatino Linotype" w:eastAsiaTheme="minorEastAsia" w:hAnsi="Palatino Linotype"/>
          <w:lang w:val="es-ES_tradnl" w:eastAsia="es-ES"/>
        </w:rPr>
      </w:pPr>
      <w:r w:rsidRPr="009B6FD5">
        <w:rPr>
          <w:rFonts w:ascii="Palatino Linotype" w:eastAsiaTheme="minorEastAsia" w:hAnsi="Palatino Linotype"/>
          <w:lang w:val="es-ES_tradnl" w:eastAsia="es-ES"/>
        </w:rPr>
        <w:tab/>
      </w:r>
    </w:p>
    <w:p w:rsidR="002030FA" w:rsidRPr="009B6FD5" w:rsidRDefault="002030FA" w:rsidP="009B6FD5">
      <w:pPr>
        <w:pStyle w:val="Prrafodelista"/>
        <w:numPr>
          <w:ilvl w:val="0"/>
          <w:numId w:val="1"/>
        </w:numPr>
        <w:spacing w:line="360" w:lineRule="auto"/>
        <w:ind w:left="0" w:firstLine="0"/>
        <w:jc w:val="both"/>
        <w:rPr>
          <w:rFonts w:ascii="Palatino Linotype" w:hAnsi="Palatino Linotype"/>
          <w:sz w:val="24"/>
          <w:lang w:val="es-ES"/>
        </w:rPr>
      </w:pPr>
      <w:r w:rsidRPr="009B6FD5">
        <w:rPr>
          <w:rFonts w:ascii="Palatino Linotype" w:hAnsi="Palatino Linotype"/>
          <w:sz w:val="24"/>
          <w:lang w:val="es-ES"/>
        </w:rPr>
        <w:t>Primeramente es importante señalar,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0D3605" w:rsidRPr="009B6FD5" w:rsidRDefault="000D3605" w:rsidP="009B6FD5">
      <w:pPr>
        <w:pStyle w:val="Prrafodelista"/>
        <w:spacing w:line="360" w:lineRule="auto"/>
        <w:ind w:left="0"/>
        <w:jc w:val="both"/>
        <w:rPr>
          <w:rFonts w:ascii="Palatino Linotype" w:hAnsi="Palatino Linotype"/>
          <w:sz w:val="24"/>
          <w:lang w:val="es-ES"/>
        </w:rPr>
      </w:pPr>
    </w:p>
    <w:p w:rsidR="002030FA" w:rsidRPr="009B6FD5" w:rsidRDefault="002030FA" w:rsidP="009B6FD5">
      <w:pPr>
        <w:pStyle w:val="Prrafodelista"/>
        <w:numPr>
          <w:ilvl w:val="0"/>
          <w:numId w:val="1"/>
        </w:numPr>
        <w:spacing w:line="360" w:lineRule="auto"/>
        <w:ind w:left="0" w:firstLine="0"/>
        <w:jc w:val="both"/>
        <w:rPr>
          <w:rFonts w:ascii="Palatino Linotype" w:hAnsi="Palatino Linotype"/>
          <w:sz w:val="24"/>
          <w:lang w:val="es-ES"/>
        </w:rPr>
      </w:pPr>
      <w:r w:rsidRPr="009B6FD5">
        <w:rPr>
          <w:rFonts w:ascii="Palatino Linotype" w:hAnsi="Palatino Linotype"/>
          <w:sz w:val="24"/>
          <w:lang w:val="es-ES"/>
        </w:rPr>
        <w:t xml:space="preserve">Consecuentemente, debemos mencionar que el artículo 159 de la Ley de Transparencia y Acceso a la Información Pública del Estado de México y Municipios establece que cuando los detalles proporcionados </w:t>
      </w:r>
      <w:r w:rsidRPr="009B6FD5">
        <w:rPr>
          <w:rFonts w:ascii="Palatino Linotype" w:hAnsi="Palatino Linotype"/>
          <w:sz w:val="24"/>
        </w:rPr>
        <w:t>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rsidR="000D3605" w:rsidRPr="009B6FD5" w:rsidRDefault="000D3605" w:rsidP="009B6FD5">
      <w:pPr>
        <w:pStyle w:val="Prrafodelista"/>
        <w:spacing w:line="360" w:lineRule="auto"/>
        <w:ind w:left="0"/>
        <w:jc w:val="both"/>
        <w:rPr>
          <w:rFonts w:ascii="Palatino Linotype" w:hAnsi="Palatino Linotype"/>
          <w:sz w:val="24"/>
          <w:lang w:val="es-ES"/>
        </w:rPr>
      </w:pPr>
    </w:p>
    <w:p w:rsidR="002030FA" w:rsidRPr="009B6FD5" w:rsidRDefault="000D3605" w:rsidP="009B6FD5">
      <w:pPr>
        <w:pStyle w:val="Prrafodelista"/>
        <w:numPr>
          <w:ilvl w:val="0"/>
          <w:numId w:val="1"/>
        </w:numPr>
        <w:spacing w:line="360" w:lineRule="auto"/>
        <w:ind w:left="0" w:firstLine="0"/>
        <w:jc w:val="both"/>
        <w:rPr>
          <w:rFonts w:ascii="Palatino Linotype" w:hAnsi="Palatino Linotype"/>
          <w:sz w:val="24"/>
          <w:lang w:val="es-ES"/>
        </w:rPr>
      </w:pPr>
      <w:r w:rsidRPr="009B6FD5">
        <w:rPr>
          <w:rFonts w:ascii="Palatino Linotype" w:hAnsi="Palatino Linotype"/>
          <w:sz w:val="24"/>
        </w:rPr>
        <w:t>En este caso, el Sujeto Obligado no realizó alguna solicitud de aclaración al particular, solo se limitó a manifestar que no se asignaban cuantas prediales; cabe señalar que los particulares no son expertos en conocer la terminología o en su caso los documentos en los que podría constar la información a la que quieren acceder, por tal razón, el Sujeto Obligado, en aras de garantizar el Derecho de Acceso a la Información Pública, pudo solicitar al particular una aclaración.</w:t>
      </w:r>
    </w:p>
    <w:p w:rsidR="000F0B2D" w:rsidRPr="009B6FD5" w:rsidRDefault="000D3605" w:rsidP="009B6FD5">
      <w:pPr>
        <w:pStyle w:val="Prrafodelista"/>
        <w:numPr>
          <w:ilvl w:val="0"/>
          <w:numId w:val="1"/>
        </w:numPr>
        <w:tabs>
          <w:tab w:val="left" w:pos="426"/>
        </w:tabs>
        <w:spacing w:line="360" w:lineRule="auto"/>
        <w:ind w:left="0" w:right="49" w:firstLine="0"/>
        <w:jc w:val="both"/>
        <w:rPr>
          <w:rFonts w:ascii="Palatino Linotype" w:hAnsi="Palatino Linotype"/>
          <w:sz w:val="24"/>
          <w:lang w:val="es-ES"/>
        </w:rPr>
      </w:pPr>
      <w:r w:rsidRPr="009B6FD5">
        <w:rPr>
          <w:rFonts w:ascii="Palatino Linotype" w:hAnsi="Palatino Linotype"/>
          <w:sz w:val="24"/>
          <w:lang w:val="es-ES"/>
        </w:rPr>
        <w:lastRenderedPageBreak/>
        <w:t>Ahora bien</w:t>
      </w:r>
      <w:r w:rsidR="00697765" w:rsidRPr="009B6FD5">
        <w:rPr>
          <w:rFonts w:ascii="Palatino Linotype" w:hAnsi="Palatino Linotype"/>
          <w:sz w:val="24"/>
          <w:lang w:val="es-ES"/>
        </w:rPr>
        <w:t xml:space="preserve">, </w:t>
      </w:r>
      <w:r w:rsidR="00B773D9" w:rsidRPr="009B6FD5">
        <w:rPr>
          <w:rFonts w:ascii="Palatino Linotype" w:hAnsi="Palatino Linotype"/>
          <w:sz w:val="24"/>
          <w:lang w:val="es-ES"/>
        </w:rPr>
        <w:t xml:space="preserve">tenemos que señalar que el particular solicito información sobre cuentas predial; sin embargo, de la búsqueda en las Legislaciones aplicables, cabe destacar </w:t>
      </w:r>
      <w:r w:rsidR="000F0B2D" w:rsidRPr="009B6FD5">
        <w:rPr>
          <w:rFonts w:ascii="Palatino Linotype" w:hAnsi="Palatino Linotype"/>
          <w:sz w:val="24"/>
          <w:lang w:val="es-ES"/>
        </w:rPr>
        <w:t xml:space="preserve">que no se contempla la figura </w:t>
      </w:r>
      <w:r w:rsidR="00712860" w:rsidRPr="009B6FD5">
        <w:rPr>
          <w:rFonts w:ascii="Palatino Linotype" w:hAnsi="Palatino Linotype"/>
          <w:sz w:val="24"/>
          <w:lang w:val="es-ES"/>
        </w:rPr>
        <w:t>antes referida</w:t>
      </w:r>
      <w:r w:rsidR="00A63369" w:rsidRPr="009B6FD5">
        <w:rPr>
          <w:rFonts w:ascii="Palatino Linotype" w:hAnsi="Palatino Linotype"/>
          <w:sz w:val="24"/>
          <w:lang w:val="es-ES"/>
        </w:rPr>
        <w:t xml:space="preserve">. </w:t>
      </w:r>
    </w:p>
    <w:p w:rsidR="000F0B2D" w:rsidRPr="009B6FD5" w:rsidRDefault="000F0B2D" w:rsidP="009B6FD5">
      <w:pPr>
        <w:pStyle w:val="Prrafodelista"/>
        <w:tabs>
          <w:tab w:val="left" w:pos="426"/>
        </w:tabs>
        <w:spacing w:line="360" w:lineRule="auto"/>
        <w:ind w:left="0" w:right="49"/>
        <w:jc w:val="both"/>
        <w:rPr>
          <w:rFonts w:ascii="Palatino Linotype" w:hAnsi="Palatino Linotype"/>
          <w:sz w:val="24"/>
          <w:lang w:val="es-ES"/>
        </w:rPr>
      </w:pPr>
    </w:p>
    <w:p w:rsidR="00697765" w:rsidRPr="009B6FD5" w:rsidRDefault="000D3605" w:rsidP="009B6FD5">
      <w:pPr>
        <w:pStyle w:val="Prrafodelista"/>
        <w:numPr>
          <w:ilvl w:val="0"/>
          <w:numId w:val="1"/>
        </w:numPr>
        <w:tabs>
          <w:tab w:val="left" w:pos="426"/>
        </w:tabs>
        <w:spacing w:line="360" w:lineRule="auto"/>
        <w:ind w:left="0" w:right="49" w:firstLine="0"/>
        <w:jc w:val="both"/>
        <w:rPr>
          <w:rFonts w:ascii="Palatino Linotype" w:hAnsi="Palatino Linotype"/>
          <w:sz w:val="24"/>
          <w:lang w:val="es-ES"/>
        </w:rPr>
      </w:pPr>
      <w:r w:rsidRPr="009B6FD5">
        <w:rPr>
          <w:rFonts w:ascii="Palatino Linotype" w:hAnsi="Palatino Linotype"/>
          <w:sz w:val="24"/>
          <w:lang w:val="es-ES"/>
        </w:rPr>
        <w:t>En ese contexto, de</w:t>
      </w:r>
      <w:r w:rsidR="00A63369" w:rsidRPr="009B6FD5">
        <w:rPr>
          <w:rFonts w:ascii="Palatino Linotype" w:hAnsi="Palatino Linotype"/>
          <w:sz w:val="24"/>
          <w:lang w:val="es-ES"/>
        </w:rPr>
        <w:t xml:space="preserve"> acuerdo al artículo 107 del Código Financiero del Estado de México y Municipios, están obligadas al pago del impuesto predial las personas físicas y jurídicas colectivas que sean propietarias o poseedoras, según se trate, de inmuebles en el Estado.</w:t>
      </w:r>
      <w:r w:rsidR="003D14CF" w:rsidRPr="009B6FD5">
        <w:rPr>
          <w:rFonts w:ascii="Palatino Linotype" w:hAnsi="Palatino Linotype"/>
          <w:sz w:val="24"/>
          <w:lang w:val="es-ES"/>
        </w:rPr>
        <w:t xml:space="preserve"> En esta caso, como lo refiere la legislación, el predial es un impuesto que se debe pagar al ser propietaria o poseedora de un inmueble.</w:t>
      </w:r>
    </w:p>
    <w:p w:rsidR="000D3605" w:rsidRPr="009B6FD5" w:rsidRDefault="000D3605" w:rsidP="009B6FD5">
      <w:pPr>
        <w:pStyle w:val="Prrafodelista"/>
        <w:tabs>
          <w:tab w:val="left" w:pos="426"/>
        </w:tabs>
        <w:spacing w:line="360" w:lineRule="auto"/>
        <w:ind w:left="0" w:right="49"/>
        <w:jc w:val="both"/>
        <w:rPr>
          <w:rFonts w:ascii="Palatino Linotype" w:hAnsi="Palatino Linotype"/>
          <w:sz w:val="24"/>
          <w:lang w:val="es-ES"/>
        </w:rPr>
      </w:pPr>
    </w:p>
    <w:p w:rsidR="009177B0" w:rsidRPr="009B6FD5" w:rsidRDefault="003D14CF" w:rsidP="009B6FD5">
      <w:pPr>
        <w:pStyle w:val="Prrafodelista"/>
        <w:numPr>
          <w:ilvl w:val="0"/>
          <w:numId w:val="1"/>
        </w:numPr>
        <w:tabs>
          <w:tab w:val="left" w:pos="426"/>
        </w:tabs>
        <w:spacing w:line="360" w:lineRule="auto"/>
        <w:ind w:left="0" w:right="49" w:firstLine="0"/>
        <w:jc w:val="both"/>
        <w:rPr>
          <w:rFonts w:ascii="Palatino Linotype" w:hAnsi="Palatino Linotype"/>
          <w:sz w:val="24"/>
          <w:lang w:val="es-ES"/>
        </w:rPr>
      </w:pPr>
      <w:r w:rsidRPr="009B6FD5">
        <w:rPr>
          <w:rFonts w:ascii="Palatino Linotype" w:hAnsi="Palatino Linotype"/>
          <w:sz w:val="24"/>
        </w:rPr>
        <w:t>Por lo tanto, n</w:t>
      </w:r>
      <w:r w:rsidR="009177B0" w:rsidRPr="009B6FD5">
        <w:rPr>
          <w:rFonts w:ascii="Palatino Linotype" w:hAnsi="Palatino Linotype"/>
          <w:sz w:val="24"/>
        </w:rPr>
        <w:t>o debe perderse la oportunidad de manifestar que los particulares no necesitan ser especialistas en derecho, mucho menos en terminologías para accionar su derecho de acceso a la información; más aún cuando este Órgano Garante tiene las atribuciones de suplir cualquier deficiencia en pro de garantizar el acceso a la información; ello de conformidad con la Ley de Transparencia y Acceso a la Información, la cual, dentro de sus numerales 13 y 181 dictan lo siguiente:</w:t>
      </w:r>
    </w:p>
    <w:p w:rsidR="009177B0" w:rsidRPr="009B6FD5" w:rsidRDefault="009177B0" w:rsidP="009B6FD5">
      <w:pPr>
        <w:pStyle w:val="Prrafodelista"/>
        <w:tabs>
          <w:tab w:val="left" w:pos="426"/>
        </w:tabs>
        <w:spacing w:line="360" w:lineRule="auto"/>
        <w:ind w:left="0" w:right="49"/>
        <w:jc w:val="both"/>
        <w:rPr>
          <w:rFonts w:ascii="Palatino Linotype" w:hAnsi="Palatino Linotype"/>
          <w:sz w:val="18"/>
          <w:lang w:val="es-ES"/>
        </w:rPr>
      </w:pPr>
    </w:p>
    <w:p w:rsidR="009177B0" w:rsidRPr="009B6FD5" w:rsidRDefault="009177B0" w:rsidP="009B6FD5">
      <w:pPr>
        <w:pStyle w:val="Prrafodelista"/>
        <w:tabs>
          <w:tab w:val="left" w:pos="142"/>
          <w:tab w:val="left" w:pos="284"/>
          <w:tab w:val="left" w:pos="426"/>
        </w:tabs>
        <w:spacing w:line="360" w:lineRule="auto"/>
        <w:ind w:left="567" w:right="567"/>
        <w:jc w:val="both"/>
        <w:rPr>
          <w:rFonts w:ascii="Palatino Linotype" w:hAnsi="Palatino Linotype"/>
          <w:i/>
        </w:rPr>
      </w:pPr>
      <w:r w:rsidRPr="009B6FD5">
        <w:rPr>
          <w:rFonts w:ascii="Palatino Linotype" w:hAnsi="Palatino Linotype"/>
          <w:i/>
        </w:rPr>
        <w:t>“</w:t>
      </w:r>
      <w:r w:rsidRPr="009B6FD5">
        <w:rPr>
          <w:rFonts w:ascii="Palatino Linotype" w:hAnsi="Palatino Linotype"/>
          <w:b/>
          <w:i/>
        </w:rPr>
        <w:t>Artículo 13.</w:t>
      </w:r>
      <w:r w:rsidRPr="009B6FD5">
        <w:rPr>
          <w:rFonts w:ascii="Palatino Linotype" w:hAnsi="Palatino Linotype"/>
          <w:i/>
        </w:rPr>
        <w:t xml:space="preserve"> El Instituto, en el ámbito de sus atribuciones, </w:t>
      </w:r>
      <w:r w:rsidRPr="009B6FD5">
        <w:rPr>
          <w:rFonts w:ascii="Palatino Linotype" w:hAnsi="Palatino Linotype"/>
          <w:b/>
          <w:i/>
        </w:rPr>
        <w:t>deberá suplir cualquier deficiencia para garantizar el ejercicio del derecho de acceso a la información</w:t>
      </w:r>
      <w:r w:rsidRPr="009B6FD5">
        <w:rPr>
          <w:rFonts w:ascii="Palatino Linotype" w:hAnsi="Palatino Linotype"/>
          <w:i/>
        </w:rPr>
        <w:t>.</w:t>
      </w:r>
    </w:p>
    <w:p w:rsidR="009177B0" w:rsidRPr="009B6FD5" w:rsidRDefault="009177B0" w:rsidP="009B6FD5">
      <w:pPr>
        <w:pStyle w:val="Prrafodelista"/>
        <w:tabs>
          <w:tab w:val="left" w:pos="142"/>
          <w:tab w:val="left" w:pos="284"/>
          <w:tab w:val="left" w:pos="426"/>
        </w:tabs>
        <w:spacing w:line="360" w:lineRule="auto"/>
        <w:ind w:left="567" w:right="567"/>
        <w:jc w:val="both"/>
        <w:rPr>
          <w:rFonts w:ascii="Palatino Linotype" w:hAnsi="Palatino Linotype"/>
          <w:i/>
          <w:sz w:val="8"/>
        </w:rPr>
      </w:pPr>
    </w:p>
    <w:p w:rsidR="009177B0" w:rsidRPr="009B6FD5" w:rsidRDefault="009177B0" w:rsidP="009B6FD5">
      <w:pPr>
        <w:pStyle w:val="Prrafodelista"/>
        <w:tabs>
          <w:tab w:val="left" w:pos="142"/>
          <w:tab w:val="left" w:pos="284"/>
          <w:tab w:val="left" w:pos="426"/>
        </w:tabs>
        <w:spacing w:line="360" w:lineRule="auto"/>
        <w:ind w:left="567" w:right="567"/>
        <w:jc w:val="both"/>
        <w:rPr>
          <w:rFonts w:ascii="Palatino Linotype" w:hAnsi="Palatino Linotype"/>
          <w:i/>
        </w:rPr>
      </w:pPr>
      <w:r w:rsidRPr="009B6FD5">
        <w:rPr>
          <w:rFonts w:ascii="Palatino Linotype" w:hAnsi="Palatino Linotype"/>
          <w:b/>
          <w:i/>
        </w:rPr>
        <w:t>Artículo 181</w:t>
      </w:r>
      <w:r w:rsidRPr="009B6FD5">
        <w:rPr>
          <w:rFonts w:ascii="Palatino Linotype" w:hAnsi="Palatino Linotype"/>
          <w:i/>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w:t>
      </w:r>
      <w:r w:rsidRPr="009B6FD5">
        <w:rPr>
          <w:rFonts w:ascii="Palatino Linotype" w:hAnsi="Palatino Linotype"/>
          <w:i/>
        </w:rPr>
        <w:lastRenderedPageBreak/>
        <w:t xml:space="preserve">notificación de la prevención, con el apercibimiento de que, de no cumplir, se desechará el recurso de revisión. </w:t>
      </w:r>
    </w:p>
    <w:p w:rsidR="009177B0" w:rsidRPr="009B6FD5" w:rsidRDefault="009177B0" w:rsidP="009B6FD5">
      <w:pPr>
        <w:pStyle w:val="Prrafodelista"/>
        <w:tabs>
          <w:tab w:val="left" w:pos="142"/>
          <w:tab w:val="left" w:pos="284"/>
          <w:tab w:val="left" w:pos="426"/>
        </w:tabs>
        <w:spacing w:line="360" w:lineRule="auto"/>
        <w:ind w:left="567" w:right="567"/>
        <w:jc w:val="both"/>
        <w:rPr>
          <w:rFonts w:ascii="Palatino Linotype" w:hAnsi="Palatino Linotype"/>
          <w:i/>
        </w:rPr>
      </w:pPr>
      <w:r w:rsidRPr="009B6FD5">
        <w:rPr>
          <w:rFonts w:ascii="Palatino Linotype" w:hAnsi="Palatino Linotype"/>
          <w:i/>
        </w:rPr>
        <w:t>(…)</w:t>
      </w:r>
    </w:p>
    <w:p w:rsidR="009177B0" w:rsidRPr="009B6FD5" w:rsidRDefault="009177B0" w:rsidP="009B6FD5">
      <w:pPr>
        <w:pStyle w:val="Prrafodelista"/>
        <w:tabs>
          <w:tab w:val="left" w:pos="142"/>
          <w:tab w:val="left" w:pos="284"/>
          <w:tab w:val="left" w:pos="426"/>
        </w:tabs>
        <w:spacing w:line="360" w:lineRule="auto"/>
        <w:ind w:left="567" w:right="567"/>
        <w:jc w:val="both"/>
        <w:rPr>
          <w:rFonts w:ascii="Palatino Linotype" w:hAnsi="Palatino Linotype"/>
          <w:i/>
        </w:rPr>
      </w:pPr>
      <w:r w:rsidRPr="009B6FD5">
        <w:rPr>
          <w:rFonts w:ascii="Palatino Linotype" w:hAnsi="Palatino Linotype"/>
          <w:b/>
          <w:i/>
        </w:rPr>
        <w:t>Durante el procedimiento deberá aplicarse la suplencia de la queja a favor del recurrente, sin cambiar los hechos expuestos</w:t>
      </w:r>
      <w:r w:rsidRPr="009B6FD5">
        <w:rPr>
          <w:rFonts w:ascii="Palatino Linotype" w:hAnsi="Palatino Linotype"/>
          <w:i/>
        </w:rPr>
        <w:t>, asegurándose de que las partes puedan presentar, de manera oral o escrita, los argumentos que funden y motiven sus pretensiones.</w:t>
      </w:r>
    </w:p>
    <w:p w:rsidR="009177B0" w:rsidRPr="009B6FD5" w:rsidRDefault="009177B0" w:rsidP="009B6FD5">
      <w:pPr>
        <w:pStyle w:val="Prrafodelista"/>
        <w:tabs>
          <w:tab w:val="left" w:pos="142"/>
          <w:tab w:val="left" w:pos="284"/>
          <w:tab w:val="left" w:pos="426"/>
        </w:tabs>
        <w:spacing w:line="360" w:lineRule="auto"/>
        <w:ind w:left="567" w:right="567"/>
        <w:jc w:val="both"/>
        <w:rPr>
          <w:rFonts w:ascii="Palatino Linotype" w:hAnsi="Palatino Linotype"/>
          <w:i/>
        </w:rPr>
      </w:pPr>
      <w:r w:rsidRPr="009B6FD5">
        <w:rPr>
          <w:rFonts w:ascii="Palatino Linotype" w:hAnsi="Palatino Linotype"/>
          <w:i/>
        </w:rPr>
        <w:t>(…)”</w:t>
      </w:r>
    </w:p>
    <w:p w:rsidR="009177B0" w:rsidRPr="009B6FD5" w:rsidRDefault="009177B0" w:rsidP="009B6FD5">
      <w:pPr>
        <w:pStyle w:val="Prrafodelista"/>
        <w:tabs>
          <w:tab w:val="left" w:pos="142"/>
          <w:tab w:val="left" w:pos="284"/>
          <w:tab w:val="left" w:pos="426"/>
        </w:tabs>
        <w:spacing w:line="360" w:lineRule="auto"/>
        <w:ind w:left="567" w:right="567"/>
        <w:jc w:val="both"/>
        <w:rPr>
          <w:rFonts w:ascii="Palatino Linotype" w:hAnsi="Palatino Linotype"/>
        </w:rPr>
      </w:pPr>
      <w:r w:rsidRPr="009B6FD5">
        <w:rPr>
          <w:rFonts w:ascii="Palatino Linotype" w:hAnsi="Palatino Linotype"/>
        </w:rPr>
        <w:t>(Énfasis añadido)</w:t>
      </w:r>
    </w:p>
    <w:p w:rsidR="009177B0" w:rsidRPr="009B6FD5" w:rsidRDefault="009177B0" w:rsidP="009B6FD5">
      <w:pPr>
        <w:tabs>
          <w:tab w:val="left" w:pos="142"/>
          <w:tab w:val="left" w:pos="284"/>
          <w:tab w:val="left" w:pos="426"/>
        </w:tabs>
        <w:spacing w:line="360" w:lineRule="auto"/>
        <w:ind w:right="567"/>
        <w:jc w:val="both"/>
        <w:rPr>
          <w:rFonts w:ascii="Palatino Linotype" w:hAnsi="Palatino Linotype"/>
          <w:lang w:val="es-ES"/>
        </w:rPr>
      </w:pPr>
    </w:p>
    <w:p w:rsidR="009177B0" w:rsidRPr="009B6FD5" w:rsidRDefault="009177B0" w:rsidP="009B6FD5">
      <w:pPr>
        <w:pStyle w:val="Prrafodelista"/>
        <w:numPr>
          <w:ilvl w:val="0"/>
          <w:numId w:val="1"/>
        </w:numPr>
        <w:tabs>
          <w:tab w:val="left" w:pos="426"/>
        </w:tabs>
        <w:spacing w:line="360" w:lineRule="auto"/>
        <w:ind w:left="0" w:right="49" w:firstLine="0"/>
        <w:jc w:val="both"/>
        <w:rPr>
          <w:rFonts w:ascii="Palatino Linotype" w:hAnsi="Palatino Linotype"/>
          <w:sz w:val="24"/>
          <w:lang w:val="es-ES"/>
        </w:rPr>
      </w:pPr>
      <w:r w:rsidRPr="009B6FD5">
        <w:rPr>
          <w:rFonts w:ascii="Palatino Linotype" w:hAnsi="Palatino Linotype"/>
          <w:sz w:val="24"/>
          <w:lang w:val="es-ES"/>
        </w:rPr>
        <w:t xml:space="preserve">Robustece </w:t>
      </w:r>
      <w:r w:rsidRPr="009B6FD5">
        <w:rPr>
          <w:rFonts w:ascii="Palatino Linotype" w:eastAsia="MS Gothic" w:hAnsi="Palatino Linotype"/>
          <w:sz w:val="24"/>
          <w:szCs w:val="26"/>
        </w:rPr>
        <w:t>lo anterior, la jurisprudencia administrativa 1a./J. 17/2000, emanada por la Suprema Corte de Justicia de la Nación, la cual dicta lo siguiente:</w:t>
      </w:r>
    </w:p>
    <w:p w:rsidR="009177B0" w:rsidRPr="009B6FD5" w:rsidRDefault="009177B0" w:rsidP="009B6FD5">
      <w:pPr>
        <w:pStyle w:val="Prrafodelista"/>
        <w:tabs>
          <w:tab w:val="left" w:pos="426"/>
        </w:tabs>
        <w:spacing w:line="360" w:lineRule="auto"/>
        <w:ind w:left="0" w:right="49"/>
        <w:jc w:val="both"/>
        <w:rPr>
          <w:rFonts w:ascii="Palatino Linotype" w:hAnsi="Palatino Linotype"/>
          <w:lang w:val="es-ES"/>
        </w:rPr>
      </w:pPr>
    </w:p>
    <w:p w:rsidR="009177B0" w:rsidRPr="009B6FD5" w:rsidRDefault="009177B0" w:rsidP="009B6FD5">
      <w:pPr>
        <w:pStyle w:val="Prrafodelista"/>
        <w:tabs>
          <w:tab w:val="left" w:pos="426"/>
        </w:tabs>
        <w:spacing w:line="360" w:lineRule="auto"/>
        <w:ind w:left="567" w:right="567"/>
        <w:jc w:val="both"/>
        <w:rPr>
          <w:rFonts w:ascii="Palatino Linotype" w:hAnsi="Palatino Linotype"/>
        </w:rPr>
      </w:pPr>
      <w:r w:rsidRPr="009B6FD5">
        <w:rPr>
          <w:rFonts w:ascii="Palatino Linotype" w:hAnsi="Palatino Linotype"/>
          <w:b/>
          <w:i/>
        </w:rPr>
        <w:t>SUPLENCIA DE LA QUEJA DEFICIENTE EN MATERIA ADMINISTRATIVA. PROCEDENCIA.</w:t>
      </w:r>
      <w:r w:rsidRPr="009B6FD5">
        <w:rPr>
          <w:rFonts w:ascii="Palatino Linotype" w:hAnsi="Palatino Linotype"/>
          <w:i/>
        </w:rPr>
        <w:t xml:space="preserve"> “Para que proceda la suplencia de los conceptos de violación deficientes en la demanda de amparo o de los agravios en la revisión, en materias como la administrativa, en términos de lo dispuesto en la fracción VI del artículo 76 bis de la Ley de Amparo, se requiere que el juzgador advierta que el acto reclamado, independientemente de aquellos aspectos que se le impugnan por vicios de legalidad o de inconstitucionalidad, implique además, una violación manifiesta de la ley que deje sin defensa al quejoso o al particular recurrente. Se entiende por "violación manifiesta de la ley que deje sin defensa", aquella actuación en el auto reclamado de las autoridades responsables (ordenadoras o ejecutoras) que haga visiblemente notoria e indiscutible la vulneración a las garantías individuales del quejoso, ya sea en forma directa, o bien, indirectamente, mediante la transgresión a las normas procedimentales y sustantivas y que rigen el acto reclamado, e incluso la defensa del quejoso ante la emisión del acto de las autoridades responsables. No deben admitirse para que proceda esta suplencia aquellas actuaciones de las autoridades en el acto o las derivadas del mismo que requieran necesariamente de la demostración del </w:t>
      </w:r>
      <w:r w:rsidRPr="009B6FD5">
        <w:rPr>
          <w:rFonts w:ascii="Palatino Linotype" w:hAnsi="Palatino Linotype"/>
          <w:i/>
        </w:rPr>
        <w:lastRenderedPageBreak/>
        <w:t>promovente del amparo, para acreditar la ilegalidad o inconstitucionalidad del acto, o bien, de allegarse de cuestiones ajenas a la litis planteada, porque de ser así, ya no se estaría ante la presencia de una violación manifiesta de la ley que deje sin defensa al quejoso o agraviado.”</w:t>
      </w:r>
    </w:p>
    <w:p w:rsidR="009177B0" w:rsidRPr="009B6FD5" w:rsidRDefault="009177B0" w:rsidP="009B6FD5">
      <w:pPr>
        <w:pStyle w:val="Prrafodelista"/>
        <w:tabs>
          <w:tab w:val="left" w:pos="426"/>
        </w:tabs>
        <w:spacing w:line="360" w:lineRule="auto"/>
        <w:ind w:left="0" w:right="49"/>
        <w:jc w:val="both"/>
        <w:rPr>
          <w:rFonts w:ascii="Palatino Linotype" w:hAnsi="Palatino Linotype"/>
          <w:lang w:val="es-ES"/>
        </w:rPr>
      </w:pPr>
    </w:p>
    <w:p w:rsidR="00320A33" w:rsidRPr="009B6FD5" w:rsidRDefault="003D14CF" w:rsidP="009B6FD5">
      <w:pPr>
        <w:pStyle w:val="Prrafodelista"/>
        <w:numPr>
          <w:ilvl w:val="0"/>
          <w:numId w:val="1"/>
        </w:numPr>
        <w:tabs>
          <w:tab w:val="left" w:pos="426"/>
        </w:tabs>
        <w:spacing w:line="360" w:lineRule="auto"/>
        <w:ind w:left="0" w:right="49" w:firstLine="0"/>
        <w:jc w:val="both"/>
        <w:rPr>
          <w:rFonts w:ascii="Palatino Linotype" w:hAnsi="Palatino Linotype"/>
          <w:sz w:val="24"/>
          <w:lang w:val="es-ES"/>
        </w:rPr>
      </w:pPr>
      <w:r w:rsidRPr="009B6FD5">
        <w:rPr>
          <w:rFonts w:ascii="Palatino Linotype" w:hAnsi="Palatino Linotype"/>
          <w:sz w:val="24"/>
          <w:lang w:val="es-ES"/>
        </w:rPr>
        <w:t xml:space="preserve">Por lo tanto, si bien el particular solicito conocer información sobre la </w:t>
      </w:r>
      <w:r w:rsidR="00026EC3" w:rsidRPr="009B6FD5">
        <w:rPr>
          <w:rFonts w:ascii="Palatino Linotype" w:hAnsi="Palatino Linotype"/>
          <w:sz w:val="24"/>
          <w:lang w:val="es-ES"/>
        </w:rPr>
        <w:t>re</w:t>
      </w:r>
      <w:r w:rsidRPr="009B6FD5">
        <w:rPr>
          <w:rFonts w:ascii="Palatino Linotype" w:hAnsi="Palatino Linotype"/>
          <w:sz w:val="24"/>
          <w:lang w:val="es-ES"/>
        </w:rPr>
        <w:t>asignación de una nueva cuenta predial</w:t>
      </w:r>
      <w:r w:rsidR="006B73B2" w:rsidRPr="009B6FD5">
        <w:rPr>
          <w:rFonts w:ascii="Palatino Linotype" w:hAnsi="Palatino Linotype"/>
          <w:sz w:val="24"/>
          <w:lang w:val="es-ES"/>
        </w:rPr>
        <w:t xml:space="preserve"> respecto a la fracción de u</w:t>
      </w:r>
      <w:r w:rsidR="00320A33" w:rsidRPr="009B6FD5">
        <w:rPr>
          <w:rFonts w:ascii="Palatino Linotype" w:hAnsi="Palatino Linotype"/>
          <w:sz w:val="24"/>
          <w:lang w:val="es-ES"/>
        </w:rPr>
        <w:t xml:space="preserve">n terreno, podría referirse a información para la </w:t>
      </w:r>
      <w:r w:rsidR="00026EC3" w:rsidRPr="009B6FD5">
        <w:rPr>
          <w:rFonts w:ascii="Palatino Linotype" w:hAnsi="Palatino Linotype"/>
          <w:sz w:val="24"/>
          <w:lang w:val="es-ES"/>
        </w:rPr>
        <w:t>re</w:t>
      </w:r>
      <w:r w:rsidR="00320A33" w:rsidRPr="009B6FD5">
        <w:rPr>
          <w:rFonts w:ascii="Palatino Linotype" w:hAnsi="Palatino Linotype"/>
          <w:sz w:val="24"/>
          <w:lang w:val="es-ES"/>
        </w:rPr>
        <w:t>asignación de una clave catastral.</w:t>
      </w:r>
      <w:bookmarkStart w:id="23" w:name="_Toc80812777"/>
      <w:r w:rsidR="000D3605" w:rsidRPr="009B6FD5">
        <w:rPr>
          <w:rFonts w:ascii="Palatino Linotype" w:hAnsi="Palatino Linotype"/>
          <w:sz w:val="24"/>
          <w:lang w:val="es-ES"/>
        </w:rPr>
        <w:t xml:space="preserve"> En este caso podemos concluir que </w:t>
      </w:r>
      <w:r w:rsidR="00593BE3" w:rsidRPr="009B6FD5">
        <w:rPr>
          <w:rFonts w:ascii="Palatino Linotype" w:hAnsi="Palatino Linotype"/>
          <w:sz w:val="24"/>
          <w:lang w:val="es-ES"/>
        </w:rPr>
        <w:t xml:space="preserve">la información a la que desea acceder el particular es referente a la </w:t>
      </w:r>
      <w:r w:rsidR="00026EC3" w:rsidRPr="009B6FD5">
        <w:rPr>
          <w:rFonts w:ascii="Palatino Linotype" w:hAnsi="Palatino Linotype"/>
          <w:sz w:val="24"/>
          <w:lang w:val="es-ES"/>
        </w:rPr>
        <w:t>re</w:t>
      </w:r>
      <w:r w:rsidR="00593BE3" w:rsidRPr="009B6FD5">
        <w:rPr>
          <w:rFonts w:ascii="Palatino Linotype" w:hAnsi="Palatino Linotype"/>
          <w:sz w:val="24"/>
          <w:lang w:val="es-ES"/>
        </w:rPr>
        <w:t>asignaci</w:t>
      </w:r>
      <w:r w:rsidR="00A80D02" w:rsidRPr="009B6FD5">
        <w:rPr>
          <w:rFonts w:ascii="Palatino Linotype" w:hAnsi="Palatino Linotype"/>
          <w:sz w:val="24"/>
          <w:lang w:val="es-ES"/>
        </w:rPr>
        <w:t>ón</w:t>
      </w:r>
      <w:r w:rsidR="00ED78EA" w:rsidRPr="009B6FD5">
        <w:rPr>
          <w:rFonts w:ascii="Palatino Linotype" w:hAnsi="Palatino Linotype"/>
          <w:sz w:val="24"/>
          <w:lang w:val="es-ES"/>
        </w:rPr>
        <w:t xml:space="preserve"> de clave catastral</w:t>
      </w:r>
      <w:r w:rsidR="00A80D02" w:rsidRPr="009B6FD5">
        <w:rPr>
          <w:rFonts w:ascii="Palatino Linotype" w:hAnsi="Palatino Linotype"/>
          <w:sz w:val="24"/>
          <w:lang w:val="es-ES"/>
        </w:rPr>
        <w:t>.</w:t>
      </w:r>
    </w:p>
    <w:p w:rsidR="00A80D02" w:rsidRPr="009B6FD5" w:rsidRDefault="00A80D02" w:rsidP="009B6FD5">
      <w:pPr>
        <w:pStyle w:val="Prrafodelista"/>
        <w:tabs>
          <w:tab w:val="left" w:pos="426"/>
        </w:tabs>
        <w:spacing w:line="360" w:lineRule="auto"/>
        <w:ind w:left="0" w:right="49"/>
        <w:jc w:val="both"/>
        <w:rPr>
          <w:rFonts w:ascii="Palatino Linotype" w:hAnsi="Palatino Linotype"/>
          <w:sz w:val="24"/>
          <w:lang w:val="es-ES"/>
        </w:rPr>
      </w:pPr>
    </w:p>
    <w:p w:rsidR="002030FA" w:rsidRPr="009B6FD5" w:rsidRDefault="00D64AFE" w:rsidP="009B6FD5">
      <w:pPr>
        <w:pStyle w:val="Ttulo1"/>
        <w:spacing w:before="0" w:line="360" w:lineRule="auto"/>
        <w:rPr>
          <w:rFonts w:ascii="Palatino Linotype" w:hAnsi="Palatino Linotype"/>
          <w:b/>
          <w:color w:val="auto"/>
          <w:sz w:val="24"/>
          <w:szCs w:val="24"/>
        </w:rPr>
      </w:pPr>
      <w:bookmarkStart w:id="24" w:name="_Toc83301641"/>
      <w:r w:rsidRPr="009B6FD5">
        <w:rPr>
          <w:rFonts w:ascii="Palatino Linotype" w:hAnsi="Palatino Linotype"/>
          <w:b/>
          <w:color w:val="auto"/>
          <w:sz w:val="24"/>
          <w:szCs w:val="24"/>
        </w:rPr>
        <w:t xml:space="preserve">III. </w:t>
      </w:r>
      <w:r w:rsidR="00D771ED" w:rsidRPr="009B6FD5">
        <w:rPr>
          <w:rFonts w:ascii="Palatino Linotype" w:hAnsi="Palatino Linotype"/>
          <w:b/>
          <w:color w:val="auto"/>
          <w:sz w:val="24"/>
          <w:szCs w:val="24"/>
        </w:rPr>
        <w:t>De la información solicitada y la respuesta del Sujeto Obligado.</w:t>
      </w:r>
      <w:bookmarkEnd w:id="23"/>
      <w:bookmarkEnd w:id="24"/>
    </w:p>
    <w:p w:rsidR="002030FA" w:rsidRPr="009B6FD5" w:rsidRDefault="002030FA" w:rsidP="009B6FD5">
      <w:pPr>
        <w:spacing w:line="360" w:lineRule="auto"/>
        <w:ind w:right="49"/>
        <w:contextualSpacing/>
        <w:jc w:val="both"/>
        <w:rPr>
          <w:rFonts w:ascii="Palatino Linotype" w:eastAsiaTheme="minorEastAsia" w:hAnsi="Palatino Linotype"/>
          <w:lang w:val="es-ES_tradnl" w:eastAsia="es-ES"/>
        </w:rPr>
      </w:pPr>
    </w:p>
    <w:p w:rsidR="00A80D02" w:rsidRPr="009B6FD5" w:rsidRDefault="002030FA"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mbria" w:hAnsi="Palatino Linotype" w:cs="Arial"/>
        </w:rPr>
        <w:t xml:space="preserve">Se </w:t>
      </w:r>
      <w:r w:rsidR="00D771ED" w:rsidRPr="009B6FD5">
        <w:rPr>
          <w:rFonts w:ascii="Palatino Linotype" w:eastAsia="Cambria" w:hAnsi="Palatino Linotype" w:cs="Arial"/>
        </w:rPr>
        <w:t xml:space="preserve">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00D771ED" w:rsidRPr="009B6FD5">
        <w:rPr>
          <w:rFonts w:ascii="Palatino Linotype" w:eastAsia="Calibri" w:hAnsi="Palatino Linotype" w:cs="Arial"/>
          <w:lang w:val="es-ES"/>
        </w:rPr>
        <w:t>Ley de Transparencia y Acceso a la Información Pública del Estado de México y Municipios</w:t>
      </w:r>
      <w:r w:rsidR="00D771ED" w:rsidRPr="009B6FD5">
        <w:rPr>
          <w:rFonts w:ascii="Palatino Linotype" w:hAnsi="Palatino Linotype" w:cs="Arial"/>
          <w:lang w:val="es-ES"/>
        </w:rPr>
        <w:t>.</w:t>
      </w:r>
    </w:p>
    <w:p w:rsidR="00D771ED" w:rsidRPr="009B6FD5" w:rsidRDefault="00D771ED" w:rsidP="009B6FD5">
      <w:pPr>
        <w:spacing w:line="360" w:lineRule="auto"/>
        <w:ind w:right="49"/>
        <w:contextualSpacing/>
        <w:jc w:val="both"/>
        <w:rPr>
          <w:rFonts w:ascii="Palatino Linotype" w:eastAsiaTheme="minorEastAsia" w:hAnsi="Palatino Linotype"/>
          <w:lang w:val="es-ES_tradnl" w:eastAsia="es-ES"/>
        </w:rPr>
      </w:pPr>
    </w:p>
    <w:p w:rsidR="00DF2A3A" w:rsidRPr="009B6FD5"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hAnsi="Palatino Linotype" w:cs="Arial"/>
          <w:lang w:val="es-ES"/>
        </w:rPr>
        <w:t xml:space="preserve">En este caso, el particular  solicitó </w:t>
      </w:r>
      <w:r w:rsidR="00DF2A3A" w:rsidRPr="009B6FD5">
        <w:rPr>
          <w:rFonts w:ascii="Palatino Linotype" w:eastAsia="MS Gothic" w:hAnsi="Palatino Linotype"/>
        </w:rPr>
        <w:t xml:space="preserve">la siguiente información para realizar trámite de una nueva </w:t>
      </w:r>
      <w:r w:rsidR="001031C5" w:rsidRPr="009B6FD5">
        <w:rPr>
          <w:rFonts w:ascii="Palatino Linotype" w:eastAsia="MS Gothic" w:hAnsi="Palatino Linotype"/>
        </w:rPr>
        <w:t>clave catastral, respecto de una fracción de terreno, esto atendiendo a la suplencia de la queja realizada por esta ponencia</w:t>
      </w:r>
      <w:r w:rsidR="00DF2A3A" w:rsidRPr="009B6FD5">
        <w:rPr>
          <w:rFonts w:ascii="Palatino Linotype" w:eastAsia="MS Gothic" w:hAnsi="Palatino Linotype"/>
        </w:rPr>
        <w:t>:</w:t>
      </w:r>
    </w:p>
    <w:p w:rsidR="00DF2A3A" w:rsidRPr="009B6FD5" w:rsidRDefault="00DF2A3A" w:rsidP="009B6FD5">
      <w:pPr>
        <w:spacing w:line="360" w:lineRule="auto"/>
        <w:ind w:right="49"/>
        <w:contextualSpacing/>
        <w:jc w:val="both"/>
        <w:rPr>
          <w:rFonts w:ascii="Palatino Linotype" w:eastAsiaTheme="minorEastAsia" w:hAnsi="Palatino Linotype"/>
          <w:lang w:val="es-ES_tradnl" w:eastAsia="es-ES"/>
        </w:rPr>
      </w:pPr>
    </w:p>
    <w:p w:rsidR="00DF2A3A" w:rsidRPr="009B6FD5" w:rsidRDefault="00DF2A3A" w:rsidP="009B6FD5">
      <w:pPr>
        <w:spacing w:line="360" w:lineRule="auto"/>
        <w:ind w:right="49"/>
        <w:contextualSpacing/>
        <w:jc w:val="both"/>
        <w:rPr>
          <w:rFonts w:ascii="Palatino Linotype" w:eastAsia="MS Gothic" w:hAnsi="Palatino Linotype"/>
        </w:rPr>
      </w:pPr>
      <w:r w:rsidRPr="009B6FD5">
        <w:rPr>
          <w:rFonts w:ascii="Palatino Linotype" w:eastAsia="MS Gothic" w:hAnsi="Palatino Linotype"/>
        </w:rPr>
        <w:t xml:space="preserve">a). Fundamento jurídico y administrativo; </w:t>
      </w:r>
    </w:p>
    <w:p w:rsidR="00DF2A3A" w:rsidRPr="009B6FD5" w:rsidRDefault="00DF2A3A" w:rsidP="009B6FD5">
      <w:pPr>
        <w:spacing w:line="360" w:lineRule="auto"/>
        <w:ind w:right="49"/>
        <w:contextualSpacing/>
        <w:jc w:val="both"/>
        <w:rPr>
          <w:rFonts w:ascii="Palatino Linotype" w:eastAsia="MS Gothic" w:hAnsi="Palatino Linotype"/>
        </w:rPr>
      </w:pPr>
      <w:r w:rsidRPr="009B6FD5">
        <w:rPr>
          <w:rFonts w:ascii="Palatino Linotype" w:eastAsia="MS Gothic" w:hAnsi="Palatino Linotype"/>
        </w:rPr>
        <w:t xml:space="preserve">b). Requisitos; </w:t>
      </w:r>
    </w:p>
    <w:p w:rsidR="00DF2A3A" w:rsidRPr="009B6FD5" w:rsidRDefault="00DF2A3A" w:rsidP="009B6FD5">
      <w:pPr>
        <w:spacing w:line="360" w:lineRule="auto"/>
        <w:ind w:right="49"/>
        <w:contextualSpacing/>
        <w:jc w:val="both"/>
        <w:rPr>
          <w:rFonts w:ascii="Palatino Linotype" w:eastAsia="MS Gothic" w:hAnsi="Palatino Linotype"/>
        </w:rPr>
      </w:pPr>
      <w:proofErr w:type="gramStart"/>
      <w:r w:rsidRPr="009B6FD5">
        <w:rPr>
          <w:rFonts w:ascii="Palatino Linotype" w:eastAsia="MS Gothic" w:hAnsi="Palatino Linotype"/>
        </w:rPr>
        <w:lastRenderedPageBreak/>
        <w:t>c)</w:t>
      </w:r>
      <w:proofErr w:type="gramEnd"/>
      <w:r w:rsidRPr="009B6FD5">
        <w:rPr>
          <w:rFonts w:ascii="Palatino Linotype" w:eastAsia="MS Gothic" w:hAnsi="Palatino Linotype"/>
        </w:rPr>
        <w:t>. Formatos;</w:t>
      </w:r>
    </w:p>
    <w:p w:rsidR="00DF2A3A" w:rsidRPr="009B6FD5" w:rsidRDefault="00DF2A3A" w:rsidP="009B6FD5">
      <w:pPr>
        <w:spacing w:line="360" w:lineRule="auto"/>
        <w:ind w:right="49"/>
        <w:contextualSpacing/>
        <w:jc w:val="both"/>
        <w:rPr>
          <w:rFonts w:ascii="Palatino Linotype" w:eastAsia="MS Gothic" w:hAnsi="Palatino Linotype"/>
        </w:rPr>
      </w:pPr>
      <w:r w:rsidRPr="009B6FD5">
        <w:rPr>
          <w:rFonts w:ascii="Palatino Linotype" w:eastAsia="MS Gothic" w:hAnsi="Palatino Linotype"/>
        </w:rPr>
        <w:t>d). Costos y su fundamento legal;</w:t>
      </w:r>
    </w:p>
    <w:p w:rsidR="00DF2A3A" w:rsidRPr="009B6FD5" w:rsidRDefault="00DF2A3A" w:rsidP="009B6FD5">
      <w:pPr>
        <w:spacing w:line="360" w:lineRule="auto"/>
        <w:ind w:right="49"/>
        <w:contextualSpacing/>
        <w:jc w:val="both"/>
        <w:rPr>
          <w:rFonts w:ascii="Palatino Linotype" w:eastAsia="MS Gothic" w:hAnsi="Palatino Linotype"/>
        </w:rPr>
      </w:pPr>
      <w:r w:rsidRPr="009B6FD5">
        <w:rPr>
          <w:rFonts w:ascii="Palatino Linotype" w:eastAsia="MS Gothic" w:hAnsi="Palatino Linotype"/>
        </w:rPr>
        <w:t xml:space="preserve">e). Duración del trámite; </w:t>
      </w:r>
    </w:p>
    <w:p w:rsidR="00DF2A3A" w:rsidRPr="009B6FD5" w:rsidRDefault="00DF2A3A" w:rsidP="009B6FD5">
      <w:pPr>
        <w:spacing w:line="360" w:lineRule="auto"/>
        <w:ind w:right="49"/>
        <w:contextualSpacing/>
        <w:jc w:val="both"/>
        <w:rPr>
          <w:rFonts w:ascii="Palatino Linotype" w:eastAsia="MS Gothic" w:hAnsi="Palatino Linotype"/>
        </w:rPr>
      </w:pPr>
      <w:r w:rsidRPr="009B6FD5">
        <w:rPr>
          <w:rFonts w:ascii="Palatino Linotype" w:eastAsia="MS Gothic" w:hAnsi="Palatino Linotype"/>
        </w:rPr>
        <w:t xml:space="preserve">f). Extracto del manual administrativo y de procedimientos donde este asentado el trámite; </w:t>
      </w:r>
    </w:p>
    <w:p w:rsidR="00DF2A3A" w:rsidRPr="009B6FD5" w:rsidRDefault="00DF2A3A" w:rsidP="009B6FD5">
      <w:pPr>
        <w:spacing w:line="360" w:lineRule="auto"/>
        <w:ind w:right="49"/>
        <w:contextualSpacing/>
        <w:jc w:val="both"/>
        <w:rPr>
          <w:rFonts w:ascii="Palatino Linotype" w:eastAsia="MS Gothic" w:hAnsi="Palatino Linotype"/>
        </w:rPr>
      </w:pPr>
      <w:r w:rsidRPr="009B6FD5">
        <w:rPr>
          <w:rFonts w:ascii="Palatino Linotype" w:eastAsia="MS Gothic" w:hAnsi="Palatino Linotype"/>
        </w:rPr>
        <w:t>g). Área y nombre del titular;</w:t>
      </w:r>
    </w:p>
    <w:p w:rsidR="00DF2A3A" w:rsidRPr="009B6FD5" w:rsidRDefault="00DF2A3A" w:rsidP="009B6FD5">
      <w:pPr>
        <w:spacing w:line="360" w:lineRule="auto"/>
        <w:ind w:right="49"/>
        <w:contextualSpacing/>
        <w:jc w:val="both"/>
        <w:rPr>
          <w:rFonts w:ascii="Palatino Linotype" w:eastAsia="MS Gothic" w:hAnsi="Palatino Linotype"/>
        </w:rPr>
      </w:pPr>
      <w:r w:rsidRPr="009B6FD5">
        <w:rPr>
          <w:rFonts w:ascii="Palatino Linotype" w:eastAsia="MS Gothic" w:hAnsi="Palatino Linotype"/>
        </w:rPr>
        <w:t xml:space="preserve">h). Ubicación </w:t>
      </w:r>
    </w:p>
    <w:p w:rsidR="00DF2A3A" w:rsidRPr="009B6FD5" w:rsidRDefault="00DF2A3A" w:rsidP="009B6FD5">
      <w:pPr>
        <w:spacing w:line="360" w:lineRule="auto"/>
        <w:ind w:right="49"/>
        <w:contextualSpacing/>
        <w:jc w:val="both"/>
        <w:rPr>
          <w:rFonts w:ascii="Palatino Linotype" w:eastAsia="MS Gothic" w:hAnsi="Palatino Linotype"/>
        </w:rPr>
      </w:pPr>
      <w:r w:rsidRPr="009B6FD5">
        <w:rPr>
          <w:rFonts w:ascii="Palatino Linotype" w:eastAsia="MS Gothic" w:hAnsi="Palatino Linotype"/>
        </w:rPr>
        <w:t>i). Nombre de los servidores públicos para la recepción del trámite; y</w:t>
      </w:r>
    </w:p>
    <w:p w:rsidR="00D771ED" w:rsidRPr="009B6FD5" w:rsidRDefault="00DF2A3A" w:rsidP="009B6FD5">
      <w:pPr>
        <w:spacing w:line="360" w:lineRule="auto"/>
        <w:ind w:right="49"/>
        <w:contextualSpacing/>
        <w:jc w:val="both"/>
        <w:rPr>
          <w:rFonts w:ascii="Palatino Linotype" w:eastAsia="MS Gothic" w:hAnsi="Palatino Linotype"/>
        </w:rPr>
      </w:pPr>
      <w:r w:rsidRPr="009B6FD5">
        <w:rPr>
          <w:rFonts w:ascii="Palatino Linotype" w:eastAsia="MS Gothic" w:hAnsi="Palatino Linotype"/>
        </w:rPr>
        <w:t>j). Los último tres expedientes que obran en sus archivos del trámite para solicitar una cuenta predial.</w:t>
      </w:r>
    </w:p>
    <w:p w:rsidR="00C02C47" w:rsidRPr="009B6FD5" w:rsidRDefault="00C02C47" w:rsidP="009B6FD5">
      <w:pPr>
        <w:spacing w:line="360" w:lineRule="auto"/>
        <w:ind w:right="49"/>
        <w:contextualSpacing/>
        <w:jc w:val="both"/>
        <w:rPr>
          <w:rFonts w:ascii="Palatino Linotype" w:eastAsia="MS Gothic" w:hAnsi="Palatino Linotype"/>
        </w:rPr>
      </w:pPr>
    </w:p>
    <w:p w:rsidR="00026EC3" w:rsidRPr="009B6FD5" w:rsidRDefault="00A834B6"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Theme="minorEastAsia" w:hAnsi="Palatino Linotype"/>
          <w:lang w:val="es-ES_tradnl" w:eastAsia="es-ES"/>
        </w:rPr>
        <w:t xml:space="preserve">Mediante respuesta, el Sujeto Obligado manifestó con documento remitido por el Jefe de Catastro que la jefatura a su cargo no asigna cuentas prediales, sin embrago manifestó que dentro de sus competencias se encuentran las referidas en los artículos 169 fracción IV, 171 fracción VIII y 183 del Código Financiero del Estado de México y Municipios. Asimismo manifestó que </w:t>
      </w:r>
      <w:r w:rsidRPr="009B6FD5">
        <w:rPr>
          <w:rFonts w:ascii="Palatino Linotype" w:hAnsi="Palatino Linotype"/>
          <w:iCs/>
          <w:color w:val="000000"/>
        </w:rPr>
        <w:t xml:space="preserve">los Servicios Catastrales que presta esta Jefatura, con relación a la Normatividad que se enuncia en el Apartado I, en su Política General, ACGC004, ACGC005, ACGC007 y ACGC014, Apartado II, Política ACC001 y ACC002, Apartado VI, en su Política ARA002 del Manual Catastral del Estado de México. </w:t>
      </w:r>
    </w:p>
    <w:p w:rsidR="00026EC3" w:rsidRPr="009B6FD5" w:rsidRDefault="00026EC3" w:rsidP="009B6FD5">
      <w:pPr>
        <w:spacing w:line="360" w:lineRule="auto"/>
        <w:ind w:right="49"/>
        <w:contextualSpacing/>
        <w:jc w:val="both"/>
        <w:rPr>
          <w:rFonts w:ascii="Palatino Linotype" w:eastAsiaTheme="minorEastAsia" w:hAnsi="Palatino Linotype"/>
          <w:lang w:val="es-ES_tradnl" w:eastAsia="es-ES"/>
        </w:rPr>
      </w:pPr>
    </w:p>
    <w:p w:rsidR="00A834B6" w:rsidRPr="009B6FD5" w:rsidRDefault="00026EC3"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hAnsi="Palatino Linotype"/>
          <w:iCs/>
          <w:color w:val="000000"/>
        </w:rPr>
        <w:t>Atento a lo anterior, se concluye que el punto de sobre el fundamento jurídico y los requisitos, se tiene por colmado, toda vez que de los fundamentos que proporcionó de desprenden los requisitos:</w:t>
      </w:r>
    </w:p>
    <w:p w:rsidR="00026EC3" w:rsidRPr="009B6FD5" w:rsidRDefault="00026EC3" w:rsidP="009B6FD5">
      <w:pPr>
        <w:spacing w:line="360" w:lineRule="auto"/>
        <w:ind w:right="49"/>
        <w:contextualSpacing/>
        <w:jc w:val="both"/>
        <w:rPr>
          <w:rFonts w:ascii="Palatino Linotype" w:eastAsiaTheme="minorEastAsia" w:hAnsi="Palatino Linotype"/>
          <w:lang w:val="es-ES_tradnl" w:eastAsia="es-ES"/>
        </w:rPr>
      </w:pPr>
    </w:p>
    <w:p w:rsidR="00026EC3" w:rsidRPr="009B6FD5" w:rsidRDefault="00026EC3" w:rsidP="009B6FD5">
      <w:pPr>
        <w:pStyle w:val="Prrafodelista"/>
        <w:spacing w:line="360" w:lineRule="auto"/>
        <w:ind w:left="0"/>
        <w:jc w:val="center"/>
        <w:rPr>
          <w:rFonts w:ascii="Palatino Linotype" w:eastAsiaTheme="minorEastAsia" w:hAnsi="Palatino Linotype"/>
          <w:b/>
          <w:i/>
          <w:lang w:eastAsia="es-ES"/>
        </w:rPr>
      </w:pPr>
      <w:r w:rsidRPr="009B6FD5">
        <w:rPr>
          <w:rFonts w:ascii="Palatino Linotype" w:eastAsiaTheme="minorEastAsia" w:hAnsi="Palatino Linotype"/>
          <w:b/>
          <w:i/>
          <w:lang w:eastAsia="es-ES"/>
        </w:rPr>
        <w:lastRenderedPageBreak/>
        <w:t>CÓDIGO FINANCIERO DEL ESTADO DE MÉXICO</w:t>
      </w:r>
    </w:p>
    <w:p w:rsidR="00026EC3" w:rsidRPr="009B6FD5" w:rsidRDefault="00026EC3" w:rsidP="009B6FD5">
      <w:pPr>
        <w:pStyle w:val="Prrafodelista"/>
        <w:spacing w:line="360" w:lineRule="auto"/>
        <w:ind w:left="0"/>
        <w:jc w:val="center"/>
        <w:rPr>
          <w:rFonts w:ascii="Palatino Linotype" w:eastAsiaTheme="minorEastAsia" w:hAnsi="Palatino Linotype"/>
          <w:b/>
          <w:i/>
          <w:lang w:eastAsia="es-ES"/>
        </w:rPr>
      </w:pP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 xml:space="preserve">Artículo 169.- Son autoridades en materia de catastro: </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IV. El Ayuntamiento y el servidor público que sea designado como titular de la unidad encargada del catastro municipal.</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w:t>
      </w:r>
    </w:p>
    <w:p w:rsidR="00026EC3" w:rsidRPr="009B6FD5" w:rsidRDefault="00026EC3" w:rsidP="009B6FD5">
      <w:pPr>
        <w:pStyle w:val="Prrafodelista"/>
        <w:spacing w:line="360" w:lineRule="auto"/>
        <w:ind w:left="851" w:right="822"/>
        <w:jc w:val="both"/>
        <w:rPr>
          <w:rFonts w:ascii="Palatino Linotype" w:hAnsi="Palatino Linotype"/>
          <w:i/>
        </w:rPr>
      </w:pP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Artículo 171.- Los Ayuntamientos, además de las atribuciones que este Código y otros ordenamientos les confieran en materia catastral, tendrán las facultades y obligaciones siguientes</w:t>
      </w:r>
      <w:proofErr w:type="gramStart"/>
      <w:r w:rsidRPr="009B6FD5">
        <w:rPr>
          <w:rFonts w:ascii="Palatino Linotype" w:hAnsi="Palatino Linotype"/>
          <w:i/>
        </w:rPr>
        <w:t>:v</w:t>
      </w:r>
      <w:proofErr w:type="gramEnd"/>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VIII. Proporcionar la información que soliciten por escrito otras dependencias oficiales.</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Artículo 183.- La inscripción de un inmueble en el padrón catastral municipal, no genera por sí misma, ningún derecho de propiedad o posesión en favor de la persona a cuyo nombre aparezca inscrito.</w:t>
      </w:r>
    </w:p>
    <w:p w:rsidR="00026EC3" w:rsidRPr="009B6FD5" w:rsidRDefault="00026EC3" w:rsidP="009B6FD5">
      <w:pPr>
        <w:pStyle w:val="Prrafodelista"/>
        <w:spacing w:line="360" w:lineRule="auto"/>
        <w:ind w:left="851" w:right="822"/>
        <w:jc w:val="both"/>
        <w:rPr>
          <w:rFonts w:ascii="Palatino Linotype" w:hAnsi="Palatino Linotype"/>
          <w:i/>
        </w:rPr>
      </w:pP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MANUAL CATASTRAL DEL ESTADO DE MÉXICO</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 xml:space="preserve">ACGC004.- Para la solicitud de servicios catastrales, invariablemente, los usuarios deberán cubrir los siguientes requisitos: Solicitud por escrito o en el formato establecido. Copia de la identificación oficial del propietario o poseedor del inmueble y de la persona autorizada mediante carta poder o representación legal. Pago correspondiente por el servicio solicitado. </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ACGC005.- Solamente se expedirán certificaciones, y constancias de la información catastral, que obre en los archivos documentales o en el Padrón Catastral</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lastRenderedPageBreak/>
        <w:t>ACGC007.- Para hacer constar el interés jurídico o legítimo, el solicitante deberá presentar ante la autoridad catastral, los siguientes documentos: Documento que acredite la propiedad o posesión del inmueble, el cual puede ser cualesquiera de entre los siguientes: o Testimonio notarial.</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 xml:space="preserve">Contrato privado de compra-venta, cesión o donación. </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 xml:space="preserve">Sentencia de la autoridad judicial que haya causado ejecutoria. Manifestación de adquisición de inmuebles u otras operaciones traslativas de dominio de inmuebles, autorizada por la autoridad fiscal respectiva y el recibo de pago correspondiente. </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 xml:space="preserve">Acta de entrega cuando se trate de inmuebles de interés social Cédula de contratación que emita la dependencia oficial autorizada para la regularización de la tenencia de la tierra. </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 xml:space="preserve">Título, certificado o cesión de derechos agrarios ejidales o comunales In matriculación administrativa o judicial. </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 xml:space="preserve">Carta poder en la que el propietario o poseedor del inmueble de que se trate, autoriza a otra persona para realizar en su nombre, el trámite de solicitud del servicio requerido, en su caso </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Documento notarial mediante el que el propietario o poseedor del inmueble, otorga la representación legal a otra persona para la realización del trámite de solicitud del servicio requerido, en su caso.</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 xml:space="preserve">ACGC0 14. Los servicios catastrales que presta el ayuntamiento son: Inscripción de inmuebles en el padrón catastral municipal. Registro de altas, bajas y modificaciones de construcciones. Actualización del padrón catastral derivada de subdivisión, fusión, lotificación, relotificación, conjuntos urbanos, afectaciones y modificación de linderos, previa autorización emitida por la autoridad competente. Actualización al padrón catastral derivada de cambios técnicos y administrativos. Asignación, baja y reasignación de clave catastral. Certificaciones de clave, clave y valor catastral y plano manzanero. Constancia de identificación catastral. Levantamiento topográfico </w:t>
      </w:r>
      <w:r w:rsidRPr="009B6FD5">
        <w:rPr>
          <w:rFonts w:ascii="Palatino Linotype" w:hAnsi="Palatino Linotype"/>
          <w:i/>
        </w:rPr>
        <w:lastRenderedPageBreak/>
        <w:t>catastral, en los casos previstos por las disposiciones jurídicas aplicables. Verificación de linderos.</w:t>
      </w:r>
    </w:p>
    <w:p w:rsidR="00026EC3" w:rsidRPr="009B6FD5" w:rsidRDefault="00026EC3" w:rsidP="009B6FD5">
      <w:pPr>
        <w:pStyle w:val="Prrafodelista"/>
        <w:spacing w:line="360" w:lineRule="auto"/>
        <w:ind w:left="851" w:right="822"/>
        <w:jc w:val="both"/>
        <w:rPr>
          <w:rFonts w:ascii="Palatino Linotype" w:hAnsi="Palatino Linotype"/>
          <w:i/>
        </w:rPr>
      </w:pP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 xml:space="preserve">11.3. POLÍTICAS GENERALES </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 xml:space="preserve">ACC001La asignación, reasignación y baja de claves catastrales es responsabilidad de la autoridad catastral municipal, quien deberá limitar el ejercicio de esta función a predios ubicados dentro de su jurisdicción territorial y conforme a los procedimientos establecidos en el presente manual. </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ACC002La clave catastral es única, irrepetible y permanente en toda la entidad y no deberá modificarse, salvo en los casos previstos para la reasignación.</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 xml:space="preserve">ARA002.- Los propietarios o poseedores de inmuebles en el Estado deberán presentarse a inscribirlos ante la autoridad catastral municipal, Ilenando previamente el formato de manifestación catastral y anexando copia de los documentos que a continuación se enlistan, exhibiendo, además el original para su cotejo. </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 xml:space="preserve">1. Documento que acredite la propiedad, que puede ser: </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 xml:space="preserve">Testimonio notarial. </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 xml:space="preserve">Contrato privado de compra-venta, cesión o donación. </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 xml:space="preserve">Sentencia de la autoridad judicial que haya causado ejecutoria. </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 xml:space="preserve">Manifestación de adquisición de inmuebles u otras operaciones traslativas de dominio de inmuebles, autorizada por la autoridad fiscal respectiva y el recibo de pago correspondiente. </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 xml:space="preserve">Acta de entrega cuando se trats de inmuebles de interés social. Cédula de contratación que emita la dependencia oficial autorizada para la regularización de la tenencia de la tierra. </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 xml:space="preserve">Título, cettificado o cesión de derechos agrarios ejidales o comunales. </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 xml:space="preserve">Inmatriculación administrativa o judicial. </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lastRenderedPageBreak/>
        <w:t xml:space="preserve">2. Planos autorizados, en caso de tenerlos. </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 xml:space="preserve">3. Para predios en condominio, la tabla general de indivisos y el que le corresponda al inmueble. </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 xml:space="preserve">4. Plano autorizado de las construcciones, de preferencia en disco compacto en formatos DGN, DXG, DWG. </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 xml:space="preserve">5. Licencia de construcción o de terminación de obra. </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 xml:space="preserve">6. Recibo del último pago del impuesto predial, en su caso. </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 xml:space="preserve">7. Croquis de ubicación. </w:t>
      </w:r>
    </w:p>
    <w:p w:rsidR="00026EC3" w:rsidRPr="009B6FD5" w:rsidRDefault="00026EC3" w:rsidP="009B6FD5">
      <w:pPr>
        <w:pStyle w:val="Prrafodelista"/>
        <w:spacing w:line="360" w:lineRule="auto"/>
        <w:ind w:left="851" w:right="822"/>
        <w:jc w:val="both"/>
        <w:rPr>
          <w:rFonts w:ascii="Palatino Linotype" w:hAnsi="Palatino Linotype"/>
          <w:i/>
        </w:rPr>
      </w:pPr>
      <w:r w:rsidRPr="009B6FD5">
        <w:rPr>
          <w:rFonts w:ascii="Palatino Linotype" w:hAnsi="Palatino Linotype"/>
          <w:i/>
        </w:rPr>
        <w:t>8. Copia de la identificación oficial del propietario o poseedor del inmueble y de la persona autorizada mediante carta poder o representación legal, en su caso.</w:t>
      </w:r>
    </w:p>
    <w:p w:rsidR="00026EC3" w:rsidRPr="009B6FD5" w:rsidRDefault="00026EC3" w:rsidP="009B6FD5">
      <w:pPr>
        <w:spacing w:line="360" w:lineRule="auto"/>
        <w:ind w:right="49"/>
        <w:contextualSpacing/>
        <w:jc w:val="both"/>
        <w:rPr>
          <w:rFonts w:ascii="Palatino Linotype" w:eastAsiaTheme="minorEastAsia" w:hAnsi="Palatino Linotype"/>
          <w:lang w:val="es-ES_tradnl" w:eastAsia="es-ES"/>
        </w:rPr>
      </w:pPr>
    </w:p>
    <w:p w:rsidR="00026EC3" w:rsidRPr="009B6FD5" w:rsidRDefault="00A834B6"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Theme="minorEastAsia" w:hAnsi="Palatino Linotype"/>
          <w:lang w:val="es-ES_tradnl" w:eastAsia="es-ES"/>
        </w:rPr>
        <w:t xml:space="preserve">Por lo que se refiere a los formatos solicitados por el particular, el Sujeto Obligado remitió dos formatos, el primero corresponde a la solicitud de servicios catastrales, y el segundo es </w:t>
      </w:r>
      <w:r w:rsidR="0067259A" w:rsidRPr="009B6FD5">
        <w:rPr>
          <w:rFonts w:ascii="Palatino Linotype" w:eastAsiaTheme="minorEastAsia" w:hAnsi="Palatino Linotype"/>
          <w:lang w:val="es-ES_tradnl" w:eastAsia="es-ES"/>
        </w:rPr>
        <w:t>para la manifestación catastral; e</w:t>
      </w:r>
      <w:r w:rsidR="00B72B98" w:rsidRPr="009B6FD5">
        <w:rPr>
          <w:rFonts w:ascii="Palatino Linotype" w:eastAsiaTheme="minorEastAsia" w:hAnsi="Palatino Linotype"/>
          <w:lang w:val="es-ES_tradnl" w:eastAsia="es-ES"/>
        </w:rPr>
        <w:t xml:space="preserve">n este caso, de acuerdo al Manual Catastral del Estado de México, la Manifestación catastral es el formato requerido para la inscripción o actualización de la información catastral de un inmueble; asimismo,  </w:t>
      </w:r>
      <w:r w:rsidR="006642B9" w:rsidRPr="009B6FD5">
        <w:rPr>
          <w:rFonts w:ascii="Palatino Linotype" w:eastAsiaTheme="minorEastAsia" w:hAnsi="Palatino Linotype"/>
          <w:lang w:val="es-ES_tradnl" w:eastAsia="es-ES"/>
        </w:rPr>
        <w:t>el Manual referido establece en sus Políticas Generales ACC003, que para asignar la clave catastral, la autoridad catastral municipal deberá solicitar la manifestación catastral acompañada del documento que acredite la propiedad o posesión del inmueble:</w:t>
      </w:r>
    </w:p>
    <w:p w:rsidR="00026EC3" w:rsidRPr="009B6FD5" w:rsidRDefault="00026EC3" w:rsidP="009B6FD5">
      <w:pPr>
        <w:spacing w:line="360" w:lineRule="auto"/>
        <w:ind w:right="49"/>
        <w:contextualSpacing/>
        <w:jc w:val="both"/>
        <w:rPr>
          <w:rFonts w:ascii="Palatino Linotype" w:eastAsiaTheme="minorEastAsia" w:hAnsi="Palatino Linotype"/>
          <w:lang w:val="es-ES_tradnl" w:eastAsia="es-ES"/>
        </w:rPr>
      </w:pPr>
    </w:p>
    <w:p w:rsidR="00026EC3" w:rsidRPr="009B6FD5" w:rsidRDefault="00026EC3" w:rsidP="009B6FD5">
      <w:pPr>
        <w:spacing w:line="360" w:lineRule="auto"/>
        <w:ind w:left="851" w:right="822"/>
        <w:contextualSpacing/>
        <w:jc w:val="both"/>
        <w:rPr>
          <w:rFonts w:ascii="Palatino Linotype" w:eastAsiaTheme="minorEastAsia" w:hAnsi="Palatino Linotype"/>
          <w:i/>
          <w:sz w:val="22"/>
          <w:lang w:val="es-ES_tradnl" w:eastAsia="es-ES"/>
        </w:rPr>
      </w:pPr>
      <w:r w:rsidRPr="009B6FD5">
        <w:rPr>
          <w:rFonts w:ascii="Palatino Linotype" w:hAnsi="Palatino Linotype"/>
          <w:i/>
          <w:sz w:val="22"/>
        </w:rPr>
        <w:t>“ACC003.- Para asignar la clave catastral, la autoridad catastral municipal deberá solicitar la manifestación catastral acompañada del documento que acredite la propiedad o posesión del inmueble…” (Sic)</w:t>
      </w:r>
    </w:p>
    <w:p w:rsidR="00026EC3" w:rsidRPr="009B6FD5" w:rsidRDefault="00026EC3" w:rsidP="009B6FD5">
      <w:pPr>
        <w:spacing w:line="360" w:lineRule="auto"/>
        <w:ind w:right="49"/>
        <w:contextualSpacing/>
        <w:jc w:val="both"/>
        <w:rPr>
          <w:rFonts w:ascii="Palatino Linotype" w:eastAsiaTheme="minorEastAsia" w:hAnsi="Palatino Linotype"/>
          <w:lang w:val="es-ES_tradnl" w:eastAsia="es-ES"/>
        </w:rPr>
      </w:pPr>
    </w:p>
    <w:p w:rsidR="00026EC3" w:rsidRPr="009B6FD5" w:rsidRDefault="00026EC3"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hAnsi="Palatino Linotype" w:cs="Arial"/>
          <w:lang w:val="es-ES" w:eastAsia="es-ES"/>
        </w:rPr>
        <w:lastRenderedPageBreak/>
        <w:t>En este caso, el punto sobre los se tuvo por colmado, toda vez que remitió mediante respuesta los formatos que corresponden a la solicitud de servicios catastrales, como lo son: certificación de la clave catastral, certificación de plano manzanero, verificación de linderos, certificación de clave y valor catastral, constancia de identificación catastral y levantamiento topográfico catastral; así como la manifestación catastral.</w:t>
      </w:r>
    </w:p>
    <w:p w:rsidR="00026EC3" w:rsidRPr="009B6FD5" w:rsidRDefault="00026EC3" w:rsidP="009B6FD5">
      <w:pPr>
        <w:spacing w:line="360" w:lineRule="auto"/>
        <w:ind w:right="49"/>
        <w:contextualSpacing/>
        <w:jc w:val="both"/>
        <w:rPr>
          <w:rFonts w:ascii="Palatino Linotype" w:eastAsiaTheme="minorEastAsia" w:hAnsi="Palatino Linotype"/>
          <w:lang w:val="es-ES_tradnl" w:eastAsia="es-ES"/>
        </w:rPr>
      </w:pPr>
    </w:p>
    <w:p w:rsidR="00C92DB2" w:rsidRPr="009B6FD5" w:rsidRDefault="000F2137"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Theme="minorEastAsia" w:hAnsi="Palatino Linotype"/>
          <w:lang w:val="es-ES_tradnl" w:eastAsia="es-ES"/>
        </w:rPr>
        <w:t>Por otro lado, el particular también solicitó los costos y su fundamento legal, mediante respuesta, el Sujeto Obligado manifestó que se puede consultar en el artículo 166 del Código Financiero del Estado de México y Municipios, el cual no prevé algún costo por asignación de clave ca</w:t>
      </w:r>
      <w:r w:rsidR="008A5D8C" w:rsidRPr="009B6FD5">
        <w:rPr>
          <w:rFonts w:ascii="Palatino Linotype" w:eastAsiaTheme="minorEastAsia" w:hAnsi="Palatino Linotype"/>
          <w:lang w:val="es-ES_tradnl" w:eastAsia="es-ES"/>
        </w:rPr>
        <w:t>tastral, pues este artículo solo contempla el costo por servicios prestados</w:t>
      </w:r>
      <w:r w:rsidR="00ED78EA" w:rsidRPr="009B6FD5">
        <w:rPr>
          <w:rFonts w:ascii="Palatino Linotype" w:eastAsiaTheme="minorEastAsia" w:hAnsi="Palatino Linotype"/>
          <w:lang w:val="es-ES_tradnl" w:eastAsia="es-ES"/>
        </w:rPr>
        <w:t xml:space="preserve"> por la autoridades de catastro.</w:t>
      </w:r>
    </w:p>
    <w:p w:rsidR="00C92DB2" w:rsidRPr="009B6FD5" w:rsidRDefault="00C92DB2" w:rsidP="009B6FD5">
      <w:pPr>
        <w:spacing w:line="360" w:lineRule="auto"/>
        <w:ind w:right="49"/>
        <w:contextualSpacing/>
        <w:jc w:val="both"/>
        <w:rPr>
          <w:rFonts w:ascii="Palatino Linotype" w:eastAsiaTheme="minorEastAsia" w:hAnsi="Palatino Linotype"/>
          <w:lang w:val="es-ES_tradnl" w:eastAsia="es-ES"/>
        </w:rPr>
      </w:pPr>
    </w:p>
    <w:p w:rsidR="00C92DB2" w:rsidRPr="009B6FD5" w:rsidRDefault="00C92DB2" w:rsidP="00781DA9">
      <w:pPr>
        <w:spacing w:line="360" w:lineRule="auto"/>
        <w:ind w:right="49"/>
        <w:contextualSpacing/>
        <w:jc w:val="center"/>
        <w:rPr>
          <w:rFonts w:ascii="Palatino Linotype" w:eastAsiaTheme="minorEastAsia" w:hAnsi="Palatino Linotype"/>
          <w:lang w:val="es-ES_tradnl" w:eastAsia="es-ES"/>
        </w:rPr>
      </w:pPr>
      <w:r w:rsidRPr="009B6FD5">
        <w:rPr>
          <w:rFonts w:ascii="Palatino Linotype" w:hAnsi="Palatino Linotype"/>
          <w:noProof/>
        </w:rPr>
        <w:drawing>
          <wp:inline distT="0" distB="0" distL="0" distR="0" wp14:anchorId="0299489F" wp14:editId="4D83B947">
            <wp:extent cx="4581525" cy="28670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508" t="19461" r="31834" b="23052"/>
                    <a:stretch/>
                  </pic:blipFill>
                  <pic:spPr bwMode="auto">
                    <a:xfrm>
                      <a:off x="0" y="0"/>
                      <a:ext cx="4592130" cy="2873661"/>
                    </a:xfrm>
                    <a:prstGeom prst="rect">
                      <a:avLst/>
                    </a:prstGeom>
                    <a:ln>
                      <a:noFill/>
                    </a:ln>
                    <a:extLst>
                      <a:ext uri="{53640926-AAD7-44D8-BBD7-CCE9431645EC}">
                        <a14:shadowObscured xmlns:a14="http://schemas.microsoft.com/office/drawing/2010/main"/>
                      </a:ext>
                    </a:extLst>
                  </pic:spPr>
                </pic:pic>
              </a:graphicData>
            </a:graphic>
          </wp:inline>
        </w:drawing>
      </w:r>
    </w:p>
    <w:p w:rsidR="00C92DB2" w:rsidRPr="009B6FD5" w:rsidRDefault="00C92DB2" w:rsidP="009B6FD5">
      <w:pPr>
        <w:spacing w:line="360" w:lineRule="auto"/>
        <w:ind w:right="49"/>
        <w:contextualSpacing/>
        <w:jc w:val="both"/>
        <w:rPr>
          <w:rFonts w:ascii="Palatino Linotype" w:eastAsiaTheme="minorEastAsia" w:hAnsi="Palatino Linotype"/>
          <w:lang w:val="es-ES_tradnl" w:eastAsia="es-ES"/>
        </w:rPr>
      </w:pPr>
    </w:p>
    <w:p w:rsidR="00C92DB2" w:rsidRPr="009B6FD5" w:rsidRDefault="00ED78EA"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Theme="minorEastAsia" w:hAnsi="Palatino Linotype"/>
          <w:lang w:eastAsia="es-ES"/>
        </w:rPr>
        <w:lastRenderedPageBreak/>
        <w:t>En este caso, la información remitida sobre los costos colma con la solicitud de acceso</w:t>
      </w:r>
      <w:r w:rsidR="00C92DB2" w:rsidRPr="009B6FD5">
        <w:rPr>
          <w:rFonts w:ascii="Palatino Linotype" w:eastAsiaTheme="minorEastAsia" w:hAnsi="Palatino Linotype"/>
          <w:lang w:eastAsia="es-ES"/>
        </w:rPr>
        <w:t xml:space="preserve"> a la información;</w:t>
      </w:r>
      <w:r w:rsidR="00B76E16" w:rsidRPr="009B6FD5">
        <w:rPr>
          <w:rFonts w:ascii="Palatino Linotype" w:eastAsiaTheme="minorEastAsia" w:hAnsi="Palatino Linotype"/>
          <w:lang w:eastAsia="es-ES"/>
        </w:rPr>
        <w:t xml:space="preserve"> </w:t>
      </w:r>
      <w:r w:rsidR="00C92DB2" w:rsidRPr="009B6FD5">
        <w:rPr>
          <w:rFonts w:ascii="Palatino Linotype" w:eastAsiaTheme="minorEastAsia" w:hAnsi="Palatino Linotype"/>
          <w:lang w:eastAsia="es-ES"/>
        </w:rPr>
        <w:t xml:space="preserve">asimismo, </w:t>
      </w:r>
      <w:r w:rsidR="00C92DB2" w:rsidRPr="009B6FD5">
        <w:rPr>
          <w:rFonts w:ascii="Palatino Linotype" w:hAnsi="Palatino Linotype" w:cs="Arial"/>
        </w:rPr>
        <w:t>se solicitó un extracto del Manual Administrativo y de Procedimientos donde este asentado el trámite de referencia, punto que también se tuvo por colmado, en razón de las siguientes consideraciones.</w:t>
      </w:r>
    </w:p>
    <w:p w:rsidR="00C92DB2" w:rsidRPr="009B6FD5" w:rsidRDefault="00C92DB2" w:rsidP="009B6FD5">
      <w:pPr>
        <w:spacing w:line="360" w:lineRule="auto"/>
        <w:ind w:right="49"/>
        <w:contextualSpacing/>
        <w:jc w:val="both"/>
        <w:rPr>
          <w:rFonts w:ascii="Palatino Linotype" w:eastAsiaTheme="minorEastAsia" w:hAnsi="Palatino Linotype"/>
          <w:lang w:val="es-ES_tradnl" w:eastAsia="es-ES"/>
        </w:rPr>
      </w:pPr>
    </w:p>
    <w:p w:rsidR="00C92DB2" w:rsidRPr="009B6FD5" w:rsidRDefault="00C92DB2"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hAnsi="Palatino Linotype" w:cs="Arial"/>
        </w:rPr>
        <w:t>El</w:t>
      </w:r>
      <w:r w:rsidRPr="009B6FD5">
        <w:rPr>
          <w:rFonts w:ascii="Palatino Linotype" w:hAnsi="Palatino Linotype" w:cs="Arial"/>
          <w:b/>
        </w:rPr>
        <w:t xml:space="preserve"> SUJETO OBLIGADO, </w:t>
      </w:r>
      <w:r w:rsidRPr="009B6FD5">
        <w:rPr>
          <w:rFonts w:ascii="Palatino Linotype" w:hAnsi="Palatino Linotype" w:cs="Arial"/>
        </w:rPr>
        <w:t>ya informó al solicitante del Manual Catastral para el Estado de México, así como del Código Financiero del Estado de México y Municipios, del que se advierte el trámite de referencia y del cual, el particular de propia cuenta puede obtener el extracto que requiere.</w:t>
      </w:r>
    </w:p>
    <w:p w:rsidR="00C92DB2" w:rsidRPr="009B6FD5" w:rsidRDefault="00C92DB2" w:rsidP="009B6FD5">
      <w:pPr>
        <w:spacing w:line="360" w:lineRule="auto"/>
        <w:ind w:right="49"/>
        <w:contextualSpacing/>
        <w:jc w:val="both"/>
        <w:rPr>
          <w:rFonts w:ascii="Palatino Linotype" w:eastAsiaTheme="minorEastAsia" w:hAnsi="Palatino Linotype"/>
          <w:lang w:val="es-ES_tradnl" w:eastAsia="es-ES"/>
        </w:rPr>
      </w:pPr>
    </w:p>
    <w:p w:rsidR="00C92DB2" w:rsidRPr="009B6FD5" w:rsidRDefault="00C92DB2"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hAnsi="Palatino Linotype" w:cs="Arial"/>
        </w:rPr>
        <w:t xml:space="preserve">En ese sentido, se tiene por colmado el punto de mérito, en virtud de que ya es del conocimiento del particular la normatividad requerida, aun cuando no se haya realizado el extracto como lo peticionó el particular; toda vez que el Derecho de Acceso a la Información Pública se satisface en aquellos casos en que se entregue el soporte documental en que conste la información pública, toda vez que </w:t>
      </w:r>
      <w:r w:rsidRPr="009B6FD5">
        <w:rPr>
          <w:rFonts w:ascii="Palatino Linotype" w:hAnsi="Palatino Linotype" w:cs="Arial"/>
          <w:u w:val="single"/>
        </w:rPr>
        <w:t xml:space="preserve">no se tiene el deber de generar un documento </w:t>
      </w:r>
      <w:r w:rsidRPr="009B6FD5">
        <w:rPr>
          <w:rFonts w:ascii="Palatino Linotype" w:hAnsi="Palatino Linotype" w:cs="Arial"/>
          <w:i/>
          <w:u w:val="single"/>
        </w:rPr>
        <w:t>Ad hoc</w:t>
      </w:r>
      <w:r w:rsidRPr="009B6FD5">
        <w:rPr>
          <w:rFonts w:ascii="Palatino Linotype" w:hAnsi="Palatino Linotype" w:cs="Arial"/>
          <w:u w:val="single"/>
        </w:rPr>
        <w:t>, para satisfacer la solicitud en los términos que el propio particular establezca</w:t>
      </w:r>
      <w:r w:rsidRPr="009B6FD5">
        <w:rPr>
          <w:rFonts w:ascii="Palatino Linotype" w:hAnsi="Palatino Linotype" w:cs="Arial"/>
        </w:rPr>
        <w:t>.</w:t>
      </w:r>
    </w:p>
    <w:p w:rsidR="00C92DB2" w:rsidRPr="009B6FD5" w:rsidRDefault="00C92DB2" w:rsidP="009B6FD5">
      <w:pPr>
        <w:spacing w:line="360" w:lineRule="auto"/>
        <w:ind w:right="49"/>
        <w:contextualSpacing/>
        <w:jc w:val="both"/>
        <w:rPr>
          <w:rFonts w:ascii="Palatino Linotype" w:eastAsiaTheme="minorEastAsia" w:hAnsi="Palatino Linotype"/>
          <w:lang w:val="es-ES_tradnl" w:eastAsia="es-ES"/>
        </w:rPr>
      </w:pPr>
    </w:p>
    <w:p w:rsidR="00C92DB2" w:rsidRPr="009B6FD5" w:rsidRDefault="00C92DB2"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hAnsi="Palatino Linotype" w:cs="Arial"/>
        </w:rPr>
        <w:t xml:space="preserve">Como apoyo a lo anterior, es aplicable por analogía el </w:t>
      </w:r>
      <w:r w:rsidRPr="009B6FD5">
        <w:rPr>
          <w:rFonts w:ascii="Palatino Linotype" w:hAnsi="Palatino Linotype" w:cs="Arial"/>
          <w:b/>
        </w:rPr>
        <w:t>Criterio 03/17</w:t>
      </w:r>
      <w:r w:rsidRPr="009B6FD5">
        <w:rPr>
          <w:rFonts w:ascii="Palatino Linotype" w:hAnsi="Palatino Linotype" w:cs="Arial"/>
        </w:rPr>
        <w:t>, emitido por el Pleno del Instituto Nacional de Transparencia, Acceso a la Información y Protección de Datos Personales (INAI)</w:t>
      </w:r>
      <w:r w:rsidRPr="009B6FD5">
        <w:rPr>
          <w:rFonts w:ascii="Palatino Linotype" w:hAnsi="Palatino Linotype" w:cs="Arial"/>
          <w:bCs/>
        </w:rPr>
        <w:t>, que a la letra dice:</w:t>
      </w:r>
    </w:p>
    <w:p w:rsidR="009B6FD5" w:rsidRPr="009B6FD5" w:rsidRDefault="009B6FD5" w:rsidP="009B6FD5">
      <w:pPr>
        <w:spacing w:line="360" w:lineRule="auto"/>
        <w:ind w:right="49"/>
        <w:contextualSpacing/>
        <w:jc w:val="both"/>
        <w:rPr>
          <w:rFonts w:ascii="Palatino Linotype" w:eastAsiaTheme="minorEastAsia" w:hAnsi="Palatino Linotype"/>
          <w:lang w:val="es-ES_tradnl" w:eastAsia="es-ES"/>
        </w:rPr>
      </w:pPr>
    </w:p>
    <w:p w:rsidR="00C92DB2" w:rsidRPr="009B6FD5" w:rsidRDefault="00C92DB2" w:rsidP="009B6FD5">
      <w:pPr>
        <w:pStyle w:val="Prrafodelista"/>
        <w:spacing w:line="360" w:lineRule="auto"/>
        <w:ind w:left="567" w:right="616"/>
        <w:jc w:val="both"/>
        <w:rPr>
          <w:rFonts w:ascii="Palatino Linotype" w:hAnsi="Palatino Linotype" w:cs="Arial"/>
          <w:bCs/>
          <w:i/>
        </w:rPr>
      </w:pPr>
      <w:r w:rsidRPr="009B6FD5">
        <w:rPr>
          <w:rFonts w:ascii="Palatino Linotype" w:hAnsi="Palatino Linotype" w:cs="Arial"/>
          <w:b/>
          <w:bCs/>
          <w:i/>
        </w:rPr>
        <w:t xml:space="preserve">No existe obligación de elaborar documentos ad hoc para atender las solicitudes de acceso a la información. </w:t>
      </w:r>
      <w:r w:rsidRPr="009B6FD5">
        <w:rPr>
          <w:rFonts w:ascii="Palatino Linotype" w:hAnsi="Palatino Linotype" w:cs="Arial"/>
          <w:bCs/>
          <w:i/>
        </w:rPr>
        <w:t xml:space="preserve">Los artículos 129 de la Ley General de Transparencia y Acceso a la Información Pública y 130, párrafo cuarto, de la Ley Federal de Transparencia </w:t>
      </w:r>
      <w:r w:rsidRPr="009B6FD5">
        <w:rPr>
          <w:rFonts w:ascii="Palatino Linotype" w:hAnsi="Palatino Linotype" w:cs="Arial"/>
          <w:bCs/>
          <w:i/>
        </w:rPr>
        <w:lastRenderedPageBreak/>
        <w:t>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92DB2" w:rsidRPr="009B6FD5" w:rsidRDefault="00C92DB2" w:rsidP="009B6FD5">
      <w:pPr>
        <w:pStyle w:val="Prrafodelista"/>
        <w:spacing w:line="360" w:lineRule="auto"/>
        <w:ind w:left="567" w:right="616"/>
        <w:jc w:val="both"/>
        <w:rPr>
          <w:rFonts w:ascii="Palatino Linotype" w:hAnsi="Palatino Linotype" w:cs="Arial"/>
          <w:b/>
          <w:bCs/>
          <w:i/>
        </w:rPr>
      </w:pPr>
      <w:r w:rsidRPr="009B6FD5">
        <w:rPr>
          <w:rFonts w:ascii="Palatino Linotype" w:hAnsi="Palatino Linotype" w:cs="Arial"/>
          <w:b/>
          <w:bCs/>
          <w:i/>
        </w:rPr>
        <w:t>Resoluciones:</w:t>
      </w:r>
    </w:p>
    <w:p w:rsidR="00C92DB2" w:rsidRPr="009B6FD5" w:rsidRDefault="00C92DB2" w:rsidP="009B6FD5">
      <w:pPr>
        <w:pStyle w:val="Prrafodelista"/>
        <w:spacing w:line="360" w:lineRule="auto"/>
        <w:ind w:left="567" w:right="618"/>
        <w:jc w:val="both"/>
        <w:rPr>
          <w:rFonts w:ascii="Palatino Linotype" w:hAnsi="Palatino Linotype" w:cs="Arial"/>
          <w:bCs/>
          <w:i/>
        </w:rPr>
      </w:pPr>
      <w:r w:rsidRPr="009B6FD5">
        <w:rPr>
          <w:rFonts w:ascii="Palatino Linotype" w:hAnsi="Palatino Linotype" w:cs="Arial"/>
          <w:bCs/>
          <w:i/>
        </w:rPr>
        <w:t>RRA 0050/16. Instituto Nacional para la Evaluación de la Educación. 13 julio de 2016. Por unanimidad. Comisionado Ponente: Francisco Javier Acuña Llamas.</w:t>
      </w:r>
    </w:p>
    <w:p w:rsidR="00C92DB2" w:rsidRPr="009B6FD5" w:rsidRDefault="00C92DB2" w:rsidP="009B6FD5">
      <w:pPr>
        <w:pStyle w:val="Prrafodelista"/>
        <w:spacing w:line="360" w:lineRule="auto"/>
        <w:ind w:left="567" w:right="618"/>
        <w:jc w:val="both"/>
        <w:rPr>
          <w:rFonts w:ascii="Palatino Linotype" w:hAnsi="Palatino Linotype" w:cs="Arial"/>
          <w:bCs/>
          <w:i/>
        </w:rPr>
      </w:pPr>
      <w:r w:rsidRPr="009B6FD5">
        <w:rPr>
          <w:rFonts w:ascii="Palatino Linotype" w:hAnsi="Palatino Linotype" w:cs="Arial"/>
          <w:bCs/>
          <w:i/>
        </w:rPr>
        <w:t>RRA 0310/16. Instituto Nacional de Transparencia, Acceso a la Información y Protección de Datos Personales. 10 de agosto de 2016. Por unanimidad. Comisionada Ponente. Areli Cano Guadiana.</w:t>
      </w:r>
    </w:p>
    <w:p w:rsidR="00A02D82" w:rsidRPr="009B6FD5" w:rsidRDefault="00C92DB2" w:rsidP="009B6FD5">
      <w:pPr>
        <w:pStyle w:val="Prrafodelista"/>
        <w:spacing w:line="360" w:lineRule="auto"/>
        <w:ind w:left="567" w:right="618"/>
        <w:jc w:val="both"/>
        <w:rPr>
          <w:rFonts w:ascii="Palatino Linotype" w:hAnsi="Palatino Linotype" w:cs="Arial"/>
          <w:bCs/>
          <w:i/>
        </w:rPr>
      </w:pPr>
      <w:r w:rsidRPr="009B6FD5">
        <w:rPr>
          <w:rFonts w:ascii="Palatino Linotype" w:hAnsi="Palatino Linotype" w:cs="Arial"/>
          <w:bCs/>
          <w:i/>
        </w:rPr>
        <w:t>RRA 1889/16. Secretaría de Hacienda y Crédito Público. 05 de octubre de 2016. Por unanimidad. Comisionada Ponente. Ximena Puente de la Mora.</w:t>
      </w:r>
    </w:p>
    <w:p w:rsidR="00ED78EA" w:rsidRPr="009B6FD5" w:rsidRDefault="00ED78EA" w:rsidP="009B6FD5">
      <w:pPr>
        <w:spacing w:line="360" w:lineRule="auto"/>
        <w:ind w:right="49"/>
        <w:contextualSpacing/>
        <w:jc w:val="both"/>
        <w:rPr>
          <w:rFonts w:ascii="Palatino Linotype" w:eastAsiaTheme="minorEastAsia" w:hAnsi="Palatino Linotype"/>
          <w:lang w:eastAsia="es-ES"/>
        </w:rPr>
      </w:pPr>
    </w:p>
    <w:p w:rsidR="002F0045" w:rsidRPr="009B6FD5"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eastAsiaTheme="minorEastAsia" w:hAnsi="Palatino Linotype"/>
          <w:lang w:eastAsia="es-ES"/>
        </w:rPr>
        <w:t>De la información solicitada sobre el área para realizar el trámite; duración del trámite; nombre del titular del área y su ubicación; y nombre de los servidores públicos que se encargan de la recepción del trámite, el Sujeto Obligado no se pronunció; en este caso, de los preceptos legales señalados en párrafos anteriores, se advierte que el Sujeto Obligado tiene atribuciones para conocer la información solicitada.</w:t>
      </w:r>
    </w:p>
    <w:p w:rsidR="002F0045" w:rsidRPr="009B6FD5" w:rsidRDefault="002F0045" w:rsidP="009B6FD5">
      <w:pPr>
        <w:spacing w:line="360" w:lineRule="auto"/>
        <w:ind w:right="49"/>
        <w:contextualSpacing/>
        <w:jc w:val="both"/>
        <w:rPr>
          <w:rFonts w:ascii="Palatino Linotype" w:eastAsiaTheme="minorEastAsia" w:hAnsi="Palatino Linotype"/>
          <w:lang w:eastAsia="es-ES"/>
        </w:rPr>
      </w:pPr>
    </w:p>
    <w:p w:rsidR="002F0045" w:rsidRPr="009B6FD5" w:rsidRDefault="007C0134"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eastAsiaTheme="minorEastAsia" w:hAnsi="Palatino Linotype"/>
          <w:lang w:val="es-ES_tradnl" w:eastAsia="es-ES"/>
        </w:rPr>
        <w:t xml:space="preserve">Por otro lado, el particular también solicitó </w:t>
      </w:r>
      <w:r w:rsidRPr="009B6FD5">
        <w:rPr>
          <w:rFonts w:ascii="Palatino Linotype" w:eastAsiaTheme="minorEastAsia" w:hAnsi="Palatino Linotype"/>
          <w:lang w:eastAsia="es-ES"/>
        </w:rPr>
        <w:t xml:space="preserve">el último tres expedientes que obran en los archivos del Sujeto Obligado del trámite para solicitar una cuenta predial, el </w:t>
      </w:r>
      <w:r w:rsidRPr="009B6FD5">
        <w:rPr>
          <w:rFonts w:ascii="Palatino Linotype" w:eastAsiaTheme="minorEastAsia" w:hAnsi="Palatino Linotype"/>
          <w:lang w:eastAsia="es-ES"/>
        </w:rPr>
        <w:lastRenderedPageBreak/>
        <w:t>sujeto obligado manifestó que “</w:t>
      </w:r>
      <w:r w:rsidRPr="009B6FD5">
        <w:rPr>
          <w:rFonts w:ascii="Palatino Linotype" w:eastAsiaTheme="minorEastAsia" w:hAnsi="Palatino Linotype"/>
          <w:i/>
          <w:lang w:eastAsia="es-ES"/>
        </w:rPr>
        <w:t xml:space="preserve">no a lugar”, </w:t>
      </w:r>
      <w:r w:rsidR="00D70833" w:rsidRPr="009B6FD5">
        <w:rPr>
          <w:rFonts w:ascii="Palatino Linotype" w:eastAsiaTheme="minorEastAsia" w:hAnsi="Palatino Linotype"/>
          <w:lang w:eastAsia="es-ES"/>
        </w:rPr>
        <w:t>derivado de que toda documentación anexa a las solicitudes de servicios catastrales a petición de parte es de uso y manejo exclusivo de la autoridad competente, salvo los servicios solicitados donde se acredite el interés jurídico del o los inmuebles a petici</w:t>
      </w:r>
      <w:r w:rsidR="00FE48D0" w:rsidRPr="009B6FD5">
        <w:rPr>
          <w:rFonts w:ascii="Palatino Linotype" w:eastAsiaTheme="minorEastAsia" w:hAnsi="Palatino Linotype"/>
          <w:lang w:eastAsia="es-ES"/>
        </w:rPr>
        <w:t xml:space="preserve">ón; </w:t>
      </w:r>
      <w:r w:rsidR="002F0045" w:rsidRPr="009B6FD5">
        <w:rPr>
          <w:rFonts w:ascii="Palatino Linotype" w:hAnsi="Palatino Linotype" w:cs="Arial"/>
          <w:lang w:val="es-ES" w:eastAsia="es-ES"/>
        </w:rPr>
        <w:t xml:space="preserve">al respecto, debe señalarse primeramente, que dada la propia y especial naturaleza de los expedientes solicitados, contienen invariablemente datos personales susceptibles de ser protegidos; no obstante el precepto jurídico invocado por el </w:t>
      </w:r>
      <w:r w:rsidR="002F0045" w:rsidRPr="009B6FD5">
        <w:rPr>
          <w:rFonts w:ascii="Palatino Linotype" w:hAnsi="Palatino Linotype" w:cs="Arial"/>
          <w:b/>
          <w:lang w:val="es-ES" w:eastAsia="es-ES"/>
        </w:rPr>
        <w:t>SUJETO OBLIGADO</w:t>
      </w:r>
      <w:r w:rsidR="002F0045" w:rsidRPr="009B6FD5">
        <w:rPr>
          <w:rFonts w:ascii="Palatino Linotype" w:hAnsi="Palatino Linotype" w:cs="Arial"/>
          <w:lang w:val="es-ES" w:eastAsia="es-ES"/>
        </w:rPr>
        <w:t xml:space="preserve"> resulta inaplicable, en virtud de que el mismo corresponde a los supuestos de la emisión de certificaciones y constancias, lo que no implica un impedimento para poder acceder al soporte documental requerido, en versión pública protegiendo datos personales.</w:t>
      </w:r>
    </w:p>
    <w:p w:rsidR="002F0045" w:rsidRPr="009B6FD5" w:rsidRDefault="002F0045" w:rsidP="009B6FD5">
      <w:pPr>
        <w:spacing w:line="360" w:lineRule="auto"/>
        <w:ind w:right="49"/>
        <w:contextualSpacing/>
        <w:jc w:val="both"/>
        <w:rPr>
          <w:rFonts w:ascii="Palatino Linotype" w:eastAsiaTheme="minorEastAsia" w:hAnsi="Palatino Linotype"/>
          <w:lang w:eastAsia="es-ES"/>
        </w:rPr>
      </w:pPr>
    </w:p>
    <w:p w:rsidR="002F0045" w:rsidRPr="009B6FD5"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2F0045">
        <w:rPr>
          <w:rFonts w:ascii="Palatino Linotype" w:hAnsi="Palatino Linotype" w:cs="Arial"/>
          <w:lang w:val="es-ES" w:eastAsia="es-ES"/>
        </w:rPr>
        <w:t>Ahora bien, del contenido de los expedientes, además de datos personales de los particulares promoventes, se desprende la clave catastral en sí misma, la cual ya se refirió anteriormente, corresponde a un código único e irrepetible compuesto con caracteres que permiten la identificación de un inmueble y por tanto, al relacionarse directamente con su propietario, proporcionaría información de éste.</w:t>
      </w:r>
    </w:p>
    <w:p w:rsidR="002F0045" w:rsidRPr="009B6FD5" w:rsidRDefault="002F0045" w:rsidP="009B6FD5">
      <w:pPr>
        <w:spacing w:line="360" w:lineRule="auto"/>
        <w:ind w:right="49"/>
        <w:contextualSpacing/>
        <w:jc w:val="both"/>
        <w:rPr>
          <w:rFonts w:ascii="Palatino Linotype" w:eastAsiaTheme="minorEastAsia" w:hAnsi="Palatino Linotype"/>
          <w:lang w:eastAsia="es-ES"/>
        </w:rPr>
      </w:pPr>
    </w:p>
    <w:p w:rsidR="002F0045" w:rsidRPr="009B6FD5"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2F0045">
        <w:rPr>
          <w:rFonts w:ascii="Palatino Linotype" w:hAnsi="Palatino Linotype" w:cs="Arial"/>
          <w:lang w:val="es-ES" w:eastAsia="es-ES"/>
        </w:rPr>
        <w:t xml:space="preserve">Ello en razón, de que la clave catastral y correlativo a ello el valor catastral, al obtenerse a través de datos específicos del inmueble, que se relacionen a su vez con el valor de inmueble y el valor por construcción, </w:t>
      </w:r>
      <w:r w:rsidRPr="002F0045">
        <w:rPr>
          <w:rFonts w:ascii="Palatino Linotype" w:hAnsi="Palatino Linotype" w:cs="Arial"/>
          <w:u w:val="single"/>
          <w:lang w:val="es-ES" w:eastAsia="es-ES"/>
        </w:rPr>
        <w:t>esto es información que indudablemente le concierne única y exclusivamente a su titular y no así a terceros, es decir, esta no corresponde a información que deba de transparentarse por que se involucren recursos públicos o bien el ejercicio de las atribuciones de una autoridad</w:t>
      </w:r>
      <w:r w:rsidRPr="009B6FD5">
        <w:rPr>
          <w:rFonts w:ascii="Palatino Linotype" w:hAnsi="Palatino Linotype" w:cs="Arial"/>
          <w:lang w:val="es-ES" w:eastAsia="es-ES"/>
        </w:rPr>
        <w:t>.</w:t>
      </w:r>
    </w:p>
    <w:p w:rsidR="002F0045" w:rsidRPr="009B6FD5" w:rsidRDefault="002F0045" w:rsidP="009B6FD5">
      <w:pPr>
        <w:spacing w:line="360" w:lineRule="auto"/>
        <w:ind w:right="49"/>
        <w:contextualSpacing/>
        <w:jc w:val="both"/>
        <w:rPr>
          <w:rFonts w:ascii="Palatino Linotype" w:eastAsiaTheme="minorEastAsia" w:hAnsi="Palatino Linotype"/>
          <w:lang w:eastAsia="es-ES"/>
        </w:rPr>
      </w:pPr>
    </w:p>
    <w:p w:rsidR="002F0045" w:rsidRPr="009B6FD5"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rPr>
        <w:lastRenderedPageBreak/>
        <w:t>L</w:t>
      </w:r>
      <w:r w:rsidRPr="002F0045">
        <w:rPr>
          <w:rFonts w:ascii="Palatino Linotype" w:hAnsi="Palatino Linotype"/>
        </w:rPr>
        <w:t>a información confidencial debemos entenderla como aquella que se clasifica de manera permanente por su propia naturaleza y que, en términos del artículo 143 de la citada Ley de Transparencia, comprende la siguiente información:</w:t>
      </w:r>
    </w:p>
    <w:p w:rsidR="002F0045" w:rsidRPr="009B6FD5" w:rsidRDefault="002F0045" w:rsidP="009B6FD5">
      <w:pPr>
        <w:spacing w:line="360" w:lineRule="auto"/>
        <w:ind w:right="49"/>
        <w:contextualSpacing/>
        <w:jc w:val="both"/>
        <w:rPr>
          <w:rFonts w:ascii="Palatino Linotype" w:eastAsiaTheme="minorEastAsia" w:hAnsi="Palatino Linotype"/>
          <w:lang w:eastAsia="es-ES"/>
        </w:rPr>
      </w:pPr>
    </w:p>
    <w:p w:rsidR="002F0045" w:rsidRPr="002F0045" w:rsidRDefault="002F0045" w:rsidP="009B6FD5">
      <w:pPr>
        <w:numPr>
          <w:ilvl w:val="0"/>
          <w:numId w:val="29"/>
        </w:numPr>
        <w:spacing w:line="360" w:lineRule="auto"/>
        <w:ind w:left="1134" w:hanging="567"/>
        <w:contextualSpacing/>
        <w:jc w:val="both"/>
        <w:rPr>
          <w:rFonts w:ascii="Palatino Linotype" w:hAnsi="Palatino Linotype"/>
          <w:lang w:val="es-ES" w:eastAsia="es-ES"/>
        </w:rPr>
      </w:pPr>
      <w:r w:rsidRPr="002F0045">
        <w:rPr>
          <w:rFonts w:ascii="Palatino Linotype" w:hAnsi="Palatino Linotype"/>
          <w:b/>
          <w:lang w:val="es-ES" w:eastAsia="es-ES"/>
        </w:rPr>
        <w:t>Se refiera a la información privada y los datos personales concernientes a una persona física o jurídico colectiva identificada o identificable</w:t>
      </w:r>
      <w:r w:rsidRPr="002F0045">
        <w:rPr>
          <w:rFonts w:ascii="Palatino Linotype" w:hAnsi="Palatino Linotype"/>
          <w:lang w:val="es-ES" w:eastAsia="es-ES"/>
        </w:rPr>
        <w:t>;</w:t>
      </w:r>
    </w:p>
    <w:p w:rsidR="002F0045" w:rsidRPr="002F0045" w:rsidRDefault="002F0045" w:rsidP="009B6FD5">
      <w:pPr>
        <w:numPr>
          <w:ilvl w:val="0"/>
          <w:numId w:val="29"/>
        </w:numPr>
        <w:spacing w:line="360" w:lineRule="auto"/>
        <w:ind w:left="1134" w:hanging="567"/>
        <w:contextualSpacing/>
        <w:jc w:val="both"/>
        <w:rPr>
          <w:rFonts w:ascii="Palatino Linotype" w:hAnsi="Palatino Linotype"/>
          <w:lang w:val="es-ES" w:eastAsia="es-ES"/>
        </w:rPr>
      </w:pPr>
      <w:r w:rsidRPr="002F0045">
        <w:rPr>
          <w:rFonts w:ascii="Palatino Linotype" w:hAnsi="Palatino Linotyp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rsidR="002F0045" w:rsidRPr="002F0045" w:rsidRDefault="002F0045" w:rsidP="009B6FD5">
      <w:pPr>
        <w:numPr>
          <w:ilvl w:val="0"/>
          <w:numId w:val="29"/>
        </w:numPr>
        <w:spacing w:line="360" w:lineRule="auto"/>
        <w:ind w:left="1134" w:hanging="567"/>
        <w:contextualSpacing/>
        <w:jc w:val="both"/>
        <w:rPr>
          <w:rFonts w:ascii="Palatino Linotype" w:hAnsi="Palatino Linotype"/>
          <w:lang w:val="es-ES" w:eastAsia="es-ES"/>
        </w:rPr>
      </w:pPr>
      <w:r w:rsidRPr="002F0045">
        <w:rPr>
          <w:rFonts w:ascii="Palatino Linotype" w:hAnsi="Palatino Linotype"/>
          <w:lang w:val="es-ES" w:eastAsia="es-ES"/>
        </w:rPr>
        <w:t>La que presenten los particulares a los sujetos obligados, de conformidad con lo dispuesto por las leyes o los tratados internacionales.</w:t>
      </w:r>
    </w:p>
    <w:p w:rsidR="002F0045" w:rsidRPr="009B6FD5" w:rsidRDefault="002F0045" w:rsidP="009B6FD5">
      <w:pPr>
        <w:spacing w:line="360" w:lineRule="auto"/>
        <w:ind w:right="49"/>
        <w:contextualSpacing/>
        <w:jc w:val="both"/>
        <w:rPr>
          <w:rFonts w:ascii="Palatino Linotype" w:eastAsiaTheme="minorEastAsia" w:hAnsi="Palatino Linotype"/>
          <w:lang w:eastAsia="es-ES"/>
        </w:rPr>
      </w:pPr>
    </w:p>
    <w:p w:rsidR="002F0045" w:rsidRPr="009B6FD5"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2F0045">
        <w:rPr>
          <w:rFonts w:ascii="Palatino Linotype" w:hAnsi="Palatino Linotype"/>
          <w:lang w:val="es-ES" w:eastAsia="es-ES"/>
        </w:rPr>
        <w:t xml:space="preserve">De este modo, se debe dejar en claro que vía acceso a la información, cuando se </w:t>
      </w:r>
      <w:r w:rsidRPr="002F0045">
        <w:rPr>
          <w:rFonts w:ascii="Palatino Linotype" w:hAnsi="Palatino Linotype" w:cs="Arial"/>
          <w:lang w:val="es-ES" w:eastAsia="es-ES"/>
        </w:rPr>
        <w:t>realizan</w:t>
      </w:r>
      <w:r w:rsidRPr="002F0045">
        <w:rPr>
          <w:rFonts w:ascii="Palatino Linotype" w:hAnsi="Palatino Linotype"/>
          <w:lang w:val="es-ES" w:eastAsia="es-ES"/>
        </w:rPr>
        <w:t xml:space="preserve"> solicitudes que tienen relación con datos personales, lo correcto es que los sujetos obligados realicen la clasificación de la información, y que en el caso particular es por ser de carácter confidencial; y posterior a ello, notifiquen los acuerdos que sustenten los razonamientos que sustenten tal situación.</w:t>
      </w:r>
    </w:p>
    <w:p w:rsidR="002F0045" w:rsidRPr="009B6FD5" w:rsidRDefault="002F0045" w:rsidP="009B6FD5">
      <w:pPr>
        <w:spacing w:line="360" w:lineRule="auto"/>
        <w:ind w:right="49"/>
        <w:contextualSpacing/>
        <w:jc w:val="both"/>
        <w:rPr>
          <w:rFonts w:ascii="Palatino Linotype" w:eastAsiaTheme="minorEastAsia" w:hAnsi="Palatino Linotype"/>
          <w:lang w:eastAsia="es-ES"/>
        </w:rPr>
      </w:pPr>
    </w:p>
    <w:p w:rsidR="002F0045" w:rsidRPr="009B6FD5"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2F0045">
        <w:rPr>
          <w:rFonts w:ascii="Palatino Linotype" w:hAnsi="Palatino Linotype"/>
          <w:lang w:val="es-ES" w:eastAsia="es-ES"/>
        </w:rPr>
        <w:t>En virtud de lo anterior, se puede llegar a las siguientes conclusiones:</w:t>
      </w:r>
    </w:p>
    <w:p w:rsidR="002F0045" w:rsidRPr="009B6FD5" w:rsidRDefault="002F0045" w:rsidP="009B6FD5">
      <w:pPr>
        <w:spacing w:line="360" w:lineRule="auto"/>
        <w:ind w:right="49"/>
        <w:contextualSpacing/>
        <w:jc w:val="both"/>
        <w:rPr>
          <w:rFonts w:ascii="Palatino Linotype" w:eastAsiaTheme="minorEastAsia" w:hAnsi="Palatino Linotype"/>
          <w:lang w:eastAsia="es-ES"/>
        </w:rPr>
      </w:pPr>
    </w:p>
    <w:p w:rsidR="002F0045" w:rsidRPr="002F0045" w:rsidRDefault="002F0045" w:rsidP="009B6FD5">
      <w:pPr>
        <w:numPr>
          <w:ilvl w:val="0"/>
          <w:numId w:val="28"/>
        </w:numPr>
        <w:spacing w:line="360" w:lineRule="auto"/>
        <w:contextualSpacing/>
        <w:jc w:val="both"/>
        <w:rPr>
          <w:rFonts w:ascii="Palatino Linotype" w:hAnsi="Palatino Linotype"/>
          <w:lang w:val="es-ES" w:eastAsia="es-ES"/>
        </w:rPr>
      </w:pPr>
      <w:r w:rsidRPr="002F0045">
        <w:rPr>
          <w:rFonts w:ascii="Palatino Linotype" w:hAnsi="Palatino Linotype"/>
          <w:lang w:val="es-ES" w:eastAsia="es-ES"/>
        </w:rPr>
        <w:t>Acceder a información sobre claves catastrales es un derecho que le corresponde únicamente al titular de la misma; y</w:t>
      </w:r>
    </w:p>
    <w:p w:rsidR="002F0045" w:rsidRPr="002F0045" w:rsidRDefault="002F0045" w:rsidP="009B6FD5">
      <w:pPr>
        <w:numPr>
          <w:ilvl w:val="0"/>
          <w:numId w:val="28"/>
        </w:numPr>
        <w:spacing w:line="360" w:lineRule="auto"/>
        <w:contextualSpacing/>
        <w:jc w:val="both"/>
        <w:rPr>
          <w:rFonts w:ascii="Palatino Linotype" w:hAnsi="Palatino Linotype"/>
          <w:lang w:val="es-ES" w:eastAsia="es-ES"/>
        </w:rPr>
      </w:pPr>
      <w:r w:rsidRPr="002F0045">
        <w:rPr>
          <w:rFonts w:ascii="Palatino Linotype" w:hAnsi="Palatino Linotype"/>
          <w:lang w:val="es-ES" w:eastAsia="es-ES"/>
        </w:rPr>
        <w:t>Cuando se solicita información sobre claves catastrales de un tercero vía acceso a la información, lo procedente es clasificar la misma como confidencial.</w:t>
      </w:r>
    </w:p>
    <w:p w:rsidR="002F0045" w:rsidRPr="009B6FD5" w:rsidRDefault="002F0045" w:rsidP="009B6FD5">
      <w:pPr>
        <w:spacing w:line="360" w:lineRule="auto"/>
        <w:ind w:right="49"/>
        <w:contextualSpacing/>
        <w:jc w:val="both"/>
        <w:rPr>
          <w:rFonts w:ascii="Palatino Linotype" w:eastAsiaTheme="minorEastAsia" w:hAnsi="Palatino Linotype"/>
          <w:lang w:eastAsia="es-ES"/>
        </w:rPr>
      </w:pPr>
    </w:p>
    <w:p w:rsidR="002F0045" w:rsidRPr="009B6FD5"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2F0045">
        <w:rPr>
          <w:rFonts w:ascii="Palatino Linotype" w:hAnsi="Palatino Linotype" w:cs="Arial"/>
          <w:color w:val="000000"/>
          <w:lang w:val="es-ES_tradnl" w:eastAsia="es-ES"/>
        </w:rPr>
        <w:t xml:space="preserve">No obstante lo anterior, se reitera que se puede acceder a los protegiendo los datos personales a través de una versión pública; ello en virtud que el </w:t>
      </w:r>
      <w:r w:rsidRPr="002F0045">
        <w:rPr>
          <w:rFonts w:ascii="Palatino Linotype" w:hAnsi="Palatino Linotype"/>
          <w:lang w:val="es-ES" w:eastAsia="es-ES"/>
        </w:rPr>
        <w:t>acceso</w:t>
      </w:r>
      <w:r w:rsidRPr="002F0045">
        <w:rPr>
          <w:rFonts w:ascii="Palatino Linotype" w:hAnsi="Palatino Linotype" w:cs="Arial"/>
          <w:color w:val="000000"/>
          <w:lang w:val="es-ES_tradnl" w:eastAsia="es-ES"/>
        </w:rPr>
        <w:t xml:space="preserve">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2F0045" w:rsidRPr="009B6FD5" w:rsidRDefault="002F0045" w:rsidP="009B6FD5">
      <w:pPr>
        <w:spacing w:line="360" w:lineRule="auto"/>
        <w:ind w:right="49"/>
        <w:contextualSpacing/>
        <w:jc w:val="both"/>
        <w:rPr>
          <w:rFonts w:ascii="Palatino Linotype" w:eastAsiaTheme="minorEastAsia" w:hAnsi="Palatino Linotype"/>
          <w:lang w:eastAsia="es-ES"/>
        </w:rPr>
      </w:pPr>
    </w:p>
    <w:p w:rsidR="002F0045" w:rsidRPr="009B6FD5"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2F0045">
        <w:rPr>
          <w:rFonts w:ascii="Palatino Linotype" w:eastAsia="MS Mincho" w:hAnsi="Palatino Linotype"/>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2F0045" w:rsidRPr="009B6FD5" w:rsidRDefault="002F0045" w:rsidP="009B6FD5">
      <w:pPr>
        <w:spacing w:line="360" w:lineRule="auto"/>
        <w:ind w:right="49"/>
        <w:contextualSpacing/>
        <w:jc w:val="both"/>
        <w:rPr>
          <w:rFonts w:ascii="Palatino Linotype" w:eastAsiaTheme="minorEastAsia" w:hAnsi="Palatino Linotype"/>
          <w:lang w:eastAsia="es-ES"/>
        </w:rPr>
      </w:pPr>
    </w:p>
    <w:p w:rsidR="002F0045" w:rsidRPr="009B6FD5"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2F0045">
        <w:rPr>
          <w:rFonts w:ascii="Palatino Linotype" w:hAnsi="Palatino Linotype" w:cs="Arial"/>
          <w:lang w:val="es-ES" w:eastAsia="es-ES"/>
        </w:rPr>
        <w:t xml:space="preserve">En </w:t>
      </w:r>
      <w:r w:rsidRPr="002F0045">
        <w:rPr>
          <w:rFonts w:ascii="Palatino Linotype" w:eastAsia="MS Mincho" w:hAnsi="Palatino Linotype"/>
          <w:lang w:val="es-ES_tradnl" w:eastAsia="es-ES"/>
        </w:rPr>
        <w:t>virtud</w:t>
      </w:r>
      <w:r w:rsidRPr="002F0045">
        <w:rPr>
          <w:rFonts w:ascii="Palatino Linotype" w:hAnsi="Palatino Linotype" w:cs="Arial"/>
          <w:lang w:val="es-ES" w:eastAsia="es-ES"/>
        </w:rPr>
        <w:t xml:space="preserve"> de ello, en cuanto al derecho humano de acceso a la información pública la información en posesión de las autoridades municipales es pública. Los Sujetos Obligados para efectos de transparentar y permitir el acceso a la información pública que posean, y están obligados a documentar todo acto que derive del ejercicio </w:t>
      </w:r>
      <w:r w:rsidRPr="002F0045">
        <w:rPr>
          <w:rFonts w:ascii="Palatino Linotype" w:hAnsi="Palatino Linotype" w:cs="Arial"/>
          <w:lang w:val="es-ES" w:eastAsia="es-ES"/>
        </w:rPr>
        <w:lastRenderedPageBreak/>
        <w:t xml:space="preserve">de sus facultades, competencias o funciones. En ese sentido, debe privilegiarse en todo momento el principio de </w:t>
      </w:r>
      <w:r w:rsidRPr="002F0045">
        <w:rPr>
          <w:rFonts w:ascii="Palatino Linotype" w:hAnsi="Palatino Linotype" w:cs="Arial"/>
          <w:b/>
          <w:lang w:val="es-ES" w:eastAsia="es-ES"/>
        </w:rPr>
        <w:t>máxima publicidad</w:t>
      </w:r>
      <w:r w:rsidRPr="002F0045">
        <w:rPr>
          <w:rFonts w:ascii="Palatino Linotype" w:hAnsi="Palatino Linotype" w:cs="Arial"/>
          <w:lang w:val="es-ES" w:eastAsia="es-ES"/>
        </w:rPr>
        <w:t>.</w:t>
      </w:r>
    </w:p>
    <w:p w:rsidR="002F0045" w:rsidRPr="009B6FD5" w:rsidRDefault="002F0045" w:rsidP="009B6FD5">
      <w:pPr>
        <w:spacing w:line="360" w:lineRule="auto"/>
        <w:ind w:right="49"/>
        <w:contextualSpacing/>
        <w:jc w:val="both"/>
        <w:rPr>
          <w:rFonts w:ascii="Palatino Linotype" w:eastAsiaTheme="minorEastAsia" w:hAnsi="Palatino Linotype"/>
          <w:lang w:eastAsia="es-ES"/>
        </w:rPr>
      </w:pPr>
    </w:p>
    <w:p w:rsidR="002F0045" w:rsidRPr="009B6FD5"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2F0045">
        <w:rPr>
          <w:rFonts w:ascii="Palatino Linotype" w:hAnsi="Palatino Linotype" w:cs="Arial"/>
          <w:lang w:val="es-ES" w:eastAsia="es-ES"/>
        </w:rPr>
        <w:t xml:space="preserve">Por lo que en cumplimiento a las obligaciones que establece nuestra Carta Magna, la Constitución Estatal y la Ley de la materia le imponen, el </w:t>
      </w:r>
      <w:r w:rsidRPr="002F0045">
        <w:rPr>
          <w:rFonts w:ascii="Palatino Linotype" w:hAnsi="Palatino Linotype" w:cs="Arial"/>
          <w:b/>
          <w:lang w:val="es-ES" w:eastAsia="es-ES"/>
        </w:rPr>
        <w:t>SUJETO OBLIGADO</w:t>
      </w:r>
      <w:r w:rsidRPr="002F0045">
        <w:rPr>
          <w:rFonts w:ascii="Palatino Linotype" w:hAnsi="Palatino Linotype" w:cs="Arial"/>
          <w:lang w:val="es-ES" w:eastAsia="es-ES"/>
        </w:rPr>
        <w:t xml:space="preserve"> está constreñido a dar atención a las solicitudes de información que a través del SAIMEX o de vía directa le sean presentadas en ejercicio del derecho humano de acceso a la información pública.</w:t>
      </w:r>
    </w:p>
    <w:p w:rsidR="002F0045" w:rsidRPr="009B6FD5" w:rsidRDefault="002F0045" w:rsidP="009B6FD5">
      <w:pPr>
        <w:spacing w:line="360" w:lineRule="auto"/>
        <w:ind w:right="49"/>
        <w:contextualSpacing/>
        <w:jc w:val="both"/>
        <w:rPr>
          <w:rFonts w:ascii="Palatino Linotype" w:eastAsiaTheme="minorEastAsia" w:hAnsi="Palatino Linotype"/>
          <w:lang w:eastAsia="es-ES"/>
        </w:rPr>
      </w:pPr>
    </w:p>
    <w:p w:rsidR="002F0045" w:rsidRPr="009B6FD5"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2F0045">
        <w:rPr>
          <w:rFonts w:ascii="Palatino Linotype" w:eastAsia="Calibri" w:hAnsi="Palatino Linotype"/>
          <w:lang w:eastAsia="es-ES"/>
        </w:rPr>
        <w:t>En ese sentido, es importante establecer</w:t>
      </w:r>
      <w:r w:rsidRPr="002F0045">
        <w:rPr>
          <w:rFonts w:ascii="Palatino Linotype" w:hAnsi="Palatino Linotype"/>
          <w:lang w:val="es-ES" w:eastAsia="es-ES"/>
        </w:rPr>
        <w:t xml:space="preserve"> </w:t>
      </w:r>
      <w:r w:rsidRPr="002F0045">
        <w:rPr>
          <w:rFonts w:ascii="Palatino Linotype" w:hAnsi="Palatino Linotype" w:cs="Arial"/>
          <w:color w:val="000000"/>
          <w:lang w:val="es-ES"/>
        </w:rPr>
        <w:t xml:space="preserve">que </w:t>
      </w:r>
      <w:r w:rsidRPr="002F0045">
        <w:rPr>
          <w:rFonts w:ascii="Palatino Linotype" w:hAnsi="Palatino Linotype"/>
          <w:color w:val="000000"/>
          <w:lang w:val="es-ES" w:eastAsia="es-ES"/>
        </w:rPr>
        <w:t xml:space="preserve">el Derecho que tutela este Órgano Garante corresponde a la </w:t>
      </w:r>
      <w:r w:rsidRPr="002F0045">
        <w:rPr>
          <w:rFonts w:ascii="Palatino Linotype" w:hAnsi="Palatino Linotype" w:cs="Arial"/>
          <w:color w:val="000000"/>
          <w:lang w:val="es-ES"/>
        </w:rPr>
        <w:t xml:space="preserve"> </w:t>
      </w:r>
      <w:r w:rsidRPr="002F0045">
        <w:rPr>
          <w:rFonts w:ascii="Palatino Linotype" w:eastAsia="MS Mincho" w:hAnsi="Palatino Linotype"/>
          <w:i/>
          <w:lang w:val="es-ES" w:eastAsia="es-ES"/>
        </w:rPr>
        <w:t>igualdad de oportunidades para recibir, buscar e impartir información</w:t>
      </w:r>
      <w:r w:rsidRPr="009B6FD5">
        <w:rPr>
          <w:rFonts w:ascii="Palatino Linotype" w:eastAsia="MS Mincho" w:hAnsi="Palatino Linotype"/>
          <w:i/>
          <w:vertAlign w:val="superscript"/>
          <w:lang w:val="es-ES" w:eastAsia="es-ES"/>
        </w:rPr>
        <w:footnoteReference w:id="5"/>
      </w:r>
      <w:r w:rsidRPr="002F0045">
        <w:rPr>
          <w:rFonts w:ascii="Palatino Linotype" w:eastAsia="MS Mincho" w:hAnsi="Palatino Linotype"/>
          <w:i/>
          <w:lang w:val="es-ES" w:eastAsia="es-ES"/>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B6FD5">
        <w:rPr>
          <w:rFonts w:ascii="Palatino Linotype" w:eastAsia="MS Mincho" w:hAnsi="Palatino Linotype"/>
          <w:vertAlign w:val="superscript"/>
          <w:lang w:val="es-ES" w:eastAsia="es-ES"/>
        </w:rPr>
        <w:footnoteReference w:id="6"/>
      </w:r>
      <w:r w:rsidRPr="002F0045">
        <w:rPr>
          <w:rFonts w:ascii="Palatino Linotype" w:eastAsia="MS Mincho" w:hAnsi="Palatino Linotype"/>
          <w:i/>
          <w:lang w:val="es-ES" w:eastAsia="es-ES"/>
        </w:rPr>
        <w:t xml:space="preserve"> </w:t>
      </w:r>
      <w:r w:rsidRPr="002F0045">
        <w:rPr>
          <w:rFonts w:ascii="Palatino Linotype" w:eastAsia="MS Mincho" w:hAnsi="Palatino Linotype"/>
          <w:lang w:val="es-ES" w:eastAsia="es-ES"/>
        </w:rPr>
        <w:t xml:space="preserve">que se constituye como una herramienta fundamental para </w:t>
      </w:r>
      <w:r w:rsidRPr="002F0045">
        <w:rPr>
          <w:rFonts w:ascii="Palatino Linotype" w:eastAsia="MS Mincho" w:hAnsi="Palatino Linotype"/>
          <w:i/>
          <w:lang w:val="es-ES" w:eastAsia="es-ES"/>
        </w:rPr>
        <w:t>ejercer control democrático de las gestiones estatales, de forma tal que puedan cuestionar, indagar y considerar si se está dando un adecuado cumplimiento de las funciones públicas,</w:t>
      </w:r>
      <w:r w:rsidRPr="009B6FD5">
        <w:rPr>
          <w:rFonts w:ascii="Palatino Linotype" w:eastAsia="MS Mincho" w:hAnsi="Palatino Linotype"/>
          <w:i/>
          <w:vertAlign w:val="superscript"/>
          <w:lang w:val="es-ES" w:eastAsia="es-ES"/>
        </w:rPr>
        <w:footnoteReference w:id="7"/>
      </w:r>
      <w:r w:rsidRPr="002F0045">
        <w:rPr>
          <w:rFonts w:ascii="Palatino Linotype" w:eastAsia="MS Mincho" w:hAnsi="Palatino Linotype"/>
          <w:lang w:val="es-ES" w:eastAsia="es-ES"/>
        </w:rPr>
        <w:t>fomentando</w:t>
      </w:r>
      <w:r w:rsidRPr="002F0045">
        <w:rPr>
          <w:rFonts w:ascii="Palatino Linotype" w:eastAsia="MS Mincho" w:hAnsi="Palatino Linotype"/>
          <w:i/>
          <w:lang w:val="es-ES" w:eastAsia="es-ES"/>
        </w:rPr>
        <w:t xml:space="preserve"> la transparencia de las actividades estatales y</w:t>
      </w:r>
      <w:r w:rsidRPr="002F0045">
        <w:rPr>
          <w:rFonts w:ascii="Palatino Linotype" w:eastAsia="MS Mincho" w:hAnsi="Palatino Linotype"/>
          <w:lang w:val="es-ES" w:eastAsia="es-ES"/>
        </w:rPr>
        <w:t xml:space="preserve"> promoviendo</w:t>
      </w:r>
      <w:r w:rsidRPr="002F0045">
        <w:rPr>
          <w:rFonts w:ascii="Palatino Linotype" w:eastAsia="MS Mincho" w:hAnsi="Palatino Linotype"/>
          <w:i/>
          <w:lang w:val="es-ES" w:eastAsia="es-ES"/>
        </w:rPr>
        <w:t xml:space="preserve"> la responsabilidad de los funcionarios sobre su gestión </w:t>
      </w:r>
      <w:r w:rsidRPr="002F0045">
        <w:rPr>
          <w:rFonts w:ascii="Palatino Linotype" w:eastAsia="MS Mincho" w:hAnsi="Palatino Linotype"/>
          <w:i/>
          <w:lang w:val="es-ES" w:eastAsia="es-ES"/>
        </w:rPr>
        <w:lastRenderedPageBreak/>
        <w:t>pública</w:t>
      </w:r>
      <w:r w:rsidRPr="009B6FD5">
        <w:rPr>
          <w:rFonts w:ascii="Palatino Linotype" w:eastAsia="MS Mincho" w:hAnsi="Palatino Linotype"/>
          <w:i/>
          <w:vertAlign w:val="superscript"/>
          <w:lang w:val="es-ES" w:eastAsia="es-ES"/>
        </w:rPr>
        <w:footnoteReference w:id="8"/>
      </w:r>
      <w:r w:rsidRPr="002F0045">
        <w:rPr>
          <w:rFonts w:ascii="Palatino Linotype" w:eastAsia="MS Mincho" w:hAnsi="Palatino Linotype"/>
          <w:i/>
          <w:lang w:val="es-ES" w:eastAsia="es-ES"/>
        </w:rPr>
        <w:t xml:space="preserve"> </w:t>
      </w:r>
      <w:r w:rsidRPr="002F0045">
        <w:rPr>
          <w:rFonts w:ascii="Palatino Linotype" w:eastAsia="MS Mincho" w:hAnsi="Palatino Linotype"/>
          <w:lang w:val="es-ES" w:eastAsia="es-ES"/>
        </w:rPr>
        <w:t>que permite</w:t>
      </w:r>
      <w:r w:rsidRPr="002F0045">
        <w:rPr>
          <w:rFonts w:ascii="Palatino Linotype" w:eastAsia="MS Mincho" w:hAnsi="Palatino Linotype"/>
          <w:i/>
          <w:lang w:val="es-ES" w:eastAsia="es-ES"/>
        </w:rPr>
        <w:t xml:space="preserve"> saber qué están haciendo los gobiernos por sus pueblos, sin lo cual la verdad languidecería y la participación en el gobierno permanecería fragmentada.</w:t>
      </w:r>
      <w:r w:rsidRPr="009B6FD5">
        <w:rPr>
          <w:rFonts w:ascii="Palatino Linotype" w:eastAsia="MS Mincho" w:hAnsi="Palatino Linotype"/>
          <w:i/>
          <w:vertAlign w:val="superscript"/>
          <w:lang w:val="es-ES" w:eastAsia="es-ES"/>
        </w:rPr>
        <w:footnoteReference w:id="9"/>
      </w:r>
      <w:r w:rsidRPr="002F0045">
        <w:rPr>
          <w:rFonts w:ascii="Palatino Linotype" w:eastAsia="MS Mincho" w:hAnsi="Palatino Linotype"/>
          <w:lang w:val="es-ES" w:eastAsia="es-ES"/>
        </w:rPr>
        <w:t xml:space="preserve"> ” </w:t>
      </w:r>
    </w:p>
    <w:p w:rsidR="002F0045" w:rsidRPr="009B6FD5" w:rsidRDefault="002F0045" w:rsidP="009B6FD5">
      <w:pPr>
        <w:spacing w:line="360" w:lineRule="auto"/>
        <w:ind w:right="49"/>
        <w:contextualSpacing/>
        <w:jc w:val="both"/>
        <w:rPr>
          <w:rFonts w:ascii="Palatino Linotype" w:eastAsiaTheme="minorEastAsia" w:hAnsi="Palatino Linotype"/>
          <w:lang w:eastAsia="es-ES"/>
        </w:rPr>
      </w:pPr>
    </w:p>
    <w:p w:rsidR="002F0045" w:rsidRPr="009B6FD5"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2F0045">
        <w:rPr>
          <w:rFonts w:ascii="Palatino Linotype" w:hAnsi="Palatino Linotype" w:cs="Arial"/>
          <w:lang w:val="es-ES" w:eastAsia="es-ES"/>
        </w:rPr>
        <w:t xml:space="preserve">Para </w:t>
      </w:r>
      <w:r w:rsidRPr="002F0045">
        <w:rPr>
          <w:rFonts w:ascii="Palatino Linotype" w:eastAsia="Calibri" w:hAnsi="Palatino Linotype"/>
          <w:lang w:eastAsia="es-ES"/>
        </w:rPr>
        <w:t>entender</w:t>
      </w:r>
      <w:r w:rsidRPr="002F0045">
        <w:rPr>
          <w:rFonts w:ascii="Palatino Linotype" w:hAnsi="Palatino Linotype" w:cs="Arial"/>
          <w:lang w:val="es-ES" w:eastAsia="es-ES"/>
        </w:rPr>
        <w:t xml:space="preserve"> los alcances de la información pública se considera importante citar el criterio </w:t>
      </w:r>
      <w:r w:rsidRPr="002F0045">
        <w:rPr>
          <w:rFonts w:ascii="Palatino Linotype" w:hAnsi="Palatino Linotype" w:cs="Arial"/>
          <w:bCs/>
          <w:lang w:val="es-E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F0045">
        <w:rPr>
          <w:rFonts w:ascii="Palatino Linotype" w:hAnsi="Palatino Linotype" w:cs="Arial"/>
          <w:lang w:val="es-ES" w:eastAsia="es-ES"/>
        </w:rPr>
        <w:t>cuyo rubro y texto dispone:</w:t>
      </w:r>
    </w:p>
    <w:p w:rsidR="002F0045" w:rsidRPr="009B6FD5" w:rsidRDefault="002F0045" w:rsidP="009B6FD5">
      <w:pPr>
        <w:spacing w:line="360" w:lineRule="auto"/>
        <w:ind w:right="49"/>
        <w:contextualSpacing/>
        <w:jc w:val="both"/>
        <w:rPr>
          <w:rFonts w:ascii="Palatino Linotype" w:eastAsiaTheme="minorEastAsia" w:hAnsi="Palatino Linotype"/>
          <w:lang w:eastAsia="es-ES"/>
        </w:rPr>
      </w:pPr>
    </w:p>
    <w:p w:rsidR="002F0045" w:rsidRPr="002F0045" w:rsidRDefault="002F0045" w:rsidP="009B6FD5">
      <w:pPr>
        <w:autoSpaceDE w:val="0"/>
        <w:autoSpaceDN w:val="0"/>
        <w:adjustRightInd w:val="0"/>
        <w:spacing w:line="360" w:lineRule="auto"/>
        <w:ind w:left="567" w:right="567"/>
        <w:jc w:val="both"/>
        <w:rPr>
          <w:rFonts w:ascii="Palatino Linotype" w:hAnsi="Palatino Linotype" w:cs="Arial"/>
          <w:b/>
          <w:i/>
          <w:sz w:val="22"/>
        </w:rPr>
      </w:pPr>
      <w:r w:rsidRPr="002F0045">
        <w:rPr>
          <w:rFonts w:ascii="Palatino Linotype" w:hAnsi="Palatino Linotype" w:cs="Arial"/>
          <w:b/>
          <w:i/>
          <w:sz w:val="22"/>
        </w:rPr>
        <w:t>“CRITERIO 0002-11</w:t>
      </w:r>
    </w:p>
    <w:p w:rsidR="002F0045" w:rsidRPr="002F0045" w:rsidRDefault="002F0045" w:rsidP="009B6FD5">
      <w:pPr>
        <w:autoSpaceDE w:val="0"/>
        <w:autoSpaceDN w:val="0"/>
        <w:adjustRightInd w:val="0"/>
        <w:spacing w:line="360" w:lineRule="auto"/>
        <w:ind w:left="567" w:right="567"/>
        <w:jc w:val="both"/>
        <w:rPr>
          <w:rFonts w:ascii="Palatino Linotype" w:hAnsi="Palatino Linotype" w:cs="Arial"/>
          <w:i/>
          <w:sz w:val="22"/>
        </w:rPr>
      </w:pPr>
      <w:r w:rsidRPr="002F0045">
        <w:rPr>
          <w:rFonts w:ascii="Palatino Linotype" w:hAnsi="Palatino Linotype" w:cs="Arial"/>
          <w:b/>
          <w:i/>
          <w:sz w:val="22"/>
        </w:rPr>
        <w:t xml:space="preserve">INFORMACIÓN PÚBLICA, CONCEPTO DE, EN MATERIA DE TRANSPARENCIA. INTERPRETACIÓN TEMÁTICA DE LOS ARTÍCULOS 2, FRACCIÓN </w:t>
      </w:r>
      <w:r w:rsidRPr="002F0045">
        <w:rPr>
          <w:rFonts w:ascii="Palatino Linotype" w:hAnsi="Palatino Linotype" w:cs="Arial"/>
          <w:b/>
          <w:bCs/>
          <w:i/>
          <w:sz w:val="22"/>
        </w:rPr>
        <w:t xml:space="preserve">V, XV, Y XVI, </w:t>
      </w:r>
      <w:r w:rsidRPr="002F0045">
        <w:rPr>
          <w:rFonts w:ascii="Palatino Linotype" w:hAnsi="Palatino Linotype" w:cs="Arial"/>
          <w:b/>
          <w:i/>
          <w:sz w:val="22"/>
        </w:rPr>
        <w:t>3, 4,11 Y 41.</w:t>
      </w:r>
      <w:r w:rsidRPr="002F0045">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F0045" w:rsidRPr="002F0045" w:rsidRDefault="002F0045" w:rsidP="009B6FD5">
      <w:pPr>
        <w:autoSpaceDE w:val="0"/>
        <w:autoSpaceDN w:val="0"/>
        <w:adjustRightInd w:val="0"/>
        <w:spacing w:line="360" w:lineRule="auto"/>
        <w:ind w:left="567" w:right="567"/>
        <w:jc w:val="both"/>
        <w:rPr>
          <w:rFonts w:ascii="Palatino Linotype" w:hAnsi="Palatino Linotype" w:cs="Arial"/>
          <w:i/>
          <w:sz w:val="22"/>
        </w:rPr>
      </w:pPr>
      <w:r w:rsidRPr="002F0045">
        <w:rPr>
          <w:rFonts w:ascii="Palatino Linotype" w:hAnsi="Palatino Linotype" w:cs="Arial"/>
          <w:i/>
          <w:sz w:val="22"/>
        </w:rPr>
        <w:t>En consecuencia el acceso a la información se refiere a que se cumplan cualquiera de los siguientes tres supuestos:</w:t>
      </w:r>
    </w:p>
    <w:p w:rsidR="002F0045" w:rsidRPr="002F0045" w:rsidRDefault="002F0045" w:rsidP="009B6FD5">
      <w:pPr>
        <w:autoSpaceDE w:val="0"/>
        <w:autoSpaceDN w:val="0"/>
        <w:adjustRightInd w:val="0"/>
        <w:spacing w:line="360" w:lineRule="auto"/>
        <w:ind w:left="567" w:right="567"/>
        <w:jc w:val="both"/>
        <w:rPr>
          <w:rFonts w:ascii="Palatino Linotype" w:hAnsi="Palatino Linotype" w:cs="Arial"/>
          <w:i/>
          <w:sz w:val="22"/>
        </w:rPr>
      </w:pPr>
      <w:r w:rsidRPr="002F0045">
        <w:rPr>
          <w:rFonts w:ascii="Palatino Linotype" w:hAnsi="Palatino Linotype" w:cs="Arial"/>
          <w:i/>
          <w:sz w:val="22"/>
        </w:rPr>
        <w:t>Que se trate de información registrada en cualquier soporte documental, que en ejercicio de las atribuciones conferidas, sea generada por los Sujetos Obligados;</w:t>
      </w:r>
    </w:p>
    <w:p w:rsidR="002F0045" w:rsidRPr="002F0045" w:rsidRDefault="002F0045" w:rsidP="009B6FD5">
      <w:pPr>
        <w:autoSpaceDE w:val="0"/>
        <w:autoSpaceDN w:val="0"/>
        <w:adjustRightInd w:val="0"/>
        <w:spacing w:line="360" w:lineRule="auto"/>
        <w:ind w:left="567" w:right="567"/>
        <w:jc w:val="both"/>
        <w:rPr>
          <w:rFonts w:ascii="Palatino Linotype" w:hAnsi="Palatino Linotype" w:cs="Arial"/>
          <w:i/>
          <w:sz w:val="22"/>
        </w:rPr>
      </w:pPr>
      <w:r w:rsidRPr="002F0045">
        <w:rPr>
          <w:rFonts w:ascii="Palatino Linotype" w:hAnsi="Palatino Linotype" w:cs="Arial"/>
          <w:i/>
          <w:sz w:val="22"/>
        </w:rPr>
        <w:lastRenderedPageBreak/>
        <w:t>Que se trate de información registrada en cualquier soporte documental, que en ejercicio de las atribuciones conferidas, sea administrada por los Sujetos Obligados, y</w:t>
      </w:r>
    </w:p>
    <w:p w:rsidR="002F0045" w:rsidRPr="002F0045" w:rsidRDefault="002F0045" w:rsidP="009B6FD5">
      <w:pPr>
        <w:spacing w:line="360" w:lineRule="auto"/>
        <w:ind w:left="567" w:right="567"/>
        <w:jc w:val="both"/>
        <w:rPr>
          <w:rFonts w:ascii="Palatino Linotype" w:hAnsi="Palatino Linotype" w:cs="Arial"/>
          <w:color w:val="000000"/>
          <w:sz w:val="22"/>
        </w:rPr>
      </w:pPr>
      <w:r w:rsidRPr="002F0045">
        <w:rPr>
          <w:rFonts w:ascii="Palatino Linotype" w:hAnsi="Palatino Linotype" w:cs="Arial"/>
          <w:i/>
          <w:sz w:val="22"/>
        </w:rPr>
        <w:t>Que se trate de información registrada en cualquier soporte documental, que en ejercicio de las atribuciones conferidas, se encuentre en posesión de los Sujetos Obligados.”</w:t>
      </w:r>
    </w:p>
    <w:p w:rsidR="002F0045" w:rsidRPr="009B6FD5" w:rsidRDefault="002F0045" w:rsidP="009B6FD5">
      <w:pPr>
        <w:spacing w:line="360" w:lineRule="auto"/>
        <w:ind w:right="49"/>
        <w:contextualSpacing/>
        <w:jc w:val="both"/>
        <w:rPr>
          <w:rFonts w:ascii="Palatino Linotype" w:eastAsiaTheme="minorEastAsia" w:hAnsi="Palatino Linotype"/>
          <w:lang w:eastAsia="es-ES"/>
        </w:rPr>
      </w:pPr>
    </w:p>
    <w:p w:rsidR="002F0045" w:rsidRPr="009B6FD5"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2F0045">
        <w:rPr>
          <w:rFonts w:ascii="Palatino Linotype" w:hAnsi="Palatino Linotype"/>
          <w:lang w:val="es-ES" w:eastAsia="es-ES"/>
        </w:rPr>
        <w:t xml:space="preserve">El </w:t>
      </w:r>
      <w:r w:rsidRPr="002F0045">
        <w:rPr>
          <w:rFonts w:ascii="Palatino Linotype" w:hAnsi="Palatino Linotype" w:cs="Arial"/>
          <w:lang w:val="es-ES" w:eastAsia="es-ES"/>
        </w:rPr>
        <w:t>derecho</w:t>
      </w:r>
      <w:r w:rsidRPr="002F0045">
        <w:rPr>
          <w:rFonts w:ascii="Palatino Linotype" w:hAnsi="Palatino Linotype"/>
          <w:lang w:val="es-ES" w:eastAsia="es-ES"/>
        </w:rPr>
        <w:t xml:space="preserve"> de acceso a la información encuentra su materia elemental en los documentos, y la Ley de Transparencia local  nos brinda el siguiente concepto, para darnos un mejor panorama:</w:t>
      </w:r>
    </w:p>
    <w:p w:rsidR="002F0045" w:rsidRPr="009B6FD5" w:rsidRDefault="002F0045" w:rsidP="009B6FD5">
      <w:pPr>
        <w:spacing w:line="360" w:lineRule="auto"/>
        <w:ind w:right="49"/>
        <w:contextualSpacing/>
        <w:jc w:val="both"/>
        <w:rPr>
          <w:rFonts w:ascii="Palatino Linotype" w:eastAsiaTheme="minorEastAsia" w:hAnsi="Palatino Linotype"/>
          <w:lang w:eastAsia="es-ES"/>
        </w:rPr>
      </w:pPr>
    </w:p>
    <w:p w:rsidR="002F0045" w:rsidRPr="002F0045" w:rsidRDefault="002F0045" w:rsidP="009B6FD5">
      <w:pPr>
        <w:autoSpaceDE w:val="0"/>
        <w:autoSpaceDN w:val="0"/>
        <w:adjustRightInd w:val="0"/>
        <w:spacing w:line="360" w:lineRule="auto"/>
        <w:ind w:left="567" w:right="567"/>
        <w:jc w:val="both"/>
        <w:rPr>
          <w:rFonts w:ascii="Palatino Linotype" w:hAnsi="Palatino Linotype"/>
          <w:i/>
          <w:sz w:val="22"/>
          <w:lang w:val="es-ES"/>
        </w:rPr>
      </w:pPr>
      <w:r w:rsidRPr="002F0045">
        <w:rPr>
          <w:rFonts w:ascii="Palatino Linotype" w:hAnsi="Palatino Linotype" w:cs="Bookman Old Style,Bold"/>
          <w:b/>
          <w:bCs/>
          <w:i/>
          <w:sz w:val="22"/>
        </w:rPr>
        <w:t xml:space="preserve">XI. Documento: </w:t>
      </w:r>
      <w:r w:rsidRPr="002F0045">
        <w:rPr>
          <w:rFonts w:ascii="Palatino Linotype" w:hAnsi="Palatino Linotype" w:cs="Bookman Old Style"/>
          <w:b/>
          <w:i/>
          <w:sz w:val="22"/>
        </w:rPr>
        <w:t>Los expedientes</w:t>
      </w:r>
      <w:r w:rsidRPr="002F0045">
        <w:rPr>
          <w:rFonts w:ascii="Palatino Linotype" w:hAnsi="Palatino Linotype" w:cs="Bookman Old Style"/>
          <w:i/>
          <w:sz w:val="22"/>
        </w:rPr>
        <w:t xml:space="preserve">, reportes, estudios, actas, resoluciones, oficios, correspondencia, acuerdos, directivas, directrices, circulares, contratos, convenios, instructivos, notas, memorandos, estadísticas o bien, </w:t>
      </w:r>
      <w:r w:rsidRPr="002F0045">
        <w:rPr>
          <w:rFonts w:ascii="Palatino Linotype" w:hAnsi="Palatino Linotype" w:cs="Bookman Old Style"/>
          <w:b/>
          <w:i/>
          <w:sz w:val="22"/>
        </w:rPr>
        <w:t>cualquier otro registro</w:t>
      </w:r>
      <w:r w:rsidRPr="002F0045">
        <w:rPr>
          <w:rFonts w:ascii="Palatino Linotype" w:hAnsi="Palatino Linotype" w:cs="Bookman Old Style"/>
          <w:i/>
          <w:sz w:val="22"/>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F0045" w:rsidRPr="009B6FD5" w:rsidRDefault="002F0045" w:rsidP="009B6FD5">
      <w:pPr>
        <w:spacing w:line="360" w:lineRule="auto"/>
        <w:ind w:right="49"/>
        <w:contextualSpacing/>
        <w:jc w:val="both"/>
        <w:rPr>
          <w:rFonts w:ascii="Palatino Linotype" w:eastAsiaTheme="minorEastAsia" w:hAnsi="Palatino Linotype"/>
          <w:lang w:eastAsia="es-ES"/>
        </w:rPr>
      </w:pPr>
    </w:p>
    <w:p w:rsidR="002F0045" w:rsidRPr="009B6FD5"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2F0045">
        <w:rPr>
          <w:rFonts w:ascii="Palatino Linotype" w:hAnsi="Palatino Linotype"/>
          <w:lang w:val="es-ES" w:eastAsia="es-ES"/>
        </w:rPr>
        <w:t xml:space="preserve">Es así que, todos los actos de autoridad que realicen los Sujetos Obligados </w:t>
      </w:r>
      <w:r w:rsidRPr="002F0045">
        <w:rPr>
          <w:rFonts w:ascii="Palatino Linotype" w:hAnsi="Palatino Linotype"/>
          <w:b/>
          <w:lang w:val="es-ES" w:eastAsia="es-ES"/>
        </w:rPr>
        <w:t>deben estar documentados</w:t>
      </w:r>
      <w:r w:rsidRPr="002F0045">
        <w:rPr>
          <w:rFonts w:ascii="Palatino Linotype" w:hAnsi="Palatino Linotype"/>
          <w:lang w:val="es-ES" w:eastAsia="es-ES"/>
        </w:rPr>
        <w:t xml:space="preserve"> y, bajo el más alto estándar de transparencia deberán poner toda la información que se encuentre en su posesión, a disposición de los particulares que la soliciten.</w:t>
      </w:r>
    </w:p>
    <w:p w:rsidR="002F0045" w:rsidRPr="009B6FD5" w:rsidRDefault="002F0045" w:rsidP="009B6FD5">
      <w:pPr>
        <w:spacing w:line="360" w:lineRule="auto"/>
        <w:ind w:right="49"/>
        <w:contextualSpacing/>
        <w:jc w:val="both"/>
        <w:rPr>
          <w:rFonts w:ascii="Palatino Linotype" w:eastAsiaTheme="minorEastAsia" w:hAnsi="Palatino Linotype"/>
          <w:lang w:eastAsia="es-ES"/>
        </w:rPr>
      </w:pPr>
    </w:p>
    <w:p w:rsidR="002F0045" w:rsidRPr="009B6FD5"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2F0045">
        <w:rPr>
          <w:rFonts w:ascii="Palatino Linotype" w:hAnsi="Palatino Linotype"/>
          <w:lang w:val="es-ES" w:eastAsia="es-ES"/>
        </w:rPr>
        <w:t>Además</w:t>
      </w:r>
      <w:r w:rsidRPr="002F0045">
        <w:rPr>
          <w:rFonts w:ascii="Palatino Linotype" w:hAnsi="Palatino Linotype" w:cs="Arial"/>
          <w:color w:val="000000"/>
          <w:lang w:val="es-ES" w:eastAsia="es-ES"/>
        </w:rPr>
        <w:t>, debemos tomar en cuenta los artículos 4 y 12, de la Ley de Transparencia y Acceso a la Información Pública del Estado de México y Municipios, los</w:t>
      </w:r>
      <w:r w:rsidRPr="009B6FD5">
        <w:rPr>
          <w:rFonts w:ascii="Palatino Linotype" w:hAnsi="Palatino Linotype" w:cs="Arial"/>
          <w:color w:val="000000"/>
          <w:lang w:val="es-ES" w:eastAsia="es-ES"/>
        </w:rPr>
        <w:t xml:space="preserve"> cuales establecen lo siguiente:</w:t>
      </w:r>
    </w:p>
    <w:p w:rsidR="002F0045" w:rsidRPr="002F0045" w:rsidRDefault="002F0045" w:rsidP="009B6FD5">
      <w:pPr>
        <w:autoSpaceDE w:val="0"/>
        <w:autoSpaceDN w:val="0"/>
        <w:adjustRightInd w:val="0"/>
        <w:spacing w:line="360" w:lineRule="auto"/>
        <w:ind w:left="567" w:right="567"/>
        <w:jc w:val="both"/>
        <w:rPr>
          <w:rFonts w:ascii="Palatino Linotype" w:hAnsi="Palatino Linotype" w:cs="Bookman Old Style"/>
          <w:i/>
        </w:rPr>
      </w:pPr>
      <w:r w:rsidRPr="002F0045">
        <w:rPr>
          <w:rFonts w:ascii="Palatino Linotype" w:hAnsi="Palatino Linotype" w:cs="Bookman Old Style,Bold"/>
          <w:b/>
          <w:bCs/>
          <w:i/>
        </w:rPr>
        <w:lastRenderedPageBreak/>
        <w:t xml:space="preserve">Artículo 4. </w:t>
      </w:r>
      <w:r w:rsidRPr="002F0045">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rsidR="002F0045" w:rsidRPr="002F0045" w:rsidRDefault="002F0045" w:rsidP="009B6FD5">
      <w:pPr>
        <w:autoSpaceDE w:val="0"/>
        <w:autoSpaceDN w:val="0"/>
        <w:adjustRightInd w:val="0"/>
        <w:spacing w:line="360" w:lineRule="auto"/>
        <w:ind w:left="567" w:right="567"/>
        <w:jc w:val="both"/>
        <w:rPr>
          <w:rFonts w:ascii="Palatino Linotype" w:hAnsi="Palatino Linotype" w:cs="Bookman Old Style"/>
          <w:i/>
        </w:rPr>
      </w:pPr>
      <w:r w:rsidRPr="002F0045">
        <w:rPr>
          <w:rFonts w:ascii="Palatino Linotype" w:hAnsi="Palatino Linotype" w:cs="Bookman Old Style"/>
          <w:b/>
          <w:i/>
        </w:rPr>
        <w:t>Toda la información</w:t>
      </w:r>
      <w:r w:rsidRPr="002F0045">
        <w:rPr>
          <w:rFonts w:ascii="Palatino Linotype" w:hAnsi="Palatino Linotype" w:cs="Bookman Old Style"/>
          <w:i/>
        </w:rPr>
        <w:t xml:space="preserve"> generada, obtenida, adquirida, transformada, administrada o </w:t>
      </w:r>
      <w:r w:rsidRPr="002F0045">
        <w:rPr>
          <w:rFonts w:ascii="Palatino Linotype" w:hAnsi="Palatino Linotype" w:cs="Bookman Old Style"/>
          <w:b/>
          <w:i/>
        </w:rPr>
        <w:t>en posesión de los sujetos obligados es pública</w:t>
      </w:r>
      <w:r w:rsidRPr="002F0045">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F0045" w:rsidRPr="002F0045" w:rsidRDefault="002F0045" w:rsidP="009B6FD5">
      <w:pPr>
        <w:autoSpaceDE w:val="0"/>
        <w:autoSpaceDN w:val="0"/>
        <w:adjustRightInd w:val="0"/>
        <w:spacing w:line="360" w:lineRule="auto"/>
        <w:ind w:left="567" w:right="567"/>
        <w:jc w:val="both"/>
        <w:rPr>
          <w:rFonts w:ascii="Palatino Linotype" w:hAnsi="Palatino Linotype" w:cs="Bookman Old Style"/>
          <w:i/>
        </w:rPr>
      </w:pPr>
      <w:r w:rsidRPr="002F0045">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rsidR="002F0045" w:rsidRPr="002F0045" w:rsidRDefault="002F0045" w:rsidP="009B6FD5">
      <w:pPr>
        <w:autoSpaceDE w:val="0"/>
        <w:autoSpaceDN w:val="0"/>
        <w:adjustRightInd w:val="0"/>
        <w:spacing w:line="360" w:lineRule="auto"/>
        <w:ind w:left="567" w:right="567"/>
        <w:jc w:val="both"/>
        <w:rPr>
          <w:rFonts w:ascii="Palatino Linotype" w:hAnsi="Palatino Linotype" w:cs="Bookman Old Style"/>
          <w:i/>
        </w:rPr>
      </w:pPr>
    </w:p>
    <w:p w:rsidR="002F0045" w:rsidRPr="002F0045" w:rsidRDefault="002F0045" w:rsidP="009B6FD5">
      <w:pPr>
        <w:autoSpaceDE w:val="0"/>
        <w:autoSpaceDN w:val="0"/>
        <w:adjustRightInd w:val="0"/>
        <w:spacing w:line="360" w:lineRule="auto"/>
        <w:ind w:left="567" w:right="567"/>
        <w:jc w:val="both"/>
        <w:rPr>
          <w:rFonts w:ascii="Palatino Linotype" w:hAnsi="Palatino Linotype" w:cs="Bookman Old Style"/>
          <w:i/>
        </w:rPr>
      </w:pPr>
      <w:r w:rsidRPr="002F0045">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w:t>
      </w:r>
    </w:p>
    <w:p w:rsidR="002F0045" w:rsidRPr="009B6FD5" w:rsidRDefault="002F0045" w:rsidP="009B6FD5">
      <w:pPr>
        <w:autoSpaceDE w:val="0"/>
        <w:autoSpaceDN w:val="0"/>
        <w:adjustRightInd w:val="0"/>
        <w:spacing w:line="360" w:lineRule="auto"/>
        <w:ind w:left="567" w:right="567"/>
        <w:jc w:val="both"/>
        <w:rPr>
          <w:rFonts w:ascii="Palatino Linotype" w:hAnsi="Palatino Linotype" w:cs="Bookman Old Style"/>
          <w:i/>
        </w:rPr>
      </w:pPr>
      <w:r w:rsidRPr="002F0045">
        <w:rPr>
          <w:rFonts w:ascii="Palatino Linotype" w:hAnsi="Palatino Linotype" w:cs="Bookman Old Style"/>
          <w:b/>
          <w:i/>
        </w:rPr>
        <w:t>Los sujetos obligados sólo proporcionarán la información pública que se les requiera y que obre en sus archivos y en el estado en que ésta se encuentre</w:t>
      </w:r>
      <w:r w:rsidRPr="002F0045">
        <w:rPr>
          <w:rFonts w:ascii="Palatino Linotype" w:hAnsi="Palatino Linotype" w:cs="Bookman Old Style"/>
          <w:i/>
        </w:rPr>
        <w:t xml:space="preserve">. La obligación de proporcionar información no comprende el procesamiento de la misma, ni el presentarla conforme al interés del solicitante; no estarán obligados a generarla, resumirla, efectuar cálculos o practicar </w:t>
      </w:r>
      <w:r w:rsidRPr="002F0045">
        <w:rPr>
          <w:rFonts w:ascii="Palatino Linotype" w:hAnsi="Palatino Linotype" w:cs="Bookman Old Style"/>
          <w:i/>
        </w:rPr>
        <w:lastRenderedPageBreak/>
        <w:t>investigaciones.</w:t>
      </w:r>
      <w:r w:rsidRPr="002F0045">
        <w:rPr>
          <w:rFonts w:ascii="Palatino Linotype" w:hAnsi="Palatino Linotype" w:cs="Bookman Old Style"/>
          <w:i/>
        </w:rPr>
        <w:cr/>
      </w:r>
    </w:p>
    <w:p w:rsidR="002F0045" w:rsidRPr="009B6FD5"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2F0045">
        <w:rPr>
          <w:rFonts w:ascii="Palatino Linotype" w:hAnsi="Palatino Linotype"/>
          <w:lang w:val="es-ES" w:eastAsia="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B6FD5">
        <w:rPr>
          <w:rFonts w:ascii="Palatino Linotype" w:hAnsi="Palatino Linotype"/>
          <w:vertAlign w:val="superscript"/>
          <w:lang w:val="es-ES" w:eastAsia="es-ES"/>
        </w:rPr>
        <w:footnoteReference w:id="10"/>
      </w:r>
      <w:r w:rsidRPr="002F0045">
        <w:rPr>
          <w:rFonts w:ascii="Palatino Linotype" w:hAnsi="Palatino Linotype"/>
          <w:lang w:val="es-ES" w:eastAsia="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2F0045" w:rsidRPr="009B6FD5" w:rsidRDefault="002F0045" w:rsidP="009B6FD5">
      <w:pPr>
        <w:spacing w:line="360" w:lineRule="auto"/>
        <w:ind w:right="49"/>
        <w:contextualSpacing/>
        <w:jc w:val="both"/>
        <w:rPr>
          <w:rFonts w:ascii="Palatino Linotype" w:eastAsiaTheme="minorEastAsia" w:hAnsi="Palatino Linotype"/>
          <w:lang w:eastAsia="es-ES"/>
        </w:rPr>
      </w:pPr>
    </w:p>
    <w:p w:rsidR="002F0045" w:rsidRPr="009B6FD5"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2F0045">
        <w:rPr>
          <w:rFonts w:ascii="Palatino Linotype" w:hAnsi="Palatino Linotype"/>
          <w:lang w:val="es-ES" w:eastAsia="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2F0045" w:rsidRPr="009B6FD5" w:rsidRDefault="002F0045" w:rsidP="009B6FD5">
      <w:pPr>
        <w:spacing w:line="360" w:lineRule="auto"/>
        <w:ind w:right="49"/>
        <w:contextualSpacing/>
        <w:jc w:val="both"/>
        <w:rPr>
          <w:rFonts w:ascii="Palatino Linotype" w:hAnsi="Palatino Linotype"/>
          <w:lang w:val="es-ES" w:eastAsia="es-ES"/>
        </w:rPr>
      </w:pPr>
    </w:p>
    <w:p w:rsidR="002F0045" w:rsidRPr="009B6FD5" w:rsidRDefault="002F0045" w:rsidP="009B6FD5">
      <w:pPr>
        <w:spacing w:line="360" w:lineRule="auto"/>
        <w:ind w:right="49"/>
        <w:contextualSpacing/>
        <w:jc w:val="both"/>
        <w:rPr>
          <w:rFonts w:ascii="Palatino Linotype" w:hAnsi="Palatino Linotype"/>
          <w:i/>
          <w:lang w:val="es-ES" w:eastAsia="es-ES"/>
        </w:rPr>
      </w:pPr>
      <w:r w:rsidRPr="009B6FD5">
        <w:rPr>
          <w:rFonts w:ascii="Palatino Linotype" w:hAnsi="Palatino Linotype"/>
          <w:b/>
          <w:i/>
          <w:lang w:val="es-ES" w:eastAsia="es-ES"/>
        </w:rPr>
        <w:t>ACCESO A LA INFORMACIÓN. IMPLICACIÓN DEL PRINCIPIO DE MÁXIMA PUBLICIDAD EN EL DERECHO FUNDAMENTAL RELATIVO.</w:t>
      </w:r>
      <w:r w:rsidRPr="009B6FD5">
        <w:rPr>
          <w:rFonts w:ascii="Palatino Linotype" w:hAnsi="Palatino Linotype"/>
          <w:i/>
          <w:lang w:val="es-ES" w:eastAsia="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w:t>
      </w:r>
      <w:r w:rsidRPr="009B6FD5">
        <w:rPr>
          <w:rFonts w:ascii="Palatino Linotype" w:hAnsi="Palatino Linotype"/>
          <w:i/>
          <w:lang w:val="es-ES" w:eastAsia="es-ES"/>
        </w:rPr>
        <w:lastRenderedPageBreak/>
        <w:t xml:space="preserve">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2F0045" w:rsidRPr="009B6FD5" w:rsidRDefault="002F0045" w:rsidP="009B6FD5">
      <w:pPr>
        <w:spacing w:line="360" w:lineRule="auto"/>
        <w:ind w:right="49"/>
        <w:contextualSpacing/>
        <w:jc w:val="both"/>
        <w:rPr>
          <w:rFonts w:ascii="Palatino Linotype" w:hAnsi="Palatino Linotype"/>
          <w:i/>
          <w:lang w:val="es-ES" w:eastAsia="es-ES"/>
        </w:rPr>
      </w:pPr>
    </w:p>
    <w:p w:rsidR="002F0045" w:rsidRPr="009B6FD5" w:rsidRDefault="002F0045" w:rsidP="009B6FD5">
      <w:pPr>
        <w:spacing w:line="360" w:lineRule="auto"/>
        <w:ind w:right="49"/>
        <w:contextualSpacing/>
        <w:jc w:val="both"/>
        <w:rPr>
          <w:rFonts w:ascii="Palatino Linotype" w:hAnsi="Palatino Linotype"/>
          <w:i/>
          <w:lang w:val="es-ES" w:eastAsia="es-ES"/>
        </w:rPr>
      </w:pPr>
      <w:r w:rsidRPr="009B6FD5">
        <w:rPr>
          <w:rFonts w:ascii="Palatino Linotype" w:hAnsi="Palatino Linotype"/>
          <w:i/>
          <w:lang w:val="es-ES" w:eastAsia="es-ES"/>
        </w:rPr>
        <w:t xml:space="preserve">CUARTO TRIBUNAL COLEGIADO EN MATERIA ADMINISTRATIVA DEL PRIMER CIRCUITO. </w:t>
      </w:r>
    </w:p>
    <w:p w:rsidR="002F0045" w:rsidRPr="009B6FD5" w:rsidRDefault="002F0045" w:rsidP="009B6FD5">
      <w:pPr>
        <w:spacing w:line="360" w:lineRule="auto"/>
        <w:ind w:right="49"/>
        <w:contextualSpacing/>
        <w:jc w:val="both"/>
        <w:rPr>
          <w:rFonts w:ascii="Palatino Linotype" w:hAnsi="Palatino Linotype"/>
          <w:i/>
          <w:lang w:val="es-ES" w:eastAsia="es-ES"/>
        </w:rPr>
      </w:pPr>
      <w:r w:rsidRPr="009B6FD5">
        <w:rPr>
          <w:rFonts w:ascii="Palatino Linotype" w:hAnsi="Palatino Linotype"/>
          <w:i/>
          <w:lang w:val="es-ES" w:eastAsia="es-ES"/>
        </w:rPr>
        <w:t>Amparo en revisión 257/2012. Ruth Corona Muñoz. 6 de diciembre de 2012. Unanimidad de votos. Ponente: Jean Claude Tron Petit. Secretaria: Mayra Susana Martínez López.</w:t>
      </w:r>
    </w:p>
    <w:p w:rsidR="002F0045" w:rsidRPr="009B6FD5" w:rsidRDefault="002F0045" w:rsidP="009B6FD5">
      <w:pPr>
        <w:spacing w:line="360" w:lineRule="auto"/>
        <w:ind w:right="49"/>
        <w:contextualSpacing/>
        <w:jc w:val="both"/>
        <w:rPr>
          <w:rFonts w:ascii="Palatino Linotype" w:eastAsiaTheme="minorEastAsia" w:hAnsi="Palatino Linotype"/>
          <w:lang w:eastAsia="es-ES"/>
        </w:rPr>
      </w:pPr>
    </w:p>
    <w:p w:rsidR="001A7A6B" w:rsidRPr="009B6FD5"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2F0045">
        <w:rPr>
          <w:rFonts w:ascii="Palatino Linotype" w:eastAsia="Calibri" w:hAnsi="Palatino Linotype" w:cs="Arial"/>
          <w:lang w:val="es-ES" w:eastAsia="es-ES"/>
        </w:rPr>
        <w:t xml:space="preserve">Atento a lo anterior, es que resulta dable ordenar los últimos tres expedientes que obren en los archivos del </w:t>
      </w:r>
      <w:r w:rsidRPr="002F0045">
        <w:rPr>
          <w:rFonts w:ascii="Palatino Linotype" w:eastAsia="Calibri" w:hAnsi="Palatino Linotype" w:cs="Arial"/>
          <w:b/>
          <w:lang w:val="es-ES" w:eastAsia="es-ES"/>
        </w:rPr>
        <w:t xml:space="preserve">SUJETO OBLIGADO, </w:t>
      </w:r>
      <w:r w:rsidRPr="002F0045">
        <w:rPr>
          <w:rFonts w:ascii="Palatino Linotype" w:eastAsia="Calibri" w:hAnsi="Palatino Linotype" w:cs="Arial"/>
          <w:lang w:val="es-ES" w:eastAsia="es-ES"/>
        </w:rPr>
        <w:t xml:space="preserve">respecto del trámite para solicitar en catastro, una nueva clave catastral, que hayan sido generados en el lapso </w:t>
      </w:r>
      <w:r w:rsidRPr="002F0045">
        <w:rPr>
          <w:rFonts w:ascii="Palatino Linotype" w:eastAsia="Calibri" w:hAnsi="Palatino Linotype" w:cs="Arial"/>
          <w:lang w:val="es-ES" w:eastAsia="es-ES"/>
        </w:rPr>
        <w:lastRenderedPageBreak/>
        <w:t>temporal del 1 de enero 2019 al 10 de junio de 2021, protegiendo todos los datos personales a través de una versión pública en términos de lo dispuesto por el Considerando siguiente, emitiendo para tal efecto, el Acta del Comité de Transparencia que la sustente y se ponga a disposición del particular.</w:t>
      </w:r>
    </w:p>
    <w:p w:rsidR="001A7A6B" w:rsidRPr="009B6FD5" w:rsidRDefault="001A7A6B" w:rsidP="009B6FD5">
      <w:pPr>
        <w:spacing w:line="360" w:lineRule="auto"/>
        <w:ind w:right="49"/>
        <w:contextualSpacing/>
        <w:jc w:val="both"/>
        <w:rPr>
          <w:rFonts w:ascii="Palatino Linotype" w:eastAsia="Calibri" w:hAnsi="Palatino Linotype" w:cs="Arial"/>
          <w:lang w:val="es-ES" w:eastAsia="es-ES"/>
        </w:rPr>
      </w:pPr>
    </w:p>
    <w:p w:rsidR="001A7A6B" w:rsidRPr="009B6FD5" w:rsidRDefault="001A7A6B" w:rsidP="009B6FD5">
      <w:pPr>
        <w:pStyle w:val="Ttulo1"/>
        <w:spacing w:before="0" w:line="360" w:lineRule="auto"/>
        <w:rPr>
          <w:rFonts w:ascii="Palatino Linotype" w:hAnsi="Palatino Linotype"/>
          <w:b/>
          <w:color w:val="000000" w:themeColor="text1"/>
          <w:sz w:val="24"/>
          <w:szCs w:val="24"/>
        </w:rPr>
      </w:pPr>
      <w:bookmarkStart w:id="25" w:name="_Toc74188153"/>
      <w:bookmarkStart w:id="26" w:name="_Toc83301642"/>
      <w:r w:rsidRPr="009B6FD5">
        <w:rPr>
          <w:rFonts w:ascii="Palatino Linotype" w:hAnsi="Palatino Linotype" w:cs="Times New Roman"/>
          <w:b/>
          <w:color w:val="000000" w:themeColor="text1"/>
          <w:sz w:val="24"/>
          <w:szCs w:val="24"/>
          <w:lang w:eastAsia="es-ES_tradnl"/>
        </w:rPr>
        <w:t xml:space="preserve">QUINTO. </w:t>
      </w:r>
      <w:r w:rsidRPr="009B6FD5">
        <w:rPr>
          <w:rFonts w:ascii="Palatino Linotype" w:hAnsi="Palatino Linotype"/>
          <w:b/>
          <w:color w:val="000000" w:themeColor="text1"/>
          <w:sz w:val="24"/>
          <w:szCs w:val="24"/>
        </w:rPr>
        <w:t xml:space="preserve"> </w:t>
      </w:r>
      <w:bookmarkStart w:id="27" w:name="_Toc80889843"/>
      <w:bookmarkStart w:id="28" w:name="_Toc81384826"/>
      <w:bookmarkEnd w:id="25"/>
      <w:bookmarkEnd w:id="26"/>
      <w:r w:rsidRPr="009B6FD5">
        <w:rPr>
          <w:rFonts w:ascii="Palatino Linotype" w:hAnsi="Palatino Linotype" w:cs="Arial"/>
          <w:b/>
          <w:color w:val="000000"/>
          <w:sz w:val="24"/>
          <w:lang w:val="es-ES_tradnl"/>
        </w:rPr>
        <w:t>De la versión pública y clasificación de la información.</w:t>
      </w:r>
      <w:bookmarkEnd w:id="27"/>
      <w:bookmarkEnd w:id="28"/>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s="Arial"/>
          <w:color w:val="000000"/>
          <w:lang w:val="es-ES_tradnl"/>
        </w:rPr>
        <w:t>Por otro lado, debe destacarse que debido a la naturaleza de la información solicitada</w:t>
      </w:r>
      <w:r w:rsidRPr="009B6FD5">
        <w:rPr>
          <w:rFonts w:ascii="Palatino Linotype" w:hAnsi="Palatino Linotype" w:cs="Arial"/>
          <w:b/>
          <w:color w:val="000000"/>
          <w:lang w:val="es-ES_tradnl"/>
        </w:rPr>
        <w:t xml:space="preserve">, </w:t>
      </w:r>
      <w:r w:rsidRPr="009B6FD5">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B6FD5">
        <w:rPr>
          <w:rFonts w:ascii="Palatino Linotype" w:hAnsi="Palatino Linotype" w:cs="Arial"/>
          <w:b/>
          <w:color w:val="000000"/>
          <w:u w:val="single"/>
          <w:lang w:val="es-ES_tradnl"/>
        </w:rPr>
        <w:t>versión pública</w:t>
      </w:r>
      <w:r w:rsidRPr="009B6FD5">
        <w:rPr>
          <w:rFonts w:ascii="Palatino Linotype" w:hAnsi="Palatino Linotype" w:cs="Arial"/>
          <w:color w:val="000000"/>
          <w:lang w:val="es-ES_tradnl"/>
        </w:rPr>
        <w:t xml:space="preserve"> del documento por las consideraciones que se estimen pertinentes.</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eastAsia="Calibri" w:hAnsi="Palatino Linotype" w:cs="Arial"/>
          <w:color w:val="000000"/>
        </w:rPr>
        <w:t xml:space="preserve">Es de </w:t>
      </w:r>
      <w:r w:rsidRPr="009B6FD5">
        <w:rPr>
          <w:rFonts w:ascii="Palatino Linotype" w:hAnsi="Palatino Linotype" w:cs="Arial"/>
          <w:color w:val="000000"/>
          <w:lang w:val="es-ES_tradnl"/>
        </w:rPr>
        <w:t>señalar</w:t>
      </w:r>
      <w:r w:rsidRPr="009B6FD5">
        <w:rPr>
          <w:rFonts w:ascii="Palatino Linotype" w:eastAsia="Calibri" w:hAnsi="Palatino Linotype" w:cs="Arial"/>
          <w:color w:val="000000"/>
        </w:rPr>
        <w:t xml:space="preserve"> que, por lo que hace a las versiones públicas, el </w:t>
      </w:r>
      <w:r w:rsidRPr="009B6FD5">
        <w:rPr>
          <w:rFonts w:ascii="Palatino Linotype" w:eastAsia="Calibri" w:hAnsi="Palatino Linotype" w:cs="Arial"/>
          <w:b/>
          <w:color w:val="000000"/>
        </w:rPr>
        <w:t>SUJETO OBLIGADO</w:t>
      </w:r>
      <w:r w:rsidRPr="009B6FD5">
        <w:rPr>
          <w:rFonts w:ascii="Palatino Linotype" w:eastAsia="Calibri" w:hAnsi="Palatino Linotype" w:cs="Arial"/>
          <w:color w:val="000000"/>
        </w:rPr>
        <w:t xml:space="preserve"> debe cumplir con las formalidades exigidas en la Ley, por lo que </w:t>
      </w:r>
      <w:r w:rsidRPr="009B6FD5">
        <w:rPr>
          <w:rFonts w:ascii="Palatino Linotype" w:hAnsi="Palatino Linotype" w:cs="Arial"/>
          <w:color w:val="000000"/>
          <w:lang w:val="es-ES_tradnl"/>
        </w:rPr>
        <w:t xml:space="preserve">para tal efecto emitirá el </w:t>
      </w:r>
      <w:r w:rsidRPr="009B6FD5">
        <w:rPr>
          <w:rFonts w:ascii="Palatino Linotype" w:eastAsia="Calibri" w:hAnsi="Palatino Linotype" w:cs="Arial"/>
          <w:color w:val="000000"/>
        </w:rPr>
        <w:t xml:space="preserve">Acuerdo del Comité de Transparencia en términos de los artículos </w:t>
      </w:r>
      <w:r w:rsidRPr="009B6FD5">
        <w:rPr>
          <w:rFonts w:ascii="Palatino Linotype" w:eastAsia="Calibri" w:hAnsi="Palatino Linotype" w:cs="Arial"/>
          <w:color w:val="000000"/>
        </w:rPr>
        <w:lastRenderedPageBreak/>
        <w:t>49 fracción</w:t>
      </w:r>
      <w:r w:rsidRPr="009B6FD5">
        <w:rPr>
          <w:rFonts w:ascii="Palatino Linotype" w:eastAsia="Calibri" w:hAnsi="Palatino Linotype" w:cs="Arial"/>
          <w:bCs/>
          <w:color w:val="000000"/>
          <w:lang w:val="es-ES_tradnl"/>
        </w:rPr>
        <w:t xml:space="preserve"> VIII,</w:t>
      </w:r>
      <w:r w:rsidRPr="009B6FD5">
        <w:rPr>
          <w:rFonts w:ascii="Palatino Linotype" w:eastAsia="Calibri" w:hAnsi="Palatino Linotype" w:cs="Arial"/>
          <w:color w:val="000000"/>
        </w:rPr>
        <w:t xml:space="preserve"> 122</w:t>
      </w:r>
      <w:r w:rsidRPr="009B6FD5">
        <w:rPr>
          <w:rFonts w:ascii="Palatino Linotype" w:hAnsi="Palatino Linotype"/>
          <w:vertAlign w:val="superscript"/>
        </w:rPr>
        <w:footnoteReference w:id="11"/>
      </w:r>
      <w:r w:rsidRPr="009B6FD5">
        <w:rPr>
          <w:rFonts w:ascii="Palatino Linotype" w:eastAsia="Calibri" w:hAnsi="Palatino Linotype" w:cs="Arial"/>
          <w:color w:val="000000"/>
        </w:rPr>
        <w:t>, 135</w:t>
      </w:r>
      <w:r w:rsidRPr="009B6FD5">
        <w:rPr>
          <w:rFonts w:ascii="Palatino Linotype" w:hAnsi="Palatino Linotype"/>
          <w:vertAlign w:val="superscript"/>
        </w:rPr>
        <w:footnoteReference w:id="12"/>
      </w:r>
      <w:r w:rsidRPr="009B6FD5">
        <w:rPr>
          <w:rFonts w:ascii="Palatino Linotype" w:eastAsia="Calibri" w:hAnsi="Palatino Linotype" w:cs="Arial"/>
          <w:color w:val="000000"/>
        </w:rPr>
        <w:t xml:space="preserve"> y 149 de la </w:t>
      </w:r>
      <w:r w:rsidRPr="009B6FD5">
        <w:rPr>
          <w:rFonts w:ascii="Palatino Linotype" w:eastAsia="Calibri" w:hAnsi="Palatino Linotype" w:cs="Arial"/>
          <w:b/>
          <w:color w:val="000000"/>
        </w:rPr>
        <w:t>Ley de Transparencia y Acceso a la Información Pública del Estado de México y Municipios</w:t>
      </w:r>
      <w:r w:rsidRPr="009B6FD5">
        <w:rPr>
          <w:rFonts w:ascii="Palatino Linotype" w:eastAsia="Calibri" w:hAnsi="Palatino Linotype" w:cs="Arial"/>
          <w:color w:val="000000"/>
        </w:rPr>
        <w:t>, con el cual sustentara de forma fundada y motivada la clasificación de datos y con ello la "versión pública" de los documentos materia de la solicitud.</w:t>
      </w:r>
    </w:p>
    <w:p w:rsidR="001A7A6B" w:rsidRPr="009B6FD5" w:rsidRDefault="001A7A6B" w:rsidP="009B6FD5">
      <w:pPr>
        <w:spacing w:line="360" w:lineRule="auto"/>
        <w:ind w:right="49"/>
        <w:contextualSpacing/>
        <w:jc w:val="both"/>
        <w:rPr>
          <w:rFonts w:ascii="Palatino Linotype" w:eastAsia="Calibri" w:hAnsi="Palatino Linotype" w:cs="Arial"/>
          <w:color w:val="000000"/>
        </w:rPr>
      </w:pPr>
    </w:p>
    <w:p w:rsidR="001A7A6B" w:rsidRPr="009B6FD5" w:rsidRDefault="001A7A6B" w:rsidP="009B6FD5">
      <w:pPr>
        <w:keepNext/>
        <w:keepLines/>
        <w:spacing w:line="360" w:lineRule="auto"/>
        <w:outlineLvl w:val="1"/>
        <w:rPr>
          <w:rFonts w:ascii="Palatino Linotype" w:hAnsi="Palatino Linotype"/>
          <w:b/>
          <w:color w:val="000000"/>
          <w:lang w:eastAsia="en-US"/>
        </w:rPr>
      </w:pPr>
      <w:bookmarkStart w:id="29" w:name="_Toc500756709"/>
      <w:bookmarkStart w:id="30" w:name="_Toc536691777"/>
      <w:bookmarkStart w:id="31" w:name="_Toc80889844"/>
      <w:bookmarkStart w:id="32" w:name="_Toc81384827"/>
      <w:r w:rsidRPr="009B6FD5">
        <w:rPr>
          <w:rFonts w:ascii="Palatino Linotype" w:hAnsi="Palatino Linotype"/>
          <w:b/>
          <w:color w:val="000000"/>
          <w:lang w:eastAsia="en-US"/>
        </w:rPr>
        <w:t>I. De la clasificación de la información.</w:t>
      </w:r>
      <w:bookmarkEnd w:id="29"/>
      <w:bookmarkEnd w:id="30"/>
      <w:bookmarkEnd w:id="31"/>
      <w:bookmarkEnd w:id="32"/>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eastAsia="Calibri" w:hAnsi="Palatino Linotype" w:cs="Arial"/>
          <w:color w:val="000000"/>
        </w:rPr>
        <w:t>La</w:t>
      </w:r>
      <w:r w:rsidRPr="009B6FD5">
        <w:rPr>
          <w:rFonts w:ascii="Palatino Linotype" w:hAnsi="Palatino Linotype"/>
          <w:color w:val="000000"/>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B6FD5">
        <w:rPr>
          <w:rFonts w:ascii="Palatino Linotype" w:hAnsi="Palatino Linotype"/>
          <w:vertAlign w:val="superscript"/>
          <w:lang w:val="es-ES_tradnl"/>
        </w:rPr>
        <w:footnoteReference w:id="13"/>
      </w:r>
      <w:r w:rsidRPr="009B6FD5">
        <w:rPr>
          <w:rFonts w:ascii="Palatino Linotype" w:hAnsi="Palatino Linotype"/>
          <w:color w:val="000000"/>
          <w:lang w:val="es-ES_tradnl"/>
        </w:rPr>
        <w:t xml:space="preserve"> aunque cualquier límite o restricción, </w:t>
      </w:r>
      <w:r w:rsidRPr="009B6FD5">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9B6FD5">
        <w:rPr>
          <w:rFonts w:ascii="Palatino Linotype" w:hAnsi="Palatino Linotype"/>
          <w:vertAlign w:val="superscript"/>
          <w:lang w:val="es-ES_tradnl"/>
        </w:rPr>
        <w:footnoteReference w:id="14"/>
      </w:r>
      <w:r w:rsidRPr="009B6FD5">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w:t>
      </w:r>
      <w:r w:rsidRPr="009B6FD5">
        <w:rPr>
          <w:rFonts w:ascii="Palatino Linotype" w:hAnsi="Palatino Linotype"/>
          <w:color w:val="000000"/>
          <w:lang w:val="es-ES_tradnl"/>
        </w:rPr>
        <w:lastRenderedPageBreak/>
        <w:t>información que emiten los Sujetos Obligados siguen sin observar los requisitos, tanto por la complejidad del procedimiento como por la falta de atención de los operadores jurídicos.</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9B6FD5">
        <w:rPr>
          <w:rFonts w:ascii="Palatino Linotype" w:hAnsi="Palatino Linotype" w:cs="Arial"/>
          <w:b/>
          <w:bCs/>
          <w:color w:val="000000"/>
          <w:lang w:val="es-ES_tradnl"/>
        </w:rPr>
        <w:t>SUJETO OBLIGADO</w:t>
      </w:r>
      <w:r w:rsidRPr="009B6FD5">
        <w:rPr>
          <w:rFonts w:ascii="Palatino Linotype" w:hAnsi="Palatino Linotype" w:cs="Arial"/>
          <w:color w:val="000000"/>
          <w:lang w:val="es-ES_tradnl"/>
        </w:rPr>
        <w:t xml:space="preserve"> </w:t>
      </w:r>
      <w:r w:rsidRPr="009B6FD5">
        <w:rPr>
          <w:rFonts w:ascii="Palatino Linotype" w:hAnsi="Palatino Linotype"/>
          <w:color w:val="000000"/>
          <w:lang w:val="es-ES_tradnl"/>
        </w:rPr>
        <w:t>para emitir este tipo de acuerdos y que el Órgano Garante debe verificar que se cumplan.</w:t>
      </w:r>
    </w:p>
    <w:p w:rsidR="001A7A6B" w:rsidRPr="009B6FD5" w:rsidRDefault="001A7A6B" w:rsidP="009B6FD5">
      <w:pPr>
        <w:spacing w:line="360" w:lineRule="auto"/>
        <w:jc w:val="both"/>
        <w:rPr>
          <w:rFonts w:ascii="Palatino Linotype" w:hAnsi="Palatino Linotype"/>
          <w:color w:val="000000"/>
          <w:lang w:val="es-ES_tradnl"/>
        </w:rPr>
      </w:pPr>
    </w:p>
    <w:p w:rsidR="001A7A6B" w:rsidRPr="009B6FD5" w:rsidRDefault="001A7A6B" w:rsidP="009B6FD5">
      <w:pPr>
        <w:keepNext/>
        <w:keepLines/>
        <w:pBdr>
          <w:top w:val="nil"/>
          <w:left w:val="nil"/>
          <w:bottom w:val="nil"/>
          <w:right w:val="nil"/>
          <w:between w:val="nil"/>
          <w:bar w:val="nil"/>
        </w:pBdr>
        <w:spacing w:line="360" w:lineRule="auto"/>
        <w:contextualSpacing/>
        <w:outlineLvl w:val="0"/>
        <w:rPr>
          <w:rFonts w:ascii="Palatino Linotype" w:hAnsi="Palatino Linotype"/>
          <w:b/>
          <w:color w:val="000000"/>
          <w:lang w:eastAsia="en-US"/>
        </w:rPr>
      </w:pPr>
      <w:bookmarkStart w:id="33" w:name="_Toc485631700"/>
      <w:bookmarkStart w:id="34" w:name="_Toc500756710"/>
      <w:bookmarkStart w:id="35" w:name="_Toc536691778"/>
      <w:bookmarkStart w:id="36" w:name="_Toc80889845"/>
      <w:bookmarkStart w:id="37" w:name="_Toc81260556"/>
      <w:bookmarkStart w:id="38" w:name="_Toc81384828"/>
      <w:r w:rsidRPr="009B6FD5">
        <w:rPr>
          <w:rFonts w:ascii="Palatino Linotype" w:hAnsi="Palatino Linotype"/>
          <w:b/>
          <w:color w:val="000000"/>
          <w:lang w:eastAsia="en-US"/>
        </w:rPr>
        <w:t>a) Requisitos previos.</w:t>
      </w:r>
      <w:bookmarkEnd w:id="33"/>
      <w:bookmarkEnd w:id="34"/>
      <w:bookmarkEnd w:id="35"/>
      <w:bookmarkEnd w:id="36"/>
      <w:bookmarkEnd w:id="37"/>
      <w:bookmarkEnd w:id="38"/>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s="Arial"/>
          <w:color w:val="000000"/>
          <w:lang w:val="es-ES_tradnl"/>
        </w:rPr>
        <w:t xml:space="preserve">Los </w:t>
      </w:r>
      <w:r w:rsidRPr="009B6FD5">
        <w:rPr>
          <w:rFonts w:ascii="Palatino Linotype" w:hAnsi="Palatino Linotype"/>
          <w:color w:val="000000"/>
          <w:lang w:val="es-ES_tradnl"/>
        </w:rPr>
        <w:t>artículos</w:t>
      </w:r>
      <w:r w:rsidRPr="009B6FD5">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s="Arial"/>
          <w:color w:val="000000"/>
          <w:lang w:val="es-ES_tradnl"/>
        </w:rPr>
        <w:t xml:space="preserve">Además, se debe señalar el procedimiento, de los tres que establecen los artículos 132 y 106 de la Ley Estatal y General, respectivamente, por el que se realiza dicha clasificación, a saber, cuando se atiende una solicitud de acceso a la información, </w:t>
      </w:r>
      <w:r w:rsidRPr="009B6FD5">
        <w:rPr>
          <w:rFonts w:ascii="Palatino Linotype" w:hAnsi="Palatino Linotype" w:cs="Arial"/>
          <w:color w:val="000000"/>
          <w:lang w:val="es-ES_tradnl"/>
        </w:rPr>
        <w:lastRenderedPageBreak/>
        <w:t>porque lo determina una autoridad competente o porque se va a generar una versión pública para cumplir con sus obligaciones.</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1A7A6B" w:rsidRPr="009B6FD5" w:rsidRDefault="001A7A6B" w:rsidP="009B6FD5">
      <w:pPr>
        <w:keepNext/>
        <w:keepLines/>
        <w:pBdr>
          <w:top w:val="nil"/>
          <w:left w:val="nil"/>
          <w:bottom w:val="nil"/>
          <w:right w:val="nil"/>
          <w:between w:val="nil"/>
          <w:bar w:val="nil"/>
        </w:pBdr>
        <w:spacing w:line="360" w:lineRule="auto"/>
        <w:outlineLvl w:val="0"/>
        <w:rPr>
          <w:rFonts w:ascii="Palatino Linotype" w:hAnsi="Palatino Linotype"/>
          <w:b/>
          <w:color w:val="000000"/>
          <w:lang w:eastAsia="en-US"/>
        </w:rPr>
      </w:pPr>
      <w:bookmarkStart w:id="39" w:name="_Toc485631701"/>
      <w:bookmarkStart w:id="40" w:name="_Toc500756711"/>
      <w:bookmarkStart w:id="41" w:name="_Toc536691779"/>
      <w:bookmarkStart w:id="42" w:name="_Toc80889846"/>
      <w:bookmarkStart w:id="43" w:name="_Toc81260557"/>
      <w:bookmarkStart w:id="44" w:name="_Toc81384829"/>
      <w:r w:rsidRPr="009B6FD5">
        <w:rPr>
          <w:rFonts w:ascii="Palatino Linotype" w:hAnsi="Palatino Linotype"/>
          <w:b/>
          <w:color w:val="000000"/>
          <w:lang w:eastAsia="en-US"/>
        </w:rPr>
        <w:t>b) Supuestos de clasificación.</w:t>
      </w:r>
      <w:bookmarkEnd w:id="39"/>
      <w:bookmarkEnd w:id="40"/>
      <w:bookmarkEnd w:id="41"/>
      <w:bookmarkEnd w:id="42"/>
      <w:bookmarkEnd w:id="43"/>
      <w:bookmarkEnd w:id="44"/>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rsidR="001A7A6B" w:rsidRPr="009B6FD5" w:rsidRDefault="001A7A6B" w:rsidP="009B6FD5">
      <w:pPr>
        <w:spacing w:line="360" w:lineRule="auto"/>
        <w:ind w:right="49"/>
        <w:contextualSpacing/>
        <w:jc w:val="both"/>
        <w:rPr>
          <w:rFonts w:ascii="Palatino Linotype" w:hAnsi="Palatino Linotype" w:cs="Arial"/>
          <w:color w:val="000000"/>
          <w:lang w:val="es-ES_tradnl"/>
        </w:rPr>
      </w:pPr>
    </w:p>
    <w:p w:rsidR="001A7A6B" w:rsidRPr="009B6FD5" w:rsidRDefault="001A7A6B" w:rsidP="009B6FD5">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9B6FD5">
        <w:rPr>
          <w:rFonts w:ascii="Palatino Linotype" w:hAnsi="Palatino Linotype" w:cs="Bookman Old Style"/>
          <w:bCs/>
          <w:i/>
          <w:iCs/>
          <w:color w:val="000000"/>
          <w:lang w:val="es-ES_tradnl"/>
        </w:rPr>
        <w:t>“</w:t>
      </w:r>
      <w:r w:rsidRPr="009B6FD5">
        <w:rPr>
          <w:rFonts w:ascii="Palatino Linotype" w:hAnsi="Palatino Linotype" w:cs="Bookman Old Style"/>
          <w:b/>
          <w:i/>
          <w:iCs/>
          <w:color w:val="000000"/>
          <w:lang w:val="es-ES_tradnl"/>
        </w:rPr>
        <w:t>I.</w:t>
      </w:r>
      <w:r w:rsidRPr="009B6FD5">
        <w:rPr>
          <w:rFonts w:ascii="Palatino Linotype" w:hAnsi="Palatino Linotype" w:cs="Bookman Old Style"/>
          <w:bCs/>
          <w:i/>
          <w:iCs/>
          <w:color w:val="000000"/>
          <w:lang w:val="es-ES_tradnl"/>
        </w:rPr>
        <w:t xml:space="preserve"> </w:t>
      </w:r>
      <w:r w:rsidRPr="009B6FD5">
        <w:rPr>
          <w:rFonts w:ascii="Palatino Linotype" w:hAnsi="Palatino Linotype" w:cs="Bookman Old Style"/>
          <w:i/>
          <w:iCs/>
          <w:color w:val="000000"/>
          <w:lang w:val="es-ES_tradnl"/>
        </w:rPr>
        <w:t xml:space="preserve">Se refiera a la información privada y los datos personales concernientes a una persona física o jurídico colectiva identificada o identificable; </w:t>
      </w:r>
    </w:p>
    <w:p w:rsidR="001A7A6B" w:rsidRPr="009B6FD5" w:rsidRDefault="001A7A6B" w:rsidP="009B6FD5">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9B6FD5">
        <w:rPr>
          <w:rFonts w:ascii="Palatino Linotype" w:hAnsi="Palatino Linotype" w:cs="Bookman Old Style"/>
          <w:b/>
          <w:i/>
          <w:iCs/>
          <w:color w:val="000000"/>
          <w:lang w:val="es-ES_tradnl"/>
        </w:rPr>
        <w:t>II.</w:t>
      </w:r>
      <w:r w:rsidRPr="009B6FD5">
        <w:rPr>
          <w:rFonts w:ascii="Palatino Linotype" w:hAnsi="Palatino Linotype" w:cs="Bookman Old Style"/>
          <w:bCs/>
          <w:i/>
          <w:iCs/>
          <w:color w:val="000000"/>
          <w:lang w:val="es-ES_tradnl"/>
        </w:rPr>
        <w:t xml:space="preserve"> </w:t>
      </w:r>
      <w:r w:rsidRPr="009B6FD5">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1A7A6B" w:rsidRPr="009B6FD5" w:rsidRDefault="001A7A6B" w:rsidP="009B6FD5">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9B6FD5">
        <w:rPr>
          <w:rFonts w:ascii="Palatino Linotype" w:hAnsi="Palatino Linotype" w:cs="Bookman Old Style"/>
          <w:b/>
          <w:i/>
          <w:iCs/>
          <w:color w:val="000000"/>
          <w:lang w:val="es-ES_tradnl"/>
        </w:rPr>
        <w:t>III.</w:t>
      </w:r>
      <w:r w:rsidRPr="009B6FD5">
        <w:rPr>
          <w:rFonts w:ascii="Palatino Linotype" w:hAnsi="Palatino Linotype" w:cs="Bookman Old Style"/>
          <w:bCs/>
          <w:i/>
          <w:iCs/>
          <w:color w:val="000000"/>
          <w:lang w:val="es-ES_tradnl"/>
        </w:rPr>
        <w:t xml:space="preserve"> </w:t>
      </w:r>
      <w:r w:rsidRPr="009B6FD5">
        <w:rPr>
          <w:rFonts w:ascii="Palatino Linotype" w:hAnsi="Palatino Linotype" w:cs="Bookman Old Style"/>
          <w:i/>
          <w:iCs/>
          <w:color w:val="000000"/>
          <w:lang w:val="es-ES_tradnl"/>
        </w:rPr>
        <w:t xml:space="preserve">La que presenten los particulares a los sujetos obligados, de conformidad con </w:t>
      </w:r>
      <w:r w:rsidRPr="009B6FD5">
        <w:rPr>
          <w:rFonts w:ascii="Palatino Linotype" w:hAnsi="Palatino Linotype" w:cs="Bookman Old Style"/>
          <w:i/>
          <w:iCs/>
          <w:color w:val="000000"/>
          <w:lang w:val="es-ES_tradnl"/>
        </w:rPr>
        <w:lastRenderedPageBreak/>
        <w:t xml:space="preserve">lo dispuesto por las leyes o los tratados internacionales. </w:t>
      </w:r>
    </w:p>
    <w:p w:rsidR="001A7A6B" w:rsidRPr="009B6FD5" w:rsidRDefault="001A7A6B" w:rsidP="009B6FD5">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9B6FD5">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rsidR="001A7A6B" w:rsidRPr="009B6FD5" w:rsidRDefault="001A7A6B" w:rsidP="009B6FD5">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9B6FD5">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s="Arial"/>
          <w:color w:val="000000"/>
          <w:lang w:val="es-ES_tradnl"/>
        </w:rPr>
        <w:t xml:space="preserve">Como consecuencia de lo anterior, el </w:t>
      </w:r>
      <w:r w:rsidRPr="009B6FD5">
        <w:rPr>
          <w:rFonts w:ascii="Palatino Linotype" w:hAnsi="Palatino Linotype" w:cs="Arial"/>
          <w:b/>
          <w:bCs/>
          <w:color w:val="000000"/>
          <w:lang w:val="es-ES_tradnl"/>
        </w:rPr>
        <w:t>SUJETO OBLIGADO</w:t>
      </w:r>
      <w:r w:rsidRPr="009B6FD5">
        <w:rPr>
          <w:rFonts w:ascii="Palatino Linotype" w:hAnsi="Palatino Linotype" w:cs="Arial"/>
          <w:color w:val="000000"/>
          <w:lang w:val="es-ES_tradnl"/>
        </w:rPr>
        <w:t xml:space="preserve"> debe identificar claramente el tipo de información y hacer un juicio de subsunción o encaje</w:t>
      </w:r>
      <w:r w:rsidRPr="009B6FD5">
        <w:rPr>
          <w:rFonts w:ascii="Palatino Linotype" w:hAnsi="Palatino Linotype"/>
          <w:vertAlign w:val="superscript"/>
          <w:lang w:val="es-ES_tradnl"/>
        </w:rPr>
        <w:footnoteReference w:id="15"/>
      </w:r>
      <w:r w:rsidRPr="009B6FD5">
        <w:rPr>
          <w:rFonts w:ascii="Palatino Linotype" w:hAnsi="Palatino Linotype" w:cs="Arial"/>
          <w:color w:val="000000"/>
          <w:lang w:val="es-ES_tradnl"/>
        </w:rPr>
        <w:t xml:space="preserve"> para </w:t>
      </w:r>
      <w:r w:rsidRPr="009B6FD5">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rsidR="001A7A6B" w:rsidRPr="009B6FD5" w:rsidRDefault="001A7A6B" w:rsidP="009B6FD5">
      <w:pPr>
        <w:spacing w:line="360" w:lineRule="auto"/>
        <w:contextualSpacing/>
        <w:jc w:val="both"/>
        <w:rPr>
          <w:rFonts w:ascii="Palatino Linotype" w:hAnsi="Palatino Linotype"/>
          <w:b/>
          <w:color w:val="000000"/>
          <w:lang w:val="es-ES_tradnl"/>
        </w:rPr>
      </w:pPr>
    </w:p>
    <w:p w:rsidR="001A7A6B" w:rsidRPr="009B6FD5" w:rsidRDefault="001A7A6B" w:rsidP="009B6FD5">
      <w:pPr>
        <w:keepNext/>
        <w:keepLines/>
        <w:pBdr>
          <w:top w:val="nil"/>
          <w:left w:val="nil"/>
          <w:bottom w:val="nil"/>
          <w:right w:val="nil"/>
          <w:between w:val="nil"/>
          <w:bar w:val="nil"/>
        </w:pBdr>
        <w:spacing w:line="360" w:lineRule="auto"/>
        <w:contextualSpacing/>
        <w:jc w:val="both"/>
        <w:outlineLvl w:val="0"/>
        <w:rPr>
          <w:rFonts w:ascii="Palatino Linotype" w:hAnsi="Palatino Linotype"/>
          <w:b/>
          <w:color w:val="000000"/>
          <w:lang w:eastAsia="en-US"/>
        </w:rPr>
      </w:pPr>
      <w:bookmarkStart w:id="45" w:name="_Toc485631702"/>
      <w:bookmarkStart w:id="46" w:name="_Toc500756712"/>
      <w:bookmarkStart w:id="47" w:name="_Toc536691780"/>
      <w:bookmarkStart w:id="48" w:name="_Toc80889847"/>
      <w:bookmarkStart w:id="49" w:name="_Toc81260558"/>
      <w:bookmarkStart w:id="50" w:name="_Toc81384830"/>
      <w:r w:rsidRPr="009B6FD5">
        <w:rPr>
          <w:rFonts w:ascii="Palatino Linotype" w:hAnsi="Palatino Linotype"/>
          <w:b/>
          <w:color w:val="000000"/>
          <w:lang w:eastAsia="en-US"/>
        </w:rPr>
        <w:t>c) Excepciones a los supuestos de clasificación de la información como reservada.</w:t>
      </w:r>
      <w:bookmarkEnd w:id="45"/>
      <w:bookmarkEnd w:id="46"/>
      <w:bookmarkEnd w:id="47"/>
      <w:bookmarkEnd w:id="48"/>
      <w:bookmarkEnd w:id="49"/>
      <w:bookmarkEnd w:id="50"/>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olor w:val="000000"/>
        </w:rPr>
        <w:t xml:space="preserve">En </w:t>
      </w:r>
      <w:r w:rsidRPr="009B6FD5">
        <w:rPr>
          <w:rFonts w:ascii="Palatino Linotype" w:hAnsi="Palatino Linotype" w:cs="Arial"/>
          <w:color w:val="000000"/>
          <w:lang w:val="es-ES_tradnl"/>
        </w:rPr>
        <w:t>todos</w:t>
      </w:r>
      <w:r w:rsidRPr="009B6FD5">
        <w:rPr>
          <w:rFonts w:ascii="Palatino Linotype" w:hAnsi="Palatino Linotype"/>
          <w:color w:val="000000"/>
        </w:rPr>
        <w:t xml:space="preserve"> aquellos casos en los que se pretende adoptar una clasificación de la información como reservada, hay que considerar lo señalado por los artículos 5, 140 y 142 de la Ley Estatal y 5, 113 fracción III y 115 de la Ley General, que establecen </w:t>
      </w:r>
      <w:r w:rsidRPr="009B6FD5">
        <w:rPr>
          <w:rFonts w:ascii="Palatino Linotype" w:hAnsi="Palatino Linotype"/>
          <w:b/>
          <w:color w:val="000000"/>
        </w:rPr>
        <w:t>qué no puede clasificarse como información reservada:</w:t>
      </w:r>
    </w:p>
    <w:p w:rsidR="001A7A6B" w:rsidRPr="009B6FD5" w:rsidRDefault="001A7A6B" w:rsidP="009B6FD5">
      <w:pPr>
        <w:spacing w:line="360" w:lineRule="auto"/>
        <w:ind w:right="49"/>
        <w:contextualSpacing/>
        <w:jc w:val="both"/>
        <w:rPr>
          <w:rFonts w:ascii="Palatino Linotype" w:hAnsi="Palatino Linotype"/>
          <w:b/>
          <w:color w:val="000000"/>
        </w:rPr>
      </w:pPr>
    </w:p>
    <w:p w:rsidR="001A7A6B" w:rsidRPr="009B6FD5" w:rsidRDefault="001A7A6B" w:rsidP="009B6FD5">
      <w:pPr>
        <w:spacing w:line="360" w:lineRule="auto"/>
        <w:ind w:left="567" w:right="567"/>
        <w:contextualSpacing/>
        <w:jc w:val="both"/>
        <w:rPr>
          <w:rFonts w:ascii="Palatino Linotype" w:hAnsi="Palatino Linotype"/>
          <w:b/>
          <w:i/>
          <w:iCs/>
          <w:color w:val="000000"/>
          <w:lang w:val="es-ES"/>
        </w:rPr>
      </w:pPr>
      <w:r w:rsidRPr="009B6FD5">
        <w:rPr>
          <w:rFonts w:ascii="Palatino Linotype" w:hAnsi="Palatino Linotype"/>
          <w:bCs/>
          <w:color w:val="000000"/>
          <w:lang w:val="es-ES"/>
        </w:rPr>
        <w:t>“</w:t>
      </w:r>
      <w:r w:rsidRPr="009B6FD5">
        <w:rPr>
          <w:rFonts w:ascii="Palatino Linotype" w:hAnsi="Palatino Linotype"/>
          <w:b/>
          <w:i/>
          <w:iCs/>
          <w:color w:val="000000"/>
          <w:lang w:val="es-ES"/>
        </w:rPr>
        <w:t>I. Se trate de violaciones graves de derechos humanos, calificada así por autoridad competente;</w:t>
      </w:r>
    </w:p>
    <w:p w:rsidR="001A7A6B" w:rsidRPr="009B6FD5" w:rsidRDefault="001A7A6B" w:rsidP="009B6FD5">
      <w:pPr>
        <w:spacing w:line="360" w:lineRule="auto"/>
        <w:ind w:left="567" w:right="567"/>
        <w:contextualSpacing/>
        <w:jc w:val="both"/>
        <w:rPr>
          <w:rFonts w:ascii="Palatino Linotype" w:hAnsi="Palatino Linotype"/>
          <w:b/>
          <w:i/>
          <w:iCs/>
          <w:color w:val="000000"/>
          <w:lang w:val="es-ES"/>
        </w:rPr>
      </w:pPr>
      <w:r w:rsidRPr="009B6FD5">
        <w:rPr>
          <w:rFonts w:ascii="Palatino Linotype" w:hAnsi="Palatino Linotype"/>
          <w:b/>
          <w:i/>
          <w:iCs/>
          <w:color w:val="000000"/>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1A7A6B" w:rsidRPr="009B6FD5" w:rsidRDefault="001A7A6B" w:rsidP="009B6FD5">
      <w:pPr>
        <w:spacing w:line="360" w:lineRule="auto"/>
        <w:ind w:left="567" w:right="567"/>
        <w:contextualSpacing/>
        <w:jc w:val="both"/>
        <w:rPr>
          <w:rFonts w:ascii="Palatino Linotype" w:hAnsi="Palatino Linotype"/>
          <w:b/>
          <w:i/>
          <w:iCs/>
          <w:color w:val="000000"/>
          <w:lang w:val="es-ES"/>
        </w:rPr>
      </w:pPr>
      <w:r w:rsidRPr="009B6FD5">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1A7A6B" w:rsidRPr="009B6FD5" w:rsidRDefault="001A7A6B" w:rsidP="009B6FD5">
      <w:pPr>
        <w:spacing w:line="360" w:lineRule="auto"/>
        <w:ind w:left="567" w:right="567"/>
        <w:contextualSpacing/>
        <w:jc w:val="both"/>
        <w:rPr>
          <w:rFonts w:ascii="Palatino Linotype" w:hAnsi="Palatino Linotype"/>
          <w:bCs/>
          <w:color w:val="000000"/>
          <w:lang w:val="es-ES"/>
        </w:rPr>
      </w:pPr>
      <w:r w:rsidRPr="009B6FD5">
        <w:rPr>
          <w:rFonts w:ascii="Palatino Linotype" w:hAnsi="Palatino Linotype"/>
          <w:b/>
          <w:i/>
          <w:iCs/>
          <w:color w:val="000000"/>
          <w:lang w:val="es-ES"/>
        </w:rPr>
        <w:lastRenderedPageBreak/>
        <w:t>IV. Se trate de información relacionada con actos de corrupción de conformidad con las disposiciones jurídicas aplicables.</w:t>
      </w:r>
      <w:r w:rsidRPr="009B6FD5">
        <w:rPr>
          <w:rFonts w:ascii="Palatino Linotype" w:hAnsi="Palatino Linotype"/>
          <w:bCs/>
          <w:color w:val="000000"/>
          <w:lang w:val="es-ES"/>
        </w:rPr>
        <w:t>”</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olor w:val="000000"/>
        </w:rPr>
        <w:t>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w:t>
      </w:r>
    </w:p>
    <w:p w:rsidR="001A7A6B" w:rsidRPr="009B6FD5" w:rsidRDefault="001A7A6B" w:rsidP="009B6FD5">
      <w:pPr>
        <w:spacing w:line="360" w:lineRule="auto"/>
        <w:contextualSpacing/>
        <w:jc w:val="both"/>
        <w:rPr>
          <w:rFonts w:ascii="Palatino Linotype" w:hAnsi="Palatino Linotype"/>
          <w:color w:val="000000"/>
          <w:lang w:val="es-ES"/>
        </w:rPr>
      </w:pPr>
    </w:p>
    <w:p w:rsidR="001A7A6B" w:rsidRPr="009B6FD5" w:rsidRDefault="001A7A6B" w:rsidP="009B6FD5">
      <w:pPr>
        <w:keepNext/>
        <w:keepLines/>
        <w:pBdr>
          <w:top w:val="nil"/>
          <w:left w:val="nil"/>
          <w:bottom w:val="nil"/>
          <w:right w:val="nil"/>
          <w:between w:val="nil"/>
          <w:bar w:val="nil"/>
        </w:pBdr>
        <w:spacing w:line="360" w:lineRule="auto"/>
        <w:outlineLvl w:val="0"/>
        <w:rPr>
          <w:rFonts w:ascii="Palatino Linotype" w:hAnsi="Palatino Linotype"/>
          <w:b/>
          <w:color w:val="000000"/>
          <w:lang w:eastAsia="en-US"/>
        </w:rPr>
      </w:pPr>
      <w:bookmarkStart w:id="51" w:name="_Toc485631703"/>
      <w:bookmarkStart w:id="52" w:name="_Toc500756713"/>
      <w:bookmarkStart w:id="53" w:name="_Toc536691781"/>
      <w:bookmarkStart w:id="54" w:name="_Toc80889848"/>
      <w:bookmarkStart w:id="55" w:name="_Toc81384831"/>
      <w:r w:rsidRPr="009B6FD5">
        <w:rPr>
          <w:rFonts w:ascii="Palatino Linotype" w:hAnsi="Palatino Linotype"/>
          <w:b/>
          <w:color w:val="000000"/>
          <w:lang w:eastAsia="en-US"/>
        </w:rPr>
        <w:t>II. La intervención del Comité de Transparencia.</w:t>
      </w:r>
      <w:bookmarkEnd w:id="51"/>
      <w:bookmarkEnd w:id="52"/>
      <w:bookmarkEnd w:id="53"/>
      <w:bookmarkEnd w:id="54"/>
      <w:bookmarkEnd w:id="55"/>
    </w:p>
    <w:p w:rsidR="001A7A6B" w:rsidRPr="009B6FD5" w:rsidRDefault="001A7A6B" w:rsidP="009B6FD5">
      <w:pPr>
        <w:spacing w:line="360" w:lineRule="auto"/>
        <w:contextualSpacing/>
        <w:jc w:val="both"/>
        <w:rPr>
          <w:rFonts w:ascii="Palatino Linotype" w:hAnsi="Palatino Linotype" w:cs="Arial"/>
          <w:b/>
          <w:color w:val="000000"/>
          <w:lang w:val="es-ES_tradnl"/>
        </w:rPr>
      </w:pPr>
    </w:p>
    <w:p w:rsidR="001A7A6B" w:rsidRPr="009B6FD5" w:rsidRDefault="001A7A6B" w:rsidP="009B6FD5">
      <w:pPr>
        <w:keepNext/>
        <w:keepLines/>
        <w:pBdr>
          <w:top w:val="nil"/>
          <w:left w:val="nil"/>
          <w:bottom w:val="nil"/>
          <w:right w:val="nil"/>
          <w:between w:val="nil"/>
          <w:bar w:val="nil"/>
        </w:pBdr>
        <w:spacing w:line="360" w:lineRule="auto"/>
        <w:contextualSpacing/>
        <w:outlineLvl w:val="1"/>
        <w:rPr>
          <w:rFonts w:ascii="Palatino Linotype" w:hAnsi="Palatino Linotype"/>
          <w:b/>
          <w:color w:val="000000"/>
          <w:lang w:eastAsia="en-US"/>
        </w:rPr>
      </w:pPr>
      <w:bookmarkStart w:id="56" w:name="_Toc485631704"/>
      <w:bookmarkStart w:id="57" w:name="_Toc500756714"/>
      <w:bookmarkStart w:id="58" w:name="_Toc536691782"/>
      <w:bookmarkStart w:id="59" w:name="_Toc80889849"/>
      <w:bookmarkStart w:id="60" w:name="_Toc81260560"/>
      <w:bookmarkStart w:id="61" w:name="_Toc81384832"/>
      <w:r w:rsidRPr="009B6FD5">
        <w:rPr>
          <w:rFonts w:ascii="Palatino Linotype" w:hAnsi="Palatino Linotype"/>
          <w:b/>
          <w:color w:val="000000"/>
          <w:lang w:eastAsia="en-US"/>
        </w:rPr>
        <w:t>a) Formalidades para emitir el acuerdo de clasificación.</w:t>
      </w:r>
      <w:bookmarkEnd w:id="56"/>
      <w:bookmarkEnd w:id="57"/>
      <w:bookmarkEnd w:id="58"/>
      <w:bookmarkEnd w:id="59"/>
      <w:bookmarkEnd w:id="60"/>
      <w:bookmarkEnd w:id="61"/>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s="Arial"/>
          <w:color w:val="000000"/>
          <w:lang w:val="es-ES_tradnl"/>
        </w:rPr>
        <w:t xml:space="preserve">El </w:t>
      </w:r>
      <w:r w:rsidRPr="009B6FD5">
        <w:rPr>
          <w:rFonts w:ascii="Palatino Linotype" w:hAnsi="Palatino Linotype"/>
          <w:color w:val="000000"/>
        </w:rPr>
        <w:t>Comité</w:t>
      </w:r>
      <w:r w:rsidRPr="009B6FD5">
        <w:rPr>
          <w:rFonts w:ascii="Palatino Linotype" w:hAnsi="Palatino Linotype" w:cs="Arial"/>
          <w:color w:val="000000"/>
          <w:lang w:val="es-ES_tradnl"/>
        </w:rPr>
        <w:t xml:space="preserve"> de Transparencia, según lo dispuesto en los artículos 128 y 103 de la Ley Estatal y de la Ley General, respectivamente, y </w:t>
      </w:r>
      <w:r w:rsidRPr="009B6FD5">
        <w:rPr>
          <w:rFonts w:ascii="Palatino Linotype" w:hAnsi="Palatino Linotype"/>
          <w:color w:val="000000"/>
          <w:lang w:val="es-ES_tradnl"/>
        </w:rPr>
        <w:t xml:space="preserve">la fracción III del numeral Segundo de los </w:t>
      </w:r>
      <w:r w:rsidRPr="009B6FD5">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9B6FD5">
        <w:rPr>
          <w:rFonts w:ascii="Palatino Linotype" w:hAnsi="Palatino Linotype"/>
          <w:color w:val="000000"/>
          <w:lang w:val="es-ES_tradnl"/>
        </w:rPr>
        <w:t xml:space="preserve"> </w:t>
      </w:r>
      <w:r w:rsidRPr="009B6FD5">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s="Arial"/>
          <w:color w:val="000000"/>
          <w:lang w:val="es-ES_tradnl"/>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olor w:val="000000"/>
          <w:lang w:val="es-ES_tradnl"/>
        </w:rPr>
        <w:t xml:space="preserve">La </w:t>
      </w:r>
      <w:r w:rsidRPr="009B6FD5">
        <w:rPr>
          <w:rFonts w:ascii="Palatino Linotype" w:hAnsi="Palatino Linotype" w:cs="Arial"/>
          <w:color w:val="000000"/>
          <w:lang w:val="es-ES_tradnl"/>
        </w:rPr>
        <w:t>decisión</w:t>
      </w:r>
      <w:r w:rsidRPr="009B6FD5">
        <w:rPr>
          <w:rFonts w:ascii="Palatino Linotype" w:hAnsi="Palatino Linotype"/>
          <w:color w:val="000000"/>
          <w:lang w:val="es-ES_tradnl"/>
        </w:rPr>
        <w:t xml:space="preserve">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keepNext/>
        <w:keepLines/>
        <w:pBdr>
          <w:top w:val="nil"/>
          <w:left w:val="nil"/>
          <w:bottom w:val="nil"/>
          <w:right w:val="nil"/>
          <w:between w:val="nil"/>
          <w:bar w:val="nil"/>
        </w:pBdr>
        <w:spacing w:line="360" w:lineRule="auto"/>
        <w:contextualSpacing/>
        <w:outlineLvl w:val="1"/>
        <w:rPr>
          <w:rFonts w:ascii="Palatino Linotype" w:hAnsi="Palatino Linotype"/>
          <w:b/>
          <w:color w:val="000000"/>
          <w:lang w:eastAsia="en-US"/>
        </w:rPr>
      </w:pPr>
      <w:bookmarkStart w:id="62" w:name="_Toc485631705"/>
      <w:bookmarkStart w:id="63" w:name="_Toc500756715"/>
      <w:bookmarkStart w:id="64" w:name="_Toc536691783"/>
      <w:bookmarkStart w:id="65" w:name="_Toc80889850"/>
      <w:bookmarkStart w:id="66" w:name="_Toc81260561"/>
      <w:bookmarkStart w:id="67" w:name="_Toc81384833"/>
      <w:r w:rsidRPr="009B6FD5">
        <w:rPr>
          <w:rFonts w:ascii="Palatino Linotype" w:hAnsi="Palatino Linotype"/>
          <w:b/>
          <w:color w:val="000000"/>
          <w:lang w:eastAsia="en-US"/>
        </w:rPr>
        <w:t>b) Requisitos de fondo del acuerdo de clasificación.</w:t>
      </w:r>
      <w:bookmarkEnd w:id="62"/>
      <w:bookmarkEnd w:id="63"/>
      <w:bookmarkEnd w:id="64"/>
      <w:bookmarkEnd w:id="65"/>
      <w:bookmarkEnd w:id="66"/>
      <w:bookmarkEnd w:id="67"/>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s="Arial"/>
          <w:color w:val="000000"/>
          <w:lang w:val="es-ES_tradnl"/>
        </w:rPr>
        <w:t xml:space="preserve">Como </w:t>
      </w:r>
      <w:r w:rsidRPr="009B6FD5">
        <w:rPr>
          <w:rFonts w:ascii="Palatino Linotype" w:hAnsi="Palatino Linotype"/>
          <w:color w:val="000000"/>
          <w:lang w:val="es-ES_tradnl"/>
        </w:rPr>
        <w:t>se</w:t>
      </w:r>
      <w:r w:rsidRPr="009B6FD5">
        <w:rPr>
          <w:rFonts w:ascii="Palatino Linotype" w:hAnsi="Palatino Linotype" w:cs="Arial"/>
          <w:color w:val="000000"/>
          <w:lang w:val="es-ES_tradnl"/>
        </w:rPr>
        <w:t xml:space="preserve"> ha señalado antes, al hacer el juicio de subsunción o encaje entre el supuesto de hecho y la hipótesis jurídica, se debe acreditar la estricta correspondencia </w:t>
      </w:r>
      <w:r w:rsidRPr="009B6FD5">
        <w:rPr>
          <w:rFonts w:ascii="Palatino Linotype" w:hAnsi="Palatino Linotype" w:cs="Arial"/>
          <w:color w:val="000000"/>
          <w:lang w:val="es-ES_tradnl"/>
        </w:rPr>
        <w:lastRenderedPageBreak/>
        <w:t xml:space="preserve">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olor w:val="000000"/>
          <w:lang w:val="es-ES_tradnl"/>
        </w:rPr>
        <w:t xml:space="preserve">De lo </w:t>
      </w:r>
      <w:r w:rsidRPr="009B6FD5">
        <w:rPr>
          <w:rFonts w:ascii="Palatino Linotype" w:hAnsi="Palatino Linotype" w:cs="Arial"/>
          <w:color w:val="000000"/>
          <w:lang w:val="es-ES_tradnl"/>
        </w:rPr>
        <w:t>anterior</w:t>
      </w:r>
      <w:r w:rsidRPr="009B6FD5">
        <w:rPr>
          <w:rFonts w:ascii="Palatino Linotype" w:hAnsi="Palatino Linotype"/>
          <w:color w:val="000000"/>
          <w:lang w:val="es-ES_tradnl"/>
        </w:rPr>
        <w:t>,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s="Arial"/>
          <w:color w:val="000000"/>
          <w:lang w:val="es-ES_tradnl"/>
        </w:rPr>
        <w:t>Han sido vastos los estudios doctrinarios relativos a estos derechos fundamentales y al principio de legalidad en ellos contenidos; como ejemplo, el procesalista José Ovalle Fabela, en su obra “Garantías Constitucionales del Proceso”, refiere que “...</w:t>
      </w:r>
      <w:r w:rsidRPr="009B6FD5">
        <w:rPr>
          <w:rFonts w:ascii="Palatino Linotype" w:hAnsi="Palatino Linotype" w:cs="Arial"/>
          <w:i/>
          <w:iCs/>
          <w:color w:val="000000"/>
          <w:lang w:val="es-ES_tradnl"/>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w:t>
      </w:r>
      <w:r w:rsidRPr="009B6FD5">
        <w:rPr>
          <w:rFonts w:ascii="Palatino Linotype" w:hAnsi="Palatino Linotype" w:cs="Arial"/>
          <w:i/>
          <w:iCs/>
          <w:color w:val="000000"/>
          <w:lang w:val="es-ES_tradnl"/>
        </w:rPr>
        <w:lastRenderedPageBreak/>
        <w:t>partir del análisis de las pruebas, lo cual se debe exteriorizar en una argumentación o juicio de hecho</w:t>
      </w:r>
      <w:r w:rsidRPr="009B6FD5">
        <w:rPr>
          <w:rFonts w:ascii="Palatino Linotype" w:hAnsi="Palatino Linotype" w:cs="Arial"/>
          <w:color w:val="000000"/>
          <w:lang w:val="es-ES_tradnl"/>
        </w:rPr>
        <w:t>...”.</w:t>
      </w:r>
      <w:r w:rsidRPr="009B6FD5">
        <w:rPr>
          <w:rFonts w:ascii="Palatino Linotype" w:hAnsi="Palatino Linotype"/>
          <w:vertAlign w:val="superscript"/>
          <w:lang w:val="es-ES_tradnl"/>
        </w:rPr>
        <w:footnoteReference w:id="16"/>
      </w: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s="Arial"/>
          <w:color w:val="000000"/>
          <w:lang w:val="es-ES_tradnl"/>
        </w:rPr>
        <w:t>Por su parte, el intérprete judicial del país ha establecido una jurisprudencia respecto a qué debe entenderse por fundamentación y motivación, en los siguientes términos</w:t>
      </w:r>
      <w:r w:rsidRPr="009B6FD5">
        <w:rPr>
          <w:rFonts w:ascii="Palatino Linotype" w:hAnsi="Palatino Linotype"/>
          <w:i/>
          <w:vertAlign w:val="superscript"/>
          <w:lang w:val="es-ES_tradnl"/>
        </w:rPr>
        <w:footnoteReference w:id="17"/>
      </w:r>
      <w:r w:rsidRPr="009B6FD5">
        <w:rPr>
          <w:rFonts w:ascii="Palatino Linotype" w:hAnsi="Palatino Linotype" w:cs="Arial"/>
          <w:color w:val="000000"/>
          <w:lang w:val="es-ES_tradnl"/>
        </w:rPr>
        <w:t>:</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pStyle w:val="Prrafodelista"/>
        <w:spacing w:line="360" w:lineRule="auto"/>
        <w:ind w:left="644" w:right="618"/>
        <w:jc w:val="both"/>
        <w:rPr>
          <w:rFonts w:ascii="Palatino Linotype" w:hAnsi="Palatino Linotype" w:cs="Arial"/>
          <w:i/>
          <w:color w:val="000000"/>
          <w:lang w:val="es-ES_tradnl"/>
        </w:rPr>
      </w:pPr>
      <w:r w:rsidRPr="009B6FD5">
        <w:rPr>
          <w:rFonts w:ascii="Palatino Linotype" w:hAnsi="Palatino Linotype" w:cs="Arial"/>
          <w:b/>
          <w:i/>
          <w:color w:val="000000"/>
          <w:lang w:val="es-ES_tradnl"/>
        </w:rPr>
        <w:t>FUNDAMENTACIÓN Y MOTIVACIÓN.</w:t>
      </w:r>
      <w:r w:rsidRPr="009B6FD5">
        <w:rPr>
          <w:rFonts w:ascii="Palatino Linotype" w:hAnsi="Palatino Linotype" w:cs="Arial"/>
          <w:i/>
          <w:color w:val="000000"/>
          <w:lang w:val="es-ES_tradnl"/>
        </w:rPr>
        <w:t xml:space="preserve"> “La </w:t>
      </w:r>
      <w:r w:rsidRPr="009B6FD5">
        <w:rPr>
          <w:rFonts w:ascii="Palatino Linotype" w:hAnsi="Palatino Linotype" w:cs="Arial"/>
          <w:i/>
          <w:color w:val="000000"/>
          <w:u w:val="single"/>
          <w:lang w:val="es-ES_tradnl"/>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B6FD5">
        <w:rPr>
          <w:rFonts w:ascii="Palatino Linotype" w:hAnsi="Palatino Linotype" w:cs="Arial"/>
          <w:i/>
          <w:color w:val="000000"/>
          <w:lang w:val="es-ES_tradnl"/>
        </w:rPr>
        <w:t>.”</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s="Arial"/>
          <w:color w:val="000000"/>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s="Arial"/>
          <w:color w:val="000000"/>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9B6FD5">
        <w:rPr>
          <w:rFonts w:ascii="Palatino Linotype" w:hAnsi="Palatino Linotype" w:cs="Arial"/>
          <w:color w:val="000000"/>
          <w:lang w:val="es-ES_tradnl"/>
        </w:rPr>
        <w:lastRenderedPageBreak/>
        <w:t>modo, la persona que se sienta afectada pueda impugnar la decisión, permitiéndole una real y auténtica defensa.</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s="Arial"/>
          <w:color w:val="000000"/>
          <w:lang w:val="es-ES_tradnl"/>
        </w:rPr>
        <w:t>En ese mismo sentido, el lineamiento trigésimo tercero fracción V de los Lineamientos Generales, precisa que para motivar la clasificación se deben acreditar las circunstancias de tiempo, modo y lugar.</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s="Arial"/>
          <w:color w:val="000000"/>
          <w:lang w:val="es-ES_tradnl"/>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9B6FD5">
        <w:rPr>
          <w:rFonts w:ascii="Palatino Linotype" w:hAnsi="Palatino Linotype"/>
          <w:color w:val="000000"/>
          <w:lang w:val="es-ES_tradnl"/>
        </w:rPr>
        <w:t xml:space="preserve"> </w:t>
      </w:r>
      <w:r w:rsidRPr="009B6FD5">
        <w:rPr>
          <w:rFonts w:ascii="Palatino Linotype" w:hAnsi="Palatino Linotype" w:cs="Arial"/>
          <w:color w:val="000000"/>
          <w:lang w:val="es-ES_tradnl"/>
        </w:rPr>
        <w:t>datos personales</w:t>
      </w:r>
      <w:r w:rsidRPr="009B6FD5">
        <w:rPr>
          <w:rFonts w:ascii="Palatino Linotype" w:hAnsi="Palatino Linotype"/>
          <w:vertAlign w:val="superscript"/>
          <w:lang w:val="es-ES_tradnl"/>
        </w:rPr>
        <w:footnoteReference w:id="18"/>
      </w:r>
      <w:r w:rsidRPr="009B6FD5">
        <w:rPr>
          <w:rFonts w:ascii="Palatino Linotype" w:hAnsi="Palatino Linotype" w:cs="Arial"/>
          <w:color w:val="000000"/>
          <w:lang w:val="es-ES_tradnl"/>
        </w:rPr>
        <w:t xml:space="preserve"> del servidor público que no tienen ninguna injerencia en el tema de la transparencia y la rendición de cuentas,  por ejemplo, </w:t>
      </w:r>
      <w:r w:rsidRPr="009B6FD5">
        <w:rPr>
          <w:rFonts w:ascii="Palatino Linotype" w:eastAsia="Calibri" w:hAnsi="Palatino Linotype" w:cs="Arial"/>
          <w:color w:val="000000"/>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eastAsia="Calibri" w:hAnsi="Palatino Linotype" w:cs="Arial"/>
          <w:color w:val="000000"/>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1A7A6B" w:rsidRPr="009B6FD5" w:rsidRDefault="001A7A6B" w:rsidP="009B6FD5">
      <w:pPr>
        <w:pStyle w:val="Prrafodelista"/>
        <w:spacing w:line="360" w:lineRule="auto"/>
        <w:ind w:left="644"/>
        <w:jc w:val="both"/>
        <w:rPr>
          <w:rFonts w:ascii="Palatino Linotype" w:hAnsi="Palatino Linotype" w:cs="Arial"/>
          <w:color w:val="000000"/>
          <w:lang w:val="es-ES_tradnl"/>
        </w:rPr>
      </w:pPr>
    </w:p>
    <w:p w:rsidR="001A7A6B" w:rsidRPr="009B6FD5" w:rsidRDefault="001A7A6B" w:rsidP="009B6FD5">
      <w:pPr>
        <w:pStyle w:val="Prrafodelista"/>
        <w:keepNext/>
        <w:keepLines/>
        <w:pBdr>
          <w:top w:val="nil"/>
          <w:left w:val="nil"/>
          <w:bottom w:val="nil"/>
          <w:right w:val="nil"/>
          <w:between w:val="nil"/>
          <w:bar w:val="nil"/>
        </w:pBdr>
        <w:spacing w:line="360" w:lineRule="auto"/>
        <w:ind w:left="644"/>
        <w:jc w:val="both"/>
        <w:outlineLvl w:val="1"/>
        <w:rPr>
          <w:rFonts w:ascii="Palatino Linotype" w:hAnsi="Palatino Linotype"/>
          <w:b/>
          <w:color w:val="000000"/>
          <w:lang w:eastAsia="en-US"/>
        </w:rPr>
      </w:pPr>
      <w:bookmarkStart w:id="68" w:name="_Toc485631706"/>
      <w:bookmarkStart w:id="69" w:name="_Toc500756716"/>
      <w:bookmarkStart w:id="70" w:name="_Toc536691784"/>
      <w:bookmarkStart w:id="71" w:name="_Toc80889851"/>
      <w:bookmarkStart w:id="72" w:name="_Toc81384834"/>
      <w:r w:rsidRPr="009B6FD5">
        <w:rPr>
          <w:rFonts w:ascii="Palatino Linotype" w:hAnsi="Palatino Linotype"/>
          <w:b/>
          <w:color w:val="000000"/>
          <w:lang w:eastAsia="en-US"/>
        </w:rPr>
        <w:t>III. Condiciones especiales de la clasificación de la información como reservada</w:t>
      </w:r>
      <w:bookmarkEnd w:id="68"/>
      <w:bookmarkEnd w:id="69"/>
      <w:bookmarkEnd w:id="70"/>
      <w:bookmarkEnd w:id="71"/>
      <w:bookmarkEnd w:id="72"/>
      <w:r w:rsidRPr="009B6FD5">
        <w:rPr>
          <w:rFonts w:ascii="Palatino Linotype" w:hAnsi="Palatino Linotype"/>
          <w:b/>
          <w:color w:val="000000"/>
          <w:lang w:eastAsia="en-US"/>
        </w:rPr>
        <w:t xml:space="preserve"> </w:t>
      </w:r>
    </w:p>
    <w:p w:rsidR="001A7A6B" w:rsidRPr="009B6FD5" w:rsidRDefault="001A7A6B" w:rsidP="009B6FD5">
      <w:pPr>
        <w:pStyle w:val="Prrafodelista"/>
        <w:spacing w:line="360" w:lineRule="auto"/>
        <w:ind w:left="644"/>
        <w:jc w:val="both"/>
        <w:rPr>
          <w:rFonts w:ascii="Palatino Linotype" w:hAnsi="Palatino Linotype" w:cs="Arial"/>
          <w:b/>
          <w:color w:val="000000"/>
          <w:lang w:val="es-ES_tradnl"/>
        </w:rPr>
      </w:pPr>
    </w:p>
    <w:p w:rsidR="001A7A6B" w:rsidRPr="009B6FD5" w:rsidRDefault="001A7A6B" w:rsidP="009B6FD5">
      <w:pPr>
        <w:pStyle w:val="Ttulo1"/>
        <w:spacing w:before="0" w:line="360" w:lineRule="auto"/>
        <w:ind w:left="644"/>
        <w:rPr>
          <w:rFonts w:ascii="Palatino Linotype" w:hAnsi="Palatino Linotype"/>
          <w:b/>
          <w:color w:val="000000" w:themeColor="text1"/>
          <w:sz w:val="24"/>
          <w:szCs w:val="24"/>
        </w:rPr>
      </w:pPr>
      <w:bookmarkStart w:id="73" w:name="_Toc485631707"/>
      <w:bookmarkStart w:id="74" w:name="_Toc500756717"/>
      <w:bookmarkStart w:id="75" w:name="_Toc536691785"/>
      <w:bookmarkStart w:id="76" w:name="_Toc80889852"/>
      <w:bookmarkStart w:id="77" w:name="_Toc81260563"/>
      <w:bookmarkStart w:id="78" w:name="_Toc81384835"/>
      <w:r w:rsidRPr="009B6FD5">
        <w:rPr>
          <w:rFonts w:ascii="Palatino Linotype" w:hAnsi="Palatino Linotype"/>
          <w:b/>
          <w:color w:val="000000" w:themeColor="text1"/>
          <w:sz w:val="24"/>
          <w:szCs w:val="24"/>
        </w:rPr>
        <w:t>a) La fundamentación específica.</w:t>
      </w:r>
      <w:bookmarkEnd w:id="73"/>
      <w:bookmarkEnd w:id="74"/>
      <w:bookmarkEnd w:id="75"/>
      <w:bookmarkEnd w:id="76"/>
      <w:bookmarkEnd w:id="77"/>
      <w:bookmarkEnd w:id="78"/>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A87582"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9B6FD5">
        <w:rPr>
          <w:rFonts w:ascii="Palatino Linotype" w:hAnsi="Palatino Linotype" w:cs="Arial"/>
          <w:b/>
          <w:bCs/>
          <w:color w:val="000000"/>
          <w:lang w:val="es-ES_tradnl"/>
        </w:rPr>
        <w:t>SUJETO OBLIGADO</w:t>
      </w:r>
      <w:r w:rsidRPr="009B6FD5">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rsidR="00A87582" w:rsidRPr="009B6FD5" w:rsidRDefault="00A87582" w:rsidP="00A87582">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pStyle w:val="Ttulo1"/>
        <w:spacing w:before="0" w:line="360" w:lineRule="auto"/>
        <w:rPr>
          <w:rFonts w:ascii="Palatino Linotype" w:hAnsi="Palatino Linotype"/>
          <w:b/>
          <w:sz w:val="24"/>
          <w:szCs w:val="24"/>
          <w:lang w:eastAsia="en-US"/>
        </w:rPr>
      </w:pPr>
      <w:bookmarkStart w:id="79" w:name="_Toc485631709"/>
      <w:bookmarkStart w:id="80" w:name="_Toc500756719"/>
      <w:bookmarkStart w:id="81" w:name="_Toc536691787"/>
      <w:bookmarkStart w:id="82" w:name="_Toc80889854"/>
      <w:bookmarkStart w:id="83" w:name="_Toc81260564"/>
      <w:bookmarkStart w:id="84" w:name="_Toc81384836"/>
      <w:r w:rsidRPr="009B6FD5">
        <w:rPr>
          <w:rFonts w:ascii="Palatino Linotype" w:hAnsi="Palatino Linotype"/>
          <w:b/>
          <w:color w:val="000000" w:themeColor="text1"/>
          <w:sz w:val="24"/>
          <w:szCs w:val="24"/>
          <w:lang w:eastAsia="en-US"/>
        </w:rPr>
        <w:t>b) La clasificación de la información reservada debe ser de manera temporal.</w:t>
      </w:r>
      <w:bookmarkEnd w:id="79"/>
      <w:bookmarkEnd w:id="80"/>
      <w:bookmarkEnd w:id="81"/>
      <w:bookmarkEnd w:id="82"/>
      <w:bookmarkEnd w:id="83"/>
      <w:bookmarkEnd w:id="84"/>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A87582"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olor w:val="000000"/>
          <w:lang w:val="es-ES_tradnl"/>
        </w:rPr>
        <w:lastRenderedPageBreak/>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A87582" w:rsidRPr="009B6FD5" w:rsidRDefault="00A87582" w:rsidP="00A87582">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olor w:val="000000"/>
          <w:lang w:val="es-ES_tradnl"/>
        </w:rPr>
        <w:t>De</w:t>
      </w:r>
      <w:r w:rsidRPr="009B6FD5">
        <w:rPr>
          <w:rFonts w:ascii="Palatino Linotype" w:hAnsi="Palatino Linotype"/>
          <w:b/>
          <w:color w:val="000000"/>
          <w:lang w:val="es-ES_tradnl"/>
        </w:rPr>
        <w:t xml:space="preserve"> </w:t>
      </w:r>
      <w:r w:rsidRPr="009B6FD5">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olor w:val="000000"/>
          <w:lang w:val="es-ES_tradnl"/>
        </w:rPr>
        <w:t xml:space="preserve">Cuando expiren los plazos de clasificación o se trate de información cuya publicación pueda ocasionar la destrucción o inhabilitación de la infraestructura de </w:t>
      </w:r>
      <w:r w:rsidRPr="009B6FD5">
        <w:rPr>
          <w:rFonts w:ascii="Palatino Linotype" w:hAnsi="Palatino Linotype"/>
          <w:color w:val="000000"/>
          <w:lang w:val="es-ES_tradnl"/>
        </w:rPr>
        <w:lastRenderedPageBreak/>
        <w:t>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keepNext/>
        <w:keepLines/>
        <w:pBdr>
          <w:top w:val="nil"/>
          <w:left w:val="nil"/>
          <w:bottom w:val="nil"/>
          <w:right w:val="nil"/>
          <w:between w:val="nil"/>
          <w:bar w:val="nil"/>
        </w:pBdr>
        <w:spacing w:line="360" w:lineRule="auto"/>
        <w:ind w:left="644"/>
        <w:contextualSpacing/>
        <w:jc w:val="both"/>
        <w:outlineLvl w:val="1"/>
        <w:rPr>
          <w:rFonts w:ascii="Palatino Linotype" w:hAnsi="Palatino Linotype"/>
          <w:b/>
          <w:color w:val="000000"/>
          <w:lang w:eastAsia="en-US"/>
        </w:rPr>
      </w:pPr>
      <w:bookmarkStart w:id="85" w:name="_Toc485631710"/>
      <w:bookmarkStart w:id="86" w:name="_Toc500756720"/>
      <w:bookmarkStart w:id="87" w:name="_Toc536691788"/>
      <w:bookmarkStart w:id="88" w:name="_Toc80889855"/>
      <w:bookmarkStart w:id="89" w:name="_Toc81260565"/>
      <w:bookmarkStart w:id="90" w:name="_Toc81384837"/>
      <w:r w:rsidRPr="009B6FD5">
        <w:rPr>
          <w:rFonts w:ascii="Palatino Linotype" w:hAnsi="Palatino Linotype"/>
          <w:b/>
          <w:color w:val="000000"/>
          <w:lang w:eastAsia="en-US"/>
        </w:rPr>
        <w:t>Condiciones especiales de la clasificación de la información como confidencial.</w:t>
      </w:r>
      <w:bookmarkEnd w:id="85"/>
      <w:bookmarkEnd w:id="86"/>
      <w:bookmarkEnd w:id="87"/>
      <w:bookmarkEnd w:id="88"/>
      <w:bookmarkEnd w:id="89"/>
      <w:bookmarkEnd w:id="90"/>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olor w:val="000000"/>
          <w:lang w:val="es-ES_tradnl"/>
        </w:rPr>
        <w:t>Lo</w:t>
      </w:r>
      <w:r w:rsidRPr="009B6FD5">
        <w:rPr>
          <w:rFonts w:ascii="Palatino Linotype" w:eastAsia="Calibri" w:hAnsi="Palatino Linotype"/>
          <w:color w:val="000000"/>
          <w:lang w:eastAsia="en-US"/>
        </w:rPr>
        <w:t xml:space="preserve">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pStyle w:val="Prrafodelista"/>
        <w:spacing w:line="360" w:lineRule="auto"/>
        <w:ind w:left="644" w:right="567"/>
        <w:jc w:val="both"/>
        <w:rPr>
          <w:rFonts w:ascii="Palatino Linotype" w:hAnsi="Palatino Linotype"/>
          <w:bCs/>
          <w:i/>
          <w:iCs/>
          <w:color w:val="000000"/>
          <w:lang w:val="es-ES"/>
        </w:rPr>
      </w:pPr>
      <w:r w:rsidRPr="009B6FD5">
        <w:rPr>
          <w:rFonts w:ascii="Palatino Linotype" w:hAnsi="Palatino Linotype"/>
          <w:bCs/>
          <w:i/>
          <w:iCs/>
          <w:color w:val="000000"/>
          <w:lang w:val="es-ES"/>
        </w:rPr>
        <w:t>“</w:t>
      </w:r>
      <w:r w:rsidRPr="009B6FD5">
        <w:rPr>
          <w:rFonts w:ascii="Palatino Linotype" w:hAnsi="Palatino Linotype"/>
          <w:b/>
          <w:i/>
          <w:iCs/>
          <w:color w:val="000000"/>
          <w:lang w:val="es-ES"/>
        </w:rPr>
        <w:t>I.</w:t>
      </w:r>
      <w:r w:rsidRPr="009B6FD5">
        <w:rPr>
          <w:rFonts w:ascii="Palatino Linotype" w:hAnsi="Palatino Linotype"/>
          <w:i/>
          <w:iCs/>
          <w:color w:val="000000"/>
          <w:lang w:val="es-ES"/>
        </w:rPr>
        <w:t xml:space="preserve"> La información se encuentre en registros públicos o fuentes de acceso público;</w:t>
      </w:r>
    </w:p>
    <w:p w:rsidR="001A7A6B" w:rsidRPr="009B6FD5" w:rsidRDefault="001A7A6B" w:rsidP="009B6FD5">
      <w:pPr>
        <w:pStyle w:val="Prrafodelista"/>
        <w:spacing w:line="360" w:lineRule="auto"/>
        <w:ind w:left="644" w:right="567"/>
        <w:jc w:val="both"/>
        <w:rPr>
          <w:rFonts w:ascii="Palatino Linotype" w:hAnsi="Palatino Linotype"/>
          <w:bCs/>
          <w:i/>
          <w:iCs/>
          <w:color w:val="000000"/>
          <w:lang w:val="es-ES"/>
        </w:rPr>
      </w:pPr>
      <w:r w:rsidRPr="009B6FD5">
        <w:rPr>
          <w:rFonts w:ascii="Palatino Linotype" w:hAnsi="Palatino Linotype"/>
          <w:b/>
          <w:i/>
          <w:iCs/>
          <w:color w:val="000000"/>
          <w:lang w:val="es-ES"/>
        </w:rPr>
        <w:t>II.</w:t>
      </w:r>
      <w:r w:rsidRPr="009B6FD5">
        <w:rPr>
          <w:rFonts w:ascii="Palatino Linotype" w:hAnsi="Palatino Linotype"/>
          <w:bCs/>
          <w:i/>
          <w:iCs/>
          <w:color w:val="000000"/>
          <w:lang w:val="es-ES"/>
        </w:rPr>
        <w:t xml:space="preserve"> </w:t>
      </w:r>
      <w:r w:rsidRPr="009B6FD5">
        <w:rPr>
          <w:rFonts w:ascii="Palatino Linotype" w:hAnsi="Palatino Linotype"/>
          <w:i/>
          <w:iCs/>
          <w:color w:val="000000"/>
          <w:lang w:val="es-ES"/>
        </w:rPr>
        <w:t>Por Ley tenga el carácter de pública;</w:t>
      </w:r>
    </w:p>
    <w:p w:rsidR="001A7A6B" w:rsidRPr="009B6FD5" w:rsidRDefault="001A7A6B" w:rsidP="009B6FD5">
      <w:pPr>
        <w:pStyle w:val="Prrafodelista"/>
        <w:spacing w:line="360" w:lineRule="auto"/>
        <w:ind w:left="644" w:right="567"/>
        <w:jc w:val="both"/>
        <w:rPr>
          <w:rFonts w:ascii="Palatino Linotype" w:hAnsi="Palatino Linotype"/>
          <w:i/>
          <w:iCs/>
          <w:color w:val="000000"/>
          <w:lang w:val="es-ES"/>
        </w:rPr>
      </w:pPr>
      <w:r w:rsidRPr="009B6FD5">
        <w:rPr>
          <w:rFonts w:ascii="Palatino Linotype" w:hAnsi="Palatino Linotype"/>
          <w:b/>
          <w:i/>
          <w:iCs/>
          <w:color w:val="000000"/>
          <w:lang w:val="es-ES"/>
        </w:rPr>
        <w:t>III.</w:t>
      </w:r>
      <w:r w:rsidRPr="009B6FD5">
        <w:rPr>
          <w:rFonts w:ascii="Palatino Linotype" w:hAnsi="Palatino Linotype"/>
          <w:bCs/>
          <w:i/>
          <w:iCs/>
          <w:color w:val="000000"/>
          <w:lang w:val="es-ES"/>
        </w:rPr>
        <w:t xml:space="preserve"> </w:t>
      </w:r>
      <w:r w:rsidRPr="009B6FD5">
        <w:rPr>
          <w:rFonts w:ascii="Palatino Linotype" w:hAnsi="Palatino Linotype"/>
          <w:i/>
          <w:iCs/>
          <w:color w:val="000000"/>
          <w:lang w:val="es-ES"/>
        </w:rPr>
        <w:t xml:space="preserve">Exista una orden judicial; </w:t>
      </w:r>
    </w:p>
    <w:p w:rsidR="001A7A6B" w:rsidRPr="009B6FD5" w:rsidRDefault="001A7A6B" w:rsidP="009B6FD5">
      <w:pPr>
        <w:pStyle w:val="Prrafodelista"/>
        <w:spacing w:line="360" w:lineRule="auto"/>
        <w:ind w:left="644" w:right="567"/>
        <w:jc w:val="both"/>
        <w:rPr>
          <w:rFonts w:ascii="Palatino Linotype" w:hAnsi="Palatino Linotype"/>
          <w:i/>
          <w:iCs/>
          <w:color w:val="000000"/>
          <w:lang w:val="es-ES"/>
        </w:rPr>
      </w:pPr>
      <w:r w:rsidRPr="009B6FD5">
        <w:rPr>
          <w:rFonts w:ascii="Palatino Linotype" w:hAnsi="Palatino Linotype"/>
          <w:b/>
          <w:i/>
          <w:iCs/>
          <w:color w:val="000000"/>
          <w:lang w:val="es-ES"/>
        </w:rPr>
        <w:t>IV.</w:t>
      </w:r>
      <w:r w:rsidRPr="009B6FD5">
        <w:rPr>
          <w:rFonts w:ascii="Palatino Linotype" w:hAnsi="Palatino Linotype"/>
          <w:bCs/>
          <w:i/>
          <w:iCs/>
          <w:color w:val="000000"/>
          <w:lang w:val="es-ES"/>
        </w:rPr>
        <w:t xml:space="preserve"> </w:t>
      </w:r>
      <w:r w:rsidRPr="009B6FD5">
        <w:rPr>
          <w:rFonts w:ascii="Palatino Linotype" w:hAnsi="Palatino Linotype"/>
          <w:i/>
          <w:iCs/>
          <w:color w:val="000000"/>
          <w:lang w:val="es-ES"/>
        </w:rPr>
        <w:t xml:space="preserve">Por razones de seguridad pública, o para proteger los derechos de terceros, se requiera su publicación; o </w:t>
      </w:r>
    </w:p>
    <w:p w:rsidR="001A7A6B" w:rsidRPr="009B6FD5" w:rsidRDefault="001A7A6B" w:rsidP="009B6FD5">
      <w:pPr>
        <w:pStyle w:val="Prrafodelista"/>
        <w:spacing w:line="360" w:lineRule="auto"/>
        <w:ind w:left="644" w:right="567"/>
        <w:jc w:val="both"/>
        <w:rPr>
          <w:rFonts w:ascii="Palatino Linotype" w:hAnsi="Palatino Linotype"/>
          <w:i/>
          <w:iCs/>
          <w:color w:val="000000"/>
          <w:lang w:val="es-ES"/>
        </w:rPr>
      </w:pPr>
      <w:r w:rsidRPr="009B6FD5">
        <w:rPr>
          <w:rFonts w:ascii="Palatino Linotype" w:hAnsi="Palatino Linotype"/>
          <w:b/>
          <w:i/>
          <w:iCs/>
          <w:color w:val="000000"/>
          <w:lang w:val="es-ES"/>
        </w:rPr>
        <w:t>V.</w:t>
      </w:r>
      <w:r w:rsidRPr="009B6FD5">
        <w:rPr>
          <w:rFonts w:ascii="Palatino Linotype" w:hAnsi="Palatino Linotype"/>
          <w:bCs/>
          <w:i/>
          <w:iCs/>
          <w:color w:val="000000"/>
          <w:lang w:val="es-ES"/>
        </w:rPr>
        <w:t xml:space="preserve"> </w:t>
      </w:r>
      <w:r w:rsidRPr="009B6FD5">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eastAsia="Calibri" w:hAnsi="Palatino Linotype"/>
          <w:color w:val="000000"/>
          <w:lang w:eastAsia="en-US"/>
        </w:rPr>
        <w:lastRenderedPageBreak/>
        <w:t>En</w:t>
      </w:r>
      <w:r w:rsidRPr="009B6FD5">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eastAsia="Calibri" w:hAnsi="Palatino Linotype"/>
          <w:color w:val="000000"/>
          <w:lang w:eastAsia="en-US"/>
        </w:rPr>
        <w:t>Pero</w:t>
      </w:r>
      <w:r w:rsidRPr="009B6FD5">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eastAsia="Calibri" w:hAnsi="Palatino Linotype"/>
          <w:color w:val="000000"/>
          <w:lang w:eastAsia="en-US"/>
        </w:rPr>
        <w:t>Los</w:t>
      </w:r>
      <w:r w:rsidRPr="009B6FD5">
        <w:rPr>
          <w:rFonts w:ascii="Palatino Linotype" w:hAnsi="Palatino Linotype"/>
          <w:color w:val="000000"/>
          <w:lang w:val="es-ES_tradnl"/>
        </w:rPr>
        <w:t xml:space="preserve">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rsidR="001A7A6B" w:rsidRPr="009B6FD5" w:rsidRDefault="001A7A6B" w:rsidP="009B6FD5">
      <w:pPr>
        <w:spacing w:line="360" w:lineRule="auto"/>
        <w:ind w:right="49"/>
        <w:contextualSpacing/>
        <w:jc w:val="both"/>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55"/>
        <w:gridCol w:w="1759"/>
        <w:gridCol w:w="2269"/>
        <w:gridCol w:w="2268"/>
      </w:tblGrid>
      <w:tr w:rsidR="001A7A6B" w:rsidRPr="009B6FD5" w:rsidTr="00781DA9">
        <w:tc>
          <w:tcPr>
            <w:tcW w:w="2155" w:type="dxa"/>
            <w:vMerge w:val="restart"/>
            <w:shd w:val="clear" w:color="auto" w:fill="D5DCE4"/>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Requisitos previos</w:t>
            </w:r>
          </w:p>
        </w:tc>
        <w:tc>
          <w:tcPr>
            <w:tcW w:w="1759" w:type="dxa"/>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 xml:space="preserve">Los sujetos obligados determinan que la información actualiza alguno de los </w:t>
            </w:r>
            <w:r w:rsidRPr="009B6FD5">
              <w:rPr>
                <w:rFonts w:ascii="Palatino Linotype" w:hAnsi="Palatino Linotype"/>
                <w:color w:val="000000"/>
                <w:sz w:val="22"/>
              </w:rPr>
              <w:lastRenderedPageBreak/>
              <w:t>supuestos de clasificación:</w:t>
            </w:r>
          </w:p>
        </w:tc>
        <w:tc>
          <w:tcPr>
            <w:tcW w:w="2269" w:type="dxa"/>
          </w:tcPr>
          <w:p w:rsidR="001A7A6B" w:rsidRPr="009B6FD5" w:rsidRDefault="001A7A6B" w:rsidP="009B6FD5">
            <w:pPr>
              <w:spacing w:line="360" w:lineRule="auto"/>
              <w:jc w:val="both"/>
              <w:rPr>
                <w:rFonts w:ascii="Palatino Linotype" w:hAnsi="Palatino Linotype"/>
                <w:color w:val="000000"/>
                <w:sz w:val="22"/>
              </w:rPr>
            </w:pPr>
          </w:p>
          <w:p w:rsidR="001A7A6B" w:rsidRPr="009B6FD5" w:rsidRDefault="001A7A6B" w:rsidP="009B6FD5">
            <w:pPr>
              <w:numPr>
                <w:ilvl w:val="0"/>
                <w:numId w:val="31"/>
              </w:numPr>
              <w:spacing w:line="360" w:lineRule="auto"/>
              <w:contextualSpacing/>
              <w:jc w:val="both"/>
              <w:rPr>
                <w:rFonts w:ascii="Palatino Linotype" w:hAnsi="Palatino Linotype"/>
                <w:color w:val="000000"/>
                <w:sz w:val="22"/>
              </w:rPr>
            </w:pPr>
            <w:r w:rsidRPr="009B6FD5">
              <w:rPr>
                <w:rFonts w:ascii="Palatino Linotype" w:hAnsi="Palatino Linotype"/>
                <w:color w:val="000000"/>
                <w:sz w:val="22"/>
              </w:rPr>
              <w:t xml:space="preserve">Confidencialidad </w:t>
            </w:r>
          </w:p>
          <w:p w:rsidR="001A7A6B" w:rsidRPr="009B6FD5" w:rsidRDefault="001A7A6B" w:rsidP="009B6FD5">
            <w:pPr>
              <w:numPr>
                <w:ilvl w:val="0"/>
                <w:numId w:val="31"/>
              </w:numPr>
              <w:spacing w:line="360" w:lineRule="auto"/>
              <w:contextualSpacing/>
              <w:jc w:val="both"/>
              <w:rPr>
                <w:rFonts w:ascii="Palatino Linotype" w:hAnsi="Palatino Linotype"/>
                <w:color w:val="000000"/>
                <w:sz w:val="22"/>
              </w:rPr>
            </w:pPr>
            <w:r w:rsidRPr="009B6FD5">
              <w:rPr>
                <w:rFonts w:ascii="Palatino Linotype" w:hAnsi="Palatino Linotype"/>
                <w:color w:val="000000"/>
                <w:sz w:val="22"/>
              </w:rPr>
              <w:t>Reserva</w:t>
            </w:r>
          </w:p>
        </w:tc>
        <w:tc>
          <w:tcPr>
            <w:tcW w:w="2268" w:type="dxa"/>
          </w:tcPr>
          <w:p w:rsidR="001A7A6B" w:rsidRPr="009B6FD5" w:rsidRDefault="001A7A6B" w:rsidP="009B6FD5">
            <w:pPr>
              <w:spacing w:line="360" w:lineRule="auto"/>
              <w:jc w:val="both"/>
              <w:rPr>
                <w:rFonts w:ascii="Palatino Linotype" w:hAnsi="Palatino Linotype"/>
                <w:color w:val="000000"/>
                <w:sz w:val="22"/>
              </w:rPr>
            </w:pPr>
          </w:p>
        </w:tc>
      </w:tr>
      <w:tr w:rsidR="001A7A6B" w:rsidRPr="009B6FD5" w:rsidTr="00781DA9">
        <w:tc>
          <w:tcPr>
            <w:tcW w:w="2155" w:type="dxa"/>
            <w:vMerge/>
            <w:shd w:val="clear" w:color="auto" w:fill="D5DCE4"/>
          </w:tcPr>
          <w:p w:rsidR="001A7A6B" w:rsidRPr="009B6FD5" w:rsidRDefault="001A7A6B" w:rsidP="009B6FD5">
            <w:pPr>
              <w:spacing w:line="360" w:lineRule="auto"/>
              <w:jc w:val="both"/>
              <w:rPr>
                <w:rFonts w:ascii="Palatino Linotype" w:hAnsi="Palatino Linotype"/>
                <w:color w:val="000000"/>
                <w:sz w:val="22"/>
              </w:rPr>
            </w:pPr>
          </w:p>
        </w:tc>
        <w:tc>
          <w:tcPr>
            <w:tcW w:w="1759" w:type="dxa"/>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 xml:space="preserve">Los titulares de las áreas que administran la información son los que aprueban la clasificación </w:t>
            </w:r>
          </w:p>
        </w:tc>
        <w:tc>
          <w:tcPr>
            <w:tcW w:w="2269" w:type="dxa"/>
          </w:tcPr>
          <w:p w:rsidR="001A7A6B" w:rsidRPr="009B6FD5" w:rsidRDefault="001A7A6B" w:rsidP="009B6FD5">
            <w:pPr>
              <w:spacing w:line="360" w:lineRule="auto"/>
              <w:jc w:val="both"/>
              <w:rPr>
                <w:rFonts w:ascii="Palatino Linotype" w:hAnsi="Palatino Linotype"/>
                <w:color w:val="000000"/>
                <w:sz w:val="22"/>
              </w:rPr>
            </w:pPr>
          </w:p>
        </w:tc>
        <w:tc>
          <w:tcPr>
            <w:tcW w:w="2268" w:type="dxa"/>
          </w:tcPr>
          <w:p w:rsidR="001A7A6B" w:rsidRPr="009B6FD5" w:rsidRDefault="001A7A6B" w:rsidP="009B6FD5">
            <w:pPr>
              <w:spacing w:line="360" w:lineRule="auto"/>
              <w:jc w:val="both"/>
              <w:rPr>
                <w:rFonts w:ascii="Palatino Linotype" w:hAnsi="Palatino Linotype"/>
                <w:color w:val="000000"/>
                <w:sz w:val="22"/>
              </w:rPr>
            </w:pPr>
          </w:p>
        </w:tc>
      </w:tr>
      <w:tr w:rsidR="001A7A6B" w:rsidRPr="009B6FD5" w:rsidTr="00781DA9">
        <w:tc>
          <w:tcPr>
            <w:tcW w:w="2155" w:type="dxa"/>
            <w:vMerge/>
            <w:shd w:val="clear" w:color="auto" w:fill="D5DCE4"/>
          </w:tcPr>
          <w:p w:rsidR="001A7A6B" w:rsidRPr="009B6FD5" w:rsidRDefault="001A7A6B" w:rsidP="009B6FD5">
            <w:pPr>
              <w:spacing w:line="360" w:lineRule="auto"/>
              <w:jc w:val="both"/>
              <w:rPr>
                <w:rFonts w:ascii="Palatino Linotype" w:hAnsi="Palatino Linotype"/>
                <w:color w:val="000000"/>
                <w:sz w:val="22"/>
              </w:rPr>
            </w:pPr>
          </w:p>
        </w:tc>
        <w:tc>
          <w:tcPr>
            <w:tcW w:w="1759" w:type="dxa"/>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La clasificación de la información se realiza al momento de:</w:t>
            </w:r>
          </w:p>
        </w:tc>
        <w:tc>
          <w:tcPr>
            <w:tcW w:w="2269" w:type="dxa"/>
          </w:tcPr>
          <w:p w:rsidR="001A7A6B" w:rsidRPr="009B6FD5" w:rsidRDefault="001A7A6B" w:rsidP="009B6FD5">
            <w:pPr>
              <w:numPr>
                <w:ilvl w:val="0"/>
                <w:numId w:val="30"/>
              </w:numPr>
              <w:spacing w:line="360" w:lineRule="auto"/>
              <w:contextualSpacing/>
              <w:jc w:val="both"/>
              <w:rPr>
                <w:rFonts w:ascii="Palatino Linotype" w:hAnsi="Palatino Linotype"/>
                <w:color w:val="000000"/>
                <w:sz w:val="22"/>
              </w:rPr>
            </w:pPr>
            <w:r w:rsidRPr="009B6FD5">
              <w:rPr>
                <w:rFonts w:ascii="Palatino Linotype" w:hAnsi="Palatino Linotype"/>
                <w:color w:val="000000"/>
                <w:sz w:val="22"/>
              </w:rPr>
              <w:t>Atender una solicitud</w:t>
            </w:r>
          </w:p>
          <w:p w:rsidR="001A7A6B" w:rsidRPr="009B6FD5" w:rsidRDefault="001A7A6B" w:rsidP="009B6FD5">
            <w:pPr>
              <w:numPr>
                <w:ilvl w:val="0"/>
                <w:numId w:val="30"/>
              </w:numPr>
              <w:spacing w:line="360" w:lineRule="auto"/>
              <w:contextualSpacing/>
              <w:jc w:val="both"/>
              <w:rPr>
                <w:rFonts w:ascii="Palatino Linotype" w:hAnsi="Palatino Linotype"/>
                <w:color w:val="000000"/>
                <w:sz w:val="22"/>
              </w:rPr>
            </w:pPr>
            <w:r w:rsidRPr="009B6FD5">
              <w:rPr>
                <w:rFonts w:ascii="Palatino Linotype" w:hAnsi="Palatino Linotype"/>
                <w:color w:val="000000"/>
                <w:sz w:val="22"/>
              </w:rPr>
              <w:t>Por mandato de una autoridad competente</w:t>
            </w:r>
          </w:p>
          <w:p w:rsidR="001A7A6B" w:rsidRPr="009B6FD5" w:rsidRDefault="001A7A6B" w:rsidP="009B6FD5">
            <w:pPr>
              <w:numPr>
                <w:ilvl w:val="0"/>
                <w:numId w:val="30"/>
              </w:numPr>
              <w:spacing w:line="360" w:lineRule="auto"/>
              <w:contextualSpacing/>
              <w:jc w:val="both"/>
              <w:rPr>
                <w:rFonts w:ascii="Palatino Linotype" w:hAnsi="Palatino Linotype"/>
                <w:color w:val="000000"/>
                <w:sz w:val="22"/>
              </w:rPr>
            </w:pPr>
            <w:r w:rsidRPr="009B6FD5">
              <w:rPr>
                <w:rFonts w:ascii="Palatino Linotype" w:hAnsi="Palatino Linotype"/>
                <w:color w:val="000000"/>
                <w:sz w:val="22"/>
              </w:rPr>
              <w:t>Para elaborar una versión pública y cumplir una obligación de transparencia</w:t>
            </w:r>
          </w:p>
        </w:tc>
        <w:tc>
          <w:tcPr>
            <w:tcW w:w="2268" w:type="dxa"/>
          </w:tcPr>
          <w:p w:rsidR="001A7A6B" w:rsidRPr="009B6FD5" w:rsidRDefault="001A7A6B" w:rsidP="009B6FD5">
            <w:pPr>
              <w:spacing w:line="360" w:lineRule="auto"/>
              <w:jc w:val="both"/>
              <w:rPr>
                <w:rFonts w:ascii="Palatino Linotype" w:hAnsi="Palatino Linotype"/>
                <w:color w:val="000000"/>
                <w:sz w:val="22"/>
              </w:rPr>
            </w:pPr>
          </w:p>
        </w:tc>
      </w:tr>
      <w:tr w:rsidR="001A7A6B" w:rsidRPr="009B6FD5" w:rsidTr="00781DA9">
        <w:tc>
          <w:tcPr>
            <w:tcW w:w="2155" w:type="dxa"/>
            <w:vMerge/>
            <w:shd w:val="clear" w:color="auto" w:fill="D5DCE4"/>
          </w:tcPr>
          <w:p w:rsidR="001A7A6B" w:rsidRPr="009B6FD5" w:rsidRDefault="001A7A6B" w:rsidP="009B6FD5">
            <w:pPr>
              <w:spacing w:line="360" w:lineRule="auto"/>
              <w:jc w:val="both"/>
              <w:rPr>
                <w:rFonts w:ascii="Palatino Linotype" w:hAnsi="Palatino Linotype"/>
                <w:color w:val="000000"/>
                <w:sz w:val="22"/>
              </w:rPr>
            </w:pPr>
          </w:p>
        </w:tc>
        <w:tc>
          <w:tcPr>
            <w:tcW w:w="1759" w:type="dxa"/>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No se pueden emitir acuerdos de carácter general ni particular</w:t>
            </w:r>
          </w:p>
        </w:tc>
        <w:tc>
          <w:tcPr>
            <w:tcW w:w="2269" w:type="dxa"/>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 xml:space="preserve">El </w:t>
            </w:r>
            <w:r w:rsidRPr="009B6FD5">
              <w:rPr>
                <w:rFonts w:ascii="Palatino Linotype" w:hAnsi="Palatino Linotype"/>
                <w:b/>
                <w:bCs/>
                <w:color w:val="000000"/>
                <w:sz w:val="22"/>
              </w:rPr>
              <w:t>SUJETO OBLIGADO</w:t>
            </w:r>
            <w:r w:rsidRPr="009B6FD5">
              <w:rPr>
                <w:rFonts w:ascii="Palatino Linotype" w:hAnsi="Palatino Linotype"/>
                <w:color w:val="000000"/>
                <w:sz w:val="22"/>
              </w:rPr>
              <w:t xml:space="preserve"> debe emitir un acuerdo describiendo y analizando cada documento de un </w:t>
            </w:r>
            <w:r w:rsidRPr="009B6FD5">
              <w:rPr>
                <w:rFonts w:ascii="Palatino Linotype" w:hAnsi="Palatino Linotype"/>
                <w:color w:val="000000"/>
                <w:sz w:val="22"/>
              </w:rPr>
              <w:lastRenderedPageBreak/>
              <w:t xml:space="preserve">expediente y todos los datos incluidos en un documento </w:t>
            </w:r>
          </w:p>
        </w:tc>
        <w:tc>
          <w:tcPr>
            <w:tcW w:w="2268" w:type="dxa"/>
          </w:tcPr>
          <w:p w:rsidR="001A7A6B" w:rsidRPr="009B6FD5" w:rsidRDefault="001A7A6B" w:rsidP="009B6FD5">
            <w:pPr>
              <w:spacing w:line="360" w:lineRule="auto"/>
              <w:jc w:val="both"/>
              <w:rPr>
                <w:rFonts w:ascii="Palatino Linotype" w:hAnsi="Palatino Linotype"/>
                <w:color w:val="000000"/>
                <w:sz w:val="22"/>
              </w:rPr>
            </w:pPr>
          </w:p>
        </w:tc>
      </w:tr>
      <w:tr w:rsidR="001A7A6B" w:rsidRPr="009B6FD5" w:rsidTr="00781DA9">
        <w:tc>
          <w:tcPr>
            <w:tcW w:w="2155" w:type="dxa"/>
            <w:vMerge w:val="restart"/>
            <w:shd w:val="clear" w:color="auto" w:fill="D5DCE4"/>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Supuestos de clasificación</w:t>
            </w:r>
          </w:p>
        </w:tc>
        <w:tc>
          <w:tcPr>
            <w:tcW w:w="1759" w:type="dxa"/>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Para clasificar la información como reservada hay</w:t>
            </w:r>
          </w:p>
        </w:tc>
        <w:tc>
          <w:tcPr>
            <w:tcW w:w="2269" w:type="dxa"/>
          </w:tcPr>
          <w:p w:rsidR="001A7A6B" w:rsidRPr="009B6FD5" w:rsidRDefault="001A7A6B" w:rsidP="009B6FD5">
            <w:pPr>
              <w:numPr>
                <w:ilvl w:val="0"/>
                <w:numId w:val="32"/>
              </w:numPr>
              <w:spacing w:line="360" w:lineRule="auto"/>
              <w:contextualSpacing/>
              <w:jc w:val="both"/>
              <w:rPr>
                <w:rFonts w:ascii="Palatino Linotype" w:hAnsi="Palatino Linotype"/>
                <w:color w:val="000000"/>
                <w:sz w:val="22"/>
              </w:rPr>
            </w:pPr>
            <w:r w:rsidRPr="009B6FD5">
              <w:rPr>
                <w:rFonts w:ascii="Palatino Linotype" w:hAnsi="Palatino Linotype"/>
                <w:color w:val="000000"/>
                <w:sz w:val="22"/>
              </w:rPr>
              <w:t>11 supuestos en la Ley Estatal</w:t>
            </w:r>
          </w:p>
          <w:p w:rsidR="001A7A6B" w:rsidRPr="009B6FD5" w:rsidRDefault="001A7A6B" w:rsidP="009B6FD5">
            <w:pPr>
              <w:numPr>
                <w:ilvl w:val="0"/>
                <w:numId w:val="32"/>
              </w:numPr>
              <w:spacing w:line="360" w:lineRule="auto"/>
              <w:contextualSpacing/>
              <w:jc w:val="both"/>
              <w:rPr>
                <w:rFonts w:ascii="Palatino Linotype" w:hAnsi="Palatino Linotype"/>
                <w:color w:val="000000"/>
                <w:sz w:val="22"/>
              </w:rPr>
            </w:pPr>
            <w:r w:rsidRPr="009B6FD5">
              <w:rPr>
                <w:rFonts w:ascii="Palatino Linotype" w:hAnsi="Palatino Linotype"/>
                <w:color w:val="000000"/>
                <w:sz w:val="22"/>
              </w:rPr>
              <w:t>13 supuestos en la Ley General</w:t>
            </w:r>
          </w:p>
        </w:tc>
        <w:tc>
          <w:tcPr>
            <w:tcW w:w="2268" w:type="dxa"/>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 xml:space="preserve">El </w:t>
            </w:r>
            <w:r w:rsidRPr="009B6FD5">
              <w:rPr>
                <w:rFonts w:ascii="Palatino Linotype" w:hAnsi="Palatino Linotype"/>
                <w:b/>
                <w:bCs/>
                <w:color w:val="000000"/>
                <w:sz w:val="22"/>
              </w:rPr>
              <w:t>SUJETO OBLIGADO</w:t>
            </w:r>
            <w:r w:rsidRPr="009B6FD5">
              <w:rPr>
                <w:rFonts w:ascii="Palatino Linotype" w:hAnsi="Palatino Linotype"/>
                <w:color w:val="000000"/>
                <w:sz w:val="22"/>
              </w:rPr>
              <w:t xml:space="preserve"> debe identificar claramente la información que se pretende clasificar y realizar un juicio de subsunción o encaje</w:t>
            </w:r>
          </w:p>
        </w:tc>
      </w:tr>
      <w:tr w:rsidR="001A7A6B" w:rsidRPr="009B6FD5" w:rsidTr="00781DA9">
        <w:tc>
          <w:tcPr>
            <w:tcW w:w="2155" w:type="dxa"/>
            <w:vMerge/>
            <w:shd w:val="clear" w:color="auto" w:fill="D5DCE4"/>
          </w:tcPr>
          <w:p w:rsidR="001A7A6B" w:rsidRPr="009B6FD5" w:rsidRDefault="001A7A6B" w:rsidP="009B6FD5">
            <w:pPr>
              <w:spacing w:line="360" w:lineRule="auto"/>
              <w:jc w:val="both"/>
              <w:rPr>
                <w:rFonts w:ascii="Palatino Linotype" w:hAnsi="Palatino Linotype"/>
                <w:color w:val="000000"/>
                <w:sz w:val="22"/>
              </w:rPr>
            </w:pPr>
          </w:p>
        </w:tc>
        <w:tc>
          <w:tcPr>
            <w:tcW w:w="1759" w:type="dxa"/>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Para clasificar la información como confidencial hay</w:t>
            </w:r>
          </w:p>
        </w:tc>
        <w:tc>
          <w:tcPr>
            <w:tcW w:w="2269" w:type="dxa"/>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que considerar la definición de dato personal</w:t>
            </w:r>
          </w:p>
        </w:tc>
        <w:tc>
          <w:tcPr>
            <w:tcW w:w="2268" w:type="dxa"/>
          </w:tcPr>
          <w:p w:rsidR="001A7A6B" w:rsidRPr="009B6FD5" w:rsidRDefault="001A7A6B" w:rsidP="009B6FD5">
            <w:pPr>
              <w:spacing w:line="360" w:lineRule="auto"/>
              <w:jc w:val="both"/>
              <w:rPr>
                <w:rFonts w:ascii="Palatino Linotype" w:hAnsi="Palatino Linotype"/>
                <w:color w:val="000000"/>
                <w:sz w:val="22"/>
              </w:rPr>
            </w:pPr>
          </w:p>
        </w:tc>
      </w:tr>
      <w:tr w:rsidR="001A7A6B" w:rsidRPr="009B6FD5" w:rsidTr="00781DA9">
        <w:tc>
          <w:tcPr>
            <w:tcW w:w="2155" w:type="dxa"/>
            <w:vMerge/>
            <w:shd w:val="clear" w:color="auto" w:fill="D5DCE4"/>
          </w:tcPr>
          <w:p w:rsidR="001A7A6B" w:rsidRPr="009B6FD5" w:rsidRDefault="001A7A6B" w:rsidP="009B6FD5">
            <w:pPr>
              <w:spacing w:line="360" w:lineRule="auto"/>
              <w:jc w:val="both"/>
              <w:rPr>
                <w:rFonts w:ascii="Palatino Linotype" w:hAnsi="Palatino Linotype"/>
                <w:color w:val="000000"/>
                <w:sz w:val="22"/>
              </w:rPr>
            </w:pPr>
          </w:p>
        </w:tc>
        <w:tc>
          <w:tcPr>
            <w:tcW w:w="1759" w:type="dxa"/>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Estos supuestos se aplican de manera restrictiva y estricta, no pueden ampliarse</w:t>
            </w:r>
          </w:p>
        </w:tc>
        <w:tc>
          <w:tcPr>
            <w:tcW w:w="2269" w:type="dxa"/>
          </w:tcPr>
          <w:p w:rsidR="001A7A6B" w:rsidRPr="009B6FD5" w:rsidRDefault="001A7A6B" w:rsidP="009B6FD5">
            <w:pPr>
              <w:spacing w:line="360" w:lineRule="auto"/>
              <w:jc w:val="both"/>
              <w:rPr>
                <w:rFonts w:ascii="Palatino Linotype" w:hAnsi="Palatino Linotype"/>
                <w:color w:val="000000"/>
                <w:sz w:val="22"/>
              </w:rPr>
            </w:pPr>
          </w:p>
        </w:tc>
        <w:tc>
          <w:tcPr>
            <w:tcW w:w="2268" w:type="dxa"/>
          </w:tcPr>
          <w:p w:rsidR="001A7A6B" w:rsidRPr="009B6FD5" w:rsidRDefault="001A7A6B" w:rsidP="009B6FD5">
            <w:pPr>
              <w:spacing w:line="360" w:lineRule="auto"/>
              <w:jc w:val="both"/>
              <w:rPr>
                <w:rFonts w:ascii="Palatino Linotype" w:hAnsi="Palatino Linotype"/>
                <w:color w:val="000000"/>
                <w:sz w:val="22"/>
              </w:rPr>
            </w:pPr>
          </w:p>
        </w:tc>
      </w:tr>
      <w:tr w:rsidR="001A7A6B" w:rsidRPr="009B6FD5" w:rsidTr="00781DA9">
        <w:tc>
          <w:tcPr>
            <w:tcW w:w="2155" w:type="dxa"/>
            <w:vMerge w:val="restart"/>
            <w:shd w:val="clear" w:color="auto" w:fill="D5DCE4"/>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Excepciones a la clasificación de reserva</w:t>
            </w:r>
          </w:p>
        </w:tc>
        <w:tc>
          <w:tcPr>
            <w:tcW w:w="1759" w:type="dxa"/>
            <w:vMerge w:val="restart"/>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 xml:space="preserve">No puede clasificarse </w:t>
            </w:r>
            <w:r w:rsidRPr="009B6FD5">
              <w:rPr>
                <w:rFonts w:ascii="Palatino Linotype" w:hAnsi="Palatino Linotype"/>
                <w:color w:val="000000"/>
                <w:sz w:val="22"/>
              </w:rPr>
              <w:lastRenderedPageBreak/>
              <w:t>como información reservada la concerniente a:</w:t>
            </w:r>
          </w:p>
        </w:tc>
        <w:tc>
          <w:tcPr>
            <w:tcW w:w="2269" w:type="dxa"/>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lastRenderedPageBreak/>
              <w:t xml:space="preserve">Actos (probados o en investigación) graves </w:t>
            </w:r>
            <w:r w:rsidRPr="009B6FD5">
              <w:rPr>
                <w:rFonts w:ascii="Palatino Linotype" w:hAnsi="Palatino Linotype"/>
                <w:color w:val="000000"/>
                <w:sz w:val="22"/>
              </w:rPr>
              <w:lastRenderedPageBreak/>
              <w:t>de violaciones a derechos humanos</w:t>
            </w:r>
          </w:p>
        </w:tc>
        <w:tc>
          <w:tcPr>
            <w:tcW w:w="2268" w:type="dxa"/>
          </w:tcPr>
          <w:p w:rsidR="001A7A6B" w:rsidRPr="009B6FD5" w:rsidRDefault="001A7A6B" w:rsidP="009B6FD5">
            <w:pPr>
              <w:spacing w:line="360" w:lineRule="auto"/>
              <w:jc w:val="both"/>
              <w:rPr>
                <w:rFonts w:ascii="Palatino Linotype" w:hAnsi="Palatino Linotype"/>
                <w:color w:val="000000"/>
                <w:sz w:val="22"/>
              </w:rPr>
            </w:pPr>
          </w:p>
        </w:tc>
      </w:tr>
      <w:tr w:rsidR="001A7A6B" w:rsidRPr="009B6FD5" w:rsidTr="00781DA9">
        <w:tc>
          <w:tcPr>
            <w:tcW w:w="2155" w:type="dxa"/>
            <w:vMerge/>
            <w:shd w:val="clear" w:color="auto" w:fill="D5DCE4"/>
          </w:tcPr>
          <w:p w:rsidR="001A7A6B" w:rsidRPr="009B6FD5" w:rsidRDefault="001A7A6B" w:rsidP="009B6FD5">
            <w:pPr>
              <w:spacing w:line="360" w:lineRule="auto"/>
              <w:jc w:val="both"/>
              <w:rPr>
                <w:rFonts w:ascii="Palatino Linotype" w:hAnsi="Palatino Linotype"/>
                <w:color w:val="000000"/>
                <w:sz w:val="22"/>
              </w:rPr>
            </w:pPr>
          </w:p>
        </w:tc>
        <w:tc>
          <w:tcPr>
            <w:tcW w:w="1759" w:type="dxa"/>
            <w:vMerge/>
          </w:tcPr>
          <w:p w:rsidR="001A7A6B" w:rsidRPr="009B6FD5" w:rsidRDefault="001A7A6B" w:rsidP="009B6FD5">
            <w:pPr>
              <w:spacing w:line="360" w:lineRule="auto"/>
              <w:jc w:val="both"/>
              <w:rPr>
                <w:rFonts w:ascii="Palatino Linotype" w:hAnsi="Palatino Linotype"/>
                <w:color w:val="000000"/>
                <w:sz w:val="22"/>
              </w:rPr>
            </w:pPr>
          </w:p>
        </w:tc>
        <w:tc>
          <w:tcPr>
            <w:tcW w:w="2269" w:type="dxa"/>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Delitos de lessa humanidad</w:t>
            </w:r>
          </w:p>
        </w:tc>
        <w:tc>
          <w:tcPr>
            <w:tcW w:w="2268" w:type="dxa"/>
          </w:tcPr>
          <w:p w:rsidR="001A7A6B" w:rsidRPr="009B6FD5" w:rsidRDefault="001A7A6B" w:rsidP="009B6FD5">
            <w:pPr>
              <w:spacing w:line="360" w:lineRule="auto"/>
              <w:jc w:val="both"/>
              <w:rPr>
                <w:rFonts w:ascii="Palatino Linotype" w:hAnsi="Palatino Linotype"/>
                <w:color w:val="000000"/>
                <w:sz w:val="22"/>
              </w:rPr>
            </w:pPr>
          </w:p>
        </w:tc>
      </w:tr>
      <w:tr w:rsidR="001A7A6B" w:rsidRPr="009B6FD5" w:rsidTr="00781DA9">
        <w:tc>
          <w:tcPr>
            <w:tcW w:w="2155" w:type="dxa"/>
            <w:vMerge/>
            <w:shd w:val="clear" w:color="auto" w:fill="D5DCE4"/>
          </w:tcPr>
          <w:p w:rsidR="001A7A6B" w:rsidRPr="009B6FD5" w:rsidRDefault="001A7A6B" w:rsidP="009B6FD5">
            <w:pPr>
              <w:spacing w:line="360" w:lineRule="auto"/>
              <w:jc w:val="both"/>
              <w:rPr>
                <w:rFonts w:ascii="Palatino Linotype" w:hAnsi="Palatino Linotype"/>
                <w:color w:val="000000"/>
                <w:sz w:val="22"/>
              </w:rPr>
            </w:pPr>
          </w:p>
        </w:tc>
        <w:tc>
          <w:tcPr>
            <w:tcW w:w="1759" w:type="dxa"/>
            <w:vMerge/>
          </w:tcPr>
          <w:p w:rsidR="001A7A6B" w:rsidRPr="009B6FD5" w:rsidRDefault="001A7A6B" w:rsidP="009B6FD5">
            <w:pPr>
              <w:spacing w:line="360" w:lineRule="auto"/>
              <w:jc w:val="both"/>
              <w:rPr>
                <w:rFonts w:ascii="Palatino Linotype" w:hAnsi="Palatino Linotype"/>
                <w:color w:val="000000"/>
                <w:sz w:val="22"/>
              </w:rPr>
            </w:pPr>
          </w:p>
        </w:tc>
        <w:tc>
          <w:tcPr>
            <w:tcW w:w="2269" w:type="dxa"/>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Actos de Corrupción</w:t>
            </w:r>
          </w:p>
        </w:tc>
        <w:tc>
          <w:tcPr>
            <w:tcW w:w="2268" w:type="dxa"/>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Los comprendidos en el Título Sexto del Código Penal del Estado</w:t>
            </w:r>
          </w:p>
        </w:tc>
      </w:tr>
      <w:tr w:rsidR="001A7A6B" w:rsidRPr="009B6FD5" w:rsidTr="00781DA9">
        <w:tc>
          <w:tcPr>
            <w:tcW w:w="2155" w:type="dxa"/>
            <w:vMerge w:val="restart"/>
            <w:shd w:val="clear" w:color="auto" w:fill="D5DCE4"/>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Participación del Comité de Transparencia</w:t>
            </w:r>
          </w:p>
        </w:tc>
        <w:tc>
          <w:tcPr>
            <w:tcW w:w="1759" w:type="dxa"/>
            <w:vMerge w:val="restart"/>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Formalidades</w:t>
            </w:r>
          </w:p>
        </w:tc>
        <w:tc>
          <w:tcPr>
            <w:tcW w:w="2269" w:type="dxa"/>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El Comité debe de estar debidamente integrado</w:t>
            </w:r>
          </w:p>
        </w:tc>
        <w:tc>
          <w:tcPr>
            <w:tcW w:w="2268" w:type="dxa"/>
          </w:tcPr>
          <w:p w:rsidR="001A7A6B" w:rsidRPr="009B6FD5" w:rsidRDefault="001A7A6B" w:rsidP="009B6FD5">
            <w:pPr>
              <w:spacing w:line="360" w:lineRule="auto"/>
              <w:jc w:val="both"/>
              <w:rPr>
                <w:rFonts w:ascii="Palatino Linotype" w:hAnsi="Palatino Linotype"/>
                <w:color w:val="000000"/>
                <w:sz w:val="22"/>
              </w:rPr>
            </w:pPr>
          </w:p>
        </w:tc>
      </w:tr>
      <w:tr w:rsidR="001A7A6B" w:rsidRPr="009B6FD5" w:rsidTr="00781DA9">
        <w:tc>
          <w:tcPr>
            <w:tcW w:w="2155" w:type="dxa"/>
            <w:vMerge/>
            <w:shd w:val="clear" w:color="auto" w:fill="D5DCE4"/>
          </w:tcPr>
          <w:p w:rsidR="001A7A6B" w:rsidRPr="009B6FD5" w:rsidRDefault="001A7A6B" w:rsidP="009B6FD5">
            <w:pPr>
              <w:spacing w:line="360" w:lineRule="auto"/>
              <w:jc w:val="both"/>
              <w:rPr>
                <w:rFonts w:ascii="Palatino Linotype" w:hAnsi="Palatino Linotype"/>
                <w:color w:val="000000"/>
                <w:sz w:val="22"/>
              </w:rPr>
            </w:pPr>
          </w:p>
        </w:tc>
        <w:tc>
          <w:tcPr>
            <w:tcW w:w="1759" w:type="dxa"/>
            <w:vMerge/>
          </w:tcPr>
          <w:p w:rsidR="001A7A6B" w:rsidRPr="009B6FD5" w:rsidRDefault="001A7A6B" w:rsidP="009B6FD5">
            <w:pPr>
              <w:spacing w:line="360" w:lineRule="auto"/>
              <w:jc w:val="both"/>
              <w:rPr>
                <w:rFonts w:ascii="Palatino Linotype" w:hAnsi="Palatino Linotype"/>
                <w:color w:val="000000"/>
                <w:sz w:val="22"/>
              </w:rPr>
            </w:pPr>
          </w:p>
        </w:tc>
        <w:tc>
          <w:tcPr>
            <w:tcW w:w="2269" w:type="dxa"/>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 xml:space="preserve">El Comité no aprueba la clasificación, sólo: confirma, modifica o revoca la decisión de las áreas </w:t>
            </w:r>
          </w:p>
        </w:tc>
        <w:tc>
          <w:tcPr>
            <w:tcW w:w="2268" w:type="dxa"/>
          </w:tcPr>
          <w:p w:rsidR="001A7A6B" w:rsidRPr="009B6FD5" w:rsidRDefault="001A7A6B" w:rsidP="009B6FD5">
            <w:pPr>
              <w:spacing w:line="360" w:lineRule="auto"/>
              <w:jc w:val="both"/>
              <w:rPr>
                <w:rFonts w:ascii="Palatino Linotype" w:hAnsi="Palatino Linotype"/>
                <w:color w:val="000000"/>
                <w:sz w:val="22"/>
              </w:rPr>
            </w:pPr>
          </w:p>
        </w:tc>
      </w:tr>
      <w:tr w:rsidR="001A7A6B" w:rsidRPr="009B6FD5" w:rsidTr="00781DA9">
        <w:tc>
          <w:tcPr>
            <w:tcW w:w="2155" w:type="dxa"/>
            <w:shd w:val="clear" w:color="auto" w:fill="D5DCE4"/>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Fondo del acuerdo de clasificación</w:t>
            </w:r>
          </w:p>
        </w:tc>
        <w:tc>
          <w:tcPr>
            <w:tcW w:w="1759" w:type="dxa"/>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 xml:space="preserve">La carga de la prueba para justificar la restricción corresponde al </w:t>
            </w:r>
            <w:r w:rsidRPr="009B6FD5">
              <w:rPr>
                <w:rFonts w:ascii="Palatino Linotype" w:hAnsi="Palatino Linotype"/>
                <w:b/>
                <w:bCs/>
                <w:color w:val="000000"/>
                <w:sz w:val="22"/>
              </w:rPr>
              <w:t>SUJETO OBLIGADO</w:t>
            </w:r>
          </w:p>
        </w:tc>
        <w:tc>
          <w:tcPr>
            <w:tcW w:w="2269" w:type="dxa"/>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Deber de fundar y motivar</w:t>
            </w:r>
          </w:p>
        </w:tc>
        <w:tc>
          <w:tcPr>
            <w:tcW w:w="2268" w:type="dxa"/>
          </w:tcPr>
          <w:p w:rsidR="001A7A6B" w:rsidRPr="009B6FD5" w:rsidRDefault="001A7A6B" w:rsidP="009B6FD5">
            <w:pPr>
              <w:spacing w:line="360" w:lineRule="auto"/>
              <w:jc w:val="both"/>
              <w:rPr>
                <w:rFonts w:ascii="Palatino Linotype" w:hAnsi="Palatino Linotype"/>
                <w:color w:val="000000"/>
                <w:sz w:val="22"/>
              </w:rPr>
            </w:pPr>
          </w:p>
        </w:tc>
      </w:tr>
      <w:tr w:rsidR="001A7A6B" w:rsidRPr="009B6FD5" w:rsidTr="00781DA9">
        <w:trPr>
          <w:trHeight w:val="685"/>
        </w:trPr>
        <w:tc>
          <w:tcPr>
            <w:tcW w:w="2155" w:type="dxa"/>
            <w:vMerge w:val="restart"/>
            <w:shd w:val="clear" w:color="auto" w:fill="D5DCE4"/>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Condiciones especiales de la reserva</w:t>
            </w:r>
          </w:p>
        </w:tc>
        <w:tc>
          <w:tcPr>
            <w:tcW w:w="1759" w:type="dxa"/>
            <w:vMerge w:val="restart"/>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Motivar implica</w:t>
            </w:r>
          </w:p>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Además se debe aplicar, caso por caso, una prueba de daño.</w:t>
            </w:r>
          </w:p>
        </w:tc>
        <w:tc>
          <w:tcPr>
            <w:tcW w:w="2269" w:type="dxa"/>
            <w:vMerge w:val="restart"/>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Señalar las razones, motivos o circunstancias.</w:t>
            </w:r>
          </w:p>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Se deben señalar las razones objetivas y acreditar.</w:t>
            </w:r>
          </w:p>
          <w:p w:rsidR="001A7A6B" w:rsidRPr="009B6FD5" w:rsidRDefault="001A7A6B" w:rsidP="009B6FD5">
            <w:pPr>
              <w:spacing w:line="360" w:lineRule="auto"/>
              <w:jc w:val="both"/>
              <w:rPr>
                <w:rFonts w:ascii="Palatino Linotype" w:hAnsi="Palatino Linotype"/>
                <w:color w:val="000000"/>
                <w:sz w:val="22"/>
              </w:rPr>
            </w:pPr>
          </w:p>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*Adquiere la condición especial de ser temporal por un periodo de 5 años con la posibilidad de ampliarse por un periodo igual.</w:t>
            </w:r>
          </w:p>
        </w:tc>
        <w:tc>
          <w:tcPr>
            <w:tcW w:w="2268" w:type="dxa"/>
            <w:vMerge w:val="restart"/>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Que entregar la información provoca un riesgo real, demostrable e identificable al interés público o a la seguridad pública</w:t>
            </w:r>
          </w:p>
        </w:tc>
      </w:tr>
      <w:tr w:rsidR="001A7A6B" w:rsidRPr="009B6FD5" w:rsidTr="00781DA9">
        <w:trPr>
          <w:trHeight w:val="685"/>
        </w:trPr>
        <w:tc>
          <w:tcPr>
            <w:tcW w:w="2155" w:type="dxa"/>
            <w:vMerge/>
            <w:shd w:val="clear" w:color="auto" w:fill="D5DCE4"/>
          </w:tcPr>
          <w:p w:rsidR="001A7A6B" w:rsidRPr="009B6FD5" w:rsidRDefault="001A7A6B" w:rsidP="009B6FD5">
            <w:pPr>
              <w:spacing w:line="360" w:lineRule="auto"/>
              <w:jc w:val="both"/>
              <w:rPr>
                <w:rFonts w:ascii="Palatino Linotype" w:hAnsi="Palatino Linotype"/>
                <w:color w:val="000000"/>
                <w:sz w:val="22"/>
              </w:rPr>
            </w:pPr>
          </w:p>
        </w:tc>
        <w:tc>
          <w:tcPr>
            <w:tcW w:w="1759" w:type="dxa"/>
            <w:vMerge/>
          </w:tcPr>
          <w:p w:rsidR="001A7A6B" w:rsidRPr="009B6FD5" w:rsidRDefault="001A7A6B" w:rsidP="009B6FD5">
            <w:pPr>
              <w:spacing w:line="360" w:lineRule="auto"/>
              <w:jc w:val="both"/>
              <w:rPr>
                <w:rFonts w:ascii="Palatino Linotype" w:hAnsi="Palatino Linotype"/>
                <w:color w:val="000000"/>
                <w:sz w:val="22"/>
              </w:rPr>
            </w:pPr>
          </w:p>
        </w:tc>
        <w:tc>
          <w:tcPr>
            <w:tcW w:w="2269" w:type="dxa"/>
            <w:vMerge/>
          </w:tcPr>
          <w:p w:rsidR="001A7A6B" w:rsidRPr="009B6FD5" w:rsidRDefault="001A7A6B" w:rsidP="009B6FD5">
            <w:pPr>
              <w:spacing w:line="360" w:lineRule="auto"/>
              <w:jc w:val="both"/>
              <w:rPr>
                <w:rFonts w:ascii="Palatino Linotype" w:hAnsi="Palatino Linotype"/>
                <w:color w:val="000000"/>
                <w:sz w:val="22"/>
              </w:rPr>
            </w:pPr>
          </w:p>
        </w:tc>
        <w:tc>
          <w:tcPr>
            <w:tcW w:w="2268" w:type="dxa"/>
            <w:vMerge/>
          </w:tcPr>
          <w:p w:rsidR="001A7A6B" w:rsidRPr="009B6FD5" w:rsidRDefault="001A7A6B" w:rsidP="009B6FD5">
            <w:pPr>
              <w:spacing w:line="360" w:lineRule="auto"/>
              <w:jc w:val="both"/>
              <w:rPr>
                <w:rFonts w:ascii="Palatino Linotype" w:hAnsi="Palatino Linotype"/>
                <w:color w:val="000000"/>
                <w:sz w:val="22"/>
              </w:rPr>
            </w:pPr>
          </w:p>
        </w:tc>
      </w:tr>
      <w:tr w:rsidR="001A7A6B" w:rsidRPr="009B6FD5" w:rsidTr="00781DA9">
        <w:tc>
          <w:tcPr>
            <w:tcW w:w="2155" w:type="dxa"/>
            <w:vMerge/>
            <w:shd w:val="clear" w:color="auto" w:fill="D5DCE4"/>
          </w:tcPr>
          <w:p w:rsidR="001A7A6B" w:rsidRPr="009B6FD5" w:rsidRDefault="001A7A6B" w:rsidP="009B6FD5">
            <w:pPr>
              <w:spacing w:line="360" w:lineRule="auto"/>
              <w:jc w:val="both"/>
              <w:rPr>
                <w:rFonts w:ascii="Palatino Linotype" w:hAnsi="Palatino Linotype"/>
                <w:color w:val="000000"/>
                <w:sz w:val="22"/>
              </w:rPr>
            </w:pPr>
          </w:p>
        </w:tc>
        <w:tc>
          <w:tcPr>
            <w:tcW w:w="1759" w:type="dxa"/>
            <w:vMerge/>
          </w:tcPr>
          <w:p w:rsidR="001A7A6B" w:rsidRPr="009B6FD5" w:rsidRDefault="001A7A6B" w:rsidP="009B6FD5">
            <w:pPr>
              <w:spacing w:line="360" w:lineRule="auto"/>
              <w:jc w:val="both"/>
              <w:rPr>
                <w:rFonts w:ascii="Palatino Linotype" w:hAnsi="Palatino Linotype"/>
                <w:color w:val="000000"/>
                <w:sz w:val="22"/>
              </w:rPr>
            </w:pPr>
          </w:p>
        </w:tc>
        <w:tc>
          <w:tcPr>
            <w:tcW w:w="2269" w:type="dxa"/>
            <w:vMerge/>
          </w:tcPr>
          <w:p w:rsidR="001A7A6B" w:rsidRPr="009B6FD5" w:rsidRDefault="001A7A6B" w:rsidP="009B6FD5">
            <w:pPr>
              <w:spacing w:line="360" w:lineRule="auto"/>
              <w:jc w:val="both"/>
              <w:rPr>
                <w:rFonts w:ascii="Palatino Linotype" w:hAnsi="Palatino Linotype"/>
                <w:color w:val="000000"/>
                <w:sz w:val="22"/>
              </w:rPr>
            </w:pPr>
          </w:p>
        </w:tc>
        <w:tc>
          <w:tcPr>
            <w:tcW w:w="2268" w:type="dxa"/>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 xml:space="preserve">El riesgo por divulgar es mayor que el interés público de que se difunda  </w:t>
            </w:r>
          </w:p>
        </w:tc>
      </w:tr>
      <w:tr w:rsidR="001A7A6B" w:rsidRPr="009B6FD5" w:rsidTr="00781DA9">
        <w:trPr>
          <w:trHeight w:val="1454"/>
        </w:trPr>
        <w:tc>
          <w:tcPr>
            <w:tcW w:w="2155" w:type="dxa"/>
            <w:vMerge/>
            <w:shd w:val="clear" w:color="auto" w:fill="D5DCE4"/>
          </w:tcPr>
          <w:p w:rsidR="001A7A6B" w:rsidRPr="009B6FD5" w:rsidRDefault="001A7A6B" w:rsidP="009B6FD5">
            <w:pPr>
              <w:spacing w:line="360" w:lineRule="auto"/>
              <w:jc w:val="both"/>
              <w:rPr>
                <w:rFonts w:ascii="Palatino Linotype" w:hAnsi="Palatino Linotype"/>
                <w:color w:val="000000"/>
                <w:sz w:val="22"/>
              </w:rPr>
            </w:pPr>
          </w:p>
        </w:tc>
        <w:tc>
          <w:tcPr>
            <w:tcW w:w="1759" w:type="dxa"/>
            <w:vMerge/>
          </w:tcPr>
          <w:p w:rsidR="001A7A6B" w:rsidRPr="009B6FD5" w:rsidRDefault="001A7A6B" w:rsidP="009B6FD5">
            <w:pPr>
              <w:spacing w:line="360" w:lineRule="auto"/>
              <w:jc w:val="both"/>
              <w:rPr>
                <w:rFonts w:ascii="Palatino Linotype" w:hAnsi="Palatino Linotype"/>
                <w:color w:val="000000"/>
                <w:sz w:val="22"/>
              </w:rPr>
            </w:pPr>
          </w:p>
        </w:tc>
        <w:tc>
          <w:tcPr>
            <w:tcW w:w="2269" w:type="dxa"/>
            <w:vMerge/>
          </w:tcPr>
          <w:p w:rsidR="001A7A6B" w:rsidRPr="009B6FD5" w:rsidRDefault="001A7A6B" w:rsidP="009B6FD5">
            <w:pPr>
              <w:spacing w:line="360" w:lineRule="auto"/>
              <w:jc w:val="both"/>
              <w:rPr>
                <w:rFonts w:ascii="Palatino Linotype" w:hAnsi="Palatino Linotype"/>
                <w:color w:val="000000"/>
                <w:sz w:val="22"/>
              </w:rPr>
            </w:pPr>
          </w:p>
        </w:tc>
        <w:tc>
          <w:tcPr>
            <w:tcW w:w="2268" w:type="dxa"/>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El principio de proporcionalidad</w:t>
            </w:r>
          </w:p>
        </w:tc>
      </w:tr>
      <w:tr w:rsidR="001A7A6B" w:rsidRPr="009B6FD5" w:rsidTr="00781DA9">
        <w:tc>
          <w:tcPr>
            <w:tcW w:w="2155" w:type="dxa"/>
            <w:vMerge w:val="restart"/>
            <w:shd w:val="clear" w:color="auto" w:fill="D5DCE4"/>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Condiciones especiales de la confidencialidad</w:t>
            </w:r>
          </w:p>
        </w:tc>
        <w:tc>
          <w:tcPr>
            <w:tcW w:w="1759" w:type="dxa"/>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 xml:space="preserve">Para clasificar se debe verificar que no se encuentre en los supuestos del artículo 148 de la ley Estatal </w:t>
            </w:r>
          </w:p>
        </w:tc>
        <w:tc>
          <w:tcPr>
            <w:tcW w:w="2269" w:type="dxa"/>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 xml:space="preserve">Si se encuentra en los supuestos de dicho artículo se entrega aún sin consentimiento del titular del dato personal </w:t>
            </w:r>
          </w:p>
        </w:tc>
        <w:tc>
          <w:tcPr>
            <w:tcW w:w="2268" w:type="dxa"/>
          </w:tcPr>
          <w:p w:rsidR="001A7A6B" w:rsidRPr="009B6FD5" w:rsidRDefault="001A7A6B" w:rsidP="009B6FD5">
            <w:pPr>
              <w:spacing w:line="360" w:lineRule="auto"/>
              <w:jc w:val="both"/>
              <w:rPr>
                <w:rFonts w:ascii="Palatino Linotype" w:hAnsi="Palatino Linotype"/>
                <w:color w:val="000000"/>
                <w:sz w:val="22"/>
              </w:rPr>
            </w:pPr>
          </w:p>
        </w:tc>
      </w:tr>
      <w:tr w:rsidR="001A7A6B" w:rsidRPr="009B6FD5" w:rsidTr="00781DA9">
        <w:trPr>
          <w:trHeight w:val="3404"/>
        </w:trPr>
        <w:tc>
          <w:tcPr>
            <w:tcW w:w="2155" w:type="dxa"/>
            <w:vMerge/>
            <w:shd w:val="clear" w:color="auto" w:fill="D5DCE4"/>
          </w:tcPr>
          <w:p w:rsidR="001A7A6B" w:rsidRPr="009B6FD5" w:rsidRDefault="001A7A6B" w:rsidP="009B6FD5">
            <w:pPr>
              <w:spacing w:line="360" w:lineRule="auto"/>
              <w:jc w:val="both"/>
              <w:rPr>
                <w:rFonts w:ascii="Palatino Linotype" w:hAnsi="Palatino Linotype"/>
                <w:color w:val="000000"/>
                <w:sz w:val="22"/>
              </w:rPr>
            </w:pPr>
          </w:p>
        </w:tc>
        <w:tc>
          <w:tcPr>
            <w:tcW w:w="1759" w:type="dxa"/>
          </w:tcPr>
          <w:p w:rsidR="001A7A6B" w:rsidRPr="009B6FD5" w:rsidRDefault="001A7A6B" w:rsidP="009B6FD5">
            <w:pPr>
              <w:spacing w:line="360" w:lineRule="auto"/>
              <w:jc w:val="both"/>
              <w:rPr>
                <w:rFonts w:ascii="Palatino Linotype" w:hAnsi="Palatino Linotype"/>
                <w:color w:val="000000"/>
                <w:sz w:val="22"/>
              </w:rPr>
            </w:pPr>
            <w:r w:rsidRPr="009B6FD5">
              <w:rPr>
                <w:rFonts w:ascii="Palatino Linotype" w:hAnsi="Palatino Linotype"/>
                <w:color w:val="000000"/>
                <w:sz w:val="22"/>
              </w:rPr>
              <w:t>Si es posible, se debe consultar al titular de los datos para requerir su autorización para entregarlo</w:t>
            </w:r>
          </w:p>
        </w:tc>
        <w:tc>
          <w:tcPr>
            <w:tcW w:w="2269" w:type="dxa"/>
          </w:tcPr>
          <w:p w:rsidR="001A7A6B" w:rsidRPr="009B6FD5" w:rsidRDefault="001A7A6B" w:rsidP="009B6FD5">
            <w:pPr>
              <w:spacing w:line="360" w:lineRule="auto"/>
              <w:jc w:val="both"/>
              <w:rPr>
                <w:rFonts w:ascii="Palatino Linotype" w:hAnsi="Palatino Linotype"/>
                <w:color w:val="000000"/>
                <w:sz w:val="22"/>
              </w:rPr>
            </w:pPr>
          </w:p>
        </w:tc>
        <w:tc>
          <w:tcPr>
            <w:tcW w:w="2268" w:type="dxa"/>
          </w:tcPr>
          <w:p w:rsidR="001A7A6B" w:rsidRPr="009B6FD5" w:rsidRDefault="001A7A6B" w:rsidP="009B6FD5">
            <w:pPr>
              <w:spacing w:line="360" w:lineRule="auto"/>
              <w:jc w:val="both"/>
              <w:rPr>
                <w:rFonts w:ascii="Palatino Linotype" w:hAnsi="Palatino Linotype"/>
                <w:color w:val="000000"/>
                <w:sz w:val="22"/>
              </w:rPr>
            </w:pPr>
          </w:p>
        </w:tc>
      </w:tr>
    </w:tbl>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781DA9"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eastAsia="Calibri" w:hAnsi="Palatino Linotype"/>
          <w:color w:val="000000"/>
          <w:lang w:eastAsia="en-US"/>
        </w:rPr>
        <w:t>Pero</w:t>
      </w:r>
      <w:r w:rsidRPr="009B6FD5">
        <w:rPr>
          <w:rFonts w:ascii="Palatino Linotype" w:eastAsia="Calibri" w:hAnsi="Palatino Linotype"/>
          <w:color w:val="000000"/>
          <w:lang w:val="es-ES_tradnl" w:eastAsia="es-ES_tradnl"/>
        </w:rPr>
        <w:t xml:space="preserve"> si la información que se pretende clasificar como confidencial no se </w:t>
      </w:r>
      <w:r w:rsidRPr="009B6FD5">
        <w:rPr>
          <w:rFonts w:ascii="Palatino Linotype" w:eastAsia="Calibri" w:hAnsi="Palatino Linotype"/>
          <w:color w:val="000000"/>
          <w:lang w:eastAsia="en-US"/>
        </w:rPr>
        <w:t>encuentra</w:t>
      </w:r>
      <w:r w:rsidRPr="009B6FD5">
        <w:rPr>
          <w:rFonts w:ascii="Palatino Linotype" w:eastAsia="Calibri" w:hAnsi="Palatino Linotype"/>
          <w:color w:val="000000"/>
          <w:lang w:val="es-ES_tradnl" w:eastAsia="es-ES_tradnl"/>
        </w:rPr>
        <w:t xml:space="preserve"> en los supuestos antes señalados y es posible, se deberá consultar al titular de los datos si permite o no el acceso. De no ser posible, la realización de la consulta procede, fundando y motivando, la clasificación.</w:t>
      </w:r>
    </w:p>
    <w:p w:rsidR="00781DA9" w:rsidRPr="009B6FD5" w:rsidRDefault="00781DA9" w:rsidP="00781DA9">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pStyle w:val="Ttulo1"/>
        <w:spacing w:before="0" w:line="360" w:lineRule="auto"/>
        <w:rPr>
          <w:rFonts w:ascii="Palatino Linotype" w:hAnsi="Palatino Linotype"/>
          <w:b/>
          <w:color w:val="000000" w:themeColor="text1"/>
          <w:sz w:val="24"/>
          <w:szCs w:val="24"/>
        </w:rPr>
      </w:pPr>
      <w:bookmarkStart w:id="91" w:name="_Toc80889856"/>
      <w:bookmarkStart w:id="92" w:name="_Toc81384838"/>
      <w:r w:rsidRPr="009B6FD5">
        <w:rPr>
          <w:rFonts w:ascii="Palatino Linotype" w:hAnsi="Palatino Linotype"/>
          <w:b/>
          <w:color w:val="000000" w:themeColor="text1"/>
          <w:sz w:val="24"/>
          <w:szCs w:val="24"/>
        </w:rPr>
        <w:t>a) De la clave catastral.</w:t>
      </w:r>
      <w:bookmarkEnd w:id="91"/>
      <w:bookmarkEnd w:id="92"/>
      <w:r w:rsidRPr="009B6FD5">
        <w:rPr>
          <w:rFonts w:ascii="Palatino Linotype" w:hAnsi="Palatino Linotype"/>
          <w:b/>
          <w:color w:val="000000" w:themeColor="text1"/>
          <w:sz w:val="24"/>
          <w:szCs w:val="24"/>
        </w:rPr>
        <w:t xml:space="preserve"> </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781DA9"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eastAsia="Calibri" w:hAnsi="Palatino Linotype"/>
          <w:color w:val="000000"/>
          <w:lang w:eastAsia="en-US"/>
        </w:rPr>
        <w:t>Por</w:t>
      </w:r>
      <w:r w:rsidRPr="009B6FD5">
        <w:rPr>
          <w:rFonts w:ascii="Palatino Linotype" w:hAnsi="Palatino Linotype" w:cs="Arial"/>
          <w:lang w:val="es-ES_tradnl"/>
        </w:rPr>
        <w:t xml:space="preserve"> otro lado, </w:t>
      </w:r>
      <w:r w:rsidRPr="009B6FD5">
        <w:rPr>
          <w:rFonts w:ascii="Palatino Linotype" w:eastAsia="Calibri" w:hAnsi="Palatino Linotype" w:cs="Tahoma"/>
          <w:iCs/>
          <w:lang w:eastAsia="es-ES_tradnl"/>
        </w:rPr>
        <w:t>con relación a los requerimientos realizados por la Particular,  se observa que en la misma obra invariablemente información catastral de un bien inmueble que, en ese sentido, de conformidad con  los artículos 168 y 169 del Código Financiero del Estado de México; determina los aspectos que comprende Catastro,  y define al padrón catastral como aquel inventario analítico y determina que los ayuntamientos son autoridades en materia de Catastro, en consideración a ello, se inserta a continuación el contenido de los de dichos artículos:</w:t>
      </w:r>
    </w:p>
    <w:p w:rsidR="00781DA9" w:rsidRPr="009B6FD5" w:rsidRDefault="00781DA9" w:rsidP="00781DA9">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pStyle w:val="Prrafodelista"/>
        <w:spacing w:line="360" w:lineRule="auto"/>
        <w:ind w:left="644" w:right="539"/>
        <w:jc w:val="both"/>
        <w:rPr>
          <w:rFonts w:ascii="Palatino Linotype" w:hAnsi="Palatino Linotype"/>
          <w:i/>
          <w:lang w:val="es-ES"/>
        </w:rPr>
      </w:pPr>
      <w:r w:rsidRPr="009B6FD5">
        <w:rPr>
          <w:rFonts w:ascii="Palatino Linotype" w:hAnsi="Palatino Linotype"/>
          <w:i/>
          <w:lang w:val="es-ES"/>
        </w:rPr>
        <w:t xml:space="preserve">“Artículo 168.- </w:t>
      </w:r>
      <w:r w:rsidRPr="009B6FD5">
        <w:rPr>
          <w:rFonts w:ascii="Palatino Linotype" w:hAnsi="Palatino Linotype"/>
          <w:b/>
          <w:i/>
          <w:lang w:val="es-ES"/>
        </w:rPr>
        <w:t>Catastro es el sistema de información territorial,</w:t>
      </w:r>
      <w:r w:rsidRPr="009B6FD5">
        <w:rPr>
          <w:rFonts w:ascii="Palatino Linotype" w:hAnsi="Palatino Linotype"/>
          <w:i/>
          <w:lang w:val="es-ES"/>
        </w:rPr>
        <w:t xml:space="preserve"> cuyo propósito es integrar, </w:t>
      </w:r>
      <w:r w:rsidRPr="009B6FD5">
        <w:rPr>
          <w:rFonts w:ascii="Palatino Linotype" w:hAnsi="Palatino Linotype"/>
          <w:b/>
          <w:i/>
          <w:lang w:val="es-ES"/>
        </w:rPr>
        <w:t>conservar y mantener actualizado el padrón catastral</w:t>
      </w:r>
      <w:r w:rsidRPr="009B6FD5">
        <w:rPr>
          <w:rFonts w:ascii="Palatino Linotype" w:hAnsi="Palatino Linotype"/>
          <w:i/>
          <w:lang w:val="es-ES"/>
        </w:rPr>
        <w:t xml:space="preserve"> del Estado. </w:t>
      </w:r>
    </w:p>
    <w:p w:rsidR="001A7A6B" w:rsidRPr="009B6FD5" w:rsidRDefault="001A7A6B" w:rsidP="009B6FD5">
      <w:pPr>
        <w:pStyle w:val="Prrafodelista"/>
        <w:spacing w:line="360" w:lineRule="auto"/>
        <w:ind w:left="644" w:right="539"/>
        <w:jc w:val="both"/>
        <w:rPr>
          <w:rFonts w:ascii="Palatino Linotype" w:hAnsi="Palatino Linotype"/>
          <w:i/>
          <w:lang w:val="es-ES"/>
        </w:rPr>
      </w:pPr>
      <w:r w:rsidRPr="009B6FD5">
        <w:rPr>
          <w:rFonts w:ascii="Palatino Linotype" w:hAnsi="Palatino Linotype"/>
          <w:b/>
          <w:i/>
          <w:lang w:val="es-ES"/>
        </w:rPr>
        <w:lastRenderedPageBreak/>
        <w:t>El padrón catastral es el inventario analítico</w:t>
      </w:r>
      <w:r w:rsidRPr="009B6FD5">
        <w:rPr>
          <w:rFonts w:ascii="Palatino Linotype" w:hAnsi="Palatino Linotype"/>
          <w:i/>
          <w:lang w:val="es-ES"/>
        </w:rPr>
        <w:t xml:space="preserve"> </w:t>
      </w:r>
      <w:r w:rsidRPr="009B6FD5">
        <w:rPr>
          <w:rFonts w:ascii="Palatino Linotype" w:hAnsi="Palatino Linotype"/>
          <w:b/>
          <w:i/>
          <w:lang w:val="es-ES"/>
        </w:rPr>
        <w:t xml:space="preserve">que contiene los datos técnicos y administrativos de los inmuebles y está conformado por el conjunto de registros geográficos, gráficos, estadísticos, alfanuméricos y elementos y características resultantes de las actividades catastrales. </w:t>
      </w:r>
    </w:p>
    <w:p w:rsidR="001A7A6B" w:rsidRPr="009B6FD5" w:rsidRDefault="001A7A6B" w:rsidP="009B6FD5">
      <w:pPr>
        <w:pStyle w:val="Prrafodelista"/>
        <w:spacing w:line="360" w:lineRule="auto"/>
        <w:ind w:left="644" w:right="539"/>
        <w:jc w:val="both"/>
        <w:rPr>
          <w:rFonts w:ascii="Palatino Linotype" w:hAnsi="Palatino Linotype"/>
          <w:i/>
          <w:lang w:val="es-ES"/>
        </w:rPr>
      </w:pPr>
      <w:r w:rsidRPr="009B6FD5">
        <w:rPr>
          <w:rFonts w:ascii="Palatino Linotype" w:hAnsi="Palatino Linotype"/>
          <w:i/>
          <w:lang w:val="es-ES"/>
        </w:rPr>
        <w:t>La actividad catastral es el conjunto de acciones de identificación, inscripción, control y valuación, que permiten integrar, conservar y mantener actualizado el inventario analítico con las características cualitativas y cuantitativas de los inmuebles inscritos en el padrón catastral del Estado, realizadas con apego al LIGECEM, este Título, su reglamento, el Manual Catastral y demás disposiciones aplicables en la materia.</w:t>
      </w:r>
    </w:p>
    <w:p w:rsidR="001A7A6B" w:rsidRPr="009B6FD5" w:rsidRDefault="001A7A6B" w:rsidP="009B6FD5">
      <w:pPr>
        <w:pStyle w:val="Prrafodelista"/>
        <w:spacing w:line="360" w:lineRule="auto"/>
        <w:ind w:left="644" w:right="539"/>
        <w:jc w:val="both"/>
        <w:rPr>
          <w:rFonts w:ascii="Palatino Linotype" w:eastAsia="Calibri" w:hAnsi="Palatino Linotype" w:cs="Tahoma"/>
          <w:i/>
          <w:iCs/>
          <w:lang w:val="es-ES" w:eastAsia="es-ES_tradnl"/>
        </w:rPr>
      </w:pPr>
    </w:p>
    <w:p w:rsidR="001A7A6B" w:rsidRPr="009B6FD5" w:rsidRDefault="001A7A6B" w:rsidP="009B6FD5">
      <w:pPr>
        <w:pStyle w:val="Prrafodelista"/>
        <w:spacing w:line="360" w:lineRule="auto"/>
        <w:ind w:left="644" w:right="539"/>
        <w:jc w:val="both"/>
        <w:rPr>
          <w:rFonts w:ascii="Palatino Linotype" w:hAnsi="Palatino Linotype"/>
          <w:b/>
          <w:i/>
          <w:lang w:val="es-ES"/>
        </w:rPr>
      </w:pPr>
      <w:r w:rsidRPr="009B6FD5">
        <w:rPr>
          <w:rFonts w:ascii="Palatino Linotype" w:hAnsi="Palatino Linotype"/>
          <w:b/>
          <w:i/>
          <w:lang w:val="es-ES"/>
        </w:rPr>
        <w:t xml:space="preserve">Artículo 169.- Son autoridades en materia de catastro: </w:t>
      </w:r>
    </w:p>
    <w:p w:rsidR="001A7A6B" w:rsidRPr="009B6FD5" w:rsidRDefault="001A7A6B" w:rsidP="009B6FD5">
      <w:pPr>
        <w:pStyle w:val="Prrafodelista"/>
        <w:spacing w:line="360" w:lineRule="auto"/>
        <w:ind w:left="644" w:right="539"/>
        <w:jc w:val="both"/>
        <w:rPr>
          <w:rFonts w:ascii="Palatino Linotype" w:hAnsi="Palatino Linotype"/>
          <w:i/>
          <w:lang w:val="es-ES"/>
        </w:rPr>
      </w:pPr>
      <w:r w:rsidRPr="009B6FD5">
        <w:rPr>
          <w:rFonts w:ascii="Palatino Linotype" w:hAnsi="Palatino Linotype"/>
          <w:i/>
          <w:lang w:val="es-ES"/>
        </w:rPr>
        <w:t xml:space="preserve">I. El Gobernador del Estado; </w:t>
      </w:r>
    </w:p>
    <w:p w:rsidR="001A7A6B" w:rsidRPr="009B6FD5" w:rsidRDefault="001A7A6B" w:rsidP="009B6FD5">
      <w:pPr>
        <w:pStyle w:val="Prrafodelista"/>
        <w:spacing w:line="360" w:lineRule="auto"/>
        <w:ind w:left="644" w:right="539"/>
        <w:jc w:val="both"/>
        <w:rPr>
          <w:rFonts w:ascii="Palatino Linotype" w:hAnsi="Palatino Linotype"/>
          <w:i/>
          <w:lang w:val="es-ES"/>
        </w:rPr>
      </w:pPr>
      <w:r w:rsidRPr="009B6FD5">
        <w:rPr>
          <w:rFonts w:ascii="Palatino Linotype" w:hAnsi="Palatino Linotype"/>
          <w:i/>
          <w:lang w:val="es-ES"/>
        </w:rPr>
        <w:t xml:space="preserve">II. El Secretario de Finanzas. </w:t>
      </w:r>
    </w:p>
    <w:p w:rsidR="001A7A6B" w:rsidRPr="009B6FD5" w:rsidRDefault="001A7A6B" w:rsidP="009B6FD5">
      <w:pPr>
        <w:pStyle w:val="Prrafodelista"/>
        <w:spacing w:line="360" w:lineRule="auto"/>
        <w:ind w:left="644" w:right="539"/>
        <w:jc w:val="both"/>
        <w:rPr>
          <w:rFonts w:ascii="Palatino Linotype" w:hAnsi="Palatino Linotype"/>
          <w:i/>
          <w:lang w:val="es-ES"/>
        </w:rPr>
      </w:pPr>
      <w:r w:rsidRPr="009B6FD5">
        <w:rPr>
          <w:rFonts w:ascii="Palatino Linotype" w:hAnsi="Palatino Linotype"/>
          <w:i/>
          <w:lang w:val="es-ES"/>
        </w:rPr>
        <w:t xml:space="preserve">III. El Director General del Instituto de Información e Investigación Geográfica, Estadística y Catastral del Estado de México; </w:t>
      </w:r>
    </w:p>
    <w:p w:rsidR="001A7A6B" w:rsidRPr="009B6FD5" w:rsidRDefault="001A7A6B" w:rsidP="009B6FD5">
      <w:pPr>
        <w:pStyle w:val="Prrafodelista"/>
        <w:spacing w:line="360" w:lineRule="auto"/>
        <w:ind w:left="644" w:right="539"/>
        <w:jc w:val="both"/>
        <w:rPr>
          <w:rFonts w:ascii="Palatino Linotype" w:hAnsi="Palatino Linotype"/>
          <w:i/>
          <w:lang w:val="es-ES"/>
        </w:rPr>
      </w:pPr>
      <w:r w:rsidRPr="009B6FD5">
        <w:rPr>
          <w:rFonts w:ascii="Palatino Linotype" w:hAnsi="Palatino Linotype"/>
          <w:b/>
          <w:i/>
          <w:lang w:val="es-ES"/>
        </w:rPr>
        <w:t>IV. El ayuntamiento y el servidor público que éste designe como titular del área de catastro municipal,</w:t>
      </w:r>
      <w:r w:rsidRPr="009B6FD5">
        <w:rPr>
          <w:rFonts w:ascii="Palatino Linotype" w:hAnsi="Palatino Linotype"/>
          <w:i/>
          <w:lang w:val="es-ES"/>
        </w:rPr>
        <w:t xml:space="preserve"> quien deberá estar debidamente certificado o certificarse en un plazo máximo de seis meses contados a partir de su designación, ante la Comisión Certificadora de Competencia Laboral de los Servidores Públicos del Estado de México en al menos tres de las ocho unidades de competencia laboral que integran a las normas institucionales vigentes en materia de catastro. </w:t>
      </w:r>
    </w:p>
    <w:p w:rsidR="001A7A6B" w:rsidRPr="009B6FD5" w:rsidRDefault="001A7A6B" w:rsidP="009B6FD5">
      <w:pPr>
        <w:pStyle w:val="Prrafodelista"/>
        <w:spacing w:line="360" w:lineRule="auto"/>
        <w:ind w:left="644" w:right="539"/>
        <w:jc w:val="both"/>
        <w:rPr>
          <w:rFonts w:ascii="Palatino Linotype" w:eastAsia="Calibri" w:hAnsi="Palatino Linotype" w:cs="Tahoma"/>
          <w:i/>
          <w:iCs/>
          <w:lang w:val="es-ES" w:eastAsia="es-ES_tradnl"/>
        </w:rPr>
      </w:pPr>
      <w:r w:rsidRPr="009B6FD5">
        <w:rPr>
          <w:rFonts w:ascii="Palatino Linotype" w:hAnsi="Palatino Linotype"/>
          <w:i/>
          <w:lang w:val="es-ES"/>
        </w:rPr>
        <w:t>Las facultades y obligaciones que en materia catastral correspondan a estas autoridades, son aquellas que se encuentran conferidas en los términos del LIGECEM, este Título, su reglamento, el Manual Catastral y demás disposiciones aplicables en la materia.”</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eastAsia="Calibri" w:hAnsi="Palatino Linotype" w:cs="Tahoma"/>
          <w:iCs/>
          <w:lang w:eastAsia="es-ES_tradnl"/>
        </w:rPr>
        <w:t xml:space="preserve">Es así </w:t>
      </w:r>
      <w:r w:rsidRPr="009B6FD5">
        <w:rPr>
          <w:rFonts w:ascii="Palatino Linotype" w:eastAsia="Calibri" w:hAnsi="Palatino Linotype"/>
          <w:color w:val="000000"/>
          <w:lang w:eastAsia="en-US"/>
        </w:rPr>
        <w:t>como</w:t>
      </w:r>
      <w:r w:rsidRPr="009B6FD5">
        <w:rPr>
          <w:rFonts w:ascii="Palatino Linotype" w:eastAsia="Calibri" w:hAnsi="Palatino Linotype" w:cs="Tahoma"/>
          <w:iCs/>
          <w:lang w:eastAsia="es-ES_tradnl"/>
        </w:rPr>
        <w:t xml:space="preserve"> podemos determinar, que Catastro es un sistema de información territorial, que resguarda y actualiza el padrón catastral; que a su vez puede ser </w:t>
      </w:r>
      <w:r w:rsidRPr="009B6FD5">
        <w:rPr>
          <w:rFonts w:ascii="Palatino Linotype" w:eastAsia="Calibri" w:hAnsi="Palatino Linotype" w:cs="Tahoma"/>
          <w:iCs/>
          <w:lang w:eastAsia="es-ES_tradnl"/>
        </w:rPr>
        <w:lastRenderedPageBreak/>
        <w:t>entendido como un inventario analítico en el que se encuentran los datos técnicos y administrativos de los inmuebles y que concentran la actividad catastral; asimismo faculta para que los ayuntamientos cuenten con una área encargada del Catastro.</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781DA9"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eastAsia="MS Mincho" w:hAnsi="Palatino Linotype" w:cs="Arial"/>
        </w:rPr>
        <w:t xml:space="preserve">Así </w:t>
      </w:r>
      <w:r w:rsidRPr="009B6FD5">
        <w:rPr>
          <w:rFonts w:ascii="Palatino Linotype" w:eastAsia="Calibri" w:hAnsi="Palatino Linotype" w:cs="Tahoma"/>
          <w:iCs/>
          <w:lang w:eastAsia="es-ES_tradnl"/>
        </w:rPr>
        <w:t>mismo</w:t>
      </w:r>
      <w:r w:rsidRPr="009B6FD5">
        <w:rPr>
          <w:rFonts w:ascii="Palatino Linotype" w:eastAsia="MS Mincho" w:hAnsi="Palatino Linotype" w:cs="Arial"/>
        </w:rPr>
        <w:t xml:space="preserve">, conforme a lo dispuesto en el artículo 179, fracción I, del Código Financiero del Estado de México y Municipios, define a la clave catastral como: </w:t>
      </w:r>
    </w:p>
    <w:p w:rsidR="00781DA9" w:rsidRPr="009B6FD5" w:rsidRDefault="00781DA9" w:rsidP="00781DA9">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pStyle w:val="Prrafodelista"/>
        <w:autoSpaceDE w:val="0"/>
        <w:autoSpaceDN w:val="0"/>
        <w:adjustRightInd w:val="0"/>
        <w:spacing w:line="360" w:lineRule="auto"/>
        <w:ind w:left="644" w:right="616"/>
        <w:jc w:val="both"/>
        <w:rPr>
          <w:rFonts w:ascii="Palatino Linotype" w:hAnsi="Palatino Linotype"/>
          <w:i/>
          <w:iCs/>
          <w:lang w:val="es-ES"/>
        </w:rPr>
      </w:pPr>
      <w:r w:rsidRPr="009B6FD5">
        <w:rPr>
          <w:rFonts w:ascii="Palatino Linotype" w:hAnsi="Palatino Linotype"/>
          <w:i/>
          <w:iCs/>
          <w:lang w:val="es-ES"/>
        </w:rPr>
        <w:t>Artículo 179.- En términos de este capítulo, en lo sucesivo, salvo mención expresa, se entenderá por:</w:t>
      </w:r>
    </w:p>
    <w:p w:rsidR="001A7A6B" w:rsidRPr="009B6FD5" w:rsidRDefault="001A7A6B" w:rsidP="009B6FD5">
      <w:pPr>
        <w:pStyle w:val="Prrafodelista"/>
        <w:autoSpaceDE w:val="0"/>
        <w:autoSpaceDN w:val="0"/>
        <w:adjustRightInd w:val="0"/>
        <w:spacing w:line="360" w:lineRule="auto"/>
        <w:ind w:left="644" w:right="616"/>
        <w:jc w:val="both"/>
        <w:rPr>
          <w:rFonts w:ascii="Palatino Linotype" w:hAnsi="Palatino Linotype"/>
          <w:i/>
          <w:iCs/>
          <w:lang w:val="es-ES"/>
        </w:rPr>
      </w:pPr>
      <w:r w:rsidRPr="009B6FD5">
        <w:rPr>
          <w:rFonts w:ascii="Palatino Linotype" w:hAnsi="Palatino Linotype"/>
          <w:i/>
          <w:iCs/>
          <w:lang w:val="es-ES"/>
        </w:rPr>
        <w:t>I. Clave catastral.- El 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781DA9"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eastAsia="MS Mincho" w:hAnsi="Palatino Linotype" w:cs="Arial"/>
        </w:rPr>
        <w:t xml:space="preserve">En ese sentido, se advierte que la calve catastral contiene datos que hacen identificable el patrimonio del propietario o poseedor de un bien inmueble, lo que aunado a la circunstancia que para la inscripción de cada inmueble, es necesario que los propietarios o poseedores tengan que presentar su respectiva manifestación catastral, para lo cual deberán proporcionar los datos previstos en el artículo 25, </w:t>
      </w:r>
      <w:r w:rsidRPr="009B6FD5">
        <w:rPr>
          <w:rFonts w:ascii="Palatino Linotype" w:eastAsia="MS Mincho" w:hAnsi="Palatino Linotype" w:cs="Arial"/>
        </w:rPr>
        <w:lastRenderedPageBreak/>
        <w:t>conforme a lo dispuesto en los artículos 26 y 27 del Reglamento del Título  Quinto  del Código  Financiero  multicitado,  que dispone</w:t>
      </w:r>
      <w:r w:rsidR="00781DA9">
        <w:rPr>
          <w:rFonts w:ascii="Palatino Linotype" w:eastAsia="MS Mincho" w:hAnsi="Palatino Linotype" w:cs="Arial"/>
        </w:rPr>
        <w:t>:</w:t>
      </w:r>
    </w:p>
    <w:p w:rsidR="00781DA9" w:rsidRPr="009B6FD5" w:rsidRDefault="00781DA9" w:rsidP="00781DA9">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pStyle w:val="Prrafodelista"/>
        <w:autoSpaceDE w:val="0"/>
        <w:autoSpaceDN w:val="0"/>
        <w:adjustRightInd w:val="0"/>
        <w:spacing w:line="360" w:lineRule="auto"/>
        <w:ind w:left="644" w:right="616"/>
        <w:jc w:val="both"/>
        <w:rPr>
          <w:rFonts w:ascii="Palatino Linotype" w:hAnsi="Palatino Linotype"/>
          <w:i/>
          <w:iCs/>
          <w:lang w:val="es-ES"/>
        </w:rPr>
      </w:pPr>
      <w:r w:rsidRPr="009B6FD5">
        <w:rPr>
          <w:rFonts w:ascii="Palatino Linotype" w:hAnsi="Palatino Linotype"/>
          <w:i/>
          <w:iCs/>
          <w:lang w:val="es-ES"/>
        </w:rPr>
        <w:t xml:space="preserve">Artículo 25.- La manifestación catastral deberá emitirse por duplicado y contener como mínimo, los siguientes datos: I. Clave catastral del inmueble. II. Nombre del propietario o poseedor. III. Clave única de Registro de Población (CURP). IV. Ubicación del inmueble. V. Domicilio para oír y recibir notificaciones. VI. Superficie del terreno. VII. Superficie de la construcción. VIII. En caso de condominio, superficies comunes de terreno y construcción, así como el indiviso. IX. Uso y destino. X. Reserva, provisión, en su caso si cuenta con hipoteca y embargo. XI. Régimen jurídico de la propiedad o posesión. XII. Valor de terreno, de construcción y valor total catastral o de avalúo. XIII. Fecha de elaboración. XIV. Nombre y firma del propietario, poseedor o representante legal. XV. Nombre, firma y sello de la autoridad catastral. </w:t>
      </w:r>
    </w:p>
    <w:p w:rsidR="001A7A6B" w:rsidRPr="009B6FD5" w:rsidRDefault="001A7A6B" w:rsidP="009B6FD5">
      <w:pPr>
        <w:pStyle w:val="Prrafodelista"/>
        <w:autoSpaceDE w:val="0"/>
        <w:autoSpaceDN w:val="0"/>
        <w:adjustRightInd w:val="0"/>
        <w:spacing w:line="360" w:lineRule="auto"/>
        <w:ind w:left="644" w:right="616"/>
        <w:jc w:val="both"/>
        <w:rPr>
          <w:rFonts w:ascii="Palatino Linotype" w:hAnsi="Palatino Linotype"/>
          <w:i/>
          <w:iCs/>
          <w:lang w:val="es-ES"/>
        </w:rPr>
      </w:pPr>
      <w:r w:rsidRPr="009B6FD5">
        <w:rPr>
          <w:rFonts w:ascii="Palatino Linotype" w:hAnsi="Palatino Linotype"/>
          <w:i/>
          <w:iCs/>
          <w:lang w:val="es-ES"/>
        </w:rPr>
        <w:t>Artículo 26.- Para la inscripción inicial de un inmueble en el padrón catastral municipal, el Catastro Municipal asignará la clave catastral conforme a la estructura determinada en la fracción I del artículo 179 del Código y en todo caso atenderá a los lineamientos y procedimientos establecidos en el Manual Catastral.</w:t>
      </w:r>
    </w:p>
    <w:p w:rsidR="001A7A6B" w:rsidRPr="009B6FD5" w:rsidRDefault="001A7A6B" w:rsidP="009B6FD5">
      <w:pPr>
        <w:pStyle w:val="Prrafodelista"/>
        <w:autoSpaceDE w:val="0"/>
        <w:autoSpaceDN w:val="0"/>
        <w:adjustRightInd w:val="0"/>
        <w:spacing w:line="360" w:lineRule="auto"/>
        <w:ind w:left="644" w:right="616"/>
        <w:jc w:val="both"/>
        <w:rPr>
          <w:rFonts w:ascii="Palatino Linotype" w:eastAsia="MS Mincho" w:hAnsi="Palatino Linotype" w:cs="Arial"/>
          <w:i/>
          <w:iCs/>
        </w:rPr>
      </w:pPr>
      <w:r w:rsidRPr="009B6FD5">
        <w:rPr>
          <w:rFonts w:ascii="Palatino Linotype" w:hAnsi="Palatino Linotype"/>
          <w:i/>
          <w:iCs/>
          <w:lang w:val="es-ES"/>
        </w:rPr>
        <w:t>Artículo 27.- La clave catastral invariablemente se inscribirá tanto en el registro gráfico como en el alfanumérico y en su asignación no se permitirán duplicidades.</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eastAsia="MS Mincho" w:hAnsi="Palatino Linotype" w:cs="Arial"/>
        </w:rPr>
        <w:t>De los dispositivos legales en mención se advierte que la inscripción de un inmueble en el padrón catastral, el catastro deberá asignarle una clave conforme a la estructura establecida en el Código Financiero, atendiendo los lineamientos establecido en el Manual Catastral.</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eastAsia="MS Mincho" w:hAnsi="Palatino Linotype" w:cs="Arial"/>
        </w:rPr>
        <w:lastRenderedPageBreak/>
        <w:t>En consecuencia, debe precisarse que si bien la clave catastral es un código alfanumérico único e irrepetible y está compuesto de dieciséis caracteres, que se asigna para efectos de localización geográfica, identificación, inscripción, control y registro de los inmuebles, sin embargo, a través del referido dato se pueden saber datos relativos al patrimonio del propietario  y/o poseedor  de un  bien inmueble.</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eastAsia="MS Mincho" w:hAnsi="Palatino Linotype" w:cs="Arial"/>
        </w:rPr>
        <w:t>Lo anterior se sustenta del análisis a la legislación en materia catastral, toda vez que a través de  la  clave  catastral  se  puede  determinar  el  importe  a  pagar  por  concepto  de   impuesto  predial, uso de suelo que le corresponde a la fracción  de terreno  en que se encuentra  ubicado el inmueble, superficie total del terreno, características del terreno, superficie total de construcción y características de la misma, uso específico del predio, valor  catastral  del terreno y de la construcción, información que constituyen  datos patrimoniales.</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eastAsia="Calibri" w:hAnsi="Palatino Linotype" w:cs="Tahoma"/>
          <w:iCs/>
          <w:lang w:eastAsia="es-ES_tradnl"/>
        </w:rPr>
        <w:t xml:space="preserve">Bajo este orden de ideas, al tratarse de información relacionada con el patrimonio de </w:t>
      </w:r>
      <w:r w:rsidRPr="009B6FD5">
        <w:rPr>
          <w:rFonts w:ascii="Palatino Linotype" w:eastAsia="MS Mincho" w:hAnsi="Palatino Linotype" w:cs="Arial"/>
        </w:rPr>
        <w:t>una</w:t>
      </w:r>
      <w:r w:rsidRPr="009B6FD5">
        <w:rPr>
          <w:rFonts w:ascii="Palatino Linotype" w:eastAsia="Calibri" w:hAnsi="Palatino Linotype" w:cs="Tahoma"/>
          <w:iCs/>
          <w:lang w:eastAsia="es-ES_tradnl"/>
        </w:rPr>
        <w:t xml:space="preserve"> persona física, sin ninguna intervención de recursos públicos, se considera que no es procedente la entrega de lo solicitado, al tratarse de los datos personales de un particular. Aunado a lo anterior, de las constancias que integran el presente Recurso de Revisión no se advierte que puede ser considerada como información de interés de la población en general, por lo que se deberá proceder a su tratamiento. </w:t>
      </w:r>
    </w:p>
    <w:p w:rsidR="001A7A6B" w:rsidRPr="009B6FD5" w:rsidRDefault="001A7A6B" w:rsidP="009B6FD5">
      <w:pPr>
        <w:spacing w:line="360" w:lineRule="auto"/>
        <w:ind w:right="49"/>
        <w:contextualSpacing/>
        <w:jc w:val="both"/>
        <w:rPr>
          <w:rFonts w:ascii="Palatino Linotype" w:eastAsiaTheme="minorEastAsia" w:hAnsi="Palatino Linotype"/>
          <w:lang w:eastAsia="es-ES"/>
        </w:rPr>
      </w:pPr>
    </w:p>
    <w:p w:rsidR="001A7A6B" w:rsidRPr="009B6FD5" w:rsidRDefault="001A7A6B"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9B6FD5">
        <w:rPr>
          <w:rFonts w:ascii="Palatino Linotype" w:hAnsi="Palatino Linotype"/>
          <w:color w:val="000000"/>
          <w:lang w:val="es-ES_tradnl"/>
        </w:rPr>
        <w:t xml:space="preserve">Por lo que si la información, con la que se pueda responder a una solicitud de información, contiene datos personales se deberá de realizar su clasificación como información confidencial, atendiendo las formalidades establecidas por la Ley de la </w:t>
      </w:r>
      <w:r w:rsidRPr="009B6FD5">
        <w:rPr>
          <w:rFonts w:ascii="Palatino Linotype" w:hAnsi="Palatino Linotype"/>
          <w:color w:val="000000"/>
          <w:lang w:val="es-ES_tradnl"/>
        </w:rPr>
        <w:lastRenderedPageBreak/>
        <w:t>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D771ED" w:rsidRPr="009B6FD5" w:rsidRDefault="00D771ED" w:rsidP="009B6FD5">
      <w:pPr>
        <w:pStyle w:val="Sinespaciado"/>
        <w:spacing w:line="360" w:lineRule="auto"/>
        <w:contextualSpacing/>
        <w:jc w:val="both"/>
        <w:rPr>
          <w:rFonts w:ascii="Palatino Linotype" w:eastAsia="Calibri" w:hAnsi="Palatino Linotype"/>
        </w:rPr>
      </w:pPr>
    </w:p>
    <w:p w:rsidR="00D771ED" w:rsidRPr="009B6FD5" w:rsidRDefault="00D771ED" w:rsidP="009B6FD5">
      <w:pPr>
        <w:pStyle w:val="Sinespaciado"/>
        <w:numPr>
          <w:ilvl w:val="0"/>
          <w:numId w:val="1"/>
        </w:numPr>
        <w:spacing w:line="360" w:lineRule="auto"/>
        <w:ind w:left="0" w:firstLine="0"/>
        <w:contextualSpacing/>
        <w:jc w:val="both"/>
        <w:rPr>
          <w:rFonts w:ascii="Palatino Linotype" w:eastAsia="Calibri" w:hAnsi="Palatino Linotype"/>
          <w:sz w:val="24"/>
        </w:rPr>
      </w:pPr>
      <w:r w:rsidRPr="009B6FD5">
        <w:rPr>
          <w:rFonts w:ascii="Palatino Linotype" w:eastAsia="Calibri" w:hAnsi="Palatino Linotype"/>
          <w:sz w:val="24"/>
        </w:rPr>
        <w:t xml:space="preserve">Por lo anteriormente expuesto y fundado, este </w:t>
      </w:r>
      <w:r w:rsidRPr="009B6FD5">
        <w:rPr>
          <w:rFonts w:ascii="Palatino Linotype" w:eastAsia="Calibri" w:hAnsi="Palatino Linotype"/>
          <w:b/>
          <w:bCs/>
          <w:sz w:val="24"/>
        </w:rPr>
        <w:t>ÓRGANO GARANTE</w:t>
      </w:r>
      <w:r w:rsidRPr="009B6FD5">
        <w:rPr>
          <w:rFonts w:ascii="Palatino Linotype" w:eastAsia="Calibri" w:hAnsi="Palatino Linotype"/>
          <w:sz w:val="24"/>
        </w:rPr>
        <w:t xml:space="preserve"> emite los siguientes:</w:t>
      </w:r>
    </w:p>
    <w:p w:rsidR="00C02C47" w:rsidRPr="009B6FD5" w:rsidRDefault="00C02C47" w:rsidP="009B6FD5">
      <w:pPr>
        <w:spacing w:line="360" w:lineRule="auto"/>
        <w:contextualSpacing/>
        <w:jc w:val="both"/>
        <w:rPr>
          <w:rFonts w:ascii="Palatino Linotype" w:eastAsia="Calibri" w:hAnsi="Palatino Linotype"/>
        </w:rPr>
      </w:pPr>
    </w:p>
    <w:p w:rsidR="00C02C47" w:rsidRPr="009B6FD5" w:rsidRDefault="00C02C47" w:rsidP="009B6FD5">
      <w:pPr>
        <w:spacing w:line="360" w:lineRule="auto"/>
        <w:contextualSpacing/>
        <w:jc w:val="both"/>
        <w:rPr>
          <w:rFonts w:ascii="Palatino Linotype" w:eastAsia="Calibri" w:hAnsi="Palatino Linotype"/>
        </w:rPr>
      </w:pPr>
    </w:p>
    <w:p w:rsidR="00D771ED" w:rsidRPr="009B6FD5" w:rsidRDefault="00D771ED" w:rsidP="009B6FD5">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93" w:name="_Toc528153792"/>
      <w:bookmarkStart w:id="94" w:name="_Toc71158406"/>
      <w:bookmarkStart w:id="95" w:name="_Toc83301643"/>
      <w:r w:rsidRPr="009B6FD5">
        <w:rPr>
          <w:rFonts w:ascii="Palatino Linotype" w:eastAsiaTheme="majorEastAsia" w:hAnsi="Palatino Linotype" w:cstheme="majorBidi"/>
          <w:b/>
          <w:color w:val="000000" w:themeColor="text1"/>
          <w:lang w:eastAsia="en-US"/>
        </w:rPr>
        <w:t>R E S O L U T I V O S</w:t>
      </w:r>
      <w:bookmarkEnd w:id="93"/>
      <w:bookmarkEnd w:id="94"/>
      <w:bookmarkEnd w:id="95"/>
    </w:p>
    <w:p w:rsidR="00D771ED" w:rsidRPr="009B6FD5" w:rsidRDefault="00D771ED" w:rsidP="009B6FD5">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rsidR="00D771ED" w:rsidRPr="009B6FD5" w:rsidRDefault="00D771ED" w:rsidP="009B6FD5">
      <w:pPr>
        <w:spacing w:line="360" w:lineRule="auto"/>
        <w:ind w:right="48"/>
        <w:jc w:val="both"/>
        <w:rPr>
          <w:rFonts w:ascii="Palatino Linotype" w:hAnsi="Palatino Linotype" w:cs="Arial"/>
          <w:bCs/>
        </w:rPr>
      </w:pPr>
      <w:r w:rsidRPr="009B6FD5">
        <w:rPr>
          <w:rFonts w:ascii="Palatino Linotype" w:hAnsi="Palatino Linotype" w:cs="Arial"/>
          <w:b/>
        </w:rPr>
        <w:t xml:space="preserve">PRIMERO. </w:t>
      </w:r>
      <w:r w:rsidRPr="009B6FD5">
        <w:rPr>
          <w:rFonts w:ascii="Palatino Linotype" w:hAnsi="Palatino Linotype" w:cs="Arial"/>
        </w:rPr>
        <w:t>Resultan fundadas las</w:t>
      </w:r>
      <w:r w:rsidRPr="009B6FD5">
        <w:rPr>
          <w:rFonts w:ascii="Palatino Linotype" w:hAnsi="Palatino Linotype" w:cs="Arial"/>
          <w:b/>
        </w:rPr>
        <w:t xml:space="preserve"> </w:t>
      </w:r>
      <w:r w:rsidRPr="009B6FD5">
        <w:rPr>
          <w:rFonts w:ascii="Palatino Linotype" w:hAnsi="Palatino Linotype" w:cs="Arial"/>
          <w:lang w:val="es-ES"/>
        </w:rPr>
        <w:t xml:space="preserve">razones o motivos de inconformidad hechos valer </w:t>
      </w:r>
      <w:r w:rsidRPr="009B6FD5">
        <w:rPr>
          <w:rFonts w:ascii="Palatino Linotype" w:eastAsia="Calibri" w:hAnsi="Palatino Linotype" w:cs="Arial"/>
          <w:lang w:val="es-ES"/>
        </w:rPr>
        <w:t xml:space="preserve">en el recurso de revisión </w:t>
      </w:r>
      <w:r w:rsidR="00464213" w:rsidRPr="009B6FD5">
        <w:rPr>
          <w:rFonts w:ascii="Palatino Linotype" w:hAnsi="Palatino Linotype" w:cs="Arial"/>
          <w:b/>
          <w:bCs/>
        </w:rPr>
        <w:t>0363</w:t>
      </w:r>
      <w:r w:rsidRPr="009B6FD5">
        <w:rPr>
          <w:rFonts w:ascii="Palatino Linotype" w:hAnsi="Palatino Linotype" w:cs="Arial"/>
          <w:b/>
          <w:bCs/>
        </w:rPr>
        <w:t xml:space="preserve">8/INFOEM/IP/RR/2021, </w:t>
      </w:r>
      <w:r w:rsidRPr="009B6FD5">
        <w:rPr>
          <w:rFonts w:ascii="Palatino Linotype" w:hAnsi="Palatino Linotype" w:cs="Arial"/>
          <w:bCs/>
        </w:rPr>
        <w:t xml:space="preserve">en términos del </w:t>
      </w:r>
      <w:r w:rsidRPr="009B6FD5">
        <w:rPr>
          <w:rFonts w:ascii="Palatino Linotype" w:hAnsi="Palatino Linotype" w:cs="Arial"/>
          <w:b/>
          <w:bCs/>
        </w:rPr>
        <w:t>Considerando</w:t>
      </w:r>
      <w:r w:rsidRPr="009B6FD5">
        <w:rPr>
          <w:rFonts w:ascii="Palatino Linotype" w:hAnsi="Palatino Linotype" w:cs="Arial"/>
          <w:bCs/>
        </w:rPr>
        <w:t xml:space="preserve"> </w:t>
      </w:r>
      <w:r w:rsidRPr="009B6FD5">
        <w:rPr>
          <w:rFonts w:ascii="Palatino Linotype" w:hAnsi="Palatino Linotype" w:cs="Arial"/>
          <w:b/>
          <w:bCs/>
        </w:rPr>
        <w:t xml:space="preserve">CUARTO   </w:t>
      </w:r>
      <w:r w:rsidRPr="009B6FD5">
        <w:rPr>
          <w:rFonts w:ascii="Palatino Linotype" w:hAnsi="Palatino Linotype" w:cs="Arial"/>
          <w:bCs/>
        </w:rPr>
        <w:t>de la presente resolución.</w:t>
      </w:r>
    </w:p>
    <w:p w:rsidR="00D771ED" w:rsidRPr="009B6FD5" w:rsidRDefault="00D771ED" w:rsidP="009B6FD5">
      <w:pPr>
        <w:spacing w:line="360" w:lineRule="auto"/>
        <w:ind w:right="48"/>
        <w:jc w:val="both"/>
        <w:rPr>
          <w:rFonts w:ascii="Palatino Linotype" w:hAnsi="Palatino Linotype" w:cs="Arial"/>
          <w:bCs/>
        </w:rPr>
      </w:pPr>
    </w:p>
    <w:p w:rsidR="00624906" w:rsidRPr="009B6FD5" w:rsidRDefault="00D771ED" w:rsidP="009B6FD5">
      <w:pPr>
        <w:spacing w:line="360" w:lineRule="auto"/>
        <w:ind w:right="48"/>
        <w:jc w:val="both"/>
        <w:rPr>
          <w:rFonts w:ascii="Palatino Linotype" w:hAnsi="Palatino Linotype" w:cs="Arial"/>
          <w:bCs/>
        </w:rPr>
      </w:pPr>
      <w:bookmarkStart w:id="96" w:name="_Toc477891768"/>
      <w:bookmarkStart w:id="97" w:name="_Toc477891858"/>
      <w:bookmarkStart w:id="98" w:name="_Toc481576259"/>
      <w:bookmarkStart w:id="99" w:name="_Toc492590391"/>
      <w:bookmarkStart w:id="100" w:name="_Toc462653937"/>
      <w:bookmarkStart w:id="101" w:name="_Toc453696502"/>
      <w:bookmarkStart w:id="102" w:name="_Toc454301155"/>
      <w:r w:rsidRPr="009B6FD5">
        <w:rPr>
          <w:rFonts w:ascii="Palatino Linotype" w:hAnsi="Palatino Linotype"/>
          <w:b/>
        </w:rPr>
        <w:t>SEGUNDO.</w:t>
      </w:r>
      <w:r w:rsidRPr="009B6FD5">
        <w:rPr>
          <w:rStyle w:val="Ttulo2Car"/>
          <w:rFonts w:ascii="Palatino Linotype" w:hAnsi="Palatino Linotype"/>
          <w:sz w:val="28"/>
        </w:rPr>
        <w:t xml:space="preserve"> </w:t>
      </w:r>
      <w:bookmarkEnd w:id="96"/>
      <w:bookmarkEnd w:id="97"/>
      <w:bookmarkEnd w:id="98"/>
      <w:bookmarkEnd w:id="99"/>
      <w:bookmarkEnd w:id="100"/>
      <w:bookmarkEnd w:id="101"/>
      <w:bookmarkEnd w:id="102"/>
      <w:r w:rsidRPr="009B6FD5">
        <w:rPr>
          <w:rFonts w:ascii="Palatino Linotype" w:eastAsia="Calibri" w:hAnsi="Palatino Linotype" w:cs="Arial"/>
          <w:lang w:val="es-ES"/>
        </w:rPr>
        <w:t>Se</w:t>
      </w:r>
      <w:r w:rsidRPr="009B6FD5">
        <w:rPr>
          <w:rFonts w:ascii="Palatino Linotype" w:eastAsia="Calibri" w:hAnsi="Palatino Linotype" w:cs="Arial"/>
          <w:b/>
          <w:lang w:val="es-ES"/>
        </w:rPr>
        <w:t xml:space="preserve"> MODIFICA </w:t>
      </w:r>
      <w:r w:rsidR="00464213" w:rsidRPr="009B6FD5">
        <w:rPr>
          <w:rFonts w:ascii="Palatino Linotype" w:eastAsia="Calibri" w:hAnsi="Palatino Linotype" w:cs="Arial"/>
          <w:lang w:val="es-ES"/>
        </w:rPr>
        <w:t>la respuesta emitida por el</w:t>
      </w:r>
      <w:r w:rsidRPr="009B6FD5">
        <w:rPr>
          <w:rFonts w:ascii="Palatino Linotype" w:eastAsia="Calibri" w:hAnsi="Palatino Linotype" w:cs="Arial"/>
          <w:lang w:val="es-ES"/>
        </w:rPr>
        <w:t xml:space="preserve"> </w:t>
      </w:r>
      <w:r w:rsidR="00464213" w:rsidRPr="009B6FD5">
        <w:rPr>
          <w:rFonts w:ascii="Palatino Linotype" w:hAnsi="Palatino Linotype" w:cs="Arial"/>
          <w:b/>
        </w:rPr>
        <w:t>Ayuntamiento de Chicoloapan</w:t>
      </w:r>
      <w:r w:rsidRPr="009B6FD5">
        <w:rPr>
          <w:rFonts w:ascii="Palatino Linotype" w:hAnsi="Palatino Linotype" w:cs="Arial"/>
          <w:b/>
        </w:rPr>
        <w:t xml:space="preserve"> </w:t>
      </w:r>
      <w:r w:rsidRPr="009B6FD5">
        <w:rPr>
          <w:rFonts w:ascii="Palatino Linotype" w:eastAsia="Calibri" w:hAnsi="Palatino Linotype" w:cs="Arial"/>
          <w:lang w:val="es-ES"/>
        </w:rPr>
        <w:t>y se</w:t>
      </w:r>
      <w:r w:rsidRPr="009B6FD5">
        <w:rPr>
          <w:rFonts w:ascii="Palatino Linotype" w:eastAsia="Calibri" w:hAnsi="Palatino Linotype" w:cs="Arial"/>
          <w:b/>
          <w:lang w:val="es-ES"/>
        </w:rPr>
        <w:t xml:space="preserve"> ORDENA </w:t>
      </w:r>
      <w:r w:rsidRPr="009B6FD5">
        <w:rPr>
          <w:rFonts w:ascii="Palatino Linotype" w:hAnsi="Palatino Linotype" w:cs="Arial"/>
          <w:lang w:val="es-ES"/>
        </w:rPr>
        <w:t xml:space="preserve">entregar vía Sistema de Accesos a la Información Mexiquense (SAIMEX), de ser en versión pública, la siguiente </w:t>
      </w:r>
      <w:r w:rsidRPr="009B6FD5">
        <w:rPr>
          <w:rFonts w:ascii="Palatino Linotype" w:hAnsi="Palatino Linotype" w:cs="Arial"/>
          <w:bCs/>
        </w:rPr>
        <w:t>información</w:t>
      </w:r>
      <w:r w:rsidR="00464213" w:rsidRPr="009B6FD5">
        <w:rPr>
          <w:rFonts w:ascii="Palatino Linotype" w:hAnsi="Palatino Linotype" w:cs="Arial"/>
          <w:bCs/>
        </w:rPr>
        <w:t xml:space="preserve"> para la </w:t>
      </w:r>
      <w:r w:rsidR="00C92DB2" w:rsidRPr="009B6FD5">
        <w:rPr>
          <w:rFonts w:ascii="Palatino Linotype" w:hAnsi="Palatino Linotype" w:cs="Arial"/>
          <w:bCs/>
        </w:rPr>
        <w:t>re</w:t>
      </w:r>
      <w:r w:rsidR="00464213" w:rsidRPr="009B6FD5">
        <w:rPr>
          <w:rFonts w:ascii="Palatino Linotype" w:hAnsi="Palatino Linotype" w:cs="Arial"/>
          <w:bCs/>
        </w:rPr>
        <w:t>asignación de una clave catastral</w:t>
      </w:r>
      <w:r w:rsidRPr="009B6FD5">
        <w:rPr>
          <w:rFonts w:ascii="Palatino Linotype" w:hAnsi="Palatino Linotype" w:cs="Arial"/>
          <w:bCs/>
        </w:rPr>
        <w:t>:</w:t>
      </w:r>
    </w:p>
    <w:p w:rsidR="00C02C47" w:rsidRPr="009B6FD5" w:rsidRDefault="00C02C47" w:rsidP="009B6FD5">
      <w:pPr>
        <w:spacing w:line="360" w:lineRule="auto"/>
        <w:ind w:right="48"/>
        <w:jc w:val="both"/>
        <w:rPr>
          <w:rFonts w:ascii="Palatino Linotype" w:hAnsi="Palatino Linotype" w:cs="Arial"/>
          <w:b/>
          <w:bCs/>
        </w:rPr>
      </w:pPr>
    </w:p>
    <w:p w:rsidR="00464213" w:rsidRPr="009B6FD5" w:rsidRDefault="00C92DB2" w:rsidP="009B6FD5">
      <w:pPr>
        <w:pStyle w:val="Prrafodelista"/>
        <w:numPr>
          <w:ilvl w:val="0"/>
          <w:numId w:val="5"/>
        </w:numPr>
        <w:spacing w:line="360" w:lineRule="auto"/>
        <w:ind w:right="48"/>
        <w:jc w:val="both"/>
        <w:rPr>
          <w:rFonts w:ascii="Palatino Linotype" w:eastAsia="Palatino Linotype" w:hAnsi="Palatino Linotype" w:cs="Palatino Linotype"/>
          <w:b/>
          <w:sz w:val="24"/>
        </w:rPr>
      </w:pPr>
      <w:bookmarkStart w:id="103" w:name="_Toc460947013"/>
      <w:r w:rsidRPr="009B6FD5">
        <w:rPr>
          <w:rFonts w:ascii="Palatino Linotype" w:eastAsia="Palatino Linotype" w:hAnsi="Palatino Linotype" w:cs="Palatino Linotype"/>
          <w:b/>
          <w:sz w:val="24"/>
        </w:rPr>
        <w:t>Documento o documentos donde conste el trámite</w:t>
      </w:r>
      <w:r w:rsidR="00860157" w:rsidRPr="009B6FD5">
        <w:rPr>
          <w:rFonts w:ascii="Palatino Linotype" w:eastAsia="Palatino Linotype" w:hAnsi="Palatino Linotype" w:cs="Palatino Linotype"/>
          <w:b/>
          <w:sz w:val="24"/>
        </w:rPr>
        <w:t xml:space="preserve"> y su</w:t>
      </w:r>
      <w:r w:rsidR="00874BC8" w:rsidRPr="009B6FD5">
        <w:rPr>
          <w:rFonts w:ascii="Palatino Linotype" w:eastAsia="Palatino Linotype" w:hAnsi="Palatino Linotype" w:cs="Palatino Linotype"/>
          <w:b/>
          <w:sz w:val="24"/>
        </w:rPr>
        <w:t xml:space="preserve"> </w:t>
      </w:r>
      <w:r w:rsidR="00464213" w:rsidRPr="009B6FD5">
        <w:rPr>
          <w:rFonts w:ascii="Palatino Linotype" w:eastAsia="Palatino Linotype" w:hAnsi="Palatino Linotype" w:cs="Palatino Linotype"/>
          <w:b/>
          <w:sz w:val="24"/>
        </w:rPr>
        <w:t>duración;</w:t>
      </w:r>
    </w:p>
    <w:p w:rsidR="00464213" w:rsidRPr="009B6FD5" w:rsidRDefault="00C92DB2" w:rsidP="009B6FD5">
      <w:pPr>
        <w:pStyle w:val="Prrafodelista"/>
        <w:numPr>
          <w:ilvl w:val="0"/>
          <w:numId w:val="5"/>
        </w:numPr>
        <w:spacing w:line="360" w:lineRule="auto"/>
        <w:ind w:right="48"/>
        <w:jc w:val="both"/>
        <w:rPr>
          <w:rFonts w:ascii="Palatino Linotype" w:eastAsia="Palatino Linotype" w:hAnsi="Palatino Linotype" w:cs="Palatino Linotype"/>
          <w:b/>
          <w:sz w:val="24"/>
        </w:rPr>
      </w:pPr>
      <w:r w:rsidRPr="009B6FD5">
        <w:rPr>
          <w:rFonts w:ascii="Palatino Linotype" w:eastAsia="Palatino Linotype" w:hAnsi="Palatino Linotype" w:cs="Palatino Linotype"/>
          <w:b/>
          <w:sz w:val="24"/>
        </w:rPr>
        <w:t>Documento o documentos donde conste el n</w:t>
      </w:r>
      <w:r w:rsidR="00464213" w:rsidRPr="009B6FD5">
        <w:rPr>
          <w:rFonts w:ascii="Palatino Linotype" w:eastAsia="Palatino Linotype" w:hAnsi="Palatino Linotype" w:cs="Palatino Linotype"/>
          <w:b/>
          <w:sz w:val="24"/>
        </w:rPr>
        <w:t>ombre del área para realizar el trámite, su ubicación y nombre de su titular;</w:t>
      </w:r>
    </w:p>
    <w:p w:rsidR="00C92DB2" w:rsidRPr="009B6FD5" w:rsidRDefault="00C92DB2" w:rsidP="009B6FD5">
      <w:pPr>
        <w:pStyle w:val="Prrafodelista"/>
        <w:numPr>
          <w:ilvl w:val="0"/>
          <w:numId w:val="5"/>
        </w:numPr>
        <w:spacing w:line="360" w:lineRule="auto"/>
        <w:ind w:right="48"/>
        <w:jc w:val="both"/>
        <w:rPr>
          <w:rFonts w:ascii="Palatino Linotype" w:eastAsia="Palatino Linotype" w:hAnsi="Palatino Linotype" w:cs="Palatino Linotype"/>
          <w:b/>
          <w:sz w:val="24"/>
        </w:rPr>
      </w:pPr>
      <w:r w:rsidRPr="009B6FD5">
        <w:rPr>
          <w:rFonts w:ascii="Palatino Linotype" w:eastAsia="Palatino Linotype" w:hAnsi="Palatino Linotype" w:cs="Palatino Linotype"/>
          <w:b/>
          <w:sz w:val="24"/>
        </w:rPr>
        <w:t>Documento o documentos donde conste el n</w:t>
      </w:r>
      <w:r w:rsidR="00464213" w:rsidRPr="009B6FD5">
        <w:rPr>
          <w:rFonts w:ascii="Palatino Linotype" w:eastAsia="Palatino Linotype" w:hAnsi="Palatino Linotype" w:cs="Palatino Linotype"/>
          <w:b/>
          <w:sz w:val="24"/>
        </w:rPr>
        <w:t xml:space="preserve">ombre de los servidores públicos </w:t>
      </w:r>
      <w:r w:rsidR="00605506" w:rsidRPr="009B6FD5">
        <w:rPr>
          <w:rFonts w:ascii="Palatino Linotype" w:eastAsia="Palatino Linotype" w:hAnsi="Palatino Linotype" w:cs="Palatino Linotype"/>
          <w:b/>
          <w:sz w:val="24"/>
        </w:rPr>
        <w:t>que se encargan de la recepción del trámite; y</w:t>
      </w:r>
    </w:p>
    <w:p w:rsidR="00464213" w:rsidRPr="009B6FD5" w:rsidRDefault="00C92DB2" w:rsidP="009B6FD5">
      <w:pPr>
        <w:pStyle w:val="Prrafodelista"/>
        <w:numPr>
          <w:ilvl w:val="0"/>
          <w:numId w:val="5"/>
        </w:numPr>
        <w:spacing w:line="360" w:lineRule="auto"/>
        <w:ind w:right="48"/>
        <w:jc w:val="both"/>
        <w:rPr>
          <w:rFonts w:ascii="Palatino Linotype" w:eastAsia="Palatino Linotype" w:hAnsi="Palatino Linotype" w:cs="Palatino Linotype"/>
          <w:b/>
          <w:sz w:val="24"/>
        </w:rPr>
      </w:pPr>
      <w:r w:rsidRPr="009B6FD5">
        <w:rPr>
          <w:rFonts w:ascii="Palatino Linotype" w:eastAsia="Palatino Linotype" w:hAnsi="Palatino Linotype" w:cs="Palatino Linotype"/>
          <w:b/>
        </w:rPr>
        <w:lastRenderedPageBreak/>
        <w:t>Últimos</w:t>
      </w:r>
      <w:r w:rsidR="00605506" w:rsidRPr="009B6FD5">
        <w:rPr>
          <w:rFonts w:ascii="Palatino Linotype" w:eastAsia="Palatino Linotype" w:hAnsi="Palatino Linotype" w:cs="Palatino Linotype"/>
          <w:b/>
        </w:rPr>
        <w:t xml:space="preserve"> </w:t>
      </w:r>
      <w:r w:rsidRPr="009B6FD5">
        <w:rPr>
          <w:rFonts w:ascii="Palatino Linotype" w:eastAsia="Calibri" w:hAnsi="Palatino Linotype" w:cs="Arial"/>
          <w:b/>
          <w:sz w:val="24"/>
        </w:rPr>
        <w:t>tres expedientes generados para la reasignación de claves catastrales, del 1 de enero de 2019 al 10 de junio de 2021.</w:t>
      </w:r>
    </w:p>
    <w:p w:rsidR="00D771ED" w:rsidRPr="009B6FD5" w:rsidRDefault="00D771ED" w:rsidP="009B6FD5">
      <w:pPr>
        <w:spacing w:line="360" w:lineRule="auto"/>
        <w:ind w:right="48"/>
        <w:jc w:val="both"/>
        <w:rPr>
          <w:rFonts w:ascii="Palatino Linotype" w:eastAsia="Palatino Linotype" w:hAnsi="Palatino Linotype" w:cs="Palatino Linotype"/>
          <w:b/>
        </w:rPr>
      </w:pPr>
    </w:p>
    <w:p w:rsidR="00A87582" w:rsidRDefault="009B6FD5" w:rsidP="009B6FD5">
      <w:pPr>
        <w:spacing w:line="360" w:lineRule="auto"/>
        <w:jc w:val="both"/>
        <w:rPr>
          <w:rFonts w:ascii="Palatino Linotype" w:eastAsia="Calibri" w:hAnsi="Palatino Linotype" w:cs="Arial"/>
          <w:b/>
        </w:rPr>
      </w:pPr>
      <w:r w:rsidRPr="009B6FD5">
        <w:rPr>
          <w:rFonts w:ascii="Palatino Linotype" w:eastAsia="Calibri" w:hAnsi="Palatino Linotype" w:cs="Arial"/>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9B6FD5">
        <w:rPr>
          <w:rFonts w:ascii="Palatino Linotype" w:eastAsia="Calibri" w:hAnsi="Palatino Linotype" w:cs="Arial"/>
          <w:b/>
        </w:rPr>
        <w:t>RECURRENTE.</w:t>
      </w:r>
    </w:p>
    <w:p w:rsidR="00A87582" w:rsidRPr="009B6FD5" w:rsidRDefault="00A87582" w:rsidP="009B6FD5">
      <w:pPr>
        <w:spacing w:line="360" w:lineRule="auto"/>
        <w:jc w:val="both"/>
        <w:rPr>
          <w:rFonts w:ascii="Palatino Linotype" w:eastAsia="Calibri" w:hAnsi="Palatino Linotype" w:cs="Arial"/>
          <w:b/>
        </w:rPr>
      </w:pPr>
    </w:p>
    <w:p w:rsidR="00D771ED" w:rsidRPr="009B6FD5" w:rsidRDefault="009B6FD5" w:rsidP="009B6FD5">
      <w:pPr>
        <w:spacing w:line="360" w:lineRule="auto"/>
        <w:ind w:right="48"/>
        <w:jc w:val="both"/>
        <w:rPr>
          <w:rFonts w:ascii="Palatino Linotype" w:hAnsi="Palatino Linotype"/>
          <w:color w:val="222222"/>
          <w:shd w:val="clear" w:color="auto" w:fill="FFFFFF"/>
        </w:rPr>
      </w:pPr>
      <w:r w:rsidRPr="009B6FD5">
        <w:rPr>
          <w:rFonts w:ascii="Palatino Linotype" w:hAnsi="Palatino Linotype"/>
          <w:color w:val="222222"/>
          <w:shd w:val="clear" w:color="auto" w:fill="FFFFFF"/>
        </w:rPr>
        <w:t xml:space="preserve">Para el caso de que los expedientes que se ordenan en el inciso </w:t>
      </w:r>
      <w:r w:rsidRPr="009B6FD5">
        <w:rPr>
          <w:rFonts w:ascii="Palatino Linotype" w:hAnsi="Palatino Linotype"/>
          <w:b/>
          <w:color w:val="222222"/>
          <w:shd w:val="clear" w:color="auto" w:fill="FFFFFF"/>
        </w:rPr>
        <w:t>d)</w:t>
      </w:r>
      <w:r w:rsidRPr="009B6FD5">
        <w:rPr>
          <w:rFonts w:ascii="Palatino Linotype" w:hAnsi="Palatino Linotype"/>
          <w:b/>
        </w:rPr>
        <w:t>,</w:t>
      </w:r>
      <w:r w:rsidRPr="009B6FD5">
        <w:rPr>
          <w:rFonts w:ascii="Palatino Linotype" w:hAnsi="Palatino Linotype"/>
        </w:rPr>
        <w:t xml:space="preserve"> contengan documentos completos susceptibles de ser clasificados como confidenciales, </w:t>
      </w:r>
      <w:r w:rsidRPr="009B6FD5">
        <w:rPr>
          <w:rFonts w:ascii="Palatino Linotype" w:hAnsi="Palatino Linotype"/>
          <w:color w:val="222222"/>
          <w:shd w:val="clear" w:color="auto" w:fill="FFFFFF"/>
        </w:rPr>
        <w:t>deberá emitir y notificar el Acuerdo del Comité de Transparen</w:t>
      </w:r>
      <w:r w:rsidR="00781DA9">
        <w:rPr>
          <w:rFonts w:ascii="Palatino Linotype" w:hAnsi="Palatino Linotype"/>
          <w:color w:val="222222"/>
          <w:shd w:val="clear" w:color="auto" w:fill="FFFFFF"/>
        </w:rPr>
        <w:t>cia en términos del artículo 143</w:t>
      </w:r>
      <w:r w:rsidRPr="009B6FD5">
        <w:rPr>
          <w:rFonts w:ascii="Palatino Linotype" w:hAnsi="Palatino Linotype"/>
          <w:color w:val="222222"/>
          <w:shd w:val="clear" w:color="auto" w:fill="FFFFFF"/>
        </w:rPr>
        <w:t xml:space="preserve"> y demás aplicables de la Ley.</w:t>
      </w:r>
    </w:p>
    <w:p w:rsidR="009B6FD5" w:rsidRPr="009B6FD5" w:rsidRDefault="009B6FD5" w:rsidP="009B6FD5">
      <w:pPr>
        <w:pStyle w:val="Prrafodelista"/>
        <w:spacing w:line="360" w:lineRule="auto"/>
        <w:ind w:right="48"/>
        <w:jc w:val="both"/>
        <w:rPr>
          <w:rFonts w:ascii="Palatino Linotype" w:eastAsia="Palatino Linotype" w:hAnsi="Palatino Linotype" w:cs="Palatino Linotype"/>
          <w:b/>
          <w:sz w:val="24"/>
        </w:rPr>
      </w:pPr>
    </w:p>
    <w:p w:rsidR="00D771ED" w:rsidRPr="009B6FD5" w:rsidRDefault="00D771ED" w:rsidP="009B6FD5">
      <w:pPr>
        <w:tabs>
          <w:tab w:val="left" w:pos="8080"/>
        </w:tabs>
        <w:spacing w:line="360" w:lineRule="auto"/>
        <w:ind w:right="48"/>
        <w:contextualSpacing/>
        <w:jc w:val="both"/>
        <w:rPr>
          <w:rFonts w:ascii="Palatino Linotype" w:eastAsia="Palatino Linotype" w:hAnsi="Palatino Linotype" w:cs="Palatino Linotype"/>
          <w:b/>
        </w:rPr>
      </w:pPr>
      <w:r w:rsidRPr="009B6FD5">
        <w:rPr>
          <w:rFonts w:ascii="Palatino Linotype" w:eastAsia="Palatino Linotype" w:hAnsi="Palatino Linotype" w:cs="Palatino Linotype"/>
          <w:b/>
        </w:rPr>
        <w:t xml:space="preserve">TERCERO. Notifíquese </w:t>
      </w:r>
      <w:r w:rsidRPr="009B6FD5">
        <w:rPr>
          <w:rFonts w:ascii="Palatino Linotype" w:eastAsia="Palatino Linotype" w:hAnsi="Palatino Linotype" w:cs="Palatino Linotype"/>
        </w:rPr>
        <w:t xml:space="preserve">al Titular de la Unidad de Transparencia del </w:t>
      </w:r>
      <w:r w:rsidRPr="009B6FD5">
        <w:rPr>
          <w:rFonts w:ascii="Palatino Linotype" w:eastAsia="Palatino Linotype" w:hAnsi="Palatino Linotype" w:cs="Palatino Linotype"/>
          <w:b/>
        </w:rPr>
        <w:t>SUJETO OBLIGADO</w:t>
      </w:r>
      <w:r w:rsidRPr="009B6FD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B6FD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D771ED" w:rsidRPr="009B6FD5" w:rsidRDefault="00D771ED" w:rsidP="009B6FD5">
      <w:pPr>
        <w:shd w:val="clear" w:color="auto" w:fill="FFFFFF"/>
        <w:tabs>
          <w:tab w:val="left" w:pos="4020"/>
        </w:tabs>
        <w:spacing w:line="360" w:lineRule="auto"/>
        <w:ind w:right="48"/>
        <w:jc w:val="both"/>
        <w:rPr>
          <w:rFonts w:ascii="Palatino Linotype" w:hAnsi="Palatino Linotype" w:cs="Arial"/>
          <w:b/>
        </w:rPr>
      </w:pPr>
      <w:r w:rsidRPr="009B6FD5">
        <w:rPr>
          <w:rFonts w:ascii="Palatino Linotype" w:hAnsi="Palatino Linotype" w:cs="Arial"/>
          <w:b/>
        </w:rPr>
        <w:tab/>
      </w:r>
    </w:p>
    <w:p w:rsidR="00D771ED" w:rsidRPr="009B6FD5" w:rsidRDefault="00D771ED" w:rsidP="009B6FD5">
      <w:pPr>
        <w:shd w:val="clear" w:color="auto" w:fill="FFFFFF"/>
        <w:spacing w:line="360" w:lineRule="auto"/>
        <w:ind w:right="48"/>
        <w:jc w:val="both"/>
        <w:rPr>
          <w:rFonts w:ascii="Palatino Linotype" w:hAnsi="Palatino Linotype"/>
        </w:rPr>
      </w:pPr>
      <w:r w:rsidRPr="009B6FD5">
        <w:rPr>
          <w:rFonts w:ascii="Palatino Linotype" w:hAnsi="Palatino Linotype" w:cs="Arial"/>
          <w:b/>
        </w:rPr>
        <w:t xml:space="preserve">CUARTO. </w:t>
      </w:r>
      <w:r w:rsidRPr="009B6FD5">
        <w:rPr>
          <w:rFonts w:ascii="Palatino Linotype" w:hAnsi="Palatino Linotype"/>
          <w:b/>
          <w:bCs/>
          <w:lang w:val="es-ES"/>
        </w:rPr>
        <w:t>Notifíquese al RECURRENTE</w:t>
      </w:r>
      <w:r w:rsidRPr="009B6FD5">
        <w:rPr>
          <w:rFonts w:ascii="Palatino Linotype" w:hAnsi="Palatino Linotype"/>
        </w:rPr>
        <w:t xml:space="preserve"> la presente resolución.</w:t>
      </w:r>
    </w:p>
    <w:p w:rsidR="00D771ED" w:rsidRPr="009B6FD5" w:rsidRDefault="00D771ED" w:rsidP="009B6FD5">
      <w:pPr>
        <w:shd w:val="clear" w:color="auto" w:fill="FFFFFF"/>
        <w:spacing w:line="360" w:lineRule="auto"/>
        <w:ind w:right="48"/>
        <w:jc w:val="both"/>
        <w:rPr>
          <w:rFonts w:ascii="Palatino Linotype" w:hAnsi="Palatino Linotype"/>
          <w:b/>
          <w:color w:val="FF0000"/>
        </w:rPr>
      </w:pPr>
    </w:p>
    <w:bookmarkEnd w:id="103"/>
    <w:p w:rsidR="00D771ED" w:rsidRPr="009B6FD5" w:rsidRDefault="00D771ED" w:rsidP="009B6FD5">
      <w:pPr>
        <w:spacing w:line="360" w:lineRule="auto"/>
        <w:ind w:right="48"/>
        <w:jc w:val="both"/>
        <w:rPr>
          <w:rFonts w:ascii="Palatino Linotype" w:eastAsia="MS Mincho" w:hAnsi="Palatino Linotype"/>
          <w:lang w:val="es-ES"/>
        </w:rPr>
      </w:pPr>
      <w:r w:rsidRPr="009B6FD5">
        <w:rPr>
          <w:rFonts w:ascii="Palatino Linotype" w:eastAsia="MS Mincho" w:hAnsi="Palatino Linotype"/>
          <w:b/>
        </w:rPr>
        <w:lastRenderedPageBreak/>
        <w:t>QUINTO.</w:t>
      </w:r>
      <w:r w:rsidRPr="009B6FD5">
        <w:rPr>
          <w:rFonts w:ascii="Palatino Linotype" w:eastAsia="MS Mincho" w:hAnsi="Palatino Linotype"/>
        </w:rPr>
        <w:t xml:space="preserve"> </w:t>
      </w:r>
      <w:r w:rsidRPr="009B6FD5">
        <w:rPr>
          <w:rFonts w:ascii="Palatino Linotype" w:eastAsia="MS Mincho" w:hAnsi="Palatino Linotype"/>
          <w:lang w:val="es-ES"/>
        </w:rPr>
        <w:t xml:space="preserve">Se hace del conocimiento del </w:t>
      </w:r>
      <w:r w:rsidRPr="009B6FD5">
        <w:rPr>
          <w:rFonts w:ascii="Palatino Linotype" w:hAnsi="Palatino Linotype"/>
          <w:b/>
        </w:rPr>
        <w:t>RECURRENTE</w:t>
      </w:r>
      <w:r w:rsidRPr="009B6FD5">
        <w:rPr>
          <w:rFonts w:ascii="Palatino Linotype" w:hAnsi="Palatino Linotype"/>
        </w:rPr>
        <w:t xml:space="preserve"> </w:t>
      </w:r>
      <w:r w:rsidRPr="009B6FD5">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B6FD5">
        <w:rPr>
          <w:rFonts w:ascii="Palatino Linotype" w:eastAsia="MS Mincho" w:hAnsi="Palatino Linotype"/>
          <w:bCs/>
          <w:lang w:val="es-ES"/>
        </w:rPr>
        <w:t>vía juicio de amparo</w:t>
      </w:r>
      <w:r w:rsidRPr="009B6FD5">
        <w:rPr>
          <w:rFonts w:ascii="Palatino Linotype" w:eastAsia="MS Mincho" w:hAnsi="Palatino Linotype"/>
          <w:lang w:val="es-ES"/>
        </w:rPr>
        <w:t> en los términos de las leyes aplicables.</w:t>
      </w:r>
    </w:p>
    <w:p w:rsidR="00D771ED" w:rsidRPr="009B6FD5" w:rsidRDefault="00D771ED" w:rsidP="009B6FD5">
      <w:pPr>
        <w:spacing w:line="360" w:lineRule="auto"/>
        <w:ind w:right="48"/>
        <w:jc w:val="both"/>
        <w:rPr>
          <w:rFonts w:ascii="Palatino Linotype" w:hAnsi="Palatino Linotype"/>
          <w:color w:val="000000"/>
          <w:shd w:val="clear" w:color="auto" w:fill="FFFFFF"/>
        </w:rPr>
      </w:pPr>
    </w:p>
    <w:p w:rsidR="00D771ED" w:rsidRPr="009B6FD5" w:rsidRDefault="00D771ED" w:rsidP="009B6FD5">
      <w:pPr>
        <w:spacing w:line="360" w:lineRule="auto"/>
        <w:ind w:right="48"/>
        <w:jc w:val="both"/>
        <w:rPr>
          <w:rFonts w:ascii="Palatino Linotype" w:eastAsia="Calibri" w:hAnsi="Palatino Linotype" w:cs="Arial"/>
          <w:bCs/>
        </w:rPr>
      </w:pPr>
      <w:r w:rsidRPr="009B6FD5">
        <w:rPr>
          <w:rFonts w:ascii="Palatino Linotype" w:hAnsi="Palatino Linotype"/>
          <w:b/>
          <w:color w:val="000000"/>
          <w:shd w:val="clear" w:color="auto" w:fill="FFFFFF"/>
        </w:rPr>
        <w:t xml:space="preserve">SEXTO. </w:t>
      </w:r>
      <w:r w:rsidRPr="009B6FD5">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771ED" w:rsidRPr="009B6FD5" w:rsidRDefault="00D771ED" w:rsidP="009B6FD5">
      <w:pPr>
        <w:spacing w:line="360" w:lineRule="auto"/>
        <w:ind w:right="48"/>
        <w:jc w:val="both"/>
        <w:rPr>
          <w:rFonts w:ascii="Palatino Linotype" w:hAnsi="Palatino Linotype"/>
        </w:rPr>
      </w:pPr>
    </w:p>
    <w:p w:rsidR="00D771ED" w:rsidRPr="009B6FD5" w:rsidRDefault="00D771ED" w:rsidP="009B6FD5">
      <w:pPr>
        <w:spacing w:line="360" w:lineRule="auto"/>
        <w:ind w:right="48"/>
        <w:jc w:val="both"/>
        <w:rPr>
          <w:rFonts w:ascii="Palatino Linotype" w:hAnsi="Palatino Linotype"/>
        </w:rPr>
      </w:pPr>
      <w:r w:rsidRPr="009B6FD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w:t>
      </w:r>
      <w:r w:rsidR="00F30210">
        <w:rPr>
          <w:rFonts w:ascii="Palatino Linotype" w:hAnsi="Palatino Linotype"/>
        </w:rPr>
        <w:t xml:space="preserve">IEGA Y GUADALUPE RAMÍREZ PEÑA; </w:t>
      </w:r>
      <w:r w:rsidRPr="009B6FD5">
        <w:rPr>
          <w:rFonts w:ascii="Palatino Linotype" w:hAnsi="Palatino Linotype"/>
        </w:rPr>
        <w:t xml:space="preserve">EN LA TRIGÉSIMA </w:t>
      </w:r>
      <w:r w:rsidR="00F30210">
        <w:rPr>
          <w:rFonts w:ascii="Palatino Linotype" w:hAnsi="Palatino Linotype"/>
        </w:rPr>
        <w:t xml:space="preserve">CUARTA </w:t>
      </w:r>
      <w:r w:rsidRPr="009B6FD5">
        <w:rPr>
          <w:rFonts w:ascii="Palatino Linotype" w:hAnsi="Palatino Linotype"/>
        </w:rPr>
        <w:t xml:space="preserve"> SESIÓN ORDINARIA CELEBRADA EL DÍA </w:t>
      </w:r>
      <w:r w:rsidR="00DF7C3A">
        <w:rPr>
          <w:rFonts w:ascii="Palatino Linotype" w:hAnsi="Palatino Linotype"/>
        </w:rPr>
        <w:t xml:space="preserve">VEINTINUEVE </w:t>
      </w:r>
      <w:r w:rsidRPr="009B6FD5">
        <w:rPr>
          <w:rFonts w:ascii="Palatino Linotype" w:hAnsi="Palatino Linotype"/>
        </w:rPr>
        <w:t xml:space="preserve">DE SEPTIEMBRE DE DOS MIL VEINTIUNO, ANTE EL SECRETARIO TÉCNICO DEL PLENO, ALEXIS TAPIA RAMÍREZ. </w:t>
      </w:r>
    </w:p>
    <w:p w:rsidR="00D771ED" w:rsidRPr="009B6FD5" w:rsidRDefault="00D771ED" w:rsidP="009B6FD5">
      <w:pPr>
        <w:spacing w:line="360" w:lineRule="auto"/>
        <w:ind w:right="48"/>
        <w:rPr>
          <w:rFonts w:ascii="Palatino Linotype" w:hAnsi="Palatino Linotype"/>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rPr>
          <w:rFonts w:ascii="Palatino Linotype" w:hAnsi="Palatino Linotype"/>
        </w:rPr>
      </w:pPr>
    </w:p>
    <w:p w:rsidR="00D771ED" w:rsidRPr="009B6FD5" w:rsidRDefault="00D771ED" w:rsidP="009B6FD5">
      <w:pPr>
        <w:spacing w:line="360" w:lineRule="auto"/>
        <w:rPr>
          <w:rFonts w:ascii="Palatino Linotype" w:hAnsi="Palatino Linotype"/>
        </w:rPr>
      </w:pPr>
    </w:p>
    <w:p w:rsidR="00D771ED" w:rsidRPr="009B6FD5" w:rsidRDefault="00D771ED" w:rsidP="009B6FD5">
      <w:pPr>
        <w:spacing w:line="360" w:lineRule="auto"/>
        <w:rPr>
          <w:rFonts w:ascii="Palatino Linotype" w:hAnsi="Palatino Linotype"/>
        </w:rPr>
      </w:pPr>
    </w:p>
    <w:p w:rsidR="00D771ED" w:rsidRPr="009B6FD5" w:rsidRDefault="00D771ED" w:rsidP="009B6FD5">
      <w:pPr>
        <w:spacing w:line="360" w:lineRule="auto"/>
        <w:rPr>
          <w:rFonts w:ascii="Palatino Linotype" w:hAnsi="Palatino Linotype"/>
        </w:rPr>
      </w:pPr>
    </w:p>
    <w:p w:rsidR="00D771ED" w:rsidRPr="009B6FD5" w:rsidRDefault="00D771ED" w:rsidP="009B6FD5">
      <w:pPr>
        <w:spacing w:line="360" w:lineRule="auto"/>
        <w:rPr>
          <w:rFonts w:ascii="Palatino Linotype" w:hAnsi="Palatino Linotype"/>
        </w:rPr>
      </w:pPr>
    </w:p>
    <w:p w:rsidR="00D771ED" w:rsidRPr="009B6FD5" w:rsidRDefault="00D771ED" w:rsidP="009B6FD5">
      <w:pPr>
        <w:spacing w:line="360" w:lineRule="auto"/>
        <w:rPr>
          <w:rFonts w:ascii="Palatino Linotype" w:hAnsi="Palatino Linotype"/>
        </w:rPr>
      </w:pPr>
    </w:p>
    <w:p w:rsidR="00D771ED" w:rsidRPr="009B6FD5" w:rsidRDefault="00D771ED" w:rsidP="009B6FD5">
      <w:pPr>
        <w:spacing w:line="360" w:lineRule="auto"/>
        <w:rPr>
          <w:rFonts w:ascii="Palatino Linotype" w:hAnsi="Palatino Linotype"/>
        </w:rPr>
      </w:pPr>
    </w:p>
    <w:p w:rsidR="009177B0" w:rsidRPr="009B6FD5" w:rsidRDefault="009177B0" w:rsidP="009B6FD5">
      <w:pPr>
        <w:spacing w:line="360" w:lineRule="auto"/>
        <w:rPr>
          <w:rFonts w:ascii="Palatino Linotype" w:hAnsi="Palatino Linotype"/>
        </w:rPr>
      </w:pPr>
    </w:p>
    <w:sectPr w:rsidR="009177B0" w:rsidRPr="009B6FD5" w:rsidSect="009177B0">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643" w:rsidRDefault="00604643" w:rsidP="00D771ED">
      <w:r>
        <w:separator/>
      </w:r>
    </w:p>
  </w:endnote>
  <w:endnote w:type="continuationSeparator" w:id="0">
    <w:p w:rsidR="00604643" w:rsidRDefault="00604643" w:rsidP="00D7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DA9" w:rsidRDefault="00781DA9">
    <w:pPr>
      <w:pStyle w:val="Piedepgina"/>
      <w:jc w:val="right"/>
    </w:pPr>
    <w:r>
      <w:rPr>
        <w:lang w:val="es-ES"/>
      </w:rPr>
      <w:t xml:space="preserve">Página </w:t>
    </w:r>
    <w:r>
      <w:rPr>
        <w:b/>
        <w:bCs/>
      </w:rPr>
      <w:fldChar w:fldCharType="begin"/>
    </w:r>
    <w:r>
      <w:rPr>
        <w:b/>
        <w:bCs/>
      </w:rPr>
      <w:instrText>PAGE</w:instrText>
    </w:r>
    <w:r>
      <w:rPr>
        <w:b/>
        <w:bCs/>
      </w:rPr>
      <w:fldChar w:fldCharType="separate"/>
    </w:r>
    <w:r w:rsidR="00CC39EF">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C39EF">
      <w:rPr>
        <w:b/>
        <w:bCs/>
        <w:noProof/>
      </w:rPr>
      <w:t>65</w:t>
    </w:r>
    <w:r>
      <w:rPr>
        <w:b/>
        <w:bCs/>
      </w:rPr>
      <w:fldChar w:fldCharType="end"/>
    </w:r>
  </w:p>
  <w:p w:rsidR="00781DA9" w:rsidRDefault="00781DA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DA9" w:rsidRDefault="00781DA9">
    <w:pPr>
      <w:pStyle w:val="Piedepgina"/>
      <w:jc w:val="right"/>
    </w:pPr>
    <w:r>
      <w:rPr>
        <w:lang w:val="es-ES"/>
      </w:rPr>
      <w:t xml:space="preserve">Página </w:t>
    </w:r>
    <w:r>
      <w:rPr>
        <w:b/>
        <w:bCs/>
      </w:rPr>
      <w:fldChar w:fldCharType="begin"/>
    </w:r>
    <w:r>
      <w:rPr>
        <w:b/>
        <w:bCs/>
      </w:rPr>
      <w:instrText>PAGE</w:instrText>
    </w:r>
    <w:r>
      <w:rPr>
        <w:b/>
        <w:bCs/>
      </w:rPr>
      <w:fldChar w:fldCharType="separate"/>
    </w:r>
    <w:r w:rsidR="00CC39E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C39EF">
      <w:rPr>
        <w:b/>
        <w:bCs/>
        <w:noProof/>
      </w:rPr>
      <w:t>65</w:t>
    </w:r>
    <w:r>
      <w:rPr>
        <w:b/>
        <w:bCs/>
      </w:rPr>
      <w:fldChar w:fldCharType="end"/>
    </w:r>
  </w:p>
  <w:p w:rsidR="00781DA9" w:rsidRDefault="00781D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643" w:rsidRDefault="00604643" w:rsidP="00D771ED">
      <w:r>
        <w:separator/>
      </w:r>
    </w:p>
  </w:footnote>
  <w:footnote w:type="continuationSeparator" w:id="0">
    <w:p w:rsidR="00604643" w:rsidRDefault="00604643" w:rsidP="00D771ED">
      <w:r>
        <w:continuationSeparator/>
      </w:r>
    </w:p>
  </w:footnote>
  <w:footnote w:id="1">
    <w:p w:rsidR="00781DA9" w:rsidRDefault="00781DA9" w:rsidP="00D771ED">
      <w:pPr>
        <w:pStyle w:val="Textonotapie"/>
      </w:pPr>
      <w:r>
        <w:rPr>
          <w:rStyle w:val="Refdenotaalpie"/>
        </w:rPr>
        <w:footnoteRef/>
      </w:r>
      <w:r>
        <w:t xml:space="preserve"> Convención Americana sobre Derechos Humanos. Artículo 13.</w:t>
      </w:r>
    </w:p>
  </w:footnote>
  <w:footnote w:id="2">
    <w:p w:rsidR="00781DA9" w:rsidRDefault="00781DA9" w:rsidP="00D771ED">
      <w:pPr>
        <w:pStyle w:val="Textonotapie"/>
      </w:pPr>
      <w:r>
        <w:rPr>
          <w:rStyle w:val="Refdenotaalpie"/>
        </w:rPr>
        <w:footnoteRef/>
      </w:r>
      <w:r>
        <w:t xml:space="preserve"> Constitución Política de los Estados Unidos Mexicanos. Artículo sexto, sección A, fracción I.</w:t>
      </w:r>
    </w:p>
  </w:footnote>
  <w:footnote w:id="3">
    <w:p w:rsidR="00781DA9" w:rsidRDefault="00781DA9" w:rsidP="00D771E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781DA9" w:rsidRDefault="00781DA9" w:rsidP="00D771ED">
      <w:pPr>
        <w:pStyle w:val="Textonotapie"/>
      </w:pPr>
      <w:r>
        <w:rPr>
          <w:rStyle w:val="Refdenotaalpie"/>
        </w:rPr>
        <w:footnoteRef/>
      </w:r>
      <w:r>
        <w:t xml:space="preserve"> Ibídem. Parr. 87.</w:t>
      </w:r>
    </w:p>
  </w:footnote>
  <w:footnote w:id="5">
    <w:p w:rsidR="00781DA9" w:rsidRDefault="00781DA9" w:rsidP="002F0045">
      <w:pPr>
        <w:pStyle w:val="Textonotapie"/>
      </w:pPr>
      <w:r>
        <w:rPr>
          <w:rStyle w:val="Refdenotaalpie"/>
        </w:rPr>
        <w:footnoteRef/>
      </w:r>
      <w:r>
        <w:t xml:space="preserve"> Convención Americana sobre Derechos Humanos. Artículo 13.</w:t>
      </w:r>
    </w:p>
  </w:footnote>
  <w:footnote w:id="6">
    <w:p w:rsidR="00781DA9" w:rsidRDefault="00781DA9" w:rsidP="002F0045">
      <w:pPr>
        <w:pStyle w:val="Textonotapie"/>
      </w:pPr>
      <w:r>
        <w:rPr>
          <w:rStyle w:val="Refdenotaalpie"/>
        </w:rPr>
        <w:footnoteRef/>
      </w:r>
      <w:r>
        <w:t xml:space="preserve"> Constitución Política de los Estados Unidos Mexicanos. Artículo sexto, sección A, Fracción I.</w:t>
      </w:r>
    </w:p>
  </w:footnote>
  <w:footnote w:id="7">
    <w:p w:rsidR="00781DA9" w:rsidRPr="00F411B8" w:rsidRDefault="00781DA9" w:rsidP="002F0045">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8">
    <w:p w:rsidR="00781DA9" w:rsidRPr="00F411B8" w:rsidRDefault="00781DA9" w:rsidP="002F0045">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9">
    <w:p w:rsidR="00781DA9" w:rsidRDefault="00781DA9" w:rsidP="002F0045">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10">
    <w:p w:rsidR="00781DA9" w:rsidRDefault="00781DA9" w:rsidP="002F0045">
      <w:pPr>
        <w:pStyle w:val="Textonotapie"/>
      </w:pPr>
      <w:r>
        <w:rPr>
          <w:rStyle w:val="Refdenotaalpie"/>
        </w:rPr>
        <w:footnoteRef/>
      </w:r>
      <w:r>
        <w:t xml:space="preserve"> Ley de Transparencia y Acceso a la Información Pública del Estado de México y Municipios. Artículo 9. …</w:t>
      </w:r>
    </w:p>
    <w:p w:rsidR="00781DA9" w:rsidRDefault="00781DA9" w:rsidP="002F0045">
      <w:pPr>
        <w:pStyle w:val="Textonotapie"/>
      </w:pPr>
      <w:r>
        <w:t>II. Eficacia: Obligación del Instituto para tutelar, de manera efectiva, el derecho de acceso a la información;</w:t>
      </w:r>
    </w:p>
    <w:p w:rsidR="00781DA9" w:rsidRDefault="00781DA9" w:rsidP="002F0045">
      <w:pPr>
        <w:pStyle w:val="Textonotapie"/>
      </w:pPr>
      <w:r>
        <w:t xml:space="preserve">… </w:t>
      </w:r>
    </w:p>
  </w:footnote>
  <w:footnote w:id="11">
    <w:p w:rsidR="00781DA9" w:rsidRPr="00985DD4" w:rsidRDefault="00781DA9" w:rsidP="001A7A6B">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781DA9" w:rsidRPr="00985DD4" w:rsidRDefault="00781DA9" w:rsidP="001A7A6B">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781DA9" w:rsidRPr="00BE13A0" w:rsidRDefault="00781DA9" w:rsidP="001A7A6B">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12">
    <w:p w:rsidR="00781DA9" w:rsidRPr="00985DD4" w:rsidRDefault="00781DA9" w:rsidP="001A7A6B">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3">
    <w:p w:rsidR="00781DA9" w:rsidRDefault="00781DA9" w:rsidP="001A7A6B">
      <w:pPr>
        <w:pStyle w:val="Textonotapie"/>
        <w:jc w:val="both"/>
      </w:pPr>
      <w:r>
        <w:rPr>
          <w:rStyle w:val="Refdenotaalpie"/>
        </w:rPr>
        <w:footnoteRef/>
      </w:r>
      <w:r w:rsidRPr="00266430">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781DA9" w:rsidRPr="00266430" w:rsidRDefault="00781DA9" w:rsidP="001A7A6B">
      <w:pPr>
        <w:pStyle w:val="Textonotapie"/>
        <w:jc w:val="both"/>
      </w:pPr>
      <w:r w:rsidRPr="00266430">
        <w:t>1a</w:t>
      </w:r>
      <w:proofErr w:type="gramStart"/>
      <w:r w:rsidRPr="00266430">
        <w:t>./</w:t>
      </w:r>
      <w:proofErr w:type="gramEnd"/>
      <w:r w:rsidRPr="00266430">
        <w:t xml:space="preserve">J. 2/2012 (9a.). Primera Sala. Décima Época. Semanario Judicial de la Federación y su Gaceta. Libro V, Febrero de 2012, Pág. 533.  </w:t>
      </w:r>
    </w:p>
  </w:footnote>
  <w:footnote w:id="14">
    <w:p w:rsidR="00781DA9" w:rsidRPr="00A870EF" w:rsidRDefault="00781DA9" w:rsidP="001A7A6B">
      <w:pPr>
        <w:pStyle w:val="Textonotapie"/>
        <w:jc w:val="both"/>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5">
    <w:p w:rsidR="00781DA9" w:rsidRDefault="00781DA9" w:rsidP="001A7A6B">
      <w:pPr>
        <w:pStyle w:val="Textonotapie"/>
        <w:jc w:val="both"/>
      </w:pPr>
      <w:r>
        <w:rPr>
          <w:rStyle w:val="Refdenotaalpie"/>
        </w:rPr>
        <w:footnoteRef/>
      </w:r>
      <w:r>
        <w:t xml:space="preserve"> “De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81DA9" w:rsidRDefault="00781DA9" w:rsidP="001A7A6B">
      <w:pPr>
        <w:pStyle w:val="Textonotapie"/>
        <w:jc w:val="both"/>
      </w:pPr>
      <w: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81DA9" w:rsidRPr="001E1F95" w:rsidRDefault="00781DA9" w:rsidP="001A7A6B">
      <w:pPr>
        <w:pStyle w:val="Textonotapie"/>
        <w:jc w:val="both"/>
      </w:pPr>
      <w: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6">
    <w:p w:rsidR="00781DA9" w:rsidRPr="00191180" w:rsidRDefault="00781DA9" w:rsidP="001A7A6B">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7">
    <w:p w:rsidR="00781DA9" w:rsidRPr="0037004E" w:rsidRDefault="00781DA9" w:rsidP="001A7A6B">
      <w:pPr>
        <w:pStyle w:val="Textonotapie"/>
        <w:jc w:val="both"/>
      </w:pPr>
      <w:r>
        <w:rPr>
          <w:rStyle w:val="Refdenotaalpie"/>
        </w:rPr>
        <w:footnoteRef/>
      </w:r>
      <w:r>
        <w:t xml:space="preserve"> </w:t>
      </w:r>
      <w:r w:rsidRPr="00C4034A">
        <w:t>Tribunales Colegiados de Circuito. Novena Época. Semanario Judicial de la Federación y su Gaceta. Tomo III, marzo de 1996. Pág 769. Consultado en http://sjf.scjn.gob.mx/sjfsist/Documentos/Tesis/203/203143.pdf  el viernes 16 de junio de 2017.</w:t>
      </w:r>
    </w:p>
    <w:p w:rsidR="00781DA9" w:rsidRDefault="00781DA9" w:rsidP="001A7A6B">
      <w:pPr>
        <w:pStyle w:val="Textonotapie"/>
      </w:pPr>
    </w:p>
  </w:footnote>
  <w:footnote w:id="18">
    <w:p w:rsidR="00781DA9" w:rsidRDefault="00781DA9" w:rsidP="001A7A6B">
      <w:pPr>
        <w:pStyle w:val="Textonotapie"/>
        <w:jc w:val="both"/>
      </w:pPr>
      <w:r>
        <w:rPr>
          <w:rStyle w:val="Refdenotaalpie"/>
        </w:rPr>
        <w:footnoteRef/>
      </w:r>
      <w:r>
        <w:t xml:space="preserve"> Artículo 3. Para los efectos de la presente Ley se entenderá por:</w:t>
      </w:r>
    </w:p>
    <w:p w:rsidR="00781DA9" w:rsidRDefault="00781DA9" w:rsidP="001A7A6B">
      <w:pPr>
        <w:pStyle w:val="Textonotapie"/>
        <w:jc w:val="both"/>
      </w:pPr>
      <w:r>
        <w:t xml:space="preserve"> (…)</w:t>
      </w:r>
    </w:p>
    <w:p w:rsidR="00781DA9" w:rsidRDefault="00781DA9" w:rsidP="001A7A6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DA9" w:rsidRDefault="0060464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781DA9" w:rsidRPr="005C106F" w:rsidTr="009177B0">
      <w:trPr>
        <w:trHeight w:val="1435"/>
      </w:trPr>
      <w:tc>
        <w:tcPr>
          <w:tcW w:w="2268" w:type="dxa"/>
          <w:shd w:val="clear" w:color="auto" w:fill="auto"/>
        </w:tcPr>
        <w:p w:rsidR="00781DA9" w:rsidRPr="005C106F" w:rsidRDefault="00781DA9" w:rsidP="009177B0">
          <w:pPr>
            <w:tabs>
              <w:tab w:val="right" w:pos="4273"/>
            </w:tabs>
            <w:rPr>
              <w:rFonts w:ascii="Garamond" w:eastAsia="Calibri" w:hAnsi="Garamond"/>
              <w:sz w:val="16"/>
              <w:szCs w:val="16"/>
              <w:lang w:eastAsia="en-US"/>
            </w:rPr>
          </w:pPr>
        </w:p>
      </w:tc>
      <w:tc>
        <w:tcPr>
          <w:tcW w:w="6946" w:type="dxa"/>
          <w:shd w:val="clear" w:color="auto" w:fill="auto"/>
        </w:tcPr>
        <w:p w:rsidR="00781DA9" w:rsidRDefault="00781DA9" w:rsidP="009177B0"/>
        <w:tbl>
          <w:tblPr>
            <w:tblW w:w="6662" w:type="dxa"/>
            <w:tblInd w:w="40" w:type="dxa"/>
            <w:tblLayout w:type="fixed"/>
            <w:tblLook w:val="0420" w:firstRow="1" w:lastRow="0" w:firstColumn="0" w:lastColumn="0" w:noHBand="0" w:noVBand="1"/>
          </w:tblPr>
          <w:tblGrid>
            <w:gridCol w:w="2551"/>
            <w:gridCol w:w="4111"/>
          </w:tblGrid>
          <w:tr w:rsidR="00781DA9" w:rsidTr="009177B0">
            <w:trPr>
              <w:trHeight w:val="150"/>
            </w:trPr>
            <w:tc>
              <w:tcPr>
                <w:tcW w:w="2551" w:type="dxa"/>
                <w:shd w:val="clear" w:color="auto" w:fill="auto"/>
              </w:tcPr>
              <w:p w:rsidR="00781DA9" w:rsidRPr="00020E73" w:rsidRDefault="00781DA9" w:rsidP="009177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781DA9" w:rsidRPr="00020E73" w:rsidRDefault="00781DA9" w:rsidP="009177B0">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03638</w:t>
                </w:r>
                <w:r w:rsidRPr="009E7B0A">
                  <w:rPr>
                    <w:rFonts w:ascii="Palatino Linotype" w:eastAsia="Calibri" w:hAnsi="Palatino Linotype" w:cs="Tahoma"/>
                    <w:bCs/>
                    <w:sz w:val="22"/>
                    <w:szCs w:val="22"/>
                    <w:lang w:eastAsia="en-US"/>
                  </w:rPr>
                  <w:t>/INFOEM/IP/RR/2021</w:t>
                </w:r>
                <w:r w:rsidRPr="009E7B0A">
                  <w:rPr>
                    <w:rFonts w:ascii="Palatino Linotype" w:eastAsia="Calibri" w:hAnsi="Palatino Linotype" w:cs="Tahoma"/>
                    <w:b/>
                    <w:bCs/>
                    <w:sz w:val="22"/>
                    <w:szCs w:val="22"/>
                    <w:lang w:eastAsia="en-US"/>
                  </w:rPr>
                  <w:t xml:space="preserve"> </w:t>
                </w:r>
              </w:p>
            </w:tc>
          </w:tr>
          <w:tr w:rsidR="00781DA9" w:rsidTr="009177B0">
            <w:trPr>
              <w:trHeight w:val="295"/>
            </w:trPr>
            <w:tc>
              <w:tcPr>
                <w:tcW w:w="2551" w:type="dxa"/>
                <w:shd w:val="clear" w:color="auto" w:fill="auto"/>
              </w:tcPr>
              <w:p w:rsidR="00781DA9" w:rsidRPr="00020E73" w:rsidRDefault="00781DA9" w:rsidP="009177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781DA9" w:rsidRPr="00020E73" w:rsidRDefault="00781DA9" w:rsidP="009177B0">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Chicoloapan</w:t>
                </w:r>
              </w:p>
            </w:tc>
          </w:tr>
          <w:tr w:rsidR="00781DA9" w:rsidTr="009177B0">
            <w:trPr>
              <w:trHeight w:val="295"/>
            </w:trPr>
            <w:tc>
              <w:tcPr>
                <w:tcW w:w="2551" w:type="dxa"/>
                <w:shd w:val="clear" w:color="auto" w:fill="auto"/>
              </w:tcPr>
              <w:p w:rsidR="00781DA9" w:rsidRPr="00020E73" w:rsidRDefault="00781DA9" w:rsidP="009177B0">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781DA9" w:rsidRPr="00020E73" w:rsidRDefault="00781DA9" w:rsidP="009177B0">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781DA9" w:rsidRPr="00020E73" w:rsidRDefault="00781DA9" w:rsidP="009177B0">
                <w:pPr>
                  <w:tabs>
                    <w:tab w:val="right" w:pos="8838"/>
                  </w:tabs>
                  <w:ind w:left="-108" w:right="171"/>
                  <w:jc w:val="both"/>
                  <w:rPr>
                    <w:rFonts w:ascii="Palatino Linotype" w:eastAsia="Calibri" w:hAnsi="Palatino Linotype" w:cs="Tahoma"/>
                    <w:b/>
                    <w:sz w:val="22"/>
                    <w:szCs w:val="22"/>
                    <w:lang w:val="es-ES" w:eastAsia="en-US"/>
                  </w:rPr>
                </w:pPr>
              </w:p>
            </w:tc>
          </w:tr>
        </w:tbl>
        <w:p w:rsidR="00781DA9" w:rsidRPr="005C106F" w:rsidRDefault="00781DA9" w:rsidP="009177B0">
          <w:pPr>
            <w:tabs>
              <w:tab w:val="right" w:pos="8838"/>
            </w:tabs>
            <w:ind w:left="-28"/>
            <w:jc w:val="both"/>
            <w:rPr>
              <w:rFonts w:ascii="Arial" w:eastAsia="Calibri" w:hAnsi="Arial" w:cs="Arial"/>
              <w:b/>
              <w:sz w:val="22"/>
              <w:szCs w:val="22"/>
              <w:lang w:eastAsia="en-US"/>
            </w:rPr>
          </w:pPr>
        </w:p>
      </w:tc>
    </w:tr>
  </w:tbl>
  <w:p w:rsidR="00781DA9" w:rsidRPr="00443C6B" w:rsidRDefault="00604643" w:rsidP="009177B0">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781DA9" w:rsidRPr="00330DA7" w:rsidTr="009177B0">
      <w:trPr>
        <w:trHeight w:val="1435"/>
      </w:trPr>
      <w:tc>
        <w:tcPr>
          <w:tcW w:w="2268" w:type="dxa"/>
          <w:shd w:val="clear" w:color="auto" w:fill="auto"/>
        </w:tcPr>
        <w:p w:rsidR="00781DA9" w:rsidRPr="00330DA7" w:rsidRDefault="00781DA9" w:rsidP="009177B0">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781DA9" w:rsidRPr="00330DA7" w:rsidTr="009177B0">
            <w:trPr>
              <w:trHeight w:val="144"/>
            </w:trPr>
            <w:tc>
              <w:tcPr>
                <w:tcW w:w="2444" w:type="dxa"/>
                <w:shd w:val="clear" w:color="auto" w:fill="auto"/>
              </w:tcPr>
              <w:p w:rsidR="00781DA9" w:rsidRPr="00020E73" w:rsidRDefault="00781DA9" w:rsidP="009177B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781DA9" w:rsidRPr="00020E73" w:rsidRDefault="00781DA9" w:rsidP="009177B0">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03638</w:t>
                </w:r>
                <w:r w:rsidRPr="009E7B0A">
                  <w:rPr>
                    <w:rFonts w:ascii="Palatino Linotype" w:eastAsia="Calibri" w:hAnsi="Palatino Linotype" w:cs="Tahoma"/>
                    <w:sz w:val="22"/>
                    <w:szCs w:val="22"/>
                    <w:lang w:eastAsia="en-US"/>
                  </w:rPr>
                  <w:t>/INFOEM/IP/RR/2021</w:t>
                </w:r>
                <w:r>
                  <w:rPr>
                    <w:rFonts w:ascii="Palatino Linotype" w:eastAsia="Calibri" w:hAnsi="Palatino Linotype" w:cs="Tahoma"/>
                    <w:b/>
                    <w:bCs/>
                    <w:sz w:val="22"/>
                    <w:szCs w:val="22"/>
                    <w:lang w:eastAsia="en-US"/>
                  </w:rPr>
                  <w:t xml:space="preserve"> </w:t>
                </w:r>
              </w:p>
            </w:tc>
          </w:tr>
          <w:tr w:rsidR="00781DA9" w:rsidRPr="00330DA7" w:rsidTr="009177B0">
            <w:trPr>
              <w:trHeight w:val="144"/>
            </w:trPr>
            <w:tc>
              <w:tcPr>
                <w:tcW w:w="2444" w:type="dxa"/>
                <w:shd w:val="clear" w:color="auto" w:fill="auto"/>
              </w:tcPr>
              <w:p w:rsidR="00781DA9" w:rsidRPr="00020E73" w:rsidRDefault="00781DA9" w:rsidP="009177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781DA9" w:rsidRPr="00020E73" w:rsidRDefault="00781DA9" w:rsidP="009177B0">
                <w:pPr>
                  <w:tabs>
                    <w:tab w:val="left" w:pos="3122"/>
                    <w:tab w:val="right" w:pos="8838"/>
                  </w:tabs>
                  <w:ind w:left="-74" w:right="-105"/>
                  <w:jc w:val="both"/>
                  <w:rPr>
                    <w:rFonts w:ascii="Palatino Linotype" w:eastAsia="Calibri" w:hAnsi="Palatino Linotype" w:cs="Tahoma"/>
                    <w:sz w:val="22"/>
                    <w:szCs w:val="22"/>
                    <w:lang w:val="es-ES" w:eastAsia="en-US"/>
                  </w:rPr>
                </w:pPr>
              </w:p>
            </w:tc>
          </w:tr>
          <w:tr w:rsidR="00781DA9" w:rsidRPr="00330DA7" w:rsidTr="009177B0">
            <w:trPr>
              <w:trHeight w:val="283"/>
            </w:trPr>
            <w:tc>
              <w:tcPr>
                <w:tcW w:w="2444" w:type="dxa"/>
                <w:shd w:val="clear" w:color="auto" w:fill="auto"/>
              </w:tcPr>
              <w:p w:rsidR="00781DA9" w:rsidRPr="00020E73" w:rsidRDefault="00781DA9" w:rsidP="009177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781DA9" w:rsidRPr="009E7B0A" w:rsidRDefault="00781DA9" w:rsidP="009177B0">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Chicoloapan</w:t>
                </w:r>
              </w:p>
            </w:tc>
          </w:tr>
          <w:tr w:rsidR="00781DA9" w:rsidRPr="00330DA7" w:rsidTr="009177B0">
            <w:trPr>
              <w:trHeight w:val="283"/>
            </w:trPr>
            <w:tc>
              <w:tcPr>
                <w:tcW w:w="2444" w:type="dxa"/>
                <w:shd w:val="clear" w:color="auto" w:fill="auto"/>
              </w:tcPr>
              <w:p w:rsidR="00781DA9" w:rsidRPr="00020E73" w:rsidRDefault="00781DA9" w:rsidP="009177B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781DA9" w:rsidRPr="00020E73" w:rsidRDefault="00781DA9" w:rsidP="009177B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781DA9" w:rsidRPr="00020E73" w:rsidRDefault="00781DA9" w:rsidP="009177B0">
                <w:pPr>
                  <w:tabs>
                    <w:tab w:val="right" w:pos="8838"/>
                  </w:tabs>
                  <w:ind w:left="-74" w:right="-105"/>
                  <w:jc w:val="both"/>
                  <w:rPr>
                    <w:rFonts w:ascii="Palatino Linotype" w:eastAsia="Calibri" w:hAnsi="Palatino Linotype" w:cs="Tahoma"/>
                    <w:b/>
                    <w:sz w:val="22"/>
                    <w:szCs w:val="22"/>
                    <w:lang w:val="es-ES" w:eastAsia="en-US"/>
                  </w:rPr>
                </w:pPr>
              </w:p>
            </w:tc>
          </w:tr>
        </w:tbl>
        <w:p w:rsidR="00781DA9" w:rsidRPr="00330DA7" w:rsidRDefault="00781DA9" w:rsidP="009177B0">
          <w:pPr>
            <w:tabs>
              <w:tab w:val="right" w:pos="8838"/>
            </w:tabs>
            <w:ind w:left="-28"/>
            <w:jc w:val="both"/>
            <w:rPr>
              <w:rFonts w:ascii="Arial" w:eastAsia="Calibri" w:hAnsi="Arial" w:cs="Arial"/>
              <w:b/>
              <w:sz w:val="22"/>
              <w:szCs w:val="22"/>
              <w:lang w:eastAsia="en-US"/>
            </w:rPr>
          </w:pPr>
        </w:p>
      </w:tc>
    </w:tr>
  </w:tbl>
  <w:p w:rsidR="00781DA9" w:rsidRPr="00827FA0" w:rsidRDefault="00604643" w:rsidP="009177B0">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B51"/>
    <w:multiLevelType w:val="hybridMultilevel"/>
    <w:tmpl w:val="36585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45075"/>
    <w:multiLevelType w:val="hybridMultilevel"/>
    <w:tmpl w:val="CAD28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776F8C"/>
    <w:multiLevelType w:val="hybridMultilevel"/>
    <w:tmpl w:val="A0D6B406"/>
    <w:lvl w:ilvl="0" w:tplc="0AD289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3736CB"/>
    <w:multiLevelType w:val="hybridMultilevel"/>
    <w:tmpl w:val="A2B0A8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6831A2"/>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15:restartNumberingAfterBreak="0">
    <w:nsid w:val="560839D1"/>
    <w:multiLevelType w:val="hybridMultilevel"/>
    <w:tmpl w:val="69765CEE"/>
    <w:lvl w:ilvl="0" w:tplc="89E0DA48">
      <w:start w:val="1"/>
      <w:numFmt w:val="decimal"/>
      <w:lvlText w:val="%1."/>
      <w:lvlJc w:val="left"/>
      <w:pPr>
        <w:ind w:left="644"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2C32A8"/>
    <w:multiLevelType w:val="hybridMultilevel"/>
    <w:tmpl w:val="D5A0EB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27"/>
  </w:num>
  <w:num w:numId="4">
    <w:abstractNumId w:val="11"/>
  </w:num>
  <w:num w:numId="5">
    <w:abstractNumId w:val="19"/>
  </w:num>
  <w:num w:numId="6">
    <w:abstractNumId w:val="18"/>
  </w:num>
  <w:num w:numId="7">
    <w:abstractNumId w:val="12"/>
  </w:num>
  <w:num w:numId="8">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17"/>
  </w:num>
  <w:num w:numId="13">
    <w:abstractNumId w:val="6"/>
  </w:num>
  <w:num w:numId="14">
    <w:abstractNumId w:val="9"/>
  </w:num>
  <w:num w:numId="15">
    <w:abstractNumId w:val="26"/>
  </w:num>
  <w:num w:numId="16">
    <w:abstractNumId w:val="25"/>
  </w:num>
  <w:num w:numId="17">
    <w:abstractNumId w:val="25"/>
    <w:lvlOverride w:ilvl="0">
      <w:startOverride w:val="2"/>
    </w:lvlOverride>
  </w:num>
  <w:num w:numId="18">
    <w:abstractNumId w:val="25"/>
    <w:lvlOverride w:ilvl="0">
      <w:startOverride w:val="3"/>
    </w:lvlOverride>
  </w:num>
  <w:num w:numId="19">
    <w:abstractNumId w:val="25"/>
    <w:lvlOverride w:ilvl="0">
      <w:startOverride w:val="4"/>
    </w:lvlOverride>
  </w:num>
  <w:num w:numId="20">
    <w:abstractNumId w:val="25"/>
    <w:lvlOverride w:ilvl="0">
      <w:startOverride w:val="5"/>
    </w:lvlOverride>
  </w:num>
  <w:num w:numId="21">
    <w:abstractNumId w:val="22"/>
  </w:num>
  <w:num w:numId="22">
    <w:abstractNumId w:val="16"/>
  </w:num>
  <w:num w:numId="23">
    <w:abstractNumId w:val="14"/>
  </w:num>
  <w:num w:numId="24">
    <w:abstractNumId w:val="24"/>
  </w:num>
  <w:num w:numId="25">
    <w:abstractNumId w:val="7"/>
  </w:num>
  <w:num w:numId="26">
    <w:abstractNumId w:val="5"/>
  </w:num>
  <w:num w:numId="27">
    <w:abstractNumId w:val="21"/>
  </w:num>
  <w:num w:numId="28">
    <w:abstractNumId w:val="2"/>
  </w:num>
  <w:num w:numId="29">
    <w:abstractNumId w:val="8"/>
  </w:num>
  <w:num w:numId="30">
    <w:abstractNumId w:val="23"/>
  </w:num>
  <w:num w:numId="31">
    <w:abstractNumId w:val="20"/>
  </w:num>
  <w:num w:numId="32">
    <w:abstractNumId w:val="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1ED"/>
    <w:rsid w:val="00007A3C"/>
    <w:rsid w:val="00026EC3"/>
    <w:rsid w:val="00057CC7"/>
    <w:rsid w:val="00086B87"/>
    <w:rsid w:val="000D3605"/>
    <w:rsid w:val="000F0B2D"/>
    <w:rsid w:val="000F2137"/>
    <w:rsid w:val="001031C5"/>
    <w:rsid w:val="001465F8"/>
    <w:rsid w:val="00167229"/>
    <w:rsid w:val="001A7A6B"/>
    <w:rsid w:val="002030FA"/>
    <w:rsid w:val="0021125A"/>
    <w:rsid w:val="00214EBE"/>
    <w:rsid w:val="00237B30"/>
    <w:rsid w:val="002B0C3D"/>
    <w:rsid w:val="002F0045"/>
    <w:rsid w:val="0030306B"/>
    <w:rsid w:val="00320A33"/>
    <w:rsid w:val="00365331"/>
    <w:rsid w:val="00397389"/>
    <w:rsid w:val="003A0EBB"/>
    <w:rsid w:val="003C70C2"/>
    <w:rsid w:val="003D14CF"/>
    <w:rsid w:val="00410AEF"/>
    <w:rsid w:val="00417ACD"/>
    <w:rsid w:val="00464213"/>
    <w:rsid w:val="00593BE3"/>
    <w:rsid w:val="005D7A0B"/>
    <w:rsid w:val="00604643"/>
    <w:rsid w:val="00605506"/>
    <w:rsid w:val="006200BF"/>
    <w:rsid w:val="00624906"/>
    <w:rsid w:val="00641E0C"/>
    <w:rsid w:val="006642B9"/>
    <w:rsid w:val="00664C6F"/>
    <w:rsid w:val="0067259A"/>
    <w:rsid w:val="00697765"/>
    <w:rsid w:val="006B73B2"/>
    <w:rsid w:val="006D15E0"/>
    <w:rsid w:val="006D1ED3"/>
    <w:rsid w:val="006F66A4"/>
    <w:rsid w:val="00712860"/>
    <w:rsid w:val="00715022"/>
    <w:rsid w:val="007400B8"/>
    <w:rsid w:val="0076643E"/>
    <w:rsid w:val="00781DA9"/>
    <w:rsid w:val="007C0134"/>
    <w:rsid w:val="007D5A0C"/>
    <w:rsid w:val="00860157"/>
    <w:rsid w:val="00874BC8"/>
    <w:rsid w:val="008755DD"/>
    <w:rsid w:val="008A5D8C"/>
    <w:rsid w:val="008B628C"/>
    <w:rsid w:val="009177B0"/>
    <w:rsid w:val="00941E41"/>
    <w:rsid w:val="009B6FD5"/>
    <w:rsid w:val="009F3328"/>
    <w:rsid w:val="00A02D82"/>
    <w:rsid w:val="00A14B38"/>
    <w:rsid w:val="00A63369"/>
    <w:rsid w:val="00A657B2"/>
    <w:rsid w:val="00A80D02"/>
    <w:rsid w:val="00A834B6"/>
    <w:rsid w:val="00A87582"/>
    <w:rsid w:val="00B72B98"/>
    <w:rsid w:val="00B76E16"/>
    <w:rsid w:val="00B773D9"/>
    <w:rsid w:val="00BA5E14"/>
    <w:rsid w:val="00BD4BF5"/>
    <w:rsid w:val="00BF5C26"/>
    <w:rsid w:val="00C02C47"/>
    <w:rsid w:val="00C92DB2"/>
    <w:rsid w:val="00CC39EF"/>
    <w:rsid w:val="00D64AFE"/>
    <w:rsid w:val="00D70833"/>
    <w:rsid w:val="00D771ED"/>
    <w:rsid w:val="00D82C77"/>
    <w:rsid w:val="00DF2A3A"/>
    <w:rsid w:val="00DF666E"/>
    <w:rsid w:val="00DF7C3A"/>
    <w:rsid w:val="00ED78EA"/>
    <w:rsid w:val="00F10F86"/>
    <w:rsid w:val="00F11CA3"/>
    <w:rsid w:val="00F24524"/>
    <w:rsid w:val="00F30210"/>
    <w:rsid w:val="00FC7B9E"/>
    <w:rsid w:val="00FE2824"/>
    <w:rsid w:val="00FE48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EEE087A-53DA-4ED8-930E-84266214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1ED"/>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D771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771E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71ED"/>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D771ED"/>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D771ED"/>
    <w:pPr>
      <w:tabs>
        <w:tab w:val="center" w:pos="4419"/>
        <w:tab w:val="right" w:pos="8838"/>
      </w:tabs>
    </w:pPr>
  </w:style>
  <w:style w:type="character" w:customStyle="1" w:styleId="EncabezadoCar">
    <w:name w:val="Encabezado Car"/>
    <w:basedOn w:val="Fuentedeprrafopredeter"/>
    <w:link w:val="Encabezado"/>
    <w:uiPriority w:val="99"/>
    <w:rsid w:val="00D771ED"/>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D771ED"/>
    <w:pPr>
      <w:tabs>
        <w:tab w:val="center" w:pos="4419"/>
        <w:tab w:val="right" w:pos="8838"/>
      </w:tabs>
    </w:pPr>
  </w:style>
  <w:style w:type="character" w:customStyle="1" w:styleId="PiedepginaCar">
    <w:name w:val="Pie de página Car"/>
    <w:basedOn w:val="Fuentedeprrafopredeter"/>
    <w:link w:val="Piedepgina"/>
    <w:uiPriority w:val="99"/>
    <w:rsid w:val="00D771ED"/>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771ED"/>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D771ED"/>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D771ED"/>
    <w:rPr>
      <w:color w:val="0563C1"/>
      <w:u w:val="single"/>
    </w:rPr>
  </w:style>
  <w:style w:type="paragraph" w:styleId="Sinespaciado">
    <w:name w:val="No Spacing"/>
    <w:aliases w:val="Francesa,INAI"/>
    <w:link w:val="SinespaciadoCar"/>
    <w:uiPriority w:val="1"/>
    <w:qFormat/>
    <w:rsid w:val="00D771ED"/>
    <w:pPr>
      <w:spacing w:after="0" w:line="240" w:lineRule="auto"/>
    </w:pPr>
    <w:rPr>
      <w:lang w:val="es-MX"/>
    </w:rPr>
  </w:style>
  <w:style w:type="character" w:customStyle="1" w:styleId="SinespaciadoCar">
    <w:name w:val="Sin espaciado Car"/>
    <w:aliases w:val="Francesa Car,INAI Car"/>
    <w:link w:val="Sinespaciado"/>
    <w:uiPriority w:val="1"/>
    <w:locked/>
    <w:rsid w:val="00D771ED"/>
    <w:rPr>
      <w:lang w:val="es-MX"/>
    </w:rPr>
  </w:style>
  <w:style w:type="paragraph" w:styleId="TDC1">
    <w:name w:val="toc 1"/>
    <w:basedOn w:val="Normal"/>
    <w:next w:val="Normal"/>
    <w:autoRedefine/>
    <w:uiPriority w:val="39"/>
    <w:unhideWhenUsed/>
    <w:rsid w:val="00D771ED"/>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D771ED"/>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771ED"/>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D771ED"/>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771ED"/>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D771ED"/>
    <w:rPr>
      <w:rFonts w:ascii="Times New Roman" w:eastAsia="Times New Roman" w:hAnsi="Times New Roman" w:cs="Times New Roman"/>
      <w:sz w:val="20"/>
      <w:szCs w:val="20"/>
      <w:lang w:val="es-MX" w:eastAsia="es-MX"/>
    </w:rPr>
  </w:style>
  <w:style w:type="paragraph" w:styleId="TDC3">
    <w:name w:val="toc 3"/>
    <w:basedOn w:val="Normal"/>
    <w:next w:val="Normal"/>
    <w:autoRedefine/>
    <w:uiPriority w:val="39"/>
    <w:unhideWhenUsed/>
    <w:rsid w:val="00D771ED"/>
    <w:pPr>
      <w:spacing w:after="100"/>
      <w:ind w:left="480"/>
    </w:pPr>
  </w:style>
  <w:style w:type="table" w:styleId="Tabladecuadrcula6concolores">
    <w:name w:val="Grid Table 6 Colorful"/>
    <w:basedOn w:val="Tablanormal"/>
    <w:uiPriority w:val="51"/>
    <w:rsid w:val="0030306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Fuentedeprrafopredeter"/>
    <w:qFormat/>
    <w:rsid w:val="001A7A6B"/>
  </w:style>
  <w:style w:type="table" w:customStyle="1" w:styleId="Tablaconcuadrcula27">
    <w:name w:val="Tabla con cuadrícula27"/>
    <w:basedOn w:val="Tablanormal"/>
    <w:next w:val="Tablaconcuadrcula"/>
    <w:uiPriority w:val="39"/>
    <w:rsid w:val="001A7A6B"/>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A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63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70033.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4149A-F01A-43FE-B6F2-945525375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13845</Words>
  <Characters>76148</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cp:revision>
  <cp:lastPrinted>2021-09-30T15:48:00Z</cp:lastPrinted>
  <dcterms:created xsi:type="dcterms:W3CDTF">2021-10-18T02:38:00Z</dcterms:created>
  <dcterms:modified xsi:type="dcterms:W3CDTF">2021-10-18T02:38:00Z</dcterms:modified>
</cp:coreProperties>
</file>