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dieciocho de noviembre del dos mil veintiuno.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sz w:val="22"/>
          <w:szCs w:val="22"/>
        </w:rPr>
        <w:t>03604/INFOEM/IP/RR/2021</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xxxxxxxxxxxxxxxxx</w:t>
      </w:r>
      <w:bookmarkStart w:id="0" w:name="_GoBack"/>
      <w:bookmarkEnd w:id="0"/>
      <w:r>
        <w:rPr>
          <w:rFonts w:ascii="Palatino Linotype" w:eastAsia="Palatino Linotype" w:hAnsi="Palatino Linotype" w:cs="Palatino Linotype"/>
        </w:rPr>
        <w:t xml:space="preserve">, a quien en lo sucesivo se le denominará el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 xml:space="preserve">en contra de la respuesta a su solicitud de información con número de folio </w:t>
      </w:r>
      <w:r>
        <w:rPr>
          <w:rFonts w:ascii="Palatino Linotype" w:eastAsia="Palatino Linotype" w:hAnsi="Palatino Linotype" w:cs="Palatino Linotype"/>
          <w:b/>
          <w:sz w:val="22"/>
          <w:szCs w:val="22"/>
        </w:rPr>
        <w:t>00252/SE/I</w:t>
      </w:r>
      <w:r>
        <w:rPr>
          <w:rFonts w:ascii="Palatino Linotype" w:eastAsia="Palatino Linotype" w:hAnsi="Palatino Linotype" w:cs="Palatino Linotype"/>
          <w:b/>
          <w:sz w:val="22"/>
          <w:szCs w:val="22"/>
        </w:rPr>
        <w:t>P/2021</w:t>
      </w:r>
      <w:r>
        <w:rPr>
          <w:rFonts w:ascii="Palatino Linotype" w:eastAsia="Palatino Linotype" w:hAnsi="Palatino Linotype" w:cs="Palatino Linotype"/>
        </w:rPr>
        <w:t xml:space="preserve">, emitida por el </w:t>
      </w:r>
      <w:r>
        <w:rPr>
          <w:rFonts w:ascii="Palatino Linotype" w:eastAsia="Palatino Linotype" w:hAnsi="Palatino Linotype" w:cs="Palatino Linotype"/>
          <w:b/>
        </w:rPr>
        <w:t>Secretaría de Educación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 siguiente.</w:t>
      </w:r>
    </w:p>
    <w:p w:rsidR="00C060E6" w:rsidRDefault="00267C40">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rsidR="00C060E6" w:rsidRDefault="00267C4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1. Solicitud de acceso a la información.</w:t>
      </w:r>
      <w:r>
        <w:rPr>
          <w:rFonts w:ascii="Palatino Linotype" w:eastAsia="Palatino Linotype" w:hAnsi="Palatino Linotype" w:cs="Palatino Linotype"/>
          <w:b/>
        </w:rPr>
        <w:t xml:space="preserve"> </w:t>
      </w:r>
      <w:r>
        <w:rPr>
          <w:rFonts w:ascii="Palatino Linotype" w:eastAsia="Palatino Linotype" w:hAnsi="Palatino Linotype" w:cs="Palatino Linotype"/>
        </w:rPr>
        <w:t>Con fecha veinticinco de mayo de d</w:t>
      </w:r>
      <w:r>
        <w:rPr>
          <w:rFonts w:ascii="Palatino Linotype" w:eastAsia="Palatino Linotype" w:hAnsi="Palatino Linotype" w:cs="Palatino Linotype"/>
        </w:rPr>
        <w:t xml:space="preserve">os mil veintiuno, el ahora </w:t>
      </w:r>
      <w:r>
        <w:rPr>
          <w:rFonts w:ascii="Palatino Linotype" w:eastAsia="Palatino Linotype" w:hAnsi="Palatino Linotype" w:cs="Palatino Linotype"/>
          <w:b/>
          <w:i/>
        </w:rPr>
        <w:t>Recurrente</w:t>
      </w:r>
      <w:r>
        <w:rPr>
          <w:rFonts w:ascii="Palatino Linotype" w:eastAsia="Palatino Linotype" w:hAnsi="Palatino Linotype" w:cs="Palatino Linotype"/>
        </w:rPr>
        <w:t xml:space="preserve"> 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rsidR="00C060E6" w:rsidRDefault="00267C40">
      <w:pPr>
        <w:spacing w:before="240" w:after="240"/>
        <w:ind w:left="851" w:right="900"/>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1. Nombramiento de las personas titular</w:t>
      </w:r>
      <w:r>
        <w:rPr>
          <w:rFonts w:ascii="Palatino Linotype" w:eastAsia="Palatino Linotype" w:hAnsi="Palatino Linotype" w:cs="Palatino Linotype"/>
          <w:i/>
          <w:color w:val="000000"/>
        </w:rPr>
        <w:t>es de la Unidad de Transparencia de la Secretaría de Educación Pública del año 2019 a la fecha de contestación de esta solicitud. 2. Lista de registro de la memoria documental de los puestos de trabajo que expidieron los nombramientos del numeral “1” donde</w:t>
      </w:r>
      <w:r>
        <w:rPr>
          <w:rFonts w:ascii="Palatino Linotype" w:eastAsia="Palatino Linotype" w:hAnsi="Palatino Linotype" w:cs="Palatino Linotype"/>
          <w:i/>
          <w:color w:val="000000"/>
        </w:rPr>
        <w:t xml:space="preserve"> se pueda observar numero de oficio, fecha de elaboración y asunto del año 2019 a la fecha de contestación de esta solicitud. 3. Lista de registro de memoria documental de la Unidad de Transparencia de la Secretaría de Educación Pública donde se pueda obse</w:t>
      </w:r>
      <w:r>
        <w:rPr>
          <w:rFonts w:ascii="Palatino Linotype" w:eastAsia="Palatino Linotype" w:hAnsi="Palatino Linotype" w:cs="Palatino Linotype"/>
          <w:i/>
          <w:color w:val="000000"/>
        </w:rPr>
        <w:t>rvar numero de oficio, fecha de elaboración y asunto, del año 2019 a la fecha de contestación de esta solicitud. 4. Lista de registro de memoria documental recibida de la Unidad de Transparencia de la Secretaría de Educación Pública del año 2019 a la fecha</w:t>
      </w:r>
      <w:r>
        <w:rPr>
          <w:rFonts w:ascii="Palatino Linotype" w:eastAsia="Palatino Linotype" w:hAnsi="Palatino Linotype" w:cs="Palatino Linotype"/>
          <w:i/>
          <w:color w:val="000000"/>
        </w:rPr>
        <w:t xml:space="preserve"> de contestación de esta solicitud </w:t>
      </w:r>
      <w:r>
        <w:rPr>
          <w:rFonts w:ascii="Palatino Linotype" w:eastAsia="Palatino Linotype" w:hAnsi="Palatino Linotype" w:cs="Palatino Linotype"/>
          <w:i/>
          <w:color w:val="000000"/>
        </w:rPr>
        <w:lastRenderedPageBreak/>
        <w:t>donde se pueda observar folio de recepción, numero de oficio, fecha de recepción y asunto. 5. Lista de registro de memoria documental de la Subdirección Regional de Educación Básica Amecameca donde se pueda observar numer</w:t>
      </w:r>
      <w:r>
        <w:rPr>
          <w:rFonts w:ascii="Palatino Linotype" w:eastAsia="Palatino Linotype" w:hAnsi="Palatino Linotype" w:cs="Palatino Linotype"/>
          <w:i/>
          <w:color w:val="000000"/>
        </w:rPr>
        <w:t>o de oficio, fecha de elaboración y asunto, del año 2019 a la fecha de contestación de esta solicitud. 6. Lista de registro de memoria documental recibida de la Subdirección Regional de Educación Básica Amecameca Pública del año 2019 a la fecha de contesta</w:t>
      </w:r>
      <w:r>
        <w:rPr>
          <w:rFonts w:ascii="Palatino Linotype" w:eastAsia="Palatino Linotype" w:hAnsi="Palatino Linotype" w:cs="Palatino Linotype"/>
          <w:i/>
          <w:color w:val="000000"/>
        </w:rPr>
        <w:t>ción de esta solicitud donde se pueda observar folio de recepción, numero de oficio, fecha de recepción y asunto. 7. Nombramiento de las personas titulares de la Subdirección Regional de Educación Básica Amecameca del año 2019 a la fecha de contestación de</w:t>
      </w:r>
      <w:r>
        <w:rPr>
          <w:rFonts w:ascii="Palatino Linotype" w:eastAsia="Palatino Linotype" w:hAnsi="Palatino Linotype" w:cs="Palatino Linotype"/>
          <w:i/>
          <w:color w:val="000000"/>
        </w:rPr>
        <w:t xml:space="preserve"> esta solicitud. 8. Procedimiento para poner a resguardo instalaciones educativas. 9. Procedimiento de denuncia ante el Órgano Interno de Control de la Secretaría de Educación. 10. De existir varios nombramientos en los numerales 1 y 7, se solicitan las Ac</w:t>
      </w:r>
      <w:r>
        <w:rPr>
          <w:rFonts w:ascii="Palatino Linotype" w:eastAsia="Palatino Linotype" w:hAnsi="Palatino Linotype" w:cs="Palatino Linotype"/>
          <w:i/>
          <w:color w:val="000000"/>
        </w:rPr>
        <w:t>tas entrega recepción de los cargos.</w:t>
      </w:r>
      <w:r>
        <w:rPr>
          <w:rFonts w:ascii="Palatino Linotype" w:eastAsia="Palatino Linotype" w:hAnsi="Palatino Linotype" w:cs="Palatino Linotype"/>
          <w:i/>
        </w:rPr>
        <w:t>” (sic)</w:t>
      </w:r>
    </w:p>
    <w:p w:rsidR="00C060E6" w:rsidRDefault="00267C4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solicitante anexó a solicitud el archivo </w:t>
      </w:r>
      <w:r>
        <w:rPr>
          <w:rFonts w:ascii="Palatino Linotype" w:eastAsia="Palatino Linotype" w:hAnsi="Palatino Linotype" w:cs="Palatino Linotype"/>
          <w:b/>
        </w:rPr>
        <w:t xml:space="preserve">solicitud.pdf, </w:t>
      </w:r>
      <w:r>
        <w:rPr>
          <w:rFonts w:ascii="Palatino Linotype" w:eastAsia="Palatino Linotype" w:hAnsi="Palatino Linotype" w:cs="Palatino Linotype"/>
        </w:rPr>
        <w:t>además de indicar como modalidad de entrega el</w:t>
      </w:r>
      <w:r>
        <w:rPr>
          <w:rFonts w:ascii="Palatino Linotype" w:eastAsia="Palatino Linotype" w:hAnsi="Palatino Linotype" w:cs="Palatino Linotype"/>
          <w:b/>
        </w:rPr>
        <w:t xml:space="preserve"> SAIMEX.</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2. Prórroga.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fecha quince de junio del año en curso, notificó al solicitante que el plazo para atender su solicitud </w:t>
      </w:r>
      <w:r>
        <w:rPr>
          <w:rFonts w:ascii="Palatino Linotype" w:eastAsia="Palatino Linotype" w:hAnsi="Palatino Linotype" w:cs="Palatino Linotype"/>
          <w:b/>
          <w:sz w:val="22"/>
          <w:szCs w:val="22"/>
        </w:rPr>
        <w:t xml:space="preserve">00252/SE/IP/2021 </w:t>
      </w:r>
      <w:r>
        <w:rPr>
          <w:rFonts w:ascii="Palatino Linotype" w:eastAsia="Palatino Linotype" w:hAnsi="Palatino Linotype" w:cs="Palatino Linotype"/>
        </w:rPr>
        <w:t>se había prorrogado por siete días hábiles adicionales.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3.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 fecha veintidós de junio del año en curso, el </w:t>
      </w:r>
      <w:r>
        <w:rPr>
          <w:rFonts w:ascii="Palatino Linotype" w:eastAsia="Palatino Linotype" w:hAnsi="Palatino Linotype" w:cs="Palatino Linotype"/>
          <w:b/>
        </w:rPr>
        <w:t>Sujeto Obliga</w:t>
      </w:r>
      <w:r>
        <w:rPr>
          <w:rFonts w:ascii="Palatino Linotype" w:eastAsia="Palatino Linotype" w:hAnsi="Palatino Linotype" w:cs="Palatino Linotype"/>
          <w:b/>
        </w:rPr>
        <w:t>do</w:t>
      </w:r>
      <w:r>
        <w:rPr>
          <w:rFonts w:ascii="Palatino Linotype" w:eastAsia="Palatino Linotype" w:hAnsi="Palatino Linotype" w:cs="Palatino Linotype"/>
        </w:rPr>
        <w:t>, a través del SAIMEX, notificó la siguiente respuesta al particular:</w:t>
      </w:r>
    </w:p>
    <w:p w:rsidR="00C060E6" w:rsidRDefault="00267C40">
      <w:pPr>
        <w:spacing w:before="240" w:after="240" w:line="360" w:lineRule="auto"/>
        <w:ind w:left="851" w:right="900"/>
        <w:jc w:val="both"/>
        <w:rPr>
          <w:rFonts w:ascii="Palatino Linotype" w:eastAsia="Palatino Linotype" w:hAnsi="Palatino Linotype" w:cs="Palatino Linotype"/>
          <w:sz w:val="16"/>
          <w:szCs w:val="16"/>
        </w:rPr>
      </w:pPr>
      <w:r>
        <w:rPr>
          <w:rFonts w:ascii="Verdana" w:eastAsia="Verdana" w:hAnsi="Verdana" w:cs="Verdana"/>
          <w:sz w:val="18"/>
          <w:szCs w:val="18"/>
        </w:rPr>
        <w:t> </w:t>
      </w:r>
      <w:r>
        <w:rPr>
          <w:rFonts w:ascii="Palatino Linotype" w:eastAsia="Palatino Linotype" w:hAnsi="Palatino Linotype" w:cs="Palatino Linotype"/>
          <w:i/>
        </w:rPr>
        <w:t>“</w:t>
      </w:r>
      <w:r>
        <w:rPr>
          <w:rFonts w:ascii="Palatino Linotype" w:eastAsia="Palatino Linotype" w:hAnsi="Palatino Linotype" w:cs="Palatino Linotype"/>
          <w:i/>
          <w:color w:val="000000"/>
        </w:rPr>
        <w:t>…se adjunta un archivo correspondiente al acuerdo de fecha veintidós de junio de dos mil veintiuno, signado por la Titular de la Unidad de Transparencia, la información relativa a la</w:t>
      </w:r>
      <w:r>
        <w:rPr>
          <w:rFonts w:ascii="Palatino Linotype" w:eastAsia="Palatino Linotype" w:hAnsi="Palatino Linotype" w:cs="Palatino Linotype"/>
          <w:i/>
          <w:color w:val="000000"/>
        </w:rPr>
        <w:t xml:space="preserve"> Unidad de Transparencia de la Secretaría de Educación del Gobierno del Estado de México y la información enviada por el Servidor Público Habilitado.</w:t>
      </w:r>
      <w:r>
        <w:rPr>
          <w:rFonts w:ascii="Palatino Linotype" w:eastAsia="Palatino Linotype" w:hAnsi="Palatino Linotype" w:cs="Palatino Linotype"/>
          <w:i/>
        </w:rPr>
        <w:t>”</w:t>
      </w:r>
      <w:r>
        <w:rPr>
          <w:rFonts w:ascii="Palatino Linotype" w:eastAsia="Palatino Linotype" w:hAnsi="Palatino Linotype" w:cs="Palatino Linotype"/>
          <w:sz w:val="16"/>
          <w:szCs w:val="16"/>
        </w:rPr>
        <w:t xml:space="preserve"> (Sic)</w:t>
      </w:r>
    </w:p>
    <w:p w:rsidR="00C060E6" w:rsidRDefault="00267C40">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rPr>
        <w:lastRenderedPageBreak/>
        <w:t xml:space="preserve">Asimismo, adjuntó los archivos </w:t>
      </w:r>
      <w:hyperlink r:id="rId8">
        <w:r>
          <w:rPr>
            <w:rFonts w:ascii="Palatino Linotype" w:eastAsia="Palatino Linotype" w:hAnsi="Palatino Linotype" w:cs="Palatino Linotype"/>
            <w:b/>
            <w:color w:val="000000"/>
          </w:rPr>
          <w:t>OFICIOS GENERADOS UT 2021.xlsx</w:t>
        </w:r>
      </w:hyperlink>
      <w:r>
        <w:rPr>
          <w:rFonts w:ascii="Palatino Linotype" w:eastAsia="Palatino Linotype" w:hAnsi="Palatino Linotype" w:cs="Palatino Linotype"/>
        </w:rPr>
        <w:t xml:space="preserve">, </w:t>
      </w:r>
      <w:hyperlink r:id="rId9">
        <w:r>
          <w:rPr>
            <w:rFonts w:ascii="Palatino Linotype" w:eastAsia="Palatino Linotype" w:hAnsi="Palatino Linotype" w:cs="Palatino Linotype"/>
            <w:b/>
            <w:color w:val="000000"/>
          </w:rPr>
          <w:t>NOMBRAMIENTOS UNIDAD DE TRANSPARENCIA.rar</w:t>
        </w:r>
      </w:hyperlink>
      <w:r>
        <w:rPr>
          <w:rFonts w:ascii="Palatino Linotype" w:eastAsia="Palatino Linotype" w:hAnsi="Palatino Linotype" w:cs="Palatino Linotype"/>
        </w:rPr>
        <w:t xml:space="preserve">, </w:t>
      </w:r>
      <w:hyperlink r:id="rId10">
        <w:r>
          <w:rPr>
            <w:rFonts w:ascii="Palatino Linotype" w:eastAsia="Palatino Linotype" w:hAnsi="Palatino Linotype" w:cs="Palatino Linotype"/>
            <w:b/>
            <w:color w:val="000000"/>
          </w:rPr>
          <w:t>Nombramiento AMECAMECA 0252.pdf</w:t>
        </w:r>
      </w:hyperlink>
      <w:r>
        <w:rPr>
          <w:rFonts w:ascii="Palatino Linotype" w:eastAsia="Palatino Linotype" w:hAnsi="Palatino Linotype" w:cs="Palatino Linotype"/>
        </w:rPr>
        <w:t xml:space="preserve">, </w:t>
      </w:r>
      <w:hyperlink r:id="rId11">
        <w:r>
          <w:rPr>
            <w:rFonts w:ascii="Palatino Linotype" w:eastAsia="Palatino Linotype" w:hAnsi="Palatino Linotype" w:cs="Palatino Linotype"/>
            <w:b/>
            <w:color w:val="000000"/>
          </w:rPr>
          <w:t>OFICIOS GENERADOS UT 2020.xlsx</w:t>
        </w:r>
      </w:hyperlink>
      <w:r>
        <w:rPr>
          <w:rFonts w:ascii="Palatino Linotype" w:eastAsia="Palatino Linotype" w:hAnsi="Palatino Linotype" w:cs="Palatino Linotype"/>
        </w:rPr>
        <w:t xml:space="preserve">, </w:t>
      </w:r>
      <w:hyperlink r:id="rId12">
        <w:r>
          <w:rPr>
            <w:rFonts w:ascii="Palatino Linotype" w:eastAsia="Palatino Linotype" w:hAnsi="Palatino Linotype" w:cs="Palatino Linotype"/>
            <w:b/>
            <w:color w:val="000000"/>
          </w:rPr>
          <w:t>OFICIOS RECIBIDOS UT 2019.xlsx</w:t>
        </w:r>
      </w:hyperlink>
      <w:r>
        <w:rPr>
          <w:rFonts w:ascii="Palatino Linotype" w:eastAsia="Palatino Linotype" w:hAnsi="Palatino Linotype" w:cs="Palatino Linotype"/>
        </w:rPr>
        <w:t xml:space="preserve">, </w:t>
      </w:r>
      <w:hyperlink r:id="rId13">
        <w:r>
          <w:rPr>
            <w:rFonts w:ascii="Palatino Linotype" w:eastAsia="Palatino Linotype" w:hAnsi="Palatino Linotype" w:cs="Palatino Linotype"/>
            <w:b/>
            <w:color w:val="000000"/>
          </w:rPr>
          <w:t>OFICIOS RECIBIDOS UT 2020.xlsx</w:t>
        </w:r>
      </w:hyperlink>
      <w:r>
        <w:rPr>
          <w:rFonts w:ascii="Palatino Linotype" w:eastAsia="Palatino Linotype" w:hAnsi="Palatino Linotype" w:cs="Palatino Linotype"/>
        </w:rPr>
        <w:t xml:space="preserve">, </w:t>
      </w:r>
      <w:hyperlink r:id="rId14">
        <w:r>
          <w:rPr>
            <w:rFonts w:ascii="Palatino Linotype" w:eastAsia="Palatino Linotype" w:hAnsi="Palatino Linotype" w:cs="Palatino Linotype"/>
            <w:b/>
            <w:color w:val="000000"/>
          </w:rPr>
          <w:t>OFICIOS RECIBIDOS UT 2021.xlsx</w:t>
        </w:r>
      </w:hyperlink>
      <w:r>
        <w:rPr>
          <w:rFonts w:ascii="Palatino Linotype" w:eastAsia="Palatino Linotype" w:hAnsi="Palatino Linotype" w:cs="Palatino Linotype"/>
        </w:rPr>
        <w:t xml:space="preserve">, </w:t>
      </w:r>
      <w:hyperlink r:id="rId15">
        <w:r>
          <w:rPr>
            <w:rFonts w:ascii="Palatino Linotype" w:eastAsia="Palatino Linotype" w:hAnsi="Palatino Linotype" w:cs="Palatino Linotype"/>
            <w:b/>
            <w:color w:val="000000"/>
          </w:rPr>
          <w:t>Acta ENTREGA RECEPCIÓN AMECAMECA.pdf</w:t>
        </w:r>
      </w:hyperlink>
      <w:r>
        <w:rPr>
          <w:rFonts w:ascii="Palatino Linotype" w:eastAsia="Palatino Linotype" w:hAnsi="Palatino Linotype" w:cs="Palatino Linotype"/>
        </w:rPr>
        <w:t xml:space="preserve">, </w:t>
      </w:r>
      <w:hyperlink r:id="rId16">
        <w:r>
          <w:rPr>
            <w:rFonts w:ascii="Palatino Linotype" w:eastAsia="Palatino Linotype" w:hAnsi="Palatino Linotype" w:cs="Palatino Linotype"/>
            <w:b/>
            <w:color w:val="000000"/>
          </w:rPr>
          <w:t>OFICIOS GENERADOS UT 2019.xlsx</w:t>
        </w:r>
      </w:hyperlink>
      <w:r>
        <w:rPr>
          <w:rFonts w:ascii="Palatino Linotype" w:eastAsia="Palatino Linotype" w:hAnsi="Palatino Linotype" w:cs="Palatino Linotype"/>
        </w:rPr>
        <w:t xml:space="preserve">, </w:t>
      </w:r>
      <w:hyperlink r:id="rId17">
        <w:r>
          <w:rPr>
            <w:rFonts w:ascii="Palatino Linotype" w:eastAsia="Palatino Linotype" w:hAnsi="Palatino Linotype" w:cs="Palatino Linotype"/>
            <w:b/>
            <w:color w:val="000000"/>
          </w:rPr>
          <w:t>OFICIO SPH 252 220621.pdf</w:t>
        </w:r>
      </w:hyperlink>
      <w:r>
        <w:rPr>
          <w:rFonts w:ascii="Palatino Linotype" w:eastAsia="Palatino Linotype" w:hAnsi="Palatino Linotype" w:cs="Palatino Linotype"/>
        </w:rPr>
        <w:t xml:space="preserve">, </w:t>
      </w:r>
      <w:hyperlink r:id="rId18">
        <w:r>
          <w:rPr>
            <w:rFonts w:ascii="Palatino Linotype" w:eastAsia="Palatino Linotype" w:hAnsi="Palatino Linotype" w:cs="Palatino Linotype"/>
            <w:b/>
            <w:color w:val="000000"/>
          </w:rPr>
          <w:t>OFICIO RESPUESTA SOLICITUD 252 220621.pdf</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mismos que son del conocimiento de las partes, y serán analizado con posterioridad.</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4.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rPr>
        <w:t>El recurso de revisión se interpuso a través del SAIMEX con fec</w:t>
      </w:r>
      <w:r>
        <w:rPr>
          <w:rFonts w:ascii="Palatino Linotype" w:eastAsia="Palatino Linotype" w:hAnsi="Palatino Linotype" w:cs="Palatino Linotype"/>
        </w:rPr>
        <w:t>ha dos de julio de dos mil veintiuno, por parte del solicitante de información, quien expresó las siguientes manifestaciones:</w:t>
      </w:r>
    </w:p>
    <w:p w:rsidR="00C060E6" w:rsidRDefault="00267C40">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060E6" w:rsidRDefault="00267C40">
      <w:pPr>
        <w:spacing w:before="240" w:after="240" w:line="360" w:lineRule="auto"/>
        <w:ind w:left="992" w:right="1043"/>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a la solicitud de información</w:t>
      </w:r>
      <w:r>
        <w:rPr>
          <w:rFonts w:ascii="Palatino Linotype" w:eastAsia="Palatino Linotype" w:hAnsi="Palatino Linotype" w:cs="Palatino Linotype"/>
          <w:b/>
          <w:i/>
        </w:rPr>
        <w:t xml:space="preserve">”  </w:t>
      </w:r>
      <w:r>
        <w:rPr>
          <w:rFonts w:ascii="Palatino Linotype" w:eastAsia="Palatino Linotype" w:hAnsi="Palatino Linotype" w:cs="Palatino Linotype"/>
        </w:rPr>
        <w:t>(sic)</w:t>
      </w:r>
    </w:p>
    <w:p w:rsidR="00C060E6" w:rsidRDefault="00267C40">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C060E6" w:rsidRDefault="00267C40">
      <w:pPr>
        <w:spacing w:before="240" w:after="240" w:line="36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La negativa a la información solicitada, entrega de información incomleta, entrega o puesta a disposición de información en una modalidad o formato distinto al solicitado, La falta, deficiencia o insuficiencia de la fundamentación y/o motivación en la resp</w:t>
      </w:r>
      <w:r>
        <w:rPr>
          <w:rFonts w:ascii="Palatino Linotype" w:eastAsia="Palatino Linotype" w:hAnsi="Palatino Linotype" w:cs="Palatino Linotype"/>
          <w:i/>
          <w:color w:val="000000"/>
        </w:rPr>
        <w:t>uesta</w:t>
      </w:r>
      <w:r>
        <w:rPr>
          <w:rFonts w:ascii="Palatino Linotype" w:eastAsia="Palatino Linotype" w:hAnsi="Palatino Linotype" w:cs="Palatino Linotype"/>
          <w:b/>
          <w:i/>
        </w:rPr>
        <w:t xml:space="preserve">” </w:t>
      </w:r>
      <w:r>
        <w:rPr>
          <w:rFonts w:ascii="Palatino Linotype" w:eastAsia="Palatino Linotype" w:hAnsi="Palatino Linotype" w:cs="Palatino Linotype"/>
          <w:i/>
        </w:rPr>
        <w:t>(sic)</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5. Turno. </w:t>
      </w:r>
      <w:r>
        <w:rPr>
          <w:rFonts w:ascii="Palatino Linotype" w:eastAsia="Palatino Linotype" w:hAnsi="Palatino Linotype" w:cs="Palatino Linotype"/>
        </w:rPr>
        <w:t xml:space="preserve">De conformidad con el artículo 185 fracción VII de la Ley de Transparencia y Acceso a la Información Pública del Estado de México y Municipios vigente, el presente recurso de revisión se envió electrónicamente al Instituto de </w:t>
      </w:r>
      <w:r>
        <w:rPr>
          <w:rFonts w:ascii="Palatino Linotype" w:eastAsia="Palatino Linotype" w:hAnsi="Palatino Linotype" w:cs="Palatino Linotype"/>
        </w:rPr>
        <w:lastRenderedPageBreak/>
        <w:t>Transparencia, Acceso a la Inf</w:t>
      </w:r>
      <w:r>
        <w:rPr>
          <w:rFonts w:ascii="Palatino Linotype" w:eastAsia="Palatino Linotype" w:hAnsi="Palatino Linotype" w:cs="Palatino Linotype"/>
        </w:rPr>
        <w:t xml:space="preserve">ormación Pública y Protección de Datos Personales del Estado de México y Municipios, que por razón de turno fue asignado al Comisionado </w:t>
      </w:r>
      <w:r>
        <w:rPr>
          <w:rFonts w:ascii="Palatino Linotype" w:eastAsia="Palatino Linotype" w:hAnsi="Palatino Linotype" w:cs="Palatino Linotype"/>
          <w:b/>
        </w:rPr>
        <w:t>Javier Martínez Cruz</w:t>
      </w:r>
      <w:r>
        <w:rPr>
          <w:rFonts w:ascii="Palatino Linotype" w:eastAsia="Palatino Linotype" w:hAnsi="Palatino Linotype" w:cs="Palatino Linotype"/>
        </w:rPr>
        <w:t xml:space="preserve"> para su análisis, estudio, elaboración del proyecto y presentación ante el Pleno de este Instituto.</w:t>
      </w:r>
    </w:p>
    <w:p w:rsidR="00C060E6" w:rsidRDefault="00267C40">
      <w:pPr>
        <w:spacing w:before="240" w:after="240" w:line="360" w:lineRule="auto"/>
        <w:jc w:val="both"/>
      </w:pPr>
      <w:r>
        <w:rPr>
          <w:rFonts w:ascii="Palatino Linotype" w:eastAsia="Palatino Linotype" w:hAnsi="Palatino Linotype" w:cs="Palatino Linotype"/>
          <w:b/>
          <w:sz w:val="28"/>
          <w:szCs w:val="28"/>
        </w:rPr>
        <w:t xml:space="preserve">6. Admisión. </w:t>
      </w:r>
      <w:r>
        <w:rPr>
          <w:rFonts w:ascii="Palatino Linotype" w:eastAsia="Palatino Linotype" w:hAnsi="Palatino Linotype" w:cs="Palatino Linotype"/>
        </w:rPr>
        <w:t>Mediante auto de fecha siete de julio del año en curso, este Órgano Garante, admitió a trámite el recurso de revisión respectivo, poniéndose a disposición de las partes, para que un plazo no mayor a siete días hábiles manifieste lo que a su d</w:t>
      </w:r>
      <w:r>
        <w:rPr>
          <w:rFonts w:ascii="Palatino Linotype" w:eastAsia="Palatino Linotype" w:hAnsi="Palatino Linotype" w:cs="Palatino Linotype"/>
        </w:rPr>
        <w:t xml:space="preserve">erecho corresponda, a efecto de ofrecer pruebas, informe justificado y alegatos, lo anterior con fundamento en el artículo 185 fracciones I, II y IV de la Ley de Transparencia y Acceso a la Información Pública del Estado de México y Municipios. </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7. Manifes</w:t>
      </w:r>
      <w:r>
        <w:rPr>
          <w:rFonts w:ascii="Palatino Linotype" w:eastAsia="Palatino Linotype" w:hAnsi="Palatino Linotype" w:cs="Palatino Linotype"/>
          <w:b/>
          <w:sz w:val="28"/>
          <w:szCs w:val="28"/>
        </w:rPr>
        <w:t>taciones.</w:t>
      </w:r>
      <w:r>
        <w:t xml:space="preserve"> </w:t>
      </w:r>
      <w:r>
        <w:rPr>
          <w:rFonts w:ascii="Palatino Linotype" w:eastAsia="Palatino Linotype" w:hAnsi="Palatino Linotype" w:cs="Palatino Linotype"/>
        </w:rPr>
        <w:t>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observa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en fecha ocho y doce de julio de dos mil veintiuno, los archivos denominados </w:t>
      </w:r>
      <w:r>
        <w:rPr>
          <w:rFonts w:ascii="Palatino Linotype" w:eastAsia="Palatino Linotype" w:hAnsi="Palatino Linotype" w:cs="Palatino Linotype"/>
          <w:b/>
        </w:rPr>
        <w:t xml:space="preserve">MANIFESTACIONES 2520001.pdf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ANEXO 1.pdf, </w:t>
      </w:r>
      <w:r>
        <w:rPr>
          <w:rFonts w:ascii="Palatino Linotype" w:eastAsia="Palatino Linotype" w:hAnsi="Palatino Linotype" w:cs="Palatino Linotype"/>
        </w:rPr>
        <w:t>mismos que fueron hechos del</w:t>
      </w:r>
      <w:r>
        <w:rPr>
          <w:rFonts w:ascii="Palatino Linotype" w:eastAsia="Palatino Linotype" w:hAnsi="Palatino Linotype" w:cs="Palatino Linotype"/>
        </w:rPr>
        <w:t xml:space="preserve"> conocimiento del particular, como obra de constancias.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precisar que el particular hoy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fue omiso en manifestar alegatos u ofrecer pruebas en el momento procesal determinado para ello.</w:t>
      </w:r>
    </w:p>
    <w:p w:rsidR="00C060E6" w:rsidRDefault="00267C4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8. Returno.</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En la Segunda Sesión Extraordinaria, de fech</w:t>
      </w:r>
      <w:r>
        <w:rPr>
          <w:rFonts w:ascii="Palatino Linotype" w:eastAsia="Palatino Linotype" w:hAnsi="Palatino Linotype" w:cs="Palatino Linotype"/>
        </w:rPr>
        <w:t xml:space="preserve">a </w:t>
      </w:r>
      <w:r>
        <w:rPr>
          <w:rFonts w:ascii="Palatino Linotype" w:eastAsia="Palatino Linotype" w:hAnsi="Palatino Linotype" w:cs="Palatino Linotype"/>
          <w:b/>
        </w:rPr>
        <w:t>veintitrés de agosto de dos mil veintiuno</w:t>
      </w:r>
      <w:r>
        <w:rPr>
          <w:rFonts w:ascii="Palatino Linotype" w:eastAsia="Palatino Linotype" w:hAnsi="Palatino Linotype" w:cs="Palatino Linotype"/>
        </w:rPr>
        <w:t>, el Pleno de este Órgano Autónomo, ordenó el returno del Recurso de Revisión a la Comisionada</w:t>
      </w:r>
      <w:r>
        <w:rPr>
          <w:rFonts w:ascii="Palatino Linotype" w:eastAsia="Palatino Linotype" w:hAnsi="Palatino Linotype" w:cs="Palatino Linotype"/>
          <w:b/>
        </w:rPr>
        <w:t xml:space="preserve"> Guadalupe Ramírez Peña</w:t>
      </w:r>
      <w:r>
        <w:rPr>
          <w:rFonts w:ascii="Palatino Linotype" w:eastAsia="Palatino Linotype" w:hAnsi="Palatino Linotype" w:cs="Palatino Linotype"/>
        </w:rPr>
        <w:t>, a fin de que presentara el proyecto de resolución correspondiente.</w:t>
      </w:r>
    </w:p>
    <w:p w:rsidR="00C060E6" w:rsidRDefault="00267C40">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9. Ampliación del plazo</w:t>
      </w:r>
      <w:r>
        <w:rPr>
          <w:rFonts w:ascii="Palatino Linotype" w:eastAsia="Palatino Linotype" w:hAnsi="Palatino Linotype" w:cs="Palatino Linotype"/>
          <w:b/>
        </w:rPr>
        <w:t xml:space="preserve">. </w:t>
      </w:r>
      <w:r>
        <w:rPr>
          <w:rFonts w:ascii="Palatino Linotype" w:eastAsia="Palatino Linotype" w:hAnsi="Palatino Linotype" w:cs="Palatino Linotype"/>
        </w:rPr>
        <w:t>En</w:t>
      </w:r>
      <w:r>
        <w:rPr>
          <w:rFonts w:ascii="Palatino Linotype" w:eastAsia="Palatino Linotype" w:hAnsi="Palatino Linotype" w:cs="Palatino Linotype"/>
        </w:rPr>
        <w:t xml:space="preserve"> fecha seis de septiembre de dos mil veintiuno, con fundamento en el artículo 181, párrafo tercero de la Ley de Transparencia y Acceso a la Información Pública del Estado de México y Municipios, se acordó la ampliación del plazo para su resolución. </w:t>
      </w:r>
    </w:p>
    <w:p w:rsidR="00C060E6" w:rsidRDefault="00267C40">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10. Cierre de Instrucción. </w:t>
      </w:r>
      <w:r>
        <w:rPr>
          <w:rFonts w:ascii="Palatino Linotype" w:eastAsia="Palatino Linotype" w:hAnsi="Palatino Linotype" w:cs="Palatino Linotype"/>
        </w:rPr>
        <w:t>Una vez transcurrido el plazo otorgado para que las partes manifestaran lo que a su derecho conviniera, y siguiendo los trámites correspondientes con fundamento en el artículo 185 fracción VI de la Ley de Transparencia y Acceso a</w:t>
      </w:r>
      <w:r>
        <w:rPr>
          <w:rFonts w:ascii="Palatino Linotype" w:eastAsia="Palatino Linotype" w:hAnsi="Palatino Linotype" w:cs="Palatino Linotype"/>
        </w:rPr>
        <w:t xml:space="preserve"> la Información Pública del Estado de México y Municipios, el día dieciocho de noviembre de dos mil veintiuno se procedió a decretar el cierre de instrucción respectivo. </w:t>
      </w:r>
      <w:r>
        <w:rPr>
          <w:rFonts w:ascii="Palatino Linotype" w:eastAsia="Palatino Linotype" w:hAnsi="Palatino Linotype" w:cs="Palatino Linotype"/>
          <w:b/>
          <w:sz w:val="28"/>
          <w:szCs w:val="28"/>
        </w:rPr>
        <w:t xml:space="preserve"> </w:t>
      </w:r>
    </w:p>
    <w:p w:rsidR="00C060E6" w:rsidRDefault="00267C40">
      <w:pPr>
        <w:pStyle w:val="Ttulo2"/>
        <w:jc w:val="center"/>
        <w:rPr>
          <w:rFonts w:ascii="Palatino Linotype" w:eastAsia="Palatino Linotype" w:hAnsi="Palatino Linotype" w:cs="Palatino Linotype"/>
          <w:b/>
          <w:color w:val="000000"/>
          <w:sz w:val="24"/>
          <w:szCs w:val="24"/>
        </w:rPr>
      </w:pPr>
      <w:bookmarkStart w:id="1" w:name="_heading=h.gjdgxs" w:colFirst="0" w:colLast="0"/>
      <w:bookmarkEnd w:id="1"/>
      <w:r>
        <w:rPr>
          <w:rFonts w:ascii="Palatino Linotype" w:eastAsia="Palatino Linotype" w:hAnsi="Palatino Linotype" w:cs="Palatino Linotype"/>
          <w:b/>
          <w:color w:val="000000"/>
          <w:sz w:val="24"/>
          <w:szCs w:val="24"/>
        </w:rPr>
        <w:t>II. C O N S I D E R A N D O:</w:t>
      </w:r>
    </w:p>
    <w:p w:rsidR="00C060E6" w:rsidRDefault="00267C4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PRIMERO. Competencia</w:t>
      </w:r>
      <w:r>
        <w:rPr>
          <w:rFonts w:ascii="Palatino Linotype" w:eastAsia="Palatino Linotype" w:hAnsi="Palatino Linotype" w:cs="Palatino Linotype"/>
          <w:b/>
        </w:rPr>
        <w:t xml:space="preserve">. </w:t>
      </w:r>
      <w:r>
        <w:rPr>
          <w:rFonts w:ascii="Palatino Linotype" w:eastAsia="Palatino Linotype" w:hAnsi="Palatino Linotype" w:cs="Palatino Linotype"/>
          <w:highlight w:val="white"/>
        </w:rPr>
        <w:t>El Instituto de Transparencia, Ac</w:t>
      </w:r>
      <w:r>
        <w:rPr>
          <w:rFonts w:ascii="Palatino Linotype" w:eastAsia="Palatino Linotype" w:hAnsi="Palatino Linotype" w:cs="Palatino Linotype"/>
          <w:highlight w:val="white"/>
        </w:rPr>
        <w:t>ceso a la Información Pública y Protección de Datos Personales del Estado de México y Municipios, es competente para conocer y resolver el presente recurso de revisión interpuesto por la parte Recurrente, conforme a lo dispuesto en los artículos 6, apartad</w:t>
      </w:r>
      <w:r>
        <w:rPr>
          <w:rFonts w:ascii="Palatino Linotype" w:eastAsia="Palatino Linotype" w:hAnsi="Palatino Linotype" w:cs="Palatino Linotype"/>
          <w:highlight w:val="white"/>
        </w:rPr>
        <w:t>o A de la Constitución Política de los Estados Unidos Mexicanos; 5, párrafos trigésimo, trigésimo primero y trigésimo segundo, fracción IV y V de la Constitución Política del Estado Libre y Soberano de México; 1, 2, fracción II; 13,  29, 36, fracciones I y</w:t>
      </w:r>
      <w:r>
        <w:rPr>
          <w:rFonts w:ascii="Palatino Linotype" w:eastAsia="Palatino Linotype" w:hAnsi="Palatino Linotype" w:cs="Palatino Linotype"/>
          <w:highlight w:val="white"/>
        </w:rPr>
        <w:t xml:space="preserve">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w:t>
      </w:r>
      <w:r>
        <w:rPr>
          <w:rFonts w:ascii="Palatino Linotype" w:eastAsia="Palatino Linotype" w:hAnsi="Palatino Linotype" w:cs="Palatino Linotype"/>
          <w:highlight w:val="white"/>
        </w:rPr>
        <w:t>ión de Datos Personales del Estado de México y Municipios.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SEGUNDO. Oportunidad y Procediblidad del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rPr>
        <w:t>Previo al estudio del fondo del asunto, se procede a analizar los requisitos de oportunidad y procedibilidad que deben reunir los recur</w:t>
      </w:r>
      <w:r>
        <w:rPr>
          <w:rFonts w:ascii="Palatino Linotype" w:eastAsia="Palatino Linotype" w:hAnsi="Palatino Linotype" w:cs="Palatino Linotype"/>
        </w:rPr>
        <w:t>sos de revisión interpuestos, previstos en los artículos 178 y 180 de la Ley de Transparencia y Acceso a la Información Pública del Estado de México y Municipios.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dentro del plazo de quince días hábiles previsto en el</w:t>
      </w:r>
      <w:r>
        <w:rPr>
          <w:rFonts w:ascii="Palatino Linotype" w:eastAsia="Palatino Linotype" w:hAnsi="Palatino Linotype" w:cs="Palatino Linotype"/>
        </w:rPr>
        <w:t xml:space="preserve"> artículo 178 de la Ley de Transparencia y Acceso a la Información Pública del Estado de México y Municipios, contados a partir de la fecha en que el Sujeto Obligado emitió la respuesta, toda vez que ésta fue pronunciada el día veintidós de junio de dos mi</w:t>
      </w:r>
      <w:r>
        <w:rPr>
          <w:rFonts w:ascii="Palatino Linotype" w:eastAsia="Palatino Linotype" w:hAnsi="Palatino Linotype" w:cs="Palatino Linotype"/>
        </w:rPr>
        <w:t xml:space="preserve">l veintiuno, mientras que la </w:t>
      </w:r>
      <w:r>
        <w:rPr>
          <w:rFonts w:ascii="Palatino Linotype" w:eastAsia="Palatino Linotype" w:hAnsi="Palatino Linotype" w:cs="Palatino Linotype"/>
          <w:b/>
          <w:i/>
        </w:rPr>
        <w:t>Recurrente</w:t>
      </w:r>
      <w:r>
        <w:rPr>
          <w:rFonts w:ascii="Palatino Linotype" w:eastAsia="Palatino Linotype" w:hAnsi="Palatino Linotype" w:cs="Palatino Linotype"/>
        </w:rPr>
        <w:t xml:space="preserve"> interpuso el recurso de revisión el dos del mismo mes y año.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al considerar la fecha en que se formuló la solicitud y la fecha en la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en la que se inte</w:t>
      </w:r>
      <w:r>
        <w:rPr>
          <w:rFonts w:ascii="Palatino Linotype" w:eastAsia="Palatino Linotype" w:hAnsi="Palatino Linotype" w:cs="Palatino Linotype"/>
        </w:rPr>
        <w:t>rpuso el recurso de revisión, éste se encuentra dentro de los márgenes temporales previstos en el citado precepto legal.</w:t>
      </w:r>
    </w:p>
    <w:p w:rsidR="00C060E6" w:rsidRDefault="00267C40">
      <w:pPr>
        <w:spacing w:before="240" w:after="240" w:line="360" w:lineRule="auto"/>
        <w:jc w:val="both"/>
        <w:rPr>
          <w:rFonts w:ascii="Quattrocento Sans" w:eastAsia="Quattrocento Sans" w:hAnsi="Quattrocento Sans" w:cs="Quattrocento Sans"/>
        </w:rPr>
      </w:pPr>
      <w:r>
        <w:rPr>
          <w:rFonts w:ascii="Palatino Linotype" w:eastAsia="Palatino Linotype" w:hAnsi="Palatino Linotype" w:cs="Palatino Linotype"/>
        </w:rPr>
        <w:t>Entonces se concluye la acreditación plena de todos y cada uno de los elementos formales exigidos por el artículo 180 de la Ley de Tran</w:t>
      </w:r>
      <w:r>
        <w:rPr>
          <w:rFonts w:ascii="Palatino Linotype" w:eastAsia="Palatino Linotype" w:hAnsi="Palatino Linotype" w:cs="Palatino Linotype"/>
        </w:rPr>
        <w:t>sparencia y Acceso a la Información Pública del Estado de México y Municipios, y en consecuencia resulta conforme a derecho entrar al estudio de fondo y resolver el presente medio de impugnación, al actualizarse lo dispuesto en los artículos 176 y 179 frac</w:t>
      </w:r>
      <w:r>
        <w:rPr>
          <w:rFonts w:ascii="Palatino Linotype" w:eastAsia="Palatino Linotype" w:hAnsi="Palatino Linotype" w:cs="Palatino Linotype"/>
        </w:rPr>
        <w:t>ción V, VIII y XIII del ordenamiento legal citado, que establecen los supuestos en que puede interponerse el recurso de revisión:</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 “Artículo 176. </w:t>
      </w:r>
      <w:r>
        <w:rPr>
          <w:rFonts w:ascii="Palatino Linotype" w:eastAsia="Palatino Linotype" w:hAnsi="Palatino Linotype" w:cs="Palatino Linotype"/>
          <w:i/>
          <w:sz w:val="20"/>
          <w:szCs w:val="20"/>
        </w:rPr>
        <w:t>El recurso de revisión  es la garantía secundaria mediante la cual se pretende reparar cualquier posible afectación al derecho de acceso a la información pública en términos del presente y siguiente Capítulo.</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179</w:t>
      </w:r>
      <w:r>
        <w:rPr>
          <w:rFonts w:ascii="Palatino Linotype" w:eastAsia="Palatino Linotype" w:hAnsi="Palatino Linotype" w:cs="Palatino Linotype"/>
          <w:b/>
          <w:sz w:val="20"/>
          <w:szCs w:val="20"/>
        </w:rPr>
        <w:t>.-</w:t>
      </w:r>
      <w:r>
        <w:rPr>
          <w:rFonts w:ascii="Bookman Old Style" w:eastAsia="Bookman Old Style" w:hAnsi="Bookman Old Style" w:cs="Bookman Old Style"/>
          <w:sz w:val="18"/>
          <w:szCs w:val="18"/>
        </w:rPr>
        <w:t xml:space="preserve"> </w:t>
      </w:r>
      <w:r>
        <w:rPr>
          <w:rFonts w:ascii="Palatino Linotype" w:eastAsia="Palatino Linotype" w:hAnsi="Palatino Linotype" w:cs="Palatino Linotype"/>
          <w:i/>
          <w:sz w:val="20"/>
          <w:szCs w:val="20"/>
        </w:rPr>
        <w:t>El recurso de revisión es un med</w:t>
      </w:r>
      <w:r>
        <w:rPr>
          <w:rFonts w:ascii="Palatino Linotype" w:eastAsia="Palatino Linotype" w:hAnsi="Palatino Linotype" w:cs="Palatino Linotype"/>
          <w:i/>
          <w:sz w:val="20"/>
          <w:szCs w:val="20"/>
        </w:rPr>
        <w:t>io de protección que la Ley otorga a los particulares, para hacer valer su derecho de acceso a la información pública, y procederá en contra de las siguientes causas:</w:t>
      </w:r>
    </w:p>
    <w:p w:rsidR="00C060E6" w:rsidRDefault="00267C40">
      <w:pPr>
        <w:spacing w:after="120"/>
        <w:ind w:left="1134"/>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C060E6" w:rsidRDefault="00267C40">
      <w:pPr>
        <w:spacing w:after="120"/>
        <w:ind w:left="1134"/>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V. La entrega de información incompleta; </w:t>
      </w:r>
    </w:p>
    <w:p w:rsidR="00C060E6" w:rsidRDefault="00267C40">
      <w:pPr>
        <w:spacing w:after="120"/>
        <w:ind w:left="1134"/>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C060E6" w:rsidRDefault="00267C40">
      <w:pPr>
        <w:spacing w:after="120"/>
        <w:ind w:left="1134"/>
        <w:jc w:val="both"/>
        <w:rPr>
          <w:rFonts w:ascii="Palatino Linotype" w:eastAsia="Palatino Linotype" w:hAnsi="Palatino Linotype" w:cs="Palatino Linotype"/>
          <w:b/>
          <w:i/>
        </w:rPr>
      </w:pPr>
      <w:r>
        <w:rPr>
          <w:rFonts w:ascii="Palatino Linotype" w:eastAsia="Palatino Linotype" w:hAnsi="Palatino Linotype" w:cs="Palatino Linotype"/>
          <w:b/>
          <w:i/>
        </w:rPr>
        <w:t>VIII. La notificación, entrega o puesta</w:t>
      </w:r>
      <w:r>
        <w:rPr>
          <w:rFonts w:ascii="Palatino Linotype" w:eastAsia="Palatino Linotype" w:hAnsi="Palatino Linotype" w:cs="Palatino Linotype"/>
          <w:b/>
          <w:i/>
        </w:rPr>
        <w:t xml:space="preserve"> a disposición de información en una modalidad o formato distinto al solicitado; </w:t>
      </w:r>
    </w:p>
    <w:p w:rsidR="00C060E6" w:rsidRDefault="00267C40">
      <w:pPr>
        <w:spacing w:after="120"/>
        <w:ind w:left="1134"/>
        <w:jc w:val="both"/>
        <w:rPr>
          <w:rFonts w:ascii="Palatino Linotype" w:eastAsia="Palatino Linotype" w:hAnsi="Palatino Linotype" w:cs="Palatino Linotype"/>
          <w:b/>
          <w:i/>
        </w:rPr>
      </w:pPr>
      <w:r>
        <w:rPr>
          <w:rFonts w:ascii="Palatino Linotype" w:eastAsia="Palatino Linotype" w:hAnsi="Palatino Linotype" w:cs="Palatino Linotype"/>
          <w:b/>
          <w:i/>
        </w:rPr>
        <w:t>(…)</w:t>
      </w:r>
    </w:p>
    <w:p w:rsidR="00C060E6" w:rsidRDefault="00267C40">
      <w:pPr>
        <w:spacing w:after="120"/>
        <w:ind w:left="1134"/>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XIII. La falta, deficiencia o insuficiencia de la fundamentación y/o motivación en la respuesta; y </w:t>
      </w:r>
      <w:r>
        <w:rPr>
          <w:rFonts w:ascii="Palatino Linotype" w:eastAsia="Palatino Linotype" w:hAnsi="Palatino Linotype" w:cs="Palatino Linotype"/>
          <w:b/>
          <w:i/>
          <w:sz w:val="22"/>
          <w:szCs w:val="22"/>
        </w:rPr>
        <w:t>…”</w:t>
      </w:r>
    </w:p>
    <w:p w:rsidR="00C060E6" w:rsidRDefault="00C060E6">
      <w:pPr>
        <w:spacing w:before="240" w:after="240" w:line="360" w:lineRule="auto"/>
        <w:jc w:val="both"/>
        <w:rPr>
          <w:rFonts w:ascii="Palatino Linotype" w:eastAsia="Palatino Linotype" w:hAnsi="Palatino Linotype" w:cs="Palatino Linotype"/>
          <w:b/>
          <w:sz w:val="28"/>
          <w:szCs w:val="28"/>
        </w:rPr>
      </w:pPr>
    </w:p>
    <w:p w:rsidR="00C060E6" w:rsidRDefault="00267C40">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TERCERO. Materia de la revisión.</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realizado el análisis de las constancias que integran el expediente en que se actúa, se desprende que la resolución consiste en determinar la legalidad de la respuesta emitida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la solicitud de acceso a la información, y en su caso resolver si resulta procedente ordenar lo requerido según la manifestaciones hechas al momento de interponerse el presente medio de impugnación, de conformidad con lo dispuesto en la Ley de Transparen</w:t>
      </w:r>
      <w:r>
        <w:rPr>
          <w:rFonts w:ascii="Palatino Linotype" w:eastAsia="Palatino Linotype" w:hAnsi="Palatino Linotype" w:cs="Palatino Linotype"/>
        </w:rPr>
        <w:t>cia y Acceso a la Información Pública del Estado de México y Municipios.</w:t>
      </w:r>
    </w:p>
    <w:p w:rsidR="00C060E6" w:rsidRDefault="00C060E6">
      <w:pPr>
        <w:spacing w:before="240" w:after="240" w:line="360" w:lineRule="auto"/>
        <w:jc w:val="both"/>
        <w:rPr>
          <w:rFonts w:ascii="Palatino Linotype" w:eastAsia="Palatino Linotype" w:hAnsi="Palatino Linotype" w:cs="Palatino Linotype"/>
          <w:b/>
          <w:sz w:val="28"/>
          <w:szCs w:val="28"/>
        </w:rPr>
      </w:pPr>
    </w:p>
    <w:p w:rsidR="00C060E6" w:rsidRDefault="00267C40">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CUARTO. Estudio del asunto.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apartado se expondrán las razones y fundamentos de orden jurídico nacional y estatal que soportan la decisión de este Órgano Garante en los asunto</w:t>
      </w:r>
      <w:r>
        <w:rPr>
          <w:rFonts w:ascii="Palatino Linotype" w:eastAsia="Palatino Linotype" w:hAnsi="Palatino Linotype" w:cs="Palatino Linotype"/>
        </w:rPr>
        <w:t>s que nos ocupan, tras analizar los motivos de inconformidad del</w:t>
      </w:r>
      <w:r>
        <w:rPr>
          <w:rFonts w:ascii="Palatino Linotype" w:eastAsia="Palatino Linotype" w:hAnsi="Palatino Linotype" w:cs="Palatino Linotype"/>
          <w:b/>
        </w:rPr>
        <w:t xml:space="preserve"> </w:t>
      </w:r>
      <w:r>
        <w:rPr>
          <w:rFonts w:ascii="Palatino Linotype" w:eastAsia="Palatino Linotype" w:hAnsi="Palatino Linotype" w:cs="Palatino Linotype"/>
        </w:rPr>
        <w:t>Recurrente, los argumentos del Sujeto</w:t>
      </w:r>
      <w:r>
        <w:rPr>
          <w:rFonts w:ascii="Palatino Linotype" w:eastAsia="Palatino Linotype" w:hAnsi="Palatino Linotype" w:cs="Palatino Linotype"/>
          <w:b/>
        </w:rPr>
        <w:t xml:space="preserve"> </w:t>
      </w:r>
      <w:r>
        <w:rPr>
          <w:rFonts w:ascii="Palatino Linotype" w:eastAsia="Palatino Linotype" w:hAnsi="Palatino Linotype" w:cs="Palatino Linotype"/>
        </w:rPr>
        <w:t>Obligado</w:t>
      </w:r>
      <w:r>
        <w:rPr>
          <w:rFonts w:ascii="Palatino Linotype" w:eastAsia="Palatino Linotype" w:hAnsi="Palatino Linotype" w:cs="Palatino Linotype"/>
          <w:b/>
        </w:rPr>
        <w:t xml:space="preserve">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el marco jurídico aplicable.</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y previo al análisis de fondo de los argumentos formulados, cabe señalar, que la Unidad de Transpare</w:t>
      </w:r>
      <w:r>
        <w:rPr>
          <w:rFonts w:ascii="Palatino Linotype" w:eastAsia="Palatino Linotype" w:hAnsi="Palatino Linotype" w:cs="Palatino Linotype"/>
        </w:rPr>
        <w:t xml:space="preserv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notificó prórroga para atender la solicitud de información supuestamente pronunciada por el Comité de Transparencia, sin embargo, no se advierte que acompañara la resolución de prórroga a través de la cual informara al particular d</w:t>
      </w:r>
      <w:r>
        <w:rPr>
          <w:rFonts w:ascii="Palatino Linotype" w:eastAsia="Palatino Linotype" w:hAnsi="Palatino Linotype" w:cs="Palatino Linotype"/>
        </w:rPr>
        <w:t xml:space="preserve">e manera fundada y motivada que el plazo para la entrega de la respuesta se había ampliado, de conformidad con el artículo 163 de la Ley de Materia, por lo cual este Órgano Garante invita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que en lo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subsecuente actué con total apego </w:t>
      </w:r>
      <w:r>
        <w:rPr>
          <w:rFonts w:ascii="Palatino Linotype" w:eastAsia="Palatino Linotype" w:hAnsi="Palatino Linotype" w:cs="Palatino Linotype"/>
        </w:rPr>
        <w:t>a derecho y en estricto acatamiento al artículo 16 de la Constitución Política de los Estados Unidos Mexicanos, el cual, exige que todo acto de autoridad debe de estar debidamente fundado y motivado.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comenzar nuestro análisis cabe señalar que en térmi</w:t>
      </w:r>
      <w:r>
        <w:rPr>
          <w:rFonts w:ascii="Palatino Linotype" w:eastAsia="Palatino Linotype" w:hAnsi="Palatino Linotype" w:cs="Palatino Linotype"/>
        </w:rPr>
        <w:t>nos de los artículos 6 de la Constitución Política de los Estados Unidos Mexicanos y 5 de la Constitución Política del Estado Libre y Soberano de México, el derecho de acceso a la información pública se traduce en la facultad que tiene todas las personas d</w:t>
      </w:r>
      <w:r>
        <w:rPr>
          <w:rFonts w:ascii="Palatino Linotype" w:eastAsia="Palatino Linotype" w:hAnsi="Palatino Linotype" w:cs="Palatino Linotype"/>
        </w:rPr>
        <w:t>e solicitar, investigar, difundir, buscar y recibir información en posesión de cualquier entidad, órgano u organismos de los Poderes Ejecutivo, Legislativo y Judicial, órganos autónomos, partidos políticos, fideicomisos y fondos públicos, así como de cualq</w:t>
      </w:r>
      <w:r>
        <w:rPr>
          <w:rFonts w:ascii="Palatino Linotype" w:eastAsia="Palatino Linotype" w:hAnsi="Palatino Linotype" w:cs="Palatino Linotype"/>
        </w:rPr>
        <w:t>uier persona física, moral o sindicato que reciba y ejerza recursos públicos o realice actos de autoridad en el ámbito federal, estatal y municipal.</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el artículo 4 de la Ley de Transparencia y Acceso a la Información Pública del Estado de Méxi</w:t>
      </w:r>
      <w:r>
        <w:rPr>
          <w:rFonts w:ascii="Palatino Linotype" w:eastAsia="Palatino Linotype" w:hAnsi="Palatino Linotype" w:cs="Palatino Linotype"/>
        </w:rPr>
        <w:t>co y Municipios establece que toda la información generada, obtenida, adquirida, transformada o en posesión de los sujetos obligados es pública y sólo podrá ser clasificada como reservada temporalmente por razones de interés público</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contexto y a </w:t>
      </w:r>
      <w:r>
        <w:rPr>
          <w:rFonts w:ascii="Palatino Linotype" w:eastAsia="Palatino Linotype" w:hAnsi="Palatino Linotype" w:cs="Palatino Linotype"/>
        </w:rPr>
        <w:t>fin de resolver el asunto planteado, conviene esquematizar la solicitud de información y la respuesta, de la siguiente forma, a fin de verificar si se colman los requerimientos:</w:t>
      </w:r>
    </w:p>
    <w:tbl>
      <w:tblPr>
        <w:tblStyle w:val="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2"/>
        <w:gridCol w:w="6852"/>
      </w:tblGrid>
      <w:tr w:rsidR="00C060E6">
        <w:tc>
          <w:tcPr>
            <w:tcW w:w="0" w:type="auto"/>
          </w:tcPr>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Solicitud de Información</w:t>
            </w:r>
          </w:p>
        </w:tc>
        <w:tc>
          <w:tcPr>
            <w:tcW w:w="0" w:type="auto"/>
          </w:tcPr>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 Nombramiento de las personas titulares </w:t>
            </w:r>
            <w:r>
              <w:rPr>
                <w:rFonts w:ascii="Palatino Linotype" w:eastAsia="Palatino Linotype" w:hAnsi="Palatino Linotype" w:cs="Palatino Linotype"/>
                <w:b/>
                <w:sz w:val="20"/>
                <w:szCs w:val="20"/>
              </w:rPr>
              <w:t xml:space="preserve">de la Unidad de Transparencia de la Secretaría de Educación Pública del año 2019 a la fecha de contestación de esta solicitud. </w:t>
            </w:r>
          </w:p>
        </w:tc>
        <w:tc>
          <w:tcPr>
            <w:tcW w:w="0" w:type="auto"/>
          </w:tcPr>
          <w:p w:rsidR="00C060E6" w:rsidRDefault="00267C4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 De Emmanuel Alejandro Álvarez Aguilar, de fecha 16 de marzo de 2020.</w:t>
            </w:r>
          </w:p>
          <w:p w:rsidR="00C060E6" w:rsidRDefault="00267C4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II. De Paulina Cruz Casas, de fecha 1 de marzo de 2021.</w:t>
            </w:r>
          </w:p>
          <w:p w:rsidR="00C060E6" w:rsidRDefault="00267C4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III. De Sergio Luna Hernández, Encargado de Despacho, de 17 de junio de 2019</w:t>
            </w: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2. Lista de registro de la memoria documental de los puestos de trabajo que expidieron los nombramientos del numeral “1” donde se pueda observar numero de oficio, fecha de elaboración y asunto del año 2019 a la fecha de contestación de esta solicitud.</w:t>
            </w:r>
          </w:p>
        </w:tc>
        <w:tc>
          <w:tcPr>
            <w:tcW w:w="0" w:type="auto"/>
          </w:tcPr>
          <w:p w:rsidR="00C060E6" w:rsidRDefault="00C060E6">
            <w:pPr>
              <w:jc w:val="center"/>
              <w:rPr>
                <w:rFonts w:ascii="Palatino Linotype" w:eastAsia="Palatino Linotype" w:hAnsi="Palatino Linotype" w:cs="Palatino Linotype"/>
                <w:b/>
                <w:sz w:val="20"/>
                <w:szCs w:val="20"/>
              </w:rPr>
            </w:pP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3.</w:t>
            </w:r>
            <w:r>
              <w:rPr>
                <w:rFonts w:ascii="Palatino Linotype" w:eastAsia="Palatino Linotype" w:hAnsi="Palatino Linotype" w:cs="Palatino Linotype"/>
                <w:b/>
                <w:sz w:val="20"/>
                <w:szCs w:val="20"/>
              </w:rPr>
              <w:t xml:space="preserve"> Lista de registro de memoria documental de la Unidad de Transparencia de la Secretaría de Educación Pública donde se pueda observar numero de oficio, fecha de elaboración y asunto, del año 2019 a la fecha de contestación de esta solicitud. </w:t>
            </w:r>
          </w:p>
        </w:tc>
        <w:tc>
          <w:tcPr>
            <w:tcW w:w="0" w:type="auto"/>
          </w:tcPr>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673475" cy="177609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673475" cy="1776095"/>
                          </a:xfrm>
                          <a:prstGeom prst="rect">
                            <a:avLst/>
                          </a:prstGeom>
                          <a:ln/>
                        </pic:spPr>
                      </pic:pic>
                    </a:graphicData>
                  </a:graphic>
                </wp:inline>
              </w:drawing>
            </w:r>
          </w:p>
          <w:p w:rsidR="00C060E6" w:rsidRDefault="00C060E6">
            <w:pPr>
              <w:jc w:val="center"/>
              <w:rPr>
                <w:rFonts w:ascii="Palatino Linotype" w:eastAsia="Palatino Linotype" w:hAnsi="Palatino Linotype" w:cs="Palatino Linotype"/>
                <w:b/>
                <w:sz w:val="20"/>
                <w:szCs w:val="20"/>
              </w:rPr>
            </w:pPr>
          </w:p>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673475" cy="109347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673475" cy="1093470"/>
                          </a:xfrm>
                          <a:prstGeom prst="rect">
                            <a:avLst/>
                          </a:prstGeom>
                          <a:ln/>
                        </pic:spPr>
                      </pic:pic>
                    </a:graphicData>
                  </a:graphic>
                </wp:inline>
              </w:drawing>
            </w:r>
          </w:p>
          <w:p w:rsidR="00C060E6" w:rsidRDefault="00C060E6">
            <w:pPr>
              <w:jc w:val="center"/>
              <w:rPr>
                <w:rFonts w:ascii="Palatino Linotype" w:eastAsia="Palatino Linotype" w:hAnsi="Palatino Linotype" w:cs="Palatino Linotype"/>
                <w:b/>
                <w:sz w:val="20"/>
                <w:szCs w:val="20"/>
              </w:rPr>
            </w:pPr>
          </w:p>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673475" cy="1194435"/>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673475" cy="1194435"/>
                          </a:xfrm>
                          <a:prstGeom prst="rect">
                            <a:avLst/>
                          </a:prstGeom>
                          <a:ln/>
                        </pic:spPr>
                      </pic:pic>
                    </a:graphicData>
                  </a:graphic>
                </wp:inline>
              </w:drawing>
            </w: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4. Lista de registro de memoria documental recibida de la Unidad de Transparencia de la Secretaría de Educación Pública del año 2019 a la fecha de contestación de esta solicitud donde se pueda observar folio de recepción, numero de oficio, fecha de recepci</w:t>
            </w:r>
            <w:r>
              <w:rPr>
                <w:rFonts w:ascii="Palatino Linotype" w:eastAsia="Palatino Linotype" w:hAnsi="Palatino Linotype" w:cs="Palatino Linotype"/>
                <w:b/>
                <w:sz w:val="20"/>
                <w:szCs w:val="20"/>
              </w:rPr>
              <w:t xml:space="preserve">ón y asunto. </w:t>
            </w:r>
          </w:p>
        </w:tc>
        <w:tc>
          <w:tcPr>
            <w:tcW w:w="0" w:type="auto"/>
          </w:tcPr>
          <w:p w:rsidR="00C060E6" w:rsidRDefault="00C060E6">
            <w:pPr>
              <w:jc w:val="center"/>
              <w:rPr>
                <w:rFonts w:ascii="Palatino Linotype" w:eastAsia="Palatino Linotype" w:hAnsi="Palatino Linotype" w:cs="Palatino Linotype"/>
                <w:b/>
                <w:sz w:val="20"/>
                <w:szCs w:val="20"/>
              </w:rPr>
            </w:pPr>
          </w:p>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673475" cy="522605"/>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673475" cy="522605"/>
                          </a:xfrm>
                          <a:prstGeom prst="rect">
                            <a:avLst/>
                          </a:prstGeom>
                          <a:ln/>
                        </pic:spPr>
                      </pic:pic>
                    </a:graphicData>
                  </a:graphic>
                </wp:inline>
              </w:drawing>
            </w:r>
          </w:p>
          <w:p w:rsidR="00C060E6" w:rsidRDefault="00C060E6">
            <w:pPr>
              <w:jc w:val="center"/>
              <w:rPr>
                <w:rFonts w:ascii="Palatino Linotype" w:eastAsia="Palatino Linotype" w:hAnsi="Palatino Linotype" w:cs="Palatino Linotype"/>
                <w:b/>
                <w:sz w:val="20"/>
                <w:szCs w:val="20"/>
              </w:rPr>
            </w:pPr>
          </w:p>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673475" cy="67500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673475" cy="675005"/>
                          </a:xfrm>
                          <a:prstGeom prst="rect">
                            <a:avLst/>
                          </a:prstGeom>
                          <a:ln/>
                        </pic:spPr>
                      </pic:pic>
                    </a:graphicData>
                  </a:graphic>
                </wp:inline>
              </w:drawing>
            </w:r>
          </w:p>
          <w:p w:rsidR="00C060E6" w:rsidRDefault="00C060E6">
            <w:pPr>
              <w:jc w:val="center"/>
              <w:rPr>
                <w:rFonts w:ascii="Palatino Linotype" w:eastAsia="Palatino Linotype" w:hAnsi="Palatino Linotype" w:cs="Palatino Linotype"/>
                <w:b/>
                <w:sz w:val="20"/>
                <w:szCs w:val="20"/>
              </w:rPr>
            </w:pPr>
          </w:p>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673475" cy="798195"/>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3673475" cy="798195"/>
                          </a:xfrm>
                          <a:prstGeom prst="rect">
                            <a:avLst/>
                          </a:prstGeom>
                          <a:ln/>
                        </pic:spPr>
                      </pic:pic>
                    </a:graphicData>
                  </a:graphic>
                </wp:inline>
              </w:drawing>
            </w: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5. Lista de registro de memoria documental de la Subdirección Regional de Educación Básica Amecameca donde se pueda observar numero de oficio, fecha de elaboración y asunto, del año 2019 a la fecha de contestación de esta solicitud. </w:t>
            </w:r>
          </w:p>
        </w:tc>
        <w:tc>
          <w:tcPr>
            <w:tcW w:w="0" w:type="auto"/>
            <w:vMerge w:val="restart"/>
          </w:tcPr>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754543" cy="2056684"/>
                  <wp:effectExtent l="0" t="0" r="0" b="0"/>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754543" cy="2056684"/>
                          </a:xfrm>
                          <a:prstGeom prst="rect">
                            <a:avLst/>
                          </a:prstGeom>
                          <a:ln/>
                        </pic:spPr>
                      </pic:pic>
                    </a:graphicData>
                  </a:graphic>
                </wp:inline>
              </w:drawing>
            </w: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p w:rsidR="00C060E6" w:rsidRDefault="00C060E6">
            <w:pPr>
              <w:jc w:val="center"/>
              <w:rPr>
                <w:rFonts w:ascii="Palatino Linotype" w:eastAsia="Palatino Linotype" w:hAnsi="Palatino Linotype" w:cs="Palatino Linotype"/>
                <w:b/>
                <w:sz w:val="20"/>
                <w:szCs w:val="20"/>
              </w:rPr>
            </w:pP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6. Lista de registro de memoria documental recibida de la Subdirección Regional de Educación Básica Amecameca Pública del año 2019 a la fecha de contestación de esta solicitud donde se pueda observar folio de recepción, numero de oficio, fecha de recepción</w:t>
            </w:r>
            <w:r>
              <w:rPr>
                <w:rFonts w:ascii="Palatino Linotype" w:eastAsia="Palatino Linotype" w:hAnsi="Palatino Linotype" w:cs="Palatino Linotype"/>
                <w:b/>
                <w:sz w:val="20"/>
                <w:szCs w:val="20"/>
              </w:rPr>
              <w:t xml:space="preserve"> y asunto. </w:t>
            </w:r>
          </w:p>
        </w:tc>
        <w:tc>
          <w:tcPr>
            <w:tcW w:w="0" w:type="auto"/>
            <w:vMerge/>
          </w:tcPr>
          <w:p w:rsidR="00C060E6" w:rsidRDefault="00C060E6">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7. Nombramiento de las personas titulares de la Subdirección Regional de Educación Básica Amecameca del año 2019 a la fecha de contestación de esta solicitud. </w:t>
            </w:r>
          </w:p>
        </w:tc>
        <w:tc>
          <w:tcPr>
            <w:tcW w:w="0" w:type="auto"/>
          </w:tcPr>
          <w:p w:rsidR="00C060E6" w:rsidRDefault="00267C40">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I. De María del Refugio Martínez Chávez, de fecha 16 de abril de 2021.</w:t>
            </w:r>
          </w:p>
          <w:p w:rsidR="00C060E6" w:rsidRDefault="00C060E6">
            <w:pPr>
              <w:rPr>
                <w:rFonts w:ascii="Palatino Linotype" w:eastAsia="Palatino Linotype" w:hAnsi="Palatino Linotype" w:cs="Palatino Linotype"/>
                <w:b/>
                <w:sz w:val="20"/>
                <w:szCs w:val="20"/>
              </w:rPr>
            </w:pP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8. Procedimiento para poner a resguardo instalaciones educativas. </w:t>
            </w:r>
          </w:p>
        </w:tc>
        <w:tc>
          <w:tcPr>
            <w:tcW w:w="0" w:type="auto"/>
          </w:tcPr>
          <w:p w:rsidR="00C060E6" w:rsidRDefault="00267C40">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UT.- </w:t>
            </w:r>
            <w:r>
              <w:rPr>
                <w:rFonts w:ascii="Palatino Linotype" w:eastAsia="Palatino Linotype" w:hAnsi="Palatino Linotype" w:cs="Palatino Linotype"/>
                <w:sz w:val="20"/>
                <w:szCs w:val="20"/>
              </w:rPr>
              <w:t>es el Ejecutivo del Estado, a través de la Secretaría de Educación, quien tiene la capacidad jurídica y legitima para realizar cualquier acción referente a las instalaciones educativas</w:t>
            </w:r>
            <w:r>
              <w:rPr>
                <w:rFonts w:ascii="Palatino Linotype" w:eastAsia="Palatino Linotype" w:hAnsi="Palatino Linotype" w:cs="Palatino Linotype"/>
                <w:sz w:val="20"/>
                <w:szCs w:val="20"/>
              </w:rPr>
              <w:t>.</w:t>
            </w: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9. Procedimiento de denuncia ante el Órgano Interno de Control de la Secretaría de Educación. </w:t>
            </w:r>
          </w:p>
        </w:tc>
        <w:tc>
          <w:tcPr>
            <w:tcW w:w="0" w:type="auto"/>
          </w:tcPr>
          <w:p w:rsidR="00C060E6" w:rsidRDefault="00267C40">
            <w:pPr>
              <w:jc w:val="both"/>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 xml:space="preserve">UT.- </w:t>
            </w:r>
            <w:r>
              <w:rPr>
                <w:rFonts w:ascii="Palatino Linotype" w:eastAsia="Palatino Linotype" w:hAnsi="Palatino Linotype" w:cs="Palatino Linotype"/>
                <w:sz w:val="20"/>
                <w:szCs w:val="20"/>
              </w:rPr>
              <w:t>puede ser consultado a través de la liga de Internet siguiente: https://portal.secogem.gob.mx/sam.</w:t>
            </w:r>
          </w:p>
        </w:tc>
      </w:tr>
      <w:tr w:rsidR="00C060E6">
        <w:tc>
          <w:tcPr>
            <w:tcW w:w="0" w:type="auto"/>
          </w:tcPr>
          <w:p w:rsidR="00C060E6" w:rsidRDefault="00267C40">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10. De existir varios nombramientos en los numerales </w:t>
            </w:r>
            <w:r>
              <w:rPr>
                <w:rFonts w:ascii="Palatino Linotype" w:eastAsia="Palatino Linotype" w:hAnsi="Palatino Linotype" w:cs="Palatino Linotype"/>
                <w:b/>
                <w:sz w:val="20"/>
                <w:szCs w:val="20"/>
              </w:rPr>
              <w:t>1 y 7, se solicitan las Actas entrega recepción de los cargos.</w:t>
            </w:r>
          </w:p>
        </w:tc>
        <w:tc>
          <w:tcPr>
            <w:tcW w:w="0" w:type="auto"/>
          </w:tcPr>
          <w:p w:rsidR="00C060E6" w:rsidRDefault="00267C40">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noProof/>
                <w:sz w:val="20"/>
                <w:szCs w:val="20"/>
                <w:lang w:val="es-MX"/>
              </w:rPr>
              <w:drawing>
                <wp:inline distT="0" distB="0" distL="0" distR="0">
                  <wp:extent cx="3673475" cy="2117090"/>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673475" cy="2117090"/>
                          </a:xfrm>
                          <a:prstGeom prst="rect">
                            <a:avLst/>
                          </a:prstGeom>
                          <a:ln/>
                        </pic:spPr>
                      </pic:pic>
                    </a:graphicData>
                  </a:graphic>
                </wp:inline>
              </w:drawing>
            </w:r>
          </w:p>
          <w:p w:rsidR="00C060E6" w:rsidRDefault="00C060E6">
            <w:pPr>
              <w:jc w:val="center"/>
              <w:rPr>
                <w:rFonts w:ascii="Palatino Linotype" w:eastAsia="Palatino Linotype" w:hAnsi="Palatino Linotype" w:cs="Palatino Linotype"/>
                <w:b/>
                <w:sz w:val="20"/>
                <w:szCs w:val="20"/>
              </w:rPr>
            </w:pPr>
          </w:p>
          <w:p w:rsidR="00C060E6" w:rsidRDefault="00267C40">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Respecto de las actas de entrega-recepción de los servidores públicos que han ocupado la titularidad de la Unidad de Transparencia de la Secretaría de Educación del Gobierno del Estado de Mé</w:t>
            </w:r>
            <w:r>
              <w:rPr>
                <w:rFonts w:ascii="Palatino Linotype" w:eastAsia="Palatino Linotype" w:hAnsi="Palatino Linotype" w:cs="Palatino Linotype"/>
                <w:sz w:val="20"/>
                <w:szCs w:val="20"/>
              </w:rPr>
              <w:t>xico del año 2019 a la fecha, de conformidad con lo establecido en el artículo 6 del Reglamento para los Procesos de entrega recepción y rendición de cuentas de la administración pública del Estado de México, no obran archivos por no haberse generado, al n</w:t>
            </w:r>
            <w:r>
              <w:rPr>
                <w:rFonts w:ascii="Palatino Linotype" w:eastAsia="Palatino Linotype" w:hAnsi="Palatino Linotype" w:cs="Palatino Linotype"/>
                <w:sz w:val="20"/>
                <w:szCs w:val="20"/>
              </w:rPr>
              <w:t>o existir ni prevalecer una condición de exigencia normativa, por no encontrarse la Unidad de Transparencia dentro del organigrama de la Secretaría.</w:t>
            </w:r>
          </w:p>
        </w:tc>
      </w:tr>
    </w:tbl>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impugnó la respuesta proporcionada al considerar que la misma se encuentra incompleta, además de que se puso a disposición en un formato distinto al solicitado, y por carecer de fundamentación y motivación, actualizando así la fracción V, VIII y XIII del a</w:t>
      </w:r>
      <w:r>
        <w:rPr>
          <w:rFonts w:ascii="Palatino Linotype" w:eastAsia="Palatino Linotype" w:hAnsi="Palatino Linotype" w:cs="Palatino Linotype"/>
        </w:rPr>
        <w:t>rtículo 179 de la Ley de Transparencia y Acceso a la Información Pública del Estado de México y Municipios.</w:t>
      </w:r>
    </w:p>
    <w:p w:rsidR="00C060E6" w:rsidRDefault="00267C4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vía de informe justificado,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se ratificó la respuesta en todas y cada una de sus partes, además de adjuntarse el Acta Circunsta</w:t>
      </w:r>
      <w:r>
        <w:rPr>
          <w:rFonts w:ascii="Palatino Linotype" w:eastAsia="Palatino Linotype" w:hAnsi="Palatino Linotype" w:cs="Palatino Linotype"/>
          <w:color w:val="000000"/>
        </w:rPr>
        <w:t xml:space="preserve">nciada, de fecha veintitrés de junio de dos mil veintiuno, en la que se hace constar que el hoy </w:t>
      </w:r>
      <w:r>
        <w:rPr>
          <w:rFonts w:ascii="Palatino Linotype" w:eastAsia="Palatino Linotype" w:hAnsi="Palatino Linotype" w:cs="Palatino Linotype"/>
          <w:b/>
          <w:i/>
          <w:color w:val="000000"/>
        </w:rPr>
        <w:t xml:space="preserve">Recurrente </w:t>
      </w:r>
      <w:r>
        <w:rPr>
          <w:rFonts w:ascii="Palatino Linotype" w:eastAsia="Palatino Linotype" w:hAnsi="Palatino Linotype" w:cs="Palatino Linotype"/>
          <w:color w:val="000000"/>
        </w:rPr>
        <w:t>no se presentó en las instalaciones de la Unidad Administrativa para la consulta de la información puesta a su disposición, previamente solicitada.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destacable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negó la existencia de la información materia de las solicitudes, sino por lo contrario aceptó expresamente que contaba con ella; en tal tesitura el estudio de la naturaleza de la información se obvia.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es así ya que para llegar a determinar la entrega de la información que es solicitada a través del derecho de acceso a la información pública si bien es necesario analizar las atribuciones de los Sujetos Obligados en relación con la informació</w:t>
      </w:r>
      <w:r>
        <w:rPr>
          <w:rFonts w:ascii="Palatino Linotype" w:eastAsia="Palatino Linotype" w:hAnsi="Palatino Linotype" w:cs="Palatino Linotype"/>
        </w:rPr>
        <w:t>n que le es solicitada para determinar si cuenta con ella y si se encuentra en posibilidades de entregarla, lo cierto es que ello no es necesario si el Sujeto Obligado asume la posesión de la información.</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a efectos de resolver el asunto materia</w:t>
      </w:r>
      <w:r>
        <w:rPr>
          <w:rFonts w:ascii="Palatino Linotype" w:eastAsia="Palatino Linotype" w:hAnsi="Palatino Linotype" w:cs="Palatino Linotype"/>
        </w:rPr>
        <w:t xml:space="preserve"> del recurso de revisión que no ocupan, cabe decir, que del estudio de las actuaciones que integran el expediente electrónico, se advierten parcialmente fundados los motivos de inconformidad, bajo lo siguiente:</w:t>
      </w:r>
    </w:p>
    <w:p w:rsidR="00C060E6" w:rsidRDefault="00267C4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Con relación al requerimiento de información </w:t>
      </w:r>
      <w:r>
        <w:rPr>
          <w:rFonts w:ascii="Palatino Linotype" w:eastAsia="Palatino Linotype" w:hAnsi="Palatino Linotype" w:cs="Palatino Linotype"/>
        </w:rPr>
        <w:t xml:space="preserve">marcado con el numeral 1, se tiene que el particular solicitó el </w:t>
      </w:r>
      <w:r>
        <w:rPr>
          <w:rFonts w:ascii="Palatino Linotype" w:eastAsia="Palatino Linotype" w:hAnsi="Palatino Linotype" w:cs="Palatino Linotype"/>
          <w:b/>
        </w:rPr>
        <w:t>nombramiento de las personas titulares de la Unidad de Transparencia de la Secretaría de Educación Pública del año 2019 a la fecha de contestación de esta solicitud.</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w:t>
      </w:r>
      <w:r>
        <w:rPr>
          <w:rFonts w:ascii="Palatino Linotype" w:eastAsia="Palatino Linotype" w:hAnsi="Palatino Linotype" w:cs="Palatino Linotype"/>
          <w:b/>
        </w:rPr>
        <w:t xml:space="preserve">bligado </w:t>
      </w:r>
      <w:r>
        <w:rPr>
          <w:rFonts w:ascii="Palatino Linotype" w:eastAsia="Palatino Linotype" w:hAnsi="Palatino Linotype" w:cs="Palatino Linotype"/>
        </w:rPr>
        <w:t>remitió los nombramientos de Sergio Luna Hernández, Emmanuel Alejandro Álvarez Aguilar y Paulina Cruz Casas, bajo la carpeta NOMBRAMIENTOS UNIDAD DE TRANSPARENCIA.rar, tal cual se puede constatar en la captura de pantalla que se inserta enseguida a</w:t>
      </w:r>
      <w:r>
        <w:rPr>
          <w:rFonts w:ascii="Palatino Linotype" w:eastAsia="Palatino Linotype" w:hAnsi="Palatino Linotype" w:cs="Palatino Linotype"/>
        </w:rPr>
        <w:t xml:space="preserve"> modo de ejemplo:</w:t>
      </w:r>
    </w:p>
    <w:p w:rsidR="00C060E6" w:rsidRDefault="00267C40">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672438" cy="3184886"/>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672438" cy="3184886"/>
                    </a:xfrm>
                    <a:prstGeom prst="rect">
                      <a:avLst/>
                    </a:prstGeom>
                    <a:ln/>
                  </pic:spPr>
                </pic:pic>
              </a:graphicData>
            </a:graphic>
          </wp:inline>
        </w:drawing>
      </w:r>
    </w:p>
    <w:p w:rsidR="00C060E6" w:rsidRDefault="00C060E6">
      <w:pPr>
        <w:spacing w:before="240" w:after="240" w:line="360" w:lineRule="auto"/>
        <w:ind w:right="49"/>
        <w:jc w:val="both"/>
        <w:rPr>
          <w:rFonts w:ascii="Palatino Linotype" w:eastAsia="Palatino Linotype" w:hAnsi="Palatino Linotype" w:cs="Palatino Linotype"/>
        </w:rPr>
      </w:pP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Conforme a lo señalado, en relación con la captura de pantalla se tiene que el requerimiento de información fue atendido por la Secretaría de Educación, lo anterior, bajo la premisa de que no está obligado a nombrar al Titular bajo det</w:t>
      </w:r>
      <w:r>
        <w:rPr>
          <w:rFonts w:ascii="Palatino Linotype" w:eastAsia="Palatino Linotype" w:hAnsi="Palatino Linotype" w:cs="Palatino Linotype"/>
        </w:rPr>
        <w:t>erminados periodos, por tanto, al entregar  los nombramientos emitidos en los años 2019, 2020 y 2021, de los Titulares de la Unidad de Transparencia, se tiene por atendido el requerimiento, considerando que este Instituto no está facultado para dudar de ve</w:t>
      </w:r>
      <w:r>
        <w:rPr>
          <w:rFonts w:ascii="Palatino Linotype" w:eastAsia="Palatino Linotype" w:hAnsi="Palatino Linotype" w:cs="Palatino Linotype"/>
        </w:rPr>
        <w:t>racidad de la información entregada.</w:t>
      </w:r>
    </w:p>
    <w:p w:rsidR="00C060E6" w:rsidRDefault="00267C40">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rPr>
        <w:t xml:space="preserve">En lo que respecta al numeral 2, de los requerimientos, el particular solicitó la </w:t>
      </w:r>
      <w:r>
        <w:rPr>
          <w:rFonts w:ascii="Palatino Linotype" w:eastAsia="Palatino Linotype" w:hAnsi="Palatino Linotype" w:cs="Palatino Linotype"/>
          <w:b/>
        </w:rPr>
        <w:t>lista de registro de la memoria documental de los puestos de trabajo que expidieron los nombramientos del numeral “1” donde se pueda obse</w:t>
      </w:r>
      <w:r>
        <w:rPr>
          <w:rFonts w:ascii="Palatino Linotype" w:eastAsia="Palatino Linotype" w:hAnsi="Palatino Linotype" w:cs="Palatino Linotype"/>
          <w:b/>
        </w:rPr>
        <w:t>rvar numero de oficio, fecha de elaboración y asunto del año 2019 a la fecha de contestación de esta solicitud.</w:t>
      </w:r>
    </w:p>
    <w:p w:rsidR="00C060E6" w:rsidRDefault="00267C40">
      <w:pPr>
        <w:spacing w:before="240" w:after="240" w:line="360" w:lineRule="auto"/>
        <w:ind w:right="51"/>
        <w:jc w:val="both"/>
        <w:rPr>
          <w:rFonts w:ascii="Palatino Linotype" w:eastAsia="Palatino Linotype" w:hAnsi="Palatino Linotype" w:cs="Palatino Linotype"/>
          <w:i/>
        </w:rPr>
      </w:pPr>
      <w:r>
        <w:rPr>
          <w:rFonts w:ascii="Palatino Linotype" w:eastAsia="Palatino Linotype" w:hAnsi="Palatino Linotype" w:cs="Palatino Linotype"/>
        </w:rPr>
        <w:t>Al respecto, tanto del oficio remitido en respuesta suscrito por el titular de la Unidad de Transparencia, como de lo aseverado en informe justi</w:t>
      </w:r>
      <w:r>
        <w:rPr>
          <w:rFonts w:ascii="Palatino Linotype" w:eastAsia="Palatino Linotype" w:hAnsi="Palatino Linotype" w:cs="Palatino Linotype"/>
        </w:rPr>
        <w:t xml:space="preserve">ficado, se tiene que en este punto, se informó que se entregaba la </w:t>
      </w:r>
      <w:r>
        <w:rPr>
          <w:rFonts w:ascii="Palatino Linotype" w:eastAsia="Palatino Linotype" w:hAnsi="Palatino Linotype" w:cs="Palatino Linotype"/>
          <w:i/>
        </w:rPr>
        <w:t>lista de registro de memoria documental generada en la Unidad de Transparencia de la Secretaría de Educación, la cual contiene numero de oficio, fecha de elaboración y asunto.</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Empero, de la interpretación al requerimiento en análisis, se tiene que el particular desea tener acceso a la lista de registro de la memoria documental del titular de la Secretaría de Educación y del Secretario Técnico, en virtud de que dichos Servidores </w:t>
      </w:r>
      <w:r>
        <w:rPr>
          <w:rFonts w:ascii="Palatino Linotype" w:eastAsia="Palatino Linotype" w:hAnsi="Palatino Linotype" w:cs="Palatino Linotype"/>
        </w:rPr>
        <w:t>Públicos fueron los expidieron los nombramiento de los titulares de la Unidad de Transparencia, como se advierte de las siguientes capturas de pantalla y de la inserta con anterioridad:</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143250"/>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612130" cy="3143250"/>
                    </a:xfrm>
                    <a:prstGeom prst="rect">
                      <a:avLst/>
                    </a:prstGeom>
                    <a:ln/>
                  </pic:spPr>
                </pic:pic>
              </a:graphicData>
            </a:graphic>
          </wp:inline>
        </w:drawing>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se advierte que, si bien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aseve</w:t>
      </w:r>
      <w:r>
        <w:rPr>
          <w:rFonts w:ascii="Palatino Linotype" w:eastAsia="Palatino Linotype" w:hAnsi="Palatino Linotype" w:cs="Palatino Linotype"/>
        </w:rPr>
        <w:t>ro que enviaba la información relacionada con el requerimiento en análisis, aceptando que genera, posee y administra lo solicitado, también lo es, que la misma no atiende el requerimiento de información por no encontrarse relacionada con las Unidad Adminis</w:t>
      </w:r>
      <w:r>
        <w:rPr>
          <w:rFonts w:ascii="Palatino Linotype" w:eastAsia="Palatino Linotype" w:hAnsi="Palatino Linotype" w:cs="Palatino Linotype"/>
        </w:rPr>
        <w:t>trativas de las que solicitó el particular.</w:t>
      </w:r>
    </w:p>
    <w:p w:rsidR="00C060E6" w:rsidRDefault="00267C40">
      <w:pPr>
        <w:spacing w:before="240" w:after="240" w:line="360" w:lineRule="auto"/>
        <w:ind w:right="51" w:firstLine="1"/>
        <w:jc w:val="both"/>
        <w:rPr>
          <w:rFonts w:ascii="Palatino Linotype" w:eastAsia="Palatino Linotype" w:hAnsi="Palatino Linotype" w:cs="Palatino Linotype"/>
        </w:rPr>
      </w:pPr>
      <w:r>
        <w:rPr>
          <w:rFonts w:ascii="Palatino Linotype" w:eastAsia="Palatino Linotype" w:hAnsi="Palatino Linotype" w:cs="Palatino Linotype"/>
        </w:rPr>
        <w:t>Al respecto, la Ley de Archivos y Administración Documental del Estado de México y Municipios, establece lo siguiente:</w:t>
      </w:r>
    </w:p>
    <w:p w:rsidR="00C060E6" w:rsidRDefault="00267C40">
      <w:pPr>
        <w:spacing w:after="120"/>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“Artículo 1. </w:t>
      </w:r>
      <w:r>
        <w:rPr>
          <w:rFonts w:ascii="Palatino Linotype" w:eastAsia="Palatino Linotype" w:hAnsi="Palatino Linotype" w:cs="Palatino Linotype"/>
          <w:i/>
          <w:sz w:val="20"/>
          <w:szCs w:val="20"/>
        </w:rPr>
        <w:t>La presente Ley es de orden público y de observancia general en el Estado de Méx</w:t>
      </w:r>
      <w:r>
        <w:rPr>
          <w:rFonts w:ascii="Palatino Linotype" w:eastAsia="Palatino Linotype" w:hAnsi="Palatino Linotype" w:cs="Palatino Linotype"/>
          <w:i/>
          <w:sz w:val="20"/>
          <w:szCs w:val="20"/>
        </w:rPr>
        <w:t>ico, y tiene por objeto establecer la organización, conservación, administración y preservación homogénea de los Archivos en posesión de cualquier autoridad, entidad, órgano y organismo de los poderes Legislativo, Ejecutivo y Judicial, órganos autónomos, p</w:t>
      </w:r>
      <w:r>
        <w:rPr>
          <w:rFonts w:ascii="Palatino Linotype" w:eastAsia="Palatino Linotype" w:hAnsi="Palatino Linotype" w:cs="Palatino Linotype"/>
          <w:i/>
          <w:sz w:val="20"/>
          <w:szCs w:val="20"/>
        </w:rPr>
        <w:t>artidos políticos, fideicomisos y fondos públicos, así como de cualquier persona física, jurídica colectiva o sindicato que reciba y ejerza recursos públicos o realice actos de autoridad del Estado de México y municipios. Así como determinar las bases de o</w:t>
      </w:r>
      <w:r>
        <w:rPr>
          <w:rFonts w:ascii="Palatino Linotype" w:eastAsia="Palatino Linotype" w:hAnsi="Palatino Linotype" w:cs="Palatino Linotype"/>
          <w:i/>
          <w:sz w:val="20"/>
          <w:szCs w:val="20"/>
        </w:rPr>
        <w:t>rganización y funcionamiento del Sistema Estatal de Archivos y fomentar el resguardo, difusión y acceso público de Archivos privados de relevancia histórica, social, cultural, científica y técnica estatal.</w:t>
      </w:r>
    </w:p>
    <w:p w:rsidR="00C060E6" w:rsidRDefault="00267C40">
      <w:pPr>
        <w:spacing w:after="120"/>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Artículo 2. </w:t>
      </w:r>
      <w:r>
        <w:rPr>
          <w:rFonts w:ascii="Palatino Linotype" w:eastAsia="Palatino Linotype" w:hAnsi="Palatino Linotype" w:cs="Palatino Linotype"/>
          <w:i/>
          <w:sz w:val="20"/>
          <w:szCs w:val="20"/>
        </w:rPr>
        <w:t xml:space="preserve">Son objetivos de esta Ley: </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 Promover el uso de métodos y técnicas archivísticas encaminadas al desarrollo de sistemas de Archivos que garanticen la organización, conservación, disponibilidad, integridad y localización expedita, de los Documentos de Archivo que poseen los Sujetos O</w:t>
      </w:r>
      <w:r>
        <w:rPr>
          <w:rFonts w:ascii="Palatino Linotype" w:eastAsia="Palatino Linotype" w:hAnsi="Palatino Linotype" w:cs="Palatino Linotype"/>
          <w:i/>
          <w:sz w:val="20"/>
          <w:szCs w:val="20"/>
        </w:rPr>
        <w:t>bligados, contribuyendo a la eficiencia y eficacia de la administración pública, la correcta gestión gubernamental y el avance institucional;</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VII. Promover la organización, conservación, difusión y divulgación del Patrimonio Documental del Estado de Mé</w:t>
      </w:r>
      <w:r>
        <w:rPr>
          <w:rFonts w:ascii="Palatino Linotype" w:eastAsia="Palatino Linotype" w:hAnsi="Palatino Linotype" w:cs="Palatino Linotype"/>
          <w:i/>
          <w:sz w:val="20"/>
          <w:szCs w:val="20"/>
        </w:rPr>
        <w:t>xico y sus municipios;</w:t>
      </w:r>
    </w:p>
    <w:p w:rsidR="00C060E6" w:rsidRDefault="00267C40">
      <w:pPr>
        <w:spacing w:after="120"/>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Artículo 4. </w:t>
      </w:r>
      <w:r>
        <w:rPr>
          <w:rFonts w:ascii="Palatino Linotype" w:eastAsia="Palatino Linotype" w:hAnsi="Palatino Linotype" w:cs="Palatino Linotype"/>
          <w:i/>
          <w:sz w:val="20"/>
          <w:szCs w:val="20"/>
        </w:rPr>
        <w:t>Además de las definiciones previstas en la Ley General, para los efectos de esta Ley se entenderá por:</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 Actividad Archivística: Al conjunto de acciones encaminadas a administrar, organizar, conservar y difundir Doc</w:t>
      </w:r>
      <w:r>
        <w:rPr>
          <w:rFonts w:ascii="Palatino Linotype" w:eastAsia="Palatino Linotype" w:hAnsi="Palatino Linotype" w:cs="Palatino Linotype"/>
          <w:i/>
          <w:sz w:val="20"/>
          <w:szCs w:val="20"/>
        </w:rPr>
        <w:t xml:space="preserve">umentos de Archivo; </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III. Administración de Archivos: Al conjunto de estrategias organizacionales dirigidas a la planeación, dirección y control de los recursos físicos, técnicos, tecnológicos, financieros y del talento humano, para el eficiente funcionami</w:t>
      </w:r>
      <w:r>
        <w:rPr>
          <w:rFonts w:ascii="Palatino Linotype" w:eastAsia="Palatino Linotype" w:hAnsi="Palatino Linotype" w:cs="Palatino Linotype"/>
          <w:i/>
          <w:sz w:val="20"/>
          <w:szCs w:val="20"/>
        </w:rPr>
        <w:t xml:space="preserve">ento de los Archivos; </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after="120"/>
        <w:ind w:left="1134"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XXIV. Documento de Archivo: Al documento que registra cualquier hecho, acto administrativo, jurídico, fiscal o contable, producido, recibido y utilizado por cualquier Sujeto Obligado en el ejercicio de sus facultades, competencia</w:t>
      </w:r>
      <w:r>
        <w:rPr>
          <w:rFonts w:ascii="Palatino Linotype" w:eastAsia="Palatino Linotype" w:hAnsi="Palatino Linotype" w:cs="Palatino Linotype"/>
          <w:i/>
          <w:sz w:val="20"/>
          <w:szCs w:val="20"/>
        </w:rPr>
        <w:t>s o funciones, con independencia de su Soporte Documental;</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7.</w:t>
      </w:r>
      <w:r>
        <w:rPr>
          <w:rFonts w:ascii="Palatino Linotype" w:eastAsia="Palatino Linotype" w:hAnsi="Palatino Linotype" w:cs="Palatino Linotype"/>
          <w:i/>
          <w:sz w:val="20"/>
          <w:szCs w:val="20"/>
        </w:rPr>
        <w:t xml:space="preserve"> Los Sujetos Obligados deberán producir, registrar, organizar y conservar los Documentos de Archivo sobre todo acto que derive del ejercicio de sus facultades, competencias o funciones d</w:t>
      </w:r>
      <w:r>
        <w:rPr>
          <w:rFonts w:ascii="Palatino Linotype" w:eastAsia="Palatino Linotype" w:hAnsi="Palatino Linotype" w:cs="Palatino Linotype"/>
          <w:i/>
          <w:sz w:val="20"/>
          <w:szCs w:val="20"/>
        </w:rPr>
        <w:t>e acuerdo con lo establecido en las disposiciones jurídicas aplicables.</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20.</w:t>
      </w:r>
      <w:r>
        <w:rPr>
          <w:rFonts w:ascii="Palatino Linotype" w:eastAsia="Palatino Linotype" w:hAnsi="Palatino Linotype" w:cs="Palatino Linotype"/>
          <w:i/>
          <w:sz w:val="20"/>
          <w:szCs w:val="20"/>
        </w:rPr>
        <w:t xml:space="preserve"> El Sistema Institucional es el conjunto de registros, procesos, procedimientos, criterios, estructuras, herramientas y funciones que desarrolla cada Sujeto Obligado y sust</w:t>
      </w:r>
      <w:r>
        <w:rPr>
          <w:rFonts w:ascii="Palatino Linotype" w:eastAsia="Palatino Linotype" w:hAnsi="Palatino Linotype" w:cs="Palatino Linotype"/>
          <w:i/>
          <w:sz w:val="20"/>
          <w:szCs w:val="20"/>
        </w:rPr>
        <w:t xml:space="preserve">enta la Actividad Archivística, de acuerdo con los procesos de Gestión Documental. </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Todos los Documentos de Archivo en posesión de los Sujetos Obligados formarán parte del Sistema Institucional; deberán agruparse en Expedientes de manera lógica y cronológi</w:t>
      </w:r>
      <w:r>
        <w:rPr>
          <w:rFonts w:ascii="Palatino Linotype" w:eastAsia="Palatino Linotype" w:hAnsi="Palatino Linotype" w:cs="Palatino Linotype"/>
          <w:i/>
          <w:sz w:val="20"/>
          <w:szCs w:val="20"/>
        </w:rPr>
        <w:t>ca, y relacionarse con un mismo asunto, reflejando con exactitud la información contenida en ellos, en los términos que establezca el Consejo Estatal y las disposiciones jurídicas aplicables.”</w:t>
      </w:r>
    </w:p>
    <w:p w:rsidR="00C060E6" w:rsidRDefault="00267C40">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los preceptos jurídicos invocados con anterioridad se despre</w:t>
      </w:r>
      <w:r>
        <w:rPr>
          <w:rFonts w:ascii="Palatino Linotype" w:eastAsia="Palatino Linotype" w:hAnsi="Palatino Linotype" w:cs="Palatino Linotype"/>
          <w:color w:val="000000"/>
        </w:rPr>
        <w:t>nde que la Ley que regula los documentos en el Estado indica que es de orden público y de observancia general, cuyo objeto es la organización, conservación, administración y preservación homogénea de los Archivos en posesión de cualquier autoridades del Es</w:t>
      </w:r>
      <w:r>
        <w:rPr>
          <w:rFonts w:ascii="Palatino Linotype" w:eastAsia="Palatino Linotype" w:hAnsi="Palatino Linotype" w:cs="Palatino Linotype"/>
          <w:color w:val="000000"/>
        </w:rPr>
        <w:t>tado y municipios, entre los que por tanto se ubica al Sujeto Obligado.</w:t>
      </w:r>
    </w:p>
    <w:p w:rsidR="00C060E6" w:rsidRDefault="00267C4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instituciones encargadas de la administración de documentos, deben promover el uso de métodos y técnicas archivísticas encaminadas al desarrollo de sistemas de Archivos que garanticen la organización, conservación, disponibilidad, integridad y loc</w:t>
      </w:r>
      <w:r>
        <w:rPr>
          <w:rFonts w:ascii="Palatino Linotype" w:eastAsia="Palatino Linotype" w:hAnsi="Palatino Linotype" w:cs="Palatino Linotype"/>
        </w:rPr>
        <w:t>alización expedita, de los documentos, en el entendido que la administración no solo implica la generación y resguardo de los documentos, sino también el inventario, registro, organización, conservación y difusión.</w:t>
      </w:r>
    </w:p>
    <w:p w:rsidR="00C060E6" w:rsidRDefault="00267C4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mismo, los documentos generados por l</w:t>
      </w:r>
      <w:r>
        <w:rPr>
          <w:rFonts w:ascii="Palatino Linotype" w:eastAsia="Palatino Linotype" w:hAnsi="Palatino Linotype" w:cs="Palatino Linotype"/>
        </w:rPr>
        <w:t>as instituciones en este caso por la Secretaría de Educación, debieron ser registrados en el acto de su generación, indicando en todo momento el destino de éstos, para un control específico y puntual de dichos documentos.</w:t>
      </w:r>
    </w:p>
    <w:p w:rsidR="00C060E6" w:rsidRDefault="00267C40">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si bien no hay un ordena</w:t>
      </w:r>
      <w:r>
        <w:rPr>
          <w:rFonts w:ascii="Palatino Linotype" w:eastAsia="Palatino Linotype" w:hAnsi="Palatino Linotype" w:cs="Palatino Linotype"/>
          <w:color w:val="000000"/>
        </w:rPr>
        <w:t xml:space="preserve">miento jurídico que de manera expresa tenga una disposición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genere un documento y/o lista de registro, también es importante hacer ver que el marco jurídico antes citado establece las bases mínimas para registrar, concentrar y a</w:t>
      </w:r>
      <w:r>
        <w:rPr>
          <w:rFonts w:ascii="Palatino Linotype" w:eastAsia="Palatino Linotype" w:hAnsi="Palatino Linotype" w:cs="Palatino Linotype"/>
          <w:color w:val="000000"/>
        </w:rPr>
        <w:t>dministrar el material documental y dicha ley es el instrumento jurídico que norma el archivo y la administración de los documentos.</w:t>
      </w:r>
    </w:p>
    <w:p w:rsidR="00C060E6" w:rsidRDefault="00267C40">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ahí que, resulte procedente ordenar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documento en donde conste, el listado de la memoria documental en donde conste el numero de oficio, fecha de elaboración y asunto, suscritos por los Servidores Públicos que emitieron los nombramientos entregados como respuesta en el numeral 1, en armonía </w:t>
      </w:r>
      <w:r>
        <w:rPr>
          <w:rFonts w:ascii="Palatino Linotype" w:eastAsia="Palatino Linotype" w:hAnsi="Palatino Linotype" w:cs="Palatino Linotype"/>
          <w:color w:val="000000"/>
        </w:rPr>
        <w:t>con el principio de máxima publicidad de la información que rige la materia de acceso a la información pública, conforme a obre en sus archivos, bajo el  Criterio 16/17 emitido por el Instituto Nacional de Transparencia, Acceso a la Información y Protecció</w:t>
      </w:r>
      <w:r>
        <w:rPr>
          <w:rFonts w:ascii="Palatino Linotype" w:eastAsia="Palatino Linotype" w:hAnsi="Palatino Linotype" w:cs="Palatino Linotype"/>
          <w:color w:val="000000"/>
        </w:rPr>
        <w:t>n de Datos Personales (INAI), que lleva rubro y texto, los que a continuación se insertan:</w:t>
      </w:r>
    </w:p>
    <w:p w:rsidR="00C060E6" w:rsidRDefault="00267C40">
      <w:pPr>
        <w:tabs>
          <w:tab w:val="left" w:pos="7513"/>
          <w:tab w:val="left" w:pos="765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“Expresión documental. </w:t>
      </w:r>
      <w:r>
        <w:rPr>
          <w:rFonts w:ascii="Palatino Linotype" w:eastAsia="Palatino Linotype" w:hAnsi="Palatino Linotype" w:cs="Palatino Linotype"/>
          <w:i/>
          <w:sz w:val="22"/>
          <w:szCs w:val="22"/>
        </w:rPr>
        <w:t>Cuando</w:t>
      </w:r>
      <w:r>
        <w:rPr>
          <w:rFonts w:ascii="Palatino Linotype" w:eastAsia="Palatino Linotype" w:hAnsi="Palatino Linotype" w:cs="Palatino Linotype"/>
          <w:i/>
          <w:color w:val="000000"/>
          <w:sz w:val="22"/>
          <w:szCs w:val="22"/>
        </w:rPr>
        <w:t xml:space="preserve"> los particulares presenten solicitudes de acceso a la información sin identificar de forma precisa la documentación que pudiera contene</w:t>
      </w:r>
      <w:r>
        <w:rPr>
          <w:rFonts w:ascii="Palatino Linotype" w:eastAsia="Palatino Linotype" w:hAnsi="Palatino Linotype" w:cs="Palatino Linotype"/>
          <w:i/>
          <w:color w:val="000000"/>
          <w:sz w:val="22"/>
          <w:szCs w:val="22"/>
        </w:rPr>
        <w:t xml:space="preserve">r la información de su interés, </w:t>
      </w:r>
      <w:r>
        <w:rPr>
          <w:rFonts w:ascii="Palatino Linotype" w:eastAsia="Palatino Linotype" w:hAnsi="Palatino Linotype" w:cs="Palatino Linotype"/>
          <w:i/>
          <w:sz w:val="22"/>
          <w:szCs w:val="22"/>
        </w:rPr>
        <w:t>o bien, la solicitud constituya una consulta,</w:t>
      </w:r>
      <w:r>
        <w:rPr>
          <w:rFonts w:ascii="Palatino Linotype" w:eastAsia="Palatino Linotype" w:hAnsi="Palatino Linotype" w:cs="Palatino Linotype"/>
          <w:i/>
          <w:color w:val="000000"/>
          <w:sz w:val="22"/>
          <w:szCs w:val="22"/>
        </w:rPr>
        <w:t xml:space="preserve"> pero la respuesta pudiera obrar en algún documento en poder de los sujetos obligados, éstos deben dar a dichas solicitudes una interpretación que les otorgue una expresión docume</w:t>
      </w:r>
      <w:r>
        <w:rPr>
          <w:rFonts w:ascii="Palatino Linotype" w:eastAsia="Palatino Linotype" w:hAnsi="Palatino Linotype" w:cs="Palatino Linotype"/>
          <w:i/>
          <w:color w:val="000000"/>
          <w:sz w:val="22"/>
          <w:szCs w:val="22"/>
        </w:rPr>
        <w:t>ntal.</w:t>
      </w:r>
      <w:r>
        <w:rPr>
          <w:rFonts w:ascii="Palatino Linotype" w:eastAsia="Palatino Linotype" w:hAnsi="Palatino Linotype" w:cs="Palatino Linotype"/>
          <w:i/>
          <w:sz w:val="22"/>
          <w:szCs w:val="22"/>
        </w:rPr>
        <w:t>”</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Concatenado con el marco jurídico previamente analizado, resulta conveniente recordar que bajo el numeral 3 el particular solicitó la </w:t>
      </w:r>
      <w:r>
        <w:rPr>
          <w:rFonts w:ascii="Palatino Linotype" w:eastAsia="Palatino Linotype" w:hAnsi="Palatino Linotype" w:cs="Palatino Linotype"/>
          <w:b/>
        </w:rPr>
        <w:t>lista de registro de memoria documental de la Unidad de Transparencia de la Secretaría de Educación Pública donde s</w:t>
      </w:r>
      <w:r>
        <w:rPr>
          <w:rFonts w:ascii="Palatino Linotype" w:eastAsia="Palatino Linotype" w:hAnsi="Palatino Linotype" w:cs="Palatino Linotype"/>
          <w:b/>
        </w:rPr>
        <w:t>e pueda observar número de oficio, fecha de elaboración y asunto, del año 2019 a la fecha de contestación de esta solicitud</w:t>
      </w:r>
      <w:r>
        <w:rPr>
          <w:rFonts w:ascii="Palatino Linotype" w:eastAsia="Palatino Linotype" w:hAnsi="Palatino Linotype" w:cs="Palatino Linotype"/>
        </w:rPr>
        <w:t>.</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 efectos de atender el requerimiento en cuestión, el particular envió los que de manera sucinta se inserta enseguida mediante capt</w:t>
      </w:r>
      <w:r>
        <w:rPr>
          <w:rFonts w:ascii="Palatino Linotype" w:eastAsia="Palatino Linotype" w:hAnsi="Palatino Linotype" w:cs="Palatino Linotype"/>
        </w:rPr>
        <w:t>ura de pantalla:</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noProof/>
          <w:sz w:val="20"/>
          <w:szCs w:val="20"/>
          <w:lang w:val="es-MX"/>
        </w:rPr>
        <w:drawing>
          <wp:inline distT="0" distB="0" distL="0" distR="0">
            <wp:extent cx="5591175" cy="1524000"/>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591175" cy="1524000"/>
                    </a:xfrm>
                    <a:prstGeom prst="rect">
                      <a:avLst/>
                    </a:prstGeom>
                    <a:ln/>
                  </pic:spPr>
                </pic:pic>
              </a:graphicData>
            </a:graphic>
          </wp:inline>
        </w:drawing>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noProof/>
          <w:sz w:val="20"/>
          <w:szCs w:val="20"/>
          <w:lang w:val="es-MX"/>
        </w:rPr>
        <w:drawing>
          <wp:inline distT="0" distB="0" distL="0" distR="0">
            <wp:extent cx="5591175" cy="1314450"/>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591175" cy="1314450"/>
                    </a:xfrm>
                    <a:prstGeom prst="rect">
                      <a:avLst/>
                    </a:prstGeom>
                    <a:ln/>
                  </pic:spPr>
                </pic:pic>
              </a:graphicData>
            </a:graphic>
          </wp:inline>
        </w:drawing>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noProof/>
          <w:sz w:val="20"/>
          <w:szCs w:val="20"/>
          <w:lang w:val="es-MX"/>
        </w:rPr>
        <w:drawing>
          <wp:inline distT="0" distB="0" distL="0" distR="0">
            <wp:extent cx="5591175" cy="1514475"/>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591175" cy="1514475"/>
                    </a:xfrm>
                    <a:prstGeom prst="rect">
                      <a:avLst/>
                    </a:prstGeom>
                    <a:ln/>
                  </pic:spPr>
                </pic:pic>
              </a:graphicData>
            </a:graphic>
          </wp:inline>
        </w:drawing>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Conforme a lo anterior, si bien lo entregado atiende parte de los puntos requeridos en el requerimiento, como lo es, numero de oficio y fecha de elaboración, además de que corresponde con los años solicitados, también cierto lo es, que no contiene el asunt</w:t>
      </w:r>
      <w:r>
        <w:rPr>
          <w:rFonts w:ascii="Palatino Linotype" w:eastAsia="Palatino Linotype" w:hAnsi="Palatino Linotype" w:cs="Palatino Linotype"/>
        </w:rPr>
        <w:t>o.</w:t>
      </w:r>
    </w:p>
    <w:p w:rsidR="00C060E6" w:rsidRDefault="00267C40">
      <w:pPr>
        <w:spacing w:line="360" w:lineRule="auto"/>
        <w:jc w:val="both"/>
        <w:rPr>
          <w:rFonts w:ascii="Palatino Linotype" w:eastAsia="Palatino Linotype" w:hAnsi="Palatino Linotype" w:cs="Palatino Linotype"/>
          <w:b/>
          <w:color w:val="222222"/>
        </w:rPr>
      </w:pPr>
      <w:r>
        <w:rPr>
          <w:rFonts w:ascii="Palatino Linotype" w:eastAsia="Palatino Linotype" w:hAnsi="Palatino Linotype" w:cs="Palatino Linotype"/>
        </w:rPr>
        <w:t>En dichas circunstancias, n</w:t>
      </w:r>
      <w:r>
        <w:rPr>
          <w:rFonts w:ascii="Palatino Linotype" w:eastAsia="Palatino Linotype" w:hAnsi="Palatino Linotype" w:cs="Palatino Linotype"/>
          <w:color w:val="222222"/>
        </w:rPr>
        <w:t xml:space="preserve">o se omite comentar que el derecho de acceso a la información pública se satisface con entregar el soporte documental en el que consta la información pública y que conforme al artículo 12 de la Ley de Transparencia y Acceso a </w:t>
      </w:r>
      <w:r>
        <w:rPr>
          <w:rFonts w:ascii="Palatino Linotype" w:eastAsia="Palatino Linotype" w:hAnsi="Palatino Linotype" w:cs="Palatino Linotype"/>
          <w:color w:val="222222"/>
        </w:rPr>
        <w:t xml:space="preserve">la Información Pública del Estado de México y Municipios, </w:t>
      </w:r>
      <w:r>
        <w:rPr>
          <w:rFonts w:ascii="Palatino Linotype" w:eastAsia="Palatino Linotype" w:hAnsi="Palatino Linotype" w:cs="Palatino Linotype"/>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La obligación de proporcionar información no </w:t>
      </w:r>
      <w:r>
        <w:rPr>
          <w:rFonts w:ascii="Palatino Linotype" w:eastAsia="Palatino Linotype" w:hAnsi="Palatino Linotype" w:cs="Palatino Linotype"/>
        </w:rPr>
        <w:t>comprende el procesamiento de la misma, ni el presentarla conforme al interés del solicitante; no estarán obligados a generarla, resumirla, efectuar cálculos o practicar investigaciones.</w:t>
      </w:r>
    </w:p>
    <w:p w:rsidR="00C060E6" w:rsidRDefault="00C060E6">
      <w:pPr>
        <w:spacing w:line="360" w:lineRule="auto"/>
        <w:jc w:val="both"/>
        <w:rPr>
          <w:rFonts w:ascii="Palatino Linotype" w:eastAsia="Palatino Linotype" w:hAnsi="Palatino Linotype" w:cs="Palatino Linotype"/>
          <w:color w:val="222222"/>
          <w:sz w:val="4"/>
          <w:szCs w:val="4"/>
        </w:rPr>
      </w:pPr>
    </w:p>
    <w:p w:rsidR="00C060E6" w:rsidRDefault="00267C40">
      <w:pPr>
        <w:spacing w:after="200" w:line="360" w:lineRule="auto"/>
        <w:jc w:val="both"/>
        <w:rPr>
          <w:rFonts w:ascii="Arial" w:eastAsia="Arial" w:hAnsi="Arial" w:cs="Arial"/>
          <w:color w:val="222222"/>
        </w:rPr>
      </w:pPr>
      <w:r>
        <w:rPr>
          <w:rFonts w:ascii="Palatino Linotype" w:eastAsia="Palatino Linotype" w:hAnsi="Palatino Linotype" w:cs="Palatino Linotype"/>
          <w:color w:val="222222"/>
        </w:rPr>
        <w:t>Como apoyo a lo anterior, es aplicable por analogía el Criterio 09-1</w:t>
      </w:r>
      <w:r>
        <w:rPr>
          <w:rFonts w:ascii="Palatino Linotype" w:eastAsia="Palatino Linotype" w:hAnsi="Palatino Linotype" w:cs="Palatino Linotype"/>
          <w:color w:val="222222"/>
        </w:rPr>
        <w:t>0, emitido por el Pleno del entonces Instituto Federal de Acceso a la Información y Protección de Datos, que dice:</w:t>
      </w:r>
    </w:p>
    <w:p w:rsidR="00C060E6" w:rsidRDefault="00267C40">
      <w:pPr>
        <w:shd w:val="clear" w:color="auto" w:fill="FFFFFF"/>
        <w:tabs>
          <w:tab w:val="left" w:pos="8647"/>
        </w:tabs>
        <w:spacing w:before="240" w:after="240"/>
        <w:ind w:left="567" w:right="-29"/>
        <w:jc w:val="both"/>
        <w:rPr>
          <w:rFonts w:ascii="Palatino Linotype" w:eastAsia="Palatino Linotype" w:hAnsi="Palatino Linotype" w:cs="Palatino Linotype"/>
          <w:i/>
          <w:color w:val="222222"/>
          <w:sz w:val="20"/>
          <w:szCs w:val="20"/>
        </w:rPr>
      </w:pPr>
      <w:r>
        <w:rPr>
          <w:rFonts w:ascii="Palatino Linotype" w:eastAsia="Palatino Linotype" w:hAnsi="Palatino Linotype" w:cs="Palatino Linotype"/>
          <w:b/>
          <w:i/>
          <w:color w:val="222222"/>
          <w:sz w:val="20"/>
          <w:szCs w:val="20"/>
        </w:rPr>
        <w:t>“Las dependencias y entidades no están obligadas a generar documentos ad hoc para responder una solicitud de acceso a la información. </w:t>
      </w:r>
      <w:r>
        <w:rPr>
          <w:rFonts w:ascii="Palatino Linotype" w:eastAsia="Palatino Linotype" w:hAnsi="Palatino Linotype" w:cs="Palatino Linotype"/>
          <w:i/>
          <w:color w:val="222222"/>
          <w:sz w:val="20"/>
          <w:szCs w:val="20"/>
        </w:rPr>
        <w:t>Tomando</w:t>
      </w:r>
      <w:r>
        <w:rPr>
          <w:rFonts w:ascii="Palatino Linotype" w:eastAsia="Palatino Linotype" w:hAnsi="Palatino Linotype" w:cs="Palatino Linotype"/>
          <w:i/>
          <w:color w:val="222222"/>
          <w:sz w:val="20"/>
          <w:szCs w:val="20"/>
        </w:rPr>
        <w:t xml:space="preserve"> en consideración lo establecido por el artículo 42 de la Ley Federal de Transparencia y Acceso a la Información Pública Gubernamental, que establece que las dependencias y entidades sólo estarán obligadas a entregar documentos que se encuentren en sus arc</w:t>
      </w:r>
      <w:r>
        <w:rPr>
          <w:rFonts w:ascii="Palatino Linotype" w:eastAsia="Palatino Linotype" w:hAnsi="Palatino Linotype" w:cs="Palatino Linotype"/>
          <w:i/>
          <w:color w:val="222222"/>
          <w:sz w:val="20"/>
          <w:szCs w:val="20"/>
        </w:rPr>
        <w:t>hivos, las dependencias y entidades no están obligadas a elaborar documentos ad hoc para atender las solicitudes de información, sino que deben garantizar el acceso a la información con la que cuentan en el formato que la misma así lo permita o se encuentr</w:t>
      </w:r>
      <w:r>
        <w:rPr>
          <w:rFonts w:ascii="Palatino Linotype" w:eastAsia="Palatino Linotype" w:hAnsi="Palatino Linotype" w:cs="Palatino Linotype"/>
          <w:i/>
          <w:color w:val="222222"/>
          <w:sz w:val="20"/>
          <w:szCs w:val="20"/>
        </w:rPr>
        <w:t>e, en aras de dar satisfacción a la solicitud presentada.” (Sic)</w:t>
      </w:r>
    </w:p>
    <w:p w:rsidR="00C060E6" w:rsidRDefault="00267C4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efecto, el derecho de acceso a la información es un derecho de acceso a documentos; por lo que, se estima que la naturaleza de los artículos de la legislación en la materia versa en ese acceso al documento </w:t>
      </w:r>
      <w:r>
        <w:rPr>
          <w:rFonts w:ascii="Palatino Linotype" w:eastAsia="Palatino Linotype" w:hAnsi="Palatino Linotype" w:cs="Palatino Linotype"/>
          <w:i/>
        </w:rPr>
        <w:t>per se</w:t>
      </w:r>
      <w:r>
        <w:rPr>
          <w:rFonts w:ascii="Palatino Linotype" w:eastAsia="Palatino Linotype" w:hAnsi="Palatino Linotype" w:cs="Palatino Linotype"/>
        </w:rPr>
        <w:t>.</w:t>
      </w:r>
    </w:p>
    <w:p w:rsidR="00C060E6" w:rsidRDefault="00267C4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en el caso concreto, si bien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 asumió que genera documento con las especificaciones señaladas por el particular, también lo es, que no negó la existencia de la misma, por lo que al no haber incluido el asunto, resulta proce</w:t>
      </w:r>
      <w:r>
        <w:rPr>
          <w:rFonts w:ascii="Palatino Linotype" w:eastAsia="Palatino Linotype" w:hAnsi="Palatino Linotype" w:cs="Palatino Linotype"/>
        </w:rPr>
        <w:t>dente ordenar su entrega.</w:t>
      </w:r>
    </w:p>
    <w:p w:rsidR="00C060E6" w:rsidRDefault="00267C4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continuando con el análisis de los requerimientos de información de información, bajo el numeral 4, el particular solicitó la </w:t>
      </w:r>
      <w:r>
        <w:rPr>
          <w:rFonts w:ascii="Palatino Linotype" w:eastAsia="Palatino Linotype" w:hAnsi="Palatino Linotype" w:cs="Palatino Linotype"/>
          <w:b/>
        </w:rPr>
        <w:t>lista de registro de memoria documental recibida de la Unidad de Transparencia de la Secreta</w:t>
      </w:r>
      <w:r>
        <w:rPr>
          <w:rFonts w:ascii="Palatino Linotype" w:eastAsia="Palatino Linotype" w:hAnsi="Palatino Linotype" w:cs="Palatino Linotype"/>
          <w:b/>
        </w:rPr>
        <w:t xml:space="preserve">ría de Educación Pública del año 2019 a la fecha de contestación de esta solicitud donde se pueda observar folio de recepción, numero de oficio, fecha de recepción y asunto. </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lo que se inserta mediante captura de </w:t>
      </w:r>
      <w:r>
        <w:rPr>
          <w:rFonts w:ascii="Palatino Linotype" w:eastAsia="Palatino Linotype" w:hAnsi="Palatino Linotype" w:cs="Palatino Linotype"/>
        </w:rPr>
        <w:t>pantalla enseguida a modo de ejemplo:</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noProof/>
          <w:sz w:val="20"/>
          <w:szCs w:val="20"/>
          <w:lang w:val="es-MX"/>
        </w:rPr>
        <w:drawing>
          <wp:inline distT="0" distB="0" distL="0" distR="0">
            <wp:extent cx="5638788" cy="802199"/>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638788" cy="802199"/>
                    </a:xfrm>
                    <a:prstGeom prst="rect">
                      <a:avLst/>
                    </a:prstGeom>
                    <a:ln/>
                  </pic:spPr>
                </pic:pic>
              </a:graphicData>
            </a:graphic>
          </wp:inline>
        </w:drawing>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noProof/>
          <w:sz w:val="20"/>
          <w:szCs w:val="20"/>
          <w:lang w:val="es-MX"/>
        </w:rPr>
        <w:drawing>
          <wp:inline distT="0" distB="0" distL="0" distR="0">
            <wp:extent cx="5610101" cy="1030862"/>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610101" cy="1030862"/>
                    </a:xfrm>
                    <a:prstGeom prst="rect">
                      <a:avLst/>
                    </a:prstGeom>
                    <a:ln/>
                  </pic:spPr>
                </pic:pic>
              </a:graphicData>
            </a:graphic>
          </wp:inline>
        </w:drawing>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noProof/>
          <w:sz w:val="20"/>
          <w:szCs w:val="20"/>
          <w:lang w:val="es-MX"/>
        </w:rPr>
        <w:drawing>
          <wp:inline distT="0" distB="0" distL="0" distR="0">
            <wp:extent cx="5618274" cy="1220773"/>
            <wp:effectExtent l="0" t="0" r="0" b="0"/>
            <wp:docPr id="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618274" cy="1220773"/>
                    </a:xfrm>
                    <a:prstGeom prst="rect">
                      <a:avLst/>
                    </a:prstGeom>
                    <a:ln/>
                  </pic:spPr>
                </pic:pic>
              </a:graphicData>
            </a:graphic>
          </wp:inline>
        </w:drawing>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tales circunstancias, el motivo de informidad respecto al punto en análisis, resulta infundado,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lo solicitado por el particular, atendiendo los rubros señalados, como lo</w:t>
      </w:r>
      <w:r>
        <w:rPr>
          <w:rFonts w:ascii="Palatino Linotype" w:eastAsia="Palatino Linotype" w:hAnsi="Palatino Linotype" w:cs="Palatino Linotype"/>
        </w:rPr>
        <w:t xml:space="preserve"> es: </w:t>
      </w:r>
      <w:r>
        <w:rPr>
          <w:rFonts w:ascii="Palatino Linotype" w:eastAsia="Palatino Linotype" w:hAnsi="Palatino Linotype" w:cs="Palatino Linotype"/>
          <w:b/>
        </w:rPr>
        <w:t xml:space="preserve">folio de recepción, número de oficio, fecha de recepción y asunto, </w:t>
      </w:r>
      <w:r>
        <w:rPr>
          <w:rFonts w:ascii="Palatino Linotype" w:eastAsia="Palatino Linotype" w:hAnsi="Palatino Linotype" w:cs="Palatino Linotype"/>
        </w:rPr>
        <w:t>en consecuencia el requerimiento se tiene por atendido.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vale la pena subrayar que el artículo 166 de la Ley de Transparencia y Acceso a la Información Pública del Estado de</w:t>
      </w:r>
      <w:r>
        <w:rPr>
          <w:rFonts w:ascii="Palatino Linotype" w:eastAsia="Palatino Linotype" w:hAnsi="Palatino Linotype" w:cs="Palatino Linotype"/>
        </w:rPr>
        <w:t xml:space="preserve"> México y Municipios, señala que las dependencias y entidades estarán obligadas a entregar los documentos que se encuentren en sus archivos, por lo que la obligación de acceso a la información se tendrá por cumplida cuando se ponga a disposición del partic</w:t>
      </w:r>
      <w:r>
        <w:rPr>
          <w:rFonts w:ascii="Palatino Linotype" w:eastAsia="Palatino Linotype" w:hAnsi="Palatino Linotype" w:cs="Palatino Linotype"/>
        </w:rPr>
        <w:t>ular la información requerida, de otra manera se estaría dudando de la veracidad de la información entregada.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presunción de veracidad</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supone una declaración </w:t>
      </w:r>
      <w:r>
        <w:rPr>
          <w:rFonts w:ascii="Palatino Linotype" w:eastAsia="Palatino Linotype" w:hAnsi="Palatino Linotype" w:cs="Palatino Linotype"/>
          <w:i/>
        </w:rPr>
        <w:t>iurus tantum</w:t>
      </w:r>
      <w:r>
        <w:rPr>
          <w:rFonts w:ascii="Palatino Linotype" w:eastAsia="Palatino Linotype" w:hAnsi="Palatino Linotype" w:cs="Palatino Linotype"/>
        </w:rPr>
        <w:t xml:space="preserve"> ya que admite prueba en contra, por lo que este Órgano no está facultado para pron</w:t>
      </w:r>
      <w:r>
        <w:rPr>
          <w:rFonts w:ascii="Palatino Linotype" w:eastAsia="Palatino Linotype" w:hAnsi="Palatino Linotype" w:cs="Palatino Linotype"/>
        </w:rPr>
        <w:t>unciarse sobre la veracidad de la información entregada, su función se limita a revisar que el derecho constitucional de acceso a la información pública sea garantizado, con la entrega de la información en posesión del poder público, que está sujeta a la L</w:t>
      </w:r>
      <w:r>
        <w:rPr>
          <w:rFonts w:ascii="Palatino Linotype" w:eastAsia="Palatino Linotype" w:hAnsi="Palatino Linotype" w:cs="Palatino Linotype"/>
        </w:rPr>
        <w:t xml:space="preserve">ey de Transparencia y Acceso a la Información Pública del Estado de México y Municipios, así las cosas no es competencia de este Órgano la revisión de la información entregada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en virtud de que este Instituto no está facultado para p</w:t>
      </w:r>
      <w:r>
        <w:rPr>
          <w:rFonts w:ascii="Palatino Linotype" w:eastAsia="Palatino Linotype" w:hAnsi="Palatino Linotype" w:cs="Palatino Linotype"/>
        </w:rPr>
        <w:t>ronunciarse sobre la veracidad de la respuesta, pues no existe precepto legal alguno que permita pronunciamiento al respecto. Sirve de apoyo a lo anterior por analogía el criterio 31-10 emitido por el entonces Instituto Federal de Acceso a la Información y</w:t>
      </w:r>
      <w:r>
        <w:rPr>
          <w:rFonts w:ascii="Palatino Linotype" w:eastAsia="Palatino Linotype" w:hAnsi="Palatino Linotype" w:cs="Palatino Linotype"/>
        </w:rPr>
        <w:t xml:space="preserve"> Protección de Datos, que a la letra dice:</w:t>
      </w:r>
    </w:p>
    <w:p w:rsidR="00C060E6" w:rsidRDefault="00267C40">
      <w:pPr>
        <w:spacing w:before="240" w:after="240" w:line="360" w:lineRule="auto"/>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“El Instituto Federal de Acceso a la Información y Protección de Datos no cuenta con facultades para pronunciarse respecto de la veracidad de los documentos proporcionados por los sujetos obligados. El Instituto F</w:t>
      </w:r>
      <w:r>
        <w:rPr>
          <w:rFonts w:ascii="Palatino Linotype" w:eastAsia="Palatino Linotype" w:hAnsi="Palatino Linotype" w:cs="Palatino Linotype"/>
          <w:i/>
          <w:sz w:val="20"/>
          <w:szCs w:val="20"/>
        </w:rPr>
        <w:t xml:space="preserve">ederal de Acceso a la Información y Protección de Datos es un órgano de la Administración Pública Federal con autonomía operativa, presupuestaria y de decisión, encargado de promover y difundir el ejercicio del derecho de acceso a la información; resolver </w:t>
      </w:r>
      <w:r>
        <w:rPr>
          <w:rFonts w:ascii="Palatino Linotype" w:eastAsia="Palatino Linotype" w:hAnsi="Palatino Linotype" w:cs="Palatino Linotype"/>
          <w:i/>
          <w:sz w:val="20"/>
          <w:szCs w:val="20"/>
        </w:rPr>
        <w:t>sobre la negativa de las solicitudes de acceso a la información; y proteger los datos personales en poder de las dependencias y entidades. Sin embargo, no está facultado para pronunciarse sobre la veracidad de la información proporcionada por las autoridad</w:t>
      </w:r>
      <w:r>
        <w:rPr>
          <w:rFonts w:ascii="Palatino Linotype" w:eastAsia="Palatino Linotype" w:hAnsi="Palatino Linotype" w:cs="Palatino Linotype"/>
          <w:i/>
          <w:sz w:val="20"/>
          <w:szCs w:val="20"/>
        </w:rPr>
        <w:t>es en respuesta a las solicitudes de información que les presentan los particulares, en virtud de que en los artículos 49 y 50 de la Ley Federal de Transparencia y Acceso a la Información Pública Gubernamental no se prevé una causal que permita al Institut</w:t>
      </w:r>
      <w:r>
        <w:rPr>
          <w:rFonts w:ascii="Palatino Linotype" w:eastAsia="Palatino Linotype" w:hAnsi="Palatino Linotype" w:cs="Palatino Linotype"/>
          <w:i/>
          <w:sz w:val="20"/>
          <w:szCs w:val="20"/>
        </w:rPr>
        <w:t>o Federal de Acceso a la Información y Protección de Datos conocer, vía recurso revisión, al respecto.”</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relación con el requerimiento marcado con el numeral 5 y 6, mediante los cuales el particular solicitó:</w:t>
      </w:r>
    </w:p>
    <w:p w:rsidR="00C060E6" w:rsidRDefault="00267C40">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Lista de registro de memoria documental de la</w:t>
      </w:r>
      <w:r>
        <w:rPr>
          <w:rFonts w:ascii="Palatino Linotype" w:eastAsia="Palatino Linotype" w:hAnsi="Palatino Linotype" w:cs="Palatino Linotype"/>
          <w:b/>
          <w:color w:val="000000"/>
        </w:rPr>
        <w:t xml:space="preserve"> Subdirección Regional de Educación Básica Amecameca donde se pueda observar numero de oficio, fecha de elaboración y asunto, del año 2019 a la fecha de contestación de esta solicitud.</w:t>
      </w:r>
    </w:p>
    <w:p w:rsidR="00C060E6" w:rsidRDefault="00267C40">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Lista de registro de memoria documental recibida de la Subdirección Regional de Educación Básica Amecameca Pública del año 2019 a la fecha de contestación de esta solicitud donde se pueda observar folio de recepción, numero de oficio, fecha de recepción y </w:t>
      </w:r>
      <w:r>
        <w:rPr>
          <w:rFonts w:ascii="Palatino Linotype" w:eastAsia="Palatino Linotype" w:hAnsi="Palatino Linotype" w:cs="Palatino Linotype"/>
          <w:b/>
          <w:color w:val="000000"/>
        </w:rPr>
        <w:t>asunto.</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la Dirección de Coordinación Regional de Educación Básica informó que, acorde a lo establecido en la Ley de Archivos y Administración de Documentos del Estado de México y Municipios, dicha Unidad Administrativa no tiene la información como lo p</w:t>
      </w:r>
      <w:r>
        <w:rPr>
          <w:rFonts w:ascii="Palatino Linotype" w:eastAsia="Palatino Linotype" w:hAnsi="Palatino Linotype" w:cs="Palatino Linotype"/>
        </w:rPr>
        <w:t>ide el solicitante, lo anterior con fundamento en los artículos 12 párrafo segundo, 19 y 20 de la Ley de Transparencia y Acceso a la Información Pública del Estado de México y Municipios; por lo que se pone a disposición el archivo comprendido desde el año</w:t>
      </w:r>
      <w:r>
        <w:rPr>
          <w:rFonts w:ascii="Palatino Linotype" w:eastAsia="Palatino Linotype" w:hAnsi="Palatino Linotype" w:cs="Palatino Linotype"/>
        </w:rPr>
        <w:t xml:space="preserve"> 2019 a la fecha en que se emite el informe, en el que se refleja un aproximado de 10 mil fojas, razón por la cual se pone IN SITU, acorde al calendario que se adjunta, para que tenga la posibilidad de revisar la misma en las instalaciones de esta Subdirec</w:t>
      </w:r>
      <w:r>
        <w:rPr>
          <w:rFonts w:ascii="Palatino Linotype" w:eastAsia="Palatino Linotype" w:hAnsi="Palatino Linotype" w:cs="Palatino Linotype"/>
        </w:rPr>
        <w:t>ción Regional, con domicilio ubicado en A, Cuauhtémoc Ole. 39. Zona Industrial, en el Municipio de Chalco, Estado de México.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particular se inconformó del cambio de modalidad para la entrega de información, toda vez que de la solicitud de in</w:t>
      </w:r>
      <w:r>
        <w:rPr>
          <w:rFonts w:ascii="Palatino Linotype" w:eastAsia="Palatino Linotype" w:hAnsi="Palatino Linotype" w:cs="Palatino Linotype"/>
        </w:rPr>
        <w:t>formación se desprende que la requirió a través del SAIMEX, sistema que tiene como propósito facilitar en la entidad el ejercicio del derecho humano de acceso a la información pública, de forma sencilla y gratuita.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 Ley de Transparencia y Acceso a l</w:t>
      </w:r>
      <w:r>
        <w:rPr>
          <w:rFonts w:ascii="Palatino Linotype" w:eastAsia="Palatino Linotype" w:hAnsi="Palatino Linotype" w:cs="Palatino Linotype"/>
        </w:rPr>
        <w:t>a Información Pública del Estado de México y Municipios, privilegia el uso de las tecnologías por medios electrónicos, dando preferencia al uso de sistemas computacionales y las nuevas tecnologías en el afán de transitar hacia la modernización de los proce</w:t>
      </w:r>
      <w:r>
        <w:rPr>
          <w:rFonts w:ascii="Palatino Linotype" w:eastAsia="Palatino Linotype" w:hAnsi="Palatino Linotype" w:cs="Palatino Linotype"/>
        </w:rPr>
        <w:t>sos, según se puede leer en el precepto legal que se inserta enseguida:</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88.</w:t>
      </w:r>
      <w:r>
        <w:rPr>
          <w:rFonts w:ascii="Palatino Linotype" w:eastAsia="Palatino Linotype" w:hAnsi="Palatino Linotype" w:cs="Palatino Linotype"/>
          <w:i/>
          <w:sz w:val="20"/>
          <w:szCs w:val="20"/>
        </w:rPr>
        <w:t xml:space="preserve"> La información referente a las obligaciones de transparencia será puesta a disposición de los particulares por cualquier medio que facilite su acceso, dando preferencia a</w:t>
      </w:r>
      <w:r>
        <w:rPr>
          <w:rFonts w:ascii="Palatino Linotype" w:eastAsia="Palatino Linotype" w:hAnsi="Palatino Linotype" w:cs="Palatino Linotype"/>
          <w:i/>
          <w:sz w:val="20"/>
          <w:szCs w:val="20"/>
        </w:rPr>
        <w:t>l uso de sistemas computacionales y las nuevas tecnologías de información.”</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ese contexto la Ley de Transparencia y Acceso a la Información Pública del Estado de México y Municipios, el artículo 155 fracción V, dispone que para presentar solicitud de a</w:t>
      </w:r>
      <w:r>
        <w:rPr>
          <w:rFonts w:ascii="Palatino Linotype" w:eastAsia="Palatino Linotype" w:hAnsi="Palatino Linotype" w:cs="Palatino Linotype"/>
        </w:rPr>
        <w:t>cceso a la información, se deberá atender lo dispuesto en el mismo, resaltando que deberá indicarse la modalidad en la que prefiere se otorgue la información, la cual podrá ser verbal, siempre y cuando sea para fines de orientación, mediante consulta direc</w:t>
      </w:r>
      <w:r>
        <w:rPr>
          <w:rFonts w:ascii="Palatino Linotype" w:eastAsia="Palatino Linotype" w:hAnsi="Palatino Linotype" w:cs="Palatino Linotype"/>
        </w:rPr>
        <w:t>ta, mediante la expedición de copias simples o certificadas o la reproducción en cualquier otro medio, incluidos los electrónicos, que en el caso, en la entidad, el Órgano Garante determinó en el formato de solicitud, que podría ser SAIMEX, CD-Rom (con cos</w:t>
      </w:r>
      <w:r>
        <w:rPr>
          <w:rFonts w:ascii="Palatino Linotype" w:eastAsia="Palatino Linotype" w:hAnsi="Palatino Linotype" w:cs="Palatino Linotype"/>
        </w:rPr>
        <w:t>to), copias simples (con costo), copias certificadas (con costo), consulta directa (sin costo), o bien, cualquier otro que determine el particular.</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el acceso a la información debe darse en la modalidad de entrega elegida por el solicitante,  y </w:t>
      </w:r>
      <w:r>
        <w:rPr>
          <w:rFonts w:ascii="Palatino Linotype" w:eastAsia="Palatino Linotype" w:hAnsi="Palatino Linotype" w:cs="Palatino Linotype"/>
        </w:rPr>
        <w:t>sólo para los casos en que se encuentren impedidos los sujetos obligados podrán ofrecer otra u otras modalidades debiendo fundar y motivar adecuadamente el cambio de modalidad en la entrega de la información</w:t>
      </w:r>
      <w:r>
        <w:rPr>
          <w:rFonts w:ascii="Palatino Linotype" w:eastAsia="Palatino Linotype" w:hAnsi="Palatino Linotype" w:cs="Palatino Linotype"/>
          <w:vertAlign w:val="superscript"/>
        </w:rPr>
        <w:t xml:space="preserve"> </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en términos de lo dispuesto en el artículo 16</w:t>
      </w:r>
      <w:r>
        <w:rPr>
          <w:rFonts w:ascii="Palatino Linotype" w:eastAsia="Palatino Linotype" w:hAnsi="Palatino Linotype" w:cs="Palatino Linotype"/>
        </w:rPr>
        <w:t xml:space="preserve"> de la Constitución Política de los Estados Unidos Mexicanos, el cual, exige que todo acto de autoridad debe de estar debidamente fundado y motivado, en el que se exprese el precepto legal aplicable al caso, además de señalarse las circunstancias, razones </w:t>
      </w:r>
      <w:r>
        <w:rPr>
          <w:rFonts w:ascii="Palatino Linotype" w:eastAsia="Palatino Linotype" w:hAnsi="Palatino Linotype" w:cs="Palatino Linotype"/>
        </w:rPr>
        <w:t>particulares o causas inmediatas que se hayan tenido en cuenta para la emisión del acto, según se puede leer en la jurisprudencia del texto y rubro que inserta enseguida para mayor referencia:</w:t>
      </w:r>
    </w:p>
    <w:p w:rsidR="00C060E6" w:rsidRDefault="00267C40">
      <w:pPr>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“FUNDAMENTACIÓN Y MOTIVACIÓN DE LOS ACTOS ADMINISTRATIVOS</w:t>
      </w:r>
      <w:r>
        <w:rPr>
          <w:rFonts w:ascii="Palatino Linotype" w:eastAsia="Palatino Linotype" w:hAnsi="Palatino Linotype" w:cs="Palatino Linotype"/>
          <w:i/>
          <w:sz w:val="20"/>
          <w:szCs w:val="20"/>
        </w:rPr>
        <w:t>. De a</w:t>
      </w:r>
      <w:r>
        <w:rPr>
          <w:rFonts w:ascii="Palatino Linotype" w:eastAsia="Palatino Linotype" w:hAnsi="Palatino Linotype" w:cs="Palatino Linotype"/>
          <w:i/>
          <w:sz w:val="20"/>
          <w:szCs w:val="20"/>
        </w:rPr>
        <w:t>cuerdo con  el artículo 16 constitucional, todo acto de autoridad debe estar suficientemente fundado y motivado, entendiéndose por lo primero que han de expresarse con precisión el precepto legal aplicable al caso y por lo segundo, que también deben señala</w:t>
      </w:r>
      <w:r>
        <w:rPr>
          <w:rFonts w:ascii="Palatino Linotype" w:eastAsia="Palatino Linotype" w:hAnsi="Palatino Linotype" w:cs="Palatino Linotype"/>
          <w:i/>
          <w:sz w:val="20"/>
          <w:szCs w:val="20"/>
        </w:rPr>
        <w:t xml:space="preserve">rse con precisión, las circunstancias especiales, razones particulares o causas inmediatas que se hayan tenido en consideración para la emisión del acto, siendo necesario además, que exista adecuación entre los motivos aducidos y las normas aplicables, es </w:t>
      </w:r>
      <w:r>
        <w:rPr>
          <w:rFonts w:ascii="Palatino Linotype" w:eastAsia="Palatino Linotype" w:hAnsi="Palatino Linotype" w:cs="Palatino Linotype"/>
          <w:i/>
          <w:sz w:val="20"/>
          <w:szCs w:val="20"/>
        </w:rPr>
        <w:t>decir, que en el caso concreto se configure la hipótesis normativa. Esto es, que cuando el precepto en comento previene que nadie puede ser molestado en su persona, propiedades o derechos sino en virtud de mandamiento escrito de autoridad competente que fu</w:t>
      </w:r>
      <w:r>
        <w:rPr>
          <w:rFonts w:ascii="Palatino Linotype" w:eastAsia="Palatino Linotype" w:hAnsi="Palatino Linotype" w:cs="Palatino Linotype"/>
          <w:i/>
          <w:sz w:val="20"/>
          <w:szCs w:val="20"/>
        </w:rPr>
        <w:t>nde y motive la causa legal del procedimiento, está exigiendo a todas las autoridades que apeguen sus actos a la ley, expresando de que ley se trata y los preceptos de ella que sirvan de apoyo al mandamiento relativo. En materia administrativa, específicam</w:t>
      </w:r>
      <w:r>
        <w:rPr>
          <w:rFonts w:ascii="Palatino Linotype" w:eastAsia="Palatino Linotype" w:hAnsi="Palatino Linotype" w:cs="Palatino Linotype"/>
          <w:i/>
          <w:sz w:val="20"/>
          <w:szCs w:val="20"/>
        </w:rPr>
        <w:t>ente, para poder considerar un acto autoritario como correctamente fundado, es necesario que en él se citen: a).- Los cuerpos legales y preceptos que se estén aplicando al caso concreto, es decir, los supuestos normativos en que se encuadra la conducta del</w:t>
      </w:r>
      <w:r>
        <w:rPr>
          <w:rFonts w:ascii="Palatino Linotype" w:eastAsia="Palatino Linotype" w:hAnsi="Palatino Linotype" w:cs="Palatino Linotype"/>
          <w:i/>
          <w:sz w:val="20"/>
          <w:szCs w:val="20"/>
        </w:rPr>
        <w:t xml:space="preserve"> gobernado para que esté obligado al pago, que serán señalados con toda exactitud, precisándose los incisos, subincisos, fracciones y preceptos aplicable, y b).- Los cuerpos legales y preceptos que otorgan competencia o facultades a las autoridades para em</w:t>
      </w:r>
      <w:r>
        <w:rPr>
          <w:rFonts w:ascii="Palatino Linotype" w:eastAsia="Palatino Linotype" w:hAnsi="Palatino Linotype" w:cs="Palatino Linotype"/>
          <w:i/>
          <w:sz w:val="20"/>
          <w:szCs w:val="20"/>
        </w:rPr>
        <w:t>itir el acto en agravio del gobernado.”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añadidura, el artículo 158 de la Ley de Transparencia y Acceso a la Información Pública del Estado de México y Municipios, establecen lo que es de la literalidad siguiente:</w:t>
      </w:r>
    </w:p>
    <w:p w:rsidR="00C060E6" w:rsidRDefault="00267C40">
      <w:pPr>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 “Artículo 158.</w:t>
      </w:r>
      <w:r>
        <w:rPr>
          <w:rFonts w:ascii="Palatino Linotype" w:eastAsia="Palatino Linotype" w:hAnsi="Palatino Linotype" w:cs="Palatino Linotype"/>
          <w:i/>
          <w:sz w:val="20"/>
          <w:szCs w:val="20"/>
        </w:rPr>
        <w:t xml:space="preserve"> De manera excepcional, c</w:t>
      </w:r>
      <w:r>
        <w:rPr>
          <w:rFonts w:ascii="Palatino Linotype" w:eastAsia="Palatino Linotype" w:hAnsi="Palatino Linotype" w:cs="Palatino Linotype"/>
          <w:i/>
          <w:sz w:val="20"/>
          <w:szCs w:val="20"/>
        </w:rPr>
        <w:t xml:space="preserve">uando de forma fundada y motivada así lo determine el sujeto obligado, en aquellos casos en que la información solicitada que ya se encuentre en su posesión implique análisis, estudio o procesamiento de documentos cuya entrega o reproducción sobrepase las </w:t>
      </w:r>
      <w:r>
        <w:rPr>
          <w:rFonts w:ascii="Palatino Linotype" w:eastAsia="Palatino Linotype" w:hAnsi="Palatino Linotype" w:cs="Palatino Linotype"/>
          <w:i/>
          <w:sz w:val="20"/>
          <w:szCs w:val="20"/>
        </w:rPr>
        <w:t>capacidades técnicas administrativas y humanas del sujeto obligado para cumplir con la solicitud, en los plazos establecidos para dichos efectos, se podrá poner a disposición del solicitante los documentos en consulta directa, salvo la información clasific</w:t>
      </w:r>
      <w:r>
        <w:rPr>
          <w:rFonts w:ascii="Palatino Linotype" w:eastAsia="Palatino Linotype" w:hAnsi="Palatino Linotype" w:cs="Palatino Linotype"/>
          <w:i/>
          <w:sz w:val="20"/>
          <w:szCs w:val="20"/>
        </w:rPr>
        <w:t>ada.</w:t>
      </w:r>
    </w:p>
    <w:p w:rsidR="00C060E6" w:rsidRDefault="00267C40">
      <w:pPr>
        <w:spacing w:before="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todo caso, se facilitará su copia simple o certificada, así como su reproducción por cualquier medio disponible en las instalaciones del sujeto obligado o que, en su caso, aporte el solicitante.”</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según lo dispuesto en los artículo</w:t>
      </w:r>
      <w:r>
        <w:rPr>
          <w:rFonts w:ascii="Palatino Linotype" w:eastAsia="Palatino Linotype" w:hAnsi="Palatino Linotype" w:cs="Palatino Linotype"/>
        </w:rPr>
        <w:t>s 160 y 164 de la Ley en cita, los Sujetos Obligados deben otorgar acceso a los documentos que se encuentren en sus archivos o que estén obligados a documentar de acuerdo con sus facultades, competencias o funciones en el formato que el solicitante manifie</w:t>
      </w:r>
      <w:r>
        <w:rPr>
          <w:rFonts w:ascii="Palatino Linotype" w:eastAsia="Palatino Linotype" w:hAnsi="Palatino Linotype" w:cs="Palatino Linotype"/>
        </w:rPr>
        <w:t>ste, debiendo dar el acceso a la información en la modalidad de entrega solicitada, empero en caso de ofrecer otra u otras modalidades de entrega deberá fundar y motivar su respuesta, a saber:</w:t>
      </w:r>
    </w:p>
    <w:p w:rsidR="00C060E6" w:rsidRDefault="00267C40">
      <w:pPr>
        <w:spacing w:after="120"/>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0"/>
          <w:szCs w:val="20"/>
        </w:rPr>
        <w:t>“Artículo 160.</w:t>
      </w:r>
      <w:r>
        <w:rPr>
          <w:rFonts w:ascii="Palatino Linotype" w:eastAsia="Palatino Linotype" w:hAnsi="Palatino Linotype" w:cs="Palatino Linotype"/>
          <w:i/>
          <w:sz w:val="20"/>
          <w:szCs w:val="2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w:t>
      </w:r>
      <w:r>
        <w:rPr>
          <w:rFonts w:ascii="Palatino Linotype" w:eastAsia="Palatino Linotype" w:hAnsi="Palatino Linotype" w:cs="Palatino Linotype"/>
          <w:i/>
          <w:sz w:val="20"/>
          <w:szCs w:val="20"/>
        </w:rPr>
        <w:t>tos existentes, conforme a las características físicas de la información o del lugar donde se encuentre así lo permita.</w:t>
      </w:r>
    </w:p>
    <w:p w:rsidR="00C060E6" w:rsidRDefault="00267C40">
      <w:pPr>
        <w:spacing w:after="120"/>
        <w:ind w:left="851" w:right="851"/>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164.</w:t>
      </w:r>
      <w:r>
        <w:rPr>
          <w:rFonts w:ascii="Palatino Linotype" w:eastAsia="Palatino Linotype" w:hAnsi="Palatino Linotype" w:cs="Palatino Linotype"/>
          <w:i/>
          <w:sz w:val="20"/>
          <w:szCs w:val="20"/>
        </w:rPr>
        <w:t xml:space="preserve"> El acceso se dará en la modalidad de entrega y, en su caso, de envío elegidos por el solicitante. Cuando la información no</w:t>
      </w:r>
      <w:r>
        <w:rPr>
          <w:rFonts w:ascii="Palatino Linotype" w:eastAsia="Palatino Linotype" w:hAnsi="Palatino Linotype" w:cs="Palatino Linotype"/>
          <w:i/>
          <w:sz w:val="20"/>
          <w:szCs w:val="20"/>
        </w:rPr>
        <w:t xml:space="preserve"> pueda entregarse o enviarse en la modalidad solicitada, el sujeto obligado deberá ofrecer otra u otras modalidades de entrega. En cualquier caso, se deberá fundar y motivar la necesidad de ofrecer otras modalidades.” (Sic)</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los Sujetos Obligad</w:t>
      </w:r>
      <w:r>
        <w:rPr>
          <w:rFonts w:ascii="Palatino Linotype" w:eastAsia="Palatino Linotype" w:hAnsi="Palatino Linotype" w:cs="Palatino Linotype"/>
        </w:rPr>
        <w:t>os podrán poner a disposición de los particulares, los documentos solicitados, en todo caso, por cualquier medio disponible en las instalaciones del sujeto obligado, cuando de forma fundada y motivada se determine que implica un análisis, estudio o procesa</w:t>
      </w:r>
      <w:r>
        <w:rPr>
          <w:rFonts w:ascii="Palatino Linotype" w:eastAsia="Palatino Linotype" w:hAnsi="Palatino Linotype" w:cs="Palatino Linotype"/>
        </w:rPr>
        <w:t>miento, cuya entrega o reproducción sobrepase las capacidades técnicas administrativas y humanas.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los Lineamientos  para la Recepción, Trámite y Resolución de las Solicitudes de Acceso a la Información, así como de los Recursos de Revisión</w:t>
      </w:r>
      <w:r>
        <w:rPr>
          <w:rFonts w:ascii="Palatino Linotype" w:eastAsia="Palatino Linotype" w:hAnsi="Palatino Linotype" w:cs="Palatino Linotype"/>
        </w:rPr>
        <w:t xml:space="preserve"> que deberán observar los Sujetos Obligados por la Ley de Transparencia y Acceso a la Información Pública del Estado de México y Municipios, publicados en el Periódico Oficial “Gaceta del Gobierno” del Estado de México, el treinta de octubre de dos mil och</w:t>
      </w:r>
      <w:r>
        <w:rPr>
          <w:rFonts w:ascii="Palatino Linotype" w:eastAsia="Palatino Linotype" w:hAnsi="Palatino Linotype" w:cs="Palatino Linotype"/>
        </w:rPr>
        <w:t>o, en su numeral cincuenta y cuatro, disponen el procedimiento que los sujetos obligados deben seguir para el cambio de modalidad de entrega de la información, según se puede leer enseguida:</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“CINCUENTA Y CUATRO.-</w:t>
      </w:r>
      <w:r>
        <w:rPr>
          <w:rFonts w:ascii="Palatino Linotype" w:eastAsia="Palatino Linotype" w:hAnsi="Palatino Linotype" w:cs="Palatino Linotype"/>
          <w:i/>
          <w:sz w:val="20"/>
          <w:szCs w:val="20"/>
        </w:rPr>
        <w:t xml:space="preserve"> De acuerdo a lo dispuesto por el párrafo se</w:t>
      </w:r>
      <w:r>
        <w:rPr>
          <w:rFonts w:ascii="Palatino Linotype" w:eastAsia="Palatino Linotype" w:hAnsi="Palatino Linotype" w:cs="Palatino Linotype"/>
          <w:i/>
          <w:sz w:val="20"/>
          <w:szCs w:val="20"/>
        </w:rPr>
        <w:t xml:space="preserve">gundo del artículo 48 de la Ley, la información podrá ser entregada vía electrónica a través del SICOSIEM. </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Es obligación del responsable de la Unidad de Información verificar que los archivos electrónicos que contengan la información entregada, se encuentra agregada al SICOSIEM.</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caso de que el responsable de la Unidad de Información no pueda agregar al SICOS</w:t>
      </w:r>
      <w:r>
        <w:rPr>
          <w:rFonts w:ascii="Palatino Linotype" w:eastAsia="Palatino Linotype" w:hAnsi="Palatino Linotype" w:cs="Palatino Linotype"/>
          <w:i/>
          <w:sz w:val="20"/>
          <w:szCs w:val="20"/>
        </w:rPr>
        <w:t>IEM los archivos electrónicos que contengan la información por motivos técnicos, debe avisar de inmediato al Instituto, a través del correo electrónico institucional, además de comunicarse vía telefónica de inmediato a efecto de que reciba el apoyo técnico</w:t>
      </w:r>
      <w:r>
        <w:rPr>
          <w:rFonts w:ascii="Palatino Linotype" w:eastAsia="Palatino Linotype" w:hAnsi="Palatino Linotype" w:cs="Palatino Linotype"/>
          <w:i/>
          <w:sz w:val="20"/>
          <w:szCs w:val="20"/>
        </w:rPr>
        <w:t xml:space="preserve"> correspondiente.</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Dirección de Sistemas e Informática del Instituto, debe llevar un registro de incidencias en el cual se asienten todas las llamas referentes al apoyo técnico para agregar los archivos electrónicos al SICOSIEM.</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La omisión por parte del </w:t>
      </w:r>
      <w:r>
        <w:rPr>
          <w:rFonts w:ascii="Palatino Linotype" w:eastAsia="Palatino Linotype" w:hAnsi="Palatino Linotype" w:cs="Palatino Linotype"/>
          <w:i/>
          <w:sz w:val="20"/>
          <w:szCs w:val="20"/>
        </w:rPr>
        <w:t xml:space="preserve">responsable de la Unidad de Información del procedimiento antes descrito presume la negativa de la entrega de la Información. </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Cuando la información no pueda ser remitida vía electrónica, se deberá fundar y motivar la resolución respectiva, explicando en t</w:t>
      </w:r>
      <w:r>
        <w:rPr>
          <w:rFonts w:ascii="Palatino Linotype" w:eastAsia="Palatino Linotype" w:hAnsi="Palatino Linotype" w:cs="Palatino Linotype"/>
          <w:i/>
          <w:sz w:val="20"/>
          <w:szCs w:val="20"/>
        </w:rPr>
        <w:t>odo momento las causas que impiden el envío de la información de forma electrónica.</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el supuesto de que la información sea puesta a disposición del solicitante la Unidad de Información deberá señalar en su respuesta, con toda claridad el lugar en donde s</w:t>
      </w:r>
      <w:r>
        <w:rPr>
          <w:rFonts w:ascii="Palatino Linotype" w:eastAsia="Palatino Linotype" w:hAnsi="Palatino Linotype" w:cs="Palatino Linotype"/>
          <w:i/>
          <w:sz w:val="20"/>
          <w:szCs w:val="20"/>
        </w:rPr>
        <w:t>e permitirá el acceso a la información, así como en los días y horas hábiles precisadas en la resolución respectiva. En este supuesto, la disposición o entrega de la información se realizará mediante el formato de recepción de información pública.</w:t>
      </w:r>
    </w:p>
    <w:p w:rsidR="00C060E6" w:rsidRDefault="00267C40">
      <w:pPr>
        <w:spacing w:before="240" w:after="24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El forma</w:t>
      </w:r>
      <w:r>
        <w:rPr>
          <w:rFonts w:ascii="Palatino Linotype" w:eastAsia="Palatino Linotype" w:hAnsi="Palatino Linotype" w:cs="Palatino Linotype"/>
          <w:i/>
          <w:sz w:val="20"/>
          <w:szCs w:val="20"/>
        </w:rPr>
        <w:t>to mencionado deberá estar agregado al expediente electrónico de la solicitud de información pública, en el estatus respectivo.</w:t>
      </w:r>
      <w:r>
        <w:rPr>
          <w:rFonts w:ascii="Palatino Linotype" w:eastAsia="Palatino Linotype" w:hAnsi="Palatino Linotype" w:cs="Palatino Linotype"/>
          <w:b/>
          <w:i/>
          <w:sz w:val="20"/>
          <w:szCs w:val="20"/>
        </w:rPr>
        <w:t>”</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se puede concluir, que los sujetos obligados deben proporcionar la información en la modalidad solicitada por los pa</w:t>
      </w:r>
      <w:r>
        <w:rPr>
          <w:rFonts w:ascii="Palatino Linotype" w:eastAsia="Palatino Linotype" w:hAnsi="Palatino Linotype" w:cs="Palatino Linotype"/>
        </w:rPr>
        <w:t>rticulares para la entrega de la información, y sólo para el caso de que no sea posible, podrá cambiar la vía de entrega previa exposición de las razones fundadas y motivadas que lo llevaron a dicha determinación, como lo es, la imposibilidad de agregar lo</w:t>
      </w:r>
      <w:r>
        <w:rPr>
          <w:rFonts w:ascii="Palatino Linotype" w:eastAsia="Palatino Linotype" w:hAnsi="Palatino Linotype" w:cs="Palatino Linotype"/>
        </w:rPr>
        <w:t>s archivos electrónicos al SAIMEX, por motivos técnicos, debiendo dar aviso a este Órgano Garante a efectos de recibir apoyo técnico, hecho del que deberá existir constancia mediante el registro de incidencias.</w:t>
      </w:r>
    </w:p>
    <w:p w:rsidR="00C060E6" w:rsidRDefault="00267C4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Así, resulta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el áni</w:t>
      </w:r>
      <w:r>
        <w:rPr>
          <w:rFonts w:ascii="Palatino Linotype" w:eastAsia="Palatino Linotype" w:hAnsi="Palatino Linotype" w:cs="Palatino Linotype"/>
        </w:rPr>
        <w:t>mo de atender la solicitud de información del particular, informó el cambio de modalidad, mismo que no reúne los elementos mínimos previstos en los Lineamientos  para la Recepción, Trámite y Resolución de las Solicitudes, toda vez que, no notificó a la Dir</w:t>
      </w:r>
      <w:r>
        <w:rPr>
          <w:rFonts w:ascii="Palatino Linotype" w:eastAsia="Palatino Linotype" w:hAnsi="Palatino Linotype" w:cs="Palatino Linotype"/>
        </w:rPr>
        <w:t>ección de Desarrollo e Infraestructura Tecnológica del cambio de modalidad, para dar contestación a la solicitud de información de mérito, esto es así, en el entendido de que, de autos no se advierte la incidencia respectiva, aunado a que esta Ponencia, so</w:t>
      </w:r>
      <w:r>
        <w:rPr>
          <w:rFonts w:ascii="Palatino Linotype" w:eastAsia="Palatino Linotype" w:hAnsi="Palatino Linotype" w:cs="Palatino Linotype"/>
        </w:rPr>
        <w:t>licitó vía correo electrónico oficial, el informe respecto a si existió algún reporte de incidencias por parte del Sujeto Obligado</w:t>
      </w:r>
      <w:r>
        <w:rPr>
          <w:rFonts w:ascii="Palatino Linotype" w:eastAsia="Palatino Linotype" w:hAnsi="Palatino Linotype" w:cs="Palatino Linotype"/>
          <w:b/>
        </w:rPr>
        <w:t>.</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en fecha </w:t>
      </w:r>
      <w:r>
        <w:rPr>
          <w:rFonts w:ascii="Palatino Linotype" w:eastAsia="Palatino Linotype" w:hAnsi="Palatino Linotype" w:cs="Palatino Linotype"/>
          <w:b/>
        </w:rPr>
        <w:t>diez de noviembre de dos mil veintiuno</w:t>
      </w:r>
      <w:r>
        <w:rPr>
          <w:rFonts w:ascii="Palatino Linotype" w:eastAsia="Palatino Linotype" w:hAnsi="Palatino Linotype" w:cs="Palatino Linotype"/>
        </w:rPr>
        <w:t>, la Dirección de Desarrollo e Infraestructura Tecnológica haya n</w:t>
      </w:r>
      <w:r>
        <w:rPr>
          <w:rFonts w:ascii="Palatino Linotype" w:eastAsia="Palatino Linotype" w:hAnsi="Palatino Linotype" w:cs="Palatino Linotype"/>
        </w:rPr>
        <w:t>otificado que, no existe registro de incidencia de la Secretaría de Educación, además de indicar que el peso máximo de archivos que soporta el SAIMEX para adjuntar como respuesta a las solicitudes de información, es de hasta 500Mb o un equivalente de 8,000</w:t>
      </w:r>
      <w:r>
        <w:rPr>
          <w:rFonts w:ascii="Palatino Linotype" w:eastAsia="Palatino Linotype" w:hAnsi="Palatino Linotype" w:cs="Palatino Linotype"/>
        </w:rPr>
        <w:t xml:space="preserve"> hojas, con lo que se garantiza que el Ciudadano no tenga problemas en la descarga de la información, al usar conexiones a internet convencionales, bajo parámetros de escaneo en resolución máxima de 150Dpi's, escala de grises y formato "PDF" extraído direc</w:t>
      </w:r>
      <w:r>
        <w:rPr>
          <w:rFonts w:ascii="Palatino Linotype" w:eastAsia="Palatino Linotype" w:hAnsi="Palatino Linotype" w:cs="Palatino Linotype"/>
        </w:rPr>
        <w:t>tamente del escáner, como se aprecia a continuación:</w:t>
      </w:r>
    </w:p>
    <w:p w:rsidR="00C060E6" w:rsidRDefault="00267C40">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353797" cy="2905530"/>
            <wp:effectExtent l="0" t="0" r="0" b="0"/>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53797" cy="2905530"/>
                    </a:xfrm>
                    <a:prstGeom prst="rect">
                      <a:avLst/>
                    </a:prstGeom>
                    <a:ln/>
                  </pic:spPr>
                </pic:pic>
              </a:graphicData>
            </a:graphic>
          </wp:inline>
        </w:drawing>
      </w:r>
    </w:p>
    <w:p w:rsidR="00C060E6" w:rsidRDefault="00267C4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No obstante, no pasa inadvertido para este Órgano Garante que, el </w:t>
      </w:r>
      <w:r>
        <w:rPr>
          <w:rFonts w:ascii="Palatino Linotype" w:eastAsia="Palatino Linotype" w:hAnsi="Palatino Linotype" w:cs="Palatino Linotype"/>
          <w:b/>
          <w:highlight w:val="white"/>
        </w:rPr>
        <w:t xml:space="preserve">Sujeto Obligado </w:t>
      </w:r>
      <w:r>
        <w:rPr>
          <w:rFonts w:ascii="Palatino Linotype" w:eastAsia="Palatino Linotype" w:hAnsi="Palatino Linotype" w:cs="Palatino Linotype"/>
          <w:highlight w:val="white"/>
        </w:rPr>
        <w:t xml:space="preserve">informó que la consulta directa o </w:t>
      </w:r>
      <w:r>
        <w:rPr>
          <w:rFonts w:ascii="Palatino Linotype" w:eastAsia="Palatino Linotype" w:hAnsi="Palatino Linotype" w:cs="Palatino Linotype"/>
          <w:i/>
          <w:highlight w:val="white"/>
        </w:rPr>
        <w:t>in situ</w:t>
      </w:r>
      <w:r>
        <w:rPr>
          <w:rFonts w:ascii="Palatino Linotype" w:eastAsia="Palatino Linotype" w:hAnsi="Palatino Linotype" w:cs="Palatino Linotype"/>
          <w:highlight w:val="white"/>
        </w:rPr>
        <w:t xml:space="preserve"> de la información debe ser realizada en un plazo de 3 días, dando solo un día para la consulta de la información de 2019, uno para la del 2020 y uno para la del 2021, lo cual resulta una restricción indebida en el ejercicio del derecho de acceso a la info</w:t>
      </w:r>
      <w:r>
        <w:rPr>
          <w:rFonts w:ascii="Palatino Linotype" w:eastAsia="Palatino Linotype" w:hAnsi="Palatino Linotype" w:cs="Palatino Linotype"/>
          <w:highlight w:val="white"/>
        </w:rPr>
        <w:t>rmación.</w:t>
      </w:r>
    </w:p>
    <w:p w:rsidR="00C060E6" w:rsidRDefault="00267C4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En virtud de que se considera limitativa y restrictiva al derecho de acceso a la información, pues dicho tiempo para su consulta, resulta ser por un lado una argumentación discrecional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carente de justificación para sustentar po</w:t>
      </w:r>
      <w:r>
        <w:rPr>
          <w:rFonts w:ascii="Palatino Linotype" w:eastAsia="Palatino Linotype" w:hAnsi="Palatino Linotype" w:cs="Palatino Linotype"/>
          <w:highlight w:val="white"/>
        </w:rPr>
        <w:t xml:space="preserve">rqué de tal limitación para su consulta. </w:t>
      </w:r>
    </w:p>
    <w:p w:rsidR="00C060E6" w:rsidRDefault="00267C4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Además de dicha limitación contradice los principios de publicidad, oportunidad y suficiencia a favor del solicitante para poder acceder a la información pública que obra en poder de los Sujetos Obligados, pues dic</w:t>
      </w:r>
      <w:r>
        <w:rPr>
          <w:rFonts w:ascii="Palatino Linotype" w:eastAsia="Palatino Linotype" w:hAnsi="Palatino Linotype" w:cs="Palatino Linotype"/>
          <w:highlight w:val="white"/>
        </w:rPr>
        <w:t>hos principios implican la posibilidad del Solicitante de poder conocer las acciones de los entes públicos que se encuentran precisamente en el actuar gubernamental que se encuentra documentado; la oportunidad, como la posibilidad de que el solicitante ten</w:t>
      </w:r>
      <w:r>
        <w:rPr>
          <w:rFonts w:ascii="Palatino Linotype" w:eastAsia="Palatino Linotype" w:hAnsi="Palatino Linotype" w:cs="Palatino Linotype"/>
          <w:highlight w:val="white"/>
        </w:rPr>
        <w:t>ga el momento o la ocasión propicia para acceder o aprovechar la consulta de la información, se trata en el caso en estudio de que el solicitante cuente con las condiciones propicias -en este supuesto de tiempo- para su consulta, la cual puede darse en día</w:t>
      </w:r>
      <w:r>
        <w:rPr>
          <w:rFonts w:ascii="Palatino Linotype" w:eastAsia="Palatino Linotype" w:hAnsi="Palatino Linotype" w:cs="Palatino Linotype"/>
          <w:highlight w:val="white"/>
        </w:rPr>
        <w:t>s y horarios hábiles, sin que se tenga que limitar a tres días, más aún cuando en su propia respuesta señala que por  la cantidad de información a consultar existe imposibilidad de proporcionarla vía SAIMEX.</w:t>
      </w:r>
    </w:p>
    <w:p w:rsidR="00C060E6" w:rsidRDefault="00267C4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Siendo las cosas así, cabe invocar el contenido </w:t>
      </w:r>
      <w:r>
        <w:rPr>
          <w:rFonts w:ascii="Palatino Linotype" w:eastAsia="Palatino Linotype" w:hAnsi="Palatino Linotype" w:cs="Palatino Linotype"/>
          <w:highlight w:val="white"/>
        </w:rPr>
        <w:t>del Capítulo X de Lineamientos Generales en Materia de Clasificación y Desclasificación de la Información, así como para la Elaboración de Versiones Públicas, respecto a la consulta directa, que reza así:</w:t>
      </w:r>
    </w:p>
    <w:p w:rsidR="00C060E6" w:rsidRDefault="00267C40">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 xml:space="preserve">CAPÍTULO X </w:t>
      </w:r>
    </w:p>
    <w:p w:rsidR="00C060E6" w:rsidRDefault="00267C40">
      <w:pPr>
        <w:spacing w:before="120" w:after="120"/>
        <w:ind w:left="851"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DE LA CONSULTA DIRECTA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sép</w:t>
      </w:r>
      <w:r>
        <w:rPr>
          <w:rFonts w:ascii="Palatino Linotype" w:eastAsia="Palatino Linotype" w:hAnsi="Palatino Linotype" w:cs="Palatino Linotype"/>
          <w:b/>
          <w:i/>
          <w:sz w:val="20"/>
          <w:szCs w:val="20"/>
        </w:rPr>
        <w:t>timo</w:t>
      </w:r>
      <w:r>
        <w:rPr>
          <w:rFonts w:ascii="Palatino Linotype" w:eastAsia="Palatino Linotype" w:hAnsi="Palatino Linotype" w:cs="Palatino Linotype"/>
          <w:i/>
          <w:sz w:val="20"/>
          <w:szCs w:val="20"/>
        </w:rPr>
        <w:t>. Para la atención de solicitudes en las que la modalidad de entrega de la información sea la consulta directa y, con el fin de garantizar el acceso a la información que conste en documentos que contengan partes o secciones clasificadas como reservadas</w:t>
      </w:r>
      <w:r>
        <w:rPr>
          <w:rFonts w:ascii="Palatino Linotype" w:eastAsia="Palatino Linotype" w:hAnsi="Palatino Linotype" w:cs="Palatino Linotype"/>
          <w:i/>
          <w:sz w:val="20"/>
          <w:szCs w:val="20"/>
        </w:rPr>
        <w:t xml:space="preserve"> o confidenciales en la modalidad antes citada, previamente el Comité de Transparencia del sujeto obligado </w:t>
      </w:r>
      <w:r>
        <w:rPr>
          <w:rFonts w:ascii="Palatino Linotype" w:eastAsia="Palatino Linotype" w:hAnsi="Palatino Linotype" w:cs="Palatino Linotype"/>
          <w:b/>
          <w:i/>
          <w:sz w:val="20"/>
          <w:szCs w:val="20"/>
        </w:rPr>
        <w:t>deberá emitir la resolución en la que funde y motive la clasificación</w:t>
      </w:r>
      <w:r>
        <w:rPr>
          <w:rFonts w:ascii="Palatino Linotype" w:eastAsia="Palatino Linotype" w:hAnsi="Palatino Linotype" w:cs="Palatino Linotype"/>
          <w:i/>
          <w:sz w:val="20"/>
          <w:szCs w:val="20"/>
        </w:rPr>
        <w:t xml:space="preserve"> de las partes o secciones que no podrán dejarse a la vista del solicitante.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w:t>
      </w:r>
      <w:r>
        <w:rPr>
          <w:rFonts w:ascii="Palatino Linotype" w:eastAsia="Palatino Linotype" w:hAnsi="Palatino Linotype" w:cs="Palatino Linotype"/>
          <w:b/>
          <w:i/>
          <w:sz w:val="20"/>
          <w:szCs w:val="20"/>
        </w:rPr>
        <w:t>xagésimo octavo</w:t>
      </w:r>
      <w:r>
        <w:rPr>
          <w:rFonts w:ascii="Palatino Linotype" w:eastAsia="Palatino Linotype" w:hAnsi="Palatino Linotype" w:cs="Palatino Linotype"/>
          <w:i/>
          <w:sz w:val="20"/>
          <w:szCs w:val="20"/>
        </w:rPr>
        <w:t xml:space="preserve">. En la </w:t>
      </w:r>
      <w:r>
        <w:rPr>
          <w:rFonts w:ascii="Palatino Linotype" w:eastAsia="Palatino Linotype" w:hAnsi="Palatino Linotype" w:cs="Palatino Linotype"/>
          <w:b/>
          <w:i/>
          <w:sz w:val="20"/>
          <w:szCs w:val="20"/>
        </w:rPr>
        <w:t>resolución del Comité de Transparencia</w:t>
      </w:r>
      <w:r>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w:t>
      </w:r>
      <w:r>
        <w:rPr>
          <w:rFonts w:ascii="Palatino Linotype" w:eastAsia="Palatino Linotype" w:hAnsi="Palatino Linotype" w:cs="Palatino Linotype"/>
          <w:i/>
          <w:sz w:val="20"/>
          <w:szCs w:val="20"/>
        </w:rPr>
        <w:t xml:space="preserve"> la información clasificada, atendiendo a la naturaleza del documento y el formato en el que obra.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Sexagésimo noveno</w:t>
      </w:r>
      <w:r>
        <w:rPr>
          <w:rFonts w:ascii="Palatino Linotype" w:eastAsia="Palatino Linotype" w:hAnsi="Palatino Linotype" w:cs="Palatino Linotype"/>
          <w:i/>
          <w:sz w:val="20"/>
          <w:szCs w:val="20"/>
        </w:rPr>
        <w:t>. En caso de que no sea posible otorgar acceso a la información en la modalidad de consulta directa ya sea por la naturaleza, contenido, el</w:t>
      </w:r>
      <w:r>
        <w:rPr>
          <w:rFonts w:ascii="Palatino Linotype" w:eastAsia="Palatino Linotype" w:hAnsi="Palatino Linotype" w:cs="Palatino Linotype"/>
          <w:i/>
          <w:sz w:val="20"/>
          <w:szCs w:val="20"/>
        </w:rPr>
        <w:t xml:space="preserve"> formato del documento o características físicas del mismo, el sujeto obligado deberá justificar el impedimento para el acceso a la consulta directa y, de ser posible, ofrecer las demás modalidades en las que es viable el acceso a la información.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w:t>
      </w:r>
      <w:r>
        <w:rPr>
          <w:rFonts w:ascii="Palatino Linotype" w:eastAsia="Palatino Linotype" w:hAnsi="Palatino Linotype" w:cs="Palatino Linotype"/>
          <w:b/>
          <w:i/>
          <w:sz w:val="20"/>
          <w:szCs w:val="20"/>
        </w:rPr>
        <w:t>simo</w:t>
      </w:r>
      <w:r>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rsidR="00C060E6" w:rsidRDefault="00267C4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w:t>
      </w:r>
      <w:r>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w:t>
      </w:r>
      <w:r>
        <w:rPr>
          <w:rFonts w:ascii="Palatino Linotype" w:eastAsia="Palatino Linotype" w:hAnsi="Palatino Linotype" w:cs="Palatino Linotype"/>
          <w:i/>
          <w:sz w:val="20"/>
          <w:szCs w:val="20"/>
        </w:rPr>
        <w:t xml:space="preserve">ligado determine que se requiere más de un día para realizar la consulta, en la respuesta a la solicitud también se deberá indicar esta situación al solicitante y los días, y horarios en que podrá llevarse a cabo. </w:t>
      </w:r>
    </w:p>
    <w:p w:rsidR="00C060E6" w:rsidRDefault="00267C4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w:t>
      </w:r>
      <w:r>
        <w:rPr>
          <w:rFonts w:ascii="Palatino Linotype" w:eastAsia="Palatino Linotype" w:hAnsi="Palatino Linotype" w:cs="Palatino Linotype"/>
          <w:i/>
          <w:sz w:val="20"/>
          <w:szCs w:val="20"/>
        </w:rPr>
        <w:t xml:space="preserve"> En su caso, la procedencia de los aju</w:t>
      </w:r>
      <w:r>
        <w:rPr>
          <w:rFonts w:ascii="Palatino Linotype" w:eastAsia="Palatino Linotype" w:hAnsi="Palatino Linotype" w:cs="Palatino Linotype"/>
          <w:i/>
          <w:sz w:val="20"/>
          <w:szCs w:val="20"/>
        </w:rPr>
        <w:t xml:space="preserve">stes razonables solicitados y/o la procedencia de acceso en la lengua indígena requerida; </w:t>
      </w:r>
    </w:p>
    <w:p w:rsidR="00C060E6" w:rsidRDefault="00267C4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III.</w:t>
      </w:r>
      <w:r>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w:t>
      </w:r>
      <w:r>
        <w:rPr>
          <w:rFonts w:ascii="Palatino Linotype" w:eastAsia="Palatino Linotype" w:hAnsi="Palatino Linotype" w:cs="Palatino Linotype"/>
          <w:i/>
          <w:sz w:val="20"/>
          <w:szCs w:val="20"/>
        </w:rPr>
        <w:t xml:space="preserve"> el domicilio de la Unidad de Transparencia, así como el nombre, cargo y datos de contacto del personal que le permitirá el acceso; </w:t>
      </w:r>
    </w:p>
    <w:p w:rsidR="00C060E6" w:rsidRDefault="00267C4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IV.</w:t>
      </w:r>
      <w:r>
        <w:rPr>
          <w:rFonts w:ascii="Palatino Linotype" w:eastAsia="Palatino Linotype" w:hAnsi="Palatino Linotype" w:cs="Palatino Linotype"/>
          <w:i/>
          <w:sz w:val="20"/>
          <w:szCs w:val="20"/>
        </w:rPr>
        <w:t xml:space="preserve"> Proporcionar al solicitante las facilidades y asistencia requerida para la consulta de los documentos;</w:t>
      </w:r>
    </w:p>
    <w:p w:rsidR="00C060E6" w:rsidRDefault="00267C4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w:t>
      </w:r>
      <w:r>
        <w:rPr>
          <w:rFonts w:ascii="Palatino Linotype" w:eastAsia="Palatino Linotype" w:hAnsi="Palatino Linotype" w:cs="Palatino Linotype"/>
          <w:i/>
          <w:sz w:val="20"/>
          <w:szCs w:val="20"/>
        </w:rPr>
        <w:t xml:space="preserve"> Abstenerse de</w:t>
      </w:r>
      <w:r>
        <w:rPr>
          <w:rFonts w:ascii="Palatino Linotype" w:eastAsia="Palatino Linotype" w:hAnsi="Palatino Linotype" w:cs="Palatino Linotype"/>
          <w:i/>
          <w:sz w:val="20"/>
          <w:szCs w:val="20"/>
        </w:rPr>
        <w:t xml:space="preserve"> requerir al solicitante que acredite interés alguno; </w:t>
      </w:r>
    </w:p>
    <w:p w:rsidR="00C060E6" w:rsidRDefault="00267C4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w:t>
      </w:r>
      <w:r>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w:t>
      </w:r>
      <w:r>
        <w:rPr>
          <w:rFonts w:ascii="Palatino Linotype" w:eastAsia="Palatino Linotype" w:hAnsi="Palatino Linotype" w:cs="Palatino Linotype"/>
          <w:i/>
          <w:sz w:val="20"/>
          <w:szCs w:val="20"/>
        </w:rPr>
        <w:t xml:space="preserve">s del documento solicitado, tales como: </w:t>
      </w:r>
    </w:p>
    <w:p w:rsidR="00C060E6" w:rsidRDefault="00267C4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w:t>
      </w:r>
      <w:r>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rsidR="00C060E6" w:rsidRDefault="00267C4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b)</w:t>
      </w:r>
      <w:r>
        <w:rPr>
          <w:rFonts w:ascii="Palatino Linotype" w:eastAsia="Palatino Linotype" w:hAnsi="Palatino Linotype" w:cs="Palatino Linotype"/>
          <w:i/>
          <w:sz w:val="20"/>
          <w:szCs w:val="20"/>
        </w:rPr>
        <w:t xml:space="preserve"> Equipo y personal de vigilancia;</w:t>
      </w:r>
    </w:p>
    <w:p w:rsidR="00C060E6" w:rsidRDefault="00267C4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c)</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i/>
          <w:sz w:val="20"/>
          <w:szCs w:val="20"/>
        </w:rPr>
        <w:t xml:space="preserve">Plan de acción contra robo o vandalismo; </w:t>
      </w:r>
    </w:p>
    <w:p w:rsidR="00C060E6" w:rsidRDefault="00267C4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d)</w:t>
      </w:r>
      <w:r>
        <w:rPr>
          <w:rFonts w:ascii="Palatino Linotype" w:eastAsia="Palatino Linotype" w:hAnsi="Palatino Linotype" w:cs="Palatino Linotype"/>
          <w:i/>
          <w:sz w:val="20"/>
          <w:szCs w:val="20"/>
        </w:rPr>
        <w:t xml:space="preserve"> Extintores de fuego de gas inocuo; </w:t>
      </w:r>
    </w:p>
    <w:p w:rsidR="00C060E6" w:rsidRDefault="00267C4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e)</w:t>
      </w:r>
      <w:r>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rsidR="00C060E6" w:rsidRDefault="00267C4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f)</w:t>
      </w:r>
      <w:r>
        <w:rPr>
          <w:rFonts w:ascii="Palatino Linotype" w:eastAsia="Palatino Linotype" w:hAnsi="Palatino Linotype" w:cs="Palatino Linotype"/>
          <w:i/>
          <w:sz w:val="20"/>
          <w:szCs w:val="20"/>
        </w:rPr>
        <w:t xml:space="preserve"> Registro e identificación de los particulares autorizado</w:t>
      </w:r>
      <w:r>
        <w:rPr>
          <w:rFonts w:ascii="Palatino Linotype" w:eastAsia="Palatino Linotype" w:hAnsi="Palatino Linotype" w:cs="Palatino Linotype"/>
          <w:i/>
          <w:sz w:val="20"/>
          <w:szCs w:val="20"/>
        </w:rPr>
        <w:t xml:space="preserve">s para llevar a cabo la consulta directa, y </w:t>
      </w:r>
    </w:p>
    <w:p w:rsidR="00C060E6" w:rsidRDefault="00267C40">
      <w:pPr>
        <w:spacing w:before="120" w:after="120"/>
        <w:ind w:left="1418"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g)</w:t>
      </w:r>
      <w:r>
        <w:rPr>
          <w:rFonts w:ascii="Palatino Linotype" w:eastAsia="Palatino Linotype" w:hAnsi="Palatino Linotype" w:cs="Palatino Linotype"/>
          <w:i/>
          <w:sz w:val="20"/>
          <w:szCs w:val="20"/>
        </w:rPr>
        <w:t xml:space="preserve"> Las demás que, a criterio de los sujetos obligados, resulten necesarias. </w:t>
      </w:r>
    </w:p>
    <w:p w:rsidR="00C060E6" w:rsidRDefault="00267C40">
      <w:pPr>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VII.</w:t>
      </w:r>
      <w:r>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w:t>
      </w:r>
      <w:r>
        <w:rPr>
          <w:rFonts w:ascii="Palatino Linotype" w:eastAsia="Palatino Linotype" w:hAnsi="Palatino Linotype" w:cs="Palatino Linotype"/>
          <w:i/>
          <w:sz w:val="20"/>
          <w:szCs w:val="20"/>
        </w:rPr>
        <w:t>ar la integridad de los documentos, y</w:t>
      </w:r>
    </w:p>
    <w:p w:rsidR="00C060E6" w:rsidRDefault="00267C40">
      <w:pPr>
        <w:spacing w:before="120" w:after="120"/>
        <w:ind w:left="1134" w:right="902"/>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VIII.</w:t>
      </w:r>
      <w:r>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Pr>
          <w:rFonts w:ascii="Palatino Linotype" w:eastAsia="Palatino Linotype" w:hAnsi="Palatino Linotype" w:cs="Palatino Linotype"/>
          <w:b/>
          <w:i/>
          <w:sz w:val="20"/>
          <w:szCs w:val="20"/>
        </w:rPr>
        <w:t>previo al acceso a la información, la r</w:t>
      </w:r>
      <w:r>
        <w:rPr>
          <w:rFonts w:ascii="Palatino Linotype" w:eastAsia="Palatino Linotype" w:hAnsi="Palatino Linotype" w:cs="Palatino Linotype"/>
          <w:b/>
          <w:i/>
          <w:sz w:val="20"/>
          <w:szCs w:val="20"/>
        </w:rPr>
        <w:t xml:space="preserve">esolución debidamente fundada y motivada del Comité de Transparencia, en la que se clasificaron las partes o secciones que no podrán dejarse a la vista del solicitante.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Septuagésimo primero. </w:t>
      </w:r>
      <w:r>
        <w:rPr>
          <w:rFonts w:ascii="Palatino Linotype" w:eastAsia="Palatino Linotype" w:hAnsi="Palatino Linotype" w:cs="Palatino Linotype"/>
          <w:i/>
          <w:sz w:val="20"/>
          <w:szCs w:val="20"/>
        </w:rPr>
        <w:t>La consulta física de la información se realizará en presencia d</w:t>
      </w:r>
      <w:r>
        <w:rPr>
          <w:rFonts w:ascii="Palatino Linotype" w:eastAsia="Palatino Linotype" w:hAnsi="Palatino Linotype" w:cs="Palatino Linotype"/>
          <w:i/>
          <w:sz w:val="20"/>
          <w:szCs w:val="20"/>
        </w:rPr>
        <w:t xml:space="preserve">el personal que para tal efecto haya sido designado, quien implementará las medidas para asegurar en todo momento la integridad de la documentación, conforme a la resolución que, al efecto, emita el Comité de Transparencia.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El solicitante deberá observar </w:t>
      </w:r>
      <w:r>
        <w:rPr>
          <w:rFonts w:ascii="Palatino Linotype" w:eastAsia="Palatino Linotype" w:hAnsi="Palatino Linotype" w:cs="Palatino Linotype"/>
          <w:i/>
          <w:sz w:val="20"/>
          <w:szCs w:val="20"/>
        </w:rPr>
        <w:t xml:space="preserve">en todo momento las reglas que el sujeto obligado haya hecho de su conocimiento para efectos de la conservación de los documentos.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segundo.</w:t>
      </w:r>
      <w:r>
        <w:rPr>
          <w:rFonts w:ascii="Palatino Linotype" w:eastAsia="Palatino Linotype" w:hAnsi="Palatino Linotype" w:cs="Palatino Linotype"/>
          <w:i/>
          <w:sz w:val="20"/>
          <w:szCs w:val="20"/>
        </w:rPr>
        <w:t xml:space="preserve"> El solicitante deberá realizar la consulta de los documentos requeridos en el lugar, horarios y con la</w:t>
      </w:r>
      <w:r>
        <w:rPr>
          <w:rFonts w:ascii="Palatino Linotype" w:eastAsia="Palatino Linotype" w:hAnsi="Palatino Linotype" w:cs="Palatino Linotype"/>
          <w:i/>
          <w:sz w:val="20"/>
          <w:szCs w:val="20"/>
        </w:rPr>
        <w:t xml:space="preserve"> persona destinada para tal efecto.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Si una vez realizada la diligencia, en el tiempo previsto para ello, no fuera posible consultar toda la documentación, el solicitante podrá requerir al sujeto obligado una nueva cita, misma que deberá ser programada ind</w:t>
      </w:r>
      <w:r>
        <w:rPr>
          <w:rFonts w:ascii="Palatino Linotype" w:eastAsia="Palatino Linotype" w:hAnsi="Palatino Linotype" w:cs="Palatino Linotype"/>
          <w:i/>
          <w:sz w:val="20"/>
          <w:szCs w:val="20"/>
        </w:rPr>
        <w:t xml:space="preserve">icándole al particular los días y horarios en que podrá llevarse a cabo.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Septuagésimo tercero</w:t>
      </w:r>
      <w:r>
        <w:rPr>
          <w:rFonts w:ascii="Palatino Linotype" w:eastAsia="Palatino Linotype" w:hAnsi="Palatino Linotype" w:cs="Palatino Linotype"/>
          <w:i/>
          <w:sz w:val="20"/>
          <w:szCs w:val="20"/>
        </w:rPr>
        <w:t>. Si una vez consultada la versión pública de la documentación, el solicitante requiriera la reproducción de la información o de parte de la misma en otra modalid</w:t>
      </w:r>
      <w:r>
        <w:rPr>
          <w:rFonts w:ascii="Palatino Linotype" w:eastAsia="Palatino Linotype" w:hAnsi="Palatino Linotype" w:cs="Palatino Linotype"/>
          <w:i/>
          <w:sz w:val="20"/>
          <w:szCs w:val="20"/>
        </w:rPr>
        <w:t xml:space="preserve">ad, salvo impedimento justificado, los sujetos obligados deberán otorgar acceso a ésta, previo el pago correspondiente, sin necesidad de que se presente una nueva solicitud de información. </w:t>
      </w:r>
    </w:p>
    <w:p w:rsidR="00C060E6" w:rsidRDefault="00267C40">
      <w:pPr>
        <w:spacing w:before="120" w:after="120"/>
        <w:ind w:left="851" w:right="902"/>
        <w:jc w:val="both"/>
        <w:rPr>
          <w:rFonts w:ascii="Palatino Linotype" w:eastAsia="Palatino Linotype" w:hAnsi="Palatino Linotype" w:cs="Palatino Linotype"/>
          <w:i/>
          <w:sz w:val="20"/>
          <w:szCs w:val="20"/>
          <w:highlight w:val="white"/>
        </w:rPr>
      </w:pPr>
      <w:r>
        <w:rPr>
          <w:rFonts w:ascii="Palatino Linotype" w:eastAsia="Palatino Linotype" w:hAnsi="Palatino Linotype" w:cs="Palatino Linotype"/>
          <w:i/>
          <w:sz w:val="20"/>
          <w:szCs w:val="20"/>
        </w:rPr>
        <w:t xml:space="preserve">La información deberá ser entregada sin costo, cuando implique la </w:t>
      </w:r>
      <w:r>
        <w:rPr>
          <w:rFonts w:ascii="Palatino Linotype" w:eastAsia="Palatino Linotype" w:hAnsi="Palatino Linotype" w:cs="Palatino Linotype"/>
          <w:i/>
          <w:sz w:val="20"/>
          <w:szCs w:val="20"/>
        </w:rPr>
        <w:t>entrega de no más de veinte hojas simples.”</w:t>
      </w:r>
    </w:p>
    <w:p w:rsidR="00C060E6" w:rsidRDefault="00267C40">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consecuencia, el Sujeto Obligado no justificó el impedimento para remitir la información solicitada vía SAIMEX, siendo aplicable por analogía el criterio de interpretación 08/17, emitido por el Instituto Nacio</w:t>
      </w:r>
      <w:r>
        <w:rPr>
          <w:rFonts w:ascii="Palatino Linotype" w:eastAsia="Palatino Linotype" w:hAnsi="Palatino Linotype" w:cs="Palatino Linotype"/>
        </w:rPr>
        <w:t>nal de Transparencia, Acceso a la Información y Protección de Datos Personales, INAI, que es del tenor literal siguiente:</w:t>
      </w:r>
    </w:p>
    <w:p w:rsidR="00C060E6" w:rsidRDefault="00267C40">
      <w:pPr>
        <w:spacing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De una interpretación a los artículos 133 de la Ley General de Transparencia y Acceso a la Información Pública y 136 de la Ley Federal de Transparencia y Acceso a la Información Pública, cuando no sea posible atender la modalidad elegida, la obligación d</w:t>
      </w:r>
      <w:r>
        <w:rPr>
          <w:rFonts w:ascii="Palatino Linotype" w:eastAsia="Palatino Linotype" w:hAnsi="Palatino Linotype" w:cs="Palatino Linotype"/>
          <w:i/>
          <w:sz w:val="22"/>
          <w:szCs w:val="22"/>
        </w:rPr>
        <w:t xml:space="preserve">e acceso a la información se tendrá por cumplida cuando el sujeto obligado: </w:t>
      </w:r>
      <w:r>
        <w:rPr>
          <w:rFonts w:ascii="Palatino Linotype" w:eastAsia="Palatino Linotype" w:hAnsi="Palatino Linotype" w:cs="Palatino Linotype"/>
          <w:b/>
          <w:i/>
          <w:sz w:val="22"/>
          <w:szCs w:val="22"/>
        </w:rPr>
        <w:t xml:space="preserve">a) justifique el impedimento para atender la misma </w:t>
      </w:r>
      <w:r>
        <w:rPr>
          <w:rFonts w:ascii="Palatino Linotype" w:eastAsia="Palatino Linotype" w:hAnsi="Palatino Linotype" w:cs="Palatino Linotype"/>
          <w:i/>
          <w:sz w:val="22"/>
          <w:szCs w:val="22"/>
        </w:rPr>
        <w:t xml:space="preserve">y </w:t>
      </w:r>
      <w:r>
        <w:rPr>
          <w:rFonts w:ascii="Palatino Linotype" w:eastAsia="Palatino Linotype" w:hAnsi="Palatino Linotype" w:cs="Palatino Linotype"/>
          <w:b/>
          <w:i/>
          <w:sz w:val="22"/>
          <w:szCs w:val="22"/>
        </w:rPr>
        <w:t>b) se notifique al particular la disposición de la información en todas las modalidades que permita el documento de que se trat</w:t>
      </w:r>
      <w:r>
        <w:rPr>
          <w:rFonts w:ascii="Palatino Linotype" w:eastAsia="Palatino Linotype" w:hAnsi="Palatino Linotype" w:cs="Palatino Linotype"/>
          <w:b/>
          <w:i/>
          <w:sz w:val="22"/>
          <w:szCs w:val="22"/>
        </w:rPr>
        <w:t>e</w:t>
      </w:r>
      <w:r>
        <w:rPr>
          <w:rFonts w:ascii="Palatino Linotype" w:eastAsia="Palatino Linotype" w:hAnsi="Palatino Linotype" w:cs="Palatino Linotype"/>
          <w:i/>
          <w:sz w:val="22"/>
          <w:szCs w:val="22"/>
        </w:rPr>
        <w:t>, procurando reducir, en todo momento, los costos de entrega.”</w:t>
      </w:r>
    </w:p>
    <w:p w:rsidR="00C060E6" w:rsidRDefault="00267C40">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Bajo tales consideraciones, es que se considera como improcedente el cambio de modalidad pretendida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la entrega de la información a través de consulta directa,  por </w:t>
      </w:r>
      <w:r>
        <w:rPr>
          <w:rFonts w:ascii="Palatino Linotype" w:eastAsia="Palatino Linotype" w:hAnsi="Palatino Linotype" w:cs="Palatino Linotype"/>
        </w:rPr>
        <w:t xml:space="preserve">lo cual para tener por satisfecho cabalmente el derecho del particular se considera procedente ordenar la entrega, en versión pública de ser necesario, de los documentos en los que obre la información la </w:t>
      </w:r>
      <w:r>
        <w:rPr>
          <w:rFonts w:ascii="Palatino Linotype" w:eastAsia="Palatino Linotype" w:hAnsi="Palatino Linotype" w:cs="Palatino Linotype"/>
          <w:b/>
        </w:rPr>
        <w:t>lista de registro de memoria documental de la Subdir</w:t>
      </w:r>
      <w:r>
        <w:rPr>
          <w:rFonts w:ascii="Palatino Linotype" w:eastAsia="Palatino Linotype" w:hAnsi="Palatino Linotype" w:cs="Palatino Linotype"/>
          <w:b/>
        </w:rPr>
        <w:t>ección Regional de Educación Básica Amecameca enviada y recibida, donde se pueda observar numero de oficio, fecha de elaboración y asunto; folio de recepción, numero de oficio, fecha de recepción y asunto,   del primero de enero de dos mil diecinueve al ve</w:t>
      </w:r>
      <w:r>
        <w:rPr>
          <w:rFonts w:ascii="Palatino Linotype" w:eastAsia="Palatino Linotype" w:hAnsi="Palatino Linotype" w:cs="Palatino Linotype"/>
          <w:b/>
        </w:rPr>
        <w:t xml:space="preserve">inticinco de mayo de dos mil veintiuno, </w:t>
      </w:r>
      <w:r>
        <w:rPr>
          <w:rFonts w:ascii="Palatino Linotype" w:eastAsia="Palatino Linotype" w:hAnsi="Palatino Linotype" w:cs="Palatino Linotype"/>
        </w:rPr>
        <w:t>a través de SAIMEX, información requerida por el particular, la cual en toda caso, puede colmarse con el libro de registro de oficios y/o minuta de correspondencia, o documento análogo.</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No obstante, para el caso de q</w:t>
      </w:r>
      <w:r>
        <w:rPr>
          <w:rFonts w:ascii="Palatino Linotype" w:eastAsia="Palatino Linotype" w:hAnsi="Palatino Linotype" w:cs="Palatino Linotype"/>
        </w:rPr>
        <w:t xml:space="preserve">ue exista impedimento justificado para entregar la información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proponer otros </w:t>
      </w:r>
      <w:r>
        <w:rPr>
          <w:rFonts w:ascii="Palatino Linotype" w:eastAsia="Palatino Linotype" w:hAnsi="Palatino Linotype" w:cs="Palatino Linotype"/>
          <w:highlight w:val="white"/>
        </w:rPr>
        <w:t>medios electrónicos, tales como habilitar una liga electrónica que deberá</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proporcionarle para que descargue los archivos; enviar la informa</w:t>
      </w:r>
      <w:r>
        <w:rPr>
          <w:rFonts w:ascii="Palatino Linotype" w:eastAsia="Palatino Linotype" w:hAnsi="Palatino Linotype" w:cs="Palatino Linotype"/>
          <w:highlight w:val="white"/>
        </w:rPr>
        <w:t>ción a la cuenta</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de correo electrónico del particular; concederle el acceso en disco compacto, con la posibilidad</w:t>
      </w:r>
      <w:r>
        <w:rPr>
          <w:rFonts w:ascii="Palatino Linotype" w:eastAsia="Palatino Linotype" w:hAnsi="Palatino Linotype" w:cs="Palatino Linotype"/>
        </w:rPr>
        <w:t xml:space="preserve"> </w:t>
      </w:r>
      <w:r>
        <w:rPr>
          <w:rFonts w:ascii="Palatino Linotype" w:eastAsia="Palatino Linotype" w:hAnsi="Palatino Linotype" w:cs="Palatino Linotype"/>
          <w:highlight w:val="white"/>
        </w:rPr>
        <w:t>de envío mediante correo certificado, previo pago del costo del CD y del envío; o darle la posibilidad de obtenerla de manera gratuita si el m</w:t>
      </w:r>
      <w:r>
        <w:rPr>
          <w:rFonts w:ascii="Palatino Linotype" w:eastAsia="Palatino Linotype" w:hAnsi="Palatino Linotype" w:cs="Palatino Linotype"/>
          <w:highlight w:val="white"/>
        </w:rPr>
        <w:t>ismo particular aporta el CD o la USB en la que se le proporcionarán los archivos electrónicos.</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numeral 7,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lo siguiente:</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314700"/>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612130" cy="3314700"/>
                    </a:xfrm>
                    <a:prstGeom prst="rect">
                      <a:avLst/>
                    </a:prstGeom>
                    <a:ln/>
                  </pic:spPr>
                </pic:pic>
              </a:graphicData>
            </a:graphic>
          </wp:inline>
        </w:drawing>
      </w:r>
    </w:p>
    <w:p w:rsidR="00C060E6" w:rsidRDefault="00267C4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Con lo cual se tiene por atendido el requerimiento de información, en virtud de que el </w:t>
      </w:r>
      <w:r>
        <w:rPr>
          <w:rFonts w:ascii="Palatino Linotype" w:eastAsia="Palatino Linotype" w:hAnsi="Palatino Linotype" w:cs="Palatino Linotype"/>
        </w:rPr>
        <w:t xml:space="preserve">particular solicitó el </w:t>
      </w:r>
      <w:r>
        <w:rPr>
          <w:rFonts w:ascii="Palatino Linotype" w:eastAsia="Palatino Linotype" w:hAnsi="Palatino Linotype" w:cs="Palatino Linotype"/>
          <w:b/>
        </w:rPr>
        <w:t>nombramiento de las personas titulares de la Subdirección Regional de Educación Básica Amecameca del año 2019 a la fecha de contestación de esta solicitud.</w:t>
      </w:r>
    </w:p>
    <w:p w:rsidR="00C060E6" w:rsidRDefault="00267C40">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lo que corresponde al numeral 8, el particular requirió el </w:t>
      </w:r>
      <w:r>
        <w:rPr>
          <w:rFonts w:ascii="Palatino Linotype" w:eastAsia="Palatino Linotype" w:hAnsi="Palatino Linotype" w:cs="Palatino Linotype"/>
          <w:b/>
        </w:rPr>
        <w:t>procedimiento p</w:t>
      </w:r>
      <w:r>
        <w:rPr>
          <w:rFonts w:ascii="Palatino Linotype" w:eastAsia="Palatino Linotype" w:hAnsi="Palatino Linotype" w:cs="Palatino Linotype"/>
          <w:b/>
        </w:rPr>
        <w:t>ara poner a resguardo instalaciones educativas.</w:t>
      </w:r>
    </w:p>
    <w:p w:rsidR="00C060E6" w:rsidRDefault="00267C40">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 xml:space="preserve">Como respuesta, la Unidad de Transparencia informó que </w:t>
      </w:r>
      <w:r>
        <w:rPr>
          <w:rFonts w:ascii="Palatino Linotype" w:eastAsia="Palatino Linotype" w:hAnsi="Palatino Linotype" w:cs="Palatino Linotype"/>
          <w:i/>
        </w:rPr>
        <w:t>es el Ejecutivo del Estado, a través de la Secretaría de Educación, quien tiene la capacidad jurídica y legitima para realizar cualquier acción referente</w:t>
      </w:r>
      <w:r>
        <w:rPr>
          <w:rFonts w:ascii="Palatino Linotype" w:eastAsia="Palatino Linotype" w:hAnsi="Palatino Linotype" w:cs="Palatino Linotype"/>
          <w:i/>
        </w:rPr>
        <w:t xml:space="preserve"> a las instalaciones educativas.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Expuesto lo anterior, es menester hacer alusión al procedimiento de atención a las solicitudes de acceso a la información reconocido en el artículo 150 de la Ley en comento, que prevé que el procedimiento de acceso a la inf</w:t>
      </w:r>
      <w:r>
        <w:rPr>
          <w:rFonts w:ascii="Palatino Linotype" w:eastAsia="Palatino Linotype" w:hAnsi="Palatino Linotype" w:cs="Palatino Linotype"/>
        </w:rPr>
        <w:t xml:space="preserve">ormación es la garantía primaria del derecho en cuestión y se rige por los principios de simplicidad, rapidez, gratuidad del procedimiento, auxilio y orientación a los particulares, el cual comprende la presentación de la solicitud de información pública, </w:t>
      </w:r>
      <w:r>
        <w:rPr>
          <w:rFonts w:ascii="Palatino Linotype" w:eastAsia="Palatino Linotype" w:hAnsi="Palatino Linotype" w:cs="Palatino Linotype"/>
        </w:rPr>
        <w:t>la recepción, trámite y requerimiento de información a los Servidores Públicos Habilitados y la contestación final que emita la Unidad de Transparencia al ciudadano.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solicitud de acceso a la información pública se podrá presentar por cualquier persona, </w:t>
      </w:r>
      <w:r>
        <w:rPr>
          <w:rFonts w:ascii="Palatino Linotype" w:eastAsia="Palatino Linotype" w:hAnsi="Palatino Linotype" w:cs="Palatino Linotype"/>
        </w:rPr>
        <w:t>por sí misma o a través de su representante y lo podrá realizar a través del sistema electrónico o de la Plataforma Nacional, en la oficina u oficinas designadas para ello, vía correo electrónico, correo postal, mensajería, telégrafo, verbalmente o cualqui</w:t>
      </w:r>
      <w:r>
        <w:rPr>
          <w:rFonts w:ascii="Palatino Linotype" w:eastAsia="Palatino Linotype" w:hAnsi="Palatino Linotype" w:cs="Palatino Linotype"/>
        </w:rPr>
        <w:t>er medio aprobado por el Instituto o por el Sistema Nacional, y entonces corresponde a las Unidades de Transparencia atender lo siguiente:</w:t>
      </w:r>
    </w:p>
    <w:p w:rsidR="00C060E6" w:rsidRDefault="00267C40">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162.</w:t>
      </w:r>
      <w:r>
        <w:rPr>
          <w:rFonts w:ascii="Palatino Linotype" w:eastAsia="Palatino Linotype" w:hAnsi="Palatino Linotype" w:cs="Palatino Linotype"/>
          <w:i/>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w:t>
      </w:r>
      <w:r>
        <w:rPr>
          <w:rFonts w:ascii="Palatino Linotype" w:eastAsia="Palatino Linotype" w:hAnsi="Palatino Linotype" w:cs="Palatino Linotype"/>
          <w:i/>
          <w:sz w:val="20"/>
          <w:szCs w:val="20"/>
        </w:rPr>
        <w:t xml:space="preserve">xhaustiva y razonable de la información solicitada.  </w:t>
      </w:r>
    </w:p>
    <w:p w:rsidR="00C060E6" w:rsidRDefault="00267C40">
      <w:pPr>
        <w:spacing w:after="120"/>
        <w:ind w:left="851" w:right="900"/>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Artículo 165.</w:t>
      </w:r>
      <w:r>
        <w:rPr>
          <w:rFonts w:ascii="Palatino Linotype" w:eastAsia="Palatino Linotype" w:hAnsi="Palatino Linotype" w:cs="Palatino Linotype"/>
          <w:i/>
          <w:sz w:val="20"/>
          <w:szCs w:val="20"/>
        </w:rPr>
        <w:t xml:space="preserve"> Los sujetos obligados establecerán la forma y términos en que darán trámite interno a las solicitudes en materia de acceso a la información…”</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aquí que, corresponde a las unidades de tra</w:t>
      </w:r>
      <w:r>
        <w:rPr>
          <w:rFonts w:ascii="Palatino Linotype" w:eastAsia="Palatino Linotype" w:hAnsi="Palatino Linotype" w:cs="Palatino Linotype"/>
        </w:rPr>
        <w:t xml:space="preserve">nsparencia garantizar que las solicitudes se turnen a todas las Áreas competentes que cuenten con la información o deban tenerla de acuerdo con sus facultades, competencias o funciones con el objeto de que realicen una búsqueda exhaustiva y razonable, por </w:t>
      </w:r>
      <w:r>
        <w:rPr>
          <w:rFonts w:ascii="Palatino Linotype" w:eastAsia="Palatino Linotype" w:hAnsi="Palatino Linotype" w:cs="Palatino Linotype"/>
        </w:rPr>
        <w:t>lo que en todo caso, podrán establecer la forma y términos en que darán tramite interno a las solicitudes.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el Reglamento Interior de la Secretaría de Educación prevé lo siguiente:</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xml:space="preserve">“Artículo 22. </w:t>
      </w:r>
      <w:r>
        <w:rPr>
          <w:rFonts w:ascii="Palatino Linotype" w:eastAsia="Palatino Linotype" w:hAnsi="Palatino Linotype" w:cs="Palatino Linotype"/>
          <w:i/>
          <w:sz w:val="20"/>
          <w:szCs w:val="20"/>
        </w:rPr>
        <w:t>Corresponde a la Dirección General de Administr</w:t>
      </w:r>
      <w:r>
        <w:rPr>
          <w:rFonts w:ascii="Palatino Linotype" w:eastAsia="Palatino Linotype" w:hAnsi="Palatino Linotype" w:cs="Palatino Linotype"/>
          <w:i/>
          <w:sz w:val="20"/>
          <w:szCs w:val="20"/>
        </w:rPr>
        <w:t>ación el ejercicio de las atribuciones siguientes:</w:t>
      </w:r>
    </w:p>
    <w:p w:rsidR="00C060E6" w:rsidRDefault="00267C40">
      <w:pPr>
        <w:spacing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XI. Llevar el registro y control de los bienes muebles e inmuebles adscritos a la Secretaría; </w:t>
      </w:r>
    </w:p>
    <w:p w:rsidR="00C060E6" w:rsidRDefault="00267C40">
      <w:pPr>
        <w:spacing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XII. Supervisar el mantenimiento y conservación de los bienes muebles e inmuebles de la Secretaría;</w:t>
      </w:r>
    </w:p>
    <w:p w:rsidR="00C060E6" w:rsidRDefault="00267C40">
      <w:pPr>
        <w:spacing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XVI. Gestionar los servicios de apoyo administrativo que requieran las unidades de la Secretaría en materia de servicios generales, conservación y mantenimiento de bienes muebles e inmuebles, adquisiciones y suministros, seguridad y vigilancia y aseguramie</w:t>
      </w:r>
      <w:r>
        <w:rPr>
          <w:rFonts w:ascii="Palatino Linotype" w:eastAsia="Palatino Linotype" w:hAnsi="Palatino Linotype" w:cs="Palatino Linotype"/>
          <w:i/>
          <w:sz w:val="20"/>
          <w:szCs w:val="20"/>
        </w:rPr>
        <w:t>nto de bienes patrimoniales;…”</w:t>
      </w:r>
    </w:p>
    <w:p w:rsidR="00C060E6" w:rsidRDefault="00267C4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 conformidad con la normativa en cita, corresponde a la Dirección General de Administración de la Secretaría de Educación, supervisar el mantenimiento y conservación de los bienes inmuebles de la Secretaría; así como, gesti</w:t>
      </w:r>
      <w:r>
        <w:rPr>
          <w:rFonts w:ascii="Palatino Linotype" w:eastAsia="Palatino Linotype" w:hAnsi="Palatino Linotype" w:cs="Palatino Linotype"/>
        </w:rPr>
        <w:t xml:space="preserve">onar los servicios de apoyo administrativo que requieran las unidades de la Secretaría en materia de servicios generales, conservación y </w:t>
      </w:r>
      <w:r>
        <w:rPr>
          <w:rFonts w:ascii="Palatino Linotype" w:eastAsia="Palatino Linotype" w:hAnsi="Palatino Linotype" w:cs="Palatino Linotype"/>
          <w:b/>
        </w:rPr>
        <w:t>mantenimiento de bienes muebles</w:t>
      </w:r>
      <w:r>
        <w:rPr>
          <w:rFonts w:ascii="Palatino Linotype" w:eastAsia="Palatino Linotype" w:hAnsi="Palatino Linotype" w:cs="Palatino Linotype"/>
        </w:rPr>
        <w:t xml:space="preserve"> e </w:t>
      </w:r>
      <w:r>
        <w:rPr>
          <w:rFonts w:ascii="Palatino Linotype" w:eastAsia="Palatino Linotype" w:hAnsi="Palatino Linotype" w:cs="Palatino Linotype"/>
          <w:b/>
        </w:rPr>
        <w:t>inmuebles</w:t>
      </w:r>
      <w:r>
        <w:rPr>
          <w:rFonts w:ascii="Palatino Linotype" w:eastAsia="Palatino Linotype" w:hAnsi="Palatino Linotype" w:cs="Palatino Linotype"/>
        </w:rPr>
        <w:t>, adquisiciones y suministros, s</w:t>
      </w:r>
      <w:r>
        <w:rPr>
          <w:rFonts w:ascii="Palatino Linotype" w:eastAsia="Palatino Linotype" w:hAnsi="Palatino Linotype" w:cs="Palatino Linotype"/>
          <w:b/>
        </w:rPr>
        <w:t>eguridad y vigilancia y aseguramiento de bie</w:t>
      </w:r>
      <w:r>
        <w:rPr>
          <w:rFonts w:ascii="Palatino Linotype" w:eastAsia="Palatino Linotype" w:hAnsi="Palatino Linotype" w:cs="Palatino Linotype"/>
          <w:b/>
        </w:rPr>
        <w:t>nes patrimoniales.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Entonces, es una obligación de la Secretaría de Educación gestionar la seguridad, vigilancia y aseguramiento de bienes patrimoniales, tales como, las instalaciones educativas, por lo que no se puede validar la respuesta de </w:t>
      </w:r>
      <w:r>
        <w:rPr>
          <w:rFonts w:ascii="Palatino Linotype" w:eastAsia="Palatino Linotype" w:hAnsi="Palatino Linotype" w:cs="Palatino Linotype"/>
          <w:b/>
        </w:rPr>
        <w:t>Sujeto Obligad</w:t>
      </w:r>
      <w:r>
        <w:rPr>
          <w:rFonts w:ascii="Palatino Linotype" w:eastAsia="Palatino Linotype" w:hAnsi="Palatino Linotype" w:cs="Palatino Linotype"/>
          <w:b/>
        </w:rPr>
        <w:t xml:space="preserve">o, </w:t>
      </w:r>
      <w:r>
        <w:rPr>
          <w:rFonts w:ascii="Palatino Linotype" w:eastAsia="Palatino Linotype" w:hAnsi="Palatino Linotype" w:cs="Palatino Linotype"/>
        </w:rPr>
        <w:t>en virtud de que es una atribución de la Secretaría de Educación, gestionar el resguardo de los bienes patrimoniales, por lo que resulta procedente ordenar el soporte documental en el que conste dicho procedimiento.</w:t>
      </w:r>
    </w:p>
    <w:p w:rsidR="00C060E6" w:rsidRDefault="00267C4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otro punto de los requerimientos d</w:t>
      </w:r>
      <w:r>
        <w:rPr>
          <w:rFonts w:ascii="Palatino Linotype" w:eastAsia="Palatino Linotype" w:hAnsi="Palatino Linotype" w:cs="Palatino Linotype"/>
        </w:rPr>
        <w:t xml:space="preserve">e información, el particular solicitó el </w:t>
      </w:r>
      <w:r>
        <w:rPr>
          <w:rFonts w:ascii="Palatino Linotype" w:eastAsia="Palatino Linotype" w:hAnsi="Palatino Linotype" w:cs="Palatino Linotype"/>
          <w:b/>
        </w:rPr>
        <w:t xml:space="preserve">procedimiento de denuncia ante el Órgano Interno de Control de la Secretaría de Educación, </w:t>
      </w:r>
      <w:r>
        <w:rPr>
          <w:rFonts w:ascii="Palatino Linotype" w:eastAsia="Palatino Linotype" w:hAnsi="Palatino Linotype" w:cs="Palatino Linotype"/>
        </w:rPr>
        <w:t>tal y como se desprende del numeral 9.</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presente asunto, no se advierte del expediente electrónico que, la Unidad de Tr</w:t>
      </w:r>
      <w:r>
        <w:rPr>
          <w:rFonts w:ascii="Palatino Linotype" w:eastAsia="Palatino Linotype" w:hAnsi="Palatino Linotype" w:cs="Palatino Linotype"/>
        </w:rPr>
        <w:t>ansparencia haya turnado el requerimiento de información al servidor público habilitando competente, sin embargo, de respuesta se tiene que la Unidad de Transparencia, informó que lo solicitado podía ser consultado a través de la liga de Internet siguiente</w:t>
      </w:r>
      <w:r>
        <w:rPr>
          <w:rFonts w:ascii="Palatino Linotype" w:eastAsia="Palatino Linotype" w:hAnsi="Palatino Linotype" w:cs="Palatino Linotype"/>
        </w:rPr>
        <w:t xml:space="preserve">: </w:t>
      </w:r>
      <w:hyperlink r:id="rId31">
        <w:r>
          <w:rPr>
            <w:rFonts w:ascii="Palatino Linotype" w:eastAsia="Palatino Linotype" w:hAnsi="Palatino Linotype" w:cs="Palatino Linotype"/>
            <w:color w:val="0000FF"/>
            <w:u w:val="single"/>
          </w:rPr>
          <w:t>https://portal.secogem.gob.mx/sam</w:t>
        </w:r>
      </w:hyperlink>
      <w:r>
        <w:rPr>
          <w:rFonts w:ascii="Palatino Linotype" w:eastAsia="Palatino Linotype" w:hAnsi="Palatino Linotype" w:cs="Palatino Linotype"/>
        </w:rPr>
        <w:t>, la cual fue consultada a efectos de resolver, de la que se desplego lo que inserta enseguida mediante captura de pantalla: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714750"/>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612130" cy="3714750"/>
                    </a:xfrm>
                    <a:prstGeom prst="rect">
                      <a:avLst/>
                    </a:prstGeom>
                    <a:ln/>
                  </pic:spPr>
                </pic:pic>
              </a:graphicData>
            </a:graphic>
          </wp:inline>
        </w:drawing>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314700"/>
            <wp:effectExtent l="0" t="0" r="0" b="0"/>
            <wp:docPr id="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612130" cy="3314700"/>
                    </a:xfrm>
                    <a:prstGeom prst="rect">
                      <a:avLst/>
                    </a:prstGeom>
                    <a:ln/>
                  </pic:spPr>
                </pic:pic>
              </a:graphicData>
            </a:graphic>
          </wp:inline>
        </w:drawing>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tales consideraciones, se puede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atendió el requerimiento, al hacer del conocimiento del particular la fuente pública para localizar la información solicitada, en el entendido que de conformidad con el artículo 160 de la Ley de T</w:t>
      </w:r>
      <w:r>
        <w:rPr>
          <w:rFonts w:ascii="Palatino Linotype" w:eastAsia="Palatino Linotype" w:hAnsi="Palatino Linotype" w:cs="Palatino Linotype"/>
        </w:rPr>
        <w:t>ransparencia en la entidad, los sujetos obligados deben otorgar acceso a los documentos que se encuentren en sus archivos o que estén obligados a documentar de acuerdo con sus facultades, competencias o funciones, por lo tanto resulta infundado el motivo d</w:t>
      </w:r>
      <w:r>
        <w:rPr>
          <w:rFonts w:ascii="Palatino Linotype" w:eastAsia="Palatino Linotype" w:hAnsi="Palatino Linotype" w:cs="Palatino Linotype"/>
        </w:rPr>
        <w:t>e inconformidad hecho valer por el particular.</w:t>
      </w:r>
    </w:p>
    <w:p w:rsidR="00C060E6" w:rsidRDefault="00267C4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último, del requerimiento marcado con el numeral 10, se tiene que el particular solicitó que </w:t>
      </w:r>
      <w:r>
        <w:rPr>
          <w:rFonts w:ascii="Palatino Linotype" w:eastAsia="Palatino Linotype" w:hAnsi="Palatino Linotype" w:cs="Palatino Linotype"/>
          <w:b/>
        </w:rPr>
        <w:t>de existir varios nombramientos en los numerales 1 y 7, se solicitan las Actas de entrega recepción de los cargo</w:t>
      </w:r>
      <w:r>
        <w:rPr>
          <w:rFonts w:ascii="Palatino Linotype" w:eastAsia="Palatino Linotype" w:hAnsi="Palatino Linotype" w:cs="Palatino Linotype"/>
          <w:b/>
        </w:rPr>
        <w:t>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respuesta, entregó el Acta de Entrega-Recepción de fecha veintidós de abril de dos mil veintiuno, mediante la cual, la Profesora María del Refugio Martínez Chávez, recibe con las reservas de Ley, del Maestro José Armando Barajas Díaz, la Subdirecci</w:t>
      </w:r>
      <w:r>
        <w:rPr>
          <w:rFonts w:ascii="Palatino Linotype" w:eastAsia="Palatino Linotype" w:hAnsi="Palatino Linotype" w:cs="Palatino Linotype"/>
        </w:rPr>
        <w:t>ón Regional de Educación Básica Amecameca.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informó que, respecto de las actas de entrega-recepción de los servidores públicos que han ocupado la titularidad de la Unidad de Transparencia de la Secretaría de Educación del Gobierno del Estado de Mé</w:t>
      </w:r>
      <w:r>
        <w:rPr>
          <w:rFonts w:ascii="Palatino Linotype" w:eastAsia="Palatino Linotype" w:hAnsi="Palatino Linotype" w:cs="Palatino Linotype"/>
        </w:rPr>
        <w:t>xico del año 2019 a la fecha, de conformidad con lo establecido en el artículo 6 del Reglamento para los Procesos de entrega recepción y rendición de cuentas de la administración pública del Estado de México, no obran archivos por no haberse generado, al n</w:t>
      </w:r>
      <w:r>
        <w:rPr>
          <w:rFonts w:ascii="Palatino Linotype" w:eastAsia="Palatino Linotype" w:hAnsi="Palatino Linotype" w:cs="Palatino Linotype"/>
        </w:rPr>
        <w:t>o existir ni prevalecer una condición de exigencia normativa, por no encontrarse la Unidad de Transparencia dentro del organigrama de la Secretaría.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resulta oportuno referir que de acuerdo con el Reglamento Interior de la Secretaría de Edu</w:t>
      </w:r>
      <w:r>
        <w:rPr>
          <w:rFonts w:ascii="Palatino Linotype" w:eastAsia="Palatino Linotype" w:hAnsi="Palatino Linotype" w:cs="Palatino Linotype"/>
        </w:rPr>
        <w:t>cación</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el titular de la Secretaría, tendrá entre otras funciones, la de promover al interior de la Secretaría, el cumplimiento de las disposiciones en materia de transparencia, acceso a la información pública y protección de datos personales en términos </w:t>
      </w:r>
      <w:r>
        <w:rPr>
          <w:rFonts w:ascii="Palatino Linotype" w:eastAsia="Palatino Linotype" w:hAnsi="Palatino Linotype" w:cs="Palatino Linotype"/>
        </w:rPr>
        <w:t>de la normativa aplicable.</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esta manera, resulta oportuno invocar con fundamento en el artículo 50 de la Ley de Transparencia y Acceso a la Información Pública del Estado de México y Municipios, que los sujetos obligados</w:t>
      </w:r>
      <w:r>
        <w:rPr>
          <w:rFonts w:ascii="Palatino Linotype" w:eastAsia="Palatino Linotype" w:hAnsi="Palatino Linotype" w:cs="Palatino Linotype"/>
          <w:vertAlign w:val="superscript"/>
        </w:rPr>
        <w:footnoteReference w:id="5"/>
      </w:r>
      <w:r>
        <w:rPr>
          <w:rFonts w:ascii="Palatino Linotype" w:eastAsia="Palatino Linotype" w:hAnsi="Palatino Linotype" w:cs="Palatino Linotype"/>
        </w:rPr>
        <w:t xml:space="preserve"> contarán con un área responsable</w:t>
      </w:r>
      <w:r>
        <w:rPr>
          <w:rFonts w:ascii="Palatino Linotype" w:eastAsia="Palatino Linotype" w:hAnsi="Palatino Linotype" w:cs="Palatino Linotype"/>
        </w:rPr>
        <w:t xml:space="preserve"> para la atención de las solicitudes de información, a la que se le denominará Unidad de Transparencia, cuyo titular será designado por el mismo, a efectos de que funja como enlace entre éstos y los solicitantes. Dicha Unidad será la encargada de tramitar </w:t>
      </w:r>
      <w:r>
        <w:rPr>
          <w:rFonts w:ascii="Palatino Linotype" w:eastAsia="Palatino Linotype" w:hAnsi="Palatino Linotype" w:cs="Palatino Linotype"/>
        </w:rPr>
        <w:t>internamente la solicitud de información y tendrá la responsabilidad de verificar en cada caso que la misma no sea confidencial o reservada. Dicha Unidad contará con las facultades internas necesarias para gestionar la atención a las solicitudes de informa</w:t>
      </w:r>
      <w:r>
        <w:rPr>
          <w:rFonts w:ascii="Palatino Linotype" w:eastAsia="Palatino Linotype" w:hAnsi="Palatino Linotype" w:cs="Palatino Linotype"/>
        </w:rPr>
        <w:t>ción en los términos de la Ley General y la presente Ley, tal y como se lee a continuación:</w:t>
      </w:r>
    </w:p>
    <w:p w:rsidR="00C060E6" w:rsidRDefault="00267C40">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b/>
          <w:i/>
          <w:color w:val="000000"/>
          <w:sz w:val="20"/>
          <w:szCs w:val="20"/>
        </w:rPr>
        <w:t xml:space="preserve">Artículo 51. </w:t>
      </w:r>
      <w:r>
        <w:rPr>
          <w:rFonts w:ascii="Palatino Linotype" w:eastAsia="Palatino Linotype" w:hAnsi="Palatino Linotype" w:cs="Palatino Linotype"/>
          <w:i/>
          <w:color w:val="000000"/>
          <w:sz w:val="20"/>
          <w:szCs w:val="20"/>
        </w:rPr>
        <w:t>Los sujetos obligados designaran a un responsable para atender la Unidad de Transparencia, quien fungirá como enlace entre éstos y los solicitantes. D</w:t>
      </w:r>
      <w:r>
        <w:rPr>
          <w:rFonts w:ascii="Palatino Linotype" w:eastAsia="Palatino Linotype" w:hAnsi="Palatino Linotype" w:cs="Palatino Linotype"/>
          <w:i/>
          <w:color w:val="000000"/>
          <w:sz w:val="20"/>
          <w:szCs w:val="20"/>
        </w:rPr>
        <w:t>icha Unidad será la encargada de tramitar internamente la solicitud de información y tendrá la responsabilidad de verificar en cada caso que la misma no sea confidencial o reservada. Dicha Unidad contará con las facultades internas necesarias para gestiona</w:t>
      </w:r>
      <w:r>
        <w:rPr>
          <w:rFonts w:ascii="Palatino Linotype" w:eastAsia="Palatino Linotype" w:hAnsi="Palatino Linotype" w:cs="Palatino Linotype"/>
          <w:i/>
          <w:color w:val="000000"/>
          <w:sz w:val="20"/>
          <w:szCs w:val="20"/>
        </w:rPr>
        <w:t>r la atención a las solicitudes de información en los términos de la Ley General y la presente Ley.</w:t>
      </w:r>
      <w:r>
        <w:rPr>
          <w:rFonts w:ascii="Palatino Linotype" w:eastAsia="Palatino Linotype" w:hAnsi="Palatino Linotype" w:cs="Palatino Linotype"/>
          <w:i/>
          <w:color w:val="000000"/>
          <w:sz w:val="22"/>
          <w:szCs w:val="22"/>
        </w:rPr>
        <w:t>”</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con independencia de que la Unidad de Transparencia forme o no parte del Organigrama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también lo es, que es una Unidad Administrativa que por Ley está reglamentada a efectos de que se atiendan las solicitudes de acceso a la información.</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Siendo las cosas así, cabe señalar que el  Reglamento para los Procesos de Entrega y Recepción y Rendició</w:t>
      </w:r>
      <w:r>
        <w:rPr>
          <w:rFonts w:ascii="Palatino Linotype" w:eastAsia="Palatino Linotype" w:hAnsi="Palatino Linotype" w:cs="Palatino Linotype"/>
        </w:rPr>
        <w:t>n de Cuentas de la Administración Pública del Estado de México, l Periódico Oficial del Gobierno del Estado de México, tiene por objeto regular los procesos de Entrega y Recepción de recursos, programas, proyectos, acciones, asuntos, compromisos e informac</w:t>
      </w:r>
      <w:r>
        <w:rPr>
          <w:rFonts w:ascii="Palatino Linotype" w:eastAsia="Palatino Linotype" w:hAnsi="Palatino Linotype" w:cs="Palatino Linotype"/>
        </w:rPr>
        <w:t>ión a cargo de las personas servidoras públicas adscritas a las Unidades Administrativas de las Dependencias y Organismos Auxiliares, así como de la rendición de cuentas institucionales por el término del periodo constitucional de la gestión de gobierno de</w:t>
      </w:r>
      <w:r>
        <w:rPr>
          <w:rFonts w:ascii="Palatino Linotype" w:eastAsia="Palatino Linotype" w:hAnsi="Palatino Linotype" w:cs="Palatino Linotype"/>
        </w:rPr>
        <w:t xml:space="preserve"> la persona titular del Poder Ejecutivo del Estado de México.</w:t>
      </w:r>
    </w:p>
    <w:p w:rsidR="00C060E6" w:rsidRDefault="00267C40">
      <w:pPr>
        <w:spacing w:before="240" w:after="240" w:line="360" w:lineRule="auto"/>
        <w:ind w:right="5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Así, el Reglamento citado define, a través de las fracciones I, IX, X y XII  del artículo 3, como </w:t>
      </w:r>
      <w:r>
        <w:rPr>
          <w:rFonts w:ascii="Palatino Linotype" w:eastAsia="Palatino Linotype" w:hAnsi="Palatino Linotype" w:cs="Palatino Linotype"/>
          <w:i/>
        </w:rPr>
        <w:t xml:space="preserve">“acta administrativa” </w:t>
      </w:r>
      <w:r>
        <w:rPr>
          <w:rFonts w:ascii="Palatino Linotype" w:eastAsia="Palatino Linotype" w:hAnsi="Palatino Linotype" w:cs="Palatino Linotype"/>
        </w:rPr>
        <w:t xml:space="preserve">Al documento físico o electrónico que debe presentar la persona servidora </w:t>
      </w:r>
      <w:r>
        <w:rPr>
          <w:rFonts w:ascii="Palatino Linotype" w:eastAsia="Palatino Linotype" w:hAnsi="Palatino Linotype" w:cs="Palatino Linotype"/>
        </w:rPr>
        <w:t>pública que concluye un empleo, cargo o comisión, en el que consta la Entrega y Recepción de los Recursos asignados, los asuntos a su cargo y el estado que guardan; así como la información documental que tenga a su disposición, junto con sus anexos respect</w:t>
      </w:r>
      <w:r>
        <w:rPr>
          <w:rFonts w:ascii="Palatino Linotype" w:eastAsia="Palatino Linotype" w:hAnsi="Palatino Linotype" w:cs="Palatino Linotype"/>
        </w:rPr>
        <w:t xml:space="preserve">ivos, a quien legalmente deba sustituirle o a quien la persona que sea su superior jerárquico designe como encargada o encargado, o responsable; con la intervención de la persona representante del Órgano Interno de Control y de los testigos de asistencia, </w:t>
      </w:r>
      <w:r>
        <w:rPr>
          <w:rFonts w:ascii="Palatino Linotype" w:eastAsia="Palatino Linotype" w:hAnsi="Palatino Linotype" w:cs="Palatino Linotype"/>
        </w:rPr>
        <w:t xml:space="preserve">para su validación; </w:t>
      </w:r>
      <w:r>
        <w:rPr>
          <w:rFonts w:ascii="Palatino Linotype" w:eastAsia="Palatino Linotype" w:hAnsi="Palatino Linotype" w:cs="Palatino Linotype"/>
          <w:i/>
        </w:rPr>
        <w:t xml:space="preserve">“entrega-recepción” </w:t>
      </w:r>
      <w:r>
        <w:rPr>
          <w:rFonts w:ascii="Palatino Linotype" w:eastAsia="Palatino Linotype" w:hAnsi="Palatino Linotype" w:cs="Palatino Linotype"/>
        </w:rPr>
        <w:t xml:space="preserve">a Al proceso administrativo por el que una persona servidora pública que concluye su empleo, cargo o comisión hace entrega y rinde cuentas de los Recursos asignados; de los programas, proyectos, asuntos y acciones a </w:t>
      </w:r>
      <w:r>
        <w:rPr>
          <w:rFonts w:ascii="Palatino Linotype" w:eastAsia="Palatino Linotype" w:hAnsi="Palatino Linotype" w:cs="Palatino Linotype"/>
        </w:rPr>
        <w:t>su cargo y del estado que guardan; así como de la información documental que tenga a su disposición de manera directa, a quien reciba legalmente para sustituirle o a la persona que su superior jerárquico designe como encargada o encargado, o responsable pa</w:t>
      </w:r>
      <w:r>
        <w:rPr>
          <w:rFonts w:ascii="Palatino Linotype" w:eastAsia="Palatino Linotype" w:hAnsi="Palatino Linotype" w:cs="Palatino Linotype"/>
        </w:rPr>
        <w:t xml:space="preserve">ra tales efectos; como </w:t>
      </w:r>
      <w:r>
        <w:rPr>
          <w:rFonts w:ascii="Palatino Linotype" w:eastAsia="Palatino Linotype" w:hAnsi="Palatino Linotype" w:cs="Palatino Linotype"/>
          <w:i/>
        </w:rPr>
        <w:t>“entrega-recepción institucional”</w:t>
      </w:r>
      <w:r>
        <w:rPr>
          <w:rFonts w:ascii="Palatino Linotype" w:eastAsia="Palatino Linotype" w:hAnsi="Palatino Linotype" w:cs="Palatino Linotype"/>
        </w:rPr>
        <w:t xml:space="preserve"> Al proceso administrativo por el que las personas titulares de las Dependencias y Organismos Auxiliares salientes entregan un Informe de Rendición de Cuentas y, en su caso, Libros Blancos y Memorias </w:t>
      </w:r>
      <w:r>
        <w:rPr>
          <w:rFonts w:ascii="Palatino Linotype" w:eastAsia="Palatino Linotype" w:hAnsi="Palatino Linotype" w:cs="Palatino Linotype"/>
        </w:rPr>
        <w:t xml:space="preserve">Documentales sobre los resultados y situación que guardan los programas, proyectos, acciones, compromisos, asuntos, y Recursos bajo su responsabilidad, a las personas servidoras públicas titulares entrantes de las Dependencias y Organismos Auxiliares, por </w:t>
      </w:r>
      <w:r>
        <w:rPr>
          <w:rFonts w:ascii="Palatino Linotype" w:eastAsia="Palatino Linotype" w:hAnsi="Palatino Linotype" w:cs="Palatino Linotype"/>
        </w:rPr>
        <w:t xml:space="preserve">el término del periodo constitucional de la gestión de la persona titular del Poder Ejecutivo del Estado de México; y como </w:t>
      </w:r>
      <w:r>
        <w:rPr>
          <w:rFonts w:ascii="Palatino Linotype" w:eastAsia="Palatino Linotype" w:hAnsi="Palatino Linotype" w:cs="Palatino Linotype"/>
          <w:b/>
        </w:rPr>
        <w:t>“</w:t>
      </w:r>
      <w:r>
        <w:rPr>
          <w:rFonts w:ascii="Palatino Linotype" w:eastAsia="Palatino Linotype" w:hAnsi="Palatino Linotype" w:cs="Palatino Linotype"/>
        </w:rPr>
        <w:t>Informe de Gestión</w:t>
      </w:r>
      <w:r>
        <w:rPr>
          <w:rFonts w:ascii="Palatino Linotype" w:eastAsia="Palatino Linotype" w:hAnsi="Palatino Linotype" w:cs="Palatino Linotype"/>
          <w:b/>
        </w:rPr>
        <w:t>”</w:t>
      </w:r>
      <w:r>
        <w:rPr>
          <w:rFonts w:ascii="Palatino Linotype" w:eastAsia="Palatino Linotype" w:hAnsi="Palatino Linotype" w:cs="Palatino Linotype"/>
        </w:rPr>
        <w:t xml:space="preserve"> Al reporte que la persona servidora pública que entrega debe rendir como parte del Acta Administrativa al separa</w:t>
      </w:r>
      <w:r>
        <w:rPr>
          <w:rFonts w:ascii="Palatino Linotype" w:eastAsia="Palatino Linotype" w:hAnsi="Palatino Linotype" w:cs="Palatino Linotype"/>
        </w:rPr>
        <w:t>rse del cargo, empleo o comisión, en el que hace constar el cumplimiento de obligaciones derivadas de instrumentos jurídicos, sobre el avance del presupuesto, programas y proyectos a su cargo, descripción sobre el estado en que se recibió y se entrega la u</w:t>
      </w:r>
      <w:r>
        <w:rPr>
          <w:rFonts w:ascii="Palatino Linotype" w:eastAsia="Palatino Linotype" w:hAnsi="Palatino Linotype" w:cs="Palatino Linotype"/>
        </w:rPr>
        <w:t>nidad administrativa, resultados alcanzados, compromisos y actividades prioritarias dentro de los noventa días naturales siguientes al acto de Entrega y Recepción, y recomendaciones que se consideren pertinentes.</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manera que, en términos del artículo 6 d</w:t>
      </w:r>
      <w:r>
        <w:rPr>
          <w:rFonts w:ascii="Palatino Linotype" w:eastAsia="Palatino Linotype" w:hAnsi="Palatino Linotype" w:cs="Palatino Linotype"/>
        </w:rPr>
        <w:t>el referido Reglamento, son sujetos obligados a proceso de entrega y recepción las personas servidoras públicas titulares de Unidades Administrativas, desde la persona titular del Poder Ejecutivo hasta las personas titulares de jefaturas de departamento en</w:t>
      </w:r>
      <w:r>
        <w:rPr>
          <w:rFonts w:ascii="Palatino Linotype" w:eastAsia="Palatino Linotype" w:hAnsi="Palatino Linotype" w:cs="Palatino Linotype"/>
        </w:rPr>
        <w:t xml:space="preserve"> las Dependencias, así como los equivalentes jerárquicos en los Organismos Auxiliares; aquellas que por comisión, suplencia, encargo o bajo cualquier otra figura, hayan quedado bajo el encargo provisional de alguna Unidad Administrativa en que la persona t</w:t>
      </w:r>
      <w:r>
        <w:rPr>
          <w:rFonts w:ascii="Palatino Linotype" w:eastAsia="Palatino Linotype" w:hAnsi="Palatino Linotype" w:cs="Palatino Linotype"/>
        </w:rPr>
        <w:t xml:space="preserve">itular deba cumplir con esta obligación; las que previa opinión de la persona titular del Órgano Interno de Control correspondiente, determine mediante acuerdo publicado en el Periódico Oficial “Gaceta del Gobierno”; según se puede leer enseguida: </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“Artícu</w:t>
      </w:r>
      <w:r>
        <w:rPr>
          <w:rFonts w:ascii="Palatino Linotype" w:eastAsia="Palatino Linotype" w:hAnsi="Palatino Linotype" w:cs="Palatino Linotype"/>
          <w:b/>
          <w:i/>
          <w:sz w:val="20"/>
          <w:szCs w:val="20"/>
        </w:rPr>
        <w:t xml:space="preserve">lo 6. </w:t>
      </w:r>
      <w:r>
        <w:rPr>
          <w:rFonts w:ascii="Palatino Linotype" w:eastAsia="Palatino Linotype" w:hAnsi="Palatino Linotype" w:cs="Palatino Linotype"/>
          <w:i/>
          <w:sz w:val="20"/>
          <w:szCs w:val="20"/>
        </w:rPr>
        <w:t>Son sujetos obligados al proceso de Entrega y Recepción las personas servidoras públicas titulares de Unidades Administrativas, desde la persona titular del Poder Ejecutivo hasta las personas titulares de jefaturas de departamento en las Dependencias</w:t>
      </w:r>
      <w:r>
        <w:rPr>
          <w:rFonts w:ascii="Palatino Linotype" w:eastAsia="Palatino Linotype" w:hAnsi="Palatino Linotype" w:cs="Palatino Linotype"/>
          <w:i/>
          <w:sz w:val="20"/>
          <w:szCs w:val="20"/>
        </w:rPr>
        <w:t xml:space="preserve">, así como los equivalentes jerárquicos en los Organismos Auxiliares. </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También deberán realizar procesos de Entrega y Recepción las personas servidoras públicas que, por comisión, suplencia, encargo o bajo cualquier otra figura, hayan quedado bajo el encar</w:t>
      </w:r>
      <w:r>
        <w:rPr>
          <w:rFonts w:ascii="Palatino Linotype" w:eastAsia="Palatino Linotype" w:hAnsi="Palatino Linotype" w:cs="Palatino Linotype"/>
          <w:i/>
          <w:sz w:val="20"/>
          <w:szCs w:val="20"/>
        </w:rPr>
        <w:t xml:space="preserve">go provisional de alguna Unidad Administrativa en que la persona titular deba cumplir con esta obligación. </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Las personas titulares de las Dependencias y Organismos Auxiliares, previa opinión de la persona titular del Órgano Interno de Control correspondien</w:t>
      </w:r>
      <w:r>
        <w:rPr>
          <w:rFonts w:ascii="Palatino Linotype" w:eastAsia="Palatino Linotype" w:hAnsi="Palatino Linotype" w:cs="Palatino Linotype"/>
          <w:i/>
          <w:sz w:val="20"/>
          <w:szCs w:val="20"/>
        </w:rPr>
        <w:t>te, determinarán, mediante acuerdo publicado en el Periódico Oficial “Gaceta del Gobierno”, la relación del personal del servicio público que, en adición a los ya señalados, esté obligado a realizar el proceso de Entrega y Recepción, señalando nombre, carg</w:t>
      </w:r>
      <w:r>
        <w:rPr>
          <w:rFonts w:ascii="Palatino Linotype" w:eastAsia="Palatino Linotype" w:hAnsi="Palatino Linotype" w:cs="Palatino Linotype"/>
          <w:i/>
          <w:sz w:val="20"/>
          <w:szCs w:val="20"/>
        </w:rPr>
        <w:t xml:space="preserve">o, área de adscripción, ubicación física y tipo de fondos, bienes y valores públicos que tenga a su cargo, así como las actualizaciones correspondientes. </w:t>
      </w:r>
    </w:p>
    <w:p w:rsidR="00C060E6" w:rsidRDefault="00267C40">
      <w:pPr>
        <w:spacing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Las personas servidoras públicas que entregan deberán rendir un Informe de Gestión en el que hagan constar las actividades y temas encomendados y atendidos durante su gestión, relacionados con las facultades y atribuciones que les correspondan; así como el</w:t>
      </w:r>
      <w:r>
        <w:rPr>
          <w:rFonts w:ascii="Palatino Linotype" w:eastAsia="Palatino Linotype" w:hAnsi="Palatino Linotype" w:cs="Palatino Linotype"/>
          <w:i/>
          <w:sz w:val="20"/>
          <w:szCs w:val="20"/>
        </w:rPr>
        <w:t xml:space="preserve"> estado que guardan los asuntos de su competencia y los compromisos y actividades prioritarias por atender, con posterioridad al proceso de Entrega y Recepción.”</w:t>
      </w:r>
    </w:p>
    <w:p w:rsidR="00C060E6" w:rsidRDefault="00267C40">
      <w:pPr>
        <w:spacing w:before="240" w:after="240" w:line="360" w:lineRule="auto"/>
        <w:ind w:right="49"/>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En ese orden de ideas, los reglamentos son aplicables en los actos de entrega recepción por ma</w:t>
      </w:r>
      <w:r>
        <w:rPr>
          <w:rFonts w:ascii="Palatino Linotype" w:eastAsia="Palatino Linotype" w:hAnsi="Palatino Linotype" w:cs="Palatino Linotype"/>
        </w:rPr>
        <w:t>ndato de ley cuando concluya una administración, así como en la entrega-recepción intermedia para los supuestos de que un</w:t>
      </w:r>
      <w:r>
        <w:t xml:space="preserve"> </w:t>
      </w:r>
      <w:r>
        <w:rPr>
          <w:rFonts w:ascii="Palatino Linotype" w:eastAsia="Palatino Linotype" w:hAnsi="Palatino Linotype" w:cs="Palatino Linotype"/>
        </w:rPr>
        <w:t>servidor público titular o encargado de despacho se separe del empleo, cargo o comisión, de cualquier naturaleza, con independencia de</w:t>
      </w:r>
      <w:r>
        <w:rPr>
          <w:rFonts w:ascii="Palatino Linotype" w:eastAsia="Palatino Linotype" w:hAnsi="Palatino Linotype" w:cs="Palatino Linotype"/>
        </w:rPr>
        <w:t>l acto jurídico temporal o definitivo que haya originado esa separación, considerándose entre otros, la renuncia, remoción, destitución, licencia, incapacidad, jubilación, fallecimiento, cambio de adscripción, suplencia, encargo o término del período const</w:t>
      </w:r>
      <w:r>
        <w:rPr>
          <w:rFonts w:ascii="Palatino Linotype" w:eastAsia="Palatino Linotype" w:hAnsi="Palatino Linotype" w:cs="Palatino Linotype"/>
        </w:rPr>
        <w:t>itucional, así como para aquellos servidores públicos que pretendan contender por un cargo de elección popular al momento de su separación, se deberá realizar la entrega-recepción correspondiente; y lo mismo ocurrirá, en caso de reincorporarse.</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este sen</w:t>
      </w:r>
      <w:r>
        <w:rPr>
          <w:rFonts w:ascii="Palatino Linotype" w:eastAsia="Palatino Linotype" w:hAnsi="Palatino Linotype" w:cs="Palatino Linotype"/>
        </w:rPr>
        <w:t>tido</w:t>
      </w:r>
      <w:r>
        <w:rPr>
          <w:rFonts w:ascii="Palatino Linotype" w:eastAsia="Palatino Linotype" w:hAnsi="Palatino Linotype" w:cs="Palatino Linotype"/>
          <w:i/>
        </w:rPr>
        <w:t xml:space="preserve">, </w:t>
      </w:r>
      <w:r>
        <w:rPr>
          <w:rFonts w:ascii="Palatino Linotype" w:eastAsia="Palatino Linotype" w:hAnsi="Palatino Linotype" w:cs="Palatino Linotype"/>
        </w:rPr>
        <w:t>para formalizar la entrega-recepción, en los supuestos de unidades administrativas con nivel jerárquico de dirección general o superior, la persona titular del Órgano Interno de Control nombrará obligatoriamente a la persona representante que interve</w:t>
      </w:r>
      <w:r>
        <w:rPr>
          <w:rFonts w:ascii="Palatino Linotype" w:eastAsia="Palatino Linotype" w:hAnsi="Palatino Linotype" w:cs="Palatino Linotype"/>
        </w:rPr>
        <w:t>ndrá en el acto; en la Entrega y Recepción de Unidades Administrativas de menor jerarquía, el nombramiento será potestativo.</w:t>
      </w:r>
    </w:p>
    <w:p w:rsidR="00C060E6" w:rsidRDefault="00267C40">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Bajo los argumentos expuestos, ha quedado señalado que el Sujeto Obligado, en el ejercicio de las atribuciones que la Ley le confie</w:t>
      </w:r>
      <w:r>
        <w:rPr>
          <w:rFonts w:ascii="Palatino Linotype" w:eastAsia="Palatino Linotype" w:hAnsi="Palatino Linotype" w:cs="Palatino Linotype"/>
        </w:rPr>
        <w:t>re, debe generar, administrar, archivar y conservar los documentos en los que constan los actos de entrega-recepción que se llevaron a cabo con motivo del nombramiento de Titular de la Unidad de Transparencia.</w:t>
      </w:r>
    </w:p>
    <w:p w:rsidR="00C060E6" w:rsidRDefault="00267C40">
      <w:pPr>
        <w:shd w:val="clear" w:color="auto" w:fill="FFFFFF"/>
        <w:spacing w:before="240" w:after="360" w:line="360" w:lineRule="auto"/>
        <w:jc w:val="both"/>
        <w:rPr>
          <w:rFonts w:ascii="Georgia" w:eastAsia="Georgia" w:hAnsi="Georgia" w:cs="Georgia"/>
          <w:color w:val="222222"/>
        </w:rPr>
      </w:pPr>
      <w:r>
        <w:rPr>
          <w:rFonts w:ascii="Palatino Linotype" w:eastAsia="Palatino Linotype" w:hAnsi="Palatino Linotype" w:cs="Palatino Linotype"/>
        </w:rPr>
        <w:t>Ahora bien, no pasa desapercibido de este Inst</w:t>
      </w:r>
      <w:r>
        <w:rPr>
          <w:rFonts w:ascii="Palatino Linotype" w:eastAsia="Palatino Linotype" w:hAnsi="Palatino Linotype" w:cs="Palatino Linotype"/>
        </w:rPr>
        <w:t xml:space="preserve">ituto,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asevera que no cuenta con la información solicitada; sin embargo, una vez agotadas las medidas necesarias de búsqueda y localización de la información requerida y de no encontrar documento alguno con la información en cuestión</w:t>
      </w:r>
      <w:r>
        <w:rPr>
          <w:rFonts w:ascii="Palatino Linotype" w:eastAsia="Palatino Linotype" w:hAnsi="Palatino Linotype" w:cs="Palatino Linotype"/>
        </w:rPr>
        <w:t>, el Comité de Transparencia deberá emitir la</w:t>
      </w:r>
      <w:r>
        <w:rPr>
          <w:rFonts w:ascii="Palatino Linotype" w:eastAsia="Palatino Linotype" w:hAnsi="Palatino Linotype" w:cs="Palatino Linotype"/>
          <w:b/>
        </w:rPr>
        <w:t xml:space="preserve"> declaratoria de inexistencia</w:t>
      </w:r>
      <w:r>
        <w:rPr>
          <w:rFonts w:ascii="Palatino Linotype" w:eastAsia="Palatino Linotype" w:hAnsi="Palatino Linotype" w:cs="Palatino Linotype"/>
        </w:rPr>
        <w:t xml:space="preserve">, que deberá estar debidamente fundada y motivada como todo acto de autoridad, más aún cuando debe tomarse en cuenta que se trata de una negativa de información, lo anterior, </w:t>
      </w:r>
      <w:r>
        <w:rPr>
          <w:rFonts w:ascii="Palatino Linotype" w:eastAsia="Palatino Linotype" w:hAnsi="Palatino Linotype" w:cs="Palatino Linotype"/>
          <w:color w:val="222222"/>
        </w:rPr>
        <w:t>conform</w:t>
      </w:r>
      <w:r>
        <w:rPr>
          <w:rFonts w:ascii="Palatino Linotype" w:eastAsia="Palatino Linotype" w:hAnsi="Palatino Linotype" w:cs="Palatino Linotype"/>
          <w:color w:val="222222"/>
        </w:rPr>
        <w:t>e a lo dispuesto en los artículos 19, 49 fracción III, 169 fracción II y 170 de la Ley de Transparencia y Acceso a la Información Pública del Estado de México y Municipios, que establecen la forma en que los Sujetos Obligados deben dar curso; preceptos que</w:t>
      </w:r>
      <w:r>
        <w:rPr>
          <w:rFonts w:ascii="Palatino Linotype" w:eastAsia="Palatino Linotype" w:hAnsi="Palatino Linotype" w:cs="Palatino Linotype"/>
          <w:color w:val="222222"/>
        </w:rPr>
        <w:t xml:space="preserve"> se transcriben a continuación:</w:t>
      </w:r>
    </w:p>
    <w:p w:rsidR="00C060E6" w:rsidRDefault="00267C40">
      <w:pPr>
        <w:shd w:val="clear" w:color="auto" w:fill="FFFFFF"/>
        <w:spacing w:before="120" w:after="240"/>
        <w:ind w:left="851" w:right="900"/>
        <w:jc w:val="both"/>
        <w:rPr>
          <w:rFonts w:ascii="Georgia" w:eastAsia="Georgia" w:hAnsi="Georgia" w:cs="Georgia"/>
          <w:color w:val="222222"/>
          <w:sz w:val="20"/>
          <w:szCs w:val="20"/>
        </w:rPr>
      </w:pPr>
      <w:r>
        <w:rPr>
          <w:rFonts w:ascii="Palatino Linotype" w:eastAsia="Palatino Linotype" w:hAnsi="Palatino Linotype" w:cs="Palatino Linotype"/>
          <w:b/>
          <w:i/>
          <w:color w:val="222222"/>
          <w:sz w:val="20"/>
          <w:szCs w:val="20"/>
        </w:rPr>
        <w:t>“Artículo 19.</w:t>
      </w:r>
      <w:r>
        <w:rPr>
          <w:rFonts w:ascii="Palatino Linotype" w:eastAsia="Palatino Linotype" w:hAnsi="Palatino Linotype" w:cs="Palatino Linotype"/>
          <w:i/>
          <w:color w:val="222222"/>
          <w:sz w:val="20"/>
          <w:szCs w:val="20"/>
        </w:rPr>
        <w:t xml:space="preserve"> Se presume que la información debe existir si se refiere a las facultades, competencias y funciones que los ordenamientos jurídicos aplicables otorgan a los sujetos obligados.</w:t>
      </w:r>
    </w:p>
    <w:p w:rsidR="00C060E6" w:rsidRDefault="00267C40">
      <w:pPr>
        <w:shd w:val="clear" w:color="auto" w:fill="FFFFFF"/>
        <w:spacing w:before="120" w:after="240"/>
        <w:ind w:left="851" w:right="900"/>
        <w:jc w:val="both"/>
        <w:rPr>
          <w:rFonts w:ascii="Georgia" w:eastAsia="Georgia" w:hAnsi="Georgia" w:cs="Georgia"/>
          <w:color w:val="222222"/>
          <w:sz w:val="20"/>
          <w:szCs w:val="20"/>
        </w:rPr>
      </w:pPr>
      <w:r>
        <w:rPr>
          <w:rFonts w:ascii="Palatino Linotype" w:eastAsia="Palatino Linotype" w:hAnsi="Palatino Linotype" w:cs="Palatino Linotype"/>
          <w:i/>
          <w:color w:val="222222"/>
          <w:sz w:val="20"/>
          <w:szCs w:val="20"/>
        </w:rPr>
        <w:t>(…)</w:t>
      </w:r>
    </w:p>
    <w:p w:rsidR="00C060E6" w:rsidRDefault="00267C40">
      <w:pPr>
        <w:shd w:val="clear" w:color="auto" w:fill="FFFFFF"/>
        <w:spacing w:before="120" w:after="240"/>
        <w:ind w:left="851" w:right="900"/>
        <w:jc w:val="both"/>
        <w:rPr>
          <w:rFonts w:ascii="Georgia" w:eastAsia="Georgia" w:hAnsi="Georgia" w:cs="Georgia"/>
          <w:color w:val="222222"/>
          <w:sz w:val="20"/>
          <w:szCs w:val="20"/>
        </w:rPr>
      </w:pPr>
      <w:r>
        <w:rPr>
          <w:rFonts w:ascii="Palatino Linotype" w:eastAsia="Palatino Linotype" w:hAnsi="Palatino Linotype" w:cs="Palatino Linotype"/>
          <w:i/>
          <w:color w:val="222222"/>
          <w:sz w:val="20"/>
          <w:szCs w:val="20"/>
        </w:rPr>
        <w:t>Si el sujeto obligado, en el e</w:t>
      </w:r>
      <w:r>
        <w:rPr>
          <w:rFonts w:ascii="Palatino Linotype" w:eastAsia="Palatino Linotype" w:hAnsi="Palatino Linotype" w:cs="Palatino Linotype"/>
          <w:i/>
          <w:color w:val="222222"/>
          <w:sz w:val="20"/>
          <w:szCs w:val="20"/>
        </w:rPr>
        <w:t>jercicio de sus atribuciones, debía generar, poseer o administrar la información, pero ésta no se encuentra, el Comité de transparencia deberá emitir un acuerdo de inexistencia, debidamente fundado y motivado, en el que detalle las razones del por qué no o</w:t>
      </w:r>
      <w:r>
        <w:rPr>
          <w:rFonts w:ascii="Palatino Linotype" w:eastAsia="Palatino Linotype" w:hAnsi="Palatino Linotype" w:cs="Palatino Linotype"/>
          <w:i/>
          <w:color w:val="222222"/>
          <w:sz w:val="20"/>
          <w:szCs w:val="20"/>
        </w:rPr>
        <w:t>bra en sus archivos.</w:t>
      </w:r>
    </w:p>
    <w:p w:rsidR="00C060E6" w:rsidRDefault="00267C40">
      <w:pPr>
        <w:shd w:val="clear" w:color="auto" w:fill="FFFFFF"/>
        <w:spacing w:before="120" w:after="240"/>
        <w:ind w:left="851" w:right="900"/>
        <w:jc w:val="both"/>
        <w:rPr>
          <w:rFonts w:ascii="Georgia" w:eastAsia="Georgia" w:hAnsi="Georgia" w:cs="Georgia"/>
          <w:color w:val="222222"/>
          <w:sz w:val="20"/>
          <w:szCs w:val="20"/>
        </w:rPr>
      </w:pPr>
      <w:r>
        <w:rPr>
          <w:rFonts w:ascii="Palatino Linotype" w:eastAsia="Palatino Linotype" w:hAnsi="Palatino Linotype" w:cs="Palatino Linotype"/>
          <w:b/>
          <w:i/>
          <w:color w:val="222222"/>
          <w:sz w:val="20"/>
          <w:szCs w:val="20"/>
        </w:rPr>
        <w:t>Artículo 49.</w:t>
      </w:r>
      <w:r>
        <w:rPr>
          <w:rFonts w:ascii="Palatino Linotype" w:eastAsia="Palatino Linotype" w:hAnsi="Palatino Linotype" w:cs="Palatino Linotype"/>
          <w:i/>
          <w:color w:val="222222"/>
          <w:sz w:val="20"/>
          <w:szCs w:val="20"/>
        </w:rPr>
        <w:t xml:space="preserve"> Los Comités de Transparencia tendrán las siguientes atribuciones:</w:t>
      </w:r>
    </w:p>
    <w:p w:rsidR="00C060E6" w:rsidRDefault="00267C40">
      <w:pPr>
        <w:shd w:val="clear" w:color="auto" w:fill="FFFFFF"/>
        <w:spacing w:before="120" w:after="240"/>
        <w:ind w:left="1134" w:right="900"/>
        <w:jc w:val="both"/>
        <w:rPr>
          <w:rFonts w:ascii="Georgia" w:eastAsia="Georgia" w:hAnsi="Georgia" w:cs="Georgia"/>
          <w:color w:val="222222"/>
          <w:sz w:val="20"/>
          <w:szCs w:val="20"/>
        </w:rPr>
      </w:pPr>
      <w:r>
        <w:rPr>
          <w:rFonts w:ascii="Palatino Linotype" w:eastAsia="Palatino Linotype" w:hAnsi="Palatino Linotype" w:cs="Palatino Linotype"/>
          <w:i/>
          <w:color w:val="222222"/>
          <w:sz w:val="20"/>
          <w:szCs w:val="20"/>
        </w:rPr>
        <w:t>(…)</w:t>
      </w:r>
    </w:p>
    <w:p w:rsidR="00C060E6" w:rsidRDefault="00267C40">
      <w:pPr>
        <w:shd w:val="clear" w:color="auto" w:fill="FFFFFF"/>
        <w:spacing w:before="120" w:after="240"/>
        <w:ind w:left="1134" w:right="900"/>
        <w:jc w:val="both"/>
        <w:rPr>
          <w:rFonts w:ascii="Georgia" w:eastAsia="Georgia" w:hAnsi="Georgia" w:cs="Georgia"/>
          <w:color w:val="222222"/>
          <w:sz w:val="20"/>
          <w:szCs w:val="20"/>
        </w:rPr>
      </w:pPr>
      <w:r>
        <w:rPr>
          <w:rFonts w:ascii="Palatino Linotype" w:eastAsia="Palatino Linotype" w:hAnsi="Palatino Linotype" w:cs="Palatino Linotype"/>
          <w:i/>
          <w:color w:val="222222"/>
          <w:sz w:val="20"/>
          <w:szCs w:val="20"/>
        </w:rPr>
        <w:t>III. Ordenar, en su caso a las áreas competentes que generen la información que derivado de sus facultades, competencias y funciones deban tener en posesión o que previa acreditación de la imposibilidad de su generación, exponga, de forma fundada y  motiva</w:t>
      </w:r>
      <w:r>
        <w:rPr>
          <w:rFonts w:ascii="Palatino Linotype" w:eastAsia="Palatino Linotype" w:hAnsi="Palatino Linotype" w:cs="Palatino Linotype"/>
          <w:i/>
          <w:color w:val="222222"/>
          <w:sz w:val="20"/>
          <w:szCs w:val="20"/>
        </w:rPr>
        <w:t>da las razones por las cuales, en el caso particular, no ejercieron dichas facultades, competencias o funciones;…</w:t>
      </w:r>
    </w:p>
    <w:p w:rsidR="00C060E6" w:rsidRDefault="00267C40">
      <w:pPr>
        <w:shd w:val="clear" w:color="auto" w:fill="FFFFFF"/>
        <w:spacing w:before="120" w:after="240"/>
        <w:ind w:left="851" w:right="900"/>
        <w:jc w:val="both"/>
        <w:rPr>
          <w:rFonts w:ascii="Georgia" w:eastAsia="Georgia" w:hAnsi="Georgia" w:cs="Georgia"/>
          <w:color w:val="222222"/>
          <w:sz w:val="20"/>
          <w:szCs w:val="20"/>
        </w:rPr>
      </w:pPr>
      <w:r>
        <w:rPr>
          <w:rFonts w:ascii="Palatino Linotype" w:eastAsia="Palatino Linotype" w:hAnsi="Palatino Linotype" w:cs="Palatino Linotype"/>
          <w:b/>
          <w:i/>
          <w:color w:val="222222"/>
          <w:sz w:val="20"/>
          <w:szCs w:val="20"/>
        </w:rPr>
        <w:t>Artículo 169.</w:t>
      </w:r>
      <w:r>
        <w:rPr>
          <w:rFonts w:ascii="Palatino Linotype" w:eastAsia="Palatino Linotype" w:hAnsi="Palatino Linotype" w:cs="Palatino Linotype"/>
          <w:i/>
          <w:color w:val="222222"/>
          <w:sz w:val="20"/>
          <w:szCs w:val="20"/>
        </w:rPr>
        <w:t xml:space="preserve"> Cuando la información no se encuentre en los archivos del sujeto obligado, el Comité de Transparencia:</w:t>
      </w:r>
    </w:p>
    <w:p w:rsidR="00C060E6" w:rsidRDefault="00267C40">
      <w:pPr>
        <w:shd w:val="clear" w:color="auto" w:fill="FFFFFF"/>
        <w:spacing w:before="120" w:after="240"/>
        <w:ind w:left="1134" w:right="900"/>
        <w:jc w:val="both"/>
        <w:rPr>
          <w:rFonts w:ascii="Georgia" w:eastAsia="Georgia" w:hAnsi="Georgia" w:cs="Georgia"/>
          <w:color w:val="222222"/>
          <w:sz w:val="20"/>
          <w:szCs w:val="20"/>
        </w:rPr>
      </w:pPr>
      <w:r>
        <w:rPr>
          <w:rFonts w:ascii="Palatino Linotype" w:eastAsia="Palatino Linotype" w:hAnsi="Palatino Linotype" w:cs="Palatino Linotype"/>
          <w:i/>
          <w:color w:val="222222"/>
          <w:sz w:val="20"/>
          <w:szCs w:val="20"/>
        </w:rPr>
        <w:t>(…)</w:t>
      </w:r>
    </w:p>
    <w:p w:rsidR="00C060E6" w:rsidRDefault="00267C40">
      <w:pPr>
        <w:shd w:val="clear" w:color="auto" w:fill="FFFFFF"/>
        <w:spacing w:before="120" w:after="240"/>
        <w:ind w:left="1134" w:right="900"/>
        <w:jc w:val="both"/>
        <w:rPr>
          <w:rFonts w:ascii="Georgia" w:eastAsia="Georgia" w:hAnsi="Georgia" w:cs="Georgia"/>
          <w:color w:val="222222"/>
          <w:sz w:val="20"/>
          <w:szCs w:val="20"/>
        </w:rPr>
      </w:pPr>
      <w:r>
        <w:rPr>
          <w:rFonts w:ascii="Palatino Linotype" w:eastAsia="Palatino Linotype" w:hAnsi="Palatino Linotype" w:cs="Palatino Linotype"/>
          <w:i/>
          <w:color w:val="222222"/>
          <w:sz w:val="20"/>
          <w:szCs w:val="20"/>
        </w:rPr>
        <w:t>II. Expedirá una reso</w:t>
      </w:r>
      <w:r>
        <w:rPr>
          <w:rFonts w:ascii="Palatino Linotype" w:eastAsia="Palatino Linotype" w:hAnsi="Palatino Linotype" w:cs="Palatino Linotype"/>
          <w:i/>
          <w:color w:val="222222"/>
          <w:sz w:val="20"/>
          <w:szCs w:val="20"/>
        </w:rPr>
        <w:t>lución que confirme la inexistencia del documento;…</w:t>
      </w:r>
    </w:p>
    <w:p w:rsidR="00C060E6" w:rsidRDefault="00267C40">
      <w:pPr>
        <w:shd w:val="clear" w:color="auto" w:fill="FFFFFF"/>
        <w:spacing w:before="120" w:after="240"/>
        <w:ind w:left="851" w:right="900"/>
        <w:jc w:val="both"/>
        <w:rPr>
          <w:rFonts w:ascii="Georgia" w:eastAsia="Georgia" w:hAnsi="Georgia" w:cs="Georgia"/>
          <w:color w:val="222222"/>
          <w:sz w:val="20"/>
          <w:szCs w:val="20"/>
        </w:rPr>
      </w:pPr>
      <w:r>
        <w:rPr>
          <w:rFonts w:ascii="Palatino Linotype" w:eastAsia="Palatino Linotype" w:hAnsi="Palatino Linotype" w:cs="Palatino Linotype"/>
          <w:b/>
          <w:i/>
          <w:color w:val="222222"/>
          <w:sz w:val="20"/>
          <w:szCs w:val="20"/>
        </w:rPr>
        <w:t>Artículo 170.</w:t>
      </w:r>
      <w:r>
        <w:rPr>
          <w:rFonts w:ascii="Palatino Linotype" w:eastAsia="Palatino Linotype" w:hAnsi="Palatino Linotype" w:cs="Palatino Linotype"/>
          <w:i/>
          <w:color w:val="222222"/>
          <w:sz w:val="20"/>
          <w:szCs w:val="20"/>
        </w:rPr>
        <w:t xml:space="preserve"> La resolución del Comité de Transparencia que confirme la inexistencia de la información solicitada contendrá los elementos mínimos que permitan al solicitante tener la certeza de que se uti</w:t>
      </w:r>
      <w:r>
        <w:rPr>
          <w:rFonts w:ascii="Palatino Linotype" w:eastAsia="Palatino Linotype" w:hAnsi="Palatino Linotype" w:cs="Palatino Linotype"/>
          <w:i/>
          <w:color w:val="222222"/>
          <w:sz w:val="20"/>
          <w:szCs w:val="20"/>
        </w:rPr>
        <w:t>lizó un criterio de búsqueda exhaustivo, además de señalar las circunstancias de tiempo, modo y lugar que generaron la existencia en cuestión y señalará al servidor público responsable de contar con la misma.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se desprende, que l</w:t>
      </w:r>
      <w:r>
        <w:rPr>
          <w:rFonts w:ascii="Palatino Linotype" w:eastAsia="Palatino Linotype" w:hAnsi="Palatino Linotype" w:cs="Palatino Linotype"/>
        </w:rPr>
        <w:t>os sujetos obligados deben emitir la Declaratoria de Inexistencia precisando de manera enunciativa más no limitativa, las áreas en las que se instruyó la búsqueda, las respuestas otorgadas por los Servidores Públicos habilitados y las circunstancias que to</w:t>
      </w:r>
      <w:r>
        <w:rPr>
          <w:rFonts w:ascii="Palatino Linotype" w:eastAsia="Palatino Linotype" w:hAnsi="Palatino Linotype" w:cs="Palatino Linotype"/>
        </w:rPr>
        <w:t>mó en cuenta para determinar que la información requerida no obra en los archivos, debiendo notificar al interesado de tal circunstancia.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a lo anterior, los Criterios 0003-11 y 0004-11, emitidos por el Pleno de este Instituto, publicados en el pe</w:t>
      </w:r>
      <w:r>
        <w:rPr>
          <w:rFonts w:ascii="Palatino Linotype" w:eastAsia="Palatino Linotype" w:hAnsi="Palatino Linotype" w:cs="Palatino Linotype"/>
        </w:rPr>
        <w:t>riódico oficial del Estado de México “Gaceta del Gobierno”, el diecinueve de octubre de dos mil once, que establecen lo siguiente:</w:t>
      </w:r>
    </w:p>
    <w:p w:rsidR="00C060E6" w:rsidRDefault="00267C40">
      <w:pPr>
        <w:spacing w:before="120" w:after="240"/>
        <w:ind w:left="851" w:right="902"/>
        <w:jc w:val="center"/>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CRITERIO 0003-11</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INEXISTENCIA, CONCEPTO DE, EN MATERIA DE TRANSPARENCIA.</w:t>
      </w:r>
      <w:r>
        <w:rPr>
          <w:rFonts w:ascii="Palatino Linotype" w:eastAsia="Palatino Linotype" w:hAnsi="Palatino Linotype" w:cs="Palatino Linotype"/>
          <w:i/>
          <w:sz w:val="20"/>
          <w:szCs w:val="20"/>
        </w:rPr>
        <w:t xml:space="preserve"> La interpretación sistemática de los artículos 29 y</w:t>
      </w:r>
      <w:r>
        <w:rPr>
          <w:rFonts w:ascii="Palatino Linotype" w:eastAsia="Palatino Linotype" w:hAnsi="Palatino Linotype" w:cs="Palatino Linotype"/>
          <w:i/>
          <w:sz w:val="20"/>
          <w:szCs w:val="20"/>
        </w:rPr>
        <w:t xml:space="preserve"> 30, fracción VIII, de la Ley de Transparencia y Acceso a la Información Pública del Estado de México y Municipios, permite concluir que la inexistencia de la información en el derecho de acceso a la información pública conlleva necesariamente a los siguie</w:t>
      </w:r>
      <w:r>
        <w:rPr>
          <w:rFonts w:ascii="Palatino Linotype" w:eastAsia="Palatino Linotype" w:hAnsi="Palatino Linotype" w:cs="Palatino Linotype"/>
          <w:i/>
          <w:sz w:val="20"/>
          <w:szCs w:val="20"/>
        </w:rPr>
        <w:t>ntes supuestos:</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 La existencia previa de la documentación y la falta posterior de la misma en los archivos del Sujeto Obligado, esto es, la información se generó, poseyó o administró —cuestión de hecho— en el marco de las atribuciones conferidas al Sujet</w:t>
      </w:r>
      <w:r>
        <w:rPr>
          <w:rFonts w:ascii="Palatino Linotype" w:eastAsia="Palatino Linotype" w:hAnsi="Palatino Linotype" w:cs="Palatino Linotype"/>
          <w:i/>
          <w:sz w:val="20"/>
          <w:szCs w:val="20"/>
        </w:rPr>
        <w:t>o Obligado, pero no la conserva por diversas razones (destrucción física, desaparición física, sustracción ilícita, baja documental, etcétera).</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b) En los casos en que por las atribuciones conferidas al Sujeto Obligado éste debió generar, administrar o pose</w:t>
      </w:r>
      <w:r>
        <w:rPr>
          <w:rFonts w:ascii="Palatino Linotype" w:eastAsia="Palatino Linotype" w:hAnsi="Palatino Linotype" w:cs="Palatino Linotype"/>
          <w:i/>
          <w:sz w:val="20"/>
          <w:szCs w:val="20"/>
        </w:rPr>
        <w:t>er la información, pero en incumplimiento a la normatividad respectiva no llevó a cabo ninguna de es acciones.</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ambos casos, el Sujeto Obligado deberá hacer del conocimiento del solicitante las razones que explican la inexistencia, mediante el dictamen d</w:t>
      </w:r>
      <w:r>
        <w:rPr>
          <w:rFonts w:ascii="Palatino Linotype" w:eastAsia="Palatino Linotype" w:hAnsi="Palatino Linotype" w:cs="Palatino Linotype"/>
          <w:i/>
          <w:sz w:val="20"/>
          <w:szCs w:val="20"/>
        </w:rPr>
        <w:t>ebidamente fundado y motivado emitido por el Comité de Información y con las formalidades legales exigidas por la Ley de Transparencia.</w:t>
      </w:r>
    </w:p>
    <w:p w:rsidR="00C060E6" w:rsidRDefault="00267C40">
      <w:pPr>
        <w:spacing w:before="120" w:after="240"/>
        <w:ind w:left="851" w:right="902"/>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CRITERIO 0004-11</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INEXISTENCIA, DECLARATORIA DE LA. ALCANCES Y PROCEDIMIENTOS</w:t>
      </w:r>
      <w:r>
        <w:rPr>
          <w:rFonts w:ascii="Palatino Linotype" w:eastAsia="Palatino Linotype" w:hAnsi="Palatino Linotype" w:cs="Palatino Linotype"/>
          <w:i/>
          <w:sz w:val="20"/>
          <w:szCs w:val="20"/>
        </w:rPr>
        <w:t>. De la interpretación de los Artículos 29 y</w:t>
      </w:r>
      <w:r>
        <w:rPr>
          <w:rFonts w:ascii="Palatino Linotype" w:eastAsia="Palatino Linotype" w:hAnsi="Palatino Linotype" w:cs="Palatino Linotype"/>
          <w:i/>
          <w:sz w:val="20"/>
          <w:szCs w:val="20"/>
        </w:rPr>
        <w:t xml:space="preserve"> 30, fracción VIII, de la Ley de Transparencia y Acceso a la Información Pública del Estado de México y Municipios, se concluye que cuando el Titular de la Unidad de Información no localice la documentación solicitada, a pesar de haber sido generada, poseí</w:t>
      </w:r>
      <w:r>
        <w:rPr>
          <w:rFonts w:ascii="Palatino Linotype" w:eastAsia="Palatino Linotype" w:hAnsi="Palatino Linotype" w:cs="Palatino Linotype"/>
          <w:i/>
          <w:sz w:val="20"/>
          <w:szCs w:val="20"/>
        </w:rPr>
        <w:t xml:space="preserve">da o administrada por el Sujeto Obligado, turnará la solicitud al Comité de Información el cual es el único competente para conocer y deliberar mediante resolución el dictamen de declaratoria de inexistencia, la cual tiene como propósito que el particular </w:t>
      </w:r>
      <w:r>
        <w:rPr>
          <w:rFonts w:ascii="Palatino Linotype" w:eastAsia="Palatino Linotype" w:hAnsi="Palatino Linotype" w:cs="Palatino Linotype"/>
          <w:i/>
          <w:sz w:val="20"/>
          <w:szCs w:val="20"/>
        </w:rPr>
        <w:t xml:space="preserve">tenga la certeza jurídica de que el Sujeto Obligado realizó una búsqueda exhaustiva y minuciosa de la información en los archivos a cargo. En consecuencia, es deber del Comité de Información instruir una búsqueda exhaustiva a todas y cada una de las áreas </w:t>
      </w:r>
      <w:r>
        <w:rPr>
          <w:rFonts w:ascii="Palatino Linotype" w:eastAsia="Palatino Linotype" w:hAnsi="Palatino Linotype" w:cs="Palatino Linotype"/>
          <w:i/>
          <w:sz w:val="20"/>
          <w:szCs w:val="20"/>
        </w:rPr>
        <w:t>que integran orgánica o funcionalmente al Sujeto Obligado, para localizar los documentos que contengan la información materia de una solicitud, así como la de supervisar que esa búsqueda se lleve a cabo en todas y cada una de las áreas mencionadas. Dicha b</w:t>
      </w:r>
      <w:r>
        <w:rPr>
          <w:rFonts w:ascii="Palatino Linotype" w:eastAsia="Palatino Linotype" w:hAnsi="Palatino Linotype" w:cs="Palatino Linotype"/>
          <w:i/>
          <w:sz w:val="20"/>
          <w:szCs w:val="20"/>
        </w:rPr>
        <w:t>úsqueda exhaustiva implicará que el Comité acuerde las medidas pertinentes para la debida localización de la información requerida dentro de la estructura del Sujeto Obligado y, en general, el de adoptar cualquier otra previsión que considere conducente pa</w:t>
      </w:r>
      <w:r>
        <w:rPr>
          <w:rFonts w:ascii="Palatino Linotype" w:eastAsia="Palatino Linotype" w:hAnsi="Palatino Linotype" w:cs="Palatino Linotype"/>
          <w:i/>
          <w:sz w:val="20"/>
          <w:szCs w:val="20"/>
        </w:rPr>
        <w:t>ra tales efectos y velar por la certeza en el derecho de acceso a la información.</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Bajo el entendido de que dicha búsqueda exhaustiva permitirá dos determinaciones:</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1ª) Que se localice la documentación que contenga la información solicitada y de ser así la </w:t>
      </w:r>
      <w:r>
        <w:rPr>
          <w:rFonts w:ascii="Palatino Linotype" w:eastAsia="Palatino Linotype" w:hAnsi="Palatino Linotype" w:cs="Palatino Linotype"/>
          <w:i/>
          <w:sz w:val="20"/>
          <w:szCs w:val="20"/>
        </w:rPr>
        <w:t>información pueda entregarse al solicitante en la forma en que se encuentra disponible, o</w:t>
      </w:r>
    </w:p>
    <w:p w:rsidR="00C060E6" w:rsidRDefault="00267C40">
      <w:pPr>
        <w:spacing w:before="120" w:after="24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2ª) Que no se haya encontrado documento alguno que contenga la información requerida, por lo que agotadas las medidas necesarias de búsqueda de la información y de no</w:t>
      </w:r>
      <w:r>
        <w:rPr>
          <w:rFonts w:ascii="Palatino Linotype" w:eastAsia="Palatino Linotype" w:hAnsi="Palatino Linotype" w:cs="Palatino Linotype"/>
          <w:i/>
          <w:sz w:val="20"/>
          <w:szCs w:val="20"/>
        </w:rPr>
        <w:t xml:space="preserve"> encontrarla, el Comité de Información deba emitir el dictamen de declaratoria de inexistencia y notificarlo al interesado.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w:t>
      </w:r>
      <w:r>
        <w:rPr>
          <w:rFonts w:ascii="Palatino Linotype" w:eastAsia="Palatino Linotype" w:hAnsi="Palatino Linotype" w:cs="Palatino Linotype"/>
        </w:rPr>
        <w:t>o de responsabilidad de los servidores públicos que intervienen en el proceso de elaboración de la información.</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cuando la misma por disposición legal debería de obrar, sino que su contenido y alcance impli</w:t>
      </w:r>
      <w:r>
        <w:rPr>
          <w:rFonts w:ascii="Palatino Linotype" w:eastAsia="Palatino Linotype" w:hAnsi="Palatino Linotype" w:cs="Palatino Linotype"/>
        </w:rPr>
        <w:t>ca la responsabilidad y atribución del Comité de Transparencia del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de instruir una búsqueda exhaustiva a todas y cada una de las áreas administrativas de las que se compone, para localizar los documentos que contengan la información materi</w:t>
      </w:r>
      <w:r>
        <w:rPr>
          <w:rFonts w:ascii="Palatino Linotype" w:eastAsia="Palatino Linotype" w:hAnsi="Palatino Linotype" w:cs="Palatino Linotype"/>
        </w:rPr>
        <w:t>a de una solicitud, asimismo, para supervisar que esa búsqueda se lleve a cabo en todas y cada una de las áreas de que se compone dicho órgano, con fundamento en el artículo 162 de la Ley de Transparencia y acceso a la Información Pública del Estado de Méx</w:t>
      </w:r>
      <w:r>
        <w:rPr>
          <w:rFonts w:ascii="Palatino Linotype" w:eastAsia="Palatino Linotype" w:hAnsi="Palatino Linotype" w:cs="Palatino Linotype"/>
        </w:rPr>
        <w:t>ico y Municipios.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el entendido de que dicha búsqueda exhaustiva permitirá:</w:t>
      </w:r>
    </w:p>
    <w:p w:rsidR="00C060E6" w:rsidRDefault="00267C4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Que se localice la documentación que contenga la información solicitada. En este caso habrá que señalar que de acuerdo con las disposiciones transcritas, la información puede o</w:t>
      </w:r>
      <w:r>
        <w:rPr>
          <w:rFonts w:ascii="Palatino Linotype" w:eastAsia="Palatino Linotype" w:hAnsi="Palatino Linotype" w:cs="Palatino Linotype"/>
          <w:color w:val="000000"/>
        </w:rPr>
        <w:t>brar en sus archivos ya sea porque la genera, la administra o simplemente la posee.</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actualizarse esta primera hipótesis, la información debe entregarse al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a través del o los documentos fuente.</w:t>
      </w:r>
    </w:p>
    <w:p w:rsidR="00C060E6" w:rsidRDefault="00267C4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Que no se localice documento alguno que contenga </w:t>
      </w:r>
      <w:r>
        <w:rPr>
          <w:rFonts w:ascii="Palatino Linotype" w:eastAsia="Palatino Linotype" w:hAnsi="Palatino Linotype" w:cs="Palatino Linotype"/>
          <w:color w:val="000000"/>
        </w:rPr>
        <w:t>la información requerida, en este supuesto, el Comité de Transparencia deberá resolver la declaratoria de inexistencia de la información y notificarla al recurrente</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color w:val="000000"/>
        </w:rPr>
        <w:t>y a este Pleno.</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 los requisitos formales y sustanciales señalados, la declaratoria</w:t>
      </w:r>
      <w:r>
        <w:rPr>
          <w:rFonts w:ascii="Palatino Linotype" w:eastAsia="Palatino Linotype" w:hAnsi="Palatino Linotype" w:cs="Palatino Linotype"/>
        </w:rPr>
        <w:t xml:space="preserve"> de inexistencia de la información debe exponer las razones por las que se buscó la información, las áreas en las que se instruyó la búsqueda, los criterios y los métodos de búsqueda de la información utilizados, las respuestas otorgadas por los servidores</w:t>
      </w:r>
      <w:r>
        <w:rPr>
          <w:rFonts w:ascii="Palatino Linotype" w:eastAsia="Palatino Linotype" w:hAnsi="Palatino Linotype" w:cs="Palatino Linotype"/>
        </w:rPr>
        <w:t xml:space="preserve"> públicos habilitados y en general, todas aquellas circunstancias que se tomaron en cuenta para llegar a determinar que no obra en sus archivos las información requerida. Con el fin de que el particular pueda tener certeza de que se hizo una búsqueda exhau</w:t>
      </w:r>
      <w:r>
        <w:rPr>
          <w:rFonts w:ascii="Palatino Linotype" w:eastAsia="Palatino Linotype" w:hAnsi="Palatino Linotype" w:cs="Palatino Linotype"/>
        </w:rPr>
        <w:t>stiva de la información solicitada y que se le dio la adecuada atención a su solicitud, bajo el entendido que la búsqueda es un elemento previo acreditable antes de la emisión del acuerdo de inexistencia.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la búsqueda exhaustiva presupone que el </w:t>
      </w:r>
      <w:r>
        <w:rPr>
          <w:rFonts w:ascii="Palatino Linotype" w:eastAsia="Palatino Linotype" w:hAnsi="Palatino Linotype" w:cs="Palatino Linotype"/>
        </w:rPr>
        <w:t>Comité deba tomar o acordar las medidas pertinentes para la debida localización dentro de la dependencia de la información solicitada, y en general de adoptar cualquier otra medida que considere conducente para tales efectos y velar por la certeza en el de</w:t>
      </w:r>
      <w:r>
        <w:rPr>
          <w:rFonts w:ascii="Palatino Linotype" w:eastAsia="Palatino Linotype" w:hAnsi="Palatino Linotype" w:cs="Palatino Linotype"/>
        </w:rPr>
        <w:t>recho de acceso a la información, y sólo agotadas las medidas necesarias de búsqueda de la información, y en caso de no encontrarla. Procede expedir una resolución que confirme la inexistencia de la información o documento solicitado y notificar el acuerdo</w:t>
      </w:r>
      <w:r>
        <w:rPr>
          <w:rFonts w:ascii="Palatino Linotype" w:eastAsia="Palatino Linotype" w:hAnsi="Palatino Linotype" w:cs="Palatino Linotype"/>
        </w:rPr>
        <w:t xml:space="preserve"> correspondiente.</w:t>
      </w:r>
    </w:p>
    <w:p w:rsidR="00C060E6" w:rsidRDefault="00267C40">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QUINTO. Versión Pública.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w:t>
      </w:r>
      <w:r>
        <w:rPr>
          <w:rFonts w:ascii="Palatino Linotype" w:eastAsia="Palatino Linotype" w:hAnsi="Palatino Linotype" w:cs="Palatino Linotype"/>
        </w:rPr>
        <w:t>eso a la Información Pública del Estado de México y Municipios que establecen:</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“Artículo 3. Para los efectos de la presente Ley se entenderá por:</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IX. Datos personales: La información concerniente a una persona, identificada o identificable según lo dispuesto por la Ley de Protección de Datos Personales del Estado de México;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XX. Información clasificada: Aquella considerada por la presente Ley como reservada o confidencial;</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XXI. Información confidencial: Se considera como información confidencial los secretos bancario, fiduciario, industrial, comercial, fiscal, bursátil y posta</w:t>
      </w:r>
      <w:r>
        <w:rPr>
          <w:rFonts w:ascii="Palatino Linotype" w:eastAsia="Palatino Linotype" w:hAnsi="Palatino Linotype" w:cs="Palatino Linotype"/>
          <w:i/>
          <w:sz w:val="20"/>
          <w:szCs w:val="20"/>
        </w:rPr>
        <w:t>l, cuya titularidad corresponda a particulares, sujetos de derecho internacional o a sujetos obligados cuando no involucren el ejercicio de recursos públicos;</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XLV. Versión pública: Documento en el que se elimine, suprime o borra la información clasificada </w:t>
      </w:r>
      <w:r>
        <w:rPr>
          <w:rFonts w:ascii="Palatino Linotype" w:eastAsia="Palatino Linotype" w:hAnsi="Palatino Linotype" w:cs="Palatino Linotype"/>
          <w:i/>
          <w:sz w:val="20"/>
          <w:szCs w:val="20"/>
        </w:rPr>
        <w:t>como reservada o confidencial para permitir su acceso.</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Artículo 91. El acceso a la información pública será restringido excepcionalmente, cuando ésta sea clasificada como reservada o confidencial.</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Artículo 132. La clasificación de la información se lle</w:t>
      </w:r>
      <w:r>
        <w:rPr>
          <w:rFonts w:ascii="Palatino Linotype" w:eastAsia="Palatino Linotype" w:hAnsi="Palatino Linotype" w:cs="Palatino Linotype"/>
          <w:i/>
          <w:sz w:val="20"/>
          <w:szCs w:val="20"/>
        </w:rPr>
        <w:t>vará a cabo en el momento en que:</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 Se reciba una solicitud de acceso a la información;</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 Se determine mediante resolución de autoridad competente; o</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III. Se generen versiones públicas para dar cumplimiento a las obligaciones de transparencia previstas </w:t>
      </w:r>
      <w:r>
        <w:rPr>
          <w:rFonts w:ascii="Palatino Linotype" w:eastAsia="Palatino Linotype" w:hAnsi="Palatino Linotype" w:cs="Palatino Linotype"/>
          <w:i/>
          <w:sz w:val="20"/>
          <w:szCs w:val="20"/>
        </w:rPr>
        <w:t>en esta Ley.</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Artículo 143. Para los efectos de esta Ley se considera información confidencial, la clasificada como tal, de manera permanente, por su naturaleza, cuando:</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 Se refiera a la información privada y los datos personales concernientes a una p</w:t>
      </w:r>
      <w:r>
        <w:rPr>
          <w:rFonts w:ascii="Palatino Linotype" w:eastAsia="Palatino Linotype" w:hAnsi="Palatino Linotype" w:cs="Palatino Linotype"/>
          <w:i/>
          <w:sz w:val="20"/>
          <w:szCs w:val="20"/>
        </w:rPr>
        <w:t>ersona física o jurídico colectiva identificada o identificable;</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 Los secretos bancario, fiduciario, industrial, comercial, fiscal, bursátil y postal, cuya titularidad corresponda a particulares, sujetos de derecho internacional o a sujetos obligados cu</w:t>
      </w:r>
      <w:r>
        <w:rPr>
          <w:rFonts w:ascii="Palatino Linotype" w:eastAsia="Palatino Linotype" w:hAnsi="Palatino Linotype" w:cs="Palatino Linotype"/>
          <w:i/>
          <w:sz w:val="20"/>
          <w:szCs w:val="20"/>
        </w:rPr>
        <w:t>ando no involucren el ejercicio de recursos públicos; y</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III. La que presenten los particulares a los sujetos obligados, de conformidad con lo dispuesto por las leyes o los tratados internacionales.</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La información confidencial no estará sujeta a temporalida</w:t>
      </w:r>
      <w:r>
        <w:rPr>
          <w:rFonts w:ascii="Palatino Linotype" w:eastAsia="Palatino Linotype" w:hAnsi="Palatino Linotype" w:cs="Palatino Linotype"/>
          <w:i/>
          <w:sz w:val="20"/>
          <w:szCs w:val="20"/>
        </w:rPr>
        <w:t>d alguna y sólo podrán tener acceso a ella los titulares de la misma, sus representantes y los servidores públicos facultados para ello.</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No se considerará confidencial la información que se encuentre en los registros públicos o en fuentes de acceso público</w:t>
      </w:r>
      <w:r>
        <w:rPr>
          <w:rFonts w:ascii="Palatino Linotype" w:eastAsia="Palatino Linotype" w:hAnsi="Palatino Linotype" w:cs="Palatino Linotype"/>
          <w:i/>
          <w:sz w:val="20"/>
          <w:szCs w:val="20"/>
        </w:rPr>
        <w:t>, ni tampoco la que sea considerada por la presente ley como información pública.”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w:t>
      </w:r>
      <w:r>
        <w:rPr>
          <w:rFonts w:ascii="Palatino Linotype" w:eastAsia="Palatino Linotype" w:hAnsi="Palatino Linotype" w:cs="Palatino Linotype"/>
        </w:rPr>
        <w:t>Consejo Nacional del Sistema Nacional de Transparencia, Acceso a la Información Pública y Protección de Datos Personales, publicados en el Diario Oficial de la Federación el día quince de abril de dos mil dieciséis, tienen por objeto establecer los criteri</w:t>
      </w:r>
      <w:r>
        <w:rPr>
          <w:rFonts w:ascii="Palatino Linotype" w:eastAsia="Palatino Linotype" w:hAnsi="Palatino Linotype" w:cs="Palatino Linotype"/>
        </w:rPr>
        <w:t>os con base en los cuales los sujetos obligados clasificarán como reservada o confidencial la información que posean, desclasificarán y generarán, en su caso, versiones públicas de expedientes o documentos que contengan partes o secciones clasificadas.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w:t>
      </w:r>
      <w:r>
        <w:rPr>
          <w:rFonts w:ascii="Palatino Linotype" w:eastAsia="Palatino Linotype" w:hAnsi="Palatino Linotype" w:cs="Palatino Linotype"/>
        </w:rPr>
        <w:t>orno a lo que aquí nos interesa, los Lineamientos Quincuagésimo sexto, Quincuagésimo séptimo y Quincuagésimo octavo, establecen lo siguiente:</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“Quincuagésimo sexto. La versión pública del documento o expediente que contenga partes o secciones reservadas o c</w:t>
      </w:r>
      <w:r>
        <w:rPr>
          <w:rFonts w:ascii="Palatino Linotype" w:eastAsia="Palatino Linotype" w:hAnsi="Palatino Linotype" w:cs="Palatino Linotype"/>
          <w:i/>
          <w:sz w:val="20"/>
          <w:szCs w:val="20"/>
        </w:rPr>
        <w:t>onfidenciales, será elaborada por los sujetos obligados, previo pago de los costos de reproducción, a través de sus áreas y deberá ser aprobada por su Comité de Transparencia</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Quincuagésimo séptimo. Se considera, en principio, como información pública y no </w:t>
      </w:r>
      <w:r>
        <w:rPr>
          <w:rFonts w:ascii="Palatino Linotype" w:eastAsia="Palatino Linotype" w:hAnsi="Palatino Linotype" w:cs="Palatino Linotype"/>
          <w:i/>
          <w:sz w:val="20"/>
          <w:szCs w:val="20"/>
        </w:rPr>
        <w:t xml:space="preserve">podrá omitirse de las versiones públicas la siguiente: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I. La relativa a las Obligaciones de Transparencia que contempla el Título V de la Ley General y las demás disposiciones legales aplicables;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 El nombre de los servidores públicos en los documentos</w:t>
      </w:r>
      <w:r>
        <w:rPr>
          <w:rFonts w:ascii="Palatino Linotype" w:eastAsia="Palatino Linotype" w:hAnsi="Palatino Linotype" w:cs="Palatino Linotype"/>
          <w:i/>
          <w:sz w:val="20"/>
          <w:szCs w:val="20"/>
        </w:rPr>
        <w:t xml:space="preserve">, y sus firmas autógrafas, cuando sean utilizados en el ejercicio de las facultades conferidas para el desempeño del servicio público, y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III. La información que documente decisiones y los actos de autoridad concluidos de los sujetos obligados, así como el</w:t>
      </w:r>
      <w:r>
        <w:rPr>
          <w:rFonts w:ascii="Palatino Linotype" w:eastAsia="Palatino Linotype" w:hAnsi="Palatino Linotype" w:cs="Palatino Linotype"/>
          <w:i/>
          <w:sz w:val="20"/>
          <w:szCs w:val="20"/>
        </w:rPr>
        <w:t xml:space="preserve"> ejercicio de las facultades o actividades de los servidores públicos, de manera que se pueda valorar el desempeño de los mismos.</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Lo anterior, siempre y cuando no se acredite alguna causal de clasificación, prevista en las leyes o en los tratados internaci</w:t>
      </w:r>
      <w:r>
        <w:rPr>
          <w:rFonts w:ascii="Palatino Linotype" w:eastAsia="Palatino Linotype" w:hAnsi="Palatino Linotype" w:cs="Palatino Linotype"/>
          <w:i/>
          <w:sz w:val="20"/>
          <w:szCs w:val="20"/>
        </w:rPr>
        <w:t xml:space="preserve">ones suscritos por el Estado mexicano. </w:t>
      </w:r>
    </w:p>
    <w:p w:rsidR="00C060E6" w:rsidRDefault="00267C40">
      <w:pPr>
        <w:spacing w:before="120" w:after="120"/>
        <w:ind w:left="851"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Quincuagésimo octavo. Los sujetos obligados garantizarán que los sistemas o medios empleados para eliminar la información en las versiones públicas no permitan la recuperación o visualización de la misma.”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w:t>
      </w:r>
      <w:r>
        <w:rPr>
          <w:rFonts w:ascii="Palatino Linotype" w:eastAsia="Palatino Linotype" w:hAnsi="Palatino Linotype" w:cs="Palatino Linotype"/>
        </w:rPr>
        <w:t>to, la entrega de documentos en su versión pública debe acompañarse necesariamente del Acuerdo del Comité de Transparencia que la sustente el cual debe estar debidamente fundado y motivado, en el que se expongan los fundamentos y razonamientos que llevaron</w:t>
      </w:r>
      <w:r>
        <w:rPr>
          <w:rFonts w:ascii="Palatino Linotype" w:eastAsia="Palatino Linotype" w:hAnsi="Palatino Linotype" w:cs="Palatino Linotype"/>
        </w:rPr>
        <w:t xml:space="preserve"> al Sujeto Obligado a testar, suprimir o eliminar datos de dicho soporte documental, ya que no hacerlo, se reitera que lo entregado no tendría un sustento jurídico ni resultaría ser una versión pública, sino más bien una documentación ilegible, incompleta </w:t>
      </w:r>
      <w:r>
        <w:rPr>
          <w:rFonts w:ascii="Palatino Linotype" w:eastAsia="Palatino Linotype" w:hAnsi="Palatino Linotype" w:cs="Palatino Linotype"/>
        </w:rPr>
        <w:t>o tachada; ya que el no justificar las causas o motivos por las que no se aprecian determinados datos -ya sea porque se testan o suprimen- deja al solicitante en estado de incertidumbre, al no conocer o comprender porque no aparecen en la documentación res</w:t>
      </w:r>
      <w:r>
        <w:rPr>
          <w:rFonts w:ascii="Palatino Linotype" w:eastAsia="Palatino Linotype" w:hAnsi="Palatino Linotype" w:cs="Palatino Linotype"/>
        </w:rPr>
        <w:t>pectiva.</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C060E6" w:rsidTr="00C06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rsidR="00C060E6" w:rsidRDefault="00267C40">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0" w:type="auto"/>
            <w:gridSpan w:val="2"/>
          </w:tcPr>
          <w:p w:rsidR="00C060E6" w:rsidRDefault="00267C40">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C060E6" w:rsidTr="00C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0" w:type="auto"/>
          </w:tcPr>
          <w:p w:rsidR="00C060E6" w:rsidRDefault="00267C4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0" w:type="auto"/>
          </w:tcPr>
          <w:p w:rsidR="00C060E6" w:rsidRDefault="00267C4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0" w:type="auto"/>
          </w:tcPr>
          <w:p w:rsidR="00C060E6" w:rsidRDefault="00267C40">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C060E6" w:rsidTr="00C060E6">
        <w:tc>
          <w:tcPr>
            <w:cnfStyle w:val="001000000000" w:firstRow="0" w:lastRow="0" w:firstColumn="1" w:lastColumn="0" w:oddVBand="0" w:evenVBand="0" w:oddHBand="0" w:evenHBand="0" w:firstRowFirstColumn="0" w:firstRowLastColumn="0" w:lastRowFirstColumn="0" w:lastRowLastColumn="0"/>
            <w:tcW w:w="0" w:type="auto"/>
            <w:gridSpan w:val="4"/>
          </w:tcPr>
          <w:p w:rsidR="00C060E6" w:rsidRDefault="00267C40">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C060E6" w:rsidTr="00C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060E6" w:rsidTr="00C060E6">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w:t>
            </w:r>
            <w:r>
              <w:rPr>
                <w:rFonts w:ascii="Palatino Linotype" w:eastAsia="Palatino Linotype" w:hAnsi="Palatino Linotype" w:cs="Palatino Linotype"/>
                <w:sz w:val="12"/>
                <w:szCs w:val="12"/>
              </w:rPr>
              <w:t>fica.</w:t>
            </w:r>
          </w:p>
        </w:tc>
      </w:tr>
      <w:tr w:rsidR="00C060E6" w:rsidTr="00C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w:t>
            </w:r>
            <w:r>
              <w:rPr>
                <w:rFonts w:ascii="Palatino Linotype" w:eastAsia="Palatino Linotype" w:hAnsi="Palatino Linotype" w:cs="Palatino Linotype"/>
                <w:sz w:val="12"/>
                <w:szCs w:val="12"/>
              </w:rPr>
              <w:t>ación reservada, se tachará este apartado.</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C060E6" w:rsidTr="00C060E6">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060E6" w:rsidTr="00C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w:t>
            </w:r>
            <w:r>
              <w:rPr>
                <w:rFonts w:ascii="Palatino Linotype" w:eastAsia="Palatino Linotype" w:hAnsi="Palatino Linotype" w:cs="Palatino Linotype"/>
                <w:sz w:val="12"/>
                <w:szCs w:val="12"/>
              </w:rPr>
              <w:t>tado la ampliación del periodo de reserva originalmente establecido, se deberá anotar el número de años o meses por los que se amplía la reserva.</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w:t>
            </w:r>
            <w:r>
              <w:rPr>
                <w:rFonts w:ascii="Palatino Linotype" w:eastAsia="Palatino Linotype" w:hAnsi="Palatino Linotype" w:cs="Palatino Linotype"/>
                <w:sz w:val="12"/>
                <w:szCs w:val="12"/>
              </w:rPr>
              <w:t xml:space="preserve"> párrafo(s) con base en los cuales se sustenta la reserva.</w:t>
            </w:r>
          </w:p>
        </w:tc>
      </w:tr>
      <w:tr w:rsidR="00C060E6" w:rsidTr="00C060E6">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 como confidencial. Si el documento fuera confidencial en su totalidad, se anotarán todas las páginas que </w:t>
            </w:r>
            <w:r>
              <w:rPr>
                <w:rFonts w:ascii="Palatino Linotype" w:eastAsia="Palatino Linotype" w:hAnsi="Palatino Linotype" w:cs="Palatino Linotype"/>
                <w:sz w:val="12"/>
                <w:szCs w:val="12"/>
              </w:rPr>
              <w:t>lo conforman. Si el documento no contiene información confidencial, se tachará este apartado.</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w:t>
            </w:r>
            <w:r>
              <w:rPr>
                <w:rFonts w:ascii="Palatino Linotype" w:eastAsia="Palatino Linotype" w:hAnsi="Palatino Linotype" w:cs="Palatino Linotype"/>
                <w:sz w:val="12"/>
                <w:szCs w:val="12"/>
              </w:rPr>
              <w:t xml:space="preserve"> meses por los que se amplía la reserva.</w:t>
            </w:r>
          </w:p>
        </w:tc>
      </w:tr>
      <w:tr w:rsidR="00C060E6" w:rsidTr="00C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C060E6" w:rsidTr="00C060E6">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060E6" w:rsidTr="00C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w:t>
            </w:r>
            <w:r>
              <w:rPr>
                <w:rFonts w:ascii="Palatino Linotype" w:eastAsia="Palatino Linotype" w:hAnsi="Palatino Linotype" w:cs="Palatino Linotype"/>
                <w:b w:val="0"/>
                <w:sz w:val="12"/>
                <w:szCs w:val="12"/>
              </w:rPr>
              <w:t>esclasificación</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C060E6" w:rsidTr="00C060E6">
        <w:tc>
          <w:tcPr>
            <w:cnfStyle w:val="001000000000" w:firstRow="0" w:lastRow="0" w:firstColumn="1" w:lastColumn="0" w:oddVBand="0" w:evenVBand="0" w:oddHBand="0" w:evenHBand="0" w:firstRowFirstColumn="0" w:firstRowLastColumn="0" w:lastRowFirstColumn="0" w:lastRowLastColumn="0"/>
            <w:tcW w:w="0" w:type="auto"/>
          </w:tcPr>
          <w:p w:rsidR="00C060E6" w:rsidRDefault="00267C40">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anotará </w:t>
            </w:r>
            <w:r>
              <w:rPr>
                <w:rFonts w:ascii="Palatino Linotype" w:eastAsia="Palatino Linotype" w:hAnsi="Palatino Linotype" w:cs="Palatino Linotype"/>
                <w:sz w:val="12"/>
                <w:szCs w:val="12"/>
              </w:rPr>
              <w:t>la fecha en que se desclasifica.</w:t>
            </w:r>
          </w:p>
        </w:tc>
      </w:tr>
      <w:tr w:rsidR="00C060E6" w:rsidTr="00C06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060E6" w:rsidRDefault="00C060E6">
            <w:pPr>
              <w:jc w:val="both"/>
              <w:rPr>
                <w:rFonts w:ascii="Palatino Linotype" w:eastAsia="Palatino Linotype" w:hAnsi="Palatino Linotype" w:cs="Palatino Linotype"/>
                <w:sz w:val="12"/>
                <w:szCs w:val="12"/>
              </w:rPr>
            </w:pPr>
          </w:p>
        </w:tc>
        <w:tc>
          <w:tcPr>
            <w:tcW w:w="0" w:type="auto"/>
          </w:tcPr>
          <w:p w:rsidR="00C060E6" w:rsidRDefault="00C060E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0" w:type="auto"/>
          </w:tcPr>
          <w:p w:rsidR="00C060E6" w:rsidRDefault="00267C40">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C060E6" w:rsidTr="00C060E6">
        <w:tc>
          <w:tcPr>
            <w:cnfStyle w:val="001000000000" w:firstRow="0" w:lastRow="0" w:firstColumn="1" w:lastColumn="0" w:oddVBand="0" w:evenVBand="0" w:oddHBand="0" w:evenHBand="0" w:firstRowFirstColumn="0" w:firstRowLastColumn="0" w:lastRowFirstColumn="0" w:lastRowLastColumn="0"/>
            <w:tcW w:w="0" w:type="auto"/>
          </w:tcPr>
          <w:p w:rsidR="00C060E6" w:rsidRDefault="00C060E6">
            <w:pPr>
              <w:jc w:val="both"/>
              <w:rPr>
                <w:rFonts w:ascii="Palatino Linotype" w:eastAsia="Palatino Linotype" w:hAnsi="Palatino Linotype" w:cs="Palatino Linotype"/>
                <w:sz w:val="12"/>
                <w:szCs w:val="12"/>
              </w:rPr>
            </w:pPr>
          </w:p>
        </w:tc>
        <w:tc>
          <w:tcPr>
            <w:tcW w:w="0" w:type="auto"/>
          </w:tcPr>
          <w:p w:rsidR="00C060E6" w:rsidRDefault="00C060E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0" w:type="auto"/>
          </w:tcPr>
          <w:p w:rsidR="00C060E6" w:rsidRDefault="00267C40">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C060E6" w:rsidRDefault="00267C40">
      <w:pPr>
        <w:shd w:val="clear" w:color="auto" w:fill="FFFFFF"/>
        <w:spacing w:before="240" w:after="240" w:line="360" w:lineRule="auto"/>
        <w:jc w:val="both"/>
        <w:rPr>
          <w:rFonts w:ascii="Arial" w:eastAsia="Arial" w:hAnsi="Arial" w:cs="Arial"/>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w:t>
      </w:r>
      <w:r>
        <w:rPr>
          <w:rFonts w:ascii="Palatino Linotype" w:eastAsia="Palatino Linotype" w:hAnsi="Palatino Linotype" w:cs="Palatino Linotype"/>
        </w:rPr>
        <w:t>o; 2, fracción II; 29, 36 fracciones I y II; 176, 178, 179, fracción I, 181, 185 de la Ley de Transparencia y Acceso a la Información Pública del Estado de México y Municipios, este Pleno:</w:t>
      </w:r>
    </w:p>
    <w:p w:rsidR="00C060E6" w:rsidRDefault="00C060E6">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p>
    <w:p w:rsidR="00C060E6" w:rsidRDefault="00267C40">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Resultan fundado el motivo de inconformidad planteado por el </w:t>
      </w:r>
      <w:r>
        <w:rPr>
          <w:rFonts w:ascii="Palatino Linotype" w:eastAsia="Palatino Linotype" w:hAnsi="Palatino Linotype" w:cs="Palatino Linotype"/>
          <w:b/>
          <w:i/>
        </w:rPr>
        <w:t xml:space="preserve">Recurrente </w:t>
      </w:r>
      <w:r>
        <w:rPr>
          <w:rFonts w:ascii="Palatino Linotype" w:eastAsia="Palatino Linotype" w:hAnsi="Palatino Linotype" w:cs="Palatino Linotype"/>
        </w:rPr>
        <w:t xml:space="preserve">en términos del Considerando CUARTO de la presente resolución, por lo que se determina </w:t>
      </w:r>
      <w:r>
        <w:rPr>
          <w:rFonts w:ascii="Palatino Linotype" w:eastAsia="Palatino Linotype" w:hAnsi="Palatino Linotype" w:cs="Palatino Linotype"/>
          <w:b/>
        </w:rPr>
        <w:t>MODIFICAR</w:t>
      </w:r>
      <w:r>
        <w:rPr>
          <w:rFonts w:ascii="Palatino Linotype" w:eastAsia="Palatino Linotype" w:hAnsi="Palatino Linotype" w:cs="Palatino Linotype"/>
        </w:rPr>
        <w:t xml:space="preserve"> la respuesta emitida por la Secretaría de Educación.</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 la </w:t>
      </w:r>
      <w:r>
        <w:rPr>
          <w:rFonts w:ascii="Palatino Linotype" w:eastAsia="Palatino Linotype" w:hAnsi="Palatino Linotype" w:cs="Palatino Linotype"/>
          <w:b/>
        </w:rPr>
        <w:t>Secretaría</w:t>
      </w:r>
      <w:r>
        <w:rPr>
          <w:rFonts w:ascii="Palatino Linotype" w:eastAsia="Palatino Linotype" w:hAnsi="Palatino Linotype" w:cs="Palatino Linotype"/>
          <w:b/>
        </w:rPr>
        <w:t xml:space="preserve"> de Educación, </w:t>
      </w:r>
      <w:r>
        <w:rPr>
          <w:rFonts w:ascii="Palatino Linotype" w:eastAsia="Palatino Linotype" w:hAnsi="Palatino Linotype" w:cs="Palatino Linotype"/>
        </w:rPr>
        <w:t xml:space="preserve">Sujeto Obligado, atienda la solicitud de información número </w:t>
      </w:r>
      <w:r>
        <w:rPr>
          <w:rFonts w:ascii="Palatino Linotype" w:eastAsia="Palatino Linotype" w:hAnsi="Palatino Linotype" w:cs="Palatino Linotype"/>
          <w:b/>
        </w:rPr>
        <w:t>00252/SE/IP/2021</w:t>
      </w:r>
      <w:r>
        <w:rPr>
          <w:rFonts w:ascii="Palatino Linotype" w:eastAsia="Palatino Linotype" w:hAnsi="Palatino Linotype" w:cs="Palatino Linotype"/>
        </w:rPr>
        <w:t>, y haga entrega vía SAIMEX y en versión publica de resultar procedente, en términos del Considerando CUARTO y QUINTO de esta resolución, lo siguiente:</w:t>
      </w:r>
    </w:p>
    <w:p w:rsidR="00C060E6" w:rsidRDefault="00267C40">
      <w:pPr>
        <w:numPr>
          <w:ilvl w:val="0"/>
          <w:numId w:val="1"/>
        </w:num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La expresión </w:t>
      </w:r>
      <w:r>
        <w:rPr>
          <w:rFonts w:ascii="Palatino Linotype" w:eastAsia="Palatino Linotype" w:hAnsi="Palatino Linotype" w:cs="Palatino Linotype"/>
          <w:b/>
          <w:color w:val="000000"/>
        </w:rPr>
        <w:t>documental en la que conste, la memoria documental de los Servidores Públicos que emitieron los nombramientos de los Titulares de la Unidad de Transparencia, de cuyo contenido se advierta el numero de oficio, fecha de elaboración y asunto, por el periodo c</w:t>
      </w:r>
      <w:r>
        <w:rPr>
          <w:rFonts w:ascii="Palatino Linotype" w:eastAsia="Palatino Linotype" w:hAnsi="Palatino Linotype" w:cs="Palatino Linotype"/>
          <w:b/>
          <w:color w:val="000000"/>
        </w:rPr>
        <w:t>omprendido del primero de enero de dos mil diecinueve al veinticinco de mayo de dos  mil veintiuno.</w:t>
      </w:r>
    </w:p>
    <w:p w:rsidR="00C060E6" w:rsidRDefault="00267C40">
      <w:pPr>
        <w:numPr>
          <w:ilvl w:val="0"/>
          <w:numId w:val="1"/>
        </w:num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La lista de registro de memoria documental de la Unidad de Transparencia de la Secretaría de Educación Pública, que contenga el asunto de lo entregado en re</w:t>
      </w:r>
      <w:r>
        <w:rPr>
          <w:rFonts w:ascii="Palatino Linotype" w:eastAsia="Palatino Linotype" w:hAnsi="Palatino Linotype" w:cs="Palatino Linotype"/>
          <w:b/>
          <w:color w:val="000000"/>
        </w:rPr>
        <w:t>spuesta, del primero de enero de dos mil diecinueve al veinticinco de mayo de dos  mil veintiuno.</w:t>
      </w:r>
    </w:p>
    <w:p w:rsidR="00C060E6" w:rsidRDefault="00267C40">
      <w:pPr>
        <w:numPr>
          <w:ilvl w:val="0"/>
          <w:numId w:val="1"/>
        </w:num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Lista de registro de memoria documental de la Subdirección Regional de Educación Básica Amecameca enviada y recibida, donde se pueda observar numero de oficio</w:t>
      </w:r>
      <w:r>
        <w:rPr>
          <w:rFonts w:ascii="Palatino Linotype" w:eastAsia="Palatino Linotype" w:hAnsi="Palatino Linotype" w:cs="Palatino Linotype"/>
          <w:b/>
          <w:color w:val="000000"/>
        </w:rPr>
        <w:t>, fecha de elaboración y asunto; folio de recepción, numero de oficio, fecha de recepción y asunto,   del primero de enero de dos mil diecinueve al veinticinco de mayo de dos mil veintiuno.</w:t>
      </w:r>
    </w:p>
    <w:p w:rsidR="00C060E6" w:rsidRDefault="00267C40">
      <w:pPr>
        <w:numPr>
          <w:ilvl w:val="0"/>
          <w:numId w:val="1"/>
        </w:num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El soporte documental en el que conste, el procedimiento para pone</w:t>
      </w:r>
      <w:r>
        <w:rPr>
          <w:rFonts w:ascii="Palatino Linotype" w:eastAsia="Palatino Linotype" w:hAnsi="Palatino Linotype" w:cs="Palatino Linotype"/>
          <w:b/>
          <w:color w:val="000000"/>
        </w:rPr>
        <w:t>r en resguardo instalaciones educativas, o bien, las gestiones realizadas, en el periodo comprendido del veinticinco de mayo de dos mil veinte al veinticinco de mayo de dos mil veintiuno.</w:t>
      </w:r>
    </w:p>
    <w:p w:rsidR="00C060E6" w:rsidRDefault="00267C40">
      <w:pPr>
        <w:numPr>
          <w:ilvl w:val="0"/>
          <w:numId w:val="1"/>
        </w:num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Previa búsqueda exhaustiva y razonable, las actas entrega recepción </w:t>
      </w:r>
      <w:r>
        <w:rPr>
          <w:rFonts w:ascii="Palatino Linotype" w:eastAsia="Palatino Linotype" w:hAnsi="Palatino Linotype" w:cs="Palatino Linotype"/>
          <w:b/>
          <w:color w:val="000000"/>
        </w:rPr>
        <w:t>de los Servidores Públicos Titulares de la Unidad de Transparencia, de los que se entregó nombramiento en respuesta.</w:t>
      </w:r>
    </w:p>
    <w:p w:rsidR="00C060E6" w:rsidRDefault="00267C40">
      <w:pPr>
        <w:spacing w:before="120" w:after="120" w:line="360" w:lineRule="auto"/>
        <w:ind w:left="36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w:t>
      </w:r>
      <w:r>
        <w:rPr>
          <w:rFonts w:ascii="Palatino Linotype" w:eastAsia="Palatino Linotype" w:hAnsi="Palatino Linotype" w:cs="Palatino Linotype"/>
          <w:i/>
          <w:sz w:val="20"/>
          <w:szCs w:val="20"/>
        </w:rPr>
        <w:t xml:space="preserve">la Información Pública del Estado de México y Municipios, en el que funde y motive las razones sobre los datos que se supriman o eliminen y se ponga a disposición del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w:t>
      </w:r>
    </w:p>
    <w:p w:rsidR="00C060E6" w:rsidRDefault="00267C40">
      <w:pPr>
        <w:spacing w:before="120" w:after="120" w:line="360" w:lineRule="auto"/>
        <w:ind w:left="36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Así mismo, en el caso de que la información referida en el numeral 5 no obre en sus archivos y esta </w:t>
      </w:r>
      <w:r>
        <w:rPr>
          <w:rFonts w:ascii="Palatino Linotype" w:eastAsia="Palatino Linotype" w:hAnsi="Palatino Linotype" w:cs="Palatino Linotype"/>
          <w:b/>
          <w:i/>
          <w:sz w:val="20"/>
          <w:szCs w:val="20"/>
        </w:rPr>
        <w:t>no</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b/>
          <w:i/>
          <w:sz w:val="20"/>
          <w:szCs w:val="20"/>
        </w:rPr>
        <w:t xml:space="preserve">pueda reponerse; </w:t>
      </w:r>
      <w:r>
        <w:rPr>
          <w:rFonts w:ascii="Palatino Linotype" w:eastAsia="Palatino Linotype" w:hAnsi="Palatino Linotype" w:cs="Palatino Linotype"/>
          <w:i/>
          <w:sz w:val="20"/>
          <w:szCs w:val="20"/>
        </w:rPr>
        <w:t>con la finalidad de dar certeza al ahora recurrente, el Sujeto Obligado deberá emitir una resolución en la que se decrete la inexistenci</w:t>
      </w:r>
      <w:r>
        <w:rPr>
          <w:rFonts w:ascii="Palatino Linotype" w:eastAsia="Palatino Linotype" w:hAnsi="Palatino Linotype" w:cs="Palatino Linotype"/>
          <w:i/>
          <w:sz w:val="20"/>
          <w:szCs w:val="20"/>
        </w:rPr>
        <w:t>a de la información por parte del Comité de Transparencia en términos de lo que señalan los artículos 49, fracciones II y XIII, 169, fracción II y 170 de la Ley de Transparencia y Acceso a la Información Pública del Estado de México y Municipios, mismo que</w:t>
      </w:r>
      <w:r>
        <w:rPr>
          <w:rFonts w:ascii="Palatino Linotype" w:eastAsia="Palatino Linotype" w:hAnsi="Palatino Linotype" w:cs="Palatino Linotype"/>
          <w:i/>
          <w:sz w:val="20"/>
          <w:szCs w:val="20"/>
        </w:rPr>
        <w:t xml:space="preserve"> igualmente deberá de hacer de conocimiento del recurrente.</w:t>
      </w:r>
    </w:p>
    <w:p w:rsidR="00C060E6" w:rsidRDefault="00267C40">
      <w:pPr>
        <w:spacing w:before="120" w:after="120" w:line="360" w:lineRule="auto"/>
        <w:ind w:left="360" w:right="49"/>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Para el caso de que exista impedimento justificado para entregar la información ordenada en el numeral 3, vía </w:t>
      </w:r>
      <w:r>
        <w:rPr>
          <w:rFonts w:ascii="Palatino Linotype" w:eastAsia="Palatino Linotype" w:hAnsi="Palatino Linotype" w:cs="Palatino Linotype"/>
          <w:b/>
          <w:i/>
          <w:sz w:val="20"/>
          <w:szCs w:val="20"/>
        </w:rPr>
        <w:t>SAIMEX</w:t>
      </w:r>
      <w:r>
        <w:rPr>
          <w:rFonts w:ascii="Palatino Linotype" w:eastAsia="Palatino Linotype" w:hAnsi="Palatino Linotype" w:cs="Palatino Linotype"/>
          <w:i/>
          <w:sz w:val="20"/>
          <w:szCs w:val="20"/>
        </w:rPr>
        <w:t xml:space="preserve">, el sujeto obligado, deberá proponer otros </w:t>
      </w:r>
      <w:r>
        <w:rPr>
          <w:rFonts w:ascii="Palatino Linotype" w:eastAsia="Palatino Linotype" w:hAnsi="Palatino Linotype" w:cs="Palatino Linotype"/>
          <w:i/>
          <w:sz w:val="20"/>
          <w:szCs w:val="20"/>
          <w:highlight w:val="white"/>
        </w:rPr>
        <w:t>medios electrónicos, tales como habi</w:t>
      </w:r>
      <w:r>
        <w:rPr>
          <w:rFonts w:ascii="Palatino Linotype" w:eastAsia="Palatino Linotype" w:hAnsi="Palatino Linotype" w:cs="Palatino Linotype"/>
          <w:i/>
          <w:sz w:val="20"/>
          <w:szCs w:val="20"/>
          <w:highlight w:val="white"/>
        </w:rPr>
        <w:t>litar una liga electrónica que deberá</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i/>
          <w:sz w:val="20"/>
          <w:szCs w:val="20"/>
          <w:highlight w:val="white"/>
        </w:rPr>
        <w:t>proporcionarle para que descargue los archivos; enviar la información a la cuenta</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i/>
          <w:sz w:val="20"/>
          <w:szCs w:val="20"/>
          <w:highlight w:val="white"/>
        </w:rPr>
        <w:t>de correo electrónico del particular; concederle el acceso en disco compacto, con la posibilidad</w:t>
      </w:r>
      <w:r>
        <w:rPr>
          <w:rFonts w:ascii="Palatino Linotype" w:eastAsia="Palatino Linotype" w:hAnsi="Palatino Linotype" w:cs="Palatino Linotype"/>
          <w:i/>
          <w:sz w:val="20"/>
          <w:szCs w:val="20"/>
        </w:rPr>
        <w:t xml:space="preserve"> </w:t>
      </w:r>
      <w:r>
        <w:rPr>
          <w:rFonts w:ascii="Palatino Linotype" w:eastAsia="Palatino Linotype" w:hAnsi="Palatino Linotype" w:cs="Palatino Linotype"/>
          <w:i/>
          <w:sz w:val="20"/>
          <w:szCs w:val="20"/>
          <w:highlight w:val="white"/>
        </w:rPr>
        <w:t>de envío mediante correo certificado, p</w:t>
      </w:r>
      <w:r>
        <w:rPr>
          <w:rFonts w:ascii="Palatino Linotype" w:eastAsia="Palatino Linotype" w:hAnsi="Palatino Linotype" w:cs="Palatino Linotype"/>
          <w:i/>
          <w:sz w:val="20"/>
          <w:szCs w:val="20"/>
          <w:highlight w:val="white"/>
        </w:rPr>
        <w:t>revio pago del costo del CD y del envío; o darle la posibilidad de obtenerla de manera gratuita si el mismo particular aporta el CD o la USB en la que se le proporcionarán los archivos electrónicos.</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TERCERO.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w:t>
      </w:r>
      <w:r>
        <w:rPr>
          <w:rFonts w:ascii="Palatino Linotype" w:eastAsia="Palatino Linotype" w:hAnsi="Palatino Linotype" w:cs="Palatino Linotype"/>
        </w:rPr>
        <w:t>nsparencia del Sujeto Obligado, para que conforme a los artículos 186, último párrafo y 189, párrafo segundo de la Ley de Transparencia y Acceso a la Información Pública del Estado de México y Municipios dé cumplimiento a lo ordenado dentro del plazo de di</w:t>
      </w:r>
      <w:r>
        <w:rPr>
          <w:rFonts w:ascii="Palatino Linotype" w:eastAsia="Palatino Linotype" w:hAnsi="Palatino Linotype" w:cs="Palatino Linotype"/>
        </w:rPr>
        <w:t>ez días hábiles, debiendo informar a este Instituto en un plazo de tres días hábiles siguientes sobre el cumplimiento dado a la presente resolución.</w:t>
      </w:r>
    </w:p>
    <w:p w:rsidR="00C060E6" w:rsidRDefault="00267C4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 xml:space="preserve">CUARTO. </w:t>
      </w:r>
      <w:r>
        <w:rPr>
          <w:rFonts w:ascii="Palatino Linotype" w:eastAsia="Palatino Linotype" w:hAnsi="Palatino Linotype" w:cs="Palatino Linotype"/>
        </w:rPr>
        <w:t>De conformidad con el artículo 198 de la Ley de Transparencia y Acceso a la Información Pública del</w:t>
      </w:r>
      <w:r>
        <w:rPr>
          <w:rFonts w:ascii="Palatino Linotype" w:eastAsia="Palatino Linotype" w:hAnsi="Palatino Linotype" w:cs="Palatino Linotype"/>
        </w:rPr>
        <w:t xml:space="preserve"> Estado de México y Municipios, de considerarlo procedente, el Sujeto Obligado de manera fundada y motivada, podrá solicitar una ampliación de plazo para el cumplimiento de la presente resolución.</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al recurrente la presente resolución v</w:t>
      </w:r>
      <w:r>
        <w:rPr>
          <w:rFonts w:ascii="Palatino Linotype" w:eastAsia="Palatino Linotype" w:hAnsi="Palatino Linotype" w:cs="Palatino Linotype"/>
        </w:rPr>
        <w:t xml:space="preserve">ía Saimex, además que podrá impugnarla vía Juicio de Amparo en los términos de las leyes aplicables, de conformidad con lo establecido en el artículo 196 de la Ley de Transparencia y Acceso a la Información Pública del Estado de México y Municipios. </w:t>
      </w:r>
    </w:p>
    <w:p w:rsidR="00C060E6" w:rsidRDefault="00267C4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w:t>
      </w:r>
      <w:r>
        <w:rPr>
          <w:rFonts w:ascii="Palatino Linotype" w:eastAsia="Palatino Linotype" w:hAnsi="Palatino Linotype" w:cs="Palatino Linotype"/>
        </w:rPr>
        <w:t>O RESUELVE, POR UNANIMIDAD DE VOTOS, EL PLENO DEL INSTITUTO DE TRANSPARENCIA, ACCESO A LA INFORMACIÓN PÚBLICA Y PROTECCIÓN DE DATOS PERSONALES DEL ESTADO DE MÉXICO Y MUNICIPIOS, CONFORMADO POR LOS COMISIONADOS JOSÉ MARTÍNEZ VILCHIS, MARÍA DEL ROSARIO MEJÍA</w:t>
      </w:r>
      <w:r>
        <w:rPr>
          <w:rFonts w:ascii="Palatino Linotype" w:eastAsia="Palatino Linotype" w:hAnsi="Palatino Linotype" w:cs="Palatino Linotype"/>
        </w:rPr>
        <w:t xml:space="preserve"> AYALA, SHARON CRISTINA MORALES MARTÍNEZ, LUIS GUSTAVO PARRA NORIEGA EMITIENDO VOTO PARTICULAR Y GUADALUPE RAMÍREZ PEÑA; EN LA CUADRAGÉSIMO PRIMERA SESIÓN ORDINARIA CELEBRADA EL DIECIOCHO DE NOVIEMBRE DEL DOS MIL VEINTIUNO, ANTE EL SECRETARIO TÉCNICO DEL P</w:t>
      </w:r>
      <w:r>
        <w:rPr>
          <w:rFonts w:ascii="Palatino Linotype" w:eastAsia="Palatino Linotype" w:hAnsi="Palatino Linotype" w:cs="Palatino Linotype"/>
        </w:rPr>
        <w:t>LENO, ALEXIS TAPIA RAMÍREZ.</w:t>
      </w: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p w:rsidR="00C060E6" w:rsidRDefault="00C060E6">
      <w:pPr>
        <w:spacing w:before="240" w:after="240"/>
        <w:jc w:val="both"/>
        <w:rPr>
          <w:rFonts w:ascii="Palatino Linotype" w:eastAsia="Palatino Linotype" w:hAnsi="Palatino Linotype" w:cs="Palatino Linotype"/>
          <w:sz w:val="16"/>
          <w:szCs w:val="16"/>
        </w:rPr>
      </w:pPr>
    </w:p>
    <w:sectPr w:rsidR="00C060E6">
      <w:headerReference w:type="default" r:id="rId34"/>
      <w:footerReference w:type="default" r:id="rId35"/>
      <w:headerReference w:type="first" r:id="rId36"/>
      <w:footerReference w:type="first" r:id="rId37"/>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67C40">
      <w:r>
        <w:separator/>
      </w:r>
    </w:p>
  </w:endnote>
  <w:endnote w:type="continuationSeparator" w:id="0">
    <w:p w:rsidR="00000000" w:rsidRDefault="00267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Quattrocento Sans">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E6" w:rsidRDefault="00267C4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9</w:t>
    </w:r>
    <w:r>
      <w:rPr>
        <w:rFonts w:ascii="Arial" w:eastAsia="Arial" w:hAnsi="Arial" w:cs="Arial"/>
        <w:b/>
        <w:color w:val="000000"/>
        <w:sz w:val="20"/>
        <w:szCs w:val="20"/>
      </w:rPr>
      <w:fldChar w:fldCharType="end"/>
    </w:r>
  </w:p>
  <w:p w:rsidR="00C060E6" w:rsidRDefault="00C060E6">
    <w:pPr>
      <w:pBdr>
        <w:top w:val="nil"/>
        <w:left w:val="nil"/>
        <w:bottom w:val="nil"/>
        <w:right w:val="nil"/>
        <w:between w:val="nil"/>
      </w:pBdr>
      <w:tabs>
        <w:tab w:val="center" w:pos="4252"/>
        <w:tab w:val="right" w:pos="8504"/>
      </w:tabs>
      <w:rPr>
        <w:color w:val="000000"/>
      </w:rPr>
    </w:pPr>
  </w:p>
  <w:p w:rsidR="00C060E6" w:rsidRDefault="00C060E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E6" w:rsidRDefault="00267C4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6</w:t>
    </w:r>
    <w:r>
      <w:rPr>
        <w:rFonts w:ascii="Arial" w:eastAsia="Arial" w:hAnsi="Arial" w:cs="Arial"/>
        <w:b/>
        <w:color w:val="000000"/>
        <w:sz w:val="20"/>
        <w:szCs w:val="20"/>
      </w:rPr>
      <w:fldChar w:fldCharType="end"/>
    </w:r>
  </w:p>
  <w:p w:rsidR="00C060E6" w:rsidRDefault="00C060E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67C40">
      <w:r>
        <w:separator/>
      </w:r>
    </w:p>
  </w:footnote>
  <w:footnote w:type="continuationSeparator" w:id="0">
    <w:p w:rsidR="00000000" w:rsidRDefault="00267C40">
      <w:r>
        <w:continuationSeparator/>
      </w:r>
    </w:p>
  </w:footnote>
  <w:footnote w:id="1">
    <w:p w:rsidR="00C060E6" w:rsidRDefault="00267C40">
      <w:pPr>
        <w:pBdr>
          <w:top w:val="nil"/>
          <w:left w:val="nil"/>
          <w:bottom w:val="nil"/>
          <w:right w:val="nil"/>
          <w:between w:val="nil"/>
        </w:pBdr>
        <w:spacing w:after="120"/>
        <w:ind w:right="49"/>
        <w:jc w:val="both"/>
        <w:rPr>
          <w:rFonts w:ascii="Palatino Linotype" w:eastAsia="Palatino Linotype" w:hAnsi="Palatino Linotype" w:cs="Palatino Linotype"/>
          <w:i/>
          <w:color w:val="000000"/>
          <w:sz w:val="16"/>
          <w:szCs w:val="16"/>
        </w:rPr>
      </w:pPr>
      <w:r>
        <w:rPr>
          <w:vertAlign w:val="superscript"/>
        </w:rPr>
        <w:footnoteRef/>
      </w:r>
      <w:r>
        <w:rPr>
          <w:color w:val="000000"/>
        </w:rPr>
        <w:t xml:space="preserve"> </w:t>
      </w:r>
      <w:r>
        <w:rPr>
          <w:rFonts w:ascii="Palatino Linotype" w:eastAsia="Palatino Linotype" w:hAnsi="Palatino Linotype" w:cs="Palatino Linotype"/>
          <w:b/>
          <w:i/>
          <w:color w:val="000000"/>
          <w:sz w:val="16"/>
          <w:szCs w:val="16"/>
        </w:rPr>
        <w:t>Artículo 4.</w:t>
      </w:r>
      <w:r>
        <w:rPr>
          <w:rFonts w:ascii="Palatino Linotype" w:eastAsia="Palatino Linotype" w:hAnsi="Palatino Linotype" w:cs="Palatino Linotype"/>
          <w:i/>
          <w:color w:val="000000"/>
          <w:sz w:val="16"/>
          <w:szCs w:val="16"/>
        </w:rPr>
        <w:t xml:space="preserve"> El derecho humano de acceso a la información comprende solicitar, investigar, difundir, buscar y recibir información. Toda la información generada, obtenida, adquirida, transformada o en posesión de los sujetos obligados es pública y accesible a cualquier</w:t>
      </w:r>
      <w:r>
        <w:rPr>
          <w:rFonts w:ascii="Palatino Linotype" w:eastAsia="Palatino Linotype" w:hAnsi="Palatino Linotype" w:cs="Palatino Linotype"/>
          <w:i/>
          <w:color w:val="000000"/>
          <w:sz w:val="16"/>
          <w:szCs w:val="16"/>
        </w:rPr>
        <w:t xml:space="preserve"> persona en los términos y condiciones que se establezcan en la presente Ley, en los tratados internacionales de los que el Estado mexicano sea parte, la Ley Federal, las leyes de las Entidades Federativas y la normatividad aplicable en sus respectivas com</w:t>
      </w:r>
      <w:r>
        <w:rPr>
          <w:rFonts w:ascii="Palatino Linotype" w:eastAsia="Palatino Linotype" w:hAnsi="Palatino Linotype" w:cs="Palatino Linotype"/>
          <w:i/>
          <w:color w:val="000000"/>
          <w:sz w:val="16"/>
          <w:szCs w:val="16"/>
        </w:rPr>
        <w:t>petencias; sólo podrá ser clasificada excepcionalmente como reservada temporalmente por razones de interés público y seguridad nacional, en los términos dispuestos por esta Ley.</w:t>
      </w:r>
    </w:p>
  </w:footnote>
  <w:footnote w:id="2">
    <w:p w:rsidR="00C060E6" w:rsidRDefault="00267C40">
      <w:pPr>
        <w:jc w:val="both"/>
        <w:rPr>
          <w:rFonts w:ascii="Palatino Linotype" w:eastAsia="Palatino Linotype" w:hAnsi="Palatino Linotype" w:cs="Palatino Linotype"/>
          <w:i/>
          <w:sz w:val="16"/>
          <w:szCs w:val="16"/>
        </w:rPr>
      </w:pPr>
      <w:r>
        <w:rPr>
          <w:vertAlign w:val="superscript"/>
        </w:rPr>
        <w:footnoteRef/>
      </w:r>
      <w:r>
        <w:t xml:space="preserve"> </w:t>
      </w:r>
      <w:r>
        <w:rPr>
          <w:rFonts w:ascii="Palatino Linotype" w:eastAsia="Palatino Linotype" w:hAnsi="Palatino Linotype" w:cs="Palatino Linotype"/>
          <w:i/>
          <w:sz w:val="16"/>
          <w:szCs w:val="16"/>
        </w:rPr>
        <w:t>En Perú la Ley del Procedimiento Administrativo General LEY N° 27444 señala:</w:t>
      </w:r>
      <w:r>
        <w:rPr>
          <w:rFonts w:ascii="Palatino Linotype" w:eastAsia="Palatino Linotype" w:hAnsi="Palatino Linotype" w:cs="Palatino Linotype"/>
          <w:i/>
          <w:sz w:val="16"/>
          <w:szCs w:val="16"/>
        </w:rPr>
        <w:t xml:space="preserve"> “1.7 Principio de presunción de veracidad.- En la tramitación del procedimiento administrativo, se presume que los documentos y declaraciones formulados por los administrados en la forma descrita por esta Ley, responden a la verdad de los hechos que ellos</w:t>
      </w:r>
      <w:r>
        <w:rPr>
          <w:rFonts w:ascii="Palatino Linotype" w:eastAsia="Palatino Linotype" w:hAnsi="Palatino Linotype" w:cs="Palatino Linotype"/>
          <w:i/>
          <w:sz w:val="16"/>
          <w:szCs w:val="16"/>
        </w:rPr>
        <w:t xml:space="preserve"> afirman. Esta presunción admite prueba en contrario.”</w:t>
      </w:r>
    </w:p>
    <w:p w:rsidR="00C060E6" w:rsidRDefault="00C060E6">
      <w:pPr>
        <w:pBdr>
          <w:top w:val="nil"/>
          <w:left w:val="nil"/>
          <w:bottom w:val="nil"/>
          <w:right w:val="nil"/>
          <w:between w:val="nil"/>
        </w:pBdr>
        <w:rPr>
          <w:rFonts w:ascii="Cambria" w:eastAsia="Cambria" w:hAnsi="Cambria" w:cs="Cambria"/>
          <w:color w:val="000000"/>
          <w:sz w:val="20"/>
          <w:szCs w:val="20"/>
        </w:rPr>
      </w:pPr>
    </w:p>
  </w:footnote>
  <w:footnote w:id="3">
    <w:p w:rsidR="00C060E6" w:rsidRDefault="00267C40">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w:t>
      </w:r>
      <w:r>
        <w:rPr>
          <w:rFonts w:ascii="Palatino Linotype" w:eastAsia="Palatino Linotype" w:hAnsi="Palatino Linotype" w:cs="Palatino Linotype"/>
          <w:i/>
          <w:color w:val="000000"/>
          <w:sz w:val="16"/>
          <w:szCs w:val="16"/>
        </w:rPr>
        <w:t>jeto obligado deberá ofrecer otra u otras modalidades de entrega. En cualquier caso, se deberá fundar y motivar la necesidad de ofrecer otras modalidades.</w:t>
      </w:r>
    </w:p>
  </w:footnote>
  <w:footnote w:id="4">
    <w:p w:rsidR="00C060E6" w:rsidRDefault="00267C4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http://legislacion.edomex.gob.mx/sites/legislacion.edomex.gob.mx/files/files/pdf/rgl/vig/rglvig152.pdf</w:t>
      </w:r>
    </w:p>
  </w:footnote>
  <w:footnote w:id="5">
    <w:p w:rsidR="00C060E6" w:rsidRDefault="00267C4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 xml:space="preserve">Artículo 2. Son objetivos de esta Ley: (…)  XLI. </w:t>
      </w:r>
      <w:r>
        <w:rPr>
          <w:rFonts w:ascii="Palatino Linotype" w:eastAsia="Palatino Linotype" w:hAnsi="Palatino Linotype" w:cs="Palatino Linotype"/>
          <w:i/>
          <w:color w:val="000000"/>
          <w:sz w:val="16"/>
          <w:szCs w:val="16"/>
        </w:rPr>
        <w:t>Cualquier autoridad, entidad, órgano y organismo de los Poderes Ejecutivo, Legislativo y Judicial, ór</w:t>
      </w:r>
      <w:r>
        <w:rPr>
          <w:rFonts w:ascii="Palatino Linotype" w:eastAsia="Palatino Linotype" w:hAnsi="Palatino Linotype" w:cs="Palatino Linotype"/>
          <w:i/>
          <w:color w:val="000000"/>
          <w:sz w:val="16"/>
          <w:szCs w:val="16"/>
        </w:rPr>
        <w:t>ganos autónomos, partidos políticos, fideicomisos y fondos públicos estatales y municipales, así como del gobierno y de la administración pública municipal y sus organismos descentralizados, asimismo de cualquier persona física, jurídico colectiva o sindic</w:t>
      </w:r>
      <w:r>
        <w:rPr>
          <w:rFonts w:ascii="Palatino Linotype" w:eastAsia="Palatino Linotype" w:hAnsi="Palatino Linotype" w:cs="Palatino Linotype"/>
          <w:i/>
          <w:color w:val="000000"/>
          <w:sz w:val="16"/>
          <w:szCs w:val="16"/>
        </w:rPr>
        <w:t xml:space="preserve">ato que reciba y ejerza recursos públicos o realice actos de autoridad en el ámbito estatal y municipal, que deba cumplir con las obligaciones previstas en la presente Ley. </w:t>
      </w:r>
      <w:r>
        <w:rPr>
          <w:rFonts w:ascii="Palatino Linotype" w:eastAsia="Palatino Linotype" w:hAnsi="Palatino Linotype" w:cs="Palatino Linotype"/>
          <w:color w:val="000000"/>
          <w:sz w:val="16"/>
          <w:szCs w:val="16"/>
        </w:rPr>
        <w:t>Ley de Transparencia y Acceso a la Información Pública del Estado de México y Munic</w:t>
      </w:r>
      <w:r>
        <w:rPr>
          <w:rFonts w:ascii="Palatino Linotype" w:eastAsia="Palatino Linotype" w:hAnsi="Palatino Linotype" w:cs="Palatino Linotype"/>
          <w:color w:val="000000"/>
          <w:sz w:val="16"/>
          <w:szCs w:val="16"/>
        </w:rPr>
        <w:t>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E6" w:rsidRDefault="00C060E6">
    <w:pPr>
      <w:widowControl w:val="0"/>
      <w:pBdr>
        <w:top w:val="nil"/>
        <w:left w:val="nil"/>
        <w:bottom w:val="nil"/>
        <w:right w:val="nil"/>
        <w:between w:val="nil"/>
      </w:pBdr>
      <w:spacing w:line="276" w:lineRule="auto"/>
      <w:rPr>
        <w:rFonts w:ascii="Cambria" w:eastAsia="Cambria" w:hAnsi="Cambria" w:cs="Cambria"/>
        <w:color w:val="000000"/>
      </w:rPr>
    </w:pPr>
  </w:p>
  <w:tbl>
    <w:tblPr>
      <w:tblStyle w:val="a2"/>
      <w:tblW w:w="6240" w:type="dxa"/>
      <w:tblInd w:w="3746" w:type="dxa"/>
      <w:tblLayout w:type="fixed"/>
      <w:tblLook w:val="0400" w:firstRow="0" w:lastRow="0" w:firstColumn="0" w:lastColumn="0" w:noHBand="0" w:noVBand="1"/>
    </w:tblPr>
    <w:tblGrid>
      <w:gridCol w:w="2553"/>
      <w:gridCol w:w="3687"/>
    </w:tblGrid>
    <w:tr w:rsidR="00C060E6">
      <w:tc>
        <w:tcPr>
          <w:tcW w:w="2553"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03604/INFOEM/IP/RR/2021</w:t>
          </w:r>
        </w:p>
      </w:tc>
    </w:tr>
    <w:tr w:rsidR="00C060E6">
      <w:trPr>
        <w:trHeight w:val="228"/>
      </w:trPr>
      <w:tc>
        <w:tcPr>
          <w:tcW w:w="2553"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060E6" w:rsidRDefault="00267C4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rPr>
            <w:t>Secretaría de Educación</w:t>
          </w:r>
        </w:p>
      </w:tc>
    </w:tr>
    <w:tr w:rsidR="00C060E6">
      <w:tc>
        <w:tcPr>
          <w:tcW w:w="2553"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060E6" w:rsidRDefault="00267C4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060E6" w:rsidRDefault="00267C4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simplePos x="0" y="0"/>
          <wp:positionH relativeFrom="column">
            <wp:posOffset>-1028699</wp:posOffset>
          </wp:positionH>
          <wp:positionV relativeFrom="paragraph">
            <wp:posOffset>-1027429</wp:posOffset>
          </wp:positionV>
          <wp:extent cx="7635875" cy="9943465"/>
          <wp:effectExtent l="0" t="0" r="0" b="0"/>
          <wp:wrapNone/>
          <wp:docPr id="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p w:rsidR="00C060E6" w:rsidRDefault="00C060E6">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0E6" w:rsidRDefault="00267C4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-393699</wp:posOffset>
          </wp:positionV>
          <wp:extent cx="7635875" cy="9943465"/>
          <wp:effectExtent l="0" t="0" r="0" b="0"/>
          <wp:wrapNone/>
          <wp:docPr id="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1"/>
      <w:tblW w:w="6240" w:type="dxa"/>
      <w:tblInd w:w="3685" w:type="dxa"/>
      <w:tblLayout w:type="fixed"/>
      <w:tblLook w:val="0400" w:firstRow="0" w:lastRow="0" w:firstColumn="0" w:lastColumn="0" w:noHBand="0" w:noVBand="1"/>
    </w:tblPr>
    <w:tblGrid>
      <w:gridCol w:w="2553"/>
      <w:gridCol w:w="3687"/>
    </w:tblGrid>
    <w:tr w:rsidR="00C060E6">
      <w:tc>
        <w:tcPr>
          <w:tcW w:w="2553"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03604/INFOEM/IP/RR/2021</w:t>
          </w:r>
        </w:p>
      </w:tc>
    </w:tr>
    <w:tr w:rsidR="00C060E6">
      <w:tc>
        <w:tcPr>
          <w:tcW w:w="2553"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xxxxxxxxxxxxxxxxxx</w:t>
          </w:r>
        </w:p>
      </w:tc>
    </w:tr>
    <w:tr w:rsidR="00C060E6">
      <w:trPr>
        <w:trHeight w:val="228"/>
      </w:trPr>
      <w:tc>
        <w:tcPr>
          <w:tcW w:w="2553"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C060E6" w:rsidRDefault="00267C40">
          <w:pPr>
            <w:jc w:val="both"/>
            <w:rPr>
              <w:rFonts w:ascii="Palatino Linotype" w:eastAsia="Palatino Linotype" w:hAnsi="Palatino Linotype" w:cs="Palatino Linotype"/>
              <w:b/>
            </w:rPr>
          </w:pPr>
          <w:r>
            <w:rPr>
              <w:rFonts w:ascii="Palatino Linotype" w:eastAsia="Palatino Linotype" w:hAnsi="Palatino Linotype" w:cs="Palatino Linotype"/>
              <w:b/>
              <w:color w:val="000000"/>
            </w:rPr>
            <w:t>Secretaría de Educación</w:t>
          </w:r>
        </w:p>
      </w:tc>
    </w:tr>
    <w:tr w:rsidR="00C060E6">
      <w:tc>
        <w:tcPr>
          <w:tcW w:w="2553" w:type="dxa"/>
          <w:vAlign w:val="center"/>
        </w:tcPr>
        <w:p w:rsidR="00C060E6" w:rsidRDefault="00267C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C060E6" w:rsidRDefault="00267C4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060E6" w:rsidRDefault="00C060E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A3E90"/>
    <w:multiLevelType w:val="multilevel"/>
    <w:tmpl w:val="A17EE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E70288"/>
    <w:multiLevelType w:val="multilevel"/>
    <w:tmpl w:val="7F5A3F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363C54C6"/>
    <w:multiLevelType w:val="multilevel"/>
    <w:tmpl w:val="FD5A0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E6"/>
    <w:rsid w:val="00267C40"/>
    <w:rsid w:val="00C060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8A7E8-DA12-438F-8A51-095EECB2B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6FCD"/>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88612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03789"/>
    <w:rPr>
      <w:lang w:val="es-MX"/>
    </w:rPr>
  </w:style>
  <w:style w:type="character" w:styleId="Textoennegrita">
    <w:name w:val="Strong"/>
    <w:uiPriority w:val="22"/>
    <w:qFormat/>
    <w:rsid w:val="00903789"/>
    <w:rPr>
      <w:b/>
      <w:bCs/>
    </w:rPr>
  </w:style>
  <w:style w:type="character" w:customStyle="1" w:styleId="SinespaciadoCar">
    <w:name w:val="Sin espaciado Car"/>
    <w:aliases w:val="Francesa Car"/>
    <w:link w:val="Sinespaciado"/>
    <w:uiPriority w:val="1"/>
    <w:locked/>
    <w:rsid w:val="00903789"/>
    <w:rPr>
      <w:rFonts w:ascii="Times New Roman" w:eastAsia="Times New Roman" w:hAnsi="Times New Roman" w:cs="Times New Roman"/>
      <w:lang w:val="es-MX"/>
    </w:rPr>
  </w:style>
  <w:style w:type="table" w:styleId="Tabladelista1clara-nfasis1">
    <w:name w:val="List Table 1 Light Accent 1"/>
    <w:basedOn w:val="Tablanormal"/>
    <w:uiPriority w:val="46"/>
    <w:rsid w:val="009037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5127500252372250437gmail-paragraph">
    <w:name w:val="m_5127500252372250437gmail-paragraph"/>
    <w:basedOn w:val="Normal"/>
    <w:rsid w:val="00E36798"/>
    <w:pPr>
      <w:spacing w:before="100" w:beforeAutospacing="1" w:after="100" w:afterAutospacing="1"/>
    </w:pPr>
    <w:rPr>
      <w:lang w:val="es-MX"/>
    </w:rPr>
  </w:style>
  <w:style w:type="character" w:customStyle="1" w:styleId="Ttulo5Car">
    <w:name w:val="Título 5 Car"/>
    <w:basedOn w:val="Fuentedeprrafopredeter"/>
    <w:link w:val="Ttulo5"/>
    <w:uiPriority w:val="9"/>
    <w:semiHidden/>
    <w:rsid w:val="00886127"/>
    <w:rPr>
      <w:rFonts w:asciiTheme="majorHAnsi" w:eastAsiaTheme="majorEastAsia" w:hAnsiTheme="majorHAnsi" w:cstheme="majorBidi"/>
      <w:color w:val="365F91" w:themeColor="accent1" w:themeShade="BF"/>
      <w:lang w:val="es-ES"/>
    </w:rPr>
  </w:style>
  <w:style w:type="paragraph" w:styleId="NormalWeb">
    <w:name w:val="Normal (Web)"/>
    <w:basedOn w:val="Normal"/>
    <w:uiPriority w:val="99"/>
    <w:unhideWhenUsed/>
    <w:rsid w:val="00886127"/>
    <w:pPr>
      <w:spacing w:before="100" w:beforeAutospacing="1" w:after="100" w:afterAutospacing="1"/>
    </w:pPr>
    <w:rPr>
      <w:lang w:val="es-MX"/>
    </w:rPr>
  </w:style>
  <w:style w:type="character" w:styleId="Hipervnculovisitado">
    <w:name w:val="FollowedHyperlink"/>
    <w:basedOn w:val="Fuentedeprrafopredeter"/>
    <w:uiPriority w:val="99"/>
    <w:semiHidden/>
    <w:unhideWhenUsed/>
    <w:rsid w:val="00461E8E"/>
    <w:rPr>
      <w:color w:val="800080" w:themeColor="followedHyperlink"/>
      <w:u w:val="single"/>
    </w:rPr>
  </w:style>
  <w:style w:type="character" w:customStyle="1" w:styleId="titulorubrolgt">
    <w:name w:val="titulorubrolgt"/>
    <w:basedOn w:val="Fuentedeprrafopredeter"/>
    <w:rsid w:val="00143FAC"/>
  </w:style>
  <w:style w:type="character" w:customStyle="1" w:styleId="ctr">
    <w:name w:val="ctr"/>
    <w:basedOn w:val="Fuentedeprrafopredeter"/>
    <w:rsid w:val="00143FAC"/>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61716.page" TargetMode="External"/><Relationship Id="rId18" Type="http://schemas.openxmlformats.org/officeDocument/2006/relationships/hyperlink" Target="https://www.saimex.org.mx/saimex/solicitud/downloadAttach/1161746.page" TargetMode="External"/><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1161715.page" TargetMode="External"/><Relationship Id="rId17" Type="http://schemas.openxmlformats.org/officeDocument/2006/relationships/hyperlink" Target="https://www.saimex.org.mx/saimex/solicitud/downloadAttach/1161720.page"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161719.page"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61714.page"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161718.pag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hyperlink" Target="https://www.saimex.org.mx/saimex/solicitud/downloadAttach/1161713.page" TargetMode="External"/><Relationship Id="rId19" Type="http://schemas.openxmlformats.org/officeDocument/2006/relationships/image" Target="media/image1.png"/><Relationship Id="rId31" Type="http://schemas.openxmlformats.org/officeDocument/2006/relationships/hyperlink" Target="https://portal.secogem.gob.mx/sam" TargetMode="External"/><Relationship Id="rId4" Type="http://schemas.openxmlformats.org/officeDocument/2006/relationships/settings" Target="settings.xml"/><Relationship Id="rId9" Type="http://schemas.openxmlformats.org/officeDocument/2006/relationships/hyperlink" Target="https://www.saimex.org.mx/saimex/solicitud/downloadAttach/1161712.page" TargetMode="External"/><Relationship Id="rId14" Type="http://schemas.openxmlformats.org/officeDocument/2006/relationships/hyperlink" Target="https://www.saimex.org.mx/saimex/solicitud/downloadAttach/1161717.pag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hyperlink" Target="https://www.saimex.org.mx/saimex/solicitud/downloadAttach/1161711.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95mpyW17A1rdXsY5iWCVKNOSog==">AMUW2mU8dyOzXyZ36ajZxqdkGucxWYcd9Yhpw/H59AiMlO5FfVt8qPAlgvLfSCgpCs7oQc8xbvN0xQW4wyleSt6Qnlrj0+8IEwjVW1sgY7Y4LfgO226Tij6HZsCW+bTAu0QXT+MhTe6Y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16025</Words>
  <Characters>80770</Characters>
  <Application>Microsoft Office Word</Application>
  <DocSecurity>0</DocSecurity>
  <Lines>3671</Lines>
  <Paragraphs>430</Paragraphs>
  <ScaleCrop>false</ScaleCrop>
  <Company/>
  <LinksUpToDate>false</LinksUpToDate>
  <CharactersWithSpaces>96365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2021-11-08T17:42:00Z</dcterms:created>
  <dcterms:modified xsi:type="dcterms:W3CDTF">2021-12-09T23:24:00Z</dcterms:modified>
</cp:coreProperties>
</file>