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587BED1" w:rsidR="00476727" w:rsidRPr="00221F76" w:rsidRDefault="00476727" w:rsidP="00EE43FE">
      <w:pPr>
        <w:spacing w:before="240" w:after="240" w:line="360" w:lineRule="auto"/>
        <w:jc w:val="both"/>
        <w:rPr>
          <w:rFonts w:ascii="Palatino Linotype" w:hAnsi="Palatino Linotype" w:cs="Arial"/>
        </w:rPr>
      </w:pPr>
      <w:r w:rsidRPr="00221F76">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21F76">
        <w:rPr>
          <w:rFonts w:ascii="Palatino Linotype" w:hAnsi="Palatino Linotype" w:cs="Arial"/>
        </w:rPr>
        <w:t xml:space="preserve">o </w:t>
      </w:r>
      <w:r w:rsidR="005A7C28" w:rsidRPr="00221F76">
        <w:rPr>
          <w:rFonts w:ascii="Palatino Linotype" w:hAnsi="Palatino Linotype" w:cs="Arial"/>
        </w:rPr>
        <w:t xml:space="preserve">en Metepec, Estado de México, a </w:t>
      </w:r>
      <w:r w:rsidR="00C45559" w:rsidRPr="00221F76">
        <w:rPr>
          <w:rFonts w:ascii="Palatino Linotype" w:hAnsi="Palatino Linotype" w:cs="Arial"/>
        </w:rPr>
        <w:t>quince</w:t>
      </w:r>
      <w:r w:rsidR="0007536C" w:rsidRPr="00221F76">
        <w:rPr>
          <w:rFonts w:ascii="Palatino Linotype" w:hAnsi="Palatino Linotype" w:cs="Arial"/>
        </w:rPr>
        <w:t xml:space="preserve"> de septiembre de dos mil veintiuno</w:t>
      </w:r>
      <w:r w:rsidRPr="00221F76">
        <w:rPr>
          <w:rFonts w:ascii="Palatino Linotype" w:hAnsi="Palatino Linotype" w:cs="Arial"/>
        </w:rPr>
        <w:t xml:space="preserve">. </w:t>
      </w:r>
    </w:p>
    <w:p w14:paraId="76EF8020" w14:textId="16940B75" w:rsidR="00D06012" w:rsidRPr="00221F76" w:rsidRDefault="00D06012" w:rsidP="00EE43FE">
      <w:pPr>
        <w:spacing w:before="240" w:after="240" w:line="360" w:lineRule="auto"/>
        <w:jc w:val="both"/>
        <w:rPr>
          <w:rFonts w:ascii="Palatino Linotype" w:hAnsi="Palatino Linotype" w:cs="Arial"/>
        </w:rPr>
      </w:pPr>
      <w:r w:rsidRPr="00221F76">
        <w:rPr>
          <w:rFonts w:ascii="Palatino Linotype" w:hAnsi="Palatino Linotype" w:cs="Arial"/>
          <w:b/>
        </w:rPr>
        <w:t>VISTO</w:t>
      </w:r>
      <w:r w:rsidR="009A618A" w:rsidRPr="00221F76">
        <w:rPr>
          <w:rFonts w:ascii="Palatino Linotype" w:hAnsi="Palatino Linotype" w:cs="Arial"/>
        </w:rPr>
        <w:t xml:space="preserve"> el </w:t>
      </w:r>
      <w:r w:rsidRPr="00221F76">
        <w:rPr>
          <w:rFonts w:ascii="Palatino Linotype" w:hAnsi="Palatino Linotype" w:cs="Arial"/>
        </w:rPr>
        <w:t>expediente formado con motivo del</w:t>
      </w:r>
      <w:r w:rsidR="009A618A" w:rsidRPr="00221F76">
        <w:rPr>
          <w:rFonts w:ascii="Palatino Linotype" w:hAnsi="Palatino Linotype" w:cs="Arial"/>
        </w:rPr>
        <w:t xml:space="preserve"> </w:t>
      </w:r>
      <w:r w:rsidRPr="00221F76">
        <w:rPr>
          <w:rFonts w:ascii="Palatino Linotype" w:hAnsi="Palatino Linotype" w:cs="Arial"/>
        </w:rPr>
        <w:t xml:space="preserve">recurso de revisión </w:t>
      </w:r>
      <w:r w:rsidR="0060496C" w:rsidRPr="00221F76">
        <w:rPr>
          <w:rFonts w:ascii="Palatino Linotype" w:hAnsi="Palatino Linotype" w:cs="Arial"/>
          <w:b/>
        </w:rPr>
        <w:t>0</w:t>
      </w:r>
      <w:r w:rsidR="003637E8" w:rsidRPr="00221F76">
        <w:rPr>
          <w:rFonts w:ascii="Palatino Linotype" w:hAnsi="Palatino Linotype" w:cs="Arial"/>
          <w:b/>
        </w:rPr>
        <w:t>38</w:t>
      </w:r>
      <w:r w:rsidR="00715935" w:rsidRPr="00221F76">
        <w:rPr>
          <w:rFonts w:ascii="Palatino Linotype" w:hAnsi="Palatino Linotype" w:cs="Arial"/>
          <w:b/>
        </w:rPr>
        <w:t>84</w:t>
      </w:r>
      <w:r w:rsidR="00AA36EE" w:rsidRPr="00221F76">
        <w:rPr>
          <w:rFonts w:ascii="Palatino Linotype" w:hAnsi="Palatino Linotype" w:cs="Arial"/>
          <w:b/>
        </w:rPr>
        <w:t>/</w:t>
      </w:r>
      <w:r w:rsidR="00972709" w:rsidRPr="00221F76">
        <w:rPr>
          <w:rFonts w:ascii="Palatino Linotype" w:hAnsi="Palatino Linotype" w:cs="Arial"/>
          <w:b/>
        </w:rPr>
        <w:t>INFOEM/IP/RR/202</w:t>
      </w:r>
      <w:r w:rsidR="006220B0" w:rsidRPr="00221F76">
        <w:rPr>
          <w:rFonts w:ascii="Palatino Linotype" w:hAnsi="Palatino Linotype" w:cs="Arial"/>
          <w:b/>
        </w:rPr>
        <w:t>1</w:t>
      </w:r>
      <w:r w:rsidR="00643CCD" w:rsidRPr="00221F76">
        <w:rPr>
          <w:rFonts w:ascii="Palatino Linotype" w:hAnsi="Palatino Linotype" w:cs="Arial"/>
        </w:rPr>
        <w:t xml:space="preserve">, </w:t>
      </w:r>
      <w:r w:rsidR="007C1B36" w:rsidRPr="00221F76">
        <w:rPr>
          <w:rFonts w:ascii="Palatino Linotype" w:hAnsi="Palatino Linotype" w:cs="Arial"/>
        </w:rPr>
        <w:t>interpuesto</w:t>
      </w:r>
      <w:r w:rsidR="00000739" w:rsidRPr="00221F76">
        <w:rPr>
          <w:rFonts w:ascii="Palatino Linotype" w:hAnsi="Palatino Linotype" w:cs="Arial"/>
        </w:rPr>
        <w:t xml:space="preserve"> por</w:t>
      </w:r>
      <w:r w:rsidR="00715935" w:rsidRPr="00221F76">
        <w:rPr>
          <w:rFonts w:ascii="Palatino Linotype" w:hAnsi="Palatino Linotype" w:cs="Arial"/>
          <w:b/>
          <w:bCs/>
        </w:rPr>
        <w:t xml:space="preserve"> </w:t>
      </w:r>
      <w:r w:rsidR="00221F76" w:rsidRPr="00221F76">
        <w:rPr>
          <w:rFonts w:ascii="Palatino Linotype" w:hAnsi="Palatino Linotype" w:cs="Arial"/>
          <w:b/>
          <w:bCs/>
        </w:rPr>
        <w:t>Xxxxxx Xxxxxx Xxxxxxx</w:t>
      </w:r>
      <w:r w:rsidR="009F23A2" w:rsidRPr="00221F76">
        <w:rPr>
          <w:rFonts w:ascii="Palatino Linotype" w:hAnsi="Palatino Linotype" w:cs="Arial"/>
          <w:b/>
        </w:rPr>
        <w:t xml:space="preserve">, </w:t>
      </w:r>
      <w:r w:rsidRPr="00221F76">
        <w:rPr>
          <w:rFonts w:ascii="Palatino Linotype" w:hAnsi="Palatino Linotype" w:cs="Arial"/>
        </w:rPr>
        <w:t>en lo sucesivo</w:t>
      </w:r>
      <w:r w:rsidR="00643CCD" w:rsidRPr="00221F76">
        <w:rPr>
          <w:rFonts w:ascii="Palatino Linotype" w:hAnsi="Palatino Linotype" w:cs="Arial"/>
          <w:b/>
        </w:rPr>
        <w:t xml:space="preserve"> </w:t>
      </w:r>
      <w:r w:rsidR="001E49CD" w:rsidRPr="00221F76">
        <w:rPr>
          <w:rFonts w:ascii="Palatino Linotype" w:hAnsi="Palatino Linotype" w:cs="Arial"/>
        </w:rPr>
        <w:t>la</w:t>
      </w:r>
      <w:r w:rsidR="00B05E70" w:rsidRPr="00221F76">
        <w:rPr>
          <w:rFonts w:ascii="Palatino Linotype" w:hAnsi="Palatino Linotype" w:cs="Arial"/>
        </w:rPr>
        <w:t xml:space="preserve"> </w:t>
      </w:r>
      <w:r w:rsidR="001E49CD" w:rsidRPr="00221F76">
        <w:rPr>
          <w:rFonts w:ascii="Palatino Linotype" w:hAnsi="Palatino Linotype" w:cs="Arial"/>
        </w:rPr>
        <w:t xml:space="preserve">parte </w:t>
      </w:r>
      <w:r w:rsidR="006220B0" w:rsidRPr="00221F76">
        <w:rPr>
          <w:rFonts w:ascii="Palatino Linotype" w:hAnsi="Palatino Linotype" w:cs="Arial"/>
          <w:b/>
        </w:rPr>
        <w:t>R</w:t>
      </w:r>
      <w:r w:rsidR="001E49CD" w:rsidRPr="00221F76">
        <w:rPr>
          <w:rFonts w:ascii="Palatino Linotype" w:hAnsi="Palatino Linotype" w:cs="Arial"/>
          <w:b/>
        </w:rPr>
        <w:t>ecurrente</w:t>
      </w:r>
      <w:r w:rsidRPr="00221F76">
        <w:rPr>
          <w:rFonts w:ascii="Palatino Linotype" w:hAnsi="Palatino Linotype" w:cs="Arial"/>
          <w:b/>
        </w:rPr>
        <w:t>,</w:t>
      </w:r>
      <w:r w:rsidRPr="00221F76">
        <w:rPr>
          <w:rFonts w:ascii="Palatino Linotype" w:hAnsi="Palatino Linotype" w:cs="Arial"/>
        </w:rPr>
        <w:t xml:space="preserve"> en contra de</w:t>
      </w:r>
      <w:r w:rsidR="00ED5A73" w:rsidRPr="00221F76">
        <w:rPr>
          <w:rFonts w:ascii="Palatino Linotype" w:hAnsi="Palatino Linotype" w:cs="Arial"/>
        </w:rPr>
        <w:t xml:space="preserve"> la</w:t>
      </w:r>
      <w:r w:rsidRPr="00221F76">
        <w:rPr>
          <w:rFonts w:ascii="Palatino Linotype" w:hAnsi="Palatino Linotype" w:cs="Arial"/>
        </w:rPr>
        <w:t xml:space="preserve"> respuesta</w:t>
      </w:r>
      <w:r w:rsidR="009A1B0C" w:rsidRPr="00221F76">
        <w:rPr>
          <w:rFonts w:ascii="Palatino Linotype" w:hAnsi="Palatino Linotype" w:cs="Arial"/>
        </w:rPr>
        <w:t xml:space="preserve"> a su solicitud</w:t>
      </w:r>
      <w:r w:rsidRPr="00221F76">
        <w:rPr>
          <w:rFonts w:ascii="Palatino Linotype" w:hAnsi="Palatino Linotype" w:cs="Arial"/>
        </w:rPr>
        <w:t xml:space="preserve"> por</w:t>
      </w:r>
      <w:r w:rsidR="009A5033" w:rsidRPr="00221F76">
        <w:rPr>
          <w:rFonts w:ascii="Palatino Linotype" w:hAnsi="Palatino Linotype" w:cs="Arial"/>
        </w:rPr>
        <w:t xml:space="preserve"> parte de</w:t>
      </w:r>
      <w:r w:rsidR="00AA36EE" w:rsidRPr="00221F76">
        <w:rPr>
          <w:rFonts w:ascii="Palatino Linotype" w:hAnsi="Palatino Linotype" w:cs="Arial"/>
        </w:rPr>
        <w:t xml:space="preserve">l </w:t>
      </w:r>
      <w:r w:rsidR="000A7446" w:rsidRPr="00221F76">
        <w:rPr>
          <w:rFonts w:ascii="Palatino Linotype" w:hAnsi="Palatino Linotype" w:cs="Arial"/>
          <w:b/>
          <w:bCs/>
        </w:rPr>
        <w:t xml:space="preserve">Ayuntamiento de </w:t>
      </w:r>
      <w:r w:rsidR="00715935" w:rsidRPr="00221F76">
        <w:rPr>
          <w:rFonts w:ascii="Palatino Linotype" w:hAnsi="Palatino Linotype" w:cs="Arial"/>
          <w:b/>
          <w:bCs/>
        </w:rPr>
        <w:t>Zumpango</w:t>
      </w:r>
      <w:r w:rsidR="00AA36EE" w:rsidRPr="00221F76">
        <w:rPr>
          <w:rFonts w:ascii="Palatino Linotype" w:hAnsi="Palatino Linotype" w:cs="Arial"/>
          <w:b/>
          <w:bCs/>
        </w:rPr>
        <w:t xml:space="preserve">, </w:t>
      </w:r>
      <w:r w:rsidRPr="00221F76">
        <w:rPr>
          <w:rFonts w:ascii="Palatino Linotype" w:hAnsi="Palatino Linotype" w:cs="Arial"/>
        </w:rPr>
        <w:t xml:space="preserve">en lo sucesivo </w:t>
      </w:r>
      <w:r w:rsidR="007A1102" w:rsidRPr="00221F76">
        <w:rPr>
          <w:rFonts w:ascii="Palatino Linotype" w:hAnsi="Palatino Linotype" w:cs="Arial"/>
        </w:rPr>
        <w:t xml:space="preserve">el </w:t>
      </w:r>
      <w:r w:rsidR="006220B0" w:rsidRPr="00221F76">
        <w:rPr>
          <w:rFonts w:ascii="Palatino Linotype" w:hAnsi="Palatino Linotype" w:cs="Arial"/>
          <w:b/>
        </w:rPr>
        <w:t>S</w:t>
      </w:r>
      <w:r w:rsidR="003349F4" w:rsidRPr="00221F76">
        <w:rPr>
          <w:rFonts w:ascii="Palatino Linotype" w:hAnsi="Palatino Linotype" w:cs="Arial"/>
          <w:b/>
        </w:rPr>
        <w:t xml:space="preserve">ujeto </w:t>
      </w:r>
      <w:r w:rsidR="006220B0" w:rsidRPr="00221F76">
        <w:rPr>
          <w:rFonts w:ascii="Palatino Linotype" w:hAnsi="Palatino Linotype" w:cs="Arial"/>
          <w:b/>
        </w:rPr>
        <w:t>O</w:t>
      </w:r>
      <w:r w:rsidR="003349F4" w:rsidRPr="00221F76">
        <w:rPr>
          <w:rFonts w:ascii="Palatino Linotype" w:hAnsi="Palatino Linotype" w:cs="Arial"/>
          <w:b/>
        </w:rPr>
        <w:t>bligado</w:t>
      </w:r>
      <w:r w:rsidRPr="00221F76">
        <w:rPr>
          <w:rFonts w:ascii="Palatino Linotype" w:hAnsi="Palatino Linotype" w:cs="Arial"/>
          <w:b/>
        </w:rPr>
        <w:t xml:space="preserve">, </w:t>
      </w:r>
      <w:r w:rsidRPr="00221F76">
        <w:rPr>
          <w:rFonts w:ascii="Palatino Linotype" w:hAnsi="Palatino Linotype" w:cs="Arial"/>
        </w:rPr>
        <w:t>se</w:t>
      </w:r>
      <w:r w:rsidR="00E9691F" w:rsidRPr="00221F76">
        <w:rPr>
          <w:rFonts w:ascii="Palatino Linotype" w:hAnsi="Palatino Linotype" w:cs="Arial"/>
        </w:rPr>
        <w:t xml:space="preserve"> </w:t>
      </w:r>
      <w:r w:rsidRPr="00221F76">
        <w:rPr>
          <w:rFonts w:ascii="Palatino Linotype" w:hAnsi="Palatino Linotype" w:cs="Arial"/>
        </w:rPr>
        <w:t>procede a dictar la presente resolución con base en lo</w:t>
      </w:r>
      <w:r w:rsidR="00B21DCC" w:rsidRPr="00221F76">
        <w:rPr>
          <w:rFonts w:ascii="Palatino Linotype" w:hAnsi="Palatino Linotype" w:cs="Arial"/>
        </w:rPr>
        <w:t>s</w:t>
      </w:r>
      <w:r w:rsidRPr="00221F76">
        <w:rPr>
          <w:rFonts w:ascii="Palatino Linotype" w:hAnsi="Palatino Linotype" w:cs="Arial"/>
        </w:rPr>
        <w:t xml:space="preserve"> siguiente</w:t>
      </w:r>
      <w:r w:rsidR="00B21DCC" w:rsidRPr="00221F76">
        <w:rPr>
          <w:rFonts w:ascii="Palatino Linotype" w:hAnsi="Palatino Linotype" w:cs="Arial"/>
        </w:rPr>
        <w:t>s</w:t>
      </w:r>
      <w:r w:rsidRPr="00221F76">
        <w:rPr>
          <w:rFonts w:ascii="Palatino Linotype" w:hAnsi="Palatino Linotype" w:cs="Arial"/>
        </w:rPr>
        <w:t xml:space="preserve">: </w:t>
      </w:r>
    </w:p>
    <w:p w14:paraId="5D1348C1" w14:textId="77777777" w:rsidR="00BD58D9" w:rsidRPr="00221F76" w:rsidRDefault="002B5536" w:rsidP="00EE43FE">
      <w:pPr>
        <w:spacing w:before="240" w:after="240" w:line="360" w:lineRule="auto"/>
        <w:jc w:val="center"/>
        <w:rPr>
          <w:rFonts w:ascii="Palatino Linotype" w:hAnsi="Palatino Linotype" w:cs="Arial"/>
          <w:b/>
          <w:sz w:val="28"/>
          <w:szCs w:val="28"/>
        </w:rPr>
      </w:pPr>
      <w:r w:rsidRPr="00221F76">
        <w:rPr>
          <w:rFonts w:ascii="Palatino Linotype" w:hAnsi="Palatino Linotype"/>
          <w:b/>
        </w:rPr>
        <w:t xml:space="preserve">I. </w:t>
      </w:r>
      <w:r w:rsidR="00BD58D9" w:rsidRPr="00221F76">
        <w:rPr>
          <w:rFonts w:ascii="Palatino Linotype" w:hAnsi="Palatino Linotype"/>
          <w:b/>
        </w:rPr>
        <w:t>A N T E C E D E N T E S</w:t>
      </w:r>
    </w:p>
    <w:p w14:paraId="47DAFB24" w14:textId="0E729B90" w:rsidR="00D06012" w:rsidRPr="00221F76" w:rsidRDefault="009F7616" w:rsidP="00EE43FE">
      <w:pPr>
        <w:spacing w:before="240" w:after="240" w:line="360" w:lineRule="auto"/>
        <w:jc w:val="both"/>
        <w:rPr>
          <w:rFonts w:ascii="Palatino Linotype" w:hAnsi="Palatino Linotype" w:cs="Arial"/>
        </w:rPr>
      </w:pPr>
      <w:r w:rsidRPr="00221F76">
        <w:rPr>
          <w:rFonts w:ascii="Palatino Linotype" w:hAnsi="Palatino Linotype" w:cs="Arial"/>
          <w:b/>
        </w:rPr>
        <w:t>1. Solicitud de acceso a la información.</w:t>
      </w:r>
      <w:r w:rsidRPr="00221F76">
        <w:rPr>
          <w:rFonts w:ascii="Palatino Linotype" w:hAnsi="Palatino Linotype" w:cs="Arial"/>
        </w:rPr>
        <w:t xml:space="preserve"> </w:t>
      </w:r>
      <w:r w:rsidR="00A46661" w:rsidRPr="00221F76">
        <w:rPr>
          <w:rFonts w:ascii="Palatino Linotype" w:hAnsi="Palatino Linotype" w:cs="Arial"/>
        </w:rPr>
        <w:t>Con</w:t>
      </w:r>
      <w:r w:rsidR="00B21DCC" w:rsidRPr="00221F76">
        <w:rPr>
          <w:rFonts w:ascii="Palatino Linotype" w:hAnsi="Palatino Linotype" w:cs="Arial"/>
        </w:rPr>
        <w:t xml:space="preserve"> fecha</w:t>
      </w:r>
      <w:r w:rsidR="00DB6AEF" w:rsidRPr="00221F76">
        <w:rPr>
          <w:rFonts w:ascii="Palatino Linotype" w:hAnsi="Palatino Linotype" w:cs="Arial"/>
        </w:rPr>
        <w:t xml:space="preserve"> </w:t>
      </w:r>
      <w:r w:rsidR="00715935" w:rsidRPr="00221F76">
        <w:rPr>
          <w:rFonts w:ascii="Palatino Linotype" w:hAnsi="Palatino Linotype" w:cs="Arial"/>
          <w:b/>
        </w:rPr>
        <w:t>quince de junio</w:t>
      </w:r>
      <w:r w:rsidR="003637E8" w:rsidRPr="00221F76">
        <w:rPr>
          <w:rFonts w:ascii="Palatino Linotype" w:hAnsi="Palatino Linotype" w:cs="Arial"/>
          <w:b/>
        </w:rPr>
        <w:t xml:space="preserve"> </w:t>
      </w:r>
      <w:r w:rsidR="00CD7CE4" w:rsidRPr="00221F76">
        <w:rPr>
          <w:rFonts w:ascii="Palatino Linotype" w:hAnsi="Palatino Linotype" w:cs="Arial"/>
          <w:b/>
        </w:rPr>
        <w:t xml:space="preserve">de dos mil </w:t>
      </w:r>
      <w:r w:rsidR="00A407F7" w:rsidRPr="00221F76">
        <w:rPr>
          <w:rFonts w:ascii="Palatino Linotype" w:hAnsi="Palatino Linotype" w:cs="Arial"/>
          <w:b/>
        </w:rPr>
        <w:t>ve</w:t>
      </w:r>
      <w:r w:rsidR="0008014C" w:rsidRPr="00221F76">
        <w:rPr>
          <w:rFonts w:ascii="Palatino Linotype" w:hAnsi="Palatino Linotype" w:cs="Arial"/>
          <w:b/>
        </w:rPr>
        <w:t>in</w:t>
      </w:r>
      <w:r w:rsidR="006220B0" w:rsidRPr="00221F76">
        <w:rPr>
          <w:rFonts w:ascii="Palatino Linotype" w:hAnsi="Palatino Linotype" w:cs="Arial"/>
          <w:b/>
        </w:rPr>
        <w:t>tiuno</w:t>
      </w:r>
      <w:r w:rsidR="00D06012" w:rsidRPr="00221F76">
        <w:rPr>
          <w:rFonts w:ascii="Palatino Linotype" w:hAnsi="Palatino Linotype" w:cs="Arial"/>
          <w:b/>
        </w:rPr>
        <w:t>,</w:t>
      </w:r>
      <w:r w:rsidR="00D06012" w:rsidRPr="00221F76">
        <w:rPr>
          <w:rFonts w:ascii="Palatino Linotype" w:hAnsi="Palatino Linotype" w:cs="Arial"/>
        </w:rPr>
        <w:t xml:space="preserve"> </w:t>
      </w:r>
      <w:r w:rsidR="003349F4" w:rsidRPr="00221F76">
        <w:rPr>
          <w:rFonts w:ascii="Palatino Linotype" w:hAnsi="Palatino Linotype" w:cs="Arial"/>
        </w:rPr>
        <w:t>la parte</w:t>
      </w:r>
      <w:r w:rsidR="00B05E70" w:rsidRPr="00221F76">
        <w:rPr>
          <w:rFonts w:ascii="Palatino Linotype" w:hAnsi="Palatino Linotype" w:cs="Arial"/>
        </w:rPr>
        <w:t xml:space="preserve"> </w:t>
      </w:r>
      <w:r w:rsidR="003349F4" w:rsidRPr="00221F76">
        <w:rPr>
          <w:rFonts w:ascii="Palatino Linotype" w:hAnsi="Palatino Linotype" w:cs="Arial"/>
          <w:b/>
        </w:rPr>
        <w:t>r</w:t>
      </w:r>
      <w:r w:rsidR="002C203A" w:rsidRPr="00221F76">
        <w:rPr>
          <w:rFonts w:ascii="Palatino Linotype" w:hAnsi="Palatino Linotype" w:cs="Arial"/>
          <w:b/>
        </w:rPr>
        <w:t>ecurrente</w:t>
      </w:r>
      <w:r w:rsidR="00000739" w:rsidRPr="00221F76">
        <w:rPr>
          <w:rFonts w:ascii="Palatino Linotype" w:hAnsi="Palatino Linotype" w:cs="Arial"/>
          <w:b/>
        </w:rPr>
        <w:t xml:space="preserve"> </w:t>
      </w:r>
      <w:r w:rsidR="00D06012" w:rsidRPr="00221F76">
        <w:rPr>
          <w:rFonts w:ascii="Palatino Linotype" w:hAnsi="Palatino Linotype" w:cs="Arial"/>
        </w:rPr>
        <w:t>presentó</w:t>
      </w:r>
      <w:r w:rsidR="006220B0" w:rsidRPr="00221F76">
        <w:rPr>
          <w:rFonts w:ascii="Palatino Linotype" w:hAnsi="Palatino Linotype" w:cs="Arial"/>
        </w:rPr>
        <w:t>,</w:t>
      </w:r>
      <w:r w:rsidR="00D06012" w:rsidRPr="00221F76">
        <w:rPr>
          <w:rFonts w:ascii="Palatino Linotype" w:hAnsi="Palatino Linotype" w:cs="Arial"/>
        </w:rPr>
        <w:t xml:space="preserve"> </w:t>
      </w:r>
      <w:r w:rsidR="006220B0" w:rsidRPr="00221F76">
        <w:rPr>
          <w:rFonts w:ascii="Palatino Linotype" w:hAnsi="Palatino Linotype" w:cs="Arial"/>
        </w:rPr>
        <w:t xml:space="preserve">través del Sistema de Acceso a la Información Mexiquense, en lo subsecuente el </w:t>
      </w:r>
      <w:r w:rsidR="006220B0" w:rsidRPr="00221F76">
        <w:rPr>
          <w:rFonts w:ascii="Palatino Linotype" w:hAnsi="Palatino Linotype" w:cs="Arial"/>
          <w:b/>
        </w:rPr>
        <w:t xml:space="preserve">SAIMEX, </w:t>
      </w:r>
      <w:r w:rsidR="00D06012" w:rsidRPr="00221F76">
        <w:rPr>
          <w:rFonts w:ascii="Palatino Linotype" w:hAnsi="Palatino Linotype" w:cs="Arial"/>
        </w:rPr>
        <w:t xml:space="preserve">ante </w:t>
      </w:r>
      <w:r w:rsidR="007A1102" w:rsidRPr="00221F76">
        <w:rPr>
          <w:rFonts w:ascii="Palatino Linotype" w:hAnsi="Palatino Linotype" w:cs="Arial"/>
        </w:rPr>
        <w:t xml:space="preserve">el </w:t>
      </w:r>
      <w:r w:rsidR="006220B0" w:rsidRPr="00221F76">
        <w:rPr>
          <w:rFonts w:ascii="Palatino Linotype" w:hAnsi="Palatino Linotype" w:cs="Arial"/>
          <w:b/>
          <w:bCs/>
        </w:rPr>
        <w:t>S</w:t>
      </w:r>
      <w:r w:rsidR="003349F4" w:rsidRPr="00221F76">
        <w:rPr>
          <w:rFonts w:ascii="Palatino Linotype" w:hAnsi="Palatino Linotype" w:cs="Arial"/>
          <w:b/>
        </w:rPr>
        <w:t xml:space="preserve">ujeto </w:t>
      </w:r>
      <w:r w:rsidR="006220B0" w:rsidRPr="00221F76">
        <w:rPr>
          <w:rFonts w:ascii="Palatino Linotype" w:hAnsi="Palatino Linotype" w:cs="Arial"/>
          <w:b/>
        </w:rPr>
        <w:t>O</w:t>
      </w:r>
      <w:r w:rsidR="002C203A" w:rsidRPr="00221F76">
        <w:rPr>
          <w:rFonts w:ascii="Palatino Linotype" w:hAnsi="Palatino Linotype" w:cs="Arial"/>
          <w:b/>
        </w:rPr>
        <w:t>bligado</w:t>
      </w:r>
      <w:r w:rsidR="00D06012" w:rsidRPr="00221F76">
        <w:rPr>
          <w:rFonts w:ascii="Palatino Linotype" w:hAnsi="Palatino Linotype" w:cs="Arial"/>
        </w:rPr>
        <w:t>, la solicitud de acceso a la información pública, a la que se le asign</w:t>
      </w:r>
      <w:r w:rsidR="00E07049" w:rsidRPr="00221F76">
        <w:rPr>
          <w:rFonts w:ascii="Palatino Linotype" w:hAnsi="Palatino Linotype" w:cs="Arial"/>
        </w:rPr>
        <w:t xml:space="preserve">ó el </w:t>
      </w:r>
      <w:r w:rsidR="00E41D21" w:rsidRPr="00221F76">
        <w:rPr>
          <w:rFonts w:ascii="Palatino Linotype" w:hAnsi="Palatino Linotype" w:cs="Arial"/>
        </w:rPr>
        <w:t xml:space="preserve">número </w:t>
      </w:r>
      <w:r w:rsidR="00715935" w:rsidRPr="00221F76">
        <w:rPr>
          <w:rFonts w:ascii="Palatino Linotype" w:hAnsi="Palatino Linotype" w:cs="Arial"/>
          <w:b/>
        </w:rPr>
        <w:t>00248/ZUMPANGO/IP/2021</w:t>
      </w:r>
      <w:r w:rsidR="00E07049" w:rsidRPr="00221F76">
        <w:rPr>
          <w:rFonts w:ascii="Palatino Linotype" w:hAnsi="Palatino Linotype" w:cs="Arial"/>
          <w:b/>
        </w:rPr>
        <w:t xml:space="preserve">, </w:t>
      </w:r>
      <w:r w:rsidR="00D06012" w:rsidRPr="00221F76">
        <w:rPr>
          <w:rFonts w:ascii="Palatino Linotype" w:hAnsi="Palatino Linotype" w:cs="Arial"/>
        </w:rPr>
        <w:t xml:space="preserve">mediante la cual </w:t>
      </w:r>
      <w:r w:rsidR="00F077F3" w:rsidRPr="00221F76">
        <w:rPr>
          <w:rFonts w:ascii="Palatino Linotype" w:hAnsi="Palatino Linotype" w:cs="Arial"/>
        </w:rPr>
        <w:t>requirió</w:t>
      </w:r>
      <w:r w:rsidR="00E07049" w:rsidRPr="00221F76">
        <w:rPr>
          <w:rFonts w:ascii="Palatino Linotype" w:hAnsi="Palatino Linotype" w:cs="Arial"/>
        </w:rPr>
        <w:t xml:space="preserve"> </w:t>
      </w:r>
      <w:r w:rsidR="00EA1279" w:rsidRPr="00221F76">
        <w:rPr>
          <w:rFonts w:ascii="Palatino Linotype" w:hAnsi="Palatino Linotype" w:cs="Arial"/>
        </w:rPr>
        <w:t xml:space="preserve">la información </w:t>
      </w:r>
      <w:r w:rsidR="00D06012" w:rsidRPr="00221F76">
        <w:rPr>
          <w:rFonts w:ascii="Palatino Linotype" w:hAnsi="Palatino Linotype" w:cs="Arial"/>
        </w:rPr>
        <w:t xml:space="preserve">siguiente: </w:t>
      </w:r>
    </w:p>
    <w:p w14:paraId="36E1648D" w14:textId="774FBEC4" w:rsidR="007B679F" w:rsidRPr="00221F76" w:rsidRDefault="00354DB7" w:rsidP="00747F95">
      <w:pPr>
        <w:ind w:left="851" w:right="902"/>
        <w:jc w:val="both"/>
        <w:rPr>
          <w:rFonts w:ascii="Palatino Linotype" w:hAnsi="Palatino Linotype" w:cs="Arial"/>
          <w:b/>
          <w:i/>
          <w:sz w:val="22"/>
          <w:szCs w:val="22"/>
        </w:rPr>
      </w:pPr>
      <w:bookmarkStart w:id="0" w:name="_Hlk79227503"/>
      <w:r w:rsidRPr="00221F76">
        <w:rPr>
          <w:rFonts w:ascii="Palatino Linotype" w:hAnsi="Palatino Linotype" w:cs="Arial"/>
          <w:i/>
          <w:sz w:val="22"/>
          <w:szCs w:val="22"/>
          <w:lang w:eastAsia="es-MX"/>
        </w:rPr>
        <w:t>“</w:t>
      </w:r>
      <w:r w:rsidR="00715935" w:rsidRPr="00221F76">
        <w:rPr>
          <w:rFonts w:ascii="Palatino Linotype" w:hAnsi="Palatino Linotype"/>
          <w:bCs/>
          <w:i/>
          <w:sz w:val="22"/>
          <w:szCs w:val="22"/>
        </w:rPr>
        <w:t>Solicito los recibos de nomina de todo el personal de enero a la primera quincena de junio de 2021</w:t>
      </w:r>
      <w:r w:rsidR="003637E8" w:rsidRPr="00221F76">
        <w:rPr>
          <w:rFonts w:ascii="Palatino Linotype" w:hAnsi="Palatino Linotype"/>
          <w:bCs/>
          <w:i/>
          <w:sz w:val="22"/>
          <w:szCs w:val="22"/>
        </w:rPr>
        <w:t>.</w:t>
      </w:r>
      <w:r w:rsidR="007B679F" w:rsidRPr="00221F76">
        <w:rPr>
          <w:rFonts w:ascii="Palatino Linotype" w:hAnsi="Palatino Linotype" w:cs="Arial"/>
          <w:i/>
          <w:sz w:val="22"/>
          <w:szCs w:val="22"/>
          <w:lang w:eastAsia="es-MX"/>
        </w:rPr>
        <w:t>” (sic)</w:t>
      </w:r>
    </w:p>
    <w:p w14:paraId="7FDB5235" w14:textId="77777777" w:rsidR="00E41D21" w:rsidRPr="00221F76" w:rsidRDefault="00E41D21" w:rsidP="00B26577">
      <w:pPr>
        <w:ind w:right="900"/>
        <w:jc w:val="both"/>
        <w:rPr>
          <w:rFonts w:ascii="Palatino Linotype" w:hAnsi="Palatino Linotype" w:cs="Arial"/>
          <w:szCs w:val="28"/>
        </w:rPr>
      </w:pPr>
    </w:p>
    <w:bookmarkEnd w:id="0"/>
    <w:p w14:paraId="1240249E" w14:textId="77777777" w:rsidR="00226F34" w:rsidRPr="00221F76" w:rsidRDefault="007C76B2" w:rsidP="00033BCD">
      <w:pPr>
        <w:spacing w:line="360" w:lineRule="auto"/>
        <w:ind w:right="900"/>
        <w:jc w:val="both"/>
        <w:rPr>
          <w:rFonts w:ascii="Palatino Linotype" w:hAnsi="Palatino Linotype" w:cs="Arial"/>
          <w:szCs w:val="28"/>
        </w:rPr>
      </w:pPr>
      <w:r w:rsidRPr="00221F76">
        <w:rPr>
          <w:rFonts w:ascii="Palatino Linotype" w:hAnsi="Palatino Linotype" w:cs="Arial"/>
          <w:szCs w:val="28"/>
        </w:rPr>
        <w:t xml:space="preserve">La parte </w:t>
      </w:r>
      <w:r w:rsidRPr="00221F76">
        <w:rPr>
          <w:rFonts w:ascii="Palatino Linotype" w:hAnsi="Palatino Linotype" w:cs="Arial"/>
          <w:b/>
          <w:szCs w:val="28"/>
        </w:rPr>
        <w:t>r</w:t>
      </w:r>
      <w:r w:rsidR="005B0909" w:rsidRPr="00221F76">
        <w:rPr>
          <w:rFonts w:ascii="Palatino Linotype" w:hAnsi="Palatino Linotype" w:cs="Arial"/>
          <w:b/>
          <w:szCs w:val="28"/>
        </w:rPr>
        <w:t>ecurrente</w:t>
      </w:r>
      <w:r w:rsidR="002A1CB3" w:rsidRPr="00221F76">
        <w:rPr>
          <w:rFonts w:ascii="Palatino Linotype" w:hAnsi="Palatino Linotype" w:cs="Arial"/>
          <w:szCs w:val="28"/>
        </w:rPr>
        <w:t xml:space="preserve"> </w:t>
      </w:r>
      <w:r w:rsidR="00226F34" w:rsidRPr="00221F76">
        <w:rPr>
          <w:rFonts w:ascii="Palatino Linotype" w:hAnsi="Palatino Linotype" w:cs="Arial"/>
          <w:szCs w:val="28"/>
        </w:rPr>
        <w:t>no adjuntó archivos.</w:t>
      </w:r>
    </w:p>
    <w:p w14:paraId="06E1CFD9" w14:textId="29499012" w:rsidR="002B2828" w:rsidRPr="00221F76" w:rsidRDefault="002B2828" w:rsidP="00C2324D">
      <w:pPr>
        <w:spacing w:before="240" w:after="240" w:line="360" w:lineRule="auto"/>
        <w:jc w:val="both"/>
        <w:rPr>
          <w:rFonts w:ascii="Palatino Linotype" w:hAnsi="Palatino Linotype" w:cs="Arial"/>
        </w:rPr>
      </w:pPr>
      <w:r w:rsidRPr="00221F76">
        <w:rPr>
          <w:rFonts w:ascii="Palatino Linotype" w:hAnsi="Palatino Linotype" w:cs="Arial"/>
          <w:b/>
        </w:rPr>
        <w:t>Modalidad de Entrega:</w:t>
      </w:r>
      <w:r w:rsidRPr="00221F76">
        <w:rPr>
          <w:rFonts w:ascii="Palatino Linotype" w:hAnsi="Palatino Linotype" w:cs="Arial"/>
        </w:rPr>
        <w:t xml:space="preserve"> </w:t>
      </w:r>
      <w:r w:rsidR="008E7880" w:rsidRPr="00221F76">
        <w:rPr>
          <w:rFonts w:ascii="Palatino Linotype" w:hAnsi="Palatino Linotype" w:cs="Arial"/>
        </w:rPr>
        <w:t>A través de SAIMEX</w:t>
      </w:r>
      <w:r w:rsidR="00166EC9" w:rsidRPr="00221F76">
        <w:rPr>
          <w:rFonts w:ascii="Palatino Linotype" w:hAnsi="Palatino Linotype" w:cs="Arial"/>
        </w:rPr>
        <w:t>.</w:t>
      </w:r>
    </w:p>
    <w:p w14:paraId="4D7D90DE" w14:textId="79BE1EB4" w:rsidR="0008532C" w:rsidRPr="00221F76" w:rsidRDefault="00801689" w:rsidP="00226F34">
      <w:pPr>
        <w:spacing w:line="360" w:lineRule="auto"/>
        <w:jc w:val="both"/>
        <w:rPr>
          <w:rFonts w:ascii="Palatino Linotype" w:hAnsi="Palatino Linotype"/>
          <w:b/>
          <w:bCs/>
        </w:rPr>
      </w:pPr>
      <w:r w:rsidRPr="00221F76">
        <w:rPr>
          <w:rFonts w:ascii="Palatino Linotype" w:hAnsi="Palatino Linotype" w:cs="Arial"/>
          <w:b/>
          <w:szCs w:val="28"/>
        </w:rPr>
        <w:t>2</w:t>
      </w:r>
      <w:r w:rsidR="008E7880" w:rsidRPr="00221F76">
        <w:rPr>
          <w:rFonts w:ascii="Palatino Linotype" w:hAnsi="Palatino Linotype" w:cs="Arial"/>
          <w:b/>
          <w:szCs w:val="28"/>
        </w:rPr>
        <w:t xml:space="preserve">. </w:t>
      </w:r>
      <w:r w:rsidR="0008532C" w:rsidRPr="00221F76">
        <w:rPr>
          <w:rFonts w:ascii="Palatino Linotype" w:hAnsi="Palatino Linotype" w:cs="Arial"/>
          <w:b/>
        </w:rPr>
        <w:t xml:space="preserve">Respuesta. </w:t>
      </w:r>
      <w:r w:rsidR="0008532C" w:rsidRPr="00221F76">
        <w:rPr>
          <w:rFonts w:ascii="Palatino Linotype" w:hAnsi="Palatino Linotype" w:cs="Arial"/>
        </w:rPr>
        <w:t xml:space="preserve"> Con</w:t>
      </w:r>
      <w:r w:rsidR="0008532C" w:rsidRPr="00221F76">
        <w:rPr>
          <w:rFonts w:ascii="Palatino Linotype" w:hAnsi="Palatino Linotype"/>
        </w:rPr>
        <w:t xml:space="preserve"> fecha</w:t>
      </w:r>
      <w:r w:rsidR="00B06DC0" w:rsidRPr="00221F76">
        <w:rPr>
          <w:rFonts w:ascii="Palatino Linotype" w:hAnsi="Palatino Linotype"/>
        </w:rPr>
        <w:t xml:space="preserve"> </w:t>
      </w:r>
      <w:r w:rsidR="00715935" w:rsidRPr="00221F76">
        <w:rPr>
          <w:rFonts w:ascii="Palatino Linotype" w:hAnsi="Palatino Linotype"/>
          <w:b/>
          <w:bCs/>
        </w:rPr>
        <w:t xml:space="preserve">cinco de </w:t>
      </w:r>
      <w:r w:rsidR="00DA23DF" w:rsidRPr="00221F76">
        <w:rPr>
          <w:rFonts w:ascii="Palatino Linotype" w:hAnsi="Palatino Linotype"/>
          <w:b/>
          <w:bCs/>
        </w:rPr>
        <w:t>julio</w:t>
      </w:r>
      <w:r w:rsidR="006A5BA7" w:rsidRPr="00221F76">
        <w:rPr>
          <w:rFonts w:ascii="Palatino Linotype" w:hAnsi="Palatino Linotype"/>
          <w:b/>
          <w:bCs/>
        </w:rPr>
        <w:t xml:space="preserve"> </w:t>
      </w:r>
      <w:r w:rsidR="00CD2E54" w:rsidRPr="00221F76">
        <w:rPr>
          <w:rFonts w:ascii="Palatino Linotype" w:hAnsi="Palatino Linotype"/>
          <w:b/>
          <w:bCs/>
        </w:rPr>
        <w:t xml:space="preserve">de </w:t>
      </w:r>
      <w:r w:rsidR="00323FC6" w:rsidRPr="00221F76">
        <w:rPr>
          <w:rFonts w:ascii="Palatino Linotype" w:hAnsi="Palatino Linotype"/>
          <w:b/>
          <w:bCs/>
        </w:rPr>
        <w:t>dos mil veint</w:t>
      </w:r>
      <w:r w:rsidR="00FC0703" w:rsidRPr="00221F76">
        <w:rPr>
          <w:rFonts w:ascii="Palatino Linotype" w:hAnsi="Palatino Linotype"/>
          <w:b/>
          <w:bCs/>
        </w:rPr>
        <w:t>iuno</w:t>
      </w:r>
      <w:r w:rsidR="0008532C" w:rsidRPr="00221F76">
        <w:rPr>
          <w:rFonts w:ascii="Palatino Linotype" w:hAnsi="Palatino Linotype"/>
        </w:rPr>
        <w:t xml:space="preserve">, el Sujeto Obligado envió su respuesta a la solicitud de acceso a la información a través del SAIMEX, sustancialmente en los términos siguientes:   </w:t>
      </w:r>
    </w:p>
    <w:p w14:paraId="78120CE7" w14:textId="77777777" w:rsidR="00715935" w:rsidRPr="00221F76" w:rsidRDefault="00A10677" w:rsidP="00715935">
      <w:pPr>
        <w:ind w:left="851" w:right="900"/>
        <w:jc w:val="both"/>
        <w:rPr>
          <w:rFonts w:ascii="Palatino Linotype" w:hAnsi="Palatino Linotype" w:cs="Arial"/>
          <w:i/>
          <w:sz w:val="22"/>
          <w:szCs w:val="22"/>
        </w:rPr>
      </w:pPr>
      <w:r w:rsidRPr="00221F76">
        <w:rPr>
          <w:rFonts w:ascii="Palatino Linotype" w:hAnsi="Palatino Linotype" w:cs="Arial"/>
          <w:i/>
          <w:sz w:val="22"/>
          <w:szCs w:val="22"/>
        </w:rPr>
        <w:lastRenderedPageBreak/>
        <w:t>“</w:t>
      </w:r>
      <w:r w:rsidR="006649F4" w:rsidRPr="00221F76">
        <w:rPr>
          <w:rFonts w:ascii="Palatino Linotype" w:hAnsi="Palatino Linotype" w:cs="Arial"/>
          <w:i/>
          <w:sz w:val="22"/>
          <w:szCs w:val="22"/>
        </w:rPr>
        <w:t>…</w:t>
      </w:r>
      <w:r w:rsidR="00715935" w:rsidRPr="00221F76">
        <w:rPr>
          <w:rFonts w:ascii="Palatino Linotype" w:hAnsi="Palatino Linotype" w:cs="Arial"/>
          <w:i/>
          <w:sz w:val="22"/>
          <w:szCs w:val="22"/>
        </w:rPr>
        <w:t>le contestamos que:</w:t>
      </w:r>
    </w:p>
    <w:p w14:paraId="652B657E" w14:textId="63C252BB" w:rsidR="0008532C" w:rsidRPr="00221F76" w:rsidRDefault="00715935" w:rsidP="00715935">
      <w:pPr>
        <w:ind w:left="851" w:right="900"/>
        <w:jc w:val="both"/>
        <w:rPr>
          <w:rFonts w:ascii="Palatino Linotype" w:hAnsi="Palatino Linotype" w:cs="Arial"/>
          <w:i/>
          <w:sz w:val="22"/>
          <w:szCs w:val="22"/>
        </w:rPr>
      </w:pPr>
      <w:r w:rsidRPr="00221F76">
        <w:rPr>
          <w:rFonts w:ascii="Palatino Linotype" w:hAnsi="Palatino Linotype" w:cs="Arial"/>
          <w:i/>
          <w:sz w:val="22"/>
          <w:szCs w:val="22"/>
        </w:rPr>
        <w:t>POR MEDIO DEL PRESENTE INFORMO A USTED QUE EL DÍA 09 DE JULIO DEL PRESENTE AÑO PUEDE USTED ACURDIR A LAS OFINAS QUE OCUPA LA OFICINA DE ADMINISTRACIÓN LA CUAL SE ENCUENTRA UBICADA EN ELPALACIO MUNICIPAL UBICADO EN PLAZA JUAREZ SIN NUMERO, BARRIO SAN JUAN, MUNICIPIO DE ZUMPANGO; A CONSULTAR LA INFORMACIÓN QUE SOLICITA EN EL HORARIO DE LAS 11:00 HORAS Y SERA ATENDIDO POR ERIK DANIEL SUAREZ LUNA. ACLARANDO QUE POR UN ERROR DE CARACTER INVOLUNTARIO SE ASENTÓ EN EL ACTA COMO FECHA DE CONSULTA 05 DE JULIO SIENDO LO CORRECTO 09 DE JULIO DEL 2021.</w:t>
      </w:r>
      <w:r w:rsidR="003E7E85" w:rsidRPr="00221F76">
        <w:rPr>
          <w:rFonts w:ascii="Palatino Linotype" w:hAnsi="Palatino Linotype" w:cs="Arial"/>
          <w:i/>
          <w:sz w:val="22"/>
          <w:szCs w:val="22"/>
        </w:rPr>
        <w:t>.</w:t>
      </w:r>
      <w:r w:rsidR="006F3522" w:rsidRPr="00221F76">
        <w:rPr>
          <w:rFonts w:ascii="Palatino Linotype" w:hAnsi="Palatino Linotype" w:cs="Arial"/>
          <w:i/>
          <w:sz w:val="22"/>
          <w:szCs w:val="22"/>
        </w:rPr>
        <w:t>.</w:t>
      </w:r>
      <w:r w:rsidR="0008532C" w:rsidRPr="00221F76">
        <w:rPr>
          <w:rFonts w:ascii="Palatino Linotype" w:hAnsi="Palatino Linotype" w:cs="Arial"/>
          <w:i/>
          <w:sz w:val="22"/>
          <w:szCs w:val="22"/>
        </w:rPr>
        <w:t>” (sic)</w:t>
      </w:r>
    </w:p>
    <w:p w14:paraId="4F15B8C1" w14:textId="5CDBCE3D" w:rsidR="002566AC" w:rsidRPr="00221F76" w:rsidRDefault="0015173E" w:rsidP="00D0399D">
      <w:pPr>
        <w:spacing w:before="240" w:after="240" w:line="360" w:lineRule="auto"/>
        <w:ind w:right="49"/>
        <w:jc w:val="both"/>
        <w:rPr>
          <w:rFonts w:ascii="Palatino Linotype" w:hAnsi="Palatino Linotype" w:cs="Arial"/>
          <w:szCs w:val="28"/>
        </w:rPr>
      </w:pPr>
      <w:r w:rsidRPr="00221F76">
        <w:rPr>
          <w:rFonts w:ascii="Palatino Linotype" w:hAnsi="Palatino Linotype" w:cs="Arial"/>
          <w:szCs w:val="28"/>
        </w:rPr>
        <w:t xml:space="preserve">El </w:t>
      </w:r>
      <w:r w:rsidRPr="00221F76">
        <w:rPr>
          <w:rFonts w:ascii="Palatino Linotype" w:hAnsi="Palatino Linotype" w:cs="Arial"/>
          <w:b/>
          <w:szCs w:val="28"/>
        </w:rPr>
        <w:t>sujeto obligado</w:t>
      </w:r>
      <w:r w:rsidRPr="00221F76">
        <w:rPr>
          <w:rFonts w:ascii="Palatino Linotype" w:hAnsi="Palatino Linotype" w:cs="Arial"/>
          <w:szCs w:val="28"/>
        </w:rPr>
        <w:t xml:space="preserve"> </w:t>
      </w:r>
      <w:r w:rsidR="00AE26BB" w:rsidRPr="00221F76">
        <w:rPr>
          <w:rFonts w:ascii="Palatino Linotype" w:hAnsi="Palatino Linotype" w:cs="Arial"/>
          <w:szCs w:val="28"/>
        </w:rPr>
        <w:t>adjuntó</w:t>
      </w:r>
      <w:r w:rsidR="00BD35A6" w:rsidRPr="00221F76">
        <w:rPr>
          <w:rFonts w:ascii="Palatino Linotype" w:hAnsi="Palatino Linotype" w:cs="Arial"/>
          <w:szCs w:val="28"/>
        </w:rPr>
        <w:t xml:space="preserve"> </w:t>
      </w:r>
      <w:r w:rsidR="00AD7FBD" w:rsidRPr="00221F76">
        <w:rPr>
          <w:rFonts w:ascii="Palatino Linotype" w:hAnsi="Palatino Linotype" w:cs="Arial"/>
          <w:szCs w:val="28"/>
        </w:rPr>
        <w:t>e</w:t>
      </w:r>
      <w:r w:rsidR="00D0399D" w:rsidRPr="00221F76">
        <w:rPr>
          <w:rFonts w:ascii="Palatino Linotype" w:hAnsi="Palatino Linotype" w:cs="Arial"/>
          <w:szCs w:val="28"/>
        </w:rPr>
        <w:t>l</w:t>
      </w:r>
      <w:r w:rsidR="00BD35A6" w:rsidRPr="00221F76">
        <w:rPr>
          <w:rFonts w:ascii="Palatino Linotype" w:hAnsi="Palatino Linotype" w:cs="Arial"/>
          <w:szCs w:val="28"/>
        </w:rPr>
        <w:t xml:space="preserve"> archivo</w:t>
      </w:r>
      <w:r w:rsidR="00D0399D" w:rsidRPr="00221F76">
        <w:rPr>
          <w:rFonts w:ascii="Palatino Linotype" w:hAnsi="Palatino Linotype" w:cs="Arial"/>
          <w:szCs w:val="28"/>
        </w:rPr>
        <w:t xml:space="preserve"> “</w:t>
      </w:r>
      <w:r w:rsidR="00715935" w:rsidRPr="00221F76">
        <w:rPr>
          <w:rFonts w:ascii="Palatino Linotype" w:hAnsi="Palatino Linotype" w:cs="Arial"/>
          <w:i/>
          <w:iCs/>
          <w:szCs w:val="28"/>
        </w:rPr>
        <w:t>SEXTA SESON ORDINARIA 2021.pdf</w:t>
      </w:r>
      <w:r w:rsidR="00AD7FBD" w:rsidRPr="00221F76">
        <w:rPr>
          <w:rFonts w:ascii="Palatino Linotype" w:hAnsi="Palatino Linotype" w:cs="Arial"/>
          <w:szCs w:val="28"/>
        </w:rPr>
        <w:t xml:space="preserve">” </w:t>
      </w:r>
      <w:r w:rsidR="00C4693C" w:rsidRPr="00221F76">
        <w:rPr>
          <w:rFonts w:ascii="Palatino Linotype" w:hAnsi="Palatino Linotype" w:cs="Arial"/>
          <w:szCs w:val="28"/>
        </w:rPr>
        <w:t>cuyo contenido no se detalla al ser del conocimiento de las partes</w:t>
      </w:r>
      <w:r w:rsidR="00AC2E40" w:rsidRPr="00221F76">
        <w:rPr>
          <w:rFonts w:ascii="Palatino Linotype" w:hAnsi="Palatino Linotype" w:cs="Arial"/>
          <w:szCs w:val="28"/>
        </w:rPr>
        <w:t>, aunado a que será motivo de estudio en líneas posteriores.</w:t>
      </w:r>
    </w:p>
    <w:p w14:paraId="04C1F325" w14:textId="18FE2371" w:rsidR="00362417" w:rsidRPr="00221F76" w:rsidRDefault="00715935" w:rsidP="00112434">
      <w:pPr>
        <w:spacing w:before="240" w:after="240" w:line="360" w:lineRule="auto"/>
        <w:ind w:right="49"/>
        <w:jc w:val="both"/>
        <w:rPr>
          <w:rFonts w:ascii="Palatino Linotype" w:hAnsi="Palatino Linotype" w:cs="Arial"/>
          <w:szCs w:val="28"/>
        </w:rPr>
      </w:pPr>
      <w:r w:rsidRPr="00221F76">
        <w:rPr>
          <w:rFonts w:ascii="Palatino Linotype" w:hAnsi="Palatino Linotype" w:cs="Arial"/>
          <w:b/>
          <w:szCs w:val="28"/>
        </w:rPr>
        <w:t>3</w:t>
      </w:r>
      <w:r w:rsidR="009F7616" w:rsidRPr="00221F76">
        <w:rPr>
          <w:rFonts w:ascii="Palatino Linotype" w:hAnsi="Palatino Linotype" w:cs="Arial"/>
          <w:b/>
          <w:szCs w:val="28"/>
        </w:rPr>
        <w:t xml:space="preserve">. </w:t>
      </w:r>
      <w:r w:rsidR="00122C3F" w:rsidRPr="00221F76">
        <w:rPr>
          <w:rFonts w:ascii="Palatino Linotype" w:hAnsi="Palatino Linotype" w:cs="Arial"/>
          <w:b/>
          <w:szCs w:val="28"/>
        </w:rPr>
        <w:t>Interposición del recurso de revisión</w:t>
      </w:r>
      <w:r w:rsidR="009F7616" w:rsidRPr="00221F76">
        <w:rPr>
          <w:rFonts w:ascii="Palatino Linotype" w:hAnsi="Palatino Linotype" w:cs="Arial"/>
          <w:b/>
          <w:szCs w:val="28"/>
        </w:rPr>
        <w:t>.</w:t>
      </w:r>
      <w:r w:rsidR="00362417" w:rsidRPr="00221F76">
        <w:rPr>
          <w:rFonts w:ascii="Palatino Linotype" w:hAnsi="Palatino Linotype" w:cs="Arial"/>
          <w:b/>
        </w:rPr>
        <w:t xml:space="preserve"> </w:t>
      </w:r>
      <w:r w:rsidR="00993A3C" w:rsidRPr="00221F76">
        <w:rPr>
          <w:rFonts w:ascii="Palatino Linotype" w:hAnsi="Palatino Linotype" w:cs="Arial"/>
        </w:rPr>
        <w:t xml:space="preserve">Inconforme con los términos de la respuesta emitida </w:t>
      </w:r>
      <w:r w:rsidR="009A1B0C" w:rsidRPr="00221F76">
        <w:rPr>
          <w:rFonts w:ascii="Palatino Linotype" w:hAnsi="Palatino Linotype" w:cs="Arial"/>
        </w:rPr>
        <w:t xml:space="preserve">por parte del Sujeto Obligado, </w:t>
      </w:r>
      <w:r w:rsidR="00993A3C" w:rsidRPr="00221F76">
        <w:rPr>
          <w:rFonts w:ascii="Palatino Linotype" w:hAnsi="Palatino Linotype" w:cs="Arial"/>
        </w:rPr>
        <w:t>el</w:t>
      </w:r>
      <w:r w:rsidR="00D0399D" w:rsidRPr="00221F76">
        <w:rPr>
          <w:rFonts w:ascii="Palatino Linotype" w:hAnsi="Palatino Linotype" w:cs="Arial"/>
        </w:rPr>
        <w:t xml:space="preserve"> </w:t>
      </w:r>
      <w:r w:rsidR="00DA23DF" w:rsidRPr="00221F76">
        <w:rPr>
          <w:rFonts w:ascii="Palatino Linotype" w:hAnsi="Palatino Linotype" w:cs="Arial"/>
          <w:b/>
          <w:bCs/>
        </w:rPr>
        <w:t xml:space="preserve">dos de agosto </w:t>
      </w:r>
      <w:r w:rsidR="00144869" w:rsidRPr="00221F76">
        <w:rPr>
          <w:rFonts w:ascii="Palatino Linotype" w:hAnsi="Palatino Linotype" w:cs="Arial"/>
          <w:b/>
          <w:bCs/>
        </w:rPr>
        <w:t>de</w:t>
      </w:r>
      <w:r w:rsidR="00697911" w:rsidRPr="00221F76">
        <w:rPr>
          <w:rFonts w:ascii="Palatino Linotype" w:hAnsi="Palatino Linotype"/>
          <w:b/>
        </w:rPr>
        <w:t xml:space="preserve"> dos mil vein</w:t>
      </w:r>
      <w:r w:rsidR="004D0755" w:rsidRPr="00221F76">
        <w:rPr>
          <w:rFonts w:ascii="Palatino Linotype" w:hAnsi="Palatino Linotype"/>
          <w:b/>
        </w:rPr>
        <w:t>tiuno</w:t>
      </w:r>
      <w:r w:rsidR="00697911" w:rsidRPr="00221F76">
        <w:rPr>
          <w:rFonts w:ascii="Palatino Linotype" w:hAnsi="Palatino Linotype"/>
          <w:b/>
        </w:rPr>
        <w:t>,</w:t>
      </w:r>
      <w:r w:rsidR="00993A3C" w:rsidRPr="00221F76">
        <w:rPr>
          <w:rFonts w:ascii="Palatino Linotype" w:hAnsi="Palatino Linotype" w:cs="Arial"/>
        </w:rPr>
        <w:t xml:space="preserve"> </w:t>
      </w:r>
      <w:r w:rsidR="001D7487" w:rsidRPr="00221F76">
        <w:rPr>
          <w:rFonts w:ascii="Palatino Linotype" w:hAnsi="Palatino Linotype" w:cs="Arial"/>
        </w:rPr>
        <w:t>l</w:t>
      </w:r>
      <w:r w:rsidR="00703622" w:rsidRPr="00221F76">
        <w:rPr>
          <w:rFonts w:ascii="Palatino Linotype" w:hAnsi="Palatino Linotype" w:cs="Arial"/>
        </w:rPr>
        <w:t>a parte</w:t>
      </w:r>
      <w:r w:rsidR="00362417" w:rsidRPr="00221F76">
        <w:rPr>
          <w:rFonts w:ascii="Palatino Linotype" w:hAnsi="Palatino Linotype" w:cs="Arial"/>
        </w:rPr>
        <w:t xml:space="preserve"> </w:t>
      </w:r>
      <w:r w:rsidR="00703622" w:rsidRPr="00221F76">
        <w:rPr>
          <w:rFonts w:ascii="Palatino Linotype" w:hAnsi="Palatino Linotype" w:cs="Arial"/>
        </w:rPr>
        <w:t>r</w:t>
      </w:r>
      <w:r w:rsidR="00362417" w:rsidRPr="00221F76">
        <w:rPr>
          <w:rFonts w:ascii="Palatino Linotype" w:hAnsi="Palatino Linotype" w:cs="Arial"/>
        </w:rPr>
        <w:t xml:space="preserve">ecurrente interpuso el </w:t>
      </w:r>
      <w:r w:rsidR="00EA1A04" w:rsidRPr="00221F76">
        <w:rPr>
          <w:rFonts w:ascii="Palatino Linotype" w:hAnsi="Palatino Linotype" w:cs="Arial"/>
        </w:rPr>
        <w:t>recurso de revisión a través de</w:t>
      </w:r>
      <w:r w:rsidR="00362417" w:rsidRPr="00221F76">
        <w:rPr>
          <w:rFonts w:ascii="Palatino Linotype" w:hAnsi="Palatino Linotype" w:cs="Arial"/>
        </w:rPr>
        <w:t xml:space="preserve"> </w:t>
      </w:r>
      <w:r w:rsidR="00362417" w:rsidRPr="00221F76">
        <w:rPr>
          <w:rFonts w:ascii="Palatino Linotype" w:hAnsi="Palatino Linotype" w:cs="Arial"/>
          <w:b/>
        </w:rPr>
        <w:t xml:space="preserve">SAIMEX, </w:t>
      </w:r>
      <w:r w:rsidR="00362417" w:rsidRPr="00221F76">
        <w:rPr>
          <w:rFonts w:ascii="Palatino Linotype" w:hAnsi="Palatino Linotype" w:cs="Arial"/>
        </w:rPr>
        <w:t>en donde se manifestó de la siguiente manera:</w:t>
      </w:r>
    </w:p>
    <w:p w14:paraId="1F9973B6" w14:textId="5893102A" w:rsidR="00335DA7" w:rsidRPr="00221F76" w:rsidRDefault="00623511" w:rsidP="009B3F83">
      <w:pPr>
        <w:tabs>
          <w:tab w:val="left" w:pos="2745"/>
        </w:tabs>
        <w:spacing w:line="360" w:lineRule="auto"/>
        <w:jc w:val="both"/>
        <w:rPr>
          <w:rFonts w:ascii="Palatino Linotype" w:hAnsi="Palatino Linotype" w:cs="Arial"/>
          <w:b/>
        </w:rPr>
      </w:pPr>
      <w:r w:rsidRPr="00221F76">
        <w:rPr>
          <w:rFonts w:ascii="Palatino Linotype" w:hAnsi="Palatino Linotype" w:cs="Arial"/>
          <w:b/>
        </w:rPr>
        <w:t>A</w:t>
      </w:r>
      <w:r w:rsidR="00335DA7" w:rsidRPr="00221F76">
        <w:rPr>
          <w:rFonts w:ascii="Palatino Linotype" w:hAnsi="Palatino Linotype" w:cs="Arial"/>
          <w:b/>
        </w:rPr>
        <w:t>cto impugnado</w:t>
      </w:r>
      <w:r w:rsidR="00E71314" w:rsidRPr="00221F76">
        <w:rPr>
          <w:rFonts w:ascii="Palatino Linotype" w:hAnsi="Palatino Linotype" w:cs="Arial"/>
          <w:b/>
        </w:rPr>
        <w:t xml:space="preserve">: </w:t>
      </w:r>
      <w:r w:rsidR="009B3F83" w:rsidRPr="00221F76">
        <w:rPr>
          <w:rFonts w:ascii="Palatino Linotype" w:hAnsi="Palatino Linotype" w:cs="Arial"/>
          <w:b/>
        </w:rPr>
        <w:tab/>
      </w:r>
    </w:p>
    <w:p w14:paraId="5CF8D978" w14:textId="77777777" w:rsidR="00BB36C1" w:rsidRPr="00221F76" w:rsidRDefault="00BB36C1" w:rsidP="0088137A">
      <w:pPr>
        <w:spacing w:line="360" w:lineRule="auto"/>
        <w:ind w:left="851" w:right="900"/>
        <w:jc w:val="both"/>
        <w:rPr>
          <w:rFonts w:ascii="Palatino Linotype" w:hAnsi="Palatino Linotype" w:cs="Arial"/>
          <w:i/>
          <w:sz w:val="2"/>
          <w:szCs w:val="22"/>
          <w:lang w:eastAsia="es-MX"/>
        </w:rPr>
      </w:pPr>
    </w:p>
    <w:p w14:paraId="51BBADF4" w14:textId="7448B1B5" w:rsidR="00297161" w:rsidRPr="00221F76" w:rsidRDefault="00297161" w:rsidP="003919FD">
      <w:pPr>
        <w:ind w:left="851" w:right="900"/>
        <w:jc w:val="both"/>
        <w:rPr>
          <w:rFonts w:ascii="Palatino Linotype" w:hAnsi="Palatino Linotype"/>
          <w:i/>
          <w:sz w:val="22"/>
          <w:szCs w:val="22"/>
          <w:lang w:val="es-MX" w:eastAsia="es-MX"/>
        </w:rPr>
      </w:pPr>
      <w:r w:rsidRPr="00221F76">
        <w:rPr>
          <w:rFonts w:ascii="Palatino Linotype" w:hAnsi="Palatino Linotype" w:cs="Arial"/>
          <w:i/>
          <w:sz w:val="22"/>
          <w:szCs w:val="22"/>
          <w:lang w:eastAsia="es-MX"/>
        </w:rPr>
        <w:t>“</w:t>
      </w:r>
      <w:r w:rsidR="00715935" w:rsidRPr="00221F76">
        <w:rPr>
          <w:rFonts w:ascii="Palatino Linotype" w:hAnsi="Palatino Linotype" w:cs="Arial"/>
          <w:i/>
          <w:sz w:val="22"/>
          <w:szCs w:val="22"/>
          <w:lang w:eastAsia="es-MX"/>
        </w:rPr>
        <w:t>No entregran los recibos de nomina ya digalizados que han sido entregado al OSFEM ( el cual fue una de sus razones por no realizarlo) de los periodos de enero a junio y la otra realizan un cambio de modalidad que no corresponde por tener los recibos ya digitalizados</w:t>
      </w:r>
      <w:r w:rsidR="00501EC4" w:rsidRPr="00221F76">
        <w:rPr>
          <w:rFonts w:ascii="Palatino Linotype" w:hAnsi="Palatino Linotype"/>
          <w:i/>
          <w:sz w:val="22"/>
          <w:szCs w:val="22"/>
          <w:lang w:val="es-MX" w:eastAsia="es-MX"/>
        </w:rPr>
        <w:t>”</w:t>
      </w:r>
      <w:r w:rsidR="00C35B78" w:rsidRPr="00221F76">
        <w:rPr>
          <w:rFonts w:ascii="Palatino Linotype" w:hAnsi="Palatino Linotype" w:cs="Arial"/>
          <w:i/>
          <w:sz w:val="22"/>
          <w:szCs w:val="22"/>
          <w:lang w:eastAsia="es-MX"/>
        </w:rPr>
        <w:t xml:space="preserve"> (</w:t>
      </w:r>
      <w:r w:rsidR="00B63D2E" w:rsidRPr="00221F76">
        <w:rPr>
          <w:rFonts w:ascii="Palatino Linotype" w:hAnsi="Palatino Linotype" w:cs="Arial"/>
          <w:i/>
          <w:sz w:val="22"/>
          <w:szCs w:val="22"/>
          <w:lang w:eastAsia="es-MX"/>
        </w:rPr>
        <w:t>s</w:t>
      </w:r>
      <w:r w:rsidR="00754AFA" w:rsidRPr="00221F76">
        <w:rPr>
          <w:rFonts w:ascii="Palatino Linotype" w:hAnsi="Palatino Linotype" w:cs="Arial"/>
          <w:i/>
          <w:sz w:val="22"/>
          <w:szCs w:val="22"/>
          <w:lang w:eastAsia="es-MX"/>
        </w:rPr>
        <w:t>ic)</w:t>
      </w:r>
    </w:p>
    <w:p w14:paraId="280D4FEB" w14:textId="77777777" w:rsidR="00501EC4" w:rsidRPr="00221F76" w:rsidRDefault="00501EC4" w:rsidP="0088137A">
      <w:pPr>
        <w:spacing w:line="360" w:lineRule="auto"/>
        <w:jc w:val="both"/>
        <w:rPr>
          <w:rFonts w:ascii="Palatino Linotype" w:hAnsi="Palatino Linotype"/>
          <w:sz w:val="2"/>
          <w:lang w:val="es-MX" w:eastAsia="es-MX"/>
        </w:rPr>
      </w:pPr>
    </w:p>
    <w:p w14:paraId="21BFC1E4" w14:textId="77777777" w:rsidR="00B63D2E" w:rsidRPr="00221F76" w:rsidRDefault="00B63D2E" w:rsidP="0088137A">
      <w:pPr>
        <w:spacing w:line="360" w:lineRule="auto"/>
        <w:jc w:val="both"/>
        <w:rPr>
          <w:rFonts w:ascii="Palatino Linotype" w:hAnsi="Palatino Linotype" w:cs="Arial"/>
          <w:b/>
          <w:sz w:val="14"/>
        </w:rPr>
      </w:pPr>
    </w:p>
    <w:p w14:paraId="547E014C" w14:textId="126A2866" w:rsidR="00297161" w:rsidRPr="00221F76" w:rsidRDefault="002D740B" w:rsidP="0088137A">
      <w:pPr>
        <w:spacing w:line="360" w:lineRule="auto"/>
        <w:jc w:val="both"/>
        <w:rPr>
          <w:rFonts w:ascii="Palatino Linotype" w:hAnsi="Palatino Linotype" w:cs="Arial"/>
        </w:rPr>
      </w:pPr>
      <w:r w:rsidRPr="00221F76">
        <w:rPr>
          <w:rFonts w:ascii="Palatino Linotype" w:hAnsi="Palatino Linotype" w:cs="Arial"/>
          <w:b/>
        </w:rPr>
        <w:t>Y Razones</w:t>
      </w:r>
      <w:r w:rsidR="0054779A" w:rsidRPr="00221F76">
        <w:rPr>
          <w:rFonts w:ascii="Palatino Linotype" w:hAnsi="Palatino Linotype" w:cs="Arial"/>
          <w:b/>
        </w:rPr>
        <w:t xml:space="preserve"> o motivos de inconformidad</w:t>
      </w:r>
      <w:r w:rsidR="0083770F" w:rsidRPr="00221F76">
        <w:rPr>
          <w:rFonts w:ascii="Palatino Linotype" w:hAnsi="Palatino Linotype" w:cs="Arial"/>
        </w:rPr>
        <w:t>:</w:t>
      </w:r>
    </w:p>
    <w:p w14:paraId="0104A6AA" w14:textId="77777777" w:rsidR="000C096A" w:rsidRPr="00221F76" w:rsidRDefault="000C096A" w:rsidP="0088137A">
      <w:pPr>
        <w:spacing w:line="360" w:lineRule="auto"/>
        <w:jc w:val="both"/>
        <w:rPr>
          <w:rFonts w:ascii="Palatino Linotype" w:hAnsi="Palatino Linotype" w:cs="Arial"/>
          <w:sz w:val="2"/>
        </w:rPr>
      </w:pPr>
    </w:p>
    <w:p w14:paraId="2A7A8A5F" w14:textId="64062307" w:rsidR="00297161" w:rsidRPr="00221F76" w:rsidRDefault="001F1E4F" w:rsidP="004764C7">
      <w:pPr>
        <w:ind w:left="851" w:right="900"/>
        <w:jc w:val="both"/>
        <w:rPr>
          <w:rFonts w:ascii="Palatino Linotype" w:hAnsi="Palatino Linotype" w:cs="Arial"/>
          <w:i/>
          <w:sz w:val="22"/>
          <w:szCs w:val="22"/>
          <w:lang w:eastAsia="es-MX"/>
        </w:rPr>
      </w:pPr>
      <w:bookmarkStart w:id="1" w:name="_Hlk51074851"/>
      <w:r w:rsidRPr="00221F76">
        <w:rPr>
          <w:rFonts w:ascii="Palatino Linotype" w:hAnsi="Palatino Linotype" w:cs="Arial"/>
          <w:i/>
          <w:sz w:val="22"/>
          <w:szCs w:val="22"/>
          <w:lang w:eastAsia="es-MX"/>
        </w:rPr>
        <w:t xml:space="preserve"> </w:t>
      </w:r>
      <w:r w:rsidR="00715935" w:rsidRPr="00221F76">
        <w:rPr>
          <w:rFonts w:ascii="Palatino Linotype" w:hAnsi="Palatino Linotype" w:cs="Arial"/>
          <w:i/>
          <w:sz w:val="22"/>
          <w:szCs w:val="22"/>
          <w:lang w:eastAsia="es-MX"/>
        </w:rPr>
        <w:t>“Los recibos de nomina ya se encuentran digitalizados y fueron entregados al OSFEM , motivacion insuficiente para el cambio de modalidad, en muchos municipios mas grandes en personal entregan los recibos de nomina via SAIMEX como es mi derecho</w:t>
      </w:r>
      <w:r w:rsidR="00222777" w:rsidRPr="00221F76">
        <w:rPr>
          <w:rFonts w:ascii="Palatino Linotype" w:hAnsi="Palatino Linotype"/>
          <w:i/>
          <w:sz w:val="22"/>
          <w:szCs w:val="22"/>
        </w:rPr>
        <w:t xml:space="preserve">” </w:t>
      </w:r>
      <w:r w:rsidR="00B63D2E" w:rsidRPr="00221F76">
        <w:rPr>
          <w:rFonts w:ascii="Palatino Linotype" w:hAnsi="Palatino Linotype" w:cs="Arial"/>
          <w:i/>
          <w:sz w:val="22"/>
          <w:szCs w:val="22"/>
          <w:lang w:eastAsia="es-MX"/>
        </w:rPr>
        <w:t>(s</w:t>
      </w:r>
      <w:r w:rsidR="00D425F6" w:rsidRPr="00221F76">
        <w:rPr>
          <w:rFonts w:ascii="Palatino Linotype" w:hAnsi="Palatino Linotype" w:cs="Arial"/>
          <w:i/>
          <w:sz w:val="22"/>
          <w:szCs w:val="22"/>
          <w:lang w:eastAsia="es-MX"/>
        </w:rPr>
        <w:t>ic)</w:t>
      </w:r>
    </w:p>
    <w:bookmarkEnd w:id="1"/>
    <w:p w14:paraId="3A1B2459" w14:textId="11BEFA32" w:rsidR="008E7880" w:rsidRPr="00221F76"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221F76">
        <w:rPr>
          <w:rFonts w:ascii="Palatino Linotype" w:hAnsi="Palatino Linotype" w:cs="Arial"/>
          <w:b/>
          <w:lang w:eastAsia="es-MX"/>
        </w:rPr>
        <w:lastRenderedPageBreak/>
        <w:t xml:space="preserve">Anexos: </w:t>
      </w:r>
      <w:r w:rsidR="0087698E" w:rsidRPr="00221F76">
        <w:rPr>
          <w:rFonts w:ascii="Palatino Linotype" w:hAnsi="Palatino Linotype" w:cs="Arial"/>
          <w:lang w:eastAsia="es-MX"/>
        </w:rPr>
        <w:t>La parte</w:t>
      </w:r>
      <w:r w:rsidRPr="00221F76">
        <w:rPr>
          <w:rFonts w:ascii="Palatino Linotype" w:hAnsi="Palatino Linotype" w:cs="Arial"/>
          <w:lang w:eastAsia="es-MX"/>
        </w:rPr>
        <w:t xml:space="preserve"> </w:t>
      </w:r>
      <w:r w:rsidR="0087698E" w:rsidRPr="00221F76">
        <w:rPr>
          <w:rFonts w:ascii="Palatino Linotype" w:hAnsi="Palatino Linotype" w:cs="Arial"/>
          <w:lang w:eastAsia="es-MX"/>
        </w:rPr>
        <w:t>r</w:t>
      </w:r>
      <w:r w:rsidRPr="00221F76">
        <w:rPr>
          <w:rFonts w:ascii="Palatino Linotype" w:hAnsi="Palatino Linotype" w:cs="Arial"/>
          <w:lang w:eastAsia="es-MX"/>
        </w:rPr>
        <w:t>ecurrente</w:t>
      </w:r>
      <w:r w:rsidR="004764C7" w:rsidRPr="00221F76">
        <w:rPr>
          <w:rFonts w:ascii="Palatino Linotype" w:hAnsi="Palatino Linotype" w:cs="Arial"/>
          <w:lang w:eastAsia="es-MX"/>
        </w:rPr>
        <w:t xml:space="preserve"> no adjuntó archivos</w:t>
      </w:r>
      <w:r w:rsidR="00F12428" w:rsidRPr="00221F76">
        <w:rPr>
          <w:rFonts w:ascii="Palatino Linotype" w:hAnsi="Palatino Linotype" w:cs="Arial"/>
          <w:lang w:eastAsia="es-MX"/>
        </w:rPr>
        <w:t>.</w:t>
      </w:r>
      <w:r w:rsidRPr="00221F76">
        <w:rPr>
          <w:rFonts w:ascii="Palatino Linotype" w:hAnsi="Palatino Linotype" w:cs="Arial"/>
          <w:lang w:eastAsia="es-MX"/>
        </w:rPr>
        <w:t xml:space="preserve"> </w:t>
      </w:r>
    </w:p>
    <w:p w14:paraId="3E4E3466" w14:textId="366B6C10" w:rsidR="00060185" w:rsidRPr="00221F76" w:rsidRDefault="00715935" w:rsidP="00EE43FE">
      <w:pPr>
        <w:spacing w:before="240" w:after="240" w:line="360" w:lineRule="auto"/>
        <w:jc w:val="both"/>
        <w:rPr>
          <w:rFonts w:ascii="Palatino Linotype" w:hAnsi="Palatino Linotype"/>
        </w:rPr>
      </w:pPr>
      <w:r w:rsidRPr="00221F76">
        <w:rPr>
          <w:rFonts w:ascii="Palatino Linotype" w:hAnsi="Palatino Linotype" w:cs="Arial"/>
          <w:b/>
        </w:rPr>
        <w:t>4</w:t>
      </w:r>
      <w:r w:rsidR="002426FE" w:rsidRPr="00221F76">
        <w:rPr>
          <w:rFonts w:ascii="Palatino Linotype" w:hAnsi="Palatino Linotype" w:cs="Arial"/>
          <w:b/>
        </w:rPr>
        <w:t xml:space="preserve">. </w:t>
      </w:r>
      <w:r w:rsidR="002426FE" w:rsidRPr="00221F76">
        <w:rPr>
          <w:rFonts w:ascii="Palatino Linotype" w:eastAsia="Calibri" w:hAnsi="Palatino Linotype" w:cs="Arial"/>
          <w:b/>
        </w:rPr>
        <w:t>Turno.</w:t>
      </w:r>
      <w:r w:rsidR="002426FE" w:rsidRPr="00221F76">
        <w:rPr>
          <w:rFonts w:ascii="Palatino Linotype" w:eastAsia="Calibri" w:hAnsi="Palatino Linotype" w:cs="Arial"/>
          <w:b/>
          <w:sz w:val="28"/>
          <w:szCs w:val="28"/>
        </w:rPr>
        <w:t xml:space="preserve"> </w:t>
      </w:r>
      <w:r w:rsidR="00F5055E" w:rsidRPr="00221F7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221F76">
        <w:rPr>
          <w:rFonts w:ascii="Palatino Linotype" w:hAnsi="Palatino Linotype" w:cs="Arial"/>
        </w:rPr>
        <w:t>al</w:t>
      </w:r>
      <w:r w:rsidR="00F5055E" w:rsidRPr="00221F76">
        <w:rPr>
          <w:rFonts w:ascii="Palatino Linotype" w:eastAsia="Calibri" w:hAnsi="Palatino Linotype" w:cs="Arial"/>
        </w:rPr>
        <w:t xml:space="preserve"> Comisionado </w:t>
      </w:r>
      <w:r w:rsidR="00F5055E" w:rsidRPr="00221F76">
        <w:rPr>
          <w:rFonts w:ascii="Palatino Linotype" w:eastAsia="Calibri" w:hAnsi="Palatino Linotype" w:cs="Arial"/>
          <w:b/>
        </w:rPr>
        <w:t>Javier Martínez Cruz</w:t>
      </w:r>
      <w:r w:rsidR="00F7007F" w:rsidRPr="00221F76">
        <w:rPr>
          <w:rFonts w:ascii="Palatino Linotype" w:eastAsia="Calibri" w:hAnsi="Palatino Linotype" w:cs="Arial"/>
          <w:b/>
        </w:rPr>
        <w:t xml:space="preserve">, </w:t>
      </w:r>
      <w:r w:rsidR="00F7007F" w:rsidRPr="00221F76">
        <w:rPr>
          <w:rFonts w:ascii="Palatino Linotype" w:hAnsi="Palatino Linotype"/>
        </w:rPr>
        <w:t>a efecto de que analizara sobre su admisión o su desechamiento.</w:t>
      </w:r>
    </w:p>
    <w:p w14:paraId="593D08EA" w14:textId="4DB66304" w:rsidR="002E0D1C" w:rsidRPr="00221F76" w:rsidRDefault="00715935" w:rsidP="00EE43FE">
      <w:pPr>
        <w:spacing w:before="240" w:after="240" w:line="360" w:lineRule="auto"/>
        <w:jc w:val="both"/>
        <w:rPr>
          <w:rFonts w:ascii="Palatino Linotype" w:hAnsi="Palatino Linotype" w:cs="Arial"/>
          <w:b/>
        </w:rPr>
      </w:pPr>
      <w:r w:rsidRPr="00221F76">
        <w:rPr>
          <w:rFonts w:ascii="Palatino Linotype" w:hAnsi="Palatino Linotype" w:cs="Arial"/>
          <w:b/>
        </w:rPr>
        <w:t>5</w:t>
      </w:r>
      <w:r w:rsidR="00F5055E" w:rsidRPr="00221F76">
        <w:rPr>
          <w:rFonts w:ascii="Palatino Linotype" w:hAnsi="Palatino Linotype" w:cs="Arial"/>
          <w:b/>
        </w:rPr>
        <w:t>.</w:t>
      </w:r>
      <w:r w:rsidR="00F5055E" w:rsidRPr="00221F76">
        <w:rPr>
          <w:rFonts w:ascii="Palatino Linotype" w:hAnsi="Palatino Linotype" w:cs="Arial"/>
          <w:b/>
          <w:i/>
        </w:rPr>
        <w:t xml:space="preserve"> </w:t>
      </w:r>
      <w:r w:rsidR="00F5055E" w:rsidRPr="00221F76">
        <w:rPr>
          <w:rFonts w:ascii="Palatino Linotype" w:hAnsi="Palatino Linotype" w:cs="Arial"/>
          <w:b/>
        </w:rPr>
        <w:t>Admisión del Recurso</w:t>
      </w:r>
      <w:r w:rsidR="00F7007F" w:rsidRPr="00221F76">
        <w:rPr>
          <w:rFonts w:ascii="Palatino Linotype" w:hAnsi="Palatino Linotype" w:cs="Arial"/>
          <w:b/>
        </w:rPr>
        <w:t xml:space="preserve"> de revisión</w:t>
      </w:r>
      <w:r w:rsidR="00F5055E" w:rsidRPr="00221F76">
        <w:rPr>
          <w:rFonts w:ascii="Palatino Linotype" w:hAnsi="Palatino Linotype" w:cs="Arial"/>
          <w:b/>
        </w:rPr>
        <w:t>.</w:t>
      </w:r>
      <w:r w:rsidR="00F5055E" w:rsidRPr="00221F76">
        <w:rPr>
          <w:rFonts w:ascii="Palatino Linotype" w:hAnsi="Palatino Linotype" w:cs="Arial"/>
          <w:sz w:val="28"/>
          <w:szCs w:val="28"/>
        </w:rPr>
        <w:t xml:space="preserve"> </w:t>
      </w:r>
      <w:r w:rsidR="00C03E00" w:rsidRPr="00221F76">
        <w:rPr>
          <w:rFonts w:ascii="Palatino Linotype" w:hAnsi="Palatino Linotype" w:cs="Arial"/>
          <w:szCs w:val="28"/>
        </w:rPr>
        <w:t>Con</w:t>
      </w:r>
      <w:r w:rsidR="00707B32" w:rsidRPr="00221F76">
        <w:rPr>
          <w:rFonts w:ascii="Palatino Linotype" w:hAnsi="Palatino Linotype" w:cs="Arial"/>
        </w:rPr>
        <w:t xml:space="preserve"> fecha</w:t>
      </w:r>
      <w:r w:rsidR="00F5055E" w:rsidRPr="00221F76">
        <w:rPr>
          <w:rFonts w:ascii="Palatino Linotype" w:hAnsi="Palatino Linotype" w:cs="Arial"/>
          <w:b/>
        </w:rPr>
        <w:t xml:space="preserve"> </w:t>
      </w:r>
      <w:r w:rsidR="00EE7A1E" w:rsidRPr="00221F76">
        <w:rPr>
          <w:rFonts w:ascii="Palatino Linotype" w:hAnsi="Palatino Linotype" w:cs="Arial"/>
          <w:b/>
        </w:rPr>
        <w:t>cinco de agosto</w:t>
      </w:r>
      <w:r w:rsidR="00924415" w:rsidRPr="00221F76">
        <w:rPr>
          <w:rFonts w:ascii="Palatino Linotype" w:hAnsi="Palatino Linotype" w:cs="Arial"/>
          <w:b/>
        </w:rPr>
        <w:t xml:space="preserve"> </w:t>
      </w:r>
      <w:r w:rsidR="00673AAB" w:rsidRPr="00221F76">
        <w:rPr>
          <w:rFonts w:ascii="Palatino Linotype" w:hAnsi="Palatino Linotype" w:cs="Arial"/>
          <w:b/>
        </w:rPr>
        <w:t>de dos mil veint</w:t>
      </w:r>
      <w:r w:rsidR="00FB5553" w:rsidRPr="00221F76">
        <w:rPr>
          <w:rFonts w:ascii="Palatino Linotype" w:hAnsi="Palatino Linotype" w:cs="Arial"/>
          <w:b/>
        </w:rPr>
        <w:t>iuno,</w:t>
      </w:r>
      <w:r w:rsidR="00F7007F" w:rsidRPr="00221F76">
        <w:rPr>
          <w:rFonts w:ascii="Palatino Linotype" w:hAnsi="Palatino Linotype" w:cs="Arial"/>
          <w:b/>
        </w:rPr>
        <w:t xml:space="preserve"> </w:t>
      </w:r>
      <w:r w:rsidR="00F7007F" w:rsidRPr="00221F76">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A9CE6BE" w14:textId="76351278" w:rsidR="00661AF5" w:rsidRPr="00221F76" w:rsidRDefault="00715935" w:rsidP="00661AF5">
      <w:pPr>
        <w:widowControl w:val="0"/>
        <w:autoSpaceDE w:val="0"/>
        <w:autoSpaceDN w:val="0"/>
        <w:adjustRightInd w:val="0"/>
        <w:spacing w:before="240" w:after="240" w:line="360" w:lineRule="auto"/>
        <w:jc w:val="both"/>
        <w:rPr>
          <w:rFonts w:ascii="Palatino Linotype" w:hAnsi="Palatino Linotype" w:cs="Arial"/>
        </w:rPr>
      </w:pPr>
      <w:r w:rsidRPr="00221F76">
        <w:rPr>
          <w:rFonts w:ascii="Palatino Linotype" w:hAnsi="Palatino Linotype" w:cs="Arial"/>
          <w:b/>
        </w:rPr>
        <w:t>6</w:t>
      </w:r>
      <w:r w:rsidR="004946EA" w:rsidRPr="00221F76">
        <w:rPr>
          <w:rFonts w:ascii="Palatino Linotype" w:hAnsi="Palatino Linotype" w:cs="Arial"/>
          <w:b/>
        </w:rPr>
        <w:t xml:space="preserve">. </w:t>
      </w:r>
      <w:r w:rsidR="00661AF5" w:rsidRPr="00221F76">
        <w:rPr>
          <w:rFonts w:ascii="Palatino Linotype" w:hAnsi="Palatino Linotype" w:cs="Arial"/>
          <w:b/>
        </w:rPr>
        <w:t>Manifestaciones</w:t>
      </w:r>
      <w:r w:rsidR="00661AF5" w:rsidRPr="00221F76">
        <w:rPr>
          <w:rFonts w:ascii="Palatino Linotype" w:hAnsi="Palatino Linotype" w:cs="Arial"/>
        </w:rPr>
        <w:t>.</w:t>
      </w:r>
      <w:r w:rsidR="00661AF5" w:rsidRPr="00221F76">
        <w:rPr>
          <w:rFonts w:ascii="Palatino Linotype" w:hAnsi="Palatino Linotype" w:cs="Arial"/>
          <w:sz w:val="28"/>
        </w:rPr>
        <w:t xml:space="preserve"> </w:t>
      </w:r>
      <w:r w:rsidR="00661AF5" w:rsidRPr="00221F76">
        <w:rPr>
          <w:rFonts w:ascii="Palatino Linotype" w:hAnsi="Palatino Linotype" w:cs="Arial"/>
        </w:rPr>
        <w:t>De las constancias que obran en el expediente electrónico que nos ocupa, se advierte que el Sujeto Obligado no remitió informe justificado, asimismo, y que la parte recurrente fue omisa en expresar alegato alguno y ofrecer pruebas en el plazo establecido para tal efecto.</w:t>
      </w:r>
    </w:p>
    <w:p w14:paraId="57DE8ED8" w14:textId="767C24B4" w:rsidR="00F51B6E" w:rsidRPr="00221F76" w:rsidRDefault="00715935" w:rsidP="00F51B6E">
      <w:pPr>
        <w:spacing w:after="240" w:line="360" w:lineRule="auto"/>
        <w:jc w:val="both"/>
        <w:rPr>
          <w:rFonts w:ascii="Palatino Linotype" w:hAnsi="Palatino Linotype"/>
        </w:rPr>
      </w:pPr>
      <w:r w:rsidRPr="00221F76">
        <w:rPr>
          <w:rFonts w:ascii="Palatino Linotype" w:hAnsi="Palatino Linotype"/>
          <w:b/>
        </w:rPr>
        <w:t>7</w:t>
      </w:r>
      <w:r w:rsidR="00F51B6E" w:rsidRPr="00221F76">
        <w:rPr>
          <w:rFonts w:ascii="Palatino Linotype" w:hAnsi="Palatino Linotype"/>
          <w:b/>
        </w:rPr>
        <w:t xml:space="preserve">. Cierre de instrucción. </w:t>
      </w:r>
      <w:r w:rsidR="00F51B6E" w:rsidRPr="00221F76">
        <w:rPr>
          <w:rFonts w:ascii="Palatino Linotype" w:hAnsi="Palatino Linotype"/>
        </w:rPr>
        <w:t xml:space="preserve">Una vez transcurrido el periodo otorgado a las partes para realizar sus manifestaciones y no habiendo documentos que integrar al expediente, con fecha </w:t>
      </w:r>
      <w:r w:rsidR="0053324D" w:rsidRPr="00221F76">
        <w:rPr>
          <w:rFonts w:ascii="Palatino Linotype" w:hAnsi="Palatino Linotype"/>
          <w:b/>
          <w:bCs/>
        </w:rPr>
        <w:t>tres</w:t>
      </w:r>
      <w:r w:rsidR="00426FC0" w:rsidRPr="00221F76">
        <w:rPr>
          <w:rFonts w:ascii="Palatino Linotype" w:hAnsi="Palatino Linotype"/>
          <w:b/>
          <w:bCs/>
        </w:rPr>
        <w:t xml:space="preserve"> de </w:t>
      </w:r>
      <w:r w:rsidR="0053324D" w:rsidRPr="00221F76">
        <w:rPr>
          <w:rFonts w:ascii="Palatino Linotype" w:hAnsi="Palatino Linotype"/>
          <w:b/>
          <w:bCs/>
        </w:rPr>
        <w:t xml:space="preserve">septiembre </w:t>
      </w:r>
      <w:r w:rsidR="00F51B6E" w:rsidRPr="00221F76">
        <w:rPr>
          <w:rFonts w:ascii="Palatino Linotype" w:hAnsi="Palatino Linotype"/>
          <w:b/>
          <w:bCs/>
        </w:rPr>
        <w:t>de</w:t>
      </w:r>
      <w:r w:rsidR="00F51B6E" w:rsidRPr="00221F76">
        <w:rPr>
          <w:rFonts w:ascii="Palatino Linotype" w:hAnsi="Palatino Linotype" w:cs="Arial"/>
          <w:b/>
        </w:rPr>
        <w:t xml:space="preserve"> dos mil veintiuno</w:t>
      </w:r>
      <w:r w:rsidR="00F51B6E" w:rsidRPr="00221F76">
        <w:rPr>
          <w:rFonts w:ascii="Palatino Linotype" w:hAnsi="Palatino Linotype"/>
        </w:rPr>
        <w:t xml:space="preserve">, el Comisionado ponente determinó el cierre de instrucción en términos de la fracción VI del artículo 185 de </w:t>
      </w:r>
      <w:r w:rsidR="00F51B6E" w:rsidRPr="00221F76">
        <w:rPr>
          <w:rFonts w:ascii="Palatino Linotype" w:hAnsi="Palatino Linotype"/>
        </w:rPr>
        <w:lastRenderedPageBreak/>
        <w:t>la Ley de Transparencia y Acceso a la Información Pública del Estado de México y Municipios.</w:t>
      </w:r>
    </w:p>
    <w:p w14:paraId="1EFFE4A1" w14:textId="3CE6F1AE" w:rsidR="000504F0" w:rsidRPr="00221F76" w:rsidRDefault="00715935" w:rsidP="000504F0">
      <w:pPr>
        <w:widowControl w:val="0"/>
        <w:autoSpaceDE w:val="0"/>
        <w:autoSpaceDN w:val="0"/>
        <w:adjustRightInd w:val="0"/>
        <w:spacing w:before="240" w:after="240" w:line="360" w:lineRule="auto"/>
        <w:jc w:val="both"/>
        <w:rPr>
          <w:rFonts w:ascii="Palatino Linotype" w:hAnsi="Palatino Linotype"/>
        </w:rPr>
      </w:pPr>
      <w:r w:rsidRPr="00221F76">
        <w:rPr>
          <w:rFonts w:ascii="Palatino Linotype" w:hAnsi="Palatino Linotype"/>
          <w:b/>
        </w:rPr>
        <w:t>8</w:t>
      </w:r>
      <w:r w:rsidR="000504F0" w:rsidRPr="00221F76">
        <w:rPr>
          <w:rFonts w:ascii="Palatino Linotype" w:hAnsi="Palatino Linotype"/>
          <w:b/>
        </w:rPr>
        <w:t xml:space="preserve">. </w:t>
      </w:r>
      <w:r w:rsidR="000504F0" w:rsidRPr="00221F76">
        <w:rPr>
          <w:rFonts w:ascii="Palatino Linotype" w:hAnsi="Palatino Linotype" w:cs="Arial"/>
          <w:b/>
          <w:bCs/>
        </w:rPr>
        <w:t>Returno.</w:t>
      </w:r>
      <w:r w:rsidR="000504F0" w:rsidRPr="00221F76">
        <w:rPr>
          <w:rFonts w:ascii="Palatino Linotype" w:hAnsi="Palatino Linotype" w:cs="Arial"/>
        </w:rPr>
        <w:t xml:space="preserve"> En la </w:t>
      </w:r>
      <w:r w:rsidR="000504F0" w:rsidRPr="00221F76">
        <w:rPr>
          <w:rFonts w:ascii="Palatino Linotype" w:hAnsi="Palatino Linotype"/>
        </w:rPr>
        <w:t xml:space="preserve">Segunda Sesión Extraordinaria, de fecha </w:t>
      </w:r>
      <w:r w:rsidR="000504F0" w:rsidRPr="00221F76">
        <w:rPr>
          <w:rFonts w:ascii="Palatino Linotype" w:hAnsi="Palatino Linotype"/>
          <w:b/>
          <w:bCs/>
        </w:rPr>
        <w:t>veintitrés de agosto de dos mil veintiuno</w:t>
      </w:r>
      <w:r w:rsidR="000504F0" w:rsidRPr="00221F76">
        <w:rPr>
          <w:rFonts w:ascii="Palatino Linotype" w:hAnsi="Palatino Linotype"/>
        </w:rPr>
        <w:t xml:space="preserve">, </w:t>
      </w:r>
      <w:r w:rsidR="000504F0" w:rsidRPr="00221F76">
        <w:rPr>
          <w:rFonts w:ascii="Palatino Linotype" w:hAnsi="Palatino Linotype" w:cs="Arial"/>
        </w:rPr>
        <w:t xml:space="preserve">el Pleno de este Órgano Autónomo, </w:t>
      </w:r>
      <w:r w:rsidR="000504F0" w:rsidRPr="00221F76">
        <w:rPr>
          <w:rFonts w:ascii="Palatino Linotype" w:hAnsi="Palatino Linotype"/>
        </w:rPr>
        <w:t xml:space="preserve">ordenó el returno del Recurso de Revisión a la </w:t>
      </w:r>
      <w:r w:rsidR="000504F0" w:rsidRPr="00221F76">
        <w:rPr>
          <w:rFonts w:ascii="Palatino Linotype" w:hAnsi="Palatino Linotype"/>
          <w:bCs/>
        </w:rPr>
        <w:t>Comisionada</w:t>
      </w:r>
      <w:r w:rsidR="000504F0" w:rsidRPr="00221F76">
        <w:rPr>
          <w:rFonts w:ascii="Palatino Linotype" w:hAnsi="Palatino Linotype"/>
          <w:b/>
        </w:rPr>
        <w:t xml:space="preserve"> Guadalupe Ramírez Peña</w:t>
      </w:r>
      <w:r w:rsidR="000504F0" w:rsidRPr="00221F76">
        <w:rPr>
          <w:rFonts w:ascii="Palatino Linotype" w:hAnsi="Palatino Linotype"/>
        </w:rPr>
        <w:t>, a fin de que presentara el proyecto de resolución correspondiente.</w:t>
      </w:r>
    </w:p>
    <w:p w14:paraId="0303C99F" w14:textId="54CBDA26" w:rsidR="003F292C" w:rsidRPr="00221F76"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221F76">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221F76"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221F76">
        <w:rPr>
          <w:rFonts w:ascii="Palatino Linotype" w:hAnsi="Palatino Linotype" w:cs="Arial"/>
          <w:b/>
        </w:rPr>
        <w:t>II. C O N S I D E R A N D O</w:t>
      </w:r>
    </w:p>
    <w:p w14:paraId="457D983D" w14:textId="466C1DDE" w:rsidR="000504F0" w:rsidRPr="00221F76" w:rsidRDefault="008245CD" w:rsidP="000504F0">
      <w:pPr>
        <w:spacing w:before="240" w:after="240" w:line="360" w:lineRule="auto"/>
        <w:jc w:val="both"/>
        <w:rPr>
          <w:rFonts w:ascii="Palatino Linotype" w:hAnsi="Palatino Linotype" w:cs="Arial"/>
        </w:rPr>
      </w:pPr>
      <w:r w:rsidRPr="00221F76">
        <w:rPr>
          <w:rFonts w:ascii="Palatino Linotype" w:hAnsi="Palatino Linotype" w:cs="Arial"/>
          <w:b/>
        </w:rPr>
        <w:t>Primero. Competencia.</w:t>
      </w:r>
      <w:r w:rsidRPr="00221F76">
        <w:rPr>
          <w:rFonts w:ascii="Palatino Linotype" w:hAnsi="Palatino Linotype" w:cs="Arial"/>
        </w:rPr>
        <w:t xml:space="preserve"> </w:t>
      </w:r>
      <w:r w:rsidR="000504F0" w:rsidRPr="00221F76">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221F76">
        <w:rPr>
          <w:rFonts w:ascii="Palatino Linotype" w:hAnsi="Palatino Linotype" w:cs="Arial"/>
        </w:rPr>
        <w:t>trigésimo, trigésimo primero y trigésimo segundo</w:t>
      </w:r>
      <w:r w:rsidR="000504F0" w:rsidRPr="00221F76">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221F76" w:rsidRDefault="00401522" w:rsidP="00401522">
      <w:pPr>
        <w:spacing w:before="240" w:after="240" w:line="360" w:lineRule="auto"/>
        <w:jc w:val="both"/>
        <w:rPr>
          <w:rFonts w:ascii="Palatino Linotype" w:hAnsi="Palatino Linotype" w:cs="Arial"/>
        </w:rPr>
      </w:pPr>
      <w:bookmarkStart w:id="2" w:name="_Hlk44439150"/>
      <w:r w:rsidRPr="00221F76">
        <w:rPr>
          <w:rFonts w:ascii="Palatino Linotype" w:hAnsi="Palatino Linotype" w:cs="Arial"/>
          <w:b/>
        </w:rPr>
        <w:lastRenderedPageBreak/>
        <w:t>Segundo. Oportunidad y Procedibilidad del Recurso de Revisión</w:t>
      </w:r>
      <w:r w:rsidRPr="00221F76">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720188FD" w:rsidR="00401522" w:rsidRPr="00221F76" w:rsidRDefault="00401522" w:rsidP="00401522">
      <w:pPr>
        <w:spacing w:before="240" w:after="240" w:line="360" w:lineRule="auto"/>
        <w:jc w:val="both"/>
        <w:rPr>
          <w:rFonts w:ascii="Palatino Linotype" w:hAnsi="Palatino Linotype"/>
        </w:rPr>
      </w:pPr>
      <w:r w:rsidRPr="00221F76">
        <w:rPr>
          <w:rFonts w:ascii="Palatino Linotype" w:hAnsi="Palatino Linotype" w:cs="Arial"/>
        </w:rPr>
        <w:t xml:space="preserve">El recurso de revisión fue interpuesto dentro del plazo de quince días hábiles, previsto en el artículo 178 de la </w:t>
      </w:r>
      <w:r w:rsidRPr="00221F76">
        <w:rPr>
          <w:rFonts w:ascii="Palatino Linotype" w:hAnsi="Palatino Linotype" w:cs="Arial"/>
          <w:lang w:val="es-MX" w:eastAsia="es-MX"/>
        </w:rPr>
        <w:t>Ley de Transparencia y Acceso a la Información Pública del Estado de México y Municipios,</w:t>
      </w:r>
      <w:r w:rsidRPr="00221F76">
        <w:rPr>
          <w:rFonts w:ascii="Palatino Linotype" w:hAnsi="Palatino Linotype" w:cs="Arial"/>
        </w:rPr>
        <w:t xml:space="preserve"> toda vez que el Sujeto Obligado remitió la respuesta a la solicitud de información el día </w:t>
      </w:r>
      <w:r w:rsidR="00715935" w:rsidRPr="00221F76">
        <w:rPr>
          <w:rFonts w:ascii="Palatino Linotype" w:hAnsi="Palatino Linotype" w:cs="Arial"/>
          <w:b/>
        </w:rPr>
        <w:t>cinco</w:t>
      </w:r>
      <w:r w:rsidR="00661AF5" w:rsidRPr="00221F76">
        <w:rPr>
          <w:rFonts w:ascii="Palatino Linotype" w:hAnsi="Palatino Linotype" w:cs="Arial"/>
          <w:b/>
        </w:rPr>
        <w:t xml:space="preserve"> de julio</w:t>
      </w:r>
      <w:r w:rsidRPr="00221F76">
        <w:rPr>
          <w:rFonts w:ascii="Palatino Linotype" w:hAnsi="Palatino Linotype" w:cs="Arial"/>
          <w:b/>
        </w:rPr>
        <w:t xml:space="preserve"> de dos mil veintiuno</w:t>
      </w:r>
      <w:r w:rsidRPr="00221F76">
        <w:rPr>
          <w:rFonts w:ascii="Palatino Linotype" w:hAnsi="Palatino Linotype" w:cs="Arial"/>
          <w:b/>
          <w:lang w:eastAsia="es-MX"/>
        </w:rPr>
        <w:t xml:space="preserve">, </w:t>
      </w:r>
      <w:r w:rsidRPr="00221F76">
        <w:rPr>
          <w:rFonts w:ascii="Palatino Linotype" w:hAnsi="Palatino Linotype" w:cs="Arial"/>
        </w:rPr>
        <w:t xml:space="preserve">mientras que el recurso de revisión interpuesto por la parte recurrente, se tuvo por presentado el día </w:t>
      </w:r>
      <w:r w:rsidR="00661AF5" w:rsidRPr="00221F76">
        <w:rPr>
          <w:rFonts w:ascii="Palatino Linotype" w:hAnsi="Palatino Linotype" w:cs="Arial"/>
          <w:b/>
        </w:rPr>
        <w:t>dos de agosto</w:t>
      </w:r>
      <w:r w:rsidRPr="00221F76">
        <w:rPr>
          <w:rFonts w:ascii="Palatino Linotype" w:hAnsi="Palatino Linotype" w:cs="Arial"/>
          <w:b/>
        </w:rPr>
        <w:t xml:space="preserve"> de dos mil veintiuno</w:t>
      </w:r>
      <w:r w:rsidRPr="00221F76">
        <w:rPr>
          <w:rFonts w:ascii="Palatino Linotype" w:hAnsi="Palatino Linotype"/>
        </w:rPr>
        <w:t xml:space="preserve">, esto es, </w:t>
      </w:r>
      <w:r w:rsidR="00DF114E" w:rsidRPr="00221F76">
        <w:rPr>
          <w:rFonts w:ascii="Palatino Linotype" w:hAnsi="Palatino Linotype"/>
        </w:rPr>
        <w:t xml:space="preserve">al </w:t>
      </w:r>
      <w:r w:rsidR="00204273" w:rsidRPr="00221F76">
        <w:rPr>
          <w:rFonts w:ascii="Palatino Linotype" w:hAnsi="Palatino Linotype"/>
        </w:rPr>
        <w:t>siguiente</w:t>
      </w:r>
      <w:r w:rsidR="00DF540F" w:rsidRPr="00221F76">
        <w:rPr>
          <w:rFonts w:ascii="Palatino Linotype" w:hAnsi="Palatino Linotype"/>
        </w:rPr>
        <w:t xml:space="preserve"> </w:t>
      </w:r>
      <w:r w:rsidRPr="00221F76">
        <w:rPr>
          <w:rFonts w:ascii="Palatino Linotype" w:hAnsi="Palatino Linotype" w:cs="Arial"/>
        </w:rPr>
        <w:t xml:space="preserve">día </w:t>
      </w:r>
      <w:r w:rsidR="00DF114E" w:rsidRPr="00221F76">
        <w:rPr>
          <w:rFonts w:ascii="Palatino Linotype" w:hAnsi="Palatino Linotype" w:cs="Arial"/>
        </w:rPr>
        <w:t xml:space="preserve">hábil posterior </w:t>
      </w:r>
      <w:r w:rsidRPr="00221F76">
        <w:rPr>
          <w:rFonts w:ascii="Palatino Linotype" w:hAnsi="Palatino Linotype" w:cs="Arial"/>
        </w:rPr>
        <w:t xml:space="preserve">en que tuvo </w:t>
      </w:r>
      <w:r w:rsidRPr="00221F76">
        <w:rPr>
          <w:rFonts w:ascii="Palatino Linotype" w:hAnsi="Palatino Linotype" w:cs="Arial"/>
          <w:lang w:eastAsia="es-MX"/>
        </w:rPr>
        <w:t>conocimiento de la respuesta impugnada.</w:t>
      </w:r>
    </w:p>
    <w:p w14:paraId="68DEFDC3" w14:textId="77777777" w:rsidR="00401522" w:rsidRPr="00221F76" w:rsidRDefault="00401522" w:rsidP="00401522">
      <w:pPr>
        <w:spacing w:before="240" w:after="240" w:line="360" w:lineRule="auto"/>
        <w:jc w:val="both"/>
        <w:rPr>
          <w:rFonts w:ascii="Palatino Linotype" w:hAnsi="Palatino Linotype"/>
        </w:rPr>
      </w:pPr>
      <w:bookmarkStart w:id="3" w:name="_Hlk57122114"/>
      <w:r w:rsidRPr="00221F76">
        <w:rPr>
          <w:rFonts w:ascii="Palatino Linotype" w:hAnsi="Palatino Linotype" w:cs="Arial"/>
          <w:lang w:eastAsia="es-MX"/>
        </w:rPr>
        <w:t xml:space="preserve">En este sentido, </w:t>
      </w:r>
      <w:r w:rsidRPr="00221F76">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221F76" w:rsidRDefault="00401522" w:rsidP="00401522">
      <w:pPr>
        <w:spacing w:before="240" w:after="240" w:line="360" w:lineRule="auto"/>
        <w:jc w:val="both"/>
        <w:rPr>
          <w:rFonts w:ascii="Palatino Linotype" w:hAnsi="Palatino Linotype" w:cs="Arial"/>
          <w:lang w:eastAsia="es-MX"/>
        </w:rPr>
      </w:pPr>
      <w:r w:rsidRPr="00221F76">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221F76">
        <w:rPr>
          <w:rFonts w:ascii="Palatino Linotype" w:hAnsi="Palatino Linotype" w:cs="Arial"/>
        </w:rPr>
        <w:t xml:space="preserve">la acreditación plena de los elementos formales </w:t>
      </w:r>
      <w:r w:rsidRPr="00221F76">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084BB5AE" w:rsidR="00DF114E" w:rsidRPr="00221F76" w:rsidRDefault="00DF114E" w:rsidP="00DF114E">
      <w:pPr>
        <w:spacing w:before="240" w:after="240" w:line="360" w:lineRule="auto"/>
        <w:jc w:val="both"/>
        <w:rPr>
          <w:rFonts w:ascii="Palatino Linotype" w:hAnsi="Palatino Linotype" w:cs="Arial"/>
        </w:rPr>
      </w:pPr>
      <w:r w:rsidRPr="00221F76">
        <w:rPr>
          <w:rFonts w:ascii="Palatino Linotype" w:hAnsi="Palatino Linotype" w:cs="Arial"/>
        </w:rPr>
        <w:lastRenderedPageBreak/>
        <w:t>Finalmente, se advierte que resulta procedente la interposición del recurso, según lo manifestado por el recurrente en sus motivos de inconformidad, de acuerdo al artículo 179, fracci</w:t>
      </w:r>
      <w:r w:rsidR="006072B1" w:rsidRPr="00221F76">
        <w:rPr>
          <w:rFonts w:ascii="Palatino Linotype" w:hAnsi="Palatino Linotype" w:cs="Arial"/>
        </w:rPr>
        <w:t>ón</w:t>
      </w:r>
      <w:r w:rsidR="00526CCE" w:rsidRPr="00221F76">
        <w:rPr>
          <w:rFonts w:ascii="Palatino Linotype" w:hAnsi="Palatino Linotype" w:cs="Arial"/>
        </w:rPr>
        <w:t xml:space="preserve"> </w:t>
      </w:r>
      <w:r w:rsidRPr="00221F76">
        <w:rPr>
          <w:rFonts w:ascii="Palatino Linotype" w:hAnsi="Palatino Linotype" w:cs="Arial"/>
        </w:rPr>
        <w:t>V</w:t>
      </w:r>
      <w:r w:rsidR="002E604C" w:rsidRPr="00221F76">
        <w:rPr>
          <w:rFonts w:ascii="Palatino Linotype" w:hAnsi="Palatino Linotype" w:cs="Arial"/>
        </w:rPr>
        <w:t>III</w:t>
      </w:r>
      <w:r w:rsidRPr="00221F76">
        <w:rPr>
          <w:rFonts w:ascii="Palatino Linotype" w:hAnsi="Palatino Linotype" w:cs="Arial"/>
        </w:rPr>
        <w:t xml:space="preserve"> del ordenamiento legal citado, que a la letra dice: </w:t>
      </w:r>
    </w:p>
    <w:p w14:paraId="145C18FF" w14:textId="77777777" w:rsidR="00DF114E" w:rsidRPr="00221F76" w:rsidRDefault="00DF114E" w:rsidP="00DF114E">
      <w:pPr>
        <w:spacing w:before="120" w:after="120"/>
        <w:ind w:left="851" w:right="902"/>
        <w:jc w:val="both"/>
        <w:rPr>
          <w:rFonts w:ascii="Palatino Linotype" w:hAnsi="Palatino Linotype" w:cs="Arial"/>
          <w:i/>
          <w:sz w:val="22"/>
          <w:szCs w:val="22"/>
        </w:rPr>
      </w:pPr>
      <w:r w:rsidRPr="00221F76">
        <w:rPr>
          <w:rFonts w:ascii="Palatino Linotype" w:hAnsi="Palatino Linotype" w:cs="Arial"/>
          <w:bCs/>
          <w:i/>
          <w:iCs/>
          <w:sz w:val="22"/>
          <w:szCs w:val="22"/>
        </w:rPr>
        <w:t>“</w:t>
      </w:r>
      <w:r w:rsidRPr="00221F76">
        <w:rPr>
          <w:rFonts w:ascii="Palatino Linotype" w:hAnsi="Palatino Linotype" w:cs="Arial"/>
          <w:b/>
          <w:i/>
          <w:sz w:val="22"/>
          <w:szCs w:val="22"/>
        </w:rPr>
        <w:t>Artículo 179.</w:t>
      </w:r>
      <w:r w:rsidRPr="00221F76">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221F76" w:rsidRDefault="00526CCE" w:rsidP="00DF114E">
      <w:pPr>
        <w:spacing w:before="120" w:after="120"/>
        <w:ind w:left="993" w:right="902"/>
        <w:jc w:val="both"/>
        <w:rPr>
          <w:rFonts w:ascii="Palatino Linotype" w:hAnsi="Palatino Linotype"/>
          <w:b/>
          <w:i/>
        </w:rPr>
      </w:pPr>
      <w:r w:rsidRPr="00221F76">
        <w:rPr>
          <w:rFonts w:ascii="Palatino Linotype" w:hAnsi="Palatino Linotype"/>
          <w:b/>
          <w:i/>
        </w:rPr>
        <w:t>...</w:t>
      </w:r>
    </w:p>
    <w:p w14:paraId="7174D49D" w14:textId="7D04B59E" w:rsidR="00DF114E" w:rsidRPr="00221F76" w:rsidRDefault="00DF114E" w:rsidP="002E604C">
      <w:pPr>
        <w:spacing w:before="120" w:after="120"/>
        <w:ind w:left="993" w:right="902"/>
        <w:jc w:val="both"/>
        <w:rPr>
          <w:rFonts w:ascii="Palatino Linotype" w:hAnsi="Palatino Linotype" w:cs="Arial"/>
          <w:bCs/>
          <w:i/>
          <w:iCs/>
          <w:sz w:val="22"/>
          <w:szCs w:val="22"/>
        </w:rPr>
      </w:pPr>
      <w:r w:rsidRPr="00221F76">
        <w:rPr>
          <w:rFonts w:ascii="Palatino Linotype" w:hAnsi="Palatino Linotype"/>
          <w:b/>
          <w:i/>
        </w:rPr>
        <w:t>V</w:t>
      </w:r>
      <w:r w:rsidR="002E604C" w:rsidRPr="00221F76">
        <w:rPr>
          <w:rFonts w:ascii="Palatino Linotype" w:hAnsi="Palatino Linotype"/>
          <w:b/>
          <w:i/>
        </w:rPr>
        <w:t>II</w:t>
      </w:r>
      <w:r w:rsidR="00412084" w:rsidRPr="00221F76">
        <w:rPr>
          <w:rFonts w:ascii="Palatino Linotype" w:hAnsi="Palatino Linotype"/>
          <w:b/>
          <w:i/>
        </w:rPr>
        <w:t>I</w:t>
      </w:r>
      <w:r w:rsidRPr="00221F76">
        <w:rPr>
          <w:rFonts w:ascii="Palatino Linotype" w:hAnsi="Palatino Linotype"/>
          <w:b/>
          <w:i/>
        </w:rPr>
        <w:t xml:space="preserve">. </w:t>
      </w:r>
      <w:r w:rsidR="002E604C" w:rsidRPr="00221F76">
        <w:rPr>
          <w:rFonts w:ascii="Palatino Linotype" w:hAnsi="Palatino Linotype"/>
          <w:bCs/>
          <w:i/>
        </w:rPr>
        <w:t>La notificación, entrega o puesta a disposición de información en una modalidad o formato distinto al solicitado;</w:t>
      </w:r>
      <w:r w:rsidRPr="00221F76">
        <w:rPr>
          <w:rFonts w:ascii="Palatino Linotype" w:hAnsi="Palatino Linotype" w:cs="Arial"/>
          <w:bCs/>
          <w:i/>
          <w:iCs/>
          <w:sz w:val="22"/>
          <w:szCs w:val="22"/>
        </w:rPr>
        <w:t>”</w:t>
      </w:r>
    </w:p>
    <w:p w14:paraId="6257BF48" w14:textId="77777777" w:rsidR="00C07C73" w:rsidRPr="00221F76" w:rsidRDefault="00C07C73" w:rsidP="00C07C73">
      <w:pPr>
        <w:spacing w:before="100" w:beforeAutospacing="1" w:after="100" w:afterAutospacing="1" w:line="360" w:lineRule="auto"/>
        <w:jc w:val="both"/>
        <w:rPr>
          <w:rFonts w:ascii="Palatino Linotype" w:hAnsi="Palatino Linotype" w:cs="Arial"/>
        </w:rPr>
      </w:pPr>
      <w:r w:rsidRPr="00221F76">
        <w:rPr>
          <w:rFonts w:ascii="Palatino Linotype" w:hAnsi="Palatino Linotype" w:cs="Arial"/>
          <w:b/>
        </w:rPr>
        <w:t xml:space="preserve">Tercero. Materia de la revisión. </w:t>
      </w:r>
      <w:r w:rsidRPr="00221F76">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221F76">
        <w:rPr>
          <w:rFonts w:ascii="Palatino Linotype" w:hAnsi="Palatino Linotype" w:cs="Arial"/>
          <w:b/>
        </w:rPr>
        <w:t xml:space="preserve">verificar si la respuesta otorgada por el Sujeto Obligado es adecuada y suficiente para satisfacer el derecho de acceso a la información pública </w:t>
      </w:r>
      <w:r w:rsidRPr="00221F76">
        <w:rPr>
          <w:rFonts w:ascii="Palatino Linotype" w:hAnsi="Palatino Linotype" w:cs="Arial"/>
        </w:rPr>
        <w:t>de la parte Recurrente, o en su defecto, en caso de ser procedente, ordenar la entrega de información oportuna.</w:t>
      </w:r>
    </w:p>
    <w:p w14:paraId="08274091" w14:textId="7BBF62FD" w:rsidR="00401522" w:rsidRPr="00221F76" w:rsidRDefault="00C07C73" w:rsidP="00401522">
      <w:pPr>
        <w:spacing w:before="240" w:after="240" w:line="360" w:lineRule="auto"/>
        <w:ind w:right="51"/>
        <w:jc w:val="both"/>
        <w:rPr>
          <w:rFonts w:ascii="Palatino Linotype" w:hAnsi="Palatino Linotype"/>
        </w:rPr>
      </w:pPr>
      <w:r w:rsidRPr="00221F76">
        <w:rPr>
          <w:rFonts w:ascii="Palatino Linotype" w:hAnsi="Palatino Linotype" w:cs="Arial"/>
          <w:b/>
        </w:rPr>
        <w:t xml:space="preserve">Cuarto. Estudio del asunto. </w:t>
      </w:r>
      <w:r w:rsidR="00401522" w:rsidRPr="00221F76">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221F76">
        <w:rPr>
          <w:rFonts w:ascii="Palatino Linotype" w:hAnsi="Palatino Linotype"/>
        </w:rPr>
        <w:t>,</w:t>
      </w:r>
      <w:r w:rsidR="00D80F8B" w:rsidRPr="00221F76">
        <w:rPr>
          <w:rFonts w:ascii="Palatino Linotype" w:hAnsi="Palatino Linotype"/>
        </w:rPr>
        <w:t xml:space="preserve"> </w:t>
      </w:r>
      <w:r w:rsidR="00401522" w:rsidRPr="00221F76">
        <w:rPr>
          <w:rFonts w:ascii="Palatino Linotype" w:hAnsi="Palatino Linotype"/>
        </w:rPr>
        <w:t>consistente en lo siguiente:</w:t>
      </w:r>
    </w:p>
    <w:p w14:paraId="7C5BA165" w14:textId="598DD930" w:rsidR="002E604C" w:rsidRPr="00221F76" w:rsidRDefault="002E604C" w:rsidP="002E604C">
      <w:pPr>
        <w:pStyle w:val="Prrafodelista"/>
        <w:numPr>
          <w:ilvl w:val="0"/>
          <w:numId w:val="11"/>
        </w:numPr>
        <w:spacing w:before="240" w:after="240" w:line="360" w:lineRule="auto"/>
        <w:ind w:right="51"/>
        <w:jc w:val="both"/>
        <w:rPr>
          <w:rFonts w:ascii="Palatino Linotype" w:hAnsi="Palatino Linotype"/>
        </w:rPr>
      </w:pPr>
      <w:bookmarkStart w:id="4" w:name="_Hlk79232538"/>
      <w:r w:rsidRPr="00221F76">
        <w:rPr>
          <w:rFonts w:ascii="Palatino Linotype" w:hAnsi="Palatino Linotype"/>
        </w:rPr>
        <w:t>Solicito los recibos de nómina de todo el personal de enero a la primera quincena de junio de 2021.</w:t>
      </w:r>
    </w:p>
    <w:p w14:paraId="1601E4E4" w14:textId="7460F275" w:rsidR="00FC770E" w:rsidRPr="00221F76" w:rsidRDefault="00401522" w:rsidP="006C079D">
      <w:pPr>
        <w:spacing w:before="240" w:after="240" w:line="360" w:lineRule="auto"/>
        <w:ind w:right="51"/>
        <w:jc w:val="both"/>
        <w:rPr>
          <w:rFonts w:ascii="Palatino Linotype" w:hAnsi="Palatino Linotype" w:cs="Arial"/>
          <w:bCs/>
          <w:szCs w:val="28"/>
        </w:rPr>
      </w:pPr>
      <w:r w:rsidRPr="00221F76">
        <w:rPr>
          <w:rFonts w:ascii="Palatino Linotype" w:hAnsi="Palatino Linotype" w:cs="Arial"/>
          <w:szCs w:val="22"/>
          <w:lang w:eastAsia="es-MX"/>
        </w:rPr>
        <w:t xml:space="preserve">En respuesta, a través de la Unidad de Transparencia, el sujeto obligado </w:t>
      </w:r>
      <w:r w:rsidR="00FC770E" w:rsidRPr="00221F76">
        <w:rPr>
          <w:rFonts w:ascii="Palatino Linotype" w:hAnsi="Palatino Linotype" w:cs="Arial"/>
          <w:bCs/>
          <w:szCs w:val="28"/>
        </w:rPr>
        <w:t xml:space="preserve">remitió el Acta número CT/ZUMPANGO/S0/006/2021, correspondiente a la </w:t>
      </w:r>
      <w:r w:rsidR="004449C1" w:rsidRPr="00221F76">
        <w:rPr>
          <w:rFonts w:ascii="Palatino Linotype" w:hAnsi="Palatino Linotype" w:cs="Arial"/>
          <w:bCs/>
          <w:szCs w:val="28"/>
        </w:rPr>
        <w:t xml:space="preserve">SEXTA SESIÓN ODINARIA celebrada el veintinueve de junio de dos mil veintiuno, </w:t>
      </w:r>
      <w:r w:rsidR="000F54E3" w:rsidRPr="00221F76">
        <w:rPr>
          <w:rFonts w:ascii="Palatino Linotype" w:hAnsi="Palatino Linotype" w:cs="Arial"/>
          <w:bCs/>
          <w:szCs w:val="28"/>
        </w:rPr>
        <w:t xml:space="preserve">en </w:t>
      </w:r>
      <w:r w:rsidR="00FE19CB" w:rsidRPr="00221F76">
        <w:rPr>
          <w:rFonts w:ascii="Palatino Linotype" w:hAnsi="Palatino Linotype" w:cs="Arial"/>
          <w:bCs/>
          <w:szCs w:val="28"/>
        </w:rPr>
        <w:t xml:space="preserve">la cual se </w:t>
      </w:r>
      <w:r w:rsidR="00FE19CB" w:rsidRPr="00221F76">
        <w:rPr>
          <w:rFonts w:ascii="Palatino Linotype" w:hAnsi="Palatino Linotype" w:cs="Arial"/>
          <w:bCs/>
          <w:szCs w:val="28"/>
        </w:rPr>
        <w:lastRenderedPageBreak/>
        <w:t>discutió</w:t>
      </w:r>
      <w:r w:rsidR="0075106A" w:rsidRPr="00221F76">
        <w:rPr>
          <w:rFonts w:ascii="Palatino Linotype" w:hAnsi="Palatino Linotype" w:cs="Arial"/>
          <w:bCs/>
          <w:szCs w:val="28"/>
        </w:rPr>
        <w:t xml:space="preserve">, como punto 7 del orden del día, </w:t>
      </w:r>
      <w:r w:rsidR="00FE19CB" w:rsidRPr="00221F76">
        <w:rPr>
          <w:rFonts w:ascii="Palatino Linotype" w:hAnsi="Palatino Linotype" w:cs="Arial"/>
          <w:bCs/>
          <w:szCs w:val="28"/>
        </w:rPr>
        <w:t>el</w:t>
      </w:r>
      <w:r w:rsidR="000F54E3" w:rsidRPr="00221F76">
        <w:rPr>
          <w:rFonts w:ascii="Palatino Linotype" w:hAnsi="Palatino Linotype" w:cs="Arial"/>
          <w:bCs/>
          <w:szCs w:val="28"/>
        </w:rPr>
        <w:t xml:space="preserve"> proyecto del</w:t>
      </w:r>
      <w:r w:rsidR="00FE19CB" w:rsidRPr="00221F76">
        <w:rPr>
          <w:rFonts w:ascii="Palatino Linotype" w:hAnsi="Palatino Linotype" w:cs="Arial"/>
          <w:bCs/>
          <w:szCs w:val="28"/>
        </w:rPr>
        <w:t xml:space="preserve"> acuerdo presentado por la Dirección de Administración, para el camb</w:t>
      </w:r>
      <w:r w:rsidR="000F54E3" w:rsidRPr="00221F76">
        <w:rPr>
          <w:rFonts w:ascii="Palatino Linotype" w:hAnsi="Palatino Linotype" w:cs="Arial"/>
          <w:bCs/>
          <w:szCs w:val="28"/>
        </w:rPr>
        <w:t>i</w:t>
      </w:r>
      <w:r w:rsidR="00FE19CB" w:rsidRPr="00221F76">
        <w:rPr>
          <w:rFonts w:ascii="Palatino Linotype" w:hAnsi="Palatino Linotype" w:cs="Arial"/>
          <w:bCs/>
          <w:szCs w:val="28"/>
        </w:rPr>
        <w:t>o de modalidad para la entrega de la informaci</w:t>
      </w:r>
      <w:r w:rsidR="000F54E3" w:rsidRPr="00221F76">
        <w:rPr>
          <w:rFonts w:ascii="Palatino Linotype" w:hAnsi="Palatino Linotype" w:cs="Arial"/>
          <w:bCs/>
          <w:szCs w:val="28"/>
        </w:rPr>
        <w:t xml:space="preserve">ón solicitada </w:t>
      </w:r>
      <w:r w:rsidR="00692CEB" w:rsidRPr="00221F76">
        <w:rPr>
          <w:rFonts w:ascii="Palatino Linotype" w:hAnsi="Palatino Linotype" w:cs="Arial"/>
          <w:bCs/>
          <w:szCs w:val="28"/>
        </w:rPr>
        <w:t xml:space="preserve">a consulta directa </w:t>
      </w:r>
      <w:r w:rsidR="000F54E3" w:rsidRPr="00221F76">
        <w:rPr>
          <w:rFonts w:ascii="Palatino Linotype" w:hAnsi="Palatino Linotype" w:cs="Arial"/>
          <w:bCs/>
          <w:szCs w:val="28"/>
        </w:rPr>
        <w:t>y la clasificación como confidencial de los datos personales contenidos en la misma, aprobado mediante el ACUERDO CT/ZUMPANGO/073/2021</w:t>
      </w:r>
      <w:r w:rsidR="0075106A" w:rsidRPr="00221F76">
        <w:rPr>
          <w:rFonts w:ascii="Palatino Linotype" w:hAnsi="Palatino Linotype" w:cs="Arial"/>
          <w:bCs/>
          <w:szCs w:val="28"/>
        </w:rPr>
        <w:t>.</w:t>
      </w:r>
    </w:p>
    <w:p w14:paraId="2D000232" w14:textId="2DB140DB" w:rsidR="0075106A" w:rsidRPr="00221F76" w:rsidRDefault="0075106A" w:rsidP="006C079D">
      <w:pPr>
        <w:spacing w:before="240" w:after="240" w:line="360" w:lineRule="auto"/>
        <w:ind w:right="51"/>
        <w:jc w:val="both"/>
        <w:rPr>
          <w:rFonts w:ascii="Palatino Linotype" w:hAnsi="Palatino Linotype" w:cs="Arial"/>
          <w:bCs/>
          <w:szCs w:val="28"/>
        </w:rPr>
      </w:pPr>
      <w:r w:rsidRPr="00221F76">
        <w:rPr>
          <w:rFonts w:ascii="Palatino Linotype" w:hAnsi="Palatino Linotype" w:cs="Arial"/>
          <w:bCs/>
          <w:szCs w:val="28"/>
        </w:rPr>
        <w:t>Cabe señalar que el Director de Administración manifestó la imposibilidad de entregar la información por la modalidad solicitada, derivado de que el área de recursos humanos cuenta solo con una persona, rebasando las capacidades técnicas y humanas, al constituir 12,500 recibos de nómina que deben escanearse de manera individual, verificando los datos sensibles o personales que deben suprimirse, labor que implica asignar 5 servidores públicos exclusivamente, que tardarían 25 días hábiles aproximadamente, dedicando 8 horas diarias para llevar a cabo la digitalizaci</w:t>
      </w:r>
      <w:r w:rsidR="00C43FD2" w:rsidRPr="00221F76">
        <w:rPr>
          <w:rFonts w:ascii="Palatino Linotype" w:hAnsi="Palatino Linotype" w:cs="Arial"/>
          <w:bCs/>
          <w:szCs w:val="28"/>
        </w:rPr>
        <w:t xml:space="preserve">ón, </w:t>
      </w:r>
      <w:r w:rsidRPr="00221F76">
        <w:rPr>
          <w:rFonts w:ascii="Palatino Linotype" w:hAnsi="Palatino Linotype" w:cs="Arial"/>
          <w:bCs/>
          <w:szCs w:val="28"/>
        </w:rPr>
        <w:t xml:space="preserve">poniendo en consecuencia, la información a disposición del particular </w:t>
      </w:r>
      <w:r w:rsidR="00C43FD2" w:rsidRPr="00221F76">
        <w:rPr>
          <w:rFonts w:ascii="Palatino Linotype" w:hAnsi="Palatino Linotype" w:cs="Arial"/>
          <w:bCs/>
          <w:szCs w:val="28"/>
        </w:rPr>
        <w:t>para su consulta en las oficinas de la Dirección de Administración.</w:t>
      </w:r>
    </w:p>
    <w:bookmarkEnd w:id="4"/>
    <w:p w14:paraId="56146CF3" w14:textId="14D8140A" w:rsidR="00C43FD2" w:rsidRPr="00221F76" w:rsidRDefault="00C43FD2" w:rsidP="000504F0">
      <w:pPr>
        <w:spacing w:before="240" w:after="240" w:line="360" w:lineRule="auto"/>
        <w:jc w:val="both"/>
        <w:rPr>
          <w:rFonts w:ascii="Palatino Linotype" w:hAnsi="Palatino Linotype" w:cs="Arial"/>
        </w:rPr>
      </w:pPr>
      <w:r w:rsidRPr="00221F76">
        <w:rPr>
          <w:rFonts w:ascii="Palatino Linotype" w:hAnsi="Palatino Linotype" w:cs="Arial"/>
        </w:rPr>
        <w:t>Una vez conocida la respuesta proporcionada, la parte solicitante interpuso el recurso de revisión que nos ocupa, señalando de manera sucinta, como motivos de inconformidad, el cambio de modalidad en la entrega de la información, argumentando que la información ya se encuentra digitalizada y se entregó al Órgano Superior de Fiscalización.</w:t>
      </w:r>
    </w:p>
    <w:p w14:paraId="68494FF1" w14:textId="77777777" w:rsidR="00FA4800" w:rsidRPr="00221F76" w:rsidRDefault="00FA4800" w:rsidP="00FA4800">
      <w:pPr>
        <w:spacing w:before="240" w:after="240" w:line="360" w:lineRule="auto"/>
        <w:jc w:val="both"/>
        <w:rPr>
          <w:rFonts w:ascii="Palatino Linotype" w:hAnsi="Palatino Linotype" w:cs="Arial"/>
          <w:lang w:val="es-MX"/>
        </w:rPr>
      </w:pPr>
      <w:r w:rsidRPr="00221F76">
        <w:rPr>
          <w:rFonts w:ascii="Palatino Linotype" w:hAnsi="Palatino Linotype"/>
        </w:rPr>
        <w:t>Una vez admitido el presente recurso de revisión, en términos del artículo 185 fracción II</w:t>
      </w:r>
      <w:r w:rsidRPr="00221F76">
        <w:rPr>
          <w:rStyle w:val="Refdenotaalpie"/>
          <w:rFonts w:ascii="Palatino Linotype" w:hAnsi="Palatino Linotype"/>
        </w:rPr>
        <w:footnoteReference w:id="1"/>
      </w:r>
      <w:r w:rsidRPr="00221F76">
        <w:rPr>
          <w:rFonts w:ascii="Palatino Linotype" w:hAnsi="Palatino Linotype"/>
        </w:rPr>
        <w:t xml:space="preserve"> de la </w:t>
      </w:r>
      <w:r w:rsidRPr="00221F76">
        <w:rPr>
          <w:rFonts w:ascii="Palatino Linotype" w:hAnsi="Palatino Linotype"/>
          <w:i/>
          <w:iCs/>
        </w:rPr>
        <w:t xml:space="preserve">Ley de Transparencia y Acceso a la Información Pública del Estado de </w:t>
      </w:r>
      <w:r w:rsidRPr="00221F76">
        <w:rPr>
          <w:rFonts w:ascii="Palatino Linotype" w:hAnsi="Palatino Linotype"/>
          <w:i/>
          <w:iCs/>
        </w:rPr>
        <w:lastRenderedPageBreak/>
        <w:t>México y Municipios</w:t>
      </w:r>
      <w:r w:rsidRPr="00221F76">
        <w:rPr>
          <w:rFonts w:ascii="Palatino Linotype" w:hAnsi="Palatino Linotype"/>
        </w:rPr>
        <w:t xml:space="preserve">, se integró el expediente y se puso a disposición de las partes para que, en un </w:t>
      </w:r>
      <w:r w:rsidRPr="00221F76">
        <w:rPr>
          <w:rFonts w:ascii="Palatino Linotype" w:hAnsi="Palatino Linotype" w:cs="Arial"/>
        </w:rPr>
        <w:t xml:space="preserve">plazo máximo de siete días hábiles, manifestaran lo que a su derecho resultara conveniente, </w:t>
      </w:r>
      <w:r w:rsidRPr="00221F76">
        <w:rPr>
          <w:rFonts w:ascii="Palatino Linotype" w:hAnsi="Palatino Linotype" w:cs="Arial"/>
          <w:lang w:val="es-MX"/>
        </w:rPr>
        <w:t>no obstante, ambas partes fueron omisas en ejercer dicha prerrogativa como se señaló anteriormente.</w:t>
      </w:r>
    </w:p>
    <w:p w14:paraId="2B40ED52" w14:textId="56239283" w:rsidR="00FA4800" w:rsidRPr="00221F76" w:rsidRDefault="00FA4800" w:rsidP="00FA4800">
      <w:pPr>
        <w:spacing w:before="240" w:after="240" w:line="360" w:lineRule="auto"/>
        <w:ind w:right="49"/>
        <w:jc w:val="both"/>
        <w:rPr>
          <w:rFonts w:ascii="Palatino Linotype" w:hAnsi="Palatino Linotype" w:cs="Arial"/>
        </w:rPr>
      </w:pPr>
      <w:r w:rsidRPr="00221F76">
        <w:rPr>
          <w:rFonts w:ascii="Palatino Linotype" w:hAnsi="Palatino Linotype" w:cs="Arial"/>
          <w:szCs w:val="28"/>
        </w:rPr>
        <w:t xml:space="preserve">En este sentido, derivado del análisis realizado en las constancias que integran el expediente, </w:t>
      </w:r>
      <w:r w:rsidRPr="00221F76">
        <w:rPr>
          <w:rFonts w:ascii="Palatino Linotype" w:hAnsi="Palatino Linotype" w:cs="Arial"/>
        </w:rPr>
        <w:t xml:space="preserve">este Órgano Garante determina procedente analizar si con la respuesta emitida por el del Sujeto Obligado a las solicitudes en estudio, se transgredió el derecho humano de acceso a la información pública del recurrente, es decir que la </w:t>
      </w:r>
      <w:r w:rsidRPr="00221F76">
        <w:rPr>
          <w:rFonts w:ascii="Palatino Linotype" w:hAnsi="Palatino Linotype" w:cs="Arial"/>
          <w:i/>
        </w:rPr>
        <w:t>Litis</w:t>
      </w:r>
      <w:r w:rsidRPr="00221F76">
        <w:rPr>
          <w:rFonts w:ascii="Palatino Linotype" w:hAnsi="Palatino Linotype" w:cs="Arial"/>
        </w:rPr>
        <w:t xml:space="preserve"> consistirá en determinar si la modalidad de entrega presentada por el Sujeto Obligado transgrede el derecho del particular.</w:t>
      </w:r>
    </w:p>
    <w:p w14:paraId="74DD3DD3" w14:textId="77777777" w:rsidR="00FA4800" w:rsidRPr="00221F76" w:rsidRDefault="00FA4800" w:rsidP="00FA4800">
      <w:pPr>
        <w:pStyle w:val="NormalWeb"/>
        <w:spacing w:line="360" w:lineRule="auto"/>
        <w:jc w:val="both"/>
        <w:rPr>
          <w:rFonts w:ascii="Palatino Linotype" w:hAnsi="Palatino Linotype" w:cs="Arial"/>
        </w:rPr>
      </w:pPr>
      <w:r w:rsidRPr="00221F76">
        <w:rPr>
          <w:rFonts w:ascii="Palatino Linotype" w:hAnsi="Palatino Linotype" w:cs="Arial"/>
        </w:rPr>
        <w:t>Lo anterior es así ya que, el Sujeto Obligado a través de su respuesta 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14:paraId="6699BC17" w14:textId="1E225943" w:rsidR="00FA4800" w:rsidRPr="00221F76" w:rsidRDefault="00FA4800" w:rsidP="00FA4800">
      <w:pPr>
        <w:autoSpaceDE w:val="0"/>
        <w:autoSpaceDN w:val="0"/>
        <w:adjustRightInd w:val="0"/>
        <w:spacing w:before="240" w:after="240" w:line="360" w:lineRule="auto"/>
        <w:jc w:val="both"/>
        <w:rPr>
          <w:rFonts w:ascii="Palatino Linotype" w:hAnsi="Palatino Linotype"/>
        </w:rPr>
      </w:pPr>
      <w:r w:rsidRPr="00221F76">
        <w:rPr>
          <w:rFonts w:ascii="Palatino Linotype" w:hAnsi="Palatino Linotype"/>
        </w:rPr>
        <w:t>Ahora bien, de la solicitud de información se desprende que el particular requirió como modalidad de entrega de la información el SAIMEX, sistema que tiene como propósito facilitar en la entidad el ejercicio del derecho humano de acceso a la información pública, de forma sencilla y gratuita.</w:t>
      </w:r>
    </w:p>
    <w:p w14:paraId="32D1A2B0" w14:textId="77777777" w:rsidR="00FA4800" w:rsidRPr="00221F76" w:rsidRDefault="00FA4800" w:rsidP="00FA4800">
      <w:pPr>
        <w:autoSpaceDE w:val="0"/>
        <w:autoSpaceDN w:val="0"/>
        <w:adjustRightInd w:val="0"/>
        <w:spacing w:before="240" w:after="240" w:line="360" w:lineRule="auto"/>
        <w:jc w:val="both"/>
        <w:rPr>
          <w:rFonts w:ascii="Palatino Linotype" w:hAnsi="Palatino Linotype"/>
        </w:rPr>
      </w:pPr>
      <w:r w:rsidRPr="00221F76">
        <w:rPr>
          <w:rFonts w:ascii="Palatino Linotype" w:hAnsi="Palatino Linotype"/>
        </w:rPr>
        <w:t xml:space="preserve">Así, la </w:t>
      </w:r>
      <w:r w:rsidRPr="00221F76">
        <w:rPr>
          <w:rFonts w:ascii="Palatino Linotype" w:hAnsi="Palatino Linotype"/>
          <w:i/>
          <w:iCs/>
        </w:rPr>
        <w:t>Ley de Transparencia y Acceso a la Información Pública del Estado de México y Municipios</w:t>
      </w:r>
      <w:r w:rsidRPr="00221F76">
        <w:rPr>
          <w:rFonts w:ascii="Palatino Linotype" w:hAnsi="Palatino Linotype"/>
        </w:rPr>
        <w:t xml:space="preserve">, privilegia el uso de las tecnologías por medios electrónicos, dando preferencia al uso de sistemas computacionales y las nuevas tecnologías en el afán </w:t>
      </w:r>
      <w:r w:rsidRPr="00221F76">
        <w:rPr>
          <w:rFonts w:ascii="Palatino Linotype" w:hAnsi="Palatino Linotype"/>
        </w:rPr>
        <w:lastRenderedPageBreak/>
        <w:t>de transitar hacia la modernización de los procesos, según se puede leer en el precepto legal que se inserta enseguida:</w:t>
      </w:r>
    </w:p>
    <w:p w14:paraId="2F5AF5BB" w14:textId="77777777" w:rsidR="00FA4800" w:rsidRPr="00221F76" w:rsidRDefault="00FA4800" w:rsidP="00FA4800">
      <w:pPr>
        <w:autoSpaceDE w:val="0"/>
        <w:autoSpaceDN w:val="0"/>
        <w:adjustRightInd w:val="0"/>
        <w:spacing w:after="120"/>
        <w:ind w:left="851" w:right="902"/>
        <w:jc w:val="both"/>
        <w:rPr>
          <w:rFonts w:ascii="Palatino Linotype" w:hAnsi="Palatino Linotype"/>
          <w:i/>
          <w:sz w:val="22"/>
          <w:szCs w:val="20"/>
        </w:rPr>
      </w:pPr>
      <w:r w:rsidRPr="00221F76">
        <w:rPr>
          <w:rFonts w:ascii="Palatino Linotype" w:hAnsi="Palatino Linotype"/>
          <w:b/>
          <w:i/>
          <w:sz w:val="22"/>
          <w:szCs w:val="20"/>
        </w:rPr>
        <w:t>“Artículo 88.</w:t>
      </w:r>
      <w:r w:rsidRPr="00221F76">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4F91DED3" w14:textId="77777777" w:rsidR="00FA4800" w:rsidRPr="00221F76" w:rsidRDefault="00FA4800" w:rsidP="00FA4800">
      <w:pPr>
        <w:autoSpaceDE w:val="0"/>
        <w:autoSpaceDN w:val="0"/>
        <w:adjustRightInd w:val="0"/>
        <w:spacing w:before="240" w:after="240" w:line="360" w:lineRule="auto"/>
        <w:jc w:val="both"/>
        <w:rPr>
          <w:rFonts w:ascii="Palatino Linotype" w:hAnsi="Palatino Linotype"/>
        </w:rPr>
      </w:pPr>
      <w:r w:rsidRPr="00221F76">
        <w:rPr>
          <w:rFonts w:ascii="Palatino Linotype" w:hAnsi="Palatino Linotype"/>
        </w:rPr>
        <w:t>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14:paraId="2A1E20F7" w14:textId="77777777" w:rsidR="00FA4800" w:rsidRPr="00221F76" w:rsidRDefault="00FA4800" w:rsidP="00FA4800">
      <w:pPr>
        <w:spacing w:before="240" w:after="240" w:line="360" w:lineRule="auto"/>
        <w:jc w:val="both"/>
        <w:rPr>
          <w:rFonts w:ascii="Palatino Linotype" w:hAnsi="Palatino Linotype" w:cs="Arial"/>
        </w:rPr>
      </w:pPr>
      <w:r w:rsidRPr="00221F76">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221F76">
        <w:rPr>
          <w:rFonts w:ascii="Palatino Linotype" w:eastAsia="Calibri" w:hAnsi="Palatino Linotype" w:cs="Arial"/>
          <w:lang w:val="es-ES_tradnl"/>
        </w:rPr>
        <w:t>adecuadamente el cambio de modalidad en la entrega de la información</w:t>
      </w:r>
      <w:r w:rsidRPr="00221F76">
        <w:rPr>
          <w:rStyle w:val="Refdenotaalpie"/>
          <w:rFonts w:ascii="Palatino Linotype" w:hAnsi="Palatino Linotype"/>
          <w:lang w:val="es-ES_tradnl"/>
        </w:rPr>
        <w:t xml:space="preserve"> </w:t>
      </w:r>
      <w:r w:rsidRPr="00221F76">
        <w:rPr>
          <w:rStyle w:val="Refdenotaalpie"/>
          <w:rFonts w:ascii="Palatino Linotype" w:hAnsi="Palatino Linotype"/>
        </w:rPr>
        <w:footnoteReference w:id="2"/>
      </w:r>
      <w:r w:rsidRPr="00221F76">
        <w:rPr>
          <w:rFonts w:ascii="Palatino Linotype" w:hAnsi="Palatino Linotype"/>
        </w:rPr>
        <w:t xml:space="preserve">, en términos de lo dispuesto en el artículo 16 de la Constitución Política de los </w:t>
      </w:r>
      <w:r w:rsidRPr="00221F76">
        <w:rPr>
          <w:rFonts w:ascii="Palatino Linotype" w:hAnsi="Palatino Linotype"/>
        </w:rPr>
        <w:lastRenderedPageBreak/>
        <w:t xml:space="preserve">Estados Unidos Mexicanos, </w:t>
      </w:r>
      <w:r w:rsidRPr="00221F76">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0E3752D" w14:textId="77777777" w:rsidR="00FA4800" w:rsidRPr="00221F76" w:rsidRDefault="00FA4800" w:rsidP="00FA4800">
      <w:pPr>
        <w:ind w:left="851" w:right="851"/>
        <w:jc w:val="both"/>
        <w:rPr>
          <w:rFonts w:ascii="Palatino Linotype" w:hAnsi="Palatino Linotype" w:cs="Arial"/>
          <w:i/>
          <w:sz w:val="22"/>
          <w:szCs w:val="20"/>
        </w:rPr>
      </w:pPr>
      <w:r w:rsidRPr="00221F76">
        <w:rPr>
          <w:rFonts w:ascii="Palatino Linotype" w:hAnsi="Palatino Linotype" w:cs="Arial"/>
          <w:b/>
          <w:bCs/>
          <w:i/>
          <w:sz w:val="22"/>
          <w:szCs w:val="20"/>
        </w:rPr>
        <w:t>“FUNDAMENTACIÓN Y MOTIVACIÓN DE LOS ACTOS ADMINISTRATIVOS</w:t>
      </w:r>
      <w:r w:rsidRPr="00221F76">
        <w:rPr>
          <w:rFonts w:ascii="Palatino Linotype" w:hAnsi="Palatino Linotype" w:cs="Arial"/>
          <w:i/>
          <w:sz w:val="22"/>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1132A33" w14:textId="26C710A5" w:rsidR="00FA4800" w:rsidRPr="00221F76" w:rsidRDefault="00FA4800" w:rsidP="00FA4800">
      <w:pPr>
        <w:autoSpaceDE w:val="0"/>
        <w:autoSpaceDN w:val="0"/>
        <w:adjustRightInd w:val="0"/>
        <w:spacing w:before="240" w:after="240" w:line="360" w:lineRule="auto"/>
        <w:jc w:val="both"/>
        <w:rPr>
          <w:rFonts w:ascii="Palatino Linotype" w:eastAsia="Calibri" w:hAnsi="Palatino Linotype" w:cs="Arial"/>
          <w:lang w:val="es-ES_tradnl"/>
        </w:rPr>
      </w:pPr>
      <w:r w:rsidRPr="00221F76">
        <w:rPr>
          <w:rFonts w:ascii="Palatino Linotype" w:hAnsi="Palatino Linotype" w:cs="Arial"/>
        </w:rPr>
        <w:t xml:space="preserve">Por su parte, el artículo 158 </w:t>
      </w:r>
      <w:r w:rsidRPr="00221F76">
        <w:rPr>
          <w:rFonts w:ascii="Palatino Linotype" w:eastAsia="Calibri" w:hAnsi="Palatino Linotype" w:cs="Arial"/>
          <w:lang w:val="es-ES_tradnl"/>
        </w:rPr>
        <w:t>de la Ley de Transparencia y Acceso a la Información Pública del Estado de México y Municipios, establece lo que es de la literalidad siguiente:</w:t>
      </w:r>
    </w:p>
    <w:p w14:paraId="27469AC1" w14:textId="77777777" w:rsidR="00FA4800" w:rsidRPr="00221F76" w:rsidRDefault="00FA4800" w:rsidP="00FA4800">
      <w:pPr>
        <w:autoSpaceDE w:val="0"/>
        <w:autoSpaceDN w:val="0"/>
        <w:adjustRightInd w:val="0"/>
        <w:ind w:left="851" w:right="900"/>
        <w:jc w:val="both"/>
        <w:rPr>
          <w:rFonts w:ascii="Palatino Linotype" w:eastAsiaTheme="minorHAnsi" w:hAnsi="Palatino Linotype" w:cs="Arial"/>
          <w:i/>
          <w:sz w:val="22"/>
          <w:szCs w:val="20"/>
          <w:lang w:eastAsia="en-US"/>
        </w:rPr>
      </w:pPr>
      <w:r w:rsidRPr="00221F76">
        <w:rPr>
          <w:rFonts w:ascii="Palatino Linotype" w:eastAsiaTheme="minorHAnsi" w:hAnsi="Palatino Linotype" w:cs="Arial"/>
          <w:b/>
          <w:bCs/>
          <w:i/>
          <w:sz w:val="22"/>
          <w:szCs w:val="22"/>
          <w:lang w:eastAsia="en-US"/>
        </w:rPr>
        <w:lastRenderedPageBreak/>
        <w:t xml:space="preserve"> </w:t>
      </w:r>
      <w:r w:rsidRPr="00221F76">
        <w:rPr>
          <w:rFonts w:ascii="Palatino Linotype" w:eastAsiaTheme="minorHAnsi" w:hAnsi="Palatino Linotype" w:cs="Arial"/>
          <w:b/>
          <w:bCs/>
          <w:i/>
          <w:sz w:val="22"/>
          <w:szCs w:val="20"/>
          <w:lang w:eastAsia="en-US"/>
        </w:rPr>
        <w:t xml:space="preserve">“Artículo 158. </w:t>
      </w:r>
      <w:r w:rsidRPr="00221F76">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221F76">
        <w:rPr>
          <w:rFonts w:ascii="Palatino Linotype" w:eastAsiaTheme="minorHAnsi" w:hAnsi="Palatino Linotype" w:cs="Arial"/>
          <w:b/>
          <w:i/>
          <w:sz w:val="22"/>
          <w:szCs w:val="20"/>
          <w:lang w:eastAsia="en-US"/>
        </w:rPr>
        <w:t>documentos cuya entrega o reproducción sobrepase las capacidades técnicas administrativas y humana</w:t>
      </w:r>
      <w:r w:rsidRPr="00221F76">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14:paraId="5AABA8BE" w14:textId="77777777" w:rsidR="00FA4800" w:rsidRPr="00221F76" w:rsidRDefault="00FA4800" w:rsidP="00FA4800">
      <w:pPr>
        <w:autoSpaceDE w:val="0"/>
        <w:autoSpaceDN w:val="0"/>
        <w:adjustRightInd w:val="0"/>
        <w:spacing w:before="120"/>
        <w:ind w:left="851" w:right="902"/>
        <w:jc w:val="both"/>
        <w:rPr>
          <w:rFonts w:ascii="Palatino Linotype" w:eastAsia="Calibri" w:hAnsi="Palatino Linotype" w:cs="Arial"/>
          <w:b/>
          <w:i/>
          <w:sz w:val="22"/>
          <w:szCs w:val="20"/>
          <w:lang w:val="es-ES_tradnl"/>
        </w:rPr>
      </w:pPr>
      <w:r w:rsidRPr="00221F76">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221F76">
        <w:rPr>
          <w:rFonts w:ascii="Palatino Linotype" w:eastAsiaTheme="minorHAnsi" w:hAnsi="Palatino Linotype" w:cs="Arial"/>
          <w:b/>
          <w:i/>
          <w:sz w:val="22"/>
          <w:szCs w:val="20"/>
          <w:lang w:eastAsia="en-US"/>
        </w:rPr>
        <w:t>”</w:t>
      </w:r>
    </w:p>
    <w:p w14:paraId="06755792" w14:textId="77777777" w:rsidR="00FA4800" w:rsidRPr="00221F76" w:rsidRDefault="00FA4800" w:rsidP="00FA4800">
      <w:pPr>
        <w:spacing w:before="240" w:after="240" w:line="360" w:lineRule="auto"/>
        <w:jc w:val="both"/>
        <w:rPr>
          <w:rFonts w:ascii="Palatino Linotype" w:hAnsi="Palatino Linotype" w:cs="Arial"/>
        </w:rPr>
      </w:pPr>
      <w:r w:rsidRPr="00221F76">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29F80927" w14:textId="522D509A" w:rsidR="00FA4800" w:rsidRPr="00221F76" w:rsidRDefault="00653734" w:rsidP="00FA4800">
      <w:pPr>
        <w:tabs>
          <w:tab w:val="left" w:pos="8222"/>
        </w:tabs>
        <w:autoSpaceDE w:val="0"/>
        <w:autoSpaceDN w:val="0"/>
        <w:adjustRightInd w:val="0"/>
        <w:spacing w:before="240" w:after="240" w:line="360" w:lineRule="auto"/>
        <w:ind w:right="-91"/>
        <w:jc w:val="both"/>
        <w:rPr>
          <w:rFonts w:ascii="Palatino Linotype" w:hAnsi="Palatino Linotype"/>
        </w:rPr>
      </w:pPr>
      <w:r w:rsidRPr="00221F76">
        <w:rPr>
          <w:rFonts w:ascii="Palatino Linotype" w:hAnsi="Palatino Linotype" w:cs="Arial"/>
        </w:rPr>
        <w:t xml:space="preserve">En tal contexto, </w:t>
      </w:r>
      <w:r w:rsidR="00FA4800" w:rsidRPr="00221F76">
        <w:rPr>
          <w:rFonts w:ascii="Palatino Linotype" w:hAnsi="Palatino Linotype" w:cs="Arial"/>
        </w:rPr>
        <w:t xml:space="preserve">se puede concluir, que los sujetos obligados deben proporcionar la información en la modalidad solicitada por los particulares para la entrega de la información, en el caso concreto, </w:t>
      </w:r>
      <w:r w:rsidR="00FA4800" w:rsidRPr="00221F76">
        <w:rPr>
          <w:rFonts w:ascii="Palatino Linotype" w:hAnsi="Palatino Linotype"/>
        </w:rPr>
        <w:t xml:space="preserve">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14:paraId="69E851AF" w14:textId="77777777" w:rsidR="0079349E" w:rsidRPr="00221F76" w:rsidRDefault="00FA4800" w:rsidP="00653734">
      <w:pPr>
        <w:spacing w:before="240" w:after="240" w:line="360" w:lineRule="auto"/>
        <w:ind w:right="51"/>
        <w:jc w:val="both"/>
        <w:rPr>
          <w:rFonts w:ascii="Palatino Linotype" w:hAnsi="Palatino Linotype" w:cs="Arial"/>
        </w:rPr>
      </w:pPr>
      <w:r w:rsidRPr="00221F76">
        <w:rPr>
          <w:rFonts w:ascii="Palatino Linotype" w:hAnsi="Palatino Linotype" w:cs="Arial"/>
        </w:rPr>
        <w:t xml:space="preserve">Ahora bien, retomando el caso en concreto, se puede advertir de la respuesta inicial que el Sujeto Obligado libremente determinó la procedencia del cambio en la modalidad de entrega, argumentando la imposibilidad de atender la solicitud que nos ocupa, </w:t>
      </w:r>
      <w:r w:rsidR="00653734" w:rsidRPr="00221F76">
        <w:rPr>
          <w:rFonts w:ascii="Palatino Linotype" w:hAnsi="Palatino Linotype" w:cs="Arial"/>
        </w:rPr>
        <w:t xml:space="preserve">argumentando la falta de personal para atender </w:t>
      </w:r>
      <w:r w:rsidR="00672F64" w:rsidRPr="00221F76">
        <w:rPr>
          <w:rFonts w:ascii="Palatino Linotype" w:hAnsi="Palatino Linotype" w:cs="Arial"/>
        </w:rPr>
        <w:t>la solicitud</w:t>
      </w:r>
      <w:r w:rsidR="0079349E" w:rsidRPr="00221F76">
        <w:rPr>
          <w:rFonts w:ascii="Palatino Linotype" w:hAnsi="Palatino Linotype" w:cs="Arial"/>
        </w:rPr>
        <w:t>, aunado a la cantidad de documentos que deben escanearse de manera individual.</w:t>
      </w:r>
    </w:p>
    <w:p w14:paraId="202DDD69" w14:textId="10AD1023" w:rsidR="00653734" w:rsidRPr="00221F76" w:rsidRDefault="0079349E" w:rsidP="00653734">
      <w:pPr>
        <w:spacing w:before="240" w:after="240" w:line="360" w:lineRule="auto"/>
        <w:ind w:right="51"/>
        <w:jc w:val="both"/>
        <w:rPr>
          <w:rFonts w:ascii="Palatino Linotype" w:hAnsi="Palatino Linotype" w:cs="Arial"/>
        </w:rPr>
      </w:pPr>
      <w:r w:rsidRPr="00221F76">
        <w:rPr>
          <w:rFonts w:ascii="Palatino Linotype" w:hAnsi="Palatino Linotype" w:cs="Arial"/>
        </w:rPr>
        <w:lastRenderedPageBreak/>
        <w:t>No obsta mencionar que por la naturaleza de la información, esta se genera de forma electrónica, es decir, que contrario a lo señalado por el sujeto obligado, no es necesario que se lleve a cabo un procedimiento de digitalización, pues los comprobantes fiscales digitales por internet, CFDIs, se generan mediante un sistema electrónico, para ser enviados al Servicio de Administración Tributaria.</w:t>
      </w:r>
    </w:p>
    <w:p w14:paraId="7391F0D4" w14:textId="77777777" w:rsidR="0079349E" w:rsidRPr="00221F76" w:rsidRDefault="0079349E" w:rsidP="0079349E">
      <w:pPr>
        <w:spacing w:before="240" w:after="240" w:line="360" w:lineRule="auto"/>
        <w:jc w:val="both"/>
        <w:rPr>
          <w:rFonts w:ascii="Palatino Linotype" w:hAnsi="Palatino Linotype"/>
        </w:rPr>
      </w:pPr>
      <w:r w:rsidRPr="00221F76">
        <w:rPr>
          <w:rFonts w:ascii="Palatino Linotype" w:hAnsi="Palatino Linotype"/>
        </w:rPr>
        <w:t xml:space="preserve">En ese </w:t>
      </w:r>
      <w:r w:rsidRPr="00221F76">
        <w:rPr>
          <w:rFonts w:ascii="Palatino Linotype" w:hAnsi="Palatino Linotype" w:cs="Arial"/>
        </w:rPr>
        <w:t>entendido, los Sujetos Obligados deben otorgar acceso a los documentos que se encuentren en sus archivos o que estén obligados a documentar de acuerdo con sus facultades, competencias o funciones en el formato que el solicitante manifieste. En añadidura el artículo 164 de la Ley en comento prevé, que el acceso a la información pública se dará en la modalidad de entrega solicitada, empero en caso de ofrecer otra u otras modalidades de entrega deberá fundar y motivar su respuesta, conforme a lo siguiente:</w:t>
      </w:r>
    </w:p>
    <w:p w14:paraId="40D0F96A" w14:textId="77777777" w:rsidR="0079349E" w:rsidRPr="00221F76" w:rsidRDefault="0079349E" w:rsidP="0079349E">
      <w:pPr>
        <w:spacing w:after="120"/>
        <w:ind w:left="851" w:right="851"/>
        <w:jc w:val="both"/>
        <w:rPr>
          <w:rFonts w:ascii="Palatino Linotype" w:hAnsi="Palatino Linotype" w:cs="Arial"/>
          <w:i/>
          <w:sz w:val="22"/>
          <w:szCs w:val="20"/>
        </w:rPr>
      </w:pPr>
      <w:r w:rsidRPr="00221F76">
        <w:rPr>
          <w:rFonts w:ascii="Palatino Linotype" w:hAnsi="Palatino Linotype" w:cs="Arial"/>
          <w:b/>
          <w:i/>
          <w:sz w:val="22"/>
          <w:szCs w:val="20"/>
        </w:rPr>
        <w:t>“Artículo 160.</w:t>
      </w:r>
      <w:r w:rsidRPr="00221F76">
        <w:rPr>
          <w:rFonts w:ascii="Palatino Linotype" w:hAnsi="Palatino Linotype" w:cs="Arial"/>
          <w:i/>
          <w:sz w:val="22"/>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FD2FDA" w14:textId="77777777" w:rsidR="0079349E" w:rsidRPr="00221F76" w:rsidRDefault="0079349E" w:rsidP="0079349E">
      <w:pPr>
        <w:spacing w:after="120"/>
        <w:ind w:left="851" w:right="851"/>
        <w:jc w:val="both"/>
        <w:rPr>
          <w:rFonts w:ascii="Palatino Linotype" w:hAnsi="Palatino Linotype" w:cs="Arial"/>
          <w:i/>
          <w:sz w:val="22"/>
          <w:szCs w:val="20"/>
        </w:rPr>
      </w:pPr>
      <w:r w:rsidRPr="00221F76">
        <w:rPr>
          <w:rFonts w:ascii="Palatino Linotype" w:hAnsi="Palatino Linotype" w:cs="Arial"/>
          <w:b/>
          <w:i/>
          <w:sz w:val="22"/>
          <w:szCs w:val="20"/>
        </w:rPr>
        <w:t>Artículo 164.</w:t>
      </w:r>
      <w:r w:rsidRPr="00221F76">
        <w:rPr>
          <w:rFonts w:ascii="Palatino Linotype" w:hAnsi="Palatino Linotype" w:cs="Arial"/>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2ECA9A61" w14:textId="12633D5E" w:rsidR="00FA4800" w:rsidRPr="00221F76" w:rsidRDefault="00354198" w:rsidP="00FA4800">
      <w:pPr>
        <w:spacing w:before="240" w:after="240" w:line="360" w:lineRule="auto"/>
        <w:jc w:val="both"/>
        <w:rPr>
          <w:rFonts w:ascii="Palatino Linotype" w:hAnsi="Palatino Linotype"/>
        </w:rPr>
      </w:pPr>
      <w:r w:rsidRPr="00221F76">
        <w:rPr>
          <w:rFonts w:ascii="Palatino Linotype" w:hAnsi="Palatino Linotype"/>
        </w:rPr>
        <w:t xml:space="preserve">Asimismo, </w:t>
      </w:r>
      <w:r w:rsidR="0002734C" w:rsidRPr="00221F76">
        <w:rPr>
          <w:rFonts w:ascii="Palatino Linotype" w:hAnsi="Palatino Linotype"/>
        </w:rPr>
        <w:t xml:space="preserve">es importante hacer mención sobre el hecho de que el servidor público habilitado </w:t>
      </w:r>
      <w:r w:rsidRPr="00221F76">
        <w:rPr>
          <w:rFonts w:ascii="Palatino Linotype" w:hAnsi="Palatino Linotype"/>
        </w:rPr>
        <w:t>manifestó</w:t>
      </w:r>
      <w:r w:rsidR="00FA4800" w:rsidRPr="00221F76">
        <w:rPr>
          <w:rFonts w:ascii="Palatino Linotype" w:hAnsi="Palatino Linotype"/>
        </w:rPr>
        <w:t xml:space="preserve"> imposibilidad para entrega de la información por la falta de capacidad técnica y</w:t>
      </w:r>
      <w:r w:rsidR="0079349E" w:rsidRPr="00221F76">
        <w:rPr>
          <w:rFonts w:ascii="Palatino Linotype" w:hAnsi="Palatino Linotype"/>
        </w:rPr>
        <w:t xml:space="preserve"> humana</w:t>
      </w:r>
      <w:r w:rsidRPr="00221F76">
        <w:rPr>
          <w:rFonts w:ascii="Palatino Linotype" w:hAnsi="Palatino Linotype"/>
        </w:rPr>
        <w:t xml:space="preserve">, </w:t>
      </w:r>
      <w:r w:rsidR="0002734C" w:rsidRPr="00221F76">
        <w:rPr>
          <w:rFonts w:ascii="Palatino Linotype" w:hAnsi="Palatino Linotype"/>
        </w:rPr>
        <w:t xml:space="preserve">solicitando la presencia del particular en las instalaciones del sujeto obligado, no obstante, no debe perderse de vista que, con </w:t>
      </w:r>
      <w:r w:rsidR="00FA4800" w:rsidRPr="00221F76">
        <w:rPr>
          <w:rFonts w:ascii="Palatino Linotype" w:hAnsi="Palatino Linotype"/>
        </w:rPr>
        <w:t xml:space="preserve">motivo de la contención en la propagación del virus SARS-CoV-2 causante de la </w:t>
      </w:r>
      <w:r w:rsidR="00FA4800" w:rsidRPr="00221F76">
        <w:rPr>
          <w:rFonts w:ascii="Palatino Linotype" w:hAnsi="Palatino Linotype"/>
        </w:rPr>
        <w:lastRenderedPageBreak/>
        <w:t xml:space="preserve">enfermedad por coronavirus de 2019 (COVID-19), </w:t>
      </w:r>
      <w:r w:rsidR="0002734C" w:rsidRPr="00221F76">
        <w:rPr>
          <w:rFonts w:ascii="Palatino Linotype" w:hAnsi="Palatino Linotype"/>
        </w:rPr>
        <w:t xml:space="preserve">el aforo a determinados espacios se encuentra limitado, por lo que </w:t>
      </w:r>
      <w:r w:rsidR="00FA4800" w:rsidRPr="00221F76">
        <w:rPr>
          <w:rFonts w:ascii="Palatino Linotype" w:hAnsi="Palatino Linotype"/>
        </w:rPr>
        <w:t xml:space="preserve">la misma emergencia sanitaria nos obligó a emplear en la “nueva normalidad” herramientas digitales, bajo la premisa de que es obligación de todo gobierno, garantizar la integridad de las personas, en su vida, bienestar y salud.   </w:t>
      </w:r>
    </w:p>
    <w:p w14:paraId="2D914A70" w14:textId="77777777" w:rsidR="00FA4800" w:rsidRPr="00221F76" w:rsidRDefault="00FA4800" w:rsidP="00FA4800">
      <w:pPr>
        <w:spacing w:before="240" w:after="240" w:line="360" w:lineRule="auto"/>
        <w:jc w:val="both"/>
        <w:rPr>
          <w:rFonts w:ascii="Palatino Linotype" w:hAnsi="Palatino Linotype"/>
        </w:rPr>
      </w:pPr>
      <w:r w:rsidRPr="00221F76">
        <w:rPr>
          <w:rFonts w:ascii="Palatino Linotype" w:hAnsi="Palatino Linotype"/>
        </w:rPr>
        <w:t>Entonces, los sujetos obligados deben garantizar el derecho a la protección de la salud de toda persona, consagrado en el párrafo cuarto, del artículo 4 de la Constitución Política de los Estados Unidos Mexicanos, tan es así, que los diferentes Órganos de Gobierno, han exhortado a la ciudadanía para que se abstenga de realizar actividades fuera de casa, mantener la sana distancia y las medidas básicas de higiene, con el fin de evitar un mayor número de contagios.</w:t>
      </w:r>
    </w:p>
    <w:p w14:paraId="39E1844D" w14:textId="77777777" w:rsidR="00FA4800" w:rsidRPr="00221F76" w:rsidRDefault="00FA4800" w:rsidP="00FA4800">
      <w:pPr>
        <w:spacing w:before="240" w:after="240" w:line="360" w:lineRule="auto"/>
        <w:jc w:val="both"/>
        <w:rPr>
          <w:rFonts w:ascii="Palatino Linotype" w:hAnsi="Palatino Linotype"/>
        </w:rPr>
      </w:pPr>
      <w:r w:rsidRPr="00221F76">
        <w:rPr>
          <w:rFonts w:ascii="Palatino Linotype" w:hAnsi="Palatino Linotype"/>
        </w:rPr>
        <w:t>Por lo que se puede concluir que, una de las acciones que no ponen en riesgo la salud de la población, ante la emergencia sanitaria por causa de fuerza mayor a la epidemia de enfermedad generada por el virus SARS-CoV-2 (Covid-19), es que, los sujetos obligados faciliten el acceso a la información mediante SAIMEX o bien, mediante alguna de las modalidades contempladas en la Ley, que se apegue a la requerida por el particular.</w:t>
      </w:r>
    </w:p>
    <w:p w14:paraId="1B9D611B" w14:textId="77777777" w:rsidR="00FA4800" w:rsidRPr="00221F76" w:rsidRDefault="00FA4800" w:rsidP="00FA4800">
      <w:pPr>
        <w:spacing w:before="240" w:after="240" w:line="360" w:lineRule="auto"/>
        <w:jc w:val="both"/>
        <w:rPr>
          <w:rFonts w:ascii="Palatino Linotype" w:hAnsi="Palatino Linotype"/>
        </w:rPr>
      </w:pPr>
      <w:r w:rsidRPr="00221F76">
        <w:rPr>
          <w:rFonts w:ascii="Palatino Linotype" w:hAnsi="Palatino Linotype"/>
          <w:b/>
          <w:bCs/>
        </w:rPr>
        <w:t>Bajo tales consideraciones, es que se considera como improcedente el cambio de modalidad pretendida por el Sujeto Obligado para la entrega de la información a través de consulta directa ya que con la respuesta pronunciada se pudo advertir que la información de donde se desprende lo requerido obra en sus archivos</w:t>
      </w:r>
      <w:r w:rsidRPr="00221F76">
        <w:rPr>
          <w:rFonts w:ascii="Palatino Linotype" w:hAnsi="Palatino Linotype"/>
        </w:rPr>
        <w:t xml:space="preserve">,  por lo cual para tener por satisfecho cabalmente el derecho del particular se considera </w:t>
      </w:r>
      <w:r w:rsidRPr="00221F76">
        <w:rPr>
          <w:rFonts w:ascii="Palatino Linotype" w:hAnsi="Palatino Linotype"/>
        </w:rPr>
        <w:lastRenderedPageBreak/>
        <w:t>procedente ordenar la entrega de la información a través de la modalidad elegida por el particular.</w:t>
      </w:r>
    </w:p>
    <w:p w14:paraId="5D46582F" w14:textId="56E5E76E" w:rsidR="0002734C" w:rsidRPr="00221F76" w:rsidRDefault="00FA4800" w:rsidP="00FA4800">
      <w:pPr>
        <w:spacing w:before="240" w:after="240" w:line="360" w:lineRule="auto"/>
        <w:jc w:val="both"/>
        <w:rPr>
          <w:rFonts w:ascii="Palatino Linotype" w:hAnsi="Palatino Linotype"/>
          <w:szCs w:val="22"/>
        </w:rPr>
      </w:pPr>
      <w:r w:rsidRPr="00221F76">
        <w:rPr>
          <w:rFonts w:ascii="Palatino Linotype" w:hAnsi="Palatino Linotype"/>
        </w:rPr>
        <w:t xml:space="preserve">Con base en lo expuesto, este órgano Garante estima que, para satisfacer el derecho de acceso accionado por la parte recurrente, </w:t>
      </w:r>
      <w:r w:rsidRPr="00221F76">
        <w:rPr>
          <w:rFonts w:ascii="Palatino Linotype" w:hAnsi="Palatino Linotype"/>
          <w:szCs w:val="22"/>
        </w:rPr>
        <w:t>lo procedente es ordenar al sujeto obligado</w:t>
      </w:r>
      <w:r w:rsidR="0002734C" w:rsidRPr="00221F76">
        <w:rPr>
          <w:rFonts w:ascii="Palatino Linotype" w:hAnsi="Palatino Linotype"/>
          <w:szCs w:val="22"/>
        </w:rPr>
        <w:t xml:space="preserve">, que </w:t>
      </w:r>
      <w:r w:rsidRPr="00221F76">
        <w:rPr>
          <w:rFonts w:ascii="Palatino Linotype" w:hAnsi="Palatino Linotype"/>
          <w:szCs w:val="22"/>
        </w:rPr>
        <w:t>haga entrega de</w:t>
      </w:r>
      <w:r w:rsidR="0002734C" w:rsidRPr="00221F76">
        <w:rPr>
          <w:rFonts w:ascii="Palatino Linotype" w:hAnsi="Palatino Linotype"/>
          <w:szCs w:val="22"/>
        </w:rPr>
        <w:t xml:space="preserve"> los recibos de nómina de todo el personal adscrito, generados desde la primera quincena de enero a la primera quincena de junio de dos mil veintiuno, en versión pública conforme al considerando siguiente.</w:t>
      </w:r>
    </w:p>
    <w:p w14:paraId="7E98E70F" w14:textId="77777777" w:rsidR="00FA4800" w:rsidRPr="00221F76" w:rsidRDefault="00FA4800" w:rsidP="00FA4800">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sidRPr="00221F76">
        <w:rPr>
          <w:rFonts w:ascii="Palatino Linotype" w:eastAsiaTheme="minorEastAsia" w:hAnsi="Palatino Linotype" w:cs="Bookman Old Style"/>
          <w:b/>
          <w:szCs w:val="28"/>
          <w:lang w:val="es-MX"/>
        </w:rPr>
        <w:t xml:space="preserve">Quinto. Versión Pública. </w:t>
      </w:r>
      <w:r w:rsidRPr="00221F76">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221F76">
        <w:rPr>
          <w:rFonts w:ascii="Palatino Linotype" w:eastAsiaTheme="minorEastAsia" w:hAnsi="Palatino Linotype" w:cs="Bookman Old Style"/>
          <w:b/>
          <w:lang w:val="es-MX"/>
        </w:rPr>
        <w:t>Sujeto Obligado</w:t>
      </w:r>
      <w:r w:rsidRPr="00221F76">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4AE533A5" w14:textId="77777777" w:rsidR="00FA4800" w:rsidRPr="00221F76" w:rsidRDefault="00FA4800" w:rsidP="00FA4800">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
          <w:b/>
          <w:i/>
          <w:sz w:val="20"/>
          <w:szCs w:val="20"/>
          <w:lang w:val="es-MX"/>
        </w:rPr>
        <w:t xml:space="preserve">“Artículo 3. </w:t>
      </w:r>
      <w:r w:rsidRPr="00221F76">
        <w:rPr>
          <w:rFonts w:ascii="Palatino Linotype" w:eastAsiaTheme="minorEastAsia" w:hAnsi="Palatino Linotype" w:cs="Bookman Old Style"/>
          <w:i/>
          <w:sz w:val="20"/>
          <w:szCs w:val="20"/>
          <w:lang w:val="es-MX"/>
        </w:rPr>
        <w:t>Para los efectos de la presente Ley se entenderá por:</w:t>
      </w:r>
    </w:p>
    <w:p w14:paraId="55FB0AE5" w14:textId="77777777" w:rsidR="00FA4800" w:rsidRPr="00221F76" w:rsidRDefault="00FA4800" w:rsidP="00FA4800">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
          <w:b/>
          <w:i/>
          <w:sz w:val="20"/>
          <w:szCs w:val="20"/>
          <w:lang w:val="es-MX"/>
        </w:rPr>
        <w:t>(…</w:t>
      </w:r>
      <w:r w:rsidRPr="00221F76">
        <w:rPr>
          <w:rFonts w:ascii="Palatino Linotype" w:eastAsiaTheme="minorEastAsia" w:hAnsi="Palatino Linotype" w:cs="Bookman Old Style"/>
          <w:i/>
          <w:sz w:val="20"/>
          <w:szCs w:val="20"/>
          <w:lang w:val="es-MX"/>
        </w:rPr>
        <w:t>)</w:t>
      </w:r>
    </w:p>
    <w:p w14:paraId="1ADDD7BF" w14:textId="77777777" w:rsidR="00FA4800" w:rsidRPr="00221F76" w:rsidRDefault="00FA4800" w:rsidP="00FA4800">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Bold"/>
          <w:b/>
          <w:bCs/>
          <w:i/>
          <w:sz w:val="20"/>
          <w:szCs w:val="20"/>
          <w:lang w:val="es-MX"/>
        </w:rPr>
        <w:t xml:space="preserve">IX. Datos personales: </w:t>
      </w:r>
      <w:r w:rsidRPr="00221F76">
        <w:rPr>
          <w:rFonts w:ascii="Palatino Linotype" w:eastAsiaTheme="minorEastAsia" w:hAnsi="Palatino Linotype" w:cs="Bookman Old Style"/>
          <w:i/>
          <w:sz w:val="20"/>
          <w:szCs w:val="20"/>
          <w:lang w:val="es-MX"/>
        </w:rPr>
        <w:t>La información concerniente a una persona, identificada o identificable según lo dispuesto por la Ley de Protección de Datos Personales del Estado de México;</w:t>
      </w:r>
    </w:p>
    <w:p w14:paraId="4BAA8B16" w14:textId="77777777" w:rsidR="00FA4800" w:rsidRPr="00221F76" w:rsidRDefault="00FA4800" w:rsidP="00FA4800">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Bold"/>
          <w:b/>
          <w:bCs/>
          <w:i/>
          <w:sz w:val="20"/>
          <w:szCs w:val="20"/>
          <w:lang w:val="es-MX"/>
        </w:rPr>
        <w:t>(…</w:t>
      </w:r>
      <w:r w:rsidRPr="00221F76">
        <w:rPr>
          <w:rFonts w:ascii="Palatino Linotype" w:eastAsiaTheme="minorEastAsia" w:hAnsi="Palatino Linotype" w:cs="Bookman Old Style"/>
          <w:i/>
          <w:sz w:val="20"/>
          <w:szCs w:val="20"/>
          <w:lang w:val="es-MX"/>
        </w:rPr>
        <w:t>).”</w:t>
      </w:r>
    </w:p>
    <w:p w14:paraId="68A69685" w14:textId="77777777" w:rsidR="00FA4800" w:rsidRPr="00221F76" w:rsidRDefault="00FA4800" w:rsidP="00FA4800">
      <w:pPr>
        <w:autoSpaceDE w:val="0"/>
        <w:autoSpaceDN w:val="0"/>
        <w:adjustRightInd w:val="0"/>
        <w:ind w:left="851" w:right="900"/>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Bold"/>
          <w:b/>
          <w:bCs/>
          <w:i/>
          <w:sz w:val="20"/>
          <w:szCs w:val="20"/>
          <w:lang w:val="es-MX"/>
        </w:rPr>
        <w:t xml:space="preserve">“Artículo 143. </w:t>
      </w:r>
      <w:r w:rsidRPr="00221F76">
        <w:rPr>
          <w:rFonts w:ascii="Palatino Linotype" w:eastAsiaTheme="minorEastAsia" w:hAnsi="Palatino Linotype" w:cs="Bookman Old Style"/>
          <w:i/>
          <w:sz w:val="20"/>
          <w:szCs w:val="20"/>
          <w:lang w:val="es-MX"/>
        </w:rPr>
        <w:t>Para los efectos de esta Ley se considera información confidencial, la clasificada como tal, de manera permanente, por su naturaleza, cuando:</w:t>
      </w:r>
    </w:p>
    <w:p w14:paraId="59E949C0" w14:textId="77777777" w:rsidR="00FA4800" w:rsidRPr="00221F76" w:rsidRDefault="00FA4800" w:rsidP="00FA4800">
      <w:pPr>
        <w:autoSpaceDE w:val="0"/>
        <w:autoSpaceDN w:val="0"/>
        <w:adjustRightInd w:val="0"/>
        <w:ind w:left="1134" w:right="900"/>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Bold"/>
          <w:b/>
          <w:bCs/>
          <w:i/>
          <w:sz w:val="20"/>
          <w:szCs w:val="20"/>
          <w:lang w:val="es-MX"/>
        </w:rPr>
        <w:t xml:space="preserve">I. </w:t>
      </w:r>
      <w:r w:rsidRPr="00221F76">
        <w:rPr>
          <w:rFonts w:ascii="Palatino Linotype" w:eastAsiaTheme="minorEastAsia" w:hAnsi="Palatino Linotype" w:cs="Bookman Old Style"/>
          <w:i/>
          <w:sz w:val="20"/>
          <w:szCs w:val="20"/>
          <w:lang w:val="es-MX"/>
        </w:rPr>
        <w:t>Se refiera a la información privada y los datos personales concernientes a una persona física o jurídico colectiva identificada o identificable;</w:t>
      </w:r>
    </w:p>
    <w:p w14:paraId="65BF37FE" w14:textId="77777777" w:rsidR="00FA4800" w:rsidRPr="00221F76" w:rsidRDefault="00FA4800" w:rsidP="00FA4800">
      <w:pPr>
        <w:autoSpaceDE w:val="0"/>
        <w:autoSpaceDN w:val="0"/>
        <w:adjustRightInd w:val="0"/>
        <w:ind w:left="1134" w:right="900"/>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Bold"/>
          <w:b/>
          <w:bCs/>
          <w:i/>
          <w:sz w:val="20"/>
          <w:szCs w:val="20"/>
          <w:lang w:val="es-MX"/>
        </w:rPr>
        <w:t xml:space="preserve">II. </w:t>
      </w:r>
      <w:r w:rsidRPr="00221F76">
        <w:rPr>
          <w:rFonts w:ascii="Palatino Linotype" w:eastAsiaTheme="minorEastAsia" w:hAnsi="Palatino Linotype" w:cs="Bookman Old Style"/>
          <w:i/>
          <w:sz w:val="20"/>
          <w:szCs w:val="20"/>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73D40507" w14:textId="77777777" w:rsidR="00FA4800" w:rsidRPr="00221F76" w:rsidRDefault="00FA4800" w:rsidP="00FA4800">
      <w:pPr>
        <w:autoSpaceDE w:val="0"/>
        <w:autoSpaceDN w:val="0"/>
        <w:adjustRightInd w:val="0"/>
        <w:ind w:left="1134" w:right="900"/>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Bold"/>
          <w:b/>
          <w:bCs/>
          <w:i/>
          <w:sz w:val="20"/>
          <w:szCs w:val="20"/>
          <w:lang w:val="es-MX"/>
        </w:rPr>
        <w:lastRenderedPageBreak/>
        <w:t xml:space="preserve">III. </w:t>
      </w:r>
      <w:r w:rsidRPr="00221F76">
        <w:rPr>
          <w:rFonts w:ascii="Palatino Linotype" w:eastAsiaTheme="minorEastAsia" w:hAnsi="Palatino Linotype" w:cs="Bookman Old Style"/>
          <w:i/>
          <w:sz w:val="20"/>
          <w:szCs w:val="20"/>
          <w:lang w:val="es-MX"/>
        </w:rPr>
        <w:t>La que presenten los particulares a los sujetos obligados, de conformidad con lo dispuesto por las leyes o los tratados internacionales.</w:t>
      </w:r>
    </w:p>
    <w:p w14:paraId="27D1E41E" w14:textId="77777777" w:rsidR="00FA4800" w:rsidRPr="00221F76" w:rsidRDefault="00FA4800" w:rsidP="00FA4800">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
          <w:i/>
          <w:sz w:val="20"/>
          <w:szCs w:val="20"/>
          <w:lang w:val="es-MX"/>
        </w:rPr>
        <w:t>La información confidencial no estará sujeta a temporalidad alguna y sólo podrán tener acceso a ella los titulares de la misma, sus representantes y los servidores públicos facultados para ello.</w:t>
      </w:r>
    </w:p>
    <w:p w14:paraId="3A290F11" w14:textId="77777777" w:rsidR="00FA4800" w:rsidRPr="00221F76" w:rsidRDefault="00FA4800" w:rsidP="00FA4800">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221F76">
        <w:rPr>
          <w:rFonts w:ascii="Palatino Linotype" w:eastAsiaTheme="minorEastAsia" w:hAnsi="Palatino Linotype" w:cs="Bookman Old Style"/>
          <w:i/>
          <w:sz w:val="20"/>
          <w:szCs w:val="20"/>
          <w:lang w:val="es-MX"/>
        </w:rPr>
        <w:t>No se considerará confidencial la información que se encuentre en los registros públicos o en fuentes de acceso público, ni tampoco la que sea considerada por la presente ley como información pública.”</w:t>
      </w:r>
    </w:p>
    <w:p w14:paraId="5433D38B" w14:textId="77777777" w:rsidR="00FA4800" w:rsidRPr="00221F76" w:rsidRDefault="00FA4800" w:rsidP="00FA4800">
      <w:pPr>
        <w:pStyle w:val="Sinespaciado"/>
        <w:spacing w:before="240" w:after="240" w:line="360" w:lineRule="auto"/>
        <w:jc w:val="both"/>
        <w:rPr>
          <w:rFonts w:ascii="Palatino Linotype" w:hAnsi="Palatino Linotype" w:cs="Arial"/>
        </w:rPr>
      </w:pPr>
      <w:r w:rsidRPr="00221F76">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el </w:t>
      </w:r>
      <w:r w:rsidRPr="00221F76">
        <w:rPr>
          <w:rFonts w:ascii="Palatino Linotype" w:hAnsi="Palatino Linotype" w:cs="Arial"/>
          <w:b/>
        </w:rPr>
        <w:t>Registro Federal de Contribuyentes</w:t>
      </w:r>
      <w:r w:rsidRPr="00221F76">
        <w:rPr>
          <w:rFonts w:ascii="Palatino Linotype" w:hAnsi="Palatino Linotype" w:cs="Arial"/>
        </w:rPr>
        <w:t xml:space="preserve"> (RFC), la </w:t>
      </w:r>
      <w:r w:rsidRPr="00221F76">
        <w:rPr>
          <w:rFonts w:ascii="Palatino Linotype" w:hAnsi="Palatino Linotype" w:cs="Arial"/>
          <w:b/>
        </w:rPr>
        <w:t>Clave Única de Registro de Población</w:t>
      </w:r>
      <w:r w:rsidRPr="00221F76">
        <w:rPr>
          <w:rFonts w:ascii="Palatino Linotype" w:hAnsi="Palatino Linotype" w:cs="Arial"/>
        </w:rPr>
        <w:t xml:space="preserve"> (CURP), </w:t>
      </w:r>
      <w:r w:rsidRPr="00221F76">
        <w:rPr>
          <w:rFonts w:ascii="Palatino Linotype" w:hAnsi="Palatino Linotype" w:cs="Arial"/>
          <w:b/>
        </w:rPr>
        <w:t>Clave de cualquier tipo de seguridad social</w:t>
      </w:r>
      <w:r w:rsidRPr="00221F76">
        <w:rPr>
          <w:rFonts w:ascii="Palatino Linotype" w:hAnsi="Palatino Linotype" w:cs="Arial"/>
        </w:rPr>
        <w:t xml:space="preserve"> (ISSEMYM, u otros) </w:t>
      </w:r>
      <w:r w:rsidRPr="00221F76">
        <w:rPr>
          <w:rFonts w:ascii="Palatino Linotype" w:hAnsi="Palatino Linotype" w:cs="Arial"/>
          <w:b/>
        </w:rPr>
        <w:t>Código QR</w:t>
      </w:r>
      <w:r w:rsidRPr="00221F76">
        <w:rPr>
          <w:rFonts w:ascii="Palatino Linotype" w:hAnsi="Palatino Linotype" w:cs="Arial"/>
        </w:rPr>
        <w:t xml:space="preserve">; </w:t>
      </w:r>
      <w:r w:rsidRPr="00221F76">
        <w:rPr>
          <w:rFonts w:ascii="Palatino Linotype" w:hAnsi="Palatino Linotype" w:cs="Arial"/>
          <w:b/>
        </w:rPr>
        <w:t>descuentos personales</w:t>
      </w:r>
      <w:r w:rsidRPr="00221F76">
        <w:rPr>
          <w:rFonts w:ascii="Palatino Linotype" w:hAnsi="Palatino Linotype" w:cs="Arial"/>
        </w:rPr>
        <w:t>; los cuales, deben testarse al momento de la elaboración de versiones públicas.</w:t>
      </w:r>
    </w:p>
    <w:p w14:paraId="63476990" w14:textId="77777777" w:rsidR="00FA4800" w:rsidRPr="00221F76" w:rsidRDefault="00FA4800" w:rsidP="00FA4800">
      <w:pPr>
        <w:pStyle w:val="Sinespaciado"/>
        <w:spacing w:before="240" w:after="240" w:line="360" w:lineRule="auto"/>
        <w:jc w:val="both"/>
        <w:rPr>
          <w:rFonts w:ascii="Palatino Linotype" w:hAnsi="Palatino Linotype" w:cs="Arial"/>
        </w:rPr>
      </w:pPr>
      <w:r w:rsidRPr="00221F76">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14:paraId="45A9B2FF" w14:textId="77777777" w:rsidR="00FA4800" w:rsidRPr="00221F76" w:rsidRDefault="00FA4800" w:rsidP="00FA4800">
      <w:pPr>
        <w:spacing w:before="240" w:after="240" w:line="360" w:lineRule="auto"/>
        <w:jc w:val="both"/>
        <w:rPr>
          <w:rFonts w:ascii="Palatino Linotype" w:hAnsi="Palatino Linotype" w:cs="Arial"/>
          <w:lang w:eastAsia="es-MX"/>
        </w:rPr>
      </w:pPr>
      <w:r w:rsidRPr="00221F76">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A44B9E1" w14:textId="77777777" w:rsidR="00FA4800" w:rsidRPr="00221F76" w:rsidRDefault="00FA4800" w:rsidP="00FA4800">
      <w:pPr>
        <w:spacing w:before="240" w:after="240" w:line="360" w:lineRule="auto"/>
        <w:jc w:val="both"/>
        <w:rPr>
          <w:rFonts w:ascii="Palatino Linotype" w:hAnsi="Palatino Linotype" w:cs="Arial"/>
          <w:lang w:eastAsia="es-MX"/>
        </w:rPr>
      </w:pPr>
      <w:r w:rsidRPr="00221F76">
        <w:rPr>
          <w:rFonts w:ascii="Palatino Linotype" w:hAnsi="Palatino Linotype" w:cs="Arial"/>
          <w:lang w:eastAsia="es-MX"/>
        </w:rPr>
        <w:t>Lo anterior es compartido por el Instituto Nacional de Transparencia, Acceso a la Información Pública y Protección de Datos Personales (INAI), a través del Criterio 19/17, el cual es del tenor literal siguiente:</w:t>
      </w:r>
    </w:p>
    <w:p w14:paraId="599BAD07" w14:textId="77777777" w:rsidR="00FA4800" w:rsidRPr="00221F76" w:rsidRDefault="00FA4800" w:rsidP="00FA4800">
      <w:pPr>
        <w:spacing w:after="120"/>
        <w:ind w:left="851" w:right="902"/>
        <w:jc w:val="both"/>
        <w:rPr>
          <w:rFonts w:ascii="Palatino Linotype" w:hAnsi="Palatino Linotype" w:cs="Arial"/>
          <w:i/>
          <w:sz w:val="20"/>
          <w:szCs w:val="20"/>
        </w:rPr>
      </w:pPr>
      <w:r w:rsidRPr="00221F76">
        <w:rPr>
          <w:rFonts w:ascii="Palatino Linotype" w:hAnsi="Palatino Linotype" w:cs="Arial"/>
          <w:b/>
          <w:bCs/>
          <w:i/>
          <w:sz w:val="20"/>
          <w:szCs w:val="20"/>
        </w:rPr>
        <w:lastRenderedPageBreak/>
        <w:t xml:space="preserve">“Registro Federal de Contribuyentes (RFC) de personas físicas. </w:t>
      </w:r>
      <w:r w:rsidRPr="00221F76">
        <w:rPr>
          <w:rFonts w:ascii="Palatino Linotype" w:hAnsi="Palatino Linotype" w:cs="Arial"/>
          <w:bCs/>
          <w:i/>
          <w:sz w:val="20"/>
          <w:szCs w:val="20"/>
        </w:rPr>
        <w:t>E</w:t>
      </w:r>
      <w:r w:rsidRPr="00221F76">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221F76">
        <w:rPr>
          <w:rFonts w:ascii="Palatino Linotype" w:hAnsi="Palatino Linotype" w:cs="Arial"/>
          <w:bCs/>
          <w:i/>
          <w:sz w:val="20"/>
          <w:szCs w:val="20"/>
        </w:rPr>
        <w:t>” (Sic)</w:t>
      </w:r>
    </w:p>
    <w:p w14:paraId="4449B98A" w14:textId="77777777" w:rsidR="00FA4800" w:rsidRPr="00221F76" w:rsidRDefault="00FA4800" w:rsidP="00FA4800">
      <w:pPr>
        <w:pStyle w:val="Sinespaciado"/>
        <w:spacing w:before="240" w:after="240" w:line="360" w:lineRule="auto"/>
        <w:jc w:val="both"/>
        <w:rPr>
          <w:rFonts w:ascii="Palatino Linotype" w:hAnsi="Palatino Linotype" w:cs="Arial"/>
          <w:lang w:eastAsia="es-MX"/>
        </w:rPr>
      </w:pPr>
      <w:r w:rsidRPr="00221F76">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B5FAE5C" w14:textId="77777777" w:rsidR="00FA4800" w:rsidRPr="00221F76" w:rsidRDefault="00FA4800" w:rsidP="00FA4800">
      <w:pPr>
        <w:pStyle w:val="Sinespaciado"/>
        <w:spacing w:before="240" w:after="240" w:line="360" w:lineRule="auto"/>
        <w:jc w:val="both"/>
        <w:rPr>
          <w:rFonts w:ascii="Palatino Linotype" w:eastAsia="Calibri" w:hAnsi="Palatino Linotype" w:cs="Arial"/>
          <w:lang w:eastAsia="es-MX"/>
        </w:rPr>
      </w:pPr>
      <w:r w:rsidRPr="00221F76">
        <w:rPr>
          <w:rFonts w:ascii="Palatino Linotype" w:hAnsi="Palatino Linotype" w:cs="Arial"/>
          <w:lang w:eastAsia="es-MX"/>
        </w:rPr>
        <w:t xml:space="preserve">En cuanto al </w:t>
      </w:r>
      <w:r w:rsidRPr="00221F76">
        <w:rPr>
          <w:rFonts w:ascii="Palatino Linotype" w:hAnsi="Palatino Linotype" w:cs="Arial"/>
        </w:rPr>
        <w:t xml:space="preserve">CURP, en virtud de que este se </w:t>
      </w:r>
      <w:r w:rsidRPr="00221F76">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0B0E75A" w14:textId="77777777" w:rsidR="00FA4800" w:rsidRPr="00221F76" w:rsidRDefault="00FA4800" w:rsidP="00FA4800">
      <w:pPr>
        <w:spacing w:before="240" w:after="240" w:line="360" w:lineRule="auto"/>
        <w:jc w:val="both"/>
        <w:rPr>
          <w:rFonts w:ascii="Palatino Linotype" w:hAnsi="Palatino Linotype" w:cs="Arial"/>
        </w:rPr>
      </w:pPr>
      <w:r w:rsidRPr="00221F76">
        <w:rPr>
          <w:rFonts w:ascii="Palatino Linotype" w:hAnsi="Palatino Linotype" w:cs="Arial"/>
        </w:rPr>
        <w:t xml:space="preserve">Argumento que es compartido por el </w:t>
      </w:r>
      <w:r w:rsidRPr="00221F76">
        <w:rPr>
          <w:rFonts w:ascii="Palatino Linotype" w:hAnsi="Palatino Linotype" w:cs="Arial"/>
          <w:lang w:eastAsia="es-MX"/>
        </w:rPr>
        <w:t>Instituto Nacional de Transparencia, Acceso a la Información Pública y Protección de Datos Personales (INAI)</w:t>
      </w:r>
      <w:r w:rsidRPr="00221F76">
        <w:rPr>
          <w:rStyle w:val="Textoennegrita"/>
          <w:rFonts w:ascii="Palatino Linotype" w:hAnsi="Palatino Linotype" w:cs="Arial"/>
        </w:rPr>
        <w:t xml:space="preserve">, conforme al </w:t>
      </w:r>
      <w:r w:rsidRPr="00221F76">
        <w:rPr>
          <w:rFonts w:ascii="Palatino Linotype" w:hAnsi="Palatino Linotype" w:cs="Arial"/>
        </w:rPr>
        <w:t xml:space="preserve">criterio número 18/17, el cual refiere: </w:t>
      </w:r>
    </w:p>
    <w:p w14:paraId="1DA818B3" w14:textId="77777777" w:rsidR="00FA4800" w:rsidRPr="00221F76" w:rsidRDefault="00FA4800" w:rsidP="00FA4800">
      <w:pPr>
        <w:pStyle w:val="Default"/>
        <w:spacing w:after="120"/>
        <w:ind w:left="851" w:right="900"/>
        <w:jc w:val="both"/>
        <w:rPr>
          <w:rFonts w:ascii="Palatino Linotype" w:hAnsi="Palatino Linotype"/>
          <w:i/>
          <w:color w:val="auto"/>
          <w:sz w:val="20"/>
          <w:szCs w:val="20"/>
          <w:lang w:eastAsia="es-MX"/>
        </w:rPr>
      </w:pPr>
      <w:r w:rsidRPr="00221F76">
        <w:rPr>
          <w:rFonts w:ascii="Palatino Linotype" w:hAnsi="Palatino Linotype"/>
          <w:b/>
          <w:bCs/>
          <w:i/>
          <w:color w:val="auto"/>
          <w:sz w:val="20"/>
          <w:szCs w:val="20"/>
          <w:lang w:eastAsia="es-MX"/>
        </w:rPr>
        <w:t>“</w:t>
      </w:r>
      <w:r w:rsidRPr="00221F76">
        <w:rPr>
          <w:rFonts w:ascii="Palatino Linotype" w:hAnsi="Palatino Linotype"/>
          <w:b/>
          <w:bCs/>
          <w:i/>
          <w:color w:val="auto"/>
          <w:sz w:val="20"/>
          <w:szCs w:val="20"/>
        </w:rPr>
        <w:t xml:space="preserve">Clave Única de Registro de Población (CURP). </w:t>
      </w:r>
      <w:r w:rsidRPr="00221F76">
        <w:rPr>
          <w:rFonts w:ascii="Palatino Linotype" w:hAnsi="Palatino Linotype"/>
          <w:bCs/>
          <w:i/>
          <w:color w:val="auto"/>
          <w:sz w:val="20"/>
          <w:szCs w:val="20"/>
        </w:rPr>
        <w:t xml:space="preserve">La </w:t>
      </w:r>
      <w:r w:rsidRPr="00221F76">
        <w:rPr>
          <w:rFonts w:ascii="Palatino Linotype" w:hAnsi="Palatino Linotype"/>
          <w:i/>
          <w:color w:val="auto"/>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221F76">
        <w:rPr>
          <w:rFonts w:ascii="Palatino Linotype" w:hAnsi="Palatino Linotype"/>
          <w:i/>
          <w:color w:val="auto"/>
          <w:sz w:val="20"/>
          <w:szCs w:val="20"/>
          <w:lang w:eastAsia="es-MX"/>
        </w:rPr>
        <w:t>” (Sic)</w:t>
      </w:r>
    </w:p>
    <w:p w14:paraId="54C85CED" w14:textId="77777777" w:rsidR="00FA4800" w:rsidRPr="00221F76" w:rsidRDefault="00FA4800" w:rsidP="00FA4800">
      <w:pPr>
        <w:autoSpaceDE w:val="0"/>
        <w:autoSpaceDN w:val="0"/>
        <w:adjustRightInd w:val="0"/>
        <w:spacing w:before="240" w:after="240" w:line="360" w:lineRule="auto"/>
        <w:jc w:val="both"/>
        <w:rPr>
          <w:rFonts w:ascii="Palatino Linotype" w:hAnsi="Palatino Linotype" w:cs="Arial"/>
        </w:rPr>
      </w:pPr>
      <w:r w:rsidRPr="00221F76">
        <w:rPr>
          <w:rFonts w:ascii="Palatino Linotype" w:hAnsi="Palatino Linotype" w:cs="Arial"/>
        </w:rPr>
        <w:t xml:space="preserve">Por lo que respecta a la clave de seguridad social, en virtud de que su divulgación no aporta a la transparencia o a la rendición de cuentas y sí provoca una transgresión </w:t>
      </w:r>
      <w:r w:rsidRPr="00221F76">
        <w:rPr>
          <w:rFonts w:ascii="Palatino Linotype" w:hAnsi="Palatino Linotype" w:cs="Arial"/>
        </w:rPr>
        <w:lastRenderedPageBreak/>
        <w:t>a la vida privada e intimidad de la persona, esta información también resulta ser de carácter confidencial.</w:t>
      </w:r>
    </w:p>
    <w:p w14:paraId="25A1C388" w14:textId="77777777" w:rsidR="00FA4800" w:rsidRPr="00221F76" w:rsidRDefault="00FA4800" w:rsidP="00FA4800">
      <w:pPr>
        <w:spacing w:before="240" w:after="240" w:line="360" w:lineRule="auto"/>
        <w:jc w:val="both"/>
        <w:rPr>
          <w:rFonts w:ascii="Palatino Linotype" w:hAnsi="Palatino Linotype"/>
        </w:rPr>
      </w:pPr>
      <w:r w:rsidRPr="00221F76">
        <w:rPr>
          <w:rFonts w:ascii="Palatino Linotype" w:hAnsi="Palatino Linotype" w:cs="Arial"/>
        </w:rPr>
        <w:t xml:space="preserve">Finalmente por cuanto al Código QR </w:t>
      </w:r>
      <w:r w:rsidRPr="00221F76">
        <w:rPr>
          <w:rFonts w:ascii="Palatino Linotype" w:hAnsi="Palatino Linotype"/>
        </w:rPr>
        <w:t xml:space="preserve">también denominados </w:t>
      </w:r>
      <w:r w:rsidRPr="00221F76">
        <w:rPr>
          <w:rFonts w:ascii="Palatino Linotype" w:hAnsi="Palatino Linotype"/>
          <w:i/>
        </w:rPr>
        <w:t>códigos bidimensionales</w:t>
      </w:r>
      <w:r w:rsidRPr="00221F76">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49D708E1" w14:textId="77777777" w:rsidR="00FA4800" w:rsidRPr="00221F76" w:rsidRDefault="00FA4800" w:rsidP="00FA4800">
      <w:pPr>
        <w:pStyle w:val="Sinespaciado"/>
        <w:spacing w:before="240" w:after="240" w:line="360" w:lineRule="auto"/>
        <w:jc w:val="both"/>
        <w:rPr>
          <w:rFonts w:ascii="Palatino Linotype" w:hAnsi="Palatino Linotype" w:cs="Arial"/>
        </w:rPr>
      </w:pPr>
      <w:r w:rsidRPr="00221F76">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597C7CB9" w14:textId="77777777" w:rsidR="00FA4800" w:rsidRPr="00221F76" w:rsidRDefault="00FA4800" w:rsidP="00FA4800">
      <w:pPr>
        <w:pStyle w:val="Sinespaciado"/>
        <w:spacing w:before="240" w:after="240" w:line="360" w:lineRule="auto"/>
        <w:jc w:val="both"/>
        <w:rPr>
          <w:rFonts w:ascii="Palatino Linotype" w:hAnsi="Palatino Linotype" w:cs="Arial"/>
        </w:rPr>
      </w:pPr>
      <w:r w:rsidRPr="00221F76">
        <w:rPr>
          <w:rFonts w:ascii="Palatino Linotype" w:hAnsi="Palatino Linotype" w:cs="Arial"/>
        </w:rPr>
        <w:t>Para entender los límites y alcances de esta restricción, es oportuno recurrir al artículo 84 de la Ley del Trabajo de los Servidores Públicos del Estado y Municipios:</w:t>
      </w:r>
    </w:p>
    <w:p w14:paraId="17C9AF02" w14:textId="77777777" w:rsidR="00FA4800" w:rsidRPr="00221F76" w:rsidRDefault="00FA4800" w:rsidP="00FA4800">
      <w:pPr>
        <w:spacing w:after="120"/>
        <w:ind w:left="851" w:right="851"/>
        <w:jc w:val="both"/>
        <w:rPr>
          <w:rFonts w:ascii="Palatino Linotype" w:hAnsi="Palatino Linotype" w:cs="Arial"/>
          <w:b/>
          <w:bCs/>
          <w:i/>
          <w:noProof/>
          <w:sz w:val="20"/>
          <w:szCs w:val="20"/>
        </w:rPr>
      </w:pPr>
      <w:r w:rsidRPr="00221F76">
        <w:rPr>
          <w:rFonts w:ascii="Palatino Linotype" w:hAnsi="Palatino Linotype" w:cs="Arial"/>
          <w:b/>
          <w:bCs/>
          <w:i/>
          <w:noProof/>
          <w:sz w:val="20"/>
          <w:szCs w:val="20"/>
        </w:rPr>
        <w:t xml:space="preserve">“ARTÍCULO 84. </w:t>
      </w:r>
      <w:r w:rsidRPr="00221F76">
        <w:rPr>
          <w:rFonts w:ascii="Palatino Linotype" w:hAnsi="Palatino Linotype" w:cs="Arial"/>
          <w:bCs/>
          <w:i/>
          <w:noProof/>
          <w:sz w:val="20"/>
          <w:szCs w:val="20"/>
        </w:rPr>
        <w:t>Sólo podrán hacerse retenciones, descuentos o deducciones al sueldo de los servidores públicos por concepto de:</w:t>
      </w:r>
    </w:p>
    <w:p w14:paraId="2F4BA57C"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I. Gravámenes fiscales relacionados con el sueldo;</w:t>
      </w:r>
    </w:p>
    <w:p w14:paraId="04186403"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II. Deudas contraídas con las instituciones públicas o dependencias por concepto de anticipos de sueldo, pagos hechos con exceso, errores o pérdidas debidamente comprobados;</w:t>
      </w:r>
    </w:p>
    <w:p w14:paraId="36C17206"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III. Cuotas sindicales;</w:t>
      </w:r>
    </w:p>
    <w:p w14:paraId="36402D17"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IV. Cuotas de aportación a fondos para la constitución de cooperativas y de cajas de ahorro, siempre que el servidor público hubiese manifestado previamente, de manera expresa, su conformidad;</w:t>
      </w:r>
    </w:p>
    <w:p w14:paraId="570EAE2F"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V. Descuentos ordenados por el Instituto de Seguridad Social del Estado de México y Municipios, con motivo de cuotas y obligaciones contraídas con éste por los servidores públicos;</w:t>
      </w:r>
    </w:p>
    <w:p w14:paraId="693D3151"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lastRenderedPageBreak/>
        <w:t>VI. Obligaciones a cargo del servidor público con las que haya consentido, derivadas de la adquisición o del uso de habitaciones consideradas como de interés social;</w:t>
      </w:r>
    </w:p>
    <w:p w14:paraId="6B99CE02"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VII. Faltas de puntualidad o de asistencia injustificadas;</w:t>
      </w:r>
    </w:p>
    <w:p w14:paraId="06811DEA"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VIII. Pensiones alimenticias ordenadas por la autoridad judicial; o</w:t>
      </w:r>
    </w:p>
    <w:p w14:paraId="22653ECD" w14:textId="77777777" w:rsidR="00FA4800" w:rsidRPr="00221F76" w:rsidRDefault="00FA4800" w:rsidP="00FA4800">
      <w:pPr>
        <w:spacing w:after="120"/>
        <w:ind w:left="1134"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IX. Cualquier otro convenido con instituciones de servicios y aceptado por el servidor público.</w:t>
      </w:r>
    </w:p>
    <w:p w14:paraId="2126F912" w14:textId="77777777" w:rsidR="00FA4800" w:rsidRPr="00221F76" w:rsidRDefault="00FA4800" w:rsidP="00FA4800">
      <w:pPr>
        <w:spacing w:after="120"/>
        <w:ind w:left="851" w:right="851"/>
        <w:jc w:val="both"/>
        <w:rPr>
          <w:rFonts w:ascii="Palatino Linotype" w:hAnsi="Palatino Linotype" w:cs="Arial"/>
          <w:bCs/>
          <w:i/>
          <w:noProof/>
          <w:sz w:val="20"/>
          <w:szCs w:val="20"/>
        </w:rPr>
      </w:pPr>
      <w:r w:rsidRPr="00221F76">
        <w:rPr>
          <w:rFonts w:ascii="Palatino Linotype" w:hAnsi="Palatino Linotype" w:cs="Arial"/>
          <w:bCs/>
          <w:i/>
          <w:noProof/>
          <w:sz w:val="20"/>
          <w:szCs w:val="2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F2DDCA9" w14:textId="77777777" w:rsidR="00FA4800" w:rsidRPr="00221F76" w:rsidRDefault="00FA4800" w:rsidP="00FA4800">
      <w:pPr>
        <w:pStyle w:val="Sinespaciado"/>
        <w:spacing w:before="240" w:after="240" w:line="360" w:lineRule="auto"/>
        <w:jc w:val="both"/>
        <w:rPr>
          <w:rFonts w:ascii="Palatino Linotype" w:hAnsi="Palatino Linotype" w:cs="Arial"/>
        </w:rPr>
      </w:pPr>
      <w:r w:rsidRPr="00221F76">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D773748" w14:textId="77777777" w:rsidR="00FA4800" w:rsidRPr="00221F76" w:rsidRDefault="00FA4800" w:rsidP="00FA4800">
      <w:pPr>
        <w:autoSpaceDE w:val="0"/>
        <w:autoSpaceDN w:val="0"/>
        <w:adjustRightInd w:val="0"/>
        <w:spacing w:before="240" w:after="240" w:line="360" w:lineRule="auto"/>
        <w:jc w:val="both"/>
        <w:rPr>
          <w:rFonts w:ascii="Palatino Linotype" w:hAnsi="Palatino Linotype" w:cs="Arial"/>
        </w:rPr>
      </w:pPr>
      <w:r w:rsidRPr="00221F76">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506B3C9C" w14:textId="77777777" w:rsidR="00FA4800" w:rsidRPr="00221F76" w:rsidRDefault="00FA4800" w:rsidP="00FA4800">
      <w:pPr>
        <w:widowControl w:val="0"/>
        <w:autoSpaceDE w:val="0"/>
        <w:autoSpaceDN w:val="0"/>
        <w:adjustRightInd w:val="0"/>
        <w:spacing w:before="240" w:after="240" w:line="360" w:lineRule="auto"/>
        <w:jc w:val="both"/>
        <w:rPr>
          <w:rFonts w:ascii="Palatino Linotype" w:hAnsi="Palatino Linotype"/>
        </w:rPr>
      </w:pPr>
      <w:r w:rsidRPr="00221F76">
        <w:rPr>
          <w:rFonts w:ascii="Palatino Linotype" w:hAnsi="Palatino Linotype" w:cs="Arial"/>
        </w:rPr>
        <w:t xml:space="preserve">El Acuerdo de Clasificación de Información, se emitirá en términos de lo dispuesto tanto como en los en </w:t>
      </w:r>
      <w:r w:rsidRPr="00221F76">
        <w:rPr>
          <w:rFonts w:ascii="Palatino Linotype" w:hAnsi="Palatino Linotype"/>
        </w:rPr>
        <w:t>los artículos 128 y 129 de la Ley de Transparencia y Acceso a la Información Pública del Estado de México y Municipios, como en los</w:t>
      </w:r>
      <w:r w:rsidRPr="00221F76">
        <w:rPr>
          <w:rFonts w:ascii="Palatino Linotype" w:hAnsi="Palatino Linotype" w:cs="Arial"/>
        </w:rPr>
        <w:t xml:space="preserve"> Lineamientos </w:t>
      </w:r>
      <w:r w:rsidRPr="00221F76">
        <w:rPr>
          <w:rFonts w:ascii="Palatino Linotype" w:hAnsi="Palatino Linotype" w:cs="Arial"/>
        </w:rPr>
        <w:lastRenderedPageBreak/>
        <w:t xml:space="preserve">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221F76">
        <w:rPr>
          <w:rFonts w:ascii="Palatino Linotype" w:hAnsi="Palatino Linotype"/>
        </w:rPr>
        <w:t xml:space="preserve">motivando la referida clasificación al señalar las </w:t>
      </w:r>
      <w:r w:rsidRPr="00221F76">
        <w:rPr>
          <w:rFonts w:ascii="Palatino Linotype" w:hAnsi="Palatino Linotype"/>
          <w:b/>
          <w:u w:val="single"/>
        </w:rPr>
        <w:t>razones, motivos o circunstancias especiales</w:t>
      </w:r>
      <w:r w:rsidRPr="00221F76">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D00FC9F" w14:textId="77777777" w:rsidR="00FA4800" w:rsidRPr="00221F76" w:rsidRDefault="00FA4800" w:rsidP="00FA4800">
      <w:pPr>
        <w:spacing w:before="240" w:after="240" w:line="360" w:lineRule="auto"/>
        <w:jc w:val="both"/>
        <w:rPr>
          <w:rFonts w:ascii="Palatino Linotype" w:hAnsi="Palatino Linotype"/>
        </w:rPr>
      </w:pPr>
      <w:r w:rsidRPr="00221F76">
        <w:rPr>
          <w:rFonts w:ascii="Palatino Linotype" w:hAnsi="Palatino Linotype" w:cs="Arial"/>
        </w:rPr>
        <w:t>En relación directa con ello, los Lineamientos en estudio</w:t>
      </w:r>
      <w:r w:rsidRPr="00221F76">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221F76" w:rsidRPr="00221F76" w14:paraId="22E85965" w14:textId="77777777" w:rsidTr="00C26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9E83255" w14:textId="77777777" w:rsidR="00FA4800" w:rsidRPr="00221F76" w:rsidRDefault="00FA4800" w:rsidP="00C269F0">
            <w:pPr>
              <w:jc w:val="center"/>
              <w:rPr>
                <w:rFonts w:ascii="Palatino Linotype" w:hAnsi="Palatino Linotype"/>
                <w:b w:val="0"/>
                <w:sz w:val="12"/>
                <w:szCs w:val="12"/>
              </w:rPr>
            </w:pPr>
            <w:r w:rsidRPr="00221F76">
              <w:rPr>
                <w:rFonts w:ascii="Palatino Linotype" w:hAnsi="Palatino Linotype"/>
                <w:b w:val="0"/>
                <w:sz w:val="12"/>
                <w:szCs w:val="12"/>
              </w:rPr>
              <w:t>Parcial</w:t>
            </w:r>
          </w:p>
        </w:tc>
        <w:tc>
          <w:tcPr>
            <w:tcW w:w="4414" w:type="dxa"/>
            <w:gridSpan w:val="2"/>
          </w:tcPr>
          <w:p w14:paraId="0BDFC72A" w14:textId="77777777" w:rsidR="00FA4800" w:rsidRPr="00221F76" w:rsidRDefault="00FA4800" w:rsidP="00C269F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221F76">
              <w:rPr>
                <w:rFonts w:ascii="Palatino Linotype" w:hAnsi="Palatino Linotype"/>
                <w:b w:val="0"/>
                <w:sz w:val="12"/>
                <w:szCs w:val="12"/>
              </w:rPr>
              <w:t>Total</w:t>
            </w:r>
          </w:p>
        </w:tc>
      </w:tr>
      <w:tr w:rsidR="00221F76" w:rsidRPr="00221F76" w14:paraId="39D5C75E"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6BA47F1" w14:textId="77777777" w:rsidR="00FA4800" w:rsidRPr="00221F76" w:rsidRDefault="00FA4800" w:rsidP="00C269F0">
            <w:pPr>
              <w:jc w:val="center"/>
              <w:rPr>
                <w:rFonts w:ascii="Palatino Linotype" w:hAnsi="Palatino Linotype"/>
                <w:b w:val="0"/>
                <w:sz w:val="12"/>
                <w:szCs w:val="12"/>
              </w:rPr>
            </w:pPr>
            <w:r w:rsidRPr="00221F76">
              <w:rPr>
                <w:rFonts w:ascii="Palatino Linotype" w:hAnsi="Palatino Linotype"/>
                <w:b w:val="0"/>
                <w:sz w:val="12"/>
                <w:szCs w:val="12"/>
              </w:rPr>
              <w:t>Concepto</w:t>
            </w:r>
          </w:p>
        </w:tc>
        <w:tc>
          <w:tcPr>
            <w:tcW w:w="3568" w:type="dxa"/>
          </w:tcPr>
          <w:p w14:paraId="7366B0A1" w14:textId="77777777" w:rsidR="00FA4800" w:rsidRPr="00221F76" w:rsidRDefault="00FA4800" w:rsidP="00C26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Dónde</w:t>
            </w:r>
          </w:p>
        </w:tc>
        <w:tc>
          <w:tcPr>
            <w:tcW w:w="968" w:type="dxa"/>
          </w:tcPr>
          <w:p w14:paraId="459306A6" w14:textId="77777777" w:rsidR="00FA4800" w:rsidRPr="00221F76" w:rsidRDefault="00FA4800" w:rsidP="00C26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Concepto</w:t>
            </w:r>
          </w:p>
        </w:tc>
        <w:tc>
          <w:tcPr>
            <w:tcW w:w="3446" w:type="dxa"/>
          </w:tcPr>
          <w:p w14:paraId="3472F961" w14:textId="77777777" w:rsidR="00FA4800" w:rsidRPr="00221F76" w:rsidRDefault="00FA4800" w:rsidP="00C26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Dónde</w:t>
            </w:r>
          </w:p>
        </w:tc>
      </w:tr>
      <w:tr w:rsidR="00221F76" w:rsidRPr="00221F76" w14:paraId="2AD7BAF6" w14:textId="77777777" w:rsidTr="00C269F0">
        <w:tc>
          <w:tcPr>
            <w:cnfStyle w:val="001000000000" w:firstRow="0" w:lastRow="0" w:firstColumn="1" w:lastColumn="0" w:oddVBand="0" w:evenVBand="0" w:oddHBand="0" w:evenHBand="0" w:firstRowFirstColumn="0" w:firstRowLastColumn="0" w:lastRowFirstColumn="0" w:lastRowLastColumn="0"/>
            <w:tcW w:w="8828" w:type="dxa"/>
            <w:gridSpan w:val="4"/>
          </w:tcPr>
          <w:p w14:paraId="594E45C7" w14:textId="77777777" w:rsidR="00FA4800" w:rsidRPr="00221F76" w:rsidRDefault="00FA4800" w:rsidP="00C269F0">
            <w:pPr>
              <w:jc w:val="center"/>
              <w:rPr>
                <w:rFonts w:ascii="Palatino Linotype" w:hAnsi="Palatino Linotype"/>
                <w:b w:val="0"/>
                <w:sz w:val="12"/>
                <w:szCs w:val="12"/>
              </w:rPr>
            </w:pPr>
            <w:r w:rsidRPr="00221F76">
              <w:rPr>
                <w:rFonts w:ascii="Palatino Linotype" w:hAnsi="Palatino Linotype"/>
                <w:b w:val="0"/>
                <w:sz w:val="12"/>
                <w:szCs w:val="12"/>
              </w:rPr>
              <w:t>Sello oficial o logotipo del sujeto obligado</w:t>
            </w:r>
          </w:p>
        </w:tc>
      </w:tr>
      <w:tr w:rsidR="00221F76" w:rsidRPr="00221F76" w14:paraId="71817131"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12C36C6"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Fecha de clasificación</w:t>
            </w:r>
          </w:p>
        </w:tc>
        <w:tc>
          <w:tcPr>
            <w:tcW w:w="3568" w:type="dxa"/>
          </w:tcPr>
          <w:p w14:paraId="083E27BE"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anotará la fecha en la que el Comité de Transparencia confirmó la clasificación del documento, en su caso.</w:t>
            </w:r>
          </w:p>
        </w:tc>
        <w:tc>
          <w:tcPr>
            <w:tcW w:w="968" w:type="dxa"/>
          </w:tcPr>
          <w:p w14:paraId="53876762"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Fecha de clasificación</w:t>
            </w:r>
          </w:p>
        </w:tc>
        <w:tc>
          <w:tcPr>
            <w:tcW w:w="3446" w:type="dxa"/>
          </w:tcPr>
          <w:p w14:paraId="0C95FFC2"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anotará la fecha en la que el Comité de Transparencia confirmó la clasificación del documento, en su caso.</w:t>
            </w:r>
          </w:p>
        </w:tc>
      </w:tr>
      <w:tr w:rsidR="00221F76" w:rsidRPr="00221F76" w14:paraId="610BCE58"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0DE05C17"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Área</w:t>
            </w:r>
          </w:p>
        </w:tc>
        <w:tc>
          <w:tcPr>
            <w:tcW w:w="3568" w:type="dxa"/>
          </w:tcPr>
          <w:p w14:paraId="7339986C"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señalará el nombre del área del cual es titular quien clasifica.</w:t>
            </w:r>
          </w:p>
        </w:tc>
        <w:tc>
          <w:tcPr>
            <w:tcW w:w="968" w:type="dxa"/>
          </w:tcPr>
          <w:p w14:paraId="03995EAD"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Área</w:t>
            </w:r>
          </w:p>
        </w:tc>
        <w:tc>
          <w:tcPr>
            <w:tcW w:w="3446" w:type="dxa"/>
          </w:tcPr>
          <w:p w14:paraId="2DD1B4A4"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señalará el nombre del área de la cual es el titular quien clasifica.</w:t>
            </w:r>
          </w:p>
        </w:tc>
      </w:tr>
      <w:tr w:rsidR="00221F76" w:rsidRPr="00221F76" w14:paraId="4C7391C5"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CF7ECD9"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Información reservada</w:t>
            </w:r>
          </w:p>
        </w:tc>
        <w:tc>
          <w:tcPr>
            <w:tcW w:w="3568" w:type="dxa"/>
          </w:tcPr>
          <w:p w14:paraId="6E46035E"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EFC1261"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Reservado</w:t>
            </w:r>
          </w:p>
        </w:tc>
        <w:tc>
          <w:tcPr>
            <w:tcW w:w="3446" w:type="dxa"/>
          </w:tcPr>
          <w:p w14:paraId="7759D5FF"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Leyenda de información RESERVADA.</w:t>
            </w:r>
          </w:p>
        </w:tc>
      </w:tr>
      <w:tr w:rsidR="00221F76" w:rsidRPr="00221F76" w14:paraId="77E9EE5C"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08AC0F68"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Fundamento legal</w:t>
            </w:r>
          </w:p>
        </w:tc>
        <w:tc>
          <w:tcPr>
            <w:tcW w:w="3568" w:type="dxa"/>
          </w:tcPr>
          <w:p w14:paraId="4BD7BE48"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EAB9E28"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Periodo de reserva</w:t>
            </w:r>
          </w:p>
        </w:tc>
        <w:tc>
          <w:tcPr>
            <w:tcW w:w="3446" w:type="dxa"/>
          </w:tcPr>
          <w:p w14:paraId="08DF41BF"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221F76" w:rsidRPr="00221F76" w14:paraId="30E6B6E1"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46A458B"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lastRenderedPageBreak/>
              <w:t>Ampliación del periodo de reserva</w:t>
            </w:r>
          </w:p>
        </w:tc>
        <w:tc>
          <w:tcPr>
            <w:tcW w:w="3568" w:type="dxa"/>
          </w:tcPr>
          <w:p w14:paraId="5BFAC4BB"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E5A0E9A"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Fundamento legal</w:t>
            </w:r>
          </w:p>
        </w:tc>
        <w:tc>
          <w:tcPr>
            <w:tcW w:w="3446" w:type="dxa"/>
          </w:tcPr>
          <w:p w14:paraId="1FEF0D87"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señalará el nombre del o de los ordenamientos jurídicos, el o los artículos, fracción(es), párrafo(s) con base en los cuales se sustenta la reserva.</w:t>
            </w:r>
          </w:p>
        </w:tc>
      </w:tr>
      <w:tr w:rsidR="00221F76" w:rsidRPr="00221F76" w14:paraId="21344AF5"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1E02B07B"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Confidencial</w:t>
            </w:r>
          </w:p>
        </w:tc>
        <w:tc>
          <w:tcPr>
            <w:tcW w:w="3568" w:type="dxa"/>
          </w:tcPr>
          <w:p w14:paraId="683910E2"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049A2C3"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Ampliación del periodo de reserva</w:t>
            </w:r>
          </w:p>
        </w:tc>
        <w:tc>
          <w:tcPr>
            <w:tcW w:w="3446" w:type="dxa"/>
          </w:tcPr>
          <w:p w14:paraId="53F60BEC"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221F76" w:rsidRPr="00221F76" w14:paraId="389DEF8A"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E2C53E5"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Fundamento legal</w:t>
            </w:r>
          </w:p>
        </w:tc>
        <w:tc>
          <w:tcPr>
            <w:tcW w:w="3568" w:type="dxa"/>
          </w:tcPr>
          <w:p w14:paraId="359B6F8E"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7135BB3"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Confidencial</w:t>
            </w:r>
          </w:p>
        </w:tc>
        <w:tc>
          <w:tcPr>
            <w:tcW w:w="3446" w:type="dxa"/>
          </w:tcPr>
          <w:p w14:paraId="2CB1B5F3"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Leyenda de información CONFIDENCIAL.</w:t>
            </w:r>
          </w:p>
        </w:tc>
      </w:tr>
      <w:tr w:rsidR="00221F76" w:rsidRPr="00221F76" w14:paraId="78C174B8"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1DFB46D2"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Rúbrica del titular del área</w:t>
            </w:r>
          </w:p>
        </w:tc>
        <w:tc>
          <w:tcPr>
            <w:tcW w:w="3568" w:type="dxa"/>
          </w:tcPr>
          <w:p w14:paraId="4BD896EB"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Rúbrica autógrafa de quien clasifica.</w:t>
            </w:r>
          </w:p>
        </w:tc>
        <w:tc>
          <w:tcPr>
            <w:tcW w:w="968" w:type="dxa"/>
          </w:tcPr>
          <w:p w14:paraId="4F228ACA"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Fundamento legal</w:t>
            </w:r>
          </w:p>
        </w:tc>
        <w:tc>
          <w:tcPr>
            <w:tcW w:w="3446" w:type="dxa"/>
          </w:tcPr>
          <w:p w14:paraId="7B3343EA"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221F76" w:rsidRPr="00221F76" w14:paraId="06E8BB51"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0A7BBD8"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Fecha de desclasificación</w:t>
            </w:r>
          </w:p>
        </w:tc>
        <w:tc>
          <w:tcPr>
            <w:tcW w:w="3568" w:type="dxa"/>
          </w:tcPr>
          <w:p w14:paraId="2DDE10D5"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anotará la fecha en que se desclasifica el documento.</w:t>
            </w:r>
          </w:p>
        </w:tc>
        <w:tc>
          <w:tcPr>
            <w:tcW w:w="968" w:type="dxa"/>
          </w:tcPr>
          <w:p w14:paraId="3B387A2B"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Rúbrica del titular del área</w:t>
            </w:r>
          </w:p>
        </w:tc>
        <w:tc>
          <w:tcPr>
            <w:tcW w:w="3446" w:type="dxa"/>
          </w:tcPr>
          <w:p w14:paraId="00B3A5B5"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Rúbrica autógrafa de quien clasifica.</w:t>
            </w:r>
          </w:p>
        </w:tc>
      </w:tr>
      <w:tr w:rsidR="00221F76" w:rsidRPr="00221F76" w14:paraId="20C960D2"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2966CC80" w14:textId="77777777" w:rsidR="00FA4800" w:rsidRPr="00221F76" w:rsidRDefault="00FA4800" w:rsidP="00C269F0">
            <w:pPr>
              <w:jc w:val="both"/>
              <w:rPr>
                <w:rFonts w:ascii="Palatino Linotype" w:hAnsi="Palatino Linotype"/>
                <w:b w:val="0"/>
                <w:sz w:val="12"/>
                <w:szCs w:val="12"/>
              </w:rPr>
            </w:pPr>
            <w:r w:rsidRPr="00221F76">
              <w:rPr>
                <w:rFonts w:ascii="Palatino Linotype" w:hAnsi="Palatino Linotype"/>
                <w:b w:val="0"/>
                <w:sz w:val="12"/>
                <w:szCs w:val="12"/>
              </w:rPr>
              <w:t>Rúbrica y cargo del servidor público</w:t>
            </w:r>
          </w:p>
        </w:tc>
        <w:tc>
          <w:tcPr>
            <w:tcW w:w="3568" w:type="dxa"/>
          </w:tcPr>
          <w:p w14:paraId="67C000B5"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Rúbrica autógrafa de quien desclasifica.</w:t>
            </w:r>
          </w:p>
        </w:tc>
        <w:tc>
          <w:tcPr>
            <w:tcW w:w="968" w:type="dxa"/>
          </w:tcPr>
          <w:p w14:paraId="4BE81CC5"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Fecha de desclasificación</w:t>
            </w:r>
          </w:p>
        </w:tc>
        <w:tc>
          <w:tcPr>
            <w:tcW w:w="3446" w:type="dxa"/>
          </w:tcPr>
          <w:p w14:paraId="22A4A136"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Se anotará la fecha en que se desclasifica.</w:t>
            </w:r>
          </w:p>
        </w:tc>
      </w:tr>
      <w:tr w:rsidR="00221F76" w:rsidRPr="00221F76" w14:paraId="74C79259"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89427B6" w14:textId="77777777" w:rsidR="00FA4800" w:rsidRPr="00221F76" w:rsidRDefault="00FA4800" w:rsidP="00C269F0">
            <w:pPr>
              <w:jc w:val="both"/>
              <w:rPr>
                <w:rFonts w:ascii="Palatino Linotype" w:hAnsi="Palatino Linotype"/>
                <w:sz w:val="12"/>
                <w:szCs w:val="12"/>
              </w:rPr>
            </w:pPr>
          </w:p>
        </w:tc>
        <w:tc>
          <w:tcPr>
            <w:tcW w:w="3568" w:type="dxa"/>
          </w:tcPr>
          <w:p w14:paraId="16C45FA4"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695C6FC"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Partes o secciones reservadas o confidenciales</w:t>
            </w:r>
          </w:p>
        </w:tc>
        <w:tc>
          <w:tcPr>
            <w:tcW w:w="3446" w:type="dxa"/>
          </w:tcPr>
          <w:p w14:paraId="3AFF7210" w14:textId="77777777" w:rsidR="00FA4800" w:rsidRPr="00221F76" w:rsidRDefault="00FA4800"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En caso que una vez desclasificado el expediente, subsistanpartes o secciones del mismo reservadas o confidenciales, se señalará este hecho.</w:t>
            </w:r>
          </w:p>
        </w:tc>
      </w:tr>
      <w:tr w:rsidR="00221F76" w:rsidRPr="00221F76" w14:paraId="605DB0E8"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27464590" w14:textId="77777777" w:rsidR="00FA4800" w:rsidRPr="00221F76" w:rsidRDefault="00FA4800" w:rsidP="00C269F0">
            <w:pPr>
              <w:jc w:val="both"/>
              <w:rPr>
                <w:rFonts w:ascii="Palatino Linotype" w:hAnsi="Palatino Linotype"/>
                <w:sz w:val="12"/>
                <w:szCs w:val="12"/>
              </w:rPr>
            </w:pPr>
          </w:p>
        </w:tc>
        <w:tc>
          <w:tcPr>
            <w:tcW w:w="3568" w:type="dxa"/>
          </w:tcPr>
          <w:p w14:paraId="4DE76813"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419074AC"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21F76">
              <w:rPr>
                <w:rFonts w:ascii="Palatino Linotype" w:hAnsi="Palatino Linotype"/>
                <w:b/>
                <w:sz w:val="12"/>
                <w:szCs w:val="12"/>
              </w:rPr>
              <w:t>Rúbrica y cargo del servidor público</w:t>
            </w:r>
          </w:p>
        </w:tc>
        <w:tc>
          <w:tcPr>
            <w:tcW w:w="3446" w:type="dxa"/>
          </w:tcPr>
          <w:p w14:paraId="5DD8C72B" w14:textId="77777777" w:rsidR="00FA4800" w:rsidRPr="00221F76" w:rsidRDefault="00FA4800"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21F76">
              <w:rPr>
                <w:rFonts w:ascii="Palatino Linotype" w:hAnsi="Palatino Linotype"/>
                <w:sz w:val="12"/>
                <w:szCs w:val="12"/>
              </w:rPr>
              <w:t>Rúbrica autógrafa de quien desclasifica.</w:t>
            </w:r>
          </w:p>
        </w:tc>
      </w:tr>
    </w:tbl>
    <w:p w14:paraId="40C47DFB" w14:textId="7527665C" w:rsidR="00DB4AB7" w:rsidRPr="00221F76" w:rsidRDefault="00DB4AB7" w:rsidP="00DB4AB7">
      <w:pPr>
        <w:spacing w:before="240" w:after="240" w:line="360" w:lineRule="auto"/>
        <w:jc w:val="both"/>
        <w:rPr>
          <w:rFonts w:ascii="Palatino Linotype" w:hAnsi="Palatino Linotype" w:cs="Arial"/>
        </w:rPr>
      </w:pPr>
      <w:r w:rsidRPr="00221F76">
        <w:rPr>
          <w:rFonts w:ascii="Palatino Linotype" w:hAnsi="Palatino Linotype" w:cs="Arial"/>
        </w:rPr>
        <w:t xml:space="preserve">Así, con fundamento en lo prescrito en los artículos 5 párrafos </w:t>
      </w:r>
      <w:r w:rsidR="001B5E91" w:rsidRPr="00221F76">
        <w:rPr>
          <w:rFonts w:ascii="Palatino Linotype" w:hAnsi="Palatino Linotype" w:cs="Arial"/>
        </w:rPr>
        <w:t>trigésimo, trigésimo primero y trigésimo segundo</w:t>
      </w:r>
      <w:r w:rsidRPr="00221F76">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221F76" w:rsidRDefault="0045623E" w:rsidP="00930F64">
      <w:pPr>
        <w:pStyle w:val="Prrafodelista"/>
        <w:numPr>
          <w:ilvl w:val="0"/>
          <w:numId w:val="1"/>
        </w:numPr>
        <w:spacing w:before="240" w:after="240" w:line="360" w:lineRule="auto"/>
        <w:jc w:val="center"/>
        <w:rPr>
          <w:rFonts w:ascii="Palatino Linotype" w:hAnsi="Palatino Linotype" w:cs="Arial"/>
          <w:b/>
        </w:rPr>
      </w:pPr>
      <w:r w:rsidRPr="00221F76">
        <w:rPr>
          <w:rFonts w:ascii="Palatino Linotype" w:hAnsi="Palatino Linotype" w:cs="Arial"/>
          <w:b/>
        </w:rPr>
        <w:t>R E S U E L V E:</w:t>
      </w:r>
    </w:p>
    <w:bookmarkEnd w:id="2"/>
    <w:p w14:paraId="4EA8DEBB" w14:textId="609F2775" w:rsidR="00F97215" w:rsidRPr="00221F76" w:rsidRDefault="00F97215" w:rsidP="00F97215">
      <w:pPr>
        <w:spacing w:before="240" w:after="240" w:line="360" w:lineRule="auto"/>
        <w:jc w:val="both"/>
        <w:rPr>
          <w:rFonts w:ascii="Palatino Linotype" w:hAnsi="Palatino Linotype" w:cs="Arial"/>
          <w:b/>
        </w:rPr>
      </w:pPr>
      <w:r w:rsidRPr="00221F76">
        <w:rPr>
          <w:rFonts w:ascii="Palatino Linotype" w:hAnsi="Palatino Linotype" w:cs="Arial"/>
          <w:b/>
        </w:rPr>
        <w:t xml:space="preserve">Primero. </w:t>
      </w:r>
      <w:r w:rsidR="00F03783" w:rsidRPr="00221F76">
        <w:rPr>
          <w:rFonts w:ascii="Palatino Linotype" w:hAnsi="Palatino Linotype" w:cs="Arial"/>
          <w:lang w:eastAsia="en-US"/>
        </w:rPr>
        <w:t>Resultan</w:t>
      </w:r>
      <w:r w:rsidRPr="00221F76">
        <w:rPr>
          <w:rFonts w:ascii="Palatino Linotype" w:hAnsi="Palatino Linotype" w:cs="Arial"/>
          <w:b/>
          <w:lang w:eastAsia="en-US"/>
        </w:rPr>
        <w:t xml:space="preserve"> fundados</w:t>
      </w:r>
      <w:r w:rsidRPr="00221F76">
        <w:rPr>
          <w:rFonts w:ascii="Palatino Linotype" w:hAnsi="Palatino Linotype" w:cs="Arial"/>
          <w:lang w:eastAsia="en-US"/>
        </w:rPr>
        <w:t xml:space="preserve"> los motivos de inconformidad hechos valer por la parte </w:t>
      </w:r>
      <w:r w:rsidRPr="00221F76">
        <w:rPr>
          <w:rFonts w:ascii="Palatino Linotype" w:hAnsi="Palatino Linotype" w:cs="Arial"/>
          <w:b/>
          <w:lang w:eastAsia="en-US"/>
        </w:rPr>
        <w:t xml:space="preserve">Recurrente </w:t>
      </w:r>
      <w:r w:rsidRPr="00221F76">
        <w:rPr>
          <w:rFonts w:ascii="Palatino Linotype" w:hAnsi="Palatino Linotype" w:cs="Arial"/>
          <w:lang w:eastAsia="en-US"/>
        </w:rPr>
        <w:t xml:space="preserve">en el recurso de revisión </w:t>
      </w:r>
      <w:r w:rsidRPr="00221F76">
        <w:rPr>
          <w:rFonts w:ascii="Palatino Linotype" w:hAnsi="Palatino Linotype" w:cs="Arial"/>
          <w:b/>
          <w:lang w:eastAsia="en-US"/>
        </w:rPr>
        <w:t>0</w:t>
      </w:r>
      <w:r w:rsidR="0002734C" w:rsidRPr="00221F76">
        <w:rPr>
          <w:rFonts w:ascii="Palatino Linotype" w:hAnsi="Palatino Linotype" w:cs="Arial"/>
          <w:b/>
          <w:lang w:eastAsia="en-US"/>
        </w:rPr>
        <w:t>3884</w:t>
      </w:r>
      <w:r w:rsidRPr="00221F76">
        <w:rPr>
          <w:rFonts w:ascii="Palatino Linotype" w:hAnsi="Palatino Linotype" w:cs="Arial"/>
          <w:b/>
        </w:rPr>
        <w:t>/INFOEM/IP/RR/2021</w:t>
      </w:r>
      <w:r w:rsidRPr="00221F76">
        <w:rPr>
          <w:rFonts w:ascii="Palatino Linotype" w:hAnsi="Palatino Linotype" w:cs="Arial"/>
          <w:b/>
          <w:lang w:eastAsia="en-US"/>
        </w:rPr>
        <w:t xml:space="preserve">, </w:t>
      </w:r>
      <w:r w:rsidRPr="00221F76">
        <w:rPr>
          <w:rFonts w:ascii="Palatino Linotype" w:hAnsi="Palatino Linotype" w:cs="Arial"/>
          <w:lang w:eastAsia="en-US"/>
        </w:rPr>
        <w:t xml:space="preserve">por lo que, </w:t>
      </w:r>
      <w:r w:rsidRPr="00221F76">
        <w:rPr>
          <w:rFonts w:ascii="Palatino Linotype" w:eastAsia="Calibri" w:hAnsi="Palatino Linotype" w:cs="Arial"/>
          <w:lang w:eastAsia="en-US"/>
        </w:rPr>
        <w:t xml:space="preserve">en términos del Considerando Cuarto de la presente resolución, </w:t>
      </w:r>
      <w:r w:rsidRPr="00221F76">
        <w:rPr>
          <w:rFonts w:ascii="Palatino Linotype" w:hAnsi="Palatino Linotype" w:cs="Arial"/>
          <w:lang w:eastAsia="en-US"/>
        </w:rPr>
        <w:t>se</w:t>
      </w:r>
      <w:r w:rsidRPr="00221F76">
        <w:rPr>
          <w:rFonts w:ascii="Palatino Linotype" w:hAnsi="Palatino Linotype" w:cs="Arial"/>
          <w:b/>
          <w:lang w:eastAsia="en-US"/>
        </w:rPr>
        <w:t xml:space="preserve"> </w:t>
      </w:r>
      <w:r w:rsidR="00290A79" w:rsidRPr="00221F76">
        <w:rPr>
          <w:rFonts w:ascii="Palatino Linotype" w:hAnsi="Palatino Linotype" w:cs="Arial"/>
          <w:b/>
          <w:lang w:eastAsia="en-US"/>
        </w:rPr>
        <w:t>Revoca</w:t>
      </w:r>
      <w:r w:rsidRPr="00221F76">
        <w:rPr>
          <w:rFonts w:ascii="Palatino Linotype" w:hAnsi="Palatino Linotype" w:cs="Arial"/>
          <w:b/>
          <w:lang w:eastAsia="en-US"/>
        </w:rPr>
        <w:t xml:space="preserve"> </w:t>
      </w:r>
      <w:r w:rsidRPr="00221F76">
        <w:rPr>
          <w:rFonts w:ascii="Palatino Linotype" w:hAnsi="Palatino Linotype" w:cs="Arial"/>
          <w:lang w:eastAsia="en-US"/>
        </w:rPr>
        <w:t>la respuesta</w:t>
      </w:r>
      <w:r w:rsidRPr="00221F76">
        <w:rPr>
          <w:rFonts w:ascii="Palatino Linotype" w:hAnsi="Palatino Linotype" w:cs="Arial"/>
          <w:b/>
          <w:lang w:eastAsia="en-US"/>
        </w:rPr>
        <w:t xml:space="preserve"> </w:t>
      </w:r>
      <w:r w:rsidRPr="00221F76">
        <w:rPr>
          <w:rFonts w:ascii="Palatino Linotype" w:hAnsi="Palatino Linotype" w:cs="Arial"/>
          <w:lang w:eastAsia="en-US"/>
        </w:rPr>
        <w:t xml:space="preserve">del </w:t>
      </w:r>
      <w:r w:rsidRPr="00221F76">
        <w:rPr>
          <w:rFonts w:ascii="Palatino Linotype" w:hAnsi="Palatino Linotype" w:cs="Arial"/>
          <w:b/>
          <w:lang w:eastAsia="en-US"/>
        </w:rPr>
        <w:t>sujeto obligado.</w:t>
      </w:r>
    </w:p>
    <w:p w14:paraId="33CB2C5C" w14:textId="42232EB0" w:rsidR="00F97215" w:rsidRPr="00221F76" w:rsidRDefault="00F97215" w:rsidP="00F97215">
      <w:pPr>
        <w:spacing w:before="240" w:after="240" w:line="360" w:lineRule="auto"/>
        <w:jc w:val="both"/>
        <w:rPr>
          <w:rFonts w:ascii="Palatino Linotype" w:hAnsi="Palatino Linotype" w:cs="Arial"/>
          <w:lang w:eastAsia="en-US"/>
        </w:rPr>
      </w:pPr>
      <w:r w:rsidRPr="00221F76">
        <w:rPr>
          <w:rFonts w:ascii="Palatino Linotype" w:hAnsi="Palatino Linotype" w:cs="Arial"/>
          <w:b/>
          <w:bCs/>
          <w:shd w:val="clear" w:color="auto" w:fill="FFFFFF"/>
        </w:rPr>
        <w:t xml:space="preserve">Segundo. </w:t>
      </w:r>
      <w:r w:rsidRPr="00221F76">
        <w:rPr>
          <w:rFonts w:ascii="Palatino Linotype" w:hAnsi="Palatino Linotype" w:cs="Arial"/>
          <w:lang w:eastAsia="en-US"/>
        </w:rPr>
        <w:t xml:space="preserve">Se </w:t>
      </w:r>
      <w:r w:rsidRPr="00221F76">
        <w:rPr>
          <w:rFonts w:ascii="Palatino Linotype" w:hAnsi="Palatino Linotype" w:cs="Arial"/>
          <w:b/>
          <w:bCs/>
          <w:lang w:eastAsia="en-US"/>
        </w:rPr>
        <w:t>Ordena</w:t>
      </w:r>
      <w:r w:rsidRPr="00221F76">
        <w:rPr>
          <w:rFonts w:ascii="Palatino Linotype" w:hAnsi="Palatino Linotype" w:cs="Arial"/>
          <w:lang w:eastAsia="en-US"/>
        </w:rPr>
        <w:t xml:space="preserve"> al Sujeto Obligado, en términos del Considerando </w:t>
      </w:r>
      <w:r w:rsidRPr="00221F76">
        <w:rPr>
          <w:rFonts w:ascii="Palatino Linotype" w:hAnsi="Palatino Linotype" w:cs="Arial"/>
          <w:b/>
          <w:bCs/>
          <w:lang w:eastAsia="en-US"/>
        </w:rPr>
        <w:t>Cuarto</w:t>
      </w:r>
      <w:r w:rsidRPr="00221F76">
        <w:rPr>
          <w:rFonts w:ascii="Palatino Linotype" w:hAnsi="Palatino Linotype" w:cs="Arial"/>
          <w:lang w:eastAsia="en-US"/>
        </w:rPr>
        <w:t xml:space="preserve"> </w:t>
      </w:r>
      <w:r w:rsidR="004E1737" w:rsidRPr="00221F76">
        <w:rPr>
          <w:rFonts w:ascii="Palatino Linotype" w:hAnsi="Palatino Linotype" w:cs="Arial"/>
          <w:lang w:eastAsia="en-US"/>
        </w:rPr>
        <w:t xml:space="preserve">y </w:t>
      </w:r>
      <w:r w:rsidR="004E1737" w:rsidRPr="00221F76">
        <w:rPr>
          <w:rFonts w:ascii="Palatino Linotype" w:hAnsi="Palatino Linotype" w:cs="Arial"/>
          <w:b/>
          <w:lang w:eastAsia="en-US"/>
        </w:rPr>
        <w:t>Quinto</w:t>
      </w:r>
      <w:r w:rsidR="004E1737" w:rsidRPr="00221F76">
        <w:rPr>
          <w:rFonts w:ascii="Palatino Linotype" w:hAnsi="Palatino Linotype" w:cs="Arial"/>
          <w:lang w:eastAsia="en-US"/>
        </w:rPr>
        <w:t xml:space="preserve"> </w:t>
      </w:r>
      <w:r w:rsidRPr="00221F76">
        <w:rPr>
          <w:rFonts w:ascii="Palatino Linotype" w:hAnsi="Palatino Linotype" w:cs="Arial"/>
          <w:lang w:eastAsia="en-US"/>
        </w:rPr>
        <w:t>de esta resolución, haga entrega vía SAIMEX,</w:t>
      </w:r>
      <w:r w:rsidR="0005756E" w:rsidRPr="00221F76">
        <w:rPr>
          <w:rFonts w:ascii="Palatino Linotype" w:hAnsi="Palatino Linotype" w:cs="Arial"/>
          <w:lang w:eastAsia="en-US"/>
        </w:rPr>
        <w:t xml:space="preserve"> en versión pública,</w:t>
      </w:r>
      <w:r w:rsidRPr="00221F76">
        <w:rPr>
          <w:rFonts w:ascii="Palatino Linotype" w:hAnsi="Palatino Linotype" w:cs="Arial"/>
          <w:lang w:eastAsia="en-US"/>
        </w:rPr>
        <w:t xml:space="preserve"> de lo siguiente:</w:t>
      </w:r>
    </w:p>
    <w:p w14:paraId="603914E3" w14:textId="51B28A68" w:rsidR="0002734C" w:rsidRPr="00221F76" w:rsidRDefault="0002734C" w:rsidP="0002734C">
      <w:pPr>
        <w:pStyle w:val="Prrafodelista"/>
        <w:numPr>
          <w:ilvl w:val="0"/>
          <w:numId w:val="13"/>
        </w:numPr>
        <w:spacing w:before="240" w:after="240" w:line="360" w:lineRule="auto"/>
        <w:jc w:val="both"/>
        <w:rPr>
          <w:rFonts w:ascii="Palatino Linotype" w:hAnsi="Palatino Linotype" w:cs="Arial"/>
          <w:i/>
          <w:sz w:val="22"/>
        </w:rPr>
      </w:pPr>
      <w:bookmarkStart w:id="5" w:name="_Hlk48684990"/>
      <w:r w:rsidRPr="00221F76">
        <w:rPr>
          <w:rFonts w:ascii="Palatino Linotype" w:hAnsi="Palatino Linotype"/>
          <w:szCs w:val="22"/>
        </w:rPr>
        <w:lastRenderedPageBreak/>
        <w:t>Recibos de nómina de todo el personal adscrito al sujeto obligado, generados desde la primera quincena de enero a la primera quincena de junio de dos mil veintiuno.</w:t>
      </w:r>
    </w:p>
    <w:p w14:paraId="1C557AAA" w14:textId="77777777" w:rsidR="00CC74F1" w:rsidRPr="00221F76" w:rsidRDefault="00CC74F1" w:rsidP="00974F5A">
      <w:pPr>
        <w:spacing w:before="240" w:after="240"/>
        <w:ind w:left="426"/>
        <w:jc w:val="both"/>
        <w:rPr>
          <w:rFonts w:ascii="Palatino Linotype" w:hAnsi="Palatino Linotype" w:cs="Arial"/>
          <w:i/>
          <w:sz w:val="22"/>
        </w:rPr>
      </w:pPr>
      <w:r w:rsidRPr="00221F76">
        <w:rPr>
          <w:rFonts w:ascii="Palatino Linotype" w:hAnsi="Palatino Linotype" w:cs="Arial"/>
          <w:i/>
          <w:sz w:val="22"/>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14:paraId="10A968E2" w14:textId="20E707FC" w:rsidR="0043159C" w:rsidRPr="00221F76" w:rsidRDefault="00DB4AB7" w:rsidP="00974F5A">
      <w:pPr>
        <w:spacing w:before="240" w:after="240"/>
        <w:ind w:left="426"/>
        <w:jc w:val="both"/>
        <w:rPr>
          <w:rFonts w:ascii="Palatino Linotype" w:hAnsi="Palatino Linotype" w:cs="Arial"/>
          <w:i/>
          <w:sz w:val="22"/>
        </w:rPr>
      </w:pPr>
      <w:r w:rsidRPr="00221F76">
        <w:rPr>
          <w:rFonts w:ascii="Palatino Linotype" w:hAnsi="Palatino Linotype" w:cs="Arial"/>
          <w:i/>
          <w:sz w:val="22"/>
        </w:rPr>
        <w:t>Para el caso de que exista impedimento justificado para entregar la información vía SAIMEX, el sujeto obligado, deberá proponer otros medios electrónicos, tales como habilitar una liga electrónica que deberá proporcionarle para que descargue los archivos; enviar la información a la cuenta de correo electrónico del particular; concederle el acceso en disco compacto, con la posibilidad de envío mediante correo certificado, previo pago del costo del CD y del envío; o darle la posibilidad de obtenerla de manera gratuita si el mismo particular aporta el CD o la USB en la que se le proporcionarán los archivos electrónicos.</w:t>
      </w:r>
    </w:p>
    <w:bookmarkEnd w:id="5"/>
    <w:p w14:paraId="78820D94" w14:textId="6DAEC63B" w:rsidR="00974F5A" w:rsidRPr="00221F76" w:rsidRDefault="00974F5A" w:rsidP="00974F5A">
      <w:pPr>
        <w:spacing w:before="240" w:after="240" w:line="360" w:lineRule="auto"/>
        <w:jc w:val="both"/>
        <w:rPr>
          <w:rFonts w:ascii="Palatino Linotype" w:hAnsi="Palatino Linotype" w:cs="Arial"/>
          <w:b/>
        </w:rPr>
      </w:pPr>
      <w:r w:rsidRPr="00221F76">
        <w:rPr>
          <w:rFonts w:ascii="Palatino Linotype" w:hAnsi="Palatino Linotype" w:cs="Arial"/>
          <w:b/>
        </w:rPr>
        <w:t xml:space="preserve">Tercero. Notifíquese, </w:t>
      </w:r>
      <w:r w:rsidRPr="00221F76">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21F76">
        <w:rPr>
          <w:rFonts w:ascii="Palatino Linotype" w:hAnsi="Palatino Linotype" w:cs="Arial"/>
          <w:b/>
        </w:rPr>
        <w:t>.</w:t>
      </w:r>
    </w:p>
    <w:p w14:paraId="0FA81880" w14:textId="2442BA34" w:rsidR="00974F5A" w:rsidRPr="00221F76" w:rsidRDefault="00974F5A" w:rsidP="00974F5A">
      <w:pPr>
        <w:spacing w:before="240" w:after="240" w:line="360" w:lineRule="auto"/>
        <w:jc w:val="both"/>
        <w:rPr>
          <w:rFonts w:ascii="Palatino Linotype" w:eastAsia="Calibri" w:hAnsi="Palatino Linotype" w:cs="Arial"/>
          <w:bCs/>
          <w:lang w:val="es-MX" w:eastAsia="en-US"/>
        </w:rPr>
      </w:pPr>
      <w:r w:rsidRPr="00221F76">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4F84B7B6" w:rsidR="00974F5A" w:rsidRPr="00221F76" w:rsidRDefault="00692399" w:rsidP="00974F5A">
      <w:pPr>
        <w:spacing w:before="240" w:after="240" w:line="360" w:lineRule="auto"/>
        <w:jc w:val="both"/>
        <w:rPr>
          <w:rFonts w:ascii="Palatino Linotype" w:hAnsi="Palatino Linotype"/>
        </w:rPr>
      </w:pPr>
      <w:r w:rsidRPr="00221F76">
        <w:rPr>
          <w:rFonts w:ascii="Palatino Linotype" w:eastAsia="MS Mincho" w:hAnsi="Palatino Linotype"/>
          <w:b/>
          <w:bCs/>
          <w:lang w:val="es-MX" w:eastAsia="es-ES_tradnl"/>
        </w:rPr>
        <w:t>Cuarto</w:t>
      </w:r>
      <w:r w:rsidRPr="00221F76">
        <w:rPr>
          <w:rFonts w:ascii="Palatino Linotype" w:eastAsia="MS Mincho" w:hAnsi="Palatino Linotype"/>
          <w:b/>
          <w:bCs/>
          <w:sz w:val="28"/>
          <w:szCs w:val="18"/>
          <w:lang w:val="es-MX" w:eastAsia="es-ES_tradnl"/>
        </w:rPr>
        <w:t>.</w:t>
      </w:r>
      <w:r w:rsidR="00974F5A" w:rsidRPr="00221F76">
        <w:rPr>
          <w:rFonts w:ascii="Palatino Linotype" w:hAnsi="Palatino Linotype" w:cs="Arial"/>
          <w:b/>
        </w:rPr>
        <w:t xml:space="preserve">  Notifíquese,</w:t>
      </w:r>
      <w:r w:rsidR="00974F5A" w:rsidRPr="00221F76">
        <w:rPr>
          <w:rFonts w:ascii="Palatino Linotype" w:hAnsi="Palatino Linotype" w:cs="Arial"/>
        </w:rPr>
        <w:t xml:space="preserve"> </w:t>
      </w:r>
      <w:r w:rsidR="00974F5A" w:rsidRPr="00221F76">
        <w:rPr>
          <w:rFonts w:ascii="Palatino Linotype" w:eastAsia="Calibri" w:hAnsi="Palatino Linotype" w:cs="Arial"/>
          <w:bCs/>
          <w:lang w:val="es-MX" w:eastAsia="en-US"/>
        </w:rPr>
        <w:t xml:space="preserve">a la parte recurrente la presente resolución, así como, que de conformidad con lo establecido en el artículo 196 de la Ley de Transparencia y </w:t>
      </w:r>
      <w:r w:rsidR="00974F5A" w:rsidRPr="00221F76">
        <w:rPr>
          <w:rFonts w:ascii="Palatino Linotype" w:eastAsia="Calibri" w:hAnsi="Palatino Linotype" w:cs="Arial"/>
          <w:bCs/>
          <w:lang w:val="es-MX" w:eastAsia="en-US"/>
        </w:rPr>
        <w:lastRenderedPageBreak/>
        <w:t>Acceso a la Información Pública del Estado de México y Municipios, en caso de que considere que le causa algún perjuicio podrá impugnarla vía Juicio de Amparo en los términos de las leyes aplicables.</w:t>
      </w:r>
    </w:p>
    <w:p w14:paraId="370C22FA" w14:textId="104FA384" w:rsidR="0007536C" w:rsidRPr="00221F76" w:rsidRDefault="0007536C" w:rsidP="0007536C">
      <w:pPr>
        <w:spacing w:before="240" w:after="240" w:line="360" w:lineRule="auto"/>
        <w:jc w:val="both"/>
        <w:rPr>
          <w:rFonts w:ascii="Palatino Linotype" w:hAnsi="Palatino Linotype" w:cs="Arial"/>
          <w:lang w:val="es-ES_tradnl"/>
        </w:rPr>
      </w:pPr>
      <w:r w:rsidRPr="00221F76">
        <w:rPr>
          <w:rFonts w:ascii="Palatino Linotype" w:hAnsi="Palatino Linotype" w:cs="Arial"/>
        </w:rPr>
        <w:t>ASÍ LO RESUELVE, POR UNANIMIDAD DE VOTOS, EL PLENO DEL</w:t>
      </w:r>
      <w:r w:rsidRPr="00221F76">
        <w:rPr>
          <w:rFonts w:ascii="Palatino Linotype" w:eastAsia="Arial Unicode MS" w:hAnsi="Palatino Linotype" w:cs="Arial"/>
        </w:rPr>
        <w:t xml:space="preserve"> INSTITUTO DE TRANSPARENCIA, ACCESO A LA INFORMACIÓN PÚBLICA Y PROTECCIÓN DE DATOS PERSONALES DEL ESTADO DE MÉXICO Y MUNICIPIOS</w:t>
      </w:r>
      <w:r w:rsidRPr="00221F76">
        <w:rPr>
          <w:rFonts w:ascii="Palatino Linotype" w:hAnsi="Palatino Linotype" w:cs="Arial"/>
        </w:rPr>
        <w:t xml:space="preserve">, CONFORMADO POR LOS COMISIONADOS </w:t>
      </w:r>
      <w:r w:rsidRPr="00221F76">
        <w:rPr>
          <w:rFonts w:ascii="Palatino Linotype" w:hAnsi="Palatino Linotype"/>
        </w:rPr>
        <w:t>JOSÉ MARTÍNEZ VILCHIS; SHARON CRISTINA MORALES MARTÍNEZ; MARÍA DEL ROSARIO MEJÍA AYALA; GUADALUPE RAMÍREZ PEÑA Y LUIS GUSTAVO PARRA NORIEGA;</w:t>
      </w:r>
      <w:r w:rsidR="00C45559" w:rsidRPr="00221F76">
        <w:rPr>
          <w:rFonts w:ascii="Palatino Linotype" w:hAnsi="Palatino Linotype" w:cs="Arial"/>
        </w:rPr>
        <w:t xml:space="preserve"> EN LA TRIGÉSIMO SEGUNDA</w:t>
      </w:r>
      <w:r w:rsidRPr="00221F76">
        <w:rPr>
          <w:rFonts w:ascii="Palatino Linotype" w:hAnsi="Palatino Linotype" w:cs="Arial"/>
        </w:rPr>
        <w:t xml:space="preserve"> </w:t>
      </w:r>
      <w:r w:rsidR="00164FE6" w:rsidRPr="00221F76">
        <w:rPr>
          <w:rFonts w:ascii="Palatino Linotype" w:hAnsi="Palatino Linotype" w:cs="Arial"/>
        </w:rPr>
        <w:t xml:space="preserve">SESIÓN ORDINARIA CELEBRADA EL </w:t>
      </w:r>
      <w:r w:rsidR="00C45559" w:rsidRPr="00221F76">
        <w:rPr>
          <w:rFonts w:ascii="Palatino Linotype" w:hAnsi="Palatino Linotype" w:cs="Arial"/>
        </w:rPr>
        <w:t>QUINCE</w:t>
      </w:r>
      <w:r w:rsidRPr="00221F76">
        <w:rPr>
          <w:rFonts w:ascii="Palatino Linotype" w:hAnsi="Palatino Linotype" w:cs="Arial"/>
        </w:rPr>
        <w:t xml:space="preserve"> DE SEPTIEMBRE DE DOS MIL VEINTIUNO, ANTE EL SECRETARIO TÉCNICO DEL PLENO, ALEXIS TAPIA</w:t>
      </w:r>
      <w:r w:rsidRPr="00221F76">
        <w:rPr>
          <w:rFonts w:ascii="Palatino Linotype" w:hAnsi="Palatino Linotype" w:cs="Arial"/>
          <w:lang w:val="es-ES_tradnl"/>
        </w:rPr>
        <w:t xml:space="preserve"> RAMÍREZ.</w:t>
      </w:r>
    </w:p>
    <w:p w14:paraId="69B76F8E" w14:textId="5A40B400" w:rsidR="00046C81" w:rsidRPr="00221F76" w:rsidRDefault="00C45559" w:rsidP="00251B17">
      <w:pPr>
        <w:spacing w:before="240" w:after="240"/>
        <w:jc w:val="both"/>
        <w:rPr>
          <w:rFonts w:ascii="Palatino Linotype" w:hAnsi="Palatino Linotype" w:cs="Arial"/>
          <w:sz w:val="20"/>
          <w:szCs w:val="20"/>
          <w:lang w:val="es-ES_tradnl"/>
        </w:rPr>
      </w:pPr>
      <w:r w:rsidRPr="00221F76">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416D0EA3" wp14:editId="069F8490">
                <wp:simplePos x="0" y="0"/>
                <wp:positionH relativeFrom="margin">
                  <wp:align>right</wp:align>
                </wp:positionH>
                <wp:positionV relativeFrom="paragraph">
                  <wp:posOffset>31750</wp:posOffset>
                </wp:positionV>
                <wp:extent cx="5514975" cy="34575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457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F973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5pt" to="817.3pt,2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" strokecolor="black [3200]" strokeweight="2pt">
                <v:shadow on="t" color="black" opacity="24903f" origin=",.5" offset="0,.55556mm"/>
                <w10:wrap anchorx="margin"/>
              </v:line>
            </w:pict>
          </mc:Fallback>
        </mc:AlternateContent>
      </w:r>
      <w:bookmarkStart w:id="6" w:name="_GoBack"/>
      <w:bookmarkEnd w:id="6"/>
    </w:p>
    <w:p w14:paraId="0FEA2B4A" w14:textId="56B02CA9" w:rsidR="009B0D78" w:rsidRPr="00221F76" w:rsidRDefault="009B0D78" w:rsidP="00251B17">
      <w:pPr>
        <w:spacing w:before="240" w:after="240"/>
        <w:jc w:val="both"/>
        <w:rPr>
          <w:rFonts w:ascii="Palatino Linotype" w:hAnsi="Palatino Linotype" w:cs="Arial"/>
          <w:sz w:val="20"/>
          <w:szCs w:val="20"/>
          <w:lang w:val="es-ES_tradnl"/>
        </w:rPr>
      </w:pPr>
    </w:p>
    <w:p w14:paraId="6FDD0586" w14:textId="0D29D2B4" w:rsidR="009B0D78" w:rsidRPr="00221F76" w:rsidRDefault="009B0D78" w:rsidP="00251B17">
      <w:pPr>
        <w:spacing w:before="240" w:after="240"/>
        <w:jc w:val="both"/>
        <w:rPr>
          <w:rFonts w:ascii="Palatino Linotype" w:hAnsi="Palatino Linotype" w:cs="Arial"/>
          <w:sz w:val="20"/>
          <w:szCs w:val="20"/>
          <w:lang w:val="es-ES_tradnl"/>
        </w:rPr>
      </w:pPr>
    </w:p>
    <w:p w14:paraId="188501F5" w14:textId="74D449B1" w:rsidR="009B0D78" w:rsidRPr="00221F76" w:rsidRDefault="009B0D78" w:rsidP="00251B17">
      <w:pPr>
        <w:spacing w:before="240" w:after="240"/>
        <w:jc w:val="both"/>
        <w:rPr>
          <w:rFonts w:ascii="Palatino Linotype" w:hAnsi="Palatino Linotype" w:cs="Arial"/>
          <w:sz w:val="20"/>
          <w:szCs w:val="20"/>
          <w:lang w:val="es-ES_tradnl"/>
        </w:rPr>
      </w:pPr>
    </w:p>
    <w:p w14:paraId="06D37F00" w14:textId="24867AF0" w:rsidR="009B0D78" w:rsidRPr="00221F76" w:rsidRDefault="009B0D78" w:rsidP="00251B17">
      <w:pPr>
        <w:spacing w:before="240" w:after="240"/>
        <w:jc w:val="both"/>
        <w:rPr>
          <w:rFonts w:ascii="Palatino Linotype" w:hAnsi="Palatino Linotype" w:cs="Arial"/>
          <w:sz w:val="20"/>
          <w:szCs w:val="20"/>
          <w:lang w:val="es-ES_tradnl"/>
        </w:rPr>
      </w:pPr>
    </w:p>
    <w:p w14:paraId="13F1AE8E" w14:textId="73A0A941" w:rsidR="009B0D78" w:rsidRPr="00221F76" w:rsidRDefault="009B0D78" w:rsidP="00251B17">
      <w:pPr>
        <w:spacing w:before="240" w:after="240"/>
        <w:jc w:val="both"/>
        <w:rPr>
          <w:rFonts w:ascii="Palatino Linotype" w:hAnsi="Palatino Linotype" w:cs="Arial"/>
          <w:sz w:val="20"/>
          <w:szCs w:val="20"/>
          <w:lang w:val="es-ES_tradnl"/>
        </w:rPr>
      </w:pPr>
    </w:p>
    <w:p w14:paraId="6ABB7AA7" w14:textId="1D8ED46E" w:rsidR="009B0D78" w:rsidRPr="00221F76" w:rsidRDefault="009B0D78" w:rsidP="00251B17">
      <w:pPr>
        <w:spacing w:before="240" w:after="240"/>
        <w:jc w:val="both"/>
        <w:rPr>
          <w:rFonts w:ascii="Palatino Linotype" w:hAnsi="Palatino Linotype" w:cs="Arial"/>
          <w:sz w:val="20"/>
          <w:szCs w:val="20"/>
          <w:lang w:val="es-ES_tradnl"/>
        </w:rPr>
      </w:pPr>
    </w:p>
    <w:p w14:paraId="58248052" w14:textId="0B5BBCCF" w:rsidR="009B0D78" w:rsidRPr="00221F76" w:rsidRDefault="009B0D78" w:rsidP="00251B17">
      <w:pPr>
        <w:spacing w:before="240" w:after="240"/>
        <w:jc w:val="both"/>
        <w:rPr>
          <w:rFonts w:ascii="Palatino Linotype" w:hAnsi="Palatino Linotype" w:cs="Arial"/>
          <w:sz w:val="20"/>
          <w:szCs w:val="20"/>
          <w:lang w:val="es-ES_tradnl"/>
        </w:rPr>
      </w:pPr>
    </w:p>
    <w:p w14:paraId="5966FDB5" w14:textId="5F1FDE8C" w:rsidR="009B0D78" w:rsidRPr="00221F76" w:rsidRDefault="009B0D78" w:rsidP="00251B17">
      <w:pPr>
        <w:spacing w:before="240" w:after="240"/>
        <w:jc w:val="both"/>
        <w:rPr>
          <w:rFonts w:ascii="Palatino Linotype" w:hAnsi="Palatino Linotype" w:cs="Arial"/>
          <w:sz w:val="20"/>
          <w:szCs w:val="20"/>
          <w:lang w:val="es-ES_tradnl"/>
        </w:rPr>
      </w:pPr>
    </w:p>
    <w:p w14:paraId="64A979DF" w14:textId="54B5581F" w:rsidR="009B0D78" w:rsidRPr="00221F76" w:rsidRDefault="009B0D78" w:rsidP="00251B17">
      <w:pPr>
        <w:spacing w:before="240" w:after="240"/>
        <w:jc w:val="both"/>
        <w:rPr>
          <w:rFonts w:ascii="Palatino Linotype" w:hAnsi="Palatino Linotype" w:cs="Arial"/>
          <w:sz w:val="20"/>
          <w:szCs w:val="20"/>
          <w:lang w:val="es-ES_tradnl"/>
        </w:rPr>
      </w:pPr>
    </w:p>
    <w:p w14:paraId="4C027D9E" w14:textId="169A06DE" w:rsidR="009B0D78" w:rsidRPr="00221F76" w:rsidRDefault="009B0D78" w:rsidP="00251B17">
      <w:pPr>
        <w:spacing w:before="240" w:after="240"/>
        <w:jc w:val="both"/>
        <w:rPr>
          <w:rFonts w:ascii="Palatino Linotype" w:hAnsi="Palatino Linotype" w:cs="Arial"/>
          <w:sz w:val="20"/>
          <w:szCs w:val="20"/>
          <w:lang w:val="es-ES_tradnl"/>
        </w:rPr>
      </w:pPr>
    </w:p>
    <w:p w14:paraId="2E063EC7" w14:textId="40A320C0" w:rsidR="009B0D78" w:rsidRPr="00221F76" w:rsidRDefault="009B0D78" w:rsidP="00251B17">
      <w:pPr>
        <w:spacing w:before="240" w:after="240"/>
        <w:jc w:val="both"/>
        <w:rPr>
          <w:rFonts w:ascii="Palatino Linotype" w:hAnsi="Palatino Linotype" w:cs="Arial"/>
          <w:sz w:val="20"/>
          <w:szCs w:val="20"/>
          <w:lang w:val="es-ES_tradnl"/>
        </w:rPr>
      </w:pPr>
    </w:p>
    <w:p w14:paraId="4D2C3207" w14:textId="33880CF0" w:rsidR="009B0D78" w:rsidRPr="00221F76" w:rsidRDefault="009B0D78" w:rsidP="00251B17">
      <w:pPr>
        <w:spacing w:before="240" w:after="240"/>
        <w:jc w:val="both"/>
        <w:rPr>
          <w:rFonts w:ascii="Palatino Linotype" w:hAnsi="Palatino Linotype" w:cs="Arial"/>
          <w:sz w:val="20"/>
          <w:szCs w:val="20"/>
          <w:lang w:val="es-ES_tradnl"/>
        </w:rPr>
      </w:pPr>
    </w:p>
    <w:p w14:paraId="0565173A" w14:textId="1238BCDA" w:rsidR="009B0D78" w:rsidRPr="00221F76" w:rsidRDefault="009B0D78" w:rsidP="00251B17">
      <w:pPr>
        <w:spacing w:before="240" w:after="240"/>
        <w:jc w:val="both"/>
        <w:rPr>
          <w:rFonts w:ascii="Palatino Linotype" w:hAnsi="Palatino Linotype" w:cs="Arial"/>
          <w:sz w:val="20"/>
          <w:szCs w:val="20"/>
          <w:lang w:val="es-ES_tradnl"/>
        </w:rPr>
      </w:pPr>
    </w:p>
    <w:p w14:paraId="25B1B430" w14:textId="2D5A69BC" w:rsidR="009B0D78" w:rsidRPr="00221F76" w:rsidRDefault="009B0D78" w:rsidP="00251B17">
      <w:pPr>
        <w:spacing w:before="240" w:after="240"/>
        <w:jc w:val="both"/>
        <w:rPr>
          <w:rFonts w:ascii="Palatino Linotype" w:hAnsi="Palatino Linotype" w:cs="Arial"/>
          <w:sz w:val="20"/>
          <w:szCs w:val="20"/>
          <w:lang w:val="es-ES_tradnl"/>
        </w:rPr>
      </w:pPr>
    </w:p>
    <w:p w14:paraId="0097120A" w14:textId="3E9BBAB6" w:rsidR="009B0D78" w:rsidRPr="00221F76" w:rsidRDefault="009B0D78" w:rsidP="00251B17">
      <w:pPr>
        <w:spacing w:before="240" w:after="240"/>
        <w:jc w:val="both"/>
        <w:rPr>
          <w:rFonts w:ascii="Palatino Linotype" w:hAnsi="Palatino Linotype" w:cs="Arial"/>
          <w:sz w:val="20"/>
          <w:szCs w:val="20"/>
          <w:lang w:val="es-ES_tradnl"/>
        </w:rPr>
      </w:pPr>
    </w:p>
    <w:p w14:paraId="7756B0FB" w14:textId="53D082D2" w:rsidR="009B0D78" w:rsidRPr="00221F76" w:rsidRDefault="009B0D78" w:rsidP="00251B17">
      <w:pPr>
        <w:spacing w:before="240" w:after="240"/>
        <w:jc w:val="both"/>
        <w:rPr>
          <w:rFonts w:ascii="Palatino Linotype" w:hAnsi="Palatino Linotype" w:cs="Arial"/>
          <w:sz w:val="20"/>
          <w:szCs w:val="20"/>
          <w:lang w:val="es-ES_tradnl"/>
        </w:rPr>
      </w:pPr>
    </w:p>
    <w:p w14:paraId="01379307" w14:textId="4C1013C3" w:rsidR="009B0D78" w:rsidRPr="00221F76" w:rsidRDefault="009B0D78" w:rsidP="00251B17">
      <w:pPr>
        <w:spacing w:before="240" w:after="240"/>
        <w:jc w:val="both"/>
        <w:rPr>
          <w:rFonts w:ascii="Palatino Linotype" w:hAnsi="Palatino Linotype" w:cs="Arial"/>
          <w:sz w:val="20"/>
          <w:szCs w:val="20"/>
          <w:lang w:val="es-ES_tradnl"/>
        </w:rPr>
      </w:pPr>
    </w:p>
    <w:p w14:paraId="1FD2FDBA" w14:textId="7C5C9E5C" w:rsidR="009B0D78" w:rsidRPr="00221F76" w:rsidRDefault="009B0D78" w:rsidP="00251B17">
      <w:pPr>
        <w:spacing w:before="240" w:after="240"/>
        <w:jc w:val="both"/>
        <w:rPr>
          <w:rFonts w:ascii="Palatino Linotype" w:hAnsi="Palatino Linotype" w:cs="Arial"/>
          <w:sz w:val="20"/>
          <w:szCs w:val="20"/>
          <w:lang w:val="es-ES_tradnl"/>
        </w:rPr>
      </w:pPr>
    </w:p>
    <w:p w14:paraId="08342ECE" w14:textId="54F44038" w:rsidR="009B0D78" w:rsidRPr="00221F76" w:rsidRDefault="009B0D78" w:rsidP="00251B17">
      <w:pPr>
        <w:spacing w:before="240" w:after="240"/>
        <w:jc w:val="both"/>
        <w:rPr>
          <w:rFonts w:ascii="Palatino Linotype" w:hAnsi="Palatino Linotype" w:cs="Arial"/>
          <w:sz w:val="20"/>
          <w:szCs w:val="20"/>
          <w:lang w:val="es-ES_tradnl"/>
        </w:rPr>
      </w:pPr>
    </w:p>
    <w:p w14:paraId="395084B4" w14:textId="60FFB77E" w:rsidR="009B0D78" w:rsidRPr="00221F76" w:rsidRDefault="009B0D78" w:rsidP="00251B17">
      <w:pPr>
        <w:spacing w:before="240" w:after="240"/>
        <w:jc w:val="both"/>
        <w:rPr>
          <w:rFonts w:ascii="Palatino Linotype" w:hAnsi="Palatino Linotype" w:cs="Arial"/>
          <w:sz w:val="20"/>
          <w:szCs w:val="20"/>
          <w:lang w:val="es-ES_tradnl"/>
        </w:rPr>
      </w:pPr>
    </w:p>
    <w:p w14:paraId="4D2F4F43" w14:textId="2B00AC29" w:rsidR="009B0D78" w:rsidRPr="00221F76" w:rsidRDefault="009B0D78" w:rsidP="00251B17">
      <w:pPr>
        <w:spacing w:before="240" w:after="240"/>
        <w:jc w:val="both"/>
        <w:rPr>
          <w:rFonts w:ascii="Palatino Linotype" w:hAnsi="Palatino Linotype" w:cs="Arial"/>
          <w:sz w:val="20"/>
          <w:szCs w:val="20"/>
          <w:lang w:val="es-ES_tradnl"/>
        </w:rPr>
      </w:pPr>
    </w:p>
    <w:p w14:paraId="53D96D2C" w14:textId="573E0760" w:rsidR="009B0D78" w:rsidRPr="00221F76" w:rsidRDefault="009B0D78" w:rsidP="00251B17">
      <w:pPr>
        <w:spacing w:before="240" w:after="240"/>
        <w:jc w:val="both"/>
        <w:rPr>
          <w:rFonts w:ascii="Palatino Linotype" w:hAnsi="Palatino Linotype" w:cs="Arial"/>
          <w:sz w:val="20"/>
          <w:szCs w:val="20"/>
          <w:lang w:val="es-ES_tradnl"/>
        </w:rPr>
      </w:pPr>
    </w:p>
    <w:p w14:paraId="01ADD847" w14:textId="77777777" w:rsidR="009B0D78" w:rsidRPr="00221F76" w:rsidRDefault="009B0D78" w:rsidP="00251B17">
      <w:pPr>
        <w:spacing w:before="240" w:after="240"/>
        <w:jc w:val="both"/>
        <w:rPr>
          <w:rFonts w:ascii="Palatino Linotype" w:hAnsi="Palatino Linotype" w:cs="Arial"/>
          <w:sz w:val="20"/>
          <w:szCs w:val="20"/>
          <w:lang w:val="es-ES_tradnl"/>
        </w:rPr>
      </w:pPr>
    </w:p>
    <w:sectPr w:rsidR="009B0D78" w:rsidRPr="00221F76"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21F76">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21F76">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21F7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21F76">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5F8CC2D1" w14:textId="77777777" w:rsidR="00FA4800" w:rsidRPr="009D36FF" w:rsidRDefault="00FA4800" w:rsidP="00FA4800">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sz w:val="16"/>
          <w:szCs w:val="16"/>
        </w:rPr>
        <w:t>Artículo 185.</w:t>
      </w:r>
      <w:r w:rsidRPr="009D36FF">
        <w:rPr>
          <w:rFonts w:ascii="Palatino Linotype" w:hAnsi="Palatino Linotype"/>
          <w:sz w:val="16"/>
          <w:szCs w:val="16"/>
        </w:rPr>
        <w:t xml:space="preserve"> El Instituto resolverá el recurso de revisión conforme a lo siguiente: (…)</w:t>
      </w:r>
    </w:p>
    <w:p w14:paraId="361AA5D7" w14:textId="77777777" w:rsidR="00FA4800" w:rsidRPr="009D36FF" w:rsidRDefault="00FA4800" w:rsidP="00FA4800">
      <w:pPr>
        <w:pStyle w:val="Textonotapie"/>
        <w:jc w:val="both"/>
        <w:rPr>
          <w:rFonts w:ascii="Palatino Linotype" w:hAnsi="Palatino Linotype"/>
          <w:sz w:val="16"/>
          <w:szCs w:val="16"/>
        </w:rPr>
      </w:pPr>
      <w:r w:rsidRPr="009D36F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CA2A085" w14:textId="77777777" w:rsidR="00FA4800" w:rsidRPr="000366CC" w:rsidRDefault="00FA4800" w:rsidP="00FA4800">
      <w:pPr>
        <w:pStyle w:val="Textonotapie"/>
        <w:jc w:val="both"/>
        <w:rPr>
          <w:rFonts w:ascii="Palatino Linotype" w:hAnsi="Palatino Linotype"/>
          <w:i/>
          <w:sz w:val="16"/>
          <w:szCs w:val="16"/>
        </w:rPr>
      </w:pPr>
      <w:r w:rsidRPr="000366CC">
        <w:rPr>
          <w:rStyle w:val="Refdenotaalpie"/>
          <w:rFonts w:ascii="Palatino Linotype" w:hAnsi="Palatino Linotype"/>
          <w:sz w:val="16"/>
          <w:szCs w:val="16"/>
        </w:rPr>
        <w:footnoteRef/>
      </w:r>
      <w:r w:rsidRPr="000366CC">
        <w:rPr>
          <w:rFonts w:ascii="Palatino Linotype" w:hAnsi="Palatino Linotype"/>
          <w:sz w:val="16"/>
          <w:szCs w:val="16"/>
        </w:rPr>
        <w:t xml:space="preserve"> </w:t>
      </w:r>
      <w:r w:rsidRPr="000366CC">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373DC8C"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3637E8">
            <w:rPr>
              <w:rFonts w:ascii="Palatino Linotype" w:hAnsi="Palatino Linotype"/>
              <w:b/>
              <w:sz w:val="22"/>
              <w:szCs w:val="22"/>
              <w:lang w:val="es-ES_tradnl"/>
            </w:rPr>
            <w:t>38</w:t>
          </w:r>
          <w:r w:rsidR="00715935">
            <w:rPr>
              <w:rFonts w:ascii="Palatino Linotype" w:hAnsi="Palatino Linotype"/>
              <w:b/>
              <w:sz w:val="22"/>
              <w:szCs w:val="22"/>
              <w:lang w:val="es-ES_tradnl"/>
            </w:rPr>
            <w:t>8</w:t>
          </w:r>
          <w:r w:rsidR="003637E8">
            <w:rPr>
              <w:rFonts w:ascii="Palatino Linotype" w:hAnsi="Palatino Linotype"/>
              <w:b/>
              <w:sz w:val="22"/>
              <w:szCs w:val="22"/>
              <w:lang w:val="es-ES_tradnl"/>
            </w:rPr>
            <w:t>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64947AFC" w:rsidR="003D40A4" w:rsidRPr="00927A01" w:rsidRDefault="000A7446"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sidR="00715935">
            <w:rPr>
              <w:rFonts w:ascii="Palatino Linotype" w:hAnsi="Palatino Linotype"/>
              <w:b/>
              <w:sz w:val="22"/>
              <w:szCs w:val="22"/>
              <w:lang w:val="es-ES_tradnl"/>
            </w:rPr>
            <w:t>Zumpango</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4E61307"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3637E8">
            <w:rPr>
              <w:rFonts w:ascii="Palatino Linotype" w:hAnsi="Palatino Linotype"/>
              <w:b/>
              <w:sz w:val="22"/>
              <w:szCs w:val="22"/>
              <w:lang w:val="es-ES_tradnl"/>
            </w:rPr>
            <w:t>38</w:t>
          </w:r>
          <w:r w:rsidR="00715935">
            <w:rPr>
              <w:rFonts w:ascii="Palatino Linotype" w:hAnsi="Palatino Linotype"/>
              <w:b/>
              <w:sz w:val="22"/>
              <w:szCs w:val="22"/>
              <w:lang w:val="es-ES_tradnl"/>
            </w:rPr>
            <w:t>8</w:t>
          </w:r>
          <w:r w:rsidR="003637E8">
            <w:rPr>
              <w:rFonts w:ascii="Palatino Linotype" w:hAnsi="Palatino Linotype"/>
              <w:b/>
              <w:sz w:val="22"/>
              <w:szCs w:val="22"/>
              <w:lang w:val="es-ES_tradnl"/>
            </w:rPr>
            <w:t>4</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DD43A88" w:rsidR="003D40A4" w:rsidRPr="006220B0" w:rsidRDefault="00221F76" w:rsidP="00221F76">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w:t>
          </w:r>
          <w:r w:rsidR="00715935">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r w:rsidR="00715935">
            <w:rPr>
              <w:rFonts w:ascii="Palatino Linotype" w:hAnsi="Palatino Linotype"/>
              <w:b/>
              <w:bCs/>
              <w:sz w:val="22"/>
              <w:szCs w:val="22"/>
              <w:lang w:val="es-ES_tradnl"/>
            </w:rPr>
            <w:t xml:space="preserve"> </w:t>
          </w:r>
          <w:r>
            <w:rPr>
              <w:rFonts w:ascii="Palatino Linotype" w:hAnsi="Palatino Linotype"/>
              <w:b/>
              <w:bCs/>
              <w:sz w:val="22"/>
              <w:szCs w:val="22"/>
              <w:lang w:val="es-ES_tradnl"/>
            </w:rPr>
            <w:t>Xxxxxxx</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AF1EF76" w:rsidR="003D40A4" w:rsidRPr="00927A01" w:rsidRDefault="00B533D9" w:rsidP="000A7446">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sidR="00715935">
            <w:rPr>
              <w:rFonts w:ascii="Palatino Linotype" w:hAnsi="Palatino Linotype"/>
              <w:b/>
              <w:sz w:val="22"/>
              <w:szCs w:val="22"/>
              <w:lang w:val="es-ES_tradnl"/>
            </w:rPr>
            <w:t>Zumpango</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CA8D963">
          <wp:simplePos x="0" y="0"/>
          <wp:positionH relativeFrom="margin">
            <wp:posOffset>-1099185</wp:posOffset>
          </wp:positionH>
          <wp:positionV relativeFrom="paragraph">
            <wp:posOffset>-1102522</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C86889"/>
    <w:multiLevelType w:val="hybridMultilevel"/>
    <w:tmpl w:val="D1264D2A"/>
    <w:lvl w:ilvl="0" w:tplc="8940FBD6">
      <w:start w:val="1"/>
      <w:numFmt w:val="decimal"/>
      <w:lvlText w:val="%1."/>
      <w:lvlJc w:val="left"/>
      <w:pPr>
        <w:ind w:left="720" w:hanging="360"/>
      </w:pPr>
      <w:rPr>
        <w:rFonts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882055"/>
    <w:multiLevelType w:val="hybridMultilevel"/>
    <w:tmpl w:val="A9EA0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497C5487"/>
    <w:multiLevelType w:val="hybridMultilevel"/>
    <w:tmpl w:val="8B327208"/>
    <w:lvl w:ilvl="0" w:tplc="BF6AB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1"/>
  </w:num>
  <w:num w:numId="5">
    <w:abstractNumId w:val="6"/>
  </w:num>
  <w:num w:numId="6">
    <w:abstractNumId w:val="5"/>
  </w:num>
  <w:num w:numId="7">
    <w:abstractNumId w:val="7"/>
  </w:num>
  <w:num w:numId="8">
    <w:abstractNumId w:val="10"/>
  </w:num>
  <w:num w:numId="9">
    <w:abstractNumId w:val="9"/>
  </w:num>
  <w:num w:numId="10">
    <w:abstractNumId w:val="12"/>
  </w:num>
  <w:num w:numId="11">
    <w:abstractNumId w:val="3"/>
  </w:num>
  <w:num w:numId="12">
    <w:abstractNumId w:val="8"/>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1F76"/>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7E8"/>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59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496"/>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277D-849F-4BF4-8FFD-54300EC6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6101</Words>
  <Characters>33556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2021-09-08T22:11:00Z</cp:lastPrinted>
  <dcterms:created xsi:type="dcterms:W3CDTF">2021-09-09T19:09:00Z</dcterms:created>
  <dcterms:modified xsi:type="dcterms:W3CDTF">2021-09-30T23:42:00Z</dcterms:modified>
</cp:coreProperties>
</file>