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6084CF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1F35">
        <w:rPr>
          <w:rFonts w:ascii="Palatino Linotype" w:eastAsia="Times New Roman" w:hAnsi="Palatino Linotype" w:cs="Arial"/>
          <w:color w:val="000000"/>
          <w:sz w:val="24"/>
          <w:szCs w:val="24"/>
          <w:lang w:eastAsia="es-MX"/>
        </w:rPr>
        <w:t xml:space="preserve">veintiséis de mayo de dos mil veintiuno. </w:t>
      </w:r>
    </w:p>
    <w:p w14:paraId="6E9BEFC3" w14:textId="1A1634FB" w:rsidR="008C693E" w:rsidRPr="008C693E"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8C693E">
        <w:rPr>
          <w:rFonts w:ascii="Palatino Linotype" w:hAnsi="Palatino Linotype" w:cs="Arial"/>
          <w:b/>
          <w:sz w:val="24"/>
        </w:rPr>
        <w:t xml:space="preserve">01325/INFOEM/IP/RR/2021, 01326/INFOEM/IP/RR/2021, 01803/INFOEM/IP/RR/2021 y 01804/INFOEM/IP/RR/2021, </w:t>
      </w:r>
      <w:r w:rsidR="008C693E">
        <w:rPr>
          <w:rFonts w:ascii="Palatino Linotype" w:hAnsi="Palatino Linotype" w:cs="Arial"/>
          <w:sz w:val="24"/>
        </w:rPr>
        <w:t xml:space="preserve">interpuestos por el </w:t>
      </w:r>
      <w:r w:rsidR="008C693E">
        <w:rPr>
          <w:rFonts w:ascii="Palatino Linotype" w:hAnsi="Palatino Linotype" w:cs="Arial"/>
          <w:b/>
          <w:sz w:val="24"/>
        </w:rPr>
        <w:t xml:space="preserve">C. </w:t>
      </w:r>
      <w:r w:rsidR="00FF0D85">
        <w:rPr>
          <w:rFonts w:ascii="Palatino Linotype" w:hAnsi="Palatino Linotype" w:cs="Arial"/>
          <w:b/>
          <w:sz w:val="24"/>
        </w:rPr>
        <w:t>xxxx</w:t>
      </w:r>
      <w:r w:rsidR="008C693E">
        <w:rPr>
          <w:rFonts w:ascii="Palatino Linotype" w:hAnsi="Palatino Linotype" w:cs="Arial"/>
          <w:b/>
          <w:sz w:val="24"/>
        </w:rPr>
        <w:t xml:space="preserve"> </w:t>
      </w:r>
      <w:r w:rsidR="00FF0D85">
        <w:rPr>
          <w:rFonts w:ascii="Palatino Linotype" w:hAnsi="Palatino Linotype" w:cs="Arial"/>
          <w:b/>
          <w:sz w:val="24"/>
        </w:rPr>
        <w:t>xxxxxxxxxxxxxx</w:t>
      </w:r>
      <w:bookmarkStart w:id="0" w:name="_GoBack"/>
      <w:bookmarkEnd w:id="0"/>
      <w:r w:rsidR="008C693E">
        <w:rPr>
          <w:rFonts w:ascii="Palatino Linotype" w:hAnsi="Palatino Linotype" w:cs="Arial"/>
          <w:b/>
          <w:sz w:val="24"/>
        </w:rPr>
        <w:t xml:space="preserve">, </w:t>
      </w:r>
      <w:r w:rsidR="008C693E">
        <w:rPr>
          <w:rFonts w:ascii="Palatino Linotype" w:hAnsi="Palatino Linotype" w:cs="Arial"/>
          <w:sz w:val="24"/>
        </w:rPr>
        <w:t xml:space="preserve">en lo sucesivo </w:t>
      </w:r>
      <w:r w:rsidR="008C693E">
        <w:rPr>
          <w:rFonts w:ascii="Palatino Linotype" w:hAnsi="Palatino Linotype" w:cs="Arial"/>
          <w:b/>
          <w:sz w:val="24"/>
        </w:rPr>
        <w:t xml:space="preserve">El Recurrente, </w:t>
      </w:r>
      <w:r w:rsidR="008C693E">
        <w:rPr>
          <w:rFonts w:ascii="Palatino Linotype" w:hAnsi="Palatino Linotype" w:cs="Arial"/>
          <w:sz w:val="24"/>
        </w:rPr>
        <w:t xml:space="preserve">en contra de la falta de respuesta del </w:t>
      </w:r>
      <w:r w:rsidR="008C693E">
        <w:rPr>
          <w:rFonts w:ascii="Palatino Linotype" w:hAnsi="Palatino Linotype" w:cs="Arial"/>
          <w:b/>
          <w:sz w:val="24"/>
        </w:rPr>
        <w:t xml:space="preserve">Ayuntamiento de Teoloyucan, </w:t>
      </w:r>
      <w:r w:rsidR="008C693E">
        <w:rPr>
          <w:rFonts w:ascii="Palatino Linotype" w:hAnsi="Palatino Linotype" w:cs="Arial"/>
          <w:sz w:val="24"/>
        </w:rPr>
        <w:t xml:space="preserve">en lo sucesivo </w:t>
      </w:r>
      <w:r w:rsidR="008C693E">
        <w:rPr>
          <w:rFonts w:ascii="Palatino Linotype" w:hAnsi="Palatino Linotype" w:cs="Arial"/>
          <w:b/>
          <w:sz w:val="24"/>
        </w:rPr>
        <w:t xml:space="preserve">El Sujeto Obligado, </w:t>
      </w:r>
      <w:r w:rsidR="008C693E">
        <w:rPr>
          <w:rFonts w:ascii="Palatino Linotype" w:hAnsi="Palatino Linotype" w:cs="Arial"/>
          <w:sz w:val="24"/>
        </w:rPr>
        <w:t xml:space="preserve">se procede a dictar la presente resolución. </w:t>
      </w:r>
    </w:p>
    <w:p w14:paraId="0358BACE" w14:textId="77777777" w:rsidR="008C693E" w:rsidRDefault="008C693E" w:rsidP="00A0242F">
      <w:pPr>
        <w:tabs>
          <w:tab w:val="left" w:pos="1701"/>
        </w:tabs>
        <w:spacing w:before="240" w:line="360" w:lineRule="auto"/>
        <w:jc w:val="both"/>
        <w:rPr>
          <w:rFonts w:ascii="Palatino Linotype" w:hAnsi="Palatino Linotype" w:cs="Arial"/>
          <w:sz w:val="24"/>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D53AAFC" w14:textId="1E8FA7F5" w:rsidR="008C693E" w:rsidRPr="008C693E"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8C693E">
        <w:rPr>
          <w:rFonts w:ascii="Palatino Linotype" w:hAnsi="Palatino Linotype" w:cs="Arial"/>
          <w:sz w:val="24"/>
        </w:rPr>
        <w:t xml:space="preserve">veintitrés de febrero y diez de marzo, </w:t>
      </w:r>
      <w:r w:rsidR="008C693E">
        <w:rPr>
          <w:rFonts w:ascii="Palatino Linotype" w:hAnsi="Palatino Linotype" w:cs="Arial"/>
          <w:b/>
          <w:sz w:val="24"/>
        </w:rPr>
        <w:t xml:space="preserve">El Recurrente, </w:t>
      </w:r>
      <w:r w:rsidR="008C693E">
        <w:rPr>
          <w:rFonts w:ascii="Palatino Linotype" w:hAnsi="Palatino Linotype" w:cs="Arial"/>
          <w:sz w:val="24"/>
        </w:rPr>
        <w:t xml:space="preserve">presentó a través del </w:t>
      </w:r>
      <w:r w:rsidR="008C693E" w:rsidRPr="00D3218F">
        <w:rPr>
          <w:rFonts w:ascii="Palatino Linotype" w:hAnsi="Palatino Linotype" w:cs="Arial"/>
          <w:sz w:val="24"/>
        </w:rPr>
        <w:t>Sistema de Acceso a la Información Mexiquense (</w:t>
      </w:r>
      <w:r w:rsidR="008C693E" w:rsidRPr="00D3218F">
        <w:rPr>
          <w:rFonts w:ascii="Palatino Linotype" w:hAnsi="Palatino Linotype" w:cs="Arial"/>
          <w:b/>
          <w:sz w:val="24"/>
        </w:rPr>
        <w:t>SAIMEX)</w:t>
      </w:r>
      <w:r w:rsidR="008C693E" w:rsidRPr="00D3218F">
        <w:rPr>
          <w:rFonts w:ascii="Palatino Linotype" w:hAnsi="Palatino Linotype" w:cs="Arial"/>
          <w:sz w:val="24"/>
        </w:rPr>
        <w:t xml:space="preserve"> ante </w:t>
      </w:r>
      <w:r w:rsidR="008C693E" w:rsidRPr="00D3218F">
        <w:rPr>
          <w:rFonts w:ascii="Palatino Linotype" w:hAnsi="Palatino Linotype" w:cs="Arial"/>
          <w:b/>
          <w:sz w:val="24"/>
        </w:rPr>
        <w:t>El Sujeto Obligado</w:t>
      </w:r>
      <w:r w:rsidR="008C693E" w:rsidRPr="00D3218F">
        <w:rPr>
          <w:rFonts w:ascii="Palatino Linotype" w:hAnsi="Palatino Linotype" w:cs="Arial"/>
          <w:sz w:val="24"/>
        </w:rPr>
        <w:t xml:space="preserve">, las solicitudes de acceso a la información pública, registradas bajo los </w:t>
      </w:r>
      <w:r w:rsidR="008C693E">
        <w:rPr>
          <w:rFonts w:ascii="Palatino Linotype" w:hAnsi="Palatino Linotype" w:cs="Arial"/>
          <w:sz w:val="24"/>
        </w:rPr>
        <w:t xml:space="preserve"> </w:t>
      </w:r>
      <w:r w:rsidR="008C693E" w:rsidRPr="00D3218F">
        <w:rPr>
          <w:rFonts w:ascii="Palatino Linotype" w:hAnsi="Palatino Linotype" w:cs="Arial"/>
          <w:sz w:val="24"/>
        </w:rPr>
        <w:t>números de expediente</w:t>
      </w:r>
      <w:r w:rsidR="008C693E">
        <w:rPr>
          <w:rFonts w:ascii="Palatino Linotype" w:hAnsi="Palatino Linotype" w:cs="Arial"/>
          <w:sz w:val="24"/>
        </w:rPr>
        <w:t xml:space="preserve"> </w:t>
      </w:r>
      <w:r w:rsidR="008C693E">
        <w:rPr>
          <w:rFonts w:ascii="Palatino Linotype" w:hAnsi="Palatino Linotype" w:cs="Arial"/>
          <w:b/>
          <w:sz w:val="24"/>
        </w:rPr>
        <w:t xml:space="preserve">00069/TEOLOYU/IP/2021, 00070/TEOLOYU/IP/2021, 00085/TEOLOYU/IP/2021 y 00086/TEOLOYU/IP/2021, </w:t>
      </w:r>
      <w:r w:rsidR="008C693E">
        <w:rPr>
          <w:rFonts w:ascii="Palatino Linotype" w:hAnsi="Palatino Linotype" w:cs="Arial"/>
          <w:sz w:val="24"/>
        </w:rPr>
        <w:t xml:space="preserve">mediante las cuales solicitó información en el tenor siguiente: </w:t>
      </w:r>
    </w:p>
    <w:p w14:paraId="41F7FEDB" w14:textId="77777777" w:rsidR="008C693E" w:rsidRPr="008C693E" w:rsidRDefault="008C693E" w:rsidP="00190EA0">
      <w:pPr>
        <w:spacing w:before="240" w:line="360" w:lineRule="auto"/>
        <w:jc w:val="both"/>
        <w:rPr>
          <w:rFonts w:ascii="Palatino Linotype" w:hAnsi="Palatino Linotype" w:cs="Arial"/>
          <w:b/>
          <w:sz w:val="24"/>
        </w:rPr>
      </w:pPr>
    </w:p>
    <w:p w14:paraId="138BFC37" w14:textId="069F8687" w:rsidR="008C693E" w:rsidRDefault="008C693E" w:rsidP="00190EA0">
      <w:pPr>
        <w:spacing w:before="240" w:line="360" w:lineRule="auto"/>
        <w:jc w:val="both"/>
        <w:rPr>
          <w:rFonts w:ascii="Palatino Linotype" w:hAnsi="Palatino Linotype" w:cs="Arial"/>
          <w:b/>
          <w:sz w:val="24"/>
        </w:rPr>
      </w:pPr>
      <w:r>
        <w:rPr>
          <w:rFonts w:ascii="Palatino Linotype" w:hAnsi="Palatino Linotype" w:cs="Arial"/>
          <w:b/>
          <w:sz w:val="24"/>
        </w:rPr>
        <w:lastRenderedPageBreak/>
        <w:t>Solicitud de información 00069/TEOLOYU/IP/2021</w:t>
      </w:r>
    </w:p>
    <w:p w14:paraId="1CB21108" w14:textId="7DE8655A" w:rsidR="008C693E" w:rsidRPr="008C693E" w:rsidRDefault="008C693E" w:rsidP="008C693E">
      <w:pPr>
        <w:pStyle w:val="Citas"/>
        <w:rPr>
          <w:b/>
        </w:rPr>
      </w:pPr>
      <w: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 1.-El monto total y las facturas correspondientes por concepto de la adquisición de toda la pintura que se empleo en las jornadas de embellecimiento que realizo el Ayuntamiento de Teoloyucan. El periodo del cual solicito la informacion es desde el incio de la presente administración hasta la fecha de recepcion de mi solicitud. 2.-El expediente del procedimiento de Licitacion, Invitacion Restringida o Adjudicacion Directa respectivo. 3.-El contrato que celebro el Ayuntamiento con el provedor de la pintura; ya sea persona fisica o persona juridica colectiva. 4.-Todos y cada uno de los documentos considerados como anexos de la presente solicitud de acceso a la informacion pùblica. Todo lo anterior se solicita en version pública. En caso de que el sujeto obligado y/o el Titular de la Unidad de Transparencia no den contestacion a la presente solicitud de Informacion Publica en tiempo y forma y habiendo fenecido el plazo de quince dias habiles contados desde la fecha de recepcion de mi solicitud por parte del sujeto obligado y no habiendo sido notificado de ninguna aclaraciòn o </w:t>
      </w:r>
      <w:r>
        <w:lastRenderedPageBreak/>
        <w:t xml:space="preserve">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 </w:t>
      </w:r>
      <w:r>
        <w:rPr>
          <w:b/>
        </w:rPr>
        <w:t>[Sic]</w:t>
      </w:r>
    </w:p>
    <w:p w14:paraId="41C4A09D" w14:textId="77777777" w:rsidR="008C693E" w:rsidRDefault="008C693E" w:rsidP="008C693E">
      <w:pPr>
        <w:pStyle w:val="Citas"/>
        <w:rPr>
          <w:b/>
          <w:sz w:val="24"/>
        </w:rPr>
      </w:pPr>
    </w:p>
    <w:p w14:paraId="2EB535D3" w14:textId="117C9331" w:rsidR="008C693E" w:rsidRDefault="008C693E" w:rsidP="00190EA0">
      <w:pPr>
        <w:spacing w:before="240" w:line="360" w:lineRule="auto"/>
        <w:jc w:val="both"/>
        <w:rPr>
          <w:rFonts w:ascii="Palatino Linotype" w:hAnsi="Palatino Linotype" w:cs="Arial"/>
          <w:b/>
          <w:sz w:val="24"/>
        </w:rPr>
      </w:pPr>
      <w:r>
        <w:rPr>
          <w:rFonts w:ascii="Palatino Linotype" w:hAnsi="Palatino Linotype" w:cs="Arial"/>
          <w:b/>
          <w:sz w:val="24"/>
        </w:rPr>
        <w:t>Solicitud de información 00070/TEOLOYU/IP/2021</w:t>
      </w:r>
    </w:p>
    <w:p w14:paraId="76441780" w14:textId="2D3006E2" w:rsidR="008C693E" w:rsidRPr="008C693E" w:rsidRDefault="008C693E" w:rsidP="008C693E">
      <w:pPr>
        <w:pStyle w:val="Citas"/>
        <w:rPr>
          <w:b/>
        </w:rPr>
      </w:pPr>
      <w: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w:t>
      </w:r>
      <w:r>
        <w:lastRenderedPageBreak/>
        <w:t xml:space="preserve">México y Municipios que sean aplicables a mi solicitud, respetuosamente solicito del Ayuntamiento de Teoloyucan (Sujeto Obligado) la siguiente información pùblica: 1.-El presupuesto asignado al programa denominado "Teoloyucan iluminado". 2.- El nùmero total de luminarias nuevas que han sido colocadas desde el inicio del programa en cita, hasta el dia de recepcion de la presente solicitud de acceso a la informacón pública. 3.-El costo total y unitario por luminaria nueva, con y sin impuestos. 4.-El expediente de Licitacion, Invitacion Restringida o Adjudicacion Directa respectivo y por el cual se adquirieron las luminarias nuevas del programa anteriormente referido. 5.-El contrato que celebro el Ayuntamiento de Teoloyucan con el proveedor de las luminarias nuevas. 6.-Todos y cada uno de los gastos de comprobacion (recibos y facturas) del programa antes mencionado. 7.-Todos y cada uno de los documentos considerados como anexos de la presente solicitud de acceso a la informacion pùblica. 8.- Toda la informacion que se solicita es su version pùblica para su publicacion inmediata en redes sociales. En caso de que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w:t>
      </w:r>
      <w:r>
        <w:lastRenderedPageBreak/>
        <w:t xml:space="preserve">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 </w:t>
      </w:r>
      <w:r>
        <w:rPr>
          <w:b/>
        </w:rPr>
        <w:t>[Sic]</w:t>
      </w:r>
    </w:p>
    <w:p w14:paraId="5BC02184" w14:textId="77777777" w:rsidR="008C693E" w:rsidRDefault="008C693E" w:rsidP="008C693E">
      <w:pPr>
        <w:pStyle w:val="Citas"/>
        <w:rPr>
          <w:b/>
          <w:sz w:val="24"/>
        </w:rPr>
      </w:pPr>
    </w:p>
    <w:p w14:paraId="10C63CBC" w14:textId="7327756C" w:rsidR="008C693E" w:rsidRDefault="008C693E"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Solicitud de información 00085/TEOLOYU/IP/2021 </w:t>
      </w:r>
    </w:p>
    <w:p w14:paraId="2D468129" w14:textId="320E1EAC" w:rsidR="008C693E" w:rsidRPr="008C693E" w:rsidRDefault="008C693E" w:rsidP="008C693E">
      <w:pPr>
        <w:pStyle w:val="Citas"/>
        <w:rPr>
          <w:b/>
        </w:rPr>
      </w:pPr>
      <w: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pùblica:1.-El monto total por concepto de la adquisición de toda la pintura que se empleo en las jornadas de embellecimiento que realizo el Ayuntamiento de Teoloyucan. El periodo del cual solicito la informacion es desde el incio de la presente administracion hasta la fecha de recepcion de mi solicitud. 2.-El expediente de Licitacion, Invitacion Restringida o Adjudicacion Directa respectivo. 3.-Todos y cada uno de los documentos considerados como anexos de la presente solicitud de informacion </w:t>
      </w:r>
      <w:r>
        <w:lastRenderedPageBreak/>
        <w:t xml:space="preserve">pùblica. En caso de que el sujeto obligado y/o el Titular de la Unidad de Transparencia no den contestacion a la presente solicitud de Informacion Publica en tiempo y forma y habiendo fenecido el plazo de quince dias habiles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 </w:t>
      </w:r>
      <w:r>
        <w:rPr>
          <w:b/>
        </w:rPr>
        <w:t>[Sic]</w:t>
      </w:r>
    </w:p>
    <w:p w14:paraId="74D2BC29" w14:textId="77777777" w:rsidR="008C693E" w:rsidRDefault="008C693E" w:rsidP="008C693E">
      <w:pPr>
        <w:pStyle w:val="Citas"/>
        <w:rPr>
          <w:b/>
          <w:sz w:val="24"/>
        </w:rPr>
      </w:pPr>
    </w:p>
    <w:p w14:paraId="18A6A72F" w14:textId="4BD09A08" w:rsidR="00105AC7" w:rsidRDefault="008C693E" w:rsidP="00190EA0">
      <w:pPr>
        <w:spacing w:before="240" w:line="360" w:lineRule="auto"/>
        <w:jc w:val="both"/>
        <w:rPr>
          <w:rFonts w:ascii="Palatino Linotype" w:hAnsi="Palatino Linotype" w:cs="Arial"/>
          <w:sz w:val="24"/>
        </w:rPr>
      </w:pPr>
      <w:r>
        <w:rPr>
          <w:rFonts w:ascii="Palatino Linotype" w:hAnsi="Palatino Linotype" w:cs="Arial"/>
          <w:b/>
          <w:sz w:val="24"/>
        </w:rPr>
        <w:t>Solicitud de información 00086/TEOLOYU/IP/2021</w:t>
      </w:r>
    </w:p>
    <w:p w14:paraId="082B30FB" w14:textId="3953436F" w:rsidR="008C693E" w:rsidRPr="008C693E" w:rsidRDefault="008C693E" w:rsidP="008C693E">
      <w:pPr>
        <w:pStyle w:val="Citas"/>
        <w:rPr>
          <w:b/>
          <w:sz w:val="24"/>
        </w:rPr>
      </w:pPr>
      <w: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w:t>
      </w:r>
      <w:r>
        <w:lastRenderedPageBreak/>
        <w:t xml:space="preserve">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pùblica:1.-El monto total por concepto de la adquisición de toda la pintura que se empleo en las jornadas de embellecimiento que realizo el Ayuntamiento de Teoloyucan. El periodo del cual solicito la informacion es desde el incio de la presente administracion hasta la fecha de recepcion de mi solicitud. 2.-El expediente de Licitacion, Invitacion Restringida o Adjudicacion Directa respectivo. 3.-Todos y cada uno de los documentos considerados como anexos de la presente solicitud de informacion pùblica. En caso de que el sujeto obligado y/o el Titular de la Unidad de Transparencia no den contestacion a la presente solicitud de Informacion Publica en tiempo y forma y habiendo fenecido el plazo de quince dias habiles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w:t>
      </w:r>
      <w:r>
        <w:lastRenderedPageBreak/>
        <w:t xml:space="preserve">La Ley de Transparencia y Acceso a la Información Pública del Estado de México y Municipios, para efectos de evitar que el sujeto obligado recabé datos que den lugar a indagatorias sobre mi identidad. Por su atencion, Gracias.” </w:t>
      </w:r>
      <w:r>
        <w:rPr>
          <w:b/>
        </w:rPr>
        <w:t>[Sic]</w:t>
      </w:r>
    </w:p>
    <w:p w14:paraId="00344FBF" w14:textId="1837486B" w:rsidR="00190EA0" w:rsidRDefault="00190EA0" w:rsidP="00190EA0">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105AC7">
        <w:rPr>
          <w:rFonts w:ascii="Palatino Linotype" w:eastAsia="Times New Roman" w:hAnsi="Palatino Linotype" w:cs="Times New Roman"/>
          <w:sz w:val="24"/>
          <w:szCs w:val="24"/>
          <w:lang w:val="es-ES_tradnl" w:eastAsia="es-ES"/>
        </w:rPr>
        <w:t>cuatro</w:t>
      </w:r>
      <w:r>
        <w:rPr>
          <w:rFonts w:ascii="Palatino Linotype" w:eastAsia="Times New Roman" w:hAnsi="Palatino Linotype" w:cs="Times New Roman"/>
          <w:sz w:val="24"/>
          <w:szCs w:val="24"/>
          <w:lang w:val="es-ES_tradnl" w:eastAsia="es-ES"/>
        </w:rPr>
        <w:t xml:space="preserve"> casos.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4E95E572"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681D1685"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sidR="00E84412">
        <w:rPr>
          <w:rFonts w:ascii="Palatino Linotype" w:hAnsi="Palatino Linotype" w:cs="Arial"/>
          <w:b/>
          <w:sz w:val="24"/>
          <w:szCs w:val="24"/>
        </w:rPr>
        <w:t>El</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12715689" w14:textId="4CD3C494" w:rsidR="00E84412"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E84412">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E41293">
        <w:rPr>
          <w:rFonts w:ascii="Palatino Linotype" w:hAnsi="Palatino Linotype" w:cs="Arial"/>
          <w:sz w:val="24"/>
          <w:szCs w:val="24"/>
        </w:rPr>
        <w:t xml:space="preserve">s veintitrés de marzo y dieciséis de abril de dos mil veintiuno, los cuales fueron registrados en el sistema electrónico con los expedientes </w:t>
      </w:r>
      <w:r w:rsidR="00E41293">
        <w:rPr>
          <w:rFonts w:ascii="Palatino Linotype" w:hAnsi="Palatino Linotype" w:cs="Arial"/>
          <w:b/>
          <w:sz w:val="24"/>
        </w:rPr>
        <w:t xml:space="preserve">01325/INFOEM/IP/RR/2021, 01326/INFOEM/IP/RR/2021, 01803/INFOEM/IP/RR/2021 y 01804/INFOEM/IP/RR/2021, </w:t>
      </w:r>
      <w:r w:rsidR="00E41293">
        <w:rPr>
          <w:rFonts w:ascii="Palatino Linotype" w:hAnsi="Palatino Linotype" w:cs="Arial"/>
          <w:sz w:val="24"/>
        </w:rPr>
        <w:t xml:space="preserve">en los cuales arguye las siguientes manifestaciones: </w:t>
      </w:r>
      <w:r w:rsidR="00E41293">
        <w:rPr>
          <w:rFonts w:ascii="Palatino Linotype" w:hAnsi="Palatino Linotype" w:cs="Arial"/>
          <w:sz w:val="24"/>
          <w:szCs w:val="24"/>
        </w:rPr>
        <w:t xml:space="preserve"> </w:t>
      </w:r>
      <w:r w:rsidR="00190EA0">
        <w:rPr>
          <w:rFonts w:ascii="Palatino Linotype" w:hAnsi="Palatino Linotype" w:cs="Arial"/>
          <w:sz w:val="24"/>
          <w:szCs w:val="24"/>
        </w:rPr>
        <w:t xml:space="preserve"> </w:t>
      </w:r>
    </w:p>
    <w:p w14:paraId="5A64354A" w14:textId="17DAB32C" w:rsidR="00E41293" w:rsidRDefault="00E41293" w:rsidP="00190EA0">
      <w:pPr>
        <w:spacing w:before="240" w:line="360" w:lineRule="auto"/>
        <w:jc w:val="both"/>
        <w:rPr>
          <w:rFonts w:ascii="Palatino Linotype" w:hAnsi="Palatino Linotype" w:cs="Arial"/>
          <w:b/>
          <w:sz w:val="24"/>
        </w:rPr>
      </w:pPr>
      <w:r>
        <w:rPr>
          <w:rFonts w:ascii="Palatino Linotype" w:hAnsi="Palatino Linotype" w:cs="Arial"/>
          <w:b/>
          <w:sz w:val="24"/>
        </w:rPr>
        <w:lastRenderedPageBreak/>
        <w:t>Recurso de revisión 01325/INFOEM/IP/RR/2021</w:t>
      </w:r>
      <w:r w:rsidR="00E06B30">
        <w:rPr>
          <w:rFonts w:ascii="Palatino Linotype" w:hAnsi="Palatino Linotype" w:cs="Arial"/>
          <w:b/>
          <w:sz w:val="24"/>
        </w:rPr>
        <w:t xml:space="preserve"> y 01326/INFOEM/IP/RR/2021</w:t>
      </w:r>
    </w:p>
    <w:p w14:paraId="772F1F98" w14:textId="77777777" w:rsidR="00E41293" w:rsidRDefault="00E41293" w:rsidP="00E41293">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9352035" w14:textId="53E06503" w:rsidR="00E06B30" w:rsidRPr="009C3E4D" w:rsidRDefault="009C3E4D" w:rsidP="009C3E4D">
      <w:pPr>
        <w:pStyle w:val="Citas"/>
        <w:rPr>
          <w:b/>
          <w:sz w:val="24"/>
          <w:szCs w:val="24"/>
        </w:rPr>
      </w:pPr>
      <w:r>
        <w:t>“</w:t>
      </w:r>
      <w:r w:rsidR="00E06B30">
        <w:t>La falta de respuesta a una solicitud de acceso a la informacion pública.</w:t>
      </w:r>
      <w:r>
        <w:t xml:space="preserve">” </w:t>
      </w:r>
      <w:r>
        <w:rPr>
          <w:b/>
        </w:rPr>
        <w:t>[Sic]</w:t>
      </w:r>
    </w:p>
    <w:p w14:paraId="65DBEF85" w14:textId="77777777" w:rsidR="00E41293" w:rsidRDefault="00E41293" w:rsidP="00E4129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3DBD6BEB" w14:textId="7437D976" w:rsidR="00E06B30" w:rsidRPr="009C3E4D" w:rsidRDefault="009C3E4D" w:rsidP="009C3E4D">
      <w:pPr>
        <w:pStyle w:val="Citas"/>
        <w:rPr>
          <w:b/>
          <w:sz w:val="24"/>
        </w:rPr>
      </w:pPr>
      <w:r>
        <w:t>“</w:t>
      </w:r>
      <w:r w:rsidR="00E06B30">
        <w:t>No dio respuesta a mi solicitud de informacion.</w:t>
      </w:r>
      <w:r>
        <w:t xml:space="preserve">” </w:t>
      </w:r>
      <w:r>
        <w:rPr>
          <w:b/>
        </w:rPr>
        <w:t>[Sic]</w:t>
      </w:r>
    </w:p>
    <w:p w14:paraId="2191F34A" w14:textId="77777777" w:rsidR="00E41293" w:rsidRDefault="00E41293" w:rsidP="00190EA0">
      <w:pPr>
        <w:spacing w:before="240" w:line="360" w:lineRule="auto"/>
        <w:jc w:val="both"/>
        <w:rPr>
          <w:rFonts w:ascii="Palatino Linotype" w:hAnsi="Palatino Linotype" w:cs="Arial"/>
          <w:b/>
          <w:sz w:val="24"/>
        </w:rPr>
      </w:pPr>
    </w:p>
    <w:p w14:paraId="48C1EADB" w14:textId="2F6F91E4" w:rsidR="00E41293" w:rsidRDefault="00E41293"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Recurso de revisión 01803/INFOEM/IP/RR/2021</w:t>
      </w:r>
      <w:r w:rsidR="00E06B30">
        <w:rPr>
          <w:rFonts w:ascii="Palatino Linotype" w:hAnsi="Palatino Linotype" w:cs="Arial"/>
          <w:b/>
          <w:sz w:val="24"/>
        </w:rPr>
        <w:t xml:space="preserve"> y 01804/INFOEM/IP/RR/2021</w:t>
      </w:r>
    </w:p>
    <w:p w14:paraId="457F09DE" w14:textId="77777777" w:rsidR="00E06B30" w:rsidRPr="00105AC7" w:rsidRDefault="00E06B30" w:rsidP="00E06B30">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3C1853A9" w14:textId="170D0783" w:rsidR="00E06B30" w:rsidRPr="009C3E4D" w:rsidRDefault="009C3E4D" w:rsidP="009C3E4D">
      <w:pPr>
        <w:pStyle w:val="Citas"/>
        <w:rPr>
          <w:b/>
        </w:rPr>
      </w:pPr>
      <w:r>
        <w:t>“</w:t>
      </w:r>
      <w:r w:rsidR="00E06B30">
        <w:t>la falta de respuesta a una solicitud de informacion.</w:t>
      </w:r>
      <w:r>
        <w:t xml:space="preserve">” </w:t>
      </w:r>
      <w:r>
        <w:rPr>
          <w:b/>
        </w:rPr>
        <w:t>[Sic]</w:t>
      </w:r>
    </w:p>
    <w:p w14:paraId="438FF47B" w14:textId="77777777" w:rsidR="00E06B30" w:rsidRPr="00053099" w:rsidRDefault="00E06B30" w:rsidP="00E06B30">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64DC104E" w14:textId="54ECFECE" w:rsidR="00E06B30" w:rsidRPr="009C3E4D" w:rsidRDefault="009C3E4D" w:rsidP="009C3E4D">
      <w:pPr>
        <w:pStyle w:val="Citas"/>
        <w:rPr>
          <w:b/>
          <w:sz w:val="24"/>
        </w:rPr>
      </w:pPr>
      <w:r>
        <w:t>“</w:t>
      </w:r>
      <w:r w:rsidR="00E06B30">
        <w:t>no me entrego la informacion.</w:t>
      </w:r>
      <w:r>
        <w:t xml:space="preserve">” </w:t>
      </w:r>
      <w:r>
        <w:rPr>
          <w:b/>
        </w:rPr>
        <w:t>[Sic]</w:t>
      </w:r>
    </w:p>
    <w:p w14:paraId="51AD29FB" w14:textId="77777777" w:rsidR="00105AC7" w:rsidRPr="00105AC7" w:rsidRDefault="00105AC7" w:rsidP="00105AC7">
      <w:pPr>
        <w:pStyle w:val="Citas"/>
        <w:rPr>
          <w:b/>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2B771EAC" w14:textId="520974D2"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Zulema Martínez Sánchez, </w:t>
      </w:r>
      <w:r w:rsidR="009C3E4D">
        <w:rPr>
          <w:rFonts w:ascii="Palatino Linotype" w:hAnsi="Palatino Linotype" w:cs="Arial"/>
        </w:rPr>
        <w:t>Luis Gustavo Parra Noriega, José Guadalupe Luna Hernández y Javier Martínez Cruz</w:t>
      </w:r>
      <w:r w:rsidR="00105AC7">
        <w:rPr>
          <w:rFonts w:ascii="Palatino Linotype" w:hAnsi="Palatino Linotype" w:cs="Arial"/>
        </w:rPr>
        <w:t xml:space="preserve"> </w:t>
      </w:r>
      <w:r w:rsidRPr="0004219E">
        <w:rPr>
          <w:rFonts w:ascii="Palatino Linotype" w:hAnsi="Palatino Linotype" w:cs="Arial"/>
        </w:rPr>
        <w:t>en</w:t>
      </w:r>
      <w:r w:rsidRPr="00955C54">
        <w:rPr>
          <w:rFonts w:ascii="Palatino Linotype" w:hAnsi="Palatino Linotype" w:cs="Arial"/>
        </w:rPr>
        <w:t xml:space="preserve"> términos del arábigo 185 fracción I de la Ley de Transparencia y Acceso a la información Pública del Estado de México y Municipios, de los cuales recayeron en acuerdos de admisión en fecha</w:t>
      </w:r>
      <w:r w:rsidR="00C41EBB">
        <w:rPr>
          <w:rFonts w:ascii="Palatino Linotype" w:hAnsi="Palatino Linotype" w:cs="Arial"/>
        </w:rPr>
        <w:t>s</w:t>
      </w:r>
      <w:r w:rsidR="009C3E4D">
        <w:rPr>
          <w:rFonts w:ascii="Palatino Linotype" w:hAnsi="Palatino Linotype" w:cs="Arial"/>
        </w:rPr>
        <w:t xml:space="preserve"> </w:t>
      </w:r>
      <w:r w:rsidR="009C3E4D">
        <w:rPr>
          <w:rFonts w:ascii="Palatino Linotype" w:hAnsi="Palatino Linotype" w:cs="Arial"/>
        </w:rPr>
        <w:lastRenderedPageBreak/>
        <w:t xml:space="preserve">veintiséis de marzo, cinco y veintiuno de abril, todos de dos mil veintiuno, </w:t>
      </w:r>
      <w:r w:rsidR="00A86C49">
        <w:rPr>
          <w:rFonts w:ascii="Palatino Linotype" w:hAnsi="Palatino Linotype" w:cs="Arial"/>
        </w:rPr>
        <w:t xml:space="preserve">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545EF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202514EF" w14:textId="42780CC7" w:rsidR="00A86C49" w:rsidRPr="00696379" w:rsidRDefault="004B4CD6" w:rsidP="00A86C49">
      <w:pPr>
        <w:pStyle w:val="Prrafodelista"/>
        <w:spacing w:line="360" w:lineRule="auto"/>
        <w:ind w:left="0"/>
        <w:jc w:val="both"/>
        <w:rPr>
          <w:rFonts w:ascii="Palatino Linotype" w:hAnsi="Palatino Linotype" w:cs="Arial"/>
        </w:rPr>
      </w:pPr>
      <w:r>
        <w:rPr>
          <w:rFonts w:ascii="Palatino Linotype" w:hAnsi="Palatino Linotype" w:cs="Arial"/>
        </w:rPr>
        <w:t>Por</w:t>
      </w:r>
      <w:r w:rsidR="00545EFC" w:rsidRPr="00696379">
        <w:rPr>
          <w:rFonts w:ascii="Palatino Linotype" w:hAnsi="Palatino Linotype" w:cs="Arial"/>
        </w:rPr>
        <w:t xml:space="preserve"> acuerdo del Pleno del Instituto, en la </w:t>
      </w:r>
      <w:r w:rsidR="009C3E4D">
        <w:rPr>
          <w:rFonts w:ascii="Palatino Linotype" w:hAnsi="Palatino Linotype" w:cs="Arial"/>
        </w:rPr>
        <w:t xml:space="preserve">Décima Segunda Sesión Ordinaria celebrada el catorce de abril de dos mil veintiuno, se aprobó la acumulación de los recursos de revisión </w:t>
      </w:r>
      <w:r w:rsidR="009C3E4D">
        <w:rPr>
          <w:rFonts w:ascii="Palatino Linotype" w:hAnsi="Palatino Linotype" w:cs="Arial"/>
          <w:b/>
        </w:rPr>
        <w:t xml:space="preserve">01325/INFOEM/IP/RR/2021 y 01326/INFOEM/IP/RR/2021; </w:t>
      </w:r>
      <w:r w:rsidR="009C3E4D">
        <w:rPr>
          <w:rFonts w:ascii="Palatino Linotype" w:hAnsi="Palatino Linotype" w:cs="Arial"/>
        </w:rPr>
        <w:t xml:space="preserve">a su vez mediante la Décima Cuarta Sesión Ordinaria llevada a cabo el veintiocho de abril de dos mil veintiuno, se aprobó la acumulación de los recursos de revisión </w:t>
      </w:r>
      <w:r w:rsidR="009C3E4D">
        <w:rPr>
          <w:rFonts w:ascii="Palatino Linotype" w:hAnsi="Palatino Linotype" w:cs="Arial"/>
          <w:b/>
        </w:rPr>
        <w:t xml:space="preserve">01803/INFOEM/IP/RR/2021 y 01804/INFOEM/IP/RR/2021 </w:t>
      </w:r>
      <w:r w:rsidR="009C3E4D">
        <w:rPr>
          <w:rFonts w:ascii="Palatino Linotype" w:hAnsi="Palatino Linotype" w:cs="Arial"/>
        </w:rPr>
        <w:t xml:space="preserve">al recurso de revisión </w:t>
      </w:r>
      <w:r w:rsidR="009C3E4D">
        <w:rPr>
          <w:rFonts w:ascii="Palatino Linotype" w:hAnsi="Palatino Linotype" w:cs="Arial"/>
          <w:b/>
        </w:rPr>
        <w:t xml:space="preserve">01325/INFOEM/IP/RR/2021, </w:t>
      </w:r>
      <w:r w:rsidR="00A86C49" w:rsidRPr="00696379">
        <w:rPr>
          <w:rFonts w:ascii="Palatino Linotype" w:hAnsi="Palatino Linotype" w:cs="Arial"/>
        </w:rPr>
        <w:t>ya que existe identidad de</w:t>
      </w:r>
      <w:r w:rsidR="007261E9">
        <w:rPr>
          <w:rFonts w:ascii="Palatino Linotype" w:hAnsi="Palatino Linotype" w:cs="Arial"/>
        </w:rPr>
        <w:t xml:space="preserve"> la</w:t>
      </w:r>
      <w:r w:rsidR="00A86C49" w:rsidRPr="00696379">
        <w:rPr>
          <w:rFonts w:ascii="Palatino Linotype" w:hAnsi="Palatino Linotype" w:cs="Arial"/>
        </w:rPr>
        <w:t xml:space="preserve"> solicitante, del sujeto obligado y similitud de causas y objeto de solicitud.</w:t>
      </w:r>
    </w:p>
    <w:p w14:paraId="278A5B6F" w14:textId="49A0E9DE" w:rsidR="00A86C49" w:rsidRDefault="00A86C49" w:rsidP="00545EFC">
      <w:pPr>
        <w:pStyle w:val="Prrafodelista"/>
        <w:spacing w:line="360" w:lineRule="auto"/>
        <w:ind w:left="0"/>
        <w:jc w:val="both"/>
        <w:rPr>
          <w:rFonts w:ascii="Palatino Linotype" w:hAnsi="Palatino Linotype" w:cs="Arial"/>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Pr="00A6274E"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6047DBA8" w14:textId="77777777" w:rsidR="00545EFC" w:rsidRPr="006F2470"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40592886" w14:textId="77777777" w:rsidR="00545EFC" w:rsidRDefault="00545EFC" w:rsidP="00545EFC">
      <w:pPr>
        <w:pStyle w:val="Prrafodelista"/>
        <w:spacing w:line="360" w:lineRule="auto"/>
        <w:ind w:left="0"/>
        <w:jc w:val="both"/>
        <w:rPr>
          <w:rFonts w:ascii="Palatino Linotype" w:hAnsi="Palatino Linotype" w:cs="Arial"/>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7022EEDA" w14:textId="46E7B65D" w:rsidR="009C3E4D" w:rsidRPr="008A7C2A" w:rsidRDefault="009C3E4D" w:rsidP="009C3E4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en los expedientes electrónicos de los recursos de revisión, </w:t>
      </w:r>
      <w:r>
        <w:rPr>
          <w:rFonts w:ascii="Palatino Linotype" w:hAnsi="Palatino Linotype" w:cs="Arial"/>
          <w:b/>
          <w:bCs/>
          <w:sz w:val="24"/>
          <w:szCs w:val="24"/>
        </w:rPr>
        <w:t xml:space="preserve">El Sujeto Obligado </w:t>
      </w:r>
      <w:r>
        <w:rPr>
          <w:rFonts w:ascii="Palatino Linotype" w:hAnsi="Palatino Linotype" w:cs="Arial"/>
          <w:sz w:val="24"/>
          <w:szCs w:val="24"/>
        </w:rPr>
        <w:t>rindió sus informe</w:t>
      </w:r>
      <w:r w:rsidR="008A7C2A">
        <w:rPr>
          <w:rFonts w:ascii="Palatino Linotype" w:hAnsi="Palatino Linotype" w:cs="Arial"/>
          <w:sz w:val="24"/>
          <w:szCs w:val="24"/>
        </w:rPr>
        <w:t>s</w:t>
      </w:r>
      <w:r>
        <w:rPr>
          <w:rFonts w:ascii="Palatino Linotype" w:hAnsi="Palatino Linotype" w:cs="Arial"/>
          <w:sz w:val="24"/>
          <w:szCs w:val="24"/>
        </w:rPr>
        <w:t xml:space="preserve"> justificado</w:t>
      </w:r>
      <w:r w:rsidR="008A7C2A">
        <w:rPr>
          <w:rFonts w:ascii="Palatino Linotype" w:hAnsi="Palatino Linotype" w:cs="Arial"/>
          <w:sz w:val="24"/>
          <w:szCs w:val="24"/>
        </w:rPr>
        <w:t>s</w:t>
      </w:r>
      <w:r>
        <w:rPr>
          <w:rFonts w:ascii="Palatino Linotype" w:hAnsi="Palatino Linotype" w:cs="Arial"/>
          <w:sz w:val="24"/>
          <w:szCs w:val="24"/>
        </w:rPr>
        <w:t xml:space="preserve"> en fechas dieciséis </w:t>
      </w:r>
      <w:r w:rsidR="008A7C2A">
        <w:rPr>
          <w:rFonts w:ascii="Palatino Linotype" w:hAnsi="Palatino Linotype" w:cs="Arial"/>
          <w:sz w:val="24"/>
          <w:szCs w:val="24"/>
        </w:rPr>
        <w:t xml:space="preserve">y veintinueve </w:t>
      </w:r>
      <w:r>
        <w:rPr>
          <w:rFonts w:ascii="Palatino Linotype" w:hAnsi="Palatino Linotype" w:cs="Arial"/>
          <w:sz w:val="24"/>
          <w:szCs w:val="24"/>
        </w:rPr>
        <w:t>de abril</w:t>
      </w:r>
      <w:r w:rsidR="008A7C2A">
        <w:rPr>
          <w:rFonts w:ascii="Palatino Linotype" w:hAnsi="Palatino Linotype" w:cs="Arial"/>
          <w:sz w:val="24"/>
          <w:szCs w:val="24"/>
        </w:rPr>
        <w:t xml:space="preserve">, mismos que fueron puestos a la vista del </w:t>
      </w:r>
      <w:r w:rsidR="008A7C2A">
        <w:rPr>
          <w:rFonts w:ascii="Palatino Linotype" w:hAnsi="Palatino Linotype" w:cs="Arial"/>
          <w:b/>
          <w:sz w:val="24"/>
          <w:szCs w:val="24"/>
        </w:rPr>
        <w:t xml:space="preserve">Recurrente, </w:t>
      </w:r>
      <w:r w:rsidR="008A7C2A">
        <w:rPr>
          <w:rFonts w:ascii="Palatino Linotype" w:hAnsi="Palatino Linotype" w:cs="Arial"/>
          <w:sz w:val="24"/>
          <w:szCs w:val="24"/>
        </w:rPr>
        <w:t xml:space="preserve">el veintiséis de abril y el seis de mayo, de dos mil veintiuno. </w:t>
      </w:r>
    </w:p>
    <w:p w14:paraId="0B7463D5" w14:textId="6EE21486" w:rsidR="009C3E4D" w:rsidRDefault="009C3E4D" w:rsidP="009C3E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w:t>
      </w:r>
      <w:r w:rsidR="008A7C2A">
        <w:rPr>
          <w:rFonts w:ascii="Palatino Linotype" w:hAnsi="Palatino Linotype" w:cs="Arial"/>
          <w:sz w:val="24"/>
          <w:szCs w:val="24"/>
        </w:rPr>
        <w:t xml:space="preserve">trece de mayo de dos mil veintiuno, </w:t>
      </w:r>
      <w:r>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1CADCCB9" w14:textId="77777777" w:rsidR="00A86C49" w:rsidRDefault="00A86C49"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D93F60A" w14:textId="692357CC" w:rsidR="00C41EBB" w:rsidRDefault="00C41EBB" w:rsidP="00C41EB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4B4CD6">
        <w:rPr>
          <w:rFonts w:ascii="Palatino Linotype" w:hAnsi="Palatino Linotype" w:cs="Arial"/>
          <w:sz w:val="24"/>
          <w:szCs w:val="24"/>
        </w:rPr>
        <w:t>los</w:t>
      </w:r>
      <w:r>
        <w:rPr>
          <w:rFonts w:ascii="Palatino Linotype" w:hAnsi="Palatino Linotype" w:cs="Arial"/>
          <w:sz w:val="24"/>
          <w:szCs w:val="24"/>
        </w:rPr>
        <w:t xml:space="preserve"> presente</w:t>
      </w:r>
      <w:r w:rsidR="004B4CD6">
        <w:rPr>
          <w:rFonts w:ascii="Palatino Linotype" w:hAnsi="Palatino Linotype" w:cs="Arial"/>
          <w:sz w:val="24"/>
          <w:szCs w:val="24"/>
        </w:rPr>
        <w:t>s</w:t>
      </w:r>
      <w:r>
        <w:rPr>
          <w:rFonts w:ascii="Palatino Linotype" w:hAnsi="Palatino Linotype" w:cs="Arial"/>
          <w:sz w:val="24"/>
          <w:szCs w:val="24"/>
        </w:rPr>
        <w:t xml:space="preserve"> recurso</w:t>
      </w:r>
      <w:r w:rsidR="004B4CD6">
        <w:rPr>
          <w:rFonts w:ascii="Palatino Linotype" w:hAnsi="Palatino Linotype" w:cs="Arial"/>
          <w:sz w:val="24"/>
          <w:szCs w:val="24"/>
        </w:rPr>
        <w:t>s</w:t>
      </w:r>
      <w:r>
        <w:rPr>
          <w:rFonts w:ascii="Palatino Linotype" w:hAnsi="Palatino Linotype" w:cs="Arial"/>
          <w:sz w:val="24"/>
          <w:szCs w:val="24"/>
        </w:rPr>
        <w:t xml:space="preserve"> de revisión interpuesto</w:t>
      </w:r>
      <w:r w:rsidR="004B4CD6">
        <w:rPr>
          <w:rFonts w:ascii="Palatino Linotype" w:hAnsi="Palatino Linotype" w:cs="Arial"/>
          <w:sz w:val="24"/>
          <w:szCs w:val="24"/>
        </w:rPr>
        <w:t>s</w:t>
      </w:r>
      <w:r w:rsidRPr="008F797B">
        <w:rPr>
          <w:rFonts w:ascii="Palatino Linotype" w:hAnsi="Palatino Linotype" w:cs="Arial"/>
          <w:sz w:val="24"/>
          <w:szCs w:val="24"/>
        </w:rPr>
        <w:t xml:space="preserve"> por </w:t>
      </w:r>
      <w:r w:rsidR="004B4CD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0529CF3" w14:textId="77777777" w:rsidR="00C41EBB" w:rsidRDefault="00C41EBB" w:rsidP="00C41EB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3F6480E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 xml:space="preserve">fallo nace a la vida jurídica en el momento en el que </w:t>
      </w:r>
      <w:r w:rsidR="007261E9">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5A536B19"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sidR="00D831E8">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w:t>
      </w:r>
      <w:r w:rsidR="008A7C2A">
        <w:rPr>
          <w:rFonts w:ascii="Palatino Linotype" w:eastAsia="Times New Roman" w:hAnsi="Palatino Linotype" w:cs="Times New Roman"/>
          <w:sz w:val="24"/>
          <w:szCs w:val="24"/>
          <w:lang w:eastAsia="es-ES"/>
        </w:rPr>
        <w:t>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26CE05E5" w:rsidR="00F66CC7" w:rsidRPr="00584718" w:rsidRDefault="00A86C49" w:rsidP="00F66CC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En</w:t>
      </w:r>
      <w:r w:rsidR="00F66CC7"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00F66CC7" w:rsidRPr="00D831E8">
        <w:rPr>
          <w:rFonts w:ascii="Palatino Linotype" w:eastAsia="Times New Roman" w:hAnsi="Palatino Linotype" w:cs="Times New Roman"/>
          <w:b/>
          <w:bCs/>
          <w:i/>
          <w:sz w:val="24"/>
          <w:szCs w:val="24"/>
          <w:lang w:eastAsia="es-ES"/>
        </w:rPr>
        <w:t>negativa ficta</w:t>
      </w:r>
      <w:r w:rsidR="00F66CC7"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F66CC7" w:rsidRPr="005C4A72">
        <w:rPr>
          <w:rFonts w:ascii="Palatino Linotype" w:eastAsia="Times New Roman" w:hAnsi="Palatino Linotype" w:cs="Times New Roman"/>
          <w:b/>
          <w:bCs/>
          <w:sz w:val="24"/>
          <w:szCs w:val="24"/>
          <w:lang w:eastAsia="es-ES"/>
        </w:rPr>
        <w:t>Sujetos Obligados,</w:t>
      </w:r>
      <w:r w:rsidR="00F66CC7" w:rsidRPr="00584718">
        <w:rPr>
          <w:rFonts w:ascii="Palatino Linotype" w:eastAsia="Times New Roman" w:hAnsi="Palatino Linotype" w:cs="Times New Roman"/>
          <w:sz w:val="24"/>
          <w:szCs w:val="24"/>
          <w:lang w:eastAsia="es-ES"/>
        </w:rPr>
        <w:t xml:space="preserve"> conforme a los artículos 4, 12</w:t>
      </w:r>
      <w:r w:rsidR="00F66CC7">
        <w:rPr>
          <w:rFonts w:ascii="Palatino Linotype" w:eastAsia="Times New Roman" w:hAnsi="Palatino Linotype" w:cs="Times New Roman"/>
          <w:sz w:val="24"/>
          <w:szCs w:val="24"/>
          <w:lang w:eastAsia="es-ES"/>
        </w:rPr>
        <w:t xml:space="preserve"> </w:t>
      </w:r>
      <w:r w:rsidR="00F66CC7" w:rsidRPr="00584718">
        <w:rPr>
          <w:rFonts w:ascii="Palatino Linotype" w:eastAsia="Times New Roman" w:hAnsi="Palatino Linotype" w:cs="Times New Roman"/>
          <w:sz w:val="24"/>
          <w:szCs w:val="24"/>
          <w:lang w:eastAsia="es-ES"/>
        </w:rPr>
        <w:t>y 160, de la Ley local en la materia, que a la letra citan:</w:t>
      </w: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lastRenderedPageBreak/>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1E0B6A2" w14:textId="5A4C5B86" w:rsidR="00F66CC7" w:rsidRPr="00F66CC7" w:rsidRDefault="00F66CC7" w:rsidP="00F66CC7">
      <w:pPr>
        <w:pStyle w:val="infoemcitas"/>
        <w:rPr>
          <w:b/>
          <w:bCs/>
          <w:lang w:eastAsia="es-ES"/>
        </w:rPr>
      </w:pPr>
      <w:r>
        <w:rPr>
          <w:lang w:eastAsia="es-ES"/>
        </w:rPr>
        <w:lastRenderedPageBreak/>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0B89AA31"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8A7C2A">
        <w:rPr>
          <w:rFonts w:ascii="Palatino Linotype" w:eastAsia="Times New Roman" w:hAnsi="Palatino Linotype" w:cs="Times New Roman"/>
          <w:sz w:val="24"/>
          <w:szCs w:val="24"/>
          <w:lang w:eastAsia="es-ES"/>
        </w:rPr>
        <w:t>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3A6300E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sidR="005C4A72">
        <w:rPr>
          <w:rFonts w:ascii="Palatino Linotype" w:hAnsi="Palatino Linotype" w:cs="Arial"/>
        </w:rPr>
        <w:t>los</w:t>
      </w:r>
      <w:r w:rsidRPr="00584718">
        <w:rPr>
          <w:rFonts w:ascii="Palatino Linotype" w:hAnsi="Palatino Linotype" w:cs="Arial"/>
        </w:rPr>
        <w:t xml:space="preserve"> expediente</w:t>
      </w:r>
      <w:r w:rsidR="005C4A72">
        <w:rPr>
          <w:rFonts w:ascii="Palatino Linotype" w:hAnsi="Palatino Linotype" w:cs="Arial"/>
        </w:rPr>
        <w:t>s</w:t>
      </w:r>
      <w:r w:rsidRPr="00584718">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84718">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341CA4A6"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sidR="00A86C49">
        <w:rPr>
          <w:rFonts w:ascii="Palatino Linotype" w:hAnsi="Palatino Linotype" w:cs="Arial"/>
        </w:rPr>
        <w:t xml:space="preserve"> los</w:t>
      </w:r>
      <w:r w:rsidRPr="00584718">
        <w:rPr>
          <w:rFonts w:ascii="Palatino Linotype" w:hAnsi="Palatino Linotype" w:cs="Arial"/>
        </w:rPr>
        <w:t xml:space="preserve"> acto</w:t>
      </w:r>
      <w:r w:rsidR="00A86C49">
        <w:rPr>
          <w:rFonts w:ascii="Palatino Linotype" w:hAnsi="Palatino Linotype" w:cs="Arial"/>
        </w:rPr>
        <w:t>s</w:t>
      </w:r>
      <w:r w:rsidRPr="00584718">
        <w:rPr>
          <w:rFonts w:ascii="Palatino Linotype" w:hAnsi="Palatino Linotype" w:cs="Arial"/>
        </w:rPr>
        <w:t xml:space="preserve"> impugnado</w:t>
      </w:r>
      <w:r w:rsidR="00A86C49">
        <w:rPr>
          <w:rFonts w:ascii="Palatino Linotype" w:hAnsi="Palatino Linotype" w:cs="Arial"/>
        </w:rPr>
        <w:t>s</w:t>
      </w:r>
      <w:r w:rsidRPr="00584718">
        <w:rPr>
          <w:rFonts w:ascii="Palatino Linotype" w:hAnsi="Palatino Linotype" w:cs="Arial"/>
        </w:rPr>
        <w:t xml:space="preserve"> por </w:t>
      </w:r>
      <w:r w:rsidR="008A7C2A">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sidR="005C4A72">
        <w:rPr>
          <w:rFonts w:ascii="Palatino Linotype" w:hAnsi="Palatino Linotype" w:cs="Arial"/>
        </w:rPr>
        <w:t>s</w:t>
      </w:r>
      <w:r w:rsidRPr="00584718">
        <w:rPr>
          <w:rFonts w:ascii="Palatino Linotype" w:hAnsi="Palatino Linotype" w:cs="Arial"/>
        </w:rPr>
        <w:t xml:space="preserve"> a la</w:t>
      </w:r>
      <w:r w:rsidR="005C4A72">
        <w:rPr>
          <w:rFonts w:ascii="Palatino Linotype" w:hAnsi="Palatino Linotype" w:cs="Arial"/>
        </w:rPr>
        <w:t>s</w:t>
      </w:r>
      <w:r w:rsidRPr="00584718">
        <w:rPr>
          <w:rFonts w:ascii="Palatino Linotype" w:hAnsi="Palatino Linotype" w:cs="Arial"/>
        </w:rPr>
        <w:t xml:space="preserve"> solicitud</w:t>
      </w:r>
      <w:r w:rsidR="005C4A72">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3A3E48DD"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027E0647" w14:textId="77777777" w:rsidR="00A86C49" w:rsidRDefault="00A86C49" w:rsidP="00F66CC7">
      <w:pPr>
        <w:pStyle w:val="infoemcitas"/>
        <w:rPr>
          <w:rFonts w:cs="Arial"/>
          <w:b/>
        </w:rPr>
      </w:pPr>
    </w:p>
    <w:p w14:paraId="5F230389" w14:textId="4FC594FC"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A7C2A">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C4A72">
        <w:rPr>
          <w:rFonts w:ascii="Palatino Linotype" w:hAnsi="Palatino Linotype" w:cs="Arial"/>
        </w:rPr>
        <w:t>los</w:t>
      </w:r>
      <w:r>
        <w:rPr>
          <w:rFonts w:ascii="Palatino Linotype" w:hAnsi="Palatino Linotype" w:cs="Arial"/>
        </w:rPr>
        <w:t xml:space="preserve"> expediente</w:t>
      </w:r>
      <w:r w:rsidR="005C4A72">
        <w:rPr>
          <w:rFonts w:ascii="Palatino Linotype" w:hAnsi="Palatino Linotype" w:cs="Arial"/>
        </w:rPr>
        <w:t>s</w:t>
      </w:r>
      <w:r>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hecha</w:t>
      </w:r>
      <w:r w:rsidR="00F404E9">
        <w:rPr>
          <w:rFonts w:ascii="Palatino Linotype" w:hAnsi="Palatino Linotype" w:cs="Arial"/>
        </w:rPr>
        <w:t>s</w:t>
      </w:r>
      <w:r w:rsidRPr="00584718">
        <w:rPr>
          <w:rFonts w:ascii="Palatino Linotype" w:hAnsi="Palatino Linotype" w:cs="Arial"/>
        </w:rPr>
        <w:t xml:space="preserve"> por </w:t>
      </w:r>
      <w:r w:rsidR="008A7C2A">
        <w:rPr>
          <w:rFonts w:ascii="Palatino Linotype" w:hAnsi="Palatino Linotype" w:cs="Arial"/>
          <w:b/>
        </w:rPr>
        <w:t>El</w:t>
      </w:r>
      <w:r w:rsidRPr="00584718">
        <w:rPr>
          <w:rFonts w:ascii="Palatino Linotype" w:hAnsi="Palatino Linotype" w:cs="Arial"/>
          <w:b/>
        </w:rPr>
        <w:t xml:space="preserve"> </w:t>
      </w:r>
      <w:r w:rsidRPr="00584718">
        <w:rPr>
          <w:rFonts w:ascii="Palatino Linotype" w:hAnsi="Palatino Linotype" w:cs="Arial"/>
          <w:b/>
        </w:rPr>
        <w:lastRenderedPageBreak/>
        <w:t xml:space="preserve">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1067E2CA"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8A7C2A">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y ante la falta de respuesta</w:t>
      </w:r>
      <w:r w:rsidR="00F404E9">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188C28A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5C4A72">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5C4A72">
        <w:rPr>
          <w:rFonts w:ascii="Palatino Linotype" w:hAnsi="Palatino Linotype"/>
          <w:lang w:eastAsia="es-MX"/>
        </w:rPr>
        <w:t>s</w:t>
      </w:r>
      <w:r w:rsidRPr="00584718">
        <w:rPr>
          <w:rFonts w:ascii="Palatino Linotype" w:hAnsi="Palatino Linotype"/>
          <w:lang w:eastAsia="es-MX"/>
        </w:rPr>
        <w:t xml:space="preserve"> solicitud</w:t>
      </w:r>
      <w:r w:rsidR="005C4A72">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sidR="005C4A72">
        <w:rPr>
          <w:rFonts w:ascii="Palatino Linotype" w:hAnsi="Palatino Linotype"/>
          <w:lang w:eastAsia="es-MX"/>
        </w:rPr>
        <w:t>s</w:t>
      </w:r>
      <w:r w:rsidRPr="00584718">
        <w:rPr>
          <w:rFonts w:ascii="Palatino Linotype" w:hAnsi="Palatino Linotype"/>
          <w:lang w:eastAsia="es-MX"/>
        </w:rPr>
        <w:t xml:space="preserve"> petici</w:t>
      </w:r>
      <w:r w:rsidR="005C4A72">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w:t>
      </w:r>
      <w:r w:rsidRPr="00584718">
        <w:rPr>
          <w:rFonts w:cs="Arial"/>
        </w:rPr>
        <w:lastRenderedPageBreak/>
        <w:t xml:space="preserve">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2E832394"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sidR="005C4A72">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sidR="008A7C2A">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sidR="005C4A72">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7011EA5" w14:textId="71015477" w:rsidR="00F404E9" w:rsidRDefault="00F404E9"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7D77B3" w14:textId="403078D0" w:rsidR="00816307" w:rsidRPr="00CC4AF6" w:rsidRDefault="00F404E9" w:rsidP="00F404E9">
      <w:pPr>
        <w:pStyle w:val="Prrafodelista"/>
        <w:autoSpaceDE w:val="0"/>
        <w:autoSpaceDN w:val="0"/>
        <w:adjustRightInd w:val="0"/>
        <w:spacing w:before="240" w:after="160" w:line="360" w:lineRule="auto"/>
        <w:ind w:left="0"/>
        <w:jc w:val="both"/>
        <w:rPr>
          <w:rFonts w:ascii="Palatino Linotype" w:hAnsi="Palatino Linotype" w:cs="Arial"/>
          <w:b/>
          <w:u w:val="single"/>
        </w:rPr>
      </w:pPr>
      <w:r>
        <w:rPr>
          <w:rFonts w:ascii="Palatino Linotype" w:hAnsi="Palatino Linotype"/>
        </w:rPr>
        <w:t xml:space="preserve">Bajo estas líneas argumentativas, </w:t>
      </w:r>
      <w:r w:rsidR="00BA5FB3">
        <w:rPr>
          <w:rFonts w:ascii="Palatino Linotype" w:hAnsi="Palatino Linotype"/>
        </w:rPr>
        <w:t>de una interpretación gramatical a la</w:t>
      </w:r>
      <w:r w:rsidR="00460800">
        <w:rPr>
          <w:rFonts w:ascii="Palatino Linotype" w:hAnsi="Palatino Linotype"/>
        </w:rPr>
        <w:t>s</w:t>
      </w:r>
      <w:r w:rsidR="00BA5FB3">
        <w:rPr>
          <w:rFonts w:ascii="Palatino Linotype" w:hAnsi="Palatino Linotype"/>
        </w:rPr>
        <w:t xml:space="preserve"> solicitud</w:t>
      </w:r>
      <w:r w:rsidR="00460800">
        <w:rPr>
          <w:rFonts w:ascii="Palatino Linotype" w:hAnsi="Palatino Linotype"/>
        </w:rPr>
        <w:t>es</w:t>
      </w:r>
      <w:r w:rsidR="00BA5FB3">
        <w:rPr>
          <w:rFonts w:ascii="Palatino Linotype" w:hAnsi="Palatino Linotype"/>
        </w:rPr>
        <w:t xml:space="preserve"> de información </w:t>
      </w:r>
      <w:r w:rsidR="00460800">
        <w:rPr>
          <w:rFonts w:ascii="Palatino Linotype" w:hAnsi="Palatino Linotype" w:cs="Arial"/>
          <w:b/>
        </w:rPr>
        <w:t>00069/TEOLOYU/IP/2021</w:t>
      </w:r>
      <w:r w:rsidR="00625888">
        <w:rPr>
          <w:rFonts w:ascii="Palatino Linotype" w:hAnsi="Palatino Linotype" w:cs="Arial"/>
          <w:b/>
        </w:rPr>
        <w:t>,</w:t>
      </w:r>
      <w:r w:rsidR="00460800">
        <w:rPr>
          <w:rFonts w:ascii="Palatino Linotype" w:hAnsi="Palatino Linotype" w:cs="Arial"/>
          <w:b/>
        </w:rPr>
        <w:t xml:space="preserve"> 00085/TEOLOYU/IP/2021</w:t>
      </w:r>
      <w:r w:rsidR="00625888">
        <w:rPr>
          <w:rFonts w:ascii="Palatino Linotype" w:hAnsi="Palatino Linotype" w:cs="Arial"/>
          <w:b/>
        </w:rPr>
        <w:t xml:space="preserve"> y 00086/TEOLOYU/IP/2021 </w:t>
      </w:r>
      <w:r w:rsidR="00460800">
        <w:rPr>
          <w:rFonts w:ascii="Palatino Linotype" w:hAnsi="Palatino Linotype" w:cs="Arial"/>
          <w:b/>
        </w:rPr>
        <w:t xml:space="preserve"> </w:t>
      </w:r>
      <w:r w:rsidR="00460800">
        <w:rPr>
          <w:rFonts w:ascii="Palatino Linotype" w:hAnsi="Palatino Linotype" w:cs="Arial"/>
        </w:rPr>
        <w:t xml:space="preserve">es posible advertir que versan en </w:t>
      </w:r>
      <w:r w:rsidR="00460800">
        <w:rPr>
          <w:rFonts w:ascii="Palatino Linotype" w:hAnsi="Palatino Linotype" w:cs="Arial"/>
          <w:b/>
        </w:rPr>
        <w:t>4 –cuatro-</w:t>
      </w:r>
      <w:r w:rsidR="00625888">
        <w:rPr>
          <w:rFonts w:ascii="Palatino Linotype" w:hAnsi="Palatino Linotype" w:cs="Arial"/>
          <w:b/>
        </w:rPr>
        <w:t>;</w:t>
      </w:r>
      <w:r w:rsidR="00460800">
        <w:rPr>
          <w:rFonts w:ascii="Palatino Linotype" w:hAnsi="Palatino Linotype" w:cs="Arial"/>
          <w:b/>
        </w:rPr>
        <w:t xml:space="preserve"> 3 –</w:t>
      </w:r>
      <w:r w:rsidR="00625888">
        <w:rPr>
          <w:rFonts w:ascii="Palatino Linotype" w:hAnsi="Palatino Linotype" w:cs="Arial"/>
          <w:b/>
        </w:rPr>
        <w:t>tres</w:t>
      </w:r>
      <w:r w:rsidR="00460800">
        <w:rPr>
          <w:rFonts w:ascii="Palatino Linotype" w:hAnsi="Palatino Linotype" w:cs="Arial"/>
          <w:b/>
        </w:rPr>
        <w:t>-</w:t>
      </w:r>
      <w:r w:rsidR="00625888">
        <w:rPr>
          <w:rFonts w:ascii="Palatino Linotype" w:hAnsi="Palatino Linotype" w:cs="Arial"/>
          <w:b/>
        </w:rPr>
        <w:t xml:space="preserve">; y 3 –tres-, </w:t>
      </w:r>
      <w:r w:rsidR="00625888">
        <w:rPr>
          <w:rFonts w:ascii="Palatino Linotype" w:hAnsi="Palatino Linotype" w:cs="Arial"/>
        </w:rPr>
        <w:t xml:space="preserve">requerimientos </w:t>
      </w:r>
      <w:r w:rsidR="00816307">
        <w:rPr>
          <w:rFonts w:ascii="Palatino Linotype" w:hAnsi="Palatino Linotype" w:cs="Arial"/>
        </w:rPr>
        <w:t>cada una</w:t>
      </w:r>
      <w:r w:rsidR="00460800">
        <w:rPr>
          <w:rFonts w:ascii="Palatino Linotype" w:hAnsi="Palatino Linotype" w:cs="Arial"/>
          <w:b/>
        </w:rPr>
        <w:t xml:space="preserve">, </w:t>
      </w:r>
      <w:r w:rsidR="00816307">
        <w:rPr>
          <w:rFonts w:ascii="Palatino Linotype" w:hAnsi="Palatino Linotype" w:cs="Arial"/>
        </w:rPr>
        <w:t xml:space="preserve">no obstante, su contenido en lo medular </w:t>
      </w:r>
      <w:r w:rsidR="00FA1E81">
        <w:rPr>
          <w:rFonts w:ascii="Palatino Linotype" w:hAnsi="Palatino Linotype" w:cs="Arial"/>
        </w:rPr>
        <w:t>es en los mismos términos</w:t>
      </w:r>
      <w:r w:rsidR="00CC4AF6">
        <w:rPr>
          <w:rFonts w:ascii="Palatino Linotype" w:hAnsi="Palatino Linotype" w:cs="Arial"/>
        </w:rPr>
        <w:t xml:space="preserve"> (adquisición de pintura para jornadas de embellecimiento)</w:t>
      </w:r>
      <w:r w:rsidR="00FA1E81">
        <w:rPr>
          <w:rFonts w:ascii="Palatino Linotype" w:hAnsi="Palatino Linotype" w:cs="Arial"/>
        </w:rPr>
        <w:t xml:space="preserve">. En contraste, si bien </w:t>
      </w:r>
      <w:r w:rsidR="00625888">
        <w:rPr>
          <w:rFonts w:ascii="Palatino Linotype" w:hAnsi="Palatino Linotype" w:cs="Arial"/>
        </w:rPr>
        <w:t>es cierto que el particular fijó</w:t>
      </w:r>
      <w:r w:rsidR="00FA1E81">
        <w:rPr>
          <w:rFonts w:ascii="Palatino Linotype" w:hAnsi="Palatino Linotype" w:cs="Arial"/>
        </w:rPr>
        <w:t xml:space="preserve"> como elementos temporales </w:t>
      </w:r>
      <w:r w:rsidR="00FA1E81">
        <w:rPr>
          <w:rFonts w:ascii="Palatino Linotype" w:hAnsi="Palatino Linotype" w:cs="Arial"/>
          <w:i/>
        </w:rPr>
        <w:t xml:space="preserve">“desde el </w:t>
      </w:r>
      <w:r w:rsidR="00FA1E81">
        <w:rPr>
          <w:rFonts w:ascii="Palatino Linotype" w:hAnsi="Palatino Linotype" w:cs="Arial"/>
          <w:i/>
        </w:rPr>
        <w:lastRenderedPageBreak/>
        <w:t>inicio de la presente administración hasta la fecha de recepción de mi solicitud”</w:t>
      </w:r>
      <w:r w:rsidR="00FA1E81">
        <w:rPr>
          <w:rFonts w:ascii="Palatino Linotype" w:hAnsi="Palatino Linotype" w:cs="Arial"/>
        </w:rPr>
        <w:t>, lo cierto también es que las solicitudes de información en cita</w:t>
      </w:r>
      <w:r w:rsidR="00625888">
        <w:rPr>
          <w:rFonts w:ascii="Palatino Linotype" w:hAnsi="Palatino Linotype" w:cs="Arial"/>
        </w:rPr>
        <w:t>,</w:t>
      </w:r>
      <w:r w:rsidR="00FA1E81">
        <w:rPr>
          <w:rFonts w:ascii="Palatino Linotype" w:hAnsi="Palatino Linotype" w:cs="Arial"/>
        </w:rPr>
        <w:t xml:space="preserve"> fueron formuladas los días veintitrés de febrero</w:t>
      </w:r>
      <w:r w:rsidR="00625888">
        <w:rPr>
          <w:rFonts w:ascii="Palatino Linotype" w:hAnsi="Palatino Linotype" w:cs="Arial"/>
        </w:rPr>
        <w:t xml:space="preserve"> </w:t>
      </w:r>
      <w:r w:rsidR="00CC4AF6">
        <w:rPr>
          <w:rFonts w:ascii="Palatino Linotype" w:hAnsi="Palatino Linotype" w:cs="Arial"/>
          <w:b/>
        </w:rPr>
        <w:t>-</w:t>
      </w:r>
      <w:r w:rsidR="00625888" w:rsidRPr="00625888">
        <w:rPr>
          <w:rFonts w:ascii="Palatino Linotype" w:hAnsi="Palatino Linotype" w:cs="Arial"/>
          <w:b/>
        </w:rPr>
        <w:t>solicitud de información</w:t>
      </w:r>
      <w:r w:rsidR="00625888">
        <w:rPr>
          <w:rFonts w:ascii="Palatino Linotype" w:hAnsi="Palatino Linotype" w:cs="Arial"/>
        </w:rPr>
        <w:t xml:space="preserve"> </w:t>
      </w:r>
      <w:r w:rsidR="00625888">
        <w:rPr>
          <w:rFonts w:ascii="Palatino Linotype" w:hAnsi="Palatino Linotype" w:cs="Arial"/>
          <w:b/>
        </w:rPr>
        <w:t>00069/TEOLOYU/IP/2021</w:t>
      </w:r>
      <w:r w:rsidR="00CC4AF6">
        <w:rPr>
          <w:rFonts w:ascii="Palatino Linotype" w:hAnsi="Palatino Linotype" w:cs="Arial"/>
          <w:b/>
        </w:rPr>
        <w:t>-</w:t>
      </w:r>
      <w:r w:rsidR="00FA1E81">
        <w:rPr>
          <w:rFonts w:ascii="Palatino Linotype" w:hAnsi="Palatino Linotype" w:cs="Arial"/>
        </w:rPr>
        <w:t xml:space="preserve"> y diez de marzo </w:t>
      </w:r>
      <w:r w:rsidR="00CC4AF6">
        <w:rPr>
          <w:rFonts w:ascii="Palatino Linotype" w:hAnsi="Palatino Linotype" w:cs="Arial"/>
          <w:b/>
        </w:rPr>
        <w:t>-</w:t>
      </w:r>
      <w:r w:rsidR="00625888">
        <w:rPr>
          <w:rFonts w:ascii="Palatino Linotype" w:hAnsi="Palatino Linotype" w:cs="Arial"/>
          <w:b/>
        </w:rPr>
        <w:t>solicitudes de información 00085/TEOLOYU/IP/2021 y 00086/TEOLOYU/IP/2021</w:t>
      </w:r>
      <w:r w:rsidR="00CC4AF6">
        <w:rPr>
          <w:rFonts w:ascii="Palatino Linotype" w:hAnsi="Palatino Linotype" w:cs="Arial"/>
          <w:b/>
        </w:rPr>
        <w:t>-</w:t>
      </w:r>
      <w:r w:rsidR="00625888">
        <w:rPr>
          <w:rFonts w:ascii="Palatino Linotype" w:hAnsi="Palatino Linotype" w:cs="Arial"/>
          <w:b/>
        </w:rPr>
        <w:t xml:space="preserve"> </w:t>
      </w:r>
      <w:r w:rsidR="00FA1E81">
        <w:rPr>
          <w:rFonts w:ascii="Palatino Linotype" w:hAnsi="Palatino Linotype" w:cs="Arial"/>
        </w:rPr>
        <w:t xml:space="preserve">de dos mil veintiuno, respectivamente, </w:t>
      </w:r>
      <w:r w:rsidR="00FA1E81" w:rsidRPr="00CC4AF6">
        <w:rPr>
          <w:rFonts w:ascii="Palatino Linotype" w:hAnsi="Palatino Linotype" w:cs="Arial"/>
          <w:b/>
          <w:u w:val="single"/>
        </w:rPr>
        <w:t>resultando aplicable ésta última al tratarse de la información ulterior</w:t>
      </w:r>
      <w:r w:rsidR="009A043D">
        <w:rPr>
          <w:rFonts w:ascii="Palatino Linotype" w:hAnsi="Palatino Linotype" w:cs="Arial"/>
          <w:b/>
          <w:u w:val="single"/>
        </w:rPr>
        <w:t xml:space="preserve"> disponible</w:t>
      </w:r>
      <w:r w:rsidR="00FA1E81" w:rsidRPr="00CC4AF6">
        <w:rPr>
          <w:rFonts w:ascii="Palatino Linotype" w:hAnsi="Palatino Linotype" w:cs="Arial"/>
          <w:b/>
          <w:u w:val="single"/>
        </w:rPr>
        <w:t xml:space="preserve">. </w:t>
      </w:r>
    </w:p>
    <w:p w14:paraId="4CC1CE56" w14:textId="3EDE1D87" w:rsidR="00625888" w:rsidRDefault="00625888" w:rsidP="00F404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Ahora bien, por cuanto hace a </w:t>
      </w:r>
      <w:r w:rsidR="00CC4AF6">
        <w:rPr>
          <w:rFonts w:ascii="Palatino Linotype" w:hAnsi="Palatino Linotype" w:cs="Arial"/>
        </w:rPr>
        <w:t xml:space="preserve">la solicitud </w:t>
      </w:r>
      <w:r>
        <w:rPr>
          <w:rFonts w:ascii="Palatino Linotype" w:hAnsi="Palatino Linotype" w:cs="Arial"/>
        </w:rPr>
        <w:t xml:space="preserve"> de información </w:t>
      </w:r>
      <w:r w:rsidR="00CC4AF6">
        <w:rPr>
          <w:rFonts w:ascii="Palatino Linotype" w:hAnsi="Palatino Linotype" w:cs="Arial"/>
          <w:b/>
        </w:rPr>
        <w:t xml:space="preserve">00070/TEOLOYU/IP/2021, </w:t>
      </w:r>
      <w:r w:rsidR="00CC4AF6">
        <w:rPr>
          <w:rFonts w:ascii="Palatino Linotype" w:hAnsi="Palatino Linotype" w:cs="Arial"/>
        </w:rPr>
        <w:t xml:space="preserve">es menester señalar que en alusión al programa denominado “Teoloyucan iluminado” se formulan </w:t>
      </w:r>
      <w:r w:rsidR="00CC4AF6">
        <w:rPr>
          <w:rFonts w:ascii="Palatino Linotype" w:hAnsi="Palatino Linotype" w:cs="Arial"/>
          <w:b/>
        </w:rPr>
        <w:t xml:space="preserve">8 –ocho- </w:t>
      </w:r>
      <w:r w:rsidR="00CC4AF6">
        <w:rPr>
          <w:rFonts w:ascii="Palatino Linotype" w:hAnsi="Palatino Linotype" w:cs="Arial"/>
        </w:rPr>
        <w:t xml:space="preserve">requerimientos, mismos que son susceptibles de ser sintetizados en </w:t>
      </w:r>
      <w:r w:rsidR="006959FE">
        <w:rPr>
          <w:rFonts w:ascii="Palatino Linotype" w:hAnsi="Palatino Linotype" w:cs="Arial"/>
          <w:b/>
        </w:rPr>
        <w:t>3</w:t>
      </w:r>
      <w:r w:rsidR="00CC4AF6">
        <w:rPr>
          <w:rFonts w:ascii="Palatino Linotype" w:hAnsi="Palatino Linotype" w:cs="Arial"/>
          <w:b/>
        </w:rPr>
        <w:t xml:space="preserve"> –</w:t>
      </w:r>
      <w:r w:rsidR="009A043D">
        <w:rPr>
          <w:rFonts w:ascii="Palatino Linotype" w:hAnsi="Palatino Linotype" w:cs="Arial"/>
          <w:b/>
        </w:rPr>
        <w:t>tres</w:t>
      </w:r>
      <w:r w:rsidR="00CC4AF6">
        <w:rPr>
          <w:rFonts w:ascii="Palatino Linotype" w:hAnsi="Palatino Linotype" w:cs="Arial"/>
          <w:b/>
        </w:rPr>
        <w:t xml:space="preserve">- </w:t>
      </w:r>
      <w:r w:rsidR="00CC4AF6">
        <w:rPr>
          <w:rFonts w:ascii="Palatino Linotype" w:hAnsi="Palatino Linotype" w:cs="Arial"/>
        </w:rPr>
        <w:t xml:space="preserve">requerimientos, </w:t>
      </w:r>
      <w:r w:rsidR="004B4CD6">
        <w:rPr>
          <w:rFonts w:ascii="Palatino Linotype" w:hAnsi="Palatino Linotype" w:cs="Arial"/>
        </w:rPr>
        <w:t xml:space="preserve">asimismo, si bien es cierto que </w:t>
      </w:r>
      <w:r w:rsidR="009A043D">
        <w:rPr>
          <w:rFonts w:ascii="Palatino Linotype" w:hAnsi="Palatino Linotype" w:cs="Arial"/>
        </w:rPr>
        <w:t>únicamente</w:t>
      </w:r>
      <w:r w:rsidR="004B4CD6">
        <w:rPr>
          <w:rFonts w:ascii="Palatino Linotype" w:hAnsi="Palatino Linotype" w:cs="Arial"/>
        </w:rPr>
        <w:t xml:space="preserve"> en el segundo requerimiento se delimitó el elemento temporal </w:t>
      </w:r>
      <w:r w:rsidR="004B4CD6">
        <w:rPr>
          <w:rFonts w:ascii="Palatino Linotype" w:hAnsi="Palatino Linotype" w:cs="Arial"/>
          <w:i/>
        </w:rPr>
        <w:t xml:space="preserve">“desde el inicio del programa en cita, hasta el día de recepción de la presente solicitud de acceso a la información pública”, </w:t>
      </w:r>
      <w:r w:rsidR="004B4CD6">
        <w:rPr>
          <w:rFonts w:ascii="Palatino Linotype" w:hAnsi="Palatino Linotype" w:cs="Arial"/>
        </w:rPr>
        <w:t xml:space="preserve">lo cierto también es que dicha temporalidad resulta aplicable para el resto de los requerimientos, al encontrarse estrechamente vinculados. </w:t>
      </w:r>
    </w:p>
    <w:p w14:paraId="345F5F6A" w14:textId="4D2B7121" w:rsidR="004B4CD6" w:rsidRDefault="004B4CD6" w:rsidP="004B4CD6">
      <w:pPr>
        <w:spacing w:before="240" w:line="360" w:lineRule="auto"/>
        <w:jc w:val="both"/>
        <w:rPr>
          <w:rFonts w:ascii="Palatino Linotype" w:hAnsi="Palatino Linotype"/>
        </w:rPr>
      </w:pPr>
      <w:r>
        <w:rPr>
          <w:rFonts w:ascii="Palatino Linotype" w:hAnsi="Palatino Linotype" w:cs="Arial"/>
          <w:sz w:val="24"/>
          <w:szCs w:val="24"/>
        </w:rPr>
        <w:t xml:space="preserve">Dichas precisiones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9DC3202" w14:textId="77777777" w:rsidR="004B4CD6" w:rsidRPr="00BC704A" w:rsidRDefault="004B4CD6" w:rsidP="004B4CD6">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F776207" w14:textId="77777777" w:rsidR="004B4CD6" w:rsidRPr="00BC704A" w:rsidRDefault="004B4CD6" w:rsidP="004B4CD6">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1F85E37" w14:textId="77777777" w:rsidR="004B4CD6" w:rsidRPr="00BC704A" w:rsidRDefault="004B4CD6" w:rsidP="004B4CD6">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30845E22" w14:textId="77777777" w:rsidR="004B4CD6" w:rsidRDefault="004B4CD6" w:rsidP="00F404E9">
      <w:pPr>
        <w:pStyle w:val="Prrafodelista"/>
        <w:autoSpaceDE w:val="0"/>
        <w:autoSpaceDN w:val="0"/>
        <w:adjustRightInd w:val="0"/>
        <w:spacing w:before="240" w:after="160" w:line="360" w:lineRule="auto"/>
        <w:ind w:left="0"/>
        <w:jc w:val="both"/>
        <w:rPr>
          <w:rFonts w:ascii="Palatino Linotype" w:hAnsi="Palatino Linotype" w:cs="Arial"/>
        </w:rPr>
      </w:pPr>
    </w:p>
    <w:p w14:paraId="16A73B97" w14:textId="77777777" w:rsidR="004B4CD6" w:rsidRDefault="004B4CD6" w:rsidP="004B4CD6">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p>
    <w:p w14:paraId="55ACBCA4" w14:textId="7193FAEE" w:rsidR="00CC4AF6" w:rsidRPr="00CC4AF6" w:rsidRDefault="00CC4AF6" w:rsidP="00F404E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De las jornadas de embellecimiento municipales</w:t>
      </w:r>
    </w:p>
    <w:p w14:paraId="4129B331" w14:textId="221C1194" w:rsidR="004B4CD6" w:rsidRDefault="00FA1E81" w:rsidP="004B4CD6">
      <w:pPr>
        <w:pStyle w:val="Prrafodelista"/>
        <w:numPr>
          <w:ilvl w:val="0"/>
          <w:numId w:val="21"/>
        </w:numPr>
        <w:autoSpaceDE w:val="0"/>
        <w:autoSpaceDN w:val="0"/>
        <w:adjustRightInd w:val="0"/>
        <w:spacing w:line="360" w:lineRule="auto"/>
        <w:jc w:val="both"/>
        <w:rPr>
          <w:rFonts w:ascii="Palatino Linotype" w:hAnsi="Palatino Linotype" w:cs="Arial"/>
        </w:rPr>
      </w:pPr>
      <w:r w:rsidRPr="00FA1E81">
        <w:rPr>
          <w:rFonts w:ascii="Palatino Linotype" w:hAnsi="Palatino Linotype" w:cs="Arial"/>
        </w:rPr>
        <w:t>Expediente</w:t>
      </w:r>
      <w:r w:rsidR="00625888">
        <w:rPr>
          <w:rFonts w:ascii="Palatino Linotype" w:hAnsi="Palatino Linotype" w:cs="Arial"/>
        </w:rPr>
        <w:t>s</w:t>
      </w:r>
      <w:r w:rsidRPr="00FA1E81">
        <w:rPr>
          <w:rFonts w:ascii="Palatino Linotype" w:hAnsi="Palatino Linotype" w:cs="Arial"/>
        </w:rPr>
        <w:t xml:space="preserve"> (facturas, contratos, </w:t>
      </w:r>
      <w:r w:rsidR="00625888">
        <w:rPr>
          <w:rFonts w:ascii="Palatino Linotype" w:hAnsi="Palatino Linotype" w:cs="Arial"/>
        </w:rPr>
        <w:t>anexos</w:t>
      </w:r>
      <w:r w:rsidRPr="00FA1E81">
        <w:rPr>
          <w:rFonts w:ascii="Palatino Linotype" w:hAnsi="Palatino Linotype" w:cs="Arial"/>
        </w:rPr>
        <w:t xml:space="preserve"> y/o equivalentes) formado</w:t>
      </w:r>
      <w:r w:rsidR="00625888">
        <w:rPr>
          <w:rFonts w:ascii="Palatino Linotype" w:hAnsi="Palatino Linotype" w:cs="Arial"/>
        </w:rPr>
        <w:t>s</w:t>
      </w:r>
      <w:r w:rsidRPr="00FA1E81">
        <w:rPr>
          <w:rFonts w:ascii="Palatino Linotype" w:hAnsi="Palatino Linotype" w:cs="Arial"/>
        </w:rPr>
        <w:t xml:space="preserve"> con motivo de la</w:t>
      </w:r>
      <w:r w:rsidR="00625888">
        <w:rPr>
          <w:rFonts w:ascii="Palatino Linotype" w:hAnsi="Palatino Linotype" w:cs="Arial"/>
        </w:rPr>
        <w:t>s</w:t>
      </w:r>
      <w:r w:rsidRPr="00FA1E81">
        <w:rPr>
          <w:rFonts w:ascii="Palatino Linotype" w:hAnsi="Palatino Linotype" w:cs="Arial"/>
        </w:rPr>
        <w:t xml:space="preserve"> licitaci</w:t>
      </w:r>
      <w:r w:rsidR="00625888">
        <w:rPr>
          <w:rFonts w:ascii="Palatino Linotype" w:hAnsi="Palatino Linotype" w:cs="Arial"/>
        </w:rPr>
        <w:t>ones</w:t>
      </w:r>
      <w:r w:rsidRPr="00FA1E81">
        <w:rPr>
          <w:rFonts w:ascii="Palatino Linotype" w:hAnsi="Palatino Linotype" w:cs="Arial"/>
        </w:rPr>
        <w:t xml:space="preserve"> </w:t>
      </w:r>
      <w:r w:rsidR="006959FE" w:rsidRPr="00FA1E81">
        <w:rPr>
          <w:rFonts w:ascii="Palatino Linotype" w:hAnsi="Palatino Linotype" w:cs="Arial"/>
        </w:rPr>
        <w:t>pública</w:t>
      </w:r>
      <w:r w:rsidR="006959FE">
        <w:rPr>
          <w:rFonts w:ascii="Palatino Linotype" w:hAnsi="Palatino Linotype" w:cs="Arial"/>
        </w:rPr>
        <w:t>s</w:t>
      </w:r>
      <w:r w:rsidR="006959FE" w:rsidRPr="00FA1E81">
        <w:rPr>
          <w:rFonts w:ascii="Palatino Linotype" w:hAnsi="Palatino Linotype" w:cs="Arial"/>
        </w:rPr>
        <w:t>,</w:t>
      </w:r>
      <w:r w:rsidRPr="00FA1E81">
        <w:rPr>
          <w:rFonts w:ascii="Palatino Linotype" w:hAnsi="Palatino Linotype" w:cs="Arial"/>
        </w:rPr>
        <w:t xml:space="preserve"> invitaci</w:t>
      </w:r>
      <w:r w:rsidR="00625888">
        <w:rPr>
          <w:rFonts w:ascii="Palatino Linotype" w:hAnsi="Palatino Linotype" w:cs="Arial"/>
        </w:rPr>
        <w:t>o</w:t>
      </w:r>
      <w:r w:rsidRPr="00FA1E81">
        <w:rPr>
          <w:rFonts w:ascii="Palatino Linotype" w:hAnsi="Palatino Linotype" w:cs="Arial"/>
        </w:rPr>
        <w:t>n</w:t>
      </w:r>
      <w:r w:rsidR="00625888">
        <w:rPr>
          <w:rFonts w:ascii="Palatino Linotype" w:hAnsi="Palatino Linotype" w:cs="Arial"/>
        </w:rPr>
        <w:t>es</w:t>
      </w:r>
      <w:r w:rsidRPr="00FA1E81">
        <w:rPr>
          <w:rFonts w:ascii="Palatino Linotype" w:hAnsi="Palatino Linotype" w:cs="Arial"/>
        </w:rPr>
        <w:t xml:space="preserve"> restringida</w:t>
      </w:r>
      <w:r w:rsidR="00625888">
        <w:rPr>
          <w:rFonts w:ascii="Palatino Linotype" w:hAnsi="Palatino Linotype" w:cs="Arial"/>
        </w:rPr>
        <w:t>s</w:t>
      </w:r>
      <w:r w:rsidRPr="00FA1E81">
        <w:rPr>
          <w:rFonts w:ascii="Palatino Linotype" w:hAnsi="Palatino Linotype" w:cs="Arial"/>
        </w:rPr>
        <w:t xml:space="preserve"> o adjudicaci</w:t>
      </w:r>
      <w:r w:rsidR="00625888">
        <w:rPr>
          <w:rFonts w:ascii="Palatino Linotype" w:hAnsi="Palatino Linotype" w:cs="Arial"/>
        </w:rPr>
        <w:t>o</w:t>
      </w:r>
      <w:r w:rsidRPr="00FA1E81">
        <w:rPr>
          <w:rFonts w:ascii="Palatino Linotype" w:hAnsi="Palatino Linotype" w:cs="Arial"/>
        </w:rPr>
        <w:t>n</w:t>
      </w:r>
      <w:r w:rsidR="00625888">
        <w:rPr>
          <w:rFonts w:ascii="Palatino Linotype" w:hAnsi="Palatino Linotype" w:cs="Arial"/>
        </w:rPr>
        <w:t>es</w:t>
      </w:r>
      <w:r w:rsidRPr="00FA1E81">
        <w:rPr>
          <w:rFonts w:ascii="Palatino Linotype" w:hAnsi="Palatino Linotype" w:cs="Arial"/>
        </w:rPr>
        <w:t xml:space="preserve"> directa</w:t>
      </w:r>
      <w:r w:rsidR="00625888">
        <w:rPr>
          <w:rFonts w:ascii="Palatino Linotype" w:hAnsi="Palatino Linotype" w:cs="Arial"/>
        </w:rPr>
        <w:t>s</w:t>
      </w:r>
      <w:r w:rsidRPr="00FA1E81">
        <w:rPr>
          <w:rFonts w:ascii="Palatino Linotype" w:hAnsi="Palatino Linotype" w:cs="Arial"/>
        </w:rPr>
        <w:t xml:space="preserve">, </w:t>
      </w:r>
      <w:r w:rsidR="008A7C2A" w:rsidRPr="00FA1E81">
        <w:rPr>
          <w:rFonts w:ascii="Palatino Linotype" w:hAnsi="Palatino Linotype" w:cs="Arial"/>
        </w:rPr>
        <w:t xml:space="preserve">por concepto de </w:t>
      </w:r>
      <w:r>
        <w:rPr>
          <w:rFonts w:ascii="Palatino Linotype" w:hAnsi="Palatino Linotype" w:cs="Arial"/>
        </w:rPr>
        <w:t xml:space="preserve">la </w:t>
      </w:r>
      <w:r w:rsidR="008A7C2A" w:rsidRPr="00FA1E81">
        <w:rPr>
          <w:rFonts w:ascii="Palatino Linotype" w:hAnsi="Palatino Linotype" w:cs="Arial"/>
        </w:rPr>
        <w:t>adquisición de pintura empleada</w:t>
      </w:r>
      <w:r w:rsidR="006959FE">
        <w:rPr>
          <w:rFonts w:ascii="Palatino Linotype" w:hAnsi="Palatino Linotype" w:cs="Arial"/>
        </w:rPr>
        <w:t>,</w:t>
      </w:r>
      <w:r w:rsidR="008A7C2A" w:rsidRPr="00FA1E81">
        <w:rPr>
          <w:rFonts w:ascii="Palatino Linotype" w:hAnsi="Palatino Linotype" w:cs="Arial"/>
        </w:rPr>
        <w:t xml:space="preserve"> del periodo comprendido del uno de enero de dos mil diecinueve al </w:t>
      </w:r>
      <w:r>
        <w:rPr>
          <w:rFonts w:ascii="Palatino Linotype" w:hAnsi="Palatino Linotype" w:cs="Arial"/>
        </w:rPr>
        <w:t>diez</w:t>
      </w:r>
      <w:r w:rsidR="008A7C2A" w:rsidRPr="00FA1E81">
        <w:rPr>
          <w:rFonts w:ascii="Palatino Linotype" w:hAnsi="Palatino Linotype" w:cs="Arial"/>
        </w:rPr>
        <w:t xml:space="preserve"> de </w:t>
      </w:r>
      <w:r w:rsidR="00B14BF4">
        <w:rPr>
          <w:rFonts w:ascii="Palatino Linotype" w:hAnsi="Palatino Linotype" w:cs="Arial"/>
        </w:rPr>
        <w:t xml:space="preserve">marzo </w:t>
      </w:r>
      <w:r w:rsidR="008A7C2A" w:rsidRPr="00FA1E81">
        <w:rPr>
          <w:rFonts w:ascii="Palatino Linotype" w:hAnsi="Palatino Linotype" w:cs="Arial"/>
        </w:rPr>
        <w:t xml:space="preserve">dos mil veintiuno. </w:t>
      </w:r>
    </w:p>
    <w:p w14:paraId="6F442D28" w14:textId="77777777" w:rsidR="004B4CD6" w:rsidRDefault="004B4CD6" w:rsidP="004B4CD6">
      <w:pPr>
        <w:autoSpaceDE w:val="0"/>
        <w:autoSpaceDN w:val="0"/>
        <w:adjustRightInd w:val="0"/>
        <w:spacing w:line="360" w:lineRule="auto"/>
        <w:jc w:val="both"/>
        <w:rPr>
          <w:rFonts w:ascii="Palatino Linotype" w:hAnsi="Palatino Linotype" w:cs="Arial"/>
        </w:rPr>
      </w:pPr>
    </w:p>
    <w:p w14:paraId="0B1CEBE5" w14:textId="1D3070E6" w:rsidR="004B4CD6" w:rsidRPr="004B4CD6" w:rsidRDefault="004B4CD6" w:rsidP="004B4CD6">
      <w:pPr>
        <w:autoSpaceDE w:val="0"/>
        <w:autoSpaceDN w:val="0"/>
        <w:adjustRightInd w:val="0"/>
        <w:spacing w:line="360" w:lineRule="auto"/>
        <w:jc w:val="both"/>
        <w:rPr>
          <w:rFonts w:ascii="Palatino Linotype" w:hAnsi="Palatino Linotype" w:cs="Arial"/>
          <w:b/>
        </w:rPr>
      </w:pPr>
      <w:r>
        <w:rPr>
          <w:rFonts w:ascii="Palatino Linotype" w:hAnsi="Palatino Linotype" w:cs="Arial"/>
          <w:b/>
        </w:rPr>
        <w:t>Del programa “Teoloyucan iluminado”</w:t>
      </w:r>
    </w:p>
    <w:p w14:paraId="1288B968" w14:textId="77CC2F6C" w:rsidR="004B4CD6" w:rsidRPr="006959FE" w:rsidRDefault="004B4CD6" w:rsidP="004B4CD6">
      <w:pPr>
        <w:pStyle w:val="Prrafodelista"/>
        <w:numPr>
          <w:ilvl w:val="0"/>
          <w:numId w:val="21"/>
        </w:numPr>
        <w:autoSpaceDE w:val="0"/>
        <w:autoSpaceDN w:val="0"/>
        <w:adjustRightInd w:val="0"/>
        <w:spacing w:line="360" w:lineRule="auto"/>
        <w:jc w:val="both"/>
        <w:rPr>
          <w:rFonts w:ascii="Palatino Linotype" w:hAnsi="Palatino Linotype" w:cs="Arial"/>
        </w:rPr>
      </w:pPr>
      <w:r w:rsidRPr="002203B1">
        <w:rPr>
          <w:rFonts w:ascii="Palatino Linotype" w:hAnsi="Palatino Linotype" w:cs="Arial"/>
        </w:rPr>
        <w:t xml:space="preserve">El o los documentos donde consten los presupuestos asignados, </w:t>
      </w:r>
      <w:r w:rsidRPr="006959FE">
        <w:rPr>
          <w:rFonts w:ascii="Palatino Linotype" w:hAnsi="Palatino Linotype" w:cs="Arial"/>
        </w:rPr>
        <w:t xml:space="preserve">desde el inicio del programa y hasta </w:t>
      </w:r>
      <w:r>
        <w:rPr>
          <w:rFonts w:ascii="Palatino Linotype" w:hAnsi="Palatino Linotype" w:cs="Arial"/>
        </w:rPr>
        <w:t xml:space="preserve">el veintitrés de febrero de dos mil veintiuno. </w:t>
      </w:r>
      <w:r w:rsidRPr="006959FE">
        <w:rPr>
          <w:rFonts w:ascii="Palatino Linotype" w:hAnsi="Palatino Linotype" w:cs="Arial"/>
        </w:rPr>
        <w:t xml:space="preserve"> </w:t>
      </w:r>
    </w:p>
    <w:p w14:paraId="223D7711" w14:textId="77777777" w:rsidR="004B4CD6" w:rsidRPr="002203B1" w:rsidRDefault="004B4CD6" w:rsidP="004B4CD6">
      <w:pPr>
        <w:pStyle w:val="Prrafodelista"/>
        <w:numPr>
          <w:ilvl w:val="0"/>
          <w:numId w:val="21"/>
        </w:numPr>
        <w:autoSpaceDE w:val="0"/>
        <w:autoSpaceDN w:val="0"/>
        <w:adjustRightInd w:val="0"/>
        <w:spacing w:line="360" w:lineRule="auto"/>
        <w:jc w:val="both"/>
        <w:rPr>
          <w:rFonts w:ascii="Palatino Linotype" w:hAnsi="Palatino Linotype" w:cs="Arial"/>
        </w:rPr>
      </w:pPr>
      <w:r w:rsidRPr="002203B1">
        <w:rPr>
          <w:rFonts w:ascii="Palatino Linotype" w:hAnsi="Palatino Linotype" w:cs="Arial"/>
        </w:rPr>
        <w:t xml:space="preserve">El o los documentos donde conste el número total de luminarias nuevas que han sido colocadas, desde el inicio del programa y hasta el veintitrés de febrero de dos mil veintiuno.  </w:t>
      </w:r>
    </w:p>
    <w:p w14:paraId="2B0D8811" w14:textId="1DD623DD" w:rsidR="004B4CD6" w:rsidRPr="006959FE" w:rsidRDefault="004B4CD6" w:rsidP="004B4CD6">
      <w:pPr>
        <w:pStyle w:val="Prrafodelista"/>
        <w:numPr>
          <w:ilvl w:val="0"/>
          <w:numId w:val="21"/>
        </w:numPr>
        <w:autoSpaceDE w:val="0"/>
        <w:autoSpaceDN w:val="0"/>
        <w:adjustRightInd w:val="0"/>
        <w:spacing w:line="360" w:lineRule="auto"/>
        <w:jc w:val="both"/>
        <w:rPr>
          <w:rFonts w:ascii="Palatino Linotype" w:hAnsi="Palatino Linotype" w:cs="Arial"/>
        </w:rPr>
      </w:pPr>
      <w:r w:rsidRPr="006959FE">
        <w:rPr>
          <w:rFonts w:ascii="Palatino Linotype" w:hAnsi="Palatino Linotype" w:cs="Arial"/>
        </w:rPr>
        <w:t>Expedientes (</w:t>
      </w:r>
      <w:r w:rsidRPr="00FA1E81">
        <w:rPr>
          <w:rFonts w:ascii="Palatino Linotype" w:hAnsi="Palatino Linotype" w:cs="Arial"/>
        </w:rPr>
        <w:t xml:space="preserve">facturas, contratos, </w:t>
      </w:r>
      <w:r>
        <w:rPr>
          <w:rFonts w:ascii="Palatino Linotype" w:hAnsi="Palatino Linotype" w:cs="Arial"/>
        </w:rPr>
        <w:t>anexos</w:t>
      </w:r>
      <w:r w:rsidRPr="00FA1E81">
        <w:rPr>
          <w:rFonts w:ascii="Palatino Linotype" w:hAnsi="Palatino Linotype" w:cs="Arial"/>
        </w:rPr>
        <w:t xml:space="preserve"> y/o equivalentes</w:t>
      </w:r>
      <w:r w:rsidRPr="006959FE">
        <w:rPr>
          <w:rFonts w:ascii="Palatino Linotype" w:hAnsi="Palatino Linotype" w:cs="Arial"/>
        </w:rPr>
        <w:t xml:space="preserve">) formados con motivo de las licitaciones públicas, invitaciones restringidas o adjudicaciones directas, </w:t>
      </w:r>
      <w:r>
        <w:rPr>
          <w:rFonts w:ascii="Palatino Linotype" w:hAnsi="Palatino Linotype" w:cs="Arial"/>
        </w:rPr>
        <w:lastRenderedPageBreak/>
        <w:t xml:space="preserve">por concepto de adquisición de luminarias, </w:t>
      </w:r>
      <w:r w:rsidR="00B14BF4" w:rsidRPr="002203B1">
        <w:rPr>
          <w:rFonts w:ascii="Palatino Linotype" w:hAnsi="Palatino Linotype" w:cs="Arial"/>
        </w:rPr>
        <w:t xml:space="preserve">desde el inicio del programa y hasta el veintitrés de febrero de dos mil veintiuno.  </w:t>
      </w:r>
    </w:p>
    <w:p w14:paraId="4244A1ED" w14:textId="5ACF0E57" w:rsidR="00F404E9" w:rsidRDefault="00F404E9" w:rsidP="00B14BF4">
      <w:pPr>
        <w:pStyle w:val="Prrafodelista"/>
        <w:autoSpaceDE w:val="0"/>
        <w:autoSpaceDN w:val="0"/>
        <w:adjustRightInd w:val="0"/>
        <w:spacing w:line="360" w:lineRule="auto"/>
        <w:ind w:left="720"/>
        <w:jc w:val="both"/>
        <w:rPr>
          <w:rFonts w:ascii="Palatino Linotype" w:hAnsi="Palatino Linotype" w:cs="Arial"/>
        </w:rPr>
      </w:pPr>
    </w:p>
    <w:p w14:paraId="550E6A3B" w14:textId="77777777" w:rsidR="00CC4AF6" w:rsidRDefault="00CC4AF6" w:rsidP="00CC4AF6">
      <w:pPr>
        <w:autoSpaceDE w:val="0"/>
        <w:autoSpaceDN w:val="0"/>
        <w:adjustRightInd w:val="0"/>
        <w:spacing w:line="360" w:lineRule="auto"/>
        <w:jc w:val="both"/>
        <w:rPr>
          <w:rFonts w:ascii="Palatino Linotype" w:hAnsi="Palatino Linotype" w:cs="Arial"/>
        </w:rPr>
      </w:pPr>
    </w:p>
    <w:p w14:paraId="476EFFD0" w14:textId="4766F988" w:rsidR="00BD7607" w:rsidRDefault="0035499E" w:rsidP="0035499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w:t>
      </w:r>
      <w:r w:rsidR="00BD7607">
        <w:rPr>
          <w:rFonts w:ascii="Palatino Linotype" w:hAnsi="Palatino Linotype" w:cs="Arial"/>
          <w:sz w:val="24"/>
          <w:szCs w:val="24"/>
        </w:rPr>
        <w:t xml:space="preserve">el organigrama del </w:t>
      </w:r>
      <w:r w:rsidR="00BD7607">
        <w:rPr>
          <w:rFonts w:ascii="Palatino Linotype" w:hAnsi="Palatino Linotype" w:cs="Arial"/>
          <w:b/>
          <w:sz w:val="24"/>
          <w:szCs w:val="24"/>
        </w:rPr>
        <w:t xml:space="preserve">Sujeto Obligado, </w:t>
      </w:r>
      <w:r w:rsidR="00BD7607">
        <w:rPr>
          <w:rFonts w:ascii="Palatino Linotype" w:hAnsi="Palatino Linotype" w:cs="Arial"/>
          <w:sz w:val="24"/>
          <w:szCs w:val="24"/>
        </w:rPr>
        <w:t xml:space="preserve">susceptible de ser consultado en la siguiente dirección electrónica: </w:t>
      </w:r>
    </w:p>
    <w:p w14:paraId="4BA1D2BD" w14:textId="67EB9FD0" w:rsidR="0035499E" w:rsidRDefault="00384308" w:rsidP="0035499E">
      <w:pPr>
        <w:spacing w:before="240" w:line="360" w:lineRule="auto"/>
        <w:ind w:right="72"/>
        <w:jc w:val="both"/>
        <w:rPr>
          <w:rFonts w:ascii="Palatino Linotype" w:hAnsi="Palatino Linotype" w:cs="Arial"/>
          <w:sz w:val="24"/>
          <w:szCs w:val="24"/>
        </w:rPr>
      </w:pPr>
      <w:hyperlink r:id="rId8" w:history="1">
        <w:r w:rsidR="00BD7607" w:rsidRPr="00A3527D">
          <w:rPr>
            <w:rStyle w:val="Hipervnculo"/>
            <w:rFonts w:ascii="Palatino Linotype" w:hAnsi="Palatino Linotype" w:cs="Arial"/>
            <w:sz w:val="24"/>
            <w:szCs w:val="24"/>
          </w:rPr>
          <w:t>https://www.ipomex.org.mx/ipo3/lgt/indice/TEOLOYUCAN/art_92_ii_b.web</w:t>
        </w:r>
      </w:hyperlink>
      <w:r w:rsidR="00BD7607">
        <w:rPr>
          <w:rFonts w:ascii="Palatino Linotype" w:hAnsi="Palatino Linotype" w:cs="Arial"/>
          <w:sz w:val="24"/>
          <w:szCs w:val="24"/>
        </w:rPr>
        <w:t xml:space="preserve">  </w:t>
      </w:r>
    </w:p>
    <w:p w14:paraId="5D47D623" w14:textId="439C9B9B" w:rsidR="00BD7607" w:rsidRDefault="00BD7607" w:rsidP="0035499E">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7456" behindDoc="0" locked="0" layoutInCell="1" allowOverlap="1" wp14:anchorId="59AEA21E" wp14:editId="281C6266">
            <wp:simplePos x="0" y="0"/>
            <wp:positionH relativeFrom="column">
              <wp:posOffset>-120806</wp:posOffset>
            </wp:positionH>
            <wp:positionV relativeFrom="paragraph">
              <wp:posOffset>955232</wp:posOffset>
            </wp:positionV>
            <wp:extent cx="5753100" cy="3590925"/>
            <wp:effectExtent l="19050" t="19050" r="19050" b="28575"/>
            <wp:wrapThrough wrapText="bothSides">
              <wp:wrapPolygon edited="0">
                <wp:start x="-72" y="-115"/>
                <wp:lineTo x="-72" y="21657"/>
                <wp:lineTo x="21600" y="21657"/>
                <wp:lineTo x="21600" y="-115"/>
                <wp:lineTo x="-72" y="-115"/>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590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szCs w:val="24"/>
        </w:rPr>
        <w:t xml:space="preserve">Sirve de sustento las siguientes imágenes ilustrativas: </w:t>
      </w:r>
    </w:p>
    <w:p w14:paraId="4E7DB634" w14:textId="39D72D60" w:rsidR="00BD7607" w:rsidRDefault="00BD7607" w:rsidP="0035499E">
      <w:pPr>
        <w:spacing w:before="240" w:line="360" w:lineRule="auto"/>
        <w:ind w:right="72"/>
        <w:jc w:val="both"/>
        <w:rPr>
          <w:rFonts w:ascii="Palatino Linotype" w:hAnsi="Palatino Linotype" w:cs="Arial"/>
          <w:sz w:val="24"/>
          <w:szCs w:val="24"/>
        </w:rPr>
      </w:pPr>
    </w:p>
    <w:p w14:paraId="3AF2DE8A" w14:textId="62C7A723" w:rsidR="00BD7607" w:rsidRDefault="009B3615" w:rsidP="0035499E">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68480" behindDoc="0" locked="0" layoutInCell="1" allowOverlap="1" wp14:anchorId="282AD905" wp14:editId="73D8E49F">
            <wp:simplePos x="0" y="0"/>
            <wp:positionH relativeFrom="column">
              <wp:posOffset>3972560</wp:posOffset>
            </wp:positionH>
            <wp:positionV relativeFrom="paragraph">
              <wp:posOffset>294005</wp:posOffset>
            </wp:positionV>
            <wp:extent cx="1470660" cy="914400"/>
            <wp:effectExtent l="19050" t="19050" r="15240" b="19050"/>
            <wp:wrapThrough wrapText="bothSides">
              <wp:wrapPolygon edited="0">
                <wp:start x="-280" y="-450"/>
                <wp:lineTo x="-280" y="21600"/>
                <wp:lineTo x="21544" y="21600"/>
                <wp:lineTo x="21544" y="-450"/>
                <wp:lineTo x="-280" y="-45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0660"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69504" behindDoc="0" locked="0" layoutInCell="1" allowOverlap="1" wp14:anchorId="0608F2FA" wp14:editId="2063E1D4">
            <wp:simplePos x="0" y="0"/>
            <wp:positionH relativeFrom="column">
              <wp:posOffset>248453</wp:posOffset>
            </wp:positionH>
            <wp:positionV relativeFrom="paragraph">
              <wp:posOffset>303722</wp:posOffset>
            </wp:positionV>
            <wp:extent cx="1471229" cy="914400"/>
            <wp:effectExtent l="19050" t="19050" r="15240" b="19050"/>
            <wp:wrapThrough wrapText="bothSides">
              <wp:wrapPolygon edited="0">
                <wp:start x="-280" y="-450"/>
                <wp:lineTo x="-280" y="21600"/>
                <wp:lineTo x="21544" y="21600"/>
                <wp:lineTo x="21544" y="-450"/>
                <wp:lineTo x="-280" y="-45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1229"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70528" behindDoc="0" locked="0" layoutInCell="1" allowOverlap="1" wp14:anchorId="7F1EB5A8" wp14:editId="390C9D3C">
            <wp:simplePos x="0" y="0"/>
            <wp:positionH relativeFrom="column">
              <wp:posOffset>2275205</wp:posOffset>
            </wp:positionH>
            <wp:positionV relativeFrom="paragraph">
              <wp:posOffset>62865</wp:posOffset>
            </wp:positionV>
            <wp:extent cx="1127760" cy="1535430"/>
            <wp:effectExtent l="19050" t="19050" r="15240" b="26670"/>
            <wp:wrapThrough wrapText="bothSides">
              <wp:wrapPolygon edited="0">
                <wp:start x="-365" y="-268"/>
                <wp:lineTo x="-365" y="21707"/>
                <wp:lineTo x="21527" y="21707"/>
                <wp:lineTo x="21527" y="-268"/>
                <wp:lineTo x="-365" y="-268"/>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760" cy="1535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5023A3" w14:textId="73E86692" w:rsidR="00BD7607" w:rsidRDefault="00BD7607" w:rsidP="0035499E">
      <w:pPr>
        <w:spacing w:before="240" w:line="360" w:lineRule="auto"/>
        <w:ind w:right="72"/>
        <w:jc w:val="both"/>
        <w:rPr>
          <w:rFonts w:ascii="Palatino Linotype" w:hAnsi="Palatino Linotype" w:cs="Arial"/>
          <w:sz w:val="24"/>
          <w:szCs w:val="24"/>
        </w:rPr>
      </w:pPr>
    </w:p>
    <w:p w14:paraId="10F773C5" w14:textId="4829C19F" w:rsidR="00BD7607" w:rsidRDefault="00BD7607" w:rsidP="0035499E">
      <w:pPr>
        <w:spacing w:before="240" w:line="360" w:lineRule="auto"/>
        <w:ind w:right="72"/>
        <w:jc w:val="both"/>
        <w:rPr>
          <w:rFonts w:ascii="Palatino Linotype" w:hAnsi="Palatino Linotype" w:cs="Arial"/>
          <w:sz w:val="24"/>
          <w:szCs w:val="24"/>
        </w:rPr>
      </w:pPr>
    </w:p>
    <w:p w14:paraId="211B5DE5" w14:textId="77777777" w:rsidR="009B3615" w:rsidRDefault="009B3615" w:rsidP="00F66CC7">
      <w:pPr>
        <w:autoSpaceDE w:val="0"/>
        <w:autoSpaceDN w:val="0"/>
        <w:adjustRightInd w:val="0"/>
        <w:spacing w:after="0" w:line="360" w:lineRule="auto"/>
        <w:jc w:val="both"/>
      </w:pPr>
    </w:p>
    <w:p w14:paraId="31EDD563" w14:textId="77777777" w:rsidR="009B3615" w:rsidRDefault="009B3615" w:rsidP="00F66CC7">
      <w:pPr>
        <w:autoSpaceDE w:val="0"/>
        <w:autoSpaceDN w:val="0"/>
        <w:adjustRightInd w:val="0"/>
        <w:spacing w:after="0" w:line="360" w:lineRule="auto"/>
        <w:jc w:val="both"/>
      </w:pPr>
    </w:p>
    <w:p w14:paraId="0C1FFD7A" w14:textId="77777777" w:rsidR="009B3615" w:rsidRDefault="009B3615" w:rsidP="00F66CC7">
      <w:pPr>
        <w:autoSpaceDE w:val="0"/>
        <w:autoSpaceDN w:val="0"/>
        <w:adjustRightInd w:val="0"/>
        <w:spacing w:after="0" w:line="360" w:lineRule="auto"/>
        <w:jc w:val="both"/>
      </w:pPr>
    </w:p>
    <w:p w14:paraId="424BE1E0" w14:textId="77777777" w:rsidR="009B3615" w:rsidRDefault="009B3615" w:rsidP="00F66CC7">
      <w:pPr>
        <w:autoSpaceDE w:val="0"/>
        <w:autoSpaceDN w:val="0"/>
        <w:adjustRightInd w:val="0"/>
        <w:spacing w:after="0" w:line="360" w:lineRule="auto"/>
        <w:jc w:val="both"/>
      </w:pPr>
    </w:p>
    <w:p w14:paraId="61FC9F62" w14:textId="13173F2D" w:rsidR="009B3615" w:rsidRDefault="009B3615" w:rsidP="00F66CC7">
      <w:pPr>
        <w:autoSpaceDE w:val="0"/>
        <w:autoSpaceDN w:val="0"/>
        <w:adjustRightInd w:val="0"/>
        <w:spacing w:after="0" w:line="360" w:lineRule="auto"/>
        <w:jc w:val="both"/>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Dirección de Administración, así como de la Dirección de Servicios Públicos. En este tenor, resulta aplicable el artículo 95, fracciones I, IV, V y VI de la Ley Orgánica Municipal del Estado de México, así como </w:t>
      </w:r>
      <w:r w:rsidR="009A043D">
        <w:rPr>
          <w:rFonts w:ascii="Palatino Linotype" w:hAnsi="Palatino Linotype" w:cs="Arial"/>
          <w:sz w:val="24"/>
          <w:szCs w:val="24"/>
        </w:rPr>
        <w:t>los numerales 10, fracción XXVI, 70, 72, fracciones II y VII del Bando Municipal, porciones normativas que disponen a la literalidad lo siguiente:</w:t>
      </w:r>
    </w:p>
    <w:p w14:paraId="0B5ACB0F" w14:textId="77777777" w:rsidR="009B3615" w:rsidRPr="004020B1" w:rsidRDefault="009B3615" w:rsidP="009B3615">
      <w:pPr>
        <w:pStyle w:val="Citas"/>
        <w:jc w:val="center"/>
        <w:rPr>
          <w:b/>
        </w:rPr>
      </w:pPr>
      <w:r w:rsidRPr="004020B1">
        <w:rPr>
          <w:b/>
        </w:rPr>
        <w:t>Ley Orgánica Municipal del Estado de México</w:t>
      </w:r>
    </w:p>
    <w:p w14:paraId="352CA38A" w14:textId="77777777" w:rsidR="009B3615" w:rsidRDefault="009B3615" w:rsidP="009B3615">
      <w:pPr>
        <w:pStyle w:val="Citas"/>
      </w:pPr>
      <w:r>
        <w:t xml:space="preserve">“Artículo 95.- Son atribuciones del tesorero municipal: </w:t>
      </w:r>
    </w:p>
    <w:p w14:paraId="0C8ABB9B" w14:textId="77777777" w:rsidR="009B3615" w:rsidRDefault="009B3615" w:rsidP="009B3615">
      <w:pPr>
        <w:pStyle w:val="Citas"/>
      </w:pPr>
      <w:r>
        <w:t>I. Administrar la hacienda pública municipal, de conformidad con las disposiciones legales aplicables;</w:t>
      </w:r>
    </w:p>
    <w:p w14:paraId="414BCDF3" w14:textId="77777777" w:rsidR="009B3615" w:rsidRDefault="009B3615" w:rsidP="009B3615">
      <w:pPr>
        <w:pStyle w:val="Citas"/>
      </w:pPr>
      <w:r>
        <w:t>(…)</w:t>
      </w:r>
    </w:p>
    <w:p w14:paraId="1428B64D" w14:textId="77777777" w:rsidR="009B3615" w:rsidRPr="008E2BB5" w:rsidRDefault="009B3615" w:rsidP="009B3615">
      <w:pPr>
        <w:pStyle w:val="Citas"/>
        <w:rPr>
          <w:b/>
          <w:u w:val="single"/>
        </w:rPr>
      </w:pPr>
      <w:r w:rsidRPr="008E2BB5">
        <w:rPr>
          <w:b/>
          <w:u w:val="single"/>
        </w:rPr>
        <w:lastRenderedPageBreak/>
        <w:t xml:space="preserve">IV. Llevar los registros contables, financieros y administrativos de los ingresos, egresos, e inventarios; </w:t>
      </w:r>
    </w:p>
    <w:p w14:paraId="78E66556" w14:textId="77777777" w:rsidR="009B3615" w:rsidRDefault="009B3615" w:rsidP="009B3615">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39CA8B61" w14:textId="77777777" w:rsidR="009B3615" w:rsidRDefault="009B3615" w:rsidP="009B3615">
      <w:pPr>
        <w:pStyle w:val="Citas"/>
      </w:pPr>
      <w:r>
        <w:t>VI. Presentar anualmente al ayuntamiento un informe de la situación contable financiera de la Tesorería Municipal;</w:t>
      </w:r>
    </w:p>
    <w:p w14:paraId="2A51DAE3" w14:textId="77777777" w:rsidR="009B3615" w:rsidRPr="004020B1" w:rsidRDefault="009B3615" w:rsidP="009B3615">
      <w:pPr>
        <w:pStyle w:val="Citas"/>
        <w:rPr>
          <w:b/>
        </w:rPr>
      </w:pPr>
      <w:r>
        <w:t xml:space="preserve">(…)” </w:t>
      </w:r>
      <w:r>
        <w:rPr>
          <w:b/>
        </w:rPr>
        <w:t xml:space="preserve">[Sic] </w:t>
      </w:r>
    </w:p>
    <w:p w14:paraId="337B58E1" w14:textId="77777777" w:rsidR="009B3615" w:rsidRDefault="009B3615" w:rsidP="00F66CC7">
      <w:pPr>
        <w:autoSpaceDE w:val="0"/>
        <w:autoSpaceDN w:val="0"/>
        <w:adjustRightInd w:val="0"/>
        <w:spacing w:after="0" w:line="360" w:lineRule="auto"/>
        <w:jc w:val="both"/>
      </w:pPr>
    </w:p>
    <w:p w14:paraId="4573F59C" w14:textId="77777777" w:rsidR="009B3615" w:rsidRDefault="009B3615" w:rsidP="00F66CC7">
      <w:pPr>
        <w:autoSpaceDE w:val="0"/>
        <w:autoSpaceDN w:val="0"/>
        <w:adjustRightInd w:val="0"/>
        <w:spacing w:after="0" w:line="360" w:lineRule="auto"/>
        <w:jc w:val="both"/>
      </w:pPr>
    </w:p>
    <w:p w14:paraId="4E2A1231" w14:textId="537A70F1" w:rsidR="009B3615" w:rsidRPr="004020B1" w:rsidRDefault="009B3615" w:rsidP="009B3615">
      <w:pPr>
        <w:pStyle w:val="Citas"/>
        <w:jc w:val="center"/>
        <w:rPr>
          <w:b/>
        </w:rPr>
      </w:pPr>
      <w:r>
        <w:rPr>
          <w:b/>
        </w:rPr>
        <w:t>Bando Municipal del Ayuntamiento de Teoloyucan</w:t>
      </w:r>
    </w:p>
    <w:p w14:paraId="1E0D8742" w14:textId="23DDE35B" w:rsidR="009B3615" w:rsidRDefault="009B3615" w:rsidP="009B3615">
      <w:pPr>
        <w:pStyle w:val="Citas"/>
      </w:pPr>
      <w:r>
        <w:t>“ARTÍCULO 10. Los fines del ayuntamiento de Teoloyucan son:</w:t>
      </w:r>
    </w:p>
    <w:p w14:paraId="2F8B0C6E" w14:textId="41F711F9" w:rsidR="009B3615" w:rsidRDefault="009B3615" w:rsidP="009B3615">
      <w:pPr>
        <w:pStyle w:val="Citas"/>
      </w:pPr>
      <w:r>
        <w:t>(…)</w:t>
      </w:r>
    </w:p>
    <w:p w14:paraId="3E796203" w14:textId="2B9662A5" w:rsidR="009B3615" w:rsidRDefault="009B3615" w:rsidP="009B3615">
      <w:pPr>
        <w:pStyle w:val="Citas"/>
      </w:pPr>
      <w:r>
        <w:t>XXVI. Revisar y actualizar la reglamentación municipal para ordenar la convivencia social, la prestación eficiente de los servicios públicos, preservar el bien común y dar efectiva protección a los derechos humanos de conformidad con los principios de universalidad, interdependencia, indivisibilidad y progresividad;</w:t>
      </w:r>
    </w:p>
    <w:p w14:paraId="43532850" w14:textId="07C322FF" w:rsidR="009B3615" w:rsidRDefault="009B3615" w:rsidP="009B3615">
      <w:pPr>
        <w:pStyle w:val="Citas"/>
      </w:pPr>
      <w:r>
        <w:t>(…)</w:t>
      </w:r>
    </w:p>
    <w:p w14:paraId="64223580" w14:textId="2A53FEC8" w:rsidR="009B3615" w:rsidRDefault="009B3615" w:rsidP="009B3615">
      <w:pPr>
        <w:pStyle w:val="Citas"/>
      </w:pPr>
      <w:r>
        <w:t xml:space="preserve">ARTÍCULO 70. Es facultad del ayuntamiento la creación, organización, administración, reglamentación, funcionamiento, conservación y explotación de los </w:t>
      </w:r>
      <w:r>
        <w:lastRenderedPageBreak/>
        <w:t>servicios públicos municipales, pudiendo coordinarse con el gobierno del estado para una mayor eficacia en su prestación.</w:t>
      </w:r>
    </w:p>
    <w:p w14:paraId="5A49838F" w14:textId="4A25F821" w:rsidR="008A7C2A" w:rsidRDefault="00BD7607" w:rsidP="009B3615">
      <w:pPr>
        <w:pStyle w:val="Citas"/>
      </w:pPr>
      <w:r>
        <w:t>ARTÍCULO 72. Son servicios públicos municipales los siguientes:</w:t>
      </w:r>
    </w:p>
    <w:p w14:paraId="76BFDAE6" w14:textId="6F204DEA" w:rsidR="00BD7607" w:rsidRDefault="00BD7607" w:rsidP="009B3615">
      <w:pPr>
        <w:pStyle w:val="Citas"/>
      </w:pPr>
      <w:r>
        <w:t>(…)</w:t>
      </w:r>
    </w:p>
    <w:p w14:paraId="6085AAB5" w14:textId="34B5548A" w:rsidR="00BD7607" w:rsidRPr="009B3615" w:rsidRDefault="00BD7607" w:rsidP="009B3615">
      <w:pPr>
        <w:pStyle w:val="Citas"/>
        <w:rPr>
          <w:b/>
          <w:u w:val="single"/>
        </w:rPr>
      </w:pPr>
      <w:r w:rsidRPr="009B3615">
        <w:rPr>
          <w:b/>
          <w:u w:val="single"/>
        </w:rPr>
        <w:t>II. Alumbrado público;</w:t>
      </w:r>
    </w:p>
    <w:p w14:paraId="2B7905FB" w14:textId="48AC00ED" w:rsidR="00BD7607" w:rsidRDefault="00BD7607" w:rsidP="009B3615">
      <w:pPr>
        <w:pStyle w:val="Citas"/>
      </w:pPr>
      <w:r>
        <w:t>(…)</w:t>
      </w:r>
    </w:p>
    <w:p w14:paraId="72407734" w14:textId="3A6058B4" w:rsidR="00BD7607" w:rsidRPr="009B3615" w:rsidRDefault="00BD7607" w:rsidP="009B3615">
      <w:pPr>
        <w:pStyle w:val="Citas"/>
        <w:rPr>
          <w:b/>
          <w:u w:val="single"/>
        </w:rPr>
      </w:pPr>
      <w:r w:rsidRPr="009B3615">
        <w:rPr>
          <w:b/>
          <w:u w:val="single"/>
        </w:rPr>
        <w:t>VII. Calles, parques, jardines, áreas verdes y recreativas;</w:t>
      </w:r>
    </w:p>
    <w:p w14:paraId="21D1413C" w14:textId="7156F185" w:rsidR="00BD7607" w:rsidRPr="009B3615" w:rsidRDefault="00BD7607" w:rsidP="009B3615">
      <w:pPr>
        <w:pStyle w:val="Citas"/>
        <w:rPr>
          <w:b/>
        </w:rPr>
      </w:pPr>
      <w:r>
        <w:t>(…)</w:t>
      </w:r>
      <w:r w:rsidR="009B3615">
        <w:t xml:space="preserve">” </w:t>
      </w:r>
      <w:r w:rsidR="009B3615">
        <w:rPr>
          <w:b/>
        </w:rPr>
        <w:t>[Sic]</w:t>
      </w:r>
    </w:p>
    <w:p w14:paraId="60451512" w14:textId="0A76C97C" w:rsidR="00BD7607" w:rsidRDefault="00BD760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FEA2BD" w14:textId="7E5396A5" w:rsidR="009B3615" w:rsidRDefault="009B3615" w:rsidP="009B361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Dirección de Administración, de la Tesorería Municipal, así como de la Dirección de Servicios Públicos,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w:t>
      </w:r>
      <w:r w:rsidR="004D6F69">
        <w:rPr>
          <w:rFonts w:ascii="Palatino Linotype" w:hAnsi="Palatino Linotype" w:cs="Arial"/>
          <w:noProof/>
          <w:color w:val="000000"/>
          <w:sz w:val="24"/>
          <w:lang w:eastAsia="es-MX"/>
        </w:rPr>
        <w:t>los</w:t>
      </w:r>
      <w:r>
        <w:rPr>
          <w:rFonts w:ascii="Palatino Linotype" w:hAnsi="Palatino Linotype" w:cs="Arial"/>
          <w:noProof/>
          <w:color w:val="000000"/>
          <w:sz w:val="24"/>
          <w:lang w:eastAsia="es-MX"/>
        </w:rPr>
        <w:t xml:space="preserve"> requerimiento</w:t>
      </w:r>
      <w:r w:rsidR="004D6F69">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formulado</w:t>
      </w:r>
      <w:r w:rsidR="004D6F69">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por el particular. Lo anterior en razón de que sus esferas competenciales los constriñe a generar, poseer y administrar los soportes documentales requeridos por el ciudadano. </w:t>
      </w:r>
    </w:p>
    <w:p w14:paraId="5F576361" w14:textId="77777777" w:rsidR="00264588" w:rsidRPr="004D6F69" w:rsidRDefault="00264588" w:rsidP="00264588">
      <w:pPr>
        <w:autoSpaceDE w:val="0"/>
        <w:autoSpaceDN w:val="0"/>
        <w:adjustRightInd w:val="0"/>
        <w:spacing w:before="240" w:line="360" w:lineRule="auto"/>
        <w:jc w:val="both"/>
        <w:rPr>
          <w:rFonts w:ascii="Palatino Linotype" w:hAnsi="Palatino Linotype" w:cs="Arial"/>
          <w:sz w:val="24"/>
          <w:szCs w:val="24"/>
        </w:rPr>
      </w:pPr>
      <w:r w:rsidRPr="004D6F69">
        <w:rPr>
          <w:rFonts w:ascii="Palatino Linotype" w:eastAsia="Times New Roman" w:hAnsi="Palatino Linotype" w:cs="Arial"/>
          <w:sz w:val="24"/>
          <w:szCs w:val="24"/>
          <w:lang w:val="es-ES" w:eastAsia="es-ES"/>
        </w:rPr>
        <w:t xml:space="preserve">A mayor abundamiento, </w:t>
      </w:r>
      <w:r w:rsidRPr="004D6F69">
        <w:rPr>
          <w:rFonts w:ascii="Palatino Linotype" w:hAnsi="Palatino Linotype" w:cs="Arial"/>
          <w:color w:val="000000"/>
          <w:sz w:val="24"/>
          <w:szCs w:val="24"/>
          <w:lang w:val="es-ES_tradnl"/>
        </w:rPr>
        <w:t xml:space="preserve">se precisa que la adjudicación de adquisiciones, arrendamientos o servicios </w:t>
      </w:r>
      <w:r w:rsidRPr="004D6F69">
        <w:rPr>
          <w:rFonts w:ascii="Palatino Linotype" w:hAnsi="Palatino Linotype" w:cs="Arial"/>
          <w:b/>
          <w:color w:val="000000"/>
          <w:sz w:val="24"/>
          <w:szCs w:val="24"/>
          <w:u w:val="single"/>
          <w:lang w:val="es-ES_tradnl"/>
        </w:rPr>
        <w:t>se subordina al principio de licitación pública y excepcionalmente a la invitación restringida,</w:t>
      </w:r>
      <w:r w:rsidRPr="004D6F69">
        <w:rPr>
          <w:rFonts w:ascii="Palatino Linotype" w:hAnsi="Palatino Linotype" w:cs="Arial"/>
          <w:color w:val="000000"/>
          <w:sz w:val="24"/>
          <w:szCs w:val="24"/>
          <w:lang w:val="es-ES_tradnl"/>
        </w:rPr>
        <w:t xml:space="preserve"> </w:t>
      </w:r>
      <w:r w:rsidRPr="004D6F69">
        <w:rPr>
          <w:rFonts w:ascii="Palatino Linotype" w:hAnsi="Palatino Linotype" w:cs="Arial"/>
          <w:b/>
          <w:color w:val="000000"/>
          <w:sz w:val="24"/>
          <w:szCs w:val="24"/>
          <w:u w:val="single"/>
          <w:lang w:val="es-ES_tradnl"/>
        </w:rPr>
        <w:t>así como a la adjudicación directa.</w:t>
      </w:r>
      <w:r w:rsidRPr="004D6F69">
        <w:rPr>
          <w:rFonts w:ascii="Palatino Linotype" w:hAnsi="Palatino Linotype" w:cs="Arial"/>
          <w:color w:val="000000"/>
          <w:sz w:val="24"/>
          <w:szCs w:val="24"/>
          <w:lang w:val="es-ES_tradnl"/>
        </w:rPr>
        <w:t xml:space="preserve"> Asimismo, en dicho proceso, participará un Comité de Adquisiciones y Servicios, el cual se nutre por representantes de múltiples unidades administrativas, en términos </w:t>
      </w:r>
      <w:r w:rsidRPr="004D6F69">
        <w:rPr>
          <w:rFonts w:ascii="Palatino Linotype" w:hAnsi="Palatino Linotype" w:cs="Arial"/>
          <w:color w:val="000000"/>
          <w:sz w:val="24"/>
          <w:szCs w:val="24"/>
          <w:lang w:val="es-ES_tradnl"/>
        </w:rPr>
        <w:lastRenderedPageBreak/>
        <w:t xml:space="preserve">de </w:t>
      </w:r>
      <w:r w:rsidRPr="004D6F69">
        <w:rPr>
          <w:rFonts w:ascii="Palatino Linotype" w:hAnsi="Palatino Linotype" w:cs="Arial"/>
          <w:b/>
          <w:sz w:val="24"/>
          <w:szCs w:val="24"/>
        </w:rPr>
        <w:t xml:space="preserve">, </w:t>
      </w:r>
      <w:r w:rsidRPr="004D6F69">
        <w:rPr>
          <w:rFonts w:ascii="Palatino Linotype" w:hAnsi="Palatino Linotype" w:cs="Arial"/>
          <w:sz w:val="24"/>
          <w:szCs w:val="24"/>
        </w:rPr>
        <w:t xml:space="preserve">los numerales 26 y 27 de la Ley de Contratación Pública del Estado de México; así como los artículos 43 y 44 del Reglamento de la Ley de Contratación Pública del Estado de México; porciones normativas que disponen a la literalidad lo siguiente: </w:t>
      </w:r>
    </w:p>
    <w:p w14:paraId="3A944D30" w14:textId="77777777" w:rsidR="00264588" w:rsidRPr="00AA7EDD" w:rsidRDefault="00264588" w:rsidP="00264588">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6661EDCC" w14:textId="77777777" w:rsidR="00264588" w:rsidRPr="002D0587" w:rsidRDefault="00264588" w:rsidP="00264588">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55EC9043" w14:textId="77777777" w:rsidR="00264588" w:rsidRPr="002D0587" w:rsidRDefault="00264588" w:rsidP="00264588">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6F673C6B" w14:textId="77777777" w:rsidR="00264588" w:rsidRPr="002D0587" w:rsidRDefault="00264588" w:rsidP="00264588">
      <w:pPr>
        <w:pStyle w:val="Prrafodelista"/>
        <w:numPr>
          <w:ilvl w:val="0"/>
          <w:numId w:val="22"/>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6685CC28" w14:textId="77777777" w:rsidR="00264588" w:rsidRPr="002D0587" w:rsidRDefault="00264588" w:rsidP="00264588">
      <w:pPr>
        <w:pStyle w:val="Prrafodelista"/>
        <w:numPr>
          <w:ilvl w:val="0"/>
          <w:numId w:val="22"/>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35F5FAF7" w14:textId="77777777" w:rsidR="00264588" w:rsidRDefault="00264588" w:rsidP="00264588">
      <w:pPr>
        <w:spacing w:after="0" w:line="360" w:lineRule="auto"/>
        <w:jc w:val="both"/>
        <w:rPr>
          <w:rFonts w:ascii="Palatino Linotype" w:hAnsi="Palatino Linotype" w:cs="Arial"/>
          <w:sz w:val="24"/>
          <w:szCs w:val="24"/>
        </w:rPr>
      </w:pPr>
    </w:p>
    <w:p w14:paraId="38A9A6CE" w14:textId="77777777" w:rsidR="00264588" w:rsidRPr="00AA7EDD" w:rsidRDefault="00264588" w:rsidP="00264588">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5F70F4D7" w14:textId="77777777" w:rsidR="00264588" w:rsidRDefault="00264588" w:rsidP="00264588">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0B6DCB4D" w14:textId="77777777" w:rsidR="00264588" w:rsidRPr="00AA7EDD" w:rsidRDefault="00264588" w:rsidP="00264588">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0E1D11BB" w14:textId="77777777" w:rsidR="00264588" w:rsidRPr="00E07D1E" w:rsidRDefault="00264588" w:rsidP="00264588">
      <w:pPr>
        <w:pStyle w:val="Prrafodelista"/>
        <w:numPr>
          <w:ilvl w:val="0"/>
          <w:numId w:val="23"/>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lastRenderedPageBreak/>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0C3DF4B9" w14:textId="77777777" w:rsidR="00264588" w:rsidRPr="00AA7EDD" w:rsidRDefault="00264588" w:rsidP="00264588">
      <w:pPr>
        <w:pStyle w:val="Prrafodelista"/>
        <w:numPr>
          <w:ilvl w:val="0"/>
          <w:numId w:val="23"/>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3FE2231E" w14:textId="77777777" w:rsidR="00264588" w:rsidRPr="00AA7EDD" w:rsidRDefault="00264588" w:rsidP="00264588">
      <w:pPr>
        <w:pStyle w:val="Prrafodelista"/>
        <w:numPr>
          <w:ilvl w:val="0"/>
          <w:numId w:val="23"/>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6169FB6E" w14:textId="77777777" w:rsidR="00264588" w:rsidRPr="00AA7EDD" w:rsidRDefault="00264588" w:rsidP="00264588">
      <w:pPr>
        <w:pStyle w:val="Prrafodelista"/>
        <w:numPr>
          <w:ilvl w:val="0"/>
          <w:numId w:val="23"/>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39DF9A61" w14:textId="77777777" w:rsidR="00264588" w:rsidRPr="00AA7EDD" w:rsidRDefault="00264588" w:rsidP="00264588">
      <w:pPr>
        <w:pStyle w:val="Prrafodelista"/>
        <w:numPr>
          <w:ilvl w:val="0"/>
          <w:numId w:val="23"/>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523258E6" w14:textId="77777777" w:rsidR="00264588" w:rsidRPr="00AA7EDD" w:rsidRDefault="00264588" w:rsidP="00264588">
      <w:pPr>
        <w:pStyle w:val="Prrafodelista"/>
        <w:numPr>
          <w:ilvl w:val="0"/>
          <w:numId w:val="23"/>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70894B57" w14:textId="77777777" w:rsidR="00264588" w:rsidRPr="00AA7EDD" w:rsidRDefault="00264588" w:rsidP="0026458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5E1C3600" w14:textId="77777777" w:rsidR="00264588" w:rsidRPr="00AA7EDD" w:rsidRDefault="00264588" w:rsidP="0026458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7B507F54" w14:textId="77777777" w:rsidR="00264588" w:rsidRPr="00AA7EDD" w:rsidRDefault="00264588" w:rsidP="0026458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5A31B7D8" w14:textId="77777777" w:rsidR="00264588" w:rsidRPr="00AA7EDD" w:rsidRDefault="00264588" w:rsidP="0026458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4066BCE6" w14:textId="77777777" w:rsidR="00264588" w:rsidRPr="00AA7EDD" w:rsidRDefault="00264588" w:rsidP="00264588">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57F2DB7D" w14:textId="4792ECEB" w:rsidR="00264588" w:rsidRDefault="00264588" w:rsidP="00264588">
      <w:pPr>
        <w:pStyle w:val="Sinespaciado"/>
        <w:spacing w:line="360" w:lineRule="auto"/>
        <w:jc w:val="both"/>
        <w:rPr>
          <w:rFonts w:ascii="Palatino Linotype" w:hAnsi="Palatino Linotype" w:cs="Arial"/>
          <w:color w:val="000000"/>
          <w:lang w:val="es-ES_tradnl"/>
        </w:rPr>
      </w:pPr>
    </w:p>
    <w:p w14:paraId="5B7F16F3" w14:textId="7AB4CCE4" w:rsidR="00264588" w:rsidRPr="00AA7EDD" w:rsidRDefault="00264588" w:rsidP="00264588">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35A0566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3204785" w14:textId="77777777" w:rsidR="00264588" w:rsidRPr="00E66BD3" w:rsidRDefault="00264588" w:rsidP="0026458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864B4C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78DD22" w14:textId="77777777" w:rsidR="00264588" w:rsidRPr="00E66BD3" w:rsidRDefault="00264588" w:rsidP="0026458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9C85831" w14:textId="77777777" w:rsidR="00264588" w:rsidRPr="00E66BD3" w:rsidRDefault="00264588" w:rsidP="0026458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65EC0692"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2AC506C7"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63A1BDCF"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4EFB8CE8"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235990E7"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3E18A19E"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51FD10F9" w14:textId="77777777" w:rsidR="00264588" w:rsidRPr="00973708" w:rsidRDefault="00264588" w:rsidP="00264588">
      <w:pPr>
        <w:spacing w:before="240" w:line="360" w:lineRule="auto"/>
        <w:ind w:left="851" w:right="851"/>
        <w:jc w:val="both"/>
        <w:rPr>
          <w:rFonts w:ascii="Palatino Linotype" w:hAnsi="Palatino Linotype"/>
          <w:b/>
          <w:i/>
          <w:u w:val="single"/>
        </w:rPr>
      </w:pPr>
      <w:r w:rsidRPr="00973708">
        <w:rPr>
          <w:rFonts w:ascii="Palatino Linotype" w:hAnsi="Palatino Linotype"/>
          <w:b/>
          <w:i/>
          <w:u w:val="single"/>
        </w:rPr>
        <w:t xml:space="preserve">7) El contrato y, en su caso, sus anexos; </w:t>
      </w:r>
    </w:p>
    <w:p w14:paraId="748113D8"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16E33B2F"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9) La partida presupuestal, de conformidad con el clasificador por objeto del gasto, en el caso de ser aplicable; </w:t>
      </w:r>
    </w:p>
    <w:p w14:paraId="26623B57"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218B341A" w14:textId="77777777" w:rsidR="00264588" w:rsidRPr="00264588" w:rsidRDefault="00264588" w:rsidP="00264588">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11) Los convenios modificatorios que, en su caso, sean firmados, precisando el objeto y la fecha de celebración;</w:t>
      </w:r>
    </w:p>
    <w:p w14:paraId="745A8576"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4FBEECAA"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6A8A05B4" w14:textId="77777777" w:rsidR="00264588" w:rsidRPr="00E66BD3" w:rsidRDefault="00264588" w:rsidP="00264588">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4C09C353"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2D972770"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1AD0B6D3"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54028CE6" w14:textId="77777777" w:rsidR="00264588" w:rsidRPr="00264588" w:rsidRDefault="00264588" w:rsidP="00264588">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 xml:space="preserve">4) En su caso, las cotizaciones consideradas, especificando los nombres de los proveedores y sus montos; </w:t>
      </w:r>
    </w:p>
    <w:p w14:paraId="00E44201"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4FC4C9C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4B7E821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4F5239C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208027D8"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6F85500C" w14:textId="77777777" w:rsidR="00264588" w:rsidRPr="00E66BD3" w:rsidRDefault="00264588" w:rsidP="00264588">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685CE09B" w14:textId="77777777" w:rsidR="00264588" w:rsidRDefault="00264588" w:rsidP="00264588">
      <w:pPr>
        <w:spacing w:before="240" w:line="360" w:lineRule="auto"/>
        <w:ind w:left="851" w:right="851"/>
        <w:jc w:val="both"/>
        <w:rPr>
          <w:rFonts w:ascii="Palatino Linotype" w:hAnsi="Palatino Linotype"/>
          <w:i/>
        </w:rPr>
      </w:pPr>
      <w:r>
        <w:rPr>
          <w:rFonts w:ascii="Palatino Linotype" w:hAnsi="Palatino Linotype"/>
          <w:i/>
        </w:rPr>
        <w:t>11) El finiquito.</w:t>
      </w:r>
    </w:p>
    <w:p w14:paraId="4E218B13" w14:textId="45D81807" w:rsidR="00264588" w:rsidRPr="00264588" w:rsidRDefault="00264588" w:rsidP="00264588">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175D5F41" w14:textId="77777777" w:rsidR="00264588" w:rsidRDefault="00264588" w:rsidP="00264588">
      <w:pPr>
        <w:pStyle w:val="infoemcitas"/>
        <w:tabs>
          <w:tab w:val="left" w:pos="7655"/>
        </w:tabs>
        <w:ind w:left="0" w:right="0"/>
        <w:rPr>
          <w:i w:val="0"/>
          <w:sz w:val="24"/>
          <w:szCs w:val="24"/>
        </w:rPr>
      </w:pPr>
    </w:p>
    <w:p w14:paraId="21ED5B28" w14:textId="77777777" w:rsidR="00264588" w:rsidRDefault="00264588" w:rsidP="00264588">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29CEE43A" w14:textId="77777777" w:rsidR="00264588" w:rsidRDefault="00384308" w:rsidP="00264588">
      <w:pPr>
        <w:pStyle w:val="INFOEM"/>
        <w:tabs>
          <w:tab w:val="left" w:pos="8080"/>
        </w:tabs>
        <w:ind w:left="0" w:right="0"/>
        <w:rPr>
          <w:rStyle w:val="Hipervnculo"/>
          <w:i w:val="0"/>
          <w:sz w:val="24"/>
          <w:szCs w:val="24"/>
        </w:rPr>
      </w:pPr>
      <w:hyperlink r:id="rId13" w:history="1">
        <w:r w:rsidR="00264588" w:rsidRPr="00B12E7A">
          <w:rPr>
            <w:rStyle w:val="Hipervnculo"/>
            <w:i w:val="0"/>
            <w:sz w:val="24"/>
            <w:szCs w:val="24"/>
          </w:rPr>
          <w:t>https://www.infoem.org.mx/es/contenido/transparencia/directorio-de-sujetos-obligados</w:t>
        </w:r>
      </w:hyperlink>
    </w:p>
    <w:p w14:paraId="40699ED1" w14:textId="68C1CFF0" w:rsidR="00264588" w:rsidRDefault="00264588" w:rsidP="00264588">
      <w:pPr>
        <w:pStyle w:val="Sinespaciado"/>
        <w:spacing w:line="360" w:lineRule="auto"/>
        <w:jc w:val="both"/>
        <w:rPr>
          <w:rFonts w:ascii="Palatino Linotype" w:hAnsi="Palatino Linotype" w:cs="Arial"/>
          <w:color w:val="000000"/>
          <w:lang w:val="es-ES_tradnl"/>
        </w:rPr>
      </w:pPr>
      <w:r>
        <w:rPr>
          <w:rFonts w:ascii="Palatino Linotype" w:hAnsi="Palatino Linotype" w:cs="Arial"/>
          <w:noProof/>
          <w:color w:val="000000"/>
          <w:lang w:eastAsia="es-MX"/>
        </w:rPr>
        <mc:AlternateContent>
          <mc:Choice Requires="wps">
            <w:drawing>
              <wp:anchor distT="0" distB="0" distL="114300" distR="114300" simplePos="0" relativeHeight="251671552" behindDoc="0" locked="0" layoutInCell="1" allowOverlap="1" wp14:anchorId="6E532238" wp14:editId="2292DD03">
                <wp:simplePos x="0" y="0"/>
                <wp:positionH relativeFrom="column">
                  <wp:posOffset>-139857</wp:posOffset>
                </wp:positionH>
                <wp:positionV relativeFrom="paragraph">
                  <wp:posOffset>152914</wp:posOffset>
                </wp:positionV>
                <wp:extent cx="5995359" cy="2518913"/>
                <wp:effectExtent l="0" t="0" r="24765" b="34290"/>
                <wp:wrapNone/>
                <wp:docPr id="12" name="Conector recto 12"/>
                <wp:cNvGraphicFramePr/>
                <a:graphic xmlns:a="http://schemas.openxmlformats.org/drawingml/2006/main">
                  <a:graphicData uri="http://schemas.microsoft.com/office/word/2010/wordprocessingShape">
                    <wps:wsp>
                      <wps:cNvCnPr/>
                      <wps:spPr>
                        <a:xfrm>
                          <a:off x="0" y="0"/>
                          <a:ext cx="5995359" cy="25189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30F32" id="Conector recto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pt,12.05pt" to="461.1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" strokecolor="#5b9bd5 [3204]" strokeweight=".5pt">
                <v:stroke joinstyle="miter"/>
              </v:line>
            </w:pict>
          </mc:Fallback>
        </mc:AlternateContent>
      </w:r>
    </w:p>
    <w:p w14:paraId="078258F7" w14:textId="02D8EB9F"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9BB474" w14:textId="77777777"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668CE0" w14:textId="77777777"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3732D5" w14:textId="77777777"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A5FDD5" w14:textId="77777777"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078FCD" w14:textId="77777777" w:rsidR="002203B1" w:rsidRDefault="002203B1"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3576FB" w14:textId="77777777" w:rsidR="00264588" w:rsidRDefault="00264588"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p>
    <w:p w14:paraId="5922728B" w14:textId="1038C186" w:rsidR="00264588" w:rsidRDefault="00E17B3E"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5648" behindDoc="0" locked="0" layoutInCell="1" allowOverlap="1" wp14:anchorId="1DAE578C" wp14:editId="6C64F6C3">
            <wp:simplePos x="0" y="0"/>
            <wp:positionH relativeFrom="column">
              <wp:posOffset>22860</wp:posOffset>
            </wp:positionH>
            <wp:positionV relativeFrom="paragraph">
              <wp:posOffset>3637915</wp:posOffset>
            </wp:positionV>
            <wp:extent cx="5753735" cy="3418840"/>
            <wp:effectExtent l="19050" t="19050" r="18415" b="10160"/>
            <wp:wrapThrough wrapText="bothSides">
              <wp:wrapPolygon edited="0">
                <wp:start x="-72" y="-120"/>
                <wp:lineTo x="-72" y="21544"/>
                <wp:lineTo x="21598" y="21544"/>
                <wp:lineTo x="21598" y="-120"/>
                <wp:lineTo x="-72" y="-12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73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674624" behindDoc="0" locked="0" layoutInCell="1" allowOverlap="1" wp14:anchorId="41DB3580" wp14:editId="02413DCE">
            <wp:simplePos x="0" y="0"/>
            <wp:positionH relativeFrom="column">
              <wp:posOffset>22860</wp:posOffset>
            </wp:positionH>
            <wp:positionV relativeFrom="paragraph">
              <wp:posOffset>22225</wp:posOffset>
            </wp:positionV>
            <wp:extent cx="5753735" cy="3418840"/>
            <wp:effectExtent l="19050" t="19050" r="18415" b="10160"/>
            <wp:wrapThrough wrapText="bothSides">
              <wp:wrapPolygon edited="0">
                <wp:start x="-72" y="-120"/>
                <wp:lineTo x="-72" y="21544"/>
                <wp:lineTo x="21598" y="21544"/>
                <wp:lineTo x="21598" y="-120"/>
                <wp:lineTo x="-72" y="-12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73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99125FA" w14:textId="01541D24" w:rsidR="00264588" w:rsidRDefault="00E17B3E"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6672" behindDoc="0" locked="0" layoutInCell="1" allowOverlap="1" wp14:anchorId="1ED98769" wp14:editId="7141A74C">
            <wp:simplePos x="0" y="0"/>
            <wp:positionH relativeFrom="column">
              <wp:posOffset>-134620</wp:posOffset>
            </wp:positionH>
            <wp:positionV relativeFrom="paragraph">
              <wp:posOffset>53340</wp:posOffset>
            </wp:positionV>
            <wp:extent cx="5745480" cy="3418840"/>
            <wp:effectExtent l="19050" t="19050" r="26670" b="10160"/>
            <wp:wrapThrough wrapText="bothSides">
              <wp:wrapPolygon edited="0">
                <wp:start x="-72" y="-120"/>
                <wp:lineTo x="-72" y="21544"/>
                <wp:lineTo x="21629" y="21544"/>
                <wp:lineTo x="21629" y="-120"/>
                <wp:lineTo x="-72" y="-12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5480"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92B449F" w14:textId="1F70DAA3" w:rsidR="00264588" w:rsidRPr="00E17B3E" w:rsidRDefault="00F0057D"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p>
    <w:p w14:paraId="1D3C1020" w14:textId="6F022368" w:rsidR="008C79F3" w:rsidRPr="00E17B3E" w:rsidRDefault="008C79F3" w:rsidP="008C79F3">
      <w:pPr>
        <w:tabs>
          <w:tab w:val="right" w:leader="dot" w:pos="8505"/>
        </w:tabs>
        <w:spacing w:before="240" w:after="240" w:line="360" w:lineRule="auto"/>
        <w:jc w:val="both"/>
        <w:rPr>
          <w:rFonts w:ascii="Palatino Linotype" w:hAnsi="Palatino Linotype" w:cs="Arial"/>
          <w:sz w:val="24"/>
          <w:szCs w:val="24"/>
          <w:lang w:eastAsia="es-MX"/>
        </w:rPr>
      </w:pPr>
      <w:r w:rsidRPr="00E17B3E">
        <w:rPr>
          <w:rFonts w:ascii="Palatino Linotype" w:hAnsi="Palatino Linotype" w:cs="Arial"/>
          <w:sz w:val="24"/>
          <w:szCs w:val="24"/>
          <w:lang w:eastAsia="es-MX"/>
        </w:rPr>
        <w:t xml:space="preserve">Una vez sentado lo anterior, como se mencionó en </w:t>
      </w:r>
      <w:r w:rsidR="00E17B3E" w:rsidRPr="00E17B3E">
        <w:rPr>
          <w:rFonts w:ascii="Palatino Linotype" w:hAnsi="Palatino Linotype" w:cs="Arial"/>
          <w:sz w:val="24"/>
          <w:szCs w:val="24"/>
          <w:lang w:eastAsia="es-MX"/>
        </w:rPr>
        <w:t>el antecedente</w:t>
      </w:r>
      <w:r w:rsidRPr="00E17B3E">
        <w:rPr>
          <w:rFonts w:ascii="Palatino Linotype" w:hAnsi="Palatino Linotype" w:cs="Arial"/>
          <w:sz w:val="24"/>
          <w:szCs w:val="24"/>
          <w:lang w:eastAsia="es-MX"/>
        </w:rPr>
        <w:t xml:space="preserve"> segundo </w:t>
      </w:r>
      <w:r w:rsidRPr="00E17B3E">
        <w:rPr>
          <w:rFonts w:ascii="Palatino Linotype" w:hAnsi="Palatino Linotype" w:cs="Arial"/>
          <w:b/>
          <w:bCs/>
          <w:sz w:val="24"/>
          <w:szCs w:val="24"/>
          <w:lang w:eastAsia="es-MX"/>
        </w:rPr>
        <w:t xml:space="preserve">El Sujeto Obligado </w:t>
      </w:r>
      <w:r w:rsidRPr="00E17B3E">
        <w:rPr>
          <w:rFonts w:ascii="Palatino Linotype" w:hAnsi="Palatino Linotype" w:cs="Arial"/>
          <w:sz w:val="24"/>
          <w:szCs w:val="24"/>
          <w:lang w:eastAsia="es-MX"/>
        </w:rPr>
        <w:t>fue omiso en responder la</w:t>
      </w:r>
      <w:r w:rsidR="0070313E" w:rsidRPr="00E17B3E">
        <w:rPr>
          <w:rFonts w:ascii="Palatino Linotype" w:hAnsi="Palatino Linotype" w:cs="Arial"/>
          <w:sz w:val="24"/>
          <w:szCs w:val="24"/>
          <w:lang w:eastAsia="es-MX"/>
        </w:rPr>
        <w:t>s</w:t>
      </w:r>
      <w:r w:rsidRPr="00E17B3E">
        <w:rPr>
          <w:rFonts w:ascii="Palatino Linotype" w:hAnsi="Palatino Linotype" w:cs="Arial"/>
          <w:sz w:val="24"/>
          <w:szCs w:val="24"/>
          <w:lang w:eastAsia="es-MX"/>
        </w:rPr>
        <w:t xml:space="preserve"> solicitud</w:t>
      </w:r>
      <w:r w:rsidR="0070313E" w:rsidRPr="00E17B3E">
        <w:rPr>
          <w:rFonts w:ascii="Palatino Linotype" w:hAnsi="Palatino Linotype" w:cs="Arial"/>
          <w:sz w:val="24"/>
          <w:szCs w:val="24"/>
          <w:lang w:eastAsia="es-MX"/>
        </w:rPr>
        <w:t>es</w:t>
      </w:r>
      <w:r w:rsidRPr="00E17B3E">
        <w:rPr>
          <w:rFonts w:ascii="Palatino Linotype" w:hAnsi="Palatino Linotype" w:cs="Arial"/>
          <w:sz w:val="24"/>
          <w:szCs w:val="24"/>
          <w:lang w:eastAsia="es-MX"/>
        </w:rPr>
        <w:t xml:space="preserve"> de información formulada</w:t>
      </w:r>
      <w:r w:rsidR="0070313E" w:rsidRPr="00E17B3E">
        <w:rPr>
          <w:rFonts w:ascii="Palatino Linotype" w:hAnsi="Palatino Linotype" w:cs="Arial"/>
          <w:sz w:val="24"/>
          <w:szCs w:val="24"/>
          <w:lang w:eastAsia="es-MX"/>
        </w:rPr>
        <w:t>s</w:t>
      </w:r>
      <w:r w:rsidRPr="00E17B3E">
        <w:rPr>
          <w:rFonts w:ascii="Palatino Linotype" w:hAnsi="Palatino Linotype" w:cs="Arial"/>
          <w:sz w:val="24"/>
          <w:szCs w:val="24"/>
          <w:lang w:eastAsia="es-MX"/>
        </w:rPr>
        <w:t xml:space="preserve"> por </w:t>
      </w:r>
      <w:r w:rsidR="00E17B3E">
        <w:rPr>
          <w:rFonts w:ascii="Palatino Linotype" w:hAnsi="Palatino Linotype" w:cs="Arial"/>
          <w:sz w:val="24"/>
          <w:szCs w:val="24"/>
          <w:lang w:eastAsia="es-MX"/>
        </w:rPr>
        <w:t>el</w:t>
      </w:r>
      <w:r w:rsidRPr="00E17B3E">
        <w:rPr>
          <w:rFonts w:ascii="Palatino Linotype" w:hAnsi="Palatino Linotype" w:cs="Arial"/>
          <w:sz w:val="24"/>
          <w:szCs w:val="24"/>
          <w:lang w:eastAsia="es-MX"/>
        </w:rPr>
        <w:t xml:space="preserve"> particular, luego entonces </w:t>
      </w:r>
      <w:r w:rsidR="00F0057D" w:rsidRPr="00E17B3E">
        <w:rPr>
          <w:rFonts w:ascii="Palatino Linotype" w:hAnsi="Palatino Linotype" w:cs="Arial"/>
          <w:sz w:val="24"/>
          <w:szCs w:val="24"/>
          <w:lang w:eastAsia="es-MX"/>
        </w:rPr>
        <w:t xml:space="preserve">los motivos de inconformidad esgrimidos se encuentran encauzados a resaltar la </w:t>
      </w:r>
      <w:r w:rsidR="00E17B3E" w:rsidRPr="00E17B3E">
        <w:rPr>
          <w:rFonts w:ascii="Palatino Linotype" w:hAnsi="Palatino Linotype" w:cs="Arial"/>
          <w:sz w:val="24"/>
          <w:szCs w:val="24"/>
          <w:lang w:eastAsia="es-MX"/>
        </w:rPr>
        <w:t xml:space="preserve">actualización de la </w:t>
      </w:r>
      <w:r w:rsidR="00F0057D" w:rsidRPr="00E17B3E">
        <w:rPr>
          <w:rFonts w:ascii="Palatino Linotype" w:hAnsi="Palatino Linotype" w:cs="Arial"/>
          <w:sz w:val="24"/>
          <w:szCs w:val="24"/>
          <w:lang w:eastAsia="es-MX"/>
        </w:rPr>
        <w:t>causal de procedencia inmersa en el numeral</w:t>
      </w:r>
      <w:r w:rsidRPr="00E17B3E">
        <w:rPr>
          <w:rFonts w:ascii="Palatino Linotype" w:hAnsi="Palatino Linotype" w:cs="Arial"/>
          <w:sz w:val="24"/>
          <w:szCs w:val="24"/>
          <w:lang w:eastAsia="es-MX"/>
        </w:rPr>
        <w:t xml:space="preserve"> 179, fracción VII de la Ley de Transparencia local. </w:t>
      </w:r>
    </w:p>
    <w:p w14:paraId="50C77617" w14:textId="68F7FF57" w:rsidR="00F0057D" w:rsidRPr="00E17B3E" w:rsidRDefault="00F0057D" w:rsidP="008C79F3">
      <w:pPr>
        <w:spacing w:line="360" w:lineRule="auto"/>
        <w:jc w:val="both"/>
        <w:rPr>
          <w:rFonts w:ascii="Palatino Linotype" w:hAnsi="Palatino Linotype"/>
          <w:bCs/>
          <w:sz w:val="24"/>
          <w:szCs w:val="24"/>
        </w:rPr>
      </w:pPr>
      <w:r w:rsidRPr="00E17B3E">
        <w:rPr>
          <w:rFonts w:ascii="Palatino Linotype" w:hAnsi="Palatino Linotype" w:cs="Arial"/>
          <w:sz w:val="24"/>
          <w:szCs w:val="24"/>
        </w:rPr>
        <w:lastRenderedPageBreak/>
        <w:t xml:space="preserve">De manera adicional, como fue mencionado en el antecedente quinto, </w:t>
      </w:r>
      <w:r w:rsidRPr="00E17B3E">
        <w:rPr>
          <w:rFonts w:ascii="Palatino Linotype" w:hAnsi="Palatino Linotype" w:cs="Arial"/>
          <w:b/>
          <w:sz w:val="24"/>
          <w:szCs w:val="24"/>
        </w:rPr>
        <w:t xml:space="preserve">El Sujeto Obligado </w:t>
      </w:r>
      <w:r w:rsidRPr="00E17B3E">
        <w:rPr>
          <w:rFonts w:ascii="Palatino Linotype" w:hAnsi="Palatino Linotype" w:cs="Arial"/>
          <w:sz w:val="24"/>
          <w:szCs w:val="24"/>
        </w:rPr>
        <w:t>rindió sus informes justificados en los siguientes términos:</w:t>
      </w:r>
    </w:p>
    <w:p w14:paraId="626BBA95" w14:textId="4C4B167E" w:rsidR="00CC27AC" w:rsidRPr="00CC27AC" w:rsidRDefault="00CC27AC" w:rsidP="008007DD">
      <w:pPr>
        <w:pStyle w:val="Prrafodelista"/>
        <w:numPr>
          <w:ilvl w:val="0"/>
          <w:numId w:val="24"/>
        </w:numPr>
        <w:spacing w:line="360" w:lineRule="auto"/>
        <w:jc w:val="both"/>
        <w:rPr>
          <w:rFonts w:ascii="Palatino Linotype" w:hAnsi="Palatino Linotype"/>
          <w:b/>
          <w:bCs/>
        </w:rPr>
      </w:pPr>
      <w:r>
        <w:rPr>
          <w:rFonts w:ascii="Palatino Linotype" w:hAnsi="Palatino Linotype"/>
          <w:b/>
          <w:bCs/>
        </w:rPr>
        <w:t xml:space="preserve">“Manifestaciones de UT, 01325, SOL 69.pdf”: </w:t>
      </w:r>
      <w:r>
        <w:rPr>
          <w:rFonts w:ascii="Palatino Linotype" w:hAnsi="Palatino Linotype"/>
          <w:bCs/>
        </w:rPr>
        <w:t xml:space="preserve">Oficio </w:t>
      </w:r>
      <w:r>
        <w:rPr>
          <w:rFonts w:ascii="Palatino Linotype" w:hAnsi="Palatino Linotype"/>
          <w:b/>
          <w:bCs/>
        </w:rPr>
        <w:t xml:space="preserve">PMT/UTAIP/2982021 </w:t>
      </w:r>
      <w:r>
        <w:rPr>
          <w:rFonts w:ascii="Palatino Linotype" w:hAnsi="Palatino Linotype"/>
          <w:bCs/>
        </w:rPr>
        <w:t xml:space="preserve">emitido por la Titular de la Unidad de Transparencia y dirigido a la Comisionada Ponente, en lo medular manifiesta haber requerido al área competente, a efecto de contar con los elementos necesarios para atender la solicitud de información; de fecha dieciséis de abril de dos mil veintiuno. </w:t>
      </w:r>
    </w:p>
    <w:p w14:paraId="0F0A2E78" w14:textId="7756BC75" w:rsidR="00F0057D" w:rsidRPr="00CC27AC" w:rsidRDefault="00CC27AC" w:rsidP="008007DD">
      <w:pPr>
        <w:pStyle w:val="Prrafodelista"/>
        <w:numPr>
          <w:ilvl w:val="0"/>
          <w:numId w:val="24"/>
        </w:numPr>
        <w:spacing w:line="360" w:lineRule="auto"/>
        <w:jc w:val="both"/>
        <w:rPr>
          <w:rFonts w:ascii="Palatino Linotype" w:hAnsi="Palatino Linotype"/>
          <w:b/>
          <w:bCs/>
        </w:rPr>
      </w:pPr>
      <w:r>
        <w:rPr>
          <w:rFonts w:ascii="Palatino Linotype" w:hAnsi="Palatino Linotype"/>
          <w:bCs/>
        </w:rPr>
        <w:t xml:space="preserve">  “</w:t>
      </w:r>
      <w:r>
        <w:rPr>
          <w:rFonts w:ascii="Palatino Linotype" w:hAnsi="Palatino Linotype"/>
          <w:b/>
          <w:bCs/>
        </w:rPr>
        <w:t xml:space="preserve">Manifestaciones de UT, 01326, SOL 70.pdf”:  </w:t>
      </w:r>
      <w:r>
        <w:rPr>
          <w:rFonts w:ascii="Palatino Linotype" w:hAnsi="Palatino Linotype"/>
          <w:bCs/>
        </w:rPr>
        <w:t xml:space="preserve">Oficio </w:t>
      </w:r>
      <w:r>
        <w:rPr>
          <w:rFonts w:ascii="Palatino Linotype" w:hAnsi="Palatino Linotype"/>
          <w:b/>
          <w:bCs/>
        </w:rPr>
        <w:t xml:space="preserve">PMT/UTAIP/2972021 </w:t>
      </w:r>
      <w:r>
        <w:rPr>
          <w:rFonts w:ascii="Palatino Linotype" w:hAnsi="Palatino Linotype"/>
          <w:bCs/>
        </w:rPr>
        <w:t xml:space="preserve">emitido por la Titular de la Unidad de Transparencia y dirigido a la Comisionada Ponente, en lo medular manifiesta haber requerido a las áreas competentes, a efecto de contar con los elementos necesarios para atender la solicitud de información; de fecha dieciséis de abril de dos mil veintiuno. </w:t>
      </w:r>
    </w:p>
    <w:p w14:paraId="0FDB9E5B" w14:textId="5B2CB331" w:rsidR="00CC27AC" w:rsidRPr="00CC27AC" w:rsidRDefault="00CC27AC" w:rsidP="008007DD">
      <w:pPr>
        <w:pStyle w:val="Prrafodelista"/>
        <w:numPr>
          <w:ilvl w:val="0"/>
          <w:numId w:val="24"/>
        </w:numPr>
        <w:spacing w:line="360" w:lineRule="auto"/>
        <w:jc w:val="both"/>
        <w:rPr>
          <w:rFonts w:ascii="Palatino Linotype" w:hAnsi="Palatino Linotype"/>
          <w:b/>
          <w:bCs/>
        </w:rPr>
      </w:pPr>
      <w:r>
        <w:rPr>
          <w:rFonts w:ascii="Palatino Linotype" w:hAnsi="Palatino Linotype"/>
          <w:b/>
          <w:bCs/>
        </w:rPr>
        <w:t xml:space="preserve">“Manifestaciones de la UT so 85-2021, RR 01803.pdf”: </w:t>
      </w:r>
      <w:r>
        <w:rPr>
          <w:rFonts w:ascii="Palatino Linotype" w:hAnsi="Palatino Linotype"/>
          <w:bCs/>
        </w:rPr>
        <w:t xml:space="preserve">Oficio </w:t>
      </w:r>
      <w:r>
        <w:rPr>
          <w:rFonts w:ascii="Palatino Linotype" w:hAnsi="Palatino Linotype"/>
          <w:b/>
          <w:bCs/>
        </w:rPr>
        <w:t xml:space="preserve">PMT/UTAIP/327/2021 </w:t>
      </w:r>
      <w:r>
        <w:rPr>
          <w:rFonts w:ascii="Palatino Linotype" w:hAnsi="Palatino Linotype"/>
          <w:bCs/>
        </w:rPr>
        <w:t xml:space="preserve">emitido por la Titular de la Unidad de Transparencia y dirigido a la Comisionada Ponente, en lo medular manifiesta haber requerido a las áreas competentes, a efecto de contar con los elementos necesarios para atender la solicitud de información; de fecha veintinueve de abril de dos mil veintiuno. </w:t>
      </w:r>
    </w:p>
    <w:p w14:paraId="1FC81DD2" w14:textId="24FB7AB6" w:rsidR="00CC27AC" w:rsidRPr="008007DD" w:rsidRDefault="008B3B69" w:rsidP="008007DD">
      <w:pPr>
        <w:pStyle w:val="Prrafodelista"/>
        <w:numPr>
          <w:ilvl w:val="0"/>
          <w:numId w:val="24"/>
        </w:numPr>
        <w:spacing w:line="360" w:lineRule="auto"/>
        <w:jc w:val="both"/>
        <w:rPr>
          <w:rFonts w:ascii="Palatino Linotype" w:hAnsi="Palatino Linotype"/>
          <w:b/>
          <w:bCs/>
        </w:rPr>
      </w:pPr>
      <w:r>
        <w:rPr>
          <w:rFonts w:ascii="Palatino Linotype" w:hAnsi="Palatino Linotype"/>
          <w:b/>
          <w:bCs/>
        </w:rPr>
        <w:t xml:space="preserve">“Manifestaciones de la UT sol 86-2021, RR 01804.pdf”: </w:t>
      </w:r>
      <w:r>
        <w:rPr>
          <w:rFonts w:ascii="Palatino Linotype" w:hAnsi="Palatino Linotype"/>
          <w:bCs/>
        </w:rPr>
        <w:t xml:space="preserve">Oficio </w:t>
      </w:r>
      <w:r>
        <w:rPr>
          <w:rFonts w:ascii="Palatino Linotype" w:hAnsi="Palatino Linotype"/>
          <w:b/>
          <w:bCs/>
        </w:rPr>
        <w:t xml:space="preserve">PMT/UTAIP/326/2021 </w:t>
      </w:r>
      <w:r>
        <w:rPr>
          <w:rFonts w:ascii="Palatino Linotype" w:hAnsi="Palatino Linotype"/>
          <w:bCs/>
        </w:rPr>
        <w:t xml:space="preserve">emitido por la Titular de la Unidad de Transparencia y dirigido a la Comisionada Ponente, en lo medular manifiesta haber requerido a las áreas competentes, a efecto de contar con los elementos necesarios para </w:t>
      </w:r>
      <w:r>
        <w:rPr>
          <w:rFonts w:ascii="Palatino Linotype" w:hAnsi="Palatino Linotype"/>
          <w:bCs/>
        </w:rPr>
        <w:lastRenderedPageBreak/>
        <w:t xml:space="preserve">atender la solicitud de información; de fecha veintinueve de abril de dos mil veintiuno. </w:t>
      </w:r>
    </w:p>
    <w:p w14:paraId="14A56A78" w14:textId="77777777" w:rsidR="00F0057D" w:rsidRDefault="00F0057D" w:rsidP="008C79F3">
      <w:pPr>
        <w:spacing w:line="360" w:lineRule="auto"/>
        <w:jc w:val="both"/>
        <w:rPr>
          <w:rFonts w:ascii="Palatino Linotype" w:hAnsi="Palatino Linotype"/>
          <w:bCs/>
          <w:sz w:val="24"/>
          <w:szCs w:val="24"/>
        </w:rPr>
      </w:pPr>
    </w:p>
    <w:p w14:paraId="157B65DE" w14:textId="2A923764" w:rsidR="008B3B69" w:rsidRDefault="008C79F3" w:rsidP="008C79F3">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w:t>
      </w:r>
      <w:r w:rsidR="008B3B69">
        <w:rPr>
          <w:rFonts w:ascii="Palatino Linotype" w:hAnsi="Palatino Linotype"/>
          <w:bCs/>
          <w:sz w:val="24"/>
          <w:szCs w:val="24"/>
        </w:rPr>
        <w:t xml:space="preserve">asimismo, fue omiso en rendir sus respuestas primigenias. En contraste, rindió sus informes justificados, no obstante, éstos no atendieron el derecho de acceso a la información pública, al limitarse a requerir a los </w:t>
      </w:r>
      <w:r w:rsidR="008B3B69">
        <w:rPr>
          <w:rFonts w:ascii="Palatino Linotype" w:hAnsi="Palatino Linotype"/>
          <w:b/>
          <w:bCs/>
          <w:sz w:val="24"/>
          <w:szCs w:val="24"/>
        </w:rPr>
        <w:t xml:space="preserve">Sujetos Habilitados Competentes, </w:t>
      </w:r>
      <w:r w:rsidR="008B3B69">
        <w:rPr>
          <w:rFonts w:ascii="Palatino Linotype" w:hAnsi="Palatino Linotype"/>
          <w:bCs/>
          <w:sz w:val="24"/>
          <w:szCs w:val="24"/>
        </w:rPr>
        <w:t>a efecto de remitir los soportes documentales idóneos para colmar la pretensión del particular. De forma complementaria, es menester resaltar la inobservancia al numeral 162 de la Ley de Transparencia al no requerir</w:t>
      </w:r>
      <w:r w:rsidR="00E17B3E">
        <w:rPr>
          <w:rFonts w:ascii="Palatino Linotype" w:hAnsi="Palatino Linotype"/>
          <w:bCs/>
          <w:sz w:val="24"/>
          <w:szCs w:val="24"/>
        </w:rPr>
        <w:t xml:space="preserve"> a todas las áreas competentes atender las solicitudes de información. </w:t>
      </w:r>
    </w:p>
    <w:p w14:paraId="669D80B6" w14:textId="570A2321" w:rsidR="008B3B69" w:rsidRDefault="008B3B69" w:rsidP="008C79F3">
      <w:pPr>
        <w:spacing w:line="360" w:lineRule="auto"/>
        <w:jc w:val="both"/>
        <w:rPr>
          <w:rFonts w:ascii="Palatino Linotype" w:hAnsi="Palatino Linotype"/>
          <w:bCs/>
          <w:sz w:val="24"/>
          <w:szCs w:val="24"/>
        </w:rPr>
      </w:pPr>
      <w:r>
        <w:rPr>
          <w:rFonts w:ascii="Palatino Linotype" w:hAnsi="Palatino Linotype"/>
          <w:bCs/>
          <w:sz w:val="24"/>
          <w:szCs w:val="24"/>
        </w:rPr>
        <w:t xml:space="preserve">Luego entonces, resulta procedente ordenar una búsqueda exhaustiva y razonable, a efecto de ordenar la entrega, en versión pública de ser procedente, de la </w:t>
      </w:r>
      <w:r w:rsidR="002A6C5E">
        <w:rPr>
          <w:rFonts w:ascii="Palatino Linotype" w:hAnsi="Palatino Linotype"/>
          <w:bCs/>
          <w:sz w:val="24"/>
          <w:szCs w:val="24"/>
        </w:rPr>
        <w:t xml:space="preserve">información precisada en el presente considerando. </w:t>
      </w:r>
    </w:p>
    <w:p w14:paraId="3AF28B38" w14:textId="77777777" w:rsidR="002A6C5E" w:rsidRDefault="002A6C5E" w:rsidP="008C79F3">
      <w:pPr>
        <w:spacing w:line="360" w:lineRule="auto"/>
        <w:jc w:val="both"/>
        <w:rPr>
          <w:rFonts w:ascii="Palatino Linotype" w:hAnsi="Palatino Linotype"/>
          <w:bCs/>
          <w:sz w:val="24"/>
          <w:szCs w:val="24"/>
        </w:rPr>
      </w:pPr>
    </w:p>
    <w:p w14:paraId="1E8F8270" w14:textId="77777777" w:rsidR="002A6C5E" w:rsidRPr="00F752F2" w:rsidRDefault="002A6C5E" w:rsidP="002A6C5E">
      <w:pPr>
        <w:pStyle w:val="Prrafodelista"/>
        <w:numPr>
          <w:ilvl w:val="0"/>
          <w:numId w:val="25"/>
        </w:numPr>
        <w:spacing w:before="240" w:after="360" w:line="360" w:lineRule="auto"/>
        <w:ind w:right="49"/>
        <w:jc w:val="both"/>
        <w:rPr>
          <w:rFonts w:ascii="Palatino Linotype" w:hAnsi="Palatino Linotype"/>
          <w:iCs/>
          <w:sz w:val="28"/>
          <w:szCs w:val="28"/>
        </w:rPr>
      </w:pPr>
      <w:r w:rsidRPr="00F752F2">
        <w:rPr>
          <w:rFonts w:ascii="Palatino Linotype" w:hAnsi="Palatino Linotype"/>
          <w:b/>
          <w:iCs/>
          <w:sz w:val="28"/>
          <w:szCs w:val="28"/>
        </w:rPr>
        <w:t>Vista a la Dirección General Jurídica y de Verificación</w:t>
      </w:r>
    </w:p>
    <w:p w14:paraId="028BB292" w14:textId="77777777" w:rsidR="002A6C5E" w:rsidRDefault="002A6C5E" w:rsidP="002A6C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xml:space="preserve">, respecto a hacer pública y mantener actualizada la información establecida en el </w:t>
      </w:r>
      <w:r>
        <w:rPr>
          <w:rFonts w:ascii="Palatino Linotype" w:eastAsia="Times New Roman" w:hAnsi="Palatino Linotype" w:cs="Arial"/>
          <w:sz w:val="24"/>
          <w:szCs w:val="24"/>
          <w:lang w:val="es-ES" w:eastAsia="es-ES"/>
        </w:rPr>
        <w:lastRenderedPageBreak/>
        <w:t>artículo 92 de la Ley de Transparencia y Acceso a la Información Pública del Estado de México y Municipios.</w:t>
      </w:r>
    </w:p>
    <w:p w14:paraId="444E4123" w14:textId="77777777" w:rsidR="002A6C5E" w:rsidRDefault="002A6C5E" w:rsidP="002A6C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925BB1B" w14:textId="77777777" w:rsidR="002A6C5E" w:rsidRPr="00F32AE4" w:rsidRDefault="002A6C5E" w:rsidP="002A6C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27CE1D15" w14:textId="77777777" w:rsidR="002A6C5E" w:rsidRDefault="002A6C5E" w:rsidP="008C79F3">
      <w:pPr>
        <w:spacing w:line="360" w:lineRule="auto"/>
        <w:jc w:val="both"/>
        <w:rPr>
          <w:rFonts w:ascii="Palatino Linotype" w:hAnsi="Palatino Linotype"/>
          <w:bCs/>
          <w:sz w:val="24"/>
          <w:szCs w:val="24"/>
        </w:rPr>
      </w:pPr>
    </w:p>
    <w:p w14:paraId="3CF1EF25" w14:textId="77777777" w:rsidR="008C79F3" w:rsidRDefault="008C79F3" w:rsidP="008C79F3">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8703FB3" w14:textId="77777777" w:rsidR="008C79F3" w:rsidRPr="001571EB" w:rsidRDefault="008C79F3" w:rsidP="008C79F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5488706" w14:textId="77777777" w:rsidR="008C79F3" w:rsidRPr="00E60DEF" w:rsidRDefault="008C79F3" w:rsidP="008C79F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A70D894" w14:textId="77777777" w:rsidR="008C79F3" w:rsidRPr="00E60DEF" w:rsidRDefault="008C79F3" w:rsidP="008C79F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6319914" w14:textId="77777777" w:rsidR="008C79F3" w:rsidRPr="001571EB"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7CA8316" w14:textId="77777777" w:rsidR="008C79F3" w:rsidRPr="001571EB" w:rsidRDefault="008C79F3" w:rsidP="008C79F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F13AF45" w14:textId="77777777" w:rsidR="008C79F3" w:rsidRPr="001571EB"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137C075" w14:textId="77777777" w:rsidR="008C79F3" w:rsidRPr="001571EB" w:rsidRDefault="008C79F3" w:rsidP="008C79F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2DF32E8"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B09F0F"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DD2E5CE" w14:textId="77777777" w:rsidR="008C79F3" w:rsidRPr="001571EB" w:rsidRDefault="008C79F3" w:rsidP="008C79F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C6FB21" w14:textId="77777777" w:rsidR="008C79F3" w:rsidRPr="00E60DEF" w:rsidRDefault="008C79F3" w:rsidP="008C79F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29D2563" w14:textId="77777777" w:rsidR="008C79F3" w:rsidRPr="001571EB" w:rsidRDefault="008C79F3" w:rsidP="008C79F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1B01F4E" w14:textId="77777777" w:rsidR="008C79F3" w:rsidRPr="00E60DEF" w:rsidRDefault="008C79F3" w:rsidP="008C79F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CADD318" w14:textId="77777777" w:rsidR="008C79F3" w:rsidRPr="001571EB" w:rsidRDefault="008C79F3" w:rsidP="008C79F3">
      <w:pPr>
        <w:spacing w:line="240" w:lineRule="auto"/>
        <w:ind w:left="851" w:right="851"/>
        <w:jc w:val="both"/>
        <w:rPr>
          <w:rFonts w:ascii="Palatino Linotype" w:hAnsi="Palatino Linotype" w:cs="Arial"/>
          <w:b/>
          <w:i/>
          <w:u w:val="single"/>
        </w:rPr>
      </w:pPr>
    </w:p>
    <w:p w14:paraId="63881ECD" w14:textId="77777777" w:rsidR="008C79F3" w:rsidRPr="001571EB" w:rsidRDefault="008C79F3" w:rsidP="008C79F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8128BA4" w14:textId="77777777" w:rsidR="008C79F3" w:rsidRPr="001571EB" w:rsidRDefault="008C79F3" w:rsidP="008C79F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84055D" w14:textId="77777777" w:rsidR="008C79F3" w:rsidRPr="001571EB" w:rsidRDefault="008C79F3" w:rsidP="008C79F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5CECB7A" w14:textId="77777777" w:rsidR="008C79F3" w:rsidRDefault="008C79F3" w:rsidP="008C79F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960E98D" w14:textId="77777777" w:rsidR="008C79F3" w:rsidRDefault="008C79F3" w:rsidP="008C79F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5ECA514"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1285EED3"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727C030"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B04B95F"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F483360" w14:textId="77777777" w:rsidR="008C79F3" w:rsidRPr="00EE0180"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FE7B6C1" w14:textId="77777777" w:rsidR="008C79F3" w:rsidRPr="001571EB" w:rsidRDefault="008C79F3" w:rsidP="008C79F3">
      <w:pPr>
        <w:autoSpaceDE w:val="0"/>
        <w:autoSpaceDN w:val="0"/>
        <w:adjustRightInd w:val="0"/>
        <w:spacing w:before="120" w:after="120"/>
        <w:ind w:left="567" w:right="850"/>
        <w:jc w:val="both"/>
        <w:rPr>
          <w:rFonts w:ascii="Palatino Linotype" w:eastAsia="Times New Roman" w:hAnsi="Palatino Linotype" w:cs="Arial"/>
          <w:i/>
        </w:rPr>
      </w:pPr>
    </w:p>
    <w:p w14:paraId="175ACB87" w14:textId="77777777" w:rsidR="008C79F3" w:rsidRPr="001571EB" w:rsidRDefault="008C79F3" w:rsidP="008C79F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13EC37A" w14:textId="77777777" w:rsidR="008C79F3" w:rsidRPr="001571EB" w:rsidRDefault="008C79F3" w:rsidP="008C79F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DDD319" w14:textId="77777777" w:rsidR="008C79F3" w:rsidRDefault="008C79F3" w:rsidP="008C79F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BF82D43" w14:textId="77777777" w:rsidR="008C79F3" w:rsidRDefault="008C79F3" w:rsidP="008C79F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AED529C"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86FA78"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E43B897"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70D6162" w14:textId="77777777" w:rsidR="008C79F3" w:rsidRPr="001571EB"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75DAF11" w14:textId="77777777" w:rsidR="008C79F3" w:rsidRDefault="008C79F3" w:rsidP="008C79F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011D714" w14:textId="77777777" w:rsidR="008C79F3" w:rsidRDefault="008C79F3" w:rsidP="008C79F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0DDF5B9" w14:textId="77777777" w:rsidR="008C79F3" w:rsidRDefault="008C79F3" w:rsidP="008C79F3">
      <w:pPr>
        <w:spacing w:after="0" w:line="360" w:lineRule="auto"/>
        <w:ind w:right="51"/>
        <w:jc w:val="both"/>
        <w:rPr>
          <w:rFonts w:ascii="Palatino Linotype" w:hAnsi="Palatino Linotype" w:cs="Arial"/>
          <w:sz w:val="24"/>
          <w:szCs w:val="24"/>
        </w:rPr>
      </w:pPr>
    </w:p>
    <w:p w14:paraId="341F4546" w14:textId="0632649C" w:rsidR="008C79F3" w:rsidRDefault="008C79F3" w:rsidP="008C79F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información </w:t>
      </w:r>
      <w:r w:rsidR="002A6C5E">
        <w:rPr>
          <w:rFonts w:ascii="Palatino Linotype" w:hAnsi="Palatino Linotype" w:cs="Arial"/>
          <w:b/>
          <w:sz w:val="24"/>
        </w:rPr>
        <w:t xml:space="preserve">00069/TEOLOYU/IP/2021, 00070/TEOLOYU/IP/2021, 00085/TEOLOYU/IP/2021 y 00086/TEOLOYU/IP/2021 </w:t>
      </w:r>
      <w:r w:rsidRPr="00FB59FD">
        <w:rPr>
          <w:rFonts w:ascii="Palatino Linotype" w:hAnsi="Palatino Linotype" w:cs="Arial"/>
          <w:sz w:val="24"/>
          <w:szCs w:val="24"/>
        </w:rPr>
        <w:t>que ha</w:t>
      </w:r>
      <w:r>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2EB15131" w14:textId="77777777" w:rsidR="008C79F3" w:rsidRDefault="008C79F3" w:rsidP="008C79F3">
      <w:pPr>
        <w:autoSpaceDE w:val="0"/>
        <w:autoSpaceDN w:val="0"/>
        <w:adjustRightInd w:val="0"/>
        <w:spacing w:after="0" w:line="360" w:lineRule="auto"/>
        <w:jc w:val="both"/>
        <w:rPr>
          <w:rFonts w:ascii="Palatino Linotype" w:hAnsi="Palatino Linotype" w:cs="Arial"/>
          <w:sz w:val="24"/>
          <w:szCs w:val="24"/>
        </w:rPr>
      </w:pPr>
    </w:p>
    <w:p w14:paraId="63849892" w14:textId="564A648D" w:rsidR="008C79F3" w:rsidRDefault="008C79F3" w:rsidP="008C79F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4E138CCE" w14:textId="77777777" w:rsidR="002861B3" w:rsidRDefault="002861B3" w:rsidP="008C79F3">
      <w:pPr>
        <w:autoSpaceDE w:val="0"/>
        <w:autoSpaceDN w:val="0"/>
        <w:adjustRightInd w:val="0"/>
        <w:spacing w:after="0" w:line="360" w:lineRule="auto"/>
        <w:jc w:val="both"/>
        <w:rPr>
          <w:rFonts w:ascii="Palatino Linotype" w:hAnsi="Palatino Linotype" w:cs="Arial"/>
          <w:sz w:val="24"/>
          <w:szCs w:val="24"/>
        </w:rPr>
      </w:pPr>
    </w:p>
    <w:p w14:paraId="604154EA" w14:textId="77777777" w:rsidR="008C79F3" w:rsidRPr="00FB59FD" w:rsidRDefault="008C79F3" w:rsidP="008C79F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45637A3C" w14:textId="77777777" w:rsidR="008C79F3" w:rsidRPr="00FB59FD" w:rsidRDefault="008C79F3" w:rsidP="008C79F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45538D9" w14:textId="58739238"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7D4A2460" w14:textId="77777777" w:rsidR="00E17B3E" w:rsidRDefault="00E17B3E" w:rsidP="008C79F3">
      <w:pPr>
        <w:pStyle w:val="Sinespaciado"/>
        <w:spacing w:line="360" w:lineRule="auto"/>
        <w:jc w:val="both"/>
        <w:rPr>
          <w:rFonts w:ascii="Palatino Linotype" w:hAnsi="Palatino Linotype" w:cstheme="minorHAnsi"/>
        </w:rPr>
      </w:pPr>
    </w:p>
    <w:p w14:paraId="00E1BD75" w14:textId="38267384" w:rsidR="002A6C5E" w:rsidRPr="0000045C" w:rsidRDefault="002A6C5E" w:rsidP="002A6C5E">
      <w:pPr>
        <w:spacing w:after="0" w:line="360" w:lineRule="auto"/>
        <w:jc w:val="both"/>
        <w:rPr>
          <w:rFonts w:ascii="Palatino Linotype" w:eastAsia="Times New Roman" w:hAnsi="Palatino Linotype" w:cs="Arial"/>
          <w:sz w:val="24"/>
          <w:szCs w:val="24"/>
        </w:rPr>
      </w:pPr>
      <w:r w:rsidRPr="0000045C">
        <w:rPr>
          <w:rFonts w:ascii="Palatino Linotype" w:hAnsi="Palatino Linotype" w:cstheme="minorHAnsi"/>
          <w:b/>
          <w:sz w:val="24"/>
          <w:szCs w:val="24"/>
        </w:rPr>
        <w:lastRenderedPageBreak/>
        <w:t xml:space="preserve">SEGUNDO. </w:t>
      </w:r>
      <w:r w:rsidRPr="0000045C">
        <w:rPr>
          <w:rFonts w:ascii="Palatino Linotype" w:hAnsi="Palatino Linotype"/>
          <w:color w:val="222222"/>
          <w:sz w:val="24"/>
          <w:szCs w:val="24"/>
          <w:lang w:eastAsia="es-MX"/>
        </w:rPr>
        <w:t>Se</w:t>
      </w:r>
      <w:r w:rsidRPr="0000045C">
        <w:rPr>
          <w:rFonts w:ascii="Palatino Linotype" w:hAnsi="Palatino Linotype"/>
          <w:b/>
          <w:bCs/>
          <w:color w:val="222222"/>
          <w:sz w:val="24"/>
          <w:szCs w:val="24"/>
          <w:lang w:eastAsia="es-MX"/>
        </w:rPr>
        <w:t xml:space="preserve"> ORDENA </w:t>
      </w:r>
      <w:r w:rsidRPr="0000045C">
        <w:rPr>
          <w:rFonts w:ascii="Palatino Linotype" w:hAnsi="Palatino Linotype"/>
          <w:color w:val="222222"/>
          <w:sz w:val="24"/>
          <w:szCs w:val="24"/>
          <w:lang w:eastAsia="es-MX"/>
        </w:rPr>
        <w:t xml:space="preserve">al </w:t>
      </w:r>
      <w:r w:rsidRPr="0000045C">
        <w:rPr>
          <w:rFonts w:ascii="Palatino Linotype" w:hAnsi="Palatino Linotype"/>
          <w:b/>
          <w:color w:val="222222"/>
          <w:sz w:val="24"/>
          <w:szCs w:val="24"/>
          <w:lang w:eastAsia="es-MX"/>
        </w:rPr>
        <w:t>SUJETO OBLIGADO</w:t>
      </w:r>
      <w:r w:rsidRPr="0000045C">
        <w:rPr>
          <w:rFonts w:ascii="Palatino Linotype" w:hAnsi="Palatino Linotype"/>
          <w:color w:val="222222"/>
          <w:sz w:val="24"/>
          <w:szCs w:val="24"/>
          <w:lang w:eastAsia="es-MX"/>
        </w:rPr>
        <w:t xml:space="preserve"> atienda la</w:t>
      </w:r>
      <w:r>
        <w:rPr>
          <w:rFonts w:ascii="Palatino Linotype" w:hAnsi="Palatino Linotype"/>
          <w:color w:val="222222"/>
          <w:sz w:val="24"/>
          <w:szCs w:val="24"/>
          <w:lang w:eastAsia="es-MX"/>
        </w:rPr>
        <w:t>s</w:t>
      </w:r>
      <w:r w:rsidRPr="0000045C">
        <w:rPr>
          <w:rFonts w:ascii="Palatino Linotype" w:hAnsi="Palatino Linotype"/>
          <w:color w:val="222222"/>
          <w:sz w:val="24"/>
          <w:szCs w:val="24"/>
          <w:lang w:eastAsia="es-MX"/>
        </w:rPr>
        <w:t xml:space="preserve"> solicitud</w:t>
      </w:r>
      <w:r>
        <w:rPr>
          <w:rFonts w:ascii="Palatino Linotype" w:hAnsi="Palatino Linotype"/>
          <w:color w:val="222222"/>
          <w:sz w:val="24"/>
          <w:szCs w:val="24"/>
          <w:lang w:eastAsia="es-MX"/>
        </w:rPr>
        <w:t>es</w:t>
      </w:r>
      <w:r w:rsidRPr="0000045C">
        <w:rPr>
          <w:rFonts w:ascii="Palatino Linotype" w:hAnsi="Palatino Linotype"/>
          <w:color w:val="222222"/>
          <w:sz w:val="24"/>
          <w:szCs w:val="24"/>
          <w:lang w:eastAsia="es-MX"/>
        </w:rPr>
        <w:t xml:space="preserve"> de información número</w:t>
      </w:r>
      <w:r>
        <w:rPr>
          <w:rFonts w:ascii="Palatino Linotype" w:hAnsi="Palatino Linotype"/>
          <w:color w:val="222222"/>
          <w:sz w:val="24"/>
          <w:szCs w:val="24"/>
          <w:lang w:eastAsia="es-MX"/>
        </w:rPr>
        <w:t>s</w:t>
      </w:r>
      <w:r w:rsidRPr="0000045C">
        <w:rPr>
          <w:rFonts w:ascii="Palatino Linotype" w:hAnsi="Palatino Linotype"/>
          <w:color w:val="222222"/>
          <w:sz w:val="24"/>
          <w:szCs w:val="24"/>
          <w:lang w:eastAsia="es-MX"/>
        </w:rPr>
        <w:t xml:space="preserve"> </w:t>
      </w:r>
      <w:r w:rsidR="00E17B3E">
        <w:rPr>
          <w:rFonts w:ascii="Palatino Linotype" w:hAnsi="Palatino Linotype" w:cs="Arial"/>
          <w:b/>
          <w:sz w:val="24"/>
        </w:rPr>
        <w:t>00069/TEOLOYU/IP/2021, 00070/TEOLOYU/IP/2021, 00085/TEOLOYU/IP/2021 y 00086/TEOLOYU/IP/2021</w:t>
      </w:r>
      <w:r w:rsidRPr="002A6C5E">
        <w:rPr>
          <w:rFonts w:ascii="Palatino Linotype" w:hAnsi="Palatino Linotype"/>
          <w:b/>
          <w:color w:val="222222"/>
          <w:sz w:val="24"/>
          <w:szCs w:val="24"/>
          <w:lang w:eastAsia="es-MX"/>
        </w:rPr>
        <w:t>,</w:t>
      </w:r>
      <w:r w:rsidRPr="0000045C">
        <w:rPr>
          <w:rFonts w:ascii="Palatino Linotype" w:hAnsi="Palatino Linotype"/>
          <w:b/>
          <w:color w:val="222222"/>
          <w:sz w:val="24"/>
          <w:szCs w:val="24"/>
          <w:lang w:eastAsia="es-MX"/>
        </w:rPr>
        <w:t xml:space="preserve"> </w:t>
      </w:r>
      <w:r w:rsidRPr="0000045C">
        <w:rPr>
          <w:rFonts w:ascii="Palatino Linotype" w:eastAsia="Times New Roman" w:hAnsi="Palatino Linotype" w:cs="Arial"/>
          <w:sz w:val="24"/>
          <w:szCs w:val="24"/>
        </w:rPr>
        <w:t xml:space="preserve">y en términos del considerando </w:t>
      </w:r>
      <w:r w:rsidRPr="0000045C">
        <w:rPr>
          <w:rFonts w:ascii="Palatino Linotype" w:eastAsia="Times New Roman" w:hAnsi="Palatino Linotype" w:cs="Arial"/>
          <w:b/>
          <w:sz w:val="24"/>
          <w:szCs w:val="24"/>
        </w:rPr>
        <w:t>CUARTO</w:t>
      </w:r>
      <w:r w:rsidRPr="0000045C">
        <w:rPr>
          <w:rFonts w:ascii="Palatino Linotype" w:eastAsia="Times New Roman" w:hAnsi="Palatino Linotype" w:cs="Arial"/>
          <w:sz w:val="24"/>
          <w:szCs w:val="24"/>
        </w:rPr>
        <w:t xml:space="preserve"> de la presente resolución realice una búsqueda exhaustiva y razonable a fin de entregar a</w:t>
      </w:r>
      <w:r>
        <w:rPr>
          <w:rFonts w:ascii="Palatino Linotype" w:eastAsia="Times New Roman" w:hAnsi="Palatino Linotype" w:cs="Arial"/>
          <w:sz w:val="24"/>
          <w:szCs w:val="24"/>
        </w:rPr>
        <w:t>l</w:t>
      </w:r>
      <w:r w:rsidRPr="0000045C">
        <w:rPr>
          <w:rFonts w:ascii="Palatino Linotype" w:eastAsia="Times New Roman" w:hAnsi="Palatino Linotype" w:cs="Arial"/>
          <w:b/>
          <w:sz w:val="24"/>
          <w:szCs w:val="24"/>
        </w:rPr>
        <w:t xml:space="preserve"> RECURRENTE</w:t>
      </w:r>
      <w:r w:rsidRPr="0000045C">
        <w:rPr>
          <w:rFonts w:ascii="Palatino Linotype" w:eastAsia="Times New Roman" w:hAnsi="Palatino Linotype" w:cs="Arial"/>
          <w:sz w:val="24"/>
          <w:szCs w:val="24"/>
        </w:rPr>
        <w:t xml:space="preserve">, en versión pública de ser procedente, a través del </w:t>
      </w:r>
      <w:r w:rsidRPr="0000045C">
        <w:rPr>
          <w:rFonts w:ascii="Palatino Linotype" w:eastAsia="Times New Roman" w:hAnsi="Palatino Linotype" w:cs="Arial"/>
          <w:b/>
          <w:sz w:val="24"/>
          <w:szCs w:val="24"/>
        </w:rPr>
        <w:t xml:space="preserve">SAIMEX, </w:t>
      </w:r>
      <w:r w:rsidRPr="0000045C">
        <w:rPr>
          <w:rFonts w:ascii="Palatino Linotype" w:eastAsia="Times New Roman" w:hAnsi="Palatino Linotype" w:cs="Arial"/>
          <w:sz w:val="24"/>
          <w:szCs w:val="24"/>
        </w:rPr>
        <w:t>de lo siguiente:</w:t>
      </w:r>
    </w:p>
    <w:p w14:paraId="080887D9" w14:textId="77777777" w:rsidR="002A6C5E" w:rsidRPr="002A6C5E" w:rsidRDefault="002A6C5E" w:rsidP="002A6C5E">
      <w:pPr>
        <w:pStyle w:val="Prrafodelista"/>
        <w:autoSpaceDE w:val="0"/>
        <w:autoSpaceDN w:val="0"/>
        <w:adjustRightInd w:val="0"/>
        <w:spacing w:before="240" w:after="160" w:line="360" w:lineRule="auto"/>
        <w:ind w:left="0"/>
        <w:jc w:val="both"/>
        <w:rPr>
          <w:rFonts w:ascii="Palatino Linotype" w:hAnsi="Palatino Linotype" w:cs="Arial"/>
          <w:b/>
          <w:i/>
        </w:rPr>
      </w:pPr>
      <w:r w:rsidRPr="002A6C5E">
        <w:rPr>
          <w:rFonts w:ascii="Palatino Linotype" w:hAnsi="Palatino Linotype" w:cs="Arial"/>
          <w:b/>
          <w:i/>
        </w:rPr>
        <w:t>De las jornadas de embellecimiento municipales</w:t>
      </w:r>
    </w:p>
    <w:p w14:paraId="4A503B84" w14:textId="77777777" w:rsidR="002A6C5E" w:rsidRPr="002A6C5E" w:rsidRDefault="002A6C5E" w:rsidP="002A6C5E">
      <w:pPr>
        <w:pStyle w:val="Prrafodelista"/>
        <w:numPr>
          <w:ilvl w:val="0"/>
          <w:numId w:val="27"/>
        </w:numPr>
        <w:autoSpaceDE w:val="0"/>
        <w:autoSpaceDN w:val="0"/>
        <w:adjustRightInd w:val="0"/>
        <w:spacing w:line="360" w:lineRule="auto"/>
        <w:jc w:val="both"/>
        <w:rPr>
          <w:rFonts w:ascii="Palatino Linotype" w:hAnsi="Palatino Linotype" w:cs="Arial"/>
          <w:i/>
        </w:rPr>
      </w:pPr>
      <w:r w:rsidRPr="002A6C5E">
        <w:rPr>
          <w:rFonts w:ascii="Palatino Linotype" w:hAnsi="Palatino Linotype" w:cs="Arial"/>
          <w:i/>
        </w:rPr>
        <w:t xml:space="preserve">Expedientes (facturas, contratos, anexos y/o equivalentes) formados con motivo de las licitaciones públicas, invitaciones restringidas o adjudicaciones directas, por concepto de la adquisición de pintura empleada, del periodo comprendido del uno de enero de dos mil diecinueve al diez de marzo dos mil veintiuno. </w:t>
      </w:r>
    </w:p>
    <w:p w14:paraId="03080CD3" w14:textId="77777777" w:rsidR="002A6C5E" w:rsidRPr="002A6C5E" w:rsidRDefault="002A6C5E" w:rsidP="002A6C5E">
      <w:pPr>
        <w:autoSpaceDE w:val="0"/>
        <w:autoSpaceDN w:val="0"/>
        <w:adjustRightInd w:val="0"/>
        <w:spacing w:line="360" w:lineRule="auto"/>
        <w:jc w:val="both"/>
        <w:rPr>
          <w:rFonts w:ascii="Palatino Linotype" w:hAnsi="Palatino Linotype" w:cs="Arial"/>
          <w:i/>
        </w:rPr>
      </w:pPr>
    </w:p>
    <w:p w14:paraId="66E0B445" w14:textId="77777777" w:rsidR="002A6C5E" w:rsidRPr="002A6C5E" w:rsidRDefault="002A6C5E" w:rsidP="002A6C5E">
      <w:pPr>
        <w:autoSpaceDE w:val="0"/>
        <w:autoSpaceDN w:val="0"/>
        <w:adjustRightInd w:val="0"/>
        <w:spacing w:line="360" w:lineRule="auto"/>
        <w:jc w:val="both"/>
        <w:rPr>
          <w:rFonts w:ascii="Palatino Linotype" w:hAnsi="Palatino Linotype" w:cs="Arial"/>
          <w:b/>
          <w:i/>
        </w:rPr>
      </w:pPr>
      <w:r w:rsidRPr="002A6C5E">
        <w:rPr>
          <w:rFonts w:ascii="Palatino Linotype" w:hAnsi="Palatino Linotype" w:cs="Arial"/>
          <w:b/>
          <w:i/>
        </w:rPr>
        <w:t>Del programa “Teoloyucan iluminado”</w:t>
      </w:r>
    </w:p>
    <w:p w14:paraId="5570AF0F" w14:textId="77777777" w:rsidR="002A6C5E" w:rsidRPr="002A6C5E" w:rsidRDefault="002A6C5E" w:rsidP="002A6C5E">
      <w:pPr>
        <w:pStyle w:val="Prrafodelista"/>
        <w:numPr>
          <w:ilvl w:val="0"/>
          <w:numId w:val="27"/>
        </w:numPr>
        <w:autoSpaceDE w:val="0"/>
        <w:autoSpaceDN w:val="0"/>
        <w:adjustRightInd w:val="0"/>
        <w:spacing w:line="360" w:lineRule="auto"/>
        <w:jc w:val="both"/>
        <w:rPr>
          <w:rFonts w:ascii="Palatino Linotype" w:hAnsi="Palatino Linotype" w:cs="Arial"/>
          <w:i/>
        </w:rPr>
      </w:pPr>
      <w:r w:rsidRPr="002A6C5E">
        <w:rPr>
          <w:rFonts w:ascii="Palatino Linotype" w:hAnsi="Palatino Linotype" w:cs="Arial"/>
          <w:i/>
        </w:rPr>
        <w:t xml:space="preserve">El o los documentos donde consten los presupuestos asignados, desde el inicio del programa y hasta el veintitrés de febrero de dos mil veintiuno.  </w:t>
      </w:r>
    </w:p>
    <w:p w14:paraId="322911E8" w14:textId="77777777" w:rsidR="002A6C5E" w:rsidRPr="002A6C5E" w:rsidRDefault="002A6C5E" w:rsidP="001E05C0">
      <w:pPr>
        <w:pStyle w:val="Prrafodelista"/>
        <w:numPr>
          <w:ilvl w:val="0"/>
          <w:numId w:val="27"/>
        </w:numPr>
        <w:autoSpaceDE w:val="0"/>
        <w:autoSpaceDN w:val="0"/>
        <w:adjustRightInd w:val="0"/>
        <w:spacing w:before="240" w:after="360" w:line="360" w:lineRule="auto"/>
        <w:ind w:right="49"/>
        <w:jc w:val="both"/>
        <w:rPr>
          <w:rFonts w:ascii="Palatino Linotype" w:hAnsi="Palatino Linotype" w:cs="Arial"/>
          <w:bCs/>
        </w:rPr>
      </w:pPr>
      <w:r w:rsidRPr="002A6C5E">
        <w:rPr>
          <w:rFonts w:ascii="Palatino Linotype" w:hAnsi="Palatino Linotype" w:cs="Arial"/>
          <w:i/>
        </w:rPr>
        <w:t xml:space="preserve">El o los documentos donde conste el número total de luminarias nuevas que han sido colocadas, desde el inicio del programa y hasta el veintitrés de febrero de dos mil veintiuno.  </w:t>
      </w:r>
    </w:p>
    <w:p w14:paraId="310D2497" w14:textId="6CA0AF65" w:rsidR="002A6C5E" w:rsidRPr="002A6C5E" w:rsidRDefault="002A6C5E" w:rsidP="001E05C0">
      <w:pPr>
        <w:pStyle w:val="Prrafodelista"/>
        <w:numPr>
          <w:ilvl w:val="0"/>
          <w:numId w:val="27"/>
        </w:numPr>
        <w:autoSpaceDE w:val="0"/>
        <w:autoSpaceDN w:val="0"/>
        <w:adjustRightInd w:val="0"/>
        <w:spacing w:before="240" w:after="360" w:line="360" w:lineRule="auto"/>
        <w:ind w:right="49"/>
        <w:jc w:val="both"/>
        <w:rPr>
          <w:rFonts w:ascii="Palatino Linotype" w:hAnsi="Palatino Linotype" w:cs="Arial"/>
          <w:bCs/>
          <w:i/>
        </w:rPr>
      </w:pPr>
      <w:r w:rsidRPr="002A6C5E">
        <w:rPr>
          <w:rFonts w:ascii="Palatino Linotype" w:hAnsi="Palatino Linotype" w:cs="Arial"/>
          <w:i/>
        </w:rPr>
        <w:t xml:space="preserve">Expedientes (facturas, contratos, anexos y/o equivalentes) formados con motivo de las licitaciones públicas, invitaciones restringidas o adjudicaciones directas, por concepto </w:t>
      </w:r>
      <w:r w:rsidRPr="002A6C5E">
        <w:rPr>
          <w:rFonts w:ascii="Palatino Linotype" w:hAnsi="Palatino Linotype" w:cs="Arial"/>
          <w:i/>
        </w:rPr>
        <w:lastRenderedPageBreak/>
        <w:t xml:space="preserve">de adquisición de luminarias, desde el inicio del programa y hasta el veintitrés de febrero de dos mil veintiuno.  </w:t>
      </w:r>
    </w:p>
    <w:p w14:paraId="60417E36" w14:textId="77777777" w:rsidR="002A6C5E" w:rsidRDefault="002A6C5E" w:rsidP="002A6C5E">
      <w:pPr>
        <w:pStyle w:val="Prrafodelista"/>
        <w:spacing w:before="240" w:line="360" w:lineRule="auto"/>
        <w:ind w:left="720" w:right="141"/>
        <w:jc w:val="both"/>
        <w:rPr>
          <w:rFonts w:ascii="Palatino Linotype" w:hAnsi="Palatino Linotype" w:cs="Arial"/>
          <w:i/>
          <w:lang w:val="es-ES_tradnl"/>
        </w:rPr>
      </w:pPr>
      <w:r w:rsidRPr="00AF54EF">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6C951DE1" w14:textId="77777777" w:rsidR="002A6C5E" w:rsidRDefault="002A6C5E" w:rsidP="008C79F3">
      <w:pPr>
        <w:pStyle w:val="Sinespaciado"/>
        <w:spacing w:line="360" w:lineRule="auto"/>
        <w:jc w:val="both"/>
        <w:rPr>
          <w:rFonts w:ascii="Palatino Linotype" w:hAnsi="Palatino Linotype" w:cstheme="minorHAnsi"/>
          <w:b/>
        </w:rPr>
      </w:pPr>
    </w:p>
    <w:p w14:paraId="2FA82691" w14:textId="77777777" w:rsidR="002A6C5E" w:rsidRDefault="002A6C5E" w:rsidP="008C79F3">
      <w:pPr>
        <w:pStyle w:val="Sinespaciado"/>
        <w:spacing w:line="360" w:lineRule="auto"/>
        <w:jc w:val="both"/>
        <w:rPr>
          <w:rFonts w:ascii="Palatino Linotype" w:hAnsi="Palatino Linotype" w:cstheme="minorHAnsi"/>
          <w:b/>
        </w:rPr>
      </w:pPr>
    </w:p>
    <w:p w14:paraId="0D06A9AE" w14:textId="77777777"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53A842EA" w14:textId="77777777" w:rsidR="008C79F3" w:rsidRPr="00BE383C" w:rsidRDefault="008C79F3" w:rsidP="008C79F3">
      <w:pPr>
        <w:pStyle w:val="Sinespaciado"/>
        <w:spacing w:line="360" w:lineRule="auto"/>
        <w:jc w:val="both"/>
        <w:rPr>
          <w:rFonts w:ascii="Palatino Linotype" w:hAnsi="Palatino Linotype" w:cstheme="minorHAnsi"/>
        </w:rPr>
      </w:pPr>
    </w:p>
    <w:p w14:paraId="791BE884" w14:textId="13584912" w:rsidR="008C79F3" w:rsidRDefault="008C79F3" w:rsidP="008C79F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 xml:space="preserve">a </w:t>
      </w:r>
      <w:r>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B4042B" w14:textId="77777777" w:rsidR="008C79F3" w:rsidRDefault="008C79F3" w:rsidP="008C79F3">
      <w:pPr>
        <w:pStyle w:val="Sinespaciado"/>
        <w:spacing w:line="360" w:lineRule="auto"/>
        <w:jc w:val="both"/>
        <w:rPr>
          <w:rFonts w:ascii="Palatino Linotype" w:hAnsi="Palatino Linotype" w:cstheme="minorHAnsi"/>
        </w:rPr>
      </w:pPr>
    </w:p>
    <w:p w14:paraId="1B10B4F9" w14:textId="77777777" w:rsidR="008C79F3" w:rsidRDefault="008C79F3" w:rsidP="008C79F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6AFB75A4" w14:textId="77777777" w:rsidR="008C79F3" w:rsidRDefault="008C79F3" w:rsidP="008C79F3">
      <w:pPr>
        <w:pStyle w:val="Sinespaciado"/>
        <w:spacing w:line="360" w:lineRule="auto"/>
        <w:jc w:val="both"/>
        <w:rPr>
          <w:rFonts w:ascii="Palatino Linotype" w:eastAsia="MS Mincho" w:hAnsi="Palatino Linotype" w:cstheme="minorHAnsi"/>
        </w:rPr>
      </w:pPr>
    </w:p>
    <w:p w14:paraId="4BDD15D4" w14:textId="56867B71" w:rsidR="008C79F3" w:rsidRPr="00BE383C" w:rsidRDefault="008C79F3" w:rsidP="008C79F3">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 xml:space="preserve">del conocimiento de </w:t>
      </w:r>
      <w:r>
        <w:rPr>
          <w:rFonts w:ascii="Palatino Linotype" w:hAnsi="Palatino Linotype" w:cstheme="minorHAnsi"/>
          <w:b/>
          <w:color w:val="222222"/>
          <w:lang w:eastAsia="es-ES_tradnl"/>
        </w:rPr>
        <w:t xml:space="preserve">LA </w:t>
      </w:r>
      <w:r w:rsidRPr="00C14D83">
        <w:rPr>
          <w:rFonts w:ascii="Palatino Linotype" w:hAnsi="Palatino Linotype" w:cstheme="minorHAnsi"/>
          <w:b/>
          <w:color w:val="222222"/>
          <w:lang w:eastAsia="es-ES_tradnl"/>
        </w:rPr>
        <w:t>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B9B4C97" w14:textId="77777777" w:rsidR="008C79F3" w:rsidRDefault="008C79F3" w:rsidP="008C79F3">
      <w:pPr>
        <w:autoSpaceDE w:val="0"/>
        <w:autoSpaceDN w:val="0"/>
        <w:adjustRightInd w:val="0"/>
        <w:spacing w:after="0" w:line="360" w:lineRule="auto"/>
        <w:ind w:right="49"/>
        <w:jc w:val="both"/>
        <w:rPr>
          <w:rFonts w:ascii="Palatino Linotype" w:hAnsi="Palatino Linotype" w:cs="Arial"/>
          <w:sz w:val="24"/>
          <w:szCs w:val="24"/>
        </w:rPr>
      </w:pPr>
    </w:p>
    <w:p w14:paraId="0FD63040" w14:textId="77777777" w:rsidR="008C79F3" w:rsidRDefault="008C79F3" w:rsidP="008C79F3">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3F1DD57" w14:textId="37EED3D5" w:rsidR="008C79F3" w:rsidRDefault="008C79F3" w:rsidP="008C79F3">
      <w:pPr>
        <w:spacing w:after="0" w:line="360" w:lineRule="auto"/>
        <w:jc w:val="both"/>
        <w:rPr>
          <w:rFonts w:ascii="Palatino Linotype" w:eastAsia="Calibri" w:hAnsi="Palatino Linotype" w:cs="Times New Roman"/>
          <w:sz w:val="24"/>
          <w:szCs w:val="24"/>
          <w:lang w:eastAsia="es-ES_tradnl"/>
        </w:rPr>
      </w:pPr>
    </w:p>
    <w:p w14:paraId="724851C4" w14:textId="71ABCFF1" w:rsidR="002A6C5E" w:rsidRDefault="002A6C5E" w:rsidP="002A6C5E">
      <w:pPr>
        <w:spacing w:after="0" w:line="360" w:lineRule="auto"/>
        <w:jc w:val="both"/>
        <w:rPr>
          <w:rFonts w:ascii="Palatino Linotype" w:eastAsia="Calibri" w:hAnsi="Palatino Linotype" w:cs="Times New Roman"/>
          <w:sz w:val="24"/>
          <w:szCs w:val="24"/>
          <w:lang w:eastAsia="es-ES_tradnl"/>
        </w:rPr>
      </w:pPr>
      <w:r w:rsidRPr="002A6C5E">
        <w:rPr>
          <w:rFonts w:ascii="Palatino Linotype" w:eastAsia="Calibri" w:hAnsi="Palatino Linotype" w:cs="Times New Roman"/>
          <w:b/>
          <w:bCs/>
          <w:sz w:val="24"/>
          <w:szCs w:val="24"/>
          <w:lang w:eastAsia="es-ES_tradnl"/>
        </w:rPr>
        <w:t>OCTAVO.</w:t>
      </w:r>
      <w:r>
        <w:rPr>
          <w:rFonts w:ascii="Palatino Linotype" w:eastAsia="Calibri" w:hAnsi="Palatino Linotype" w:cs="Times New Roman"/>
          <w:b/>
          <w:bCs/>
          <w:sz w:val="28"/>
          <w:szCs w:val="28"/>
          <w:lang w:eastAsia="es-ES_tradnl"/>
        </w:rPr>
        <w:t xml:space="preserve"> </w:t>
      </w:r>
      <w:r w:rsidRPr="00C24987">
        <w:rPr>
          <w:rFonts w:ascii="Palatino Linotype" w:eastAsia="Calibri" w:hAnsi="Palatino Linotype" w:cs="Times New Roman"/>
          <w:b/>
          <w:bCs/>
          <w:sz w:val="28"/>
          <w:szCs w:val="28"/>
          <w:lang w:eastAsia="es-ES_tradnl"/>
        </w:rPr>
        <w:t>-</w:t>
      </w:r>
      <w:r>
        <w:rPr>
          <w:rFonts w:ascii="Palatino Linotype" w:eastAsia="Calibri" w:hAnsi="Palatino Linotype" w:cs="Times New Roman"/>
          <w:sz w:val="24"/>
          <w:szCs w:val="24"/>
          <w:lang w:eastAsia="es-ES_tradnl"/>
        </w:rPr>
        <w:t xml:space="preserve"> </w:t>
      </w:r>
      <w:r w:rsidRPr="009D6BE1">
        <w:rPr>
          <w:rFonts w:ascii="Palatino Linotype" w:eastAsia="Calibri" w:hAnsi="Palatino Linotype"/>
          <w:b/>
          <w:sz w:val="24"/>
          <w:lang w:eastAsia="es-ES_tradnl"/>
        </w:rPr>
        <w:t>GÍRESE</w:t>
      </w:r>
      <w:r w:rsidRPr="009D6BE1">
        <w:rPr>
          <w:rFonts w:ascii="Palatino Linotype" w:eastAsia="Calibri" w:hAnsi="Palatino Linotype"/>
          <w:sz w:val="24"/>
          <w:lang w:eastAsia="es-ES_tradnl"/>
        </w:rPr>
        <w:t xml:space="preserve"> </w:t>
      </w:r>
      <w:r w:rsidRPr="00092D83">
        <w:rPr>
          <w:rFonts w:ascii="Palatino Linotype" w:eastAsia="Calibri" w:hAnsi="Palatino Linotype"/>
          <w:sz w:val="24"/>
          <w:lang w:eastAsia="es-ES_tradnl"/>
        </w:rPr>
        <w:t xml:space="preserve">oficio al Titular de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Calibri" w:hAnsi="Palatino Linotype"/>
          <w:sz w:val="24"/>
          <w:lang w:eastAsia="es-ES_tradnl"/>
        </w:rPr>
        <w:t xml:space="preserve">, </w:t>
      </w:r>
      <w:r w:rsidRPr="00605501">
        <w:rPr>
          <w:rFonts w:ascii="Palatino Linotype" w:hAnsi="Palatino Linotype" w:cs="Arial"/>
          <w:sz w:val="24"/>
          <w:szCs w:val="24"/>
        </w:rPr>
        <w:t xml:space="preserve">de conformidad con el artículo </w:t>
      </w:r>
      <w:r>
        <w:rPr>
          <w:rFonts w:ascii="Palatino Linotype" w:hAnsi="Palatino Linotype" w:cs="Arial"/>
          <w:sz w:val="24"/>
          <w:szCs w:val="24"/>
        </w:rPr>
        <w:t>23, fracción XIV del Reglamento Interior del Instituto de</w:t>
      </w:r>
      <w:r w:rsidRPr="00605501">
        <w:rPr>
          <w:rFonts w:ascii="Palatino Linotype" w:hAnsi="Palatino Linotype" w:cs="Arial"/>
          <w:sz w:val="24"/>
          <w:szCs w:val="24"/>
        </w:rPr>
        <w:t xml:space="preserve"> Transparencia y Acceso a la Información Pública del Estado de México </w:t>
      </w:r>
      <w:r w:rsidRPr="00605501">
        <w:rPr>
          <w:rFonts w:ascii="Palatino Linotype" w:hAnsi="Palatino Linotype" w:cs="Arial"/>
          <w:sz w:val="24"/>
          <w:szCs w:val="24"/>
        </w:rPr>
        <w:lastRenderedPageBreak/>
        <w:t xml:space="preserve">y Municipios a fin de que determine lo conducente, en términos del Considerando </w:t>
      </w:r>
      <w:r w:rsidRPr="003E05A5">
        <w:rPr>
          <w:rFonts w:ascii="Palatino Linotype" w:hAnsi="Palatino Linotype" w:cs="Arial"/>
          <w:b/>
          <w:bCs/>
          <w:sz w:val="24"/>
          <w:szCs w:val="24"/>
        </w:rPr>
        <w:t>CUARTO</w:t>
      </w:r>
      <w:r w:rsidRPr="00605501">
        <w:rPr>
          <w:rFonts w:ascii="Palatino Linotype" w:hAnsi="Palatino Linotype" w:cs="Arial"/>
          <w:sz w:val="24"/>
          <w:szCs w:val="24"/>
        </w:rPr>
        <w:t xml:space="preserve"> de la presente resolución.</w:t>
      </w:r>
    </w:p>
    <w:p w14:paraId="46F9A554" w14:textId="77777777" w:rsidR="002A6C5E" w:rsidRDefault="002A6C5E" w:rsidP="008C79F3">
      <w:pPr>
        <w:spacing w:after="0" w:line="360" w:lineRule="auto"/>
        <w:jc w:val="both"/>
        <w:rPr>
          <w:rFonts w:ascii="Palatino Linotype" w:eastAsia="Calibri" w:hAnsi="Palatino Linotype" w:cs="Times New Roman"/>
          <w:sz w:val="24"/>
          <w:szCs w:val="24"/>
          <w:lang w:eastAsia="es-ES_tradnl"/>
        </w:rPr>
      </w:pPr>
    </w:p>
    <w:p w14:paraId="40C50974" w14:textId="77777777" w:rsidR="008C79F3" w:rsidRDefault="008C79F3" w:rsidP="008C79F3">
      <w:pPr>
        <w:spacing w:after="0" w:line="360" w:lineRule="auto"/>
        <w:jc w:val="both"/>
        <w:rPr>
          <w:rFonts w:ascii="Palatino Linotype" w:eastAsia="Calibri" w:hAnsi="Palatino Linotype" w:cs="Times New Roman"/>
          <w:sz w:val="24"/>
          <w:szCs w:val="24"/>
          <w:lang w:eastAsia="es-ES_tradnl"/>
        </w:rPr>
      </w:pPr>
    </w:p>
    <w:p w14:paraId="003A8F32" w14:textId="364F1C57" w:rsidR="008C79F3" w:rsidRDefault="008C79F3" w:rsidP="008C79F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2A6C5E">
        <w:rPr>
          <w:rFonts w:ascii="Palatino Linotype" w:hAnsi="Palatino Linotype" w:cs="Arial"/>
          <w:sz w:val="24"/>
          <w:szCs w:val="24"/>
        </w:rPr>
        <w:t>UNANIMIDAD</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A14D19">
        <w:rPr>
          <w:rFonts w:ascii="Palatino Linotype" w:hAnsi="Palatino Linotype" w:cs="Arial"/>
          <w:sz w:val="24"/>
          <w:szCs w:val="24"/>
        </w:rPr>
        <w:t xml:space="preserve">(VOTO PARTICULAR CONCURRENTE) </w:t>
      </w:r>
      <w:r>
        <w:rPr>
          <w:rFonts w:ascii="Palatino Linotype" w:hAnsi="Palatino Linotype" w:cs="Arial"/>
          <w:sz w:val="24"/>
          <w:szCs w:val="24"/>
        </w:rPr>
        <w:t xml:space="preserve">Y LUIS GUSTAVO PARRA NORIEGA </w:t>
      </w:r>
      <w:r w:rsidR="00A14D19">
        <w:rPr>
          <w:rFonts w:ascii="Palatino Linotype" w:hAnsi="Palatino Linotype" w:cs="Arial"/>
          <w:sz w:val="24"/>
          <w:szCs w:val="24"/>
        </w:rPr>
        <w:t xml:space="preserve">(VOTO PARTICULAR CONCURRENTE)  </w:t>
      </w:r>
      <w:r w:rsidRPr="003955C1">
        <w:rPr>
          <w:rFonts w:ascii="Palatino Linotype" w:eastAsia="Arial Unicode MS" w:hAnsi="Palatino Linotype" w:cs="Times New Roman"/>
          <w:sz w:val="24"/>
          <w:szCs w:val="24"/>
          <w:lang w:eastAsia="es-ES"/>
        </w:rPr>
        <w:t xml:space="preserve">EN </w:t>
      </w:r>
      <w:r>
        <w:rPr>
          <w:rFonts w:ascii="Palatino Linotype" w:hAnsi="Palatino Linotype" w:cs="Arial"/>
          <w:sz w:val="24"/>
          <w:szCs w:val="24"/>
        </w:rPr>
        <w:t xml:space="preserve">LA DÉCIMA </w:t>
      </w:r>
      <w:r w:rsidR="00A14D19">
        <w:rPr>
          <w:rFonts w:ascii="Palatino Linotype" w:hAnsi="Palatino Linotype" w:cs="Arial"/>
          <w:sz w:val="24"/>
          <w:szCs w:val="24"/>
        </w:rPr>
        <w:t>OCTAVA</w:t>
      </w:r>
      <w:r>
        <w:rPr>
          <w:rFonts w:ascii="Palatino Linotype" w:hAnsi="Palatino Linotype" w:cs="Arial"/>
          <w:sz w:val="24"/>
          <w:szCs w:val="24"/>
        </w:rPr>
        <w:t xml:space="preserve"> SESIÓN ORDINARIA CELEBRADA EL VEINTISÉIS DE MAYO DE DOS MIL VEINTIUNO, ANTE EL SECRETARIO TÉCNICO DEL PLENO, ALEXIS TAPIA RAMÍREZ. </w:t>
      </w:r>
    </w:p>
    <w:p w14:paraId="0CE6A6E4" w14:textId="7AE5F0AA" w:rsidR="008C79F3" w:rsidRDefault="008C79F3" w:rsidP="008C79F3">
      <w:pPr>
        <w:spacing w:after="0" w:line="360" w:lineRule="auto"/>
        <w:jc w:val="both"/>
        <w:rPr>
          <w:rFonts w:ascii="Palatino Linotype" w:hAnsi="Palatino Linotype" w:cs="Arial"/>
          <w:sz w:val="24"/>
          <w:szCs w:val="24"/>
        </w:rPr>
      </w:pPr>
    </w:p>
    <w:p w14:paraId="46D78C19" w14:textId="624E90DB" w:rsidR="002861B3" w:rsidRDefault="002A6C5E" w:rsidP="008C79F3">
      <w:pPr>
        <w:spacing w:after="0" w:line="360" w:lineRule="auto"/>
        <w:jc w:val="both"/>
        <w:rPr>
          <w:rFonts w:ascii="Palatino Linotype" w:hAnsi="Palatino Linotype" w:cs="Arial"/>
          <w:sz w:val="16"/>
          <w:szCs w:val="16"/>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5A66820" wp14:editId="7AD8ADEE">
                <wp:simplePos x="0" y="0"/>
                <wp:positionH relativeFrom="column">
                  <wp:posOffset>15420</wp:posOffset>
                </wp:positionH>
                <wp:positionV relativeFrom="paragraph">
                  <wp:posOffset>6961</wp:posOffset>
                </wp:positionV>
                <wp:extent cx="6448425" cy="2984416"/>
                <wp:effectExtent l="0" t="0" r="28575" b="26035"/>
                <wp:wrapNone/>
                <wp:docPr id="25" name="Conector recto 25"/>
                <wp:cNvGraphicFramePr/>
                <a:graphic xmlns:a="http://schemas.openxmlformats.org/drawingml/2006/main">
                  <a:graphicData uri="http://schemas.microsoft.com/office/word/2010/wordprocessingShape">
                    <wps:wsp>
                      <wps:cNvCnPr/>
                      <wps:spPr>
                        <a:xfrm>
                          <a:off x="0" y="0"/>
                          <a:ext cx="6448425" cy="29844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7A4B71" id="Conector recto 2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55pt" to="508.9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" strokecolor="#5b9bd5 [3204]" strokeweight=".5pt">
                <v:stroke joinstyle="miter"/>
              </v:line>
            </w:pict>
          </mc:Fallback>
        </mc:AlternateContent>
      </w:r>
    </w:p>
    <w:p w14:paraId="56266B2E" w14:textId="77777777" w:rsidR="002861B3" w:rsidRDefault="002861B3" w:rsidP="008C79F3">
      <w:pPr>
        <w:spacing w:after="0" w:line="360" w:lineRule="auto"/>
        <w:jc w:val="both"/>
        <w:rPr>
          <w:rFonts w:ascii="Palatino Linotype" w:hAnsi="Palatino Linotype" w:cs="Arial"/>
          <w:sz w:val="16"/>
          <w:szCs w:val="16"/>
        </w:rPr>
      </w:pPr>
    </w:p>
    <w:p w14:paraId="1AEAA439" w14:textId="77777777" w:rsidR="002861B3" w:rsidRDefault="002861B3" w:rsidP="008C79F3">
      <w:pPr>
        <w:spacing w:after="0" w:line="360" w:lineRule="auto"/>
        <w:jc w:val="both"/>
        <w:rPr>
          <w:rFonts w:ascii="Palatino Linotype" w:hAnsi="Palatino Linotype" w:cs="Arial"/>
          <w:sz w:val="16"/>
          <w:szCs w:val="16"/>
        </w:rPr>
      </w:pPr>
    </w:p>
    <w:p w14:paraId="36AAD063" w14:textId="77777777" w:rsidR="002861B3" w:rsidRDefault="002861B3" w:rsidP="008C79F3">
      <w:pPr>
        <w:spacing w:after="0" w:line="360" w:lineRule="auto"/>
        <w:jc w:val="both"/>
        <w:rPr>
          <w:rFonts w:ascii="Palatino Linotype" w:hAnsi="Palatino Linotype" w:cs="Arial"/>
          <w:sz w:val="16"/>
          <w:szCs w:val="16"/>
        </w:rPr>
      </w:pPr>
    </w:p>
    <w:p w14:paraId="520929D9" w14:textId="77777777" w:rsidR="002861B3" w:rsidRDefault="002861B3" w:rsidP="008C79F3">
      <w:pPr>
        <w:spacing w:after="0" w:line="360" w:lineRule="auto"/>
        <w:jc w:val="both"/>
        <w:rPr>
          <w:rFonts w:ascii="Palatino Linotype" w:hAnsi="Palatino Linotype" w:cs="Arial"/>
          <w:sz w:val="16"/>
          <w:szCs w:val="16"/>
        </w:rPr>
      </w:pPr>
    </w:p>
    <w:p w14:paraId="44975966" w14:textId="77777777" w:rsidR="002861B3" w:rsidRDefault="002861B3" w:rsidP="008C79F3">
      <w:pPr>
        <w:spacing w:after="0" w:line="360" w:lineRule="auto"/>
        <w:jc w:val="both"/>
        <w:rPr>
          <w:rFonts w:ascii="Palatino Linotype" w:hAnsi="Palatino Linotype" w:cs="Arial"/>
          <w:sz w:val="16"/>
          <w:szCs w:val="16"/>
        </w:rPr>
      </w:pPr>
    </w:p>
    <w:p w14:paraId="7D4D89A6" w14:textId="77777777" w:rsidR="002861B3" w:rsidRDefault="002861B3" w:rsidP="008C79F3">
      <w:pPr>
        <w:spacing w:after="0" w:line="360" w:lineRule="auto"/>
        <w:jc w:val="both"/>
        <w:rPr>
          <w:rFonts w:ascii="Palatino Linotype" w:hAnsi="Palatino Linotype" w:cs="Arial"/>
          <w:sz w:val="16"/>
          <w:szCs w:val="16"/>
        </w:rPr>
      </w:pPr>
    </w:p>
    <w:p w14:paraId="22A69F37" w14:textId="77777777" w:rsidR="002861B3" w:rsidRDefault="002861B3" w:rsidP="008C79F3">
      <w:pPr>
        <w:spacing w:after="0" w:line="360" w:lineRule="auto"/>
        <w:jc w:val="both"/>
        <w:rPr>
          <w:rFonts w:ascii="Palatino Linotype" w:hAnsi="Palatino Linotype" w:cs="Arial"/>
          <w:sz w:val="16"/>
          <w:szCs w:val="16"/>
        </w:rPr>
      </w:pPr>
    </w:p>
    <w:p w14:paraId="6D36C8D6" w14:textId="77777777" w:rsidR="002861B3" w:rsidRDefault="002861B3" w:rsidP="008C79F3">
      <w:pPr>
        <w:spacing w:after="0" w:line="360" w:lineRule="auto"/>
        <w:jc w:val="both"/>
        <w:rPr>
          <w:rFonts w:ascii="Palatino Linotype" w:hAnsi="Palatino Linotype" w:cs="Arial"/>
          <w:sz w:val="16"/>
          <w:szCs w:val="16"/>
        </w:rPr>
      </w:pPr>
    </w:p>
    <w:p w14:paraId="69C39AFF" w14:textId="77777777" w:rsidR="002861B3" w:rsidRDefault="002861B3" w:rsidP="008C79F3">
      <w:pPr>
        <w:spacing w:after="0" w:line="360" w:lineRule="auto"/>
        <w:jc w:val="both"/>
        <w:rPr>
          <w:rFonts w:ascii="Palatino Linotype" w:hAnsi="Palatino Linotype" w:cs="Arial"/>
          <w:sz w:val="16"/>
          <w:szCs w:val="16"/>
        </w:rPr>
      </w:pPr>
    </w:p>
    <w:p w14:paraId="77D53D49" w14:textId="77777777" w:rsidR="002861B3" w:rsidRDefault="002861B3" w:rsidP="008C79F3">
      <w:pPr>
        <w:spacing w:after="0" w:line="360" w:lineRule="auto"/>
        <w:jc w:val="both"/>
        <w:rPr>
          <w:rFonts w:ascii="Palatino Linotype" w:hAnsi="Palatino Linotype" w:cs="Arial"/>
          <w:sz w:val="16"/>
          <w:szCs w:val="16"/>
        </w:rPr>
      </w:pPr>
    </w:p>
    <w:p w14:paraId="4A9D166D" w14:textId="77777777" w:rsidR="002861B3" w:rsidRDefault="002861B3" w:rsidP="008C79F3">
      <w:pPr>
        <w:spacing w:after="0" w:line="360" w:lineRule="auto"/>
        <w:jc w:val="both"/>
        <w:rPr>
          <w:rFonts w:ascii="Palatino Linotype" w:hAnsi="Palatino Linotype" w:cs="Arial"/>
          <w:sz w:val="16"/>
          <w:szCs w:val="16"/>
        </w:rPr>
      </w:pPr>
    </w:p>
    <w:p w14:paraId="73E2431F" w14:textId="1470CF90" w:rsidR="002861B3" w:rsidRDefault="002861B3" w:rsidP="008C79F3">
      <w:pPr>
        <w:spacing w:after="0" w:line="360" w:lineRule="auto"/>
        <w:jc w:val="both"/>
        <w:rPr>
          <w:rFonts w:ascii="Palatino Linotype" w:hAnsi="Palatino Linotype" w:cs="Arial"/>
          <w:sz w:val="16"/>
          <w:szCs w:val="16"/>
        </w:rPr>
      </w:pPr>
      <w:r>
        <w:rPr>
          <w:rFonts w:ascii="Palatino Linotype" w:hAnsi="Palatino Linotype" w:cs="Arial"/>
          <w:sz w:val="16"/>
          <w:szCs w:val="16"/>
        </w:rPr>
        <w:t>OSAM/JCMA</w:t>
      </w:r>
    </w:p>
    <w:p w14:paraId="411B00CF" w14:textId="77777777" w:rsidR="002861B3" w:rsidRDefault="002861B3" w:rsidP="008C79F3">
      <w:pPr>
        <w:spacing w:after="0" w:line="360" w:lineRule="auto"/>
        <w:jc w:val="both"/>
        <w:rPr>
          <w:rFonts w:ascii="Palatino Linotype" w:hAnsi="Palatino Linotype" w:cs="Arial"/>
          <w:sz w:val="16"/>
          <w:szCs w:val="16"/>
        </w:rPr>
      </w:pPr>
    </w:p>
    <w:p w14:paraId="43FAE52F" w14:textId="77777777" w:rsidR="002861B3" w:rsidRDefault="002861B3" w:rsidP="008C79F3">
      <w:pPr>
        <w:spacing w:after="0" w:line="360" w:lineRule="auto"/>
        <w:jc w:val="both"/>
        <w:rPr>
          <w:rFonts w:ascii="Palatino Linotype" w:hAnsi="Palatino Linotype" w:cs="Arial"/>
          <w:sz w:val="16"/>
          <w:szCs w:val="16"/>
        </w:rPr>
      </w:pPr>
    </w:p>
    <w:p w14:paraId="0B3709B4" w14:textId="77777777" w:rsidR="002861B3" w:rsidRPr="002861B3" w:rsidRDefault="002861B3" w:rsidP="008C79F3">
      <w:pPr>
        <w:spacing w:after="0" w:line="360" w:lineRule="auto"/>
        <w:jc w:val="both"/>
        <w:rPr>
          <w:rFonts w:ascii="Palatino Linotype" w:hAnsi="Palatino Linotype" w:cs="Arial"/>
          <w:sz w:val="16"/>
          <w:szCs w:val="16"/>
        </w:rPr>
      </w:pPr>
    </w:p>
    <w:sectPr w:rsidR="002861B3" w:rsidRPr="002861B3"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801F5" w14:textId="77777777" w:rsidR="00384308" w:rsidRDefault="00384308" w:rsidP="006168E4">
      <w:pPr>
        <w:spacing w:after="0" w:line="240" w:lineRule="auto"/>
      </w:pPr>
      <w:r>
        <w:separator/>
      </w:r>
    </w:p>
  </w:endnote>
  <w:endnote w:type="continuationSeparator" w:id="0">
    <w:p w14:paraId="15E3820C" w14:textId="77777777" w:rsidR="00384308" w:rsidRDefault="0038430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8B3B69" w:rsidRPr="000B69FA" w:rsidRDefault="008B3B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0D85">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0D85">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8B3B69" w:rsidRPr="000B69FA" w:rsidRDefault="008B3B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0D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0D85">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E7D3C" w14:textId="77777777" w:rsidR="00384308" w:rsidRDefault="00384308" w:rsidP="006168E4">
      <w:pPr>
        <w:spacing w:after="0" w:line="240" w:lineRule="auto"/>
      </w:pPr>
      <w:r>
        <w:separator/>
      </w:r>
    </w:p>
  </w:footnote>
  <w:footnote w:type="continuationSeparator" w:id="0">
    <w:p w14:paraId="43CF364B" w14:textId="77777777" w:rsidR="00384308" w:rsidRDefault="00384308" w:rsidP="006168E4">
      <w:pPr>
        <w:spacing w:after="0" w:line="240" w:lineRule="auto"/>
      </w:pPr>
      <w:r>
        <w:continuationSeparator/>
      </w:r>
    </w:p>
  </w:footnote>
  <w:footnote w:id="1">
    <w:p w14:paraId="7F813D15" w14:textId="77777777" w:rsidR="008B3B69" w:rsidRPr="005552A8" w:rsidRDefault="008B3B69"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8B3B69" w:rsidRPr="005552A8" w:rsidRDefault="008B3B69"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4385E66" w:rsidR="008B3B69" w:rsidRDefault="008B3B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DBAAC72" wp14:editId="400D6E0B">
          <wp:simplePos x="0" y="0"/>
          <wp:positionH relativeFrom="page">
            <wp:align>left</wp:align>
          </wp:positionH>
          <wp:positionV relativeFrom="page">
            <wp:posOffset>33655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B3B69" w14:paraId="17981A04" w14:textId="77777777" w:rsidTr="00FB4AAD">
      <w:trPr>
        <w:trHeight w:val="227"/>
      </w:trPr>
      <w:tc>
        <w:tcPr>
          <w:tcW w:w="5529" w:type="dxa"/>
          <w:hideMark/>
        </w:tcPr>
        <w:p w14:paraId="0E414BC5" w14:textId="75B4D793" w:rsidR="008B3B69" w:rsidRDefault="008B3B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461FFB6" w:rsidR="008B3B69" w:rsidRPr="00B4142F" w:rsidRDefault="008B3B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01325/INFOEM/IP/RR/2021 y acumulados</w:t>
          </w:r>
        </w:p>
      </w:tc>
    </w:tr>
    <w:tr w:rsidR="008B3B69" w14:paraId="637042F0" w14:textId="77777777" w:rsidTr="00FB4AAD">
      <w:trPr>
        <w:trHeight w:val="242"/>
      </w:trPr>
      <w:tc>
        <w:tcPr>
          <w:tcW w:w="5529" w:type="dxa"/>
          <w:hideMark/>
        </w:tcPr>
        <w:p w14:paraId="412AD568" w14:textId="582E7AD7" w:rsidR="008B3B69" w:rsidRDefault="008B3B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747A7EE" w:rsidR="008B3B69" w:rsidRPr="00F06FED" w:rsidRDefault="008B3B69" w:rsidP="008C693E">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p>
      </w:tc>
    </w:tr>
    <w:tr w:rsidR="008B3B69" w14:paraId="21BFE746" w14:textId="77777777" w:rsidTr="00FB4AAD">
      <w:trPr>
        <w:trHeight w:val="342"/>
      </w:trPr>
      <w:tc>
        <w:tcPr>
          <w:tcW w:w="5529" w:type="dxa"/>
          <w:hideMark/>
        </w:tcPr>
        <w:p w14:paraId="64C4E314" w14:textId="77777777" w:rsidR="008B3B69" w:rsidRDefault="008B3B6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8B3B69" w:rsidRDefault="008B3B6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B3B69" w:rsidRDefault="008B3B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B3B69" w14:paraId="385FD437" w14:textId="77777777" w:rsidTr="00FB4AAD">
      <w:trPr>
        <w:trHeight w:val="227"/>
      </w:trPr>
      <w:tc>
        <w:tcPr>
          <w:tcW w:w="5529" w:type="dxa"/>
          <w:hideMark/>
        </w:tcPr>
        <w:p w14:paraId="272860E8" w14:textId="029CA8DC" w:rsidR="008B3B69" w:rsidRDefault="008B3B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D81FA8" w:rsidR="008B3B69" w:rsidRPr="00B4142F" w:rsidRDefault="008B3B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01325/INFOEM/IP/RR/2021 y acumulados</w:t>
          </w:r>
        </w:p>
      </w:tc>
    </w:tr>
    <w:tr w:rsidR="008B3B69" w14:paraId="33FC5097" w14:textId="77777777" w:rsidTr="00FB4AAD">
      <w:trPr>
        <w:trHeight w:val="196"/>
      </w:trPr>
      <w:tc>
        <w:tcPr>
          <w:tcW w:w="5529" w:type="dxa"/>
          <w:hideMark/>
        </w:tcPr>
        <w:p w14:paraId="4F5D01E5" w14:textId="77777777" w:rsidR="008B3B69" w:rsidRDefault="008B3B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F259760" w:rsidR="008B3B69" w:rsidRPr="00F06FED" w:rsidRDefault="00FF0D85"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8B3B69">
            <w:rPr>
              <w:rFonts w:ascii="Palatino Linotype" w:hAnsi="Palatino Linotype" w:cs="Arial"/>
            </w:rPr>
            <w:t xml:space="preserve">  </w:t>
          </w:r>
        </w:p>
      </w:tc>
    </w:tr>
    <w:tr w:rsidR="008B3B69" w14:paraId="178280DE" w14:textId="77777777" w:rsidTr="00FB4AAD">
      <w:trPr>
        <w:trHeight w:val="242"/>
      </w:trPr>
      <w:tc>
        <w:tcPr>
          <w:tcW w:w="5529" w:type="dxa"/>
          <w:hideMark/>
        </w:tcPr>
        <w:p w14:paraId="71AC708B" w14:textId="77777777" w:rsidR="008B3B69" w:rsidRDefault="008B3B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DB1C9BF" w:rsidR="008B3B69" w:rsidRDefault="008B3B69" w:rsidP="008C693E">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Teoloyucan</w:t>
          </w:r>
        </w:p>
      </w:tc>
    </w:tr>
    <w:tr w:rsidR="008B3B69" w14:paraId="0518978B" w14:textId="77777777" w:rsidTr="00FB4AAD">
      <w:trPr>
        <w:trHeight w:val="342"/>
      </w:trPr>
      <w:tc>
        <w:tcPr>
          <w:tcW w:w="5529" w:type="dxa"/>
          <w:hideMark/>
        </w:tcPr>
        <w:p w14:paraId="04968A43" w14:textId="77777777" w:rsidR="008B3B69" w:rsidRDefault="008B3B6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8B3B69" w:rsidRDefault="008B3B6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F06B336" w:rsidR="008B3B69" w:rsidRDefault="008B3B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90CB40" wp14:editId="4F15F20D">
          <wp:simplePos x="0" y="0"/>
          <wp:positionH relativeFrom="page">
            <wp:align>left</wp:align>
          </wp:positionH>
          <wp:positionV relativeFrom="page">
            <wp:posOffset>34925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9">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DD104D3"/>
    <w:multiLevelType w:val="hybridMultilevel"/>
    <w:tmpl w:val="A6AA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B001F"/>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2">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67EA5741"/>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78801C52"/>
    <w:multiLevelType w:val="hybridMultilevel"/>
    <w:tmpl w:val="2774F6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1"/>
  </w:num>
  <w:num w:numId="3">
    <w:abstractNumId w:val="25"/>
  </w:num>
  <w:num w:numId="4">
    <w:abstractNumId w:val="3"/>
  </w:num>
  <w:num w:numId="5">
    <w:abstractNumId w:val="22"/>
  </w:num>
  <w:num w:numId="6">
    <w:abstractNumId w:val="7"/>
  </w:num>
  <w:num w:numId="7">
    <w:abstractNumId w:val="4"/>
  </w:num>
  <w:num w:numId="8">
    <w:abstractNumId w:val="12"/>
  </w:num>
  <w:num w:numId="9">
    <w:abstractNumId w:val="24"/>
  </w:num>
  <w:num w:numId="10">
    <w:abstractNumId w:val="10"/>
  </w:num>
  <w:num w:numId="11">
    <w:abstractNumId w:val="13"/>
  </w:num>
  <w:num w:numId="12">
    <w:abstractNumId w:val="8"/>
  </w:num>
  <w:num w:numId="13">
    <w:abstractNumId w:val="6"/>
  </w:num>
  <w:num w:numId="14">
    <w:abstractNumId w:val="1"/>
  </w:num>
  <w:num w:numId="15">
    <w:abstractNumId w:val="2"/>
  </w:num>
  <w:num w:numId="16">
    <w:abstractNumId w:val="0"/>
  </w:num>
  <w:num w:numId="17">
    <w:abstractNumId w:val="11"/>
  </w:num>
  <w:num w:numId="18">
    <w:abstractNumId w:val="20"/>
  </w:num>
  <w:num w:numId="19">
    <w:abstractNumId w:val="16"/>
  </w:num>
  <w:num w:numId="20">
    <w:abstractNumId w:val="15"/>
  </w:num>
  <w:num w:numId="21">
    <w:abstractNumId w:val="19"/>
  </w:num>
  <w:num w:numId="22">
    <w:abstractNumId w:val="9"/>
  </w:num>
  <w:num w:numId="23">
    <w:abstractNumId w:val="14"/>
  </w:num>
  <w:num w:numId="24">
    <w:abstractNumId w:val="26"/>
  </w:num>
  <w:num w:numId="25">
    <w:abstractNumId w:val="5"/>
  </w:num>
  <w:num w:numId="26">
    <w:abstractNumId w:val="17"/>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E6F5E"/>
    <w:rsid w:val="000F2A5E"/>
    <w:rsid w:val="000F3F8D"/>
    <w:rsid w:val="000F5D94"/>
    <w:rsid w:val="00100C19"/>
    <w:rsid w:val="00105AC7"/>
    <w:rsid w:val="00106372"/>
    <w:rsid w:val="001119AB"/>
    <w:rsid w:val="00111DCD"/>
    <w:rsid w:val="00112C29"/>
    <w:rsid w:val="00114CF9"/>
    <w:rsid w:val="001228AB"/>
    <w:rsid w:val="00124855"/>
    <w:rsid w:val="001254F5"/>
    <w:rsid w:val="00136FAD"/>
    <w:rsid w:val="00140557"/>
    <w:rsid w:val="001408A0"/>
    <w:rsid w:val="001439C9"/>
    <w:rsid w:val="00144386"/>
    <w:rsid w:val="00146F0A"/>
    <w:rsid w:val="00151F35"/>
    <w:rsid w:val="00152AB2"/>
    <w:rsid w:val="00152C2B"/>
    <w:rsid w:val="00161FBE"/>
    <w:rsid w:val="0016745C"/>
    <w:rsid w:val="001710C0"/>
    <w:rsid w:val="001733A0"/>
    <w:rsid w:val="00175897"/>
    <w:rsid w:val="00180B9F"/>
    <w:rsid w:val="00181CC5"/>
    <w:rsid w:val="001829BE"/>
    <w:rsid w:val="00184E8E"/>
    <w:rsid w:val="001854E1"/>
    <w:rsid w:val="0018577F"/>
    <w:rsid w:val="00190EA0"/>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61DA"/>
    <w:rsid w:val="00202749"/>
    <w:rsid w:val="00204420"/>
    <w:rsid w:val="00205ACD"/>
    <w:rsid w:val="002074E1"/>
    <w:rsid w:val="002075A5"/>
    <w:rsid w:val="00212A9D"/>
    <w:rsid w:val="0021501E"/>
    <w:rsid w:val="00215192"/>
    <w:rsid w:val="002203B1"/>
    <w:rsid w:val="002205C0"/>
    <w:rsid w:val="00221889"/>
    <w:rsid w:val="002248AC"/>
    <w:rsid w:val="00226AF5"/>
    <w:rsid w:val="0023373D"/>
    <w:rsid w:val="0023423C"/>
    <w:rsid w:val="002420E3"/>
    <w:rsid w:val="002448CB"/>
    <w:rsid w:val="002525C7"/>
    <w:rsid w:val="002526E7"/>
    <w:rsid w:val="00254BA9"/>
    <w:rsid w:val="002577FE"/>
    <w:rsid w:val="00261125"/>
    <w:rsid w:val="00264588"/>
    <w:rsid w:val="002659E9"/>
    <w:rsid w:val="00267074"/>
    <w:rsid w:val="00267244"/>
    <w:rsid w:val="002717B7"/>
    <w:rsid w:val="00273D0E"/>
    <w:rsid w:val="00274159"/>
    <w:rsid w:val="00274BE8"/>
    <w:rsid w:val="002765A6"/>
    <w:rsid w:val="0028588E"/>
    <w:rsid w:val="002861B3"/>
    <w:rsid w:val="00286784"/>
    <w:rsid w:val="0029431D"/>
    <w:rsid w:val="00295749"/>
    <w:rsid w:val="0029598B"/>
    <w:rsid w:val="002A2034"/>
    <w:rsid w:val="002A24F4"/>
    <w:rsid w:val="002A38BF"/>
    <w:rsid w:val="002A4319"/>
    <w:rsid w:val="002A5409"/>
    <w:rsid w:val="002A56AE"/>
    <w:rsid w:val="002A597E"/>
    <w:rsid w:val="002A6C5E"/>
    <w:rsid w:val="002B113A"/>
    <w:rsid w:val="002B19E0"/>
    <w:rsid w:val="002B1A1F"/>
    <w:rsid w:val="002B5DBD"/>
    <w:rsid w:val="002C07C4"/>
    <w:rsid w:val="002C1B76"/>
    <w:rsid w:val="002C72D2"/>
    <w:rsid w:val="002D08E3"/>
    <w:rsid w:val="002D30CB"/>
    <w:rsid w:val="002D310D"/>
    <w:rsid w:val="002E2D7B"/>
    <w:rsid w:val="002E40DE"/>
    <w:rsid w:val="002E5E6A"/>
    <w:rsid w:val="002E77D6"/>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4683"/>
    <w:rsid w:val="003272FB"/>
    <w:rsid w:val="003317CD"/>
    <w:rsid w:val="00340770"/>
    <w:rsid w:val="0034179E"/>
    <w:rsid w:val="00341AC3"/>
    <w:rsid w:val="0034299B"/>
    <w:rsid w:val="003430A8"/>
    <w:rsid w:val="003443B2"/>
    <w:rsid w:val="0035499E"/>
    <w:rsid w:val="00357E02"/>
    <w:rsid w:val="00361B9C"/>
    <w:rsid w:val="00365C45"/>
    <w:rsid w:val="00374444"/>
    <w:rsid w:val="00376114"/>
    <w:rsid w:val="00376CEC"/>
    <w:rsid w:val="00380758"/>
    <w:rsid w:val="003827B4"/>
    <w:rsid w:val="00383C82"/>
    <w:rsid w:val="00384308"/>
    <w:rsid w:val="00386BBB"/>
    <w:rsid w:val="00386D84"/>
    <w:rsid w:val="0039245A"/>
    <w:rsid w:val="00394A1E"/>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16E1"/>
    <w:rsid w:val="003E2624"/>
    <w:rsid w:val="003E34C9"/>
    <w:rsid w:val="003E4B54"/>
    <w:rsid w:val="003F332C"/>
    <w:rsid w:val="003F659A"/>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23213"/>
    <w:rsid w:val="0042416D"/>
    <w:rsid w:val="004245F4"/>
    <w:rsid w:val="00433507"/>
    <w:rsid w:val="00437A0E"/>
    <w:rsid w:val="00443B76"/>
    <w:rsid w:val="004460C0"/>
    <w:rsid w:val="004502F1"/>
    <w:rsid w:val="004516EB"/>
    <w:rsid w:val="004529B6"/>
    <w:rsid w:val="00453DBD"/>
    <w:rsid w:val="00454CE6"/>
    <w:rsid w:val="00457A9F"/>
    <w:rsid w:val="00460800"/>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4CD6"/>
    <w:rsid w:val="004B5DEC"/>
    <w:rsid w:val="004B7F32"/>
    <w:rsid w:val="004C1DF1"/>
    <w:rsid w:val="004C4E77"/>
    <w:rsid w:val="004D08EB"/>
    <w:rsid w:val="004D6029"/>
    <w:rsid w:val="004D6F6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D09"/>
    <w:rsid w:val="005371E7"/>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5E1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25888"/>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2F9A"/>
    <w:rsid w:val="006646AC"/>
    <w:rsid w:val="00664D5B"/>
    <w:rsid w:val="00671D7C"/>
    <w:rsid w:val="00681802"/>
    <w:rsid w:val="00682225"/>
    <w:rsid w:val="006822F4"/>
    <w:rsid w:val="00682B6F"/>
    <w:rsid w:val="00683417"/>
    <w:rsid w:val="00684893"/>
    <w:rsid w:val="006848B7"/>
    <w:rsid w:val="00684CBE"/>
    <w:rsid w:val="00686FC2"/>
    <w:rsid w:val="006959FE"/>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BE6"/>
    <w:rsid w:val="006F1B61"/>
    <w:rsid w:val="006F53A9"/>
    <w:rsid w:val="006F5A35"/>
    <w:rsid w:val="006F610D"/>
    <w:rsid w:val="006F6E0E"/>
    <w:rsid w:val="00701033"/>
    <w:rsid w:val="00701F96"/>
    <w:rsid w:val="007024E8"/>
    <w:rsid w:val="0070313E"/>
    <w:rsid w:val="0070371E"/>
    <w:rsid w:val="00705F8F"/>
    <w:rsid w:val="007064F6"/>
    <w:rsid w:val="007078A3"/>
    <w:rsid w:val="00707C6C"/>
    <w:rsid w:val="00711536"/>
    <w:rsid w:val="0071182B"/>
    <w:rsid w:val="007129C0"/>
    <w:rsid w:val="00713390"/>
    <w:rsid w:val="007142B5"/>
    <w:rsid w:val="00716BFE"/>
    <w:rsid w:val="00720774"/>
    <w:rsid w:val="007234D1"/>
    <w:rsid w:val="007261E9"/>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7DD"/>
    <w:rsid w:val="00800927"/>
    <w:rsid w:val="008016F1"/>
    <w:rsid w:val="00802C56"/>
    <w:rsid w:val="00804BD9"/>
    <w:rsid w:val="00805270"/>
    <w:rsid w:val="008111EB"/>
    <w:rsid w:val="00811205"/>
    <w:rsid w:val="00811D16"/>
    <w:rsid w:val="00812C48"/>
    <w:rsid w:val="00812C93"/>
    <w:rsid w:val="008146F9"/>
    <w:rsid w:val="00814D55"/>
    <w:rsid w:val="00816307"/>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A7C2A"/>
    <w:rsid w:val="008B14D0"/>
    <w:rsid w:val="008B3B69"/>
    <w:rsid w:val="008C12FB"/>
    <w:rsid w:val="008C2BCF"/>
    <w:rsid w:val="008C32A8"/>
    <w:rsid w:val="008C55A3"/>
    <w:rsid w:val="008C693E"/>
    <w:rsid w:val="008C79F3"/>
    <w:rsid w:val="008D06E0"/>
    <w:rsid w:val="008D1DFF"/>
    <w:rsid w:val="008D29A7"/>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7226"/>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740D7"/>
    <w:rsid w:val="00976C8C"/>
    <w:rsid w:val="0098182D"/>
    <w:rsid w:val="00985C4C"/>
    <w:rsid w:val="0098704B"/>
    <w:rsid w:val="009932CD"/>
    <w:rsid w:val="00993821"/>
    <w:rsid w:val="00994280"/>
    <w:rsid w:val="009970B5"/>
    <w:rsid w:val="009A043D"/>
    <w:rsid w:val="009A0D0A"/>
    <w:rsid w:val="009A0FAE"/>
    <w:rsid w:val="009A2418"/>
    <w:rsid w:val="009A5567"/>
    <w:rsid w:val="009A64BD"/>
    <w:rsid w:val="009A686F"/>
    <w:rsid w:val="009A6ACC"/>
    <w:rsid w:val="009B1636"/>
    <w:rsid w:val="009B33A8"/>
    <w:rsid w:val="009B3487"/>
    <w:rsid w:val="009B3615"/>
    <w:rsid w:val="009B4510"/>
    <w:rsid w:val="009B5F5A"/>
    <w:rsid w:val="009B7C61"/>
    <w:rsid w:val="009C0DC9"/>
    <w:rsid w:val="009C3793"/>
    <w:rsid w:val="009C3E4D"/>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14D19"/>
    <w:rsid w:val="00A21876"/>
    <w:rsid w:val="00A2372D"/>
    <w:rsid w:val="00A30C44"/>
    <w:rsid w:val="00A328AE"/>
    <w:rsid w:val="00A4131E"/>
    <w:rsid w:val="00A41694"/>
    <w:rsid w:val="00A43501"/>
    <w:rsid w:val="00A453DC"/>
    <w:rsid w:val="00A46BDA"/>
    <w:rsid w:val="00A535E3"/>
    <w:rsid w:val="00A570A7"/>
    <w:rsid w:val="00A61804"/>
    <w:rsid w:val="00A625E2"/>
    <w:rsid w:val="00A62AA3"/>
    <w:rsid w:val="00A62B55"/>
    <w:rsid w:val="00A64C80"/>
    <w:rsid w:val="00A67EF9"/>
    <w:rsid w:val="00A72465"/>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5D1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3B81"/>
    <w:rsid w:val="00B145FA"/>
    <w:rsid w:val="00B14BF4"/>
    <w:rsid w:val="00B2037B"/>
    <w:rsid w:val="00B23274"/>
    <w:rsid w:val="00B272A6"/>
    <w:rsid w:val="00B30856"/>
    <w:rsid w:val="00B32CD3"/>
    <w:rsid w:val="00B34CA9"/>
    <w:rsid w:val="00B35797"/>
    <w:rsid w:val="00B35A93"/>
    <w:rsid w:val="00B3672D"/>
    <w:rsid w:val="00B40656"/>
    <w:rsid w:val="00B4065F"/>
    <w:rsid w:val="00B40875"/>
    <w:rsid w:val="00B40F8A"/>
    <w:rsid w:val="00B41E69"/>
    <w:rsid w:val="00B4745C"/>
    <w:rsid w:val="00B50AAA"/>
    <w:rsid w:val="00B544D9"/>
    <w:rsid w:val="00B6196A"/>
    <w:rsid w:val="00B658D4"/>
    <w:rsid w:val="00B75A2C"/>
    <w:rsid w:val="00B813AC"/>
    <w:rsid w:val="00B8287F"/>
    <w:rsid w:val="00B8376C"/>
    <w:rsid w:val="00B84260"/>
    <w:rsid w:val="00B86811"/>
    <w:rsid w:val="00B8738D"/>
    <w:rsid w:val="00B91F0B"/>
    <w:rsid w:val="00B9223B"/>
    <w:rsid w:val="00B92D47"/>
    <w:rsid w:val="00B961A5"/>
    <w:rsid w:val="00B9640A"/>
    <w:rsid w:val="00BA04DB"/>
    <w:rsid w:val="00BA18D5"/>
    <w:rsid w:val="00BA49CC"/>
    <w:rsid w:val="00BA4D1F"/>
    <w:rsid w:val="00BA5A51"/>
    <w:rsid w:val="00BA5FB3"/>
    <w:rsid w:val="00BA7AD1"/>
    <w:rsid w:val="00BB0B9D"/>
    <w:rsid w:val="00BB1CC2"/>
    <w:rsid w:val="00BB2250"/>
    <w:rsid w:val="00BB4F63"/>
    <w:rsid w:val="00BB744D"/>
    <w:rsid w:val="00BB751D"/>
    <w:rsid w:val="00BB7708"/>
    <w:rsid w:val="00BC0FDD"/>
    <w:rsid w:val="00BC22E0"/>
    <w:rsid w:val="00BC4AA7"/>
    <w:rsid w:val="00BC5852"/>
    <w:rsid w:val="00BD5425"/>
    <w:rsid w:val="00BD6F2F"/>
    <w:rsid w:val="00BD705F"/>
    <w:rsid w:val="00BD7607"/>
    <w:rsid w:val="00BE28ED"/>
    <w:rsid w:val="00BE55D6"/>
    <w:rsid w:val="00BE61B8"/>
    <w:rsid w:val="00BF030A"/>
    <w:rsid w:val="00BF2EA1"/>
    <w:rsid w:val="00BF3809"/>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7F9"/>
    <w:rsid w:val="00C3746F"/>
    <w:rsid w:val="00C3768A"/>
    <w:rsid w:val="00C37D9D"/>
    <w:rsid w:val="00C4139D"/>
    <w:rsid w:val="00C41EBB"/>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7AC"/>
    <w:rsid w:val="00CC2F3D"/>
    <w:rsid w:val="00CC4AF6"/>
    <w:rsid w:val="00CC5FF3"/>
    <w:rsid w:val="00CD7178"/>
    <w:rsid w:val="00CD7E2A"/>
    <w:rsid w:val="00CE2ADF"/>
    <w:rsid w:val="00CE33FC"/>
    <w:rsid w:val="00CE4B84"/>
    <w:rsid w:val="00CE62BA"/>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0AA1"/>
    <w:rsid w:val="00D8195B"/>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23A5"/>
    <w:rsid w:val="00DE34FF"/>
    <w:rsid w:val="00DE44AB"/>
    <w:rsid w:val="00DF003C"/>
    <w:rsid w:val="00DF00D4"/>
    <w:rsid w:val="00DF4501"/>
    <w:rsid w:val="00DF7233"/>
    <w:rsid w:val="00DF78AE"/>
    <w:rsid w:val="00E033F2"/>
    <w:rsid w:val="00E0462A"/>
    <w:rsid w:val="00E06B30"/>
    <w:rsid w:val="00E07AAA"/>
    <w:rsid w:val="00E07CC2"/>
    <w:rsid w:val="00E11E2E"/>
    <w:rsid w:val="00E125CA"/>
    <w:rsid w:val="00E14B17"/>
    <w:rsid w:val="00E14EAE"/>
    <w:rsid w:val="00E16394"/>
    <w:rsid w:val="00E17B3E"/>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1293"/>
    <w:rsid w:val="00E42DA5"/>
    <w:rsid w:val="00E51EF9"/>
    <w:rsid w:val="00E53806"/>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84412"/>
    <w:rsid w:val="00E964A5"/>
    <w:rsid w:val="00E97676"/>
    <w:rsid w:val="00EA1CE1"/>
    <w:rsid w:val="00EA1F89"/>
    <w:rsid w:val="00EB08A0"/>
    <w:rsid w:val="00EB117B"/>
    <w:rsid w:val="00EB40D6"/>
    <w:rsid w:val="00EB5F75"/>
    <w:rsid w:val="00EB7852"/>
    <w:rsid w:val="00EB79CD"/>
    <w:rsid w:val="00EC060D"/>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057D"/>
    <w:rsid w:val="00F02923"/>
    <w:rsid w:val="00F0351B"/>
    <w:rsid w:val="00F04089"/>
    <w:rsid w:val="00F06275"/>
    <w:rsid w:val="00F06472"/>
    <w:rsid w:val="00F123EC"/>
    <w:rsid w:val="00F16331"/>
    <w:rsid w:val="00F16803"/>
    <w:rsid w:val="00F22566"/>
    <w:rsid w:val="00F22963"/>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598B"/>
    <w:rsid w:val="00F87ADD"/>
    <w:rsid w:val="00F914FD"/>
    <w:rsid w:val="00F9164E"/>
    <w:rsid w:val="00F952BF"/>
    <w:rsid w:val="00F95515"/>
    <w:rsid w:val="00F974AA"/>
    <w:rsid w:val="00FA1E81"/>
    <w:rsid w:val="00FA2545"/>
    <w:rsid w:val="00FA2BBA"/>
    <w:rsid w:val="00FA7CFC"/>
    <w:rsid w:val="00FB097C"/>
    <w:rsid w:val="00FB0BD7"/>
    <w:rsid w:val="00FB21C2"/>
    <w:rsid w:val="00FB4AAD"/>
    <w:rsid w:val="00FB4E3D"/>
    <w:rsid w:val="00FB5A22"/>
    <w:rsid w:val="00FB5F2A"/>
    <w:rsid w:val="00FC1407"/>
    <w:rsid w:val="00FC22E1"/>
    <w:rsid w:val="00FC2C8C"/>
    <w:rsid w:val="00FC4F9B"/>
    <w:rsid w:val="00FC545B"/>
    <w:rsid w:val="00FC59F0"/>
    <w:rsid w:val="00FC6793"/>
    <w:rsid w:val="00FD4599"/>
    <w:rsid w:val="00FD4784"/>
    <w:rsid w:val="00FD65FE"/>
    <w:rsid w:val="00FE00DA"/>
    <w:rsid w:val="00FE0FAF"/>
    <w:rsid w:val="00FE2472"/>
    <w:rsid w:val="00FE2A14"/>
    <w:rsid w:val="00FE35B1"/>
    <w:rsid w:val="00FE3C36"/>
    <w:rsid w:val="00FE427F"/>
    <w:rsid w:val="00FE72EA"/>
    <w:rsid w:val="00FF0D85"/>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26458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ii_b.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1AFC-CE1D-497A-8195-1653C38E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48</Pages>
  <Words>9403</Words>
  <Characters>51722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2018-12-04T20:35:00Z</cp:lastPrinted>
  <dcterms:created xsi:type="dcterms:W3CDTF">2021-05-11T16:26:00Z</dcterms:created>
  <dcterms:modified xsi:type="dcterms:W3CDTF">2021-06-17T23:53:00Z</dcterms:modified>
</cp:coreProperties>
</file>