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55A2BC78"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Metepec, Estado de México, de</w:t>
      </w:r>
      <w:r w:rsidR="00D7299E">
        <w:rPr>
          <w:rFonts w:ascii="Palatino Linotype" w:hAnsi="Palatino Linotype"/>
        </w:rPr>
        <w:t xml:space="preserve"> veintidós de septiembre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06BA6146"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E3567C">
        <w:rPr>
          <w:rFonts w:ascii="Palatino Linotype" w:eastAsiaTheme="minorEastAsia" w:hAnsi="Palatino Linotype" w:cs="Arial"/>
          <w:b/>
          <w:bCs/>
          <w:sz w:val="22"/>
          <w:szCs w:val="22"/>
          <w:lang w:val="es-MX"/>
        </w:rPr>
        <w:t>02834/INFOEM/IP/RR/2021</w:t>
      </w:r>
      <w:r w:rsidR="003C4F18" w:rsidRPr="00143EC9">
        <w:rPr>
          <w:rFonts w:ascii="Palatino Linotype" w:hAnsi="Palatino Linotype" w:cs="Arial"/>
        </w:rPr>
        <w:t xml:space="preserve">, interpuesto por </w:t>
      </w:r>
      <w:proofErr w:type="spellStart"/>
      <w:r w:rsidR="000C3BB0">
        <w:rPr>
          <w:rFonts w:ascii="Palatino Linotype" w:hAnsi="Palatino Linotype"/>
          <w:b/>
          <w:sz w:val="22"/>
          <w:szCs w:val="22"/>
          <w:lang w:val="es-ES_tradnl"/>
        </w:rPr>
        <w:t>Xxxxxx</w:t>
      </w:r>
      <w:proofErr w:type="spellEnd"/>
      <w:r w:rsidR="000C3BB0">
        <w:rPr>
          <w:rFonts w:ascii="Palatino Linotype" w:hAnsi="Palatino Linotype"/>
          <w:b/>
          <w:sz w:val="22"/>
          <w:szCs w:val="22"/>
          <w:lang w:val="es-ES_tradnl"/>
        </w:rPr>
        <w:t xml:space="preserve"> </w:t>
      </w:r>
      <w:proofErr w:type="spellStart"/>
      <w:r w:rsidR="000C3BB0">
        <w:rPr>
          <w:rFonts w:ascii="Palatino Linotype" w:hAnsi="Palatino Linotype"/>
          <w:b/>
          <w:sz w:val="22"/>
          <w:szCs w:val="22"/>
          <w:lang w:val="es-ES_tradnl"/>
        </w:rPr>
        <w:t>Xxxxx</w:t>
      </w:r>
      <w:proofErr w:type="spellEnd"/>
      <w:r w:rsidR="000C3BB0">
        <w:rPr>
          <w:rFonts w:ascii="Palatino Linotype" w:hAnsi="Palatino Linotype"/>
          <w:b/>
          <w:sz w:val="22"/>
          <w:szCs w:val="22"/>
          <w:lang w:val="es-ES_tradnl"/>
        </w:rPr>
        <w:t xml:space="preserve"> </w:t>
      </w:r>
      <w:proofErr w:type="spellStart"/>
      <w:r w:rsidR="000C3BB0">
        <w:rPr>
          <w:rFonts w:ascii="Palatino Linotype" w:hAnsi="Palatino Linotype"/>
          <w:b/>
          <w:sz w:val="22"/>
          <w:szCs w:val="22"/>
          <w:lang w:val="es-ES_tradnl"/>
        </w:rPr>
        <w:t>Xxxxxxxxx</w:t>
      </w:r>
      <w:proofErr w:type="spellEnd"/>
      <w:r w:rsidR="000C3BB0">
        <w:rPr>
          <w:rFonts w:ascii="Palatino Linotype" w:hAnsi="Palatino Linotype"/>
          <w:b/>
          <w:sz w:val="22"/>
          <w:szCs w:val="22"/>
          <w:lang w:val="es-ES_tradnl"/>
        </w:rPr>
        <w:t xml:space="preserve"> </w:t>
      </w:r>
      <w:proofErr w:type="spellStart"/>
      <w:r w:rsidR="000C3BB0">
        <w:rPr>
          <w:rFonts w:ascii="Palatino Linotype" w:hAnsi="Palatino Linotype"/>
          <w:b/>
          <w:sz w:val="22"/>
          <w:szCs w:val="22"/>
          <w:lang w:val="es-ES_tradnl"/>
        </w:rPr>
        <w:t>Xxx</w:t>
      </w:r>
      <w:proofErr w:type="spellEnd"/>
      <w:r w:rsidR="000C3BB0">
        <w:rPr>
          <w:rFonts w:ascii="Palatino Linotype" w:hAnsi="Palatino Linotype"/>
          <w:b/>
          <w:sz w:val="22"/>
          <w:szCs w:val="22"/>
          <w:lang w:val="es-ES_tradnl"/>
        </w:rPr>
        <w:t xml:space="preserve"> xxx </w:t>
      </w:r>
      <w:proofErr w:type="spellStart"/>
      <w:r w:rsidR="000C3BB0">
        <w:rPr>
          <w:rFonts w:ascii="Palatino Linotype" w:hAnsi="Palatino Linotype"/>
          <w:b/>
          <w:sz w:val="22"/>
          <w:szCs w:val="22"/>
          <w:lang w:val="es-ES_tradnl"/>
        </w:rPr>
        <w:t>Xxxxx</w:t>
      </w:r>
      <w:bookmarkStart w:id="0" w:name="_GoBack"/>
      <w:bookmarkEnd w:id="0"/>
      <w:proofErr w:type="spellEnd"/>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E3567C">
        <w:rPr>
          <w:rFonts w:ascii="Palatino Linotype" w:eastAsiaTheme="minorEastAsia" w:hAnsi="Palatino Linotype" w:cs="Arial"/>
          <w:b/>
          <w:sz w:val="22"/>
          <w:szCs w:val="22"/>
          <w:lang w:val="es-MX"/>
        </w:rPr>
        <w:t>00222/METEPEC/IP/2021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E3567C">
        <w:rPr>
          <w:rFonts w:ascii="Palatino Linotype" w:eastAsiaTheme="minorEastAsia" w:hAnsi="Palatino Linotype" w:cs="Arial"/>
          <w:b/>
          <w:lang w:val="es-MX"/>
        </w:rPr>
        <w:t>Ayuntamiento de Metepec</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4ABD5931"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E3567C">
        <w:rPr>
          <w:rFonts w:ascii="Palatino Linotype" w:hAnsi="Palatino Linotype" w:cs="Arial"/>
        </w:rPr>
        <w:t>veinte de abril de dos mi</w:t>
      </w:r>
      <w:r w:rsidR="000C1F3B">
        <w:rPr>
          <w:rFonts w:ascii="Palatino Linotype" w:hAnsi="Palatino Linotype" w:cs="Arial"/>
        </w:rPr>
        <w:t>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008D91E3"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E3567C" w:rsidRPr="00E3567C">
        <w:rPr>
          <w:rFonts w:ascii="Palatino Linotype" w:hAnsi="Palatino Linotype"/>
          <w:i/>
          <w:color w:val="000000"/>
        </w:rPr>
        <w:t xml:space="preserve">Solicito me informen cual es el presupuesto asignado al H. Ayuntamiento de Metepec, para la ejecución del ejercicio fiscal 2021 (de la Federación: participaciones Ramo 28 y aportaciones Ramo 33; del Estado: transferencias); así como las metas programadas de la Dirección de Gobierno por Resultados, con el avance correspondiente al mes de marzo de cada una de ellas. Requiero me proporcionen los nombres de los Programas de Desarrollo Social que ejecutan para el año 2021, así como </w:t>
      </w:r>
      <w:proofErr w:type="gramStart"/>
      <w:r w:rsidR="00E3567C" w:rsidRPr="00E3567C">
        <w:rPr>
          <w:rFonts w:ascii="Palatino Linotype" w:hAnsi="Palatino Linotype"/>
          <w:i/>
          <w:color w:val="000000"/>
        </w:rPr>
        <w:lastRenderedPageBreak/>
        <w:t>cuál</w:t>
      </w:r>
      <w:proofErr w:type="gramEnd"/>
      <w:r w:rsidR="00E3567C" w:rsidRPr="00E3567C">
        <w:rPr>
          <w:rFonts w:ascii="Palatino Linotype" w:hAnsi="Palatino Linotype"/>
          <w:i/>
          <w:color w:val="000000"/>
        </w:rPr>
        <w:t xml:space="preserve"> es la metodología aplicada para medir el grado de satisfacción de los beneficiarios respecto de los programas. Por último, solicito cual es el Programa Financiero Anual o Plan de Acción correspondiente del registro de la deuda pública municipal. - Adjunte evidencia oficial de dichas requisiciones, para su cotejo.</w:t>
      </w:r>
      <w:r w:rsidRPr="00143EC9">
        <w:rPr>
          <w:rFonts w:ascii="Palatino Linotype" w:hAnsi="Palatino Linotype" w:cs="Arial"/>
          <w:i/>
        </w:rPr>
        <w:t>”</w:t>
      </w:r>
      <w:r w:rsidR="00C673D1" w:rsidRPr="00143EC9">
        <w:rPr>
          <w:rFonts w:ascii="Palatino Linotype" w:hAnsi="Palatino Linotype" w:cs="Arial"/>
          <w:i/>
        </w:rPr>
        <w:t xml:space="preserve"> (</w:t>
      </w:r>
      <w:proofErr w:type="gramStart"/>
      <w:r w:rsidR="00C673D1" w:rsidRPr="00143EC9">
        <w:rPr>
          <w:rFonts w:ascii="Palatino Linotype" w:hAnsi="Palatino Linotype" w:cs="Arial"/>
          <w:i/>
        </w:rPr>
        <w:t>sic</w:t>
      </w:r>
      <w:proofErr w:type="gramEnd"/>
      <w:r w:rsidR="00C673D1" w:rsidRPr="00143EC9">
        <w:rPr>
          <w:rFonts w:ascii="Palatino Linotype" w:hAnsi="Palatino Linotype" w:cs="Arial"/>
          <w:i/>
        </w:rPr>
        <w:t>)</w:t>
      </w:r>
    </w:p>
    <w:p w14:paraId="649BFEDD" w14:textId="3C020CD3"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t>El solicitante indicó 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339F8C55"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E3567C">
        <w:rPr>
          <w:rFonts w:ascii="Palatino Linotype" w:hAnsi="Palatino Linotype" w:cs="Arial"/>
        </w:rPr>
        <w:t>doce de mayo</w:t>
      </w:r>
      <w:r w:rsidR="000C1F3B">
        <w:rPr>
          <w:rFonts w:ascii="Palatino Linotype" w:hAnsi="Palatino Linotype" w:cs="Arial"/>
        </w:rPr>
        <w:t xml:space="preserve"> del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33E43732" w:rsidR="00543F2A"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t> </w:t>
      </w:r>
      <w:r w:rsidRPr="00143EC9">
        <w:rPr>
          <w:rFonts w:ascii="Palatino Linotype" w:hAnsi="Palatino Linotype"/>
          <w:i/>
        </w:rPr>
        <w:t>“</w:t>
      </w:r>
      <w:r w:rsidR="00E3567C" w:rsidRPr="00E3567C">
        <w:rPr>
          <w:rFonts w:ascii="Palatino Linotype" w:hAnsi="Palatino Linotype"/>
          <w:i/>
          <w:color w:val="000000"/>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45BBE315" w14:textId="3A40DE62" w:rsidR="00D723BE" w:rsidRPr="00143EC9" w:rsidRDefault="00D723BE" w:rsidP="00D723BE">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Asimismo, adjuntó</w:t>
      </w:r>
      <w:r>
        <w:rPr>
          <w:rFonts w:ascii="Palatino Linotype" w:hAnsi="Palatino Linotype" w:cs="Arial"/>
          <w:lang w:eastAsia="es-MX"/>
        </w:rPr>
        <w:t xml:space="preserve"> la carpeta comprimida </w:t>
      </w:r>
      <w:hyperlink r:id="rId8" w:tgtFrame="_blank" w:history="1">
        <w:r>
          <w:rPr>
            <w:rStyle w:val="Hipervnculo"/>
            <w:rFonts w:ascii="Palatino Linotype" w:hAnsi="Palatino Linotype" w:cs="Arial"/>
            <w:b/>
            <w:bCs/>
            <w:color w:val="auto"/>
            <w:u w:val="none"/>
          </w:rPr>
          <w:t>222.zip</w:t>
        </w:r>
      </w:hyperlink>
      <w:r w:rsidRPr="00143EC9">
        <w:rPr>
          <w:rFonts w:ascii="Palatino Linotype" w:hAnsi="Palatino Linotype" w:cs="Arial"/>
          <w:b/>
          <w:lang w:eastAsia="es-MX"/>
        </w:rPr>
        <w:t xml:space="preserve">, </w:t>
      </w:r>
      <w:r>
        <w:rPr>
          <w:rFonts w:ascii="Palatino Linotype" w:hAnsi="Palatino Linotype" w:cs="Arial"/>
          <w:lang w:eastAsia="es-MX"/>
        </w:rPr>
        <w:t xml:space="preserve">misma que es </w:t>
      </w:r>
      <w:r w:rsidRPr="00143EC9">
        <w:rPr>
          <w:rFonts w:ascii="Palatino Linotype" w:hAnsi="Palatino Linotype" w:cs="Arial"/>
          <w:lang w:eastAsia="es-MX"/>
        </w:rPr>
        <w:t>de</w:t>
      </w:r>
      <w:r>
        <w:rPr>
          <w:rFonts w:ascii="Palatino Linotype" w:hAnsi="Palatino Linotype" w:cs="Arial"/>
          <w:lang w:eastAsia="es-MX"/>
        </w:rPr>
        <w:t>l conocimiento de las partes, y será analizada con posterioridad.</w:t>
      </w:r>
    </w:p>
    <w:p w14:paraId="7056C445" w14:textId="09E19226"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557867">
        <w:rPr>
          <w:rFonts w:ascii="Palatino Linotype" w:hAnsi="Palatino Linotype" w:cs="Arial"/>
        </w:rPr>
        <w:t>trece de mayo</w:t>
      </w:r>
      <w:r w:rsidR="00CE50E4">
        <w:rPr>
          <w:rFonts w:ascii="Palatino Linotype" w:hAnsi="Palatino Linotype" w:cs="Arial"/>
        </w:rPr>
        <w:t xml:space="preserve"> de dos mil ve</w:t>
      </w:r>
      <w:r w:rsidR="00547B11">
        <w:rPr>
          <w:rFonts w:ascii="Palatino Linotype" w:hAnsi="Palatino Linotype" w:cs="Arial"/>
        </w:rPr>
        <w:t>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554D8D33"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lastRenderedPageBreak/>
        <w:t>“</w:t>
      </w:r>
      <w:r w:rsidR="00557867" w:rsidRPr="00557867">
        <w:rPr>
          <w:rFonts w:ascii="Palatino Linotype" w:hAnsi="Palatino Linotype"/>
          <w:i/>
          <w:color w:val="000000"/>
        </w:rPr>
        <w:t>La entrega de información incompleta e información no correspondiente a lo solicitado.</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w:t>
      </w:r>
      <w:proofErr w:type="gramStart"/>
      <w:r w:rsidR="009F704F" w:rsidRPr="00143EC9">
        <w:rPr>
          <w:rFonts w:ascii="Palatino Linotype" w:hAnsi="Palatino Linotype" w:cs="Arial"/>
        </w:rPr>
        <w:t>sic</w:t>
      </w:r>
      <w:proofErr w:type="gramEnd"/>
      <w:r w:rsidR="009F704F" w:rsidRPr="00143EC9">
        <w:rPr>
          <w:rFonts w:ascii="Palatino Linotype" w:hAnsi="Palatino Linotype" w:cs="Arial"/>
        </w:rPr>
        <w:t>)</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5BE676DB" w:rsidR="00186B63" w:rsidRPr="00143EC9" w:rsidRDefault="00186B63" w:rsidP="00CE50E4">
      <w:pPr>
        <w:spacing w:before="240" w:after="240" w:line="360" w:lineRule="auto"/>
        <w:ind w:left="851" w:right="902"/>
        <w:jc w:val="both"/>
        <w:rPr>
          <w:rFonts w:ascii="Palatino Linotype" w:hAnsi="Palatino Linotype" w:cs="Arial"/>
          <w:i/>
        </w:rPr>
      </w:pPr>
      <w:r w:rsidRPr="00CE50E4">
        <w:rPr>
          <w:rFonts w:ascii="Palatino Linotype" w:eastAsiaTheme="minorEastAsia" w:hAnsi="Palatino Linotype" w:cs="Arial"/>
          <w:i/>
          <w:lang w:val="es-MX"/>
        </w:rPr>
        <w:t>“</w:t>
      </w:r>
      <w:r w:rsidR="00557867" w:rsidRPr="00557867">
        <w:rPr>
          <w:rFonts w:ascii="Palatino Linotype" w:hAnsi="Palatino Linotype"/>
          <w:i/>
          <w:color w:val="000000"/>
        </w:rPr>
        <w:t>No dan respuesta a las peticiones requeridas, como cuáles son los programas sociales que ejecutan para el ejercicio 2021, así como cuál es la metodología aplicada para medir el grado de satisfacción de los beneficiarios. De igual manera hacen caso omiso a la solicitud de informar cuales son las metas programadas de la Dirección de Gobierno y su avance correspondiente al mes de marzo.</w:t>
      </w:r>
      <w:r w:rsidRPr="00CE50E4">
        <w:rPr>
          <w:rFonts w:ascii="Palatino Linotype" w:hAnsi="Palatino Linotype" w:cs="Arial"/>
          <w:b/>
          <w:i/>
        </w:rPr>
        <w:t>”</w:t>
      </w:r>
      <w:r w:rsidR="009F704F" w:rsidRPr="00CE50E4">
        <w:rPr>
          <w:rFonts w:ascii="Palatino Linotype" w:hAnsi="Palatino Linotype" w:cs="Arial"/>
          <w:b/>
          <w:i/>
        </w:rPr>
        <w:t xml:space="preserve"> </w:t>
      </w:r>
      <w:r w:rsidR="009F704F" w:rsidRPr="00143EC9">
        <w:rPr>
          <w:rFonts w:ascii="Palatino Linotype" w:hAnsi="Palatino Linotype" w:cs="Arial"/>
          <w:i/>
        </w:rPr>
        <w:t>(</w:t>
      </w:r>
      <w:proofErr w:type="gramStart"/>
      <w:r w:rsidR="009F704F" w:rsidRPr="00143EC9">
        <w:rPr>
          <w:rFonts w:ascii="Palatino Linotype" w:hAnsi="Palatino Linotype" w:cs="Arial"/>
          <w:i/>
        </w:rPr>
        <w:t>sic</w:t>
      </w:r>
      <w:proofErr w:type="gramEnd"/>
      <w:r w:rsidR="009F704F" w:rsidRPr="00143EC9">
        <w:rPr>
          <w:rFonts w:ascii="Palatino Linotype" w:hAnsi="Palatino Linotype" w:cs="Arial"/>
          <w:i/>
        </w:rPr>
        <w:t>)</w:t>
      </w:r>
    </w:p>
    <w:p w14:paraId="1D62F603" w14:textId="1E3A73E3"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143EC9">
        <w:rPr>
          <w:rFonts w:ascii="Palatino Linotype" w:hAnsi="Palatino Linotype" w:cs="Arial"/>
        </w:rPr>
        <w:t>por razón de turno fue asignado al</w:t>
      </w:r>
      <w:r w:rsidR="00D41D70" w:rsidRPr="00143EC9">
        <w:rPr>
          <w:rFonts w:ascii="Palatino Linotype" w:eastAsia="Calibri" w:hAnsi="Palatino Linotype" w:cs="Arial"/>
        </w:rPr>
        <w:t xml:space="preserve"> Comisionado </w:t>
      </w:r>
      <w:r w:rsidR="00D41D70" w:rsidRPr="00143EC9">
        <w:rPr>
          <w:rFonts w:ascii="Palatino Linotype" w:eastAsia="Calibri" w:hAnsi="Palatino Linotype" w:cs="Arial"/>
          <w:b/>
        </w:rPr>
        <w:t>Javier Martínez Cruz</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123831D8"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 xml:space="preserve">Mediante auto de fecha </w:t>
      </w:r>
      <w:r w:rsidR="00557867">
        <w:rPr>
          <w:rFonts w:ascii="Palatino Linotype" w:hAnsi="Palatino Linotype" w:cs="Arial"/>
        </w:rPr>
        <w:t>dieciocho de mayo</w:t>
      </w:r>
      <w:r w:rsidR="00547B11">
        <w:rPr>
          <w:rFonts w:ascii="Palatino Linotype" w:hAnsi="Palatino Linotype" w:cs="Arial"/>
        </w:rPr>
        <w:t xml:space="preserve"> del 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7D05FFD9" w14:textId="77777777" w:rsidR="00557867" w:rsidRPr="00A4521A" w:rsidRDefault="00543F2A" w:rsidP="00557867">
      <w:pPr>
        <w:spacing w:before="240" w:after="240" w:line="360" w:lineRule="auto"/>
        <w:jc w:val="both"/>
        <w:rPr>
          <w:rFonts w:ascii="Palatino Linotype" w:eastAsia="Calibri" w:hAnsi="Palatino Linotype" w:cs="Arial"/>
        </w:rPr>
      </w:pPr>
      <w:r w:rsidRPr="00143EC9">
        <w:rPr>
          <w:rFonts w:ascii="Palatino Linotype" w:hAnsi="Palatino Linotype" w:cs="Arial"/>
          <w:b/>
          <w:sz w:val="28"/>
          <w:szCs w:val="28"/>
        </w:rPr>
        <w:lastRenderedPageBreak/>
        <w:t>6</w:t>
      </w:r>
      <w:r w:rsidR="004E4987" w:rsidRPr="00143EC9">
        <w:rPr>
          <w:rFonts w:ascii="Palatino Linotype" w:hAnsi="Palatino Linotype" w:cs="Arial"/>
          <w:b/>
          <w:sz w:val="28"/>
          <w:szCs w:val="28"/>
        </w:rPr>
        <w:t>. Manifestaciones.</w:t>
      </w:r>
      <w:r w:rsidR="004E4987" w:rsidRPr="00143EC9">
        <w:t xml:space="preserve"> </w:t>
      </w:r>
      <w:r w:rsidR="00557867" w:rsidRPr="00A4521A">
        <w:rPr>
          <w:rFonts w:ascii="Palatino Linotype" w:hAnsi="Palatino Linotype"/>
        </w:rPr>
        <w:t>De las constancias del expediente electrónico del</w:t>
      </w:r>
      <w:r w:rsidR="00557867" w:rsidRPr="00A4521A">
        <w:rPr>
          <w:rFonts w:ascii="Palatino Linotype" w:hAnsi="Palatino Linotype" w:cs="Arial"/>
          <w:b/>
        </w:rPr>
        <w:t xml:space="preserve"> SAIMEX</w:t>
      </w:r>
      <w:r w:rsidR="00557867" w:rsidRPr="00A4521A">
        <w:rPr>
          <w:rFonts w:ascii="Palatino Linotype" w:hAnsi="Palatino Linotype"/>
        </w:rPr>
        <w:t>, se observa que las partes</w:t>
      </w:r>
      <w:r w:rsidR="00557867" w:rsidRPr="00A4521A">
        <w:rPr>
          <w:rFonts w:ascii="Palatino Linotype" w:eastAsia="Calibri" w:hAnsi="Palatino Linotype" w:cs="Arial"/>
          <w:b/>
          <w:i/>
        </w:rPr>
        <w:t xml:space="preserve"> </w:t>
      </w:r>
      <w:r w:rsidR="00557867" w:rsidRPr="00A4521A">
        <w:rPr>
          <w:rFonts w:ascii="Palatino Linotype" w:eastAsia="Calibri" w:hAnsi="Palatino Linotype" w:cs="Arial"/>
        </w:rPr>
        <w:t>fueron omisas en presentar sus alegatos o manifestaciones que a su derecho correspondieran, en plazo previsto para ello.</w:t>
      </w:r>
    </w:p>
    <w:p w14:paraId="5126E0CC" w14:textId="52F9DAE8" w:rsidR="006031FE" w:rsidRPr="00143EC9" w:rsidRDefault="00543F2A" w:rsidP="00557867">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557867">
        <w:rPr>
          <w:rFonts w:ascii="Palatino Linotype" w:hAnsi="Palatino Linotype"/>
        </w:rPr>
        <w:t>catorce de julio</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1F13064F"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4D2610">
        <w:rPr>
          <w:rFonts w:ascii="Palatino Linotype" w:hAnsi="Palatino Linotype"/>
          <w:shd w:val="clear" w:color="auto" w:fill="FFFFFF"/>
        </w:rPr>
        <w:t>trigésimo, trigésimo primero y trigésimo segundo,</w:t>
      </w:r>
      <w:r w:rsidR="002642D4" w:rsidRPr="00143EC9">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lastRenderedPageBreak/>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w:t>
      </w:r>
      <w:proofErr w:type="spellStart"/>
      <w:r w:rsidR="00DC752F" w:rsidRPr="00143EC9">
        <w:rPr>
          <w:rFonts w:ascii="Palatino Linotype" w:hAnsi="Palatino Linotype" w:cs="Arial"/>
          <w:b/>
          <w:sz w:val="28"/>
          <w:szCs w:val="28"/>
        </w:rPr>
        <w:t>Procediblidad</w:t>
      </w:r>
      <w:proofErr w:type="spellEnd"/>
      <w:r w:rsidR="00DC752F" w:rsidRPr="00143EC9">
        <w:rPr>
          <w:rFonts w:ascii="Palatino Linotype" w:hAnsi="Palatino Linotype" w:cs="Arial"/>
          <w:b/>
          <w:sz w:val="28"/>
          <w:szCs w:val="28"/>
        </w:rPr>
        <w:t xml:space="preserve">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proofErr w:type="spellStart"/>
      <w:r w:rsidR="00A9255B" w:rsidRPr="00143EC9">
        <w:rPr>
          <w:rFonts w:ascii="Palatino Linotype" w:hAnsi="Palatino Linotype" w:cs="Arial"/>
        </w:rPr>
        <w:t>procedibilidad</w:t>
      </w:r>
      <w:proofErr w:type="spellEnd"/>
      <w:r w:rsidR="00A9255B" w:rsidRPr="00143EC9">
        <w:rPr>
          <w:rFonts w:ascii="Palatino Linotype" w:hAnsi="Palatino Linotype" w:cs="Arial"/>
        </w:rPr>
        <w:t xml:space="preserve">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1ACED78C"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4D2610">
        <w:rPr>
          <w:rFonts w:ascii="Palatino Linotype" w:hAnsi="Palatino Linotype" w:cs="Arial"/>
        </w:rPr>
        <w:t>catorce de abril</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4D2610">
        <w:rPr>
          <w:rFonts w:ascii="Palatino Linotype" w:hAnsi="Palatino Linotype" w:cs="Arial"/>
        </w:rPr>
        <w:t xml:space="preserve">veintitrés del mismo mes y </w:t>
      </w:r>
      <w:r w:rsidR="00952606">
        <w:rPr>
          <w:rFonts w:ascii="Palatino Linotype" w:hAnsi="Palatino Linotype" w:cs="Arial"/>
        </w:rPr>
        <w:t>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así como, en la que se interpuso el recurso 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242A5290" w14:textId="5135E1FD"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4D2610">
        <w:rPr>
          <w:rStyle w:val="apple-converted-space"/>
          <w:rFonts w:ascii="Palatino Linotype" w:eastAsiaTheme="minorHAnsi" w:hAnsi="Palatino Linotype" w:cs="Segoe UI"/>
        </w:rPr>
        <w:t>V</w:t>
      </w:r>
      <w:r w:rsidR="002317AF">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lastRenderedPageBreak/>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 xml:space="preserve">El recurso de </w:t>
      </w:r>
      <w:proofErr w:type="gramStart"/>
      <w:r w:rsidRPr="00143EC9">
        <w:rPr>
          <w:rStyle w:val="normaltextrun"/>
          <w:rFonts w:ascii="Palatino Linotype" w:hAnsi="Palatino Linotype" w:cs="Segoe UI"/>
          <w:bCs/>
          <w:i/>
          <w:sz w:val="20"/>
          <w:szCs w:val="22"/>
        </w:rPr>
        <w:t>revisión  es</w:t>
      </w:r>
      <w:proofErr w:type="gramEnd"/>
      <w:r w:rsidRPr="00143EC9">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372CBB4F" w14:textId="77777777" w:rsidR="002317AF" w:rsidRDefault="002317AF" w:rsidP="0080653E">
      <w:pPr>
        <w:autoSpaceDE w:val="0"/>
        <w:autoSpaceDN w:val="0"/>
        <w:adjustRightInd w:val="0"/>
        <w:spacing w:before="120" w:after="120" w:line="360" w:lineRule="auto"/>
        <w:ind w:left="1134" w:right="941"/>
        <w:jc w:val="both"/>
        <w:rPr>
          <w:rFonts w:ascii="Palatino Linotype" w:hAnsi="Palatino Linotype"/>
          <w:b/>
          <w:i/>
        </w:rPr>
      </w:pPr>
      <w:r>
        <w:rPr>
          <w:rFonts w:ascii="Palatino Linotype" w:hAnsi="Palatino Linotype"/>
          <w:b/>
          <w:i/>
        </w:rPr>
        <w:t>(…)</w:t>
      </w:r>
    </w:p>
    <w:p w14:paraId="2B0B0C58" w14:textId="3BC5B096" w:rsidR="00C77922" w:rsidRPr="004D2610" w:rsidRDefault="004D2610" w:rsidP="004D2610">
      <w:pPr>
        <w:ind w:left="1134"/>
        <w:jc w:val="both"/>
        <w:rPr>
          <w:rFonts w:ascii="Palatino Linotype" w:hAnsi="Palatino Linotype"/>
          <w:b/>
          <w:i/>
        </w:rPr>
      </w:pPr>
      <w:r w:rsidRPr="00405A74">
        <w:rPr>
          <w:rFonts w:ascii="Palatino Linotype" w:hAnsi="Palatino Linotype"/>
          <w:b/>
          <w:i/>
        </w:rPr>
        <w:t>V. La ent</w:t>
      </w:r>
      <w:r>
        <w:rPr>
          <w:rFonts w:ascii="Palatino Linotype" w:hAnsi="Palatino Linotype"/>
          <w:b/>
          <w:i/>
        </w:rPr>
        <w:t>rega de información incompleta</w:t>
      </w:r>
      <w:proofErr w:type="gramStart"/>
      <w:r>
        <w:rPr>
          <w:rFonts w:ascii="Palatino Linotype" w:hAnsi="Palatino Linotype"/>
          <w:b/>
          <w:i/>
        </w:rPr>
        <w:t>;</w:t>
      </w:r>
      <w:r w:rsidR="008C2572" w:rsidRPr="00143EC9">
        <w:rPr>
          <w:rFonts w:ascii="Palatino Linotype" w:eastAsiaTheme="minorEastAsia" w:hAnsi="Palatino Linotype" w:cs="Bookman Old Style"/>
          <w:b/>
          <w:i/>
          <w:sz w:val="22"/>
          <w:szCs w:val="20"/>
        </w:rPr>
        <w:t xml:space="preserve"> </w:t>
      </w:r>
      <w:r w:rsidR="00C77922" w:rsidRPr="00143EC9">
        <w:rPr>
          <w:rFonts w:ascii="Palatino Linotype" w:eastAsiaTheme="minorEastAsia" w:hAnsi="Palatino Linotype" w:cs="Bookman Old Style"/>
          <w:b/>
          <w:i/>
          <w:sz w:val="22"/>
          <w:szCs w:val="20"/>
        </w:rPr>
        <w:t>…”</w:t>
      </w:r>
      <w:proofErr w:type="gramEnd"/>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642250F2" w14:textId="77777777" w:rsidR="008C2572" w:rsidRPr="00143EC9" w:rsidRDefault="008C2572" w:rsidP="00453028">
      <w:pPr>
        <w:spacing w:before="240" w:after="240" w:line="360" w:lineRule="auto"/>
        <w:jc w:val="both"/>
        <w:rPr>
          <w:rFonts w:ascii="Palatino Linotype" w:hAnsi="Palatino Linotype"/>
          <w:b/>
          <w:sz w:val="28"/>
          <w:szCs w:val="28"/>
        </w:rPr>
      </w:pP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CUARTO. Estudio del asunto.</w:t>
      </w:r>
    </w:p>
    <w:p w14:paraId="2627C4A7" w14:textId="0F2CA0D9" w:rsidR="00844FAE" w:rsidRDefault="00844FAE" w:rsidP="00844FAE">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Órgano señala que los motivos de inconformidad del </w:t>
      </w:r>
      <w:r w:rsidRPr="00143EC9">
        <w:rPr>
          <w:rFonts w:ascii="Palatino Linotype" w:hAnsi="Palatino Linotype"/>
          <w:b/>
          <w:i/>
        </w:rPr>
        <w:t>Recurrente</w:t>
      </w:r>
      <w:r w:rsidRPr="00143EC9">
        <w:rPr>
          <w:rFonts w:ascii="Palatino Linotype" w:hAnsi="Palatino Linotype"/>
        </w:rPr>
        <w:t xml:space="preserve"> resultan fundados, por las razones que se expondrán en la presente resolución.</w:t>
      </w:r>
    </w:p>
    <w:p w14:paraId="55F43C59" w14:textId="564FEA0B" w:rsidR="003D550C" w:rsidRDefault="00C553D5" w:rsidP="00C553D5">
      <w:pPr>
        <w:spacing w:before="240" w:after="240" w:line="360" w:lineRule="auto"/>
        <w:jc w:val="both"/>
        <w:rPr>
          <w:rFonts w:ascii="Palatino Linotype" w:hAnsi="Palatino Linotype"/>
          <w:color w:val="000000"/>
        </w:rPr>
      </w:pPr>
      <w:r>
        <w:rPr>
          <w:rFonts w:ascii="Palatino Linotype" w:hAnsi="Palatino Linotype"/>
          <w:color w:val="000000"/>
        </w:rPr>
        <w:lastRenderedPageBreak/>
        <w:t>Conforme a lo anterior, resulta necesario</w:t>
      </w:r>
      <w:r w:rsidR="0053004A">
        <w:rPr>
          <w:rFonts w:ascii="Palatino Linotype" w:hAnsi="Palatino Linotype"/>
          <w:color w:val="000000"/>
        </w:rPr>
        <w:t xml:space="preserve"> recordar que el particular solicitó en el ejercicio</w:t>
      </w:r>
      <w:r w:rsidR="003D550C">
        <w:rPr>
          <w:rFonts w:ascii="Palatino Linotype" w:hAnsi="Palatino Linotype"/>
          <w:color w:val="000000"/>
        </w:rPr>
        <w:t xml:space="preserve"> de su derecho de acceso a la información</w:t>
      </w:r>
      <w:r w:rsidR="00107881">
        <w:rPr>
          <w:rFonts w:ascii="Palatino Linotype" w:hAnsi="Palatino Linotype"/>
          <w:b/>
          <w:color w:val="000000"/>
        </w:rPr>
        <w:t>,</w:t>
      </w:r>
      <w:r w:rsidR="00107881">
        <w:rPr>
          <w:rFonts w:ascii="Palatino Linotype" w:hAnsi="Palatino Linotype"/>
          <w:color w:val="000000"/>
        </w:rPr>
        <w:t xml:space="preserve"> </w:t>
      </w:r>
      <w:r w:rsidR="003D550C">
        <w:rPr>
          <w:rFonts w:ascii="Palatino Linotype" w:hAnsi="Palatino Linotype"/>
          <w:color w:val="000000"/>
        </w:rPr>
        <w:t>lo siguiente:</w:t>
      </w:r>
    </w:p>
    <w:p w14:paraId="360A2C62" w14:textId="77777777" w:rsidR="00557867" w:rsidRDefault="00557867" w:rsidP="00557867">
      <w:pPr>
        <w:pStyle w:val="Prrafodelista"/>
        <w:numPr>
          <w:ilvl w:val="0"/>
          <w:numId w:val="35"/>
        </w:numPr>
        <w:spacing w:before="240" w:after="240" w:line="360" w:lineRule="auto"/>
        <w:jc w:val="both"/>
        <w:rPr>
          <w:rFonts w:ascii="Palatino Linotype" w:hAnsi="Palatino Linotype"/>
          <w:b/>
          <w:color w:val="000000"/>
        </w:rPr>
      </w:pPr>
      <w:r>
        <w:rPr>
          <w:rFonts w:ascii="Palatino Linotype" w:hAnsi="Palatino Linotype"/>
          <w:b/>
          <w:color w:val="000000"/>
        </w:rPr>
        <w:t>E</w:t>
      </w:r>
      <w:r w:rsidRPr="00557867">
        <w:rPr>
          <w:rFonts w:ascii="Palatino Linotype" w:hAnsi="Palatino Linotype"/>
          <w:b/>
          <w:color w:val="000000"/>
        </w:rPr>
        <w:t xml:space="preserve">l presupuesto asignado al H. Ayuntamiento de Metepec, para la ejecución del ejercicio fiscal 2021 (de la Federación: participaciones Ramo 28 y aportaciones Ramo </w:t>
      </w:r>
      <w:r>
        <w:rPr>
          <w:rFonts w:ascii="Palatino Linotype" w:hAnsi="Palatino Linotype"/>
          <w:b/>
          <w:color w:val="000000"/>
        </w:rPr>
        <w:t>33; del Estado: transferencias).</w:t>
      </w:r>
    </w:p>
    <w:p w14:paraId="62608B32" w14:textId="77777777" w:rsidR="00557867" w:rsidRDefault="00557867" w:rsidP="00557867">
      <w:pPr>
        <w:pStyle w:val="Prrafodelista"/>
        <w:numPr>
          <w:ilvl w:val="0"/>
          <w:numId w:val="35"/>
        </w:numPr>
        <w:spacing w:before="240" w:after="240" w:line="360" w:lineRule="auto"/>
        <w:jc w:val="both"/>
        <w:rPr>
          <w:rFonts w:ascii="Palatino Linotype" w:hAnsi="Palatino Linotype"/>
          <w:b/>
          <w:color w:val="000000"/>
        </w:rPr>
      </w:pPr>
      <w:r>
        <w:rPr>
          <w:rFonts w:ascii="Palatino Linotype" w:hAnsi="Palatino Linotype"/>
          <w:b/>
          <w:color w:val="000000"/>
        </w:rPr>
        <w:t>L</w:t>
      </w:r>
      <w:r w:rsidRPr="00557867">
        <w:rPr>
          <w:rFonts w:ascii="Palatino Linotype" w:hAnsi="Palatino Linotype"/>
          <w:b/>
          <w:color w:val="000000"/>
        </w:rPr>
        <w:t xml:space="preserve">as metas programadas de la Dirección de Gobierno por Resultados, con el avance correspondiente al mes de marzo de cada una de ellas. </w:t>
      </w:r>
    </w:p>
    <w:p w14:paraId="14684946" w14:textId="77777777" w:rsidR="00557867" w:rsidRDefault="00557867" w:rsidP="00557867">
      <w:pPr>
        <w:pStyle w:val="Prrafodelista"/>
        <w:numPr>
          <w:ilvl w:val="0"/>
          <w:numId w:val="35"/>
        </w:numPr>
        <w:spacing w:before="240" w:after="240" w:line="360" w:lineRule="auto"/>
        <w:jc w:val="both"/>
        <w:rPr>
          <w:rFonts w:ascii="Palatino Linotype" w:hAnsi="Palatino Linotype"/>
          <w:b/>
          <w:color w:val="000000"/>
        </w:rPr>
      </w:pPr>
      <w:r>
        <w:rPr>
          <w:rFonts w:ascii="Palatino Linotype" w:hAnsi="Palatino Linotype"/>
          <w:b/>
          <w:color w:val="000000"/>
        </w:rPr>
        <w:t>L</w:t>
      </w:r>
      <w:r w:rsidRPr="00557867">
        <w:rPr>
          <w:rFonts w:ascii="Palatino Linotype" w:hAnsi="Palatino Linotype"/>
          <w:b/>
          <w:color w:val="000000"/>
        </w:rPr>
        <w:t xml:space="preserve">os nombres de los Programas de Desarrollo Social que ejecutan para el año 2021, así como cuál es la metodología aplicada para medir el grado de satisfacción de los beneficiarios respecto de los programas. </w:t>
      </w:r>
    </w:p>
    <w:p w14:paraId="0FFE28C0" w14:textId="72F0F1FC" w:rsidR="00557867" w:rsidRPr="00557867" w:rsidRDefault="00557867" w:rsidP="00557867">
      <w:pPr>
        <w:pStyle w:val="Prrafodelista"/>
        <w:numPr>
          <w:ilvl w:val="0"/>
          <w:numId w:val="35"/>
        </w:numPr>
        <w:spacing w:before="240" w:after="240" w:line="360" w:lineRule="auto"/>
        <w:jc w:val="both"/>
        <w:rPr>
          <w:rFonts w:ascii="Palatino Linotype" w:hAnsi="Palatino Linotype"/>
          <w:b/>
          <w:color w:val="000000"/>
        </w:rPr>
      </w:pPr>
      <w:r>
        <w:rPr>
          <w:rFonts w:ascii="Palatino Linotype" w:hAnsi="Palatino Linotype"/>
          <w:b/>
          <w:color w:val="000000"/>
        </w:rPr>
        <w:t>E</w:t>
      </w:r>
      <w:r w:rsidRPr="00557867">
        <w:rPr>
          <w:rFonts w:ascii="Palatino Linotype" w:hAnsi="Palatino Linotype"/>
          <w:b/>
          <w:color w:val="000000"/>
        </w:rPr>
        <w:t>l Programa Financiero Anual o Plan de Acción correspondiente del registro de la deuda pública municipal</w:t>
      </w:r>
      <w:r>
        <w:rPr>
          <w:rFonts w:ascii="Palatino Linotype" w:hAnsi="Palatino Linotype"/>
          <w:b/>
          <w:color w:val="000000"/>
        </w:rPr>
        <w:t>, adjuntar</w:t>
      </w:r>
      <w:r w:rsidRPr="00557867">
        <w:rPr>
          <w:rFonts w:ascii="Palatino Linotype" w:hAnsi="Palatino Linotype"/>
          <w:b/>
          <w:color w:val="000000"/>
        </w:rPr>
        <w:t xml:space="preserve"> evidencia oficial de dichas requisiciones</w:t>
      </w:r>
      <w:r>
        <w:rPr>
          <w:rFonts w:ascii="Palatino Linotype" w:hAnsi="Palatino Linotype"/>
          <w:b/>
          <w:color w:val="000000"/>
        </w:rPr>
        <w:t>.</w:t>
      </w:r>
    </w:p>
    <w:p w14:paraId="28EA6435" w14:textId="1262B0F2" w:rsidR="00107881"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w:t>
      </w:r>
      <w:r w:rsidR="00557867">
        <w:rPr>
          <w:rFonts w:ascii="Palatino Linotype" w:hAnsi="Palatino Linotype"/>
          <w:color w:val="000000"/>
        </w:rPr>
        <w:t xml:space="preserve">mediante el oficio número TM/0503/2021 signado por el Tesorero Municipal, se informó que </w:t>
      </w:r>
      <w:r w:rsidR="00B14710">
        <w:rPr>
          <w:rFonts w:ascii="Palatino Linotype" w:hAnsi="Palatino Linotype"/>
          <w:color w:val="000000"/>
        </w:rPr>
        <w:t>la información solicitada competente a la Unidad Administrativa que contesta se encuentra disponible en las ligas electrónicas que para mayor referencia se insertan enseguida:</w:t>
      </w:r>
    </w:p>
    <w:p w14:paraId="6F2AFA62" w14:textId="7C2BF963" w:rsidR="00B14710" w:rsidRDefault="00862F5A" w:rsidP="00B14710">
      <w:pPr>
        <w:pStyle w:val="Prrafodelista"/>
        <w:numPr>
          <w:ilvl w:val="0"/>
          <w:numId w:val="36"/>
        </w:numPr>
        <w:spacing w:before="240" w:after="240" w:line="360" w:lineRule="auto"/>
        <w:jc w:val="both"/>
        <w:rPr>
          <w:rFonts w:ascii="Palatino Linotype" w:hAnsi="Palatino Linotype"/>
          <w:color w:val="000000"/>
        </w:rPr>
      </w:pPr>
      <w:hyperlink r:id="rId9" w:history="1">
        <w:r w:rsidR="00B14710" w:rsidRPr="00D95B40">
          <w:rPr>
            <w:rStyle w:val="Hipervnculo"/>
            <w:rFonts w:ascii="Palatino Linotype" w:hAnsi="Palatino Linotype"/>
          </w:rPr>
          <w:t>https://www.ipomex.org.mx/ipo3/lgt/indice/METEPEC/art_92_xxv_a.web</w:t>
        </w:r>
      </w:hyperlink>
    </w:p>
    <w:p w14:paraId="2AA10F1D" w14:textId="7C72105A" w:rsidR="00B14710" w:rsidRDefault="00862F5A" w:rsidP="00B14710">
      <w:pPr>
        <w:pStyle w:val="Prrafodelista"/>
        <w:numPr>
          <w:ilvl w:val="0"/>
          <w:numId w:val="36"/>
        </w:numPr>
        <w:spacing w:before="240" w:after="240" w:line="360" w:lineRule="auto"/>
        <w:jc w:val="both"/>
        <w:rPr>
          <w:rFonts w:ascii="Palatino Linotype" w:hAnsi="Palatino Linotype"/>
          <w:color w:val="000000"/>
        </w:rPr>
      </w:pPr>
      <w:hyperlink r:id="rId10" w:history="1">
        <w:r w:rsidR="00B14710" w:rsidRPr="00D95B40">
          <w:rPr>
            <w:rStyle w:val="Hipervnculo"/>
            <w:rFonts w:ascii="Palatino Linotype" w:hAnsi="Palatino Linotype"/>
          </w:rPr>
          <w:t>https://www.ipomex.org.mx/ipo3/lgt/indice/METEPEC/art_92_ii_d.web</w:t>
        </w:r>
      </w:hyperlink>
    </w:p>
    <w:p w14:paraId="0B28E92C" w14:textId="3AEE197D" w:rsidR="00B14710" w:rsidRDefault="00862F5A" w:rsidP="00B14710">
      <w:pPr>
        <w:pStyle w:val="Prrafodelista"/>
        <w:numPr>
          <w:ilvl w:val="0"/>
          <w:numId w:val="36"/>
        </w:numPr>
        <w:spacing w:before="240" w:after="240" w:line="360" w:lineRule="auto"/>
        <w:jc w:val="both"/>
        <w:rPr>
          <w:rFonts w:ascii="Palatino Linotype" w:hAnsi="Palatino Linotype"/>
          <w:color w:val="000000"/>
        </w:rPr>
      </w:pPr>
      <w:hyperlink r:id="rId11" w:history="1">
        <w:r w:rsidR="00B14710" w:rsidRPr="00D95B40">
          <w:rPr>
            <w:rStyle w:val="Hipervnculo"/>
            <w:rFonts w:ascii="Palatino Linotype" w:hAnsi="Palatino Linotype"/>
          </w:rPr>
          <w:t>https://www.ipomex.org.mx/ipo3/lgt/indice/METEPEC/art_92_xxvi.web</w:t>
        </w:r>
      </w:hyperlink>
    </w:p>
    <w:p w14:paraId="2A5522E5" w14:textId="7E6BDEFE" w:rsidR="00B14710" w:rsidRPr="00B14710" w:rsidRDefault="00B14710" w:rsidP="0053004A">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Inconforme, el </w:t>
      </w:r>
      <w:r w:rsidR="00107881">
        <w:rPr>
          <w:rFonts w:ascii="Palatino Linotype" w:hAnsi="Palatino Linotype"/>
          <w:color w:val="000000"/>
        </w:rPr>
        <w:t xml:space="preserve">particular presento el medio de defensa que nos ocupa, señalando como motivos de inconformidad que </w:t>
      </w:r>
      <w:r>
        <w:rPr>
          <w:rFonts w:ascii="Palatino Linotype" w:hAnsi="Palatino Linotype"/>
          <w:color w:val="000000"/>
        </w:rPr>
        <w:t xml:space="preserve">no se atendió lo relativo a </w:t>
      </w:r>
      <w:r w:rsidRPr="00B14710">
        <w:rPr>
          <w:rFonts w:ascii="Palatino Linotype" w:hAnsi="Palatino Linotype"/>
          <w:color w:val="000000"/>
        </w:rPr>
        <w:t>los programas sociales que ejecutan para el ejercicio 2021, así como cuál es la metodología aplicada para medir el grado de sa</w:t>
      </w:r>
      <w:r>
        <w:rPr>
          <w:rFonts w:ascii="Palatino Linotype" w:hAnsi="Palatino Linotype"/>
          <w:color w:val="000000"/>
        </w:rPr>
        <w:t>tisfacción de los beneficiarios; así como que se hizo c</w:t>
      </w:r>
      <w:r w:rsidRPr="00B14710">
        <w:rPr>
          <w:rFonts w:ascii="Palatino Linotype" w:hAnsi="Palatino Linotype"/>
          <w:color w:val="000000"/>
        </w:rPr>
        <w:t xml:space="preserve">aso </w:t>
      </w:r>
      <w:r>
        <w:rPr>
          <w:rFonts w:ascii="Palatino Linotype" w:hAnsi="Palatino Linotype"/>
          <w:color w:val="000000"/>
        </w:rPr>
        <w:t xml:space="preserve">a indicar </w:t>
      </w:r>
      <w:r w:rsidRPr="00B14710">
        <w:rPr>
          <w:rFonts w:ascii="Palatino Linotype" w:hAnsi="Palatino Linotype"/>
          <w:color w:val="000000"/>
        </w:rPr>
        <w:t>cuales son las metas programadas de la Dirección de Gobierno y su avance correspondiente al mes de marzo.</w:t>
      </w:r>
    </w:p>
    <w:p w14:paraId="054F8E09" w14:textId="77777777" w:rsidR="00461E8E" w:rsidRDefault="00461E8E" w:rsidP="00461E8E">
      <w:pPr>
        <w:spacing w:before="240" w:after="240" w:line="360" w:lineRule="auto"/>
        <w:jc w:val="both"/>
        <w:rPr>
          <w:rFonts w:ascii="Palatino Linotype" w:hAnsi="Palatino Linotype"/>
        </w:rPr>
      </w:pPr>
      <w:r w:rsidRPr="006B59F2">
        <w:rPr>
          <w:rFonts w:ascii="Palatino Linotype" w:hAnsi="Palatino Linotype"/>
        </w:rPr>
        <w:t xml:space="preserve">Una vez apuntado lo anterior, a fin de constatar si le asiste la razón a la parte </w:t>
      </w:r>
      <w:r w:rsidRPr="006B59F2">
        <w:rPr>
          <w:rFonts w:ascii="Palatino Linotype" w:hAnsi="Palatino Linotype"/>
          <w:b/>
          <w:i/>
        </w:rPr>
        <w:t xml:space="preserve">Recurrente </w:t>
      </w:r>
      <w:r w:rsidRPr="006B59F2">
        <w:rPr>
          <w:rFonts w:ascii="Palatino Linotype" w:hAnsi="Palatino Linotype"/>
        </w:rPr>
        <w:t>se procede a valorar el expediente electrónico del presente medio impugnación a fin de concluir</w:t>
      </w:r>
      <w:r>
        <w:rPr>
          <w:rFonts w:ascii="Palatino Linotype" w:hAnsi="Palatino Linotype"/>
        </w:rPr>
        <w:t>,</w:t>
      </w:r>
      <w:r w:rsidRPr="006B59F2">
        <w:rPr>
          <w:rFonts w:ascii="Palatino Linotype" w:hAnsi="Palatino Linotype"/>
        </w:rPr>
        <w:t xml:space="preserve"> si en efecto se vulnera el derecho de acceso a la información de la particular, con base a las razones expuestas por el mismo al interponer el recurso de revisión</w:t>
      </w:r>
      <w:r>
        <w:rPr>
          <w:rFonts w:ascii="Palatino Linotype" w:hAnsi="Palatino Linotype"/>
        </w:rPr>
        <w:t>.</w:t>
      </w:r>
    </w:p>
    <w:p w14:paraId="431A880F" w14:textId="4524AACA" w:rsidR="00461E8E" w:rsidRDefault="00461E8E" w:rsidP="00461E8E">
      <w:pPr>
        <w:spacing w:before="240" w:after="240" w:line="360" w:lineRule="auto"/>
        <w:jc w:val="both"/>
        <w:rPr>
          <w:rFonts w:ascii="Palatino Linotype" w:hAnsi="Palatino Linotype" w:cs="Arial"/>
        </w:rPr>
      </w:pPr>
      <w:r>
        <w:rPr>
          <w:rFonts w:ascii="Palatino Linotype" w:hAnsi="Palatino Linotype"/>
        </w:rPr>
        <w:t>Así</w:t>
      </w:r>
      <w:r w:rsidRPr="006B59F2">
        <w:rPr>
          <w:rFonts w:ascii="Palatino Linotype" w:hAnsi="Palatino Linotype"/>
        </w:rPr>
        <w:t xml:space="preserve">, </w:t>
      </w:r>
      <w:r>
        <w:rPr>
          <w:rFonts w:ascii="Palatino Linotype" w:hAnsi="Palatino Linotype"/>
        </w:rPr>
        <w:t xml:space="preserve">es de recordar que el particular se </w:t>
      </w:r>
      <w:r w:rsidRPr="006B59F2">
        <w:rPr>
          <w:rFonts w:ascii="Palatino Linotype" w:hAnsi="Palatino Linotype"/>
        </w:rPr>
        <w:t xml:space="preserve">adoleció de que no le fue entregado </w:t>
      </w:r>
      <w:r w:rsidRPr="006B59F2">
        <w:rPr>
          <w:rFonts w:ascii="Palatino Linotype" w:hAnsi="Palatino Linotype"/>
          <w:color w:val="000000"/>
        </w:rPr>
        <w:t>lo correspondiente a</w:t>
      </w:r>
      <w:r>
        <w:rPr>
          <w:rFonts w:ascii="Palatino Linotype" w:hAnsi="Palatino Linotype"/>
          <w:color w:val="000000"/>
        </w:rPr>
        <w:t xml:space="preserve"> los requerimientos de información marcados con los numerales 2 y 3 en esta resolución, </w:t>
      </w:r>
      <w:r w:rsidRPr="006B59F2">
        <w:rPr>
          <w:rFonts w:ascii="Palatino Linotype" w:hAnsi="Palatino Linotype" w:cs="Arial"/>
        </w:rPr>
        <w:t xml:space="preserve">por lo que se entiende que se encuentra satisfecho con la respuesta que el </w:t>
      </w:r>
      <w:r w:rsidRPr="006B59F2">
        <w:rPr>
          <w:rFonts w:ascii="Palatino Linotype" w:hAnsi="Palatino Linotype" w:cs="Arial"/>
          <w:b/>
        </w:rPr>
        <w:t>Sujeto Obligado</w:t>
      </w:r>
      <w:r w:rsidRPr="006B59F2">
        <w:rPr>
          <w:rFonts w:ascii="Palatino Linotype" w:hAnsi="Palatino Linotype" w:cs="Arial"/>
        </w:rPr>
        <w:t xml:space="preserve"> le entregó </w:t>
      </w:r>
      <w:r>
        <w:rPr>
          <w:rFonts w:ascii="Palatino Linotype" w:hAnsi="Palatino Linotype" w:cs="Arial"/>
        </w:rPr>
        <w:t xml:space="preserve">en lo relativo a los arábigos 1 y 4 de los requerimientos. </w:t>
      </w:r>
      <w:r w:rsidRPr="00F43E88">
        <w:rPr>
          <w:rFonts w:ascii="Palatino Linotype" w:hAnsi="Palatino Linotype" w:cs="Arial"/>
        </w:rPr>
        <w:t>Por lo tanto su estudio no formará parte del análisis que se efectuará en la presente resolución, al ser actos consentidos.</w:t>
      </w:r>
    </w:p>
    <w:p w14:paraId="6BE28D20" w14:textId="46D2508E" w:rsidR="00461E8E" w:rsidRPr="00F43E88" w:rsidRDefault="00461E8E" w:rsidP="00461E8E">
      <w:pPr>
        <w:spacing w:before="240" w:after="240" w:line="360" w:lineRule="auto"/>
        <w:jc w:val="both"/>
        <w:rPr>
          <w:rFonts w:ascii="Palatino Linotype" w:hAnsi="Palatino Linotype" w:cs="Arial"/>
          <w:color w:val="222222"/>
          <w:lang w:eastAsia="es-MX"/>
        </w:rPr>
      </w:pPr>
      <w:r w:rsidRPr="00461E8E">
        <w:rPr>
          <w:rFonts w:ascii="Palatino Linotype" w:hAnsi="Palatino Linotype" w:cs="Arial"/>
        </w:rPr>
        <w:t xml:space="preserve">Dicho de otra manera, no se advierten manifestaciones que puedan producir efectos jurídicos tendentes a revocar, confirmar o modificar la respuesta del </w:t>
      </w:r>
      <w:r w:rsidRPr="00461E8E">
        <w:rPr>
          <w:rFonts w:ascii="Palatino Linotype" w:hAnsi="Palatino Linotype" w:cs="Arial"/>
          <w:b/>
        </w:rPr>
        <w:t xml:space="preserve">Sujeto Obligado </w:t>
      </w:r>
      <w:r w:rsidRPr="00461E8E">
        <w:rPr>
          <w:rFonts w:ascii="Palatino Linotype" w:hAnsi="Palatino Linotype" w:cs="Arial"/>
        </w:rPr>
        <w:t xml:space="preserve">respecto </w:t>
      </w:r>
      <w:r>
        <w:rPr>
          <w:rFonts w:ascii="Palatino Linotype" w:hAnsi="Palatino Linotype" w:cs="Arial"/>
        </w:rPr>
        <w:t>al</w:t>
      </w:r>
      <w:r w:rsidRPr="00461E8E">
        <w:rPr>
          <w:rFonts w:ascii="Palatino Linotype" w:hAnsi="Palatino Linotype"/>
          <w:b/>
          <w:color w:val="000000"/>
        </w:rPr>
        <w:t xml:space="preserve"> presupuesto asignado al H. Ayuntamiento de Metepec, para la ejecución del ejercicio fiscal 2021 (de la Federación: participaciones Ramo 28 y aportaciones Ramo </w:t>
      </w:r>
      <w:r>
        <w:rPr>
          <w:rFonts w:ascii="Palatino Linotype" w:hAnsi="Palatino Linotype"/>
          <w:b/>
          <w:color w:val="000000"/>
        </w:rPr>
        <w:t xml:space="preserve">33; del Estado: transferencias) </w:t>
      </w:r>
      <w:r>
        <w:rPr>
          <w:rFonts w:ascii="Palatino Linotype" w:hAnsi="Palatino Linotype"/>
          <w:color w:val="000000"/>
        </w:rPr>
        <w:t xml:space="preserve">y al </w:t>
      </w:r>
      <w:r w:rsidRPr="00557867">
        <w:rPr>
          <w:rFonts w:ascii="Palatino Linotype" w:hAnsi="Palatino Linotype"/>
          <w:b/>
          <w:color w:val="000000"/>
        </w:rPr>
        <w:t>Programa Financiero Anual o Plan de Acción correspondiente del registro de la deuda pública municipal</w:t>
      </w:r>
      <w:r>
        <w:rPr>
          <w:rFonts w:ascii="Palatino Linotype" w:hAnsi="Palatino Linotype"/>
          <w:b/>
          <w:color w:val="000000"/>
        </w:rPr>
        <w:t xml:space="preserve">, </w:t>
      </w:r>
      <w:r>
        <w:rPr>
          <w:rFonts w:ascii="Palatino Linotype" w:hAnsi="Palatino Linotype"/>
          <w:b/>
          <w:color w:val="000000"/>
        </w:rPr>
        <w:lastRenderedPageBreak/>
        <w:t>adjuntar</w:t>
      </w:r>
      <w:r w:rsidRPr="00557867">
        <w:rPr>
          <w:rFonts w:ascii="Palatino Linotype" w:hAnsi="Palatino Linotype"/>
          <w:b/>
          <w:color w:val="000000"/>
        </w:rPr>
        <w:t xml:space="preserve"> evidencia oficial de dichas requisiciones</w:t>
      </w:r>
      <w:r w:rsidRPr="00F43E88">
        <w:rPr>
          <w:rFonts w:ascii="Palatino Linotype" w:hAnsi="Palatino Linotype" w:cs="Arial"/>
        </w:rPr>
        <w:t>; toda vez que</w:t>
      </w:r>
      <w:r>
        <w:rPr>
          <w:rFonts w:ascii="Palatino Linotype" w:hAnsi="Palatino Linotype" w:cs="Arial"/>
          <w:color w:val="222222"/>
          <w:lang w:eastAsia="es-MX"/>
        </w:rPr>
        <w:t xml:space="preserve"> ha sido criterio para esta Ponencia</w:t>
      </w:r>
      <w:r w:rsidRPr="00F43E88">
        <w:rPr>
          <w:rFonts w:ascii="Palatino Linotype" w:hAnsi="Palatino Linotype" w:cs="Arial"/>
          <w:color w:val="222222"/>
          <w:lang w:eastAsia="es-MX"/>
        </w:rPr>
        <w:t xml:space="preserve"> que aquello que no es impugnado mediante el presente recurso debe declararse consentido por </w:t>
      </w:r>
      <w:r>
        <w:rPr>
          <w:rFonts w:ascii="Palatino Linotype" w:hAnsi="Palatino Linotype" w:cs="Arial"/>
          <w:color w:val="222222"/>
          <w:lang w:eastAsia="es-MX"/>
        </w:rPr>
        <w:t>el</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Recurrente</w:t>
      </w:r>
      <w:r w:rsidRPr="00F43E88">
        <w:rPr>
          <w:rFonts w:ascii="Palatino Linotype" w:hAnsi="Palatino Linotype" w:cs="Arial"/>
          <w:color w:val="222222"/>
          <w:lang w:eastAsia="es-MX"/>
        </w:rPr>
        <w:t>, toda vez que no se realizaron manifestaciones de inconformidad se infiere un consentimiento del particular ante la falta de impugnación eficaz.</w:t>
      </w:r>
    </w:p>
    <w:p w14:paraId="6D4CF11E" w14:textId="77777777" w:rsidR="00461E8E" w:rsidRPr="00F43E88" w:rsidRDefault="00461E8E" w:rsidP="00461E8E">
      <w:pPr>
        <w:shd w:val="clear" w:color="auto" w:fill="FFFFFF"/>
        <w:spacing w:before="240" w:after="240" w:line="360" w:lineRule="auto"/>
        <w:jc w:val="both"/>
        <w:rPr>
          <w:rFonts w:ascii="Palatino Linotype" w:hAnsi="Palatino Linotype"/>
        </w:rPr>
      </w:pPr>
      <w:r w:rsidRPr="00F43E88">
        <w:rPr>
          <w:rFonts w:ascii="Palatino Linotype" w:hAnsi="Palatino Linotype" w:cs="Arial"/>
          <w:color w:val="222222"/>
          <w:lang w:eastAsia="es-MX"/>
        </w:rPr>
        <w:t>Al respecto debe tenerse en consideración que de acuerdo con la</w:t>
      </w:r>
      <w:r w:rsidRPr="00F43E88">
        <w:rPr>
          <w:rFonts w:ascii="Palatino Linotype" w:hAnsi="Palatino Linotype"/>
        </w:rPr>
        <w:t xml:space="preserve"> doctrina sobre consentimiento de los actos reclamados, conduce a formular estas nítidas proposiciones: </w:t>
      </w:r>
    </w:p>
    <w:p w14:paraId="3BCB0CB3" w14:textId="77777777" w:rsidR="00461E8E" w:rsidRPr="00F43E88" w:rsidRDefault="00461E8E" w:rsidP="00461E8E">
      <w:pPr>
        <w:pStyle w:val="Prrafodelista"/>
        <w:numPr>
          <w:ilvl w:val="1"/>
          <w:numId w:val="37"/>
        </w:numPr>
        <w:shd w:val="clear" w:color="auto" w:fill="FFFFFF"/>
        <w:spacing w:before="240" w:after="240" w:line="360" w:lineRule="auto"/>
        <w:ind w:left="567" w:firstLine="0"/>
        <w:jc w:val="both"/>
        <w:rPr>
          <w:rFonts w:ascii="Palatino Linotype" w:hAnsi="Palatino Linotype"/>
        </w:rPr>
      </w:pPr>
      <w:r w:rsidRPr="00F43E88">
        <w:rPr>
          <w:rFonts w:ascii="Palatino Linotype" w:hAnsi="Palatino Linotype"/>
        </w:rPr>
        <w:t xml:space="preserve">Cuando directamente se exterioriza que se está de acuerdo o conforme con dicho acto; </w:t>
      </w:r>
    </w:p>
    <w:p w14:paraId="77B31228" w14:textId="77777777" w:rsidR="00461E8E" w:rsidRPr="00F43E88" w:rsidRDefault="00461E8E" w:rsidP="00461E8E">
      <w:pPr>
        <w:pStyle w:val="Prrafodelista"/>
        <w:numPr>
          <w:ilvl w:val="1"/>
          <w:numId w:val="37"/>
        </w:numPr>
        <w:shd w:val="clear" w:color="auto" w:fill="FFFFFF"/>
        <w:spacing w:before="240" w:after="240" w:line="360" w:lineRule="auto"/>
        <w:ind w:left="567" w:firstLine="0"/>
        <w:jc w:val="both"/>
        <w:rPr>
          <w:rFonts w:ascii="Palatino Linotype" w:hAnsi="Palatino Linotype"/>
        </w:rPr>
      </w:pPr>
      <w:r w:rsidRPr="00F43E88">
        <w:rPr>
          <w:rFonts w:ascii="Palatino Linotype" w:hAnsi="Palatino Linotype"/>
        </w:rPr>
        <w:t xml:space="preserve">Cuando media una manifestación de voluntad que entrañe ese consentimiento; y </w:t>
      </w:r>
    </w:p>
    <w:p w14:paraId="2BCC6E49" w14:textId="77777777" w:rsidR="00461E8E" w:rsidRPr="00F43E88" w:rsidRDefault="00461E8E" w:rsidP="00461E8E">
      <w:pPr>
        <w:pStyle w:val="Prrafodelista"/>
        <w:numPr>
          <w:ilvl w:val="1"/>
          <w:numId w:val="37"/>
        </w:numPr>
        <w:shd w:val="clear" w:color="auto" w:fill="FFFFFF"/>
        <w:spacing w:before="240" w:after="240" w:line="360" w:lineRule="auto"/>
        <w:ind w:left="567" w:firstLine="0"/>
        <w:jc w:val="both"/>
        <w:rPr>
          <w:rFonts w:ascii="Palatino Linotype" w:hAnsi="Palatino Linotype"/>
        </w:rPr>
      </w:pPr>
      <w:r w:rsidRPr="00F43E88">
        <w:rPr>
          <w:rFonts w:ascii="Palatino Linotype" w:hAnsi="Palatino Linotype"/>
        </w:rPr>
        <w:t>Cuando el medio de impugnación deja de promoverse dentro de los términos que señalan los artículos de ley aplicable.</w:t>
      </w:r>
      <w:r w:rsidRPr="00F43E88">
        <w:rPr>
          <w:rStyle w:val="Refdenotaalpie"/>
          <w:rFonts w:ascii="Palatino Linotype" w:hAnsi="Palatino Linotype"/>
        </w:rPr>
        <w:footnoteReference w:id="1"/>
      </w:r>
    </w:p>
    <w:p w14:paraId="5CAFB3C5" w14:textId="77777777" w:rsidR="00461E8E" w:rsidRPr="00F43E88" w:rsidRDefault="00461E8E" w:rsidP="00461E8E">
      <w:pPr>
        <w:shd w:val="clear" w:color="auto" w:fill="FFFFFF"/>
        <w:spacing w:before="240" w:after="240" w:line="360" w:lineRule="auto"/>
        <w:jc w:val="both"/>
        <w:rPr>
          <w:rFonts w:ascii="Palatino Linotype" w:hAnsi="Palatino Linotype" w:cs="Arial"/>
          <w:color w:val="222222"/>
          <w:lang w:eastAsia="es-MX"/>
        </w:rPr>
      </w:pPr>
      <w:r w:rsidRPr="00F43E88">
        <w:rPr>
          <w:rFonts w:ascii="Palatino Linotype" w:hAnsi="Palatino Linotype" w:cs="Arial"/>
          <w:color w:val="222222"/>
          <w:lang w:eastAsia="es-MX"/>
        </w:rPr>
        <w:t>En tal</w:t>
      </w:r>
      <w:r>
        <w:rPr>
          <w:rFonts w:ascii="Palatino Linotype" w:hAnsi="Palatino Linotype" w:cs="Arial"/>
          <w:color w:val="222222"/>
          <w:lang w:eastAsia="es-MX"/>
        </w:rPr>
        <w:t xml:space="preserve"> consideración, y toda vez que el</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 xml:space="preserve">Recurrente </w:t>
      </w:r>
      <w:r w:rsidRPr="00F43E88">
        <w:rPr>
          <w:rFonts w:ascii="Palatino Linotype" w:hAnsi="Palatino Linotype" w:cs="Arial"/>
          <w:color w:val="222222"/>
          <w:lang w:eastAsia="es-MX"/>
        </w:rPr>
        <w:t xml:space="preserve">no impugnó en el momento procesal oportuno el pronunciamiento del </w:t>
      </w:r>
      <w:r w:rsidRPr="00F43E88">
        <w:rPr>
          <w:rFonts w:ascii="Palatino Linotype" w:hAnsi="Palatino Linotype" w:cs="Arial"/>
          <w:b/>
          <w:color w:val="222222"/>
          <w:lang w:eastAsia="es-MX"/>
        </w:rPr>
        <w:t xml:space="preserve">Sujeto Obligado, </w:t>
      </w:r>
      <w:r w:rsidRPr="00F43E88">
        <w:rPr>
          <w:rFonts w:ascii="Palatino Linotype" w:hAnsi="Palatino Linotype" w:cs="Arial"/>
          <w:color w:val="222222"/>
          <w:lang w:eastAsia="es-MX"/>
        </w:rPr>
        <w:t xml:space="preserve">se colige que los extremos de la mismos fueron actos consentidos de manera tacita, ello de conformidad con el artículo 195 fracción IV del Código de Procedimientos </w:t>
      </w:r>
      <w:r w:rsidRPr="00F43E88">
        <w:rPr>
          <w:rFonts w:ascii="Palatino Linotype" w:hAnsi="Palatino Linotype" w:cs="Arial"/>
          <w:color w:val="222222"/>
          <w:lang w:eastAsia="es-MX"/>
        </w:rPr>
        <w:lastRenderedPageBreak/>
        <w:t>Administrativos del Estado de México</w:t>
      </w:r>
      <w:r w:rsidRPr="00F43E88">
        <w:rPr>
          <w:rStyle w:val="Refdenotaalpie"/>
          <w:rFonts w:ascii="Palatino Linotype" w:hAnsi="Palatino Linotype" w:cs="Arial"/>
          <w:color w:val="222222"/>
          <w:lang w:eastAsia="es-MX"/>
        </w:rPr>
        <w:footnoteReference w:id="2"/>
      </w:r>
      <w:r w:rsidRPr="00F43E88">
        <w:rPr>
          <w:rFonts w:ascii="Palatino Linotype" w:hAnsi="Palatino Linotype" w:cs="Arial"/>
          <w:color w:val="222222"/>
          <w:lang w:eastAsia="es-MX"/>
        </w:rPr>
        <w:t xml:space="preserve"> que prevé que es improcedente el recurso </w:t>
      </w:r>
      <w:r w:rsidRPr="00F43E88">
        <w:rPr>
          <w:rFonts w:ascii="Palatino Linotype" w:hAnsi="Palatino Linotype" w:cs="Arial"/>
          <w:i/>
          <w:color w:val="222222"/>
          <w:lang w:eastAsia="es-MX"/>
        </w:rPr>
        <w:t>contra actos consentidos tácitamente</w:t>
      </w:r>
      <w:r w:rsidRPr="00F43E88">
        <w:rPr>
          <w:rFonts w:ascii="Palatino Linotype" w:hAnsi="Palatino Linotype" w:cs="Arial"/>
          <w:color w:val="222222"/>
          <w:lang w:eastAsia="es-MX"/>
        </w:rPr>
        <w:t xml:space="preserve">, </w:t>
      </w:r>
      <w:r>
        <w:rPr>
          <w:rFonts w:ascii="Palatino Linotype" w:hAnsi="Palatino Linotype" w:cs="Arial"/>
          <w:color w:val="222222"/>
          <w:lang w:eastAsia="es-MX"/>
        </w:rPr>
        <w:t>robustece lo dicho</w:t>
      </w:r>
      <w:r w:rsidRPr="00F43E88">
        <w:rPr>
          <w:rFonts w:ascii="Palatino Linotype" w:hAnsi="Palatino Linotype" w:cs="Arial"/>
          <w:color w:val="222222"/>
          <w:lang w:eastAsia="es-MX"/>
        </w:rPr>
        <w:t xml:space="preserve"> la jurisprudencia siguiente:</w:t>
      </w:r>
    </w:p>
    <w:p w14:paraId="5B9070D2" w14:textId="77777777" w:rsidR="00461E8E" w:rsidRPr="00F43E88" w:rsidRDefault="00461E8E" w:rsidP="00461E8E">
      <w:pPr>
        <w:shd w:val="clear" w:color="auto" w:fill="FFFFFF"/>
        <w:spacing w:after="120"/>
        <w:ind w:left="851" w:right="900"/>
        <w:jc w:val="both"/>
        <w:rPr>
          <w:rFonts w:ascii="Palatino Linotype" w:hAnsi="Palatino Linotype" w:cs="Arial"/>
          <w:i/>
          <w:color w:val="222222"/>
          <w:sz w:val="20"/>
          <w:szCs w:val="20"/>
          <w:lang w:eastAsia="es-MX"/>
        </w:rPr>
      </w:pPr>
      <w:r w:rsidRPr="00F43E88">
        <w:rPr>
          <w:rFonts w:ascii="Palatino Linotype" w:hAnsi="Palatino Linotype" w:cs="Arial"/>
          <w:b/>
          <w:bCs/>
          <w:i/>
          <w:iCs/>
          <w:caps/>
          <w:color w:val="222222"/>
          <w:sz w:val="20"/>
          <w:szCs w:val="20"/>
          <w:lang w:eastAsia="es-MX"/>
        </w:rPr>
        <w:t xml:space="preserve">“ACTOS CONSENTIDOS TACITAMENTE. </w:t>
      </w:r>
      <w:r w:rsidRPr="00F43E88">
        <w:rPr>
          <w:rFonts w:ascii="Palatino Linotype" w:hAnsi="Palatino Linotype" w:cs="Arial"/>
          <w:bCs/>
          <w:i/>
          <w:iCs/>
          <w:color w:val="222222"/>
          <w:sz w:val="20"/>
          <w:szCs w:val="20"/>
          <w:lang w:eastAsia="es-MX"/>
        </w:rPr>
        <w:t>Se presumen así, para los efectos del amparo, los actos del orden civil y administrativo, que no hubieren sido reclamados en esa vía dentro de los plazos que la ley señala.”</w:t>
      </w:r>
      <w:r w:rsidRPr="00F43E88">
        <w:rPr>
          <w:rStyle w:val="Refdenotaalpie"/>
          <w:rFonts w:ascii="Palatino Linotype" w:hAnsi="Palatino Linotype" w:cs="Arial"/>
          <w:i/>
          <w:iCs/>
          <w:color w:val="222222"/>
          <w:sz w:val="20"/>
          <w:szCs w:val="20"/>
          <w:lang w:eastAsia="es-MX"/>
        </w:rPr>
        <w:footnoteReference w:id="3"/>
      </w:r>
    </w:p>
    <w:p w14:paraId="4F45037A" w14:textId="77777777" w:rsidR="00461E8E" w:rsidRPr="00F43E88" w:rsidRDefault="00461E8E" w:rsidP="00461E8E">
      <w:pPr>
        <w:spacing w:before="240" w:after="240" w:line="360" w:lineRule="auto"/>
        <w:jc w:val="both"/>
        <w:rPr>
          <w:rFonts w:ascii="Palatino Linotype" w:hAnsi="Palatino Linotype" w:cs="Arial"/>
        </w:rPr>
      </w:pPr>
      <w:r w:rsidRPr="00F43E88">
        <w:rPr>
          <w:rFonts w:ascii="Palatino Linotype" w:hAnsi="Palatino Linotype" w:cs="Arial"/>
        </w:rPr>
        <w:t>Razón por la cual este Órgano Garante no analizará las cuestiones de fondo, respecto de los requerimientos señalados</w:t>
      </w:r>
      <w:r>
        <w:rPr>
          <w:rFonts w:ascii="Palatino Linotype" w:hAnsi="Palatino Linotype" w:cs="Arial"/>
        </w:rPr>
        <w:t xml:space="preserve">, </w:t>
      </w:r>
      <w:r w:rsidRPr="00F43E88">
        <w:rPr>
          <w:rFonts w:ascii="Palatino Linotype" w:hAnsi="Palatino Linotype" w:cs="Arial"/>
        </w:rPr>
        <w:t xml:space="preserve">considerando que </w:t>
      </w:r>
      <w:r>
        <w:rPr>
          <w:rFonts w:ascii="Palatino Linotype" w:hAnsi="Palatino Linotype" w:cs="Arial"/>
        </w:rPr>
        <w:t>el</w:t>
      </w:r>
      <w:r w:rsidRPr="00F43E88">
        <w:rPr>
          <w:rFonts w:ascii="Palatino Linotype" w:hAnsi="Palatino Linotype" w:cs="Arial"/>
        </w:rPr>
        <w:t xml:space="preserve"> particular</w:t>
      </w:r>
      <w:r w:rsidRPr="00F43E88">
        <w:rPr>
          <w:rFonts w:ascii="Palatino Linotype" w:hAnsi="Palatino Linotype" w:cs="Arial"/>
          <w:b/>
        </w:rPr>
        <w:t xml:space="preserve"> </w:t>
      </w:r>
      <w:r w:rsidRPr="00F43E88">
        <w:rPr>
          <w:rFonts w:ascii="Palatino Linotype" w:hAnsi="Palatino Linotype" w:cs="Arial"/>
        </w:rPr>
        <w:t xml:space="preserve">no hizo manifestación alguna al momento de interponer el recurso de revisión materia de la presente resolución. </w:t>
      </w:r>
    </w:p>
    <w:p w14:paraId="25A33B56" w14:textId="01A83748" w:rsidR="00461E8E" w:rsidRDefault="00461E8E" w:rsidP="00461E8E">
      <w:pPr>
        <w:shd w:val="clear" w:color="auto" w:fill="FFFFFF"/>
        <w:spacing w:before="240" w:after="240" w:line="360" w:lineRule="auto"/>
        <w:jc w:val="both"/>
        <w:rPr>
          <w:rFonts w:ascii="Palatino Linotype" w:hAnsi="Palatino Linotype"/>
          <w:b/>
          <w:color w:val="000000"/>
        </w:rPr>
      </w:pPr>
      <w:r>
        <w:rPr>
          <w:rFonts w:ascii="Palatino Linotype" w:hAnsi="Palatino Linotype" w:cs="Arial"/>
          <w:color w:val="222222"/>
          <w:lang w:eastAsia="es-MX"/>
        </w:rPr>
        <w:t xml:space="preserve">Después de las apuntaciones hechas, es oportuno </w:t>
      </w:r>
      <w:r w:rsidR="002F0854">
        <w:rPr>
          <w:rFonts w:ascii="Palatino Linotype" w:hAnsi="Palatino Linotype" w:cs="Arial"/>
          <w:color w:val="222222"/>
          <w:lang w:eastAsia="es-MX"/>
        </w:rPr>
        <w:t xml:space="preserve">analizar lo relativo al requerimiento marcado con el numeral 2 en esta resolución, a través del cual se tuvo que el particular solicitó </w:t>
      </w:r>
      <w:r w:rsidR="002F0854" w:rsidRPr="002F0854">
        <w:rPr>
          <w:rFonts w:ascii="Palatino Linotype" w:hAnsi="Palatino Linotype"/>
          <w:b/>
          <w:color w:val="000000"/>
        </w:rPr>
        <w:t>las metas programadas de la Dirección de Gobierno por Resultados, con el avance correspondiente al mes de marzo de cada una de ellas</w:t>
      </w:r>
      <w:r w:rsidR="002F0854">
        <w:rPr>
          <w:rFonts w:ascii="Palatino Linotype" w:hAnsi="Palatino Linotype"/>
          <w:b/>
          <w:color w:val="000000"/>
        </w:rPr>
        <w:t>.</w:t>
      </w:r>
    </w:p>
    <w:p w14:paraId="40FE2F79" w14:textId="6859902F" w:rsidR="00104846" w:rsidRPr="0003689E" w:rsidRDefault="00104846" w:rsidP="00104846">
      <w:pPr>
        <w:pStyle w:val="NormalWeb"/>
        <w:spacing w:line="360" w:lineRule="auto"/>
        <w:jc w:val="both"/>
        <w:rPr>
          <w:rFonts w:ascii="Palatino Linotype" w:hAnsi="Palatino Linotype"/>
        </w:rPr>
      </w:pPr>
      <w:r>
        <w:rPr>
          <w:rFonts w:ascii="Palatino Linotype" w:hAnsi="Palatino Linotype" w:cs="Arial"/>
          <w:color w:val="222222"/>
        </w:rPr>
        <w:t xml:space="preserve">Por tanto, resulta pertinente abordar nuestro análisis a partir de lo estatuido en los </w:t>
      </w:r>
      <w:r w:rsidRPr="0003689E">
        <w:rPr>
          <w:rFonts w:ascii="Palatino Linotype" w:hAnsi="Palatino Linotype"/>
        </w:rPr>
        <w:t xml:space="preserve">artículos 296 y 298 Código Financiero del Estado de México, </w:t>
      </w:r>
      <w:r>
        <w:rPr>
          <w:rFonts w:ascii="Palatino Linotype" w:hAnsi="Palatino Linotype"/>
        </w:rPr>
        <w:t>que a saber establecen lo siguiente</w:t>
      </w:r>
      <w:r w:rsidRPr="0003689E">
        <w:rPr>
          <w:rFonts w:ascii="Palatino Linotype" w:hAnsi="Palatino Linotype"/>
        </w:rPr>
        <w:t>:</w:t>
      </w:r>
    </w:p>
    <w:p w14:paraId="5141EAC7" w14:textId="79C41DF6" w:rsidR="00104846" w:rsidRPr="00104846" w:rsidRDefault="00104846" w:rsidP="00104846">
      <w:pPr>
        <w:spacing w:after="120"/>
        <w:ind w:left="851" w:right="902"/>
        <w:jc w:val="both"/>
        <w:rPr>
          <w:rFonts w:ascii="Palatino Linotype" w:hAnsi="Palatino Linotype" w:cs="Arial"/>
          <w:i/>
          <w:sz w:val="20"/>
          <w:szCs w:val="20"/>
        </w:rPr>
      </w:pPr>
      <w:r w:rsidRPr="00104846">
        <w:rPr>
          <w:rFonts w:ascii="Palatino Linotype" w:hAnsi="Palatino Linotype" w:cs="Arial"/>
          <w:i/>
          <w:sz w:val="20"/>
          <w:szCs w:val="20"/>
        </w:rPr>
        <w:t>“</w:t>
      </w:r>
      <w:r w:rsidRPr="00104846">
        <w:rPr>
          <w:rFonts w:ascii="Palatino Linotype" w:hAnsi="Palatino Linotype" w:cs="Arial"/>
          <w:b/>
          <w:i/>
          <w:sz w:val="20"/>
          <w:szCs w:val="20"/>
        </w:rPr>
        <w:t>Artículo 296.-</w:t>
      </w:r>
      <w:r w:rsidRPr="00104846">
        <w:rPr>
          <w:rFonts w:ascii="Palatino Linotype" w:hAnsi="Palatino Linotype" w:cs="Arial"/>
          <w:i/>
          <w:sz w:val="20"/>
          <w:szCs w:val="20"/>
        </w:rPr>
        <w:t xml:space="preserve"> Las Dependencias, Entidades Públicas, Organismos Autónomos, así como los Poderes Legislativo y Judicial formularán su anteproyecto de Presupuesto de Egresos de acuerdo con el Manual para la Formulación del Anteproyecto de Presupuesto, con base en los techos presupuestarios comunicados </w:t>
      </w:r>
      <w:r>
        <w:rPr>
          <w:rFonts w:ascii="Palatino Linotype" w:hAnsi="Palatino Linotype" w:cs="Arial"/>
          <w:i/>
          <w:sz w:val="20"/>
          <w:szCs w:val="20"/>
        </w:rPr>
        <w:t>y sus Programas presupuestarios</w:t>
      </w:r>
      <w:r w:rsidRPr="00104846">
        <w:rPr>
          <w:rFonts w:ascii="Palatino Linotype" w:hAnsi="Palatino Linotype" w:cs="Arial"/>
          <w:i/>
          <w:sz w:val="20"/>
          <w:szCs w:val="20"/>
        </w:rPr>
        <w:t>…</w:t>
      </w:r>
    </w:p>
    <w:p w14:paraId="68D8C283" w14:textId="77777777" w:rsidR="00104846" w:rsidRPr="00104846" w:rsidRDefault="00104846" w:rsidP="00104846">
      <w:pPr>
        <w:spacing w:after="120"/>
        <w:ind w:left="851" w:right="902"/>
        <w:jc w:val="both"/>
        <w:rPr>
          <w:rFonts w:ascii="Palatino Linotype" w:hAnsi="Palatino Linotype" w:cs="Arial"/>
          <w:i/>
          <w:sz w:val="20"/>
          <w:szCs w:val="20"/>
        </w:rPr>
      </w:pPr>
      <w:r w:rsidRPr="00104846">
        <w:rPr>
          <w:rFonts w:ascii="Palatino Linotype" w:hAnsi="Palatino Linotype" w:cs="Arial"/>
          <w:b/>
          <w:i/>
          <w:sz w:val="20"/>
          <w:szCs w:val="20"/>
        </w:rPr>
        <w:t>Artículo 298.-</w:t>
      </w:r>
      <w:r w:rsidRPr="00104846">
        <w:rPr>
          <w:rFonts w:ascii="Palatino Linotype" w:hAnsi="Palatino Linotype" w:cs="Arial"/>
          <w:i/>
          <w:sz w:val="20"/>
          <w:szCs w:val="20"/>
        </w:rPr>
        <w:t xml:space="preserve"> El último día hábil anterior al día quince del mes de agosto, las Dependencias, Entidades Públicas, enviarán a la Secretaría su anteproyecto de Presupuesto de Egresos. </w:t>
      </w:r>
    </w:p>
    <w:p w14:paraId="5EAAFCD8" w14:textId="77777777" w:rsidR="00104846" w:rsidRPr="00104846" w:rsidRDefault="00104846" w:rsidP="00104846">
      <w:pPr>
        <w:spacing w:after="120"/>
        <w:ind w:left="851" w:right="902"/>
        <w:jc w:val="both"/>
        <w:rPr>
          <w:rFonts w:ascii="Palatino Linotype" w:hAnsi="Palatino Linotype" w:cs="Arial"/>
          <w:i/>
          <w:sz w:val="20"/>
          <w:szCs w:val="20"/>
        </w:rPr>
      </w:pPr>
      <w:r w:rsidRPr="00104846">
        <w:rPr>
          <w:rFonts w:ascii="Palatino Linotype" w:hAnsi="Palatino Linotype" w:cs="Arial"/>
          <w:i/>
          <w:sz w:val="20"/>
          <w:szCs w:val="20"/>
        </w:rPr>
        <w:t xml:space="preserve">Las unidades administrativas de los Municipios enviarán su anteproyecto de presupuesto a la Tesorería para ser revisado con la Unidad de Información, Planeación, Programación </w:t>
      </w:r>
      <w:r w:rsidRPr="00104846">
        <w:rPr>
          <w:rFonts w:ascii="Palatino Linotype" w:hAnsi="Palatino Linotype" w:cs="Arial"/>
          <w:i/>
          <w:sz w:val="20"/>
          <w:szCs w:val="20"/>
        </w:rPr>
        <w:lastRenderedPageBreak/>
        <w:t>y Evaluación, o la Unidad Administrativa responsable de realizar estas funciones. Dichas unidades administrativas deberán integrar el proyecto de presupuesto que se someterá a consideración del presidente municipal para su posterior aprobación por el Ayuntamiento.”</w:t>
      </w:r>
    </w:p>
    <w:p w14:paraId="60B2E1D4" w14:textId="73BE5D33" w:rsidR="00104846" w:rsidRPr="0003689E" w:rsidRDefault="00104846" w:rsidP="00104846">
      <w:pPr>
        <w:pStyle w:val="NormalWeb"/>
        <w:spacing w:line="360" w:lineRule="auto"/>
        <w:jc w:val="both"/>
        <w:rPr>
          <w:rFonts w:ascii="Palatino Linotype" w:hAnsi="Palatino Linotype"/>
        </w:rPr>
      </w:pPr>
      <w:r w:rsidRPr="0003689E">
        <w:rPr>
          <w:rFonts w:ascii="Palatino Linotype" w:hAnsi="Palatino Linotype"/>
        </w:rPr>
        <w:t>De los dispositivos jurídicos señalados, se puede observar que el Código Financiero, establece como parte de las obligaciones de los ayuntamientos, la formulación de un anteproyecto de presupuesto de egresos acorde con el Manual para la formulación del Anteproyecto de Presupuesto, mismo que debe realizarse con base en los techos financieros comunicados y sus programas presupuestarios, específicamente para el caso de los municipios enviarán su anteproyecto a la Tesorería para que sea revisado por la Unidad de Información, Planeación, Programación y Evaluación (UNIPPE) con el objetivo de que se integre el proyecto que será sometido a consideración del Presidente Municipal y aprobado por el Ayuntamiento.</w:t>
      </w:r>
    </w:p>
    <w:p w14:paraId="498E696B" w14:textId="19CFD0A3" w:rsidR="00104846" w:rsidRPr="0003689E" w:rsidRDefault="00104846" w:rsidP="00104846">
      <w:pPr>
        <w:spacing w:before="240" w:after="240" w:line="360" w:lineRule="auto"/>
        <w:jc w:val="both"/>
        <w:rPr>
          <w:rFonts w:ascii="Palatino Linotype" w:hAnsi="Palatino Linotype"/>
          <w:color w:val="000000"/>
        </w:rPr>
      </w:pPr>
      <w:r w:rsidRPr="0003689E">
        <w:rPr>
          <w:rFonts w:ascii="Palatino Linotype" w:hAnsi="Palatino Linotype"/>
          <w:color w:val="000000"/>
        </w:rPr>
        <w:t>Para la efecto, la Secretaría de Finanzas emite anualmente los manuales para la realización de los anteproyectos de presupuesto, para el año 20</w:t>
      </w:r>
      <w:r>
        <w:rPr>
          <w:rFonts w:ascii="Palatino Linotype" w:hAnsi="Palatino Linotype"/>
          <w:color w:val="000000"/>
        </w:rPr>
        <w:t>21</w:t>
      </w:r>
      <w:r w:rsidRPr="0003689E">
        <w:rPr>
          <w:rFonts w:ascii="Palatino Linotype" w:hAnsi="Palatino Linotype"/>
          <w:color w:val="000000"/>
        </w:rPr>
        <w:t>, fue emitido el “Manual para la planeación, programación y presupuesto de egresos municipal para el ejercicio fiscal 20</w:t>
      </w:r>
      <w:r>
        <w:rPr>
          <w:rFonts w:ascii="Palatino Linotype" w:hAnsi="Palatino Linotype"/>
          <w:color w:val="000000"/>
        </w:rPr>
        <w:t>21</w:t>
      </w:r>
      <w:r w:rsidRPr="0003689E">
        <w:rPr>
          <w:rFonts w:ascii="Palatino Linotype" w:hAnsi="Palatino Linotype"/>
          <w:color w:val="000000"/>
        </w:rPr>
        <w:t xml:space="preserve">” publicado el </w:t>
      </w:r>
      <w:r>
        <w:rPr>
          <w:rFonts w:ascii="Palatino Linotype" w:hAnsi="Palatino Linotype"/>
          <w:color w:val="000000"/>
        </w:rPr>
        <w:t>tres de noviembre de dos mil veinte</w:t>
      </w:r>
      <w:r w:rsidRPr="0003689E">
        <w:rPr>
          <w:rFonts w:ascii="Palatino Linotype" w:hAnsi="Palatino Linotype"/>
          <w:color w:val="000000"/>
        </w:rPr>
        <w:t xml:space="preserve">, </w:t>
      </w:r>
      <w:r>
        <w:rPr>
          <w:rFonts w:ascii="Palatino Linotype" w:hAnsi="Palatino Linotype"/>
          <w:color w:val="000000"/>
        </w:rPr>
        <w:t xml:space="preserve">que </w:t>
      </w:r>
      <w:r w:rsidRPr="0003689E">
        <w:rPr>
          <w:rFonts w:ascii="Palatino Linotype" w:hAnsi="Palatino Linotype"/>
          <w:color w:val="000000"/>
        </w:rPr>
        <w:t>tiene como propósito apoyar a los Ayuntamientos y entidades públicas municipales para la integración del anteproyecto de presupuesto y el presupuesto; los cuales se integrarán con la recopilación de la información de Dependencias Generales, Auxiliares y Organismos por la Tesorería y la UIPPE en el ámbito de sus responsabilidades para ser revisado e integrar el proyecto de presupuesto, por lo que se considera que es la primera etapa.</w:t>
      </w:r>
    </w:p>
    <w:p w14:paraId="776EFAD2" w14:textId="2ED2EC92" w:rsidR="00104846" w:rsidRPr="0003689E" w:rsidRDefault="00104846" w:rsidP="00104846">
      <w:pPr>
        <w:spacing w:before="240" w:after="240" w:line="360" w:lineRule="auto"/>
        <w:jc w:val="both"/>
        <w:rPr>
          <w:rFonts w:ascii="Palatino Linotype" w:hAnsi="Palatino Linotype"/>
          <w:color w:val="000000"/>
        </w:rPr>
      </w:pPr>
      <w:r w:rsidRPr="0003689E">
        <w:rPr>
          <w:rFonts w:ascii="Palatino Linotype" w:hAnsi="Palatino Linotype"/>
          <w:color w:val="000000"/>
        </w:rPr>
        <w:t xml:space="preserve">De igual forma el Manual establece que para dar orden y congruencia a las funciones de la Administración Pública Municipal, encaminadas al logro de los objetivos </w:t>
      </w:r>
      <w:r w:rsidRPr="0003689E">
        <w:rPr>
          <w:rFonts w:ascii="Palatino Linotype" w:hAnsi="Palatino Linotype"/>
          <w:color w:val="000000"/>
        </w:rPr>
        <w:lastRenderedPageBreak/>
        <w:t>determinados en el Plan de Desarrollo Municipal, las Dependencias y Organismos conocedores de las prioridades y demandas ciudadanas y con base en los avances de los ejercicios anteriores, elaborarán su Anteproyecto  y Proyecto de Presupuesto de Egresos para el Ejercicio Fiscal 20</w:t>
      </w:r>
      <w:r>
        <w:rPr>
          <w:rFonts w:ascii="Palatino Linotype" w:hAnsi="Palatino Linotype"/>
          <w:color w:val="000000"/>
        </w:rPr>
        <w:t>21</w:t>
      </w:r>
      <w:r w:rsidRPr="0003689E">
        <w:rPr>
          <w:rFonts w:ascii="Palatino Linotype" w:hAnsi="Palatino Linotype"/>
          <w:color w:val="000000"/>
        </w:rPr>
        <w:t>, en los cuales se deben identificar los recursos necesarios para atender entre otras cosas el costo de las plantillas de personal autorizadas de cada Dependencia General, Auxiliar u Organismo Municipal, para lo cual deberán considerar las partidas específicas del gasto.</w:t>
      </w:r>
    </w:p>
    <w:p w14:paraId="74198D64" w14:textId="3AF5FE62" w:rsidR="00104846" w:rsidRPr="0003689E" w:rsidRDefault="00104846" w:rsidP="00C31055">
      <w:pPr>
        <w:spacing w:before="240" w:after="240" w:line="360" w:lineRule="auto"/>
        <w:jc w:val="both"/>
        <w:rPr>
          <w:rFonts w:ascii="Palatino Linotype" w:hAnsi="Palatino Linotype"/>
          <w:szCs w:val="22"/>
        </w:rPr>
      </w:pPr>
      <w:r w:rsidRPr="0003689E">
        <w:rPr>
          <w:rFonts w:ascii="Palatino Linotype" w:hAnsi="Palatino Linotype"/>
          <w:color w:val="000000"/>
        </w:rPr>
        <w:t>De acuerdo con el Manual de referencia, la integración del anteproyecto se conforma del Programa Anual, la definición de indicadores y metas para evaluar el desempeño, el Presupuesto de Gasto Corriente, Presupuesto de Gasto de Inversión y por  el Prorrateo de Recursos Presupuestarios; en consecuencia para la integración del Anteproyecto de Presupuesto de Egresos Municipal, además de los formatos: PbRM-01a, PbRM01b, PbRM-01c, PbRM-01d</w:t>
      </w:r>
      <w:r>
        <w:rPr>
          <w:rFonts w:ascii="Palatino Linotype" w:hAnsi="Palatino Linotype"/>
          <w:color w:val="000000"/>
        </w:rPr>
        <w:t xml:space="preserve"> y </w:t>
      </w:r>
      <w:r w:rsidRPr="0003689E">
        <w:rPr>
          <w:rFonts w:ascii="Palatino Linotype" w:hAnsi="Palatino Linotype"/>
          <w:color w:val="000000"/>
        </w:rPr>
        <w:t>PbRM-01e</w:t>
      </w:r>
      <w:r>
        <w:rPr>
          <w:rFonts w:ascii="Palatino Linotype" w:hAnsi="Palatino Linotype"/>
          <w:color w:val="000000"/>
        </w:rPr>
        <w:t xml:space="preserve"> </w:t>
      </w:r>
      <w:r w:rsidRPr="0003689E">
        <w:rPr>
          <w:rFonts w:ascii="Palatino Linotype" w:hAnsi="Palatino Linotype"/>
          <w:color w:val="000000"/>
        </w:rPr>
        <w:t xml:space="preserve"> que integran el Programa Anual en los que se deben definir las necesidades y oportunidades del Municipio, mismas que deben coincidir con el Plan de Desarrollo Municipal, </w:t>
      </w:r>
      <w:r w:rsidR="00C31055">
        <w:rPr>
          <w:rFonts w:ascii="Palatino Linotype" w:hAnsi="Palatino Linotype"/>
          <w:color w:val="000000"/>
        </w:rPr>
        <w:t>bajo lo siguiente:</w:t>
      </w:r>
    </w:p>
    <w:p w14:paraId="135227BF" w14:textId="77777777" w:rsidR="00104846" w:rsidRPr="0003689E" w:rsidRDefault="00104846" w:rsidP="00104846">
      <w:pPr>
        <w:pStyle w:val="NormalWeb"/>
        <w:numPr>
          <w:ilvl w:val="0"/>
          <w:numId w:val="40"/>
        </w:numPr>
        <w:spacing w:line="360" w:lineRule="auto"/>
        <w:jc w:val="both"/>
        <w:rPr>
          <w:rFonts w:ascii="Palatino Linotype" w:hAnsi="Palatino Linotype"/>
          <w:szCs w:val="22"/>
        </w:rPr>
      </w:pPr>
      <w:r w:rsidRPr="0003689E">
        <w:rPr>
          <w:rFonts w:ascii="Palatino Linotype" w:hAnsi="Palatino Linotype"/>
          <w:b/>
        </w:rPr>
        <w:t>PbRM-01a“Dimensión Administrativa del Gasto”</w:t>
      </w:r>
      <w:r w:rsidRPr="0003689E">
        <w:rPr>
          <w:rFonts w:ascii="Palatino Linotype" w:hAnsi="Palatino Linotype"/>
        </w:rPr>
        <w:t>: el cual tiene como propósito identificar a nivel de estructura administrativa los programas y proyectos de los cuales se responsabiliza cada una de las Dependencias y Organismos municipales.</w:t>
      </w:r>
    </w:p>
    <w:p w14:paraId="51CB8BF3" w14:textId="77777777" w:rsidR="00104846" w:rsidRPr="0003689E" w:rsidRDefault="00104846" w:rsidP="00104846">
      <w:pPr>
        <w:pStyle w:val="NormalWeb"/>
        <w:numPr>
          <w:ilvl w:val="0"/>
          <w:numId w:val="40"/>
        </w:numPr>
        <w:spacing w:line="360" w:lineRule="auto"/>
        <w:jc w:val="both"/>
        <w:rPr>
          <w:rFonts w:ascii="Palatino Linotype" w:hAnsi="Palatino Linotype"/>
          <w:szCs w:val="22"/>
        </w:rPr>
      </w:pPr>
      <w:r w:rsidRPr="0003689E">
        <w:rPr>
          <w:rFonts w:ascii="Palatino Linotype" w:hAnsi="Palatino Linotype"/>
          <w:b/>
        </w:rPr>
        <w:t>PbRM-01b “Descripción del Programa presupuestario”</w:t>
      </w:r>
      <w:r w:rsidRPr="0003689E">
        <w:rPr>
          <w:rFonts w:ascii="Palatino Linotype" w:hAnsi="Palatino Linotype"/>
        </w:rPr>
        <w:t xml:space="preserve">: mismo que tiene como propósito, identificar el diagnóstico del entorno de responsabilidad del programa respectivo para sustentar y justificar la asignación del presupuesto del ejercicio fiscal 2019; definir los objetivos que se pretenden alcanzar, y </w:t>
      </w:r>
      <w:r w:rsidRPr="0003689E">
        <w:rPr>
          <w:rFonts w:ascii="Palatino Linotype" w:hAnsi="Palatino Linotype"/>
        </w:rPr>
        <w:lastRenderedPageBreak/>
        <w:t>establecer las estrategias que serán aplicadas para dar viabilidad al logro de dichos objetivos</w:t>
      </w:r>
    </w:p>
    <w:p w14:paraId="08C4C0A6" w14:textId="77777777" w:rsidR="00104846" w:rsidRPr="0003689E" w:rsidRDefault="00104846" w:rsidP="00104846">
      <w:pPr>
        <w:pStyle w:val="NormalWeb"/>
        <w:numPr>
          <w:ilvl w:val="0"/>
          <w:numId w:val="40"/>
        </w:numPr>
        <w:spacing w:line="360" w:lineRule="auto"/>
        <w:jc w:val="both"/>
        <w:rPr>
          <w:rFonts w:ascii="Palatino Linotype" w:hAnsi="Palatino Linotype"/>
          <w:szCs w:val="22"/>
        </w:rPr>
      </w:pPr>
      <w:r w:rsidRPr="0003689E">
        <w:rPr>
          <w:rFonts w:ascii="Palatino Linotype" w:hAnsi="Palatino Linotype"/>
          <w:b/>
        </w:rPr>
        <w:t>PbRM-01c “Metas de actividad por Proyecto”</w:t>
      </w:r>
      <w:r w:rsidRPr="0003689E">
        <w:rPr>
          <w:rFonts w:ascii="Palatino Linotype" w:hAnsi="Palatino Linotype"/>
        </w:rPr>
        <w:t>: tiene como propósito establecer las acciones sustantivas para cada proyecto, mismas que deberán reflejar la diferencia entre el cumplimiento alcanzado durante el ejercicio fiscal 2018 y las cifras programadas que se estimen alcanzar en el ejercicio 2019.</w:t>
      </w:r>
    </w:p>
    <w:p w14:paraId="7F1F4BD6" w14:textId="77777777" w:rsidR="00104846" w:rsidRPr="0003689E" w:rsidRDefault="00104846" w:rsidP="00104846">
      <w:pPr>
        <w:pStyle w:val="NormalWeb"/>
        <w:numPr>
          <w:ilvl w:val="0"/>
          <w:numId w:val="40"/>
        </w:numPr>
        <w:spacing w:line="360" w:lineRule="auto"/>
        <w:jc w:val="both"/>
        <w:rPr>
          <w:rFonts w:ascii="Palatino Linotype" w:hAnsi="Palatino Linotype"/>
          <w:szCs w:val="22"/>
        </w:rPr>
      </w:pPr>
      <w:r w:rsidRPr="0003689E">
        <w:rPr>
          <w:rFonts w:ascii="Palatino Linotype" w:hAnsi="Palatino Linotype"/>
          <w:b/>
        </w:rPr>
        <w:t>PbRM-01d “Ficha técnica de diseño de indicadores estratégicos o de gestión 2019”:</w:t>
      </w:r>
      <w:r w:rsidRPr="0003689E">
        <w:rPr>
          <w:rFonts w:ascii="Palatino Linotype" w:hAnsi="Palatino Linotype"/>
        </w:rPr>
        <w:t xml:space="preserve"> tiene como finalidad el registro de los indicadores de gestión que se manejan en el SEGEMUN, mismos que deberán estar vinculados directamente a las metas programadas en el formato PbRM-01e.</w:t>
      </w:r>
    </w:p>
    <w:p w14:paraId="6EAD3F09" w14:textId="77777777" w:rsidR="00104846" w:rsidRPr="0003689E" w:rsidRDefault="00104846" w:rsidP="00104846">
      <w:pPr>
        <w:pStyle w:val="NormalWeb"/>
        <w:numPr>
          <w:ilvl w:val="0"/>
          <w:numId w:val="40"/>
        </w:numPr>
        <w:spacing w:line="360" w:lineRule="auto"/>
        <w:jc w:val="both"/>
        <w:rPr>
          <w:rFonts w:ascii="Palatino Linotype" w:hAnsi="Palatino Linotype"/>
          <w:szCs w:val="22"/>
        </w:rPr>
      </w:pPr>
      <w:r w:rsidRPr="0003689E">
        <w:rPr>
          <w:rFonts w:ascii="Palatino Linotype" w:hAnsi="Palatino Linotype"/>
          <w:b/>
        </w:rPr>
        <w:t>PbRM-01e “Matriz de Indicadores para Resultados por Programa presupuestario y Dependencia General”:</w:t>
      </w:r>
      <w:r w:rsidRPr="0003689E">
        <w:rPr>
          <w:rFonts w:ascii="Palatino Linotype" w:hAnsi="Palatino Linotype"/>
        </w:rPr>
        <w:t xml:space="preserve"> tiene una relación con el formato PbRM-01d. Su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 2019.</w:t>
      </w:r>
    </w:p>
    <w:p w14:paraId="6B20D3F6" w14:textId="62772CF0" w:rsidR="00C31055" w:rsidRPr="0003689E" w:rsidRDefault="00104846" w:rsidP="00C31055">
      <w:pPr>
        <w:spacing w:before="240" w:after="240" w:line="360" w:lineRule="auto"/>
        <w:jc w:val="both"/>
        <w:rPr>
          <w:rFonts w:ascii="Palatino Linotype" w:hAnsi="Palatino Linotype"/>
          <w:color w:val="000000"/>
        </w:rPr>
      </w:pPr>
      <w:r w:rsidRPr="0003689E">
        <w:rPr>
          <w:rFonts w:ascii="Palatino Linotype" w:hAnsi="Palatino Linotype"/>
          <w:szCs w:val="22"/>
        </w:rPr>
        <w:t xml:space="preserve">Por todo lo anterior y como se puede advertir de los </w:t>
      </w:r>
      <w:proofErr w:type="spellStart"/>
      <w:r w:rsidRPr="0003689E">
        <w:rPr>
          <w:rFonts w:ascii="Palatino Linotype" w:hAnsi="Palatino Linotype"/>
          <w:szCs w:val="22"/>
        </w:rPr>
        <w:t>PBRMs</w:t>
      </w:r>
      <w:proofErr w:type="spellEnd"/>
      <w:r w:rsidRPr="0003689E">
        <w:rPr>
          <w:rFonts w:ascii="Palatino Linotype" w:hAnsi="Palatino Linotype"/>
          <w:szCs w:val="22"/>
        </w:rPr>
        <w:t xml:space="preserve"> citados, se advierte que todas las unidades administrativas deben programar sus actividades conforme a los techos presupuestales que les sean autorizados y conforme a ello tener un plan de trabajo por cada área con la finalidad de cumplir sus objetivos y metas, por lo cual se desprende que una expresión documental que pudiera contener la información peticionada, de manera enunciativa más no limitativa pudiera ser el PbRM01-</w:t>
      </w:r>
      <w:r w:rsidR="00C31055">
        <w:rPr>
          <w:rFonts w:ascii="Palatino Linotype" w:hAnsi="Palatino Linotype"/>
          <w:szCs w:val="22"/>
        </w:rPr>
        <w:t>c</w:t>
      </w:r>
      <w:r w:rsidRPr="0003689E">
        <w:rPr>
          <w:rFonts w:ascii="Palatino Linotype" w:hAnsi="Palatino Linotype"/>
          <w:szCs w:val="22"/>
        </w:rPr>
        <w:t xml:space="preserve">, </w:t>
      </w:r>
      <w:r w:rsidRPr="0003689E">
        <w:rPr>
          <w:rFonts w:ascii="Palatino Linotype" w:hAnsi="Palatino Linotype"/>
          <w:szCs w:val="22"/>
        </w:rPr>
        <w:lastRenderedPageBreak/>
        <w:t xml:space="preserve">mismo que se entrega de forma </w:t>
      </w:r>
      <w:r w:rsidR="00C31055">
        <w:rPr>
          <w:rFonts w:ascii="Palatino Linotype" w:hAnsi="Palatino Linotype"/>
          <w:szCs w:val="22"/>
        </w:rPr>
        <w:t xml:space="preserve">trimestralmente </w:t>
      </w:r>
      <w:r w:rsidRPr="0003689E">
        <w:rPr>
          <w:rFonts w:ascii="Palatino Linotype" w:hAnsi="Palatino Linotype"/>
          <w:szCs w:val="22"/>
        </w:rPr>
        <w:t>al Órgano Superior de Fiscalización del Estado de México y con el cual se mide el cumplimiento de las metas propuestas al inicio</w:t>
      </w:r>
      <w:r w:rsidR="00C31055">
        <w:rPr>
          <w:rFonts w:ascii="Palatino Linotype" w:hAnsi="Palatino Linotype"/>
          <w:szCs w:val="22"/>
        </w:rPr>
        <w:t xml:space="preserve"> del ejercicio fiscal, así como el </w:t>
      </w:r>
      <w:r w:rsidR="00C31055">
        <w:rPr>
          <w:rFonts w:ascii="Palatino Linotype" w:hAnsi="Palatino Linotype"/>
          <w:color w:val="000000"/>
        </w:rPr>
        <w:t xml:space="preserve">PbRM-02a, el cual tiene por objeto identificar trimestralmente la ejecución de la meta anual, proveniente del </w:t>
      </w:r>
      <w:r w:rsidR="00C31055" w:rsidRPr="0003689E">
        <w:rPr>
          <w:rFonts w:ascii="Palatino Linotype" w:hAnsi="Palatino Linotype"/>
          <w:color w:val="000000"/>
        </w:rPr>
        <w:t>PbRM-01c</w:t>
      </w:r>
      <w:r w:rsidR="00C31055">
        <w:rPr>
          <w:rFonts w:ascii="Palatino Linotype" w:hAnsi="Palatino Linotype"/>
          <w:color w:val="000000"/>
        </w:rPr>
        <w:t>.</w:t>
      </w:r>
    </w:p>
    <w:p w14:paraId="18D2B637" w14:textId="77777777" w:rsidR="00C31055" w:rsidRDefault="00104846" w:rsidP="00104846">
      <w:pPr>
        <w:autoSpaceDE w:val="0"/>
        <w:autoSpaceDN w:val="0"/>
        <w:adjustRightInd w:val="0"/>
        <w:spacing w:before="240" w:after="240" w:line="360" w:lineRule="auto"/>
        <w:ind w:right="-91"/>
        <w:jc w:val="both"/>
        <w:rPr>
          <w:rFonts w:ascii="Palatino Linotype" w:hAnsi="Palatino Linotype" w:cs="Arial"/>
        </w:rPr>
      </w:pPr>
      <w:r w:rsidRPr="0003689E">
        <w:rPr>
          <w:rFonts w:ascii="Palatino Linotype" w:hAnsi="Palatino Linotype" w:cs="Arial"/>
        </w:rPr>
        <w:t xml:space="preserve">Ahora bien, es importante recordar que la información fue solicitada de la </w:t>
      </w:r>
      <w:r w:rsidR="00C31055">
        <w:rPr>
          <w:rFonts w:ascii="Palatino Linotype" w:hAnsi="Palatino Linotype" w:cs="Arial"/>
        </w:rPr>
        <w:t>Dirección de Gobierno</w:t>
      </w:r>
      <w:r w:rsidRPr="0003689E">
        <w:rPr>
          <w:rFonts w:ascii="Palatino Linotype" w:hAnsi="Palatino Linotype" w:cs="Arial"/>
        </w:rPr>
        <w:t xml:space="preserve">, por lo que conforme al artículo </w:t>
      </w:r>
      <w:r w:rsidR="00C31055">
        <w:rPr>
          <w:rFonts w:ascii="Palatino Linotype" w:hAnsi="Palatino Linotype" w:cs="Arial"/>
        </w:rPr>
        <w:t>35 inciso h)</w:t>
      </w:r>
      <w:r w:rsidRPr="0003689E">
        <w:rPr>
          <w:rFonts w:ascii="Palatino Linotype" w:hAnsi="Palatino Linotype" w:cs="Arial"/>
        </w:rPr>
        <w:t xml:space="preserve"> del Bando Municipal 20</w:t>
      </w:r>
      <w:r w:rsidR="00C31055">
        <w:rPr>
          <w:rFonts w:ascii="Palatino Linotype" w:hAnsi="Palatino Linotype" w:cs="Arial"/>
        </w:rPr>
        <w:t>21</w:t>
      </w:r>
      <w:r w:rsidRPr="0003689E">
        <w:rPr>
          <w:rFonts w:ascii="Palatino Linotype" w:hAnsi="Palatino Linotype" w:cs="Arial"/>
        </w:rPr>
        <w:t>, se advierte que para el lograr un mejor desempeño de sus funciones en el despacho de los asuntos de su competencia, la</w:t>
      </w:r>
      <w:r w:rsidR="00C31055">
        <w:rPr>
          <w:rFonts w:ascii="Palatino Linotype" w:hAnsi="Palatino Linotype" w:cs="Arial"/>
        </w:rPr>
        <w:t xml:space="preserve"> administración pública centralizada, se integra entre otras por la Dirección de Gobierno por Resultados, que tiene conforme al diverso artículo 48, las siguientes atribuciones:</w:t>
      </w:r>
    </w:p>
    <w:p w14:paraId="34DD260C" w14:textId="77777777" w:rsidR="00C31055" w:rsidRDefault="00C31055" w:rsidP="00C31055">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"A</w:t>
      </w:r>
      <w:r w:rsidRPr="00C31055">
        <w:rPr>
          <w:rFonts w:ascii="Palatino Linotype" w:hAnsi="Palatino Linotype"/>
          <w:b/>
          <w:i/>
          <w:sz w:val="20"/>
          <w:szCs w:val="20"/>
        </w:rPr>
        <w:t xml:space="preserve">RTÍCULO 48.- </w:t>
      </w:r>
      <w:r w:rsidRPr="00C31055">
        <w:rPr>
          <w:rFonts w:ascii="Palatino Linotype" w:hAnsi="Palatino Linotype"/>
          <w:i/>
          <w:sz w:val="20"/>
          <w:szCs w:val="20"/>
        </w:rPr>
        <w:t xml:space="preserve">Se establece el Gobierno por Resultados, como modelo de gestión a partir del cual las dependencias administrativas, organismos públicos descentralizados y entidades de la Administración Pública Municipal orientarán sus acciones para la consecución de resultados tangibles y medibles en beneficio de la población. Para ello, se emplearán las herramientas disponibles en materia de planeación, programación, </w:t>
      </w:r>
      <w:proofErr w:type="spellStart"/>
      <w:r w:rsidRPr="00C31055">
        <w:rPr>
          <w:rFonts w:ascii="Palatino Linotype" w:hAnsi="Palatino Linotype"/>
          <w:i/>
          <w:sz w:val="20"/>
          <w:szCs w:val="20"/>
        </w:rPr>
        <w:t>presupuestación</w:t>
      </w:r>
      <w:proofErr w:type="spellEnd"/>
      <w:r w:rsidRPr="00C31055">
        <w:rPr>
          <w:rFonts w:ascii="Palatino Linotype" w:hAnsi="Palatino Linotype"/>
          <w:i/>
          <w:sz w:val="20"/>
          <w:szCs w:val="20"/>
        </w:rPr>
        <w:t xml:space="preserve">, monitoreo y evaluación; así como la implementación de estrategias de innovación que impacten positivamente en el desarrollo de los procesos de gestión de programas y proyectos, y que en su caso, permitan acreditar formalmente la calidad de la misma por instancias públicas y privadas, tanto en el contexto regional, como nacional e internacional. Bando Municipal 2021 </w:t>
      </w:r>
    </w:p>
    <w:p w14:paraId="3AA7D220" w14:textId="77777777" w:rsidR="00C31055" w:rsidRDefault="00C31055" w:rsidP="00C31055">
      <w:pPr>
        <w:shd w:val="clear" w:color="auto" w:fill="FFFFFF"/>
        <w:spacing w:after="120"/>
        <w:ind w:left="851" w:right="902"/>
        <w:jc w:val="both"/>
        <w:rPr>
          <w:rFonts w:ascii="Palatino Linotype" w:hAnsi="Palatino Linotype"/>
          <w:i/>
          <w:sz w:val="20"/>
          <w:szCs w:val="20"/>
        </w:rPr>
      </w:pPr>
      <w:r w:rsidRPr="00C31055">
        <w:rPr>
          <w:rFonts w:ascii="Palatino Linotype" w:hAnsi="Palatino Linotype"/>
          <w:i/>
          <w:sz w:val="20"/>
          <w:szCs w:val="20"/>
        </w:rPr>
        <w:t xml:space="preserve">Al respecto, la Dirección de Gobierno por Resultados tendrá las siguientes atribuciones: </w:t>
      </w:r>
    </w:p>
    <w:p w14:paraId="4E3A8706" w14:textId="77777777" w:rsidR="00C31055" w:rsidRDefault="00C31055" w:rsidP="00C31055">
      <w:pPr>
        <w:shd w:val="clear" w:color="auto" w:fill="FFFFFF"/>
        <w:spacing w:after="120"/>
        <w:ind w:left="1134" w:right="902"/>
        <w:jc w:val="both"/>
        <w:rPr>
          <w:rFonts w:ascii="Palatino Linotype" w:hAnsi="Palatino Linotype"/>
          <w:i/>
          <w:sz w:val="20"/>
          <w:szCs w:val="20"/>
        </w:rPr>
      </w:pPr>
      <w:r w:rsidRPr="00C31055">
        <w:rPr>
          <w:rFonts w:ascii="Palatino Linotype" w:hAnsi="Palatino Linotype"/>
          <w:i/>
          <w:sz w:val="20"/>
          <w:szCs w:val="20"/>
        </w:rPr>
        <w:t xml:space="preserve">I. Monitorear y evaluar el Plan de Desarrollo Municipal, vigilando el cumplimiento de las prioridades, metas, objetivos, estrategias, indicadores y líneas de acción, que privilegien la sustentabilidad, alineándose a la Agenda 2030, y a la planeación estatal y nacional; </w:t>
      </w:r>
    </w:p>
    <w:p w14:paraId="7DDC8BA5" w14:textId="77777777" w:rsidR="00C31055" w:rsidRDefault="00C31055" w:rsidP="00C31055">
      <w:pPr>
        <w:shd w:val="clear" w:color="auto" w:fill="FFFFFF"/>
        <w:spacing w:after="120"/>
        <w:ind w:left="1134" w:right="902"/>
        <w:jc w:val="both"/>
        <w:rPr>
          <w:rFonts w:ascii="Palatino Linotype" w:hAnsi="Palatino Linotype"/>
          <w:i/>
          <w:sz w:val="20"/>
          <w:szCs w:val="20"/>
        </w:rPr>
      </w:pPr>
      <w:r w:rsidRPr="00C31055">
        <w:rPr>
          <w:rFonts w:ascii="Palatino Linotype" w:hAnsi="Palatino Linotype"/>
          <w:i/>
          <w:sz w:val="20"/>
          <w:szCs w:val="20"/>
        </w:rPr>
        <w:t xml:space="preserve">II. Realizar las actividades correspondientes a la planeación y evaluación, en toda la administración pública municipal, de los resultados de los proyectos, programas y presupuestos, para su correcta ejecución, impulsando una cultura de calidad y honestidad en los servicios públicos de atención directa a la ciudadanía; </w:t>
      </w:r>
    </w:p>
    <w:p w14:paraId="6AF75484" w14:textId="77777777" w:rsidR="00C31055" w:rsidRDefault="00C31055" w:rsidP="00C31055">
      <w:pPr>
        <w:shd w:val="clear" w:color="auto" w:fill="FFFFFF"/>
        <w:spacing w:after="120"/>
        <w:ind w:left="1134" w:right="902"/>
        <w:jc w:val="both"/>
        <w:rPr>
          <w:rFonts w:ascii="Palatino Linotype" w:hAnsi="Palatino Linotype"/>
          <w:i/>
          <w:sz w:val="20"/>
          <w:szCs w:val="20"/>
        </w:rPr>
      </w:pPr>
      <w:r w:rsidRPr="00C31055">
        <w:rPr>
          <w:rFonts w:ascii="Palatino Linotype" w:hAnsi="Palatino Linotype"/>
          <w:i/>
          <w:sz w:val="20"/>
          <w:szCs w:val="20"/>
        </w:rPr>
        <w:t xml:space="preserve">III. Establecer modelos de gestión innovadores, que impulsen resultados que favorezcan a la ciudadanía, fortaleciendo la organización y buscando la acreditación de la gestión municipal, mediante la evaluación de indicadores de buen gobierno ante instancias externas; e </w:t>
      </w:r>
    </w:p>
    <w:p w14:paraId="6DC89C80" w14:textId="73AF5E6B" w:rsidR="00906530" w:rsidRPr="00C31055" w:rsidRDefault="00C31055" w:rsidP="00C31055">
      <w:pPr>
        <w:shd w:val="clear" w:color="auto" w:fill="FFFFFF"/>
        <w:spacing w:after="120"/>
        <w:ind w:left="1134" w:right="902"/>
        <w:jc w:val="both"/>
        <w:rPr>
          <w:rFonts w:ascii="Palatino Linotype" w:hAnsi="Palatino Linotype"/>
          <w:i/>
          <w:sz w:val="20"/>
          <w:szCs w:val="20"/>
        </w:rPr>
      </w:pPr>
      <w:r w:rsidRPr="00C31055">
        <w:rPr>
          <w:rFonts w:ascii="Palatino Linotype" w:hAnsi="Palatino Linotype"/>
          <w:i/>
          <w:sz w:val="20"/>
          <w:szCs w:val="20"/>
        </w:rPr>
        <w:lastRenderedPageBreak/>
        <w:t xml:space="preserve">IV. Impulsar la mejora regulatoria mediante el uso de las tecnologías y medios electrónicos simplificando los procesos administrativos, </w:t>
      </w:r>
      <w:proofErr w:type="spellStart"/>
      <w:r w:rsidRPr="00C31055">
        <w:rPr>
          <w:rFonts w:ascii="Palatino Linotype" w:hAnsi="Palatino Linotype"/>
          <w:i/>
          <w:sz w:val="20"/>
          <w:szCs w:val="20"/>
        </w:rPr>
        <w:t>tramites</w:t>
      </w:r>
      <w:proofErr w:type="spellEnd"/>
      <w:r w:rsidRPr="00C31055">
        <w:rPr>
          <w:rFonts w:ascii="Palatino Linotype" w:hAnsi="Palatino Linotype"/>
          <w:i/>
          <w:sz w:val="20"/>
          <w:szCs w:val="20"/>
        </w:rPr>
        <w:t xml:space="preserve"> y servicios que ofrecen las dependencias municipales, impactando de manera positiva a las usuarias y usuarios de los servicios públicos municipales.</w:t>
      </w:r>
      <w:r>
        <w:rPr>
          <w:rFonts w:ascii="Palatino Linotype" w:hAnsi="Palatino Linotype"/>
          <w:i/>
          <w:sz w:val="20"/>
          <w:szCs w:val="20"/>
        </w:rPr>
        <w:t>”</w:t>
      </w:r>
    </w:p>
    <w:p w14:paraId="1533CD13" w14:textId="07098523" w:rsidR="00C31055" w:rsidRPr="00C31055" w:rsidRDefault="00C31055" w:rsidP="00C31055">
      <w:pPr>
        <w:pStyle w:val="NormalWeb"/>
        <w:spacing w:line="360" w:lineRule="auto"/>
        <w:jc w:val="both"/>
        <w:rPr>
          <w:rFonts w:ascii="Palatino Linotype" w:hAnsi="Palatino Linotype" w:cs="Arial"/>
        </w:rPr>
      </w:pPr>
      <w:r w:rsidRPr="0003689E">
        <w:rPr>
          <w:rFonts w:ascii="Palatino Linotype" w:hAnsi="Palatino Linotype" w:cs="Arial"/>
        </w:rPr>
        <w:t xml:space="preserve">En ese sentido, se estima procedente ordenar la entrega del </w:t>
      </w:r>
      <w:r>
        <w:rPr>
          <w:rFonts w:ascii="Palatino Linotype" w:hAnsi="Palatino Linotype" w:cs="Arial"/>
        </w:rPr>
        <w:t>soporte documental en el consten l</w:t>
      </w:r>
      <w:r w:rsidRPr="00C31055">
        <w:rPr>
          <w:rFonts w:ascii="Palatino Linotype" w:hAnsi="Palatino Linotype"/>
          <w:color w:val="000000"/>
        </w:rPr>
        <w:t>as metas programadas de la Dirección de Gobierno por Resultados, con el avance correspondiente al mes de marzo de cada una de ellas</w:t>
      </w:r>
      <w:r w:rsidRPr="00C31055">
        <w:rPr>
          <w:rFonts w:ascii="Palatino Linotype" w:hAnsi="Palatino Linotype" w:cs="Arial"/>
        </w:rPr>
        <w:t>.</w:t>
      </w:r>
    </w:p>
    <w:p w14:paraId="33DFEC0F" w14:textId="32349B28" w:rsidR="005E6226" w:rsidRDefault="005E6226" w:rsidP="005E6226">
      <w:pPr>
        <w:spacing w:before="240" w:after="240" w:line="360" w:lineRule="auto"/>
        <w:jc w:val="both"/>
        <w:rPr>
          <w:rFonts w:ascii="Palatino Linotype" w:hAnsi="Palatino Linotype"/>
          <w:b/>
          <w:color w:val="000000"/>
        </w:rPr>
      </w:pPr>
      <w:r w:rsidRPr="005E6226">
        <w:rPr>
          <w:rFonts w:ascii="Palatino Linotype" w:hAnsi="Palatino Linotype" w:cs="Arial"/>
          <w:color w:val="222222"/>
          <w:lang w:eastAsia="es-MX"/>
        </w:rPr>
        <w:t xml:space="preserve">Una vez establecido lo anterior, se procede a analizar lo correspondiente al numeral 2 de los requerimientos de información en esta resolución, mediante el cual se tuvo que el particular solicitó </w:t>
      </w:r>
      <w:r>
        <w:rPr>
          <w:rFonts w:ascii="Palatino Linotype" w:hAnsi="Palatino Linotype"/>
          <w:b/>
          <w:color w:val="000000"/>
        </w:rPr>
        <w:t>l</w:t>
      </w:r>
      <w:r w:rsidRPr="005E6226">
        <w:rPr>
          <w:rFonts w:ascii="Palatino Linotype" w:hAnsi="Palatino Linotype"/>
          <w:b/>
          <w:color w:val="000000"/>
        </w:rPr>
        <w:t xml:space="preserve">os nombres de los Programas de Desarrollo Social que ejecutan para el año 2021, así como cuál es la metodología aplicada para medir el grado de satisfacción de los beneficiarios respecto de los programas. </w:t>
      </w:r>
    </w:p>
    <w:p w14:paraId="7173013C" w14:textId="0B0065D1" w:rsidR="00E84093" w:rsidRPr="00E62AC6" w:rsidRDefault="00E62AC6" w:rsidP="00E8409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Pr>
          <w:rFonts w:ascii="Palatino Linotype" w:hAnsi="Palatino Linotype"/>
        </w:rPr>
        <w:t xml:space="preserve">En ese orden de ideas, la </w:t>
      </w:r>
      <w:r w:rsidR="00E84093" w:rsidRPr="001C058B">
        <w:rPr>
          <w:rFonts w:ascii="Palatino Linotype" w:hAnsi="Palatino Linotype"/>
        </w:rPr>
        <w:t xml:space="preserve">Ley de Desarrollo Social del Estado de México, </w:t>
      </w:r>
      <w:r>
        <w:rPr>
          <w:rFonts w:ascii="Palatino Linotype" w:hAnsi="Palatino Linotype"/>
        </w:rPr>
        <w:t xml:space="preserve">señala en su </w:t>
      </w:r>
      <w:r w:rsidR="00E84093" w:rsidRPr="001C058B">
        <w:rPr>
          <w:rFonts w:ascii="Palatino Linotype" w:hAnsi="Palatino Linotype"/>
        </w:rPr>
        <w:t>artículo 2, fracciones VI y VII,</w:t>
      </w:r>
      <w:r>
        <w:rPr>
          <w:rFonts w:ascii="Palatino Linotype" w:hAnsi="Palatino Linotype"/>
        </w:rPr>
        <w:t xml:space="preserve"> que la misma </w:t>
      </w:r>
      <w:r w:rsidR="00E84093" w:rsidRPr="001C058B">
        <w:rPr>
          <w:rFonts w:ascii="Palatino Linotype" w:hAnsi="Palatino Linotype"/>
        </w:rPr>
        <w:t xml:space="preserve">tiene </w:t>
      </w:r>
      <w:r>
        <w:rPr>
          <w:rFonts w:ascii="Palatino Linotype" w:hAnsi="Palatino Linotype"/>
        </w:rPr>
        <w:t xml:space="preserve">por </w:t>
      </w:r>
      <w:r w:rsidR="00E84093" w:rsidRPr="001C058B">
        <w:rPr>
          <w:rFonts w:ascii="Palatino Linotype" w:hAnsi="Palatino Linotype"/>
        </w:rPr>
        <w:t xml:space="preserve">objeto </w:t>
      </w:r>
      <w:r w:rsidR="00E84093" w:rsidRPr="00E62AC6">
        <w:rPr>
          <w:rFonts w:ascii="Palatino Linotype" w:hAnsi="Palatino Linotype"/>
        </w:rPr>
        <w:t xml:space="preserve">promover políticas públicas, programas y acciones de desarrollo social que favorezcan la inclusión y participación social, a fin de alcanzar una mayor cohesión social; </w:t>
      </w:r>
      <w:r>
        <w:rPr>
          <w:rFonts w:ascii="Palatino Linotype" w:hAnsi="Palatino Linotype"/>
        </w:rPr>
        <w:t xml:space="preserve">así como </w:t>
      </w:r>
      <w:r w:rsidR="00E84093" w:rsidRPr="00E62AC6">
        <w:rPr>
          <w:rFonts w:ascii="Palatino Linotype" w:hAnsi="Palatino Linotype"/>
        </w:rPr>
        <w:t>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640356BA" w14:textId="3F1435EF" w:rsidR="00E84093" w:rsidRPr="001C058B" w:rsidRDefault="00E62AC6" w:rsidP="00E8409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eastAsia="Calibri" w:hAnsi="Palatino Linotype" w:cs="Arial"/>
        </w:rPr>
        <w:t xml:space="preserve">Mientras que su diverso </w:t>
      </w:r>
      <w:r w:rsidR="00E84093" w:rsidRPr="001C058B">
        <w:rPr>
          <w:rFonts w:ascii="Palatino Linotype" w:hAnsi="Palatino Linotype" w:cs="Arial"/>
        </w:rPr>
        <w:t xml:space="preserve">3, fracción III </w:t>
      </w:r>
      <w:r>
        <w:rPr>
          <w:rFonts w:ascii="Palatino Linotype" w:hAnsi="Palatino Linotype" w:cs="Arial"/>
        </w:rPr>
        <w:t>establece lo que se entenderá por</w:t>
      </w:r>
      <w:r w:rsidR="00E84093" w:rsidRPr="001C058B">
        <w:rPr>
          <w:rFonts w:ascii="Palatino Linotype" w:hAnsi="Palatino Linotype" w:cs="Arial"/>
        </w:rPr>
        <w:t xml:space="preserve"> Programa de Desarrollo Social</w:t>
      </w:r>
      <w:r>
        <w:rPr>
          <w:rFonts w:ascii="Palatino Linotype" w:hAnsi="Palatino Linotype" w:cs="Arial"/>
        </w:rPr>
        <w:t xml:space="preserve">, que no es otra cosa que, </w:t>
      </w:r>
      <w:r w:rsidR="00E84093" w:rsidRPr="001C058B">
        <w:rPr>
          <w:rFonts w:ascii="Palatino Linotype" w:hAnsi="Palatino Linotype" w:cs="Arial"/>
        </w:rPr>
        <w:t xml:space="preserve">la acción gubernamental dirigida a modificar la condición de desigualdad social mediante la entrega de un bien o una transferencia de recursos, la cual se norma a partir de sus respectivas reglas de </w:t>
      </w:r>
      <w:r w:rsidR="00E84093" w:rsidRPr="001C058B">
        <w:rPr>
          <w:rFonts w:ascii="Palatino Linotype" w:hAnsi="Palatino Linotype" w:cs="Arial"/>
        </w:rPr>
        <w:lastRenderedPageBreak/>
        <w:t>operación.</w:t>
      </w:r>
    </w:p>
    <w:p w14:paraId="6F230831" w14:textId="67B26BAD" w:rsidR="00E84093" w:rsidRPr="001C058B" w:rsidRDefault="00E62AC6" w:rsidP="00E84093">
      <w:pPr>
        <w:spacing w:before="100" w:beforeAutospacing="1" w:after="100" w:afterAutospacing="1" w:line="360" w:lineRule="auto"/>
        <w:jc w:val="both"/>
        <w:rPr>
          <w:rFonts w:ascii="Palatino Linotype" w:hAnsi="Palatino Linotype" w:cs="Arial"/>
        </w:rPr>
      </w:pPr>
      <w:r>
        <w:rPr>
          <w:rFonts w:ascii="Palatino Linotype" w:hAnsi="Palatino Linotype" w:cs="Arial"/>
        </w:rPr>
        <w:t>Asimismo, establece que en el ámbito de su competencia, le corresponde a los Municipios la aplicación de la Ley, atendiendo como puntos prioritarios, los previstos en el artículo 11,</w:t>
      </w:r>
      <w:r w:rsidR="00E84093" w:rsidRPr="001C058B">
        <w:rPr>
          <w:rFonts w:ascii="Palatino Linotype" w:hAnsi="Palatino Linotype" w:cs="Arial"/>
        </w:rPr>
        <w:t xml:space="preserve"> que deberán contener los Programas de Desarrollo Social, destacando los siguientes:</w:t>
      </w:r>
    </w:p>
    <w:p w14:paraId="2DFE2BD9"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rPr>
      </w:pPr>
      <w:r w:rsidRPr="001C058B">
        <w:rPr>
          <w:rFonts w:ascii="Palatino Linotype" w:hAnsi="Palatino Linotype"/>
        </w:rPr>
        <w:t>Educación obligatoria;</w:t>
      </w:r>
    </w:p>
    <w:p w14:paraId="0AE4FAFA"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cs="Arial"/>
        </w:rPr>
      </w:pPr>
      <w:r w:rsidRPr="001C058B">
        <w:rPr>
          <w:rFonts w:ascii="Palatino Linotype" w:hAnsi="Palatino Linotype"/>
        </w:rPr>
        <w:t>Salud;</w:t>
      </w:r>
    </w:p>
    <w:p w14:paraId="0D7D05D1"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cs="Arial"/>
        </w:rPr>
      </w:pPr>
      <w:r w:rsidRPr="001C058B">
        <w:rPr>
          <w:rFonts w:ascii="Palatino Linotype" w:hAnsi="Palatino Linotype"/>
        </w:rPr>
        <w:t>Generación, conservación y capacitación para el trabajo y el incremento de la competitividad;</w:t>
      </w:r>
    </w:p>
    <w:p w14:paraId="1054D0DC"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cs="Arial"/>
        </w:rPr>
      </w:pPr>
      <w:r w:rsidRPr="001C058B">
        <w:rPr>
          <w:rFonts w:ascii="Palatino Linotype" w:hAnsi="Palatino Linotype"/>
        </w:rPr>
        <w:t>Alimentación, nutrición materno infantil y abasto social de productos básicos;</w:t>
      </w:r>
    </w:p>
    <w:p w14:paraId="20DD48AA"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cs="Arial"/>
        </w:rPr>
      </w:pPr>
      <w:r w:rsidRPr="001C058B">
        <w:rPr>
          <w:rFonts w:ascii="Palatino Linotype" w:hAnsi="Palatino Linotype"/>
        </w:rPr>
        <w:t>Vivienda;</w:t>
      </w:r>
    </w:p>
    <w:p w14:paraId="643952D5"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cs="Arial"/>
        </w:rPr>
      </w:pPr>
      <w:r w:rsidRPr="001C058B">
        <w:rPr>
          <w:rFonts w:ascii="Palatino Linotype" w:hAnsi="Palatino Linotype"/>
        </w:rPr>
        <w:t>Superación de la pobreza, marginación y exclusión; y,</w:t>
      </w:r>
    </w:p>
    <w:p w14:paraId="062BB49C" w14:textId="77777777" w:rsidR="00E84093" w:rsidRPr="001C058B" w:rsidRDefault="00E84093" w:rsidP="00E62AC6">
      <w:pPr>
        <w:pStyle w:val="Prrafodelista"/>
        <w:numPr>
          <w:ilvl w:val="0"/>
          <w:numId w:val="42"/>
        </w:numPr>
        <w:spacing w:before="100" w:beforeAutospacing="1" w:after="100" w:afterAutospacing="1" w:line="360" w:lineRule="auto"/>
        <w:ind w:left="567" w:right="899" w:firstLine="0"/>
        <w:jc w:val="both"/>
        <w:rPr>
          <w:rFonts w:ascii="Palatino Linotype" w:hAnsi="Palatino Linotype" w:cs="Arial"/>
        </w:rPr>
      </w:pPr>
      <w:r w:rsidRPr="001C058B">
        <w:rPr>
          <w:rFonts w:ascii="Palatino Linotype" w:hAnsi="Palatino Linotype"/>
        </w:rPr>
        <w:t>Obras de infraestructura para agua potable, drenaje, electrificación, caminos y otras vías de comunicación, saneamiento ambiental y equipamiento urbano.</w:t>
      </w:r>
    </w:p>
    <w:p w14:paraId="55BC887B" w14:textId="023BAC7F" w:rsidR="00E84093" w:rsidRPr="001C058B" w:rsidRDefault="00E84093" w:rsidP="00E8409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1C058B">
        <w:rPr>
          <w:rFonts w:ascii="Palatino Linotype" w:hAnsi="Palatino Linotype"/>
        </w:rPr>
        <w:t xml:space="preserve">De igual forma, el artículo 14 de la Ley </w:t>
      </w:r>
      <w:r w:rsidRPr="001C058B">
        <w:rPr>
          <w:rFonts w:ascii="Palatino Linotype" w:hAnsi="Palatino Linotype" w:cs="Arial"/>
        </w:rPr>
        <w:t>de Desarrollo Social del Estado de México</w:t>
      </w:r>
      <w:r w:rsidRPr="001C058B">
        <w:rPr>
          <w:rFonts w:ascii="Palatino Linotype" w:hAnsi="Palatino Linotype"/>
        </w:rPr>
        <w:t xml:space="preserve"> y Municipios señala las obligaciones de los municipios en materia de desarrollo social, </w:t>
      </w:r>
      <w:r w:rsidR="00E62AC6">
        <w:rPr>
          <w:rFonts w:ascii="Palatino Linotype" w:hAnsi="Palatino Linotype"/>
        </w:rPr>
        <w:t>que rezan así</w:t>
      </w:r>
      <w:r w:rsidRPr="001C058B">
        <w:rPr>
          <w:rFonts w:ascii="Palatino Linotype" w:hAnsi="Palatino Linotype"/>
        </w:rPr>
        <w:t>:</w:t>
      </w:r>
    </w:p>
    <w:p w14:paraId="3CCCBF49" w14:textId="1DD5DBCC" w:rsidR="00E84093" w:rsidRPr="00E62AC6" w:rsidRDefault="00E62AC6" w:rsidP="00E62AC6">
      <w:pPr>
        <w:spacing w:after="120"/>
        <w:ind w:left="851" w:right="902"/>
        <w:rPr>
          <w:rFonts w:ascii="Palatino Linotype" w:hAnsi="Palatino Linotype" w:cs="Arial"/>
          <w:i/>
          <w:sz w:val="20"/>
          <w:szCs w:val="20"/>
        </w:rPr>
      </w:pPr>
      <w:r>
        <w:rPr>
          <w:rFonts w:ascii="Palatino Linotype" w:hAnsi="Palatino Linotype" w:cs="Arial"/>
          <w:b/>
          <w:i/>
          <w:sz w:val="20"/>
          <w:szCs w:val="20"/>
        </w:rPr>
        <w:t>“</w:t>
      </w:r>
      <w:r w:rsidR="00E84093" w:rsidRPr="00E62AC6">
        <w:rPr>
          <w:rFonts w:ascii="Palatino Linotype" w:hAnsi="Palatino Linotype" w:cs="Arial"/>
          <w:b/>
          <w:i/>
          <w:sz w:val="20"/>
          <w:szCs w:val="20"/>
        </w:rPr>
        <w:t xml:space="preserve">Artículo 14.- </w:t>
      </w:r>
      <w:r w:rsidR="00E84093" w:rsidRPr="00E62AC6">
        <w:rPr>
          <w:rFonts w:ascii="Palatino Linotype" w:hAnsi="Palatino Linotype" w:cs="Arial"/>
          <w:i/>
          <w:sz w:val="20"/>
          <w:szCs w:val="20"/>
        </w:rPr>
        <w:t xml:space="preserve">Son obligaciones de los municipios en materia de desarrollo social las siguientes: </w:t>
      </w:r>
    </w:p>
    <w:p w14:paraId="15D31CE1"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I. Formular, dirigir e implementar la política social municipal con acuerdo del COPLADEMUN;</w:t>
      </w:r>
    </w:p>
    <w:p w14:paraId="5F07908B"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lastRenderedPageBreak/>
        <w:t>II. Coordinar con el Gobierno del Estado, la ejecución de los programas y acciones de desarrollo social;</w:t>
      </w:r>
    </w:p>
    <w:p w14:paraId="4041162A"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III. Convenir acciones con otros municipios de la entidad, en materia de desarrollo social;</w:t>
      </w:r>
    </w:p>
    <w:p w14:paraId="1BFC11CA"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IV. Presupuestar anualmente en materia de desarrollo social;</w:t>
      </w:r>
    </w:p>
    <w:p w14:paraId="304345A1"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V. Obtener información de los beneficiarios para la integración de los padrones de sus respectivos programas de desarrollo social;</w:t>
      </w:r>
    </w:p>
    <w:p w14:paraId="1FD303C3"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VI. Informar a la sociedad de las políticas, programas y acciones de desarrollo social que ejecuten;</w:t>
      </w:r>
    </w:p>
    <w:p w14:paraId="7D44143F"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VII. Concertar acciones con los sectores público, social y privado en materia de desarrollo social;</w:t>
      </w:r>
    </w:p>
    <w:p w14:paraId="37C9AEDF" w14:textId="77777777" w:rsidR="00E84093" w:rsidRPr="00E62AC6" w:rsidRDefault="00E84093" w:rsidP="00E62AC6">
      <w:pPr>
        <w:spacing w:after="120"/>
        <w:ind w:left="1134" w:right="902"/>
        <w:rPr>
          <w:rFonts w:ascii="Palatino Linotype" w:hAnsi="Palatino Linotype" w:cs="Arial"/>
          <w:i/>
          <w:sz w:val="20"/>
          <w:szCs w:val="20"/>
        </w:rPr>
      </w:pPr>
      <w:r w:rsidRPr="00E62AC6">
        <w:rPr>
          <w:rFonts w:ascii="Palatino Linotype" w:hAnsi="Palatino Linotype" w:cs="Arial"/>
          <w:i/>
          <w:sz w:val="20"/>
          <w:szCs w:val="20"/>
        </w:rPr>
        <w:t>VIII. Establecer mecanismos para incluir la participación social organizada, en los programas y acciones de desarrollo social; y</w:t>
      </w:r>
    </w:p>
    <w:p w14:paraId="4F466FC3" w14:textId="397ED29D" w:rsidR="00E84093" w:rsidRPr="001C058B" w:rsidRDefault="00E84093" w:rsidP="00E62AC6">
      <w:pPr>
        <w:spacing w:after="120"/>
        <w:ind w:left="1134" w:right="902"/>
        <w:rPr>
          <w:rFonts w:ascii="Palatino Linotype" w:hAnsi="Palatino Linotype"/>
        </w:rPr>
      </w:pPr>
      <w:r w:rsidRPr="00E62AC6">
        <w:rPr>
          <w:rFonts w:ascii="Palatino Linotype" w:hAnsi="Palatino Linotype" w:cs="Arial"/>
          <w:i/>
          <w:sz w:val="20"/>
          <w:szCs w:val="20"/>
        </w:rPr>
        <w:t>IX. Las demás que le señala la Ley, su reglamento y demás disposiciones aplicables.</w:t>
      </w:r>
      <w:r w:rsidR="00E62AC6">
        <w:rPr>
          <w:rFonts w:ascii="Palatino Linotype" w:hAnsi="Palatino Linotype" w:cs="Arial"/>
          <w:i/>
          <w:sz w:val="20"/>
          <w:szCs w:val="20"/>
        </w:rPr>
        <w:t>”</w:t>
      </w:r>
    </w:p>
    <w:p w14:paraId="5C3A6202" w14:textId="77777777" w:rsidR="00E84093" w:rsidRPr="00E62AC6" w:rsidRDefault="00E84093" w:rsidP="00E84093">
      <w:pPr>
        <w:spacing w:before="100" w:beforeAutospacing="1" w:after="100" w:afterAutospacing="1" w:line="360" w:lineRule="auto"/>
        <w:jc w:val="both"/>
        <w:rPr>
          <w:rFonts w:ascii="Palatino Linotype" w:hAnsi="Palatino Linotype"/>
        </w:rPr>
      </w:pPr>
      <w:r w:rsidRPr="001C058B">
        <w:rPr>
          <w:rFonts w:ascii="Palatino Linotype" w:hAnsi="Palatino Linotype"/>
        </w:rPr>
        <w:t xml:space="preserve">Por su parte, el diverso artículo 17 </w:t>
      </w:r>
      <w:proofErr w:type="gramStart"/>
      <w:r w:rsidRPr="001C058B">
        <w:rPr>
          <w:rFonts w:ascii="Palatino Linotype" w:hAnsi="Palatino Linotype"/>
        </w:rPr>
        <w:t>fracción</w:t>
      </w:r>
      <w:proofErr w:type="gramEnd"/>
      <w:r w:rsidRPr="001C058B">
        <w:rPr>
          <w:rFonts w:ascii="Palatino Linotype" w:hAnsi="Palatino Linotype"/>
        </w:rPr>
        <w:t xml:space="preserve"> IV de la legislación en cita prevé que, para instrumentar Programas de Desarrollo Social, se deberá contar con las reglas de operación para la implementación, </w:t>
      </w:r>
      <w:r w:rsidRPr="00E62AC6">
        <w:rPr>
          <w:rFonts w:ascii="Palatino Linotype" w:hAnsi="Palatino Linotype"/>
        </w:rPr>
        <w:t>seguimiento y evaluación de los programas para el desarrollo social.</w:t>
      </w:r>
    </w:p>
    <w:p w14:paraId="46CEBC38" w14:textId="77777777" w:rsidR="00E84093" w:rsidRPr="001C058B" w:rsidRDefault="00E84093" w:rsidP="00E84093">
      <w:pPr>
        <w:spacing w:before="100" w:beforeAutospacing="1" w:after="100" w:afterAutospacing="1" w:line="360" w:lineRule="auto"/>
        <w:jc w:val="both"/>
        <w:rPr>
          <w:rFonts w:ascii="Palatino Linotype" w:hAnsi="Palatino Linotype"/>
        </w:rPr>
      </w:pPr>
      <w:r w:rsidRPr="001C058B">
        <w:rPr>
          <w:rFonts w:ascii="Palatino Linotype" w:hAnsi="Palatino Linotype"/>
        </w:rPr>
        <w:t xml:space="preserve">Ahora bien, atendiendo a la Ley de Planeación del Estado de México y Municipios, en su artículo 13, se advirtió que el Sistema de Planeación Democrática comprende como instrumentos, el proceso de planeación estratégica; los planes; los programas; el presupuesto por programas; el sistema de control, seguimiento y evaluación; el Sistema Estatal de Información e Investigación Geográfica, Estadística y Catastral; la Agenda Digital; los lineamientos metodológicos; y las políticas de planeación que autoricen el Gobierno del Estado y los ayuntamientos, a través de los Comités de Planeación para el Desarrollo Municipal, “COPLADEMUN”. </w:t>
      </w:r>
    </w:p>
    <w:p w14:paraId="041793DA" w14:textId="77777777" w:rsidR="00E84093" w:rsidRPr="001C058B" w:rsidRDefault="00E84093" w:rsidP="00E84093">
      <w:pPr>
        <w:spacing w:before="100" w:beforeAutospacing="1" w:after="100" w:afterAutospacing="1" w:line="360" w:lineRule="auto"/>
        <w:jc w:val="both"/>
        <w:rPr>
          <w:rFonts w:ascii="Palatino Linotype" w:hAnsi="Palatino Linotype"/>
        </w:rPr>
      </w:pPr>
      <w:r w:rsidRPr="001C058B">
        <w:rPr>
          <w:rFonts w:ascii="Palatino Linotype" w:hAnsi="Palatino Linotype"/>
        </w:rPr>
        <w:t xml:space="preserve">Bajo esa óptica, se advirtió que el diverso artículo 51 de la Ley de Planeación del Estado de México y Municipios establece que debe constituirse en cada </w:t>
      </w:r>
      <w:r w:rsidRPr="001C058B">
        <w:rPr>
          <w:rFonts w:ascii="Palatino Linotype" w:hAnsi="Palatino Linotype"/>
        </w:rPr>
        <w:lastRenderedPageBreak/>
        <w:t>ayuntamiento Comités de Planeación para el Desarrollo Municipal “COPLADEMUN”, los cuales tendrán las siguientes atribuciones:</w:t>
      </w:r>
    </w:p>
    <w:p w14:paraId="178FCE11" w14:textId="3A758900" w:rsidR="00E84093" w:rsidRPr="001C058B" w:rsidRDefault="00E84093" w:rsidP="00E84093">
      <w:pPr>
        <w:spacing w:before="100" w:beforeAutospacing="1" w:after="100" w:afterAutospacing="1" w:line="360" w:lineRule="auto"/>
        <w:ind w:left="851"/>
        <w:jc w:val="both"/>
        <w:rPr>
          <w:rFonts w:ascii="Palatino Linotype" w:hAnsi="Palatino Linotype"/>
        </w:rPr>
      </w:pPr>
      <w:r w:rsidRPr="001C058B">
        <w:rPr>
          <w:rFonts w:ascii="Palatino Linotype" w:hAnsi="Palatino Linotype"/>
        </w:rPr>
        <w:t xml:space="preserve">I. Participar en la coordinación de las unidades administrativas o servidores públicos municipales con las dependencias, entidades públicas y organismos estatales y federales, en las acciones derivadas de </w:t>
      </w:r>
      <w:r w:rsidR="00E62AC6" w:rsidRPr="001C058B">
        <w:rPr>
          <w:rFonts w:ascii="Palatino Linotype" w:hAnsi="Palatino Linotype"/>
        </w:rPr>
        <w:t>las estrategias estatales y municipales</w:t>
      </w:r>
      <w:r w:rsidRPr="001C058B">
        <w:rPr>
          <w:rFonts w:ascii="Palatino Linotype" w:hAnsi="Palatino Linotype"/>
        </w:rPr>
        <w:t xml:space="preserve"> de desarrollo;</w:t>
      </w:r>
    </w:p>
    <w:p w14:paraId="02E11AAD" w14:textId="77777777" w:rsidR="00E84093" w:rsidRPr="001C058B" w:rsidRDefault="00E84093" w:rsidP="00E84093">
      <w:pPr>
        <w:spacing w:before="100" w:beforeAutospacing="1" w:after="100" w:afterAutospacing="1" w:line="360" w:lineRule="auto"/>
        <w:ind w:left="851"/>
        <w:jc w:val="both"/>
        <w:rPr>
          <w:rFonts w:ascii="Palatino Linotype" w:hAnsi="Palatino Linotype"/>
        </w:rPr>
      </w:pPr>
      <w:r w:rsidRPr="001C058B">
        <w:rPr>
          <w:rFonts w:ascii="Palatino Linotype" w:hAnsi="Palatino Linotype"/>
        </w:rPr>
        <w:t>II. Participar en la elaboración de los programas que deriven de los planes municipales de desarrollo;</w:t>
      </w:r>
    </w:p>
    <w:p w14:paraId="10C910AE" w14:textId="77777777" w:rsidR="00E84093" w:rsidRPr="001C058B" w:rsidRDefault="00E84093" w:rsidP="00E84093">
      <w:pPr>
        <w:spacing w:before="100" w:beforeAutospacing="1" w:after="100" w:afterAutospacing="1" w:line="360" w:lineRule="auto"/>
        <w:ind w:left="851"/>
        <w:jc w:val="both"/>
        <w:rPr>
          <w:rFonts w:ascii="Palatino Linotype" w:hAnsi="Palatino Linotype"/>
        </w:rPr>
      </w:pPr>
      <w:r w:rsidRPr="001C058B">
        <w:rPr>
          <w:rFonts w:ascii="Palatino Linotype" w:hAnsi="Palatino Linotype"/>
        </w:rPr>
        <w:t>III. Las demás que le atribuyan las leyes, reglamentos, decretos y acuerdos sobre la materia.</w:t>
      </w:r>
    </w:p>
    <w:p w14:paraId="0C918EAD" w14:textId="77777777" w:rsidR="00E84093" w:rsidRPr="001C058B" w:rsidRDefault="00E84093" w:rsidP="00E84093">
      <w:pPr>
        <w:spacing w:before="100" w:beforeAutospacing="1" w:after="100" w:afterAutospacing="1" w:line="360" w:lineRule="auto"/>
        <w:jc w:val="both"/>
        <w:rPr>
          <w:rFonts w:ascii="Palatino Linotype" w:hAnsi="Palatino Linotype"/>
        </w:rPr>
      </w:pPr>
      <w:r w:rsidRPr="001C058B">
        <w:rPr>
          <w:rFonts w:ascii="Palatino Linotype" w:hAnsi="Palatino Linotype"/>
        </w:rPr>
        <w:t>Asimismo, el precepto legal en cita dicta que el Comité de Planeación para el Desarrollo Municipal “COPLADEMUN” debe estar constituido previo a la aprobación de Plan de Desarrollo Municipal y se deberá informar al Comité de Planeación para el Desarrollo del Estado de México de su instalación.</w:t>
      </w:r>
    </w:p>
    <w:p w14:paraId="3F3AC23D" w14:textId="77777777" w:rsidR="00E62AC6" w:rsidRDefault="00E84093" w:rsidP="00E62AC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1C058B">
        <w:rPr>
          <w:rFonts w:ascii="Palatino Linotype" w:hAnsi="Palatino Linotype"/>
        </w:rPr>
        <w:t xml:space="preserve">Por otra parte, de conformidad con los artículos 35, fracción </w:t>
      </w:r>
      <w:r w:rsidR="00E62AC6">
        <w:rPr>
          <w:rFonts w:ascii="Palatino Linotype" w:hAnsi="Palatino Linotype"/>
        </w:rPr>
        <w:t>V</w:t>
      </w:r>
      <w:r w:rsidRPr="001C058B">
        <w:rPr>
          <w:rFonts w:ascii="Palatino Linotype" w:hAnsi="Palatino Linotype"/>
        </w:rPr>
        <w:t>,</w:t>
      </w:r>
      <w:r w:rsidR="00E62AC6">
        <w:rPr>
          <w:rFonts w:ascii="Palatino Linotype" w:hAnsi="Palatino Linotype"/>
        </w:rPr>
        <w:t xml:space="preserve"> inciso d), </w:t>
      </w:r>
      <w:r w:rsidRPr="001C058B">
        <w:rPr>
          <w:rFonts w:ascii="Palatino Linotype" w:hAnsi="Palatino Linotype"/>
        </w:rPr>
        <w:t xml:space="preserve"> 1</w:t>
      </w:r>
      <w:r w:rsidR="00E62AC6">
        <w:rPr>
          <w:rFonts w:ascii="Palatino Linotype" w:hAnsi="Palatino Linotype"/>
        </w:rPr>
        <w:t xml:space="preserve">11 y </w:t>
      </w:r>
      <w:r w:rsidRPr="001C058B">
        <w:rPr>
          <w:rFonts w:ascii="Palatino Linotype" w:hAnsi="Palatino Linotype"/>
        </w:rPr>
        <w:t>1</w:t>
      </w:r>
      <w:r w:rsidR="00E62AC6">
        <w:rPr>
          <w:rFonts w:ascii="Palatino Linotype" w:hAnsi="Palatino Linotype"/>
        </w:rPr>
        <w:t>13</w:t>
      </w:r>
      <w:r w:rsidRPr="001C058B">
        <w:rPr>
          <w:rFonts w:ascii="Palatino Linotype" w:hAnsi="Palatino Linotype"/>
        </w:rPr>
        <w:t xml:space="preserve"> del Bando Municipal </w:t>
      </w:r>
      <w:r w:rsidR="00E62AC6">
        <w:rPr>
          <w:rFonts w:ascii="Palatino Linotype" w:hAnsi="Palatino Linotype"/>
        </w:rPr>
        <w:t>de Metepec 2021,</w:t>
      </w:r>
      <w:r w:rsidRPr="001C058B">
        <w:rPr>
          <w:rFonts w:ascii="Palatino Linotype" w:hAnsi="Palatino Linotype"/>
        </w:rPr>
        <w:t xml:space="preserve"> establece que la Administración Pública Centralizada se integra por la Dirección de Desarrollo Social que </w:t>
      </w:r>
      <w:r w:rsidR="00E62AC6" w:rsidRPr="00E62AC6">
        <w:rPr>
          <w:rFonts w:ascii="Palatino Linotype" w:hAnsi="Palatino Linotype"/>
        </w:rPr>
        <w:t xml:space="preserve">promoverá los mecanismos que fortalezcan el crecimiento pleno, autosuficiente e integral de la comunidad en general, a través de programas coordinados con los sectores público, privado y social del municipio, estado y federación, con el objeto de mejorar la calidad de vida de las y los </w:t>
      </w:r>
      <w:proofErr w:type="spellStart"/>
      <w:r w:rsidR="00E62AC6" w:rsidRPr="00E62AC6">
        <w:rPr>
          <w:rFonts w:ascii="Palatino Linotype" w:hAnsi="Palatino Linotype"/>
        </w:rPr>
        <w:t>metepequenses</w:t>
      </w:r>
      <w:proofErr w:type="spellEnd"/>
      <w:r w:rsidR="00E62AC6" w:rsidRPr="00E62AC6">
        <w:rPr>
          <w:rFonts w:ascii="Palatino Linotype" w:hAnsi="Palatino Linotype"/>
        </w:rPr>
        <w:t xml:space="preserve">, para lo cual deberá: </w:t>
      </w:r>
    </w:p>
    <w:p w14:paraId="4690AE8B"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lastRenderedPageBreak/>
        <w:t xml:space="preserve">I. Formular reglas de operación de los programas municipales y verificar su eficaz difusión, así como coadyuvar en la operatividad de los programas estatales y federales en materia de desarrollo social; </w:t>
      </w:r>
    </w:p>
    <w:p w14:paraId="1970CC97"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t xml:space="preserve">II. Capacitar y asesorar a las operadoras, los operadores, ejecutoras y ejecutores de la Dirección de Desarrollo Social y Asuntos Indígenas; </w:t>
      </w:r>
    </w:p>
    <w:p w14:paraId="2A11B8DD"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t xml:space="preserve">III. Fomentar el desarrollo social con respeto a los derechos humanos y a la dignidad de las personas, observando los criterios de simplificación, agilidad, precisión y facilidad de acceso, así como los principios de legalidad, transparencia e imparcialidad; </w:t>
      </w:r>
    </w:p>
    <w:p w14:paraId="1FBA1758"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t xml:space="preserve">IV. Determinar, en el ámbito de su competencia, los criterios para definir las comunidades donde se concentran niveles bajos de desarrollo social y que requieran atención prioritaria; </w:t>
      </w:r>
    </w:p>
    <w:p w14:paraId="4422A0FC"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t xml:space="preserve">V. Verificar que la operatividad y funcionamiento de los programas sociales municipales sean cumplidos de forma congruente con los fines que persigue el municipio; </w:t>
      </w:r>
    </w:p>
    <w:p w14:paraId="44AAFFD0"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t xml:space="preserve">VI. Orientar a la población respecto de los programas sociales a los cuales tiene acceso, en especial a los sectores más vulnerables de la sociedad; </w:t>
      </w:r>
    </w:p>
    <w:p w14:paraId="69C6B6EF" w14:textId="77777777" w:rsid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rPr>
      </w:pPr>
      <w:r w:rsidRPr="00E62AC6">
        <w:rPr>
          <w:rFonts w:ascii="Palatino Linotype" w:hAnsi="Palatino Linotype"/>
        </w:rPr>
        <w:t xml:space="preserve">VII. Instrumentar en el ámbito de su competencia, políticas encaminadas a la atención a la juventud; </w:t>
      </w:r>
    </w:p>
    <w:p w14:paraId="36F1B329" w14:textId="69E07553" w:rsidR="00E84093" w:rsidRPr="00E62AC6" w:rsidRDefault="00E62AC6" w:rsidP="00E62AC6">
      <w:pPr>
        <w:pStyle w:val="Prrafodelista"/>
        <w:widowControl w:val="0"/>
        <w:tabs>
          <w:tab w:val="left" w:pos="1701"/>
          <w:tab w:val="left" w:pos="1843"/>
        </w:tabs>
        <w:autoSpaceDE w:val="0"/>
        <w:autoSpaceDN w:val="0"/>
        <w:adjustRightInd w:val="0"/>
        <w:spacing w:before="360" w:after="240" w:line="360" w:lineRule="auto"/>
        <w:ind w:left="567"/>
        <w:jc w:val="both"/>
        <w:rPr>
          <w:rFonts w:ascii="Palatino Linotype" w:hAnsi="Palatino Linotype"/>
          <w:b/>
          <w:color w:val="000000"/>
        </w:rPr>
      </w:pPr>
      <w:r w:rsidRPr="00E62AC6">
        <w:rPr>
          <w:rFonts w:ascii="Palatino Linotype" w:hAnsi="Palatino Linotype"/>
        </w:rPr>
        <w:t xml:space="preserve">VIII. Implementar apoyos para madres solteras, hombres y mujeres en </w:t>
      </w:r>
      <w:r w:rsidRPr="00E62AC6">
        <w:rPr>
          <w:rFonts w:ascii="Palatino Linotype" w:hAnsi="Palatino Linotype"/>
        </w:rPr>
        <w:lastRenderedPageBreak/>
        <w:t>situación de desamparo, niñas, niños, adolescentes, adultos mayores y personas con discapacidad, entre otros, que dete</w:t>
      </w:r>
      <w:r w:rsidR="00143FAC">
        <w:rPr>
          <w:rFonts w:ascii="Palatino Linotype" w:hAnsi="Palatino Linotype"/>
        </w:rPr>
        <w:t>rmine la instancia responsable.</w:t>
      </w:r>
    </w:p>
    <w:p w14:paraId="26D255AE" w14:textId="77777777" w:rsidR="00143FAC" w:rsidRPr="001C058B" w:rsidRDefault="00143FAC" w:rsidP="00143FAC">
      <w:pPr>
        <w:spacing w:before="100" w:beforeAutospacing="1" w:after="100" w:afterAutospacing="1" w:line="360" w:lineRule="auto"/>
        <w:jc w:val="both"/>
        <w:rPr>
          <w:rFonts w:ascii="Palatino Linotype" w:hAnsi="Palatino Linotype"/>
        </w:rPr>
      </w:pPr>
      <w:r w:rsidRPr="001C058B">
        <w:rPr>
          <w:rFonts w:ascii="Palatino Linotype" w:hAnsi="Palatino Linotype"/>
        </w:rPr>
        <w:t xml:space="preserve">Bajo esa óptica, es importante resaltar que ante la fuente obligacional descrita en los párrafos que anteceden, los artículos 18 y 19 de la Ley de Transparencia y Acceso a la Información Pública del Estado de México y Municipios establecen que los sujetos obligados deben </w:t>
      </w:r>
      <w:r w:rsidRPr="001C058B">
        <w:rPr>
          <w:rFonts w:ascii="Palatino Linotype" w:hAnsi="Palatino Linotype"/>
          <w:b/>
        </w:rPr>
        <w:t>documentar todo acto que derive del ejercicio de sus facultades</w:t>
      </w:r>
      <w:r w:rsidRPr="001C058B">
        <w:rPr>
          <w:rFonts w:ascii="Palatino Linotype" w:hAnsi="Palatino Linotype"/>
        </w:rPr>
        <w:t xml:space="preserve">, </w:t>
      </w:r>
      <w:r w:rsidRPr="001C058B">
        <w:rPr>
          <w:rFonts w:ascii="Palatino Linotype" w:hAnsi="Palatino Linotype"/>
          <w:b/>
        </w:rPr>
        <w:t>competencias o funciones</w:t>
      </w:r>
      <w:r w:rsidRPr="001C058B">
        <w:rPr>
          <w:rFonts w:ascii="Palatino Linotype" w:hAnsi="Palatino Linotype"/>
        </w:rPr>
        <w:t xml:space="preserve"> y que se </w:t>
      </w:r>
      <w:r w:rsidRPr="001C058B">
        <w:rPr>
          <w:rFonts w:ascii="Palatino Linotype" w:hAnsi="Palatino Linotype"/>
          <w:b/>
        </w:rPr>
        <w:t>presume que la información debe existir</w:t>
      </w:r>
      <w:r w:rsidRPr="001C058B">
        <w:rPr>
          <w:rFonts w:ascii="Palatino Linotype" w:hAnsi="Palatino Linotype"/>
        </w:rPr>
        <w:t xml:space="preserve"> si se refiere a dichas facultades, competencias y/o funciones.</w:t>
      </w:r>
    </w:p>
    <w:p w14:paraId="6E2DB133" w14:textId="77777777" w:rsidR="00143FAC" w:rsidRDefault="00143FAC" w:rsidP="00143FAC">
      <w:pPr>
        <w:spacing w:before="100" w:beforeAutospacing="1" w:after="100" w:afterAutospacing="1" w:line="360" w:lineRule="auto"/>
        <w:jc w:val="both"/>
        <w:rPr>
          <w:rFonts w:ascii="Palatino Linotype" w:hAnsi="Palatino Linotype"/>
        </w:rPr>
      </w:pPr>
      <w:r w:rsidRPr="001C058B">
        <w:rPr>
          <w:rFonts w:ascii="Palatino Linotype" w:hAnsi="Palatino Linotype"/>
        </w:rPr>
        <w:t xml:space="preserve">Además, no se omite señalar que la información solicitada consiste en una obligación de transparencia común establecida en el artículo 92, fracciones XIV y XLII de la Ley de Transparencia y Acceso a la Información Pública del Estado de México y Municipios, información que </w:t>
      </w:r>
      <w:r w:rsidRPr="001C058B">
        <w:rPr>
          <w:rFonts w:ascii="Palatino Linotype" w:hAnsi="Palatino Linotype"/>
          <w:b/>
        </w:rPr>
        <w:t>EL SUJETO OBLIGADO</w:t>
      </w:r>
      <w:r w:rsidRPr="001C058B">
        <w:rPr>
          <w:rFonts w:ascii="Palatino Linotype" w:hAnsi="Palatino Linotype"/>
        </w:rPr>
        <w:t xml:space="preserve"> debe poner a disposición del público de manera permanente y actualizada de forma sencilla, precisa y entendible, consistente en la información de los programas de subsidios, estímulos y apoyos, en el que se deberá informar respecto de los programas de transferencia, de servicios, de infraestructura social y de subsidio y los programas que ofrecen, incluyendo información sobre la población, objetivo y destino, tiempos de respuesta, requisitos y formatos para acceder a los mismos.</w:t>
      </w:r>
    </w:p>
    <w:p w14:paraId="5899EB29" w14:textId="39FB1B2F" w:rsidR="00143FAC" w:rsidRDefault="00143FAC" w:rsidP="00143FAC">
      <w:pPr>
        <w:spacing w:before="100" w:beforeAutospacing="1" w:after="100" w:afterAutospacing="1" w:line="360" w:lineRule="auto"/>
        <w:jc w:val="both"/>
        <w:rPr>
          <w:rFonts w:ascii="Palatino Linotype" w:hAnsi="Palatino Linotype"/>
        </w:rPr>
      </w:pPr>
      <w:r w:rsidRPr="001C058B">
        <w:rPr>
          <w:rFonts w:ascii="Palatino Linotype" w:hAnsi="Palatino Linotype"/>
        </w:rPr>
        <w:t>En esa virtud, este Instituto se dio a la tarea de analizar el Portal IPOMEX</w:t>
      </w:r>
      <w:r w:rsidRPr="001C058B">
        <w:rPr>
          <w:rStyle w:val="Refdenotaalpie"/>
          <w:rFonts w:ascii="Palatino Linotype" w:hAnsi="Palatino Linotype"/>
        </w:rPr>
        <w:footnoteReference w:id="4"/>
      </w:r>
      <w:r w:rsidRPr="001C058B">
        <w:rPr>
          <w:rFonts w:ascii="Palatino Linotype" w:hAnsi="Palatino Linotype"/>
        </w:rPr>
        <w:t xml:space="preserve"> del </w:t>
      </w:r>
      <w:r>
        <w:rPr>
          <w:rFonts w:ascii="Palatino Linotype" w:hAnsi="Palatino Linotype"/>
          <w:b/>
        </w:rPr>
        <w:t>Sujeto Obligado</w:t>
      </w:r>
      <w:r w:rsidRPr="001C058B">
        <w:rPr>
          <w:rFonts w:ascii="Palatino Linotype" w:hAnsi="Palatino Linotype"/>
        </w:rPr>
        <w:t xml:space="preserve"> y observó que, </w:t>
      </w:r>
      <w:r>
        <w:rPr>
          <w:rFonts w:ascii="Palatino Linotype" w:hAnsi="Palatino Linotype"/>
        </w:rPr>
        <w:t xml:space="preserve">la última actualización corresponde al diez de junio y </w:t>
      </w:r>
      <w:r>
        <w:rPr>
          <w:rFonts w:ascii="Palatino Linotype" w:hAnsi="Palatino Linotype"/>
        </w:rPr>
        <w:lastRenderedPageBreak/>
        <w:t>dieciséis de abril de dos mil veintiuno, localizando la publicación de los programas denominados:</w:t>
      </w:r>
    </w:p>
    <w:p w14:paraId="66D8F94A" w14:textId="6878942C"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PROGRAMA CANASTA SOCIAL ALIMENTARIA "PARA TU CASA"</w:t>
      </w:r>
    </w:p>
    <w:p w14:paraId="74D95CEF" w14:textId="39D44E93"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Becas Educativas</w:t>
      </w:r>
    </w:p>
    <w:p w14:paraId="20D73898" w14:textId="505ED77A"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Bienestar y orientación juvenil</w:t>
      </w:r>
    </w:p>
    <w:p w14:paraId="722277A5" w14:textId="3E1934B2" w:rsidR="00143FAC" w:rsidRPr="008B2902" w:rsidRDefault="00143FAC" w:rsidP="00143FAC">
      <w:pPr>
        <w:pStyle w:val="Prrafodelista"/>
        <w:numPr>
          <w:ilvl w:val="0"/>
          <w:numId w:val="44"/>
        </w:numPr>
        <w:spacing w:after="120"/>
        <w:ind w:left="714" w:hanging="357"/>
        <w:jc w:val="both"/>
        <w:rPr>
          <w:rStyle w:val="ctr"/>
          <w:rFonts w:ascii="Palatino Linotype" w:hAnsi="Palatino Linotype" w:cs="Arial"/>
          <w:shd w:val="clear" w:color="auto" w:fill="FFFFFF"/>
        </w:rPr>
      </w:pPr>
      <w:r w:rsidRPr="008B2902">
        <w:rPr>
          <w:rStyle w:val="ctr"/>
          <w:rFonts w:ascii="Palatino Linotype" w:hAnsi="Palatino Linotype" w:cs="Arial"/>
          <w:shd w:val="clear" w:color="auto" w:fill="FFFFFF"/>
        </w:rPr>
        <w:t>Programa de vigilancia epidemiológica de la rabia</w:t>
      </w:r>
    </w:p>
    <w:p w14:paraId="72102BA3" w14:textId="1BD197DB"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Fomento a la Tenencia Responsable de Animales de Compañía</w:t>
      </w:r>
    </w:p>
    <w:p w14:paraId="52BB6CB2" w14:textId="060CABE4"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Adopciones</w:t>
      </w:r>
    </w:p>
    <w:p w14:paraId="2F2AFBBB" w14:textId="7CCAF3BD"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Alfabetización y Rezago Educativo</w:t>
      </w:r>
    </w:p>
    <w:p w14:paraId="10F593F2" w14:textId="323AA29C"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Infraestructura y Equipamiento Escolar</w:t>
      </w:r>
    </w:p>
    <w:p w14:paraId="0E7D1676" w14:textId="6F36F74A" w:rsidR="00143FAC" w:rsidRPr="008B2902" w:rsidRDefault="00143FAC" w:rsidP="00143FAC">
      <w:pPr>
        <w:pStyle w:val="Prrafodelista"/>
        <w:numPr>
          <w:ilvl w:val="0"/>
          <w:numId w:val="44"/>
        </w:numPr>
        <w:spacing w:after="120"/>
        <w:ind w:left="714" w:hanging="357"/>
        <w:jc w:val="both"/>
        <w:rPr>
          <w:rStyle w:val="ctr"/>
          <w:rFonts w:ascii="Palatino Linotype" w:hAnsi="Palatino Linotype" w:cs="Arial"/>
          <w:shd w:val="clear" w:color="auto" w:fill="FFFFFF"/>
        </w:rPr>
      </w:pPr>
      <w:r w:rsidRPr="008B2902">
        <w:rPr>
          <w:rStyle w:val="ctr"/>
          <w:rFonts w:ascii="Palatino Linotype" w:hAnsi="Palatino Linotype" w:cs="Arial"/>
          <w:shd w:val="clear" w:color="auto" w:fill="FFFFFF"/>
        </w:rPr>
        <w:t>Quimera</w:t>
      </w:r>
    </w:p>
    <w:p w14:paraId="5463CC76" w14:textId="7D8AC5D9"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Talleres Culturales</w:t>
      </w:r>
    </w:p>
    <w:p w14:paraId="4FD51117" w14:textId="3EC4CE3F" w:rsidR="00143FAC" w:rsidRPr="008B2902" w:rsidRDefault="00143FAC" w:rsidP="00143FAC">
      <w:pPr>
        <w:pStyle w:val="Prrafodelista"/>
        <w:numPr>
          <w:ilvl w:val="0"/>
          <w:numId w:val="44"/>
        </w:numPr>
        <w:spacing w:after="120"/>
        <w:ind w:left="714" w:hanging="357"/>
        <w:jc w:val="both"/>
        <w:rPr>
          <w:rFonts w:ascii="Palatino Linotype" w:hAnsi="Palatino Linotype" w:cs="Arial"/>
          <w:shd w:val="clear" w:color="auto" w:fill="FFFFFF"/>
        </w:rPr>
      </w:pPr>
      <w:r w:rsidRPr="008B2902">
        <w:rPr>
          <w:rFonts w:ascii="Palatino Linotype" w:hAnsi="Palatino Linotype" w:cs="Arial"/>
          <w:shd w:val="clear" w:color="auto" w:fill="FFFFFF"/>
        </w:rPr>
        <w:t>Igualdad de trato y oportunidades para la mujer y el hombre.</w:t>
      </w:r>
    </w:p>
    <w:p w14:paraId="1A633776" w14:textId="0352F534" w:rsidR="00143FAC" w:rsidRPr="008B2902" w:rsidRDefault="00143FAC" w:rsidP="00143FAC">
      <w:pPr>
        <w:pStyle w:val="Prrafodelista"/>
        <w:numPr>
          <w:ilvl w:val="0"/>
          <w:numId w:val="44"/>
        </w:numPr>
        <w:spacing w:after="120"/>
        <w:ind w:left="714" w:hanging="357"/>
        <w:jc w:val="both"/>
        <w:rPr>
          <w:rFonts w:ascii="Palatino Linotype" w:hAnsi="Palatino Linotype"/>
        </w:rPr>
      </w:pPr>
      <w:r w:rsidRPr="008B2902">
        <w:rPr>
          <w:rStyle w:val="ctr"/>
          <w:rFonts w:ascii="Palatino Linotype" w:hAnsi="Palatino Linotype" w:cs="Arial"/>
          <w:shd w:val="clear" w:color="auto" w:fill="FFFFFF"/>
        </w:rPr>
        <w:t>Denuncia contra Servidores Públicos por la posible comisión de faltas administrativas y/o hechos de corrupción, en el municipio de Metepec, Estado de México</w:t>
      </w:r>
    </w:p>
    <w:p w14:paraId="6B535D31" w14:textId="194CC215" w:rsidR="00143FAC" w:rsidRPr="00BC77C4" w:rsidRDefault="00143FAC" w:rsidP="00143FAC">
      <w:pPr>
        <w:spacing w:before="100" w:beforeAutospacing="1" w:after="100" w:afterAutospacing="1" w:line="360" w:lineRule="auto"/>
        <w:jc w:val="both"/>
        <w:rPr>
          <w:rFonts w:ascii="Palatino Linotype" w:hAnsi="Palatino Linotype"/>
        </w:rPr>
      </w:pPr>
      <w:r w:rsidRPr="001C058B">
        <w:rPr>
          <w:rFonts w:ascii="Palatino Linotype" w:hAnsi="Palatino Linotype"/>
        </w:rPr>
        <w:t xml:space="preserve">En esa virtud, </w:t>
      </w:r>
      <w:r>
        <w:rPr>
          <w:rFonts w:ascii="Palatino Linotype" w:hAnsi="Palatino Linotype"/>
        </w:rPr>
        <w:t xml:space="preserve">cabe subrayar que no fue posible advertir cuales corresponden a la Dirección de Desarrollo Social, es que </w:t>
      </w:r>
      <w:r w:rsidR="00BC77C4">
        <w:rPr>
          <w:rFonts w:ascii="Palatino Linotype" w:hAnsi="Palatino Linotype"/>
        </w:rPr>
        <w:t xml:space="preserve">resulta procedente ordenar la entrega del </w:t>
      </w:r>
      <w:r w:rsidR="00BC77C4" w:rsidRPr="00BC77C4">
        <w:rPr>
          <w:rFonts w:ascii="Palatino Linotype" w:hAnsi="Palatino Linotype"/>
          <w:color w:val="000000"/>
        </w:rPr>
        <w:t>nombres de los Programas de Desarrollo Social que ejecutan para el año 2021, así como cuál es la metodología aplicada para medir el grado de satisfacción de los beneficiarios respecto de los programas</w:t>
      </w:r>
      <w:r w:rsidR="00BC77C4">
        <w:rPr>
          <w:rFonts w:ascii="Palatino Linotype" w:hAnsi="Palatino Linotype"/>
          <w:color w:val="000000"/>
        </w:rPr>
        <w:t>.</w:t>
      </w:r>
    </w:p>
    <w:p w14:paraId="396D9ECD" w14:textId="17A097E2" w:rsidR="00BC77C4" w:rsidRDefault="00BC77C4" w:rsidP="00BC77C4">
      <w:pPr>
        <w:autoSpaceDE w:val="0"/>
        <w:autoSpaceDN w:val="0"/>
        <w:adjustRightInd w:val="0"/>
        <w:spacing w:before="240" w:after="240" w:line="360" w:lineRule="auto"/>
        <w:jc w:val="both"/>
        <w:rPr>
          <w:rFonts w:ascii="Palatino Linotype" w:hAnsi="Palatino Linotype" w:cstheme="minorBidi"/>
          <w:sz w:val="22"/>
          <w:szCs w:val="22"/>
        </w:rPr>
      </w:pPr>
      <w:r>
        <w:rPr>
          <w:rFonts w:ascii="Palatino Linotype" w:hAnsi="Palatino Linotype" w:cs="Arial"/>
        </w:rPr>
        <w:t xml:space="preserve">En esa tesitura, se tienen que el Ayuntamiento de Metepec no garantizó el derecho de acceso a la información del particular, al incumplir con el principio de máxima publicidad, no obstante, que en términos de los </w:t>
      </w:r>
      <w:r>
        <w:rPr>
          <w:rFonts w:ascii="Palatino Linotype" w:hAnsi="Palatino Linotype" w:cs="Arial"/>
          <w:color w:val="222222"/>
        </w:rPr>
        <w:t xml:space="preserve">artículos </w:t>
      </w:r>
      <w:r>
        <w:rPr>
          <w:rFonts w:ascii="Palatino Linotype" w:hAnsi="Palatino Linotype" w:cs="Arial"/>
          <w:color w:val="000000" w:themeColor="text1"/>
        </w:rPr>
        <w:t xml:space="preserve">3 fracciones XI, XII 4, 12 y 24 último párrafo </w:t>
      </w:r>
      <w:r>
        <w:rPr>
          <w:rFonts w:ascii="Palatino Linotype" w:hAnsi="Palatino Linotype" w:cs="Arial"/>
          <w:bCs/>
          <w:color w:val="000000" w:themeColor="text1"/>
        </w:rPr>
        <w:t xml:space="preserve">de la Ley de Transparencia y Acceso a la Información Pública del </w:t>
      </w:r>
      <w:r>
        <w:rPr>
          <w:rFonts w:ascii="Palatino Linotype" w:hAnsi="Palatino Linotype" w:cs="Arial"/>
          <w:bCs/>
          <w:color w:val="000000" w:themeColor="text1"/>
        </w:rPr>
        <w:lastRenderedPageBreak/>
        <w:t>Estado de México y Municipios</w:t>
      </w:r>
      <w:r>
        <w:rPr>
          <w:rFonts w:ascii="Palatino Linotype" w:hAnsi="Palatino Linotype" w:cs="Arial"/>
          <w:color w:val="000000" w:themeColor="text1"/>
        </w:rPr>
        <w:t>, es i</w:t>
      </w:r>
      <w:r>
        <w:rPr>
          <w:rFonts w:ascii="Palatino Linotype" w:hAnsi="Palatino Linotype"/>
        </w:rPr>
        <w:t>nformación susceptible de ser materia del ordenamiento que nos ocupa, la que obre en los documentos que los sujetos obligados</w:t>
      </w:r>
      <w:r>
        <w:rPr>
          <w:rFonts w:ascii="Palatino Linotype" w:hAnsi="Palatino Linotype"/>
          <w:b/>
        </w:rPr>
        <w:t xml:space="preserve"> </w:t>
      </w:r>
      <w:r>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3D71F40B" w14:textId="77777777" w:rsidR="00BC77C4" w:rsidRDefault="00BC77C4" w:rsidP="00BC77C4">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 xml:space="preserve">Lo anterior se robustece con el criterio </w:t>
      </w:r>
      <w:r>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eastAsia="Calibri" w:hAnsi="Palatino Linotype" w:cs="Arial"/>
        </w:rPr>
        <w:t>cuyo rubro y texto dispone:</w:t>
      </w:r>
    </w:p>
    <w:p w14:paraId="57AC0E1B" w14:textId="77777777" w:rsidR="00BC77C4" w:rsidRDefault="00BC77C4" w:rsidP="00BC77C4">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Pr>
          <w:rFonts w:ascii="Palatino Linotype" w:eastAsia="Calibri" w:hAnsi="Palatino Linotype" w:cs="Arial"/>
          <w:i/>
          <w:sz w:val="20"/>
          <w:szCs w:val="20"/>
          <w:lang w:eastAsia="es-MX"/>
        </w:rPr>
        <w:t>“</w:t>
      </w:r>
      <w:r>
        <w:rPr>
          <w:rFonts w:ascii="Palatino Linotype" w:eastAsia="Calibri" w:hAnsi="Palatino Linotype" w:cs="Arial"/>
          <w:b/>
          <w:i/>
          <w:sz w:val="20"/>
          <w:szCs w:val="20"/>
          <w:lang w:eastAsia="es-MX"/>
        </w:rPr>
        <w:t>CRITERIO 0002-11</w:t>
      </w:r>
    </w:p>
    <w:p w14:paraId="7EA5FFEA" w14:textId="77777777" w:rsidR="00BC77C4" w:rsidRDefault="00BC77C4" w:rsidP="00BC77C4">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Pr>
          <w:rFonts w:ascii="Palatino Linotype" w:eastAsia="Calibri" w:hAnsi="Palatino Linotype" w:cs="Arial"/>
          <w:bCs/>
          <w:i/>
          <w:sz w:val="20"/>
          <w:szCs w:val="20"/>
          <w:lang w:eastAsia="es-MX"/>
        </w:rPr>
        <w:t xml:space="preserve">V, XV, Y XVI, </w:t>
      </w:r>
      <w:r>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57B99B" w14:textId="77777777" w:rsidR="00BC77C4" w:rsidRDefault="00BC77C4" w:rsidP="00BC77C4">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En consecuencia el acceso a la información se refiere a que se cumplan cualquiera de los siguientes tres supuestos:</w:t>
      </w:r>
    </w:p>
    <w:p w14:paraId="5D78440D" w14:textId="77777777" w:rsidR="00BC77C4" w:rsidRDefault="00BC77C4" w:rsidP="00BC77C4">
      <w:pPr>
        <w:numPr>
          <w:ilvl w:val="0"/>
          <w:numId w:val="45"/>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69D79145" w14:textId="77777777" w:rsidR="00BC77C4" w:rsidRDefault="00BC77C4" w:rsidP="00BC77C4">
      <w:pPr>
        <w:numPr>
          <w:ilvl w:val="0"/>
          <w:numId w:val="45"/>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0DECE926" w14:textId="77777777" w:rsidR="00BC77C4" w:rsidRDefault="00BC77C4" w:rsidP="00BC77C4">
      <w:pPr>
        <w:numPr>
          <w:ilvl w:val="0"/>
          <w:numId w:val="45"/>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4FDCD430" w14:textId="55848A85" w:rsidR="00516E6A" w:rsidRPr="00143EC9" w:rsidRDefault="001708DC" w:rsidP="006C60B5">
      <w:pPr>
        <w:shd w:val="clear" w:color="auto" w:fill="FFFFFF"/>
        <w:spacing w:before="240" w:after="240" w:line="360" w:lineRule="auto"/>
        <w:jc w:val="both"/>
        <w:rPr>
          <w:rFonts w:ascii="Arial" w:hAnsi="Arial" w:cs="Arial"/>
          <w:lang w:val="es-MX" w:eastAsia="es-MX"/>
        </w:rPr>
      </w:pPr>
      <w:r w:rsidRPr="00143EC9">
        <w:rPr>
          <w:rFonts w:ascii="Palatino Linotype" w:hAnsi="Palatino Linotype" w:cs="Arial"/>
          <w:lang w:eastAsia="es-MX"/>
        </w:rPr>
        <w:lastRenderedPageBreak/>
        <w:t>Así</w:t>
      </w:r>
      <w:r w:rsidR="00516E6A" w:rsidRPr="00143EC9">
        <w:rPr>
          <w:rFonts w:ascii="Palatino Linotype" w:hAnsi="Palatino Linotype" w:cs="Arial"/>
          <w:lang w:eastAsia="es-MX"/>
        </w:rPr>
        <w:t xml:space="preserve">, con fundamento en lo prescrito en los artículos 5 párrafos </w:t>
      </w:r>
      <w:r w:rsidR="001C4BAC" w:rsidRPr="00143EC9">
        <w:rPr>
          <w:rFonts w:ascii="Palatino Linotype" w:hAnsi="Palatino Linotype" w:cs="Arial"/>
          <w:lang w:eastAsia="es-MX"/>
        </w:rPr>
        <w:t>vigésimo</w:t>
      </w:r>
      <w:r w:rsidR="005C3F7A" w:rsidRPr="00143EC9">
        <w:rPr>
          <w:rFonts w:ascii="Palatino Linotype" w:hAnsi="Palatino Linotype" w:cs="Arial"/>
          <w:lang w:eastAsia="es-MX"/>
        </w:rPr>
        <w:t xml:space="preserve"> segundo</w:t>
      </w:r>
      <w:r w:rsidR="001C4BAC" w:rsidRPr="00143EC9">
        <w:rPr>
          <w:rFonts w:ascii="Palatino Linotype" w:hAnsi="Palatino Linotype" w:cs="Arial"/>
          <w:lang w:eastAsia="es-MX"/>
        </w:rPr>
        <w:t xml:space="preserve">, vigésimo </w:t>
      </w:r>
      <w:r w:rsidR="005C3F7A" w:rsidRPr="00143EC9">
        <w:rPr>
          <w:rFonts w:ascii="Palatino Linotype" w:hAnsi="Palatino Linotype" w:cs="Arial"/>
          <w:lang w:eastAsia="es-MX"/>
        </w:rPr>
        <w:t>tercero</w:t>
      </w:r>
      <w:r w:rsidR="001C4BAC" w:rsidRPr="00143EC9">
        <w:rPr>
          <w:rFonts w:ascii="Palatino Linotype" w:hAnsi="Palatino Linotype" w:cs="Arial"/>
          <w:lang w:eastAsia="es-MX"/>
        </w:rPr>
        <w:t xml:space="preserve"> y vigésimo </w:t>
      </w:r>
      <w:r w:rsidR="005C3F7A" w:rsidRPr="00143EC9">
        <w:rPr>
          <w:rFonts w:ascii="Palatino Linotype" w:hAnsi="Palatino Linotype" w:cs="Arial"/>
          <w:lang w:eastAsia="es-MX"/>
        </w:rPr>
        <w:t>cuarto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7E9303A4"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fundado el motivo de inconformidad planteado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w:t>
      </w:r>
      <w:r w:rsidR="00780D57">
        <w:rPr>
          <w:rFonts w:ascii="Palatino Linotype" w:hAnsi="Palatino Linotype" w:cs="Arial"/>
        </w:rPr>
        <w:t>el</w:t>
      </w:r>
      <w:r w:rsidR="009F6FCD" w:rsidRPr="00143EC9">
        <w:rPr>
          <w:rFonts w:ascii="Palatino Linotype" w:hAnsi="Palatino Linotype" w:cs="Arial"/>
        </w:rPr>
        <w:t xml:space="preserve"> </w:t>
      </w:r>
      <w:r w:rsidR="00E3567C">
        <w:rPr>
          <w:rFonts w:ascii="Palatino Linotype" w:hAnsi="Palatino Linotype" w:cs="Arial"/>
        </w:rPr>
        <w:t>Ayuntamiento de Metepec</w:t>
      </w:r>
      <w:r w:rsidR="009F6FCD" w:rsidRPr="00143EC9">
        <w:rPr>
          <w:rFonts w:ascii="Palatino Linotype" w:hAnsi="Palatino Linotype" w:cs="Arial"/>
        </w:rPr>
        <w:t>.</w:t>
      </w:r>
    </w:p>
    <w:p w14:paraId="1B9613A1" w14:textId="6C92F4DC"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 la </w:t>
      </w:r>
      <w:r w:rsidR="00E3567C">
        <w:rPr>
          <w:rFonts w:ascii="Palatino Linotype" w:hAnsi="Palatino Linotype" w:cs="Arial"/>
          <w:b/>
        </w:rPr>
        <w:t>Ayuntamiento de Metepec</w:t>
      </w:r>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E3567C">
        <w:rPr>
          <w:rFonts w:ascii="Palatino Linotype" w:hAnsi="Palatino Linotype" w:cs="Arial"/>
          <w:b/>
        </w:rPr>
        <w:t>00222/METEPEC/IP/2021</w:t>
      </w:r>
      <w:r w:rsidRPr="00143EC9">
        <w:rPr>
          <w:rFonts w:ascii="Palatino Linotype" w:hAnsi="Palatino Linotype"/>
          <w:bCs/>
        </w:rPr>
        <w:t xml:space="preserve">, y </w:t>
      </w:r>
      <w:r w:rsidRPr="00143EC9">
        <w:rPr>
          <w:rFonts w:ascii="Palatino Linotype" w:hAnsi="Palatino Linotype" w:cs="Arial"/>
        </w:rPr>
        <w:t xml:space="preserve">haga entrega vía </w:t>
      </w:r>
      <w:r w:rsidR="00930746" w:rsidRPr="00143EC9">
        <w:rPr>
          <w:rFonts w:ascii="Palatino Linotype" w:hAnsi="Palatino Linotype" w:cs="Arial"/>
        </w:rPr>
        <w:t xml:space="preserve">Sistema de Acceso a la Información Mexiquense </w:t>
      </w:r>
      <w:r w:rsidR="00930746">
        <w:rPr>
          <w:rFonts w:ascii="Palatino Linotype" w:hAnsi="Palatino Linotype" w:cs="Arial"/>
        </w:rPr>
        <w:t>(</w:t>
      </w:r>
      <w:r w:rsidRPr="00143EC9">
        <w:rPr>
          <w:rFonts w:ascii="Palatino Linotype" w:hAnsi="Palatino Linotype" w:cs="Arial"/>
        </w:rPr>
        <w:t>SAIMEX</w:t>
      </w:r>
      <w:r w:rsidR="00930746">
        <w:rPr>
          <w:rFonts w:ascii="Palatino Linotype" w:hAnsi="Palatino Linotype" w:cs="Arial"/>
        </w:rPr>
        <w:t>)</w:t>
      </w:r>
      <w:r w:rsidRPr="00143EC9">
        <w:rPr>
          <w:rFonts w:ascii="Palatino Linotype" w:hAnsi="Palatino Linotype" w:cs="Arial"/>
        </w:rPr>
        <w:t xml:space="preserve">, </w:t>
      </w:r>
      <w:r w:rsidR="006D1B3F">
        <w:rPr>
          <w:rFonts w:ascii="Palatino Linotype" w:hAnsi="Palatino Linotype" w:cs="Arial"/>
        </w:rPr>
        <w:t>e</w:t>
      </w:r>
      <w:r w:rsidRPr="00143EC9">
        <w:rPr>
          <w:rFonts w:ascii="Palatino Linotype" w:hAnsi="Palatino Linotype" w:cs="Arial"/>
        </w:rPr>
        <w:t>n términos del Considerando CUARTO</w:t>
      </w:r>
      <w:r w:rsidR="006D1B3F">
        <w:rPr>
          <w:rFonts w:ascii="Palatino Linotype" w:hAnsi="Palatino Linotype" w:cs="Arial"/>
        </w:rPr>
        <w:t xml:space="preserve"> </w:t>
      </w:r>
      <w:r w:rsidR="00BC77C4">
        <w:rPr>
          <w:rFonts w:ascii="Palatino Linotype" w:hAnsi="Palatino Linotype" w:cs="Arial"/>
        </w:rPr>
        <w:t>d</w:t>
      </w:r>
      <w:r w:rsidRPr="00143EC9">
        <w:rPr>
          <w:rFonts w:ascii="Palatino Linotype" w:hAnsi="Palatino Linotype" w:cs="Arial"/>
        </w:rPr>
        <w:t>e esta resolución, lo siguiente:</w:t>
      </w:r>
    </w:p>
    <w:p w14:paraId="5CB1B5DF" w14:textId="09659F9B" w:rsidR="00B4686D" w:rsidRPr="00BC77C4" w:rsidRDefault="00EB79E4" w:rsidP="00461E8E">
      <w:pPr>
        <w:pStyle w:val="Prrafodelista"/>
        <w:numPr>
          <w:ilvl w:val="0"/>
          <w:numId w:val="33"/>
        </w:numPr>
        <w:autoSpaceDE w:val="0"/>
        <w:autoSpaceDN w:val="0"/>
        <w:adjustRightInd w:val="0"/>
        <w:spacing w:before="240" w:after="240" w:line="360" w:lineRule="auto"/>
        <w:jc w:val="both"/>
        <w:rPr>
          <w:rFonts w:ascii="Palatino Linotype" w:hAnsi="Palatino Linotype" w:cs="Arial"/>
          <w:b/>
          <w:sz w:val="28"/>
          <w:szCs w:val="28"/>
          <w:lang w:val="es-MX" w:eastAsia="es-MX"/>
        </w:rPr>
      </w:pPr>
      <w:r>
        <w:rPr>
          <w:rFonts w:ascii="Palatino Linotype" w:hAnsi="Palatino Linotype" w:cs="Arial"/>
          <w:b/>
        </w:rPr>
        <w:t>E</w:t>
      </w:r>
      <w:r w:rsidRPr="00EB79E4">
        <w:rPr>
          <w:rFonts w:ascii="Palatino Linotype" w:hAnsi="Palatino Linotype" w:cs="Arial"/>
          <w:b/>
        </w:rPr>
        <w:t>l soporte documental en el consten l</w:t>
      </w:r>
      <w:r w:rsidRPr="00EB79E4">
        <w:rPr>
          <w:rFonts w:ascii="Palatino Linotype" w:hAnsi="Palatino Linotype"/>
          <w:b/>
          <w:color w:val="000000"/>
        </w:rPr>
        <w:t>as metas programadas de la Dirección de Gobierno por Resultados,</w:t>
      </w:r>
      <w:r w:rsidR="001E330F">
        <w:rPr>
          <w:rFonts w:ascii="Palatino Linotype" w:hAnsi="Palatino Linotype"/>
          <w:b/>
          <w:color w:val="000000"/>
        </w:rPr>
        <w:t xml:space="preserve"> para el ejercicio fiscal 2021,</w:t>
      </w:r>
      <w:r w:rsidRPr="00EB79E4">
        <w:rPr>
          <w:rFonts w:ascii="Palatino Linotype" w:hAnsi="Palatino Linotype"/>
          <w:b/>
          <w:color w:val="000000"/>
        </w:rPr>
        <w:t xml:space="preserve"> con el avance correspondiente al mes de marzo de cada una de ellas</w:t>
      </w:r>
      <w:r w:rsidRPr="00C31055">
        <w:rPr>
          <w:rFonts w:ascii="Palatino Linotype" w:hAnsi="Palatino Linotype" w:cs="Arial"/>
        </w:rPr>
        <w:t>.</w:t>
      </w:r>
    </w:p>
    <w:p w14:paraId="2DC5B1AB" w14:textId="1EC449FD" w:rsidR="00BC77C4" w:rsidRPr="009F288E" w:rsidRDefault="00BC77C4" w:rsidP="00461E8E">
      <w:pPr>
        <w:pStyle w:val="Prrafodelista"/>
        <w:numPr>
          <w:ilvl w:val="0"/>
          <w:numId w:val="33"/>
        </w:numPr>
        <w:autoSpaceDE w:val="0"/>
        <w:autoSpaceDN w:val="0"/>
        <w:adjustRightInd w:val="0"/>
        <w:spacing w:before="240" w:after="240" w:line="360" w:lineRule="auto"/>
        <w:jc w:val="both"/>
        <w:rPr>
          <w:rFonts w:ascii="Palatino Linotype" w:hAnsi="Palatino Linotype" w:cs="Arial"/>
          <w:b/>
          <w:sz w:val="28"/>
          <w:szCs w:val="28"/>
          <w:lang w:val="es-MX" w:eastAsia="es-MX"/>
        </w:rPr>
      </w:pPr>
      <w:r>
        <w:rPr>
          <w:rFonts w:ascii="Palatino Linotype" w:hAnsi="Palatino Linotype"/>
          <w:b/>
          <w:color w:val="000000"/>
        </w:rPr>
        <w:t xml:space="preserve">La expresión documental en la que conste, el </w:t>
      </w:r>
      <w:r w:rsidRPr="005E6226">
        <w:rPr>
          <w:rFonts w:ascii="Palatino Linotype" w:hAnsi="Palatino Linotype"/>
          <w:b/>
          <w:color w:val="000000"/>
        </w:rPr>
        <w:t xml:space="preserve">nombre de los </w:t>
      </w:r>
      <w:r>
        <w:rPr>
          <w:rFonts w:ascii="Palatino Linotype" w:hAnsi="Palatino Linotype"/>
          <w:b/>
          <w:color w:val="000000"/>
        </w:rPr>
        <w:t xml:space="preserve">Programas de Desarrollo Social programados </w:t>
      </w:r>
      <w:r w:rsidRPr="005E6226">
        <w:rPr>
          <w:rFonts w:ascii="Palatino Linotype" w:hAnsi="Palatino Linotype"/>
          <w:b/>
          <w:color w:val="000000"/>
        </w:rPr>
        <w:t xml:space="preserve">para el año 2021, así como la metodología </w:t>
      </w:r>
      <w:r w:rsidRPr="005E6226">
        <w:rPr>
          <w:rFonts w:ascii="Palatino Linotype" w:hAnsi="Palatino Linotype"/>
          <w:b/>
          <w:color w:val="000000"/>
        </w:rPr>
        <w:lastRenderedPageBreak/>
        <w:t>aplicada para medir el grado de satisfacción de los beneficiarios respecto de los programas</w:t>
      </w:r>
      <w:r>
        <w:rPr>
          <w:rFonts w:ascii="Palatino Linotype" w:hAnsi="Palatino Linotype"/>
          <w:b/>
          <w:color w:val="000000"/>
        </w:rPr>
        <w:t>.</w:t>
      </w:r>
    </w:p>
    <w:p w14:paraId="0046599C" w14:textId="1104228E"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BC77C4">
        <w:rPr>
          <w:rFonts w:ascii="Palatino Linotype" w:hAnsi="Palatino Linotype" w:cs="Arial"/>
          <w:lang w:val="es-MX" w:eastAsia="es-MX"/>
        </w:rPr>
        <w:t>diez</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E85990" w14:textId="36CC1608" w:rsidR="009F6FCD" w:rsidRDefault="007473A5" w:rsidP="009F6FCD">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0F4F7DAC" w14:textId="5EF4B0B0" w:rsidR="00FF62D5" w:rsidRDefault="00FF62D5" w:rsidP="00FF62D5">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E843B1">
        <w:rPr>
          <w:rFonts w:ascii="Palatino Linotype" w:hAnsi="Palatino Linotype" w:cs="Arial"/>
        </w:rPr>
        <w:lastRenderedPageBreak/>
        <w:t>RAMÍREZ PEÑA</w:t>
      </w:r>
      <w:r w:rsidRPr="00201EE7">
        <w:rPr>
          <w:rFonts w:ascii="Palatino Linotype" w:hAnsi="Palatino Linotype" w:cs="Arial"/>
        </w:rPr>
        <w:t xml:space="preserve">; EN LA </w:t>
      </w:r>
      <w:r w:rsidR="00D7299E">
        <w:rPr>
          <w:rFonts w:ascii="Palatino Linotype" w:hAnsi="Palatino Linotype" w:cs="Arial"/>
        </w:rPr>
        <w:t>TRIGÉSIMA TERCERA</w:t>
      </w:r>
      <w:r w:rsidRPr="00201EE7">
        <w:rPr>
          <w:rFonts w:ascii="Palatino Linotype" w:hAnsi="Palatino Linotype" w:cs="Arial"/>
        </w:rPr>
        <w:t xml:space="preserve"> SESIÓN ORDINARIA CELEBRADA EL </w:t>
      </w:r>
      <w:r w:rsidR="00D7299E">
        <w:rPr>
          <w:rFonts w:ascii="Palatino Linotype" w:hAnsi="Palatino Linotype" w:cs="Arial"/>
        </w:rPr>
        <w:t>VEINTIDÓS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12"/>
      <w:footerReference w:type="default" r:id="rId13"/>
      <w:headerReference w:type="first" r:id="rId14"/>
      <w:footerReference w:type="first" r:id="rId15"/>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4F4F1" w14:textId="77777777" w:rsidR="00862F5A" w:rsidRDefault="00862F5A" w:rsidP="00C80F8C">
      <w:r>
        <w:separator/>
      </w:r>
    </w:p>
  </w:endnote>
  <w:endnote w:type="continuationSeparator" w:id="0">
    <w:p w14:paraId="133FFCEE" w14:textId="77777777" w:rsidR="00862F5A" w:rsidRDefault="00862F5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A69E154" w:rsidR="00E84093" w:rsidRDefault="00E8409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C3BB0">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C3BB0">
      <w:rPr>
        <w:rFonts w:ascii="Arial" w:hAnsi="Arial" w:cs="Arial"/>
        <w:b/>
        <w:bCs/>
        <w:noProof/>
        <w:sz w:val="20"/>
        <w:szCs w:val="20"/>
      </w:rPr>
      <w:t>26</w:t>
    </w:r>
    <w:r>
      <w:rPr>
        <w:rFonts w:ascii="Arial" w:hAnsi="Arial" w:cs="Arial"/>
        <w:b/>
        <w:bCs/>
        <w:sz w:val="20"/>
        <w:szCs w:val="20"/>
      </w:rPr>
      <w:fldChar w:fldCharType="end"/>
    </w:r>
  </w:p>
  <w:p w14:paraId="1192A578" w14:textId="77777777" w:rsidR="00E84093" w:rsidRDefault="00E84093" w:rsidP="00935A0D">
    <w:pPr>
      <w:pStyle w:val="Piedepgina"/>
      <w:rPr>
        <w:rFonts w:ascii="Times New Roman" w:hAnsi="Times New Roman" w:cs="Times New Roman"/>
      </w:rPr>
    </w:pPr>
  </w:p>
  <w:p w14:paraId="14A770F8" w14:textId="77777777" w:rsidR="00E84093" w:rsidRDefault="00E8409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7BE26C" w:rsidR="00E84093" w:rsidRDefault="00E8409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C3BB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C3BB0">
      <w:rPr>
        <w:rFonts w:ascii="Arial" w:hAnsi="Arial" w:cs="Arial"/>
        <w:b/>
        <w:bCs/>
        <w:noProof/>
        <w:sz w:val="20"/>
        <w:szCs w:val="20"/>
      </w:rPr>
      <w:t>26</w:t>
    </w:r>
    <w:r>
      <w:rPr>
        <w:rFonts w:ascii="Arial" w:hAnsi="Arial" w:cs="Arial"/>
        <w:b/>
        <w:bCs/>
        <w:sz w:val="20"/>
        <w:szCs w:val="20"/>
      </w:rPr>
      <w:fldChar w:fldCharType="end"/>
    </w:r>
  </w:p>
  <w:p w14:paraId="5D98ABD5" w14:textId="77777777" w:rsidR="00E84093" w:rsidRDefault="00E840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EBE08" w14:textId="77777777" w:rsidR="00862F5A" w:rsidRDefault="00862F5A" w:rsidP="00C80F8C">
      <w:r>
        <w:separator/>
      </w:r>
    </w:p>
  </w:footnote>
  <w:footnote w:type="continuationSeparator" w:id="0">
    <w:p w14:paraId="30228D2A" w14:textId="77777777" w:rsidR="00862F5A" w:rsidRDefault="00862F5A" w:rsidP="00C80F8C">
      <w:r>
        <w:continuationSeparator/>
      </w:r>
    </w:p>
  </w:footnote>
  <w:footnote w:id="1">
    <w:p w14:paraId="022807D2" w14:textId="77777777" w:rsidR="00E84093" w:rsidRPr="00304DB0" w:rsidRDefault="00E84093" w:rsidP="00461E8E">
      <w:pPr>
        <w:pStyle w:val="Textonotapie"/>
        <w:jc w:val="both"/>
        <w:rPr>
          <w:rFonts w:ascii="Palatino Linotype" w:hAnsi="Palatino Linotype"/>
          <w:sz w:val="16"/>
          <w:szCs w:val="16"/>
        </w:rPr>
      </w:pPr>
      <w:r w:rsidRPr="0062710B">
        <w:rPr>
          <w:rStyle w:val="Refdenotaalpie"/>
          <w:rFonts w:ascii="Palatino Linotype" w:hAnsi="Palatino Linotype"/>
        </w:rPr>
        <w:footnoteRef/>
      </w:r>
      <w:r w:rsidRPr="0062710B">
        <w:rPr>
          <w:rFonts w:ascii="Palatino Linotype" w:hAnsi="Palatino Linotype"/>
        </w:rPr>
        <w:t xml:space="preserve"> </w:t>
      </w:r>
      <w:r w:rsidRPr="00304DB0">
        <w:rPr>
          <w:rFonts w:ascii="Palatino Linotype" w:hAnsi="Palatino Linotype"/>
          <w:sz w:val="16"/>
          <w:szCs w:val="16"/>
        </w:rPr>
        <w:t>Ver criterio del Poder Judicial de la Federación con rubro: ACTOS CONSENTIDOS, NATURALEZA DEL CONSENTIMIENTO EN LOS.</w:t>
      </w:r>
    </w:p>
    <w:p w14:paraId="54C0B1E5" w14:textId="77777777" w:rsidR="00E84093" w:rsidRPr="00304DB0" w:rsidRDefault="00E84093" w:rsidP="00461E8E">
      <w:pPr>
        <w:pStyle w:val="Textonotapie"/>
        <w:jc w:val="both"/>
        <w:rPr>
          <w:sz w:val="16"/>
          <w:szCs w:val="16"/>
        </w:rPr>
      </w:pPr>
      <w:r w:rsidRPr="00304DB0">
        <w:rPr>
          <w:rFonts w:ascii="Palatino Linotype" w:hAnsi="Palatino Linotype"/>
          <w:sz w:val="16"/>
          <w:szCs w:val="16"/>
        </w:rPr>
        <w:t>Localización 918176. 13. Sala Auxiliar. Séptima Época. Apéndice 2000. Tomo VI, Común, P.R. SCJN, Pág. 11.</w:t>
      </w:r>
    </w:p>
  </w:footnote>
  <w:footnote w:id="2">
    <w:p w14:paraId="7F757748" w14:textId="77777777" w:rsidR="00E84093" w:rsidRPr="00304DB0" w:rsidRDefault="00E84093" w:rsidP="00461E8E">
      <w:pPr>
        <w:pStyle w:val="Textonotapie"/>
        <w:jc w:val="both"/>
        <w:rPr>
          <w:sz w:val="16"/>
          <w:szCs w:val="16"/>
        </w:rPr>
      </w:pPr>
      <w:r>
        <w:rPr>
          <w:rStyle w:val="Refdenotaalpie"/>
        </w:rPr>
        <w:footnoteRef/>
      </w:r>
      <w:r>
        <w:t xml:space="preserve"> </w:t>
      </w:r>
      <w:r>
        <w:rPr>
          <w:rFonts w:ascii="Palatino Linotype" w:hAnsi="Palatino Linotype" w:cs="Arial"/>
          <w:color w:val="222222"/>
          <w:sz w:val="16"/>
          <w:szCs w:val="16"/>
          <w:lang w:eastAsia="es-MX"/>
        </w:rPr>
        <w:t>D</w:t>
      </w:r>
      <w:r w:rsidRPr="00304DB0">
        <w:rPr>
          <w:rFonts w:ascii="Palatino Linotype" w:hAnsi="Palatino Linotype" w:cs="Arial"/>
          <w:color w:val="222222"/>
          <w:sz w:val="16"/>
          <w:szCs w:val="16"/>
          <w:lang w:eastAsia="es-MX"/>
        </w:rPr>
        <w:t>e aplicación supletoria en la Ley de la Materia de conformidad con el artículo 195 de la Ley de Transparencia y Acceso a la Información Pública del Estado de México y Municipios</w:t>
      </w:r>
    </w:p>
  </w:footnote>
  <w:footnote w:id="3">
    <w:p w14:paraId="586DF4E0" w14:textId="77777777" w:rsidR="00E84093" w:rsidRPr="00304DB0" w:rsidRDefault="00E84093" w:rsidP="00461E8E">
      <w:pPr>
        <w:pStyle w:val="Textonotapie"/>
        <w:jc w:val="both"/>
        <w:rPr>
          <w:sz w:val="16"/>
          <w:szCs w:val="16"/>
        </w:rPr>
      </w:pPr>
      <w:r w:rsidRPr="00304DB0">
        <w:rPr>
          <w:rStyle w:val="Refdenotaalpie"/>
          <w:sz w:val="16"/>
          <w:szCs w:val="16"/>
        </w:rPr>
        <w:footnoteRef/>
      </w:r>
      <w:r w:rsidRPr="00304DB0">
        <w:rPr>
          <w:sz w:val="16"/>
          <w:szCs w:val="16"/>
        </w:rPr>
        <w:t xml:space="preserve"> Localización: 223340.  Tribunales Colegiados de Circuito. Octava Época. Semanario Judicial de la Federación. Tomo VII, Marzo de 1991, Pág. 106</w:t>
      </w:r>
    </w:p>
  </w:footnote>
  <w:footnote w:id="4">
    <w:p w14:paraId="16167B26" w14:textId="77777777" w:rsidR="00143FAC" w:rsidRPr="00E35AFB" w:rsidRDefault="00143FAC" w:rsidP="00143FAC">
      <w:pPr>
        <w:pStyle w:val="Textonotapie"/>
        <w:jc w:val="both"/>
        <w:rPr>
          <w:rFonts w:ascii="Palatino Linotype" w:hAnsi="Palatino Linotype"/>
        </w:rPr>
      </w:pPr>
      <w:r>
        <w:rPr>
          <w:rStyle w:val="Refdenotaalpie"/>
        </w:rPr>
        <w:footnoteRef/>
      </w:r>
      <w:r>
        <w:t xml:space="preserve"> </w:t>
      </w:r>
      <w:r w:rsidRPr="00E35AFB">
        <w:rPr>
          <w:rFonts w:ascii="Palatino Linotype" w:hAnsi="Palatino Linotype"/>
        </w:rPr>
        <w:t>Ubicable en las siguientes ligas electrónicas:</w:t>
      </w:r>
    </w:p>
    <w:p w14:paraId="777F3013" w14:textId="77777777" w:rsidR="00143FAC" w:rsidRPr="00E35AFB" w:rsidRDefault="00143FAC" w:rsidP="00143FAC">
      <w:pPr>
        <w:pStyle w:val="Textonotapie"/>
        <w:jc w:val="both"/>
        <w:rPr>
          <w:rFonts w:ascii="Palatino Linotype" w:hAnsi="Palatino Linotype"/>
        </w:rPr>
      </w:pPr>
      <w:r w:rsidRPr="00E35AFB">
        <w:rPr>
          <w:rFonts w:ascii="Palatino Linotype" w:hAnsi="Palatino Linotype"/>
        </w:rPr>
        <w:t>https://www.ipomex.org.mx/ipo3/lgt/indice/AXAPUSCO/art_92_xiv_a/1.web</w:t>
      </w:r>
    </w:p>
    <w:p w14:paraId="65644FD9" w14:textId="77777777" w:rsidR="00143FAC" w:rsidRDefault="00143FAC" w:rsidP="00143FAC">
      <w:pPr>
        <w:pStyle w:val="Textonotapie"/>
        <w:jc w:val="both"/>
      </w:pPr>
      <w:r w:rsidRPr="00E35AFB">
        <w:rPr>
          <w:rFonts w:ascii="Palatino Linotype" w:hAnsi="Palatino Linotype"/>
        </w:rPr>
        <w:t>https://www.ipomex.org.mx/ipo3/lgt/indice/AXAPUSCO/art_92_xlii_a/1.web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E84093" w14:paraId="6B4E3B81" w14:textId="77777777" w:rsidTr="009D4854">
      <w:tc>
        <w:tcPr>
          <w:tcW w:w="2553" w:type="dxa"/>
          <w:vAlign w:val="center"/>
          <w:hideMark/>
        </w:tcPr>
        <w:p w14:paraId="0ABBC6C0" w14:textId="3D35EB5A" w:rsidR="00E84093" w:rsidRDefault="00E84093"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D1433AB" w:rsidR="00E84093" w:rsidRDefault="00E84093"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02834/INFOEM/IP/RR/2021</w:t>
          </w:r>
        </w:p>
      </w:tc>
    </w:tr>
    <w:tr w:rsidR="00E84093" w14:paraId="31CB780F" w14:textId="77777777" w:rsidTr="009D4854">
      <w:trPr>
        <w:trHeight w:val="228"/>
      </w:trPr>
      <w:tc>
        <w:tcPr>
          <w:tcW w:w="2553" w:type="dxa"/>
          <w:vAlign w:val="center"/>
          <w:hideMark/>
        </w:tcPr>
        <w:p w14:paraId="4F49CB4A" w14:textId="6966D32E" w:rsidR="00E84093" w:rsidRDefault="00E84093"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07A30A3" w:rsidR="00E84093" w:rsidRDefault="00E84093" w:rsidP="00E3567C">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Metepec</w:t>
          </w:r>
        </w:p>
      </w:tc>
    </w:tr>
    <w:tr w:rsidR="00E84093" w14:paraId="69050F56" w14:textId="77777777" w:rsidTr="009D4854">
      <w:tc>
        <w:tcPr>
          <w:tcW w:w="2553" w:type="dxa"/>
          <w:vAlign w:val="center"/>
          <w:hideMark/>
        </w:tcPr>
        <w:p w14:paraId="65C9B735" w14:textId="5A5FC882" w:rsidR="00E84093" w:rsidRDefault="00E84093"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4CDC1762" w:rsidR="00E84093" w:rsidRDefault="00E84093"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E84093" w:rsidRDefault="00E8409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E84093" w:rsidRDefault="00E8409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E84093" w:rsidRDefault="00E84093"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E84093" w14:paraId="477E149B" w14:textId="77777777" w:rsidTr="00C47D1B">
      <w:tc>
        <w:tcPr>
          <w:tcW w:w="2553" w:type="dxa"/>
          <w:vAlign w:val="center"/>
          <w:hideMark/>
        </w:tcPr>
        <w:p w14:paraId="5C0586E4" w14:textId="77777777" w:rsidR="00E84093" w:rsidRDefault="00E84093"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9C71283" w:rsidR="00E84093" w:rsidRPr="004440AC" w:rsidRDefault="00E84093" w:rsidP="000C1F3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02834/INFOEM/IP/RR/2021</w:t>
          </w:r>
        </w:p>
      </w:tc>
    </w:tr>
    <w:tr w:rsidR="00E84093" w14:paraId="5B5BE21C" w14:textId="77777777" w:rsidTr="00C47D1B">
      <w:tc>
        <w:tcPr>
          <w:tcW w:w="2553" w:type="dxa"/>
          <w:vAlign w:val="center"/>
          <w:hideMark/>
        </w:tcPr>
        <w:p w14:paraId="4AE96902" w14:textId="4E063913" w:rsidR="00E84093" w:rsidRDefault="00E84093"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E21219B" w:rsidR="00E84093" w:rsidRPr="004440AC" w:rsidRDefault="000C3BB0" w:rsidP="000C1F3B">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E8409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E8409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E8409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r w:rsidR="00E84093">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E8409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84093" w14:paraId="22601A11" w14:textId="77777777" w:rsidTr="00C47D1B">
      <w:trPr>
        <w:trHeight w:val="228"/>
      </w:trPr>
      <w:tc>
        <w:tcPr>
          <w:tcW w:w="2553" w:type="dxa"/>
          <w:vAlign w:val="center"/>
          <w:hideMark/>
        </w:tcPr>
        <w:p w14:paraId="6EFE221D" w14:textId="49C5F800" w:rsidR="00E84093" w:rsidRDefault="00E84093"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958BDB7" w:rsidR="00E84093" w:rsidRPr="004440AC" w:rsidRDefault="00E84093" w:rsidP="00E3567C">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Metepec</w:t>
          </w:r>
        </w:p>
      </w:tc>
    </w:tr>
    <w:tr w:rsidR="00E84093" w14:paraId="2D6C630E" w14:textId="77777777" w:rsidTr="00C47D1B">
      <w:tc>
        <w:tcPr>
          <w:tcW w:w="2553" w:type="dxa"/>
          <w:vAlign w:val="center"/>
          <w:hideMark/>
        </w:tcPr>
        <w:p w14:paraId="5BD4C6DB" w14:textId="20532B3D" w:rsidR="00E84093" w:rsidRDefault="00E84093"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CCDDDCE" w:rsidR="00E84093" w:rsidRPr="004440AC" w:rsidRDefault="00E84093"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E84093" w:rsidRDefault="00E8409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E67"/>
    <w:multiLevelType w:val="hybridMultilevel"/>
    <w:tmpl w:val="2C7A9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82687"/>
    <w:multiLevelType w:val="hybridMultilevel"/>
    <w:tmpl w:val="8946E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A41EE4"/>
    <w:multiLevelType w:val="hybridMultilevel"/>
    <w:tmpl w:val="75280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532B3F"/>
    <w:multiLevelType w:val="hybridMultilevel"/>
    <w:tmpl w:val="8946E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1A40E7"/>
    <w:multiLevelType w:val="hybridMultilevel"/>
    <w:tmpl w:val="0A24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AA75DB"/>
    <w:multiLevelType w:val="hybridMultilevel"/>
    <w:tmpl w:val="52A2A4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2667E7"/>
    <w:multiLevelType w:val="hybridMultilevel"/>
    <w:tmpl w:val="BFF258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53C15E3"/>
    <w:multiLevelType w:val="hybridMultilevel"/>
    <w:tmpl w:val="5EA4337A"/>
    <w:lvl w:ilvl="0" w:tplc="49E8DCF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31" w15:restartNumberingAfterBreak="0">
    <w:nsid w:val="5E606416"/>
    <w:multiLevelType w:val="hybridMultilevel"/>
    <w:tmpl w:val="E6A6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4159C8"/>
    <w:multiLevelType w:val="hybridMultilevel"/>
    <w:tmpl w:val="0A24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8E05D3"/>
    <w:multiLevelType w:val="hybridMultilevel"/>
    <w:tmpl w:val="63460E1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9111C5"/>
    <w:multiLevelType w:val="hybridMultilevel"/>
    <w:tmpl w:val="0A24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E3A60"/>
    <w:multiLevelType w:val="hybridMultilevel"/>
    <w:tmpl w:val="62EA3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094F8A"/>
    <w:multiLevelType w:val="hybridMultilevel"/>
    <w:tmpl w:val="2EF828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30"/>
  </w:num>
  <w:num w:numId="4">
    <w:abstractNumId w:val="16"/>
  </w:num>
  <w:num w:numId="5">
    <w:abstractNumId w:val="25"/>
  </w:num>
  <w:num w:numId="6">
    <w:abstractNumId w:val="37"/>
  </w:num>
  <w:num w:numId="7">
    <w:abstractNumId w:val="34"/>
  </w:num>
  <w:num w:numId="8">
    <w:abstractNumId w:val="23"/>
  </w:num>
  <w:num w:numId="9">
    <w:abstractNumId w:val="20"/>
  </w:num>
  <w:num w:numId="10">
    <w:abstractNumId w:val="8"/>
  </w:num>
  <w:num w:numId="11">
    <w:abstractNumId w:val="1"/>
  </w:num>
  <w:num w:numId="12">
    <w:abstractNumId w:val="19"/>
  </w:num>
  <w:num w:numId="13">
    <w:abstractNumId w:val="33"/>
  </w:num>
  <w:num w:numId="14">
    <w:abstractNumId w:val="35"/>
  </w:num>
  <w:num w:numId="15">
    <w:abstractNumId w:val="10"/>
  </w:num>
  <w:num w:numId="16">
    <w:abstractNumId w:val="5"/>
  </w:num>
  <w:num w:numId="17">
    <w:abstractNumId w:val="9"/>
  </w:num>
  <w:num w:numId="18">
    <w:abstractNumId w:val="32"/>
  </w:num>
  <w:num w:numId="19">
    <w:abstractNumId w:val="3"/>
  </w:num>
  <w:num w:numId="20">
    <w:abstractNumId w:val="14"/>
  </w:num>
  <w:num w:numId="21">
    <w:abstractNumId w:val="36"/>
  </w:num>
  <w:num w:numId="22">
    <w:abstractNumId w:val="4"/>
  </w:num>
  <w:num w:numId="23">
    <w:abstractNumId w:val="27"/>
  </w:num>
  <w:num w:numId="24">
    <w:abstractNumId w:val="18"/>
  </w:num>
  <w:num w:numId="25">
    <w:abstractNumId w:val="17"/>
  </w:num>
  <w:num w:numId="26">
    <w:abstractNumId w:val="41"/>
  </w:num>
  <w:num w:numId="27">
    <w:abstractNumId w:val="11"/>
  </w:num>
  <w:num w:numId="28">
    <w:abstractNumId w:val="2"/>
  </w:num>
  <w:num w:numId="29">
    <w:abstractNumId w:val="6"/>
  </w:num>
  <w:num w:numId="30">
    <w:abstractNumId w:val="0"/>
  </w:num>
  <w:num w:numId="31">
    <w:abstractNumId w:val="28"/>
  </w:num>
  <w:num w:numId="32">
    <w:abstractNumId w:val="7"/>
  </w:num>
  <w:num w:numId="33">
    <w:abstractNumId w:val="31"/>
  </w:num>
  <w:num w:numId="34">
    <w:abstractNumId w:val="12"/>
  </w:num>
  <w:num w:numId="35">
    <w:abstractNumId w:val="38"/>
  </w:num>
  <w:num w:numId="36">
    <w:abstractNumId w:val="24"/>
  </w:num>
  <w:num w:numId="37">
    <w:abstractNumId w:val="21"/>
  </w:num>
  <w:num w:numId="38">
    <w:abstractNumId w:val="40"/>
  </w:num>
  <w:num w:numId="39">
    <w:abstractNumId w:val="42"/>
  </w:num>
  <w:num w:numId="40">
    <w:abstractNumId w:val="43"/>
  </w:num>
  <w:num w:numId="41">
    <w:abstractNumId w:val="15"/>
  </w:num>
  <w:num w:numId="42">
    <w:abstractNumId w:val="26"/>
  </w:num>
  <w:num w:numId="43">
    <w:abstractNumId w:val="39"/>
  </w:num>
  <w:num w:numId="44">
    <w:abstractNumId w:val="22"/>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2A5F"/>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B5"/>
    <w:rsid w:val="00045FD8"/>
    <w:rsid w:val="00047F41"/>
    <w:rsid w:val="00050157"/>
    <w:rsid w:val="00052D77"/>
    <w:rsid w:val="00057073"/>
    <w:rsid w:val="000607FE"/>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3BB0"/>
    <w:rsid w:val="000C4453"/>
    <w:rsid w:val="000C7714"/>
    <w:rsid w:val="000C77C6"/>
    <w:rsid w:val="000C7C04"/>
    <w:rsid w:val="000D072E"/>
    <w:rsid w:val="000D33E5"/>
    <w:rsid w:val="000D3579"/>
    <w:rsid w:val="000D687E"/>
    <w:rsid w:val="000E32E4"/>
    <w:rsid w:val="000F2A42"/>
    <w:rsid w:val="00101C1A"/>
    <w:rsid w:val="00104846"/>
    <w:rsid w:val="00104E08"/>
    <w:rsid w:val="00105D51"/>
    <w:rsid w:val="0010696A"/>
    <w:rsid w:val="00107881"/>
    <w:rsid w:val="001110FC"/>
    <w:rsid w:val="00112892"/>
    <w:rsid w:val="00114DDF"/>
    <w:rsid w:val="00115AAD"/>
    <w:rsid w:val="001212E7"/>
    <w:rsid w:val="00124762"/>
    <w:rsid w:val="00130216"/>
    <w:rsid w:val="00130642"/>
    <w:rsid w:val="001306E4"/>
    <w:rsid w:val="00136083"/>
    <w:rsid w:val="001373DC"/>
    <w:rsid w:val="00140C79"/>
    <w:rsid w:val="00141F78"/>
    <w:rsid w:val="00143967"/>
    <w:rsid w:val="00143EC9"/>
    <w:rsid w:val="00143FAC"/>
    <w:rsid w:val="00145E62"/>
    <w:rsid w:val="00147E1D"/>
    <w:rsid w:val="00151D19"/>
    <w:rsid w:val="00152866"/>
    <w:rsid w:val="0015575F"/>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A4A26"/>
    <w:rsid w:val="001A6E7B"/>
    <w:rsid w:val="001B5099"/>
    <w:rsid w:val="001B6BAF"/>
    <w:rsid w:val="001B6BDC"/>
    <w:rsid w:val="001C0C3F"/>
    <w:rsid w:val="001C4BAC"/>
    <w:rsid w:val="001C4C05"/>
    <w:rsid w:val="001C7229"/>
    <w:rsid w:val="001D064E"/>
    <w:rsid w:val="001D54C7"/>
    <w:rsid w:val="001E1C02"/>
    <w:rsid w:val="001E330F"/>
    <w:rsid w:val="001E39C4"/>
    <w:rsid w:val="001E5309"/>
    <w:rsid w:val="001E64BE"/>
    <w:rsid w:val="001F0402"/>
    <w:rsid w:val="001F1B46"/>
    <w:rsid w:val="001F1F7D"/>
    <w:rsid w:val="001F501F"/>
    <w:rsid w:val="0020054B"/>
    <w:rsid w:val="00201E21"/>
    <w:rsid w:val="00204C2A"/>
    <w:rsid w:val="00205DAE"/>
    <w:rsid w:val="0020683B"/>
    <w:rsid w:val="00212FE4"/>
    <w:rsid w:val="00215922"/>
    <w:rsid w:val="00220958"/>
    <w:rsid w:val="00221545"/>
    <w:rsid w:val="00222F65"/>
    <w:rsid w:val="00223D0B"/>
    <w:rsid w:val="002317AF"/>
    <w:rsid w:val="0023264F"/>
    <w:rsid w:val="002326E8"/>
    <w:rsid w:val="00233157"/>
    <w:rsid w:val="0023380E"/>
    <w:rsid w:val="00233F8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248"/>
    <w:rsid w:val="00297AB0"/>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2B8E"/>
    <w:rsid w:val="002D42F7"/>
    <w:rsid w:val="002D508B"/>
    <w:rsid w:val="002E5744"/>
    <w:rsid w:val="002E6172"/>
    <w:rsid w:val="002E61FF"/>
    <w:rsid w:val="002E6B74"/>
    <w:rsid w:val="002E6BA1"/>
    <w:rsid w:val="002F0854"/>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3AFB"/>
    <w:rsid w:val="00314023"/>
    <w:rsid w:val="00314402"/>
    <w:rsid w:val="00314587"/>
    <w:rsid w:val="003156AE"/>
    <w:rsid w:val="00321D72"/>
    <w:rsid w:val="00322355"/>
    <w:rsid w:val="00322AE2"/>
    <w:rsid w:val="00323623"/>
    <w:rsid w:val="00323829"/>
    <w:rsid w:val="00327496"/>
    <w:rsid w:val="00333ADB"/>
    <w:rsid w:val="00333C7C"/>
    <w:rsid w:val="003349F4"/>
    <w:rsid w:val="00335047"/>
    <w:rsid w:val="003353EE"/>
    <w:rsid w:val="00340B86"/>
    <w:rsid w:val="00340D76"/>
    <w:rsid w:val="0034200B"/>
    <w:rsid w:val="0034256E"/>
    <w:rsid w:val="00343057"/>
    <w:rsid w:val="00343252"/>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6E0C"/>
    <w:rsid w:val="00397C2A"/>
    <w:rsid w:val="003A11DD"/>
    <w:rsid w:val="003A2B96"/>
    <w:rsid w:val="003A43BF"/>
    <w:rsid w:val="003A5A6E"/>
    <w:rsid w:val="003A6186"/>
    <w:rsid w:val="003A622D"/>
    <w:rsid w:val="003A7920"/>
    <w:rsid w:val="003B72E9"/>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233B"/>
    <w:rsid w:val="00405F96"/>
    <w:rsid w:val="00410650"/>
    <w:rsid w:val="004106C1"/>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1C22"/>
    <w:rsid w:val="00461E8E"/>
    <w:rsid w:val="00462417"/>
    <w:rsid w:val="00464624"/>
    <w:rsid w:val="004654E0"/>
    <w:rsid w:val="004677F9"/>
    <w:rsid w:val="0047775E"/>
    <w:rsid w:val="00482731"/>
    <w:rsid w:val="0048286C"/>
    <w:rsid w:val="00483A0F"/>
    <w:rsid w:val="0048589D"/>
    <w:rsid w:val="00487F15"/>
    <w:rsid w:val="00490BC8"/>
    <w:rsid w:val="004912A0"/>
    <w:rsid w:val="004928DE"/>
    <w:rsid w:val="00493188"/>
    <w:rsid w:val="00493E2F"/>
    <w:rsid w:val="00494BE7"/>
    <w:rsid w:val="0049576C"/>
    <w:rsid w:val="004A0EA8"/>
    <w:rsid w:val="004A14D9"/>
    <w:rsid w:val="004A21F6"/>
    <w:rsid w:val="004A4B61"/>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2610"/>
    <w:rsid w:val="004D3B80"/>
    <w:rsid w:val="004D47C8"/>
    <w:rsid w:val="004D5AC0"/>
    <w:rsid w:val="004D5FEF"/>
    <w:rsid w:val="004D7199"/>
    <w:rsid w:val="004E07D4"/>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08C7"/>
    <w:rsid w:val="00551BA4"/>
    <w:rsid w:val="00552D59"/>
    <w:rsid w:val="00557867"/>
    <w:rsid w:val="0056588E"/>
    <w:rsid w:val="00571374"/>
    <w:rsid w:val="00571391"/>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A3D"/>
    <w:rsid w:val="005E4F05"/>
    <w:rsid w:val="005E5859"/>
    <w:rsid w:val="005E5DC1"/>
    <w:rsid w:val="005E6226"/>
    <w:rsid w:val="005E67EC"/>
    <w:rsid w:val="005E7E12"/>
    <w:rsid w:val="005F0F9A"/>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7C16"/>
    <w:rsid w:val="006445D2"/>
    <w:rsid w:val="0064598A"/>
    <w:rsid w:val="00646734"/>
    <w:rsid w:val="006467A2"/>
    <w:rsid w:val="00647094"/>
    <w:rsid w:val="00655B83"/>
    <w:rsid w:val="00656C59"/>
    <w:rsid w:val="00660909"/>
    <w:rsid w:val="006614CB"/>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B77D6"/>
    <w:rsid w:val="006C24A5"/>
    <w:rsid w:val="006C24CD"/>
    <w:rsid w:val="006C399A"/>
    <w:rsid w:val="006C60B5"/>
    <w:rsid w:val="006C636A"/>
    <w:rsid w:val="006C7242"/>
    <w:rsid w:val="006D1B3F"/>
    <w:rsid w:val="006D64F9"/>
    <w:rsid w:val="006E2EA9"/>
    <w:rsid w:val="006E6278"/>
    <w:rsid w:val="006E6389"/>
    <w:rsid w:val="006E662E"/>
    <w:rsid w:val="006E69AA"/>
    <w:rsid w:val="006F30F8"/>
    <w:rsid w:val="006F3144"/>
    <w:rsid w:val="006F5B9E"/>
    <w:rsid w:val="006F6E1B"/>
    <w:rsid w:val="007049AF"/>
    <w:rsid w:val="007061DF"/>
    <w:rsid w:val="00711B09"/>
    <w:rsid w:val="0071646D"/>
    <w:rsid w:val="00716CE1"/>
    <w:rsid w:val="00722176"/>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203A"/>
    <w:rsid w:val="007724D7"/>
    <w:rsid w:val="0077266E"/>
    <w:rsid w:val="00773601"/>
    <w:rsid w:val="00775CB2"/>
    <w:rsid w:val="00776527"/>
    <w:rsid w:val="0077689F"/>
    <w:rsid w:val="0078083D"/>
    <w:rsid w:val="00780D57"/>
    <w:rsid w:val="00782DD9"/>
    <w:rsid w:val="007830E3"/>
    <w:rsid w:val="00787DB5"/>
    <w:rsid w:val="00793436"/>
    <w:rsid w:val="00794305"/>
    <w:rsid w:val="0079652C"/>
    <w:rsid w:val="007A11F1"/>
    <w:rsid w:val="007A35F6"/>
    <w:rsid w:val="007A4E83"/>
    <w:rsid w:val="007A5F1A"/>
    <w:rsid w:val="007B5B76"/>
    <w:rsid w:val="007B755C"/>
    <w:rsid w:val="007C025F"/>
    <w:rsid w:val="007C09AA"/>
    <w:rsid w:val="007C0AFD"/>
    <w:rsid w:val="007C3D29"/>
    <w:rsid w:val="007C3E67"/>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61B32"/>
    <w:rsid w:val="00862F5A"/>
    <w:rsid w:val="008718F3"/>
    <w:rsid w:val="008724A3"/>
    <w:rsid w:val="00874685"/>
    <w:rsid w:val="00874DC9"/>
    <w:rsid w:val="00876615"/>
    <w:rsid w:val="0088137B"/>
    <w:rsid w:val="00882131"/>
    <w:rsid w:val="0088510A"/>
    <w:rsid w:val="00885CB3"/>
    <w:rsid w:val="00886127"/>
    <w:rsid w:val="00887493"/>
    <w:rsid w:val="008900BC"/>
    <w:rsid w:val="00892AFC"/>
    <w:rsid w:val="0089436A"/>
    <w:rsid w:val="00895C62"/>
    <w:rsid w:val="008A0C05"/>
    <w:rsid w:val="008A2185"/>
    <w:rsid w:val="008A42B0"/>
    <w:rsid w:val="008A4982"/>
    <w:rsid w:val="008A6085"/>
    <w:rsid w:val="008A663F"/>
    <w:rsid w:val="008A6AF9"/>
    <w:rsid w:val="008A7AAE"/>
    <w:rsid w:val="008B0803"/>
    <w:rsid w:val="008B2902"/>
    <w:rsid w:val="008B36C5"/>
    <w:rsid w:val="008B542E"/>
    <w:rsid w:val="008B5BE2"/>
    <w:rsid w:val="008C04B3"/>
    <w:rsid w:val="008C0694"/>
    <w:rsid w:val="008C0B20"/>
    <w:rsid w:val="008C2572"/>
    <w:rsid w:val="008C3963"/>
    <w:rsid w:val="008D0D25"/>
    <w:rsid w:val="008D1526"/>
    <w:rsid w:val="008D334A"/>
    <w:rsid w:val="008D4B2A"/>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06530"/>
    <w:rsid w:val="00911674"/>
    <w:rsid w:val="00914FDF"/>
    <w:rsid w:val="0091599A"/>
    <w:rsid w:val="00917EB1"/>
    <w:rsid w:val="00921436"/>
    <w:rsid w:val="009231F1"/>
    <w:rsid w:val="0092427B"/>
    <w:rsid w:val="0092433B"/>
    <w:rsid w:val="009243B2"/>
    <w:rsid w:val="00925D29"/>
    <w:rsid w:val="00926B57"/>
    <w:rsid w:val="009279BF"/>
    <w:rsid w:val="00927E2E"/>
    <w:rsid w:val="00930746"/>
    <w:rsid w:val="00930F79"/>
    <w:rsid w:val="009318D5"/>
    <w:rsid w:val="00931EF0"/>
    <w:rsid w:val="00932F08"/>
    <w:rsid w:val="0093359E"/>
    <w:rsid w:val="00933F41"/>
    <w:rsid w:val="00935A0D"/>
    <w:rsid w:val="00936419"/>
    <w:rsid w:val="0093658F"/>
    <w:rsid w:val="00936724"/>
    <w:rsid w:val="00937DBE"/>
    <w:rsid w:val="00940FFE"/>
    <w:rsid w:val="009411A0"/>
    <w:rsid w:val="00943B74"/>
    <w:rsid w:val="0094486F"/>
    <w:rsid w:val="00944CA2"/>
    <w:rsid w:val="0094743F"/>
    <w:rsid w:val="00947905"/>
    <w:rsid w:val="009500DD"/>
    <w:rsid w:val="00951F0F"/>
    <w:rsid w:val="00952606"/>
    <w:rsid w:val="009573BD"/>
    <w:rsid w:val="0096089C"/>
    <w:rsid w:val="00964E79"/>
    <w:rsid w:val="00964F37"/>
    <w:rsid w:val="00965BF0"/>
    <w:rsid w:val="00966ECB"/>
    <w:rsid w:val="009702F7"/>
    <w:rsid w:val="00972527"/>
    <w:rsid w:val="009745CF"/>
    <w:rsid w:val="00975A2A"/>
    <w:rsid w:val="00975EB9"/>
    <w:rsid w:val="009763B8"/>
    <w:rsid w:val="00981F51"/>
    <w:rsid w:val="009837CB"/>
    <w:rsid w:val="00983BB0"/>
    <w:rsid w:val="009858EF"/>
    <w:rsid w:val="00986C09"/>
    <w:rsid w:val="0099075B"/>
    <w:rsid w:val="00990E7A"/>
    <w:rsid w:val="00992009"/>
    <w:rsid w:val="009925EC"/>
    <w:rsid w:val="00995CAA"/>
    <w:rsid w:val="009969DF"/>
    <w:rsid w:val="009A00BC"/>
    <w:rsid w:val="009A0F6D"/>
    <w:rsid w:val="009A1338"/>
    <w:rsid w:val="009A1F69"/>
    <w:rsid w:val="009A3ADA"/>
    <w:rsid w:val="009A3C01"/>
    <w:rsid w:val="009A3F8E"/>
    <w:rsid w:val="009A78A9"/>
    <w:rsid w:val="009B031B"/>
    <w:rsid w:val="009B299F"/>
    <w:rsid w:val="009B29BB"/>
    <w:rsid w:val="009B55C4"/>
    <w:rsid w:val="009B6587"/>
    <w:rsid w:val="009B6C33"/>
    <w:rsid w:val="009C3731"/>
    <w:rsid w:val="009D00FC"/>
    <w:rsid w:val="009D4854"/>
    <w:rsid w:val="009D5847"/>
    <w:rsid w:val="009D605C"/>
    <w:rsid w:val="009D6900"/>
    <w:rsid w:val="009E006C"/>
    <w:rsid w:val="009E0E68"/>
    <w:rsid w:val="009E11BB"/>
    <w:rsid w:val="009E1E5F"/>
    <w:rsid w:val="009E2235"/>
    <w:rsid w:val="009E266B"/>
    <w:rsid w:val="009E32E3"/>
    <w:rsid w:val="009E7036"/>
    <w:rsid w:val="009F19E6"/>
    <w:rsid w:val="009F288E"/>
    <w:rsid w:val="009F3151"/>
    <w:rsid w:val="009F6FCD"/>
    <w:rsid w:val="009F704F"/>
    <w:rsid w:val="00A00110"/>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1D2C"/>
    <w:rsid w:val="00A52C18"/>
    <w:rsid w:val="00A5404F"/>
    <w:rsid w:val="00A5705E"/>
    <w:rsid w:val="00A57AFC"/>
    <w:rsid w:val="00A61C09"/>
    <w:rsid w:val="00A6220A"/>
    <w:rsid w:val="00A636E0"/>
    <w:rsid w:val="00A64999"/>
    <w:rsid w:val="00A67754"/>
    <w:rsid w:val="00A76FB1"/>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6007"/>
    <w:rsid w:val="00AB7491"/>
    <w:rsid w:val="00AC0315"/>
    <w:rsid w:val="00AC08A3"/>
    <w:rsid w:val="00AC4727"/>
    <w:rsid w:val="00AC6E31"/>
    <w:rsid w:val="00AD091C"/>
    <w:rsid w:val="00AD1D3D"/>
    <w:rsid w:val="00AE013D"/>
    <w:rsid w:val="00AE34E5"/>
    <w:rsid w:val="00AE3798"/>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4710"/>
    <w:rsid w:val="00B15363"/>
    <w:rsid w:val="00B21982"/>
    <w:rsid w:val="00B25A6F"/>
    <w:rsid w:val="00B26ECA"/>
    <w:rsid w:val="00B33C6F"/>
    <w:rsid w:val="00B35432"/>
    <w:rsid w:val="00B373AD"/>
    <w:rsid w:val="00B4134E"/>
    <w:rsid w:val="00B42812"/>
    <w:rsid w:val="00B42B2D"/>
    <w:rsid w:val="00B42DA0"/>
    <w:rsid w:val="00B44DA3"/>
    <w:rsid w:val="00B453A9"/>
    <w:rsid w:val="00B460AA"/>
    <w:rsid w:val="00B4686D"/>
    <w:rsid w:val="00B5061D"/>
    <w:rsid w:val="00B509A2"/>
    <w:rsid w:val="00B5114C"/>
    <w:rsid w:val="00B518F7"/>
    <w:rsid w:val="00B5328A"/>
    <w:rsid w:val="00B5510F"/>
    <w:rsid w:val="00B623CE"/>
    <w:rsid w:val="00B662AD"/>
    <w:rsid w:val="00B7226E"/>
    <w:rsid w:val="00B82000"/>
    <w:rsid w:val="00B85D9A"/>
    <w:rsid w:val="00B86E05"/>
    <w:rsid w:val="00B91560"/>
    <w:rsid w:val="00B91A02"/>
    <w:rsid w:val="00B92B46"/>
    <w:rsid w:val="00B92E1C"/>
    <w:rsid w:val="00B952C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C77C4"/>
    <w:rsid w:val="00BD000E"/>
    <w:rsid w:val="00BD0947"/>
    <w:rsid w:val="00BD1625"/>
    <w:rsid w:val="00BD1BDB"/>
    <w:rsid w:val="00BD24F0"/>
    <w:rsid w:val="00BD3AD2"/>
    <w:rsid w:val="00BD428D"/>
    <w:rsid w:val="00BD66B3"/>
    <w:rsid w:val="00BD6BED"/>
    <w:rsid w:val="00BD7483"/>
    <w:rsid w:val="00BE0E74"/>
    <w:rsid w:val="00BE21E1"/>
    <w:rsid w:val="00BE226E"/>
    <w:rsid w:val="00BE2DF8"/>
    <w:rsid w:val="00BE67A1"/>
    <w:rsid w:val="00BF0748"/>
    <w:rsid w:val="00C0130F"/>
    <w:rsid w:val="00C0590E"/>
    <w:rsid w:val="00C06D03"/>
    <w:rsid w:val="00C1122F"/>
    <w:rsid w:val="00C11FB5"/>
    <w:rsid w:val="00C134E5"/>
    <w:rsid w:val="00C16490"/>
    <w:rsid w:val="00C17535"/>
    <w:rsid w:val="00C20E42"/>
    <w:rsid w:val="00C22635"/>
    <w:rsid w:val="00C22842"/>
    <w:rsid w:val="00C23048"/>
    <w:rsid w:val="00C23621"/>
    <w:rsid w:val="00C265CC"/>
    <w:rsid w:val="00C273AE"/>
    <w:rsid w:val="00C31055"/>
    <w:rsid w:val="00C4317A"/>
    <w:rsid w:val="00C472F7"/>
    <w:rsid w:val="00C47D1B"/>
    <w:rsid w:val="00C503FF"/>
    <w:rsid w:val="00C515D8"/>
    <w:rsid w:val="00C51B23"/>
    <w:rsid w:val="00C528D8"/>
    <w:rsid w:val="00C53782"/>
    <w:rsid w:val="00C53E72"/>
    <w:rsid w:val="00C546A6"/>
    <w:rsid w:val="00C553D5"/>
    <w:rsid w:val="00C5694E"/>
    <w:rsid w:val="00C57553"/>
    <w:rsid w:val="00C6012D"/>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5838"/>
    <w:rsid w:val="00CA66DF"/>
    <w:rsid w:val="00CA7476"/>
    <w:rsid w:val="00CB2A57"/>
    <w:rsid w:val="00CC0147"/>
    <w:rsid w:val="00CC0C5D"/>
    <w:rsid w:val="00CC0EE1"/>
    <w:rsid w:val="00CC22DD"/>
    <w:rsid w:val="00CC2BF2"/>
    <w:rsid w:val="00CC30A8"/>
    <w:rsid w:val="00CC5E23"/>
    <w:rsid w:val="00CC6DCA"/>
    <w:rsid w:val="00CD2AE3"/>
    <w:rsid w:val="00CD3541"/>
    <w:rsid w:val="00CD7601"/>
    <w:rsid w:val="00CE101F"/>
    <w:rsid w:val="00CE1592"/>
    <w:rsid w:val="00CE46FC"/>
    <w:rsid w:val="00CE4AA8"/>
    <w:rsid w:val="00CE50E4"/>
    <w:rsid w:val="00CE641F"/>
    <w:rsid w:val="00CE657B"/>
    <w:rsid w:val="00CF28F0"/>
    <w:rsid w:val="00CF6B0F"/>
    <w:rsid w:val="00D01EDC"/>
    <w:rsid w:val="00D027E3"/>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535D"/>
    <w:rsid w:val="00D371C6"/>
    <w:rsid w:val="00D372B2"/>
    <w:rsid w:val="00D4136B"/>
    <w:rsid w:val="00D41D70"/>
    <w:rsid w:val="00D42175"/>
    <w:rsid w:val="00D42497"/>
    <w:rsid w:val="00D4555A"/>
    <w:rsid w:val="00D47351"/>
    <w:rsid w:val="00D50580"/>
    <w:rsid w:val="00D50608"/>
    <w:rsid w:val="00D518E8"/>
    <w:rsid w:val="00D53645"/>
    <w:rsid w:val="00D63660"/>
    <w:rsid w:val="00D649B8"/>
    <w:rsid w:val="00D7015C"/>
    <w:rsid w:val="00D712A2"/>
    <w:rsid w:val="00D71585"/>
    <w:rsid w:val="00D723BE"/>
    <w:rsid w:val="00D7299E"/>
    <w:rsid w:val="00D72B26"/>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78B5"/>
    <w:rsid w:val="00DC215D"/>
    <w:rsid w:val="00DC3E83"/>
    <w:rsid w:val="00DC4C2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DF7EEE"/>
    <w:rsid w:val="00DF7FDB"/>
    <w:rsid w:val="00E01862"/>
    <w:rsid w:val="00E020A1"/>
    <w:rsid w:val="00E05C00"/>
    <w:rsid w:val="00E06BB1"/>
    <w:rsid w:val="00E16244"/>
    <w:rsid w:val="00E16369"/>
    <w:rsid w:val="00E16404"/>
    <w:rsid w:val="00E16AC1"/>
    <w:rsid w:val="00E2091D"/>
    <w:rsid w:val="00E2092A"/>
    <w:rsid w:val="00E2306B"/>
    <w:rsid w:val="00E26425"/>
    <w:rsid w:val="00E33DC1"/>
    <w:rsid w:val="00E34890"/>
    <w:rsid w:val="00E3567C"/>
    <w:rsid w:val="00E36798"/>
    <w:rsid w:val="00E4041D"/>
    <w:rsid w:val="00E43330"/>
    <w:rsid w:val="00E45A3C"/>
    <w:rsid w:val="00E45F6B"/>
    <w:rsid w:val="00E505EF"/>
    <w:rsid w:val="00E5532F"/>
    <w:rsid w:val="00E55D85"/>
    <w:rsid w:val="00E62AC6"/>
    <w:rsid w:val="00E64143"/>
    <w:rsid w:val="00E6514E"/>
    <w:rsid w:val="00E663D1"/>
    <w:rsid w:val="00E66AC9"/>
    <w:rsid w:val="00E66CA0"/>
    <w:rsid w:val="00E67C01"/>
    <w:rsid w:val="00E71476"/>
    <w:rsid w:val="00E7373D"/>
    <w:rsid w:val="00E74285"/>
    <w:rsid w:val="00E81221"/>
    <w:rsid w:val="00E8169E"/>
    <w:rsid w:val="00E82A53"/>
    <w:rsid w:val="00E84093"/>
    <w:rsid w:val="00E86D99"/>
    <w:rsid w:val="00E86E4F"/>
    <w:rsid w:val="00E87ACA"/>
    <w:rsid w:val="00EA0303"/>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B79E4"/>
    <w:rsid w:val="00EC0103"/>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6172"/>
    <w:rsid w:val="00F172EE"/>
    <w:rsid w:val="00F179D8"/>
    <w:rsid w:val="00F2098F"/>
    <w:rsid w:val="00F21A5B"/>
    <w:rsid w:val="00F27B35"/>
    <w:rsid w:val="00F30F7B"/>
    <w:rsid w:val="00F310E7"/>
    <w:rsid w:val="00F32440"/>
    <w:rsid w:val="00F32BCB"/>
    <w:rsid w:val="00F32DB1"/>
    <w:rsid w:val="00F34F84"/>
    <w:rsid w:val="00F41380"/>
    <w:rsid w:val="00F414B3"/>
    <w:rsid w:val="00F427FF"/>
    <w:rsid w:val="00F4364A"/>
    <w:rsid w:val="00F44F29"/>
    <w:rsid w:val="00F45839"/>
    <w:rsid w:val="00F4715B"/>
    <w:rsid w:val="00F47C59"/>
    <w:rsid w:val="00F47EF8"/>
    <w:rsid w:val="00F5164C"/>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4E0B"/>
    <w:rsid w:val="00FC7A72"/>
    <w:rsid w:val="00FD0C88"/>
    <w:rsid w:val="00FD1DE6"/>
    <w:rsid w:val="00FD2324"/>
    <w:rsid w:val="00FD5243"/>
    <w:rsid w:val="00FD5E21"/>
    <w:rsid w:val="00FD6EAB"/>
    <w:rsid w:val="00FD7CD2"/>
    <w:rsid w:val="00FE021A"/>
    <w:rsid w:val="00FE188B"/>
    <w:rsid w:val="00FE1A69"/>
    <w:rsid w:val="00FE1A6D"/>
    <w:rsid w:val="00FE1B57"/>
    <w:rsid w:val="00FE43BA"/>
    <w:rsid w:val="00FE5006"/>
    <w:rsid w:val="00FE50E8"/>
    <w:rsid w:val="00FE5219"/>
    <w:rsid w:val="00FE6C02"/>
    <w:rsid w:val="00FE71F9"/>
    <w:rsid w:val="00FE78A9"/>
    <w:rsid w:val="00FE7915"/>
    <w:rsid w:val="00FF607A"/>
    <w:rsid w:val="00FF62D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58B8B95-EDD8-4113-891C-1277BDC0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886127"/>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5127500252372250437gmail-paragraph">
    <w:name w:val="m_5127500252372250437gmail-paragraph"/>
    <w:basedOn w:val="Normal"/>
    <w:rsid w:val="00E36798"/>
    <w:pPr>
      <w:spacing w:before="100" w:beforeAutospacing="1" w:after="100" w:afterAutospacing="1"/>
    </w:pPr>
    <w:rPr>
      <w:lang w:val="es-MX" w:eastAsia="es-MX"/>
    </w:rPr>
  </w:style>
  <w:style w:type="character" w:customStyle="1" w:styleId="Ttulo5Car">
    <w:name w:val="Título 5 Car"/>
    <w:basedOn w:val="Fuentedeprrafopredeter"/>
    <w:link w:val="Ttulo5"/>
    <w:uiPriority w:val="9"/>
    <w:semiHidden/>
    <w:rsid w:val="00886127"/>
    <w:rPr>
      <w:rFonts w:asciiTheme="majorHAnsi" w:eastAsiaTheme="majorEastAsia" w:hAnsiTheme="majorHAnsi" w:cstheme="majorBidi"/>
      <w:color w:val="365F91" w:themeColor="accent1" w:themeShade="BF"/>
      <w:lang w:val="es-ES"/>
    </w:rPr>
  </w:style>
  <w:style w:type="paragraph" w:styleId="NormalWeb">
    <w:name w:val="Normal (Web)"/>
    <w:basedOn w:val="Normal"/>
    <w:uiPriority w:val="99"/>
    <w:unhideWhenUsed/>
    <w:rsid w:val="00886127"/>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461E8E"/>
    <w:rPr>
      <w:color w:val="800080" w:themeColor="followedHyperlink"/>
      <w:u w:val="single"/>
    </w:rPr>
  </w:style>
  <w:style w:type="character" w:customStyle="1" w:styleId="titulorubrolgt">
    <w:name w:val="titulorubrolgt"/>
    <w:basedOn w:val="Fuentedeprrafopredeter"/>
    <w:rsid w:val="00143FAC"/>
  </w:style>
  <w:style w:type="character" w:customStyle="1" w:styleId="ctr">
    <w:name w:val="ctr"/>
    <w:basedOn w:val="Fuentedeprrafopredeter"/>
    <w:rsid w:val="0014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6750788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59494473">
      <w:bodyDiv w:val="1"/>
      <w:marLeft w:val="0"/>
      <w:marRight w:val="0"/>
      <w:marTop w:val="0"/>
      <w:marBottom w:val="0"/>
      <w:divBdr>
        <w:top w:val="none" w:sz="0" w:space="0" w:color="auto"/>
        <w:left w:val="none" w:sz="0" w:space="0" w:color="auto"/>
        <w:bottom w:val="none" w:sz="0" w:space="0" w:color="auto"/>
        <w:right w:val="none" w:sz="0" w:space="0" w:color="auto"/>
      </w:divBdr>
    </w:div>
    <w:div w:id="469590850">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293329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696318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858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METEPEC/art_92_xxvi.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METEPEC/art_92_ii_d.web" TargetMode="External"/><Relationship Id="rId4" Type="http://schemas.openxmlformats.org/officeDocument/2006/relationships/settings" Target="settings.xml"/><Relationship Id="rId9" Type="http://schemas.openxmlformats.org/officeDocument/2006/relationships/hyperlink" Target="https://www.ipomex.org.mx/ipo3/lgt/indice/METEPEC/art_92_xxv_a.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E832-0A3C-453C-B1DD-BA729ADD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26</Pages>
  <Words>5924</Words>
  <Characters>32584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2020-01-10T17:24:00Z</cp:lastPrinted>
  <dcterms:created xsi:type="dcterms:W3CDTF">2020-01-10T16:21:00Z</dcterms:created>
  <dcterms:modified xsi:type="dcterms:W3CDTF">2021-10-01T17:39:00Z</dcterms:modified>
</cp:coreProperties>
</file>