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ocho de diciembre de dos mil veintiuno.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01514/INFOEM/IP/RR/2021,</w:t>
      </w:r>
      <w:r>
        <w:rPr>
          <w:rFonts w:ascii="Palatino Linotype" w:eastAsia="Palatino Linotype" w:hAnsi="Palatino Linotype" w:cs="Palatino Linotype"/>
        </w:rPr>
        <w:t xml:space="preserve"> promovido </w:t>
      </w:r>
      <w:r w:rsidRPr="000916D2">
        <w:rPr>
          <w:rFonts w:ascii="Palatino Linotype" w:eastAsia="Palatino Linotype" w:hAnsi="Palatino Linotype" w:cs="Palatino Linotype"/>
        </w:rPr>
        <w:t xml:space="preserve">por </w:t>
      </w:r>
      <w:proofErr w:type="spellStart"/>
      <w:r w:rsidR="000916D2" w:rsidRPr="000916D2">
        <w:rPr>
          <w:rFonts w:ascii="Palatino Linotype" w:eastAsia="Palatino Linotype" w:hAnsi="Palatino Linotype" w:cs="Palatino Linotype"/>
          <w:b/>
        </w:rPr>
        <w:t>XxxxxxxxxXX</w:t>
      </w:r>
      <w:proofErr w:type="spellEnd"/>
      <w:r w:rsidRPr="000916D2">
        <w:rPr>
          <w:rFonts w:ascii="Palatino Linotype" w:eastAsia="Palatino Linotype" w:hAnsi="Palatino Linotype" w:cs="Palatino Linotype"/>
          <w:b/>
        </w:rPr>
        <w:t>,</w:t>
      </w:r>
      <w:r w:rsidRPr="000916D2">
        <w:rPr>
          <w:rFonts w:ascii="Palatino Linotype" w:eastAsia="Palatino Linotype" w:hAnsi="Palatino Linotype" w:cs="Palatino Linotype"/>
        </w:rPr>
        <w:t xml:space="preserve"> quien</w:t>
      </w:r>
      <w:r>
        <w:rPr>
          <w:rFonts w:ascii="Palatino Linotype" w:eastAsia="Palatino Linotype" w:hAnsi="Palatino Linotype" w:cs="Palatino Linotype"/>
        </w:rPr>
        <w:t xml:space="preserve"> en lo sucesivo 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  </w:t>
      </w:r>
      <w:r>
        <w:rPr>
          <w:rFonts w:ascii="Palatino Linotype" w:eastAsia="Palatino Linotype" w:hAnsi="Palatino Linotype" w:cs="Palatino Linotype"/>
          <w:b/>
        </w:rPr>
        <w:t xml:space="preserve">Secretaría de Obra Pública,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BB5537" w:rsidRDefault="00DC714F">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rsidR="00BB5537" w:rsidRDefault="00DC714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w:t>
      </w:r>
      <w:r>
        <w:rPr>
          <w:rFonts w:ascii="Palatino Linotype" w:eastAsia="Palatino Linotype" w:hAnsi="Palatino Linotype" w:cs="Palatino Linotype"/>
          <w:b/>
        </w:rPr>
        <w:t xml:space="preserve"> diecinueve de febrero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w:t>
      </w:r>
      <w:r>
        <w:rPr>
          <w:rFonts w:ascii="Palatino Linotype" w:eastAsia="Palatino Linotype" w:hAnsi="Palatino Linotype" w:cs="Palatino Linotype"/>
          <w:b/>
        </w:rPr>
        <w:t xml:space="preserve"> </w:t>
      </w:r>
      <w:r>
        <w:rPr>
          <w:rFonts w:ascii="Palatino Linotype" w:eastAsia="Palatino Linotype" w:hAnsi="Palatino Linotype" w:cs="Palatino Linotype"/>
        </w:rPr>
        <w:t>a través  de la Plataf</w:t>
      </w:r>
      <w:r>
        <w:rPr>
          <w:rFonts w:ascii="Palatino Linotype" w:eastAsia="Palatino Linotype" w:hAnsi="Palatino Linotype" w:cs="Palatino Linotype"/>
        </w:rPr>
        <w:t xml:space="preserve">orma Nacional de Transparencia </w:t>
      </w:r>
      <w:r>
        <w:rPr>
          <w:rFonts w:ascii="Palatino Linotype" w:eastAsia="Palatino Linotype" w:hAnsi="Palatino Linotype" w:cs="Palatino Linotype"/>
          <w:b/>
        </w:rPr>
        <w:t xml:space="preserve">(PNT); </w:t>
      </w:r>
      <w:r>
        <w:rPr>
          <w:rFonts w:ascii="Palatino Linotype" w:eastAsia="Palatino Linotype" w:hAnsi="Palatino Linotype" w:cs="Palatino Linotype"/>
        </w:rPr>
        <w:t>misma que se encuentra vinculada al Sistema de Acceso a la Información Mexiquense (SAIMEX),</w:t>
      </w:r>
      <w:r>
        <w:rPr>
          <w:rFonts w:ascii="Palatino Linotype" w:eastAsia="Palatino Linotype" w:hAnsi="Palatino Linotype" w:cs="Palatino Linotype"/>
          <w:b/>
        </w:rPr>
        <w:t xml:space="preserve"> </w:t>
      </w:r>
      <w:r>
        <w:rPr>
          <w:rFonts w:ascii="Palatino Linotype" w:eastAsia="Palatino Linotype" w:hAnsi="Palatino Linotype" w:cs="Palatino Linotype"/>
        </w:rPr>
        <w:t>la solicitud de acceso a la información pública, a la que se asignó el número</w:t>
      </w:r>
      <w:r>
        <w:rPr>
          <w:rFonts w:ascii="Palatino Linotype" w:eastAsia="Palatino Linotype" w:hAnsi="Palatino Linotype" w:cs="Palatino Linotype"/>
          <w:b/>
        </w:rPr>
        <w:t xml:space="preserve"> 00032/SOPEM/IP/2021, </w:t>
      </w:r>
      <w:r>
        <w:rPr>
          <w:rFonts w:ascii="Palatino Linotype" w:eastAsia="Palatino Linotype" w:hAnsi="Palatino Linotype" w:cs="Palatino Linotype"/>
        </w:rPr>
        <w:t>mediante la cual se requiri</w:t>
      </w:r>
      <w:r>
        <w:rPr>
          <w:rFonts w:ascii="Palatino Linotype" w:eastAsia="Palatino Linotype" w:hAnsi="Palatino Linotype" w:cs="Palatino Linotype"/>
        </w:rPr>
        <w:t xml:space="preserve">ó la información siguiente: </w:t>
      </w:r>
    </w:p>
    <w:p w:rsidR="00BB5537" w:rsidRPr="006628EF" w:rsidRDefault="00DC714F" w:rsidP="006628EF">
      <w:pPr>
        <w:spacing w:before="240" w:after="240"/>
        <w:ind w:left="567" w:right="758"/>
        <w:jc w:val="both"/>
        <w:rPr>
          <w:rFonts w:ascii="Palatino Linotype" w:eastAsia="Palatino Linotype" w:hAnsi="Palatino Linotype" w:cs="Palatino Linotype"/>
          <w:i/>
          <w:sz w:val="22"/>
          <w:szCs w:val="22"/>
        </w:rPr>
      </w:pPr>
      <w:r w:rsidRPr="006628EF">
        <w:rPr>
          <w:rFonts w:ascii="Palatino Linotype" w:eastAsia="Palatino Linotype" w:hAnsi="Palatino Linotype" w:cs="Palatino Linotype"/>
          <w:i/>
          <w:sz w:val="22"/>
          <w:szCs w:val="22"/>
        </w:rPr>
        <w:t xml:space="preserve"> “</w:t>
      </w:r>
      <w:r w:rsidRPr="006628EF">
        <w:rPr>
          <w:rFonts w:ascii="Palatino Linotype" w:eastAsia="Palatino Linotype" w:hAnsi="Palatino Linotype" w:cs="Palatino Linotype"/>
          <w:i/>
          <w:color w:val="000000"/>
          <w:sz w:val="22"/>
          <w:szCs w:val="22"/>
        </w:rPr>
        <w:t>Solicito los documentos que comprueben y muestren la necesidad de ejecución de la rehabilitación del Lienzo charro de Malinalco y la Unidad Deportiva Arturo Orihuela, obras concluidas en 2019, así como cualquier otro document</w:t>
      </w:r>
      <w:r w:rsidRPr="006628EF">
        <w:rPr>
          <w:rFonts w:ascii="Palatino Linotype" w:eastAsia="Palatino Linotype" w:hAnsi="Palatino Linotype" w:cs="Palatino Linotype"/>
          <w:i/>
          <w:color w:val="000000"/>
          <w:sz w:val="22"/>
          <w:szCs w:val="22"/>
        </w:rPr>
        <w:t xml:space="preserve">o como oficios, compromisos de funcionarios, comunicaciones electrónicas o cualquier otro con base en el cual se </w:t>
      </w:r>
      <w:proofErr w:type="spellStart"/>
      <w:r w:rsidRPr="006628EF">
        <w:rPr>
          <w:rFonts w:ascii="Palatino Linotype" w:eastAsia="Palatino Linotype" w:hAnsi="Palatino Linotype" w:cs="Palatino Linotype"/>
          <w:i/>
          <w:color w:val="000000"/>
          <w:sz w:val="22"/>
          <w:szCs w:val="22"/>
        </w:rPr>
        <w:t>tomo</w:t>
      </w:r>
      <w:proofErr w:type="spellEnd"/>
      <w:r w:rsidRPr="006628EF">
        <w:rPr>
          <w:rFonts w:ascii="Palatino Linotype" w:eastAsia="Palatino Linotype" w:hAnsi="Palatino Linotype" w:cs="Palatino Linotype"/>
          <w:i/>
          <w:color w:val="000000"/>
          <w:sz w:val="22"/>
          <w:szCs w:val="22"/>
        </w:rPr>
        <w:t xml:space="preserve"> la decisión de realizar dichas obras. Asimismo solicito los documentos oficiales que muestren el costeo o estimaciones para dicha obra, as</w:t>
      </w:r>
      <w:r w:rsidRPr="006628EF">
        <w:rPr>
          <w:rFonts w:ascii="Palatino Linotype" w:eastAsia="Palatino Linotype" w:hAnsi="Palatino Linotype" w:cs="Palatino Linotype"/>
          <w:i/>
          <w:color w:val="000000"/>
          <w:sz w:val="22"/>
          <w:szCs w:val="22"/>
        </w:rPr>
        <w:t xml:space="preserve">í como las facturas y </w:t>
      </w:r>
      <w:proofErr w:type="gramStart"/>
      <w:r w:rsidRPr="006628EF">
        <w:rPr>
          <w:rFonts w:ascii="Palatino Linotype" w:eastAsia="Palatino Linotype" w:hAnsi="Palatino Linotype" w:cs="Palatino Linotype"/>
          <w:i/>
          <w:color w:val="000000"/>
          <w:sz w:val="22"/>
          <w:szCs w:val="22"/>
        </w:rPr>
        <w:t>relación de pagos realizadas a las empresas y/o particulares</w:t>
      </w:r>
      <w:proofErr w:type="gramEnd"/>
      <w:r w:rsidRPr="006628EF">
        <w:rPr>
          <w:rFonts w:ascii="Palatino Linotype" w:eastAsia="Palatino Linotype" w:hAnsi="Palatino Linotype" w:cs="Palatino Linotype"/>
          <w:i/>
          <w:color w:val="000000"/>
          <w:sz w:val="22"/>
          <w:szCs w:val="22"/>
        </w:rPr>
        <w:t xml:space="preserve"> a las que se les adjudicó. Respecto al punto anterior, solicito los documentos oficiales que muestren el desglose de los precioso costos efectivamente pagados </w:t>
      </w:r>
      <w:proofErr w:type="spellStart"/>
      <w:r w:rsidRPr="006628EF">
        <w:rPr>
          <w:rFonts w:ascii="Palatino Linotype" w:eastAsia="Palatino Linotype" w:hAnsi="Palatino Linotype" w:cs="Palatino Linotype"/>
          <w:i/>
          <w:color w:val="000000"/>
          <w:sz w:val="22"/>
          <w:szCs w:val="22"/>
        </w:rPr>
        <w:t>pagados</w:t>
      </w:r>
      <w:proofErr w:type="spellEnd"/>
      <w:r w:rsidRPr="006628EF">
        <w:rPr>
          <w:rFonts w:ascii="Palatino Linotype" w:eastAsia="Palatino Linotype" w:hAnsi="Palatino Linotype" w:cs="Palatino Linotype"/>
          <w:i/>
          <w:color w:val="000000"/>
          <w:sz w:val="22"/>
          <w:szCs w:val="22"/>
        </w:rPr>
        <w:t xml:space="preserve"> por lo</w:t>
      </w:r>
      <w:r w:rsidRPr="006628EF">
        <w:rPr>
          <w:rFonts w:ascii="Palatino Linotype" w:eastAsia="Palatino Linotype" w:hAnsi="Palatino Linotype" w:cs="Palatino Linotype"/>
          <w:i/>
          <w:color w:val="000000"/>
          <w:sz w:val="22"/>
          <w:szCs w:val="22"/>
        </w:rPr>
        <w:t>s distintos conceptos de las obras, las fechas de ejecución de las mismas, así como el informe o informes del supervisor de estas obras.</w:t>
      </w:r>
      <w:r w:rsidRPr="006628EF">
        <w:rPr>
          <w:rFonts w:ascii="Palatino Linotype" w:eastAsia="Palatino Linotype" w:hAnsi="Palatino Linotype" w:cs="Palatino Linotype"/>
          <w:i/>
          <w:sz w:val="22"/>
          <w:szCs w:val="22"/>
        </w:rPr>
        <w:t>” (Sic)</w:t>
      </w:r>
    </w:p>
    <w:p w:rsidR="00BB5537" w:rsidRDefault="00BB5537">
      <w:pPr>
        <w:spacing w:before="240" w:after="240"/>
        <w:ind w:left="567" w:right="900"/>
        <w:jc w:val="both"/>
        <w:rPr>
          <w:rFonts w:ascii="Palatino Linotype" w:eastAsia="Palatino Linotype" w:hAnsi="Palatino Linotype" w:cs="Palatino Linotype"/>
          <w:i/>
        </w:rPr>
      </w:pPr>
    </w:p>
    <w:p w:rsidR="00BB5537" w:rsidRDefault="00DC714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Archivos adjuntos:</w:t>
      </w:r>
      <w:r>
        <w:rPr>
          <w:rFonts w:ascii="Palatino Linotype" w:eastAsia="Palatino Linotype" w:hAnsi="Palatino Linotype" w:cs="Palatino Linotype"/>
        </w:rPr>
        <w:t xml:space="preserve"> Ninguno</w:t>
      </w:r>
    </w:p>
    <w:p w:rsidR="00BB5537" w:rsidRDefault="00DC714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Modalidad de Entrega: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b/>
        </w:rPr>
        <w:tab/>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El dieciséis de marzo de dos</w:t>
      </w:r>
      <w:r>
        <w:rPr>
          <w:rFonts w:ascii="Palatino Linotype" w:eastAsia="Palatino Linotype" w:hAnsi="Palatino Linotype" w:cs="Palatino Linotype"/>
        </w:rPr>
        <w:t xml:space="preserve"> mil veintiuno,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remitió el acuerdo CT-SEDUO-SE-06-2021/019 en el que se aprobó la ampliación de plazo por 7 días hábiles para dar respuesta a la solicitud de información pública número 00032/SOPEM/IP/2021.</w:t>
      </w:r>
    </w:p>
    <w:p w:rsidR="00BB5537" w:rsidRDefault="00DC714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3. Respuesta del SUJETO OBLIGAD</w:t>
      </w:r>
      <w:r>
        <w:rPr>
          <w:rFonts w:ascii="Palatino Linotype" w:eastAsia="Palatino Linotype" w:hAnsi="Palatino Linotype" w:cs="Palatino Linotype"/>
          <w:b/>
        </w:rPr>
        <w:t>O.</w:t>
      </w:r>
      <w:r>
        <w:rPr>
          <w:rFonts w:ascii="Palatino Linotype" w:eastAsia="Palatino Linotype" w:hAnsi="Palatino Linotype" w:cs="Palatino Linotype"/>
        </w:rPr>
        <w:t xml:space="preserve"> El </w:t>
      </w:r>
      <w:r>
        <w:rPr>
          <w:rFonts w:ascii="Palatino Linotype" w:eastAsia="Palatino Linotype" w:hAnsi="Palatino Linotype" w:cs="Palatino Linotype"/>
          <w:b/>
        </w:rPr>
        <w:t>veinticinco de marzo del dos mil veintiuno</w:t>
      </w:r>
      <w:r>
        <w:rPr>
          <w:rFonts w:ascii="Palatino Linotype" w:eastAsia="Palatino Linotype" w:hAnsi="Palatino Linotype" w:cs="Palatino Linotype"/>
        </w:rPr>
        <w:t xml:space="preserve">, la </w:t>
      </w:r>
      <w:r>
        <w:rPr>
          <w:rFonts w:ascii="Palatino Linotype" w:eastAsia="Palatino Linotype" w:hAnsi="Palatino Linotype" w:cs="Palatino Linotype"/>
          <w:b/>
        </w:rPr>
        <w:t>Secretaría de Obra Pública</w:t>
      </w:r>
      <w:r>
        <w:rPr>
          <w:rFonts w:ascii="Palatino Linotype" w:eastAsia="Palatino Linotype" w:hAnsi="Palatino Linotype" w:cs="Palatino Linotype"/>
        </w:rPr>
        <w:t xml:space="preserve"> respondió a la solicitud de información en los términos siguientes:</w:t>
      </w:r>
    </w:p>
    <w:p w:rsidR="00BB5537" w:rsidRDefault="00DC714F">
      <w:pPr>
        <w:spacing w:before="240" w:after="240"/>
        <w:ind w:left="567"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rPr>
        <w:t xml:space="preserve"> “</w:t>
      </w:r>
      <w:r>
        <w:rPr>
          <w:rFonts w:ascii="Palatino Linotype" w:eastAsia="Palatino Linotype" w:hAnsi="Palatino Linotype" w:cs="Palatino Linotype"/>
          <w:i/>
          <w:color w:val="000000"/>
        </w:rPr>
        <w:t>En respuesta a la solicitud recibida, nos permitimos hacer de su conocimiento que con fundamento en el art</w:t>
      </w:r>
      <w:r>
        <w:rPr>
          <w:rFonts w:ascii="Palatino Linotype" w:eastAsia="Palatino Linotype" w:hAnsi="Palatino Linotype" w:cs="Palatino Linotype"/>
          <w:i/>
          <w:color w:val="000000"/>
        </w:rPr>
        <w:t>ículo 53, Fracciones: II, V y VI de la Ley de Transparencia y Acceso a la Información Pública del Estado de México y Municipios, le contestamos que:</w:t>
      </w:r>
    </w:p>
    <w:p w:rsidR="00BB5537" w:rsidRDefault="00DC714F">
      <w:pPr>
        <w:spacing w:before="240" w:after="240"/>
        <w:ind w:left="567" w:right="900"/>
        <w:jc w:val="both"/>
        <w:rPr>
          <w:rFonts w:ascii="Palatino Linotype" w:eastAsia="Palatino Linotype" w:hAnsi="Palatino Linotype" w:cs="Palatino Linotype"/>
          <w:i/>
        </w:rPr>
      </w:pPr>
      <w:r>
        <w:rPr>
          <w:rFonts w:ascii="Palatino Linotype" w:eastAsia="Palatino Linotype" w:hAnsi="Palatino Linotype" w:cs="Palatino Linotype"/>
          <w:i/>
          <w:color w:val="000000"/>
        </w:rPr>
        <w:t>Sobre el particular, sírvase encontrar en archivo adjunto copia del oficio número SEDUO-CI-0328/2021, de fecha 25 de marzo de 2021, mediante el cual se detalla lo referente a su petición</w:t>
      </w:r>
      <w:r>
        <w:rPr>
          <w:rFonts w:ascii="Palatino Linotype" w:eastAsia="Palatino Linotype" w:hAnsi="Palatino Linotype" w:cs="Palatino Linotype"/>
          <w:i/>
        </w:rPr>
        <w:t>." (Sic)</w:t>
      </w:r>
    </w:p>
    <w:p w:rsidR="00BB5537" w:rsidRDefault="00DC714F">
      <w:pPr>
        <w:spacing w:before="240" w:after="240"/>
        <w:ind w:right="900"/>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“BITACORA UNIDAD </w:t>
      </w:r>
      <w:proofErr w:type="spellStart"/>
      <w:r>
        <w:rPr>
          <w:rFonts w:ascii="Palatino Linotype" w:eastAsia="Palatino Linotype" w:hAnsi="Palatino Linotype" w:cs="Palatino Linotype"/>
          <w:b/>
          <w:i/>
        </w:rPr>
        <w:t>DEPORTIVA_v.p</w:t>
      </w:r>
      <w:proofErr w:type="spellEnd"/>
      <w:r>
        <w:rPr>
          <w:rFonts w:ascii="Palatino Linotype" w:eastAsia="Palatino Linotype" w:hAnsi="Palatino Linotype" w:cs="Palatino Linotype"/>
          <w:b/>
          <w:i/>
        </w:rPr>
        <w:t xml:space="preserve">. 2.pdf”: </w:t>
      </w:r>
      <w:r>
        <w:rPr>
          <w:rFonts w:ascii="Palatino Linotype" w:eastAsia="Palatino Linotype" w:hAnsi="Palatino Linotype" w:cs="Palatino Linotype"/>
        </w:rPr>
        <w:t>I</w:t>
      </w:r>
      <w:r>
        <w:rPr>
          <w:rFonts w:ascii="Palatino Linotype" w:eastAsia="Palatino Linotype" w:hAnsi="Palatino Linotype" w:cs="Palatino Linotype"/>
        </w:rPr>
        <w:t>ntegrado por treinta y una hojas en formato digital, que hacen referencia a la bitácora electrónica de la obra denominada Modernización de la Unidad Deportiva Arturo Orihuela de Malinalco.</w:t>
      </w:r>
      <w:sdt>
        <w:sdtPr>
          <w:tag w:val="goog_rdk_0"/>
          <w:id w:val="-1047295230"/>
        </w:sdtPr>
        <w:sdtEndPr/>
        <w:sdtContent>
          <w:r>
            <w:rPr>
              <w:rFonts w:ascii="Palatino Linotype" w:eastAsia="Palatino Linotype" w:hAnsi="Palatino Linotype" w:cs="Palatino Linotype"/>
            </w:rPr>
            <w:t xml:space="preserve"> </w:t>
          </w:r>
        </w:sdtContent>
      </w:sdt>
      <w:r>
        <w:rPr>
          <w:rFonts w:ascii="Palatino Linotype" w:eastAsia="Palatino Linotype" w:hAnsi="Palatino Linotype" w:cs="Palatino Linotype"/>
        </w:rPr>
        <w:t xml:space="preserve"> </w:t>
      </w:r>
    </w:p>
    <w:p w:rsidR="00BB5537" w:rsidRDefault="00DC714F">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 “CE-SEDUO-SE-CT-07-2021-021.pdf”: </w:t>
      </w:r>
      <w:r>
        <w:rPr>
          <w:rFonts w:ascii="Palatino Linotype" w:eastAsia="Palatino Linotype" w:hAnsi="Palatino Linotype" w:cs="Palatino Linotype"/>
        </w:rPr>
        <w:t xml:space="preserve">Contiene veintiuna hojas en </w:t>
      </w:r>
      <w:r>
        <w:rPr>
          <w:rFonts w:ascii="Palatino Linotype" w:eastAsia="Palatino Linotype" w:hAnsi="Palatino Linotype" w:cs="Palatino Linotype"/>
        </w:rPr>
        <w:t xml:space="preserve">formato digital, que hacen referencia al Acuerdo de clasificación como información confidencial del Comité de Transparencia de la Secretaría de Desarrollo Urbano y Obra, derivado de </w:t>
      </w:r>
      <w:r>
        <w:rPr>
          <w:rFonts w:ascii="Palatino Linotype" w:eastAsia="Palatino Linotype" w:hAnsi="Palatino Linotype" w:cs="Palatino Linotype"/>
        </w:rPr>
        <w:lastRenderedPageBreak/>
        <w:t>la solicitud de información pública número 00032/SOPEM/IP/2021, de fecha v</w:t>
      </w:r>
      <w:r>
        <w:rPr>
          <w:rFonts w:ascii="Palatino Linotype" w:eastAsia="Palatino Linotype" w:hAnsi="Palatino Linotype" w:cs="Palatino Linotype"/>
        </w:rPr>
        <w:t>einticuatro de marzo de dos mil veintiuno.</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 “BITACORA LIENZO CHARRO_v.p</w:t>
      </w:r>
      <w:proofErr w:type="gramStart"/>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pdf</w:t>
      </w:r>
      <w:proofErr w:type="spellEnd"/>
      <w:proofErr w:type="gramEnd"/>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Contiene siete hojas en formato digital, que hacen referencia a la bitácora electrónica de la obra denominada Techado del Lienzo Charro del Municipio de Malinalco.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“Anexo 2.pdf</w:t>
      </w:r>
      <w:r>
        <w:rPr>
          <w:rFonts w:ascii="Palatino Linotype" w:eastAsia="Palatino Linotype" w:hAnsi="Palatino Linotype" w:cs="Palatino Linotype"/>
          <w:b/>
          <w:i/>
        </w:rPr>
        <w:t xml:space="preserve">”: </w:t>
      </w:r>
      <w:r>
        <w:rPr>
          <w:rFonts w:ascii="Palatino Linotype" w:eastAsia="Palatino Linotype" w:hAnsi="Palatino Linotype" w:cs="Palatino Linotype"/>
        </w:rPr>
        <w:t>Integrado por diez hojas en formato digital, que hacen referencia al Expediente Técnico de la obra denominada Techado del Lienzo Charro del municipio de Malinalco.</w:t>
      </w:r>
    </w:p>
    <w:p w:rsidR="00BB5537" w:rsidRDefault="006628EF">
      <w:pPr>
        <w:spacing w:before="240" w:after="240" w:line="360" w:lineRule="auto"/>
        <w:jc w:val="both"/>
        <w:rPr>
          <w:rFonts w:ascii="Palatino Linotype" w:eastAsia="Palatino Linotype" w:hAnsi="Palatino Linotype" w:cs="Palatino Linotype"/>
        </w:rPr>
      </w:pPr>
      <w:r>
        <w:rPr>
          <w:noProof/>
          <w:lang w:val="es-MX"/>
        </w:rPr>
        <mc:AlternateContent>
          <mc:Choice Requires="wps">
            <w:drawing>
              <wp:anchor distT="0" distB="0" distL="114300" distR="114300" simplePos="0" relativeHeight="251658240" behindDoc="0" locked="0" layoutInCell="1" hidden="0" allowOverlap="1">
                <wp:simplePos x="0" y="0"/>
                <wp:positionH relativeFrom="margin">
                  <wp:align>right</wp:align>
                </wp:positionH>
                <wp:positionV relativeFrom="paragraph">
                  <wp:posOffset>1090296</wp:posOffset>
                </wp:positionV>
                <wp:extent cx="5425440" cy="3192780"/>
                <wp:effectExtent l="0" t="0" r="22860" b="26670"/>
                <wp:wrapNone/>
                <wp:docPr id="72" name="Conector recto de flecha 72"/>
                <wp:cNvGraphicFramePr/>
                <a:graphic xmlns:a="http://schemas.openxmlformats.org/drawingml/2006/main">
                  <a:graphicData uri="http://schemas.microsoft.com/office/word/2010/wordprocessingShape">
                    <wps:wsp>
                      <wps:cNvCnPr/>
                      <wps:spPr>
                        <a:xfrm>
                          <a:off x="0" y="0"/>
                          <a:ext cx="5425440" cy="3192780"/>
                        </a:xfrm>
                        <a:prstGeom prst="straightConnector1">
                          <a:avLst/>
                        </a:prstGeom>
                        <a:noFill/>
                        <a:ln w="9525" cap="flat" cmpd="sng">
                          <a:solidFill>
                            <a:schemeClr val="accent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76F512E9" id="_x0000_t32" coordsize="21600,21600" o:spt="32" o:oned="t" path="m,l21600,21600e" filled="f">
                <v:path arrowok="t" fillok="f" o:connecttype="none"/>
                <o:lock v:ext="edit" shapetype="t"/>
              </v:shapetype>
              <v:shape id="Conector recto de flecha 72" o:spid="_x0000_s1026" type="#_x0000_t32" style="position:absolute;margin-left:376pt;margin-top:85.85pt;width:427.2pt;height:251.4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" strokecolor="#4f81bd [3204]">
                <v:stroke startarrowwidth="narrow" startarrowlength="short" endarrowwidth="narrow" endarrowlength="short"/>
                <w10:wrap anchorx="margin"/>
              </v:shape>
            </w:pict>
          </mc:Fallback>
        </mc:AlternateContent>
      </w:r>
      <w:r w:rsidR="00DC714F">
        <w:rPr>
          <w:rFonts w:ascii="Palatino Linotype" w:eastAsia="Palatino Linotype" w:hAnsi="Palatino Linotype" w:cs="Palatino Linotype"/>
          <w:b/>
          <w:i/>
        </w:rPr>
        <w:t xml:space="preserve">“UT 32-2021.pdf”: </w:t>
      </w:r>
      <w:r w:rsidR="00DC714F">
        <w:rPr>
          <w:rFonts w:ascii="Palatino Linotype" w:eastAsia="Palatino Linotype" w:hAnsi="Palatino Linotype" w:cs="Palatino Linotype"/>
        </w:rPr>
        <w:t>En el que se observan cuatro hojas en formato digital, las cuales conti</w:t>
      </w:r>
      <w:r w:rsidR="00DC714F">
        <w:rPr>
          <w:rFonts w:ascii="Palatino Linotype" w:eastAsia="Palatino Linotype" w:hAnsi="Palatino Linotype" w:cs="Palatino Linotype"/>
        </w:rPr>
        <w:t xml:space="preserve">enen la respuesta por parte de la titular de la Unidad de Transparencia del </w:t>
      </w:r>
      <w:r w:rsidR="00DC714F">
        <w:rPr>
          <w:rFonts w:ascii="Palatino Linotype" w:eastAsia="Palatino Linotype" w:hAnsi="Palatino Linotype" w:cs="Palatino Linotype"/>
          <w:b/>
        </w:rPr>
        <w:t>SUJETO OBLIGADO</w:t>
      </w:r>
      <w:r w:rsidR="00DC714F">
        <w:rPr>
          <w:rFonts w:ascii="Palatino Linotype" w:eastAsia="Palatino Linotype" w:hAnsi="Palatino Linotype" w:cs="Palatino Linotype"/>
        </w:rPr>
        <w:t>.</w:t>
      </w:r>
    </w:p>
    <w:p w:rsidR="00BB5537" w:rsidRDefault="00DC714F">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noProof/>
          <w:lang w:val="es-MX"/>
        </w:rPr>
        <w:lastRenderedPageBreak/>
        <w:drawing>
          <wp:inline distT="0" distB="0" distL="0" distR="0">
            <wp:extent cx="5592415" cy="6819713"/>
            <wp:effectExtent l="0" t="0" r="0" b="0"/>
            <wp:docPr id="74" name="image14.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4.png" descr="Interfaz de usuario gráfica, Texto, Aplicación, Word&#10;&#10;Descripción generada automáticamente"/>
                    <pic:cNvPicPr preferRelativeResize="0"/>
                  </pic:nvPicPr>
                  <pic:blipFill>
                    <a:blip r:embed="rId8"/>
                    <a:srcRect l="29856" t="16249" r="31211" b="12536"/>
                    <a:stretch>
                      <a:fillRect/>
                    </a:stretch>
                  </pic:blipFill>
                  <pic:spPr>
                    <a:xfrm>
                      <a:off x="0" y="0"/>
                      <a:ext cx="5592415" cy="6819713"/>
                    </a:xfrm>
                    <a:prstGeom prst="rect">
                      <a:avLst/>
                    </a:prstGeom>
                    <a:ln/>
                  </pic:spPr>
                </pic:pic>
              </a:graphicData>
            </a:graphic>
          </wp:inline>
        </w:drawing>
      </w:r>
    </w:p>
    <w:p w:rsidR="00BB5537" w:rsidRDefault="00BB5537">
      <w:pPr>
        <w:spacing w:before="240" w:after="240" w:line="360" w:lineRule="auto"/>
        <w:jc w:val="both"/>
        <w:rPr>
          <w:rFonts w:ascii="Palatino Linotype" w:eastAsia="Palatino Linotype" w:hAnsi="Palatino Linotype" w:cs="Palatino Linotype"/>
          <w:b/>
          <w:i/>
        </w:rPr>
      </w:pPr>
    </w:p>
    <w:p w:rsidR="00BB5537" w:rsidRDefault="00DC714F">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noProof/>
          <w:lang w:val="es-MX"/>
        </w:rPr>
        <w:lastRenderedPageBreak/>
        <w:drawing>
          <wp:inline distT="0" distB="0" distL="0" distR="0">
            <wp:extent cx="5602855" cy="6877379"/>
            <wp:effectExtent l="0" t="0" r="0" b="0"/>
            <wp:docPr id="76" name="image6.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Interfaz de usuario gráfica, Texto, Aplicación, Word&#10;&#10;Descripción generada automáticamente"/>
                    <pic:cNvPicPr preferRelativeResize="0"/>
                  </pic:nvPicPr>
                  <pic:blipFill>
                    <a:blip r:embed="rId9"/>
                    <a:srcRect l="29504" t="15192" r="31385" b="12796"/>
                    <a:stretch>
                      <a:fillRect/>
                    </a:stretch>
                  </pic:blipFill>
                  <pic:spPr>
                    <a:xfrm>
                      <a:off x="0" y="0"/>
                      <a:ext cx="5602855" cy="6877379"/>
                    </a:xfrm>
                    <a:prstGeom prst="rect">
                      <a:avLst/>
                    </a:prstGeom>
                    <a:ln/>
                  </pic:spPr>
                </pic:pic>
              </a:graphicData>
            </a:graphic>
          </wp:inline>
        </w:drawing>
      </w:r>
    </w:p>
    <w:p w:rsidR="00BB5537" w:rsidRDefault="00BB5537">
      <w:pPr>
        <w:spacing w:before="240" w:after="240" w:line="360" w:lineRule="auto"/>
        <w:jc w:val="both"/>
        <w:rPr>
          <w:rFonts w:ascii="Palatino Linotype" w:eastAsia="Palatino Linotype" w:hAnsi="Palatino Linotype" w:cs="Palatino Linotype"/>
          <w:b/>
          <w:i/>
        </w:rPr>
      </w:pPr>
    </w:p>
    <w:p w:rsidR="00BB5537" w:rsidRDefault="00DC714F">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noProof/>
          <w:lang w:val="es-MX"/>
        </w:rPr>
        <w:lastRenderedPageBreak/>
        <w:drawing>
          <wp:inline distT="0" distB="0" distL="0" distR="0">
            <wp:extent cx="5573845" cy="6812476"/>
            <wp:effectExtent l="0" t="0" r="0" b="0"/>
            <wp:docPr id="75" name="image13.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3.png" descr="Interfaz de usuario gráfica, Texto, Aplicación, Word&#10;&#10;Descripción generada automáticamente"/>
                    <pic:cNvPicPr preferRelativeResize="0"/>
                  </pic:nvPicPr>
                  <pic:blipFill>
                    <a:blip r:embed="rId10"/>
                    <a:srcRect l="29945" t="15985" r="31212" b="12803"/>
                    <a:stretch>
                      <a:fillRect/>
                    </a:stretch>
                  </pic:blipFill>
                  <pic:spPr>
                    <a:xfrm>
                      <a:off x="0" y="0"/>
                      <a:ext cx="5573845" cy="6812476"/>
                    </a:xfrm>
                    <a:prstGeom prst="rect">
                      <a:avLst/>
                    </a:prstGeom>
                    <a:ln/>
                  </pic:spPr>
                </pic:pic>
              </a:graphicData>
            </a:graphic>
          </wp:inline>
        </w:drawing>
      </w:r>
    </w:p>
    <w:p w:rsidR="00BB5537" w:rsidRDefault="00DC714F">
      <w:pPr>
        <w:spacing w:before="240" w:after="240" w:line="360" w:lineRule="auto"/>
        <w:jc w:val="both"/>
        <w:rPr>
          <w:rFonts w:ascii="Palatino Linotype" w:eastAsia="Palatino Linotype" w:hAnsi="Palatino Linotype" w:cs="Palatino Linotype"/>
          <w:b/>
          <w:i/>
        </w:rPr>
      </w:pPr>
      <w:r>
        <w:rPr>
          <w:rFonts w:ascii="Palatino Linotype" w:eastAsia="Palatino Linotype" w:hAnsi="Palatino Linotype" w:cs="Palatino Linotype"/>
          <w:noProof/>
          <w:lang w:val="es-MX"/>
        </w:rPr>
        <w:lastRenderedPageBreak/>
        <w:drawing>
          <wp:inline distT="0" distB="0" distL="0" distR="0">
            <wp:extent cx="5595190" cy="6802240"/>
            <wp:effectExtent l="0" t="0" r="0" b="0"/>
            <wp:docPr id="78" name="image9.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Interfaz de usuario gráfica, Texto, Aplicación, Word&#10;&#10;Descripción generada automáticamente"/>
                    <pic:cNvPicPr preferRelativeResize="0"/>
                  </pic:nvPicPr>
                  <pic:blipFill>
                    <a:blip r:embed="rId11"/>
                    <a:srcRect l="29945" t="15722" r="30858" b="12798"/>
                    <a:stretch>
                      <a:fillRect/>
                    </a:stretch>
                  </pic:blipFill>
                  <pic:spPr>
                    <a:xfrm>
                      <a:off x="0" y="0"/>
                      <a:ext cx="5595190" cy="6802240"/>
                    </a:xfrm>
                    <a:prstGeom prst="rect">
                      <a:avLst/>
                    </a:prstGeom>
                    <a:ln/>
                  </pic:spPr>
                </pic:pic>
              </a:graphicData>
            </a:graphic>
          </wp:inline>
        </w:drawing>
      </w:r>
    </w:p>
    <w:p w:rsidR="00BB5537" w:rsidRDefault="00BB5537">
      <w:pPr>
        <w:spacing w:before="240" w:after="240" w:line="360" w:lineRule="auto"/>
        <w:jc w:val="both"/>
        <w:rPr>
          <w:rFonts w:ascii="Palatino Linotype" w:eastAsia="Palatino Linotype" w:hAnsi="Palatino Linotype" w:cs="Palatino Linotype"/>
          <w:b/>
          <w:i/>
        </w:rPr>
      </w:pP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“L.CH._ESTIMACIONES Y FACTURAS_v.p</w:t>
      </w:r>
      <w:proofErr w:type="gramStart"/>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pdf</w:t>
      </w:r>
      <w:proofErr w:type="spellEnd"/>
      <w:proofErr w:type="gramEnd"/>
      <w:r>
        <w:rPr>
          <w:rFonts w:ascii="Palatino Linotype" w:eastAsia="Palatino Linotype" w:hAnsi="Palatino Linotype" w:cs="Palatino Linotype"/>
          <w:b/>
          <w:i/>
        </w:rPr>
        <w:t xml:space="preserve">”: </w:t>
      </w:r>
      <w:r>
        <w:rPr>
          <w:rFonts w:ascii="Palatino Linotype" w:eastAsia="Palatino Linotype" w:hAnsi="Palatino Linotype" w:cs="Palatino Linotype"/>
        </w:rPr>
        <w:t>Se trata de cuarenta hojas en formato digital, que hacen referencia al Expediente de 12 estimaciones y sus respectivas facturas de la obra de denominada Techado del Lienzo Charro del municipio de Malinalco.</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“Anexo 1.pdf: </w:t>
      </w:r>
      <w:r>
        <w:rPr>
          <w:rFonts w:ascii="Palatino Linotype" w:eastAsia="Palatino Linotype" w:hAnsi="Palatino Linotype" w:cs="Palatino Linotype"/>
        </w:rPr>
        <w:t xml:space="preserve">Contiene el Expediente Técnico de </w:t>
      </w:r>
      <w:r>
        <w:rPr>
          <w:rFonts w:ascii="Palatino Linotype" w:eastAsia="Palatino Linotype" w:hAnsi="Palatino Linotype" w:cs="Palatino Linotype"/>
        </w:rPr>
        <w:t>la obra denominada Modernización de la Unidad Deportiva Arturo Orihuela de Malinalco.</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“U.D._ESTIMACIONES Y FACTURAS_v.p</w:t>
      </w:r>
      <w:proofErr w:type="gramStart"/>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pdf</w:t>
      </w:r>
      <w:proofErr w:type="spellEnd"/>
      <w:proofErr w:type="gramEnd"/>
      <w:r>
        <w:rPr>
          <w:rFonts w:ascii="Palatino Linotype" w:eastAsia="Palatino Linotype" w:hAnsi="Palatino Linotype" w:cs="Palatino Linotype"/>
          <w:b/>
          <w:i/>
        </w:rPr>
        <w:t xml:space="preserve">”: </w:t>
      </w:r>
      <w:r>
        <w:rPr>
          <w:rFonts w:ascii="Palatino Linotype" w:eastAsia="Palatino Linotype" w:hAnsi="Palatino Linotype" w:cs="Palatino Linotype"/>
        </w:rPr>
        <w:t>Contiene cincuenta y dos hojas en formato digital, que hacen referencia al Expediente de 14 estimaciones y sus respectivas factur</w:t>
      </w:r>
      <w:r>
        <w:rPr>
          <w:rFonts w:ascii="Palatino Linotype" w:eastAsia="Palatino Linotype" w:hAnsi="Palatino Linotype" w:cs="Palatino Linotype"/>
        </w:rPr>
        <w:t>as de la obra denominada Modernización de la Unidad Deportiva Arturo Orihuela de Malinalco.</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i/>
        </w:rPr>
        <w:t xml:space="preserve"> “7A_SE_CT_SEDUO_2021”: </w:t>
      </w:r>
      <w:r>
        <w:rPr>
          <w:rFonts w:ascii="Palatino Linotype" w:eastAsia="Palatino Linotype" w:hAnsi="Palatino Linotype" w:cs="Palatino Linotype"/>
        </w:rPr>
        <w:t>Se trata del Acta de la Séptima Sesión Extraordinaria del Comité de Transparencia de la Secretaria de Desarrollo Urbano y Obra de fecha vein</w:t>
      </w:r>
      <w:r>
        <w:rPr>
          <w:rFonts w:ascii="Palatino Linotype" w:eastAsia="Palatino Linotype" w:hAnsi="Palatino Linotype" w:cs="Palatino Linotype"/>
        </w:rPr>
        <w:t>ticuatro de marzo de dos mil veintiuno.</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4. Interposición del recurso de revisión. </w:t>
      </w:r>
      <w:r>
        <w:rPr>
          <w:rFonts w:ascii="Palatino Linotype" w:eastAsia="Palatino Linotype" w:hAnsi="Palatino Linotype" w:cs="Palatino Linotype"/>
        </w:rPr>
        <w:t xml:space="preserve">Inconforme con los términos de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cinco de abril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w:t>
      </w:r>
      <w:r>
        <w:rPr>
          <w:rFonts w:ascii="Palatino Linotype" w:eastAsia="Palatino Linotype" w:hAnsi="Palatino Linotype" w:cs="Palatino Linotype"/>
          <w:b/>
        </w:rPr>
        <w:t xml:space="preserve">, </w:t>
      </w:r>
      <w:r>
        <w:rPr>
          <w:rFonts w:ascii="Palatino Linotype" w:eastAsia="Palatino Linotype" w:hAnsi="Palatino Linotype" w:cs="Palatino Linotype"/>
        </w:rPr>
        <w:t>manifestán</w:t>
      </w:r>
      <w:r>
        <w:rPr>
          <w:rFonts w:ascii="Palatino Linotype" w:eastAsia="Palatino Linotype" w:hAnsi="Palatino Linotype" w:cs="Palatino Linotype"/>
        </w:rPr>
        <w:t>dose de la siguiente manera:</w:t>
      </w:r>
    </w:p>
    <w:p w:rsidR="00BB5537" w:rsidRDefault="00DC714F">
      <w:pPr>
        <w:numPr>
          <w:ilvl w:val="0"/>
          <w:numId w:val="5"/>
        </w:numPr>
        <w:pBdr>
          <w:top w:val="nil"/>
          <w:left w:val="nil"/>
          <w:bottom w:val="nil"/>
          <w:right w:val="nil"/>
          <w:between w:val="nil"/>
        </w:pBdr>
        <w:spacing w:before="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Acto impugnado: </w:t>
      </w:r>
    </w:p>
    <w:p w:rsidR="00BB5537" w:rsidRDefault="00DC714F" w:rsidP="006628EF">
      <w:pPr>
        <w:pBdr>
          <w:top w:val="nil"/>
          <w:left w:val="nil"/>
          <w:bottom w:val="nil"/>
          <w:right w:val="nil"/>
          <w:between w:val="nil"/>
        </w:pBdr>
        <w:tabs>
          <w:tab w:val="left" w:pos="1134"/>
        </w:tabs>
        <w:ind w:left="851" w:right="616"/>
        <w:jc w:val="both"/>
        <w:rPr>
          <w:rFonts w:ascii="Palatino Linotype" w:eastAsia="Palatino Linotype" w:hAnsi="Palatino Linotype" w:cs="Palatino Linotype"/>
          <w:i/>
          <w:color w:val="000000"/>
          <w:sz w:val="22"/>
          <w:szCs w:val="22"/>
        </w:rPr>
      </w:pPr>
      <w:bookmarkStart w:id="0" w:name="_GoBack"/>
      <w:bookmarkEnd w:id="0"/>
      <w:r>
        <w:rPr>
          <w:rFonts w:ascii="Palatino Linotype" w:eastAsia="Palatino Linotype" w:hAnsi="Palatino Linotype" w:cs="Palatino Linotype"/>
          <w:i/>
          <w:color w:val="000000"/>
          <w:sz w:val="22"/>
          <w:szCs w:val="22"/>
        </w:rPr>
        <w:t xml:space="preserve">“El </w:t>
      </w:r>
      <w:r>
        <w:rPr>
          <w:rFonts w:ascii="Palatino Linotype" w:eastAsia="Palatino Linotype" w:hAnsi="Palatino Linotype" w:cs="Palatino Linotype"/>
          <w:b/>
          <w:i/>
          <w:color w:val="000000"/>
          <w:sz w:val="22"/>
          <w:szCs w:val="22"/>
        </w:rPr>
        <w:t>SUJETO OBLIGADO</w:t>
      </w:r>
      <w:r>
        <w:rPr>
          <w:rFonts w:ascii="Palatino Linotype" w:eastAsia="Palatino Linotype" w:hAnsi="Palatino Linotype" w:cs="Palatino Linotype"/>
          <w:i/>
          <w:color w:val="000000"/>
          <w:sz w:val="22"/>
          <w:szCs w:val="22"/>
        </w:rPr>
        <w:t xml:space="preserve"> entregó una respuesta incompleta debido a lo siguiente: 1) No se entregaron los documentos programáticos que justifiquen la ejecución de las obras; 2)Las bitácoras del "</w:t>
      </w:r>
      <w:r>
        <w:rPr>
          <w:rFonts w:ascii="Palatino Linotype" w:eastAsia="Palatino Linotype" w:hAnsi="Palatino Linotype" w:cs="Palatino Linotype"/>
          <w:i/>
          <w:color w:val="000000"/>
          <w:sz w:val="22"/>
          <w:szCs w:val="22"/>
        </w:rPr>
        <w:t>Techado del lienzo charro" están incompletas y respecto a la "Unidad deportiva" no se adjuntaron.; 3) No se adjuntaron los documentos con base en los cuales se calculó el costo de la obra; 4) Tampoco se adjuntaron los informes del supervisor de obra, así c</w:t>
      </w:r>
      <w:r>
        <w:rPr>
          <w:rFonts w:ascii="Palatino Linotype" w:eastAsia="Palatino Linotype" w:hAnsi="Palatino Linotype" w:cs="Palatino Linotype"/>
          <w:i/>
          <w:color w:val="000000"/>
          <w:sz w:val="22"/>
          <w:szCs w:val="22"/>
        </w:rPr>
        <w:t xml:space="preserve">omo el finiquito, ni fotografías sobre el avance la mismas. Asimismo es menester señalar que la información </w:t>
      </w:r>
      <w:r>
        <w:rPr>
          <w:rFonts w:ascii="Palatino Linotype" w:eastAsia="Palatino Linotype" w:hAnsi="Palatino Linotype" w:cs="Palatino Linotype"/>
          <w:i/>
          <w:color w:val="000000"/>
          <w:sz w:val="22"/>
          <w:szCs w:val="22"/>
        </w:rPr>
        <w:lastRenderedPageBreak/>
        <w:t>solicitada es de interés público y que si está incompleta es imposible garantizar la rendición de cuentas, la transparencia y la eficiencia gubernam</w:t>
      </w:r>
      <w:r>
        <w:rPr>
          <w:rFonts w:ascii="Palatino Linotype" w:eastAsia="Palatino Linotype" w:hAnsi="Palatino Linotype" w:cs="Palatino Linotype"/>
          <w:i/>
          <w:color w:val="000000"/>
          <w:sz w:val="22"/>
          <w:szCs w:val="22"/>
        </w:rPr>
        <w:t>ental. Por tanto, solicito que la autoridad en esta materia obligue al sujeto dicho sujeto a la entrega de la información solicitada bajo el principio de máxima publicidad y derecho a saber.” (Sic)</w:t>
      </w:r>
    </w:p>
    <w:p w:rsidR="00BB5537" w:rsidRDefault="00BB5537">
      <w:pPr>
        <w:pBdr>
          <w:top w:val="nil"/>
          <w:left w:val="nil"/>
          <w:bottom w:val="nil"/>
          <w:right w:val="nil"/>
          <w:between w:val="nil"/>
        </w:pBdr>
        <w:tabs>
          <w:tab w:val="left" w:pos="567"/>
        </w:tabs>
        <w:ind w:left="567" w:right="1041"/>
        <w:jc w:val="both"/>
        <w:rPr>
          <w:rFonts w:ascii="Palatino Linotype" w:eastAsia="Palatino Linotype" w:hAnsi="Palatino Linotype" w:cs="Palatino Linotype"/>
          <w:b/>
          <w:color w:val="000000"/>
          <w:sz w:val="22"/>
          <w:szCs w:val="22"/>
        </w:rPr>
      </w:pPr>
    </w:p>
    <w:p w:rsidR="00BB5537" w:rsidRDefault="00DC714F">
      <w:pPr>
        <w:numPr>
          <w:ilvl w:val="0"/>
          <w:numId w:val="5"/>
        </w:numPr>
        <w:pBdr>
          <w:top w:val="nil"/>
          <w:left w:val="nil"/>
          <w:bottom w:val="nil"/>
          <w:right w:val="nil"/>
          <w:between w:val="nil"/>
        </w:pBdr>
        <w:tabs>
          <w:tab w:val="left" w:pos="567"/>
        </w:tabs>
        <w:ind w:right="1041"/>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 Razones o motivos de inconformidad: </w:t>
      </w:r>
    </w:p>
    <w:p w:rsidR="00BB5537" w:rsidRDefault="00BB5537">
      <w:pPr>
        <w:pBdr>
          <w:top w:val="nil"/>
          <w:left w:val="nil"/>
          <w:bottom w:val="nil"/>
          <w:right w:val="nil"/>
          <w:between w:val="nil"/>
        </w:pBdr>
        <w:tabs>
          <w:tab w:val="left" w:pos="567"/>
        </w:tabs>
        <w:ind w:left="720" w:right="1041"/>
        <w:jc w:val="both"/>
        <w:rPr>
          <w:rFonts w:ascii="Palatino Linotype" w:eastAsia="Palatino Linotype" w:hAnsi="Palatino Linotype" w:cs="Palatino Linotype"/>
          <w:b/>
          <w:i/>
          <w:color w:val="000000"/>
        </w:rPr>
      </w:pPr>
    </w:p>
    <w:p w:rsidR="00BB5537" w:rsidRDefault="00DC714F">
      <w:pPr>
        <w:pBdr>
          <w:top w:val="nil"/>
          <w:left w:val="nil"/>
          <w:bottom w:val="nil"/>
          <w:right w:val="nil"/>
          <w:between w:val="nil"/>
        </w:pBdr>
        <w:tabs>
          <w:tab w:val="left" w:pos="567"/>
        </w:tabs>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w:t>
      </w:r>
      <w:r>
        <w:rPr>
          <w:rFonts w:ascii="Palatino Linotype" w:eastAsia="Palatino Linotype" w:hAnsi="Palatino Linotype" w:cs="Palatino Linotype"/>
          <w:b/>
          <w:i/>
          <w:color w:val="000000"/>
          <w:sz w:val="22"/>
          <w:szCs w:val="22"/>
        </w:rPr>
        <w:t>SUJETO OBLIGADO</w:t>
      </w:r>
      <w:r>
        <w:rPr>
          <w:rFonts w:ascii="Palatino Linotype" w:eastAsia="Palatino Linotype" w:hAnsi="Palatino Linotype" w:cs="Palatino Linotype"/>
          <w:i/>
          <w:color w:val="000000"/>
          <w:sz w:val="22"/>
          <w:szCs w:val="22"/>
        </w:rPr>
        <w:t xml:space="preserve"> entregó una respuesta incompleta debido a lo siguiente: 1) No se entregaron los documentos programáticos que justifiquen la ejecución de las obras; 2)Las bitácoras del "Techado del lienzo charro" están incompletas y respecto a la "Unidad de</w:t>
      </w:r>
      <w:r>
        <w:rPr>
          <w:rFonts w:ascii="Palatino Linotype" w:eastAsia="Palatino Linotype" w:hAnsi="Palatino Linotype" w:cs="Palatino Linotype"/>
          <w:i/>
          <w:color w:val="000000"/>
          <w:sz w:val="22"/>
          <w:szCs w:val="22"/>
        </w:rPr>
        <w:t>portiva" no se adjuntaron.; 3) No se adjuntaron los documentos con base en los cuales se calculó el costo de la obra; 4) Tampoco se adjuntaron los informes del supervisor de obra, así como el finiquito, ni fotografías sobre el avance la mismas. Asimismo es</w:t>
      </w:r>
      <w:r>
        <w:rPr>
          <w:rFonts w:ascii="Palatino Linotype" w:eastAsia="Palatino Linotype" w:hAnsi="Palatino Linotype" w:cs="Palatino Linotype"/>
          <w:i/>
          <w:color w:val="000000"/>
          <w:sz w:val="22"/>
          <w:szCs w:val="22"/>
        </w:rPr>
        <w:t xml:space="preserve"> menester señalar que la información solicitada es de interés público y que si está incompleta es imposible garantizar la rendición de cuentas, la transparencia y la eficiencia gubernamental. Por tanto, solicito que la autoridad en esta materia obligue al </w:t>
      </w:r>
      <w:r>
        <w:rPr>
          <w:rFonts w:ascii="Palatino Linotype" w:eastAsia="Palatino Linotype" w:hAnsi="Palatino Linotype" w:cs="Palatino Linotype"/>
          <w:i/>
          <w:color w:val="000000"/>
          <w:sz w:val="22"/>
          <w:szCs w:val="22"/>
        </w:rPr>
        <w:t>sujeto dicho sujeto a la entrega de la información solicitada bajo el principio de máxima publicidad y derecho a saber.” (Sic)</w:t>
      </w:r>
    </w:p>
    <w:p w:rsidR="00BB5537" w:rsidRDefault="00BB5537">
      <w:pPr>
        <w:pBdr>
          <w:top w:val="nil"/>
          <w:left w:val="nil"/>
          <w:bottom w:val="nil"/>
          <w:right w:val="nil"/>
          <w:between w:val="nil"/>
        </w:pBdr>
        <w:spacing w:after="240"/>
        <w:ind w:left="720" w:right="902"/>
        <w:jc w:val="both"/>
        <w:rPr>
          <w:rFonts w:ascii="Palatino Linotype" w:eastAsia="Palatino Linotype" w:hAnsi="Palatino Linotype" w:cs="Palatino Linotype"/>
          <w:i/>
          <w:color w:val="000000"/>
          <w:sz w:val="22"/>
          <w:szCs w:val="22"/>
        </w:rPr>
      </w:pP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 xml:space="preserve">De conformidad con el artículo 185 fracción I de la Ley de Transparencia y Acceso a la Información Pública del Estado </w:t>
      </w:r>
      <w:r>
        <w:rPr>
          <w:rFonts w:ascii="Palatino Linotype" w:eastAsia="Palatino Linotype" w:hAnsi="Palatino Linotype" w:cs="Palatino Linotype"/>
        </w:rPr>
        <w:t xml:space="preserve">de México y Municipios vigente, en fecha </w:t>
      </w:r>
      <w:r>
        <w:rPr>
          <w:rFonts w:ascii="Palatino Linotype" w:eastAsia="Palatino Linotype" w:hAnsi="Palatino Linotype" w:cs="Palatino Linotype"/>
          <w:b/>
        </w:rPr>
        <w:t>cinco de abril de dos mil veintiuno</w:t>
      </w:r>
      <w:r>
        <w:rPr>
          <w:rFonts w:ascii="Palatino Linotype" w:eastAsia="Palatino Linotype" w:hAnsi="Palatino Linotype" w:cs="Palatino Linotype"/>
        </w:rPr>
        <w:t>, se turnó por el sistema electrónico del Instituto</w:t>
      </w:r>
      <w:r>
        <w:rPr>
          <w:rFonts w:ascii="Palatino Linotype" w:eastAsia="Palatino Linotype" w:hAnsi="Palatino Linotype" w:cs="Palatino Linotype"/>
          <w:b/>
        </w:rPr>
        <w:t xml:space="preserve"> </w:t>
      </w:r>
      <w:r>
        <w:rPr>
          <w:rFonts w:ascii="Palatino Linotype" w:eastAsia="Palatino Linotype" w:hAnsi="Palatino Linotype" w:cs="Palatino Linotype"/>
        </w:rPr>
        <w:t>de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Transparencia, Acceso a la Información Pública y Protección de Datos Personales del Estado de México y Municipios el recurso de revisión </w:t>
      </w:r>
      <w:r>
        <w:rPr>
          <w:rFonts w:ascii="Palatino Linotype" w:eastAsia="Palatino Linotype" w:hAnsi="Palatino Linotype" w:cs="Palatino Linotype"/>
          <w:b/>
        </w:rPr>
        <w:t xml:space="preserve">01514/INFOEM/IP/RR/2021 </w:t>
      </w:r>
      <w:r>
        <w:rPr>
          <w:rFonts w:ascii="Palatino Linotype" w:eastAsia="Palatino Linotype" w:hAnsi="Palatino Linotype" w:cs="Palatino Linotype"/>
        </w:rPr>
        <w:t xml:space="preserve">al entonces </w:t>
      </w:r>
      <w:r>
        <w:rPr>
          <w:rFonts w:ascii="Palatino Linotype" w:eastAsia="Palatino Linotype" w:hAnsi="Palatino Linotype" w:cs="Palatino Linotype"/>
          <w:b/>
        </w:rPr>
        <w:t>Comisionado Javier Martínez Cruz</w:t>
      </w:r>
      <w:r>
        <w:rPr>
          <w:rFonts w:ascii="Palatino Linotype" w:eastAsia="Palatino Linotype" w:hAnsi="Palatino Linotype" w:cs="Palatino Linotype"/>
        </w:rPr>
        <w:t xml:space="preserve">, a efecto de que analizara sobre su admisión o su </w:t>
      </w:r>
      <w:r>
        <w:rPr>
          <w:rFonts w:ascii="Palatino Linotype" w:eastAsia="Palatino Linotype" w:hAnsi="Palatino Linotype" w:cs="Palatino Linotype"/>
        </w:rPr>
        <w:t>desechamiento.</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rPr>
        <w:t xml:space="preserve"> Con fecha</w:t>
      </w:r>
      <w:r>
        <w:rPr>
          <w:rFonts w:ascii="Palatino Linotype" w:eastAsia="Palatino Linotype" w:hAnsi="Palatino Linotype" w:cs="Palatino Linotype"/>
          <w:b/>
        </w:rPr>
        <w:t xml:space="preserve"> ocho de abril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w:t>
      </w:r>
      <w:r>
        <w:rPr>
          <w:rFonts w:ascii="Palatino Linotype" w:eastAsia="Palatino Linotype" w:hAnsi="Palatino Linotype" w:cs="Palatino Linotype"/>
        </w:rPr>
        <w:t xml:space="preserve">rso de revisión que ahora se resuelve, dando un plazo máximo de siete días hábiles para </w:t>
      </w:r>
      <w:r>
        <w:rPr>
          <w:rFonts w:ascii="Palatino Linotype" w:eastAsia="Palatino Linotype" w:hAnsi="Palatino Linotype" w:cs="Palatino Linotype"/>
        </w:rPr>
        <w:lastRenderedPageBreak/>
        <w:t xml:space="preserve">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w:t>
      </w:r>
      <w:r>
        <w:rPr>
          <w:rFonts w:ascii="Palatino Linotype" w:eastAsia="Palatino Linotype" w:hAnsi="Palatino Linotype" w:cs="Palatino Linotype"/>
          <w:b/>
        </w:rPr>
        <w:t>. Manifestaciones</w:t>
      </w:r>
      <w:r>
        <w:rPr>
          <w:rFonts w:ascii="Palatino Linotype" w:eastAsia="Palatino Linotype" w:hAnsi="Palatino Linotype" w:cs="Palatino Linotype"/>
        </w:rPr>
        <w:t xml:space="preserve">. De las constancias que obran agregadas en el expediente electrónico al rubro citado, se tiene que el diecinueve de abril de dos mil veintiuno,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 informe justificado a través del archivo electrónico </w:t>
      </w:r>
      <w:r>
        <w:rPr>
          <w:rFonts w:ascii="Palatino Linotype" w:eastAsia="Palatino Linotype" w:hAnsi="Palatino Linotype" w:cs="Palatino Linotype"/>
          <w:b/>
          <w:i/>
        </w:rPr>
        <w:t xml:space="preserve"> “Informe j</w:t>
      </w:r>
      <w:r>
        <w:rPr>
          <w:rFonts w:ascii="Palatino Linotype" w:eastAsia="Palatino Linotype" w:hAnsi="Palatino Linotype" w:cs="Palatino Linotype"/>
          <w:b/>
          <w:i/>
        </w:rPr>
        <w:t xml:space="preserve">ustificado 01514-2021; </w:t>
      </w:r>
      <w:r>
        <w:rPr>
          <w:rFonts w:ascii="Palatino Linotype" w:eastAsia="Palatino Linotype" w:hAnsi="Palatino Linotype" w:cs="Palatino Linotype"/>
        </w:rPr>
        <w:t>del mismo modo, los documentos identificados como</w:t>
      </w:r>
      <w:r>
        <w:rPr>
          <w:rFonts w:ascii="Palatino Linotype" w:eastAsia="Palatino Linotype" w:hAnsi="Palatino Linotype" w:cs="Palatino Linotype"/>
          <w:b/>
          <w:i/>
        </w:rPr>
        <w:t xml:space="preserve"> “7A_SE_CT_SEDUO_2021”, “CE-SEDUO-SE-CT-07-2021-021.pdf”, “UT 32-2021.pdf”, “L.CH._ESTIMACIONES Y FACTURAS_v.p</w:t>
      </w:r>
      <w:proofErr w:type="gramStart"/>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pdf</w:t>
      </w:r>
      <w:proofErr w:type="spellEnd"/>
      <w:proofErr w:type="gramEnd"/>
      <w:r>
        <w:rPr>
          <w:rFonts w:ascii="Palatino Linotype" w:eastAsia="Palatino Linotype" w:hAnsi="Palatino Linotype" w:cs="Palatino Linotype"/>
          <w:b/>
          <w:i/>
        </w:rPr>
        <w:t>”, “U.D._ESTIMACIONES Y FACTURAS_v.p..</w:t>
      </w:r>
      <w:proofErr w:type="spellStart"/>
      <w:proofErr w:type="gramStart"/>
      <w:r>
        <w:rPr>
          <w:rFonts w:ascii="Palatino Linotype" w:eastAsia="Palatino Linotype" w:hAnsi="Palatino Linotype" w:cs="Palatino Linotype"/>
          <w:b/>
          <w:i/>
        </w:rPr>
        <w:t>pdf</w:t>
      </w:r>
      <w:proofErr w:type="spellEnd"/>
      <w:proofErr w:type="gramEnd"/>
      <w:r>
        <w:rPr>
          <w:rFonts w:ascii="Palatino Linotype" w:eastAsia="Palatino Linotype" w:hAnsi="Palatino Linotype" w:cs="Palatino Linotype"/>
          <w:b/>
          <w:i/>
        </w:rPr>
        <w:t>”, “Anexo 2.pdf”, “Anexo 1.p</w:t>
      </w:r>
      <w:r>
        <w:rPr>
          <w:rFonts w:ascii="Palatino Linotype" w:eastAsia="Palatino Linotype" w:hAnsi="Palatino Linotype" w:cs="Palatino Linotype"/>
          <w:b/>
          <w:i/>
        </w:rPr>
        <w:t>df”, “BITACORA LIENZO CHARRO_v.p..</w:t>
      </w:r>
      <w:proofErr w:type="spellStart"/>
      <w:proofErr w:type="gramStart"/>
      <w:r>
        <w:rPr>
          <w:rFonts w:ascii="Palatino Linotype" w:eastAsia="Palatino Linotype" w:hAnsi="Palatino Linotype" w:cs="Palatino Linotype"/>
          <w:b/>
          <w:i/>
        </w:rPr>
        <w:t>pdf</w:t>
      </w:r>
      <w:proofErr w:type="spellEnd"/>
      <w:proofErr w:type="gramEnd"/>
      <w:r>
        <w:rPr>
          <w:rFonts w:ascii="Palatino Linotype" w:eastAsia="Palatino Linotype" w:hAnsi="Palatino Linotype" w:cs="Palatino Linotype"/>
          <w:b/>
          <w:i/>
        </w:rPr>
        <w:t xml:space="preserve">”, “BITACORA UNIDAD </w:t>
      </w:r>
      <w:proofErr w:type="spellStart"/>
      <w:r>
        <w:rPr>
          <w:rFonts w:ascii="Palatino Linotype" w:eastAsia="Palatino Linotype" w:hAnsi="Palatino Linotype" w:cs="Palatino Linotype"/>
          <w:b/>
          <w:i/>
        </w:rPr>
        <w:t>DEPORTIVA_v.p</w:t>
      </w:r>
      <w:proofErr w:type="spellEnd"/>
      <w:r>
        <w:rPr>
          <w:rFonts w:ascii="Palatino Linotype" w:eastAsia="Palatino Linotype" w:hAnsi="Palatino Linotype" w:cs="Palatino Linotype"/>
          <w:b/>
          <w:i/>
        </w:rPr>
        <w:t xml:space="preserve">. 2.pdf”; </w:t>
      </w:r>
      <w:r>
        <w:rPr>
          <w:rFonts w:ascii="Palatino Linotype" w:eastAsia="Palatino Linotype" w:hAnsi="Palatino Linotype" w:cs="Palatino Linotype"/>
        </w:rPr>
        <w:t xml:space="preserve">los cuales,  la Secretaría de Obra Pública entregó en su respuesta inicial. </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Asimismo,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los documentos novedosos que se describen en el siguiente orde</w:t>
      </w:r>
      <w:r>
        <w:rPr>
          <w:rFonts w:ascii="Palatino Linotype" w:eastAsia="Palatino Linotype" w:hAnsi="Palatino Linotype" w:cs="Palatino Linotype"/>
        </w:rPr>
        <w:t xml:space="preserve">n: </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“RESP UT 00032 SOPEM DFCOP.pdf: </w:t>
      </w:r>
      <w:r>
        <w:rPr>
          <w:rFonts w:ascii="Palatino Linotype" w:eastAsia="Palatino Linotype" w:hAnsi="Palatino Linotype" w:cs="Palatino Linotype"/>
        </w:rPr>
        <w:t>Integrado por cuatro fojas en las que se observan los oficio 22400104ª/0248/2021 y 22400104A/0249/2021  de fecha veintidós de marzo de dos mil veintiuno, suscritos por la Directora General de Construcción y Obra Pública,</w:t>
      </w:r>
      <w:r>
        <w:rPr>
          <w:rFonts w:ascii="Palatino Linotype" w:eastAsia="Palatino Linotype" w:hAnsi="Palatino Linotype" w:cs="Palatino Linotype"/>
        </w:rPr>
        <w:t xml:space="preserve"> en los que, en su parte sustantiva informó que esa Unidad Administrativa no cuenta con documentos que comprueben la necesidad de la ejecución de las obras referidas en la solicitud; asimismo, manifestó que cuenta con las </w:t>
      </w:r>
      <w:r>
        <w:rPr>
          <w:rFonts w:ascii="Palatino Linotype" w:eastAsia="Palatino Linotype" w:hAnsi="Palatino Linotype" w:cs="Palatino Linotype"/>
          <w:u w:val="single"/>
        </w:rPr>
        <w:t xml:space="preserve">bitácoras, las cuales constituyen </w:t>
      </w:r>
      <w:r>
        <w:rPr>
          <w:rFonts w:ascii="Palatino Linotype" w:eastAsia="Palatino Linotype" w:hAnsi="Palatino Linotype" w:cs="Palatino Linotype"/>
          <w:u w:val="single"/>
        </w:rPr>
        <w:t>el informe de supervisión</w:t>
      </w:r>
      <w:r>
        <w:rPr>
          <w:rFonts w:ascii="Palatino Linotype" w:eastAsia="Palatino Linotype" w:hAnsi="Palatino Linotype" w:cs="Palatino Linotype"/>
        </w:rPr>
        <w:t xml:space="preserve">. </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lastRenderedPageBreak/>
        <w:t xml:space="preserve">“T. DGPCYC 32-31.pdf”: </w:t>
      </w:r>
      <w:r>
        <w:rPr>
          <w:rFonts w:ascii="Palatino Linotype" w:eastAsia="Palatino Linotype" w:hAnsi="Palatino Linotype" w:cs="Palatino Linotype"/>
        </w:rPr>
        <w:t>Oficio número SEDU-CI-0130/2021, del 22 de febrero de 2021, suscrito por la Titular de la Unidad de Transparencia, dirigido al Director General de Proyectos, Concursos y Contratos, por medio del cual, soli</w:t>
      </w:r>
      <w:r>
        <w:rPr>
          <w:rFonts w:ascii="Palatino Linotype" w:eastAsia="Palatino Linotype" w:hAnsi="Palatino Linotype" w:cs="Palatino Linotype"/>
        </w:rPr>
        <w:t xml:space="preserve">citó que realizara una búsqueda exhaustiva y razonable en las unidades administrativa a su cargo que pudieran contar con la información solicitada. </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“T. DGPCOP 32-31.pdf”: </w:t>
      </w:r>
      <w:r>
        <w:rPr>
          <w:rFonts w:ascii="Palatino Linotype" w:eastAsia="Palatino Linotype" w:hAnsi="Palatino Linotype" w:cs="Palatino Linotype"/>
        </w:rPr>
        <w:t xml:space="preserve">Oficio número SEDU-CI-0131/2021, del 22 de febrero de 2021, suscrito por la Titular </w:t>
      </w:r>
      <w:r>
        <w:rPr>
          <w:rFonts w:ascii="Palatino Linotype" w:eastAsia="Palatino Linotype" w:hAnsi="Palatino Linotype" w:cs="Palatino Linotype"/>
        </w:rPr>
        <w:t>de la Unidad de Transparencia, dirigido al Director General de Construcción de Obra Pública, por medio del cual, solicitó que realizara una búsqueda exhaustiva y razonable en las unidades administrativa a su cargo que pudieran contar con la información sol</w:t>
      </w:r>
      <w:r>
        <w:rPr>
          <w:rFonts w:ascii="Palatino Linotype" w:eastAsia="Palatino Linotype" w:hAnsi="Palatino Linotype" w:cs="Palatino Linotype"/>
        </w:rPr>
        <w:t xml:space="preserve">icitada. </w:t>
      </w:r>
    </w:p>
    <w:p w:rsidR="00BB5537" w:rsidRDefault="00DC714F">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resp</w:t>
      </w:r>
      <w:proofErr w:type="spellEnd"/>
      <w:r>
        <w:rPr>
          <w:rFonts w:ascii="Palatino Linotype" w:eastAsia="Palatino Linotype" w:hAnsi="Palatino Linotype" w:cs="Palatino Linotype"/>
          <w:b/>
          <w:i/>
        </w:rPr>
        <w:t xml:space="preserve"> ut 032 DGPCC24-03-2021-170203.pdf”: </w:t>
      </w:r>
      <w:r>
        <w:rPr>
          <w:rFonts w:ascii="Palatino Linotype" w:eastAsia="Palatino Linotype" w:hAnsi="Palatino Linotype" w:cs="Palatino Linotype"/>
        </w:rPr>
        <w:t>Oficio 22400103A000000/426/2021, de fecha veintitrés de marzo de 2021, suscrito por el Director General de Proyectos, Concursos y Contratos, dirigido al Titular de la Unidad de Transparencia en el que inf</w:t>
      </w:r>
      <w:r>
        <w:rPr>
          <w:rFonts w:ascii="Palatino Linotype" w:eastAsia="Palatino Linotype" w:hAnsi="Palatino Linotype" w:cs="Palatino Linotype"/>
        </w:rPr>
        <w:t xml:space="preserve">ormó que no se localizó información al respecto; sin embargo proporcionó el anexo 1 y 2 en los que se observan los criterios sociales consistentes en </w:t>
      </w:r>
      <w:r>
        <w:rPr>
          <w:rFonts w:ascii="Palatino Linotype" w:eastAsia="Palatino Linotype" w:hAnsi="Palatino Linotype" w:cs="Palatino Linotype"/>
          <w:i/>
        </w:rPr>
        <w:t xml:space="preserve">“recuperación de espacios deportivos para la comunidad de Malinalco” </w:t>
      </w:r>
      <w:r>
        <w:rPr>
          <w:rFonts w:ascii="Palatino Linotype" w:eastAsia="Palatino Linotype" w:hAnsi="Palatino Linotype" w:cs="Palatino Linotype"/>
        </w:rPr>
        <w:t xml:space="preserve">y </w:t>
      </w:r>
      <w:r>
        <w:rPr>
          <w:rFonts w:ascii="Palatino Linotype" w:eastAsia="Palatino Linotype" w:hAnsi="Palatino Linotype" w:cs="Palatino Linotype"/>
          <w:i/>
        </w:rPr>
        <w:t>“mejorar las condiciones con techad</w:t>
      </w:r>
      <w:r>
        <w:rPr>
          <w:rFonts w:ascii="Palatino Linotype" w:eastAsia="Palatino Linotype" w:hAnsi="Palatino Linotype" w:cs="Palatino Linotype"/>
          <w:i/>
        </w:rPr>
        <w:t xml:space="preserve">o para el lienzo; </w:t>
      </w:r>
      <w:r>
        <w:rPr>
          <w:rFonts w:ascii="Palatino Linotype" w:eastAsia="Palatino Linotype" w:hAnsi="Palatino Linotype" w:cs="Palatino Linotype"/>
        </w:rPr>
        <w:t xml:space="preserve">asimismo  refirió la entrega de estimaciones y facturas de las obras requeridas; y en relación a las fechas de ejecución señalo que: </w:t>
      </w:r>
      <w:r>
        <w:rPr>
          <w:rFonts w:ascii="Palatino Linotype" w:eastAsia="Palatino Linotype" w:hAnsi="Palatino Linotype" w:cs="Palatino Linotype"/>
          <w:i/>
        </w:rPr>
        <w:t xml:space="preserve">”para la Modernización de la Unidad Deportiva Arturo </w:t>
      </w:r>
      <w:proofErr w:type="spellStart"/>
      <w:r>
        <w:rPr>
          <w:rFonts w:ascii="Palatino Linotype" w:eastAsia="Palatino Linotype" w:hAnsi="Palatino Linotype" w:cs="Palatino Linotype"/>
          <w:i/>
        </w:rPr>
        <w:t>Orhuela</w:t>
      </w:r>
      <w:proofErr w:type="spellEnd"/>
      <w:r>
        <w:rPr>
          <w:rFonts w:ascii="Palatino Linotype" w:eastAsia="Palatino Linotype" w:hAnsi="Palatino Linotype" w:cs="Palatino Linotype"/>
          <w:i/>
        </w:rPr>
        <w:t xml:space="preserve">, originalmente fue del </w:t>
      </w:r>
      <w:r>
        <w:rPr>
          <w:rFonts w:ascii="Palatino Linotype" w:eastAsia="Palatino Linotype" w:hAnsi="Palatino Linotype" w:cs="Palatino Linotype"/>
          <w:b/>
          <w:i/>
          <w:u w:val="single"/>
        </w:rPr>
        <w:t>trece de diciembre de</w:t>
      </w:r>
      <w:r>
        <w:rPr>
          <w:rFonts w:ascii="Palatino Linotype" w:eastAsia="Palatino Linotype" w:hAnsi="Palatino Linotype" w:cs="Palatino Linotype"/>
          <w:b/>
          <w:i/>
          <w:u w:val="single"/>
        </w:rPr>
        <w:t xml:space="preserve"> dos mil dieciocho al veintidós de marzo de dos mil diecinueve</w:t>
      </w:r>
      <w:r>
        <w:rPr>
          <w:rFonts w:ascii="Palatino Linotype" w:eastAsia="Palatino Linotype" w:hAnsi="Palatino Linotype" w:cs="Palatino Linotype"/>
          <w:i/>
        </w:rPr>
        <w:t xml:space="preserve"> y del Techado del Lienzo Charro del Municipio de Malinalco del </w:t>
      </w:r>
      <w:r>
        <w:rPr>
          <w:rFonts w:ascii="Palatino Linotype" w:eastAsia="Palatino Linotype" w:hAnsi="Palatino Linotype" w:cs="Palatino Linotype"/>
          <w:b/>
          <w:i/>
          <w:u w:val="single"/>
        </w:rPr>
        <w:t>trece de diciembre de dos mil dieciocho al once de abril de dos mil diecinueve.</w:t>
      </w:r>
      <w:r>
        <w:rPr>
          <w:rFonts w:ascii="Palatino Linotype" w:eastAsia="Palatino Linotype" w:hAnsi="Palatino Linotype" w:cs="Palatino Linotype"/>
          <w:i/>
        </w:rPr>
        <w:t xml:space="preserve"> </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i/>
        </w:rPr>
        <w:t xml:space="preserve">Cabe hacer mención que mediante </w:t>
      </w:r>
      <w:r>
        <w:rPr>
          <w:rFonts w:ascii="Palatino Linotype" w:eastAsia="Palatino Linotype" w:hAnsi="Palatino Linotype" w:cs="Palatino Linotype"/>
          <w:b/>
          <w:i/>
        </w:rPr>
        <w:t>convenio modifica</w:t>
      </w:r>
      <w:r>
        <w:rPr>
          <w:rFonts w:ascii="Palatino Linotype" w:eastAsia="Palatino Linotype" w:hAnsi="Palatino Linotype" w:cs="Palatino Linotype"/>
          <w:b/>
          <w:i/>
        </w:rPr>
        <w:t>torio</w:t>
      </w:r>
      <w:r>
        <w:rPr>
          <w:rFonts w:ascii="Palatino Linotype" w:eastAsia="Palatino Linotype" w:hAnsi="Palatino Linotype" w:cs="Palatino Linotype"/>
          <w:i/>
        </w:rPr>
        <w:t xml:space="preserve"> respecto al programa de ejecución las fechas respecto al Techado del Lienzo Charro fueron, del </w:t>
      </w:r>
      <w:r>
        <w:rPr>
          <w:rFonts w:ascii="Palatino Linotype" w:eastAsia="Palatino Linotype" w:hAnsi="Palatino Linotype" w:cs="Palatino Linotype"/>
          <w:b/>
          <w:i/>
          <w:u w:val="single"/>
        </w:rPr>
        <w:t xml:space="preserve">trece de marzo al </w:t>
      </w:r>
      <w:r>
        <w:rPr>
          <w:rFonts w:ascii="Palatino Linotype" w:eastAsia="Palatino Linotype" w:hAnsi="Palatino Linotype" w:cs="Palatino Linotype"/>
          <w:b/>
          <w:i/>
          <w:u w:val="single"/>
        </w:rPr>
        <w:lastRenderedPageBreak/>
        <w:t>diez de julio de dos mil diecinueve</w:t>
      </w:r>
      <w:r>
        <w:rPr>
          <w:rFonts w:ascii="Palatino Linotype" w:eastAsia="Palatino Linotype" w:hAnsi="Palatino Linotype" w:cs="Palatino Linotype"/>
          <w:i/>
        </w:rPr>
        <w:t xml:space="preserve">; y de la Unidad Deportiva Arturo Orihuela del Municipio de Malinalco, </w:t>
      </w:r>
      <w:r>
        <w:rPr>
          <w:rFonts w:ascii="Palatino Linotype" w:eastAsia="Palatino Linotype" w:hAnsi="Palatino Linotype" w:cs="Palatino Linotype"/>
          <w:b/>
          <w:i/>
          <w:u w:val="single"/>
        </w:rPr>
        <w:t>del seis de febrero al dieciséis de mayo de dos mil diecinueve</w:t>
      </w:r>
      <w:r>
        <w:rPr>
          <w:rFonts w:ascii="Palatino Linotype" w:eastAsia="Palatino Linotype" w:hAnsi="Palatino Linotype" w:cs="Palatino Linotype"/>
          <w:i/>
        </w:rPr>
        <w:t>.”</w:t>
      </w:r>
    </w:p>
    <w:p w:rsidR="00BB5537" w:rsidRDefault="00DC714F">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“T. RR DGCOP 32-21.pdf”: </w:t>
      </w:r>
      <w:r>
        <w:rPr>
          <w:rFonts w:ascii="Palatino Linotype" w:eastAsia="Palatino Linotype" w:hAnsi="Palatino Linotype" w:cs="Palatino Linotype"/>
        </w:rPr>
        <w:t>Oficio número SEDUO-CI-0354/2021, del 05 de abril de 2021, suscrito por la Titular de la Unidad de Transparencia, dirigido al Director General de Construcción de Obra Pública, por medio del cual, solicitó que proporcionara las manifestaciones que a su dere</w:t>
      </w:r>
      <w:r>
        <w:rPr>
          <w:rFonts w:ascii="Palatino Linotype" w:eastAsia="Palatino Linotype" w:hAnsi="Palatino Linotype" w:cs="Palatino Linotype"/>
        </w:rPr>
        <w:t xml:space="preserve">cho convinieran respecto de las razone o motivos de inconformidad. </w:t>
      </w:r>
    </w:p>
    <w:p w:rsidR="00BB5537" w:rsidRDefault="00DC714F">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b/>
          <w:i/>
        </w:rPr>
        <w:t xml:space="preserve">“T. RR DGPCYC 32-21.pdf”: </w:t>
      </w:r>
      <w:r>
        <w:rPr>
          <w:rFonts w:ascii="Palatino Linotype" w:eastAsia="Palatino Linotype" w:hAnsi="Palatino Linotype" w:cs="Palatino Linotype"/>
        </w:rPr>
        <w:t>Oficio número SEDUO-CI-0353/2021, del 05 de abril de 2021, suscrito por la Titular de la Unidad de Transparencia, dirigido al Director General de Proyectos, Concu</w:t>
      </w:r>
      <w:r>
        <w:rPr>
          <w:rFonts w:ascii="Palatino Linotype" w:eastAsia="Palatino Linotype" w:hAnsi="Palatino Linotype" w:cs="Palatino Linotype"/>
        </w:rPr>
        <w:t>rsos y Contratos, por medio del cual, solicitó que proporcionara las manifestaciones que a su derecho convinieran respecto de las razone o motivos de inconformidad.</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 xml:space="preserve">“DGPCYC_manifestaciones.pdf”: </w:t>
      </w:r>
      <w:r>
        <w:rPr>
          <w:rFonts w:ascii="Palatino Linotype" w:eastAsia="Palatino Linotype" w:hAnsi="Palatino Linotype" w:cs="Palatino Linotype"/>
        </w:rPr>
        <w:t>Oficio número 22400103A000000/655/2021 de fecha 19 de abril d</w:t>
      </w:r>
      <w:r>
        <w:rPr>
          <w:rFonts w:ascii="Palatino Linotype" w:eastAsia="Palatino Linotype" w:hAnsi="Palatino Linotype" w:cs="Palatino Linotype"/>
        </w:rPr>
        <w:t xml:space="preserve">e 2021, suscrito por el Director General de Proyectos, Concursos y Contratos del cual se insertan las manifestaciones del Servidor Público Habilitado en relación a los motivos de inconformidad que argumentó el </w:t>
      </w:r>
      <w:r>
        <w:rPr>
          <w:rFonts w:ascii="Palatino Linotype" w:eastAsia="Palatino Linotype" w:hAnsi="Palatino Linotype" w:cs="Palatino Linotype"/>
          <w:b/>
        </w:rPr>
        <w:t xml:space="preserve">RECURRENTE. </w:t>
      </w:r>
    </w:p>
    <w:p w:rsidR="00BB5537" w:rsidRDefault="00DC714F">
      <w:pPr>
        <w:tabs>
          <w:tab w:val="left" w:pos="851"/>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516880" cy="5420360"/>
            <wp:effectExtent l="12700" t="12700" r="12700" b="12700"/>
            <wp:docPr id="7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516880" cy="5420360"/>
                    </a:xfrm>
                    <a:prstGeom prst="rect">
                      <a:avLst/>
                    </a:prstGeom>
                    <a:ln w="12700">
                      <a:solidFill>
                        <a:srgbClr val="000000"/>
                      </a:solidFill>
                      <a:prstDash val="solid"/>
                    </a:ln>
                  </pic:spPr>
                </pic:pic>
              </a:graphicData>
            </a:graphic>
          </wp:inline>
        </w:drawing>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i/>
        </w:rPr>
        <w:t>“DGCOP_manifestaciones.pdf”:</w:t>
      </w:r>
      <w:r>
        <w:rPr>
          <w:rFonts w:ascii="Palatino Linotype" w:eastAsia="Palatino Linotype" w:hAnsi="Palatino Linotype" w:cs="Palatino Linotype"/>
        </w:rPr>
        <w:t xml:space="preserve"> Of</w:t>
      </w:r>
      <w:r>
        <w:rPr>
          <w:rFonts w:ascii="Palatino Linotype" w:eastAsia="Palatino Linotype" w:hAnsi="Palatino Linotype" w:cs="Palatino Linotype"/>
        </w:rPr>
        <w:t>icio 22400104A/0378/2021 fecha 9 de abril de 2021 suscrito por el Director General de Construcción de Obra Pública, por medio del cual ratificó lo anteriormente expuesto en el oficio 22400104A/0249/2021, con el cual respondió a la solicitud de información.</w:t>
      </w:r>
      <w:r>
        <w:rPr>
          <w:rFonts w:ascii="Palatino Linotype" w:eastAsia="Palatino Linotype" w:hAnsi="Palatino Linotype" w:cs="Palatino Linotype"/>
        </w:rPr>
        <w:t xml:space="preserve">  </w:t>
      </w:r>
    </w:p>
    <w:p w:rsidR="00BB5537" w:rsidRDefault="00BB5537">
      <w:pPr>
        <w:spacing w:before="240" w:after="240" w:line="360" w:lineRule="auto"/>
        <w:ind w:right="49"/>
        <w:jc w:val="both"/>
        <w:rPr>
          <w:rFonts w:ascii="Palatino Linotype" w:eastAsia="Palatino Linotype" w:hAnsi="Palatino Linotype" w:cs="Palatino Linotype"/>
          <w:b/>
          <w:i/>
        </w:rPr>
      </w:pP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Documentos que  fueron puestos a disposición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el tres de noviembre de 2021, para que en un plazo de tres días hábiles siguientes al día de la vista, manifestara, lo que a su derecho conviniera. </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parte </w:t>
      </w:r>
      <w:r>
        <w:rPr>
          <w:rFonts w:ascii="Palatino Linotype" w:eastAsia="Palatino Linotype" w:hAnsi="Palatino Linotype" w:cs="Palatino Linotype"/>
          <w:b/>
        </w:rPr>
        <w:t>RECURRENTE</w:t>
      </w:r>
      <w:r>
        <w:rPr>
          <w:rFonts w:ascii="Palatino Linotype" w:eastAsia="Palatino Linotype" w:hAnsi="Palatino Linotype" w:cs="Palatino Linotype"/>
        </w:rPr>
        <w:t>, se t</w:t>
      </w:r>
      <w:r>
        <w:rPr>
          <w:rFonts w:ascii="Palatino Linotype" w:eastAsia="Palatino Linotype" w:hAnsi="Palatino Linotype" w:cs="Palatino Linotype"/>
        </w:rPr>
        <w:t>iene que fue omiso en presentar manifestaciones, pruebas y/o alegatos en la etapa procedimental previamente reconocida en nuestra Ley de Transparencia.</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color w:val="000000"/>
        </w:rPr>
        <w:t>8. Returno.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veintitrés de agosto de dos mil veintiuno, </w:t>
      </w:r>
      <w:r>
        <w:rPr>
          <w:rFonts w:ascii="Palatino Linotype" w:eastAsia="Palatino Linotype" w:hAnsi="Palatino Linotype" w:cs="Palatino Linotype"/>
        </w:rPr>
        <w:t xml:space="preserve">en la Segunda Sesión Extraordinaria, el Pleno </w:t>
      </w:r>
      <w:r>
        <w:rPr>
          <w:rFonts w:ascii="Palatino Linotype" w:eastAsia="Palatino Linotype" w:hAnsi="Palatino Linotype" w:cs="Palatino Linotype"/>
        </w:rPr>
        <w:t xml:space="preserve">del Instituto aprobó el </w:t>
      </w:r>
      <w:proofErr w:type="spellStart"/>
      <w:r>
        <w:rPr>
          <w:rFonts w:ascii="Palatino Linotype" w:eastAsia="Palatino Linotype" w:hAnsi="Palatino Linotype" w:cs="Palatino Linotype"/>
        </w:rPr>
        <w:t>returno</w:t>
      </w:r>
      <w:proofErr w:type="spellEnd"/>
      <w:r>
        <w:rPr>
          <w:rFonts w:ascii="Palatino Linotype" w:eastAsia="Palatino Linotype" w:hAnsi="Palatino Linotype" w:cs="Palatino Linotype"/>
        </w:rPr>
        <w:t xml:space="preserve"> del recurso de revisión al rubro indicado a la Ponencia de la </w:t>
      </w:r>
      <w:r>
        <w:rPr>
          <w:rFonts w:ascii="Palatino Linotype" w:eastAsia="Palatino Linotype" w:hAnsi="Palatino Linotype" w:cs="Palatino Linotype"/>
          <w:b/>
        </w:rPr>
        <w:t xml:space="preserve">Comisionada Guadalupe Ramírez Peña </w:t>
      </w:r>
      <w:r>
        <w:rPr>
          <w:rFonts w:ascii="Palatino Linotype" w:eastAsia="Palatino Linotype" w:hAnsi="Palatino Linotype" w:cs="Palatino Linotype"/>
        </w:rPr>
        <w:t xml:space="preserve">para su estudio y resolución. </w:t>
      </w:r>
    </w:p>
    <w:p w:rsidR="00BB5537" w:rsidRDefault="00DC714F">
      <w:pPr>
        <w:widowControl w:val="0"/>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9.- Ampliación del plazo para emitir resolución.</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catorce de septiembre de dos mil veintiuno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este Instituto con fundamento en el artículo 181, párrafo tercero, de la Ley de Transparencia y Acceso a la Información Pública del Estado de México y Municipios, determinó mediante el acuerdo respectivo, ampliar por quince días hábiles adicionales el plaz</w:t>
      </w:r>
      <w:r>
        <w:rPr>
          <w:rFonts w:ascii="Palatino Linotype" w:eastAsia="Palatino Linotype" w:hAnsi="Palatino Linotype" w:cs="Palatino Linotype"/>
        </w:rPr>
        <w:t>o para emitir la presente resolución.</w:t>
      </w:r>
    </w:p>
    <w:p w:rsidR="00BB5537" w:rsidRDefault="00DC714F">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Cierre de instrucción. </w:t>
      </w:r>
      <w:r>
        <w:rPr>
          <w:rFonts w:ascii="Palatino Linotype" w:eastAsia="Palatino Linotype" w:hAnsi="Palatino Linotype" w:cs="Palatino Linotype"/>
        </w:rPr>
        <w:t xml:space="preserve">El </w:t>
      </w:r>
      <w:r>
        <w:rPr>
          <w:rFonts w:ascii="Palatino Linotype" w:eastAsia="Palatino Linotype" w:hAnsi="Palatino Linotype" w:cs="Palatino Linotype"/>
          <w:b/>
        </w:rPr>
        <w:t>treinta de noviembre de dos mil veintiuno</w:t>
      </w:r>
      <w:r>
        <w:rPr>
          <w:rFonts w:ascii="Palatino Linotype" w:eastAsia="Palatino Linotype" w:hAnsi="Palatino Linotype" w:cs="Palatino Linotype"/>
        </w:rPr>
        <w:t>, la Comisionada ponente determinó el cierre de instrucción en términos de la fracción VI del artículo 185 de la Ley de Transparencia y Acceso a la</w:t>
      </w:r>
      <w:r>
        <w:rPr>
          <w:rFonts w:ascii="Palatino Linotype" w:eastAsia="Palatino Linotype" w:hAnsi="Palatino Linotype" w:cs="Palatino Linotype"/>
        </w:rPr>
        <w:t xml:space="preserve"> Información Pública del Estado de México y Municipios, toda vez que, el expediente electrónico  fue debidamente sustanciado y al no existir diligencia pendiente de desahogo, se emite la Resolución que conforme a Derecho proceda, de acuerdo con los siguien</w:t>
      </w:r>
      <w:r>
        <w:rPr>
          <w:rFonts w:ascii="Palatino Linotype" w:eastAsia="Palatino Linotype" w:hAnsi="Palatino Linotype" w:cs="Palatino Linotype"/>
        </w:rPr>
        <w:t xml:space="preserve">tes: </w:t>
      </w:r>
    </w:p>
    <w:p w:rsidR="00BB5537" w:rsidRDefault="00BB5537">
      <w:pPr>
        <w:widowControl w:val="0"/>
        <w:spacing w:before="240" w:after="240" w:line="360" w:lineRule="auto"/>
        <w:jc w:val="both"/>
        <w:rPr>
          <w:rFonts w:ascii="Palatino Linotype" w:eastAsia="Palatino Linotype" w:hAnsi="Palatino Linotype" w:cs="Palatino Linotype"/>
        </w:rPr>
      </w:pPr>
    </w:p>
    <w:p w:rsidR="00BB5537" w:rsidRDefault="00DC714F">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 C O N S I D E R A N D O S</w:t>
      </w:r>
    </w:p>
    <w:p w:rsidR="00BB5537" w:rsidRDefault="00DC714F">
      <w:pPr>
        <w:spacing w:before="240" w:after="240" w:line="360" w:lineRule="auto"/>
        <w:jc w:val="both"/>
        <w:rPr>
          <w:rFonts w:ascii="Palatino Linotype" w:eastAsia="Palatino Linotype" w:hAnsi="Palatino Linotype" w:cs="Palatino Linotype"/>
        </w:rPr>
      </w:pPr>
      <w:bookmarkStart w:id="1" w:name="_heading=h.gjdgxs" w:colFirst="0" w:colLast="0"/>
      <w:bookmarkEnd w:id="1"/>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w:t>
      </w:r>
      <w:r>
        <w:rPr>
          <w:rFonts w:ascii="Palatino Linotype" w:eastAsia="Palatino Linotype" w:hAnsi="Palatino Linotype" w:cs="Palatino Linotype"/>
        </w:rPr>
        <w:t xml:space="preserve">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w:t>
      </w:r>
      <w:r>
        <w:rPr>
          <w:rFonts w:ascii="Palatino Linotype" w:eastAsia="Palatino Linotype" w:hAnsi="Palatino Linotype" w:cs="Palatino Linotype"/>
        </w:rPr>
        <w:t>ón Política del Estado Libre y Soberano de México; 1, 2, fracción II; 13,  29, 36, fracciones I y II; 176, 178, 179, 181 párrafo tercero y 185 de la Ley Transparencia y Acceso a la Información Pública del Estado de México y Municipios; 9, fracciones I y XX</w:t>
      </w:r>
      <w:r>
        <w:rPr>
          <w:rFonts w:ascii="Palatino Linotype" w:eastAsia="Palatino Linotype" w:hAnsi="Palatino Linotype" w:cs="Palatino Linotype"/>
        </w:rPr>
        <w:t>IV y 11 del Reglamento Interior del Instituto de Transparencia, Acceso a la Información Pública y Protección de Datos Personales del Estado de México y Municipios.</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w:t>
      </w:r>
      <w:proofErr w:type="spellStart"/>
      <w:r>
        <w:rPr>
          <w:rFonts w:ascii="Palatino Linotype" w:eastAsia="Palatino Linotype" w:hAnsi="Palatino Linotype" w:cs="Palatino Linotype"/>
          <w:b/>
        </w:rPr>
        <w:t>Procedibilidad</w:t>
      </w:r>
      <w:proofErr w:type="spellEnd"/>
      <w:r>
        <w:rPr>
          <w:rFonts w:ascii="Palatino Linotype" w:eastAsia="Palatino Linotype" w:hAnsi="Palatino Linotype" w:cs="Palatino Linotype"/>
          <w:b/>
        </w:rPr>
        <w:t xml:space="preserve"> del Recurso de Revisión</w:t>
      </w:r>
      <w:r>
        <w:rPr>
          <w:rFonts w:ascii="Palatino Linotype" w:eastAsia="Palatino Linotype" w:hAnsi="Palatino Linotype" w:cs="Palatino Linotype"/>
        </w:rPr>
        <w:t xml:space="preserve">.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Previo al estudio del fondo </w:t>
      </w:r>
      <w:r>
        <w:rPr>
          <w:rFonts w:ascii="Palatino Linotype" w:eastAsia="Palatino Linotype" w:hAnsi="Palatino Linotype" w:cs="Palatino Linotype"/>
        </w:rPr>
        <w:t xml:space="preserve">del asunto, se procede a analizar los requisitos de oportunidad y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w:t>
      </w:r>
      <w:r>
        <w:rPr>
          <w:rFonts w:ascii="Palatino Linotype" w:eastAsia="Palatino Linotype" w:hAnsi="Palatino Linotype" w:cs="Palatino Linotype"/>
        </w:rPr>
        <w:t>nicipios.</w:t>
      </w:r>
    </w:p>
    <w:p w:rsidR="00BB5537" w:rsidRDefault="00DC714F">
      <w:pPr>
        <w:spacing w:before="240" w:after="240" w:line="360" w:lineRule="auto"/>
        <w:jc w:val="both"/>
        <w:rPr>
          <w:rFonts w:ascii="Palatino Linotype" w:eastAsia="Palatino Linotype" w:hAnsi="Palatino Linotype" w:cs="Palatino Linotype"/>
        </w:rPr>
      </w:pPr>
      <w:bookmarkStart w:id="2" w:name="_heading=h.30j0zll" w:colFirst="0" w:colLast="0"/>
      <w:bookmarkEnd w:id="2"/>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la</w:t>
      </w:r>
      <w:r>
        <w:rPr>
          <w:rFonts w:ascii="Palatino Linotype" w:eastAsia="Palatino Linotype" w:hAnsi="Palatino Linotype" w:cs="Palatino Linotype"/>
        </w:rPr>
        <w:t xml:space="preserve"> respuesta a la solicitud de información el día </w:t>
      </w:r>
      <w:r>
        <w:rPr>
          <w:rFonts w:ascii="Palatino Linotype" w:eastAsia="Palatino Linotype" w:hAnsi="Palatino Linotype" w:cs="Palatino Linotype"/>
          <w:b/>
        </w:rPr>
        <w:t xml:space="preserve">veinticinco de marzo de dos mil veintiuno,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cinco de abril de dos mil veintiuno</w:t>
      </w:r>
      <w:r>
        <w:rPr>
          <w:rFonts w:ascii="Palatino Linotype" w:eastAsia="Palatino Linotype" w:hAnsi="Palatino Linotype" w:cs="Palatino Linotype"/>
        </w:rPr>
        <w:t>, esto es, al segundo día h</w:t>
      </w:r>
      <w:r>
        <w:rPr>
          <w:rFonts w:ascii="Palatino Linotype" w:eastAsia="Palatino Linotype" w:hAnsi="Palatino Linotype" w:cs="Palatino Linotype"/>
        </w:rPr>
        <w:t>ábil siguiente en que tuvo conocimiento de la respuesta impugnada.</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también, 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del recurso de revisión una vez realizado el análisis del formato de interposición del recurso, se advierte que el artículo 180 de la Ley de</w:t>
      </w:r>
      <w:r>
        <w:rPr>
          <w:rFonts w:ascii="Palatino Linotype" w:eastAsia="Palatino Linotype" w:hAnsi="Palatino Linotype" w:cs="Palatino Linotype"/>
        </w:rPr>
        <w:t xml:space="preserve"> Transparencia y Acceso a la Información Pública del Estado de México y Municipios, establece los siguientes elementos formales para la presentación del recurso:</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rPr>
        <w:t>“</w:t>
      </w:r>
      <w:r>
        <w:rPr>
          <w:rFonts w:ascii="Palatino Linotype" w:eastAsia="Palatino Linotype" w:hAnsi="Palatino Linotype" w:cs="Palatino Linotype"/>
          <w:b/>
          <w:i/>
          <w:sz w:val="22"/>
          <w:szCs w:val="22"/>
        </w:rPr>
        <w:t>Artículo 180.</w:t>
      </w:r>
      <w:r>
        <w:rPr>
          <w:rFonts w:ascii="Palatino Linotype" w:eastAsia="Palatino Linotype" w:hAnsi="Palatino Linotype" w:cs="Palatino Linotype"/>
          <w:i/>
          <w:sz w:val="22"/>
          <w:szCs w:val="22"/>
        </w:rPr>
        <w:t xml:space="preserve"> El recurso de revisión contendrá: </w:t>
      </w:r>
    </w:p>
    <w:p w:rsidR="00BB5537" w:rsidRDefault="00BB5537">
      <w:pPr>
        <w:spacing w:after="120"/>
        <w:ind w:left="851" w:right="616"/>
        <w:jc w:val="both"/>
        <w:rPr>
          <w:rFonts w:ascii="Palatino Linotype" w:eastAsia="Palatino Linotype" w:hAnsi="Palatino Linotype" w:cs="Palatino Linotype"/>
          <w:i/>
          <w:sz w:val="22"/>
          <w:szCs w:val="22"/>
        </w:rPr>
      </w:pP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spacing w:after="120"/>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II. El nombre del solicitante que recurre o de su representante y, en su caso, del tercero interesado, así como la dirección o medio que señale para recibir notificaciones; </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spacing w:after="120"/>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En caso de que el recurso se interponga de manera electrónica no será indispen</w:t>
      </w:r>
      <w:r>
        <w:rPr>
          <w:rFonts w:ascii="Palatino Linotype" w:eastAsia="Palatino Linotype" w:hAnsi="Palatino Linotype" w:cs="Palatino Linotype"/>
          <w:b/>
          <w:i/>
          <w:sz w:val="22"/>
          <w:szCs w:val="22"/>
          <w:u w:val="single"/>
        </w:rPr>
        <w:t>sable que contengan los requisitos establecidos en las fracciones II, IV, VII y VIII.”</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Sobre el particular, de la revisión al expediente electrónico del SAIMEX se desprende que la parte solicitante, en ejercicio de su derecho de acceso a la información púb</w:t>
      </w:r>
      <w:r>
        <w:rPr>
          <w:rFonts w:ascii="Palatino Linotype" w:eastAsia="Palatino Linotype" w:hAnsi="Palatino Linotype" w:cs="Palatino Linotype"/>
        </w:rPr>
        <w:t xml:space="preserve">lica, y ahora </w:t>
      </w:r>
      <w:r>
        <w:rPr>
          <w:rFonts w:ascii="Palatino Linotype" w:eastAsia="Palatino Linotype" w:hAnsi="Palatino Linotype" w:cs="Palatino Linotype"/>
          <w:b/>
        </w:rPr>
        <w:t>RECURRENTE</w:t>
      </w:r>
      <w:r>
        <w:rPr>
          <w:rFonts w:ascii="Palatino Linotype" w:eastAsia="Palatino Linotype" w:hAnsi="Palatino Linotype" w:cs="Palatino Linotype"/>
        </w:rPr>
        <w:t>,</w:t>
      </w:r>
      <w:r>
        <w:rPr>
          <w:rFonts w:ascii="Palatino Linotype" w:eastAsia="Palatino Linotype" w:hAnsi="Palatino Linotype" w:cs="Palatino Linotype"/>
          <w:b/>
        </w:rPr>
        <w:t xml:space="preserve"> proporcionó un seudónimo para poder ser identificado, por ende, no se tiene certeza sobre su identidad,</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lo que en estricto sentido provoca que no se colmen los requisitos establecidos en el citado artículo 180 de la Ley de Transpa</w:t>
      </w:r>
      <w:r>
        <w:rPr>
          <w:rFonts w:ascii="Palatino Linotype" w:eastAsia="Palatino Linotype" w:hAnsi="Palatino Linotype" w:cs="Palatino Linotype"/>
        </w:rPr>
        <w:t>rencia.</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Empero lo anterior, debe destacarse que el artículo 15 de Ley de Transparencia y Acceso a la Información Pública del Estado de México y Municipios prevé que toda </w:t>
      </w:r>
      <w:r>
        <w:rPr>
          <w:rFonts w:ascii="Palatino Linotype" w:eastAsia="Palatino Linotype" w:hAnsi="Palatino Linotype" w:cs="Palatino Linotype"/>
        </w:rPr>
        <w:lastRenderedPageBreak/>
        <w:t>persona tendrá acceso a la información sin necesidad de acreditar interés alguno o jus</w:t>
      </w:r>
      <w:r>
        <w:rPr>
          <w:rFonts w:ascii="Palatino Linotype" w:eastAsia="Palatino Linotype" w:hAnsi="Palatino Linotype" w:cs="Palatino Linotype"/>
        </w:rPr>
        <w:t xml:space="preserve">tificar su utilización, de lo que se infiere que para el ejercicio del derecho de acceso a la información pública, el nombre no es un requisito </w:t>
      </w:r>
      <w:r>
        <w:rPr>
          <w:rFonts w:ascii="Palatino Linotype" w:eastAsia="Palatino Linotype" w:hAnsi="Palatino Linotype" w:cs="Palatino Linotype"/>
          <w:b/>
          <w:i/>
        </w:rPr>
        <w:t>sine qua non</w:t>
      </w:r>
      <w:r>
        <w:rPr>
          <w:rFonts w:ascii="Palatino Linotype" w:eastAsia="Palatino Linotype" w:hAnsi="Palatino Linotype" w:cs="Palatino Linotype"/>
        </w:rPr>
        <w:t xml:space="preserve"> que los particulares y, en su caso, los </w:t>
      </w:r>
      <w:proofErr w:type="spellStart"/>
      <w:r>
        <w:rPr>
          <w:rFonts w:ascii="Palatino Linotype" w:eastAsia="Palatino Linotype" w:hAnsi="Palatino Linotype" w:cs="Palatino Linotype"/>
          <w:b/>
        </w:rPr>
        <w:t>RECURRENTE</w:t>
      </w:r>
      <w:r>
        <w:rPr>
          <w:rFonts w:ascii="Palatino Linotype" w:eastAsia="Palatino Linotype" w:hAnsi="Palatino Linotype" w:cs="Palatino Linotype"/>
        </w:rPr>
        <w:t>s</w:t>
      </w:r>
      <w:proofErr w:type="spellEnd"/>
      <w:r>
        <w:rPr>
          <w:rFonts w:ascii="Palatino Linotype" w:eastAsia="Palatino Linotype" w:hAnsi="Palatino Linotype" w:cs="Palatino Linotype"/>
        </w:rPr>
        <w:t xml:space="preserve"> deban señalar, por el contrario la Ley de Trans</w:t>
      </w:r>
      <w:r>
        <w:rPr>
          <w:rFonts w:ascii="Palatino Linotype" w:eastAsia="Palatino Linotype" w:hAnsi="Palatino Linotype" w:cs="Palatino Linotype"/>
        </w:rPr>
        <w:t xml:space="preserve">parencia prevé en su artículo 155, párrafos segundo, tercero y cuarto, la posibilidad de que las solicitudes de información sean anónimas, con nombre incompleto o </w:t>
      </w:r>
      <w:r>
        <w:rPr>
          <w:rFonts w:ascii="Palatino Linotype" w:eastAsia="Palatino Linotype" w:hAnsi="Palatino Linotype" w:cs="Palatino Linotype"/>
          <w:b/>
        </w:rPr>
        <w:t>seudónimo</w:t>
      </w:r>
      <w:r>
        <w:rPr>
          <w:rFonts w:ascii="Palatino Linotype" w:eastAsia="Palatino Linotype" w:hAnsi="Palatino Linotype" w:cs="Palatino Linotype"/>
        </w:rPr>
        <w:t>.</w:t>
      </w:r>
    </w:p>
    <w:p w:rsidR="00BB5537" w:rsidRDefault="00DC714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Correlativo a ello, cabe mencionar que los artículos 6, apartado A, fracciones I, </w:t>
      </w:r>
      <w:r>
        <w:rPr>
          <w:rFonts w:ascii="Palatino Linotype" w:eastAsia="Palatino Linotype" w:hAnsi="Palatino Linotype" w:cs="Palatino Linotype"/>
        </w:rPr>
        <w:t xml:space="preserve">II, III y IV de la Constitución Política de los Estados Unidos Mexicanos y 5 vigésimo segundo, vigésimo tercero y vigésimo cuarto fracciones I, III, y V de la Constitución Política del Estado Libre y Soberano de México, garantizan el ejercicio del derecho </w:t>
      </w:r>
      <w:r>
        <w:rPr>
          <w:rFonts w:ascii="Palatino Linotype" w:eastAsia="Palatino Linotype" w:hAnsi="Palatino Linotype" w:cs="Palatino Linotype"/>
        </w:rPr>
        <w:t>de acceso a la información pública, toda vez que disponen que toda persona sin necesidad de acreditar interés alguno o justificar su utilización, tendrá acceso gratuito a la información pública; preceptos cuyo texto y sentido literal es el siguiente:</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w:t>
      </w:r>
      <w:r>
        <w:rPr>
          <w:rFonts w:ascii="Palatino Linotype" w:eastAsia="Palatino Linotype" w:hAnsi="Palatino Linotype" w:cs="Palatino Linotype"/>
          <w:i/>
          <w:sz w:val="22"/>
          <w:szCs w:val="22"/>
        </w:rPr>
        <w:t>ículo 6°.- La manifestación de las ideas no será objeto de ninguna inquisición judicial o administrativa, sino en el caso de que ataque a la moral, la vida privada o los derechos de terceros, provoque algún delito, o perturbe el orden público; el derecho d</w:t>
      </w:r>
      <w:r>
        <w:rPr>
          <w:rFonts w:ascii="Palatino Linotype" w:eastAsia="Palatino Linotype" w:hAnsi="Palatino Linotype" w:cs="Palatino Linotype"/>
          <w:i/>
          <w:sz w:val="22"/>
          <w:szCs w:val="22"/>
        </w:rPr>
        <w:t>e réplica será ejercido en los términos dispuestos por la ley. El derecho a la información será garantizado por el Estado.</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efectos de lo dispuesto en el presente artículo se observará lo siguiente: </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 Para el ejercicio del derecho de acceso a la</w:t>
      </w:r>
      <w:r>
        <w:rPr>
          <w:rFonts w:ascii="Palatino Linotype" w:eastAsia="Palatino Linotype" w:hAnsi="Palatino Linotype" w:cs="Palatino Linotype"/>
          <w:i/>
          <w:sz w:val="22"/>
          <w:szCs w:val="22"/>
        </w:rPr>
        <w:t xml:space="preserve"> información, la Federación, los Estados y el Distrito Federal, en el ámbito de sus respectivas competencias, se regirán por los siguientes principios y bases: </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Toda la información en posesión de cualquier autoridad, entidad, órgano y organismo de los P</w:t>
      </w:r>
      <w:r>
        <w:rPr>
          <w:rFonts w:ascii="Palatino Linotype" w:eastAsia="Palatino Linotype" w:hAnsi="Palatino Linotype" w:cs="Palatino Linotype"/>
          <w:i/>
          <w:sz w:val="22"/>
          <w:szCs w:val="22"/>
        </w:rPr>
        <w:t>oderes Ejecutivo, Legislativo y Judicial, órganos autónomos, partidos políticos, fideicomisos y fondos públicos, así como de cualquier persona física, moral o sindicato que reciba y ejerza recursos públicos o realice actos de autoridad en el ámbito federal</w:t>
      </w:r>
      <w:r>
        <w:rPr>
          <w:rFonts w:ascii="Palatino Linotype" w:eastAsia="Palatino Linotype" w:hAnsi="Palatino Linotype" w:cs="Palatino Linotype"/>
          <w:i/>
          <w:sz w:val="22"/>
          <w:szCs w:val="22"/>
        </w:rPr>
        <w:t xml:space="preserve">, estatal y municipal, es pública y sólo podrá ser </w:t>
      </w:r>
      <w:r>
        <w:rPr>
          <w:rFonts w:ascii="Palatino Linotype" w:eastAsia="Palatino Linotype" w:hAnsi="Palatino Linotype" w:cs="Palatino Linotype"/>
          <w:i/>
          <w:sz w:val="22"/>
          <w:szCs w:val="22"/>
        </w:rPr>
        <w:lastRenderedPageBreak/>
        <w:t>reservada temporalmente por razones de interés público y seguridad nacional, en los términos que fijen las leyes. En la interpretación de este derecho deberá prevalecer el principio de máxima publicidad. L</w:t>
      </w:r>
      <w:r>
        <w:rPr>
          <w:rFonts w:ascii="Palatino Linotype" w:eastAsia="Palatino Linotype" w:hAnsi="Palatino Linotype" w:cs="Palatino Linotype"/>
          <w:i/>
          <w:sz w:val="22"/>
          <w:szCs w:val="22"/>
        </w:rPr>
        <w:t xml:space="preserve">os sujetos obligados deberán documentar todo acto que derive del ejercicio de sus facultades, competencias o funciones, la ley determinará los supuestos específicos bajo los cuales procederá la declaración de inexistencia de la información. </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La informa</w:t>
      </w:r>
      <w:r>
        <w:rPr>
          <w:rFonts w:ascii="Palatino Linotype" w:eastAsia="Palatino Linotype" w:hAnsi="Palatino Linotype" w:cs="Palatino Linotype"/>
          <w:i/>
          <w:sz w:val="22"/>
          <w:szCs w:val="22"/>
        </w:rPr>
        <w:t xml:space="preserve">ción que se refiere a la vida privada y los datos personales será protegida en los términos y con las excepciones que fijen las leyes. </w:t>
      </w:r>
    </w:p>
    <w:p w:rsidR="00BB5537" w:rsidRDefault="00BB5537">
      <w:pPr>
        <w:spacing w:after="120"/>
        <w:ind w:left="851" w:right="616"/>
        <w:jc w:val="both"/>
        <w:rPr>
          <w:rFonts w:ascii="Palatino Linotype" w:eastAsia="Palatino Linotype" w:hAnsi="Palatino Linotype" w:cs="Palatino Linotype"/>
          <w:b/>
          <w:i/>
          <w:sz w:val="22"/>
          <w:szCs w:val="22"/>
          <w:u w:val="single"/>
        </w:rPr>
      </w:pPr>
    </w:p>
    <w:p w:rsidR="00BB5537" w:rsidRDefault="00DC714F">
      <w:pPr>
        <w:spacing w:after="120"/>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III. Toda persona, sin necesidad de acreditar interés alguno o justificar su utilización, tendrá acceso gratuito a la i</w:t>
      </w:r>
      <w:r>
        <w:rPr>
          <w:rFonts w:ascii="Palatino Linotype" w:eastAsia="Palatino Linotype" w:hAnsi="Palatino Linotype" w:cs="Palatino Linotype"/>
          <w:b/>
          <w:i/>
          <w:sz w:val="22"/>
          <w:szCs w:val="22"/>
          <w:u w:val="single"/>
        </w:rPr>
        <w:t xml:space="preserve">nformación pública, a sus datos personales o a la rectificación de éstos. </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IV. Se establecerán mecanismos de acceso a la información y procedimientos de revisión expeditos que se sustanciarán ante los organismos autónomos especializados e imparciales que e</w:t>
      </w:r>
      <w:r>
        <w:rPr>
          <w:rFonts w:ascii="Palatino Linotype" w:eastAsia="Palatino Linotype" w:hAnsi="Palatino Linotype" w:cs="Palatino Linotype"/>
          <w:i/>
          <w:sz w:val="22"/>
          <w:szCs w:val="22"/>
        </w:rPr>
        <w:t xml:space="preserve">stablece esta Constitución.” </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“Artículo 5.- En el Estado de México todos los individuos son iguales y tienen las libertades, derechos y garantías que la Constitución Federal, esta Constitución, los Tratados Internacionales en materia de derechos fundament</w:t>
      </w:r>
      <w:r>
        <w:rPr>
          <w:rFonts w:ascii="Palatino Linotype" w:eastAsia="Palatino Linotype" w:hAnsi="Palatino Linotype" w:cs="Palatino Linotype"/>
          <w:i/>
          <w:sz w:val="22"/>
          <w:szCs w:val="22"/>
        </w:rPr>
        <w:t>ales de los que el Estado Mexicano sea parte y las leyes del Estado establecen.</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Para garantizar el ejercicio del derecho de transparencia, acceso a la información pública y protección de datos personales, los poderes públicos y los organismos autónomo</w:t>
      </w:r>
      <w:r>
        <w:rPr>
          <w:rFonts w:ascii="Palatino Linotype" w:eastAsia="Palatino Linotype" w:hAnsi="Palatino Linotype" w:cs="Palatino Linotype"/>
          <w:i/>
          <w:sz w:val="22"/>
          <w:szCs w:val="22"/>
        </w:rPr>
        <w:t>s, transparentarán sus acciones, en términos de las disposiciones aplicables, la información será oportuna, clara, veraz y de fácil acceso.</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Este derecho se regirá por los principios y bases siguientes:</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 Toda la información en posesión de cualquier autoridad, entidad, órgano y organismos de los Poderes Ejecutivo, Legislativo y Judicial, órganos autónomos, partidos políticos, fideicomisos y fondos públicos estatales y municipales, así como del gobierno y</w:t>
      </w:r>
      <w:r>
        <w:rPr>
          <w:rFonts w:ascii="Palatino Linotype" w:eastAsia="Palatino Linotype" w:hAnsi="Palatino Linotype" w:cs="Palatino Linotype"/>
          <w:i/>
          <w:sz w:val="22"/>
          <w:szCs w:val="22"/>
        </w:rPr>
        <w:t xml:space="preserve"> de la administración pública municipal y sus organismos descentralizados, asimismo de cualquier persona física, jurídica colectiva o sindicato que reciba y ejerza recursos públicos o realice actos de autoridad en el ámbito estatal y municipal, es pública </w:t>
      </w:r>
      <w:r>
        <w:rPr>
          <w:rFonts w:ascii="Palatino Linotype" w:eastAsia="Palatino Linotype" w:hAnsi="Palatino Linotype" w:cs="Palatino Linotype"/>
          <w:i/>
          <w:sz w:val="22"/>
          <w:szCs w:val="22"/>
        </w:rPr>
        <w:t>y sólo podrá ser reservada temporalmente por razones previstas en la Constitución Política de los Estados Unidos Mexicanos de interés público y seguridad, en los términos que fijen las leyes. En la interpretación de este derecho deberá prevalecer el princi</w:t>
      </w:r>
      <w:r>
        <w:rPr>
          <w:rFonts w:ascii="Palatino Linotype" w:eastAsia="Palatino Linotype" w:hAnsi="Palatino Linotype" w:cs="Palatino Linotype"/>
          <w:i/>
          <w:sz w:val="22"/>
          <w:szCs w:val="22"/>
        </w:rPr>
        <w:t xml:space="preserve">pio de máxima publicidad. Los sujetos obligados deberán documentar todo acto que derive del ejercicio de sus facultades, competencias </w:t>
      </w:r>
      <w:r>
        <w:rPr>
          <w:rFonts w:ascii="Palatino Linotype" w:eastAsia="Palatino Linotype" w:hAnsi="Palatino Linotype" w:cs="Palatino Linotype"/>
          <w:i/>
          <w:sz w:val="22"/>
          <w:szCs w:val="22"/>
        </w:rPr>
        <w:lastRenderedPageBreak/>
        <w:t>o funciones, la ley determinará los supuestos específicos bajo los cuales procederá la declaración de inexistencia de la i</w:t>
      </w:r>
      <w:r>
        <w:rPr>
          <w:rFonts w:ascii="Palatino Linotype" w:eastAsia="Palatino Linotype" w:hAnsi="Palatino Linotype" w:cs="Palatino Linotype"/>
          <w:i/>
          <w:sz w:val="22"/>
          <w:szCs w:val="22"/>
        </w:rPr>
        <w:t>nformación.</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spacing w:after="120"/>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 xml:space="preserve"> III. Toda persona, sin necesidad de acreditar interés alguno o justificar su utilización, tendrá acceso gratuito a la información pública, a sus datos personales o a la rectificación de éstos;</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w:t>
      </w:r>
      <w:r>
        <w:rPr>
          <w:rFonts w:ascii="Palatino Linotype" w:eastAsia="Palatino Linotype" w:hAnsi="Palatino Linotype" w:cs="Palatino Linotype"/>
          <w:i/>
          <w:sz w:val="22"/>
          <w:szCs w:val="22"/>
        </w:rPr>
        <w:t>para tal efecto establezca la ley reglamentaria y el organismo autónomo garante en el ámbito de su competencia. Las resoluciones que correspondan a estos procedimientos se sistematizarán para favorecer su consulta…”</w:t>
      </w:r>
    </w:p>
    <w:p w:rsidR="00BB5537" w:rsidRDefault="00DC714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Por otra parte, del contenido del artícu</w:t>
      </w:r>
      <w:r>
        <w:rPr>
          <w:rFonts w:ascii="Palatino Linotype" w:eastAsia="Palatino Linotype" w:hAnsi="Palatino Linotype" w:cs="Palatino Linotype"/>
        </w:rPr>
        <w:t>lo 1 de la Constitución Política de los Estados Unidos Mexicanos, se destaca lo siguiente:</w:t>
      </w:r>
    </w:p>
    <w:p w:rsidR="00BB5537" w:rsidRDefault="00DC714F">
      <w:pPr>
        <w:tabs>
          <w:tab w:val="left" w:pos="7655"/>
        </w:tabs>
        <w:spacing w:after="120"/>
        <w:ind w:left="851"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w:t>
      </w:r>
      <w:r>
        <w:rPr>
          <w:rFonts w:ascii="Palatino Linotype" w:eastAsia="Palatino Linotype" w:hAnsi="Palatino Linotype" w:cs="Palatino Linotype"/>
          <w:b/>
          <w:i/>
          <w:sz w:val="22"/>
          <w:szCs w:val="22"/>
          <w:u w:val="single"/>
        </w:rPr>
        <w:t>e los que el Estado Mexicano sea parte, así como de las garantías para su protección, cuyo ejercicio no podrá restringirse ni suspenderse, salvo en los casos y bajo las condiciones que esta Constitución establece.</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Las normas relativas a los derechos humano</w:t>
      </w:r>
      <w:r>
        <w:rPr>
          <w:rFonts w:ascii="Palatino Linotype" w:eastAsia="Palatino Linotype" w:hAnsi="Palatino Linotype" w:cs="Palatino Linotype"/>
          <w:i/>
          <w:sz w:val="22"/>
          <w:szCs w:val="22"/>
        </w:rPr>
        <w:t>s se interpretarán de conformidad con esta Constitución y con los tratados internacionales de la materia favoreciendo en todo tiempo a las personas la protección más amplia.</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Todas las autoridades, en el ámbito de sus competencias, tienen la obligación de p</w:t>
      </w:r>
      <w:r>
        <w:rPr>
          <w:rFonts w:ascii="Palatino Linotype" w:eastAsia="Palatino Linotype" w:hAnsi="Palatino Linotype" w:cs="Palatino Linotype"/>
          <w:i/>
          <w:sz w:val="22"/>
          <w:szCs w:val="22"/>
        </w:rPr>
        <w:t>romover, respetar, proteger y garantizar los derechos humanos de conformidad con los principios de universalidad, interdependencia, indivisibilidad y progresividad. En consecuencia, el Estado deberá prevenir, investigar, sancionar y reparar las violaciones</w:t>
      </w:r>
      <w:r>
        <w:rPr>
          <w:rFonts w:ascii="Palatino Linotype" w:eastAsia="Palatino Linotype" w:hAnsi="Palatino Linotype" w:cs="Palatino Linotype"/>
          <w:i/>
          <w:sz w:val="22"/>
          <w:szCs w:val="22"/>
        </w:rPr>
        <w:t xml:space="preserve"> a los derechos humanos, en los términos que establezca la ley.”</w:t>
      </w:r>
    </w:p>
    <w:p w:rsidR="00BB5537" w:rsidRDefault="00DC714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esa virtud, de una interpretación sistemática, armónica y progresiva del derecho humano de acceso a la información pública se reitera que toda persona, sin necesidad de acreditar interés a</w:t>
      </w:r>
      <w:r>
        <w:rPr>
          <w:rFonts w:ascii="Palatino Linotype" w:eastAsia="Palatino Linotype" w:hAnsi="Palatino Linotype" w:cs="Palatino Linotype"/>
        </w:rPr>
        <w:t xml:space="preserve">lguno o justificar su utilización, deberá tener acceso a la información pública, es decir, dicho derecho fundamental exime a quien lo ejerce, de </w:t>
      </w:r>
      <w:r>
        <w:rPr>
          <w:rFonts w:ascii="Palatino Linotype" w:eastAsia="Palatino Linotype" w:hAnsi="Palatino Linotype" w:cs="Palatino Linotype"/>
        </w:rPr>
        <w:lastRenderedPageBreak/>
        <w:t>acreditar su legitimación en la causa o su interés en el asunto, lo que permite la posibilidad de que inclusive</w:t>
      </w:r>
      <w:r>
        <w:rPr>
          <w:rFonts w:ascii="Palatino Linotype" w:eastAsia="Palatino Linotype" w:hAnsi="Palatino Linotype" w:cs="Palatino Linotype"/>
        </w:rPr>
        <w:t>, la solicitud de acceso a la información pueda ser anónima o no contener un nombre que identifique al solicitante o que permita tener certeza sobre su identidad.</w:t>
      </w:r>
    </w:p>
    <w:p w:rsidR="00BB5537" w:rsidRDefault="00DC714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6/2014 del entonces Instituto Federal de Acceso a la Infor</w:t>
      </w:r>
      <w:r>
        <w:rPr>
          <w:rFonts w:ascii="Palatino Linotype" w:eastAsia="Palatino Linotype" w:hAnsi="Palatino Linotype" w:cs="Palatino Linotype"/>
        </w:rPr>
        <w:t>mación y Protección de Datos, el cual se reproduce para una mayor referencia:</w:t>
      </w: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“Acceso a información gubernamental. No debe condicionarse a que el solicitante acredite su personalidad, demuestre interés alguno o justifique su utilización. De conformidad con</w:t>
      </w:r>
      <w:r>
        <w:rPr>
          <w:rFonts w:ascii="Palatino Linotype" w:eastAsia="Palatino Linotype" w:hAnsi="Palatino Linotype" w:cs="Palatino Linotype"/>
          <w:i/>
          <w:sz w:val="22"/>
          <w:szCs w:val="22"/>
        </w:rPr>
        <w:t xml:space="preserve"> </w:t>
      </w:r>
    </w:p>
    <w:p w:rsidR="00BB5537" w:rsidRDefault="00BB5537">
      <w:pPr>
        <w:spacing w:after="120"/>
        <w:ind w:left="851" w:right="616"/>
        <w:jc w:val="both"/>
        <w:rPr>
          <w:rFonts w:ascii="Palatino Linotype" w:eastAsia="Palatino Linotype" w:hAnsi="Palatino Linotype" w:cs="Palatino Linotype"/>
          <w:i/>
          <w:sz w:val="22"/>
          <w:szCs w:val="22"/>
        </w:rPr>
      </w:pPr>
    </w:p>
    <w:p w:rsidR="00BB5537" w:rsidRDefault="00DC714F">
      <w:pPr>
        <w:spacing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 dispuesto en los artículos 6o., apartado A, fracción III de la Constitución Política de los Estados Unidos Mexicanos, y 1º, 2º, 4º y 40 de la Ley Federal de Transparencia y Acceso a la Información Pública Gubernamental, la respuesta a una solicitud d</w:t>
      </w:r>
      <w:r>
        <w:rPr>
          <w:rFonts w:ascii="Palatino Linotype" w:eastAsia="Palatino Linotype" w:hAnsi="Palatino Linotype" w:cs="Palatino Linotype"/>
          <w:i/>
          <w:sz w:val="22"/>
          <w:szCs w:val="22"/>
        </w:rPr>
        <w:t>e acceso a información y entrega de la misma, no debe estar condicionada a que el particular acredite su personalidad, demuestre interés alguno o justifique su utilización, en virtud de que los sujetos obligados no deben requerir al solicitante mayores req</w:t>
      </w:r>
      <w:r>
        <w:rPr>
          <w:rFonts w:ascii="Palatino Linotype" w:eastAsia="Palatino Linotype" w:hAnsi="Palatino Linotype" w:cs="Palatino Linotype"/>
          <w:i/>
          <w:sz w:val="22"/>
          <w:szCs w:val="22"/>
        </w:rPr>
        <w:t>uisitos que los establecidos en la Ley. En este sentido, las dependencias y entidades, sólo deberán asegurarse de que, en su caso, se haya cubierto el pago de reproducción y envío de la información, mediante la exhibición del recibo correspondiente.”</w:t>
      </w:r>
    </w:p>
    <w:p w:rsidR="00BB5537" w:rsidRDefault="00DC714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En es</w:t>
      </w:r>
      <w:r>
        <w:rPr>
          <w:rFonts w:ascii="Palatino Linotype" w:eastAsia="Palatino Linotype" w:hAnsi="Palatino Linotype" w:cs="Palatino Linotype"/>
        </w:rPr>
        <w:t xml:space="preserve">e orden de ideas, se estima que el requerimiento relativo al nombre como presupuesto de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podría limitar el ejercicio del derecho de acceso a la información pública, debido a que el hecho de solicitar la identificación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través </w:t>
      </w:r>
      <w:r>
        <w:rPr>
          <w:rFonts w:ascii="Palatino Linotype" w:eastAsia="Palatino Linotype" w:hAnsi="Palatino Linotype" w:cs="Palatino Linotype"/>
        </w:rPr>
        <w:t>de dicho dato personal, en ciertos extremos se equipara a una exigencia acerca de su interés o justificación de su utilización, lo que materialmente haría nugatorio un derecho fundamental.</w:t>
      </w:r>
    </w:p>
    <w:p w:rsidR="00BB5537" w:rsidRDefault="00DC714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Aunado a ello, para el estudio de la materia sobre la que se resuel</w:t>
      </w:r>
      <w:r>
        <w:rPr>
          <w:rFonts w:ascii="Palatino Linotype" w:eastAsia="Palatino Linotype" w:hAnsi="Palatino Linotype" w:cs="Palatino Linotype"/>
        </w:rPr>
        <w:t xml:space="preserve">ve el recurso de revisión resulta intrascendente el nombre de la persona que lo hubiere promovido, </w:t>
      </w:r>
      <w:r>
        <w:rPr>
          <w:rFonts w:ascii="Palatino Linotype" w:eastAsia="Palatino Linotype" w:hAnsi="Palatino Linotype" w:cs="Palatino Linotype"/>
        </w:rPr>
        <w:lastRenderedPageBreak/>
        <w:t>en virtud de que tanto la Constitución Federal, como la Constitución Política del Estado Libre y Soberano de México, reconocen la prerrogativa de los individ</w:t>
      </w:r>
      <w:r>
        <w:rPr>
          <w:rFonts w:ascii="Palatino Linotype" w:eastAsia="Palatino Linotype" w:hAnsi="Palatino Linotype" w:cs="Palatino Linotype"/>
        </w:rPr>
        <w:t>uos para no acreditar dicho interés o justificar su utilización, por lo que este Órgano Garante en la materia se encuentra impedido para realizar dicho análisis, en la inteligencia de que al limitar un derecho humano, como lo es el derecho de acceso a la i</w:t>
      </w:r>
      <w:r>
        <w:rPr>
          <w:rFonts w:ascii="Palatino Linotype" w:eastAsia="Palatino Linotype" w:hAnsi="Palatino Linotype" w:cs="Palatino Linotype"/>
        </w:rPr>
        <w:t>nformación pública, por una cuestión procedimental.</w:t>
      </w:r>
    </w:p>
    <w:p w:rsidR="00BB5537" w:rsidRDefault="00DC714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dado lo expuesto y fundado con anterioridad, se estima que el requisito relativo al nombre del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constituye un presupuesto indispensable de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 los recursos de r</w:t>
      </w:r>
      <w:r>
        <w:rPr>
          <w:rFonts w:ascii="Palatino Linotype" w:eastAsia="Palatino Linotype" w:hAnsi="Palatino Linotype" w:cs="Palatino Linotype"/>
        </w:rPr>
        <w:t>evisión, en términos de los artículos 25 de la Convención Americana de Derechos Humanos, 1 párrafos segundo y tercero, 6 apartado A, fracciones III y IV de la Constitución Política de los Estados Unidos Mexicanos y 5, párrafo vigésimo cuarto de la Constitu</w:t>
      </w:r>
      <w:r>
        <w:rPr>
          <w:rFonts w:ascii="Palatino Linotype" w:eastAsia="Palatino Linotype" w:hAnsi="Palatino Linotype" w:cs="Palatino Linotype"/>
        </w:rPr>
        <w:t xml:space="preserve">ción Política del Estado Libre y Soberano de México, debido a que el acceso a la información pública es un derecho humano que no requiere legitimación en la causa, sino que únicamente basta con que se encuentre legitimado en el procedimiento de recurso de </w:t>
      </w:r>
      <w:r>
        <w:rPr>
          <w:rFonts w:ascii="Palatino Linotype" w:eastAsia="Palatino Linotype" w:hAnsi="Palatino Linotype" w:cs="Palatino Linotype"/>
        </w:rPr>
        <w:t xml:space="preserve">revisión, circunstancia que se acredita en las constancias electrónicas del expediente en revisión, de las que se desprende que la parte </w:t>
      </w:r>
      <w:r>
        <w:rPr>
          <w:rFonts w:ascii="Palatino Linotype" w:eastAsia="Palatino Linotype" w:hAnsi="Palatino Linotype" w:cs="Palatino Linotype"/>
          <w:b/>
        </w:rPr>
        <w:t>RECURRENTE</w:t>
      </w:r>
      <w:r>
        <w:rPr>
          <w:rFonts w:ascii="Palatino Linotype" w:eastAsia="Palatino Linotype" w:hAnsi="Palatino Linotype" w:cs="Palatino Linotype"/>
        </w:rPr>
        <w:t>, es la misma que realizó la solicitud de acceso a la información pública que ahora se impugna.</w:t>
      </w:r>
    </w:p>
    <w:p w:rsidR="00BB5537" w:rsidRDefault="00DC714F">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Con lo anteri</w:t>
      </w:r>
      <w:r>
        <w:rPr>
          <w:rFonts w:ascii="Palatino Linotype" w:eastAsia="Palatino Linotype" w:hAnsi="Palatino Linotype" w:cs="Palatino Linotype"/>
        </w:rPr>
        <w:t>or, se concluye la acreditación plena de todos y cada uno de los elementos formales exigidos por el artículo 180 de la Ley de Transparencia y Acceso a la Información Pública del Estado de México y Municipios, y en consecuencia resulta conforme a derecho en</w:t>
      </w:r>
      <w:r>
        <w:rPr>
          <w:rFonts w:ascii="Palatino Linotype" w:eastAsia="Palatino Linotype" w:hAnsi="Palatino Linotype" w:cs="Palatino Linotype"/>
        </w:rPr>
        <w:t xml:space="preserve">trar al estudio de fondo y resolver el presente medio de impugnación, al actualizarse lo dispuesto en los artículos 176 y 179 fracción V del </w:t>
      </w:r>
      <w:r>
        <w:rPr>
          <w:rFonts w:ascii="Palatino Linotype" w:eastAsia="Palatino Linotype" w:hAnsi="Palatino Linotype" w:cs="Palatino Linotype"/>
        </w:rPr>
        <w:lastRenderedPageBreak/>
        <w:t>ordenamiento legal citado, que establecen los supuestos en que puede interponerse el recurso de revisión:</w:t>
      </w:r>
    </w:p>
    <w:p w:rsidR="00BB5537" w:rsidRDefault="00DC714F">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w:t>
      </w:r>
      <w:r>
        <w:rPr>
          <w:rFonts w:ascii="Palatino Linotype" w:eastAsia="Palatino Linotype" w:hAnsi="Palatino Linotype" w:cs="Palatino Linotype"/>
          <w:b/>
          <w:i/>
          <w:sz w:val="22"/>
          <w:szCs w:val="22"/>
        </w:rPr>
        <w:t xml:space="preserve"> 176. </w:t>
      </w:r>
      <w:r>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siguiente Capítulo.</w:t>
      </w:r>
    </w:p>
    <w:p w:rsidR="00BB5537" w:rsidRDefault="00DC714F">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BB5537" w:rsidRDefault="00DC714F">
      <w:pPr>
        <w:spacing w:before="240" w:after="240"/>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w:t>
      </w:r>
    </w:p>
    <w:p w:rsidR="00BB5537" w:rsidRDefault="00DC714F">
      <w:pPr>
        <w:spacing w:before="240" w:after="240"/>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La entrega de información incompleta;</w:t>
      </w:r>
      <w:r>
        <w:rPr>
          <w:rFonts w:ascii="Palatino Linotype" w:eastAsia="Palatino Linotype" w:hAnsi="Palatino Linotype" w:cs="Palatino Linotype"/>
          <w:i/>
          <w:sz w:val="22"/>
          <w:szCs w:val="22"/>
        </w:rPr>
        <w:t>”</w:t>
      </w:r>
    </w:p>
    <w:p w:rsidR="00BB5537" w:rsidRDefault="00DC714F">
      <w:pPr>
        <w:spacing w:before="280" w:after="28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w:t>
      </w:r>
      <w:r>
        <w:rPr>
          <w:rFonts w:ascii="Palatino Linotype" w:eastAsia="Palatino Linotype" w:hAnsi="Palatino Linotype" w:cs="Palatino Linotype"/>
          <w:b/>
        </w:rPr>
        <w:t xml:space="preserve">respuesta otorgada por el SUJETO OBLIGADO es adecuada y suficiente para 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completa.</w:t>
      </w:r>
    </w:p>
    <w:p w:rsidR="00BB5537" w:rsidRDefault="00DC714F">
      <w:pP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Cuarto. Estudio del asu</w:t>
      </w:r>
      <w:r>
        <w:rPr>
          <w:rFonts w:ascii="Palatino Linotype" w:eastAsia="Palatino Linotype" w:hAnsi="Palatino Linotype" w:cs="Palatino Linotype"/>
          <w:b/>
        </w:rPr>
        <w:t xml:space="preserve">nto. </w:t>
      </w:r>
      <w:r>
        <w:rPr>
          <w:rFonts w:ascii="Palatino Linotype" w:eastAsia="Palatino Linotype" w:hAnsi="Palatino Linotype" w:cs="Palatino Linotype"/>
        </w:rPr>
        <w:t xml:space="preserve">Es menester precisar que este </w:t>
      </w:r>
      <w:r>
        <w:rPr>
          <w:rFonts w:ascii="Palatino Linotype" w:eastAsia="Palatino Linotype" w:hAnsi="Palatino Linotype" w:cs="Palatino Linotype"/>
          <w:color w:val="000000"/>
        </w:rPr>
        <w:t>Órgano Garante parte de que el Derecho de Acceso a la Información Pública, es un derecho humano reconocido en el Pacto de Derechos Civiles y Políticos en su artículo 19.2; en la Convención Americana sobre Derechos Humanos</w:t>
      </w:r>
      <w:r>
        <w:rPr>
          <w:rFonts w:ascii="Palatino Linotype" w:eastAsia="Palatino Linotype" w:hAnsi="Palatino Linotype" w:cs="Palatino Linotype"/>
          <w:color w:val="000000"/>
        </w:rPr>
        <w:t xml:space="preserve"> en su artículo 13.1; en el artículo sexto de la Constitución Política de los Estados Unidos Mexicanos y en el artículo quinto de la Particular del Estado de México, por lo que al respecto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ser cuidadoso del debido cumplimiento de la</w:t>
      </w:r>
      <w:r>
        <w:rPr>
          <w:rFonts w:ascii="Palatino Linotype" w:eastAsia="Palatino Linotype" w:hAnsi="Palatino Linotype" w:cs="Palatino Linotype"/>
          <w:color w:val="000000"/>
        </w:rPr>
        <w:t xml:space="preserve">s obligaciones constitucionales que se le imponen, que de acuerdo a lo dispuesto en el tercer párrafo del artículo primero de la </w:t>
      </w:r>
      <w:r>
        <w:rPr>
          <w:rFonts w:ascii="Palatino Linotype" w:eastAsia="Palatino Linotype" w:hAnsi="Palatino Linotype" w:cs="Palatino Linotype"/>
          <w:b/>
          <w:color w:val="000000"/>
        </w:rPr>
        <w:t xml:space="preserve">Constitución Política de los Estados Unidos Mexicanos </w:t>
      </w:r>
      <w:r>
        <w:rPr>
          <w:rFonts w:ascii="Palatino Linotype" w:eastAsia="Palatino Linotype" w:hAnsi="Palatino Linotype" w:cs="Palatino Linotype"/>
          <w:color w:val="000000"/>
        </w:rPr>
        <w:lastRenderedPageBreak/>
        <w:t xml:space="preserve">tiene el deber de  “promover, </w:t>
      </w:r>
      <w:r>
        <w:rPr>
          <w:rFonts w:ascii="Palatino Linotype" w:eastAsia="Palatino Linotype" w:hAnsi="Palatino Linotype" w:cs="Palatino Linotype"/>
          <w:b/>
          <w:color w:val="000000"/>
        </w:rPr>
        <w:t>respetar</w:t>
      </w:r>
      <w:r>
        <w:rPr>
          <w:rFonts w:ascii="Palatino Linotype" w:eastAsia="Palatino Linotype" w:hAnsi="Palatino Linotype" w:cs="Palatino Linotype"/>
          <w:color w:val="000000"/>
        </w:rPr>
        <w:t xml:space="preserve">, proteger y </w:t>
      </w:r>
      <w:r>
        <w:rPr>
          <w:rFonts w:ascii="Palatino Linotype" w:eastAsia="Palatino Linotype" w:hAnsi="Palatino Linotype" w:cs="Palatino Linotype"/>
          <w:b/>
          <w:color w:val="000000"/>
        </w:rPr>
        <w:t>garantizar</w:t>
      </w:r>
      <w:r>
        <w:rPr>
          <w:rFonts w:ascii="Palatino Linotype" w:eastAsia="Palatino Linotype" w:hAnsi="Palatino Linotype" w:cs="Palatino Linotype"/>
          <w:color w:val="000000"/>
        </w:rPr>
        <w:t xml:space="preserve"> los derecho</w:t>
      </w:r>
      <w:r>
        <w:rPr>
          <w:rFonts w:ascii="Palatino Linotype" w:eastAsia="Palatino Linotype" w:hAnsi="Palatino Linotype" w:cs="Palatino Linotype"/>
          <w:color w:val="000000"/>
        </w:rPr>
        <w:t xml:space="preserve">s humanos”, entre los cuales se encuentra ese derecho. </w:t>
      </w:r>
    </w:p>
    <w:p w:rsidR="00BB5537" w:rsidRDefault="00BB5537">
      <w:pPr>
        <w:ind w:left="720"/>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se deduce que el derecho de acceso a la información pública es un derecho humano constitucionalmente reconocido y, por lo tanto, todas las autoridades en el ámbito de sus competencia</w:t>
      </w:r>
      <w:r>
        <w:rPr>
          <w:rFonts w:ascii="Palatino Linotype" w:eastAsia="Palatino Linotype" w:hAnsi="Palatino Linotype" w:cs="Palatino Linotype"/>
        </w:rPr>
        <w:t>s, funciones y atribuciones tienen la obligación de respetarlo, protegerlo y garantizarlo.</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Asimismo, el artículo primero Constitucional dispone de manera clara  y precisa que, como consecuencia de la obligación que tienen las autoridades de promover, respetar, proteger y garantizar el derecho humano; el Estado deberá </w:t>
      </w:r>
      <w:r>
        <w:rPr>
          <w:rFonts w:ascii="Palatino Linotype" w:eastAsia="Palatino Linotype" w:hAnsi="Palatino Linotype" w:cs="Palatino Linotype"/>
          <w:u w:val="single"/>
        </w:rPr>
        <w:t>prevenir, investigar, sancio</w:t>
      </w:r>
      <w:r>
        <w:rPr>
          <w:rFonts w:ascii="Palatino Linotype" w:eastAsia="Palatino Linotype" w:hAnsi="Palatino Linotype" w:cs="Palatino Linotype"/>
          <w:u w:val="single"/>
        </w:rPr>
        <w:t>nar y reparar las violaciones a los derechos humanos</w:t>
      </w:r>
      <w:r>
        <w:rPr>
          <w:rFonts w:ascii="Palatino Linotype" w:eastAsia="Palatino Linotype" w:hAnsi="Palatino Linotype" w:cs="Palatino Linotype"/>
        </w:rPr>
        <w:t xml:space="preserve">. </w:t>
      </w:r>
    </w:p>
    <w:p w:rsidR="00BB5537" w:rsidRDefault="00BB5537">
      <w:pPr>
        <w:spacing w:line="360" w:lineRule="auto"/>
        <w:ind w:left="360"/>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sentido, la </w:t>
      </w:r>
      <w:r>
        <w:rPr>
          <w:rFonts w:ascii="Palatino Linotype" w:eastAsia="Palatino Linotype" w:hAnsi="Palatino Linotype" w:cs="Palatino Linotype"/>
          <w:b/>
        </w:rPr>
        <w:t xml:space="preserve">Ley de Transparencia y Acceso a la Información Pública del Estado de México y Municipios </w:t>
      </w:r>
      <w:r>
        <w:rPr>
          <w:rFonts w:ascii="Palatino Linotype" w:eastAsia="Palatino Linotype" w:hAnsi="Palatino Linotype" w:cs="Palatino Linotype"/>
        </w:rPr>
        <w:t>establece principios, bases generales y procedimientos para tutelar y garantizar la transpar</w:t>
      </w:r>
      <w:r>
        <w:rPr>
          <w:rFonts w:ascii="Palatino Linotype" w:eastAsia="Palatino Linotype" w:hAnsi="Palatino Linotype" w:cs="Palatino Linotype"/>
        </w:rPr>
        <w:t>encia y el derecho humano de acceso a la información pública en posesión de los sujetos obligados; y para tal efecto, el artículo 176</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establece que </w:t>
      </w:r>
      <w:r>
        <w:rPr>
          <w:rFonts w:ascii="Palatino Linotype" w:eastAsia="Palatino Linotype" w:hAnsi="Palatino Linotype" w:cs="Palatino Linotype"/>
          <w:b/>
          <w:i/>
          <w:u w:val="single"/>
        </w:rPr>
        <w:t>el recurso de revisión es la garantía secundaria</w:t>
      </w:r>
      <w:r>
        <w:rPr>
          <w:rFonts w:ascii="Palatino Linotype" w:eastAsia="Palatino Linotype" w:hAnsi="Palatino Linotype" w:cs="Palatino Linotype"/>
          <w:b/>
          <w:i/>
        </w:rPr>
        <w:t xml:space="preserve"> mediante la cual se pretende reparar cualquier posible afec</w:t>
      </w:r>
      <w:r>
        <w:rPr>
          <w:rFonts w:ascii="Palatino Linotype" w:eastAsia="Palatino Linotype" w:hAnsi="Palatino Linotype" w:cs="Palatino Linotype"/>
          <w:b/>
          <w:i/>
        </w:rPr>
        <w:t>tación al derecho de acceso a la información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siendo el medio para que este Órgano Garante después de realizar el análisis al procedimiento de acceso a la información, determine la posible afectación y de ser el caso ordene la reparación del derech</w:t>
      </w:r>
      <w:r>
        <w:rPr>
          <w:rFonts w:ascii="Palatino Linotype" w:eastAsia="Palatino Linotype" w:hAnsi="Palatino Linotype" w:cs="Palatino Linotype"/>
        </w:rPr>
        <w:t xml:space="preserve">o en cuestión.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w:t>
      </w:r>
      <w:r>
        <w:rPr>
          <w:rFonts w:ascii="Palatino Linotype" w:eastAsia="Palatino Linotype" w:hAnsi="Palatino Linotype" w:cs="Palatino Linotype"/>
        </w:rPr>
        <w:lastRenderedPageBreak/>
        <w:t>pública, en atención a que en la Ley de Transparencia y Acceso a la Información P</w:t>
      </w:r>
      <w:r>
        <w:rPr>
          <w:rFonts w:ascii="Palatino Linotype" w:eastAsia="Palatino Linotype" w:hAnsi="Palatino Linotype" w:cs="Palatino Linotype"/>
        </w:rPr>
        <w:t xml:space="preserve">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w:t>
      </w:r>
      <w:r>
        <w:rPr>
          <w:rFonts w:ascii="Palatino Linotype" w:eastAsia="Palatino Linotype" w:hAnsi="Palatino Linotype" w:cs="Palatino Linotype"/>
          <w:color w:val="000000"/>
        </w:rPr>
        <w:t>egiando el principio de máxima publicidad, como así lo establece dicha determinación, que a continuación se trascribe para un mejor entendimiento:</w:t>
      </w:r>
    </w:p>
    <w:p w:rsidR="00BB5537" w:rsidRDefault="00DC714F">
      <w:pPr>
        <w:spacing w:before="24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w:t>
      </w:r>
      <w:r>
        <w:rPr>
          <w:rFonts w:ascii="Palatino Linotype" w:eastAsia="Palatino Linotype" w:hAnsi="Palatino Linotype" w:cs="Palatino Linotype"/>
          <w:i/>
          <w:sz w:val="22"/>
          <w:szCs w:val="22"/>
        </w:rPr>
        <w:t xml:space="preserve">car, difundir, investigar, recabar, recibir y solicitar información pública, sin necesidad de acreditar personalidad ni interés jurídico. </w:t>
      </w: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Toda la información generada, obtenida, adquirida, transformada, administrada o en posesión de los sujetos obligados </w:t>
      </w:r>
      <w:r>
        <w:rPr>
          <w:rFonts w:ascii="Palatino Linotype" w:eastAsia="Palatino Linotype" w:hAnsi="Palatino Linotype" w:cs="Palatino Linotype"/>
          <w:b/>
          <w:i/>
          <w:sz w:val="22"/>
          <w:szCs w:val="22"/>
        </w:rPr>
        <w:t>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w:t>
      </w:r>
      <w:r>
        <w:rPr>
          <w:rFonts w:ascii="Palatino Linotype" w:eastAsia="Palatino Linotype" w:hAnsi="Palatino Linotype" w:cs="Palatino Linotype"/>
          <w:i/>
          <w:sz w:val="22"/>
          <w:szCs w:val="22"/>
        </w:rPr>
        <w:t>a, privilegiando el principio de máxima publicidad de la información. Solo podrá ser clasificada excepcionalmente Ley de Transparencia y Acceso a la Información Pública del Estado de México y Municipios 29 como reservada temporalmente por razones de interé</w:t>
      </w:r>
      <w:r>
        <w:rPr>
          <w:rFonts w:ascii="Palatino Linotype" w:eastAsia="Palatino Linotype" w:hAnsi="Palatino Linotype" w:cs="Palatino Linotype"/>
          <w:i/>
          <w:sz w:val="22"/>
          <w:szCs w:val="22"/>
        </w:rPr>
        <w:t>s público, en los términos de las causas legítimas y estrictamente necesarias previstas por esta Ley.</w:t>
      </w: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w:t>
      </w:r>
      <w:r>
        <w:rPr>
          <w:rFonts w:ascii="Palatino Linotype" w:eastAsia="Palatino Linotype" w:hAnsi="Palatino Linotype" w:cs="Palatino Linotype"/>
          <w:b/>
          <w:i/>
          <w:sz w:val="22"/>
          <w:szCs w:val="22"/>
        </w:rPr>
        <w:t>unidad, precisión y suficiencia en beneficio de los solicitantes</w:t>
      </w:r>
      <w:r>
        <w:rPr>
          <w:rFonts w:ascii="Palatino Linotype" w:eastAsia="Palatino Linotype" w:hAnsi="Palatino Linotype" w:cs="Palatino Linotype"/>
          <w:i/>
          <w:sz w:val="22"/>
          <w:szCs w:val="22"/>
        </w:rPr>
        <w:t>.”(Sic)</w:t>
      </w:r>
    </w:p>
    <w:p w:rsidR="00BB5537" w:rsidRDefault="00BB5537">
      <w:pPr>
        <w:ind w:left="709" w:right="760"/>
        <w:jc w:val="both"/>
        <w:rPr>
          <w:rFonts w:ascii="Palatino Linotype" w:eastAsia="Palatino Linotype" w:hAnsi="Palatino Linotype" w:cs="Palatino Linotype"/>
          <w:i/>
        </w:rPr>
      </w:pP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conocimiento y </w:t>
      </w:r>
      <w:r>
        <w:rPr>
          <w:rFonts w:ascii="Palatino Linotype" w:eastAsia="Palatino Linotype" w:hAnsi="Palatino Linotype" w:cs="Palatino Linotype"/>
        </w:rPr>
        <w:t>proporcionar la información pública que obren en su poder conforme el estado que se encuentra y no hacer un procesamiento de la misma, ni presentarla conforme al interés del solicitante; como así lo establece el artículo 12 de la Ley de Transparencia y Acc</w:t>
      </w:r>
      <w:r>
        <w:rPr>
          <w:rFonts w:ascii="Palatino Linotype" w:eastAsia="Palatino Linotype" w:hAnsi="Palatino Linotype" w:cs="Palatino Linotype"/>
        </w:rPr>
        <w:t>eso a la Información Pública del Estado de México y Municipios, el cual a la letra dice:</w:t>
      </w: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w:t>
      </w:r>
      <w:r>
        <w:rPr>
          <w:rFonts w:ascii="Palatino Linotype" w:eastAsia="Palatino Linotype" w:hAnsi="Palatino Linotype" w:cs="Palatino Linotype"/>
          <w:i/>
          <w:sz w:val="22"/>
          <w:szCs w:val="22"/>
        </w:rPr>
        <w:t xml:space="preserve">s disposiciones jurídicas aplicables. </w:t>
      </w: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BB5537" w:rsidRDefault="00BB5537">
      <w:pPr>
        <w:spacing w:line="360" w:lineRule="auto"/>
        <w:ind w:right="-93"/>
        <w:jc w:val="both"/>
        <w:rPr>
          <w:rFonts w:ascii="Palatino Linotype" w:eastAsia="Palatino Linotype" w:hAnsi="Palatino Linotype" w:cs="Palatino Linotype"/>
          <w:color w:val="000000"/>
        </w:rPr>
      </w:pPr>
    </w:p>
    <w:p w:rsidR="00BB5537" w:rsidRDefault="00DC714F">
      <w:pPr>
        <w:spacing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decir, todo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que genere, recopile, administre, procese, archive, posea o conserve información es responsables de la misma, teniendo a su vez la obligación de proporcionarla cuando se le requiera, sin necesidad de resumirla, efectuar procedimientos para </w:t>
      </w:r>
      <w:r>
        <w:rPr>
          <w:rFonts w:ascii="Palatino Linotype" w:eastAsia="Palatino Linotype" w:hAnsi="Palatino Linotype" w:cs="Palatino Linotype"/>
          <w:color w:val="000000"/>
        </w:rPr>
        <w:t>obtenerla, calcular y practicar investigaciones; es decir, los Sujetos Obligados sólo se concretarán a proporcionar la información solicitada que tengan en su poder en el estado que se encuentran, sin necesidad de concretarse al interés o términos específi</w:t>
      </w:r>
      <w:r>
        <w:rPr>
          <w:rFonts w:ascii="Palatino Linotype" w:eastAsia="Palatino Linotype" w:hAnsi="Palatino Linotype" w:cs="Palatino Linotype"/>
          <w:color w:val="000000"/>
        </w:rPr>
        <w:t xml:space="preserve">cos del solicitante. </w:t>
      </w:r>
    </w:p>
    <w:p w:rsidR="00BB5537" w:rsidRDefault="00BB5537">
      <w:pPr>
        <w:spacing w:line="360" w:lineRule="auto"/>
        <w:ind w:right="-93"/>
        <w:jc w:val="both"/>
        <w:rPr>
          <w:rFonts w:ascii="Palatino Linotype" w:eastAsia="Palatino Linotype" w:hAnsi="Palatino Linotype" w:cs="Palatino Linotype"/>
          <w:color w:val="000000"/>
        </w:rPr>
      </w:pPr>
    </w:p>
    <w:p w:rsidR="00BB5537" w:rsidRDefault="00DC714F">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r>
        <w:rPr>
          <w:rFonts w:ascii="Palatino Linotype" w:eastAsia="Palatino Linotype" w:hAnsi="Palatino Linotype" w:cs="Palatino Linotype"/>
          <w:b/>
          <w:color w:val="000000"/>
        </w:rPr>
        <w:t xml:space="preserve"> </w:t>
      </w:r>
    </w:p>
    <w:p w:rsidR="00BB5537" w:rsidRDefault="00BB5537">
      <w:pPr>
        <w:ind w:left="851" w:right="850"/>
        <w:jc w:val="both"/>
        <w:rPr>
          <w:rFonts w:ascii="Palatino Linotype" w:eastAsia="Palatino Linotype" w:hAnsi="Palatino Linotype" w:cs="Palatino Linotype"/>
          <w:color w:val="000000"/>
        </w:rPr>
      </w:pPr>
    </w:p>
    <w:p w:rsidR="00BB5537" w:rsidRDefault="00DC714F">
      <w:pP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No existe obligación de elaborar documentos ad hoc para aten</w:t>
      </w:r>
      <w:r>
        <w:rPr>
          <w:rFonts w:ascii="Palatino Linotype" w:eastAsia="Palatino Linotype" w:hAnsi="Palatino Linotype" w:cs="Palatino Linotype"/>
          <w:b/>
          <w:i/>
          <w:color w:val="000000"/>
          <w:sz w:val="22"/>
          <w:szCs w:val="22"/>
        </w:rPr>
        <w:t>der las solicitudes de acceso a la información.</w:t>
      </w:r>
      <w:r>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w:t>
      </w:r>
      <w:r>
        <w:rPr>
          <w:rFonts w:ascii="Palatino Linotype" w:eastAsia="Palatino Linotype" w:hAnsi="Palatino Linotype" w:cs="Palatino Linotype"/>
          <w:i/>
          <w:color w:val="000000"/>
          <w:sz w:val="22"/>
          <w:szCs w:val="22"/>
        </w:rPr>
        <w:t>gados deberán otorgar acceso a los documentos que se encuentren en sus archivos o que estén obligados a documentar, de acuerdo con sus facultades, competencias o funciones, conforme a las características físicas de la información o del lugar donde se encue</w:t>
      </w:r>
      <w:r>
        <w:rPr>
          <w:rFonts w:ascii="Palatino Linotype" w:eastAsia="Palatino Linotype" w:hAnsi="Palatino Linotype" w:cs="Palatino Linotype"/>
          <w:i/>
          <w:color w:val="000000"/>
          <w:sz w:val="22"/>
          <w:szCs w:val="22"/>
        </w:rPr>
        <w:t>ntre. Por lo anterior, los sujetos obligados deben garantizar el derecho de acceso a la información del particular, proporcionando la información con la que cuentan en el formato en que la misma obre en sus archivos; sin necesidad de elaborar documentos ad</w:t>
      </w:r>
      <w:r>
        <w:rPr>
          <w:rFonts w:ascii="Palatino Linotype" w:eastAsia="Palatino Linotype" w:hAnsi="Palatino Linotype" w:cs="Palatino Linotype"/>
          <w:i/>
          <w:color w:val="000000"/>
          <w:sz w:val="22"/>
          <w:szCs w:val="22"/>
        </w:rPr>
        <w:t xml:space="preserve"> hoc para atender las solicitudes de información.</w:t>
      </w:r>
    </w:p>
    <w:p w:rsidR="00BB5537" w:rsidRDefault="00DC714F">
      <w:pP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Resoluciones: </w:t>
      </w:r>
    </w:p>
    <w:p w:rsidR="00BB5537" w:rsidRDefault="00DC714F">
      <w:pPr>
        <w:ind w:left="851" w:right="616"/>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lastRenderedPageBreak/>
        <w:t>∙</w:t>
      </w:r>
      <w:r>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rsidR="00BB5537" w:rsidRDefault="00DC714F">
      <w:pPr>
        <w:ind w:left="851" w:right="616"/>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0310/16. Instituto Nacional d</w:t>
      </w:r>
      <w:r>
        <w:rPr>
          <w:rFonts w:ascii="Palatino Linotype" w:eastAsia="Palatino Linotype" w:hAnsi="Palatino Linotype" w:cs="Palatino Linotype"/>
          <w:i/>
          <w:color w:val="000000"/>
          <w:sz w:val="22"/>
          <w:szCs w:val="22"/>
        </w:rPr>
        <w:t xml:space="preserve">e Transparencia, Acceso a la Información y Protección de Datos Personales. 10 de agosto de 2016. Por unanimidad. Comisionada Ponente. Areli Cano Guadiana. </w:t>
      </w:r>
    </w:p>
    <w:p w:rsidR="00BB5537" w:rsidRDefault="00DC714F">
      <w:pPr>
        <w:ind w:left="851" w:right="616"/>
        <w:jc w:val="both"/>
        <w:rPr>
          <w:rFonts w:ascii="Palatino Linotype" w:eastAsia="Palatino Linotype" w:hAnsi="Palatino Linotype" w:cs="Palatino Linotype"/>
          <w:i/>
          <w:color w:val="000000"/>
          <w:sz w:val="22"/>
          <w:szCs w:val="22"/>
        </w:rPr>
      </w:pPr>
      <w:r>
        <w:rPr>
          <w:rFonts w:ascii="Noto Sans Symbols" w:eastAsia="Noto Sans Symbols" w:hAnsi="Noto Sans Symbols" w:cs="Noto Sans Symbols"/>
          <w:i/>
          <w:color w:val="000000"/>
          <w:sz w:val="22"/>
          <w:szCs w:val="22"/>
        </w:rPr>
        <w:t>∙</w:t>
      </w:r>
      <w:r>
        <w:rPr>
          <w:rFonts w:ascii="Palatino Linotype" w:eastAsia="Palatino Linotype" w:hAnsi="Palatino Linotype" w:cs="Palatino Linotype"/>
          <w:i/>
          <w:color w:val="000000"/>
          <w:sz w:val="22"/>
          <w:szCs w:val="22"/>
        </w:rPr>
        <w:t xml:space="preserve"> RRA 1889/16. Secretaría de Hacienda y Crédito Público. 05 de octubre de 2016. Por unanimidad. Comi</w:t>
      </w:r>
      <w:r>
        <w:rPr>
          <w:rFonts w:ascii="Palatino Linotype" w:eastAsia="Palatino Linotype" w:hAnsi="Palatino Linotype" w:cs="Palatino Linotype"/>
          <w:i/>
          <w:color w:val="000000"/>
          <w:sz w:val="22"/>
          <w:szCs w:val="22"/>
        </w:rPr>
        <w:t>sionada Ponente. Ximena Puente de la Mora.”</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w:t>
      </w:r>
      <w:r>
        <w:rPr>
          <w:rFonts w:ascii="Palatino Linotype" w:eastAsia="Palatino Linotype" w:hAnsi="Palatino Linotype" w:cs="Palatino Linotype"/>
          <w:color w:val="000000"/>
        </w:rPr>
        <w:t xml:space="preserve">lica. </w:t>
      </w:r>
    </w:p>
    <w:p w:rsidR="00BB5537" w:rsidRDefault="00BB5537">
      <w:pPr>
        <w:spacing w:line="360" w:lineRule="auto"/>
        <w:jc w:val="both"/>
        <w:rPr>
          <w:rFonts w:ascii="Palatino Linotype" w:eastAsia="Palatino Linotype" w:hAnsi="Palatino Linotype" w:cs="Palatino Linotype"/>
          <w:color w:val="000000"/>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w:t>
      </w:r>
      <w:r>
        <w:rPr>
          <w:rFonts w:ascii="Palatino Linotype" w:eastAsia="Palatino Linotype" w:hAnsi="Palatino Linotype" w:cs="Palatino Linotype"/>
        </w:rPr>
        <w:t>erdos, directivas, directrices, circulares, contratos, convenios, instructivos, notas, memorandos, estadísticas o bien, cualquier otro registro que documente el ejercicio de las facultades, funciones y competencias de los Sujetos Obligados; los que, podrán</w:t>
      </w:r>
      <w:r>
        <w:rPr>
          <w:rFonts w:ascii="Palatino Linotype" w:eastAsia="Palatino Linotype" w:hAnsi="Palatino Linotype" w:cs="Palatino Linotype"/>
        </w:rPr>
        <w:t xml:space="preserve"> estar en cualquier medio, sea escrito, impreso, sonoro, visual, electrónico, informático u holográfico de conformidad con el artículo 3, fracción XI de la Ley de la materia, el cual señala lo siguiente: </w:t>
      </w:r>
    </w:p>
    <w:p w:rsidR="00BB5537" w:rsidRDefault="00BB5537">
      <w:pPr>
        <w:ind w:left="851" w:right="899"/>
        <w:jc w:val="both"/>
        <w:rPr>
          <w:rFonts w:ascii="Palatino Linotype" w:eastAsia="Palatino Linotype" w:hAnsi="Palatino Linotype" w:cs="Palatino Linotype"/>
          <w:i/>
          <w:sz w:val="22"/>
          <w:szCs w:val="22"/>
        </w:rPr>
      </w:pPr>
    </w:p>
    <w:p w:rsidR="00BB5537" w:rsidRDefault="00DC7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w:t>
      </w:r>
      <w:r>
        <w:rPr>
          <w:rFonts w:ascii="Palatino Linotype" w:eastAsia="Palatino Linotype" w:hAnsi="Palatino Linotype" w:cs="Palatino Linotype"/>
          <w:i/>
          <w:sz w:val="22"/>
          <w:szCs w:val="22"/>
        </w:rPr>
        <w:t>e entenderá por:</w:t>
      </w:r>
    </w:p>
    <w:p w:rsidR="00BB5537" w:rsidRDefault="00DC7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w:t>
      </w:r>
      <w:r>
        <w:rPr>
          <w:rFonts w:ascii="Palatino Linotype" w:eastAsia="Palatino Linotype" w:hAnsi="Palatino Linotype" w:cs="Palatino Linotype"/>
          <w:i/>
          <w:color w:val="000000"/>
          <w:sz w:val="22"/>
          <w:szCs w:val="22"/>
        </w:rPr>
        <w:lastRenderedPageBreak/>
        <w:t>registro que documente el ejercicio de las facultades, funciones y competencias de los sujetos obligados, sus servidores públicos e integrantes, sin importar su fuente o fecha de elaboración. Los documentos podrán estar en cualquier medio, sea escrito, imp</w:t>
      </w:r>
      <w:r>
        <w:rPr>
          <w:rFonts w:ascii="Palatino Linotype" w:eastAsia="Palatino Linotype" w:hAnsi="Palatino Linotype" w:cs="Palatino Linotype"/>
          <w:i/>
          <w:color w:val="000000"/>
          <w:sz w:val="22"/>
          <w:szCs w:val="22"/>
        </w:rPr>
        <w:t>reso, sonoro, visual, electrónico, informático u holográfico…” (Sic)</w:t>
      </w:r>
    </w:p>
    <w:p w:rsidR="00BB5537" w:rsidRDefault="00BB5537">
      <w:pPr>
        <w:ind w:left="851" w:right="899"/>
        <w:jc w:val="both"/>
        <w:rPr>
          <w:rFonts w:ascii="Palatino Linotype" w:eastAsia="Palatino Linotype" w:hAnsi="Palatino Linotype" w:cs="Palatino Linotype"/>
          <w:sz w:val="22"/>
          <w:szCs w:val="22"/>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w:t>
      </w:r>
      <w:r>
        <w:rPr>
          <w:rFonts w:ascii="Palatino Linotype" w:eastAsia="Palatino Linotype" w:hAnsi="Palatino Linotype" w:cs="Palatino Linotype"/>
        </w:rPr>
        <w:t>del Estado de México y Municipios; publicado en el Periódico Oficial del Gobierno del Estado Libre y Soberano de México “Gaceta del Gobierno”, el diecinueve de octubre de dos mil once, cuyo rubro y texto refieren lo siguiente:</w:t>
      </w:r>
    </w:p>
    <w:p w:rsidR="00BB5537" w:rsidRDefault="00BB5537">
      <w:pPr>
        <w:ind w:left="851" w:right="899"/>
        <w:jc w:val="both"/>
        <w:rPr>
          <w:rFonts w:ascii="Palatino Linotype" w:eastAsia="Palatino Linotype" w:hAnsi="Palatino Linotype" w:cs="Palatino Linotype"/>
        </w:rPr>
      </w:pPr>
    </w:p>
    <w:p w:rsidR="00BB5537" w:rsidRDefault="00DC714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BB5537" w:rsidRDefault="00DC7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w:t>
      </w:r>
      <w:r>
        <w:rPr>
          <w:rFonts w:ascii="Palatino Linotype" w:eastAsia="Palatino Linotype" w:hAnsi="Palatino Linotype" w:cs="Palatino Linotype"/>
          <w:i/>
          <w:sz w:val="22"/>
          <w:szCs w:val="22"/>
        </w:rPr>
        <w:t>e en cuanto a su alcance y resultado material, el acceso a los archivos, registros y documentos públicos, administrados, generados o en posesión de los órganos u organismos públicos, en virtud del ejercicio de sus funciones de derecho público, sin importar</w:t>
      </w:r>
      <w:r>
        <w:rPr>
          <w:rFonts w:ascii="Palatino Linotype" w:eastAsia="Palatino Linotype" w:hAnsi="Palatino Linotype" w:cs="Palatino Linotype"/>
          <w:i/>
          <w:sz w:val="22"/>
          <w:szCs w:val="22"/>
        </w:rPr>
        <w:t xml:space="preserve"> su fuente, soporte o fecha de elaboración.</w:t>
      </w:r>
    </w:p>
    <w:p w:rsidR="00BB5537" w:rsidRDefault="00DC7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BB5537" w:rsidRDefault="00DC71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w:t>
      </w:r>
      <w:r>
        <w:rPr>
          <w:rFonts w:ascii="Palatino Linotype" w:eastAsia="Palatino Linotype" w:hAnsi="Palatino Linotype" w:cs="Palatino Linotype"/>
          <w:i/>
          <w:sz w:val="22"/>
          <w:szCs w:val="22"/>
        </w:rPr>
        <w:t>as atribuciones conferidas, sea generada por los Sujetos Obligados;</w:t>
      </w:r>
    </w:p>
    <w:p w:rsidR="00BB5537" w:rsidRDefault="00DC714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rsidR="00BB5537" w:rsidRDefault="00DC714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3) Que se trate de</w:t>
      </w:r>
      <w:r>
        <w:rPr>
          <w:rFonts w:ascii="Palatino Linotype" w:eastAsia="Palatino Linotype" w:hAnsi="Palatino Linotype" w:cs="Palatino Linotype"/>
          <w:b/>
          <w:i/>
          <w:sz w:val="22"/>
          <w:szCs w:val="22"/>
        </w:rPr>
        <w:t xml:space="preserve"> información registrada en cualquier soporte documental, que en ejercicio de las atribuciones conferidas, se encuentre en posesión de los Sujetos Obligados.” </w:t>
      </w:r>
    </w:p>
    <w:p w:rsidR="00BB5537" w:rsidRDefault="00BB5537">
      <w:pPr>
        <w:spacing w:line="360" w:lineRule="auto"/>
        <w:ind w:right="-93"/>
        <w:jc w:val="both"/>
        <w:rPr>
          <w:rFonts w:ascii="Palatino Linotype" w:eastAsia="Palatino Linotype" w:hAnsi="Palatino Linotype" w:cs="Palatino Linotype"/>
          <w:color w:val="000000"/>
        </w:rPr>
      </w:pPr>
    </w:p>
    <w:p w:rsidR="00BB5537" w:rsidRDefault="00DC714F">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Previo al estudio del presente asunto, </w:t>
      </w:r>
      <w:r>
        <w:rPr>
          <w:rFonts w:ascii="Palatino Linotype" w:eastAsia="Palatino Linotype" w:hAnsi="Palatino Linotype" w:cs="Palatino Linotype"/>
          <w:color w:val="000000"/>
        </w:rPr>
        <w:t xml:space="preserve">el Pleno de este Instituto considera necesario mencionar </w:t>
      </w:r>
      <w:r>
        <w:rPr>
          <w:rFonts w:ascii="Palatino Linotype" w:eastAsia="Palatino Linotype" w:hAnsi="Palatino Linotype" w:cs="Palatino Linotype"/>
          <w:color w:val="000000"/>
        </w:rPr>
        <w:t xml:space="preserve">que, por cuestiones de técnica jurídica, se considera pertinente elaborar un cuadro de análisis, para identificar cada uno de los requerimientos; así como, la </w:t>
      </w:r>
      <w:r>
        <w:rPr>
          <w:rFonts w:ascii="Palatino Linotype" w:eastAsia="Palatino Linotype" w:hAnsi="Palatino Linotype" w:cs="Palatino Linotype"/>
          <w:color w:val="000000"/>
        </w:rPr>
        <w:lastRenderedPageBreak/>
        <w:t xml:space="preserve">información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entregó en respuesta a la solicitud, mismo que se inserta a co</w:t>
      </w:r>
      <w:r>
        <w:rPr>
          <w:rFonts w:ascii="Palatino Linotype" w:eastAsia="Palatino Linotype" w:hAnsi="Palatino Linotype" w:cs="Palatino Linotype"/>
          <w:color w:val="000000"/>
        </w:rPr>
        <w:t>ntinuación.</w:t>
      </w:r>
    </w:p>
    <w:p w:rsidR="00BB5537" w:rsidRDefault="00BB5537">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p>
    <w:tbl>
      <w:tblPr>
        <w:tblStyle w:val="a"/>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97"/>
        <w:gridCol w:w="4931"/>
      </w:tblGrid>
      <w:tr w:rsidR="00BB5537">
        <w:tc>
          <w:tcPr>
            <w:tcW w:w="8828" w:type="dxa"/>
            <w:gridSpan w:val="2"/>
            <w:shd w:val="clear" w:color="auto" w:fill="BFBFBF"/>
          </w:tcPr>
          <w:p w:rsidR="00BB5537" w:rsidRDefault="00DC714F">
            <w:pPr>
              <w:pBdr>
                <w:top w:val="nil"/>
                <w:left w:val="nil"/>
                <w:bottom w:val="nil"/>
                <w:right w:val="nil"/>
                <w:between w:val="nil"/>
              </w:pBdr>
              <w:tabs>
                <w:tab w:val="left" w:pos="426"/>
              </w:tabs>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sz w:val="20"/>
                <w:szCs w:val="20"/>
              </w:rPr>
              <w:t>De las obras denominadas: “Techado del Lienzo Charro del Municipio de Malinalco” y “Modernización de la Unidad Deportiva Arturo Orihuela” se solicitó lo siguiente:</w:t>
            </w:r>
          </w:p>
        </w:tc>
      </w:tr>
      <w:tr w:rsidR="00BB5537">
        <w:tc>
          <w:tcPr>
            <w:tcW w:w="3897" w:type="dxa"/>
            <w:shd w:val="clear" w:color="auto" w:fill="BFBFBF"/>
          </w:tcPr>
          <w:p w:rsidR="00BB5537" w:rsidRDefault="00DC714F">
            <w:pP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Solicitud</w:t>
            </w:r>
          </w:p>
        </w:tc>
        <w:tc>
          <w:tcPr>
            <w:tcW w:w="4931" w:type="dxa"/>
            <w:shd w:val="clear" w:color="auto" w:fill="BFBFBF"/>
          </w:tcPr>
          <w:p w:rsidR="00BB5537" w:rsidRDefault="00DC714F">
            <w:pPr>
              <w:ind w:firstLine="114"/>
              <w:jc w:val="center"/>
              <w:rPr>
                <w:rFonts w:ascii="Palatino Linotype" w:eastAsia="Palatino Linotype" w:hAnsi="Palatino Linotype" w:cs="Palatino Linotype"/>
                <w:b/>
                <w:sz w:val="20"/>
                <w:szCs w:val="20"/>
              </w:rPr>
            </w:pPr>
            <w:r>
              <w:rPr>
                <w:rFonts w:ascii="Palatino Linotype" w:eastAsia="Palatino Linotype" w:hAnsi="Palatino Linotype" w:cs="Palatino Linotype"/>
                <w:b/>
                <w:sz w:val="20"/>
                <w:szCs w:val="20"/>
              </w:rPr>
              <w:t>Respuesta</w:t>
            </w:r>
          </w:p>
        </w:tc>
      </w:tr>
      <w:tr w:rsidR="00BB5537">
        <w:tc>
          <w:tcPr>
            <w:tcW w:w="3897" w:type="dxa"/>
          </w:tcPr>
          <w:p w:rsidR="00BB5537" w:rsidRDefault="00DC714F">
            <w:pPr>
              <w:jc w:val="both"/>
              <w:rPr>
                <w:rFonts w:ascii="Palatino Linotype" w:eastAsia="Palatino Linotype" w:hAnsi="Palatino Linotype" w:cs="Palatino Linotype"/>
                <w:b/>
                <w:sz w:val="20"/>
                <w:szCs w:val="20"/>
              </w:rPr>
            </w:pPr>
            <w:r>
              <w:rPr>
                <w:rFonts w:ascii="Palatino Linotype" w:eastAsia="Palatino Linotype" w:hAnsi="Palatino Linotype" w:cs="Palatino Linotype"/>
                <w:sz w:val="20"/>
                <w:szCs w:val="20"/>
              </w:rPr>
              <w:t>1. Documentos que comprueben y muestren la necesidad de ejecución de las obras; así como oficios, compromisos de funcionarios, comunicaciones electrónicas o cualquier otro documento con base en el cual se tomó la decisión de realizar dichas obras.</w:t>
            </w:r>
          </w:p>
        </w:tc>
        <w:tc>
          <w:tcPr>
            <w:tcW w:w="4931" w:type="dxa"/>
          </w:tcPr>
          <w:p w:rsidR="00BB5537" w:rsidRDefault="00DC714F">
            <w:pPr>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El Director General de Proyectos, Concursos y Contratos informó que no se localizó información al respecto; sin embargo proporcionó el anexo 1 y 2 consistentes en los expedientes técnicos de las obras,  en los que se observan los criterios sociales consist</w:t>
            </w:r>
            <w:r>
              <w:rPr>
                <w:rFonts w:ascii="Palatino Linotype" w:eastAsia="Palatino Linotype" w:hAnsi="Palatino Linotype" w:cs="Palatino Linotype"/>
                <w:sz w:val="20"/>
                <w:szCs w:val="20"/>
              </w:rPr>
              <w:t xml:space="preserve">entes en </w:t>
            </w:r>
            <w:r>
              <w:rPr>
                <w:rFonts w:ascii="Palatino Linotype" w:eastAsia="Palatino Linotype" w:hAnsi="Palatino Linotype" w:cs="Palatino Linotype"/>
                <w:i/>
                <w:sz w:val="20"/>
                <w:szCs w:val="20"/>
              </w:rPr>
              <w:t xml:space="preserve">“recuperación de espacios deportivos para la comunidad de Malinalco” </w:t>
            </w:r>
            <w:r>
              <w:rPr>
                <w:rFonts w:ascii="Palatino Linotype" w:eastAsia="Palatino Linotype" w:hAnsi="Palatino Linotype" w:cs="Palatino Linotype"/>
                <w:sz w:val="20"/>
                <w:szCs w:val="20"/>
              </w:rPr>
              <w:t xml:space="preserve">y </w:t>
            </w:r>
            <w:r>
              <w:rPr>
                <w:rFonts w:ascii="Palatino Linotype" w:eastAsia="Palatino Linotype" w:hAnsi="Palatino Linotype" w:cs="Palatino Linotype"/>
                <w:i/>
                <w:sz w:val="20"/>
                <w:szCs w:val="20"/>
              </w:rPr>
              <w:t>“mejorar las condiciones con techado para el lienzo;</w:t>
            </w:r>
          </w:p>
        </w:tc>
      </w:tr>
      <w:tr w:rsidR="00BB5537">
        <w:tc>
          <w:tcPr>
            <w:tcW w:w="3897" w:type="dxa"/>
          </w:tcPr>
          <w:p w:rsidR="00BB5537" w:rsidRDefault="00DC714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2. Documentos oficiales que muestren el costeo o estimaciones para dicha obra, así como las facturas y relación de pagos realizadas</w:t>
            </w:r>
          </w:p>
          <w:p w:rsidR="00BB5537" w:rsidRDefault="00DC714F">
            <w:pPr>
              <w:jc w:val="both"/>
              <w:rPr>
                <w:rFonts w:ascii="Palatino Linotype" w:eastAsia="Palatino Linotype" w:hAnsi="Palatino Linotype" w:cs="Palatino Linotype"/>
                <w:b/>
                <w:i/>
                <w:sz w:val="20"/>
                <w:szCs w:val="20"/>
              </w:rPr>
            </w:pPr>
            <w:proofErr w:type="gramStart"/>
            <w:r>
              <w:rPr>
                <w:rFonts w:ascii="Palatino Linotype" w:eastAsia="Palatino Linotype" w:hAnsi="Palatino Linotype" w:cs="Palatino Linotype"/>
                <w:sz w:val="20"/>
                <w:szCs w:val="20"/>
              </w:rPr>
              <w:t>a</w:t>
            </w:r>
            <w:proofErr w:type="gramEnd"/>
            <w:r>
              <w:rPr>
                <w:rFonts w:ascii="Palatino Linotype" w:eastAsia="Palatino Linotype" w:hAnsi="Palatino Linotype" w:cs="Palatino Linotype"/>
                <w:sz w:val="20"/>
                <w:szCs w:val="20"/>
              </w:rPr>
              <w:t xml:space="preserve"> las empresas y/o particulares a las que se les adjudicó..</w:t>
            </w:r>
          </w:p>
        </w:tc>
        <w:tc>
          <w:tcPr>
            <w:tcW w:w="4931" w:type="dxa"/>
          </w:tcPr>
          <w:p w:rsidR="00BB5537" w:rsidRDefault="00DC714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Entregó estimaciones y facturas respecto de las obras requeridas</w:t>
            </w:r>
            <w:r>
              <w:rPr>
                <w:rFonts w:ascii="Palatino Linotype" w:eastAsia="Palatino Linotype" w:hAnsi="Palatino Linotype" w:cs="Palatino Linotype"/>
                <w:sz w:val="20"/>
                <w:szCs w:val="20"/>
              </w:rPr>
              <w:t xml:space="preserve">. </w:t>
            </w:r>
          </w:p>
        </w:tc>
      </w:tr>
      <w:tr w:rsidR="00BB5537">
        <w:tc>
          <w:tcPr>
            <w:tcW w:w="3897" w:type="dxa"/>
          </w:tcPr>
          <w:p w:rsidR="00BB5537" w:rsidRDefault="00DC714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3. Documentos oficiales que muestren el desglose de los precios o costos efectivamente pagados por los distintos conceptos de las obras</w:t>
            </w:r>
          </w:p>
        </w:tc>
        <w:tc>
          <w:tcPr>
            <w:tcW w:w="4931" w:type="dxa"/>
          </w:tcPr>
          <w:p w:rsidR="00BB5537" w:rsidRDefault="00DC714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Entregó estimaciones y facturas respecto de las obras requeridas.</w:t>
            </w:r>
          </w:p>
        </w:tc>
      </w:tr>
      <w:tr w:rsidR="00BB5537">
        <w:tc>
          <w:tcPr>
            <w:tcW w:w="3897" w:type="dxa"/>
          </w:tcPr>
          <w:p w:rsidR="00BB5537" w:rsidRDefault="00DC714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4. Fechas de ejecución </w:t>
            </w:r>
          </w:p>
        </w:tc>
        <w:tc>
          <w:tcPr>
            <w:tcW w:w="4931" w:type="dxa"/>
          </w:tcPr>
          <w:p w:rsidR="00BB5537" w:rsidRDefault="00DC714F">
            <w:pPr>
              <w:jc w:val="both"/>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El Director General de Pr</w:t>
            </w:r>
            <w:r>
              <w:rPr>
                <w:rFonts w:ascii="Palatino Linotype" w:eastAsia="Palatino Linotype" w:hAnsi="Palatino Linotype" w:cs="Palatino Linotype"/>
                <w:sz w:val="20"/>
                <w:szCs w:val="20"/>
              </w:rPr>
              <w:t>oyectos, Concursos y Contratos manifestó</w:t>
            </w:r>
            <w:proofErr w:type="gramStart"/>
            <w:r>
              <w:rPr>
                <w:rFonts w:ascii="Palatino Linotype" w:eastAsia="Palatino Linotype" w:hAnsi="Palatino Linotype" w:cs="Palatino Linotype"/>
                <w:sz w:val="20"/>
                <w:szCs w:val="20"/>
              </w:rPr>
              <w:t xml:space="preserve">: </w:t>
            </w:r>
            <w:r>
              <w:rPr>
                <w:rFonts w:ascii="Palatino Linotype" w:eastAsia="Palatino Linotype" w:hAnsi="Palatino Linotype" w:cs="Palatino Linotype"/>
                <w:i/>
                <w:sz w:val="20"/>
                <w:szCs w:val="20"/>
              </w:rPr>
              <w:t>”</w:t>
            </w:r>
            <w:proofErr w:type="gramEnd"/>
            <w:r>
              <w:rPr>
                <w:rFonts w:ascii="Palatino Linotype" w:eastAsia="Palatino Linotype" w:hAnsi="Palatino Linotype" w:cs="Palatino Linotype"/>
                <w:i/>
                <w:sz w:val="20"/>
                <w:szCs w:val="20"/>
              </w:rPr>
              <w:t xml:space="preserve">para la Modernización de la Unidad Deportiva Arturo </w:t>
            </w:r>
            <w:proofErr w:type="spellStart"/>
            <w:r>
              <w:rPr>
                <w:rFonts w:ascii="Palatino Linotype" w:eastAsia="Palatino Linotype" w:hAnsi="Palatino Linotype" w:cs="Palatino Linotype"/>
                <w:i/>
                <w:sz w:val="20"/>
                <w:szCs w:val="20"/>
              </w:rPr>
              <w:t>Orhuela</w:t>
            </w:r>
            <w:proofErr w:type="spellEnd"/>
            <w:r>
              <w:rPr>
                <w:rFonts w:ascii="Palatino Linotype" w:eastAsia="Palatino Linotype" w:hAnsi="Palatino Linotype" w:cs="Palatino Linotype"/>
                <w:i/>
                <w:sz w:val="20"/>
                <w:szCs w:val="20"/>
              </w:rPr>
              <w:t xml:space="preserve">, originalmente fue del </w:t>
            </w:r>
            <w:r>
              <w:rPr>
                <w:rFonts w:ascii="Palatino Linotype" w:eastAsia="Palatino Linotype" w:hAnsi="Palatino Linotype" w:cs="Palatino Linotype"/>
                <w:b/>
                <w:i/>
                <w:sz w:val="20"/>
                <w:szCs w:val="20"/>
                <w:u w:val="single"/>
              </w:rPr>
              <w:t>trece de diciembre de dos mil dieciocho al veintidós de marzo de dos mil diecinueve</w:t>
            </w:r>
            <w:r>
              <w:rPr>
                <w:rFonts w:ascii="Palatino Linotype" w:eastAsia="Palatino Linotype" w:hAnsi="Palatino Linotype" w:cs="Palatino Linotype"/>
                <w:i/>
                <w:sz w:val="20"/>
                <w:szCs w:val="20"/>
              </w:rPr>
              <w:t xml:space="preserve"> y del Techado del Lienzo Charro del Municipio </w:t>
            </w:r>
            <w:r>
              <w:rPr>
                <w:rFonts w:ascii="Palatino Linotype" w:eastAsia="Palatino Linotype" w:hAnsi="Palatino Linotype" w:cs="Palatino Linotype"/>
                <w:i/>
                <w:sz w:val="20"/>
                <w:szCs w:val="20"/>
              </w:rPr>
              <w:t xml:space="preserve">de Malinalco del </w:t>
            </w:r>
            <w:r>
              <w:rPr>
                <w:rFonts w:ascii="Palatino Linotype" w:eastAsia="Palatino Linotype" w:hAnsi="Palatino Linotype" w:cs="Palatino Linotype"/>
                <w:b/>
                <w:i/>
                <w:sz w:val="20"/>
                <w:szCs w:val="20"/>
                <w:u w:val="single"/>
              </w:rPr>
              <w:t>trece de diciembre de dos mil dieciocho al once de abril de dos mil diecinueve.</w:t>
            </w:r>
            <w:r>
              <w:rPr>
                <w:rFonts w:ascii="Palatino Linotype" w:eastAsia="Palatino Linotype" w:hAnsi="Palatino Linotype" w:cs="Palatino Linotype"/>
                <w:i/>
                <w:sz w:val="20"/>
                <w:szCs w:val="20"/>
              </w:rPr>
              <w:t xml:space="preserve"> </w:t>
            </w:r>
          </w:p>
          <w:p w:rsidR="00BB5537" w:rsidRDefault="00DC714F">
            <w:pPr>
              <w:jc w:val="both"/>
              <w:rPr>
                <w:rFonts w:ascii="Palatino Linotype" w:eastAsia="Palatino Linotype" w:hAnsi="Palatino Linotype" w:cs="Palatino Linotype"/>
                <w:i/>
                <w:sz w:val="20"/>
                <w:szCs w:val="20"/>
              </w:rPr>
            </w:pPr>
            <w:r>
              <w:rPr>
                <w:rFonts w:ascii="Palatino Linotype" w:eastAsia="Palatino Linotype" w:hAnsi="Palatino Linotype" w:cs="Palatino Linotype"/>
                <w:i/>
                <w:sz w:val="20"/>
                <w:szCs w:val="20"/>
              </w:rPr>
              <w:t xml:space="preserve">Cabe hacer mención que mediante </w:t>
            </w:r>
            <w:r>
              <w:rPr>
                <w:rFonts w:ascii="Palatino Linotype" w:eastAsia="Palatino Linotype" w:hAnsi="Palatino Linotype" w:cs="Palatino Linotype"/>
                <w:b/>
                <w:i/>
                <w:sz w:val="20"/>
                <w:szCs w:val="20"/>
              </w:rPr>
              <w:t>convenio modificatorio</w:t>
            </w:r>
            <w:r>
              <w:rPr>
                <w:rFonts w:ascii="Palatino Linotype" w:eastAsia="Palatino Linotype" w:hAnsi="Palatino Linotype" w:cs="Palatino Linotype"/>
                <w:i/>
                <w:sz w:val="20"/>
                <w:szCs w:val="20"/>
              </w:rPr>
              <w:t xml:space="preserve"> respecto al programa de ejecución las fechas respecto al Techado del Lienzo Charro fueron, del </w:t>
            </w:r>
            <w:r>
              <w:rPr>
                <w:rFonts w:ascii="Palatino Linotype" w:eastAsia="Palatino Linotype" w:hAnsi="Palatino Linotype" w:cs="Palatino Linotype"/>
                <w:b/>
                <w:i/>
                <w:sz w:val="20"/>
                <w:szCs w:val="20"/>
                <w:u w:val="single"/>
              </w:rPr>
              <w:t>trece de</w:t>
            </w:r>
            <w:r>
              <w:rPr>
                <w:rFonts w:ascii="Palatino Linotype" w:eastAsia="Palatino Linotype" w:hAnsi="Palatino Linotype" w:cs="Palatino Linotype"/>
                <w:b/>
                <w:i/>
                <w:sz w:val="20"/>
                <w:szCs w:val="20"/>
                <w:u w:val="single"/>
              </w:rPr>
              <w:t xml:space="preserve"> marzo al diez de julio de dos mil diecinueve</w:t>
            </w:r>
            <w:r>
              <w:rPr>
                <w:rFonts w:ascii="Palatino Linotype" w:eastAsia="Palatino Linotype" w:hAnsi="Palatino Linotype" w:cs="Palatino Linotype"/>
                <w:i/>
                <w:sz w:val="20"/>
                <w:szCs w:val="20"/>
              </w:rPr>
              <w:t xml:space="preserve">; y de la Unidad Deportiva Arturo Orihuela del Municipio de </w:t>
            </w:r>
            <w:r>
              <w:rPr>
                <w:rFonts w:ascii="Palatino Linotype" w:eastAsia="Palatino Linotype" w:hAnsi="Palatino Linotype" w:cs="Palatino Linotype"/>
                <w:i/>
                <w:sz w:val="20"/>
                <w:szCs w:val="20"/>
              </w:rPr>
              <w:lastRenderedPageBreak/>
              <w:t xml:space="preserve">Malinalco, </w:t>
            </w:r>
            <w:r>
              <w:rPr>
                <w:rFonts w:ascii="Palatino Linotype" w:eastAsia="Palatino Linotype" w:hAnsi="Palatino Linotype" w:cs="Palatino Linotype"/>
                <w:b/>
                <w:i/>
                <w:sz w:val="20"/>
                <w:szCs w:val="20"/>
                <w:u w:val="single"/>
              </w:rPr>
              <w:t>del seis de febrero al dieciséis de mayo de dos mil diecinueve</w:t>
            </w:r>
            <w:r>
              <w:rPr>
                <w:rFonts w:ascii="Palatino Linotype" w:eastAsia="Palatino Linotype" w:hAnsi="Palatino Linotype" w:cs="Palatino Linotype"/>
                <w:i/>
                <w:sz w:val="20"/>
                <w:szCs w:val="20"/>
              </w:rPr>
              <w:t xml:space="preserve">.” </w:t>
            </w:r>
          </w:p>
        </w:tc>
      </w:tr>
      <w:tr w:rsidR="00BB5537">
        <w:tc>
          <w:tcPr>
            <w:tcW w:w="3897" w:type="dxa"/>
          </w:tcPr>
          <w:p w:rsidR="00BB5537" w:rsidRDefault="00DC714F">
            <w:pPr>
              <w:jc w:val="both"/>
              <w:rPr>
                <w:rFonts w:ascii="Palatino Linotype" w:eastAsia="Palatino Linotype" w:hAnsi="Palatino Linotype" w:cs="Palatino Linotype"/>
                <w:b/>
                <w:i/>
                <w:sz w:val="20"/>
                <w:szCs w:val="20"/>
              </w:rPr>
            </w:pPr>
            <w:r>
              <w:rPr>
                <w:rFonts w:ascii="Palatino Linotype" w:eastAsia="Palatino Linotype" w:hAnsi="Palatino Linotype" w:cs="Palatino Linotype"/>
                <w:sz w:val="20"/>
                <w:szCs w:val="20"/>
              </w:rPr>
              <w:lastRenderedPageBreak/>
              <w:t xml:space="preserve">5. Informe o informes del supervisor de las obras. </w:t>
            </w:r>
          </w:p>
        </w:tc>
        <w:tc>
          <w:tcPr>
            <w:tcW w:w="4931" w:type="dxa"/>
          </w:tcPr>
          <w:p w:rsidR="00BB5537" w:rsidRDefault="00DC714F">
            <w:pPr>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El Director General d</w:t>
            </w:r>
            <w:r>
              <w:rPr>
                <w:rFonts w:ascii="Palatino Linotype" w:eastAsia="Palatino Linotype" w:hAnsi="Palatino Linotype" w:cs="Palatino Linotype"/>
                <w:sz w:val="20"/>
                <w:szCs w:val="20"/>
              </w:rPr>
              <w:t xml:space="preserve">e Construcción de Obra Pública manifestó que cuenta con las bitácoras de las obras denominadas: “Modernización de la Unidad Deportiva Arturo Orihuela y el Techado del Lienzo Charro” las cuales constituyen el informe de supervisión. </w:t>
            </w:r>
          </w:p>
        </w:tc>
      </w:tr>
    </w:tbl>
    <w:p w:rsidR="00BB5537" w:rsidRDefault="00BB5537">
      <w:pPr>
        <w:spacing w:before="240" w:after="240" w:line="360" w:lineRule="auto"/>
        <w:jc w:val="both"/>
        <w:rPr>
          <w:rFonts w:ascii="Palatino Linotype" w:eastAsia="Palatino Linotype" w:hAnsi="Palatino Linotype" w:cs="Palatino Linotype"/>
        </w:rPr>
      </w:pPr>
    </w:p>
    <w:p w:rsidR="00BB5537" w:rsidRDefault="00DC714F">
      <w:pPr>
        <w:spacing w:before="240" w:after="240" w:line="360" w:lineRule="auto"/>
        <w:jc w:val="both"/>
      </w:pPr>
      <w:r>
        <w:rPr>
          <w:rFonts w:ascii="Palatino Linotype" w:eastAsia="Palatino Linotype" w:hAnsi="Palatino Linotype" w:cs="Palatino Linotype"/>
        </w:rPr>
        <w:t xml:space="preserve">En primer término es </w:t>
      </w:r>
      <w:r>
        <w:rPr>
          <w:rFonts w:ascii="Palatino Linotype" w:eastAsia="Palatino Linotype" w:hAnsi="Palatino Linotype" w:cs="Palatino Linotype"/>
        </w:rPr>
        <w:t xml:space="preserve">de señalar que la solicitud de información fue presentada solicitando información relacionada con la </w:t>
      </w:r>
      <w:r>
        <w:rPr>
          <w:rFonts w:ascii="Palatino Linotype" w:eastAsia="Palatino Linotype" w:hAnsi="Palatino Linotype" w:cs="Palatino Linotype"/>
          <w:i/>
        </w:rPr>
        <w:t>“…rehabilitación del Lienzo charro de Malinalco y la Unidad Deportiva Arturo Orihuela”</w:t>
      </w:r>
      <w:r>
        <w:rPr>
          <w:rFonts w:ascii="Palatino Linotype" w:eastAsia="Palatino Linotype" w:hAnsi="Palatino Linotype" w:cs="Palatino Linotype"/>
        </w:rPr>
        <w:t xml:space="preserve">, sin embargo, es menester destacar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proporcionó, a través de la respuesta, la denominación de las obras, sobre las cuales el particular requiere la información, por lo que el Pleno de este Instituto como garante del derecho de acceso a la información pública en términos de la dispuesto por </w:t>
      </w:r>
      <w:r>
        <w:rPr>
          <w:rFonts w:ascii="Palatino Linotype" w:eastAsia="Palatino Linotype" w:hAnsi="Palatino Linotype" w:cs="Palatino Linotype"/>
        </w:rPr>
        <w:t xml:space="preserve">los artículos 13 y 181, penúltimo párrafo de la </w:t>
      </w:r>
      <w:r>
        <w:rPr>
          <w:rFonts w:ascii="Palatino Linotype" w:eastAsia="Palatino Linotype" w:hAnsi="Palatino Linotype" w:cs="Palatino Linotype"/>
          <w:b/>
        </w:rPr>
        <w:t>Ley de Transparencia y Acceso a la Información Pública del Estado de México y Municipios</w:t>
      </w:r>
      <w:r>
        <w:rPr>
          <w:rFonts w:ascii="Palatino Linotype" w:eastAsia="Palatino Linotype" w:hAnsi="Palatino Linotype" w:cs="Palatino Linotype"/>
        </w:rPr>
        <w:t xml:space="preserve">, aplica la suplencia de la queja en favor del hoy </w:t>
      </w:r>
      <w:r>
        <w:rPr>
          <w:rFonts w:ascii="Palatino Linotype" w:eastAsia="Palatino Linotype" w:hAnsi="Palatino Linotype" w:cs="Palatino Linotype"/>
          <w:b/>
        </w:rPr>
        <w:t>RECURRENTE</w:t>
      </w:r>
      <w:r>
        <w:rPr>
          <w:rFonts w:ascii="Palatino Linotype" w:eastAsia="Palatino Linotype" w:hAnsi="Palatino Linotype" w:cs="Palatino Linotype"/>
        </w:rPr>
        <w:t>, a fin de considerar que su requerimiento se centra en obt</w:t>
      </w:r>
      <w:r>
        <w:rPr>
          <w:rFonts w:ascii="Palatino Linotype" w:eastAsia="Palatino Linotype" w:hAnsi="Palatino Linotype" w:cs="Palatino Linotype"/>
        </w:rPr>
        <w:t xml:space="preserve">ener </w:t>
      </w:r>
      <w:r>
        <w:rPr>
          <w:rFonts w:ascii="Palatino Linotype" w:eastAsia="Palatino Linotype" w:hAnsi="Palatino Linotype" w:cs="Palatino Linotype"/>
          <w:color w:val="000000"/>
        </w:rPr>
        <w:t xml:space="preserve">la información sobre </w:t>
      </w:r>
      <w:r>
        <w:rPr>
          <w:rFonts w:ascii="Palatino Linotype" w:eastAsia="Palatino Linotype" w:hAnsi="Palatino Linotype" w:cs="Palatino Linotype"/>
        </w:rPr>
        <w:t>las obras denominadas:</w:t>
      </w:r>
      <w:r>
        <w:rPr>
          <w:rFonts w:ascii="Palatino Linotype" w:eastAsia="Palatino Linotype" w:hAnsi="Palatino Linotype" w:cs="Palatino Linotype"/>
          <w:b/>
        </w:rPr>
        <w:t xml:space="preserve"> “Techado del Lienzo Charro del Municipio de Malinalco” y “Modernización de la Unidad Deportiva Arturo Orihuela”.</w:t>
      </w:r>
    </w:p>
    <w:p w:rsidR="00BB5537" w:rsidRDefault="00DC714F">
      <w:pPr>
        <w:spacing w:line="360" w:lineRule="auto"/>
        <w:jc w:val="both"/>
        <w:rPr>
          <w:rFonts w:ascii="Palatino Linotype" w:eastAsia="Palatino Linotype" w:hAnsi="Palatino Linotype" w:cs="Palatino Linotype"/>
          <w:color w:val="000000"/>
        </w:rPr>
      </w:pPr>
      <w:bookmarkStart w:id="4" w:name="_heading=h.3znysh7" w:colFirst="0" w:colLast="0"/>
      <w:bookmarkEnd w:id="4"/>
      <w:r>
        <w:rPr>
          <w:rFonts w:ascii="Palatino Linotype" w:eastAsia="Palatino Linotype" w:hAnsi="Palatino Linotype" w:cs="Palatino Linotype"/>
        </w:rPr>
        <w:t>Atento a lo anterior, cabe precisar que se obvia el análisis de la competencia por parte del</w:t>
      </w:r>
      <w:r>
        <w:rPr>
          <w:rFonts w:ascii="Palatino Linotype" w:eastAsia="Palatino Linotype" w:hAnsi="Palatino Linotype" w:cs="Palatino Linotype"/>
          <w:b/>
        </w:rPr>
        <w:t xml:space="preserve"> S</w:t>
      </w:r>
      <w:r>
        <w:rPr>
          <w:rFonts w:ascii="Palatino Linotype" w:eastAsia="Palatino Linotype" w:hAnsi="Palatino Linotype" w:cs="Palatino Linotype"/>
          <w:b/>
        </w:rPr>
        <w:t>UJETO OBLIGADO</w:t>
      </w:r>
      <w:r>
        <w:rPr>
          <w:rFonts w:ascii="Palatino Linotype" w:eastAsia="Palatino Linotype" w:hAnsi="Palatino Linotype" w:cs="Palatino Linotype"/>
        </w:rPr>
        <w:t xml:space="preserve">, dado que éste ha </w:t>
      </w:r>
      <w:r>
        <w:rPr>
          <w:rFonts w:ascii="Palatino Linotype" w:eastAsia="Palatino Linotype" w:hAnsi="Palatino Linotype" w:cs="Palatino Linotype"/>
          <w:color w:val="000000"/>
        </w:rPr>
        <w:t>asumido</w:t>
      </w:r>
      <w:r>
        <w:rPr>
          <w:rFonts w:ascii="Palatino Linotype" w:eastAsia="Palatino Linotype" w:hAnsi="Palatino Linotype" w:cs="Palatino Linotype"/>
        </w:rPr>
        <w:t xml:space="preserve"> la misma, en razón de que de los argumentos vertidos en su respuesta,  se advierte que genera, administra y posee la información solicitada, ya que </w:t>
      </w:r>
      <w:r>
        <w:rPr>
          <w:rFonts w:ascii="Palatino Linotype" w:eastAsia="Palatino Linotype" w:hAnsi="Palatino Linotype" w:cs="Palatino Linotype"/>
          <w:color w:val="000000"/>
        </w:rPr>
        <w:t>remitió estimaciones, facturas, expedientes técnicos, bitácoras y s</w:t>
      </w:r>
      <w:r>
        <w:rPr>
          <w:rFonts w:ascii="Palatino Linotype" w:eastAsia="Palatino Linotype" w:hAnsi="Palatino Linotype" w:cs="Palatino Linotype"/>
          <w:color w:val="000000"/>
        </w:rPr>
        <w:t xml:space="preserve">e pronunció sobre las fechas de inicio y término de las obras. </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De hecho, el estudio de la naturaleza jurídica de la información pública solicitada, tiene por objeto determinar si ésta la genera, posee o administra 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sin embargo, en aquellos casos en que éste la asume, implica en automático que la genera, posee o administra; por consiguiente, a nada práctico nos conduciría su estudio, ya que se insiste la información pública solicitada, ya fue asumida por el </w:t>
      </w:r>
      <w:r>
        <w:rPr>
          <w:rFonts w:ascii="Palatino Linotype" w:eastAsia="Palatino Linotype" w:hAnsi="Palatino Linotype" w:cs="Palatino Linotype"/>
          <w:b/>
        </w:rPr>
        <w:t>SUJETO O</w:t>
      </w:r>
      <w:r>
        <w:rPr>
          <w:rFonts w:ascii="Palatino Linotype" w:eastAsia="Palatino Linotype" w:hAnsi="Palatino Linotype" w:cs="Palatino Linotype"/>
          <w:b/>
        </w:rPr>
        <w:t>BLIGADO</w:t>
      </w:r>
      <w:r>
        <w:rPr>
          <w:rFonts w:ascii="Palatino Linotype" w:eastAsia="Palatino Linotype" w:hAnsi="Palatino Linotype" w:cs="Palatino Linotype"/>
        </w:rPr>
        <w:t>.</w:t>
      </w:r>
    </w:p>
    <w:p w:rsidR="00BB5537" w:rsidRDefault="00DC714F">
      <w:pPr>
        <w:spacing w:before="240" w:after="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rPr>
        <w:t xml:space="preserve">Por lo tanto, el estudio en el presente asunto versará sobre si la documentación entregada por la Secretaría de Obra Pública, satisface el derecho de acceso a la información pública del particular.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primer término es importante referir que el </w:t>
      </w:r>
      <w:r>
        <w:rPr>
          <w:rFonts w:ascii="Palatino Linotype" w:eastAsia="Palatino Linotype" w:hAnsi="Palatino Linotype" w:cs="Palatino Linotype"/>
          <w:b/>
        </w:rPr>
        <w:t>R</w:t>
      </w:r>
      <w:r>
        <w:rPr>
          <w:rFonts w:ascii="Palatino Linotype" w:eastAsia="Palatino Linotype" w:hAnsi="Palatino Linotype" w:cs="Palatino Linotype"/>
          <w:b/>
        </w:rPr>
        <w:t xml:space="preserve">ECURRENTE </w:t>
      </w:r>
      <w:r>
        <w:rPr>
          <w:rFonts w:ascii="Palatino Linotype" w:eastAsia="Palatino Linotype" w:hAnsi="Palatino Linotype" w:cs="Palatino Linotype"/>
        </w:rPr>
        <w:t xml:space="preserve">una vez que tuvo conocimiento de la respuesta a la solicitud, interpuso el recurso de revisión en el que se inconformó por la entrega de información incompleta, realizando los siguientes pronunciamientos: </w:t>
      </w:r>
    </w:p>
    <w:p w:rsidR="00BB5537" w:rsidRDefault="00DC714F">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No se entregaron los documentos programá</w:t>
      </w:r>
      <w:r>
        <w:rPr>
          <w:rFonts w:ascii="Palatino Linotype" w:eastAsia="Palatino Linotype" w:hAnsi="Palatino Linotype" w:cs="Palatino Linotype"/>
          <w:color w:val="000000"/>
        </w:rPr>
        <w:t xml:space="preserve">ticos que justifiquen la ejecución de las obras; </w:t>
      </w:r>
    </w:p>
    <w:p w:rsidR="00BB5537" w:rsidRDefault="00DC714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Las bitácoras del "Techado del lienzo charro" están incompletas y respecto a la "Unidad deportiva" no se adjuntaron.;</w:t>
      </w:r>
    </w:p>
    <w:p w:rsidR="00BB5537" w:rsidRDefault="00DC714F">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No se adjuntaron los documentos con base en los cuales se calculó el costo de la obra;</w:t>
      </w:r>
      <w:r>
        <w:rPr>
          <w:rFonts w:ascii="Palatino Linotype" w:eastAsia="Palatino Linotype" w:hAnsi="Palatino Linotype" w:cs="Palatino Linotype"/>
          <w:color w:val="000000"/>
        </w:rPr>
        <w:t xml:space="preserve"> y;</w:t>
      </w:r>
    </w:p>
    <w:p w:rsidR="00BB5537" w:rsidRDefault="00DC714F">
      <w:pPr>
        <w:numPr>
          <w:ilvl w:val="0"/>
          <w:numId w:val="1"/>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No se adjuntaron los informes del supervisor de obra;  y finiquito, ni fotografías sobre el avance las mismas. </w:t>
      </w:r>
    </w:p>
    <w:p w:rsidR="00BB5537" w:rsidRDefault="00DC714F">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es de resaltar que si bien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impugnó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lo cierto es que no expresó razón o motivo de inconformidad </w:t>
      </w:r>
      <w:r>
        <w:rPr>
          <w:rFonts w:ascii="Palatino Linotype" w:eastAsia="Palatino Linotype" w:hAnsi="Palatino Linotype" w:cs="Palatino Linotype"/>
        </w:rPr>
        <w:lastRenderedPageBreak/>
        <w:t xml:space="preserve">en contra de la respuesta emitida a los requerimiento descritos en los numerales 1 y 2, descritos en el cuadro de análisis que antecede,  referentes a: </w:t>
      </w:r>
      <w:r>
        <w:rPr>
          <w:rFonts w:ascii="Palatino Linotype" w:eastAsia="Palatino Linotype" w:hAnsi="Palatino Linotype" w:cs="Palatino Linotype"/>
          <w:i/>
        </w:rPr>
        <w:t xml:space="preserve">“los documentos que comprueben y muestren </w:t>
      </w:r>
      <w:r>
        <w:rPr>
          <w:rFonts w:ascii="Palatino Linotype" w:eastAsia="Palatino Linotype" w:hAnsi="Palatino Linotype" w:cs="Palatino Linotype"/>
          <w:i/>
        </w:rPr>
        <w:t>la necesidad de ejecución dela rehabilitación del Lienzo Charro de Malinalco y la Unidad Deportiva Arturo Orihuela…”; y “…documentos oficiales que muestren el costeo o estimaciones para dicha obra, así como las facturas y relación de pagos realizadas a las</w:t>
      </w:r>
      <w:r>
        <w:rPr>
          <w:rFonts w:ascii="Palatino Linotype" w:eastAsia="Palatino Linotype" w:hAnsi="Palatino Linotype" w:cs="Palatino Linotype"/>
          <w:i/>
        </w:rPr>
        <w:t xml:space="preserve"> empresas y/o particulares a las que se les adjudicó” </w:t>
      </w:r>
      <w:r>
        <w:rPr>
          <w:rFonts w:ascii="Palatino Linotype" w:eastAsia="Palatino Linotype" w:hAnsi="Palatino Linotype" w:cs="Palatino Linotype"/>
        </w:rPr>
        <w:t xml:space="preserve">por consiguiente  los planteamientos en comento deben declararse atendidos, por ende se entiende que el particular está conforme con la información entregada al no contravenirla. </w:t>
      </w:r>
    </w:p>
    <w:p w:rsidR="00BB5537" w:rsidRDefault="00DC714F">
      <w:pPr>
        <w:widowControl w:val="0"/>
        <w:tabs>
          <w:tab w:val="left" w:pos="1276"/>
        </w:tabs>
        <w:spacing w:before="24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 la re</w:t>
      </w:r>
      <w:r>
        <w:rPr>
          <w:rFonts w:ascii="Palatino Linotype" w:eastAsia="Palatino Linotype" w:hAnsi="Palatino Linotype" w:cs="Palatino Linotype"/>
        </w:rPr>
        <w:t xml:space="preserve">spuesta relativa a los rubros no combatidos queda intocada, ya que se advierte que se dan por satisfechos los requerimientos de información, quedando firme ante la falta de impugnación en específico, pues se entiende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ésta conforme con la </w:t>
      </w:r>
      <w:r>
        <w:rPr>
          <w:rFonts w:ascii="Palatino Linotype" w:eastAsia="Palatino Linotype" w:hAnsi="Palatino Linotype" w:cs="Palatino Linotype"/>
        </w:rPr>
        <w:t>información al no contravenir la misma.</w:t>
      </w:r>
    </w:p>
    <w:p w:rsidR="00BB5537" w:rsidRDefault="00DC714F">
      <w:pPr>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Sirve de sustento por analogía la tesis jurisprudencial número VI.3o.C. J/60, publicada en el Semanario Judicial de la Federación y su Gaceta bajo el número de registro 176,608 que a la letra dice:</w:t>
      </w:r>
    </w:p>
    <w:p w:rsidR="00BB5537" w:rsidRDefault="00DC714F">
      <w:pPr>
        <w:shd w:val="clear" w:color="auto" w:fill="FFFFFF"/>
        <w:ind w:left="851" w:right="902"/>
        <w:jc w:val="both"/>
        <w:rPr>
          <w:rFonts w:ascii="Palatino Linotype" w:eastAsia="Palatino Linotype" w:hAnsi="Palatino Linotype" w:cs="Palatino Linotype"/>
        </w:rPr>
      </w:pPr>
      <w:r>
        <w:rPr>
          <w:rFonts w:ascii="Palatino Linotype" w:eastAsia="Palatino Linotype" w:hAnsi="Palatino Linotype" w:cs="Palatino Linotype"/>
          <w:b/>
          <w:i/>
        </w:rPr>
        <w:t>“ACTOS CONSENTIDOS</w:t>
      </w:r>
      <w:r>
        <w:rPr>
          <w:rFonts w:ascii="Palatino Linotype" w:eastAsia="Palatino Linotype" w:hAnsi="Palatino Linotype" w:cs="Palatino Linotype"/>
          <w:b/>
          <w:i/>
        </w:rPr>
        <w:t xml:space="preserve">. SON LOS QUE NO SE IMPUGNAN MEDIANTE EL RECURSO IDÓNEO. </w:t>
      </w:r>
      <w:r>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w:t>
      </w:r>
      <w:r>
        <w:rPr>
          <w:rFonts w:ascii="Palatino Linotype" w:eastAsia="Palatino Linotype" w:hAnsi="Palatino Linotype" w:cs="Palatino Linotype"/>
          <w:i/>
        </w:rPr>
        <w:t>tes a revocar, confirmar o modificar el acto reclamado en amparo, lo que significa consentimiento del mismo por falta de impugnación eficaz.”</w:t>
      </w:r>
    </w:p>
    <w:p w:rsidR="00BB5537" w:rsidRDefault="00DC714F">
      <w:pPr>
        <w:shd w:val="clear" w:color="auto" w:fill="FFFFFF"/>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debido a que, cuando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impugnó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expresó razón </w:t>
      </w:r>
      <w:r>
        <w:rPr>
          <w:rFonts w:ascii="Palatino Linotype" w:eastAsia="Palatino Linotype" w:hAnsi="Palatino Linotype" w:cs="Palatino Linotype"/>
        </w:rPr>
        <w:t xml:space="preserve">o motivo de inconformidad en contra </w:t>
      </w:r>
      <w:r>
        <w:rPr>
          <w:rFonts w:ascii="Palatino Linotype" w:eastAsia="Palatino Linotype" w:hAnsi="Palatino Linotype" w:cs="Palatino Linotype"/>
        </w:rPr>
        <w:lastRenderedPageBreak/>
        <w:t xml:space="preserve">de todos los rubros solicitados; por lo que, debe declararse atendidos pues se entiende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está conforme con la información al no contravenir la misma.</w:t>
      </w:r>
    </w:p>
    <w:p w:rsidR="00BB5537" w:rsidRDefault="00DC714F">
      <w:pPr>
        <w:shd w:val="clear" w:color="auto" w:fill="FFFFFF"/>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Consecuentemente, la parte de la respuesta que no fue</w:t>
      </w:r>
      <w:r>
        <w:rPr>
          <w:rFonts w:ascii="Palatino Linotype" w:eastAsia="Palatino Linotype" w:hAnsi="Palatino Linotype" w:cs="Palatino Linotype"/>
        </w:rPr>
        <w:t xml:space="preserve"> impugnada debe declararse consentida, toda vez que,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w:t>
      </w:r>
      <w:r>
        <w:rPr>
          <w:rFonts w:ascii="Palatino Linotype" w:eastAsia="Palatino Linotype" w:hAnsi="Palatino Linotype" w:cs="Palatino Linotype"/>
        </w:rPr>
        <w:t>ento ante la falta de impugnación eficaz.</w:t>
      </w:r>
    </w:p>
    <w:p w:rsidR="00BB5537" w:rsidRDefault="00DC714F">
      <w:pPr>
        <w:shd w:val="clear" w:color="auto" w:fill="FFFFFF"/>
        <w:spacing w:before="280" w:after="28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w:t>
      </w:r>
      <w:r>
        <w:rPr>
          <w:rFonts w:ascii="Palatino Linotype" w:eastAsia="Palatino Linotype" w:hAnsi="Palatino Linotype" w:cs="Palatino Linotype"/>
        </w:rPr>
        <w:t>te:</w:t>
      </w:r>
    </w:p>
    <w:p w:rsidR="00BB5537" w:rsidRDefault="00DC714F">
      <w:pPr>
        <w:shd w:val="clear" w:color="auto" w:fill="FFFFFF"/>
        <w:ind w:left="709" w:right="760"/>
        <w:jc w:val="both"/>
        <w:rPr>
          <w:rFonts w:ascii="Palatino Linotype" w:eastAsia="Palatino Linotype" w:hAnsi="Palatino Linotype" w:cs="Palatino Linotype"/>
          <w:i/>
        </w:rPr>
      </w:pPr>
      <w:r>
        <w:rPr>
          <w:rFonts w:ascii="Palatino Linotype" w:eastAsia="Palatino Linotype" w:hAnsi="Palatino Linotype" w:cs="Palatino Linotype"/>
          <w:b/>
          <w:i/>
        </w:rPr>
        <w:t xml:space="preserve">“REVISIÓN EN AMPARO. LOS RESOLUTIVOS NO COMBATIDOS DEBEN DECLARARSE FIRMES. </w:t>
      </w:r>
      <w:r>
        <w:rPr>
          <w:rFonts w:ascii="Palatino Linotype" w:eastAsia="Palatino Linotype" w:hAnsi="Palatino Linotype" w:cs="Palatino Linotype"/>
          <w:i/>
        </w:rPr>
        <w:t xml:space="preserve">Cuando algún resolutivo de la sentencia impugnada afecta a la </w:t>
      </w:r>
      <w:r>
        <w:rPr>
          <w:rFonts w:ascii="Palatino Linotype" w:eastAsia="Palatino Linotype" w:hAnsi="Palatino Linotype" w:cs="Palatino Linotype"/>
          <w:b/>
          <w:i/>
        </w:rPr>
        <w:t>RECURRENTE</w:t>
      </w:r>
      <w:r>
        <w:rPr>
          <w:rFonts w:ascii="Palatino Linotype" w:eastAsia="Palatino Linotype" w:hAnsi="Palatino Linotype" w:cs="Palatino Linotype"/>
          <w:i/>
        </w:rPr>
        <w:t>, y ésta no expresa agravio en contra de las consideraciones que le sirven de base, dicho resolutivo deb</w:t>
      </w:r>
      <w:r>
        <w:rPr>
          <w:rFonts w:ascii="Palatino Linotype" w:eastAsia="Palatino Linotype" w:hAnsi="Palatino Linotype" w:cs="Palatino Linotype"/>
          <w:i/>
        </w:rPr>
        <w:t xml:space="preserve">e declararse firme. Esto es, en el caso referido, no obstante que la materia de la revisión comprende a todos los resolutivos que afectan a la </w:t>
      </w:r>
      <w:r>
        <w:rPr>
          <w:rFonts w:ascii="Palatino Linotype" w:eastAsia="Palatino Linotype" w:hAnsi="Palatino Linotype" w:cs="Palatino Linotype"/>
          <w:b/>
          <w:i/>
        </w:rPr>
        <w:t>RECURRENTE</w:t>
      </w:r>
      <w:r>
        <w:rPr>
          <w:rFonts w:ascii="Palatino Linotype" w:eastAsia="Palatino Linotype" w:hAnsi="Palatino Linotype" w:cs="Palatino Linotype"/>
          <w:i/>
        </w:rPr>
        <w:t>, deben declararse firmes aquéllos en contra de los cuales no se formuló agravio y dicha declaración de</w:t>
      </w:r>
      <w:r>
        <w:rPr>
          <w:rFonts w:ascii="Palatino Linotype" w:eastAsia="Palatino Linotype" w:hAnsi="Palatino Linotype" w:cs="Palatino Linotype"/>
          <w:i/>
        </w:rPr>
        <w:t xml:space="preserve"> firmeza debe reflejarse en la parte considerativa y en los resolutivos debe confirmarse la sentencia recurrida en la parte correspondiente.”</w:t>
      </w:r>
    </w:p>
    <w:p w:rsidR="00BB5537" w:rsidRDefault="00BB5537">
      <w:pPr>
        <w:spacing w:line="360" w:lineRule="auto"/>
        <w:jc w:val="both"/>
        <w:rPr>
          <w:rFonts w:ascii="Palatino Linotype" w:eastAsia="Palatino Linotype" w:hAnsi="Palatino Linotype" w:cs="Palatino Linotype"/>
        </w:rPr>
      </w:pP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en relación a la información, que para efectos de estudio que ahora nos ocupa, se describe en el numeral 3 del cuadro de análisis </w:t>
      </w:r>
      <w:proofErr w:type="gramStart"/>
      <w:r>
        <w:rPr>
          <w:rFonts w:ascii="Palatino Linotype" w:eastAsia="Palatino Linotype" w:hAnsi="Palatino Linotype" w:cs="Palatino Linotype"/>
        </w:rPr>
        <w:t>relativa</w:t>
      </w:r>
      <w:proofErr w:type="gramEnd"/>
      <w:r>
        <w:rPr>
          <w:rFonts w:ascii="Palatino Linotype" w:eastAsia="Palatino Linotype" w:hAnsi="Palatino Linotype" w:cs="Palatino Linotype"/>
        </w:rPr>
        <w:t xml:space="preserve"> a los </w:t>
      </w:r>
      <w:r>
        <w:rPr>
          <w:rFonts w:ascii="Palatino Linotype" w:eastAsia="Palatino Linotype" w:hAnsi="Palatino Linotype" w:cs="Palatino Linotype"/>
          <w:u w:val="single"/>
        </w:rPr>
        <w:t>documentos oficiales que muestren desglose de los precios o costos efectivamente pagados por los</w:t>
      </w:r>
      <w:r>
        <w:rPr>
          <w:rFonts w:ascii="Palatino Linotype" w:eastAsia="Palatino Linotype" w:hAnsi="Palatino Linotype" w:cs="Palatino Linotype"/>
          <w:u w:val="single"/>
        </w:rPr>
        <w:t xml:space="preserve"> distintos conceptos de obra</w:t>
      </w:r>
      <w:r>
        <w:rPr>
          <w:rFonts w:ascii="Palatino Linotype" w:eastAsia="Palatino Linotype" w:hAnsi="Palatino Linotype" w:cs="Palatino Linotype"/>
        </w:rPr>
        <w:t xml:space="preserve">. El Director General de Proyectos, </w:t>
      </w:r>
      <w:r>
        <w:rPr>
          <w:rFonts w:ascii="Palatino Linotype" w:eastAsia="Palatino Linotype" w:hAnsi="Palatino Linotype" w:cs="Palatino Linotype"/>
        </w:rPr>
        <w:lastRenderedPageBreak/>
        <w:t xml:space="preserve">Concursos y Contratos manifestó </w:t>
      </w:r>
      <w:r>
        <w:rPr>
          <w:rFonts w:ascii="Palatino Linotype" w:eastAsia="Palatino Linotype" w:hAnsi="Palatino Linotype" w:cs="Palatino Linotype"/>
          <w:i/>
        </w:rPr>
        <w:t>“se tiene a bien remitir, copias simples de las estimaciones y facturas, respecto de las obras…”</w:t>
      </w:r>
      <w:r>
        <w:rPr>
          <w:rFonts w:ascii="Palatino Linotype" w:eastAsia="Palatino Linotype" w:hAnsi="Palatino Linotype" w:cs="Palatino Linotype"/>
          <w:b/>
        </w:rPr>
        <w:t xml:space="preserve"> </w:t>
      </w:r>
      <w:r>
        <w:rPr>
          <w:rFonts w:ascii="Palatino Linotype" w:eastAsia="Palatino Linotype" w:hAnsi="Palatino Linotype" w:cs="Palatino Linotype"/>
        </w:rPr>
        <w:t>Documentos integrados en los archivos electrónicos identificado</w:t>
      </w:r>
      <w:r>
        <w:rPr>
          <w:rFonts w:ascii="Palatino Linotype" w:eastAsia="Palatino Linotype" w:hAnsi="Palatino Linotype" w:cs="Palatino Linotype"/>
        </w:rPr>
        <w:t xml:space="preserve">s como </w:t>
      </w:r>
      <w:r>
        <w:rPr>
          <w:rFonts w:ascii="Palatino Linotype" w:eastAsia="Palatino Linotype" w:hAnsi="Palatino Linotype" w:cs="Palatino Linotype"/>
          <w:b/>
          <w:i/>
        </w:rPr>
        <w:t>“L.CH._ESTIMACIONES Y FACTURAS_v.p</w:t>
      </w:r>
      <w:proofErr w:type="gramStart"/>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pdf</w:t>
      </w:r>
      <w:proofErr w:type="spellEnd"/>
      <w:proofErr w:type="gramEnd"/>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y </w:t>
      </w:r>
      <w:r>
        <w:rPr>
          <w:rFonts w:ascii="Palatino Linotype" w:eastAsia="Palatino Linotype" w:hAnsi="Palatino Linotype" w:cs="Palatino Linotype"/>
          <w:b/>
          <w:i/>
        </w:rPr>
        <w:t>“U.D._ESTIMACIONES Y FACTURAS_v.p..</w:t>
      </w:r>
      <w:proofErr w:type="spellStart"/>
      <w:proofErr w:type="gramStart"/>
      <w:r>
        <w:rPr>
          <w:rFonts w:ascii="Palatino Linotype" w:eastAsia="Palatino Linotype" w:hAnsi="Palatino Linotype" w:cs="Palatino Linotype"/>
          <w:b/>
          <w:i/>
        </w:rPr>
        <w:t>pdf</w:t>
      </w:r>
      <w:proofErr w:type="spellEnd"/>
      <w:proofErr w:type="gramEnd"/>
      <w:r>
        <w:rPr>
          <w:rFonts w:ascii="Palatino Linotype" w:eastAsia="Palatino Linotype" w:hAnsi="Palatino Linotype" w:cs="Palatino Linotype"/>
          <w:b/>
          <w:i/>
        </w:rPr>
        <w:t xml:space="preserve">” </w:t>
      </w:r>
      <w:r>
        <w:rPr>
          <w:rFonts w:ascii="Palatino Linotype" w:eastAsia="Palatino Linotype" w:hAnsi="Palatino Linotype" w:cs="Palatino Linotype"/>
        </w:rPr>
        <w:t>los cuales contienen las estimaciones y facturas de las obras denominadas: “Techado del Lienzo Charro del municipio de Malinalco” y “Modernización de la Unidad Deport</w:t>
      </w:r>
      <w:r>
        <w:rPr>
          <w:rFonts w:ascii="Palatino Linotype" w:eastAsia="Palatino Linotype" w:hAnsi="Palatino Linotype" w:cs="Palatino Linotype"/>
        </w:rPr>
        <w:t xml:space="preserve">iva Arturo Orihuela de Malinalco” respectivamente. </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es necesario citar lo dispuesto en los artículos 12.1, 12.2, 12.4 del Código Administrativo del Estado de México que en su texto literal refieren: </w:t>
      </w:r>
    </w:p>
    <w:p w:rsidR="00BB5537" w:rsidRDefault="00BB5537">
      <w:pPr>
        <w:spacing w:line="360" w:lineRule="auto"/>
        <w:jc w:val="both"/>
        <w:rPr>
          <w:rFonts w:ascii="Palatino Linotype" w:eastAsia="Palatino Linotype" w:hAnsi="Palatino Linotype" w:cs="Palatino Linotype"/>
          <w:b/>
        </w:rPr>
      </w:pPr>
    </w:p>
    <w:p w:rsidR="00BB5537" w:rsidRDefault="00DC714F">
      <w:pPr>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12.1.- </w:t>
      </w:r>
      <w:r>
        <w:rPr>
          <w:rFonts w:ascii="Palatino Linotype" w:eastAsia="Palatino Linotype" w:hAnsi="Palatino Linotype" w:cs="Palatino Linotype"/>
          <w:i/>
          <w:sz w:val="22"/>
          <w:szCs w:val="22"/>
        </w:rPr>
        <w:t>Este Libro tiene por</w:t>
      </w:r>
      <w:r>
        <w:rPr>
          <w:rFonts w:ascii="Palatino Linotype" w:eastAsia="Palatino Linotype" w:hAnsi="Palatino Linotype" w:cs="Palatino Linotype"/>
          <w:i/>
          <w:sz w:val="22"/>
          <w:szCs w:val="22"/>
        </w:rPr>
        <w:t xml:space="preserve"> objeto regular los actos relativos a la planeación, programación, </w:t>
      </w:r>
      <w:proofErr w:type="spellStart"/>
      <w:r>
        <w:rPr>
          <w:rFonts w:ascii="Palatino Linotype" w:eastAsia="Palatino Linotype" w:hAnsi="Palatino Linotype" w:cs="Palatino Linotype"/>
          <w:i/>
          <w:sz w:val="22"/>
          <w:szCs w:val="22"/>
        </w:rPr>
        <w:t>presupuestación</w:t>
      </w:r>
      <w:proofErr w:type="spellEnd"/>
      <w:r>
        <w:rPr>
          <w:rFonts w:ascii="Palatino Linotype" w:eastAsia="Palatino Linotype" w:hAnsi="Palatino Linotype" w:cs="Palatino Linotype"/>
          <w:i/>
          <w:sz w:val="22"/>
          <w:szCs w:val="22"/>
        </w:rPr>
        <w:t xml:space="preserve">, adjudicación, contratación, </w:t>
      </w:r>
      <w:r>
        <w:rPr>
          <w:rFonts w:ascii="Palatino Linotype" w:eastAsia="Palatino Linotype" w:hAnsi="Palatino Linotype" w:cs="Palatino Linotype"/>
          <w:b/>
          <w:i/>
          <w:sz w:val="22"/>
          <w:szCs w:val="22"/>
          <w:u w:val="single"/>
        </w:rPr>
        <w:t>ejecución y control de la obra pública</w:t>
      </w:r>
      <w:r>
        <w:rPr>
          <w:rFonts w:ascii="Palatino Linotype" w:eastAsia="Palatino Linotype" w:hAnsi="Palatino Linotype" w:cs="Palatino Linotype"/>
          <w:i/>
          <w:sz w:val="22"/>
          <w:szCs w:val="22"/>
        </w:rPr>
        <w:t>, así como los servicios relacionados con la misma que, por sí o por conducto de terceros, realicen:</w:t>
      </w:r>
    </w:p>
    <w:p w:rsidR="00BB5537" w:rsidRDefault="00BB5537">
      <w:pPr>
        <w:ind w:left="851" w:right="567"/>
        <w:jc w:val="both"/>
        <w:rPr>
          <w:rFonts w:ascii="Palatino Linotype" w:eastAsia="Palatino Linotype" w:hAnsi="Palatino Linotype" w:cs="Palatino Linotype"/>
          <w:i/>
          <w:sz w:val="22"/>
          <w:szCs w:val="22"/>
        </w:rPr>
      </w:pPr>
    </w:p>
    <w:p w:rsidR="00BB5537" w:rsidRDefault="00DC714F">
      <w:pPr>
        <w:ind w:left="851"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Las secretarías y unidades administrativas del Poder Ejecutivo del Estado;</w:t>
      </w:r>
      <w:r>
        <w:rPr>
          <w:rFonts w:ascii="Palatino Linotype" w:eastAsia="Palatino Linotype" w:hAnsi="Palatino Linotype" w:cs="Palatino Linotype"/>
          <w:i/>
          <w:sz w:val="22"/>
          <w:szCs w:val="22"/>
        </w:rPr>
        <w:br/>
        <w:t>(…)</w:t>
      </w:r>
    </w:p>
    <w:p w:rsidR="00BB5537" w:rsidRDefault="00BB5537">
      <w:pPr>
        <w:ind w:left="567" w:right="567"/>
        <w:jc w:val="both"/>
        <w:rPr>
          <w:rFonts w:ascii="Palatino Linotype" w:eastAsia="Palatino Linotype" w:hAnsi="Palatino Linotype" w:cs="Palatino Linotype"/>
          <w:i/>
        </w:rPr>
      </w:pP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12.2.-</w:t>
      </w:r>
      <w:r>
        <w:rPr>
          <w:rFonts w:ascii="Palatino Linotype" w:eastAsia="Palatino Linotype" w:hAnsi="Palatino Linotype" w:cs="Palatino Linotype"/>
          <w:i/>
          <w:sz w:val="22"/>
          <w:szCs w:val="22"/>
        </w:rPr>
        <w:t xml:space="preserve"> Las disposiciones de este Libro tienen como finalidad asegurar al Gobierno del Estado y a los municipios, </w:t>
      </w:r>
      <w:r>
        <w:rPr>
          <w:rFonts w:ascii="Palatino Linotype" w:eastAsia="Palatino Linotype" w:hAnsi="Palatino Linotype" w:cs="Palatino Linotype"/>
          <w:b/>
          <w:i/>
          <w:sz w:val="22"/>
          <w:szCs w:val="22"/>
          <w:u w:val="single"/>
        </w:rPr>
        <w:t>las mejores condiciones disponibles en cuanto a preci</w:t>
      </w:r>
      <w:r>
        <w:rPr>
          <w:rFonts w:ascii="Palatino Linotype" w:eastAsia="Palatino Linotype" w:hAnsi="Palatino Linotype" w:cs="Palatino Linotype"/>
          <w:b/>
          <w:i/>
          <w:sz w:val="22"/>
          <w:szCs w:val="22"/>
          <w:u w:val="single"/>
        </w:rPr>
        <w:t>o</w:t>
      </w:r>
      <w:r>
        <w:rPr>
          <w:rFonts w:ascii="Palatino Linotype" w:eastAsia="Palatino Linotype" w:hAnsi="Palatino Linotype" w:cs="Palatino Linotype"/>
          <w:i/>
          <w:sz w:val="22"/>
          <w:szCs w:val="22"/>
        </w:rPr>
        <w:t>, calidad, financiamiento, oportunidad y demás circunstancias pertinentes, en la contratación de la obra pública y servicios relacionados con la misma, en un marco de legalidad y transparencia.</w:t>
      </w: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BB5537">
      <w:pPr>
        <w:ind w:left="567" w:right="567"/>
        <w:jc w:val="both"/>
        <w:rPr>
          <w:rFonts w:ascii="Palatino Linotype" w:eastAsia="Palatino Linotype" w:hAnsi="Palatino Linotype" w:cs="Palatino Linotype"/>
          <w:b/>
          <w:i/>
          <w:sz w:val="22"/>
          <w:szCs w:val="22"/>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 mayor abundamiento, el artículo 3, fracción XVI del </w:t>
      </w:r>
      <w:r>
        <w:rPr>
          <w:rFonts w:ascii="Palatino Linotype" w:eastAsia="Palatino Linotype" w:hAnsi="Palatino Linotype" w:cs="Palatino Linotype"/>
          <w:b/>
        </w:rPr>
        <w:t>Re</w:t>
      </w:r>
      <w:r>
        <w:rPr>
          <w:rFonts w:ascii="Palatino Linotype" w:eastAsia="Palatino Linotype" w:hAnsi="Palatino Linotype" w:cs="Palatino Linotype"/>
          <w:b/>
        </w:rPr>
        <w:t>glamento del Libro Décimo Segundo del Código Administrativo del Estado De México</w:t>
      </w:r>
      <w:r>
        <w:rPr>
          <w:rFonts w:ascii="Palatino Linotype" w:eastAsia="Palatino Linotype" w:hAnsi="Palatino Linotype" w:cs="Palatino Linotype"/>
        </w:rPr>
        <w:t xml:space="preserve">, establece: </w:t>
      </w:r>
    </w:p>
    <w:p w:rsidR="00BB5537" w:rsidRDefault="00BB5537">
      <w:pPr>
        <w:ind w:left="567" w:right="567"/>
        <w:jc w:val="both"/>
        <w:rPr>
          <w:rFonts w:ascii="Palatino Linotype" w:eastAsia="Palatino Linotype" w:hAnsi="Palatino Linotype" w:cs="Palatino Linotype"/>
          <w:b/>
          <w:i/>
        </w:rPr>
      </w:pPr>
    </w:p>
    <w:p w:rsidR="00BB5537" w:rsidRDefault="00DC714F">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del presente reglamento, se entiende por:</w:t>
      </w: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BB5537">
      <w:pPr>
        <w:ind w:left="567" w:right="567"/>
        <w:jc w:val="both"/>
        <w:rPr>
          <w:rFonts w:ascii="Palatino Linotype" w:eastAsia="Palatino Linotype" w:hAnsi="Palatino Linotype" w:cs="Palatino Linotype"/>
          <w:b/>
          <w:i/>
          <w:sz w:val="22"/>
          <w:szCs w:val="22"/>
        </w:rPr>
      </w:pP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 Estimación:</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cuantificación y valuación de los trabajos ejecutados en un periodo</w:t>
      </w:r>
      <w:r>
        <w:rPr>
          <w:rFonts w:ascii="Palatino Linotype" w:eastAsia="Palatino Linotype" w:hAnsi="Palatino Linotype" w:cs="Palatino Linotype"/>
          <w:b/>
          <w:i/>
          <w:sz w:val="22"/>
          <w:szCs w:val="22"/>
        </w:rPr>
        <w:t xml:space="preserve"> determinado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aplicando los precios unitarios a las cantidades</w:t>
      </w:r>
      <w:r>
        <w:rPr>
          <w:rFonts w:ascii="Palatino Linotype" w:eastAsia="Palatino Linotype" w:hAnsi="Palatino Linotype" w:cs="Palatino Linotype"/>
          <w:i/>
          <w:sz w:val="22"/>
          <w:szCs w:val="22"/>
        </w:rPr>
        <w:t xml:space="preserve"> de los conceptos de trabajo realizados. En contratos a precio alzado, es la valuación de los trabajos realizados en cada actividad de obra conforme a la cédula de avance y al periodo del progra</w:t>
      </w:r>
      <w:r>
        <w:rPr>
          <w:rFonts w:ascii="Palatino Linotype" w:eastAsia="Palatino Linotype" w:hAnsi="Palatino Linotype" w:cs="Palatino Linotype"/>
          <w:i/>
          <w:sz w:val="22"/>
          <w:szCs w:val="22"/>
        </w:rPr>
        <w:t>ma de ejecución.</w:t>
      </w:r>
    </w:p>
    <w:p w:rsidR="00BB5537" w:rsidRDefault="00BB5537">
      <w:pPr>
        <w:ind w:left="567" w:right="567"/>
        <w:jc w:val="both"/>
        <w:rPr>
          <w:rFonts w:ascii="Palatino Linotype" w:eastAsia="Palatino Linotype" w:hAnsi="Palatino Linotype" w:cs="Palatino Linotype"/>
          <w:i/>
          <w:sz w:val="22"/>
          <w:szCs w:val="22"/>
        </w:rPr>
      </w:pP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Es el </w:t>
      </w:r>
      <w:r>
        <w:rPr>
          <w:rFonts w:ascii="Palatino Linotype" w:eastAsia="Palatino Linotype" w:hAnsi="Palatino Linotype" w:cs="Palatino Linotype"/>
          <w:b/>
          <w:i/>
          <w:sz w:val="22"/>
          <w:szCs w:val="22"/>
        </w:rPr>
        <w:t>documento en el que se consignan los importes para su pago</w:t>
      </w:r>
      <w:r>
        <w:rPr>
          <w:rFonts w:ascii="Palatino Linotype" w:eastAsia="Palatino Linotype" w:hAnsi="Palatino Linotype" w:cs="Palatino Linotype"/>
          <w:i/>
          <w:sz w:val="22"/>
          <w:szCs w:val="22"/>
        </w:rPr>
        <w:t>, considerando, en su caso, la amortización de los anticipos y los ajustes de costos.</w:t>
      </w: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BB5537">
      <w:pPr>
        <w:spacing w:line="360" w:lineRule="auto"/>
        <w:jc w:val="both"/>
        <w:rPr>
          <w:rFonts w:ascii="Palatino Linotype" w:eastAsia="Palatino Linotype" w:hAnsi="Palatino Linotype" w:cs="Palatino Linotype"/>
          <w:i/>
          <w:sz w:val="22"/>
          <w:szCs w:val="22"/>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preceptos normativos citados, se advierte que en la estimación se consigna l</w:t>
      </w:r>
      <w:r>
        <w:rPr>
          <w:rFonts w:ascii="Palatino Linotype" w:eastAsia="Palatino Linotype" w:hAnsi="Palatino Linotype" w:cs="Palatino Linotype"/>
        </w:rPr>
        <w:t xml:space="preserve">a información relacionada con cada uno de los costos por concepto de los trabajos realizados en un periodo determinado. </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es necesario enfatizar que el solicitante fue muy preciso al formular la solicitud de información, ya que solicitó los documentos que muestren el </w:t>
      </w:r>
      <w:r>
        <w:rPr>
          <w:rFonts w:ascii="Palatino Linotype" w:eastAsia="Palatino Linotype" w:hAnsi="Palatino Linotype" w:cs="Palatino Linotype"/>
          <w:u w:val="single"/>
        </w:rPr>
        <w:t xml:space="preserve">desglose de los precios o costos </w:t>
      </w:r>
      <w:r>
        <w:rPr>
          <w:rFonts w:ascii="Palatino Linotype" w:eastAsia="Palatino Linotype" w:hAnsi="Palatino Linotype" w:cs="Palatino Linotype"/>
          <w:b/>
          <w:u w:val="single"/>
        </w:rPr>
        <w:t>efectivamente pagados</w:t>
      </w:r>
      <w:r>
        <w:rPr>
          <w:rFonts w:ascii="Palatino Linotype" w:eastAsia="Palatino Linotype" w:hAnsi="Palatino Linotype" w:cs="Palatino Linotype"/>
          <w:u w:val="single"/>
        </w:rPr>
        <w:t xml:space="preserve"> por los distintos conceptos de obra; </w:t>
      </w:r>
      <w:r>
        <w:rPr>
          <w:rFonts w:ascii="Palatino Linotype" w:eastAsia="Palatino Linotype" w:hAnsi="Palatino Linotype" w:cs="Palatino Linotype"/>
        </w:rPr>
        <w:t>i</w:t>
      </w:r>
      <w:r>
        <w:rPr>
          <w:rFonts w:ascii="Palatino Linotype" w:eastAsia="Palatino Linotype" w:hAnsi="Palatino Linotype" w:cs="Palatino Linotype"/>
        </w:rPr>
        <w:t xml:space="preserve">nformación que se encuentra registrada en las estimaciones de obra enviadas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que para efectos de ejemplificar se inserta la imagen de estimación 008 de la obra denominada “Techado del Lienzo Charro del municipio de Malinalco”</w:t>
      </w: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2130" cy="4503420"/>
            <wp:effectExtent l="0" t="0" r="0" b="0"/>
            <wp:docPr id="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612130" cy="4503420"/>
                    </a:xfrm>
                    <a:prstGeom prst="rect">
                      <a:avLst/>
                    </a:prstGeom>
                    <a:ln/>
                  </pic:spPr>
                </pic:pic>
              </a:graphicData>
            </a:graphic>
          </wp:inline>
        </w:drawing>
      </w:r>
      <w:r>
        <w:rPr>
          <w:noProof/>
          <w:lang w:val="es-MX"/>
        </w:rPr>
        <mc:AlternateContent>
          <mc:Choice Requires="wpg">
            <w:drawing>
              <wp:anchor distT="0" distB="0" distL="114300" distR="114300" simplePos="0" relativeHeight="251659264" behindDoc="0" locked="0" layoutInCell="1" hidden="0" allowOverlap="1">
                <wp:simplePos x="0" y="0"/>
                <wp:positionH relativeFrom="column">
                  <wp:posOffset>1524000</wp:posOffset>
                </wp:positionH>
                <wp:positionV relativeFrom="paragraph">
                  <wp:posOffset>355600</wp:posOffset>
                </wp:positionV>
                <wp:extent cx="1270635" cy="348615"/>
                <wp:effectExtent l="0" t="0" r="0" b="0"/>
                <wp:wrapNone/>
                <wp:docPr id="68" name="Elipse 68"/>
                <wp:cNvGraphicFramePr/>
                <a:graphic xmlns:a="http://schemas.openxmlformats.org/drawingml/2006/main">
                  <a:graphicData uri="http://schemas.microsoft.com/office/word/2010/wordprocessingShape">
                    <wps:wsp>
                      <wps:cNvSpPr/>
                      <wps:spPr>
                        <a:xfrm>
                          <a:off x="4724970" y="3619980"/>
                          <a:ext cx="1242060" cy="320040"/>
                        </a:xfrm>
                        <a:prstGeom prst="ellipse">
                          <a:avLst/>
                        </a:prstGeom>
                        <a:noFill/>
                        <a:ln w="28575" cap="flat" cmpd="sng">
                          <a:solidFill>
                            <a:srgbClr val="FF0000"/>
                          </a:solidFill>
                          <a:prstDash val="solid"/>
                          <a:round/>
                          <a:headEnd type="none" w="sm" len="sm"/>
                          <a:tailEnd type="none" w="sm" len="sm"/>
                        </a:ln>
                      </wps:spPr>
                      <wps:txbx>
                        <w:txbxContent>
                          <w:p w:rsidR="00BB5537" w:rsidRDefault="00BB553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1524000</wp:posOffset>
                </wp:positionH>
                <wp:positionV relativeFrom="paragraph">
                  <wp:posOffset>355600</wp:posOffset>
                </wp:positionV>
                <wp:extent cx="1270635" cy="348615"/>
                <wp:effectExtent b="0" l="0" r="0" t="0"/>
                <wp:wrapNone/>
                <wp:docPr id="68"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1270635" cy="348615"/>
                        </a:xfrm>
                        <a:prstGeom prst="rect"/>
                        <a:ln/>
                      </pic:spPr>
                    </pic:pic>
                  </a:graphicData>
                </a:graphic>
              </wp:anchor>
            </w:drawing>
          </mc:Fallback>
        </mc:AlternateContent>
      </w:r>
      <w:r>
        <w:rPr>
          <w:noProof/>
          <w:lang w:val="es-MX"/>
        </w:rPr>
        <mc:AlternateContent>
          <mc:Choice Requires="wpg">
            <w:drawing>
              <wp:anchor distT="0" distB="0" distL="114300" distR="114300" simplePos="0" relativeHeight="251660288" behindDoc="0" locked="0" layoutInCell="1" hidden="0" allowOverlap="1">
                <wp:simplePos x="0" y="0"/>
                <wp:positionH relativeFrom="column">
                  <wp:posOffset>12701</wp:posOffset>
                </wp:positionH>
                <wp:positionV relativeFrom="paragraph">
                  <wp:posOffset>927100</wp:posOffset>
                </wp:positionV>
                <wp:extent cx="5605780" cy="1247140"/>
                <wp:effectExtent l="0" t="0" r="0" b="0"/>
                <wp:wrapNone/>
                <wp:docPr id="71" name="Rectángulo 71"/>
                <wp:cNvGraphicFramePr/>
                <a:graphic xmlns:a="http://schemas.openxmlformats.org/drawingml/2006/main">
                  <a:graphicData uri="http://schemas.microsoft.com/office/word/2010/wordprocessingShape">
                    <wps:wsp>
                      <wps:cNvSpPr/>
                      <wps:spPr>
                        <a:xfrm>
                          <a:off x="2549460" y="3162780"/>
                          <a:ext cx="5593080" cy="1234440"/>
                        </a:xfrm>
                        <a:prstGeom prst="rect">
                          <a:avLst/>
                        </a:prstGeom>
                        <a:noFill/>
                        <a:ln w="12700" cap="flat" cmpd="sng">
                          <a:solidFill>
                            <a:srgbClr val="FF0000"/>
                          </a:solidFill>
                          <a:prstDash val="solid"/>
                          <a:round/>
                          <a:headEnd type="none" w="sm" len="sm"/>
                          <a:tailEnd type="none" w="sm" len="sm"/>
                        </a:ln>
                      </wps:spPr>
                      <wps:txbx>
                        <w:txbxContent>
                          <w:p w:rsidR="00BB5537" w:rsidRDefault="00BB553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927100</wp:posOffset>
                </wp:positionV>
                <wp:extent cx="5605780" cy="1247140"/>
                <wp:effectExtent b="0" l="0" r="0" t="0"/>
                <wp:wrapNone/>
                <wp:docPr id="71" name="image11.png"/>
                <a:graphic>
                  <a:graphicData uri="http://schemas.openxmlformats.org/drawingml/2006/picture">
                    <pic:pic>
                      <pic:nvPicPr>
                        <pic:cNvPr id="0" name="image11.png"/>
                        <pic:cNvPicPr preferRelativeResize="0"/>
                      </pic:nvPicPr>
                      <pic:blipFill>
                        <a:blip r:embed="rId15"/>
                        <a:srcRect/>
                        <a:stretch>
                          <a:fillRect/>
                        </a:stretch>
                      </pic:blipFill>
                      <pic:spPr>
                        <a:xfrm>
                          <a:off x="0" y="0"/>
                          <a:ext cx="5605780" cy="1247140"/>
                        </a:xfrm>
                        <a:prstGeom prst="rect"/>
                        <a:ln/>
                      </pic:spPr>
                    </pic:pic>
                  </a:graphicData>
                </a:graphic>
              </wp:anchor>
            </w:drawing>
          </mc:Fallback>
        </mc:AlternateConten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puede observarse en la imagen que antecede, las estimaciones enviadas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contienen, el concepto, la unidad, la cantidad, el precio unitario y el importe a pagar por los trabajos realizados en un lapso de tiempo determinado.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Pr>
          <w:rFonts w:ascii="Palatino Linotype" w:eastAsia="Palatino Linotype" w:hAnsi="Palatino Linotype" w:cs="Palatino Linotype"/>
        </w:rPr>
        <w:t xml:space="preserve">n este sentido este Órgano Garante estima que la </w:t>
      </w:r>
      <w:r>
        <w:rPr>
          <w:rFonts w:ascii="Palatino Linotype" w:eastAsia="Palatino Linotype" w:hAnsi="Palatino Linotype" w:cs="Palatino Linotype"/>
          <w:b/>
        </w:rPr>
        <w:t xml:space="preserve">Secretaría de Obra Pública </w:t>
      </w:r>
      <w:r>
        <w:rPr>
          <w:rFonts w:ascii="Palatino Linotype" w:eastAsia="Palatino Linotype" w:hAnsi="Palatino Linotype" w:cs="Palatino Linotype"/>
        </w:rPr>
        <w:t xml:space="preserve">atendió y colmó el derecho de acceso a la información del particular en relación al </w:t>
      </w:r>
      <w:r>
        <w:rPr>
          <w:rFonts w:ascii="Palatino Linotype" w:eastAsia="Palatino Linotype" w:hAnsi="Palatino Linotype" w:cs="Palatino Linotype"/>
          <w:u w:val="single"/>
        </w:rPr>
        <w:t xml:space="preserve">desglose de los precios o costos </w:t>
      </w:r>
      <w:r>
        <w:rPr>
          <w:rFonts w:ascii="Palatino Linotype" w:eastAsia="Palatino Linotype" w:hAnsi="Palatino Linotype" w:cs="Palatino Linotype"/>
          <w:b/>
          <w:u w:val="single"/>
        </w:rPr>
        <w:t>efectivamente pagados</w:t>
      </w:r>
      <w:r>
        <w:rPr>
          <w:rFonts w:ascii="Palatino Linotype" w:eastAsia="Palatino Linotype" w:hAnsi="Palatino Linotype" w:cs="Palatino Linotype"/>
          <w:u w:val="single"/>
        </w:rPr>
        <w:t xml:space="preserve"> por los distintos conceptos de obra</w:t>
      </w:r>
      <w:r>
        <w:rPr>
          <w:rFonts w:ascii="Palatino Linotype" w:eastAsia="Palatino Linotype" w:hAnsi="Palatino Linotype" w:cs="Palatino Linotype"/>
        </w:rPr>
        <w:t>.</w:t>
      </w:r>
    </w:p>
    <w:p w:rsidR="00BB5537" w:rsidRDefault="00DC714F">
      <w:pPr>
        <w:spacing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Por </w:t>
      </w:r>
      <w:r>
        <w:rPr>
          <w:rFonts w:ascii="Palatino Linotype" w:eastAsia="Palatino Linotype" w:hAnsi="Palatino Linotype" w:cs="Palatino Linotype"/>
        </w:rPr>
        <w:t xml:space="preserve">otro lado, en relación a las </w:t>
      </w:r>
      <w:r>
        <w:rPr>
          <w:rFonts w:ascii="Palatino Linotype" w:eastAsia="Palatino Linotype" w:hAnsi="Palatino Linotype" w:cs="Palatino Linotype"/>
          <w:b/>
          <w:u w:val="single"/>
        </w:rPr>
        <w:t>fechas de ejecución</w:t>
      </w:r>
      <w:r>
        <w:rPr>
          <w:rFonts w:ascii="Palatino Linotype" w:eastAsia="Palatino Linotype" w:hAnsi="Palatino Linotype" w:cs="Palatino Linotype"/>
        </w:rPr>
        <w:t xml:space="preserve"> de las obras, el Director General de Proyectos, Concursos y Contratos manifestó</w:t>
      </w:r>
      <w:proofErr w:type="gramStart"/>
      <w:r>
        <w:rPr>
          <w:rFonts w:ascii="Palatino Linotype" w:eastAsia="Palatino Linotype" w:hAnsi="Palatino Linotype" w:cs="Palatino Linotype"/>
        </w:rPr>
        <w:t xml:space="preserve">: </w:t>
      </w:r>
      <w:r>
        <w:rPr>
          <w:rFonts w:ascii="Palatino Linotype" w:eastAsia="Palatino Linotype" w:hAnsi="Palatino Linotype" w:cs="Palatino Linotype"/>
          <w:i/>
        </w:rPr>
        <w:t>”</w:t>
      </w:r>
      <w:proofErr w:type="gramEnd"/>
      <w:r>
        <w:rPr>
          <w:rFonts w:ascii="Palatino Linotype" w:eastAsia="Palatino Linotype" w:hAnsi="Palatino Linotype" w:cs="Palatino Linotype"/>
          <w:i/>
        </w:rPr>
        <w:t xml:space="preserve">para la Modernización de la Unidad Deportiva Arturo </w:t>
      </w:r>
      <w:proofErr w:type="spellStart"/>
      <w:r>
        <w:rPr>
          <w:rFonts w:ascii="Palatino Linotype" w:eastAsia="Palatino Linotype" w:hAnsi="Palatino Linotype" w:cs="Palatino Linotype"/>
          <w:i/>
        </w:rPr>
        <w:t>Orhuela</w:t>
      </w:r>
      <w:proofErr w:type="spellEnd"/>
      <w:r>
        <w:rPr>
          <w:rFonts w:ascii="Palatino Linotype" w:eastAsia="Palatino Linotype" w:hAnsi="Palatino Linotype" w:cs="Palatino Linotype"/>
          <w:i/>
        </w:rPr>
        <w:t xml:space="preserve">, originalmente fue del </w:t>
      </w:r>
      <w:r>
        <w:rPr>
          <w:rFonts w:ascii="Palatino Linotype" w:eastAsia="Palatino Linotype" w:hAnsi="Palatino Linotype" w:cs="Palatino Linotype"/>
          <w:b/>
          <w:i/>
          <w:u w:val="single"/>
        </w:rPr>
        <w:t>trece de diciembre de dos mil dieciocho al</w:t>
      </w:r>
      <w:r>
        <w:rPr>
          <w:rFonts w:ascii="Palatino Linotype" w:eastAsia="Palatino Linotype" w:hAnsi="Palatino Linotype" w:cs="Palatino Linotype"/>
          <w:b/>
          <w:i/>
          <w:u w:val="single"/>
        </w:rPr>
        <w:t xml:space="preserve"> veintidós de marzo de dos mil diecinueve</w:t>
      </w:r>
      <w:r>
        <w:rPr>
          <w:rFonts w:ascii="Palatino Linotype" w:eastAsia="Palatino Linotype" w:hAnsi="Palatino Linotype" w:cs="Palatino Linotype"/>
          <w:i/>
        </w:rPr>
        <w:t xml:space="preserve"> y del Techado del Lienzo Charro del Municipio de Malinalco del </w:t>
      </w:r>
      <w:r>
        <w:rPr>
          <w:rFonts w:ascii="Palatino Linotype" w:eastAsia="Palatino Linotype" w:hAnsi="Palatino Linotype" w:cs="Palatino Linotype"/>
          <w:b/>
          <w:i/>
          <w:u w:val="single"/>
        </w:rPr>
        <w:t>trece de diciembre de dos mil dieciocho al once de abril de dos mil diecinueve.</w:t>
      </w:r>
      <w:r>
        <w:rPr>
          <w:rFonts w:ascii="Palatino Linotype" w:eastAsia="Palatino Linotype" w:hAnsi="Palatino Linotype" w:cs="Palatino Linotype"/>
          <w:i/>
        </w:rPr>
        <w:t xml:space="preserve">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Inconforme con la respuesta,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manifestó en las razon</w:t>
      </w:r>
      <w:r>
        <w:rPr>
          <w:rFonts w:ascii="Palatino Linotype" w:eastAsia="Palatino Linotype" w:hAnsi="Palatino Linotype" w:cs="Palatino Linotype"/>
        </w:rPr>
        <w:t xml:space="preserve">es o motivos de inconformidad que  no se entregaron los documentos programáticos que justifiquen la ejecución de las obras.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este sentido es importante referir que el artículo 12.15, fracción VII del</w:t>
      </w:r>
      <w:r>
        <w:t xml:space="preserve"> </w:t>
      </w:r>
      <w:r>
        <w:rPr>
          <w:rFonts w:ascii="Palatino Linotype" w:eastAsia="Palatino Linotype" w:hAnsi="Palatino Linotype" w:cs="Palatino Linotype"/>
        </w:rPr>
        <w:t>Código Administrativo del Estado de México establece:</w:t>
      </w:r>
      <w:r>
        <w:rPr>
          <w:rFonts w:ascii="Palatino Linotype" w:eastAsia="Palatino Linotype" w:hAnsi="Palatino Linotype" w:cs="Palatino Linotype"/>
        </w:rPr>
        <w:t xml:space="preserve"> </w:t>
      </w: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12.15.- </w:t>
      </w:r>
      <w:r>
        <w:rPr>
          <w:rFonts w:ascii="Palatino Linotype" w:eastAsia="Palatino Linotype" w:hAnsi="Palatino Linotype" w:cs="Palatino Linotype"/>
          <w:i/>
          <w:sz w:val="22"/>
          <w:szCs w:val="22"/>
        </w:rPr>
        <w:t xml:space="preserve">Las dependencias, entidades y ayuntamientos, según las características, complejidad y magnitud de los trabajos, </w:t>
      </w:r>
      <w:r>
        <w:rPr>
          <w:rFonts w:ascii="Palatino Linotype" w:eastAsia="Palatino Linotype" w:hAnsi="Palatino Linotype" w:cs="Palatino Linotype"/>
          <w:b/>
          <w:i/>
          <w:sz w:val="22"/>
          <w:szCs w:val="22"/>
          <w:u w:val="single"/>
        </w:rPr>
        <w:t>formularán los programas de obra pública o de servicios relacionados con la misma</w:t>
      </w:r>
      <w:r>
        <w:rPr>
          <w:rFonts w:ascii="Palatino Linotype" w:eastAsia="Palatino Linotype" w:hAnsi="Palatino Linotype" w:cs="Palatino Linotype"/>
          <w:i/>
          <w:sz w:val="22"/>
          <w:szCs w:val="22"/>
        </w:rPr>
        <w:t xml:space="preserve">, así como sus respectivos presupuestos, con base en las políticas, objetivos y prioridades de la planeación del desarrollo del Estado y municipios, considerando: </w:t>
      </w:r>
    </w:p>
    <w:p w:rsidR="00BB5537" w:rsidRDefault="00BB5537">
      <w:pPr>
        <w:ind w:left="567" w:right="567"/>
        <w:jc w:val="both"/>
        <w:rPr>
          <w:rFonts w:ascii="Palatino Linotype" w:eastAsia="Palatino Linotype" w:hAnsi="Palatino Linotype" w:cs="Palatino Linotype"/>
          <w:i/>
          <w:sz w:val="22"/>
          <w:szCs w:val="22"/>
        </w:rPr>
      </w:pP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p>
    <w:p w:rsidR="00BB5537" w:rsidRDefault="00DC714F">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VII.</w:t>
      </w:r>
      <w:r>
        <w:rPr>
          <w:rFonts w:ascii="Palatino Linotype" w:eastAsia="Palatino Linotype" w:hAnsi="Palatino Linotype" w:cs="Palatino Linotype"/>
          <w:i/>
          <w:sz w:val="22"/>
          <w:szCs w:val="22"/>
        </w:rPr>
        <w:t xml:space="preserve"> La </w:t>
      </w:r>
      <w:r>
        <w:rPr>
          <w:rFonts w:ascii="Palatino Linotype" w:eastAsia="Palatino Linotype" w:hAnsi="Palatino Linotype" w:cs="Palatino Linotype"/>
          <w:b/>
          <w:i/>
          <w:sz w:val="22"/>
          <w:szCs w:val="22"/>
          <w:u w:val="single"/>
        </w:rPr>
        <w:t>calendarización física y financiera de los recursos necesarios</w:t>
      </w:r>
      <w:r>
        <w:rPr>
          <w:rFonts w:ascii="Palatino Linotype" w:eastAsia="Palatino Linotype" w:hAnsi="Palatino Linotype" w:cs="Palatino Linotype"/>
          <w:i/>
          <w:sz w:val="22"/>
          <w:szCs w:val="22"/>
        </w:rPr>
        <w:t xml:space="preserve"> para la realizació</w:t>
      </w:r>
      <w:r>
        <w:rPr>
          <w:rFonts w:ascii="Palatino Linotype" w:eastAsia="Palatino Linotype" w:hAnsi="Palatino Linotype" w:cs="Palatino Linotype"/>
          <w:i/>
          <w:sz w:val="22"/>
          <w:szCs w:val="22"/>
        </w:rPr>
        <w:t xml:space="preserve">n de estudios y proyectos, </w:t>
      </w:r>
      <w:r>
        <w:rPr>
          <w:rFonts w:ascii="Palatino Linotype" w:eastAsia="Palatino Linotype" w:hAnsi="Palatino Linotype" w:cs="Palatino Linotype"/>
          <w:b/>
          <w:i/>
          <w:sz w:val="22"/>
          <w:szCs w:val="22"/>
          <w:u w:val="single"/>
        </w:rPr>
        <w:t xml:space="preserve">ejecución de los trabajos y cobertura de los gastos de operación; </w:t>
      </w:r>
    </w:p>
    <w:p w:rsidR="00BB5537" w:rsidRDefault="00BB5537">
      <w:pPr>
        <w:ind w:left="567" w:right="567"/>
        <w:jc w:val="both"/>
        <w:rPr>
          <w:rFonts w:ascii="Palatino Linotype" w:eastAsia="Palatino Linotype" w:hAnsi="Palatino Linotype" w:cs="Palatino Linotype"/>
          <w:i/>
          <w:sz w:val="22"/>
          <w:szCs w:val="22"/>
        </w:rPr>
      </w:pPr>
    </w:p>
    <w:p w:rsidR="00BB5537" w:rsidRDefault="00DC714F">
      <w:pPr>
        <w:ind w:left="567" w:right="567"/>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VIII</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b/>
          <w:i/>
          <w:sz w:val="22"/>
          <w:szCs w:val="22"/>
          <w:u w:val="single"/>
        </w:rPr>
        <w:t xml:space="preserve">Las fechas de inicio y término de los trabajos; </w:t>
      </w:r>
    </w:p>
    <w:p w:rsidR="00BB5537" w:rsidRDefault="00BB5537">
      <w:pPr>
        <w:ind w:left="567" w:right="567"/>
        <w:jc w:val="both"/>
        <w:rPr>
          <w:rFonts w:ascii="Palatino Linotype" w:eastAsia="Palatino Linotype" w:hAnsi="Palatino Linotype" w:cs="Palatino Linotype"/>
          <w:i/>
          <w:sz w:val="22"/>
          <w:szCs w:val="22"/>
        </w:rPr>
      </w:pPr>
    </w:p>
    <w:p w:rsidR="00BB5537" w:rsidRDefault="00DC714F">
      <w:pPr>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BB5537" w:rsidRDefault="00BB5537">
      <w:pPr>
        <w:ind w:left="567" w:right="567"/>
        <w:jc w:val="both"/>
        <w:rPr>
          <w:rFonts w:ascii="Palatino Linotype" w:eastAsia="Palatino Linotype" w:hAnsi="Palatino Linotype" w:cs="Palatino Linotype"/>
          <w:b/>
          <w:i/>
          <w:sz w:val="22"/>
          <w:szCs w:val="22"/>
        </w:rPr>
      </w:pP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12.18.- </w:t>
      </w:r>
      <w:r>
        <w:rPr>
          <w:rFonts w:ascii="Palatino Linotype" w:eastAsia="Palatino Linotype" w:hAnsi="Palatino Linotype" w:cs="Palatino Linotype"/>
          <w:i/>
          <w:sz w:val="22"/>
          <w:szCs w:val="22"/>
          <w:u w:val="single"/>
        </w:rPr>
        <w:t>Las dependencias</w:t>
      </w:r>
      <w:r>
        <w:rPr>
          <w:rFonts w:ascii="Palatino Linotype" w:eastAsia="Palatino Linotype" w:hAnsi="Palatino Linotype" w:cs="Palatino Linotype"/>
          <w:i/>
          <w:sz w:val="22"/>
          <w:szCs w:val="22"/>
        </w:rPr>
        <w:t xml:space="preserve"> y entidades sólo podrán convocar, adjudicar o </w:t>
      </w:r>
      <w:r>
        <w:rPr>
          <w:rFonts w:ascii="Palatino Linotype" w:eastAsia="Palatino Linotype" w:hAnsi="Palatino Linotype" w:cs="Palatino Linotype"/>
          <w:b/>
          <w:i/>
          <w:sz w:val="22"/>
          <w:szCs w:val="22"/>
          <w:u w:val="single"/>
        </w:rPr>
        <w:t>contratar obra pública</w:t>
      </w:r>
      <w:r>
        <w:rPr>
          <w:rFonts w:ascii="Palatino Linotype" w:eastAsia="Palatino Linotype" w:hAnsi="Palatino Linotype" w:cs="Palatino Linotype"/>
          <w:i/>
          <w:sz w:val="22"/>
          <w:szCs w:val="22"/>
        </w:rPr>
        <w:t xml:space="preserve"> o servicios relacionados con la misma, </w:t>
      </w:r>
      <w:r>
        <w:rPr>
          <w:rFonts w:ascii="Palatino Linotype" w:eastAsia="Palatino Linotype" w:hAnsi="Palatino Linotype" w:cs="Palatino Linotype"/>
          <w:b/>
          <w:i/>
          <w:sz w:val="22"/>
          <w:szCs w:val="22"/>
          <w:u w:val="single"/>
        </w:rPr>
        <w:t>cuando cuenten con la autorización respectiva por parte de la Secretaría de Finanzas</w:t>
      </w:r>
      <w:r>
        <w:rPr>
          <w:rFonts w:ascii="Palatino Linotype" w:eastAsia="Palatino Linotype" w:hAnsi="Palatino Linotype" w:cs="Palatino Linotype"/>
          <w:i/>
          <w:sz w:val="22"/>
          <w:szCs w:val="22"/>
        </w:rPr>
        <w:t>, del presupuesto de inversión o de gasto corriente, conforme a los cuales deberán elaborarse los programas de ejecución y pago corr</w:t>
      </w:r>
      <w:r>
        <w:rPr>
          <w:rFonts w:ascii="Palatino Linotype" w:eastAsia="Palatino Linotype" w:hAnsi="Palatino Linotype" w:cs="Palatino Linotype"/>
          <w:i/>
          <w:sz w:val="22"/>
          <w:szCs w:val="22"/>
        </w:rPr>
        <w:t xml:space="preserve">espondientes. </w:t>
      </w:r>
    </w:p>
    <w:p w:rsidR="00BB5537" w:rsidRDefault="00BB5537">
      <w:pPr>
        <w:ind w:left="567" w:right="567"/>
        <w:jc w:val="both"/>
        <w:rPr>
          <w:rFonts w:ascii="Palatino Linotype" w:eastAsia="Palatino Linotype" w:hAnsi="Palatino Linotype" w:cs="Palatino Linotype"/>
          <w:i/>
          <w:sz w:val="22"/>
          <w:szCs w:val="22"/>
        </w:rPr>
      </w:pP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Para tal efecto, </w:t>
      </w:r>
      <w:r>
        <w:rPr>
          <w:rFonts w:ascii="Palatino Linotype" w:eastAsia="Palatino Linotype" w:hAnsi="Palatino Linotype" w:cs="Palatino Linotype"/>
          <w:b/>
          <w:i/>
          <w:sz w:val="22"/>
          <w:szCs w:val="22"/>
          <w:u w:val="single"/>
        </w:rPr>
        <w:t>se requerirá contar</w:t>
      </w:r>
      <w:r>
        <w:rPr>
          <w:rFonts w:ascii="Palatino Linotype" w:eastAsia="Palatino Linotype" w:hAnsi="Palatino Linotype" w:cs="Palatino Linotype"/>
          <w:i/>
          <w:sz w:val="22"/>
          <w:szCs w:val="22"/>
        </w:rPr>
        <w:t xml:space="preserve"> con los estudios y proyectos, especificaciones de construcción, normas de calidad y el </w:t>
      </w:r>
      <w:r>
        <w:rPr>
          <w:rFonts w:ascii="Palatino Linotype" w:eastAsia="Palatino Linotype" w:hAnsi="Palatino Linotype" w:cs="Palatino Linotype"/>
          <w:b/>
          <w:i/>
          <w:sz w:val="22"/>
          <w:szCs w:val="22"/>
          <w:u w:val="single"/>
        </w:rPr>
        <w:t>programa de ejecución totalmente concluidos</w:t>
      </w:r>
      <w:r>
        <w:rPr>
          <w:rFonts w:ascii="Palatino Linotype" w:eastAsia="Palatino Linotype" w:hAnsi="Palatino Linotype" w:cs="Palatino Linotype"/>
          <w:i/>
          <w:sz w:val="22"/>
          <w:szCs w:val="22"/>
        </w:rPr>
        <w:t>, o bien, con un avance en su desarrollo que permita a los licitantes pre</w:t>
      </w:r>
      <w:r>
        <w:rPr>
          <w:rFonts w:ascii="Palatino Linotype" w:eastAsia="Palatino Linotype" w:hAnsi="Palatino Linotype" w:cs="Palatino Linotype"/>
          <w:i/>
          <w:sz w:val="22"/>
          <w:szCs w:val="22"/>
        </w:rPr>
        <w:t xml:space="preserve">parar una propuesta solvente y </w:t>
      </w:r>
      <w:r>
        <w:rPr>
          <w:rFonts w:ascii="Palatino Linotype" w:eastAsia="Palatino Linotype" w:hAnsi="Palatino Linotype" w:cs="Palatino Linotype"/>
          <w:b/>
          <w:i/>
          <w:sz w:val="22"/>
          <w:szCs w:val="22"/>
          <w:u w:val="single"/>
        </w:rPr>
        <w:t>ejecutar ininterrumpidamente los trabajos hasta su terminación</w:t>
      </w:r>
      <w:r>
        <w:rPr>
          <w:rFonts w:ascii="Palatino Linotype" w:eastAsia="Palatino Linotype" w:hAnsi="Palatino Linotype" w:cs="Palatino Linotype"/>
          <w:i/>
          <w:sz w:val="22"/>
          <w:szCs w:val="22"/>
        </w:rPr>
        <w:t xml:space="preserve">. </w:t>
      </w:r>
    </w:p>
    <w:p w:rsidR="00BB5537" w:rsidRDefault="00DC714F">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BB5537">
      <w:pPr>
        <w:ind w:left="567" w:right="567"/>
        <w:jc w:val="both"/>
        <w:rPr>
          <w:rFonts w:ascii="Palatino Linotype" w:eastAsia="Palatino Linotype" w:hAnsi="Palatino Linotype" w:cs="Palatino Linotype"/>
          <w:i/>
          <w:sz w:val="22"/>
          <w:szCs w:val="22"/>
        </w:rPr>
      </w:pP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correlación  a lo anterior, los artículos 1,  3 </w:t>
      </w:r>
      <w:proofErr w:type="gramStart"/>
      <w:r>
        <w:rPr>
          <w:rFonts w:ascii="Palatino Linotype" w:eastAsia="Palatino Linotype" w:hAnsi="Palatino Linotype" w:cs="Palatino Linotype"/>
        </w:rPr>
        <w:t>fracción</w:t>
      </w:r>
      <w:proofErr w:type="gramEnd"/>
      <w:r>
        <w:rPr>
          <w:rFonts w:ascii="Palatino Linotype" w:eastAsia="Palatino Linotype" w:hAnsi="Palatino Linotype" w:cs="Palatino Linotype"/>
        </w:rPr>
        <w:t xml:space="preserve"> XXVIII y 266 del Reglamento del Libro Décimo Segundo del Código Administrativo del Estado de México dispone:</w:t>
      </w: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w:t>
      </w:r>
      <w:r>
        <w:rPr>
          <w:rFonts w:ascii="Palatino Linotype" w:eastAsia="Palatino Linotype" w:hAnsi="Palatino Linotype" w:cs="Palatino Linotype"/>
          <w:i/>
          <w:sz w:val="22"/>
          <w:szCs w:val="22"/>
        </w:rPr>
        <w:t xml:space="preserve"> El cumplimiento y observancia de las disposiciones de este Reglamento son de orden público e interés social. Serán aplicables a las </w:t>
      </w:r>
      <w:r>
        <w:rPr>
          <w:rFonts w:ascii="Palatino Linotype" w:eastAsia="Palatino Linotype" w:hAnsi="Palatino Linotype" w:cs="Palatino Linotype"/>
          <w:b/>
          <w:i/>
          <w:sz w:val="22"/>
          <w:szCs w:val="22"/>
          <w:u w:val="single"/>
        </w:rPr>
        <w:t>dependencias</w:t>
      </w:r>
      <w:r>
        <w:rPr>
          <w:rFonts w:ascii="Palatino Linotype" w:eastAsia="Palatino Linotype" w:hAnsi="Palatino Linotype" w:cs="Palatino Linotype"/>
          <w:i/>
          <w:sz w:val="22"/>
          <w:szCs w:val="22"/>
        </w:rPr>
        <w:t>, entidades, ayuntamientos, los poderes Legislativo y Judicial, así como los organismos autónomos y los Tribuna</w:t>
      </w:r>
      <w:r>
        <w:rPr>
          <w:rFonts w:ascii="Palatino Linotype" w:eastAsia="Palatino Linotype" w:hAnsi="Palatino Linotype" w:cs="Palatino Linotype"/>
          <w:i/>
          <w:sz w:val="22"/>
          <w:szCs w:val="22"/>
        </w:rPr>
        <w:t xml:space="preserve">les Administrativos que, por si o por conducto de terceros, </w:t>
      </w:r>
      <w:r>
        <w:rPr>
          <w:rFonts w:ascii="Palatino Linotype" w:eastAsia="Palatino Linotype" w:hAnsi="Palatino Linotype" w:cs="Palatino Linotype"/>
          <w:b/>
          <w:i/>
          <w:sz w:val="22"/>
          <w:szCs w:val="22"/>
          <w:u w:val="single"/>
        </w:rPr>
        <w:t>realicen actividades en materia de planeación, programación</w:t>
      </w:r>
      <w:r>
        <w:rPr>
          <w:rFonts w:ascii="Palatino Linotype" w:eastAsia="Palatino Linotype" w:hAnsi="Palatino Linotype" w:cs="Palatino Linotype"/>
          <w:i/>
          <w:sz w:val="22"/>
          <w:szCs w:val="22"/>
        </w:rPr>
        <w:t xml:space="preserve">, </w:t>
      </w:r>
      <w:proofErr w:type="spellStart"/>
      <w:r>
        <w:rPr>
          <w:rFonts w:ascii="Palatino Linotype" w:eastAsia="Palatino Linotype" w:hAnsi="Palatino Linotype" w:cs="Palatino Linotype"/>
          <w:i/>
          <w:sz w:val="22"/>
          <w:szCs w:val="22"/>
        </w:rPr>
        <w:t>presupuestación</w:t>
      </w:r>
      <w:proofErr w:type="spellEnd"/>
      <w:r>
        <w:rPr>
          <w:rFonts w:ascii="Palatino Linotype" w:eastAsia="Palatino Linotype" w:hAnsi="Palatino Linotype" w:cs="Palatino Linotype"/>
          <w:i/>
          <w:sz w:val="22"/>
          <w:szCs w:val="22"/>
        </w:rPr>
        <w:t>, adjudicación, contratación, ejecución y control de la obra pública y servicios relacionados con la misma.</w:t>
      </w:r>
    </w:p>
    <w:p w:rsidR="00BB5537" w:rsidRDefault="00DC714F">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BB5537" w:rsidRDefault="00BB5537">
      <w:pPr>
        <w:ind w:left="851" w:right="616"/>
        <w:jc w:val="both"/>
        <w:rPr>
          <w:rFonts w:ascii="Palatino Linotype" w:eastAsia="Palatino Linotype" w:hAnsi="Palatino Linotype" w:cs="Palatino Linotype"/>
          <w:i/>
          <w:sz w:val="22"/>
          <w:szCs w:val="22"/>
        </w:rPr>
      </w:pPr>
    </w:p>
    <w:p w:rsidR="00BB5537" w:rsidRDefault="00DC714F">
      <w:pPr>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w:t>
      </w:r>
      <w:r>
        <w:rPr>
          <w:rFonts w:ascii="Palatino Linotype" w:eastAsia="Palatino Linotype" w:hAnsi="Palatino Linotype" w:cs="Palatino Linotype"/>
          <w:b/>
          <w:i/>
          <w:sz w:val="22"/>
          <w:szCs w:val="22"/>
        </w:rPr>
        <w:t>o 3.-</w:t>
      </w:r>
      <w:r>
        <w:rPr>
          <w:rFonts w:ascii="Palatino Linotype" w:eastAsia="Palatino Linotype" w:hAnsi="Palatino Linotype" w:cs="Palatino Linotype"/>
          <w:i/>
          <w:sz w:val="22"/>
          <w:szCs w:val="22"/>
        </w:rPr>
        <w:t xml:space="preserve"> Para los efectos del presente reglamento, se entiende por:</w:t>
      </w: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BB5537">
      <w:pPr>
        <w:ind w:left="851" w:right="616"/>
        <w:jc w:val="both"/>
        <w:rPr>
          <w:rFonts w:ascii="Palatino Linotype" w:eastAsia="Palatino Linotype" w:hAnsi="Palatino Linotype" w:cs="Palatino Linotype"/>
          <w:i/>
          <w:sz w:val="22"/>
          <w:szCs w:val="22"/>
        </w:rPr>
      </w:pPr>
    </w:p>
    <w:p w:rsidR="00BB5537" w:rsidRDefault="00DC714F">
      <w:pPr>
        <w:ind w:left="851" w:right="616"/>
        <w:jc w:val="both"/>
        <w:rPr>
          <w:rFonts w:ascii="Palatino Linotype" w:eastAsia="Palatino Linotype" w:hAnsi="Palatino Linotype" w:cs="Palatino Linotype"/>
          <w:i/>
          <w:sz w:val="22"/>
          <w:szCs w:val="22"/>
        </w:rPr>
      </w:pPr>
      <w:proofErr w:type="spellStart"/>
      <w:r>
        <w:rPr>
          <w:rFonts w:ascii="Palatino Linotype" w:eastAsia="Palatino Linotype" w:hAnsi="Palatino Linotype" w:cs="Palatino Linotype"/>
          <w:b/>
          <w:i/>
          <w:sz w:val="22"/>
          <w:szCs w:val="22"/>
        </w:rPr>
        <w:t>XXVIII.Programa</w:t>
      </w:r>
      <w:proofErr w:type="spellEnd"/>
      <w:r>
        <w:rPr>
          <w:rFonts w:ascii="Palatino Linotype" w:eastAsia="Palatino Linotype" w:hAnsi="Palatino Linotype" w:cs="Palatino Linotype"/>
          <w:b/>
          <w:i/>
          <w:sz w:val="22"/>
          <w:szCs w:val="22"/>
        </w:rPr>
        <w:t xml:space="preserve"> de ejecución:</w:t>
      </w:r>
      <w:r>
        <w:rPr>
          <w:rFonts w:ascii="Palatino Linotype" w:eastAsia="Palatino Linotype" w:hAnsi="Palatino Linotype" w:cs="Palatino Linotype"/>
          <w:i/>
          <w:sz w:val="22"/>
          <w:szCs w:val="22"/>
        </w:rPr>
        <w:t xml:space="preserve"> documento que contiene los conceptos de trabajo y el calendario previsto para ejecutar la obra o el servicio.</w:t>
      </w: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266.-</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u w:val="single"/>
        </w:rPr>
        <w:t>Los programas de ejecución</w:t>
      </w:r>
      <w:r>
        <w:rPr>
          <w:rFonts w:ascii="Palatino Linotype" w:eastAsia="Palatino Linotype" w:hAnsi="Palatino Linotype" w:cs="Palatino Linotype"/>
          <w:i/>
          <w:color w:val="000000"/>
          <w:sz w:val="22"/>
          <w:szCs w:val="22"/>
        </w:rPr>
        <w:t>, utilización de recursos humanos, de maquinaria y equipo de construcción de cada obra, deberán elaborarse conforme a lo siguiente:</w:t>
      </w:r>
    </w:p>
    <w:p w:rsidR="00BB5537" w:rsidRDefault="00BB553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p>
    <w:p w:rsidR="00BB5537" w:rsidRDefault="00DC714F">
      <w:pPr>
        <w:numPr>
          <w:ilvl w:val="0"/>
          <w:numId w:val="2"/>
        </w:numPr>
        <w:pBdr>
          <w:top w:val="nil"/>
          <w:left w:val="nil"/>
          <w:bottom w:val="nil"/>
          <w:right w:val="nil"/>
          <w:between w:val="nil"/>
        </w:pBdr>
        <w:ind w:left="851" w:right="616"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programa de ejecución y erogaciones </w:t>
      </w:r>
      <w:r>
        <w:rPr>
          <w:rFonts w:ascii="Palatino Linotype" w:eastAsia="Palatino Linotype" w:hAnsi="Palatino Linotype" w:cs="Palatino Linotype"/>
          <w:b/>
          <w:i/>
          <w:color w:val="000000"/>
          <w:sz w:val="22"/>
          <w:szCs w:val="22"/>
          <w:u w:val="single"/>
        </w:rPr>
        <w:t>se desagregará en etapas, conceptos y actividades, señalando fechas de inicio y término de cada una</w:t>
      </w:r>
      <w:r>
        <w:rPr>
          <w:rFonts w:ascii="Palatino Linotype" w:eastAsia="Palatino Linotype" w:hAnsi="Palatino Linotype" w:cs="Palatino Linotype"/>
          <w:i/>
          <w:color w:val="000000"/>
          <w:sz w:val="22"/>
          <w:szCs w:val="22"/>
        </w:rPr>
        <w:t>, las cantidades de trabajo que se ejecutarán semanal o mensualmente y los importes parcial y total;</w:t>
      </w:r>
    </w:p>
    <w:p w:rsidR="00BB5537" w:rsidRDefault="00BB553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p>
    <w:p w:rsidR="00BB5537" w:rsidRDefault="00DC714F">
      <w:pPr>
        <w:numPr>
          <w:ilvl w:val="0"/>
          <w:numId w:val="2"/>
        </w:numPr>
        <w:pBdr>
          <w:top w:val="nil"/>
          <w:left w:val="nil"/>
          <w:bottom w:val="nil"/>
          <w:right w:val="nil"/>
          <w:between w:val="nil"/>
        </w:pBdr>
        <w:ind w:left="851" w:right="616" w:firstLine="0"/>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programa de utilización de recursos humanos </w:t>
      </w:r>
      <w:r>
        <w:rPr>
          <w:rFonts w:ascii="Palatino Linotype" w:eastAsia="Palatino Linotype" w:hAnsi="Palatino Linotype" w:cs="Palatino Linotype"/>
          <w:b/>
          <w:i/>
          <w:color w:val="000000"/>
          <w:sz w:val="22"/>
          <w:szCs w:val="22"/>
          <w:u w:val="single"/>
        </w:rPr>
        <w:t xml:space="preserve">deberá  </w:t>
      </w:r>
      <w:r>
        <w:rPr>
          <w:rFonts w:ascii="Palatino Linotype" w:eastAsia="Palatino Linotype" w:hAnsi="Palatino Linotype" w:cs="Palatino Linotype"/>
          <w:b/>
          <w:i/>
          <w:color w:val="000000"/>
          <w:sz w:val="22"/>
          <w:szCs w:val="22"/>
          <w:u w:val="single"/>
        </w:rPr>
        <w:t xml:space="preserve">consignar la especialidad, categoría, número requerido y percepciones totales por día, </w:t>
      </w:r>
      <w:r>
        <w:rPr>
          <w:rFonts w:ascii="Palatino Linotype" w:eastAsia="Palatino Linotype" w:hAnsi="Palatino Linotype" w:cs="Palatino Linotype"/>
          <w:b/>
          <w:i/>
          <w:color w:val="000000"/>
          <w:sz w:val="22"/>
          <w:szCs w:val="22"/>
          <w:u w:val="single"/>
        </w:rPr>
        <w:lastRenderedPageBreak/>
        <w:t>semana o mes</w:t>
      </w:r>
      <w:r>
        <w:rPr>
          <w:rFonts w:ascii="Palatino Linotype" w:eastAsia="Palatino Linotype" w:hAnsi="Palatino Linotype" w:cs="Palatino Linotype"/>
          <w:i/>
          <w:color w:val="000000"/>
          <w:sz w:val="22"/>
          <w:szCs w:val="22"/>
        </w:rPr>
        <w:t xml:space="preserve">. El programa incluirá  el personal de técnico, administrativo y obrero, encargado directamente de la ejecución de los trabajos; </w:t>
      </w:r>
    </w:p>
    <w:p w:rsidR="00BB5537" w:rsidRDefault="00BB553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p>
    <w:p w:rsidR="00BB5537" w:rsidRDefault="00DC714F">
      <w:pPr>
        <w:numPr>
          <w:ilvl w:val="0"/>
          <w:numId w:val="2"/>
        </w:numPr>
        <w:pBdr>
          <w:top w:val="nil"/>
          <w:left w:val="nil"/>
          <w:bottom w:val="nil"/>
          <w:right w:val="nil"/>
          <w:between w:val="nil"/>
        </w:pBdr>
        <w:ind w:left="851" w:right="616" w:firstLine="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El programa de utilización</w:t>
      </w:r>
      <w:r>
        <w:rPr>
          <w:rFonts w:ascii="Palatino Linotype" w:eastAsia="Palatino Linotype" w:hAnsi="Palatino Linotype" w:cs="Palatino Linotype"/>
          <w:i/>
          <w:color w:val="000000"/>
          <w:sz w:val="22"/>
          <w:szCs w:val="22"/>
        </w:rPr>
        <w:t xml:space="preserve"> de la </w:t>
      </w:r>
      <w:proofErr w:type="spellStart"/>
      <w:r>
        <w:rPr>
          <w:rFonts w:ascii="Palatino Linotype" w:eastAsia="Palatino Linotype" w:hAnsi="Palatino Linotype" w:cs="Palatino Linotype"/>
          <w:i/>
          <w:color w:val="000000"/>
          <w:sz w:val="22"/>
          <w:szCs w:val="22"/>
        </w:rPr>
        <w:t>maquinaría</w:t>
      </w:r>
      <w:proofErr w:type="spellEnd"/>
      <w:r>
        <w:rPr>
          <w:rFonts w:ascii="Palatino Linotype" w:eastAsia="Palatino Linotype" w:hAnsi="Palatino Linotype" w:cs="Palatino Linotype"/>
          <w:i/>
          <w:color w:val="000000"/>
          <w:sz w:val="22"/>
          <w:szCs w:val="22"/>
        </w:rPr>
        <w:t xml:space="preserve"> y equipo de construcción señalará sus características, capacidad, número de unidades, total de horas efectivas de utilización, </w:t>
      </w:r>
      <w:r>
        <w:rPr>
          <w:rFonts w:ascii="Palatino Linotype" w:eastAsia="Palatino Linotype" w:hAnsi="Palatino Linotype" w:cs="Palatino Linotype"/>
          <w:b/>
          <w:i/>
          <w:color w:val="000000"/>
          <w:sz w:val="22"/>
          <w:szCs w:val="22"/>
          <w:u w:val="single"/>
        </w:rPr>
        <w:t>calendarizadas y los importes correspondientes por día, semana o mes;</w:t>
      </w:r>
    </w:p>
    <w:p w:rsidR="00BB5537" w:rsidRDefault="00BB5537">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p>
    <w:p w:rsidR="00BB5537" w:rsidRDefault="00DC714F">
      <w:pPr>
        <w:numPr>
          <w:ilvl w:val="0"/>
          <w:numId w:val="2"/>
        </w:numPr>
        <w:pBdr>
          <w:top w:val="nil"/>
          <w:left w:val="nil"/>
          <w:bottom w:val="nil"/>
          <w:right w:val="nil"/>
          <w:between w:val="nil"/>
        </w:pBdr>
        <w:ind w:left="851" w:right="616" w:firstLine="0"/>
        <w:jc w:val="both"/>
        <w:rPr>
          <w:rFonts w:ascii="Palatino Linotype" w:eastAsia="Palatino Linotype" w:hAnsi="Palatino Linotype" w:cs="Palatino Linotype"/>
          <w:b/>
          <w:i/>
          <w:color w:val="000000"/>
          <w:sz w:val="22"/>
          <w:szCs w:val="22"/>
          <w:u w:val="single"/>
        </w:rPr>
      </w:pPr>
      <w:r>
        <w:rPr>
          <w:rFonts w:ascii="Palatino Linotype" w:eastAsia="Palatino Linotype" w:hAnsi="Palatino Linotype" w:cs="Palatino Linotype"/>
          <w:i/>
          <w:color w:val="000000"/>
          <w:sz w:val="22"/>
          <w:szCs w:val="22"/>
        </w:rPr>
        <w:t>El programa de suministro de los materia</w:t>
      </w:r>
      <w:r>
        <w:rPr>
          <w:rFonts w:ascii="Palatino Linotype" w:eastAsia="Palatino Linotype" w:hAnsi="Palatino Linotype" w:cs="Palatino Linotype"/>
          <w:i/>
          <w:color w:val="000000"/>
          <w:sz w:val="22"/>
          <w:szCs w:val="22"/>
        </w:rPr>
        <w:t xml:space="preserve">les y equipo de instalación permanente, sus características, cantidades, unidades de los materiales, equipo que se requiera, </w:t>
      </w:r>
      <w:r>
        <w:rPr>
          <w:rFonts w:ascii="Palatino Linotype" w:eastAsia="Palatino Linotype" w:hAnsi="Palatino Linotype" w:cs="Palatino Linotype"/>
          <w:b/>
          <w:i/>
          <w:color w:val="000000"/>
          <w:sz w:val="22"/>
          <w:szCs w:val="22"/>
          <w:u w:val="single"/>
        </w:rPr>
        <w:t>calendarizadas y el importe correspondiente por día, semana o mes.</w:t>
      </w:r>
    </w:p>
    <w:p w:rsidR="00BB5537" w:rsidRDefault="00BB5537">
      <w:pPr>
        <w:ind w:left="567" w:right="567"/>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ordenamientos citados, se advierte que para la realizaci</w:t>
      </w:r>
      <w:r>
        <w:rPr>
          <w:rFonts w:ascii="Palatino Linotype" w:eastAsia="Palatino Linotype" w:hAnsi="Palatino Linotype" w:cs="Palatino Linotype"/>
        </w:rPr>
        <w:t xml:space="preserve">ón de una obra pública, las dependencias deben planear, programar y calendarizar la ejecución de la misma; así como las fechas de inicio y termino de los trabajos. </w:t>
      </w: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caso que se analiza,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únicamente entregó las fechas de inicio y ter</w:t>
      </w:r>
      <w:r>
        <w:rPr>
          <w:rFonts w:ascii="Palatino Linotype" w:eastAsia="Palatino Linotype" w:hAnsi="Palatino Linotype" w:cs="Palatino Linotype"/>
        </w:rPr>
        <w:t>mino de las obras, no así las fechas programadas para su ejecución, motivo por el cual, este Órgano Garante determina dable ordenar la entrega de los documentos donde consten las fechas programadas para la ejecución de las obras.</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b/>
          <w:i/>
        </w:rPr>
      </w:pPr>
      <w:r>
        <w:rPr>
          <w:rFonts w:ascii="Palatino Linotype" w:eastAsia="Palatino Linotype" w:hAnsi="Palatino Linotype" w:cs="Palatino Linotype"/>
        </w:rPr>
        <w:t>Por otro lado, en relació</w:t>
      </w:r>
      <w:r>
        <w:rPr>
          <w:rFonts w:ascii="Palatino Linotype" w:eastAsia="Palatino Linotype" w:hAnsi="Palatino Linotype" w:cs="Palatino Linotype"/>
        </w:rPr>
        <w:t>n al requerimiento relativo al informe o informes del supervisor de las obras, el Director General de Construcción de Obra Pública manifestó: “…</w:t>
      </w:r>
      <w:r>
        <w:rPr>
          <w:rFonts w:ascii="Palatino Linotype" w:eastAsia="Palatino Linotype" w:hAnsi="Palatino Linotype" w:cs="Palatino Linotype"/>
          <w:i/>
        </w:rPr>
        <w:t xml:space="preserve">esta Dirección..., cuenta con las </w:t>
      </w:r>
      <w:r>
        <w:rPr>
          <w:rFonts w:ascii="Palatino Linotype" w:eastAsia="Palatino Linotype" w:hAnsi="Palatino Linotype" w:cs="Palatino Linotype"/>
          <w:b/>
          <w:i/>
          <w:u w:val="single"/>
        </w:rPr>
        <w:t xml:space="preserve">Bitácoras </w:t>
      </w:r>
      <w:r>
        <w:rPr>
          <w:rFonts w:ascii="Palatino Linotype" w:eastAsia="Palatino Linotype" w:hAnsi="Palatino Linotype" w:cs="Palatino Linotype"/>
          <w:i/>
        </w:rPr>
        <w:t>de las Obras denominadas, Modernización de la Unidad Deportiva Arturo Orihuela y el Techado del Lienzo Charro</w:t>
      </w: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ambas de Municipio de Malinalco Estado de México, </w:t>
      </w:r>
      <w:r>
        <w:rPr>
          <w:rFonts w:ascii="Palatino Linotype" w:eastAsia="Palatino Linotype" w:hAnsi="Palatino Linotype" w:cs="Palatino Linotype"/>
          <w:b/>
          <w:i/>
          <w:u w:val="single"/>
        </w:rPr>
        <w:t>las cuales constituyen el informe de supervisión</w:t>
      </w:r>
      <w:r>
        <w:rPr>
          <w:rFonts w:ascii="Palatino Linotype" w:eastAsia="Palatino Linotype" w:hAnsi="Palatino Linotype" w:cs="Palatino Linotype"/>
          <w:i/>
        </w:rPr>
        <w:t>, mismas que se remiten</w:t>
      </w:r>
      <w:r>
        <w:rPr>
          <w:rFonts w:ascii="Palatino Linotype" w:eastAsia="Palatino Linotype" w:hAnsi="Palatino Linotype" w:cs="Palatino Linotype"/>
        </w:rPr>
        <w:t>.” Pronunciamiento al qu</w:t>
      </w:r>
      <w:r>
        <w:rPr>
          <w:rFonts w:ascii="Palatino Linotype" w:eastAsia="Palatino Linotype" w:hAnsi="Palatino Linotype" w:cs="Palatino Linotype"/>
        </w:rPr>
        <w:t xml:space="preserve">e adjuntó los archivos electrónicos identificados como </w:t>
      </w:r>
      <w:r>
        <w:rPr>
          <w:rFonts w:ascii="Palatino Linotype" w:eastAsia="Palatino Linotype" w:hAnsi="Palatino Linotype" w:cs="Palatino Linotype"/>
          <w:b/>
          <w:i/>
        </w:rPr>
        <w:t xml:space="preserve">“BITACORA UNIDAD </w:t>
      </w:r>
      <w:proofErr w:type="spellStart"/>
      <w:r>
        <w:rPr>
          <w:rFonts w:ascii="Palatino Linotype" w:eastAsia="Palatino Linotype" w:hAnsi="Palatino Linotype" w:cs="Palatino Linotype"/>
          <w:b/>
          <w:i/>
        </w:rPr>
        <w:t>DEPORTIVA_v.p</w:t>
      </w:r>
      <w:proofErr w:type="spellEnd"/>
      <w:r>
        <w:rPr>
          <w:rFonts w:ascii="Palatino Linotype" w:eastAsia="Palatino Linotype" w:hAnsi="Palatino Linotype" w:cs="Palatino Linotype"/>
          <w:b/>
          <w:i/>
        </w:rPr>
        <w:t>. 2.pdf” y “BITACORA LIENZO CHARRO_v.p</w:t>
      </w:r>
      <w:proofErr w:type="gramStart"/>
      <w:r>
        <w:rPr>
          <w:rFonts w:ascii="Palatino Linotype" w:eastAsia="Palatino Linotype" w:hAnsi="Palatino Linotype" w:cs="Palatino Linotype"/>
          <w:b/>
          <w:i/>
        </w:rPr>
        <w:t>..</w:t>
      </w:r>
      <w:proofErr w:type="spellStart"/>
      <w:r>
        <w:rPr>
          <w:rFonts w:ascii="Palatino Linotype" w:eastAsia="Palatino Linotype" w:hAnsi="Palatino Linotype" w:cs="Palatino Linotype"/>
          <w:b/>
          <w:i/>
        </w:rPr>
        <w:t>pdf</w:t>
      </w:r>
      <w:proofErr w:type="spellEnd"/>
      <w:proofErr w:type="gramEnd"/>
      <w:r>
        <w:rPr>
          <w:rFonts w:ascii="Palatino Linotype" w:eastAsia="Palatino Linotype" w:hAnsi="Palatino Linotype" w:cs="Palatino Linotype"/>
          <w:b/>
          <w:i/>
        </w:rPr>
        <w:t>”.</w:t>
      </w:r>
    </w:p>
    <w:p w:rsidR="00BB5537" w:rsidRDefault="00BB5537">
      <w:pPr>
        <w:spacing w:line="360" w:lineRule="auto"/>
        <w:jc w:val="both"/>
        <w:rPr>
          <w:rFonts w:ascii="Palatino Linotype" w:eastAsia="Palatino Linotype" w:hAnsi="Palatino Linotype" w:cs="Palatino Linotype"/>
          <w:b/>
          <w:i/>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de señalar, que sobre este rubro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se inconformó y argumento en las razones o motivos de inconformidad que: “</w:t>
      </w:r>
      <w:r>
        <w:rPr>
          <w:rFonts w:ascii="Palatino Linotype" w:eastAsia="Palatino Linotype" w:hAnsi="Palatino Linotype" w:cs="Palatino Linotype"/>
          <w:i/>
          <w:color w:val="000000"/>
        </w:rPr>
        <w:t xml:space="preserve">Las bitácoras del "Techado del lienzo charro" están incompletas y respecto a la "Unidad deportiva" no se adjuntaron” y “Tampoco se adjuntaron los informes del supervisor de obra” </w:t>
      </w:r>
    </w:p>
    <w:p w:rsidR="00BB5537" w:rsidRDefault="00BB5537">
      <w:pPr>
        <w:spacing w:line="360" w:lineRule="auto"/>
        <w:jc w:val="both"/>
        <w:rPr>
          <w:rFonts w:ascii="Palatino Linotype" w:eastAsia="Palatino Linotype" w:hAnsi="Palatino Linotype" w:cs="Palatino Linotype"/>
          <w:b/>
          <w:i/>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tal sentido, es necesario referir que los artículo 3, 219, 222, 223</w:t>
      </w:r>
      <w:proofErr w:type="gramStart"/>
      <w:r>
        <w:rPr>
          <w:rFonts w:ascii="Palatino Linotype" w:eastAsia="Palatino Linotype" w:hAnsi="Palatino Linotype" w:cs="Palatino Linotype"/>
        </w:rPr>
        <w:t>, ,</w:t>
      </w:r>
      <w:proofErr w:type="gramEnd"/>
      <w:r>
        <w:rPr>
          <w:rFonts w:ascii="Palatino Linotype" w:eastAsia="Palatino Linotype" w:hAnsi="Palatino Linotype" w:cs="Palatino Linotype"/>
        </w:rPr>
        <w:t xml:space="preserve"> f</w:t>
      </w:r>
      <w:r>
        <w:rPr>
          <w:rFonts w:ascii="Palatino Linotype" w:eastAsia="Palatino Linotype" w:hAnsi="Palatino Linotype" w:cs="Palatino Linotype"/>
        </w:rPr>
        <w:t>racción XL del Reglamento del Libro Décimo Segundo del Código Administrativo del Estado de México establece:</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del presente reglamento, se entiende por:</w:t>
      </w:r>
    </w:p>
    <w:p w:rsidR="00BB5537" w:rsidRDefault="00DC714F">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BB5537">
      <w:pPr>
        <w:spacing w:line="360" w:lineRule="auto"/>
        <w:ind w:left="851" w:right="616"/>
        <w:jc w:val="both"/>
        <w:rPr>
          <w:rFonts w:ascii="Palatino Linotype" w:eastAsia="Palatino Linotype" w:hAnsi="Palatino Linotype" w:cs="Palatino Linotype"/>
          <w:i/>
          <w:sz w:val="22"/>
          <w:szCs w:val="22"/>
        </w:rPr>
      </w:pPr>
    </w:p>
    <w:p w:rsidR="00BB5537" w:rsidRDefault="00DC714F">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IV. Bitácora</w:t>
      </w:r>
      <w:r>
        <w:rPr>
          <w:rFonts w:ascii="Palatino Linotype" w:eastAsia="Palatino Linotype" w:hAnsi="Palatino Linotype" w:cs="Palatino Linotype"/>
          <w:i/>
          <w:sz w:val="22"/>
          <w:szCs w:val="22"/>
        </w:rPr>
        <w:t>: instrumento legal para el registro y control de la eje</w:t>
      </w:r>
      <w:r>
        <w:rPr>
          <w:rFonts w:ascii="Palatino Linotype" w:eastAsia="Palatino Linotype" w:hAnsi="Palatino Linotype" w:cs="Palatino Linotype"/>
          <w:i/>
          <w:sz w:val="22"/>
          <w:szCs w:val="22"/>
        </w:rPr>
        <w:t>cución de la obra pública o servicio, vigente durante el periodo del contrato; funciona como medio de comunicación y acuerdo entre contratante y contratista e inscripción de los asuntos relevantes.</w:t>
      </w:r>
    </w:p>
    <w:p w:rsidR="00BB5537" w:rsidRDefault="00DC714F">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 Supervisor de obra</w:t>
      </w:r>
      <w:r>
        <w:rPr>
          <w:rFonts w:ascii="Palatino Linotype" w:eastAsia="Palatino Linotype" w:hAnsi="Palatino Linotype" w:cs="Palatino Linotype"/>
          <w:i/>
          <w:sz w:val="22"/>
          <w:szCs w:val="22"/>
        </w:rPr>
        <w:t>: es el servidor público o perso</w:t>
      </w:r>
      <w:r>
        <w:rPr>
          <w:rFonts w:ascii="Palatino Linotype" w:eastAsia="Palatino Linotype" w:hAnsi="Palatino Linotype" w:cs="Palatino Linotype"/>
          <w:i/>
          <w:sz w:val="22"/>
          <w:szCs w:val="22"/>
        </w:rPr>
        <w:t>na que auxilia al residente de obra para verificar que la ejecución de los trabajos se realice conforme al contrato.</w:t>
      </w:r>
    </w:p>
    <w:p w:rsidR="00BB5537" w:rsidRDefault="00DC714F">
      <w:pPr>
        <w:spacing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tabs>
          <w:tab w:val="left" w:pos="851"/>
          <w:tab w:val="left" w:pos="1701"/>
        </w:tabs>
        <w:ind w:right="616" w:firstLine="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219.- </w:t>
      </w:r>
      <w:r>
        <w:rPr>
          <w:rFonts w:ascii="Palatino Linotype" w:eastAsia="Palatino Linotype" w:hAnsi="Palatino Linotype" w:cs="Palatino Linotype"/>
          <w:i/>
          <w:sz w:val="22"/>
          <w:szCs w:val="22"/>
        </w:rPr>
        <w:t xml:space="preserve">Las funciones de la </w:t>
      </w:r>
      <w:r>
        <w:rPr>
          <w:rFonts w:ascii="Palatino Linotype" w:eastAsia="Palatino Linotype" w:hAnsi="Palatino Linotype" w:cs="Palatino Linotype"/>
          <w:b/>
          <w:i/>
          <w:sz w:val="22"/>
          <w:szCs w:val="22"/>
          <w:u w:val="single"/>
        </w:rPr>
        <w:t>supervisión serán</w:t>
      </w:r>
      <w:r>
        <w:rPr>
          <w:rFonts w:ascii="Palatino Linotype" w:eastAsia="Palatino Linotype" w:hAnsi="Palatino Linotype" w:cs="Palatino Linotype"/>
          <w:i/>
          <w:sz w:val="22"/>
          <w:szCs w:val="22"/>
        </w:rPr>
        <w:t>:</w:t>
      </w:r>
    </w:p>
    <w:p w:rsidR="00BB5537" w:rsidRDefault="00DC714F">
      <w:pPr>
        <w:tabs>
          <w:tab w:val="left" w:pos="851"/>
          <w:tab w:val="left" w:pos="1701"/>
        </w:tabs>
        <w:ind w:right="616" w:firstLine="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BB5537">
      <w:pPr>
        <w:spacing w:line="360" w:lineRule="auto"/>
        <w:ind w:left="851" w:right="616"/>
        <w:jc w:val="both"/>
        <w:rPr>
          <w:rFonts w:ascii="Palatino Linotype" w:eastAsia="Palatino Linotype" w:hAnsi="Palatino Linotype" w:cs="Palatino Linotype"/>
          <w:b/>
          <w:i/>
          <w:sz w:val="22"/>
          <w:szCs w:val="22"/>
        </w:rPr>
      </w:pP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Integrar y mantener en orden y actualizado el archivo y documentación derivada de la realización de los trabajos, el que contendrá, entre otros:</w:t>
      </w: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ind w:lef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d. </w:t>
      </w:r>
      <w:r>
        <w:rPr>
          <w:rFonts w:ascii="Palatino Linotype" w:eastAsia="Palatino Linotype" w:hAnsi="Palatino Linotype" w:cs="Palatino Linotype"/>
          <w:b/>
          <w:i/>
          <w:sz w:val="22"/>
          <w:szCs w:val="22"/>
          <w:u w:val="single"/>
        </w:rPr>
        <w:t>Registro y control de la bitácora y de las minutas de las juntas de obra</w:t>
      </w:r>
      <w:r>
        <w:rPr>
          <w:rFonts w:ascii="Palatino Linotype" w:eastAsia="Palatino Linotype" w:hAnsi="Palatino Linotype" w:cs="Palatino Linotype"/>
          <w:i/>
          <w:sz w:val="22"/>
          <w:szCs w:val="22"/>
        </w:rPr>
        <w:t>;</w:t>
      </w:r>
    </w:p>
    <w:p w:rsidR="00BB5537" w:rsidRDefault="00BB5537">
      <w:pPr>
        <w:ind w:left="1080"/>
        <w:jc w:val="both"/>
        <w:rPr>
          <w:rFonts w:ascii="Bookman Old Style" w:eastAsia="Bookman Old Style" w:hAnsi="Bookman Old Style" w:cs="Bookman Old Style"/>
          <w:sz w:val="20"/>
          <w:szCs w:val="20"/>
        </w:rPr>
      </w:pPr>
    </w:p>
    <w:p w:rsidR="00BB5537" w:rsidRDefault="00DC714F">
      <w:pPr>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BB5537">
      <w:pPr>
        <w:rPr>
          <w:rFonts w:ascii="Bookman Old Style" w:eastAsia="Bookman Old Style" w:hAnsi="Bookman Old Style" w:cs="Bookman Old Style"/>
          <w:sz w:val="20"/>
          <w:szCs w:val="20"/>
        </w:rPr>
      </w:pPr>
    </w:p>
    <w:p w:rsidR="00BB5537" w:rsidRDefault="00DC714F">
      <w:pPr>
        <w:spacing w:line="360"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V. Registrar en la bitácora, por lo menos una vez a la semana, los avances y aspectos relevantes de la obra;</w:t>
      </w:r>
    </w:p>
    <w:p w:rsidR="00BB5537" w:rsidRDefault="00DC714F">
      <w:pPr>
        <w:spacing w:line="360" w:lineRule="auto"/>
        <w:ind w:left="851"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BB5537" w:rsidRDefault="00BB5537">
      <w:pPr>
        <w:spacing w:line="360" w:lineRule="auto"/>
        <w:ind w:left="567"/>
        <w:jc w:val="both"/>
        <w:rPr>
          <w:rFonts w:ascii="Palatino Linotype" w:eastAsia="Palatino Linotype" w:hAnsi="Palatino Linotype" w:cs="Palatino Linotype"/>
          <w:b/>
          <w:i/>
        </w:rPr>
      </w:pPr>
    </w:p>
    <w:p w:rsidR="00BB5537" w:rsidRDefault="00DC714F">
      <w:pPr>
        <w:spacing w:line="360" w:lineRule="auto"/>
        <w:ind w:left="567"/>
        <w:jc w:val="both"/>
        <w:rPr>
          <w:rFonts w:ascii="Palatino Linotype" w:eastAsia="Palatino Linotype" w:hAnsi="Palatino Linotype" w:cs="Palatino Linotype"/>
          <w:i/>
        </w:rPr>
      </w:pPr>
      <w:r>
        <w:rPr>
          <w:rFonts w:ascii="Palatino Linotype" w:eastAsia="Palatino Linotype" w:hAnsi="Palatino Linotype" w:cs="Palatino Linotype"/>
          <w:b/>
          <w:i/>
        </w:rPr>
        <w:t>Artículo 222.-</w:t>
      </w:r>
      <w:r>
        <w:rPr>
          <w:rFonts w:ascii="Palatino Linotype" w:eastAsia="Palatino Linotype" w:hAnsi="Palatino Linotype" w:cs="Palatino Linotype"/>
          <w:i/>
        </w:rPr>
        <w:t xml:space="preserve"> La bitácora deberá permanecer en la residencia de obra y </w:t>
      </w:r>
      <w:r>
        <w:rPr>
          <w:rFonts w:ascii="Palatino Linotype" w:eastAsia="Palatino Linotype" w:hAnsi="Palatino Linotype" w:cs="Palatino Linotype"/>
          <w:b/>
          <w:i/>
          <w:u w:val="single"/>
        </w:rPr>
        <w:t>bajo la custodia del residente de obra o, en su caso, del supervisor</w:t>
      </w:r>
      <w:r>
        <w:rPr>
          <w:rFonts w:ascii="Palatino Linotype" w:eastAsia="Palatino Linotype" w:hAnsi="Palatino Linotype" w:cs="Palatino Linotype"/>
          <w:i/>
        </w:rPr>
        <w:t xml:space="preserve">, </w:t>
      </w:r>
      <w:r>
        <w:rPr>
          <w:rFonts w:ascii="Palatino Linotype" w:eastAsia="Palatino Linotype" w:hAnsi="Palatino Linotype" w:cs="Palatino Linotype"/>
          <w:i/>
        </w:rPr>
        <w:t xml:space="preserve">a fin de que las consultas necesarias se realicen, de ser posible, en el sitio de los trabajos, siendo obligatorio su uso en todos los contratos de obras y servicios. </w:t>
      </w:r>
    </w:p>
    <w:p w:rsidR="00BB5537" w:rsidRDefault="00BB5537">
      <w:pPr>
        <w:spacing w:line="360" w:lineRule="auto"/>
        <w:jc w:val="both"/>
        <w:rPr>
          <w:rFonts w:ascii="Palatino Linotype" w:eastAsia="Palatino Linotype" w:hAnsi="Palatino Linotype" w:cs="Palatino Linotype"/>
          <w:i/>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Luego, de la interpretación sistemática a los preceptos legales transcritos, se obtiene que el </w:t>
      </w:r>
      <w:r>
        <w:rPr>
          <w:rFonts w:ascii="Palatino Linotype" w:eastAsia="Palatino Linotype" w:hAnsi="Palatino Linotype" w:cs="Palatino Linotype"/>
          <w:b/>
        </w:rPr>
        <w:t>SUJETO OBLIGADO</w:t>
      </w:r>
      <w:r>
        <w:rPr>
          <w:rFonts w:ascii="Palatino Linotype" w:eastAsia="Palatino Linotype" w:hAnsi="Palatino Linotype" w:cs="Palatino Linotype"/>
        </w:rPr>
        <w:t>, que dentro de las funciones del supervisor de obras se encuentran la de registrar en las bitácoras por lo menos una vez a la semana, los avances</w:t>
      </w:r>
      <w:r>
        <w:rPr>
          <w:rFonts w:ascii="Palatino Linotype" w:eastAsia="Palatino Linotype" w:hAnsi="Palatino Linotype" w:cs="Palatino Linotype"/>
        </w:rPr>
        <w:t xml:space="preserve"> y aspectos relevantes de la obra, por lo tanto, se concluye que los informes que solicita el particular, forman parte de las anotaciones que el supervisor realizó en las bitácoras de obra. </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una vez analizados los archivos que el </w:t>
      </w:r>
      <w:r>
        <w:rPr>
          <w:rFonts w:ascii="Palatino Linotype" w:eastAsia="Palatino Linotype" w:hAnsi="Palatino Linotype" w:cs="Palatino Linotype"/>
          <w:b/>
        </w:rPr>
        <w:t>SUJETO OBLIGA</w:t>
      </w:r>
      <w:r>
        <w:rPr>
          <w:rFonts w:ascii="Palatino Linotype" w:eastAsia="Palatino Linotype" w:hAnsi="Palatino Linotype" w:cs="Palatino Linotype"/>
          <w:b/>
        </w:rPr>
        <w:t xml:space="preserve">DO </w:t>
      </w:r>
      <w:r>
        <w:rPr>
          <w:rFonts w:ascii="Palatino Linotype" w:eastAsia="Palatino Linotype" w:hAnsi="Palatino Linotype" w:cs="Palatino Linotype"/>
        </w:rPr>
        <w:t xml:space="preserve">remitió,  se deduce que, si bien el particular refirió que no le entregaron las bitácoras de la Modernización de la Unidad Deportiva Arturo Orihuela de Malinalco, lo cierto es que en respuesta a la solicitud se observa el archivo electrónico  </w:t>
      </w:r>
      <w:r>
        <w:rPr>
          <w:rFonts w:ascii="Palatino Linotype" w:eastAsia="Palatino Linotype" w:hAnsi="Palatino Linotype" w:cs="Palatino Linotype"/>
          <w:b/>
          <w:i/>
        </w:rPr>
        <w:t xml:space="preserve">“BITACORA </w:t>
      </w:r>
      <w:r>
        <w:rPr>
          <w:rFonts w:ascii="Palatino Linotype" w:eastAsia="Palatino Linotype" w:hAnsi="Palatino Linotype" w:cs="Palatino Linotype"/>
          <w:b/>
          <w:i/>
        </w:rPr>
        <w:t xml:space="preserve">UNIDAD </w:t>
      </w:r>
      <w:proofErr w:type="spellStart"/>
      <w:r>
        <w:rPr>
          <w:rFonts w:ascii="Palatino Linotype" w:eastAsia="Palatino Linotype" w:hAnsi="Palatino Linotype" w:cs="Palatino Linotype"/>
          <w:b/>
          <w:i/>
        </w:rPr>
        <w:t>DEPORTIVA_v.p</w:t>
      </w:r>
      <w:proofErr w:type="spellEnd"/>
      <w:r>
        <w:rPr>
          <w:rFonts w:ascii="Palatino Linotype" w:eastAsia="Palatino Linotype" w:hAnsi="Palatino Linotype" w:cs="Palatino Linotype"/>
          <w:b/>
          <w:i/>
        </w:rPr>
        <w:t>. 2.pdf</w:t>
      </w:r>
      <w:r>
        <w:rPr>
          <w:rFonts w:ascii="Palatino Linotype" w:eastAsia="Palatino Linotype" w:hAnsi="Palatino Linotype" w:cs="Palatino Linotype"/>
        </w:rPr>
        <w:t xml:space="preserve"> que contiene treinta y una hojas en formato digital, que hacen referencia a la bitácora electrónica de la obra referida. </w:t>
      </w:r>
    </w:p>
    <w:p w:rsidR="00BB5537" w:rsidRDefault="00DC714F">
      <w:p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mismo, es necesario señalar que éste Órgano Garante no está facultado para pronunciarse sobre la verac</w:t>
      </w:r>
      <w:r>
        <w:rPr>
          <w:rFonts w:ascii="Palatino Linotype" w:eastAsia="Palatino Linotype" w:hAnsi="Palatino Linotype" w:cs="Palatino Linotype"/>
          <w:color w:val="000000"/>
        </w:rPr>
        <w:t xml:space="preserve">idad de la información que los Sujetos Obligados ponen </w:t>
      </w:r>
      <w:r>
        <w:rPr>
          <w:rFonts w:ascii="Palatino Linotype" w:eastAsia="Palatino Linotype" w:hAnsi="Palatino Linotype" w:cs="Palatino Linotype"/>
          <w:color w:val="000000"/>
        </w:rPr>
        <w:lastRenderedPageBreak/>
        <w:t>a disposición de los solicitantes; situación que se aleja de las atribuciones de este Instituto máxime que al momento que ponen a disposición ésta, la misma tiene el carácter oficial y se presume veraz</w:t>
      </w:r>
      <w:r>
        <w:rPr>
          <w:rFonts w:ascii="Palatino Linotype" w:eastAsia="Palatino Linotype" w:hAnsi="Palatino Linotype" w:cs="Palatino Linotype"/>
          <w:color w:val="000000"/>
        </w:rPr>
        <w:t>, tan es así que la misma queda registrada en el Sistema de Acceso a la Información Mexiquense (SAIMEX).</w:t>
      </w:r>
    </w:p>
    <w:p w:rsidR="00BB5537" w:rsidRDefault="00BB5537">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BB5537" w:rsidRDefault="00DC714F">
      <w:pPr>
        <w:pBdr>
          <w:top w:val="nil"/>
          <w:left w:val="nil"/>
          <w:bottom w:val="nil"/>
          <w:right w:val="nil"/>
          <w:between w:val="nil"/>
        </w:pBdr>
        <w:spacing w:after="36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Sirviendo de apoyo a lo anterior por analogía, el criterio 31-10 emitido por el ahora Instituto Nacional de Transparencia, Acceso a la Información y Protección de Datos Personales, que a la letra dice:</w:t>
      </w:r>
    </w:p>
    <w:p w:rsidR="00BB5537" w:rsidRDefault="00DC714F">
      <w:pPr>
        <w:spacing w:before="240" w:after="360" w:line="360" w:lineRule="auto"/>
        <w:ind w:left="567" w:right="616"/>
        <w:jc w:val="both"/>
        <w:rPr>
          <w:rFonts w:ascii="Palatino Linotype" w:eastAsia="Palatino Linotype" w:hAnsi="Palatino Linotype" w:cs="Palatino Linotype"/>
          <w:sz w:val="22"/>
          <w:szCs w:val="22"/>
        </w:rPr>
      </w:pPr>
      <w:r>
        <w:rPr>
          <w:rFonts w:ascii="Palatino Linotype" w:eastAsia="Palatino Linotype" w:hAnsi="Palatino Linotype" w:cs="Palatino Linotype"/>
          <w:i/>
          <w:sz w:val="22"/>
          <w:szCs w:val="22"/>
        </w:rPr>
        <w:t>El Instituto Federal de Acceso a la Información y Prot</w:t>
      </w:r>
      <w:r>
        <w:rPr>
          <w:rFonts w:ascii="Palatino Linotype" w:eastAsia="Palatino Linotype" w:hAnsi="Palatino Linotype" w:cs="Palatino Linotype"/>
          <w:i/>
          <w:sz w:val="22"/>
          <w:szCs w:val="22"/>
        </w:rPr>
        <w:t xml:space="preserve">ección de Datos no cuenta con facultades para pronunciarse respecto de la veracidad de los documentos proporcionados por los sujetos obligados. El Instituto Federal de Acceso a la Información y Protección de Datos es un órgano de la Administración Pública </w:t>
      </w:r>
      <w:r>
        <w:rPr>
          <w:rFonts w:ascii="Palatino Linotype" w:eastAsia="Palatino Linotype" w:hAnsi="Palatino Linotype" w:cs="Palatino Linotype"/>
          <w:i/>
          <w:sz w:val="22"/>
          <w:szCs w:val="22"/>
        </w:rPr>
        <w:t>Federal con autonomía operativa, presupuestaria y de decisión, encargado de promover y difundir el ejercicio del derecho de acceso a la información; resolver sobre la negativa de las solicitudes de acceso a la información; y proteger los datos personales e</w:t>
      </w:r>
      <w:r>
        <w:rPr>
          <w:rFonts w:ascii="Palatino Linotype" w:eastAsia="Palatino Linotype" w:hAnsi="Palatino Linotype" w:cs="Palatino Linotype"/>
          <w:i/>
          <w:sz w:val="22"/>
          <w:szCs w:val="22"/>
        </w:rPr>
        <w:t xml:space="preserve">n poder de las dependencias y entidades. Sin embargo, no está facultado para pronunciarse sobre la veracidad de la información proporcionada por las autoridades en respuesta a las solicitudes de información que les presentan los particulares, en virtud de </w:t>
      </w:r>
      <w:r>
        <w:rPr>
          <w:rFonts w:ascii="Palatino Linotype" w:eastAsia="Palatino Linotype" w:hAnsi="Palatino Linotype" w:cs="Palatino Linotype"/>
          <w:i/>
          <w:sz w:val="22"/>
          <w:szCs w:val="22"/>
        </w:rPr>
        <w:t>que en los artículos 49 y 50 de la Ley Federal de Transparencia y Acceso a la Información Pública Gubernamental no se prevé una causal que permita al Instituto Federal de Acceso a la Información y Protección de Datos conocer, vía recurso revisión, al respe</w:t>
      </w:r>
      <w:r>
        <w:rPr>
          <w:rFonts w:ascii="Palatino Linotype" w:eastAsia="Palatino Linotype" w:hAnsi="Palatino Linotype" w:cs="Palatino Linotype"/>
          <w:i/>
          <w:sz w:val="22"/>
          <w:szCs w:val="22"/>
        </w:rPr>
        <w:t>cto.</w:t>
      </w: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 este Órgano considera que se tienen por atendido el requerimiento relacionado con los informes rendidos por el supervisor de obra que se encuentran contenidos en las bitácoras de la obra denominada “Modernización de la Unidad Deportiva A</w:t>
      </w:r>
      <w:r>
        <w:rPr>
          <w:rFonts w:ascii="Palatino Linotype" w:eastAsia="Palatino Linotype" w:hAnsi="Palatino Linotype" w:cs="Palatino Linotype"/>
        </w:rPr>
        <w:t>rturo Orihuela”</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cuanto hace a las bitácoras de la obra denominada Techado del Lienzo Charro del Municipio de Malinalco,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el archivo electrónico identificado como </w:t>
      </w:r>
      <w:r>
        <w:rPr>
          <w:rFonts w:ascii="Palatino Linotype" w:eastAsia="Palatino Linotype" w:hAnsi="Palatino Linotype" w:cs="Palatino Linotype"/>
          <w:b/>
          <w:i/>
        </w:rPr>
        <w:t xml:space="preserve"> “BITACORA LIENZO CHARRO_v.p</w:t>
      </w:r>
      <w:proofErr w:type="gramStart"/>
      <w:r>
        <w:rPr>
          <w:rFonts w:ascii="Palatino Linotype" w:eastAsia="Palatino Linotype" w:hAnsi="Palatino Linotype" w:cs="Palatino Linotype"/>
          <w:b/>
          <w:i/>
        </w:rPr>
        <w:t>..</w:t>
      </w:r>
      <w:proofErr w:type="spellStart"/>
      <w:proofErr w:type="gramEnd"/>
      <w:r>
        <w:rPr>
          <w:rFonts w:ascii="Palatino Linotype" w:eastAsia="Palatino Linotype" w:hAnsi="Palatino Linotype" w:cs="Palatino Linotype"/>
          <w:b/>
          <w:i/>
        </w:rPr>
        <w:t>pdf</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que contiene siete hojas en fo</w:t>
      </w:r>
      <w:r>
        <w:rPr>
          <w:rFonts w:ascii="Palatino Linotype" w:eastAsia="Palatino Linotype" w:hAnsi="Palatino Linotype" w:cs="Palatino Linotype"/>
        </w:rPr>
        <w:t>rmato digital, que hacen referencia a la bitácora electrónica de la obra denominada Techado del Lienzo Charro del Municipio de Malinalco, que al revisarse, se observa que únicamente cuenta con registros hasta del 07 de marzo al 04 de abril de 2019, y toman</w:t>
      </w:r>
      <w:r>
        <w:rPr>
          <w:rFonts w:ascii="Palatino Linotype" w:eastAsia="Palatino Linotype" w:hAnsi="Palatino Linotype" w:cs="Palatino Linotype"/>
        </w:rPr>
        <w:t xml:space="preserve">do en consideración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que el periodo de ejecución de acuerdo al convenio modificatorio es del trece de marzo al diez de julio de dos mil diecinueve; y en atención, a que el marco normativo establece que el supervisor tiene el</w:t>
      </w:r>
      <w:r>
        <w:rPr>
          <w:rFonts w:ascii="Palatino Linotype" w:eastAsia="Palatino Linotype" w:hAnsi="Palatino Linotype" w:cs="Palatino Linotype"/>
        </w:rPr>
        <w:t xml:space="preserve"> deber de  registrar en la bitácora, por lo menos </w:t>
      </w:r>
      <w:r>
        <w:rPr>
          <w:rFonts w:ascii="Palatino Linotype" w:eastAsia="Palatino Linotype" w:hAnsi="Palatino Linotype" w:cs="Palatino Linotype"/>
          <w:b/>
          <w:u w:val="single"/>
        </w:rPr>
        <w:t>una vez a la semana</w:t>
      </w:r>
      <w:r>
        <w:rPr>
          <w:rFonts w:ascii="Palatino Linotype" w:eastAsia="Palatino Linotype" w:hAnsi="Palatino Linotype" w:cs="Palatino Linotype"/>
        </w:rPr>
        <w:t xml:space="preserve">, los avances y aspectos relevantes de la obra,  el Pleno de este Instituto determina dable ordenar la entrega de las bitácoras faltantes de la obra denominada “Techado del Lienzo Charro </w:t>
      </w:r>
      <w:r>
        <w:rPr>
          <w:rFonts w:ascii="Palatino Linotype" w:eastAsia="Palatino Linotype" w:hAnsi="Palatino Linotype" w:cs="Palatino Linotype"/>
        </w:rPr>
        <w:t>del Municipio de Malinalco”</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en relación al motivo de inconformidad consistente en que no se adjuntó el finiquito,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a través del informe justificado manifestó que en respuesta a la solicitud entregó la Estimación No. 012 Finiqu</w:t>
      </w:r>
      <w:r>
        <w:rPr>
          <w:rFonts w:ascii="Palatino Linotype" w:eastAsia="Palatino Linotype" w:hAnsi="Palatino Linotype" w:cs="Palatino Linotype"/>
        </w:rPr>
        <w:t xml:space="preserve">ito respecto a la obra Techado del Lienzo Charro y la Estimación No. 014 Finiquito relacionada con la obra de Modernización de la Unidad Deportiva Arturo Orihuela, documentos de los cuales se inserta captura de pantalla.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extent cx="5612130" cy="3368040"/>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612130" cy="3368040"/>
                    </a:xfrm>
                    <a:prstGeom prst="rect">
                      <a:avLst/>
                    </a:prstGeom>
                    <a:ln/>
                  </pic:spPr>
                </pic:pic>
              </a:graphicData>
            </a:graphic>
          </wp:inline>
        </w:drawing>
      </w:r>
      <w:r>
        <w:rPr>
          <w:noProof/>
          <w:lang w:val="es-MX"/>
        </w:rPr>
        <mc:AlternateContent>
          <mc:Choice Requires="wpg">
            <w:drawing>
              <wp:anchor distT="0" distB="0" distL="114300" distR="114300" simplePos="0" relativeHeight="251661312" behindDoc="0" locked="0" layoutInCell="1" hidden="0" allowOverlap="1">
                <wp:simplePos x="0" y="0"/>
                <wp:positionH relativeFrom="column">
                  <wp:posOffset>2159000</wp:posOffset>
                </wp:positionH>
                <wp:positionV relativeFrom="paragraph">
                  <wp:posOffset>190500</wp:posOffset>
                </wp:positionV>
                <wp:extent cx="576580" cy="248920"/>
                <wp:effectExtent l="0" t="0" r="0" b="0"/>
                <wp:wrapNone/>
                <wp:docPr id="70" name="Rectángulo 70"/>
                <wp:cNvGraphicFramePr/>
                <a:graphic xmlns:a="http://schemas.openxmlformats.org/drawingml/2006/main">
                  <a:graphicData uri="http://schemas.microsoft.com/office/word/2010/wordprocessingShape">
                    <wps:wsp>
                      <wps:cNvSpPr/>
                      <wps:spPr>
                        <a:xfrm>
                          <a:off x="5064060" y="3661890"/>
                          <a:ext cx="563880" cy="236220"/>
                        </a:xfrm>
                        <a:prstGeom prst="rect">
                          <a:avLst/>
                        </a:prstGeom>
                        <a:noFill/>
                        <a:ln w="12700" cap="flat" cmpd="sng">
                          <a:solidFill>
                            <a:srgbClr val="FF0000"/>
                          </a:solidFill>
                          <a:prstDash val="solid"/>
                          <a:round/>
                          <a:headEnd type="none" w="sm" len="sm"/>
                          <a:tailEnd type="none" w="sm" len="sm"/>
                        </a:ln>
                      </wps:spPr>
                      <wps:txbx>
                        <w:txbxContent>
                          <w:p w:rsidR="00BB5537" w:rsidRDefault="00BB553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2159000</wp:posOffset>
                </wp:positionH>
                <wp:positionV relativeFrom="paragraph">
                  <wp:posOffset>190500</wp:posOffset>
                </wp:positionV>
                <wp:extent cx="576580" cy="248920"/>
                <wp:effectExtent b="0" l="0" r="0" t="0"/>
                <wp:wrapNone/>
                <wp:docPr id="70"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576580" cy="248920"/>
                        </a:xfrm>
                        <a:prstGeom prst="rect"/>
                        <a:ln/>
                      </pic:spPr>
                    </pic:pic>
                  </a:graphicData>
                </a:graphic>
              </wp:anchor>
            </w:drawing>
          </mc:Fallback>
        </mc:AlternateConten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12130" cy="3718560"/>
            <wp:effectExtent l="0" t="0" r="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612130" cy="3718560"/>
                    </a:xfrm>
                    <a:prstGeom prst="rect">
                      <a:avLst/>
                    </a:prstGeom>
                    <a:ln/>
                  </pic:spPr>
                </pic:pic>
              </a:graphicData>
            </a:graphic>
          </wp:inline>
        </w:drawing>
      </w:r>
      <w:r>
        <w:rPr>
          <w:noProof/>
          <w:lang w:val="es-MX"/>
        </w:rPr>
        <mc:AlternateContent>
          <mc:Choice Requires="wpg">
            <w:drawing>
              <wp:anchor distT="0" distB="0" distL="114300" distR="114300" simplePos="0" relativeHeight="251662336" behindDoc="0" locked="0" layoutInCell="1" hidden="0" allowOverlap="1">
                <wp:simplePos x="0" y="0"/>
                <wp:positionH relativeFrom="column">
                  <wp:posOffset>2095500</wp:posOffset>
                </wp:positionH>
                <wp:positionV relativeFrom="paragraph">
                  <wp:posOffset>292100</wp:posOffset>
                </wp:positionV>
                <wp:extent cx="576580" cy="248920"/>
                <wp:effectExtent l="0" t="0" r="0" b="0"/>
                <wp:wrapNone/>
                <wp:docPr id="69" name="Rectángulo 69"/>
                <wp:cNvGraphicFramePr/>
                <a:graphic xmlns:a="http://schemas.openxmlformats.org/drawingml/2006/main">
                  <a:graphicData uri="http://schemas.microsoft.com/office/word/2010/wordprocessingShape">
                    <wps:wsp>
                      <wps:cNvSpPr/>
                      <wps:spPr>
                        <a:xfrm>
                          <a:off x="5064060" y="3661890"/>
                          <a:ext cx="563880" cy="236220"/>
                        </a:xfrm>
                        <a:prstGeom prst="rect">
                          <a:avLst/>
                        </a:prstGeom>
                        <a:noFill/>
                        <a:ln w="12700" cap="flat" cmpd="sng">
                          <a:solidFill>
                            <a:srgbClr val="FF0000"/>
                          </a:solidFill>
                          <a:prstDash val="solid"/>
                          <a:round/>
                          <a:headEnd type="none" w="sm" len="sm"/>
                          <a:tailEnd type="none" w="sm" len="sm"/>
                        </a:ln>
                      </wps:spPr>
                      <wps:txbx>
                        <w:txbxContent>
                          <w:p w:rsidR="00BB5537" w:rsidRDefault="00BB5537">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2095500</wp:posOffset>
                </wp:positionH>
                <wp:positionV relativeFrom="paragraph">
                  <wp:posOffset>292100</wp:posOffset>
                </wp:positionV>
                <wp:extent cx="576580" cy="248920"/>
                <wp:effectExtent b="0" l="0" r="0" t="0"/>
                <wp:wrapNone/>
                <wp:docPr id="69"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576580" cy="248920"/>
                        </a:xfrm>
                        <a:prstGeom prst="rect"/>
                        <a:ln/>
                      </pic:spPr>
                    </pic:pic>
                  </a:graphicData>
                </a:graphic>
              </wp:anchor>
            </w:drawing>
          </mc:Fallback>
        </mc:AlternateContent>
      </w:r>
    </w:p>
    <w:p w:rsidR="00BB5537" w:rsidRDefault="00DC714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Una vez que se analizó la documentación entregada en respuesta a la solicitud, se verificó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entregó tanto </w:t>
      </w:r>
      <w:r>
        <w:rPr>
          <w:rFonts w:ascii="Palatino Linotype" w:eastAsia="Palatino Linotype" w:hAnsi="Palatino Linotype" w:cs="Palatino Linotype"/>
          <w:b/>
          <w:u w:val="single"/>
        </w:rPr>
        <w:t>la estimación como factura de los finiquitos</w:t>
      </w:r>
      <w:r>
        <w:rPr>
          <w:rFonts w:ascii="Palatino Linotype" w:eastAsia="Palatino Linotype" w:hAnsi="Palatino Linotype" w:cs="Palatino Linotype"/>
        </w:rPr>
        <w:t xml:space="preserve"> de las obras referidas en la solicitud, por tanto se considera infundado el motivo </w:t>
      </w:r>
      <w:r>
        <w:rPr>
          <w:rFonts w:ascii="Palatino Linotype" w:eastAsia="Palatino Linotype" w:hAnsi="Palatino Linotype" w:cs="Palatino Linotype"/>
        </w:rPr>
        <w:t xml:space="preserve">de inconformidad aludido por el </w:t>
      </w:r>
      <w:r>
        <w:rPr>
          <w:rFonts w:ascii="Palatino Linotype" w:eastAsia="Palatino Linotype" w:hAnsi="Palatino Linotype" w:cs="Palatino Linotype"/>
          <w:b/>
        </w:rPr>
        <w:t xml:space="preserve">RECURRENTE. </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Finalmente,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al momento de interponer el recurso de revisión manifestó: “</w:t>
      </w:r>
      <w:r>
        <w:rPr>
          <w:rFonts w:ascii="Palatino Linotype" w:eastAsia="Palatino Linotype" w:hAnsi="Palatino Linotype" w:cs="Palatino Linotype"/>
          <w:i/>
        </w:rPr>
        <w:t xml:space="preserve">No se adjuntaron los documentos con base en los cuales se calculó el costo de la obras…ni fotografías sobre el avance de las </w:t>
      </w:r>
      <w:r>
        <w:rPr>
          <w:rFonts w:ascii="Palatino Linotype" w:eastAsia="Palatino Linotype" w:hAnsi="Palatino Linotype" w:cs="Palatino Linotype"/>
          <w:i/>
        </w:rPr>
        <w:t xml:space="preserve">mismas”; </w:t>
      </w:r>
      <w:r>
        <w:rPr>
          <w:rFonts w:ascii="Palatino Linotype" w:eastAsia="Palatino Linotype" w:hAnsi="Palatino Linotype" w:cs="Palatino Linotype"/>
        </w:rPr>
        <w:t xml:space="preserve">resulta ser una ampliación a lo que inicialmente solicitó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 solicitud de información primigenia; ya que los documentos </w:t>
      </w:r>
      <w:r>
        <w:rPr>
          <w:rFonts w:ascii="Palatino Linotype" w:eastAsia="Palatino Linotype" w:hAnsi="Palatino Linotype" w:cs="Palatino Linotype"/>
          <w:b/>
          <w:u w:val="single"/>
        </w:rPr>
        <w:t>con base en los cuales se calculó el costo de las obras</w:t>
      </w:r>
      <w:r>
        <w:rPr>
          <w:rFonts w:ascii="Palatino Linotype" w:eastAsia="Palatino Linotype" w:hAnsi="Palatino Linotype" w:cs="Palatino Linotype"/>
        </w:rPr>
        <w:t>, de manera enunciativa mas no limitativa, el presupues</w:t>
      </w:r>
      <w:r>
        <w:rPr>
          <w:rFonts w:ascii="Palatino Linotype" w:eastAsia="Palatino Linotype" w:hAnsi="Palatino Linotype" w:cs="Palatino Linotype"/>
        </w:rPr>
        <w:t>to de la obra que se integra por costos unitarios y el costo unitario de la obra es la suma de los importes por concepto de materiales o equipo de instalación permanente, mano de obra y utilización de maquinaria o equipo de construcción; por  lo anterior s</w:t>
      </w:r>
      <w:r>
        <w:rPr>
          <w:rFonts w:ascii="Palatino Linotype" w:eastAsia="Palatino Linotype" w:hAnsi="Palatino Linotype" w:cs="Palatino Linotype"/>
        </w:rPr>
        <w:t xml:space="preserve">e entiende como una </w:t>
      </w:r>
      <w:r>
        <w:rPr>
          <w:rFonts w:ascii="Palatino Linotype" w:eastAsia="Palatino Linotype" w:hAnsi="Palatino Linotype" w:cs="Palatino Linotype"/>
          <w:b/>
          <w:i/>
        </w:rPr>
        <w:t xml:space="preserve">Plus </w:t>
      </w:r>
      <w:proofErr w:type="spellStart"/>
      <w:r>
        <w:rPr>
          <w:rFonts w:ascii="Palatino Linotype" w:eastAsia="Palatino Linotype" w:hAnsi="Palatino Linotype" w:cs="Palatino Linotype"/>
          <w:b/>
          <w:i/>
        </w:rPr>
        <w:t>Petitio</w:t>
      </w:r>
      <w:proofErr w:type="spellEnd"/>
      <w:r>
        <w:rPr>
          <w:rFonts w:ascii="Palatino Linotype" w:eastAsia="Palatino Linotype" w:hAnsi="Palatino Linotype" w:cs="Palatino Linotype"/>
          <w:b/>
          <w:i/>
        </w:rPr>
        <w:t xml:space="preserve"> </w:t>
      </w:r>
      <w:r>
        <w:rPr>
          <w:rFonts w:ascii="Palatino Linotype" w:eastAsia="Palatino Linotype" w:hAnsi="Palatino Linotype" w:cs="Palatino Linotype"/>
        </w:rPr>
        <w:t>a su solicitud inicial que no puede abordarse</w:t>
      </w:r>
      <w:r>
        <w:rPr>
          <w:rFonts w:ascii="Palatino Linotype" w:eastAsia="Palatino Linotype" w:hAnsi="Palatino Linotype" w:cs="Palatino Linotype"/>
          <w:i/>
        </w:rPr>
        <w:t xml:space="preserve">. </w:t>
      </w: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Sustenta lo anterior, por analogía, la tesis aislada número I.8o.A.136 A, de la Novena Época, publicada en el Semanario Oficial de la Federación y su Gaceta Tomo XXIX, Marzo d</w:t>
      </w:r>
      <w:r>
        <w:rPr>
          <w:rFonts w:ascii="Palatino Linotype" w:eastAsia="Palatino Linotype" w:hAnsi="Palatino Linotype" w:cs="Palatino Linotype"/>
        </w:rPr>
        <w:t>e 2009, página 2887, con número de registro 167607, que lleva por rubro y texto los siguientes:</w:t>
      </w:r>
    </w:p>
    <w:p w:rsidR="00BB5537" w:rsidRDefault="00BB5537">
      <w:pPr>
        <w:spacing w:line="360" w:lineRule="auto"/>
        <w:jc w:val="both"/>
        <w:rPr>
          <w:rFonts w:ascii="Palatino Linotype" w:eastAsia="Palatino Linotype" w:hAnsi="Palatino Linotype" w:cs="Palatino Linotype"/>
        </w:rPr>
      </w:pPr>
    </w:p>
    <w:p w:rsidR="00BB5537" w:rsidRDefault="00DC714F">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TRANSPARENCIA Y ACCESO A LA INFORMACIÓN PÚBLICA GUBERNAMENTAL. LOS ARTÍCULOS 1, 2 Y 6 DE LA LEY FEDERAL RELATIVA, NO DEBEN INTERPRETARSE EN EL SENTIDO DE PERMITIR AL GOBERNADO QUE A SU ARBITRIO SOLICITE COPIA DE DOCUMENTOS QUE NO OBREN EN LOS EXPEDIENTES D</w:t>
      </w:r>
      <w:r>
        <w:rPr>
          <w:rFonts w:ascii="Palatino Linotype" w:eastAsia="Palatino Linotype" w:hAnsi="Palatino Linotype" w:cs="Palatino Linotype"/>
          <w:b/>
          <w:i/>
          <w:color w:val="000000"/>
          <w:sz w:val="22"/>
          <w:szCs w:val="22"/>
        </w:rPr>
        <w:t>E LOS SUJETOS OBLIGADOS, O SEAN DISTINTOS A LOS DE SU PETICIÓN INICIAL.</w:t>
      </w:r>
      <w:r>
        <w:rPr>
          <w:rFonts w:ascii="Palatino Linotype" w:eastAsia="Palatino Linotype" w:hAnsi="Palatino Linotype" w:cs="Palatino Linotype"/>
          <w:i/>
          <w:color w:val="000000"/>
          <w:sz w:val="22"/>
          <w:szCs w:val="22"/>
        </w:rPr>
        <w:t xml:space="preserve"> “Si bien es cierto que los artículos 1 y 2 de la Ley Federal de Transparencia y Acceso a la Información Pública Gubernamental establecen, respectivamente, que </w:t>
      </w:r>
      <w:r>
        <w:rPr>
          <w:rFonts w:ascii="Palatino Linotype" w:eastAsia="Palatino Linotype" w:hAnsi="Palatino Linotype" w:cs="Palatino Linotype"/>
          <w:i/>
          <w:color w:val="000000"/>
          <w:sz w:val="22"/>
          <w:szCs w:val="22"/>
        </w:rPr>
        <w:lastRenderedPageBreak/>
        <w:t>dicho ordenamiento tiene como finalidad proveer lo necesario para garantizar el acceso de toda p</w:t>
      </w:r>
      <w:r>
        <w:rPr>
          <w:rFonts w:ascii="Palatino Linotype" w:eastAsia="Palatino Linotype" w:hAnsi="Palatino Linotype" w:cs="Palatino Linotype"/>
          <w:i/>
          <w:color w:val="000000"/>
          <w:sz w:val="22"/>
          <w:szCs w:val="22"/>
        </w:rPr>
        <w:t>ersona a la información en posesión de los Poderes de la Unión, los órganos constitucionales autónomos o con autonomía legal y cualquier otra entidad federal, así como que toda la información gubernamental a que se refiere dicha ley es pública y los partic</w:t>
      </w:r>
      <w:r>
        <w:rPr>
          <w:rFonts w:ascii="Palatino Linotype" w:eastAsia="Palatino Linotype" w:hAnsi="Palatino Linotype" w:cs="Palatino Linotype"/>
          <w:i/>
          <w:color w:val="000000"/>
          <w:sz w:val="22"/>
          <w:szCs w:val="22"/>
        </w:rPr>
        <w:t xml:space="preserve">ulares tendrán acceso a ella en los términos que en ésta se señalen y que, por otra parte, el precepto 6de la propia legislación prevé el principio de máxima publicidad y disponibilidad de la información en posesión de los sujetos obligados; también lo es </w:t>
      </w:r>
      <w:r>
        <w:rPr>
          <w:rFonts w:ascii="Palatino Linotype" w:eastAsia="Palatino Linotype" w:hAnsi="Palatino Linotype" w:cs="Palatino Linotype"/>
          <w:i/>
          <w:color w:val="000000"/>
          <w:sz w:val="22"/>
          <w:szCs w:val="22"/>
        </w:rPr>
        <w:t xml:space="preserve">que ello no implica que tales numerales deban interpretarse en el sentido de permitir al gobernado que a su arbitrio solicite copia de documentos que no obren en los expedientes de los sujetos obligados, o sean distintos a los de su petición inicial, pues </w:t>
      </w:r>
      <w:r>
        <w:rPr>
          <w:rFonts w:ascii="Palatino Linotype" w:eastAsia="Palatino Linotype" w:hAnsi="Palatino Linotype" w:cs="Palatino Linotype"/>
          <w:i/>
          <w:color w:val="000000"/>
          <w:sz w:val="22"/>
          <w:szCs w:val="22"/>
        </w:rPr>
        <w:t xml:space="preserve">ello contravendría el artículo 42 de la citada ley, que señala que las dependencias y entidades sólo estarán obligadas a entregar los documentos que se encuentren en sus archivos -los solicitados- y que la obligación de acceso a la información se dará por </w:t>
      </w:r>
      <w:r>
        <w:rPr>
          <w:rFonts w:ascii="Palatino Linotype" w:eastAsia="Palatino Linotype" w:hAnsi="Palatino Linotype" w:cs="Palatino Linotype"/>
          <w:i/>
          <w:color w:val="000000"/>
          <w:sz w:val="22"/>
          <w:szCs w:val="22"/>
        </w:rPr>
        <w:t>cumplida cuando se pongan a disposición del solicitante para consulta en el sitio donde se encuentren.”</w:t>
      </w:r>
    </w:p>
    <w:p w:rsidR="00BB5537" w:rsidRDefault="00BB5537">
      <w:pPr>
        <w:spacing w:line="360" w:lineRule="auto"/>
        <w:jc w:val="both"/>
        <w:rPr>
          <w:rFonts w:ascii="Palatino Linotype" w:eastAsia="Palatino Linotype" w:hAnsi="Palatino Linotype" w:cs="Palatino Linotype"/>
          <w:sz w:val="22"/>
          <w:szCs w:val="22"/>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ha sido criterio del Instituto Nacional de Transparencia, Acceso a la Información y Protección de Datos Personales bajo el número 27/10 que </w:t>
      </w:r>
      <w:r>
        <w:rPr>
          <w:rFonts w:ascii="Palatino Linotype" w:eastAsia="Palatino Linotype" w:hAnsi="Palatino Linotype" w:cs="Palatino Linotype"/>
          <w:u w:val="single"/>
        </w:rPr>
        <w:t>r</w:t>
      </w:r>
      <w:r>
        <w:rPr>
          <w:rFonts w:ascii="Palatino Linotype" w:eastAsia="Palatino Linotype" w:hAnsi="Palatino Linotype" w:cs="Palatino Linotype"/>
          <w:u w:val="single"/>
        </w:rPr>
        <w:t>esulta improcedente ampliar las solicitudes de información pública o de datos personales a través de la interposición del recurso de revisión</w:t>
      </w:r>
      <w:r>
        <w:rPr>
          <w:rFonts w:ascii="Palatino Linotype" w:eastAsia="Palatino Linotype" w:hAnsi="Palatino Linotype" w:cs="Palatino Linotype"/>
        </w:rPr>
        <w:t xml:space="preserve">, como se estima acontece en el presente asunto, al aumentar datos a la solicitud inicial, </w:t>
      </w:r>
      <w:r>
        <w:rPr>
          <w:rFonts w:ascii="Palatino Linotype" w:eastAsia="Palatino Linotype" w:hAnsi="Palatino Linotype" w:cs="Palatino Linotype"/>
          <w:b/>
        </w:rPr>
        <w:t>por lo que se insiste no</w:t>
      </w:r>
      <w:r>
        <w:rPr>
          <w:rFonts w:ascii="Palatino Linotype" w:eastAsia="Palatino Linotype" w:hAnsi="Palatino Linotype" w:cs="Palatino Linotype"/>
          <w:b/>
        </w:rPr>
        <w:t xml:space="preserve"> se puede entrar al estudio de la información novedosa</w:t>
      </w:r>
      <w:r>
        <w:rPr>
          <w:rFonts w:ascii="Palatino Linotype" w:eastAsia="Palatino Linotype" w:hAnsi="Palatino Linotype" w:cs="Palatino Linotype"/>
        </w:rPr>
        <w:t>, criterio que es de la literalidad siguiente:</w:t>
      </w:r>
    </w:p>
    <w:p w:rsidR="00BB5537" w:rsidRDefault="00BB5537">
      <w:pPr>
        <w:spacing w:line="360" w:lineRule="auto"/>
        <w:jc w:val="both"/>
        <w:rPr>
          <w:rFonts w:ascii="Palatino Linotype" w:eastAsia="Palatino Linotype" w:hAnsi="Palatino Linotype" w:cs="Palatino Linotype"/>
          <w:sz w:val="22"/>
          <w:szCs w:val="22"/>
        </w:rPr>
      </w:pPr>
    </w:p>
    <w:p w:rsidR="00BB5537" w:rsidRDefault="00DC714F">
      <w:pPr>
        <w:pBdr>
          <w:top w:val="nil"/>
          <w:left w:val="nil"/>
          <w:bottom w:val="nil"/>
          <w:right w:val="nil"/>
          <w:between w:val="nil"/>
        </w:pBdr>
        <w:ind w:left="851"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“Es improcedente ampliar las solicitudes de acceso a información pública o datos personales, a través de la interposición del recurso de revisión. En aque</w:t>
      </w:r>
      <w:r>
        <w:rPr>
          <w:rFonts w:ascii="Palatino Linotype" w:eastAsia="Palatino Linotype" w:hAnsi="Palatino Linotype" w:cs="Palatino Linotype"/>
          <w:i/>
          <w:color w:val="000000"/>
          <w:sz w:val="22"/>
          <w:szCs w:val="22"/>
        </w:rPr>
        <w:t xml:space="preserve">llos casos en los que los recurrentes amplíen los alcances de su solicitud de información o acceso a datos personales a través de su recurso de revisión, esta ampliación no podrá constituir materia del procedimiento a sustanciarse por el Instituto Federal </w:t>
      </w:r>
      <w:r>
        <w:rPr>
          <w:rFonts w:ascii="Palatino Linotype" w:eastAsia="Palatino Linotype" w:hAnsi="Palatino Linotype" w:cs="Palatino Linotype"/>
          <w:i/>
          <w:color w:val="000000"/>
          <w:sz w:val="22"/>
          <w:szCs w:val="22"/>
        </w:rPr>
        <w:t>de Acceso a la Información y Protección de Datos. Lo anterior, sin perjuicio de que los recurrentes puedan ejercer su derecho a realizar una nueva solicitud en términos de la Ley de la materia.”</w:t>
      </w:r>
    </w:p>
    <w:p w:rsidR="00BB5537" w:rsidRDefault="00BB5537">
      <w:pPr>
        <w:spacing w:line="360" w:lineRule="auto"/>
        <w:jc w:val="both"/>
        <w:rPr>
          <w:rFonts w:ascii="Palatino Linotype" w:eastAsia="Palatino Linotype" w:hAnsi="Palatino Linotype" w:cs="Palatino Linotype"/>
          <w:sz w:val="22"/>
          <w:szCs w:val="22"/>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Empero lo anterior, se dejan a salvo los derechos del </w:t>
      </w:r>
      <w:r>
        <w:rPr>
          <w:rFonts w:ascii="Palatino Linotype" w:eastAsia="Palatino Linotype" w:hAnsi="Palatino Linotype" w:cs="Palatino Linotype"/>
          <w:b/>
        </w:rPr>
        <w:t>RECURR</w:t>
      </w:r>
      <w:r>
        <w:rPr>
          <w:rFonts w:ascii="Palatino Linotype" w:eastAsia="Palatino Linotype" w:hAnsi="Palatino Linotype" w:cs="Palatino Linotype"/>
          <w:b/>
        </w:rPr>
        <w:t>ENTE</w:t>
      </w:r>
      <w:r>
        <w:rPr>
          <w:rFonts w:ascii="Palatino Linotype" w:eastAsia="Palatino Linotype" w:hAnsi="Palatino Linotype" w:cs="Palatino Linotype"/>
        </w:rPr>
        <w:t xml:space="preserve"> a efecto de que, de considerarlo oportuno, presente una nueva solicitud de información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 la que formule los requerimientos analizados en este rubro. </w:t>
      </w:r>
    </w:p>
    <w:p w:rsidR="00BB5537" w:rsidRDefault="00BB5537">
      <w:pPr>
        <w:spacing w:line="360" w:lineRule="auto"/>
        <w:jc w:val="both"/>
        <w:rPr>
          <w:rFonts w:ascii="Palatino Linotype" w:eastAsia="Palatino Linotype" w:hAnsi="Palatino Linotype" w:cs="Palatino Linotype"/>
          <w:sz w:val="22"/>
          <w:szCs w:val="22"/>
        </w:rPr>
      </w:pPr>
    </w:p>
    <w:p w:rsidR="00BB5537" w:rsidRDefault="00DC714F">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color w:val="000000"/>
        </w:rPr>
        <w:t xml:space="preserve">Por todo lo anteriormente expuesto, el Pleno de este Instituto considera que el </w:t>
      </w:r>
      <w:r>
        <w:rPr>
          <w:rFonts w:ascii="Palatino Linotype" w:eastAsia="Palatino Linotype" w:hAnsi="Palatino Linotype" w:cs="Palatino Linotype"/>
          <w:color w:val="000000"/>
        </w:rPr>
        <w:t xml:space="preserve">derecho de acceso a la información solamente puede tenerse por satisfecho en el momento en que el particular tenga en su poder los soportes documentales con la información solicitada, por ello se determina ordenar al </w:t>
      </w:r>
      <w:r>
        <w:rPr>
          <w:rFonts w:ascii="Palatino Linotype" w:eastAsia="Palatino Linotype" w:hAnsi="Palatino Linotype" w:cs="Palatino Linotype"/>
          <w:b/>
          <w:color w:val="000000"/>
        </w:rPr>
        <w:t xml:space="preserve">SUJETO OBLIGADO, , </w:t>
      </w:r>
      <w:r>
        <w:rPr>
          <w:rFonts w:ascii="Palatino Linotype" w:eastAsia="Palatino Linotype" w:hAnsi="Palatino Linotype" w:cs="Palatino Linotype"/>
          <w:color w:val="000000"/>
        </w:rPr>
        <w:t xml:space="preserve">la entrega al </w:t>
      </w:r>
      <w:r>
        <w:rPr>
          <w:rFonts w:ascii="Palatino Linotype" w:eastAsia="Palatino Linotype" w:hAnsi="Palatino Linotype" w:cs="Palatino Linotype"/>
          <w:b/>
          <w:color w:val="000000"/>
        </w:rPr>
        <w:t>RECURR</w:t>
      </w:r>
      <w:r>
        <w:rPr>
          <w:rFonts w:ascii="Palatino Linotype" w:eastAsia="Palatino Linotype" w:hAnsi="Palatino Linotype" w:cs="Palatino Linotype"/>
          <w:b/>
          <w:color w:val="000000"/>
        </w:rPr>
        <w:t xml:space="preserve">ENTE, </w:t>
      </w:r>
      <w:r>
        <w:rPr>
          <w:rFonts w:ascii="Palatino Linotype" w:eastAsia="Palatino Linotype" w:hAnsi="Palatino Linotype" w:cs="Palatino Linotype"/>
          <w:color w:val="000000"/>
        </w:rPr>
        <w:t>de</w:t>
      </w:r>
      <w:r>
        <w:rPr>
          <w:rFonts w:ascii="Palatino Linotype" w:eastAsia="Palatino Linotype" w:hAnsi="Palatino Linotype" w:cs="Palatino Linotype"/>
        </w:rPr>
        <w:t xml:space="preserve"> ser procedente en </w:t>
      </w: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los documentos en que consten las fechas programadas para la ejecución de las obras y las bitácoras faltantes de la obra denominada “Techado del Lienzo Charro de Malinalco”</w:t>
      </w:r>
      <w:r>
        <w:rPr>
          <w:rFonts w:ascii="Palatino Linotype" w:eastAsia="Palatino Linotype" w:hAnsi="Palatino Linotype" w:cs="Palatino Linotype"/>
          <w:b/>
        </w:rPr>
        <w:t xml:space="preserve"> </w:t>
      </w:r>
      <w:r>
        <w:rPr>
          <w:rFonts w:ascii="Palatino Linotype" w:eastAsia="Palatino Linotype" w:hAnsi="Palatino Linotype" w:cs="Palatino Linotype"/>
        </w:rPr>
        <w:t>tal como se detallará en el considerando siguiente</w:t>
      </w: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 Versión Pública.</w:t>
      </w:r>
      <w:r>
        <w:rPr>
          <w:rFonts w:ascii="Palatino Linotype" w:eastAsia="Palatino Linotype" w:hAnsi="Palatino Linotype" w:cs="Palatino Linotype"/>
        </w:rPr>
        <w:t xml:space="preserve"> Para la entrega de la información, en razón de que el derecho de acceso a la información pública no es absoluto, sino que encuentra como excepciones que la información sobre la cua</w:t>
      </w:r>
      <w:r>
        <w:rPr>
          <w:rFonts w:ascii="Palatino Linotype" w:eastAsia="Palatino Linotype" w:hAnsi="Palatino Linotype" w:cs="Palatino Linotype"/>
        </w:rPr>
        <w:t xml:space="preserve">l se peticiona el acceso, sea 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hacer la elaboración de una versión pública de los documentos que vaya entregar para dar cumplimi</w:t>
      </w:r>
      <w:r>
        <w:rPr>
          <w:rFonts w:ascii="Palatino Linotype" w:eastAsia="Palatino Linotype" w:hAnsi="Palatino Linotype" w:cs="Palatino Linotype"/>
        </w:rPr>
        <w:t xml:space="preserve">ento a esta resolución, a fin de satisfacer el derecho de acceso a la información pública de la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sin menoscabar el derecho a la protección de los datos personales de terceros.</w:t>
      </w:r>
    </w:p>
    <w:p w:rsidR="00BB5537" w:rsidRDefault="00BB5537">
      <w:pPr>
        <w:spacing w:line="360" w:lineRule="auto"/>
        <w:jc w:val="both"/>
        <w:rPr>
          <w:rFonts w:ascii="Palatino Linotype" w:eastAsia="Palatino Linotype" w:hAnsi="Palatino Linotype" w:cs="Palatino Linotype"/>
        </w:rPr>
      </w:pPr>
    </w:p>
    <w:p w:rsidR="00BB5537" w:rsidRDefault="00DC714F">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w:t>
      </w:r>
      <w:r>
        <w:rPr>
          <w:rFonts w:ascii="Palatino Linotype" w:eastAsia="Palatino Linotype" w:hAnsi="Palatino Linotype" w:cs="Palatino Linotype"/>
        </w:rPr>
        <w:t xml:space="preserve">acciones IX, XX, XXXII, XLV; 6, 137 y 143 fracción I, de la Ley de Transparencia y Acceso a la </w:t>
      </w:r>
      <w:r>
        <w:rPr>
          <w:rFonts w:ascii="Palatino Linotype" w:eastAsia="Palatino Linotype" w:hAnsi="Palatino Linotype" w:cs="Palatino Linotype"/>
        </w:rPr>
        <w:lastRenderedPageBreak/>
        <w:t>Información Pública del Estado de México y Municipios vigente, que se leen como sigue:</w:t>
      </w:r>
    </w:p>
    <w:p w:rsidR="00BB5537" w:rsidRDefault="00DC714F">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por:</w:t>
      </w:r>
    </w:p>
    <w:p w:rsidR="00BB5537" w:rsidRDefault="00DC7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w:t>
      </w:r>
      <w:r>
        <w:rPr>
          <w:rFonts w:ascii="Palatino Linotype" w:eastAsia="Palatino Linotype" w:hAnsi="Palatino Linotype" w:cs="Palatino Linotype"/>
          <w:b/>
          <w:i/>
          <w:sz w:val="22"/>
          <w:szCs w:val="22"/>
        </w:rPr>
        <w:t>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rsidR="00BB5537" w:rsidRDefault="00DC7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w:t>
      </w:r>
      <w:r>
        <w:rPr>
          <w:rFonts w:ascii="Palatino Linotype" w:eastAsia="Palatino Linotype" w:hAnsi="Palatino Linotype" w:cs="Palatino Linotype"/>
          <w:i/>
          <w:sz w:val="22"/>
          <w:szCs w:val="22"/>
        </w:rPr>
        <w:t>a o confidencial;</w:t>
      </w:r>
    </w:p>
    <w:p w:rsidR="00BB5537" w:rsidRDefault="00DC7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rsidR="00BB5537" w:rsidRDefault="00DC7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w:t>
      </w:r>
      <w:r>
        <w:rPr>
          <w:rFonts w:ascii="Palatino Linotype" w:eastAsia="Palatino Linotype" w:hAnsi="Palatino Linotype" w:cs="Palatino Linotype"/>
          <w:i/>
          <w:sz w:val="22"/>
          <w:szCs w:val="22"/>
        </w:rPr>
        <w:t>ión clasificada como reservada o confidencial para permitir su acceso.”</w:t>
      </w:r>
    </w:p>
    <w:p w:rsidR="00BB5537" w:rsidRDefault="00BB5537">
      <w:pPr>
        <w:ind w:left="993" w:right="1041"/>
        <w:jc w:val="both"/>
        <w:rPr>
          <w:rFonts w:ascii="Palatino Linotype" w:eastAsia="Palatino Linotype" w:hAnsi="Palatino Linotype" w:cs="Palatino Linotype"/>
          <w:i/>
          <w:sz w:val="22"/>
          <w:szCs w:val="22"/>
        </w:rPr>
      </w:pPr>
    </w:p>
    <w:p w:rsidR="00BB5537" w:rsidRDefault="00DC7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w:t>
      </w:r>
      <w:r>
        <w:rPr>
          <w:rFonts w:ascii="Palatino Linotype" w:eastAsia="Palatino Linotype" w:hAnsi="Palatino Linotype" w:cs="Palatino Linotype"/>
          <w:i/>
          <w:sz w:val="22"/>
          <w:szCs w:val="22"/>
        </w:rPr>
        <w:t>nga, con excepción de aquellos casos en que deban hacerlo en observancia de las disposiciones aplicables. En el caso de los derechos de acceso, rectificación, cancelación u oposición; los principios, procedimientos, medidas de seguridad en el tratamiento y</w:t>
      </w:r>
      <w:r>
        <w:rPr>
          <w:rFonts w:ascii="Palatino Linotype" w:eastAsia="Palatino Linotype" w:hAnsi="Palatino Linotype" w:cs="Palatino Linotype"/>
          <w:i/>
          <w:sz w:val="22"/>
          <w:szCs w:val="22"/>
        </w:rPr>
        <w:t xml:space="preserve"> demás disposiciones en materia de datos personales, se deberá estar a lo dispuesto en las leyes de la materia.”</w:t>
      </w:r>
    </w:p>
    <w:p w:rsidR="00BB5537" w:rsidRDefault="00BB5537">
      <w:pPr>
        <w:ind w:left="993" w:right="1041"/>
        <w:jc w:val="both"/>
        <w:rPr>
          <w:rFonts w:ascii="Palatino Linotype" w:eastAsia="Palatino Linotype" w:hAnsi="Palatino Linotype" w:cs="Palatino Linotype"/>
          <w:i/>
          <w:sz w:val="22"/>
          <w:szCs w:val="22"/>
        </w:rPr>
      </w:pPr>
    </w:p>
    <w:p w:rsidR="00BB5537" w:rsidRDefault="00DC714F">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w:t>
      </w:r>
      <w:r>
        <w:rPr>
          <w:rFonts w:ascii="Palatino Linotype" w:eastAsia="Palatino Linotype" w:hAnsi="Palatino Linotype" w:cs="Palatino Linotype"/>
          <w:i/>
          <w:sz w:val="22"/>
          <w:szCs w:val="22"/>
        </w:rPr>
        <w:t>ecciones clasificadas, indicando su contenido de manera genérica y fundando y motivando su clasificación.”</w:t>
      </w:r>
    </w:p>
    <w:p w:rsidR="00BB5537" w:rsidRDefault="00BB5537">
      <w:pPr>
        <w:ind w:left="993" w:right="1041"/>
        <w:jc w:val="both"/>
        <w:rPr>
          <w:rFonts w:ascii="Palatino Linotype" w:eastAsia="Palatino Linotype" w:hAnsi="Palatino Linotype" w:cs="Palatino Linotype"/>
          <w:b/>
          <w:i/>
          <w:sz w:val="22"/>
          <w:szCs w:val="22"/>
        </w:rPr>
      </w:pPr>
    </w:p>
    <w:p w:rsidR="00BB5537" w:rsidRDefault="00DC7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w:t>
      </w:r>
      <w:r>
        <w:rPr>
          <w:rFonts w:ascii="Palatino Linotype" w:eastAsia="Palatino Linotype" w:hAnsi="Palatino Linotype" w:cs="Palatino Linotype"/>
          <w:i/>
          <w:sz w:val="22"/>
          <w:szCs w:val="22"/>
        </w:rPr>
        <w:t xml:space="preserve"> cuando:</w:t>
      </w:r>
    </w:p>
    <w:p w:rsidR="00BB5537" w:rsidRDefault="00DC7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rsidR="00BB5537" w:rsidRDefault="00DC7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w:t>
      </w:r>
      <w:r>
        <w:rPr>
          <w:rFonts w:ascii="Palatino Linotype" w:eastAsia="Palatino Linotype" w:hAnsi="Palatino Linotype" w:cs="Palatino Linotype"/>
          <w:i/>
          <w:sz w:val="22"/>
          <w:szCs w:val="22"/>
        </w:rPr>
        <w:t>aridad corresponda a particulares, sujetos de derecho internacional o a sujetos obligados cuando no involucren el ejercicio de recursos públicos; y</w:t>
      </w:r>
    </w:p>
    <w:p w:rsidR="00BB5537" w:rsidRDefault="00DC714F">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III. La que presenten los particulares a los sujetos obligados, de conformidad con lo dispuesto por las leye</w:t>
      </w:r>
      <w:r>
        <w:rPr>
          <w:rFonts w:ascii="Palatino Linotype" w:eastAsia="Palatino Linotype" w:hAnsi="Palatino Linotype" w:cs="Palatino Linotype"/>
          <w:i/>
          <w:sz w:val="22"/>
          <w:szCs w:val="22"/>
        </w:rPr>
        <w:t>s o los tratados internacionales.” (Sic)</w:t>
      </w:r>
    </w:p>
    <w:p w:rsidR="00BB5537" w:rsidRDefault="00BB5537">
      <w:pPr>
        <w:ind w:left="993" w:right="1041"/>
        <w:jc w:val="both"/>
        <w:rPr>
          <w:rFonts w:ascii="Palatino Linotype" w:eastAsia="Palatino Linotype" w:hAnsi="Palatino Linotype" w:cs="Palatino Linotype"/>
          <w:i/>
          <w:sz w:val="22"/>
          <w:szCs w:val="22"/>
        </w:rPr>
      </w:pPr>
    </w:p>
    <w:p w:rsidR="00BB5537" w:rsidRDefault="00DC714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desprende que cuando un documento que vaya a ser entregado vía acceso a la información pública, contenga tanto información de interés público como información que debe ser clasificada</w:t>
      </w:r>
      <w:r>
        <w:rPr>
          <w:rFonts w:ascii="Palatino Linotype" w:eastAsia="Palatino Linotype" w:hAnsi="Palatino Linotype" w:cs="Palatino Linotype"/>
        </w:rPr>
        <w:t xml:space="preserve">,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encuentren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w:t>
      </w:r>
      <w:r>
        <w:rPr>
          <w:rFonts w:ascii="Palatino Linotype" w:eastAsia="Palatino Linotype" w:hAnsi="Palatino Linotype" w:cs="Palatino Linotype"/>
        </w:rPr>
        <w:t xml:space="preserve">a satisfacer el derecho de acceso a la información pública de la (el) </w:t>
      </w:r>
      <w:r>
        <w:rPr>
          <w:rFonts w:ascii="Palatino Linotype" w:eastAsia="Palatino Linotype" w:hAnsi="Palatino Linotype" w:cs="Palatino Linotype"/>
          <w:b/>
        </w:rPr>
        <w:t>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w:t>
      </w:r>
      <w:r>
        <w:rPr>
          <w:rFonts w:ascii="Palatino Linotype" w:eastAsia="Palatino Linotype" w:hAnsi="Palatino Linotype" w:cs="Palatino Linotype"/>
        </w:rPr>
        <w:t>ma de su titular o cuya utilización indebida pueda dar origen a discriminación o conlleven un riesgo grave para aquel de acuerdo a lo que señala la fracción XII del artículo 4 de la Ley de Protección de Datos Personales en Posesión de Sujetos Obligados del</w:t>
      </w:r>
      <w:r>
        <w:rPr>
          <w:rFonts w:ascii="Palatino Linotype" w:eastAsia="Palatino Linotype" w:hAnsi="Palatino Linotype" w:cs="Palatino Linotype"/>
        </w:rPr>
        <w:t xml:space="preserve"> Estado de México.</w:t>
      </w:r>
    </w:p>
    <w:p w:rsidR="00BB5537" w:rsidRDefault="00BB5537">
      <w:pPr>
        <w:spacing w:line="360" w:lineRule="auto"/>
        <w:ind w:right="51"/>
        <w:jc w:val="both"/>
        <w:rPr>
          <w:rFonts w:ascii="Palatino Linotype" w:eastAsia="Palatino Linotype" w:hAnsi="Palatino Linotype" w:cs="Palatino Linotype"/>
        </w:rPr>
      </w:pPr>
    </w:p>
    <w:p w:rsidR="00BB5537" w:rsidRDefault="00DC714F">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w:t>
      </w:r>
      <w:r>
        <w:rPr>
          <w:rFonts w:ascii="Palatino Linotype" w:eastAsia="Palatino Linotype" w:hAnsi="Palatino Linotype" w:cs="Palatino Linotype"/>
        </w:rPr>
        <w:t xml:space="preserve"> mismos a personas ajenas a su titular.</w:t>
      </w:r>
    </w:p>
    <w:p w:rsidR="00BB5537" w:rsidRDefault="00BB5537">
      <w:pPr>
        <w:spacing w:line="360" w:lineRule="auto"/>
        <w:ind w:right="50"/>
        <w:jc w:val="both"/>
        <w:rPr>
          <w:rFonts w:ascii="Palatino Linotype" w:eastAsia="Palatino Linotype" w:hAnsi="Palatino Linotype" w:cs="Palatino Linotype"/>
        </w:rPr>
      </w:pPr>
    </w:p>
    <w:p w:rsidR="00BB5537" w:rsidRDefault="00DC714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w:t>
      </w:r>
      <w:r>
        <w:rPr>
          <w:rFonts w:ascii="Palatino Linotype" w:eastAsia="Palatino Linotype" w:hAnsi="Palatino Linotype" w:cs="Palatino Linotype"/>
        </w:rPr>
        <w:t xml:space="preserve">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sino que ello deberá realizarse en </w:t>
      </w:r>
      <w:r>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rsidR="00BB5537" w:rsidRDefault="00BB5537">
      <w:pPr>
        <w:spacing w:line="360" w:lineRule="auto"/>
        <w:ind w:right="51"/>
        <w:jc w:val="both"/>
        <w:rPr>
          <w:rFonts w:ascii="Palatino Linotype" w:eastAsia="Palatino Linotype" w:hAnsi="Palatino Linotype" w:cs="Palatino Linotype"/>
        </w:rPr>
      </w:pPr>
    </w:p>
    <w:p w:rsidR="00BB5537" w:rsidRDefault="00DC7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BB5537" w:rsidRDefault="00DC7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BB5537" w:rsidRDefault="00DC7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BB5537" w:rsidRDefault="00DC7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w:t>
      </w:r>
      <w:r>
        <w:rPr>
          <w:rFonts w:ascii="Palatino Linotype" w:eastAsia="Palatino Linotype" w:hAnsi="Palatino Linotype" w:cs="Palatino Linotype"/>
          <w:b/>
          <w:i/>
          <w:sz w:val="22"/>
          <w:szCs w:val="22"/>
        </w:rPr>
        <w:t>é, el proyecto de clasificación de información</w:t>
      </w:r>
      <w:r>
        <w:rPr>
          <w:rFonts w:ascii="Palatino Linotype" w:eastAsia="Palatino Linotype" w:hAnsi="Palatino Linotype" w:cs="Palatino Linotype"/>
          <w:i/>
          <w:sz w:val="22"/>
          <w:szCs w:val="22"/>
        </w:rPr>
        <w:t xml:space="preserve">…” </w:t>
      </w:r>
    </w:p>
    <w:p w:rsidR="00BB5537" w:rsidRDefault="00DC7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BB5537" w:rsidRDefault="00DC714F">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w:t>
      </w:r>
      <w:r>
        <w:rPr>
          <w:rFonts w:ascii="Palatino Linotype" w:eastAsia="Palatino Linotype" w:hAnsi="Palatino Linotype" w:cs="Palatino Linotype"/>
          <w:i/>
          <w:sz w:val="22"/>
          <w:szCs w:val="22"/>
        </w:rPr>
        <w:t xml:space="preserve"> tendrá los fundamentos y argumentos en que se basa dicha propuesta…”(Sic)</w:t>
      </w:r>
    </w:p>
    <w:p w:rsidR="00BB5537" w:rsidRDefault="00BB5537">
      <w:pPr>
        <w:ind w:left="992" w:right="1043"/>
        <w:jc w:val="both"/>
        <w:rPr>
          <w:rFonts w:ascii="Palatino Linotype" w:eastAsia="Palatino Linotype" w:hAnsi="Palatino Linotype" w:cs="Palatino Linotype"/>
          <w:i/>
          <w:sz w:val="22"/>
          <w:szCs w:val="22"/>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w:t>
      </w:r>
      <w:r>
        <w:rPr>
          <w:rFonts w:ascii="Palatino Linotype" w:eastAsia="Palatino Linotype" w:hAnsi="Palatino Linotype" w:cs="Palatino Linotype"/>
        </w:rPr>
        <w:t xml:space="preserve">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presente ante al Comité de </w:t>
      </w:r>
      <w:r>
        <w:rPr>
          <w:rFonts w:ascii="Palatino Linotype" w:eastAsia="Palatino Linotype" w:hAnsi="Palatino Linotype" w:cs="Palatino Linotype"/>
        </w:rPr>
        <w:t>Transparencia de así resultar procedente el proyecto de clasificación de la información y finalmente sea éste último quien apruebe, modifique o revoque la clasificación de la información solicitada.</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rsidR="00BB5537" w:rsidRDefault="00BB5537">
      <w:pPr>
        <w:spacing w:line="360" w:lineRule="auto"/>
        <w:jc w:val="both"/>
        <w:rPr>
          <w:rFonts w:ascii="Palatino Linotype" w:eastAsia="Palatino Linotype" w:hAnsi="Palatino Linotype" w:cs="Palatino Linotype"/>
        </w:rPr>
      </w:pPr>
    </w:p>
    <w:p w:rsidR="00BB5537" w:rsidRDefault="00DC714F">
      <w:pPr>
        <w:spacing w:after="240"/>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Artículo 149.</w:t>
      </w:r>
      <w:r>
        <w:rPr>
          <w:rFonts w:ascii="Palatino Linotype" w:eastAsia="Palatino Linotype" w:hAnsi="Palatino Linotype" w:cs="Palatino Linotype"/>
          <w:i/>
          <w:sz w:val="22"/>
          <w:szCs w:val="22"/>
        </w:rPr>
        <w:t xml:space="preserve"> El </w:t>
      </w:r>
      <w:r>
        <w:rPr>
          <w:rFonts w:ascii="Palatino Linotype" w:eastAsia="Palatino Linotype" w:hAnsi="Palatino Linotype" w:cs="Palatino Linotype"/>
          <w:b/>
          <w:i/>
          <w:sz w:val="22"/>
          <w:szCs w:val="22"/>
        </w:rPr>
        <w:t>acuerdo que clasifique la información como confid</w:t>
      </w:r>
      <w:r>
        <w:rPr>
          <w:rFonts w:ascii="Palatino Linotype" w:eastAsia="Palatino Linotype" w:hAnsi="Palatino Linotype" w:cs="Palatino Linotype"/>
          <w:b/>
          <w:i/>
          <w:sz w:val="22"/>
          <w:szCs w:val="22"/>
        </w:rPr>
        <w:t>encial</w:t>
      </w:r>
      <w:r>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rsidR="00BB5537" w:rsidRDefault="00DC714F">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w:t>
      </w:r>
      <w:r>
        <w:rPr>
          <w:rFonts w:ascii="Palatino Linotype" w:eastAsia="Palatino Linotype" w:hAnsi="Palatino Linotype" w:cs="Palatino Linotype"/>
        </w:rPr>
        <w:t>acuerdo que contenga un razonamiento lógico con el que se demuestre que la información que se testa de las versiones públicas que se sirva elaborar, encuadra en alguna de las hipótesis que contempla la Ley de la Materia en su artículo 143; ya que de lo con</w:t>
      </w:r>
      <w:r>
        <w:rPr>
          <w:rFonts w:ascii="Palatino Linotype" w:eastAsia="Palatino Linotype" w:hAnsi="Palatino Linotype" w:cs="Palatino Linotype"/>
        </w:rPr>
        <w:t>trario, se crearía la incertidumbre jurídica en relación a si lo entregado es formalmente una versión pública, o un documento ilegible, incompleto o tachado; en otras palabras si no se exponen de manera puntual las razones de la versión pública de la docum</w:t>
      </w:r>
      <w:r>
        <w:rPr>
          <w:rFonts w:ascii="Palatino Linotype" w:eastAsia="Palatino Linotype" w:hAnsi="Palatino Linotype" w:cs="Palatino Linotype"/>
        </w:rPr>
        <w:t>entación entregada se estaría violentando el derecho de acceso a la información de la parte solicitante.</w:t>
      </w:r>
    </w:p>
    <w:p w:rsidR="00BB5537" w:rsidRDefault="00DC714F">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es decir, resulta n</w:t>
      </w:r>
      <w:r>
        <w:rPr>
          <w:rFonts w:ascii="Palatino Linotype" w:eastAsia="Palatino Linotype" w:hAnsi="Palatino Linotype" w:cs="Palatino Linotype"/>
        </w:rPr>
        <w:t xml:space="preserve">ecesario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w:t>
      </w:r>
      <w:r>
        <w:rPr>
          <w:rFonts w:ascii="Palatino Linotype" w:eastAsia="Palatino Linotype" w:hAnsi="Palatino Linotype" w:cs="Palatino Linotype"/>
        </w:rPr>
        <w:t xml:space="preserve">37 de la Ley de Transparencia y Acceso a la Información Pública del Estado de México y Municipios, ya expuesto; así como con los numerales aplicables de los </w:t>
      </w:r>
      <w:r>
        <w:rPr>
          <w:rFonts w:ascii="Palatino Linotype" w:eastAsia="Palatino Linotype" w:hAnsi="Palatino Linotype" w:cs="Palatino Linotype"/>
          <w:b/>
        </w:rPr>
        <w:t>LINEAMIENTOS GENERALES EN MATERIA DE CLASIFICACIÓN Y DESCLASIFICACIÓN DE LA INFORMACIÓN, ASÍ COMO P</w:t>
      </w:r>
      <w:r>
        <w:rPr>
          <w:rFonts w:ascii="Palatino Linotype" w:eastAsia="Palatino Linotype" w:hAnsi="Palatino Linotype" w:cs="Palatino Linotype"/>
          <w:b/>
        </w:rPr>
        <w:t>ARA LA ELABORACIÓN DE VERSIONES PÚBLICAS</w:t>
      </w:r>
      <w:r>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w:t>
      </w:r>
      <w:r>
        <w:rPr>
          <w:rFonts w:ascii="Palatino Linotype" w:eastAsia="Palatino Linotype" w:hAnsi="Palatino Linotype" w:cs="Palatino Linotype"/>
        </w:rPr>
        <w:t>otección de Datos Personales, que literalmente expresan:</w:t>
      </w:r>
    </w:p>
    <w:p w:rsidR="00BB5537" w:rsidRDefault="00BB5537">
      <w:pPr>
        <w:ind w:left="709" w:right="709"/>
        <w:jc w:val="both"/>
        <w:rPr>
          <w:rFonts w:ascii="Palatino Linotype" w:eastAsia="Palatino Linotype" w:hAnsi="Palatino Linotype" w:cs="Palatino Linotype"/>
          <w:b/>
          <w:i/>
          <w:sz w:val="22"/>
          <w:szCs w:val="22"/>
        </w:rPr>
      </w:pPr>
    </w:p>
    <w:p w:rsidR="00BB5537" w:rsidRDefault="00DC714F">
      <w:pPr>
        <w:ind w:left="709" w:right="70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w:t>
      </w:r>
      <w:r>
        <w:rPr>
          <w:rFonts w:ascii="Palatino Linotype" w:eastAsia="Palatino Linotype" w:hAnsi="Palatino Linotype" w:cs="Palatino Linotype"/>
          <w:i/>
          <w:sz w:val="22"/>
          <w:szCs w:val="22"/>
        </w:rPr>
        <w:t xml:space="preserve"> genérica, </w:t>
      </w:r>
      <w:r>
        <w:rPr>
          <w:rFonts w:ascii="Palatino Linotype" w:eastAsia="Palatino Linotype" w:hAnsi="Palatino Linotype" w:cs="Palatino Linotype"/>
          <w:b/>
          <w:i/>
          <w:sz w:val="22"/>
          <w:szCs w:val="22"/>
          <w:u w:val="single"/>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u w:val="single"/>
        </w:rPr>
        <w:t>confidencialidad</w:t>
      </w:r>
      <w:r>
        <w:rPr>
          <w:rFonts w:ascii="Palatino Linotype" w:eastAsia="Palatino Linotype" w:hAnsi="Palatino Linotype" w:cs="Palatino Linotype"/>
          <w:i/>
          <w:sz w:val="22"/>
          <w:szCs w:val="22"/>
        </w:rPr>
        <w:t>, a través de la resolución que para tal efecto emita el Comité de Transparencia.</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Para clasificar la información como reservada o confidencial, de manera total o parcial, el titular del á</w:t>
      </w:r>
      <w:r>
        <w:rPr>
          <w:rFonts w:ascii="Palatino Linotype" w:eastAsia="Palatino Linotype" w:hAnsi="Palatino Linotype" w:cs="Palatino Linotype"/>
          <w:i/>
          <w:sz w:val="22"/>
          <w:szCs w:val="22"/>
        </w:rPr>
        <w:t xml:space="preserve">rea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 xml:space="preserve"> deberá atender lo dispuesto por el Título Sexto de la Ley General, en relación con las disposiciones contenidas en los presentes lineamientos, así como en aquellas disposiciones legales aplicables a la materia en el ámbito de sus re</w:t>
      </w:r>
      <w:r>
        <w:rPr>
          <w:rFonts w:ascii="Palatino Linotype" w:eastAsia="Palatino Linotype" w:hAnsi="Palatino Linotype" w:cs="Palatino Linotype"/>
          <w:i/>
          <w:sz w:val="22"/>
          <w:szCs w:val="22"/>
        </w:rPr>
        <w:t>spectivas competencias, en tanto estas últimas no contravengan lo dispuesto en la Ley General.</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w:t>
      </w:r>
      <w:r>
        <w:rPr>
          <w:rFonts w:ascii="Palatino Linotype" w:eastAsia="Palatino Linotype" w:hAnsi="Palatino Linotype" w:cs="Palatino Linotype"/>
          <w:i/>
          <w:sz w:val="22"/>
          <w:szCs w:val="22"/>
        </w:rPr>
        <w:t>cedencia.</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w:t>
      </w:r>
      <w:r>
        <w:rPr>
          <w:rFonts w:ascii="Palatino Linotype" w:eastAsia="Palatino Linotype" w:hAnsi="Palatino Linotype" w:cs="Palatino Linotype"/>
          <w:i/>
          <w:sz w:val="22"/>
          <w:szCs w:val="22"/>
        </w:rPr>
        <w:t>ados, por lo que deberán fundar y motivar debidamente la clasificación de la información ante una solicitud de acceso o al momento en que generen versiones públicas para dar cumplimiento a las obligaciones de transparencia, observando lo dispuesto en la Le</w:t>
      </w:r>
      <w:r>
        <w:rPr>
          <w:rFonts w:ascii="Palatino Linotype" w:eastAsia="Palatino Linotype" w:hAnsi="Palatino Linotype" w:cs="Palatino Linotype"/>
          <w:i/>
          <w:sz w:val="22"/>
          <w:szCs w:val="22"/>
        </w:rPr>
        <w:t>y General y las demás disposiciones aplicables en la materia.</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w:t>
      </w:r>
      <w:r>
        <w:rPr>
          <w:rFonts w:ascii="Palatino Linotype" w:eastAsia="Palatino Linotype" w:hAnsi="Palatino Linotype" w:cs="Palatino Linotype"/>
          <w:i/>
          <w:sz w:val="22"/>
          <w:szCs w:val="22"/>
        </w:rPr>
        <w:t xml:space="preserve"> la información o cuando éstos no obren en sus archivos.</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w:t>
      </w:r>
      <w:r>
        <w:rPr>
          <w:rFonts w:ascii="Palatino Linotype" w:eastAsia="Palatino Linotype" w:hAnsi="Palatino Linotype" w:cs="Palatino Linotype"/>
          <w:i/>
          <w:sz w:val="22"/>
          <w:szCs w:val="22"/>
        </w:rPr>
        <w:t>vará a cabo en el momento en que:</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w:t>
      </w:r>
      <w:r>
        <w:rPr>
          <w:rFonts w:ascii="Palatino Linotype" w:eastAsia="Palatino Linotype" w:hAnsi="Palatino Linotype" w:cs="Palatino Linotype"/>
          <w:i/>
          <w:sz w:val="22"/>
          <w:szCs w:val="22"/>
        </w:rPr>
        <w:t>en la Ley General, la Ley Federal y las correspondientes de las entidades federativas.</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w:t>
      </w:r>
      <w:r>
        <w:rPr>
          <w:rFonts w:ascii="Palatino Linotype" w:eastAsia="Palatino Linotype" w:hAnsi="Palatino Linotype" w:cs="Palatino Linotype"/>
          <w:i/>
          <w:sz w:val="22"/>
          <w:szCs w:val="22"/>
        </w:rPr>
        <w:t>sal de reserva o de confidencialidad.</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w:t>
      </w:r>
      <w:r>
        <w:rPr>
          <w:rFonts w:ascii="Palatino Linotype" w:eastAsia="Palatino Linotype" w:hAnsi="Palatino Linotype" w:cs="Palatino Linotype"/>
          <w:i/>
          <w:sz w:val="22"/>
          <w:szCs w:val="22"/>
        </w:rPr>
        <w:t>rácter de reservada o confidencial.</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w:t>
      </w:r>
      <w:r>
        <w:rPr>
          <w:rFonts w:ascii="Palatino Linotype" w:eastAsia="Palatino Linotype" w:hAnsi="Palatino Linotype" w:cs="Palatino Linotype"/>
          <w:i/>
          <w:sz w:val="22"/>
          <w:szCs w:val="22"/>
        </w:rPr>
        <w:t xml:space="preserve"> de la cual se haya determinado su conservación permanente por tener valor histórico, ésta conservará tal carácter de conformidad con la normativa aplicable en materia de archivos.</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w:t>
      </w:r>
      <w:r>
        <w:rPr>
          <w:rFonts w:ascii="Palatino Linotype" w:eastAsia="Palatino Linotype" w:hAnsi="Palatino Linotype" w:cs="Palatino Linotype"/>
          <w:i/>
          <w:sz w:val="22"/>
          <w:szCs w:val="22"/>
        </w:rPr>
        <w:t>mo históricos confidenciales no serán susceptibles de clasificación como reservados.</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w:t>
      </w:r>
      <w:r>
        <w:rPr>
          <w:rFonts w:ascii="Palatino Linotype" w:eastAsia="Palatino Linotype" w:hAnsi="Palatino Linotype" w:cs="Palatino Linotype"/>
          <w:i/>
          <w:sz w:val="22"/>
          <w:szCs w:val="22"/>
        </w:rPr>
        <w:t>lica fundando y motivando la clasificación de las partes o secciones que se testen, siguiendo los procedimientos establecidos en el Capítulo IX de los presentes lineamientos.</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w:t>
      </w:r>
      <w:r>
        <w:rPr>
          <w:rFonts w:ascii="Palatino Linotype" w:eastAsia="Palatino Linotype" w:hAnsi="Palatino Linotype" w:cs="Palatino Linotype"/>
          <w:i/>
          <w:sz w:val="22"/>
          <w:szCs w:val="22"/>
        </w:rPr>
        <w:t xml:space="preserve">ro del personal que, por la naturaleza de sus atribuciones, tenga acceso a los documentos clasificados. Asimismo, deberán asegurarse de que dicho personal cuente con los conocimientos técnicos y legales que le permitan manejar adecuadamente la información </w:t>
      </w:r>
      <w:r>
        <w:rPr>
          <w:rFonts w:ascii="Palatino Linotype" w:eastAsia="Palatino Linotype" w:hAnsi="Palatino Linotype" w:cs="Palatino Linotype"/>
          <w:i/>
          <w:sz w:val="22"/>
          <w:szCs w:val="22"/>
        </w:rPr>
        <w:t>clasificada, en los términos de los Lineamientos para la Organización y Conservación de Archivos.</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ausencia de los titulares de las áreas, la información será clasificada o desclasificada por la persona que lo supla, en términos de la normativa que rija </w:t>
      </w:r>
      <w:r>
        <w:rPr>
          <w:rFonts w:ascii="Palatino Linotype" w:eastAsia="Palatino Linotype" w:hAnsi="Palatino Linotype" w:cs="Palatino Linotype"/>
          <w:i/>
          <w:sz w:val="22"/>
          <w:szCs w:val="22"/>
        </w:rPr>
        <w:t xml:space="preserve">la actuación del </w:t>
      </w:r>
      <w:r>
        <w:rPr>
          <w:rFonts w:ascii="Palatino Linotype" w:eastAsia="Palatino Linotype" w:hAnsi="Palatino Linotype" w:cs="Palatino Linotype"/>
          <w:b/>
          <w:i/>
          <w:sz w:val="22"/>
          <w:szCs w:val="22"/>
        </w:rPr>
        <w:t>SUJETO OBLIGADO</w:t>
      </w:r>
      <w:r>
        <w:rPr>
          <w:rFonts w:ascii="Palatino Linotype" w:eastAsia="Palatino Linotype" w:hAnsi="Palatino Linotype" w:cs="Palatino Linotype"/>
          <w:i/>
          <w:sz w:val="22"/>
          <w:szCs w:val="22"/>
        </w:rPr>
        <w:t>.</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w:t>
      </w:r>
      <w:r>
        <w:rPr>
          <w:rFonts w:ascii="Palatino Linotype" w:eastAsia="Palatino Linotype" w:hAnsi="Palatino Linotype" w:cs="Palatino Linotype"/>
          <w:i/>
          <w:sz w:val="22"/>
          <w:szCs w:val="22"/>
        </w:rPr>
        <w:t>dispuesto en el Capítulo VIII de los presentes lineamientos.</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CAPÍTULO VIII</w:t>
      </w:r>
    </w:p>
    <w:p w:rsidR="00BB5537" w:rsidRDefault="00DC714F">
      <w:pPr>
        <w:ind w:left="709" w:right="709"/>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DE LA LEYENDA DE CLASIFICACIÓN</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Quincuagésimo. </w:t>
      </w:r>
      <w:r>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Pr>
          <w:rFonts w:ascii="Palatino Linotype" w:eastAsia="Palatino Linotype" w:hAnsi="Palatino Linotype" w:cs="Palatino Linotype"/>
          <w:i/>
          <w:sz w:val="22"/>
          <w:szCs w:val="22"/>
        </w:rPr>
        <w:t xml:space="preserve"> para señalar la clasificación de documentos o expedientes, sin perjuicio de que establezcan los propios.</w:t>
      </w:r>
    </w:p>
    <w:p w:rsidR="00BB5537" w:rsidRDefault="00DC714F">
      <w:pPr>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BB5537" w:rsidRDefault="00DC714F">
      <w:pPr>
        <w:spacing w:after="160"/>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Quincuagésimo tercero. </w:t>
      </w:r>
      <w:r>
        <w:rPr>
          <w:rFonts w:ascii="Palatino Linotype" w:eastAsia="Palatino Linotype" w:hAnsi="Palatino Linotype" w:cs="Palatino Linotype"/>
          <w:b/>
          <w:i/>
          <w:sz w:val="22"/>
          <w:szCs w:val="22"/>
          <w:u w:val="single"/>
        </w:rPr>
        <w:t>El formato para señalar la clasificación parcial de un documento</w:t>
      </w:r>
      <w:r>
        <w:rPr>
          <w:rFonts w:ascii="Palatino Linotype" w:eastAsia="Palatino Linotype" w:hAnsi="Palatino Linotype" w:cs="Palatino Linotype"/>
          <w:i/>
          <w:sz w:val="22"/>
          <w:szCs w:val="22"/>
        </w:rPr>
        <w:t>, es el siguiente:</w:t>
      </w:r>
    </w:p>
    <w:tbl>
      <w:tblPr>
        <w:tblStyle w:val="a0"/>
        <w:tblW w:w="7680"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59"/>
        <w:gridCol w:w="1990"/>
        <w:gridCol w:w="4531"/>
      </w:tblGrid>
      <w:tr w:rsidR="00BB5537">
        <w:trPr>
          <w:jc w:val="center"/>
        </w:trPr>
        <w:tc>
          <w:tcPr>
            <w:tcW w:w="1159" w:type="dxa"/>
            <w:tcBorders>
              <w:top w:val="nil"/>
              <w:left w:val="nil"/>
              <w:bottom w:val="single" w:sz="4" w:space="0" w:color="000000"/>
              <w:right w:val="single" w:sz="4" w:space="0" w:color="000000"/>
            </w:tcBorders>
          </w:tcPr>
          <w:p w:rsidR="00BB5537" w:rsidRDefault="00BB5537">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b/>
                <w:i/>
              </w:rPr>
            </w:pPr>
            <w:r>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b/>
                <w:i/>
              </w:rPr>
            </w:pPr>
            <w:r>
              <w:rPr>
                <w:rFonts w:ascii="Palatino Linotype" w:eastAsia="Palatino Linotype" w:hAnsi="Palatino Linotype" w:cs="Palatino Linotype"/>
                <w:b/>
                <w:i/>
              </w:rPr>
              <w:t>Dónde:</w:t>
            </w:r>
          </w:p>
        </w:tc>
      </w:tr>
      <w:tr w:rsidR="00BB5537">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rsidR="00BB5537" w:rsidRDefault="00DC714F">
            <w:pPr>
              <w:jc w:val="center"/>
              <w:rPr>
                <w:rFonts w:ascii="Palatino Linotype" w:eastAsia="Palatino Linotype" w:hAnsi="Palatino Linotype" w:cs="Palatino Linotype"/>
                <w:b/>
                <w:i/>
              </w:rPr>
            </w:pPr>
            <w:r>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la que el Comité de Transparencia confirmó la clasificación del documento, en su caso.</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área del cual es titular quien clasifica.</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 xml:space="preserve">Se indicarán, en su caso, las partes o páginas del documento que se clasifican como reservadas. Si el documento fuera reservado en su totalidad, se </w:t>
            </w:r>
            <w:proofErr w:type="gramStart"/>
            <w:r>
              <w:rPr>
                <w:rFonts w:ascii="Palatino Linotype" w:eastAsia="Palatino Linotype" w:hAnsi="Palatino Linotype" w:cs="Palatino Linotype"/>
                <w:i/>
              </w:rPr>
              <w:t>anotarán</w:t>
            </w:r>
            <w:proofErr w:type="gramEnd"/>
            <w:r>
              <w:rPr>
                <w:rFonts w:ascii="Palatino Linotype" w:eastAsia="Palatino Linotype" w:hAnsi="Palatino Linotype" w:cs="Palatino Linotype"/>
                <w:i/>
              </w:rPr>
              <w:t xml:space="preserve"> todas las páginas que lo conforman. Si el documento no contiene información r</w:t>
            </w:r>
            <w:r>
              <w:rPr>
                <w:rFonts w:ascii="Palatino Linotype" w:eastAsia="Palatino Linotype" w:hAnsi="Palatino Linotype" w:cs="Palatino Linotype"/>
                <w:i/>
              </w:rPr>
              <w:t>eservada, se tachará este apartado.</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Se anotará el número de años o meses por los que se mantendrá el documento o las partes del mismo como reservado.</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reserva.</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En caso de haber solicitado la ampliación del periodo de reserva originalmente estableci</w:t>
            </w:r>
            <w:r>
              <w:rPr>
                <w:rFonts w:ascii="Palatino Linotype" w:eastAsia="Palatino Linotype" w:hAnsi="Palatino Linotype" w:cs="Palatino Linotype"/>
                <w:i/>
              </w:rPr>
              <w:t>do, se deberá anotar el número de años o meses por los que se amplía la reserva.</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w:t>
            </w:r>
            <w:r>
              <w:rPr>
                <w:rFonts w:ascii="Palatino Linotype" w:eastAsia="Palatino Linotype" w:hAnsi="Palatino Linotype" w:cs="Palatino Linotype"/>
                <w:i/>
              </w:rPr>
              <w:t>chará este apartado.</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Rúbrica autógrafa de quien clasifica.</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rsidR="00BB5537" w:rsidRDefault="00DC714F">
            <w:pPr>
              <w:jc w:val="both"/>
              <w:rPr>
                <w:rFonts w:ascii="Palatino Linotype" w:eastAsia="Palatino Linotype" w:hAnsi="Palatino Linotype" w:cs="Palatino Linotype"/>
                <w:i/>
              </w:rPr>
            </w:pPr>
            <w:r>
              <w:rPr>
                <w:rFonts w:ascii="Palatino Linotype" w:eastAsia="Palatino Linotype" w:hAnsi="Palatino Linotype" w:cs="Palatino Linotype"/>
                <w:i/>
              </w:rPr>
              <w:t>Se anotará la fecha en que se desclasifica el documento.</w:t>
            </w:r>
          </w:p>
        </w:tc>
      </w:tr>
      <w:tr w:rsidR="00BB5537">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rsidR="00BB5537" w:rsidRDefault="00DC714F">
            <w:pPr>
              <w:jc w:val="center"/>
              <w:rPr>
                <w:rFonts w:ascii="Palatino Linotype" w:eastAsia="Palatino Linotype" w:hAnsi="Palatino Linotype" w:cs="Palatino Linotype"/>
                <w:i/>
              </w:rPr>
            </w:pPr>
            <w:r>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rsidR="00BB5537" w:rsidRDefault="00DC714F">
            <w:pPr>
              <w:rPr>
                <w:rFonts w:ascii="Palatino Linotype" w:eastAsia="Palatino Linotype" w:hAnsi="Palatino Linotype" w:cs="Palatino Linotype"/>
                <w:i/>
              </w:rPr>
            </w:pPr>
            <w:r>
              <w:rPr>
                <w:rFonts w:ascii="Palatino Linotype" w:eastAsia="Palatino Linotype" w:hAnsi="Palatino Linotype" w:cs="Palatino Linotype"/>
                <w:i/>
              </w:rPr>
              <w:t>Rúbrica autógrafa de quien desclasifica.</w:t>
            </w:r>
          </w:p>
        </w:tc>
      </w:tr>
    </w:tbl>
    <w:p w:rsidR="00BB5537" w:rsidRDefault="00BB5537">
      <w:pPr>
        <w:spacing w:before="240" w:line="360" w:lineRule="auto"/>
        <w:ind w:right="51"/>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w:t>
      </w:r>
      <w:r>
        <w:rPr>
          <w:rFonts w:ascii="Palatino Linotype" w:eastAsia="Palatino Linotype" w:hAnsi="Palatino Linotype" w:cs="Palatino Linotype"/>
        </w:rPr>
        <w:t xml:space="preserve">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que lo </w:t>
      </w:r>
      <w:r>
        <w:rPr>
          <w:rFonts w:ascii="Palatino Linotype" w:eastAsia="Palatino Linotype" w:hAnsi="Palatino Linotype" w:cs="Palatino Linotype"/>
        </w:rPr>
        <w:t xml:space="preserve">entregado no es legal ni formalmente una versión pública, sino más bien una documentación ilegible, incompleta o tachada; pues no señalar las razones por las que no se aprecian determinados datos -ya sea porque se testan o suprimen- deja al solicitante en </w:t>
      </w:r>
      <w:r>
        <w:rPr>
          <w:rFonts w:ascii="Palatino Linotype" w:eastAsia="Palatino Linotype" w:hAnsi="Palatino Linotype" w:cs="Palatino Linotype"/>
        </w:rPr>
        <w:t>estado de incertidumbre, al no conocer o comprender porque no aparecen en la documentación respectiva, es decir, si no se exponen de manera puntual las razones de ello se estaría violentando desde un inicio el derecho de acceso a la información del solicit</w:t>
      </w:r>
      <w:r>
        <w:rPr>
          <w:rFonts w:ascii="Palatino Linotype" w:eastAsia="Palatino Linotype" w:hAnsi="Palatino Linotype" w:cs="Palatino Linotype"/>
        </w:rPr>
        <w:t xml:space="preserve">ante, por lo que el acuerdo respectivo, deberá hacerse del conocimiento del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BB5537" w:rsidRDefault="00BB5537">
      <w:pPr>
        <w:spacing w:line="360" w:lineRule="auto"/>
        <w:ind w:right="51"/>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w:t>
      </w:r>
      <w:r>
        <w:rPr>
          <w:rFonts w:ascii="Palatino Linotype" w:eastAsia="Palatino Linotype" w:hAnsi="Palatino Linotype" w:cs="Palatino Linotype"/>
        </w:rPr>
        <w:t xml:space="preserve">s, la Ley de Transparencia y Acceso a la Información Pública del Estado de </w:t>
      </w:r>
      <w:r>
        <w:rPr>
          <w:rFonts w:ascii="Palatino Linotype" w:eastAsia="Palatino Linotype" w:hAnsi="Palatino Linotype" w:cs="Palatino Linotype"/>
        </w:rPr>
        <w:lastRenderedPageBreak/>
        <w:t>México y Municipios permite la elaboración de versiones públicas en las que se suprima aquella información relacionada con la vida privada de los servidores públicos.</w:t>
      </w:r>
    </w:p>
    <w:p w:rsidR="00BB5537" w:rsidRDefault="00BB5537">
      <w:pPr>
        <w:spacing w:line="360" w:lineRule="auto"/>
        <w:jc w:val="both"/>
        <w:rPr>
          <w:rFonts w:ascii="Palatino Linotype" w:eastAsia="Palatino Linotype" w:hAnsi="Palatino Linotype" w:cs="Palatino Linotype"/>
        </w:rPr>
      </w:pPr>
    </w:p>
    <w:p w:rsidR="00BB5537" w:rsidRDefault="00DC71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tanto,</w:t>
      </w:r>
      <w:r>
        <w:rPr>
          <w:rFonts w:ascii="Palatino Linotype" w:eastAsia="Palatino Linotype" w:hAnsi="Palatino Linotype" w:cs="Palatino Linotype"/>
        </w:rPr>
        <w:t xml:space="preserve"> en consecuencia y en mérito de lo expuesto en líneas anteriores, resultan parcialmente fundadas las razones o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01514/INFOEM/IP/RR/2021</w:t>
      </w:r>
      <w:r>
        <w:rPr>
          <w:rFonts w:ascii="Palatino Linotype" w:eastAsia="Palatino Linotype" w:hAnsi="Palatino Linotype" w:cs="Palatino Linotype"/>
        </w:rPr>
        <w:t>; por ello, y con fundamento en la</w:t>
      </w:r>
      <w:r>
        <w:rPr>
          <w:rFonts w:ascii="Palatino Linotype" w:eastAsia="Palatino Linotype" w:hAnsi="Palatino Linotype" w:cs="Palatino Linotype"/>
        </w:rPr>
        <w:t xml:space="preserve"> fracción III del numeral 186 de la Ley de Transparencia y Acceso a la Información Pública del Estado de México y Municipios,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00032/SOPEM/IP/2021</w:t>
      </w:r>
      <w:r>
        <w:rPr>
          <w:rFonts w:ascii="Palatino Linotype" w:eastAsia="Palatino Linotype" w:hAnsi="Palatino Linotype" w:cs="Palatino Linotype"/>
        </w:rPr>
        <w:t>.</w:t>
      </w:r>
    </w:p>
    <w:p w:rsidR="00BB5537" w:rsidRDefault="00DC714F">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w:t>
      </w:r>
      <w:r>
        <w:rPr>
          <w:rFonts w:ascii="Palatino Linotype" w:eastAsia="Palatino Linotype" w:hAnsi="Palatino Linotype" w:cs="Palatino Linotype"/>
        </w:rPr>
        <w:t>culos 5 párrafos trigésimo, trigésimo primero y trigésimo segundo fracciones IV y V de la Constitución Política del Estado Libre y Soberano de México; 2, fracción II; 29, 36 fracciones I y II; 176, 178, 181, 185, fracción I, 186 y 188 de la Ley de Transpar</w:t>
      </w:r>
      <w:r>
        <w:rPr>
          <w:rFonts w:ascii="Palatino Linotype" w:eastAsia="Palatino Linotype" w:hAnsi="Palatino Linotype" w:cs="Palatino Linotype"/>
        </w:rPr>
        <w:t>encia y Acceso a la Información Pública del Estado de México y Municipios, este Pleno:</w:t>
      </w:r>
    </w:p>
    <w:p w:rsidR="00BB5537" w:rsidRDefault="00DC714F">
      <w:pPr>
        <w:numPr>
          <w:ilvl w:val="0"/>
          <w:numId w:val="4"/>
        </w:numPr>
        <w:pBdr>
          <w:top w:val="nil"/>
          <w:left w:val="nil"/>
          <w:bottom w:val="nil"/>
          <w:right w:val="nil"/>
          <w:between w:val="nil"/>
        </w:pBdr>
        <w:spacing w:before="240" w:after="240" w:line="360" w:lineRule="auto"/>
        <w:ind w:left="284" w:hanging="56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Pr>
          <w:rFonts w:ascii="Palatino Linotype" w:eastAsia="Palatino Linotype" w:hAnsi="Palatino Linotype" w:cs="Palatino Linotype"/>
          <w:b/>
        </w:rPr>
        <w:t xml:space="preserve">parcialmente fundados </w:t>
      </w:r>
      <w:r>
        <w:rPr>
          <w:rFonts w:ascii="Palatino Linotype" w:eastAsia="Palatino Linotype" w:hAnsi="Palatino Linotype" w:cs="Palatino Linotype"/>
        </w:rPr>
        <w:t xml:space="preserve">los motivos de inconformidad aducidos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el recurso de revisión </w:t>
      </w:r>
      <w:r>
        <w:rPr>
          <w:rFonts w:ascii="Palatino Linotype" w:eastAsia="Palatino Linotype" w:hAnsi="Palatino Linotype" w:cs="Palatino Linotype"/>
          <w:b/>
        </w:rPr>
        <w:t>01514/INFOEM/IP/RR/2021</w:t>
      </w:r>
      <w:r>
        <w:rPr>
          <w:rFonts w:ascii="Palatino Linotype" w:eastAsia="Palatino Linotype" w:hAnsi="Palatino Linotype" w:cs="Palatino Linotype"/>
        </w:rPr>
        <w:t xml:space="preserve">, por lo que, en términos de los argumentos señalados en 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rsidR="00BB5537" w:rsidRDefault="00DC714F">
      <w:pPr>
        <w:spacing w:before="240" w:after="240" w:line="360" w:lineRule="auto"/>
        <w:jc w:val="both"/>
        <w:rPr>
          <w:rFonts w:ascii="Palatino Linotype" w:eastAsia="Palatino Linotype" w:hAnsi="Palatino Linotype" w:cs="Palatino Linotype"/>
        </w:rPr>
      </w:pPr>
      <w:bookmarkStart w:id="6" w:name="_heading=h.tyjcwt" w:colFirst="0" w:colLast="0"/>
      <w:bookmarkEnd w:id="6"/>
      <w:r>
        <w:rPr>
          <w:rFonts w:ascii="Palatino Linotype" w:eastAsia="Palatino Linotype" w:hAnsi="Palatino Linotype" w:cs="Palatino Linotype"/>
          <w:b/>
        </w:rPr>
        <w:lastRenderedPageBreak/>
        <w:t>SEGUNDO.</w:t>
      </w:r>
      <w:r>
        <w:rPr>
          <w:rFonts w:ascii="Palatino Linotype" w:eastAsia="Palatino Linotype" w:hAnsi="Palatino Linotype" w:cs="Palatino Linotype"/>
        </w:rPr>
        <w:t xml:space="preserve"> Se </w:t>
      </w:r>
      <w:r>
        <w:rPr>
          <w:rFonts w:ascii="Palatino Linotype" w:eastAsia="Palatino Linotype" w:hAnsi="Palatino Linotype" w:cs="Palatino Linotype"/>
          <w:b/>
        </w:rPr>
        <w:t>Ordena</w:t>
      </w:r>
      <w:r>
        <w:rPr>
          <w:rFonts w:ascii="Palatino Linotype" w:eastAsia="Palatino Linotype" w:hAnsi="Palatino Linotype" w:cs="Palatino Linotype"/>
        </w:rPr>
        <w:t xml:space="preserv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haga entrega vía </w:t>
      </w:r>
      <w:r>
        <w:rPr>
          <w:rFonts w:ascii="Palatino Linotype" w:eastAsia="Palatino Linotype" w:hAnsi="Palatino Linotype" w:cs="Palatino Linotype"/>
          <w:b/>
        </w:rPr>
        <w:t>SAIMEX y correo electrónico</w:t>
      </w:r>
      <w:r>
        <w:rPr>
          <w:rFonts w:ascii="Palatino Linotype" w:eastAsia="Palatino Linotype" w:hAnsi="Palatino Linotype" w:cs="Palatino Linotype"/>
        </w:rPr>
        <w:t xml:space="preserve">, de ser procedente en </w:t>
      </w:r>
      <w:r>
        <w:rPr>
          <w:rFonts w:ascii="Palatino Linotype" w:eastAsia="Palatino Linotype" w:hAnsi="Palatino Linotype" w:cs="Palatino Linotype"/>
          <w:b/>
        </w:rPr>
        <w:t>versión p</w:t>
      </w:r>
      <w:r>
        <w:rPr>
          <w:rFonts w:ascii="Palatino Linotype" w:eastAsia="Palatino Linotype" w:hAnsi="Palatino Linotype" w:cs="Palatino Linotype"/>
          <w:b/>
        </w:rPr>
        <w:t>ública</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 xml:space="preserve">Cuarto </w:t>
      </w:r>
      <w:r>
        <w:rPr>
          <w:rFonts w:ascii="Palatino Linotype" w:eastAsia="Palatino Linotype" w:hAnsi="Palatino Linotype" w:cs="Palatino Linotype"/>
        </w:rPr>
        <w:t>y</w:t>
      </w:r>
      <w:r>
        <w:rPr>
          <w:rFonts w:ascii="Palatino Linotype" w:eastAsia="Palatino Linotype" w:hAnsi="Palatino Linotype" w:cs="Palatino Linotype"/>
          <w:b/>
        </w:rPr>
        <w:t xml:space="preserve"> Quinto</w:t>
      </w:r>
      <w:r>
        <w:rPr>
          <w:rFonts w:ascii="Palatino Linotype" w:eastAsia="Palatino Linotype" w:hAnsi="Palatino Linotype" w:cs="Palatino Linotype"/>
        </w:rPr>
        <w:t xml:space="preserve"> de esta resolución, lo siguiente: </w:t>
      </w:r>
    </w:p>
    <w:p w:rsidR="00BB5537" w:rsidRDefault="00DC714F">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Documentos donde consten las fechas programadas para la ejecución de las obras: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Techado del Lienzo Charro del Municipio de Malinalco” y “Modernización de la Unidad</w:t>
      </w:r>
      <w:r>
        <w:rPr>
          <w:rFonts w:ascii="Palatino Linotype" w:eastAsia="Palatino Linotype" w:hAnsi="Palatino Linotype" w:cs="Palatino Linotype"/>
          <w:b/>
          <w:color w:val="000000"/>
        </w:rPr>
        <w:t xml:space="preserve"> Deportiva Arturo Orihuela</w:t>
      </w:r>
    </w:p>
    <w:p w:rsidR="00BB5537" w:rsidRDefault="00DC714F">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Las bitácoras faltantes de la obra "Techado del Lienzo Charro del Municipio de Malinalco "</w:t>
      </w:r>
    </w:p>
    <w:p w:rsidR="00BB5537" w:rsidRDefault="00DC714F">
      <w:pPr>
        <w:tabs>
          <w:tab w:val="left" w:pos="8080"/>
        </w:tabs>
        <w:spacing w:line="360" w:lineRule="auto"/>
        <w:ind w:left="360" w:right="49"/>
        <w:jc w:val="both"/>
        <w:rPr>
          <w:rFonts w:ascii="Palatino Linotype" w:eastAsia="Palatino Linotype" w:hAnsi="Palatino Linotype" w:cs="Palatino Linotype"/>
        </w:rPr>
      </w:pPr>
      <w:r>
        <w:rPr>
          <w:rFonts w:ascii="Palatino Linotype" w:eastAsia="Palatino Linotype" w:hAnsi="Palatino Linotype" w:cs="Palatino Linotype"/>
        </w:rPr>
        <w:t>Para la versión pública, se deberá emitir el Acuerdo del Comité de Transparencia de acuerdo con la Ley de Transparencia y Acceso a la Información Pública del Estado de México y Municipios, en el que funde y motive las razones sobre los datos que se suprima</w:t>
      </w:r>
      <w:r>
        <w:rPr>
          <w:rFonts w:ascii="Palatino Linotype" w:eastAsia="Palatino Linotype" w:hAnsi="Palatino Linotype" w:cs="Palatino Linotype"/>
        </w:rPr>
        <w:t>n o eliminen de los soportes documentales.</w:t>
      </w:r>
    </w:p>
    <w:p w:rsidR="00BB5537" w:rsidRDefault="00DC714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 xml:space="preserve">al Responsable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que conforme a los artículo 186, último párrafo y 189, párrafo segundo de la Ley de Transparencia y Acceso a la Información Pública del Estado de México y Municipios dé cumplimiento a lo ordenado dentro del plazo de diez días </w:t>
      </w:r>
      <w:r>
        <w:rPr>
          <w:rFonts w:ascii="Palatino Linotype" w:eastAsia="Palatino Linotype" w:hAnsi="Palatino Linotype" w:cs="Palatino Linotype"/>
        </w:rPr>
        <w:t>hábiles, debiendo informar a este Instituto en un plazo de tres días hábiles siguientes sobre el cumplimiento dado a la misma</w:t>
      </w:r>
      <w:r>
        <w:rPr>
          <w:rFonts w:ascii="Palatino Linotype" w:eastAsia="Palatino Linotype" w:hAnsi="Palatino Linotype" w:cs="Palatino Linotype"/>
          <w:b/>
        </w:rPr>
        <w:t>.</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w:t>
      </w:r>
      <w:r>
        <w:rPr>
          <w:rFonts w:ascii="Palatino Linotype" w:eastAsia="Palatino Linotype" w:hAnsi="Palatino Linotype" w:cs="Palatino Linotype"/>
        </w:rPr>
        <w:t>De conformidad con el artículo 198 de la Ley de Transparencia y Acceso a la Información Pública del Estado de México y Mu</w:t>
      </w:r>
      <w:r>
        <w:rPr>
          <w:rFonts w:ascii="Palatino Linotype" w:eastAsia="Palatino Linotype" w:hAnsi="Palatino Linotype" w:cs="Palatino Linotype"/>
        </w:rPr>
        <w:t xml:space="preserve">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QUINTO. NOTIFÍQUESE</w:t>
      </w:r>
      <w:r>
        <w:rPr>
          <w:rFonts w:ascii="Palatino Linotype" w:eastAsia="Palatino Linotype" w:hAnsi="Palatino Linotype" w:cs="Palatino Linotype"/>
        </w:rPr>
        <w:t xml:space="preserve"> vía SAIMEX y por correo electrónico la presente Resolución al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asimismo, se hace de su conocimiento que de conformidad con lo establecido en el artículo 196 de la Ley de Transparencia y Acceso a la Información Pública del Estado de México y Municipios podrá promover el Juicio de Amparo en los términos de </w:t>
      </w:r>
      <w:r>
        <w:rPr>
          <w:rFonts w:ascii="Palatino Linotype" w:eastAsia="Palatino Linotype" w:hAnsi="Palatino Linotype" w:cs="Palatino Linotype"/>
        </w:rPr>
        <w:t>las leyes aplicables.</w:t>
      </w:r>
    </w:p>
    <w:p w:rsidR="000916D2" w:rsidRDefault="000916D2">
      <w:pPr>
        <w:spacing w:before="240" w:after="240" w:line="360" w:lineRule="auto"/>
        <w:jc w:val="both"/>
        <w:rPr>
          <w:rFonts w:ascii="Palatino Linotype" w:eastAsia="Palatino Linotype" w:hAnsi="Palatino Linotype" w:cs="Palatino Linotype"/>
        </w:rPr>
      </w:pPr>
    </w:p>
    <w:p w:rsidR="00BB5537" w:rsidRDefault="00DC71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w:t>
      </w:r>
      <w:r>
        <w:rPr>
          <w:rFonts w:ascii="Palatino Linotype" w:eastAsia="Palatino Linotype" w:hAnsi="Palatino Linotype" w:cs="Palatino Linotype"/>
        </w:rPr>
        <w:t xml:space="preserve">IS; SHARON CRISTINA MORALES MARTÍNEZ; MARÍA DEL ROSARIO MEJÍA AYALA; GUADALUPE RAMÍREZ PEÑA Y LUIS GUSTAVO PARRA NORIEGA; EN LA CUADRAGÈSIMA CUARTA SESIÓN ORDINARIA CELEBRADA EL OCHO DE DICIEMBRE DE DOS MIL VEINTIUNO, ANTE EL SECRETARIO TÉCNICO DEL PLENO, </w:t>
      </w:r>
      <w:r>
        <w:rPr>
          <w:rFonts w:ascii="Palatino Linotype" w:eastAsia="Palatino Linotype" w:hAnsi="Palatino Linotype" w:cs="Palatino Linotype"/>
        </w:rPr>
        <w:t>ALEXIS TAPIA RAMÍREZ.</w:t>
      </w:r>
    </w:p>
    <w:p w:rsidR="00BB5537" w:rsidRDefault="00BB5537">
      <w:pPr>
        <w:spacing w:before="240" w:after="240" w:line="360" w:lineRule="auto"/>
        <w:jc w:val="both"/>
        <w:rPr>
          <w:rFonts w:ascii="Palatino Linotype" w:eastAsia="Palatino Linotype" w:hAnsi="Palatino Linotype" w:cs="Palatino Linotype"/>
        </w:rPr>
      </w:pPr>
    </w:p>
    <w:p w:rsidR="00BB5537" w:rsidRDefault="00BB5537">
      <w:pPr>
        <w:spacing w:before="240" w:after="240" w:line="360" w:lineRule="auto"/>
        <w:jc w:val="both"/>
        <w:rPr>
          <w:rFonts w:ascii="Palatino Linotype" w:eastAsia="Palatino Linotype" w:hAnsi="Palatino Linotype" w:cs="Palatino Linotype"/>
        </w:rPr>
      </w:pPr>
    </w:p>
    <w:p w:rsidR="00BB5537" w:rsidRDefault="00BB5537">
      <w:pPr>
        <w:spacing w:before="240" w:after="240" w:line="360" w:lineRule="auto"/>
        <w:jc w:val="both"/>
        <w:rPr>
          <w:rFonts w:ascii="Palatino Linotype" w:eastAsia="Palatino Linotype" w:hAnsi="Palatino Linotype" w:cs="Palatino Linotype"/>
        </w:rPr>
      </w:pPr>
    </w:p>
    <w:p w:rsidR="00BB5537" w:rsidRDefault="00BB5537">
      <w:pPr>
        <w:spacing w:before="240" w:after="240" w:line="360" w:lineRule="auto"/>
        <w:jc w:val="both"/>
        <w:rPr>
          <w:rFonts w:ascii="Palatino Linotype" w:eastAsia="Palatino Linotype" w:hAnsi="Palatino Linotype" w:cs="Palatino Linotype"/>
        </w:rPr>
      </w:pPr>
    </w:p>
    <w:p w:rsidR="00BB5537" w:rsidRDefault="00BB5537">
      <w:pPr>
        <w:spacing w:before="240" w:after="240" w:line="360" w:lineRule="auto"/>
        <w:jc w:val="both"/>
        <w:rPr>
          <w:rFonts w:ascii="Palatino Linotype" w:eastAsia="Palatino Linotype" w:hAnsi="Palatino Linotype" w:cs="Palatino Linotype"/>
        </w:rPr>
      </w:pPr>
    </w:p>
    <w:p w:rsidR="000916D2" w:rsidRDefault="000916D2">
      <w:pPr>
        <w:spacing w:before="240" w:after="240" w:line="360" w:lineRule="auto"/>
        <w:jc w:val="both"/>
        <w:rPr>
          <w:rFonts w:ascii="Palatino Linotype" w:eastAsia="Palatino Linotype" w:hAnsi="Palatino Linotype" w:cs="Palatino Linotype"/>
        </w:rPr>
      </w:pPr>
    </w:p>
    <w:p w:rsidR="000916D2" w:rsidRDefault="000916D2">
      <w:pPr>
        <w:spacing w:before="240" w:after="240" w:line="360" w:lineRule="auto"/>
        <w:jc w:val="both"/>
        <w:rPr>
          <w:rFonts w:ascii="Palatino Linotype" w:eastAsia="Palatino Linotype" w:hAnsi="Palatino Linotype" w:cs="Palatino Linotype"/>
        </w:rPr>
      </w:pPr>
    </w:p>
    <w:p w:rsidR="000916D2" w:rsidRDefault="000916D2">
      <w:pPr>
        <w:spacing w:before="240" w:after="240" w:line="360" w:lineRule="auto"/>
        <w:jc w:val="both"/>
        <w:rPr>
          <w:rFonts w:ascii="Palatino Linotype" w:eastAsia="Palatino Linotype" w:hAnsi="Palatino Linotype" w:cs="Palatino Linotype"/>
        </w:rPr>
      </w:pPr>
    </w:p>
    <w:p w:rsidR="000916D2" w:rsidRDefault="000916D2">
      <w:pPr>
        <w:spacing w:before="240" w:after="240" w:line="360" w:lineRule="auto"/>
        <w:jc w:val="both"/>
        <w:rPr>
          <w:rFonts w:ascii="Palatino Linotype" w:eastAsia="Palatino Linotype" w:hAnsi="Palatino Linotype" w:cs="Palatino Linotype"/>
        </w:rPr>
      </w:pPr>
    </w:p>
    <w:p w:rsidR="000916D2" w:rsidRDefault="000916D2">
      <w:pPr>
        <w:spacing w:before="240" w:after="240" w:line="360" w:lineRule="auto"/>
        <w:jc w:val="both"/>
        <w:rPr>
          <w:rFonts w:ascii="Palatino Linotype" w:eastAsia="Palatino Linotype" w:hAnsi="Palatino Linotype" w:cs="Palatino Linotype"/>
        </w:rPr>
      </w:pPr>
    </w:p>
    <w:p w:rsidR="000916D2" w:rsidRDefault="000916D2">
      <w:pPr>
        <w:spacing w:before="240" w:after="240" w:line="360" w:lineRule="auto"/>
        <w:jc w:val="both"/>
        <w:rPr>
          <w:rFonts w:ascii="Palatino Linotype" w:eastAsia="Palatino Linotype" w:hAnsi="Palatino Linotype" w:cs="Palatino Linotype"/>
        </w:rPr>
      </w:pPr>
    </w:p>
    <w:p w:rsidR="000916D2" w:rsidRDefault="000916D2">
      <w:pPr>
        <w:spacing w:before="240" w:after="240" w:line="360" w:lineRule="auto"/>
        <w:jc w:val="both"/>
        <w:rPr>
          <w:rFonts w:ascii="Palatino Linotype" w:eastAsia="Palatino Linotype" w:hAnsi="Palatino Linotype" w:cs="Palatino Linotype"/>
        </w:rPr>
      </w:pPr>
    </w:p>
    <w:p w:rsidR="000916D2" w:rsidRDefault="000916D2">
      <w:pPr>
        <w:spacing w:before="240" w:after="240" w:line="360" w:lineRule="auto"/>
        <w:jc w:val="both"/>
        <w:rPr>
          <w:rFonts w:ascii="Palatino Linotype" w:eastAsia="Palatino Linotype" w:hAnsi="Palatino Linotype" w:cs="Palatino Linotype"/>
        </w:rPr>
      </w:pPr>
    </w:p>
    <w:sectPr w:rsidR="000916D2" w:rsidSect="006628EF">
      <w:headerReference w:type="default" r:id="rId20"/>
      <w:footerReference w:type="default" r:id="rId21"/>
      <w:headerReference w:type="first" r:id="rId22"/>
      <w:footerReference w:type="first" r:id="rId23"/>
      <w:pgSz w:w="12240" w:h="15840"/>
      <w:pgMar w:top="1985" w:right="1701" w:bottom="1418"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14F" w:rsidRDefault="00DC714F">
      <w:r>
        <w:separator/>
      </w:r>
    </w:p>
  </w:endnote>
  <w:endnote w:type="continuationSeparator" w:id="0">
    <w:p w:rsidR="00DC714F" w:rsidRDefault="00DC7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Palati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537" w:rsidRDefault="00DC714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7217CA">
      <w:rPr>
        <w:rFonts w:ascii="Arial" w:eastAsia="Arial" w:hAnsi="Arial" w:cs="Arial"/>
        <w:b/>
        <w:color w:val="000000"/>
        <w:sz w:val="20"/>
        <w:szCs w:val="20"/>
      </w:rPr>
      <w:fldChar w:fldCharType="separate"/>
    </w:r>
    <w:r w:rsidR="006628EF">
      <w:rPr>
        <w:rFonts w:ascii="Arial" w:eastAsia="Arial" w:hAnsi="Arial" w:cs="Arial"/>
        <w:b/>
        <w:noProof/>
        <w:color w:val="000000"/>
        <w:sz w:val="20"/>
        <w:szCs w:val="20"/>
      </w:rPr>
      <w:t>57</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7217CA">
      <w:rPr>
        <w:rFonts w:ascii="Arial" w:eastAsia="Arial" w:hAnsi="Arial" w:cs="Arial"/>
        <w:b/>
        <w:color w:val="000000"/>
        <w:sz w:val="20"/>
        <w:szCs w:val="20"/>
      </w:rPr>
      <w:fldChar w:fldCharType="separate"/>
    </w:r>
    <w:r w:rsidR="006628EF">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rsidR="00BB5537" w:rsidRDefault="00BB553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537" w:rsidRDefault="00DC714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sidR="007217CA">
      <w:rPr>
        <w:rFonts w:ascii="Arial" w:eastAsia="Arial" w:hAnsi="Arial" w:cs="Arial"/>
        <w:b/>
        <w:color w:val="000000"/>
        <w:sz w:val="20"/>
        <w:szCs w:val="20"/>
      </w:rPr>
      <w:fldChar w:fldCharType="separate"/>
    </w:r>
    <w:r w:rsidR="006628EF">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sidR="007217CA">
      <w:rPr>
        <w:rFonts w:ascii="Arial" w:eastAsia="Arial" w:hAnsi="Arial" w:cs="Arial"/>
        <w:b/>
        <w:color w:val="000000"/>
        <w:sz w:val="20"/>
        <w:szCs w:val="20"/>
      </w:rPr>
      <w:fldChar w:fldCharType="separate"/>
    </w:r>
    <w:r w:rsidR="006628EF">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rsidR="00BB5537" w:rsidRDefault="00BB553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14F" w:rsidRDefault="00DC714F">
      <w:r>
        <w:separator/>
      </w:r>
    </w:p>
  </w:footnote>
  <w:footnote w:type="continuationSeparator" w:id="0">
    <w:p w:rsidR="00DC714F" w:rsidRDefault="00DC7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537" w:rsidRDefault="00BB5537">
    <w:pPr>
      <w:widowControl w:val="0"/>
      <w:pBdr>
        <w:top w:val="nil"/>
        <w:left w:val="nil"/>
        <w:bottom w:val="nil"/>
        <w:right w:val="nil"/>
        <w:between w:val="nil"/>
      </w:pBdr>
      <w:spacing w:line="276" w:lineRule="auto"/>
      <w:rPr>
        <w:rFonts w:ascii="Cambria" w:eastAsia="Cambria" w:hAnsi="Cambria" w:cs="Cambria"/>
        <w:color w:val="000000"/>
      </w:rPr>
    </w:pPr>
  </w:p>
  <w:tbl>
    <w:tblPr>
      <w:tblStyle w:val="a3"/>
      <w:tblW w:w="5953" w:type="dxa"/>
      <w:tblInd w:w="3261" w:type="dxa"/>
      <w:tblLayout w:type="fixed"/>
      <w:tblLook w:val="0400" w:firstRow="0" w:lastRow="0" w:firstColumn="0" w:lastColumn="0" w:noHBand="0" w:noVBand="1"/>
    </w:tblPr>
    <w:tblGrid>
      <w:gridCol w:w="2489"/>
      <w:gridCol w:w="3464"/>
    </w:tblGrid>
    <w:tr w:rsidR="00BB5537">
      <w:tc>
        <w:tcPr>
          <w:tcW w:w="2489" w:type="dxa"/>
          <w:shd w:val="clear" w:color="auto" w:fill="auto"/>
        </w:tcPr>
        <w:p w:rsidR="00BB5537" w:rsidRDefault="00DC7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BB5537" w:rsidRDefault="00DC714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01514/INFOEM/IP/RR/2021</w:t>
          </w:r>
        </w:p>
      </w:tc>
    </w:tr>
    <w:tr w:rsidR="00BB5537">
      <w:trPr>
        <w:trHeight w:val="228"/>
      </w:trPr>
      <w:tc>
        <w:tcPr>
          <w:tcW w:w="2489" w:type="dxa"/>
          <w:shd w:val="clear" w:color="auto" w:fill="auto"/>
          <w:vAlign w:val="center"/>
        </w:tcPr>
        <w:p w:rsidR="00BB5537" w:rsidRDefault="00DC7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BB5537" w:rsidRDefault="00DC714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Obra Pública</w:t>
          </w:r>
        </w:p>
      </w:tc>
    </w:tr>
    <w:tr w:rsidR="00BB5537">
      <w:tc>
        <w:tcPr>
          <w:tcW w:w="2489" w:type="dxa"/>
          <w:shd w:val="clear" w:color="auto" w:fill="auto"/>
          <w:vAlign w:val="center"/>
        </w:tcPr>
        <w:p w:rsidR="00BB5537" w:rsidRDefault="00DC714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BB5537" w:rsidRDefault="00DC714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B5537" w:rsidRDefault="00DC714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-1242059</wp:posOffset>
          </wp:positionH>
          <wp:positionV relativeFrom="paragraph">
            <wp:posOffset>-1410334</wp:posOffset>
          </wp:positionV>
          <wp:extent cx="7809865" cy="10165715"/>
          <wp:effectExtent l="0" t="0" r="0" b="0"/>
          <wp:wrapNone/>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5537" w:rsidRDefault="00BB5537">
    <w:pPr>
      <w:widowControl w:val="0"/>
      <w:pBdr>
        <w:top w:val="nil"/>
        <w:left w:val="nil"/>
        <w:bottom w:val="nil"/>
        <w:right w:val="nil"/>
        <w:between w:val="nil"/>
      </w:pBdr>
      <w:spacing w:line="276" w:lineRule="auto"/>
      <w:rPr>
        <w:rFonts w:ascii="Palatino Linotype" w:eastAsia="Palatino Linotype" w:hAnsi="Palatino Linotype" w:cs="Palatino Linotype"/>
      </w:rPr>
    </w:pPr>
  </w:p>
  <w:tbl>
    <w:tblPr>
      <w:tblStyle w:val="a2"/>
      <w:tblW w:w="5953" w:type="dxa"/>
      <w:tblInd w:w="3261" w:type="dxa"/>
      <w:tblLayout w:type="fixed"/>
      <w:tblLook w:val="0400" w:firstRow="0" w:lastRow="0" w:firstColumn="0" w:lastColumn="0" w:noHBand="0" w:noVBand="1"/>
    </w:tblPr>
    <w:tblGrid>
      <w:gridCol w:w="2551"/>
      <w:gridCol w:w="3402"/>
    </w:tblGrid>
    <w:tr w:rsidR="00BB5537">
      <w:tc>
        <w:tcPr>
          <w:tcW w:w="2551" w:type="dxa"/>
          <w:shd w:val="clear" w:color="auto" w:fill="auto"/>
          <w:vAlign w:val="center"/>
        </w:tcPr>
        <w:p w:rsidR="00BB5537" w:rsidRDefault="00DC7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BB5537" w:rsidRDefault="00DC714F">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01514/INFOEM/IP/RR/2021</w:t>
          </w:r>
        </w:p>
      </w:tc>
    </w:tr>
    <w:tr w:rsidR="00BB5537">
      <w:trPr>
        <w:trHeight w:val="130"/>
      </w:trPr>
      <w:tc>
        <w:tcPr>
          <w:tcW w:w="2551" w:type="dxa"/>
          <w:shd w:val="clear" w:color="auto" w:fill="auto"/>
          <w:vAlign w:val="center"/>
        </w:tcPr>
        <w:p w:rsidR="00BB5537" w:rsidRDefault="00DC7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BB5537" w:rsidRDefault="000916D2" w:rsidP="000916D2">
          <w:pPr>
            <w:ind w:left="-45"/>
            <w:jc w:val="both"/>
            <w:rPr>
              <w:rFonts w:ascii="Palatino Linotype" w:eastAsia="Palatino Linotype" w:hAnsi="Palatino Linotype" w:cs="Palatino Linotype"/>
              <w:b/>
              <w:sz w:val="22"/>
              <w:szCs w:val="22"/>
            </w:rPr>
          </w:pPr>
          <w:proofErr w:type="spellStart"/>
          <w:r>
            <w:rPr>
              <w:rFonts w:ascii="Palatino Linotype" w:eastAsia="Palatino Linotype" w:hAnsi="Palatino Linotype" w:cs="Palatino Linotype"/>
              <w:b/>
              <w:sz w:val="22"/>
              <w:szCs w:val="22"/>
            </w:rPr>
            <w:t>XxxxxxxxxXX</w:t>
          </w:r>
          <w:proofErr w:type="spellEnd"/>
        </w:p>
      </w:tc>
    </w:tr>
    <w:tr w:rsidR="00BB5537">
      <w:trPr>
        <w:trHeight w:val="228"/>
      </w:trPr>
      <w:tc>
        <w:tcPr>
          <w:tcW w:w="2551" w:type="dxa"/>
          <w:shd w:val="clear" w:color="auto" w:fill="auto"/>
          <w:vAlign w:val="center"/>
        </w:tcPr>
        <w:p w:rsidR="00BB5537" w:rsidRDefault="00DC7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BB5537" w:rsidRDefault="00DC714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Obra Pública</w:t>
          </w:r>
        </w:p>
      </w:tc>
    </w:tr>
    <w:tr w:rsidR="00BB5537">
      <w:tc>
        <w:tcPr>
          <w:tcW w:w="2551" w:type="dxa"/>
          <w:shd w:val="clear" w:color="auto" w:fill="auto"/>
          <w:vAlign w:val="center"/>
        </w:tcPr>
        <w:p w:rsidR="00BB5537" w:rsidRDefault="00DC71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BB5537" w:rsidRDefault="00DC714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BB5537" w:rsidRDefault="00DC714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-737234</wp:posOffset>
          </wp:positionH>
          <wp:positionV relativeFrom="paragraph">
            <wp:posOffset>-1402714</wp:posOffset>
          </wp:positionV>
          <wp:extent cx="7809865" cy="10165715"/>
          <wp:effectExtent l="0" t="0" r="0" b="0"/>
          <wp:wrapNone/>
          <wp:docPr id="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32CFB"/>
    <w:multiLevelType w:val="multilevel"/>
    <w:tmpl w:val="AA36623C"/>
    <w:lvl w:ilvl="0">
      <w:start w:val="1"/>
      <w:numFmt w:val="lowerLetter"/>
      <w:lvlText w:val="%1)"/>
      <w:lvlJc w:val="left"/>
      <w:pPr>
        <w:ind w:left="720" w:hanging="360"/>
      </w:pPr>
      <w:rPr>
        <w:rFonts w:ascii="Palatino Linotype" w:eastAsia="Palatino Linotype" w:hAnsi="Palatino Linotype" w:cs="Palatino Linotype"/>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8903AF"/>
    <w:multiLevelType w:val="multilevel"/>
    <w:tmpl w:val="0C00B9E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CE5B5C"/>
    <w:multiLevelType w:val="multilevel"/>
    <w:tmpl w:val="5E647DF8"/>
    <w:lvl w:ilvl="0">
      <w:start w:val="1"/>
      <w:numFmt w:val="upperRoman"/>
      <w:pStyle w:val="Listaconvietas3"/>
      <w:lvlText w:val="%1."/>
      <w:lvlJc w:val="left"/>
      <w:pPr>
        <w:ind w:left="567" w:hanging="567"/>
      </w:pPr>
      <w:rPr>
        <w:smallCaps/>
        <w:strike w:val="0"/>
        <w:sz w:val="20"/>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D07A8A"/>
    <w:multiLevelType w:val="multilevel"/>
    <w:tmpl w:val="896EEB4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B257DE"/>
    <w:multiLevelType w:val="multilevel"/>
    <w:tmpl w:val="506A5E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9E621E"/>
    <w:multiLevelType w:val="multilevel"/>
    <w:tmpl w:val="BDE0DF22"/>
    <w:lvl w:ilvl="0">
      <w:start w:val="1"/>
      <w:numFmt w:val="lowerLetter"/>
      <w:lvlText w:val="%1)"/>
      <w:lvlJc w:val="left"/>
      <w:pPr>
        <w:ind w:left="720" w:hanging="360"/>
      </w:pPr>
      <w:rPr>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537"/>
    <w:rsid w:val="000916D2"/>
    <w:rsid w:val="0024442A"/>
    <w:rsid w:val="006628EF"/>
    <w:rsid w:val="007217CA"/>
    <w:rsid w:val="00BB5537"/>
    <w:rsid w:val="00DC71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02B8EF-50A0-4A6F-A608-80B27A8FE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6916"/>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5D54F5"/>
    <w:pPr>
      <w:spacing w:before="100" w:beforeAutospacing="1" w:after="100" w:afterAutospacing="1"/>
      <w:outlineLvl w:val="2"/>
    </w:pPr>
    <w:rPr>
      <w:b/>
      <w:bCs/>
      <w:sz w:val="27"/>
      <w:szCs w:val="27"/>
      <w:lang w:val="es-MX"/>
    </w:rPr>
  </w:style>
  <w:style w:type="paragraph" w:styleId="Ttulo4">
    <w:name w:val="heading 4"/>
    <w:basedOn w:val="Normal"/>
    <w:next w:val="Normal"/>
    <w:link w:val="Ttulo4Car"/>
    <w:uiPriority w:val="9"/>
    <w:unhideWhenUsed/>
    <w:qFormat/>
    <w:rsid w:val="005D54F5"/>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D54F5"/>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D54F5"/>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546560"/>
    <w:rPr>
      <w:color w:val="605E5C"/>
      <w:shd w:val="clear" w:color="auto" w:fill="E1DFDD"/>
    </w:rPr>
  </w:style>
  <w:style w:type="character" w:customStyle="1" w:styleId="Mencinsinresolver2">
    <w:name w:val="Mención sin resolver2"/>
    <w:basedOn w:val="Fuentedeprrafopredeter"/>
    <w:uiPriority w:val="99"/>
    <w:semiHidden/>
    <w:unhideWhenUsed/>
    <w:rsid w:val="00CC2DA1"/>
    <w:rPr>
      <w:color w:val="605E5C"/>
      <w:shd w:val="clear" w:color="auto" w:fill="E1DFDD"/>
    </w:rPr>
  </w:style>
  <w:style w:type="table" w:customStyle="1" w:styleId="Tabladelista1clara-nfasis11">
    <w:name w:val="Tabla de lista 1 clara - Énfasis 11"/>
    <w:basedOn w:val="Tablanormal"/>
    <w:next w:val="Tabladelista1clara-nfasis1"/>
    <w:uiPriority w:val="46"/>
    <w:rsid w:val="00663638"/>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lista1clara-nfasis12">
    <w:name w:val="Tabla de lista 1 clara - Énfasis 12"/>
    <w:basedOn w:val="Tablanormal"/>
    <w:next w:val="Tabladelista1clara-nfasis1"/>
    <w:uiPriority w:val="46"/>
    <w:rsid w:val="005D54F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5D54F5"/>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5D54F5"/>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5D54F5"/>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5D54F5"/>
    <w:rPr>
      <w:rFonts w:asciiTheme="majorHAnsi" w:eastAsiaTheme="majorEastAsia" w:hAnsiTheme="majorHAnsi" w:cstheme="majorBidi"/>
      <w:color w:val="243F60" w:themeColor="accent1" w:themeShade="7F"/>
      <w:lang w:val="es-ES"/>
    </w:rPr>
  </w:style>
  <w:style w:type="numbering" w:customStyle="1" w:styleId="Sinlista1">
    <w:name w:val="Sin lista1"/>
    <w:next w:val="Sinlista"/>
    <w:uiPriority w:val="99"/>
    <w:semiHidden/>
    <w:unhideWhenUsed/>
    <w:rsid w:val="005D54F5"/>
  </w:style>
  <w:style w:type="paragraph" w:customStyle="1" w:styleId="RSCGnotaalpie">
    <w:name w:val="RSCG nota al pie"/>
    <w:basedOn w:val="Normal"/>
    <w:uiPriority w:val="99"/>
    <w:qFormat/>
    <w:rsid w:val="005D54F5"/>
    <w:pPr>
      <w:spacing w:after="120"/>
      <w:jc w:val="both"/>
    </w:pPr>
    <w:rPr>
      <w:rFonts w:ascii="Palatino" w:hAnsi="Palatino" w:cstheme="minorBidi"/>
      <w:sz w:val="22"/>
      <w:szCs w:val="22"/>
      <w:lang w:val="es-MX" w:eastAsia="en-US"/>
    </w:rPr>
  </w:style>
  <w:style w:type="character" w:customStyle="1" w:styleId="lbl-encabezado-blanco2">
    <w:name w:val="lbl-encabezado-blanco2"/>
    <w:rsid w:val="005D54F5"/>
    <w:rPr>
      <w:color w:val="FFFFFF"/>
    </w:rPr>
  </w:style>
  <w:style w:type="table" w:customStyle="1" w:styleId="Tablaconcuadrcula1">
    <w:name w:val="Tabla con cuadrícula1"/>
    <w:basedOn w:val="Tablanormal"/>
    <w:next w:val="Tablaconcuadrcula"/>
    <w:uiPriority w:val="5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5D54F5"/>
    <w:rPr>
      <w:lang w:val="es-MX"/>
    </w:rPr>
  </w:style>
  <w:style w:type="paragraph" w:customStyle="1" w:styleId="ROMANOS">
    <w:name w:val="ROMANOS"/>
    <w:basedOn w:val="Normal"/>
    <w:link w:val="ROMANOSCar"/>
    <w:rsid w:val="005D54F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5D54F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5D54F5"/>
  </w:style>
  <w:style w:type="character" w:customStyle="1" w:styleId="Ninguno">
    <w:name w:val="Ninguno"/>
    <w:rsid w:val="005D54F5"/>
    <w:rPr>
      <w:lang w:val="es-ES_tradnl"/>
    </w:rPr>
  </w:style>
  <w:style w:type="paragraph" w:customStyle="1" w:styleId="Cuerpo">
    <w:name w:val="Cuerpo"/>
    <w:rsid w:val="005D54F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5D54F5"/>
  </w:style>
  <w:style w:type="numbering" w:customStyle="1" w:styleId="Estiloimportado1">
    <w:name w:val="Estilo importado 1"/>
    <w:rsid w:val="005D54F5"/>
  </w:style>
  <w:style w:type="paragraph" w:customStyle="1" w:styleId="INCISO">
    <w:name w:val="INCISO"/>
    <w:basedOn w:val="Normal"/>
    <w:rsid w:val="005D54F5"/>
    <w:pPr>
      <w:spacing w:after="101" w:line="216" w:lineRule="exact"/>
      <w:ind w:left="1080" w:hanging="360"/>
      <w:jc w:val="both"/>
    </w:pPr>
    <w:rPr>
      <w:rFonts w:ascii="Arial" w:hAnsi="Arial" w:cs="Arial"/>
      <w:sz w:val="18"/>
      <w:szCs w:val="18"/>
    </w:rPr>
  </w:style>
  <w:style w:type="paragraph" w:customStyle="1" w:styleId="m5212863947045306324gmail-msonormal">
    <w:name w:val="m_5212863947045306324gmail-msonormal"/>
    <w:basedOn w:val="Normal"/>
    <w:rsid w:val="005D54F5"/>
    <w:pPr>
      <w:spacing w:before="100" w:beforeAutospacing="1" w:after="100" w:afterAutospacing="1"/>
    </w:pPr>
    <w:rPr>
      <w:lang w:val="es-MX"/>
    </w:rPr>
  </w:style>
  <w:style w:type="character" w:customStyle="1" w:styleId="user-highlighted-active">
    <w:name w:val="user-highlighted-active"/>
    <w:basedOn w:val="Fuentedeprrafopredeter"/>
    <w:rsid w:val="005D54F5"/>
  </w:style>
  <w:style w:type="character" w:customStyle="1" w:styleId="numberfracccentro">
    <w:name w:val="numberfracccentro"/>
    <w:basedOn w:val="Fuentedeprrafopredeter"/>
    <w:rsid w:val="005D54F5"/>
  </w:style>
  <w:style w:type="paragraph" w:customStyle="1" w:styleId="Text">
    <w:name w:val="Text"/>
    <w:basedOn w:val="Normal"/>
    <w:link w:val="TextChar"/>
    <w:rsid w:val="005D54F5"/>
    <w:pPr>
      <w:spacing w:after="240"/>
    </w:pPr>
    <w:rPr>
      <w:szCs w:val="20"/>
      <w:lang w:val="en-US" w:eastAsia="en-US"/>
    </w:rPr>
  </w:style>
  <w:style w:type="character" w:customStyle="1" w:styleId="TextChar">
    <w:name w:val="Text Char"/>
    <w:link w:val="Text"/>
    <w:locked/>
    <w:rsid w:val="005D54F5"/>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5D54F5"/>
    <w:pPr>
      <w:spacing w:line="360" w:lineRule="auto"/>
      <w:ind w:left="709" w:right="709"/>
      <w:jc w:val="both"/>
    </w:pPr>
    <w:rPr>
      <w:rFonts w:ascii="Arial" w:hAnsi="Arial" w:cs="Arial"/>
      <w:b/>
      <w:bCs/>
      <w:i/>
      <w:iCs/>
      <w:sz w:val="30"/>
      <w:szCs w:val="30"/>
      <w:lang w:val="es-MX"/>
    </w:rPr>
  </w:style>
  <w:style w:type="table" w:customStyle="1" w:styleId="Tablaconcuadrcula11">
    <w:name w:val="Tabla con cuadrícula11"/>
    <w:basedOn w:val="Tablanormal"/>
    <w:next w:val="Tablaconcuadrcula"/>
    <w:uiPriority w:val="59"/>
    <w:rsid w:val="005D54F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5D54F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5D54F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5D54F5"/>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style1463961240level1">
    <w:name w:val="liststyle_1463961240_level_1"/>
    <w:basedOn w:val="Fuentedeprrafopredeter"/>
    <w:rsid w:val="005D54F5"/>
  </w:style>
  <w:style w:type="character" w:customStyle="1" w:styleId="liststyle2125493205level1">
    <w:name w:val="liststyle_2125493205_level_1"/>
    <w:basedOn w:val="Fuentedeprrafopredeter"/>
    <w:rsid w:val="005D54F5"/>
  </w:style>
  <w:style w:type="character" w:customStyle="1" w:styleId="liststyle855578761level1">
    <w:name w:val="liststyle_855578761_level_1"/>
    <w:basedOn w:val="Fuentedeprrafopredeter"/>
    <w:rsid w:val="005D54F5"/>
  </w:style>
  <w:style w:type="character" w:customStyle="1" w:styleId="eop">
    <w:name w:val="eop"/>
    <w:basedOn w:val="Fuentedeprrafopredeter"/>
    <w:rsid w:val="008D41CB"/>
  </w:style>
  <w:style w:type="paragraph" w:styleId="Revisin">
    <w:name w:val="Revision"/>
    <w:hidden/>
    <w:uiPriority w:val="99"/>
    <w:semiHidden/>
    <w:rsid w:val="00DE4384"/>
  </w:style>
  <w:style w:type="paragraph" w:customStyle="1" w:styleId="bodytext20">
    <w:name w:val="bodytext20"/>
    <w:basedOn w:val="Normal"/>
    <w:rsid w:val="00B80AC1"/>
    <w:pPr>
      <w:spacing w:before="100" w:beforeAutospacing="1" w:after="100" w:afterAutospacing="1"/>
    </w:pPr>
    <w:rPr>
      <w:lang w:val="es-MX"/>
    </w:rPr>
  </w:style>
  <w:style w:type="paragraph" w:customStyle="1" w:styleId="articulo">
    <w:name w:val="articulo"/>
    <w:basedOn w:val="Normal"/>
    <w:rsid w:val="00E07DA5"/>
    <w:pPr>
      <w:jc w:val="both"/>
    </w:pPr>
    <w:rPr>
      <w:rFonts w:ascii="Arial" w:hAnsi="Arial"/>
      <w:szCs w:val="20"/>
      <w:lang w:val="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QDOhnpqCQSuyBccoefCFb21JIQ==">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58</Pages>
  <Words>13797</Words>
  <Characters>75888</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4</cp:revision>
  <dcterms:created xsi:type="dcterms:W3CDTF">2021-12-16T16:45:00Z</dcterms:created>
  <dcterms:modified xsi:type="dcterms:W3CDTF">2021-12-16T17:01:00Z</dcterms:modified>
</cp:coreProperties>
</file>