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2962" w:rsidRPr="008A7B51" w:rsidRDefault="009F4A22" w:rsidP="00422962">
      <w:pPr>
        <w:spacing w:before="100" w:beforeAutospacing="1" w:after="100" w:afterAutospacing="1" w:line="360" w:lineRule="auto"/>
        <w:jc w:val="both"/>
        <w:rPr>
          <w:rFonts w:ascii="Palatino Linotype" w:hAnsi="Palatino Linotype"/>
        </w:rPr>
      </w:pPr>
      <w:r>
        <w:rPr>
          <w:rFonts w:ascii="Palatino Linotype" w:hAnsi="Palatino Linotype"/>
        </w:rPr>
        <w:t xml:space="preserve">  </w:t>
      </w:r>
      <w:r w:rsidR="0076033C">
        <w:rPr>
          <w:rFonts w:ascii="Palatino Linotype" w:hAnsi="Palatino Linotype"/>
        </w:rPr>
        <w:t xml:space="preserve">                                                                                                                                                                                                                                                                                                                                                                                                                                                                                                                                                                                                                                                           </w:t>
      </w:r>
      <w:r w:rsidR="00422962" w:rsidRPr="008A7B51">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2170D" w:rsidRPr="008A7B51">
        <w:rPr>
          <w:rFonts w:ascii="Palatino Linotype" w:hAnsi="Palatino Linotype"/>
        </w:rPr>
        <w:t>veintinueve</w:t>
      </w:r>
      <w:r w:rsidR="009E62D5" w:rsidRPr="008A7B51">
        <w:rPr>
          <w:rFonts w:ascii="Palatino Linotype" w:hAnsi="Palatino Linotype"/>
        </w:rPr>
        <w:t xml:space="preserve"> de septiembre </w:t>
      </w:r>
      <w:r w:rsidR="00422962" w:rsidRPr="008A7B51">
        <w:rPr>
          <w:rFonts w:ascii="Palatino Linotype" w:hAnsi="Palatino Linotype"/>
        </w:rPr>
        <w:t>de dos mil veintiuno.</w:t>
      </w:r>
    </w:p>
    <w:p w:rsidR="00422962" w:rsidRPr="008A7B51" w:rsidRDefault="00422962" w:rsidP="00422962">
      <w:pPr>
        <w:spacing w:before="100" w:beforeAutospacing="1" w:after="100" w:afterAutospacing="1" w:line="360" w:lineRule="auto"/>
        <w:jc w:val="both"/>
        <w:rPr>
          <w:rFonts w:ascii="Palatino Linotype" w:hAnsi="Palatino Linotype"/>
        </w:rPr>
      </w:pPr>
      <w:r w:rsidRPr="008A7B51">
        <w:rPr>
          <w:rFonts w:ascii="Palatino Linotype" w:hAnsi="Palatino Linotype"/>
          <w:b/>
        </w:rPr>
        <w:t>VISTO</w:t>
      </w:r>
      <w:r w:rsidRPr="008A7B51">
        <w:rPr>
          <w:rFonts w:ascii="Palatino Linotype" w:hAnsi="Palatino Linotype"/>
        </w:rPr>
        <w:t xml:space="preserve"> el expediente formado con motivo del recurso de revisión </w:t>
      </w:r>
      <w:r w:rsidR="00B60C63" w:rsidRPr="008A7B51">
        <w:rPr>
          <w:rFonts w:ascii="Palatino Linotype" w:hAnsi="Palatino Linotype"/>
          <w:b/>
        </w:rPr>
        <w:t>04477</w:t>
      </w:r>
      <w:r w:rsidRPr="008A7B51">
        <w:rPr>
          <w:rFonts w:ascii="Palatino Linotype" w:hAnsi="Palatino Linotype"/>
          <w:b/>
        </w:rPr>
        <w:t>/INFOEM/IP/RR/2021</w:t>
      </w:r>
      <w:r w:rsidR="009E62D5" w:rsidRPr="008A7B51">
        <w:rPr>
          <w:rFonts w:ascii="Palatino Linotype" w:hAnsi="Palatino Linotype"/>
        </w:rPr>
        <w:t>, promovido por</w:t>
      </w:r>
      <w:r w:rsidR="007A6F92" w:rsidRPr="008A7B51">
        <w:rPr>
          <w:rFonts w:ascii="Palatino Linotype" w:hAnsi="Palatino Linotype"/>
        </w:rPr>
        <w:t xml:space="preserve"> </w:t>
      </w:r>
      <w:r w:rsidR="00987575" w:rsidRPr="008A7B51">
        <w:rPr>
          <w:rFonts w:ascii="Palatino Linotype" w:hAnsi="Palatino Linotype"/>
        </w:rPr>
        <w:t xml:space="preserve">la </w:t>
      </w:r>
      <w:r w:rsidR="00FA54CC" w:rsidRPr="008A7B51">
        <w:rPr>
          <w:rFonts w:ascii="Palatino Linotype" w:hAnsi="Palatino Linotype"/>
        </w:rPr>
        <w:t xml:space="preserve">C. </w:t>
      </w:r>
      <w:r w:rsidR="00DF5A53">
        <w:rPr>
          <w:rFonts w:ascii="Palatino Linotype" w:hAnsi="Palatino Linotype"/>
          <w:b/>
        </w:rPr>
        <w:t>XXXXX XXXX XXXXXX</w:t>
      </w:r>
      <w:r w:rsidRPr="008A7B51">
        <w:rPr>
          <w:rFonts w:ascii="Palatino Linotype" w:hAnsi="Palatino Linotype"/>
          <w:b/>
        </w:rPr>
        <w:t xml:space="preserve">, </w:t>
      </w:r>
      <w:r w:rsidRPr="008A7B51">
        <w:rPr>
          <w:rFonts w:ascii="Palatino Linotype" w:hAnsi="Palatino Linotype"/>
        </w:rPr>
        <w:t xml:space="preserve">a quien en lo sucesivo se le denominará </w:t>
      </w:r>
      <w:r w:rsidR="00987575" w:rsidRPr="008A7B51">
        <w:rPr>
          <w:rFonts w:ascii="Palatino Linotype" w:hAnsi="Palatino Linotype"/>
          <w:b/>
        </w:rPr>
        <w:t xml:space="preserve">LA </w:t>
      </w:r>
      <w:r w:rsidRPr="008A7B51">
        <w:rPr>
          <w:rFonts w:ascii="Palatino Linotype" w:hAnsi="Palatino Linotype" w:cs="Arial"/>
          <w:b/>
        </w:rPr>
        <w:t>RECURRENTE</w:t>
      </w:r>
      <w:r w:rsidRPr="008A7B51">
        <w:rPr>
          <w:rFonts w:ascii="Palatino Linotype" w:hAnsi="Palatino Linotype"/>
        </w:rPr>
        <w:t xml:space="preserve">, en contra de la respuesta emitida por </w:t>
      </w:r>
      <w:r w:rsidR="00692406" w:rsidRPr="008A7B51">
        <w:rPr>
          <w:rFonts w:ascii="Palatino Linotype" w:hAnsi="Palatino Linotype"/>
        </w:rPr>
        <w:t>la</w:t>
      </w:r>
      <w:r w:rsidR="0052170D" w:rsidRPr="008A7B51">
        <w:rPr>
          <w:rFonts w:ascii="Palatino Linotype" w:hAnsi="Palatino Linotype"/>
          <w:b/>
        </w:rPr>
        <w:t xml:space="preserve"> Fiscalía General de Justicia del Estado de México</w:t>
      </w:r>
      <w:r w:rsidRPr="008A7B51">
        <w:rPr>
          <w:rFonts w:ascii="Palatino Linotype" w:hAnsi="Palatino Linotype"/>
          <w:b/>
        </w:rPr>
        <w:t>,</w:t>
      </w:r>
      <w:r w:rsidRPr="008A7B51">
        <w:rPr>
          <w:rFonts w:ascii="Palatino Linotype" w:hAnsi="Palatino Linotype" w:cs="Arial"/>
          <w:b/>
        </w:rPr>
        <w:t xml:space="preserve"> </w:t>
      </w:r>
      <w:r w:rsidRPr="008A7B51">
        <w:rPr>
          <w:rFonts w:ascii="Palatino Linotype" w:hAnsi="Palatino Linotype"/>
        </w:rPr>
        <w:t xml:space="preserve">en lo subsecuente </w:t>
      </w:r>
      <w:r w:rsidRPr="008A7B51">
        <w:rPr>
          <w:rFonts w:ascii="Palatino Linotype" w:hAnsi="Palatino Linotype"/>
          <w:b/>
        </w:rPr>
        <w:t>EL SUJETO OBLIGADO</w:t>
      </w:r>
      <w:r w:rsidRPr="008A7B51">
        <w:rPr>
          <w:rFonts w:ascii="Palatino Linotype" w:hAnsi="Palatino Linotype"/>
        </w:rPr>
        <w:t xml:space="preserve">, se procede a dictar la presente resolución con base en lo siguiente: </w:t>
      </w:r>
    </w:p>
    <w:p w:rsidR="00422962" w:rsidRPr="008A7B51" w:rsidRDefault="00422962" w:rsidP="00422962">
      <w:pPr>
        <w:spacing w:before="100" w:beforeAutospacing="1" w:after="100" w:afterAutospacing="1" w:line="360" w:lineRule="auto"/>
        <w:jc w:val="center"/>
        <w:rPr>
          <w:rFonts w:ascii="Palatino Linotype" w:hAnsi="Palatino Linotype"/>
          <w:b/>
          <w:bCs/>
          <w:spacing w:val="60"/>
          <w:sz w:val="28"/>
        </w:rPr>
      </w:pPr>
      <w:r w:rsidRPr="008A7B51">
        <w:rPr>
          <w:rFonts w:ascii="Palatino Linotype" w:hAnsi="Palatino Linotype"/>
          <w:b/>
          <w:bCs/>
          <w:spacing w:val="60"/>
          <w:sz w:val="28"/>
        </w:rPr>
        <w:t>RESULTANDO</w:t>
      </w:r>
    </w:p>
    <w:p w:rsidR="00422962" w:rsidRPr="008A7B51" w:rsidRDefault="00422962" w:rsidP="00422962">
      <w:pPr>
        <w:pStyle w:val="Prrafodelista"/>
        <w:tabs>
          <w:tab w:val="left" w:pos="709"/>
        </w:tabs>
        <w:spacing w:before="100" w:beforeAutospacing="1" w:after="100" w:afterAutospacing="1" w:line="360" w:lineRule="auto"/>
        <w:ind w:left="0"/>
        <w:jc w:val="both"/>
        <w:rPr>
          <w:rFonts w:ascii="Palatino Linotype" w:hAnsi="Palatino Linotype"/>
          <w:b/>
        </w:rPr>
      </w:pPr>
      <w:r w:rsidRPr="008A7B51">
        <w:rPr>
          <w:rFonts w:ascii="Palatino Linotype" w:hAnsi="Palatino Linotype"/>
          <w:b/>
          <w:sz w:val="28"/>
          <w:szCs w:val="28"/>
        </w:rPr>
        <w:t>I.</w:t>
      </w:r>
      <w:r w:rsidRPr="008A7B51">
        <w:rPr>
          <w:rFonts w:ascii="Palatino Linotype" w:hAnsi="Palatino Linotype"/>
        </w:rPr>
        <w:t xml:space="preserve"> En </w:t>
      </w:r>
      <w:r w:rsidRPr="008A7B51">
        <w:rPr>
          <w:rFonts w:ascii="Palatino Linotype" w:hAnsi="Palatino Linotype" w:cs="Arial"/>
        </w:rPr>
        <w:t xml:space="preserve">fecha </w:t>
      </w:r>
      <w:r w:rsidR="0052170D" w:rsidRPr="008A7B51">
        <w:rPr>
          <w:rFonts w:ascii="Palatino Linotype" w:hAnsi="Palatino Linotype" w:cs="Arial"/>
        </w:rPr>
        <w:t>diecisiete de agosto</w:t>
      </w:r>
      <w:r w:rsidR="009E62D5" w:rsidRPr="008A7B51">
        <w:rPr>
          <w:rFonts w:ascii="Palatino Linotype" w:hAnsi="Palatino Linotype" w:cs="Arial"/>
        </w:rPr>
        <w:t xml:space="preserve"> </w:t>
      </w:r>
      <w:r w:rsidRPr="008A7B51">
        <w:rPr>
          <w:rFonts w:ascii="Palatino Linotype" w:hAnsi="Palatino Linotype"/>
        </w:rPr>
        <w:t xml:space="preserve">de dos mil veintiuno, </w:t>
      </w:r>
      <w:r w:rsidR="00987575" w:rsidRPr="008A7B51">
        <w:rPr>
          <w:rFonts w:ascii="Palatino Linotype" w:hAnsi="Palatino Linotype" w:cs="Arial"/>
          <w:b/>
        </w:rPr>
        <w:t xml:space="preserve">LA RECURRENTE </w:t>
      </w:r>
      <w:r w:rsidRPr="008A7B51">
        <w:rPr>
          <w:rFonts w:ascii="Palatino Linotype" w:hAnsi="Palatino Linotype"/>
        </w:rPr>
        <w:t xml:space="preserve">presentó </w:t>
      </w:r>
      <w:r w:rsidRPr="008A7B51">
        <w:rPr>
          <w:rFonts w:ascii="Palatino Linotype" w:hAnsi="Palatino Linotype" w:cs="Arial"/>
        </w:rPr>
        <w:t xml:space="preserve">a través del Sistema de Acceso a la Información Mexiquense, en lo subsecuente </w:t>
      </w:r>
      <w:r w:rsidRPr="008A7B51">
        <w:rPr>
          <w:rFonts w:ascii="Palatino Linotype" w:hAnsi="Palatino Linotype" w:cs="Arial"/>
          <w:b/>
        </w:rPr>
        <w:t>EL SAIMEX,</w:t>
      </w:r>
      <w:r w:rsidRPr="008A7B51">
        <w:rPr>
          <w:rFonts w:ascii="Palatino Linotype" w:hAnsi="Palatino Linotype"/>
        </w:rPr>
        <w:t xml:space="preserve"> ante </w:t>
      </w:r>
      <w:r w:rsidRPr="008A7B51">
        <w:rPr>
          <w:rFonts w:ascii="Palatino Linotype" w:hAnsi="Palatino Linotype"/>
          <w:b/>
        </w:rPr>
        <w:t>EL SUJETO OBLIGADO</w:t>
      </w:r>
      <w:r w:rsidRPr="008A7B51">
        <w:rPr>
          <w:rFonts w:ascii="Palatino Linotype" w:hAnsi="Palatino Linotype"/>
        </w:rPr>
        <w:t xml:space="preserve">, la solicitud de acceso a la información pública, a la que se le asignó el número </w:t>
      </w:r>
      <w:r w:rsidR="0052170D" w:rsidRPr="008A7B51">
        <w:rPr>
          <w:rFonts w:ascii="Palatino Linotype" w:hAnsi="Palatino Linotype"/>
          <w:b/>
        </w:rPr>
        <w:t>00884</w:t>
      </w:r>
      <w:r w:rsidR="00057736" w:rsidRPr="008A7B51">
        <w:rPr>
          <w:rFonts w:ascii="Palatino Linotype" w:hAnsi="Palatino Linotype"/>
          <w:b/>
        </w:rPr>
        <w:t>/</w:t>
      </w:r>
      <w:r w:rsidR="0052170D" w:rsidRPr="008A7B51">
        <w:rPr>
          <w:rFonts w:ascii="Palatino Linotype" w:hAnsi="Palatino Linotype"/>
          <w:b/>
        </w:rPr>
        <w:t xml:space="preserve">FGJ </w:t>
      </w:r>
      <w:r w:rsidR="00057736" w:rsidRPr="008A7B51">
        <w:rPr>
          <w:rFonts w:ascii="Palatino Linotype" w:hAnsi="Palatino Linotype"/>
          <w:b/>
        </w:rPr>
        <w:t>/IP/2021</w:t>
      </w:r>
      <w:r w:rsidRPr="008A7B51">
        <w:rPr>
          <w:rFonts w:ascii="Palatino Linotype" w:hAnsi="Palatino Linotype"/>
          <w:b/>
        </w:rPr>
        <w:t>,</w:t>
      </w:r>
      <w:r w:rsidRPr="008A7B51">
        <w:rPr>
          <w:rFonts w:ascii="Palatino Linotype" w:hAnsi="Palatino Linotype"/>
        </w:rPr>
        <w:t xml:space="preserve"> mediante la cual requirió, lo siguiente:</w:t>
      </w:r>
    </w:p>
    <w:p w:rsidR="00422962" w:rsidRPr="008A7B51" w:rsidRDefault="00411B27" w:rsidP="00FA54CC">
      <w:pPr>
        <w:ind w:left="851" w:right="899"/>
        <w:jc w:val="both"/>
        <w:rPr>
          <w:rFonts w:ascii="Palatino Linotype" w:hAnsi="Palatino Linotype"/>
          <w:i/>
          <w:sz w:val="22"/>
          <w:szCs w:val="22"/>
        </w:rPr>
      </w:pPr>
      <w:r w:rsidRPr="008A7B51">
        <w:rPr>
          <w:rFonts w:ascii="Palatino Linotype" w:hAnsi="Palatino Linotype"/>
          <w:i/>
          <w:sz w:val="22"/>
          <w:szCs w:val="22"/>
        </w:rPr>
        <w:t>“</w:t>
      </w:r>
      <w:r w:rsidR="0052170D" w:rsidRPr="008A7B51">
        <w:rPr>
          <w:rFonts w:ascii="Palatino Linotype" w:hAnsi="Palatino Linotype"/>
          <w:i/>
          <w:sz w:val="22"/>
          <w:szCs w:val="22"/>
        </w:rPr>
        <w:t xml:space="preserve">Atentamente solicito copias de todo el expediente CODHEM7TOL/CD/31/2020 en </w:t>
      </w:r>
      <w:proofErr w:type="spellStart"/>
      <w:r w:rsidR="0052170D" w:rsidRPr="008A7B51">
        <w:rPr>
          <w:rFonts w:ascii="Palatino Linotype" w:hAnsi="Palatino Linotype"/>
          <w:i/>
          <w:sz w:val="22"/>
          <w:szCs w:val="22"/>
        </w:rPr>
        <w:t>version</w:t>
      </w:r>
      <w:proofErr w:type="spellEnd"/>
      <w:r w:rsidR="0052170D" w:rsidRPr="008A7B51">
        <w:rPr>
          <w:rFonts w:ascii="Palatino Linotype" w:hAnsi="Palatino Linotype"/>
          <w:i/>
          <w:sz w:val="22"/>
          <w:szCs w:val="22"/>
        </w:rPr>
        <w:t xml:space="preserve"> pública.</w:t>
      </w:r>
      <w:r w:rsidR="00422962" w:rsidRPr="008A7B51">
        <w:rPr>
          <w:rFonts w:ascii="Palatino Linotype" w:hAnsi="Palatino Linotype"/>
          <w:i/>
          <w:sz w:val="22"/>
          <w:szCs w:val="22"/>
        </w:rPr>
        <w:t>” (Sic)</w:t>
      </w:r>
      <w:bookmarkStart w:id="0" w:name="_Ref516764469"/>
      <w:bookmarkStart w:id="1" w:name="_Ref531692384"/>
    </w:p>
    <w:p w:rsidR="00422962" w:rsidRPr="008A7B51" w:rsidRDefault="00422962" w:rsidP="00422962">
      <w:pPr>
        <w:spacing w:before="100" w:beforeAutospacing="1" w:after="100" w:afterAutospacing="1"/>
        <w:ind w:right="709"/>
        <w:jc w:val="both"/>
        <w:rPr>
          <w:rFonts w:ascii="Palatino Linotype" w:hAnsi="Palatino Linotype"/>
          <w:b/>
        </w:rPr>
      </w:pPr>
      <w:r w:rsidRPr="008A7B51">
        <w:rPr>
          <w:rFonts w:ascii="Palatino Linotype" w:hAnsi="Palatino Linotype"/>
          <w:b/>
        </w:rPr>
        <w:t xml:space="preserve">Modalidad de entrega: </w:t>
      </w:r>
      <w:r w:rsidRPr="008A7B51">
        <w:rPr>
          <w:rFonts w:ascii="Palatino Linotype" w:hAnsi="Palatino Linotype"/>
        </w:rPr>
        <w:t xml:space="preserve">vía </w:t>
      </w:r>
      <w:r w:rsidRPr="008A7B51">
        <w:rPr>
          <w:rFonts w:ascii="Palatino Linotype" w:hAnsi="Palatino Linotype"/>
          <w:b/>
        </w:rPr>
        <w:t>SAIMEX</w:t>
      </w:r>
    </w:p>
    <w:p w:rsidR="00422962" w:rsidRPr="008A7B51" w:rsidRDefault="00422962" w:rsidP="007A6F92">
      <w:pPr>
        <w:pStyle w:val="Prrafodelista"/>
        <w:tabs>
          <w:tab w:val="left" w:pos="709"/>
        </w:tabs>
        <w:spacing w:before="100" w:beforeAutospacing="1" w:after="100" w:afterAutospacing="1" w:line="360" w:lineRule="auto"/>
        <w:ind w:left="0"/>
        <w:jc w:val="both"/>
        <w:rPr>
          <w:rFonts w:ascii="Palatino Linotype" w:hAnsi="Palatino Linotype" w:cs="Arial"/>
        </w:rPr>
      </w:pPr>
      <w:r w:rsidRPr="008A7B51">
        <w:rPr>
          <w:rFonts w:ascii="Palatino Linotype" w:hAnsi="Palatino Linotype" w:cs="Arial"/>
          <w:b/>
          <w:sz w:val="28"/>
          <w:szCs w:val="28"/>
        </w:rPr>
        <w:t>II.</w:t>
      </w:r>
      <w:r w:rsidRPr="008A7B51">
        <w:rPr>
          <w:rFonts w:ascii="Palatino Linotype" w:hAnsi="Palatino Linotype" w:cs="Arial"/>
        </w:rPr>
        <w:t xml:space="preserve"> De las constancias que obran en el expediente electrónico del </w:t>
      </w:r>
      <w:r w:rsidRPr="008A7B51">
        <w:rPr>
          <w:rFonts w:ascii="Palatino Linotype" w:hAnsi="Palatino Linotype" w:cs="Arial"/>
          <w:b/>
        </w:rPr>
        <w:t>SAIMEX</w:t>
      </w:r>
      <w:r w:rsidRPr="008A7B51">
        <w:rPr>
          <w:rFonts w:ascii="Palatino Linotype" w:hAnsi="Palatino Linotype" w:cs="Arial"/>
        </w:rPr>
        <w:t xml:space="preserve">, se advierte que en fecha </w:t>
      </w:r>
      <w:r w:rsidR="0052170D" w:rsidRPr="008A7B51">
        <w:rPr>
          <w:rFonts w:ascii="Palatino Linotype" w:hAnsi="Palatino Linotype" w:cs="Arial"/>
        </w:rPr>
        <w:t xml:space="preserve">dieciocho de agosto </w:t>
      </w:r>
      <w:r w:rsidRPr="008A7B51">
        <w:rPr>
          <w:rFonts w:ascii="Palatino Linotype" w:hAnsi="Palatino Linotype" w:cs="Arial"/>
        </w:rPr>
        <w:t xml:space="preserve">de dos mil veintiuno, </w:t>
      </w:r>
      <w:r w:rsidRPr="008A7B51">
        <w:rPr>
          <w:rFonts w:ascii="Palatino Linotype" w:hAnsi="Palatino Linotype" w:cs="Arial"/>
          <w:b/>
        </w:rPr>
        <w:t xml:space="preserve">EL SUJETO OBLIGADO </w:t>
      </w:r>
      <w:r w:rsidRPr="008A7B51">
        <w:rPr>
          <w:rFonts w:ascii="Palatino Linotype" w:hAnsi="Palatino Linotype" w:cs="Arial"/>
        </w:rPr>
        <w:t xml:space="preserve">de </w:t>
      </w:r>
      <w:r w:rsidRPr="008A7B51">
        <w:rPr>
          <w:rFonts w:ascii="Palatino Linotype" w:hAnsi="Palatino Linotype" w:cs="Arial"/>
          <w:color w:val="000000" w:themeColor="text1"/>
        </w:rPr>
        <w:lastRenderedPageBreak/>
        <w:t>conformidad con l</w:t>
      </w:r>
      <w:r w:rsidR="0052170D" w:rsidRPr="008A7B51">
        <w:rPr>
          <w:rFonts w:ascii="Palatino Linotype" w:hAnsi="Palatino Linotype" w:cs="Arial"/>
          <w:color w:val="000000" w:themeColor="text1"/>
        </w:rPr>
        <w:t>o establecido en el artículo 167</w:t>
      </w:r>
      <w:r w:rsidRPr="008A7B51">
        <w:rPr>
          <w:rFonts w:ascii="Palatino Linotype" w:hAnsi="Palatino Linotype" w:cs="Arial"/>
          <w:color w:val="000000" w:themeColor="text1"/>
        </w:rPr>
        <w:t xml:space="preserve"> de la Ley de Transparencia y Acceso a la Información Pública del Estado de México y Municipios, la Titular de la Unidad de Transparencia, </w:t>
      </w:r>
      <w:r w:rsidR="007A6F92" w:rsidRPr="008A7B51">
        <w:rPr>
          <w:rFonts w:ascii="Palatino Linotype" w:hAnsi="Palatino Linotype"/>
          <w:bCs/>
          <w:color w:val="000000" w:themeColor="text1"/>
        </w:rPr>
        <w:t xml:space="preserve">indicó </w:t>
      </w:r>
      <w:r w:rsidR="0052170D" w:rsidRPr="008A7B51">
        <w:rPr>
          <w:rFonts w:ascii="Palatino Linotype" w:hAnsi="Palatino Linotype"/>
          <w:bCs/>
          <w:color w:val="000000" w:themeColor="text1"/>
        </w:rPr>
        <w:t>la Incompetencia del</w:t>
      </w:r>
      <w:r w:rsidR="00987575" w:rsidRPr="008A7B51">
        <w:rPr>
          <w:rFonts w:ascii="Palatino Linotype" w:hAnsi="Palatino Linotype"/>
          <w:bCs/>
          <w:color w:val="000000" w:themeColor="text1"/>
        </w:rPr>
        <w:t xml:space="preserve"> </w:t>
      </w:r>
      <w:r w:rsidR="00987575" w:rsidRPr="008A7B51">
        <w:rPr>
          <w:rFonts w:ascii="Palatino Linotype" w:hAnsi="Palatino Linotype"/>
          <w:b/>
          <w:bCs/>
          <w:color w:val="000000" w:themeColor="text1"/>
        </w:rPr>
        <w:t>SUJETO OBLIGADO</w:t>
      </w:r>
      <w:r w:rsidR="0052170D" w:rsidRPr="008A7B51">
        <w:rPr>
          <w:rFonts w:ascii="Palatino Linotype" w:hAnsi="Palatino Linotype"/>
          <w:bCs/>
          <w:color w:val="000000" w:themeColor="text1"/>
        </w:rPr>
        <w:t xml:space="preserve">, </w:t>
      </w:r>
      <w:r w:rsidR="007A6F92" w:rsidRPr="008A7B51">
        <w:rPr>
          <w:rFonts w:ascii="Palatino Linotype" w:hAnsi="Palatino Linotype"/>
          <w:bCs/>
          <w:color w:val="000000" w:themeColor="text1"/>
        </w:rPr>
        <w:t>expresa</w:t>
      </w:r>
      <w:r w:rsidR="00B60C63" w:rsidRPr="008A7B51">
        <w:rPr>
          <w:rFonts w:ascii="Palatino Linotype" w:hAnsi="Palatino Linotype"/>
          <w:bCs/>
          <w:color w:val="000000" w:themeColor="text1"/>
        </w:rPr>
        <w:t>n</w:t>
      </w:r>
      <w:r w:rsidR="007A6F92" w:rsidRPr="008A7B51">
        <w:rPr>
          <w:rFonts w:ascii="Palatino Linotype" w:hAnsi="Palatino Linotype"/>
          <w:bCs/>
          <w:color w:val="000000" w:themeColor="text1"/>
        </w:rPr>
        <w:t xml:space="preserve">do que la información puede estar en poder de </w:t>
      </w:r>
      <w:r w:rsidR="00987575" w:rsidRPr="008A7B51">
        <w:rPr>
          <w:rFonts w:ascii="Palatino Linotype" w:hAnsi="Palatino Linotype"/>
          <w:bCs/>
          <w:color w:val="000000" w:themeColor="text1"/>
        </w:rPr>
        <w:t xml:space="preserve">uno diverso </w:t>
      </w:r>
      <w:r w:rsidR="007A6F92" w:rsidRPr="008A7B51">
        <w:rPr>
          <w:rFonts w:ascii="Palatino Linotype" w:hAnsi="Palatino Linotype"/>
          <w:bCs/>
          <w:color w:val="000000" w:themeColor="text1"/>
        </w:rPr>
        <w:t>como se puede apreciar en la siguiente transcripción del oficio de número 175/MAIP/FGJ/2021:</w:t>
      </w:r>
    </w:p>
    <w:p w:rsidR="007A6F92" w:rsidRPr="008A7B51" w:rsidRDefault="00AD7E12" w:rsidP="002F1116">
      <w:pPr>
        <w:pStyle w:val="Prrafodelista"/>
        <w:tabs>
          <w:tab w:val="left" w:pos="851"/>
        </w:tabs>
        <w:ind w:left="851" w:right="899"/>
        <w:jc w:val="both"/>
        <w:rPr>
          <w:rFonts w:ascii="Palatino Linotype" w:hAnsi="Palatino Linotype" w:cs="Arial"/>
          <w:i/>
          <w:sz w:val="22"/>
          <w:szCs w:val="22"/>
        </w:rPr>
      </w:pPr>
      <w:r w:rsidRPr="008A7B51">
        <w:rPr>
          <w:rFonts w:ascii="Palatino Linotype" w:hAnsi="Palatino Linotype" w:cs="Arial"/>
          <w:i/>
          <w:sz w:val="22"/>
          <w:szCs w:val="22"/>
        </w:rPr>
        <w:t>“</w:t>
      </w:r>
      <w:r w:rsidR="007A6F92" w:rsidRPr="008A7B51">
        <w:rPr>
          <w:rFonts w:ascii="Palatino Linotype" w:hAnsi="Palatino Linotype" w:cs="Arial"/>
          <w:i/>
          <w:sz w:val="22"/>
          <w:szCs w:val="22"/>
        </w:rPr>
        <w:t xml:space="preserve">C. </w:t>
      </w:r>
      <w:r w:rsidR="00E86C79">
        <w:rPr>
          <w:rFonts w:ascii="Palatino Linotype" w:hAnsi="Palatino Linotype" w:cs="Arial"/>
          <w:i/>
          <w:sz w:val="22"/>
          <w:szCs w:val="22"/>
        </w:rPr>
        <w:t>XXXXX XXXX XXXXXX</w:t>
      </w:r>
      <w:bookmarkStart w:id="2" w:name="_GoBack"/>
      <w:bookmarkEnd w:id="2"/>
    </w:p>
    <w:p w:rsidR="007A6F92" w:rsidRPr="008A7B51" w:rsidRDefault="007A6F92" w:rsidP="002F1116">
      <w:pPr>
        <w:pStyle w:val="Prrafodelista"/>
        <w:tabs>
          <w:tab w:val="left" w:pos="851"/>
        </w:tabs>
        <w:ind w:left="851" w:right="899"/>
        <w:jc w:val="both"/>
        <w:rPr>
          <w:rFonts w:ascii="Palatino Linotype" w:hAnsi="Palatino Linotype" w:cs="Arial"/>
          <w:i/>
          <w:sz w:val="22"/>
          <w:szCs w:val="22"/>
        </w:rPr>
      </w:pPr>
      <w:r w:rsidRPr="008A7B51">
        <w:rPr>
          <w:rFonts w:ascii="Palatino Linotype" w:hAnsi="Palatino Linotype" w:cs="Arial"/>
          <w:i/>
          <w:sz w:val="22"/>
          <w:szCs w:val="22"/>
        </w:rPr>
        <w:t>Hago referencia al contenido de su solicitud de información pública, presentada el 17 de agosto del año 2021, ante el Módulo de Transparencia y Acceso a la Información Pública de la Fiscalía General de Justicia del Estado de México, misma que fue registrada en el Sistema de Acceso a la Información Mexiquense (SAIMEX), bajo el folio 00884/FGJ/IP/2021, en la que pide lo siguiente:</w:t>
      </w:r>
    </w:p>
    <w:p w:rsidR="007A6F92" w:rsidRPr="008A7B51" w:rsidRDefault="007A6F92" w:rsidP="002F1116">
      <w:pPr>
        <w:pStyle w:val="Prrafodelista"/>
        <w:tabs>
          <w:tab w:val="left" w:pos="851"/>
        </w:tabs>
        <w:ind w:left="851" w:right="899"/>
        <w:jc w:val="both"/>
        <w:rPr>
          <w:rFonts w:ascii="Palatino Linotype" w:hAnsi="Palatino Linotype" w:cs="Arial"/>
          <w:i/>
          <w:sz w:val="22"/>
          <w:szCs w:val="22"/>
        </w:rPr>
      </w:pPr>
      <w:r w:rsidRPr="008A7B51">
        <w:rPr>
          <w:rFonts w:ascii="Palatino Linotype" w:hAnsi="Palatino Linotype" w:cs="Arial"/>
          <w:i/>
          <w:sz w:val="22"/>
          <w:szCs w:val="22"/>
        </w:rPr>
        <w:t xml:space="preserve">“Atentamente solicito copias de todo el expediente CODHEM7TOL/CD/31/2020 en </w:t>
      </w:r>
      <w:proofErr w:type="spellStart"/>
      <w:r w:rsidRPr="008A7B51">
        <w:rPr>
          <w:rFonts w:ascii="Palatino Linotype" w:hAnsi="Palatino Linotype" w:cs="Arial"/>
          <w:i/>
          <w:sz w:val="22"/>
          <w:szCs w:val="22"/>
        </w:rPr>
        <w:t>version</w:t>
      </w:r>
      <w:proofErr w:type="spellEnd"/>
      <w:r w:rsidRPr="008A7B51">
        <w:rPr>
          <w:rFonts w:ascii="Palatino Linotype" w:hAnsi="Palatino Linotype" w:cs="Arial"/>
          <w:i/>
          <w:sz w:val="22"/>
          <w:szCs w:val="22"/>
        </w:rPr>
        <w:t xml:space="preserve"> pública” (sic) </w:t>
      </w:r>
    </w:p>
    <w:p w:rsidR="007A6F92" w:rsidRPr="008A7B51" w:rsidRDefault="007A6F92" w:rsidP="002F1116">
      <w:pPr>
        <w:pStyle w:val="Prrafodelista"/>
        <w:tabs>
          <w:tab w:val="left" w:pos="851"/>
        </w:tabs>
        <w:ind w:left="851" w:right="899"/>
        <w:jc w:val="both"/>
        <w:rPr>
          <w:rFonts w:ascii="Palatino Linotype" w:hAnsi="Palatino Linotype" w:cs="Arial"/>
          <w:i/>
          <w:sz w:val="22"/>
          <w:szCs w:val="22"/>
        </w:rPr>
      </w:pPr>
      <w:r w:rsidRPr="008A7B51">
        <w:rPr>
          <w:rFonts w:ascii="Palatino Linotype" w:hAnsi="Palatino Linotype" w:cs="Arial"/>
          <w:i/>
          <w:sz w:val="22"/>
          <w:szCs w:val="22"/>
        </w:rPr>
        <w:t>Al respecto, este órgano público autónomo, con fundamento en los artículos 1, 4, 163 y 167 de la Ley de Transparencia y Acceso a la Información Pública del Estado de México y Municipios, hace de su conocimiento que dentro de las atribuciones de este Sujeto Obligado, establecidas en el artículo 10 de la Ley de la Fiscalía General de Justicia del Estado de México, no se encuentra la de generar o poseer información de los expedientes con la nomenclatura que indica en su solicitud, ya que se advierte que está corresponde a la Comisión de Derechos Humanos del Estado de México, por lo que se le orienta para que dirija su solicitud a la Unidad de Transparencia de la Secretaría de Justicia y Derechos Humanos del Estado de México; ubicada en Calle Instituto Literario Poniente, número exterior 510, segundo piso, Colonia Centro, Toluca de Lerdo, C.P.50000,</w:t>
      </w:r>
      <w:r w:rsidRPr="008A7B51">
        <w:rPr>
          <w:rFonts w:ascii="Palatino Linotype" w:hAnsi="Palatino Linotype" w:cs="Arial"/>
        </w:rPr>
        <w:t xml:space="preserve"> </w:t>
      </w:r>
      <w:r w:rsidRPr="008A7B51">
        <w:rPr>
          <w:rFonts w:ascii="Palatino Linotype" w:hAnsi="Palatino Linotype" w:cs="Arial"/>
          <w:i/>
          <w:sz w:val="22"/>
          <w:szCs w:val="22"/>
        </w:rPr>
        <w:t xml:space="preserve">números de teléfono: 7222137511, extensión 106 y 7222137512, extensión 110 y con un horario de atención de lunes a viernes de 9:00 a 18:00 </w:t>
      </w:r>
      <w:proofErr w:type="spellStart"/>
      <w:r w:rsidRPr="008A7B51">
        <w:rPr>
          <w:rFonts w:ascii="Palatino Linotype" w:hAnsi="Palatino Linotype" w:cs="Arial"/>
          <w:i/>
          <w:sz w:val="22"/>
          <w:szCs w:val="22"/>
        </w:rPr>
        <w:t>hrs</w:t>
      </w:r>
      <w:proofErr w:type="spellEnd"/>
      <w:r w:rsidRPr="008A7B51">
        <w:rPr>
          <w:rFonts w:ascii="Palatino Linotype" w:hAnsi="Palatino Linotype" w:cs="Arial"/>
          <w:i/>
          <w:sz w:val="22"/>
          <w:szCs w:val="22"/>
        </w:rPr>
        <w:t>.</w:t>
      </w:r>
      <w:r w:rsidR="00AD7E12" w:rsidRPr="008A7B51">
        <w:rPr>
          <w:rFonts w:ascii="Palatino Linotype" w:hAnsi="Palatino Linotype" w:cs="Arial"/>
          <w:i/>
          <w:sz w:val="22"/>
          <w:szCs w:val="22"/>
        </w:rPr>
        <w:t>”. (Sic)</w:t>
      </w:r>
    </w:p>
    <w:p w:rsidR="00422962" w:rsidRPr="008A7B51" w:rsidRDefault="00AD7E12" w:rsidP="00AD7E12">
      <w:pPr>
        <w:pStyle w:val="Prrafodelista"/>
        <w:tabs>
          <w:tab w:val="left" w:pos="709"/>
        </w:tabs>
        <w:spacing w:before="100" w:beforeAutospacing="1" w:after="100" w:afterAutospacing="1" w:line="360" w:lineRule="auto"/>
        <w:ind w:left="0"/>
        <w:jc w:val="both"/>
        <w:rPr>
          <w:rFonts w:ascii="Palatino Linotype" w:hAnsi="Palatino Linotype" w:cs="Arial"/>
        </w:rPr>
      </w:pPr>
      <w:r w:rsidRPr="008A7B51">
        <w:rPr>
          <w:rFonts w:ascii="Palatino Linotype" w:hAnsi="Palatino Linotype" w:cs="Arial"/>
          <w:b/>
          <w:sz w:val="28"/>
          <w:szCs w:val="28"/>
        </w:rPr>
        <w:t>III</w:t>
      </w:r>
      <w:r w:rsidR="00422962" w:rsidRPr="008A7B51">
        <w:rPr>
          <w:rFonts w:ascii="Palatino Linotype" w:hAnsi="Palatino Linotype" w:cs="Arial"/>
          <w:b/>
          <w:sz w:val="28"/>
          <w:szCs w:val="28"/>
        </w:rPr>
        <w:t xml:space="preserve">. </w:t>
      </w:r>
      <w:r w:rsidR="00422962" w:rsidRPr="008A7B51">
        <w:rPr>
          <w:rFonts w:ascii="Palatino Linotype" w:hAnsi="Palatino Linotype"/>
        </w:rPr>
        <w:t xml:space="preserve">Inconforme con la respuesta del </w:t>
      </w:r>
      <w:r w:rsidR="00422962" w:rsidRPr="008A7B51">
        <w:rPr>
          <w:rFonts w:ascii="Palatino Linotype" w:hAnsi="Palatino Linotype"/>
          <w:b/>
        </w:rPr>
        <w:t>SUJETO OBLIGADO</w:t>
      </w:r>
      <w:r w:rsidR="00422962" w:rsidRPr="008A7B51">
        <w:rPr>
          <w:rFonts w:ascii="Palatino Linotype" w:hAnsi="Palatino Linotype"/>
        </w:rPr>
        <w:t xml:space="preserve">, en fecha </w:t>
      </w:r>
      <w:r w:rsidR="001B1B3E" w:rsidRPr="008A7B51">
        <w:rPr>
          <w:rFonts w:ascii="Palatino Linotype" w:hAnsi="Palatino Linotype"/>
        </w:rPr>
        <w:t xml:space="preserve">dos de </w:t>
      </w:r>
      <w:r w:rsidRPr="008A7B51">
        <w:rPr>
          <w:rFonts w:ascii="Palatino Linotype" w:hAnsi="Palatino Linotype"/>
        </w:rPr>
        <w:t xml:space="preserve">septiembre </w:t>
      </w:r>
      <w:r w:rsidR="00422962" w:rsidRPr="008A7B51">
        <w:rPr>
          <w:rFonts w:ascii="Palatino Linotype" w:hAnsi="Palatino Linotype"/>
        </w:rPr>
        <w:t xml:space="preserve">de dos mil veintiuno, </w:t>
      </w:r>
      <w:r w:rsidR="00987575" w:rsidRPr="008A7B51">
        <w:rPr>
          <w:rFonts w:ascii="Palatino Linotype" w:hAnsi="Palatino Linotype" w:cs="Arial"/>
          <w:b/>
        </w:rPr>
        <w:t>LA RECURRENTE,</w:t>
      </w:r>
      <w:r w:rsidR="00422962" w:rsidRPr="008A7B51">
        <w:rPr>
          <w:rFonts w:ascii="Palatino Linotype" w:hAnsi="Palatino Linotype"/>
        </w:rPr>
        <w:t xml:space="preserve"> a través del</w:t>
      </w:r>
      <w:r w:rsidR="00422962" w:rsidRPr="008A7B51">
        <w:rPr>
          <w:rFonts w:ascii="Palatino Linotype" w:hAnsi="Palatino Linotype"/>
          <w:b/>
        </w:rPr>
        <w:t xml:space="preserve"> SAIMEX, </w:t>
      </w:r>
      <w:r w:rsidR="00422962" w:rsidRPr="008A7B51">
        <w:rPr>
          <w:rFonts w:ascii="Palatino Linotype" w:hAnsi="Palatino Linotype"/>
        </w:rPr>
        <w:t xml:space="preserve">interpuso el recurso de revisión objeto del </w:t>
      </w:r>
      <w:r w:rsidR="00422962" w:rsidRPr="008A7B51">
        <w:rPr>
          <w:rFonts w:ascii="Palatino Linotype" w:hAnsi="Palatino Linotype" w:cs="Arial"/>
        </w:rPr>
        <w:t>presente</w:t>
      </w:r>
      <w:r w:rsidR="00422962" w:rsidRPr="008A7B51">
        <w:rPr>
          <w:rFonts w:ascii="Palatino Linotype" w:hAnsi="Palatino Linotype"/>
        </w:rPr>
        <w:t xml:space="preserve"> estudio, al que se le asignó el </w:t>
      </w:r>
      <w:r w:rsidR="00422962" w:rsidRPr="008A7B51">
        <w:rPr>
          <w:rFonts w:ascii="Palatino Linotype" w:hAnsi="Palatino Linotype" w:cs="Arial"/>
        </w:rPr>
        <w:t>número al rubro citado, en el que señaló como acto impugnado:</w:t>
      </w:r>
    </w:p>
    <w:p w:rsidR="00422962" w:rsidRPr="008A7B51" w:rsidRDefault="00422962" w:rsidP="001B1B3E">
      <w:pPr>
        <w:spacing w:before="100" w:beforeAutospacing="1" w:after="100" w:afterAutospacing="1"/>
        <w:ind w:left="851" w:right="899"/>
        <w:jc w:val="both"/>
        <w:rPr>
          <w:rFonts w:ascii="Palatino Linotype" w:hAnsi="Palatino Linotype" w:cs="Arial"/>
          <w:i/>
          <w:sz w:val="22"/>
          <w:szCs w:val="22"/>
          <w:lang w:eastAsia="es-MX"/>
        </w:rPr>
      </w:pPr>
      <w:r w:rsidRPr="008A7B51">
        <w:rPr>
          <w:rFonts w:ascii="Palatino Linotype" w:hAnsi="Palatino Linotype" w:cs="Arial"/>
          <w:i/>
          <w:sz w:val="22"/>
          <w:szCs w:val="22"/>
          <w:lang w:eastAsia="es-MX"/>
        </w:rPr>
        <w:lastRenderedPageBreak/>
        <w:t>“</w:t>
      </w:r>
      <w:r w:rsidR="00AD7E12" w:rsidRPr="008A7B51">
        <w:rPr>
          <w:rFonts w:ascii="Palatino Linotype" w:hAnsi="Palatino Linotype" w:cs="Arial"/>
          <w:i/>
          <w:sz w:val="22"/>
          <w:szCs w:val="22"/>
          <w:lang w:eastAsia="es-MX"/>
        </w:rPr>
        <w:t>Solicite la información vía SAIMEX, y en versión pública</w:t>
      </w:r>
      <w:r w:rsidRPr="008A7B51">
        <w:rPr>
          <w:rFonts w:ascii="Palatino Linotype" w:hAnsi="Palatino Linotype" w:cs="Arial"/>
          <w:i/>
          <w:sz w:val="22"/>
          <w:szCs w:val="22"/>
          <w:lang w:eastAsia="es-MX"/>
        </w:rPr>
        <w:t>.” (Sic)</w:t>
      </w:r>
    </w:p>
    <w:p w:rsidR="00422962" w:rsidRPr="008A7B51" w:rsidRDefault="00422962" w:rsidP="00422962">
      <w:pPr>
        <w:pStyle w:val="Prrafodelista"/>
        <w:spacing w:before="100" w:beforeAutospacing="1" w:after="100" w:afterAutospacing="1" w:line="360" w:lineRule="auto"/>
        <w:ind w:left="0"/>
        <w:jc w:val="both"/>
        <w:rPr>
          <w:rFonts w:ascii="Palatino Linotype" w:hAnsi="Palatino Linotype"/>
        </w:rPr>
      </w:pPr>
      <w:r w:rsidRPr="008A7B51">
        <w:rPr>
          <w:rFonts w:ascii="Palatino Linotype" w:hAnsi="Palatino Linotype" w:cs="Arial"/>
        </w:rPr>
        <w:t>Asimismo</w:t>
      </w:r>
      <w:r w:rsidRPr="008A7B51">
        <w:rPr>
          <w:rFonts w:ascii="Palatino Linotype" w:hAnsi="Palatino Linotype"/>
        </w:rPr>
        <w:t>, indicó como razones o motivos de inconformidad:</w:t>
      </w:r>
    </w:p>
    <w:p w:rsidR="00422962" w:rsidRPr="008A7B51" w:rsidRDefault="00422962" w:rsidP="00422962">
      <w:pPr>
        <w:spacing w:before="100" w:beforeAutospacing="1" w:after="100" w:afterAutospacing="1"/>
        <w:ind w:left="709" w:right="709"/>
        <w:jc w:val="both"/>
        <w:rPr>
          <w:rFonts w:ascii="Palatino Linotype" w:hAnsi="Palatino Linotype" w:cs="Arial"/>
          <w:i/>
          <w:sz w:val="22"/>
          <w:szCs w:val="22"/>
          <w:lang w:eastAsia="es-MX"/>
        </w:rPr>
      </w:pPr>
      <w:r w:rsidRPr="008A7B51">
        <w:rPr>
          <w:rFonts w:ascii="Palatino Linotype" w:hAnsi="Palatino Linotype" w:cs="Arial"/>
          <w:i/>
          <w:sz w:val="22"/>
          <w:szCs w:val="22"/>
          <w:lang w:eastAsia="es-MX"/>
        </w:rPr>
        <w:t>“</w:t>
      </w:r>
      <w:r w:rsidR="00AD7E12" w:rsidRPr="008A7B51">
        <w:rPr>
          <w:rFonts w:ascii="Palatino Linotype" w:hAnsi="Palatino Linotype" w:cs="Arial"/>
          <w:i/>
          <w:sz w:val="22"/>
          <w:szCs w:val="22"/>
          <w:lang w:eastAsia="es-MX"/>
        </w:rPr>
        <w:t>El sujeto obligado califica de confidencial o reservada la información solicitada</w:t>
      </w:r>
      <w:r w:rsidR="000443AB" w:rsidRPr="008A7B51">
        <w:rPr>
          <w:rFonts w:ascii="Palatino Linotype" w:hAnsi="Palatino Linotype" w:cs="Arial"/>
          <w:i/>
          <w:sz w:val="22"/>
          <w:szCs w:val="22"/>
          <w:lang w:eastAsia="es-MX"/>
        </w:rPr>
        <w:t>.</w:t>
      </w:r>
      <w:r w:rsidRPr="008A7B51">
        <w:rPr>
          <w:rFonts w:ascii="Palatino Linotype" w:hAnsi="Palatino Linotype" w:cs="Arial"/>
          <w:i/>
          <w:sz w:val="22"/>
          <w:szCs w:val="22"/>
          <w:lang w:eastAsia="es-MX"/>
        </w:rPr>
        <w:t>” (Sic)</w:t>
      </w:r>
    </w:p>
    <w:p w:rsidR="00422962" w:rsidRPr="008A7B51" w:rsidRDefault="00AD7E12" w:rsidP="00422962">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i/>
          <w:sz w:val="22"/>
          <w:szCs w:val="22"/>
          <w:lang w:eastAsia="es-MX"/>
        </w:rPr>
      </w:pPr>
      <w:r w:rsidRPr="008A7B51">
        <w:rPr>
          <w:rFonts w:ascii="Palatino Linotype" w:hAnsi="Palatino Linotype" w:cs="Arial"/>
          <w:b/>
          <w:sz w:val="28"/>
          <w:szCs w:val="28"/>
        </w:rPr>
        <w:t>I</w:t>
      </w:r>
      <w:r w:rsidR="00422962" w:rsidRPr="008A7B51">
        <w:rPr>
          <w:rFonts w:ascii="Palatino Linotype" w:hAnsi="Palatino Linotype" w:cs="Arial"/>
          <w:b/>
          <w:sz w:val="28"/>
          <w:szCs w:val="28"/>
        </w:rPr>
        <w:t xml:space="preserve">V. </w:t>
      </w:r>
      <w:r w:rsidR="00422962" w:rsidRPr="008A7B51">
        <w:rPr>
          <w:rFonts w:ascii="Palatino Linotype" w:hAnsi="Palatino Linotype" w:cs="Arial"/>
        </w:rPr>
        <w:t xml:space="preserve">En fecha </w:t>
      </w:r>
      <w:r w:rsidRPr="008A7B51">
        <w:rPr>
          <w:rFonts w:ascii="Palatino Linotype" w:hAnsi="Palatino Linotype" w:cs="Arial"/>
        </w:rPr>
        <w:t>dos de septiembre</w:t>
      </w:r>
      <w:r w:rsidR="001B1B3E" w:rsidRPr="008A7B51">
        <w:rPr>
          <w:rFonts w:ascii="Palatino Linotype" w:hAnsi="Palatino Linotype" w:cs="Arial"/>
        </w:rPr>
        <w:t xml:space="preserve"> </w:t>
      </w:r>
      <w:r w:rsidR="00422962" w:rsidRPr="008A7B51">
        <w:rPr>
          <w:rFonts w:ascii="Palatino Linotype" w:hAnsi="Palatino Linotype"/>
        </w:rPr>
        <w:t>de dos mil veintiuno</w:t>
      </w:r>
      <w:r w:rsidR="00422962" w:rsidRPr="008A7B51">
        <w:rPr>
          <w:rFonts w:ascii="Palatino Linotype" w:hAnsi="Palatino Linotype" w:cs="Arial"/>
        </w:rPr>
        <w:t>, el recurso de que se trata se envió electrónicamente al Instituto de Transparencia, Acceso a la Información Pública</w:t>
      </w:r>
      <w:r w:rsidR="00422962" w:rsidRPr="008A7B51">
        <w:rPr>
          <w:rFonts w:ascii="Palatino Linotype" w:hAnsi="Palatino Linotype" w:cs="Arial"/>
          <w:lang w:val="es-ES_tradnl"/>
        </w:rPr>
        <w:t xml:space="preserve"> y </w:t>
      </w:r>
      <w:r w:rsidR="00422962" w:rsidRPr="008A7B51">
        <w:rPr>
          <w:rFonts w:ascii="Palatino Linotype" w:hAnsi="Palatino Linotype" w:cs="Arial"/>
        </w:rPr>
        <w:t>Protección</w:t>
      </w:r>
      <w:r w:rsidR="00422962" w:rsidRPr="008A7B51">
        <w:rPr>
          <w:rFonts w:ascii="Palatino Linotype" w:hAnsi="Palatino Linotype" w:cs="Arial"/>
          <w:lang w:val="es-ES_tradnl"/>
        </w:rPr>
        <w:t xml:space="preserve"> </w:t>
      </w:r>
      <w:r w:rsidR="00422962" w:rsidRPr="008A7B51">
        <w:rPr>
          <w:rFonts w:ascii="Palatino Linotype" w:hAnsi="Palatino Linotype" w:cs="Arial"/>
        </w:rPr>
        <w:t>de</w:t>
      </w:r>
      <w:r w:rsidR="00422962" w:rsidRPr="008A7B51">
        <w:rPr>
          <w:rFonts w:ascii="Palatino Linotype" w:hAnsi="Palatino Linotype" w:cs="Arial"/>
          <w:lang w:val="es-ES_tradnl"/>
        </w:rPr>
        <w:t xml:space="preserve"> </w:t>
      </w:r>
      <w:r w:rsidR="00422962" w:rsidRPr="008A7B51">
        <w:rPr>
          <w:rFonts w:ascii="Palatino Linotype" w:hAnsi="Palatino Linotype"/>
        </w:rPr>
        <w:t>Datos</w:t>
      </w:r>
      <w:r w:rsidR="00422962" w:rsidRPr="008A7B51">
        <w:rPr>
          <w:rFonts w:ascii="Palatino Linotype" w:hAnsi="Palatino Linotype" w:cs="Arial"/>
          <w:lang w:val="es-ES_tradnl"/>
        </w:rPr>
        <w:t xml:space="preserve"> </w:t>
      </w:r>
      <w:r w:rsidR="00422962" w:rsidRPr="008A7B51">
        <w:rPr>
          <w:rFonts w:ascii="Palatino Linotype" w:hAnsi="Palatino Linotype" w:cs="Arial"/>
        </w:rPr>
        <w:t>Personales</w:t>
      </w:r>
      <w:r w:rsidR="00422962" w:rsidRPr="008A7B51">
        <w:rPr>
          <w:rFonts w:ascii="Palatino Linotype" w:hAnsi="Palatino Linotype" w:cs="Arial"/>
          <w:lang w:val="es-ES_tradnl"/>
        </w:rPr>
        <w:t xml:space="preserve"> </w:t>
      </w:r>
      <w:r w:rsidR="00422962" w:rsidRPr="008A7B51">
        <w:rPr>
          <w:rFonts w:ascii="Palatino Linotype" w:hAnsi="Palatino Linotype" w:cs="Arial"/>
        </w:rPr>
        <w:t>del</w:t>
      </w:r>
      <w:r w:rsidR="00422962" w:rsidRPr="008A7B51">
        <w:rPr>
          <w:rFonts w:ascii="Palatino Linotype" w:hAnsi="Palatino Linotype" w:cs="Arial"/>
          <w:lang w:val="es-ES_tradnl"/>
        </w:rPr>
        <w:t xml:space="preserve"> </w:t>
      </w:r>
      <w:r w:rsidR="00422962" w:rsidRPr="008A7B51">
        <w:rPr>
          <w:rFonts w:ascii="Palatino Linotype" w:hAnsi="Palatino Linotype"/>
        </w:rPr>
        <w:t>Estado</w:t>
      </w:r>
      <w:r w:rsidR="00422962" w:rsidRPr="008A7B51">
        <w:rPr>
          <w:rFonts w:ascii="Palatino Linotype" w:hAnsi="Palatino Linotype" w:cs="Arial"/>
          <w:lang w:val="es-ES_tradnl"/>
        </w:rPr>
        <w:t xml:space="preserve"> de México y Municipios y con fundamento en el </w:t>
      </w:r>
      <w:r w:rsidR="00422962" w:rsidRPr="008A7B51">
        <w:rPr>
          <w:rFonts w:ascii="Palatino Linotype" w:hAnsi="Palatino Linotype" w:cs="Arial"/>
        </w:rPr>
        <w:t>artículo</w:t>
      </w:r>
      <w:r w:rsidR="00422962" w:rsidRPr="008A7B51">
        <w:rPr>
          <w:rFonts w:ascii="Palatino Linotype" w:hAnsi="Palatino Linotype" w:cs="Arial"/>
          <w:lang w:val="es-ES_tradnl"/>
        </w:rPr>
        <w:t xml:space="preserve"> 185, </w:t>
      </w:r>
      <w:r w:rsidR="00422962" w:rsidRPr="008A7B51">
        <w:rPr>
          <w:rFonts w:ascii="Palatino Linotype" w:hAnsi="Palatino Linotype" w:cs="Arial"/>
        </w:rPr>
        <w:t>fracción</w:t>
      </w:r>
      <w:r w:rsidR="00422962" w:rsidRPr="008A7B51">
        <w:rPr>
          <w:rFonts w:ascii="Palatino Linotype" w:hAnsi="Palatino Linotype" w:cs="Arial"/>
          <w:lang w:val="es-ES_tradnl"/>
        </w:rPr>
        <w:t xml:space="preserve"> I de la </w:t>
      </w:r>
      <w:r w:rsidR="00422962" w:rsidRPr="008A7B51">
        <w:rPr>
          <w:rFonts w:ascii="Palatino Linotype" w:hAnsi="Palatino Linotype"/>
        </w:rPr>
        <w:t>Ley de Transparencia y Acceso a la Información Pública del Estado de México y Municipios</w:t>
      </w:r>
      <w:r w:rsidR="00422962" w:rsidRPr="008A7B51">
        <w:rPr>
          <w:rFonts w:ascii="Palatino Linotype" w:hAnsi="Palatino Linotype" w:cs="Arial"/>
          <w:lang w:val="es-ES_tradnl"/>
        </w:rPr>
        <w:t>, se turnó, a través del</w:t>
      </w:r>
      <w:r w:rsidR="00422962" w:rsidRPr="008A7B51">
        <w:rPr>
          <w:rFonts w:ascii="Palatino Linotype" w:eastAsia="Arial Unicode MS" w:hAnsi="Palatino Linotype" w:cs="Arial"/>
          <w:lang w:val="es-ES_tradnl"/>
        </w:rPr>
        <w:t xml:space="preserve"> </w:t>
      </w:r>
      <w:r w:rsidR="00422962" w:rsidRPr="008A7B51">
        <w:rPr>
          <w:rFonts w:ascii="Palatino Linotype" w:eastAsia="Arial Unicode MS" w:hAnsi="Palatino Linotype" w:cs="Arial"/>
          <w:b/>
          <w:lang w:val="es-ES_tradnl"/>
        </w:rPr>
        <w:t>SAIMEX</w:t>
      </w:r>
      <w:r w:rsidR="00422962" w:rsidRPr="008A7B51">
        <w:rPr>
          <w:rFonts w:ascii="Palatino Linotype" w:hAnsi="Palatino Linotype"/>
        </w:rPr>
        <w:t xml:space="preserve">, a la </w:t>
      </w:r>
      <w:r w:rsidR="00422962" w:rsidRPr="008A7B51">
        <w:rPr>
          <w:rFonts w:ascii="Palatino Linotype" w:hAnsi="Palatino Linotype" w:cs="Arial"/>
          <w:lang w:val="es-ES_tradnl"/>
        </w:rPr>
        <w:t>Comisionada</w:t>
      </w:r>
      <w:r w:rsidR="00715D4E" w:rsidRPr="008A7B51">
        <w:rPr>
          <w:rFonts w:ascii="Palatino Linotype" w:hAnsi="Palatino Linotype" w:cs="Arial"/>
          <w:lang w:val="es-ES_tradnl"/>
        </w:rPr>
        <w:t xml:space="preserve"> Ponente</w:t>
      </w:r>
      <w:r w:rsidR="00422962" w:rsidRPr="008A7B51">
        <w:rPr>
          <w:rFonts w:ascii="Palatino Linotype" w:hAnsi="Palatino Linotype" w:cs="Arial"/>
          <w:lang w:val="es-ES_tradnl"/>
        </w:rPr>
        <w:t>, a efecto de que decretara su admisión o desechamiento.</w:t>
      </w:r>
    </w:p>
    <w:p w:rsidR="00422962" w:rsidRPr="008A7B51" w:rsidRDefault="00422962" w:rsidP="00422962">
      <w:pPr>
        <w:pStyle w:val="Prrafodelista"/>
        <w:widowControl w:val="0"/>
        <w:tabs>
          <w:tab w:val="left" w:pos="0"/>
        </w:tabs>
        <w:autoSpaceDE w:val="0"/>
        <w:autoSpaceDN w:val="0"/>
        <w:adjustRightInd w:val="0"/>
        <w:spacing w:before="240" w:after="240" w:line="360" w:lineRule="auto"/>
        <w:ind w:left="0"/>
        <w:jc w:val="both"/>
        <w:rPr>
          <w:rFonts w:ascii="Palatino Linotype" w:hAnsi="Palatino Linotype" w:cs="Arial"/>
        </w:rPr>
      </w:pPr>
      <w:r w:rsidRPr="008A7B51">
        <w:rPr>
          <w:rFonts w:ascii="Palatino Linotype" w:hAnsi="Palatino Linotype" w:cs="Arial"/>
          <w:b/>
          <w:sz w:val="28"/>
          <w:szCs w:val="28"/>
        </w:rPr>
        <w:t>V.</w:t>
      </w:r>
      <w:r w:rsidRPr="008A7B51">
        <w:rPr>
          <w:rFonts w:ascii="Palatino Linotype" w:hAnsi="Palatino Linotype" w:cs="Arial"/>
        </w:rPr>
        <w:t xml:space="preserve"> En fecha </w:t>
      </w:r>
      <w:r w:rsidR="00AD7E12" w:rsidRPr="008A7B51">
        <w:rPr>
          <w:rFonts w:ascii="Palatino Linotype" w:hAnsi="Palatino Linotype" w:cs="Arial"/>
        </w:rPr>
        <w:t>ocho de septiembre</w:t>
      </w:r>
      <w:r w:rsidR="001B1B3E" w:rsidRPr="008A7B51">
        <w:rPr>
          <w:rFonts w:ascii="Palatino Linotype" w:hAnsi="Palatino Linotype" w:cs="Arial"/>
        </w:rPr>
        <w:t xml:space="preserve"> </w:t>
      </w:r>
      <w:r w:rsidRPr="008A7B51">
        <w:rPr>
          <w:rFonts w:ascii="Palatino Linotype" w:hAnsi="Palatino Linotype" w:cs="Arial"/>
        </w:rPr>
        <w:t xml:space="preserve">de dos mil veintiuno, atento a lo dispuesto en el artículo 185, fracciones I, II y IV, de la </w:t>
      </w:r>
      <w:r w:rsidRPr="008A7B51">
        <w:rPr>
          <w:rFonts w:ascii="Palatino Linotype" w:hAnsi="Palatino Linotype"/>
        </w:rPr>
        <w:t xml:space="preserve">Ley de Transparencia y Acceso a la Información Pública del </w:t>
      </w:r>
      <w:r w:rsidRPr="008A7B51">
        <w:rPr>
          <w:rFonts w:ascii="Palatino Linotype" w:hAnsi="Palatino Linotype" w:cs="Arial"/>
        </w:rPr>
        <w:t>Estado</w:t>
      </w:r>
      <w:r w:rsidRPr="008A7B51">
        <w:rPr>
          <w:rFonts w:ascii="Palatino Linotype" w:hAnsi="Palatino Linotype"/>
        </w:rPr>
        <w:t xml:space="preserve"> de México y </w:t>
      </w:r>
      <w:r w:rsidRPr="008A7B51">
        <w:rPr>
          <w:rFonts w:ascii="Palatino Linotype" w:hAnsi="Palatino Linotype" w:cs="Arial"/>
          <w:lang w:val="es-ES_tradnl"/>
        </w:rPr>
        <w:t>Municipios</w:t>
      </w:r>
      <w:r w:rsidRPr="008A7B51">
        <w:rPr>
          <w:rFonts w:ascii="Palatino Linotype" w:hAnsi="Palatino Linotype"/>
        </w:rPr>
        <w:t>, se a</w:t>
      </w:r>
      <w:r w:rsidRPr="008A7B51">
        <w:rPr>
          <w:rFonts w:ascii="Palatino Linotype" w:hAnsi="Palatino Linotype" w:cs="Arial"/>
        </w:rPr>
        <w:t xml:space="preserve">cordó la admisión a trámite del referido recurso de </w:t>
      </w:r>
      <w:r w:rsidRPr="008A7B51">
        <w:rPr>
          <w:rFonts w:ascii="Palatino Linotype" w:hAnsi="Palatino Linotype" w:cs="Arial"/>
          <w:lang w:val="es-ES_tradnl"/>
        </w:rPr>
        <w:t>revisión;</w:t>
      </w:r>
      <w:r w:rsidRPr="008A7B51">
        <w:rPr>
          <w:rFonts w:ascii="Palatino Linotype" w:hAnsi="Palatino Linotype" w:cs="Arial"/>
        </w:rPr>
        <w:t xml:space="preserve"> así como, la </w:t>
      </w:r>
      <w:r w:rsidRPr="008A7B51">
        <w:rPr>
          <w:rFonts w:ascii="Palatino Linotype" w:hAnsi="Palatino Linotype" w:cs="Arial"/>
          <w:lang w:val="es-ES_tradnl"/>
        </w:rPr>
        <w:t>integración</w:t>
      </w:r>
      <w:r w:rsidRPr="008A7B51">
        <w:rPr>
          <w:rFonts w:ascii="Palatino Linotype" w:hAnsi="Palatino Linotype" w:cs="Arial"/>
        </w:rPr>
        <w:t xml:space="preserve"> del expediente respectivo, mismo que se puso a disposición de las partes, para que en el plazo máximo de siete días hábiles, </w:t>
      </w:r>
      <w:r w:rsidR="00987575" w:rsidRPr="008A7B51">
        <w:rPr>
          <w:rFonts w:ascii="Palatino Linotype" w:hAnsi="Palatino Linotype" w:cs="Arial"/>
          <w:b/>
        </w:rPr>
        <w:t xml:space="preserve">LA RECURRENTE </w:t>
      </w:r>
      <w:r w:rsidRPr="008A7B51">
        <w:rPr>
          <w:rFonts w:ascii="Palatino Linotype" w:hAnsi="Palatino Linotype" w:cs="Arial"/>
        </w:rPr>
        <w:t xml:space="preserve">realizara manifestaciones, alegatos y ofreciera las pruebas que a su derecho </w:t>
      </w:r>
      <w:r w:rsidRPr="008A7B51">
        <w:rPr>
          <w:rFonts w:ascii="Palatino Linotype" w:hAnsi="Palatino Linotype" w:cs="Arial"/>
          <w:lang w:val="es-ES_tradnl"/>
        </w:rPr>
        <w:t>conviniera</w:t>
      </w:r>
      <w:r w:rsidRPr="008A7B51">
        <w:rPr>
          <w:rFonts w:ascii="Palatino Linotype" w:hAnsi="Palatino Linotype" w:cs="Arial"/>
        </w:rPr>
        <w:t xml:space="preserve"> y, en el caso del</w:t>
      </w:r>
      <w:r w:rsidRPr="008A7B51">
        <w:rPr>
          <w:rFonts w:ascii="Palatino Linotype" w:hAnsi="Palatino Linotype" w:cs="Arial"/>
          <w:b/>
        </w:rPr>
        <w:t xml:space="preserve"> SUJETO OBLIGADO</w:t>
      </w:r>
      <w:r w:rsidRPr="008A7B51">
        <w:rPr>
          <w:rFonts w:ascii="Palatino Linotype" w:hAnsi="Palatino Linotype" w:cs="Arial"/>
        </w:rPr>
        <w:t>, para que exhibiera el Informe Justificado correspondiente.</w:t>
      </w:r>
    </w:p>
    <w:p w:rsidR="008146D2" w:rsidRPr="008A7B51" w:rsidRDefault="00AD7E12" w:rsidP="00571C06">
      <w:pPr>
        <w:pStyle w:val="Prrafodelista"/>
        <w:spacing w:before="240" w:after="240" w:line="360" w:lineRule="auto"/>
        <w:ind w:left="0"/>
        <w:jc w:val="both"/>
        <w:rPr>
          <w:rFonts w:ascii="Palatino Linotype" w:hAnsi="Palatino Linotype" w:cs="Arial"/>
        </w:rPr>
      </w:pPr>
      <w:r w:rsidRPr="008A7B51">
        <w:rPr>
          <w:rFonts w:ascii="Palatino Linotype" w:hAnsi="Palatino Linotype" w:cs="Arial"/>
          <w:b/>
          <w:sz w:val="28"/>
          <w:szCs w:val="28"/>
        </w:rPr>
        <w:t>VI.</w:t>
      </w:r>
      <w:r w:rsidRPr="008A7B51">
        <w:rPr>
          <w:rFonts w:ascii="Palatino Linotype" w:hAnsi="Palatino Linotype" w:cs="Arial"/>
        </w:rPr>
        <w:t xml:space="preserve"> De las constancias que obran en el </w:t>
      </w:r>
      <w:r w:rsidRPr="008A7B51">
        <w:rPr>
          <w:rFonts w:ascii="Palatino Linotype" w:hAnsi="Palatino Linotype" w:cs="Arial"/>
          <w:b/>
        </w:rPr>
        <w:t>SAIMEX</w:t>
      </w:r>
      <w:r w:rsidRPr="008A7B51">
        <w:rPr>
          <w:rFonts w:ascii="Palatino Linotype" w:hAnsi="Palatino Linotype" w:cs="Arial"/>
        </w:rPr>
        <w:t xml:space="preserve">, se desprende </w:t>
      </w:r>
      <w:r w:rsidR="00987575" w:rsidRPr="008A7B51">
        <w:rPr>
          <w:rFonts w:ascii="Palatino Linotype" w:hAnsi="Palatino Linotype" w:cs="Arial"/>
          <w:b/>
        </w:rPr>
        <w:t xml:space="preserve">LA RECURRENTE </w:t>
      </w:r>
      <w:r w:rsidR="008146D2" w:rsidRPr="008A7B51">
        <w:rPr>
          <w:rFonts w:ascii="Palatino Linotype" w:hAnsi="Palatino Linotype" w:cs="Arial"/>
        </w:rPr>
        <w:t>fue omisa</w:t>
      </w:r>
      <w:r w:rsidRPr="008A7B51">
        <w:rPr>
          <w:rFonts w:ascii="Palatino Linotype" w:hAnsi="Palatino Linotype" w:cs="Arial"/>
        </w:rPr>
        <w:t xml:space="preserve"> en realizar manifestación alguna en relación al recurso de revisión; tal y como se aprecia enseguida: </w:t>
      </w:r>
    </w:p>
    <w:p w:rsidR="00422962" w:rsidRPr="008A7B51" w:rsidRDefault="00571C06" w:rsidP="00571C06">
      <w:pPr>
        <w:pStyle w:val="Prrafodelista"/>
        <w:spacing w:before="240" w:after="240" w:line="360" w:lineRule="auto"/>
        <w:ind w:left="0"/>
        <w:jc w:val="both"/>
        <w:rPr>
          <w:rFonts w:ascii="Palatino Linotype" w:hAnsi="Palatino Linotype" w:cs="Arial"/>
        </w:rPr>
      </w:pPr>
      <w:r w:rsidRPr="008A7B51">
        <w:rPr>
          <w:rFonts w:ascii="Palatino Linotype" w:hAnsi="Palatino Linotype" w:cs="Arial"/>
          <w:noProof/>
          <w:lang w:eastAsia="es-MX"/>
        </w:rPr>
        <w:lastRenderedPageBreak/>
        <w:drawing>
          <wp:inline distT="0" distB="0" distL="0" distR="0">
            <wp:extent cx="5791835" cy="8286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881CFB.tmp"/>
                    <pic:cNvPicPr/>
                  </pic:nvPicPr>
                  <pic:blipFill rotWithShape="1">
                    <a:blip r:embed="rId8">
                      <a:extLst>
                        <a:ext uri="{28A0092B-C50C-407E-A947-70E740481C1C}">
                          <a14:useLocalDpi xmlns:a14="http://schemas.microsoft.com/office/drawing/2010/main" val="0"/>
                        </a:ext>
                      </a:extLst>
                    </a:blip>
                    <a:srcRect b="42455"/>
                    <a:stretch/>
                  </pic:blipFill>
                  <pic:spPr bwMode="auto">
                    <a:xfrm>
                      <a:off x="0" y="0"/>
                      <a:ext cx="5791835" cy="828675"/>
                    </a:xfrm>
                    <a:prstGeom prst="rect">
                      <a:avLst/>
                    </a:prstGeom>
                    <a:ln>
                      <a:noFill/>
                    </a:ln>
                    <a:extLst>
                      <a:ext uri="{53640926-AAD7-44D8-BBD7-CCE9431645EC}">
                        <a14:shadowObscured xmlns:a14="http://schemas.microsoft.com/office/drawing/2010/main"/>
                      </a:ext>
                    </a:extLst>
                  </pic:spPr>
                </pic:pic>
              </a:graphicData>
            </a:graphic>
          </wp:inline>
        </w:drawing>
      </w:r>
    </w:p>
    <w:bookmarkEnd w:id="0"/>
    <w:bookmarkEnd w:id="1"/>
    <w:p w:rsidR="00B00818" w:rsidRPr="008A7B51" w:rsidRDefault="00571C06" w:rsidP="00571C06">
      <w:pPr>
        <w:pStyle w:val="Prrafodelista"/>
        <w:spacing w:before="240" w:after="240" w:line="360" w:lineRule="auto"/>
        <w:ind w:left="0"/>
        <w:jc w:val="both"/>
        <w:rPr>
          <w:rFonts w:ascii="Palatino Linotype" w:hAnsi="Palatino Linotype"/>
        </w:rPr>
      </w:pPr>
      <w:r w:rsidRPr="008A7B51">
        <w:rPr>
          <w:rFonts w:ascii="Palatino Linotype" w:hAnsi="Palatino Linotype" w:cs="Arial"/>
          <w:b/>
          <w:sz w:val="28"/>
          <w:szCs w:val="28"/>
        </w:rPr>
        <w:t>VII.</w:t>
      </w:r>
      <w:r w:rsidRPr="008A7B51">
        <w:rPr>
          <w:rFonts w:ascii="Palatino Linotype" w:hAnsi="Palatino Linotype" w:cs="Arial"/>
        </w:rPr>
        <w:t xml:space="preserve"> Una vez </w:t>
      </w:r>
      <w:r w:rsidRPr="008A7B51">
        <w:rPr>
          <w:rFonts w:ascii="Palatino Linotype" w:hAnsi="Palatino Linotype" w:cs="Arial"/>
          <w:color w:val="000000" w:themeColor="text1"/>
        </w:rPr>
        <w:t>analizado</w:t>
      </w:r>
      <w:r w:rsidRPr="008A7B51">
        <w:rPr>
          <w:rFonts w:ascii="Palatino Linotype" w:hAnsi="Palatino Linotype" w:cs="Arial"/>
        </w:rPr>
        <w:t xml:space="preserve"> el estado procesal que guardaba el expediente, en fecha </w:t>
      </w:r>
      <w:r w:rsidR="0079597A" w:rsidRPr="008A7B51">
        <w:rPr>
          <w:rFonts w:ascii="Palatino Linotype" w:hAnsi="Palatino Linotype" w:cs="Arial"/>
        </w:rPr>
        <w:t>veintiuno</w:t>
      </w:r>
      <w:r w:rsidRPr="008A7B51">
        <w:rPr>
          <w:rFonts w:ascii="Palatino Linotype" w:hAnsi="Palatino Linotype" w:cs="Arial"/>
        </w:rPr>
        <w:t xml:space="preserve"> </w:t>
      </w:r>
      <w:r w:rsidR="0079597A" w:rsidRPr="008A7B51">
        <w:rPr>
          <w:rFonts w:ascii="Palatino Linotype" w:hAnsi="Palatino Linotype" w:cs="Arial"/>
        </w:rPr>
        <w:t>de septiembre</w:t>
      </w:r>
      <w:r w:rsidRPr="008A7B51">
        <w:rPr>
          <w:rFonts w:ascii="Palatino Linotype" w:hAnsi="Palatino Linotype" w:cs="Arial"/>
        </w:rPr>
        <w:t xml:space="preserve"> de dos mil veintiuno, la Comisionada Ponente acordó el cierre de instrucción; así </w:t>
      </w:r>
      <w:r w:rsidRPr="008A7B51">
        <w:rPr>
          <w:rFonts w:ascii="Palatino Linotype" w:hAnsi="Palatino Linotype" w:cs="Arial"/>
          <w:lang w:val="es-ES_tradnl"/>
        </w:rPr>
        <w:t>como,</w:t>
      </w:r>
      <w:r w:rsidRPr="008A7B51">
        <w:rPr>
          <w:rFonts w:ascii="Palatino Linotype" w:hAnsi="Palatino Linotype" w:cs="Arial"/>
        </w:rPr>
        <w:t xml:space="preserve"> la remisión del mismo a efecto </w:t>
      </w:r>
      <w:r w:rsidRPr="008A7B51">
        <w:rPr>
          <w:rFonts w:ascii="Palatino Linotype" w:hAnsi="Palatino Linotype" w:cs="Arial"/>
          <w:lang w:val="es-ES_tradnl"/>
        </w:rPr>
        <w:t>de</w:t>
      </w:r>
      <w:r w:rsidRPr="008A7B51">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Pr="008A7B51">
        <w:rPr>
          <w:rFonts w:ascii="Palatino Linotype" w:hAnsi="Palatino Linotype"/>
        </w:rPr>
        <w:t>.</w:t>
      </w:r>
    </w:p>
    <w:p w:rsidR="005C5325" w:rsidRPr="008A7B51" w:rsidRDefault="005C5325" w:rsidP="00571C06">
      <w:pPr>
        <w:pStyle w:val="Prrafodelista"/>
        <w:spacing w:before="240" w:after="240" w:line="360" w:lineRule="auto"/>
        <w:ind w:left="0"/>
        <w:jc w:val="both"/>
        <w:rPr>
          <w:rFonts w:ascii="Palatino Linotype" w:hAnsi="Palatino Linotype"/>
        </w:rPr>
      </w:pPr>
      <w:r w:rsidRPr="008A7B51">
        <w:rPr>
          <w:rFonts w:ascii="Palatino Linotype" w:hAnsi="Palatino Linotype" w:cs="Arial"/>
          <w:b/>
          <w:sz w:val="28"/>
          <w:szCs w:val="28"/>
        </w:rPr>
        <w:t>VIII.</w:t>
      </w:r>
      <w:r w:rsidRPr="008A7B51">
        <w:rPr>
          <w:rFonts w:ascii="Palatino Linotype" w:hAnsi="Palatino Linotype" w:cs="Arial"/>
        </w:rPr>
        <w:t xml:space="preserve"> </w:t>
      </w:r>
      <w:r w:rsidR="00B00818" w:rsidRPr="008A7B51">
        <w:rPr>
          <w:rFonts w:ascii="Palatino Linotype" w:hAnsi="Palatino Linotype"/>
        </w:rPr>
        <w:t xml:space="preserve">Derivado de que </w:t>
      </w:r>
      <w:r w:rsidRPr="008A7B51">
        <w:rPr>
          <w:rFonts w:ascii="Palatino Linotype" w:hAnsi="Palatino Linotype"/>
        </w:rPr>
        <w:t>feneció</w:t>
      </w:r>
      <w:r w:rsidR="00B00818" w:rsidRPr="008A7B51">
        <w:rPr>
          <w:rFonts w:ascii="Palatino Linotype" w:hAnsi="Palatino Linotype"/>
        </w:rPr>
        <w:t xml:space="preserve"> el plazo </w:t>
      </w:r>
      <w:r w:rsidRPr="008A7B51">
        <w:rPr>
          <w:rFonts w:ascii="Palatino Linotype" w:hAnsi="Palatino Linotype"/>
        </w:rPr>
        <w:t>establecido</w:t>
      </w:r>
      <w:r w:rsidR="00B00818" w:rsidRPr="008A7B51">
        <w:rPr>
          <w:rFonts w:ascii="Palatino Linotype" w:hAnsi="Palatino Linotype"/>
        </w:rPr>
        <w:t xml:space="preserve"> en el </w:t>
      </w:r>
      <w:r w:rsidR="009F4A22" w:rsidRPr="008A7B51">
        <w:rPr>
          <w:rFonts w:ascii="Palatino Linotype" w:hAnsi="Palatino Linotype"/>
        </w:rPr>
        <w:t xml:space="preserve">considerando anterior </w:t>
      </w:r>
      <w:r w:rsidR="009F4A22" w:rsidRPr="008A7B51">
        <w:rPr>
          <w:rFonts w:ascii="Palatino Linotype" w:hAnsi="Palatino Linotype"/>
          <w:b/>
        </w:rPr>
        <w:t xml:space="preserve">EL SUJETO OBLIGADO </w:t>
      </w:r>
      <w:r w:rsidR="00B00818" w:rsidRPr="008A7B51">
        <w:rPr>
          <w:rFonts w:ascii="Palatino Linotype" w:hAnsi="Palatino Linotype"/>
        </w:rPr>
        <w:t xml:space="preserve">remitió </w:t>
      </w:r>
      <w:r w:rsidRPr="008A7B51">
        <w:rPr>
          <w:rFonts w:ascii="Palatino Linotype" w:hAnsi="Palatino Linotype"/>
        </w:rPr>
        <w:t>vía</w:t>
      </w:r>
      <w:r w:rsidR="00B00818" w:rsidRPr="008A7B51">
        <w:rPr>
          <w:rFonts w:ascii="Palatino Linotype" w:hAnsi="Palatino Linotype"/>
        </w:rPr>
        <w:t xml:space="preserve"> correo institucional el informe justificado </w:t>
      </w:r>
      <w:r w:rsidRPr="008A7B51">
        <w:rPr>
          <w:rFonts w:ascii="Palatino Linotype" w:hAnsi="Palatino Linotype"/>
        </w:rPr>
        <w:t>respectivo</w:t>
      </w:r>
      <w:r w:rsidR="00B00818" w:rsidRPr="008A7B51">
        <w:rPr>
          <w:rFonts w:ascii="Palatino Linotype" w:hAnsi="Palatino Linotype"/>
        </w:rPr>
        <w:t xml:space="preserve"> mismo que al no amplia</w:t>
      </w:r>
      <w:r w:rsidR="008146D2" w:rsidRPr="008A7B51">
        <w:rPr>
          <w:rFonts w:ascii="Palatino Linotype" w:hAnsi="Palatino Linotype"/>
        </w:rPr>
        <w:t>r</w:t>
      </w:r>
      <w:r w:rsidR="00B00818" w:rsidRPr="008A7B51">
        <w:rPr>
          <w:rFonts w:ascii="Palatino Linotype" w:hAnsi="Palatino Linotype"/>
        </w:rPr>
        <w:t xml:space="preserve"> ni </w:t>
      </w:r>
      <w:r w:rsidRPr="008A7B51">
        <w:rPr>
          <w:rFonts w:ascii="Palatino Linotype" w:hAnsi="Palatino Linotype"/>
        </w:rPr>
        <w:t>modifica</w:t>
      </w:r>
      <w:r w:rsidR="008146D2" w:rsidRPr="008A7B51">
        <w:rPr>
          <w:rFonts w:ascii="Palatino Linotype" w:hAnsi="Palatino Linotype"/>
        </w:rPr>
        <w:t>r</w:t>
      </w:r>
      <w:r w:rsidR="00B00818" w:rsidRPr="008A7B51">
        <w:rPr>
          <w:rFonts w:ascii="Palatino Linotype" w:hAnsi="Palatino Linotype"/>
        </w:rPr>
        <w:t xml:space="preserve"> su respuesta no fue </w:t>
      </w:r>
      <w:r w:rsidRPr="008A7B51">
        <w:rPr>
          <w:rFonts w:ascii="Palatino Linotype" w:hAnsi="Palatino Linotype"/>
        </w:rPr>
        <w:t>puesto</w:t>
      </w:r>
      <w:r w:rsidR="009F4A22" w:rsidRPr="008A7B51">
        <w:rPr>
          <w:rFonts w:ascii="Palatino Linotype" w:hAnsi="Palatino Linotype"/>
        </w:rPr>
        <w:t xml:space="preserve"> a la vista de la</w:t>
      </w:r>
      <w:r w:rsidR="00B00818" w:rsidRPr="008A7B51">
        <w:rPr>
          <w:rFonts w:ascii="Palatino Linotype" w:hAnsi="Palatino Linotype"/>
        </w:rPr>
        <w:t xml:space="preserve"> particular </w:t>
      </w:r>
      <w:r w:rsidRPr="008A7B51">
        <w:rPr>
          <w:rFonts w:ascii="Palatino Linotype" w:hAnsi="Palatino Linotype"/>
        </w:rPr>
        <w:t>sin emb</w:t>
      </w:r>
      <w:r w:rsidR="008146D2" w:rsidRPr="008A7B51">
        <w:rPr>
          <w:rFonts w:ascii="Palatino Linotype" w:hAnsi="Palatino Linotype"/>
        </w:rPr>
        <w:t>argo, a efectos de hacerlo de</w:t>
      </w:r>
      <w:r w:rsidR="009F4A22" w:rsidRPr="008A7B51">
        <w:rPr>
          <w:rFonts w:ascii="Palatino Linotype" w:hAnsi="Palatino Linotype"/>
        </w:rPr>
        <w:t xml:space="preserve"> que se conozcan las constancias que forma parte integral del expediente electrónico;</w:t>
      </w:r>
      <w:r w:rsidRPr="008A7B51">
        <w:rPr>
          <w:rFonts w:ascii="Palatino Linotype" w:hAnsi="Palatino Linotype"/>
        </w:rPr>
        <w:t xml:space="preserve"> se inserta a continuación: </w:t>
      </w:r>
      <w:r w:rsidR="009F4A22" w:rsidRPr="008A7B51">
        <w:rPr>
          <w:rFonts w:ascii="Palatino Linotype" w:hAnsi="Palatino Linotype"/>
          <w:noProof/>
          <w:lang w:eastAsia="es-MX"/>
        </w:rPr>
        <w:drawing>
          <wp:inline distT="0" distB="0" distL="0" distR="0">
            <wp:extent cx="2771775" cy="9239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F4AB4.tmp"/>
                    <pic:cNvPicPr/>
                  </pic:nvPicPr>
                  <pic:blipFill>
                    <a:blip r:embed="rId9">
                      <a:extLst>
                        <a:ext uri="{28A0092B-C50C-407E-A947-70E740481C1C}">
                          <a14:useLocalDpi xmlns:a14="http://schemas.microsoft.com/office/drawing/2010/main" val="0"/>
                        </a:ext>
                      </a:extLst>
                    </a:blip>
                    <a:stretch>
                      <a:fillRect/>
                    </a:stretch>
                  </pic:blipFill>
                  <pic:spPr>
                    <a:xfrm>
                      <a:off x="0" y="0"/>
                      <a:ext cx="2772199" cy="924066"/>
                    </a:xfrm>
                    <a:prstGeom prst="rect">
                      <a:avLst/>
                    </a:prstGeom>
                  </pic:spPr>
                </pic:pic>
              </a:graphicData>
            </a:graphic>
          </wp:inline>
        </w:drawing>
      </w:r>
      <w:r w:rsidR="009F4A22" w:rsidRPr="008A7B51">
        <w:rPr>
          <w:rFonts w:ascii="Palatino Linotype" w:hAnsi="Palatino Linotype"/>
          <w:noProof/>
          <w:lang w:eastAsia="es-MX"/>
        </w:rPr>
        <w:drawing>
          <wp:inline distT="0" distB="0" distL="0" distR="0" wp14:anchorId="28BB3BAA" wp14:editId="31ECA6A6">
            <wp:extent cx="1981200" cy="1114425"/>
            <wp:effectExtent l="0" t="0" r="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F4C77A.tmp"/>
                    <pic:cNvPicPr/>
                  </pic:nvPicPr>
                  <pic:blipFill rotWithShape="1">
                    <a:blip r:embed="rId10">
                      <a:extLst>
                        <a:ext uri="{28A0092B-C50C-407E-A947-70E740481C1C}">
                          <a14:useLocalDpi xmlns:a14="http://schemas.microsoft.com/office/drawing/2010/main" val="0"/>
                        </a:ext>
                      </a:extLst>
                    </a:blip>
                    <a:srcRect r="21368" b="11570"/>
                    <a:stretch/>
                  </pic:blipFill>
                  <pic:spPr bwMode="auto">
                    <a:xfrm>
                      <a:off x="0" y="0"/>
                      <a:ext cx="1987787" cy="1118130"/>
                    </a:xfrm>
                    <a:prstGeom prst="rect">
                      <a:avLst/>
                    </a:prstGeom>
                    <a:ln>
                      <a:noFill/>
                    </a:ln>
                    <a:extLst>
                      <a:ext uri="{53640926-AAD7-44D8-BBD7-CCE9431645EC}">
                        <a14:shadowObscured xmlns:a14="http://schemas.microsoft.com/office/drawing/2010/main"/>
                      </a:ext>
                    </a:extLst>
                  </pic:spPr>
                </pic:pic>
              </a:graphicData>
            </a:graphic>
          </wp:inline>
        </w:drawing>
      </w:r>
      <w:r w:rsidR="009F4A22" w:rsidRPr="008A7B51">
        <w:rPr>
          <w:rFonts w:ascii="Palatino Linotype" w:hAnsi="Palatino Linotype"/>
          <w:noProof/>
          <w:lang w:eastAsia="es-MX"/>
        </w:rPr>
        <w:drawing>
          <wp:inline distT="0" distB="0" distL="0" distR="0" wp14:anchorId="126CAD60" wp14:editId="6E43FE09">
            <wp:extent cx="4848225" cy="147637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F4310.tmp"/>
                    <pic:cNvPicPr/>
                  </pic:nvPicPr>
                  <pic:blipFill>
                    <a:blip r:embed="rId11">
                      <a:extLst>
                        <a:ext uri="{28A0092B-C50C-407E-A947-70E740481C1C}">
                          <a14:useLocalDpi xmlns:a14="http://schemas.microsoft.com/office/drawing/2010/main" val="0"/>
                        </a:ext>
                      </a:extLst>
                    </a:blip>
                    <a:stretch>
                      <a:fillRect/>
                    </a:stretch>
                  </pic:blipFill>
                  <pic:spPr>
                    <a:xfrm>
                      <a:off x="0" y="0"/>
                      <a:ext cx="4848947" cy="1476595"/>
                    </a:xfrm>
                    <a:prstGeom prst="rect">
                      <a:avLst/>
                    </a:prstGeom>
                  </pic:spPr>
                </pic:pic>
              </a:graphicData>
            </a:graphic>
          </wp:inline>
        </w:drawing>
      </w:r>
    </w:p>
    <w:p w:rsidR="005C5325" w:rsidRPr="008A7B51" w:rsidRDefault="00DF5A53" w:rsidP="00571C06">
      <w:pPr>
        <w:pStyle w:val="Prrafodelista"/>
        <w:spacing w:before="240" w:after="240" w:line="360" w:lineRule="auto"/>
        <w:ind w:left="0"/>
        <w:jc w:val="both"/>
        <w:rPr>
          <w:rFonts w:ascii="Palatino Linotype" w:hAnsi="Palatino Linotype"/>
        </w:rPr>
      </w:pPr>
      <w:r w:rsidRPr="00DF5A53">
        <w:rPr>
          <w:noProof/>
          <w:lang w:eastAsia="es-MX"/>
        </w:rPr>
        <w:lastRenderedPageBreak/>
        <w:t xml:space="preserve"> </w:t>
      </w:r>
      <w:r>
        <w:rPr>
          <w:noProof/>
          <w:lang w:eastAsia="es-MX"/>
        </w:rPr>
        <w:drawing>
          <wp:inline distT="0" distB="0" distL="0" distR="0" wp14:anchorId="07F778AB" wp14:editId="6D5B0775">
            <wp:extent cx="5753100" cy="67627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3100" cy="6762750"/>
                    </a:xfrm>
                    <a:prstGeom prst="rect">
                      <a:avLst/>
                    </a:prstGeom>
                  </pic:spPr>
                </pic:pic>
              </a:graphicData>
            </a:graphic>
          </wp:inline>
        </w:drawing>
      </w:r>
    </w:p>
    <w:p w:rsidR="005C5325" w:rsidRPr="008A7B51" w:rsidRDefault="005C5325" w:rsidP="00571C06">
      <w:pPr>
        <w:pStyle w:val="Prrafodelista"/>
        <w:spacing w:before="240" w:after="240" w:line="360" w:lineRule="auto"/>
        <w:ind w:left="0"/>
        <w:jc w:val="both"/>
        <w:rPr>
          <w:rFonts w:ascii="Palatino Linotype" w:hAnsi="Palatino Linotype"/>
        </w:rPr>
      </w:pPr>
    </w:p>
    <w:p w:rsidR="005C5325" w:rsidRPr="008A7B51" w:rsidRDefault="005C5325" w:rsidP="00571C06">
      <w:pPr>
        <w:pStyle w:val="Prrafodelista"/>
        <w:spacing w:before="240" w:after="240" w:line="360" w:lineRule="auto"/>
        <w:ind w:left="0"/>
        <w:jc w:val="both"/>
        <w:rPr>
          <w:rFonts w:ascii="Palatino Linotype" w:hAnsi="Palatino Linotype"/>
        </w:rPr>
      </w:pPr>
    </w:p>
    <w:p w:rsidR="005C5325" w:rsidRPr="008A7B51" w:rsidRDefault="00E86C79" w:rsidP="00571C06">
      <w:pPr>
        <w:pStyle w:val="Prrafodelista"/>
        <w:spacing w:before="240" w:after="240" w:line="360" w:lineRule="auto"/>
        <w:ind w:left="0"/>
        <w:jc w:val="both"/>
        <w:rPr>
          <w:rFonts w:ascii="Palatino Linotype" w:hAnsi="Palatino Linotype"/>
        </w:rPr>
      </w:pPr>
      <w:r>
        <w:rPr>
          <w:noProof/>
          <w:lang w:eastAsia="es-MX"/>
        </w:rPr>
        <w:drawing>
          <wp:inline distT="0" distB="0" distL="0" distR="0" wp14:anchorId="4EBBC8EF" wp14:editId="328A0201">
            <wp:extent cx="5686425" cy="63531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6425" cy="6353175"/>
                    </a:xfrm>
                    <a:prstGeom prst="rect">
                      <a:avLst/>
                    </a:prstGeom>
                  </pic:spPr>
                </pic:pic>
              </a:graphicData>
            </a:graphic>
          </wp:inline>
        </w:drawing>
      </w:r>
      <w:r>
        <w:rPr>
          <w:rFonts w:ascii="Palatino Linotype" w:hAnsi="Palatino Linotype"/>
          <w:noProof/>
          <w:lang w:eastAsia="es-MX"/>
        </w:rPr>
        <w:t xml:space="preserve"> </w:t>
      </w:r>
    </w:p>
    <w:p w:rsidR="005C5325" w:rsidRPr="008A7B51" w:rsidRDefault="005C5325" w:rsidP="00571C06">
      <w:pPr>
        <w:pStyle w:val="Prrafodelista"/>
        <w:spacing w:before="240" w:after="240" w:line="360" w:lineRule="auto"/>
        <w:ind w:left="0"/>
        <w:jc w:val="both"/>
        <w:rPr>
          <w:rFonts w:ascii="Palatino Linotype" w:hAnsi="Palatino Linotype"/>
        </w:rPr>
      </w:pPr>
      <w:r w:rsidRPr="008A7B51">
        <w:rPr>
          <w:rFonts w:ascii="Palatino Linotype" w:hAnsi="Palatino Linotype"/>
          <w:noProof/>
          <w:lang w:eastAsia="es-MX"/>
        </w:rPr>
        <w:lastRenderedPageBreak/>
        <w:drawing>
          <wp:inline distT="0" distB="0" distL="0" distR="0">
            <wp:extent cx="5791835" cy="655701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04AAC5.tmp"/>
                    <pic:cNvPicPr/>
                  </pic:nvPicPr>
                  <pic:blipFill>
                    <a:blip r:embed="rId14">
                      <a:extLst>
                        <a:ext uri="{28A0092B-C50C-407E-A947-70E740481C1C}">
                          <a14:useLocalDpi xmlns:a14="http://schemas.microsoft.com/office/drawing/2010/main" val="0"/>
                        </a:ext>
                      </a:extLst>
                    </a:blip>
                    <a:stretch>
                      <a:fillRect/>
                    </a:stretch>
                  </pic:blipFill>
                  <pic:spPr>
                    <a:xfrm>
                      <a:off x="0" y="0"/>
                      <a:ext cx="5791835" cy="6557010"/>
                    </a:xfrm>
                    <a:prstGeom prst="rect">
                      <a:avLst/>
                    </a:prstGeom>
                  </pic:spPr>
                </pic:pic>
              </a:graphicData>
            </a:graphic>
          </wp:inline>
        </w:drawing>
      </w:r>
    </w:p>
    <w:p w:rsidR="005C5325" w:rsidRPr="008A7B51" w:rsidRDefault="005C5325" w:rsidP="00571C06">
      <w:pPr>
        <w:pStyle w:val="Prrafodelista"/>
        <w:spacing w:before="240" w:after="240" w:line="360" w:lineRule="auto"/>
        <w:ind w:left="0"/>
        <w:jc w:val="both"/>
        <w:rPr>
          <w:rFonts w:ascii="Palatino Linotype" w:hAnsi="Palatino Linotype"/>
        </w:rPr>
      </w:pPr>
      <w:r w:rsidRPr="008A7B51">
        <w:rPr>
          <w:rFonts w:ascii="Palatino Linotype" w:hAnsi="Palatino Linotype"/>
          <w:noProof/>
          <w:lang w:eastAsia="es-MX"/>
        </w:rPr>
        <w:lastRenderedPageBreak/>
        <w:drawing>
          <wp:inline distT="0" distB="0" distL="0" distR="0">
            <wp:extent cx="5791835" cy="67684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04F116.tmp"/>
                    <pic:cNvPicPr/>
                  </pic:nvPicPr>
                  <pic:blipFill>
                    <a:blip r:embed="rId15">
                      <a:extLst>
                        <a:ext uri="{28A0092B-C50C-407E-A947-70E740481C1C}">
                          <a14:useLocalDpi xmlns:a14="http://schemas.microsoft.com/office/drawing/2010/main" val="0"/>
                        </a:ext>
                      </a:extLst>
                    </a:blip>
                    <a:stretch>
                      <a:fillRect/>
                    </a:stretch>
                  </pic:blipFill>
                  <pic:spPr>
                    <a:xfrm>
                      <a:off x="0" y="0"/>
                      <a:ext cx="5791835" cy="6768465"/>
                    </a:xfrm>
                    <a:prstGeom prst="rect">
                      <a:avLst/>
                    </a:prstGeom>
                  </pic:spPr>
                </pic:pic>
              </a:graphicData>
            </a:graphic>
          </wp:inline>
        </w:drawing>
      </w:r>
    </w:p>
    <w:p w:rsidR="005C5325" w:rsidRPr="008A7B51" w:rsidRDefault="005C5325" w:rsidP="00571C06">
      <w:pPr>
        <w:pStyle w:val="Prrafodelista"/>
        <w:spacing w:before="240" w:after="240" w:line="360" w:lineRule="auto"/>
        <w:ind w:left="0"/>
        <w:jc w:val="both"/>
        <w:rPr>
          <w:rFonts w:ascii="Palatino Linotype" w:hAnsi="Palatino Linotype"/>
        </w:rPr>
      </w:pPr>
      <w:r w:rsidRPr="008A7B51">
        <w:rPr>
          <w:rFonts w:ascii="Palatino Linotype" w:hAnsi="Palatino Linotype"/>
          <w:noProof/>
          <w:lang w:eastAsia="es-MX"/>
        </w:rPr>
        <w:lastRenderedPageBreak/>
        <w:drawing>
          <wp:inline distT="0" distB="0" distL="0" distR="0">
            <wp:extent cx="5791835" cy="4654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0439D8.tmp"/>
                    <pic:cNvPicPr/>
                  </pic:nvPicPr>
                  <pic:blipFill>
                    <a:blip r:embed="rId16">
                      <a:extLst>
                        <a:ext uri="{28A0092B-C50C-407E-A947-70E740481C1C}">
                          <a14:useLocalDpi xmlns:a14="http://schemas.microsoft.com/office/drawing/2010/main" val="0"/>
                        </a:ext>
                      </a:extLst>
                    </a:blip>
                    <a:stretch>
                      <a:fillRect/>
                    </a:stretch>
                  </pic:blipFill>
                  <pic:spPr>
                    <a:xfrm>
                      <a:off x="0" y="0"/>
                      <a:ext cx="5791835" cy="4654550"/>
                    </a:xfrm>
                    <a:prstGeom prst="rect">
                      <a:avLst/>
                    </a:prstGeom>
                  </pic:spPr>
                </pic:pic>
              </a:graphicData>
            </a:graphic>
          </wp:inline>
        </w:drawing>
      </w:r>
    </w:p>
    <w:p w:rsidR="00422962" w:rsidRPr="008A7B51" w:rsidRDefault="00422962" w:rsidP="00422962">
      <w:pPr>
        <w:pStyle w:val="Prrafodelista"/>
        <w:tabs>
          <w:tab w:val="left" w:pos="709"/>
        </w:tabs>
        <w:spacing w:before="100" w:beforeAutospacing="1" w:after="100" w:afterAutospacing="1" w:line="360" w:lineRule="auto"/>
        <w:ind w:left="0"/>
        <w:jc w:val="center"/>
        <w:rPr>
          <w:rFonts w:ascii="Palatino Linotype" w:hAnsi="Palatino Linotype"/>
          <w:b/>
          <w:bCs/>
          <w:spacing w:val="60"/>
          <w:sz w:val="28"/>
        </w:rPr>
      </w:pPr>
      <w:r w:rsidRPr="008A7B51">
        <w:rPr>
          <w:rFonts w:ascii="Palatino Linotype" w:hAnsi="Palatino Linotype"/>
          <w:b/>
          <w:bCs/>
          <w:spacing w:val="60"/>
          <w:sz w:val="28"/>
        </w:rPr>
        <w:t>CONSIDERANDO</w:t>
      </w:r>
    </w:p>
    <w:p w:rsidR="00422962" w:rsidRPr="008A7B51"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8A7B51">
        <w:rPr>
          <w:rFonts w:ascii="Palatino Linotype" w:hAnsi="Palatino Linotype"/>
          <w:b/>
          <w:sz w:val="28"/>
          <w:szCs w:val="28"/>
        </w:rPr>
        <w:t>PRIMERO</w:t>
      </w:r>
      <w:r w:rsidRPr="008A7B51">
        <w:rPr>
          <w:rFonts w:ascii="Palatino Linotype" w:hAnsi="Palatino Linotype"/>
          <w:b/>
        </w:rPr>
        <w:t>. Competencia</w:t>
      </w:r>
      <w:r w:rsidRPr="008A7B51">
        <w:rPr>
          <w:rFonts w:ascii="Palatino Linotype" w:hAnsi="Palatino Linotype"/>
        </w:rPr>
        <w:t>.</w:t>
      </w:r>
      <w:r w:rsidRPr="008A7B51">
        <w:rPr>
          <w:rFonts w:ascii="Palatino Linotype" w:hAnsi="Palatino Linotype"/>
          <w:b/>
        </w:rPr>
        <w:t xml:space="preserve"> </w:t>
      </w:r>
      <w:r w:rsidRPr="008A7B51">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w:t>
      </w:r>
      <w:r w:rsidRPr="008A7B51">
        <w:rPr>
          <w:rFonts w:ascii="Palatino Linotype" w:hAnsi="Palatino Linotype"/>
        </w:rPr>
        <w:lastRenderedPageBreak/>
        <w:t>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422962" w:rsidRPr="008A7B51"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8A7B51">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422962" w:rsidRPr="008A7B51" w:rsidRDefault="00422962" w:rsidP="00422962">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lang w:val="es-ES_tradnl"/>
        </w:rPr>
      </w:pPr>
      <w:r w:rsidRPr="008A7B51">
        <w:rPr>
          <w:rFonts w:ascii="Palatino Linotype" w:hAnsi="Palatino Linotype" w:cs="Arial"/>
          <w:b/>
          <w:sz w:val="28"/>
          <w:szCs w:val="28"/>
        </w:rPr>
        <w:t>SEGUNDO</w:t>
      </w:r>
      <w:r w:rsidRPr="008A7B51">
        <w:rPr>
          <w:rFonts w:ascii="Palatino Linotype" w:hAnsi="Palatino Linotype" w:cs="Arial"/>
          <w:b/>
        </w:rPr>
        <w:t>. Interés.</w:t>
      </w:r>
      <w:r w:rsidRPr="008A7B51">
        <w:rPr>
          <w:rFonts w:ascii="Palatino Linotype" w:hAnsi="Palatino Linotype" w:cs="Arial"/>
        </w:rPr>
        <w:t xml:space="preserve"> El </w:t>
      </w:r>
      <w:r w:rsidRPr="008A7B51">
        <w:rPr>
          <w:rFonts w:ascii="Palatino Linotype" w:hAnsi="Palatino Linotype"/>
        </w:rPr>
        <w:t>recurso</w:t>
      </w:r>
      <w:r w:rsidRPr="008A7B51">
        <w:rPr>
          <w:rFonts w:ascii="Palatino Linotype" w:hAnsi="Palatino Linotype" w:cs="Arial"/>
        </w:rPr>
        <w:t xml:space="preserve"> de revisión fue </w:t>
      </w:r>
      <w:r w:rsidRPr="008A7B51">
        <w:rPr>
          <w:rFonts w:ascii="Palatino Linotype" w:hAnsi="Palatino Linotype"/>
        </w:rPr>
        <w:t>interpuesto</w:t>
      </w:r>
      <w:r w:rsidRPr="008A7B51">
        <w:rPr>
          <w:rFonts w:ascii="Palatino Linotype" w:hAnsi="Palatino Linotype" w:cs="Arial"/>
        </w:rPr>
        <w:t xml:space="preserve"> por parte legítima en atención a que fue </w:t>
      </w:r>
      <w:r w:rsidRPr="008A7B51">
        <w:rPr>
          <w:rFonts w:ascii="Palatino Linotype" w:hAnsi="Palatino Linotype"/>
        </w:rPr>
        <w:t>presentado</w:t>
      </w:r>
      <w:r w:rsidRPr="008A7B51">
        <w:rPr>
          <w:rFonts w:ascii="Palatino Linotype" w:hAnsi="Palatino Linotype" w:cs="Arial"/>
        </w:rPr>
        <w:t xml:space="preserve"> por </w:t>
      </w:r>
      <w:r w:rsidR="00987575" w:rsidRPr="008A7B51">
        <w:rPr>
          <w:rFonts w:ascii="Palatino Linotype" w:hAnsi="Palatino Linotype" w:cs="Arial"/>
          <w:b/>
        </w:rPr>
        <w:t>LA</w:t>
      </w:r>
      <w:r w:rsidR="00080512" w:rsidRPr="008A7B51">
        <w:rPr>
          <w:rFonts w:ascii="Palatino Linotype" w:hAnsi="Palatino Linotype" w:cs="Arial"/>
          <w:b/>
        </w:rPr>
        <w:t xml:space="preserve"> RECURRENTE</w:t>
      </w:r>
      <w:r w:rsidRPr="008A7B51">
        <w:rPr>
          <w:rFonts w:ascii="Palatino Linotype" w:hAnsi="Palatino Linotype" w:cs="Arial"/>
          <w:snapToGrid w:val="0"/>
        </w:rPr>
        <w:t xml:space="preserve">, </w:t>
      </w:r>
      <w:r w:rsidRPr="008A7B51">
        <w:rPr>
          <w:rFonts w:ascii="Palatino Linotype" w:hAnsi="Palatino Linotype" w:cs="Arial"/>
        </w:rPr>
        <w:t>quien</w:t>
      </w:r>
      <w:r w:rsidRPr="008A7B51">
        <w:rPr>
          <w:rFonts w:ascii="Palatino Linotype" w:hAnsi="Palatino Linotype" w:cs="Arial"/>
          <w:snapToGrid w:val="0"/>
        </w:rPr>
        <w:t xml:space="preserve"> </w:t>
      </w:r>
      <w:r w:rsidRPr="008A7B51">
        <w:rPr>
          <w:rFonts w:ascii="Palatino Linotype" w:hAnsi="Palatino Linotype"/>
        </w:rPr>
        <w:t>formuló</w:t>
      </w:r>
      <w:r w:rsidRPr="008A7B51">
        <w:rPr>
          <w:rFonts w:ascii="Palatino Linotype" w:hAnsi="Palatino Linotype" w:cs="Arial"/>
          <w:snapToGrid w:val="0"/>
        </w:rPr>
        <w:t xml:space="preserve"> la </w:t>
      </w:r>
      <w:r w:rsidRPr="008A7B51">
        <w:rPr>
          <w:rFonts w:ascii="Palatino Linotype" w:hAnsi="Palatino Linotype" w:cs="Arial"/>
        </w:rPr>
        <w:t>solicitud</w:t>
      </w:r>
      <w:r w:rsidRPr="008A7B51">
        <w:rPr>
          <w:rFonts w:ascii="Palatino Linotype" w:hAnsi="Palatino Linotype" w:cs="Arial"/>
          <w:snapToGrid w:val="0"/>
        </w:rPr>
        <w:t xml:space="preserve"> de información pública.</w:t>
      </w:r>
    </w:p>
    <w:p w:rsidR="00422962" w:rsidRPr="008A7B51" w:rsidRDefault="00422962" w:rsidP="00422962">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8A7B51">
        <w:rPr>
          <w:rFonts w:ascii="Palatino Linotype" w:hAnsi="Palatino Linotype" w:cs="Arial"/>
          <w:b/>
          <w:sz w:val="28"/>
          <w:szCs w:val="28"/>
        </w:rPr>
        <w:t>TERCERO</w:t>
      </w:r>
      <w:r w:rsidRPr="008A7B51">
        <w:rPr>
          <w:rFonts w:ascii="Palatino Linotype" w:hAnsi="Palatino Linotype" w:cs="Arial"/>
          <w:b/>
        </w:rPr>
        <w:t xml:space="preserve">. Oportunidad. </w:t>
      </w:r>
      <w:r w:rsidRPr="008A7B51">
        <w:rPr>
          <w:rFonts w:ascii="Palatino Linotype" w:hAnsi="Palatino Linotype" w:cs="Arial"/>
        </w:rPr>
        <w:t xml:space="preserve">El recurso de revisión fue interpuesto dentro del plazo de quince días hábiles, contados a partir del día siguiente al en que </w:t>
      </w:r>
      <w:r w:rsidR="00987575" w:rsidRPr="008A7B51">
        <w:rPr>
          <w:rFonts w:ascii="Palatino Linotype" w:hAnsi="Palatino Linotype" w:cs="Arial"/>
          <w:b/>
        </w:rPr>
        <w:t xml:space="preserve">LA RECURRENTE </w:t>
      </w:r>
      <w:r w:rsidRPr="008A7B51">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422962" w:rsidRPr="008A7B51" w:rsidRDefault="00422962" w:rsidP="00FA54CC">
      <w:pPr>
        <w:spacing w:before="100" w:beforeAutospacing="1" w:after="100" w:afterAutospacing="1"/>
        <w:ind w:left="851" w:right="899"/>
        <w:contextualSpacing/>
        <w:jc w:val="both"/>
        <w:rPr>
          <w:rFonts w:ascii="Palatino Linotype" w:hAnsi="Palatino Linotype" w:cs="Arial"/>
          <w:i/>
          <w:sz w:val="22"/>
        </w:rPr>
      </w:pPr>
      <w:r w:rsidRPr="008A7B51">
        <w:rPr>
          <w:rFonts w:ascii="Palatino Linotype" w:hAnsi="Palatino Linotype" w:cs="Arial"/>
          <w:i/>
          <w:sz w:val="22"/>
        </w:rPr>
        <w:lastRenderedPageBreak/>
        <w:t>“</w:t>
      </w:r>
      <w:r w:rsidRPr="008A7B51">
        <w:rPr>
          <w:rFonts w:ascii="Palatino Linotype" w:hAnsi="Palatino Linotype" w:cs="Arial"/>
          <w:b/>
          <w:i/>
          <w:sz w:val="22"/>
        </w:rPr>
        <w:t>Artículo 178.</w:t>
      </w:r>
      <w:r w:rsidRPr="008A7B51">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521891" w:rsidRPr="008A7B51">
        <w:rPr>
          <w:rFonts w:ascii="Palatino Linotype" w:hAnsi="Palatino Linotype" w:cs="Arial"/>
          <w:i/>
          <w:sz w:val="22"/>
        </w:rPr>
        <w:t xml:space="preserve">” </w:t>
      </w:r>
    </w:p>
    <w:p w:rsidR="00FA54CC" w:rsidRPr="008A7B51" w:rsidRDefault="00FA54CC" w:rsidP="00FA54CC">
      <w:pPr>
        <w:spacing w:before="100" w:beforeAutospacing="1" w:after="100" w:afterAutospacing="1"/>
        <w:ind w:left="851" w:right="899"/>
        <w:contextualSpacing/>
        <w:jc w:val="both"/>
        <w:rPr>
          <w:rFonts w:ascii="Palatino Linotype" w:hAnsi="Palatino Linotype" w:cs="Arial"/>
          <w:i/>
          <w:sz w:val="22"/>
        </w:rPr>
      </w:pPr>
    </w:p>
    <w:p w:rsidR="00080512" w:rsidRPr="008A7B51" w:rsidRDefault="00422962" w:rsidP="00FA54CC">
      <w:pPr>
        <w:spacing w:before="100" w:beforeAutospacing="1" w:after="100" w:afterAutospacing="1"/>
        <w:ind w:left="851" w:right="899"/>
        <w:contextualSpacing/>
        <w:jc w:val="both"/>
        <w:rPr>
          <w:rFonts w:ascii="Palatino Linotype" w:hAnsi="Palatino Linotype" w:cs="Arial"/>
          <w:i/>
          <w:sz w:val="22"/>
        </w:rPr>
      </w:pPr>
      <w:r w:rsidRPr="008A7B51">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A54CC" w:rsidRPr="008A7B51" w:rsidRDefault="00FA54CC" w:rsidP="00FA54CC">
      <w:pPr>
        <w:spacing w:before="100" w:beforeAutospacing="1" w:after="100" w:afterAutospacing="1"/>
        <w:ind w:left="851" w:right="899"/>
        <w:contextualSpacing/>
        <w:jc w:val="both"/>
        <w:rPr>
          <w:rFonts w:ascii="Palatino Linotype" w:hAnsi="Palatino Linotype" w:cs="Arial"/>
          <w:i/>
          <w:sz w:val="22"/>
        </w:rPr>
      </w:pPr>
    </w:p>
    <w:p w:rsidR="00422962" w:rsidRPr="008A7B51" w:rsidRDefault="00422962" w:rsidP="00FA54CC">
      <w:pPr>
        <w:spacing w:before="240" w:after="100" w:afterAutospacing="1"/>
        <w:ind w:left="851" w:right="899"/>
        <w:jc w:val="both"/>
        <w:rPr>
          <w:rFonts w:ascii="Palatino Linotype" w:hAnsi="Palatino Linotype" w:cs="Arial"/>
          <w:i/>
          <w:sz w:val="22"/>
        </w:rPr>
      </w:pPr>
      <w:r w:rsidRPr="008A7B51">
        <w:rPr>
          <w:rFonts w:ascii="Palatino Linotype" w:hAnsi="Palatino Linotype" w:cs="Arial"/>
          <w:i/>
          <w:sz w:val="22"/>
        </w:rPr>
        <w:t xml:space="preserve">En el caso de que se interponga ante la Unidad de Transparencia, ésta deberá remitir el recurso de revisión al Instituto a más tardar al día </w:t>
      </w:r>
      <w:r w:rsidRPr="008A7B51">
        <w:rPr>
          <w:rFonts w:ascii="Palatino Linotype" w:hAnsi="Palatino Linotype" w:cs="Arial"/>
          <w:i/>
          <w:sz w:val="22"/>
          <w:lang w:eastAsia="es-MX"/>
        </w:rPr>
        <w:t>siguiente</w:t>
      </w:r>
      <w:r w:rsidRPr="008A7B51">
        <w:rPr>
          <w:rFonts w:ascii="Palatino Linotype" w:hAnsi="Palatino Linotype" w:cs="Arial"/>
          <w:i/>
          <w:sz w:val="22"/>
        </w:rPr>
        <w:t xml:space="preserve"> de haberlo recibido.”</w:t>
      </w:r>
      <w:r w:rsidR="00F94AF8" w:rsidRPr="008A7B51">
        <w:rPr>
          <w:rFonts w:ascii="Palatino Linotype" w:hAnsi="Palatino Linotype" w:cs="Arial"/>
          <w:i/>
          <w:sz w:val="22"/>
        </w:rPr>
        <w:t xml:space="preserve"> (Sic)</w:t>
      </w:r>
    </w:p>
    <w:p w:rsidR="00B60C63" w:rsidRPr="008A7B51" w:rsidRDefault="00422962" w:rsidP="00422962">
      <w:pPr>
        <w:spacing w:before="240" w:after="100" w:afterAutospacing="1" w:line="360" w:lineRule="auto"/>
        <w:jc w:val="both"/>
        <w:rPr>
          <w:rFonts w:ascii="Palatino Linotype" w:hAnsi="Palatino Linotype"/>
        </w:rPr>
      </w:pPr>
      <w:r w:rsidRPr="008A7B51">
        <w:rPr>
          <w:rFonts w:ascii="Palatino Linotype" w:hAnsi="Palatino Linotype" w:cs="Arial"/>
        </w:rPr>
        <w:t xml:space="preserve">En esa tesitura, atendiendo a que </w:t>
      </w:r>
      <w:r w:rsidRPr="008A7B51">
        <w:rPr>
          <w:rFonts w:ascii="Palatino Linotype" w:hAnsi="Palatino Linotype" w:cs="Arial"/>
          <w:b/>
        </w:rPr>
        <w:t>EL SUJETO OBLIGADO</w:t>
      </w:r>
      <w:r w:rsidRPr="008A7B51">
        <w:rPr>
          <w:rFonts w:ascii="Palatino Linotype" w:hAnsi="Palatino Linotype" w:cs="Arial"/>
        </w:rPr>
        <w:t xml:space="preserve"> notificó la respuesta a la solicitud de acceso a la información pública el día</w:t>
      </w:r>
      <w:r w:rsidRPr="008A7B51">
        <w:rPr>
          <w:rFonts w:ascii="Palatino Linotype" w:hAnsi="Palatino Linotype" w:cs="Arial"/>
          <w:b/>
        </w:rPr>
        <w:t xml:space="preserve"> </w:t>
      </w:r>
      <w:r w:rsidR="00571C06" w:rsidRPr="008A7B51">
        <w:rPr>
          <w:rFonts w:ascii="Palatino Linotype" w:hAnsi="Palatino Linotype" w:cs="Arial"/>
          <w:b/>
        </w:rPr>
        <w:t>dieciocho de agosto</w:t>
      </w:r>
      <w:r w:rsidRPr="008A7B51">
        <w:rPr>
          <w:rFonts w:ascii="Palatino Linotype" w:hAnsi="Palatino Linotype" w:cs="Arial"/>
          <w:b/>
        </w:rPr>
        <w:t xml:space="preserve"> de dos mil veintiuno</w:t>
      </w:r>
      <w:r w:rsidRPr="008A7B51">
        <w:rPr>
          <w:rFonts w:ascii="Palatino Linotype" w:hAnsi="Palatino Linotype" w:cs="Arial"/>
        </w:rPr>
        <w:t>; así, el plazo de quince días hábiles que el artículo 178 de la Ley de</w:t>
      </w:r>
      <w:r w:rsidR="00987575" w:rsidRPr="008A7B51">
        <w:rPr>
          <w:rFonts w:ascii="Palatino Linotype" w:hAnsi="Palatino Linotype" w:cs="Arial"/>
        </w:rPr>
        <w:t xml:space="preserve"> la materia otorga a la</w:t>
      </w:r>
      <w:r w:rsidRPr="008A7B51">
        <w:rPr>
          <w:rFonts w:ascii="Palatino Linotype" w:hAnsi="Palatino Linotype" w:cs="Arial"/>
        </w:rPr>
        <w:t xml:space="preserve"> hoy</w:t>
      </w:r>
      <w:r w:rsidRPr="008A7B51">
        <w:rPr>
          <w:rFonts w:ascii="Palatino Linotype" w:hAnsi="Palatino Linotype" w:cs="Arial"/>
          <w:b/>
        </w:rPr>
        <w:t xml:space="preserve"> RECURRENTE</w:t>
      </w:r>
      <w:r w:rsidRPr="008A7B51">
        <w:rPr>
          <w:rFonts w:ascii="Palatino Linotype" w:hAnsi="Palatino Linotype" w:cs="Arial"/>
        </w:rPr>
        <w:t xml:space="preserve"> para presentar el respectivo recurso de revisión, transcurrió del </w:t>
      </w:r>
      <w:r w:rsidR="00571C06" w:rsidRPr="008A7B51">
        <w:rPr>
          <w:rFonts w:ascii="Palatino Linotype" w:hAnsi="Palatino Linotype" w:cs="Arial"/>
          <w:b/>
        </w:rPr>
        <w:t>diecinueve de agosto</w:t>
      </w:r>
      <w:r w:rsidRPr="008A7B51">
        <w:rPr>
          <w:rFonts w:ascii="Palatino Linotype" w:hAnsi="Palatino Linotype" w:cs="Arial"/>
          <w:b/>
        </w:rPr>
        <w:t xml:space="preserve"> al </w:t>
      </w:r>
      <w:r w:rsidR="00672EA0" w:rsidRPr="008A7B51">
        <w:rPr>
          <w:rFonts w:ascii="Palatino Linotype" w:hAnsi="Palatino Linotype" w:cs="Arial"/>
          <w:b/>
        </w:rPr>
        <w:t>ocho</w:t>
      </w:r>
      <w:r w:rsidR="009E74D4" w:rsidRPr="008A7B51">
        <w:rPr>
          <w:rFonts w:ascii="Palatino Linotype" w:hAnsi="Palatino Linotype" w:cs="Arial"/>
          <w:b/>
        </w:rPr>
        <w:t xml:space="preserve"> de septiembre</w:t>
      </w:r>
      <w:r w:rsidRPr="008A7B51">
        <w:rPr>
          <w:rFonts w:ascii="Palatino Linotype" w:hAnsi="Palatino Linotype" w:cs="Arial"/>
          <w:b/>
        </w:rPr>
        <w:t xml:space="preserve"> de dos mil veintiuno, </w:t>
      </w:r>
      <w:r w:rsidRPr="008A7B51">
        <w:rPr>
          <w:rFonts w:ascii="Palatino Linotype" w:hAnsi="Palatino Linotype" w:cs="Arial"/>
        </w:rPr>
        <w:t xml:space="preserve">sin contemplar en el cómputo los días </w:t>
      </w:r>
      <w:r w:rsidR="009E74D4" w:rsidRPr="008A7B51">
        <w:rPr>
          <w:rFonts w:ascii="Palatino Linotype" w:hAnsi="Palatino Linotype" w:cs="Arial"/>
        </w:rPr>
        <w:t xml:space="preserve">veintiuno, veintidós, veintiocho y veintinueve </w:t>
      </w:r>
      <w:r w:rsidRPr="008A7B51">
        <w:rPr>
          <w:rFonts w:ascii="Palatino Linotype" w:hAnsi="Palatino Linotype" w:cs="Arial"/>
        </w:rPr>
        <w:t>de agosto</w:t>
      </w:r>
      <w:r w:rsidR="00B60C63" w:rsidRPr="008A7B51">
        <w:rPr>
          <w:rFonts w:ascii="Palatino Linotype" w:hAnsi="Palatino Linotype" w:cs="Arial"/>
        </w:rPr>
        <w:t xml:space="preserve">, así como </w:t>
      </w:r>
      <w:r w:rsidR="009E74D4" w:rsidRPr="008A7B51">
        <w:rPr>
          <w:rFonts w:ascii="Palatino Linotype" w:hAnsi="Palatino Linotype" w:cs="Arial"/>
        </w:rPr>
        <w:t xml:space="preserve"> cuatro y cinco</w:t>
      </w:r>
      <w:r w:rsidR="00B60C63" w:rsidRPr="008A7B51">
        <w:rPr>
          <w:rFonts w:ascii="Palatino Linotype" w:hAnsi="Palatino Linotype" w:cs="Arial"/>
        </w:rPr>
        <w:t xml:space="preserve"> de septiembre </w:t>
      </w:r>
      <w:r w:rsidRPr="008A7B51">
        <w:rPr>
          <w:rFonts w:ascii="Palatino Linotype" w:hAnsi="Palatino Linotype" w:cs="Arial"/>
        </w:rPr>
        <w:t xml:space="preserve"> de la anualidad, por corresponder a sábados y domingos, considerados como días inhábiles, en términos del artículo 3, fracción X de la </w:t>
      </w:r>
      <w:r w:rsidRPr="008A7B51">
        <w:rPr>
          <w:rFonts w:ascii="Palatino Linotype" w:hAnsi="Palatino Linotype"/>
        </w:rPr>
        <w:t>Ley de Transparencia y Acceso a la Información Pública del</w:t>
      </w:r>
      <w:r w:rsidR="00B60C63" w:rsidRPr="008A7B51">
        <w:rPr>
          <w:rFonts w:ascii="Palatino Linotype" w:hAnsi="Palatino Linotype"/>
        </w:rPr>
        <w:t xml:space="preserve"> Estado de México y Municipios. </w:t>
      </w:r>
    </w:p>
    <w:p w:rsidR="00422962" w:rsidRPr="008A7B51" w:rsidRDefault="00422962" w:rsidP="00422962">
      <w:pPr>
        <w:spacing w:before="240" w:after="100" w:afterAutospacing="1" w:line="360" w:lineRule="auto"/>
        <w:jc w:val="both"/>
        <w:rPr>
          <w:rFonts w:ascii="Palatino Linotype" w:hAnsi="Palatino Linotype" w:cs="Arial"/>
        </w:rPr>
      </w:pPr>
      <w:r w:rsidRPr="008A7B51">
        <w:rPr>
          <w:rFonts w:ascii="Palatino Linotype" w:hAnsi="Palatino Linotype" w:cs="Arial"/>
        </w:rPr>
        <w:t>En ese tenor, si el recurso de revisión que nos ocupa, se interpuso el</w:t>
      </w:r>
      <w:r w:rsidR="00B60C63" w:rsidRPr="008A7B51">
        <w:rPr>
          <w:rFonts w:ascii="Palatino Linotype" w:hAnsi="Palatino Linotype" w:cs="Arial"/>
          <w:b/>
        </w:rPr>
        <w:t xml:space="preserve"> dos de septiembre</w:t>
      </w:r>
      <w:r w:rsidR="005C19CD" w:rsidRPr="008A7B51">
        <w:rPr>
          <w:rFonts w:ascii="Palatino Linotype" w:hAnsi="Palatino Linotype" w:cs="Arial"/>
          <w:b/>
        </w:rPr>
        <w:t xml:space="preserve"> </w:t>
      </w:r>
      <w:r w:rsidRPr="008A7B51">
        <w:rPr>
          <w:rFonts w:ascii="Palatino Linotype" w:hAnsi="Palatino Linotype" w:cs="Arial"/>
          <w:b/>
        </w:rPr>
        <w:t xml:space="preserve">de dos mil veintiuno, </w:t>
      </w:r>
      <w:r w:rsidRPr="008A7B51">
        <w:rPr>
          <w:rFonts w:ascii="Palatino Linotype" w:hAnsi="Palatino Linotype" w:cs="Arial"/>
        </w:rPr>
        <w:t>éste se encuentra dentro de los márgenes temporales previstos en el precepto legal citado en el párrafo anterior y, por tanto, su interposición se considera oportuna.</w:t>
      </w:r>
    </w:p>
    <w:p w:rsidR="00B60C63" w:rsidRPr="008A7B51" w:rsidRDefault="00B60C63" w:rsidP="00B60C63">
      <w:pPr>
        <w:spacing w:before="240" w:after="100" w:afterAutospacing="1" w:line="360" w:lineRule="auto"/>
        <w:jc w:val="both"/>
        <w:rPr>
          <w:rFonts w:ascii="Palatino Linotype" w:hAnsi="Palatino Linotype" w:cs="Arial"/>
        </w:rPr>
      </w:pPr>
      <w:r w:rsidRPr="008A7B51">
        <w:rPr>
          <w:rFonts w:ascii="Palatino Linotype" w:hAnsi="Palatino Linotype" w:cs="Arial"/>
          <w:b/>
          <w:sz w:val="28"/>
          <w:szCs w:val="28"/>
        </w:rPr>
        <w:lastRenderedPageBreak/>
        <w:t>CUARTO</w:t>
      </w:r>
      <w:r w:rsidRPr="008A7B51">
        <w:rPr>
          <w:rFonts w:ascii="Palatino Linotype" w:hAnsi="Palatino Linotype" w:cs="Arial"/>
        </w:rPr>
        <w:t xml:space="preserve">. </w:t>
      </w:r>
      <w:r w:rsidRPr="008A7B51">
        <w:rPr>
          <w:rFonts w:ascii="Palatino Linotype" w:hAnsi="Palatino Linotype" w:cs="Arial"/>
          <w:b/>
        </w:rPr>
        <w:t>Procedibilidad</w:t>
      </w:r>
      <w:r w:rsidRPr="008A7B51">
        <w:rPr>
          <w:rFonts w:ascii="Palatino Linotype" w:hAnsi="Palatino Linotype" w:cs="Arial"/>
        </w:rPr>
        <w:t xml:space="preserve">. 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SAIMEX. </w:t>
      </w:r>
    </w:p>
    <w:p w:rsidR="00521891" w:rsidRPr="008A7B51" w:rsidRDefault="00521891" w:rsidP="00521891">
      <w:pPr>
        <w:spacing w:before="200" w:after="200" w:line="360" w:lineRule="auto"/>
        <w:jc w:val="both"/>
        <w:rPr>
          <w:rFonts w:ascii="Palatino Linotype" w:hAnsi="Palatino Linotype"/>
        </w:rPr>
      </w:pPr>
      <w:r w:rsidRPr="008A7B51">
        <w:rPr>
          <w:rFonts w:ascii="Palatino Linotype" w:hAnsi="Palatino Linotype" w:cs="Arial"/>
          <w:b/>
          <w:sz w:val="28"/>
          <w:szCs w:val="28"/>
        </w:rPr>
        <w:t>QUINTO.</w:t>
      </w:r>
      <w:r w:rsidRPr="008A7B51">
        <w:rPr>
          <w:rFonts w:ascii="Palatino Linotype" w:hAnsi="Palatino Linotype" w:cs="Arial"/>
          <w:b/>
          <w:color w:val="000000" w:themeColor="text1"/>
        </w:rPr>
        <w:t xml:space="preserve"> </w:t>
      </w:r>
      <w:r w:rsidRPr="008A7B51">
        <w:rPr>
          <w:rFonts w:ascii="Palatino Linotype" w:hAnsi="Palatino Linotype" w:cs="Arial"/>
          <w:b/>
        </w:rPr>
        <w:t>Análisis de la causal de sobreseimiento</w:t>
      </w:r>
      <w:r w:rsidRPr="008A7B51">
        <w:rPr>
          <w:rFonts w:ascii="Palatino Linotype" w:hAnsi="Palatino Linotype"/>
          <w:b/>
        </w:rPr>
        <w:t xml:space="preserve">. </w:t>
      </w:r>
      <w:r w:rsidRPr="008A7B51">
        <w:rPr>
          <w:rFonts w:ascii="Palatino Linotype" w:hAnsi="Palatino Linotype" w:cs="Arial"/>
          <w:color w:val="000000" w:themeColor="text1"/>
        </w:rPr>
        <w:t xml:space="preserve">Una vez determinada la vía sobre la que versará el </w:t>
      </w:r>
      <w:r w:rsidRPr="008A7B51">
        <w:rPr>
          <w:rFonts w:ascii="Palatino Linotype" w:hAnsi="Palatino Linotype" w:cs="Arial"/>
        </w:rPr>
        <w:t>presente</w:t>
      </w:r>
      <w:r w:rsidRPr="008A7B51">
        <w:rPr>
          <w:rFonts w:ascii="Palatino Linotype" w:hAnsi="Palatino Linotype" w:cs="Arial"/>
          <w:color w:val="000000" w:themeColor="text1"/>
        </w:rPr>
        <w:t xml:space="preserve"> recurso y previa revisión del expediente electrónico, se advierte que </w:t>
      </w:r>
      <w:r w:rsidR="00987575" w:rsidRPr="008A7B51">
        <w:rPr>
          <w:rFonts w:ascii="Palatino Linotype" w:hAnsi="Palatino Linotype"/>
          <w:b/>
          <w:color w:val="000000"/>
        </w:rPr>
        <w:t xml:space="preserve">LA RECURRENTE </w:t>
      </w:r>
      <w:r w:rsidRPr="008A7B51">
        <w:rPr>
          <w:rFonts w:ascii="Palatino Linotype" w:hAnsi="Palatino Linotype"/>
          <w:color w:val="000000"/>
        </w:rPr>
        <w:t xml:space="preserve">solicitó </w:t>
      </w:r>
      <w:r w:rsidRPr="008A7B51">
        <w:rPr>
          <w:rFonts w:ascii="Palatino Linotype" w:hAnsi="Palatino Linotype" w:cs="Arial"/>
        </w:rPr>
        <w:t>del</w:t>
      </w:r>
      <w:r w:rsidRPr="008A7B51">
        <w:rPr>
          <w:rFonts w:ascii="Palatino Linotype" w:hAnsi="Palatino Linotype"/>
          <w:color w:val="000000"/>
        </w:rPr>
        <w:t xml:space="preserve"> </w:t>
      </w:r>
      <w:r w:rsidRPr="008A7B51">
        <w:rPr>
          <w:rFonts w:ascii="Palatino Linotype" w:hAnsi="Palatino Linotype" w:cs="Arial"/>
          <w:b/>
          <w:color w:val="000000"/>
        </w:rPr>
        <w:t>SUJETO OBLIGADO</w:t>
      </w:r>
      <w:r w:rsidRPr="008A7B51">
        <w:rPr>
          <w:rFonts w:ascii="Palatino Linotype" w:hAnsi="Palatino Linotype" w:cs="Arial"/>
        </w:rPr>
        <w:t xml:space="preserve">, </w:t>
      </w:r>
      <w:r w:rsidRPr="008A7B51">
        <w:rPr>
          <w:rFonts w:ascii="Palatino Linotype" w:hAnsi="Palatino Linotype"/>
        </w:rPr>
        <w:t xml:space="preserve">vía </w:t>
      </w:r>
      <w:r w:rsidRPr="008A7B51">
        <w:rPr>
          <w:rFonts w:ascii="Palatino Linotype" w:hAnsi="Palatino Linotype"/>
          <w:b/>
        </w:rPr>
        <w:t>EL</w:t>
      </w:r>
      <w:r w:rsidRPr="008A7B51">
        <w:rPr>
          <w:rFonts w:ascii="Palatino Linotype" w:hAnsi="Palatino Linotype"/>
        </w:rPr>
        <w:t xml:space="preserve"> </w:t>
      </w:r>
      <w:r w:rsidRPr="008A7B51">
        <w:rPr>
          <w:rFonts w:ascii="Palatino Linotype" w:hAnsi="Palatino Linotype"/>
          <w:b/>
        </w:rPr>
        <w:t>SAIMEX</w:t>
      </w:r>
      <w:r w:rsidRPr="008A7B51">
        <w:rPr>
          <w:rFonts w:ascii="Palatino Linotype" w:hAnsi="Palatino Linotype"/>
        </w:rPr>
        <w:t xml:space="preserve">, copias del expediente con el número </w:t>
      </w:r>
      <w:r w:rsidRPr="008A7B51">
        <w:rPr>
          <w:rFonts w:ascii="Palatino Linotype" w:hAnsi="Palatino Linotype"/>
          <w:b/>
        </w:rPr>
        <w:t>CODHEM7TOL/CD/31/2020</w:t>
      </w:r>
      <w:r w:rsidRPr="008A7B51">
        <w:rPr>
          <w:rFonts w:ascii="Palatino Linotype" w:hAnsi="Palatino Linotype"/>
        </w:rPr>
        <w:t xml:space="preserve"> en versión pública. </w:t>
      </w:r>
    </w:p>
    <w:p w:rsidR="00521891" w:rsidRPr="008A7B51" w:rsidRDefault="00521891" w:rsidP="00521891">
      <w:pPr>
        <w:spacing w:before="200" w:after="200" w:line="360" w:lineRule="auto"/>
        <w:jc w:val="both"/>
        <w:rPr>
          <w:rFonts w:ascii="Palatino Linotype" w:hAnsi="Palatino Linotype" w:cs="Arial"/>
        </w:rPr>
      </w:pPr>
      <w:r w:rsidRPr="008A7B51">
        <w:rPr>
          <w:rFonts w:ascii="Palatino Linotype" w:hAnsi="Palatino Linotype" w:cs="Arial"/>
        </w:rPr>
        <w:t xml:space="preserve">En respuesta </w:t>
      </w:r>
      <w:r w:rsidRPr="008A7B51">
        <w:rPr>
          <w:rFonts w:ascii="Palatino Linotype" w:hAnsi="Palatino Linotype" w:cs="Arial"/>
          <w:b/>
        </w:rPr>
        <w:t xml:space="preserve">EL SUJETO OBLIGADO </w:t>
      </w:r>
      <w:r w:rsidRPr="008A7B51">
        <w:rPr>
          <w:rFonts w:ascii="Palatino Linotype" w:hAnsi="Palatino Linotype" w:cs="Arial"/>
        </w:rPr>
        <w:t xml:space="preserve">informó al solicitante que: </w:t>
      </w:r>
    </w:p>
    <w:p w:rsidR="00521891" w:rsidRPr="008A7B51" w:rsidRDefault="00521891" w:rsidP="00FA54CC">
      <w:pPr>
        <w:ind w:left="851" w:right="899"/>
        <w:jc w:val="both"/>
        <w:rPr>
          <w:rFonts w:ascii="Palatino Linotype" w:hAnsi="Palatino Linotype" w:cs="Arial"/>
          <w:i/>
          <w:sz w:val="22"/>
        </w:rPr>
      </w:pPr>
      <w:r w:rsidRPr="008A7B51">
        <w:rPr>
          <w:rFonts w:ascii="Palatino Linotype" w:hAnsi="Palatino Linotype" w:cs="Arial"/>
          <w:i/>
          <w:sz w:val="22"/>
        </w:rPr>
        <w:t>“</w:t>
      </w:r>
      <w:r w:rsidRPr="008A7B51">
        <w:rPr>
          <w:rFonts w:ascii="Palatino Linotype" w:hAnsi="Palatino Linotype" w:cs="Arial"/>
          <w:b/>
          <w:i/>
          <w:sz w:val="22"/>
        </w:rPr>
        <w:t>Dentro de las atribuciones</w:t>
      </w:r>
      <w:r w:rsidRPr="008A7B51">
        <w:rPr>
          <w:rFonts w:ascii="Palatino Linotype" w:hAnsi="Palatino Linotype" w:cs="Arial"/>
          <w:i/>
          <w:sz w:val="22"/>
        </w:rPr>
        <w:t xml:space="preserve"> de este Sujeto Obligado</w:t>
      </w:r>
      <w:r w:rsidRPr="008A7B51">
        <w:rPr>
          <w:rFonts w:ascii="Palatino Linotype" w:hAnsi="Palatino Linotype" w:cs="Arial"/>
          <w:b/>
          <w:i/>
          <w:sz w:val="22"/>
        </w:rPr>
        <w:t>, establecidas en el artículo 10 de la Ley de la Fiscalía General de Justicia del Estado de México, no se encuentra la de generar o poseer información de los expedientes con la nomenclatura que indica en su solicitud</w:t>
      </w:r>
      <w:r w:rsidRPr="008A7B51">
        <w:rPr>
          <w:rFonts w:ascii="Palatino Linotype" w:hAnsi="Palatino Linotype" w:cs="Arial"/>
          <w:i/>
          <w:sz w:val="22"/>
        </w:rPr>
        <w:t xml:space="preserve">, ya que se advierte que está </w:t>
      </w:r>
      <w:r w:rsidRPr="008A7B51">
        <w:rPr>
          <w:rFonts w:ascii="Palatino Linotype" w:hAnsi="Palatino Linotype" w:cs="Arial"/>
          <w:b/>
          <w:i/>
          <w:sz w:val="22"/>
        </w:rPr>
        <w:t>corresponde a la Comisión de Derechos Humanos del Estado de México</w:t>
      </w:r>
      <w:r w:rsidRPr="008A7B51">
        <w:rPr>
          <w:rFonts w:ascii="Palatino Linotype" w:hAnsi="Palatino Linotype" w:cs="Arial"/>
          <w:i/>
          <w:sz w:val="22"/>
        </w:rPr>
        <w:t xml:space="preserve">, por lo que se le </w:t>
      </w:r>
      <w:r w:rsidRPr="008A7B51">
        <w:rPr>
          <w:rFonts w:ascii="Palatino Linotype" w:hAnsi="Palatino Linotype" w:cs="Arial"/>
          <w:b/>
          <w:i/>
          <w:sz w:val="22"/>
        </w:rPr>
        <w:t>orienta para que dirija su solicitud a la Unidad de Transparencia de la Secretaría de Justicia y Derechos Humanos del Estado de México</w:t>
      </w:r>
      <w:r w:rsidRPr="008A7B51">
        <w:rPr>
          <w:rFonts w:ascii="Palatino Linotype" w:hAnsi="Palatino Linotype" w:cs="Arial"/>
          <w:i/>
          <w:sz w:val="22"/>
        </w:rPr>
        <w:t>”. (Sic).</w:t>
      </w:r>
    </w:p>
    <w:p w:rsidR="00953644" w:rsidRPr="008A7B51" w:rsidRDefault="00521891" w:rsidP="00715D4E">
      <w:pPr>
        <w:spacing w:before="200" w:after="200" w:line="360" w:lineRule="auto"/>
        <w:jc w:val="both"/>
        <w:rPr>
          <w:rFonts w:ascii="Palatino Linotype" w:hAnsi="Palatino Linotype" w:cs="Arial"/>
        </w:rPr>
      </w:pPr>
      <w:r w:rsidRPr="008A7B51">
        <w:rPr>
          <w:rFonts w:ascii="Palatino Linotype" w:hAnsi="Palatino Linotype" w:cs="Arial"/>
        </w:rPr>
        <w:t xml:space="preserve"> </w:t>
      </w:r>
      <w:r w:rsidR="00953644" w:rsidRPr="008A7B51">
        <w:rPr>
          <w:rFonts w:ascii="Palatino Linotype" w:hAnsi="Palatino Linotype" w:cs="Arial"/>
        </w:rPr>
        <w:t xml:space="preserve">Declarándose de esta manera incompetente conforme al artículo </w:t>
      </w:r>
      <w:r w:rsidR="00953644" w:rsidRPr="008A7B51">
        <w:rPr>
          <w:rFonts w:ascii="Palatino Linotype" w:hAnsi="Palatino Linotype" w:cs="Arial"/>
          <w:color w:val="000000" w:themeColor="text1"/>
        </w:rPr>
        <w:t>167 de la Ley de Transparencia y Acceso a la Información Pública del Estado de México y Municipios, la Titular de la Unidad de Transparencia</w:t>
      </w:r>
      <w:r w:rsidR="00953644" w:rsidRPr="008A7B51">
        <w:rPr>
          <w:rFonts w:ascii="Palatino Linotype" w:hAnsi="Palatino Linotype" w:cs="Arial"/>
        </w:rPr>
        <w:t>, que establece:</w:t>
      </w:r>
    </w:p>
    <w:p w:rsidR="00953644" w:rsidRPr="008A7B51" w:rsidRDefault="0076033C" w:rsidP="00FA54CC">
      <w:pPr>
        <w:ind w:left="851" w:right="899"/>
        <w:jc w:val="both"/>
        <w:rPr>
          <w:rFonts w:ascii="Palatino Linotype" w:hAnsi="Palatino Linotype" w:cs="Arial"/>
          <w:i/>
          <w:sz w:val="22"/>
        </w:rPr>
      </w:pPr>
      <w:r w:rsidRPr="008A7B51">
        <w:rPr>
          <w:rFonts w:ascii="Palatino Linotype" w:hAnsi="Palatino Linotype" w:cs="Arial"/>
          <w:i/>
          <w:sz w:val="22"/>
        </w:rPr>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76033C" w:rsidRPr="008A7B51" w:rsidRDefault="0076033C" w:rsidP="0076033C">
      <w:pPr>
        <w:ind w:left="709"/>
        <w:jc w:val="both"/>
        <w:rPr>
          <w:rFonts w:ascii="Palatino Linotype" w:hAnsi="Palatino Linotype" w:cs="Arial"/>
          <w:i/>
          <w:sz w:val="22"/>
        </w:rPr>
      </w:pPr>
    </w:p>
    <w:p w:rsidR="00B60C63" w:rsidRPr="008A7B51" w:rsidRDefault="00521891" w:rsidP="00715D4E">
      <w:pPr>
        <w:spacing w:before="200" w:after="200" w:line="360" w:lineRule="auto"/>
        <w:jc w:val="both"/>
        <w:rPr>
          <w:rFonts w:ascii="Palatino Linotype" w:hAnsi="Palatino Linotype" w:cs="Arial"/>
        </w:rPr>
      </w:pPr>
      <w:r w:rsidRPr="008A7B51">
        <w:rPr>
          <w:rFonts w:ascii="Palatino Linotype" w:hAnsi="Palatino Linotype" w:cs="Arial"/>
        </w:rPr>
        <w:t xml:space="preserve">De igual manera en el mismo documento informó al solicitante la dirección de la Unidad de Transparencia a la que se refiere en el fragmento anterior. </w:t>
      </w:r>
    </w:p>
    <w:p w:rsidR="00715D4E" w:rsidRPr="008A7B51" w:rsidRDefault="00715D4E" w:rsidP="00715D4E">
      <w:pPr>
        <w:spacing w:before="100" w:beforeAutospacing="1" w:after="100" w:afterAutospacing="1" w:line="360" w:lineRule="auto"/>
        <w:jc w:val="both"/>
        <w:rPr>
          <w:rFonts w:ascii="Palatino Linotype" w:hAnsi="Palatino Linotype" w:cs="Arial"/>
        </w:rPr>
      </w:pPr>
      <w:r w:rsidRPr="008A7B51">
        <w:rPr>
          <w:rFonts w:ascii="Palatino Linotype" w:hAnsi="Palatino Linotype" w:cs="Arial"/>
        </w:rPr>
        <w:t xml:space="preserve">Inconforme con dicha respuesta el particular interpuso el presente medio de impugnación, expresando como acto impugnado el haber solicitado la información vía SAIMEX,  en versión pública e indicando como motivo de la inconformidad el que se transcribe a continuación: </w:t>
      </w:r>
    </w:p>
    <w:p w:rsidR="00715D4E" w:rsidRPr="008A7B51" w:rsidRDefault="00715D4E" w:rsidP="00FA54CC">
      <w:pPr>
        <w:tabs>
          <w:tab w:val="left" w:pos="8222"/>
        </w:tabs>
        <w:spacing w:before="100" w:beforeAutospacing="1" w:after="100" w:afterAutospacing="1"/>
        <w:ind w:left="851" w:right="899"/>
        <w:jc w:val="both"/>
        <w:rPr>
          <w:rFonts w:ascii="Palatino Linotype" w:hAnsi="Palatino Linotype" w:cs="Arial"/>
          <w:i/>
          <w:sz w:val="22"/>
          <w:szCs w:val="22"/>
          <w:lang w:eastAsia="es-MX"/>
        </w:rPr>
      </w:pPr>
      <w:r w:rsidRPr="008A7B51">
        <w:rPr>
          <w:rFonts w:ascii="Palatino Linotype" w:hAnsi="Palatino Linotype" w:cs="Arial"/>
          <w:i/>
          <w:sz w:val="22"/>
          <w:szCs w:val="22"/>
          <w:lang w:eastAsia="es-MX"/>
        </w:rPr>
        <w:t>“El sujeto obligado califica de confidencial o reservada la información solicitada.” (Sic)</w:t>
      </w:r>
    </w:p>
    <w:p w:rsidR="002C64BE" w:rsidRPr="008A7B51" w:rsidRDefault="002C64BE" w:rsidP="002C64BE">
      <w:pPr>
        <w:spacing w:before="100" w:beforeAutospacing="1" w:after="100" w:afterAutospacing="1" w:line="360" w:lineRule="auto"/>
        <w:jc w:val="both"/>
        <w:rPr>
          <w:rFonts w:ascii="Palatino Linotype" w:hAnsi="Palatino Linotype" w:cs="Arial"/>
          <w:b/>
        </w:rPr>
      </w:pPr>
      <w:r w:rsidRPr="008A7B51">
        <w:rPr>
          <w:rFonts w:ascii="Palatino Linotype" w:hAnsi="Palatino Linotype" w:cs="Arial"/>
        </w:rPr>
        <w:t>Debiendo destacar en este punto que ambas partes fueron omisas en emitir; tanto informe justificado por parte del</w:t>
      </w:r>
      <w:r w:rsidRPr="008A7B51">
        <w:rPr>
          <w:rFonts w:ascii="Palatino Linotype" w:hAnsi="Palatino Linotype" w:cs="Arial"/>
          <w:b/>
        </w:rPr>
        <w:t xml:space="preserve"> SUJETO OBLIGADO</w:t>
      </w:r>
      <w:r w:rsidRPr="008A7B51">
        <w:rPr>
          <w:rFonts w:ascii="Palatino Linotype" w:hAnsi="Palatino Linotype" w:cs="Arial"/>
        </w:rPr>
        <w:t xml:space="preserve"> co</w:t>
      </w:r>
      <w:r w:rsidR="00987575" w:rsidRPr="008A7B51">
        <w:rPr>
          <w:rFonts w:ascii="Palatino Linotype" w:hAnsi="Palatino Linotype" w:cs="Arial"/>
        </w:rPr>
        <w:t xml:space="preserve">mo manifestaciones por parte de </w:t>
      </w:r>
      <w:r w:rsidR="00987575" w:rsidRPr="008A7B51">
        <w:rPr>
          <w:rFonts w:ascii="Palatino Linotype" w:hAnsi="Palatino Linotype" w:cs="Arial"/>
          <w:b/>
        </w:rPr>
        <w:t>LA</w:t>
      </w:r>
      <w:r w:rsidRPr="008A7B51">
        <w:rPr>
          <w:rFonts w:ascii="Palatino Linotype" w:hAnsi="Palatino Linotype" w:cs="Arial"/>
          <w:b/>
        </w:rPr>
        <w:t xml:space="preserve"> RECURRENTE. </w:t>
      </w:r>
    </w:p>
    <w:p w:rsidR="00715D4E" w:rsidRPr="008A7B51" w:rsidRDefault="00987575" w:rsidP="00D87DEB">
      <w:pPr>
        <w:spacing w:line="360" w:lineRule="auto"/>
        <w:jc w:val="both"/>
        <w:rPr>
          <w:rFonts w:ascii="Palatino Linotype" w:hAnsi="Palatino Linotype"/>
          <w:b/>
        </w:rPr>
      </w:pPr>
      <w:r w:rsidRPr="008A7B51">
        <w:rPr>
          <w:rFonts w:ascii="Palatino Linotype" w:hAnsi="Palatino Linotype" w:cs="Arial"/>
        </w:rPr>
        <w:t>Empero</w:t>
      </w:r>
      <w:r w:rsidR="002C64BE" w:rsidRPr="008A7B51">
        <w:rPr>
          <w:rFonts w:ascii="Palatino Linotype" w:hAnsi="Palatino Linotype" w:cs="Arial"/>
        </w:rPr>
        <w:t xml:space="preserve">, de la respuesta emitida por el </w:t>
      </w:r>
      <w:r w:rsidR="002C64BE" w:rsidRPr="008A7B51">
        <w:rPr>
          <w:rFonts w:ascii="Palatino Linotype" w:hAnsi="Palatino Linotype" w:cs="Arial"/>
          <w:b/>
        </w:rPr>
        <w:t>SUJETO OBLIGADO</w:t>
      </w:r>
      <w:r w:rsidR="002C64BE" w:rsidRPr="008A7B51">
        <w:rPr>
          <w:rFonts w:ascii="Palatino Linotype" w:hAnsi="Palatino Linotype" w:cs="Arial"/>
        </w:rPr>
        <w:t xml:space="preserve"> y los motivos de inconformidad expresados por </w:t>
      </w:r>
      <w:r w:rsidR="002C64BE" w:rsidRPr="008A7B51">
        <w:rPr>
          <w:rFonts w:ascii="Palatino Linotype" w:hAnsi="Palatino Linotype" w:cs="Arial"/>
          <w:b/>
        </w:rPr>
        <w:t xml:space="preserve">EL RECURRENTE, </w:t>
      </w:r>
      <w:r w:rsidR="002C64BE" w:rsidRPr="008A7B51">
        <w:rPr>
          <w:rFonts w:ascii="Palatino Linotype" w:hAnsi="Palatino Linotype" w:cs="Arial"/>
        </w:rPr>
        <w:t>ambos referidos anteriormente, se puede apreciar que no guardan armonía, por lo que</w:t>
      </w:r>
      <w:r w:rsidR="002C64BE" w:rsidRPr="008A7B51">
        <w:rPr>
          <w:rFonts w:ascii="Palatino Linotype" w:hAnsi="Palatino Linotype"/>
        </w:rPr>
        <w:t xml:space="preserve"> del análisis realizado por esta Ponencia podemos advertir que las razones que expone </w:t>
      </w:r>
      <w:r w:rsidRPr="008A7B51">
        <w:rPr>
          <w:rFonts w:ascii="Palatino Linotype" w:hAnsi="Palatino Linotype"/>
          <w:b/>
        </w:rPr>
        <w:t xml:space="preserve">LA RECURRENTE </w:t>
      </w:r>
      <w:r w:rsidR="002C64BE" w:rsidRPr="008A7B51">
        <w:rPr>
          <w:rFonts w:ascii="Palatino Linotype" w:hAnsi="Palatino Linotype"/>
        </w:rPr>
        <w:t xml:space="preserve"> al interponer su recurso de revisión no son acordes a la respuesta del sujeto</w:t>
      </w:r>
      <w:r w:rsidR="00D87DEB" w:rsidRPr="008A7B51">
        <w:rPr>
          <w:rFonts w:ascii="Palatino Linotype" w:hAnsi="Palatino Linotype"/>
        </w:rPr>
        <w:t xml:space="preserve">, pues en ningún momento </w:t>
      </w:r>
      <w:r w:rsidR="00D87DEB" w:rsidRPr="008A7B51">
        <w:rPr>
          <w:rFonts w:ascii="Palatino Linotype" w:hAnsi="Palatino Linotype"/>
          <w:b/>
        </w:rPr>
        <w:t xml:space="preserve">EL SUJETO OBLIGADO </w:t>
      </w:r>
      <w:r w:rsidRPr="008A7B51">
        <w:rPr>
          <w:rFonts w:ascii="Palatino Linotype" w:hAnsi="Palatino Linotype"/>
        </w:rPr>
        <w:t xml:space="preserve">manifestó </w:t>
      </w:r>
      <w:r w:rsidR="00D87DEB" w:rsidRPr="008A7B51">
        <w:rPr>
          <w:rFonts w:ascii="Palatino Linotype" w:hAnsi="Palatino Linotype"/>
        </w:rPr>
        <w:t xml:space="preserve">que la información solicitada sea de carácter confidencial o reservada como </w:t>
      </w:r>
      <w:r w:rsidR="00DA00C1" w:rsidRPr="008A7B51">
        <w:rPr>
          <w:rFonts w:ascii="Palatino Linotype" w:hAnsi="Palatino Linotype"/>
        </w:rPr>
        <w:t xml:space="preserve">indica </w:t>
      </w:r>
      <w:r w:rsidR="00D87DEB" w:rsidRPr="008A7B51">
        <w:rPr>
          <w:rFonts w:ascii="Palatino Linotype" w:hAnsi="Palatino Linotype"/>
        </w:rPr>
        <w:t xml:space="preserve">la inconformidad </w:t>
      </w:r>
      <w:r w:rsidRPr="008A7B51">
        <w:rPr>
          <w:rFonts w:ascii="Palatino Linotype" w:hAnsi="Palatino Linotype"/>
        </w:rPr>
        <w:t xml:space="preserve">de </w:t>
      </w:r>
      <w:r w:rsidRPr="008A7B51">
        <w:rPr>
          <w:rFonts w:ascii="Palatino Linotype" w:hAnsi="Palatino Linotype"/>
          <w:b/>
        </w:rPr>
        <w:t xml:space="preserve"> LA</w:t>
      </w:r>
      <w:r w:rsidR="00D87DEB" w:rsidRPr="008A7B51">
        <w:rPr>
          <w:rFonts w:ascii="Palatino Linotype" w:hAnsi="Palatino Linotype"/>
          <w:b/>
        </w:rPr>
        <w:t xml:space="preserve"> RECURRENTE.</w:t>
      </w:r>
    </w:p>
    <w:p w:rsidR="00D87DEB" w:rsidRPr="008A7B51" w:rsidRDefault="00D87DEB" w:rsidP="00D87DEB">
      <w:pPr>
        <w:spacing w:before="100" w:beforeAutospacing="1" w:after="100" w:afterAutospacing="1" w:line="360" w:lineRule="auto"/>
        <w:jc w:val="both"/>
        <w:rPr>
          <w:rFonts w:ascii="Palatino Linotype" w:hAnsi="Palatino Linotype" w:cs="Arial"/>
          <w:lang w:eastAsia="es-MX"/>
        </w:rPr>
      </w:pPr>
      <w:r w:rsidRPr="008A7B51">
        <w:rPr>
          <w:rFonts w:ascii="Palatino Linotype" w:hAnsi="Palatino Linotype"/>
        </w:rPr>
        <w:lastRenderedPageBreak/>
        <w:t xml:space="preserve">Es así que las razones y motivos de inconformidad vertidos al presente expediente electrónico se calificaran como inoperantes, al no tener relación con </w:t>
      </w:r>
      <w:r w:rsidR="00987575" w:rsidRPr="008A7B51">
        <w:rPr>
          <w:rFonts w:ascii="Palatino Linotype" w:hAnsi="Palatino Linotype"/>
        </w:rPr>
        <w:t>la res</w:t>
      </w:r>
      <w:r w:rsidR="002F1116" w:rsidRPr="008A7B51">
        <w:rPr>
          <w:rFonts w:ascii="Palatino Linotype" w:hAnsi="Palatino Linotype"/>
        </w:rPr>
        <w:t xml:space="preserve">puesta otorgada a lo solicitado. </w:t>
      </w:r>
      <w:r w:rsidRPr="008A7B51">
        <w:rPr>
          <w:rFonts w:ascii="Palatino Linotype" w:hAnsi="Palatino Linotype" w:cs="Arial"/>
          <w:lang w:eastAsia="es-MX"/>
        </w:rPr>
        <w:t>Sirve de apoyo por analogía la siguiente tesis jurisprudencial número VI. 2º. A. J/7, publicada en el Semanario Judicial de la Federación y su gaceta, bajo el número de registro 178,788:</w:t>
      </w:r>
    </w:p>
    <w:p w:rsidR="00D87DEB" w:rsidRPr="008A7B51" w:rsidRDefault="00D87DEB" w:rsidP="00D87DEB">
      <w:pPr>
        <w:spacing w:before="100" w:beforeAutospacing="1" w:after="100" w:afterAutospacing="1"/>
        <w:ind w:left="851" w:right="901"/>
        <w:jc w:val="both"/>
        <w:rPr>
          <w:rFonts w:ascii="Palatino Linotype" w:hAnsi="Palatino Linotype" w:cs="Arial"/>
          <w:i/>
          <w:sz w:val="22"/>
          <w:szCs w:val="22"/>
        </w:rPr>
      </w:pPr>
      <w:r w:rsidRPr="008A7B51">
        <w:rPr>
          <w:rFonts w:ascii="Palatino Linotype" w:hAnsi="Palatino Linotype" w:cs="Arial"/>
          <w:sz w:val="22"/>
          <w:szCs w:val="22"/>
          <w:lang w:eastAsia="es-MX"/>
        </w:rPr>
        <w:t>“</w:t>
      </w:r>
      <w:r w:rsidRPr="008A7B51">
        <w:rPr>
          <w:rFonts w:ascii="Palatino Linotype" w:hAnsi="Palatino Linotype" w:cs="Arial"/>
          <w:i/>
          <w:sz w:val="22"/>
          <w:szCs w:val="22"/>
        </w:rPr>
        <w:t xml:space="preserve">CONCEPTOS DE VIOLACIÓN EN EL AMPARO DIRECTO. </w:t>
      </w:r>
      <w:r w:rsidRPr="008A7B51">
        <w:rPr>
          <w:rFonts w:ascii="Palatino Linotype" w:hAnsi="Palatino Linotype" w:cs="Arial"/>
          <w:b/>
          <w:i/>
          <w:sz w:val="22"/>
          <w:szCs w:val="22"/>
        </w:rPr>
        <w:t xml:space="preserve">INOPERANCIA </w:t>
      </w:r>
      <w:r w:rsidRPr="008A7B51">
        <w:rPr>
          <w:rFonts w:ascii="Palatino Linotype" w:hAnsi="Palatino Linotype" w:cs="Arial"/>
          <w:b/>
          <w:i/>
          <w:sz w:val="22"/>
          <w:szCs w:val="22"/>
          <w:lang w:eastAsia="es-MX"/>
        </w:rPr>
        <w:t>DE</w:t>
      </w:r>
      <w:r w:rsidRPr="008A7B51">
        <w:rPr>
          <w:rFonts w:ascii="Palatino Linotype" w:hAnsi="Palatino Linotype" w:cs="Arial"/>
          <w:b/>
          <w:i/>
          <w:sz w:val="22"/>
          <w:szCs w:val="22"/>
        </w:rPr>
        <w:t xml:space="preserve"> LOS QUE INTRODUCEN CUESTIONAMIENTOS NOVEDOSOS QUE NO FUERON PLANTEADOS EN EL JUICIO NATURAL</w:t>
      </w:r>
      <w:r w:rsidRPr="008A7B51">
        <w:rPr>
          <w:rFonts w:ascii="Palatino Linotype" w:hAnsi="Palatino Linotype" w:cs="Arial"/>
          <w:i/>
          <w:sz w:val="22"/>
          <w:szCs w:val="22"/>
        </w:rPr>
        <w:t xml:space="preserve">. </w:t>
      </w:r>
      <w:r w:rsidRPr="008A7B51">
        <w:rPr>
          <w:rFonts w:ascii="Palatino Linotype" w:hAnsi="Palatino Linotype" w:cs="Arial"/>
          <w:b/>
          <w:i/>
          <w:sz w:val="22"/>
          <w:szCs w:val="22"/>
        </w:rPr>
        <w:t>Si en los conceptos de violación se formulan argumentos que no se plantearon</w:t>
      </w:r>
      <w:r w:rsidRPr="008A7B51">
        <w:rPr>
          <w:rFonts w:ascii="Palatino Linotype" w:hAnsi="Palatino Linotype" w:cs="Arial"/>
          <w:i/>
          <w:sz w:val="22"/>
          <w:szCs w:val="22"/>
        </w:rPr>
        <w:t xml:space="preserve"> ante la Sala Fiscal que dictó la sentencia que constituye el acto reclamado, </w:t>
      </w:r>
      <w:r w:rsidRPr="008A7B51">
        <w:rPr>
          <w:rFonts w:ascii="Palatino Linotype" w:hAnsi="Palatino Linotype" w:cs="Arial"/>
          <w:b/>
          <w:i/>
          <w:sz w:val="22"/>
          <w:szCs w:val="22"/>
        </w:rPr>
        <w:t xml:space="preserve">los mismos son </w:t>
      </w:r>
      <w:r w:rsidRPr="008A7B51">
        <w:rPr>
          <w:rFonts w:ascii="Palatino Linotype" w:hAnsi="Palatino Linotype" w:cs="Arial"/>
          <w:i/>
          <w:sz w:val="22"/>
          <w:szCs w:val="22"/>
        </w:rPr>
        <w:t xml:space="preserve">inoperantes, toda vez que </w:t>
      </w:r>
      <w:r w:rsidRPr="008A7B51">
        <w:rPr>
          <w:rFonts w:ascii="Palatino Linotype" w:hAnsi="Palatino Linotype"/>
          <w:i/>
          <w:sz w:val="22"/>
          <w:szCs w:val="22"/>
        </w:rPr>
        <w:t>resultaría</w:t>
      </w:r>
      <w:r w:rsidRPr="008A7B51">
        <w:rPr>
          <w:rFonts w:ascii="Palatino Linotype" w:hAnsi="Palatino Linotype" w:cs="Arial"/>
          <w:i/>
          <w:sz w:val="22"/>
          <w:szCs w:val="22"/>
        </w:rPr>
        <w:t xml:space="preserve"> injustificado examinar la constitucionalidad de la sentencia combatida </w:t>
      </w:r>
      <w:r w:rsidRPr="008A7B51">
        <w:rPr>
          <w:rFonts w:ascii="Palatino Linotype" w:hAnsi="Palatino Linotype" w:cs="Arial"/>
          <w:b/>
          <w:i/>
          <w:sz w:val="22"/>
          <w:szCs w:val="22"/>
        </w:rPr>
        <w:t>a la luz de razonamientos que no conoció la autoridad responsable</w:t>
      </w:r>
      <w:r w:rsidRPr="008A7B51">
        <w:rPr>
          <w:rFonts w:ascii="Palatino Linotype" w:hAnsi="Palatino Linotype" w:cs="Arial"/>
          <w:i/>
          <w:sz w:val="22"/>
          <w:szCs w:val="22"/>
        </w:rPr>
        <w:t xml:space="preserve">, </w:t>
      </w:r>
      <w:r w:rsidRPr="008A7B51">
        <w:rPr>
          <w:rFonts w:ascii="Palatino Linotype" w:hAnsi="Palatino Linotype" w:cs="Arial"/>
          <w:b/>
          <w:i/>
          <w:sz w:val="22"/>
          <w:szCs w:val="22"/>
        </w:rPr>
        <w:t xml:space="preserve">pues como tales manifestaciones no formaron parte de la </w:t>
      </w:r>
      <w:proofErr w:type="spellStart"/>
      <w:r w:rsidRPr="008A7B51">
        <w:rPr>
          <w:rFonts w:ascii="Palatino Linotype" w:hAnsi="Palatino Linotype" w:cs="Arial"/>
          <w:b/>
          <w:i/>
          <w:sz w:val="22"/>
          <w:szCs w:val="22"/>
        </w:rPr>
        <w:t>litis</w:t>
      </w:r>
      <w:proofErr w:type="spellEnd"/>
      <w:r w:rsidRPr="008A7B51">
        <w:rPr>
          <w:rFonts w:ascii="Palatino Linotype" w:hAnsi="Palatino Linotype" w:cs="Arial"/>
          <w:b/>
          <w:i/>
          <w:sz w:val="22"/>
          <w:szCs w:val="22"/>
        </w:rPr>
        <w:t xml:space="preserve"> natural</w:t>
      </w:r>
      <w:r w:rsidRPr="008A7B51">
        <w:rPr>
          <w:rFonts w:ascii="Palatino Linotype" w:hAnsi="Palatino Linotype" w:cs="Arial"/>
          <w:i/>
          <w:sz w:val="22"/>
          <w:szCs w:val="22"/>
        </w:rPr>
        <w:t xml:space="preserve">, la Sala </w:t>
      </w:r>
      <w:r w:rsidRPr="008A7B51">
        <w:rPr>
          <w:rFonts w:ascii="Palatino Linotype" w:hAnsi="Palatino Linotype" w:cs="Arial"/>
          <w:b/>
          <w:i/>
          <w:sz w:val="22"/>
          <w:szCs w:val="22"/>
        </w:rPr>
        <w:t>no tuvo la oportunidad legal de analizarlas ni de pronunciarse sobre ellas</w:t>
      </w:r>
      <w:r w:rsidRPr="008A7B51">
        <w:rPr>
          <w:rFonts w:ascii="Palatino Linotype" w:hAnsi="Palatino Linotype" w:cs="Arial"/>
          <w:i/>
          <w:sz w:val="22"/>
          <w:szCs w:val="22"/>
        </w:rPr>
        <w:t>.</w:t>
      </w:r>
    </w:p>
    <w:p w:rsidR="00D87DEB" w:rsidRPr="008A7B51" w:rsidRDefault="00D87DEB" w:rsidP="00D87DEB">
      <w:pPr>
        <w:spacing w:before="100" w:beforeAutospacing="1" w:after="100" w:afterAutospacing="1"/>
        <w:ind w:left="851" w:right="709"/>
        <w:jc w:val="both"/>
        <w:rPr>
          <w:rFonts w:ascii="Palatino Linotype" w:hAnsi="Palatino Linotype" w:cs="Arial"/>
          <w:i/>
          <w:sz w:val="22"/>
          <w:szCs w:val="22"/>
        </w:rPr>
      </w:pPr>
      <w:r w:rsidRPr="008A7B51">
        <w:rPr>
          <w:rFonts w:ascii="Palatino Linotype" w:hAnsi="Palatino Linotype" w:cs="Arial"/>
          <w:i/>
          <w:sz w:val="22"/>
          <w:szCs w:val="22"/>
        </w:rPr>
        <w:t>SEGUNDO TRIBUNAL COLEGIADO EN MATERIA ADMINISTRATIVA DEL SEXTO CIRCUITO.</w:t>
      </w:r>
    </w:p>
    <w:p w:rsidR="00D87DEB" w:rsidRPr="008A7B51" w:rsidRDefault="00D87DEB" w:rsidP="00D87DEB">
      <w:pPr>
        <w:spacing w:before="100" w:beforeAutospacing="1" w:after="100" w:afterAutospacing="1"/>
        <w:ind w:left="851" w:right="901"/>
        <w:jc w:val="both"/>
        <w:rPr>
          <w:rFonts w:ascii="Palatino Linotype" w:hAnsi="Palatino Linotype" w:cs="Arial"/>
          <w:i/>
          <w:sz w:val="22"/>
          <w:szCs w:val="22"/>
        </w:rPr>
      </w:pPr>
      <w:r w:rsidRPr="008A7B51">
        <w:rPr>
          <w:rFonts w:ascii="Palatino Linotype" w:hAnsi="Palatino Linotype" w:cs="Arial"/>
          <w:i/>
          <w:sz w:val="22"/>
          <w:szCs w:val="22"/>
        </w:rPr>
        <w:t>Amparo directo 338/2001. Hilados de Lana, S.A. de C.V. 31 de octubre de 2001. Unanimidad de votos. Ponente: Amanda R. García González. Secretaria: Fernanda María Adela Talavera Díaz.</w:t>
      </w:r>
    </w:p>
    <w:p w:rsidR="00D87DEB" w:rsidRPr="008A7B51" w:rsidRDefault="00D87DEB" w:rsidP="00D87DEB">
      <w:pPr>
        <w:spacing w:before="100" w:beforeAutospacing="1" w:after="100" w:afterAutospacing="1"/>
        <w:ind w:left="851" w:right="901"/>
        <w:jc w:val="both"/>
        <w:rPr>
          <w:rFonts w:ascii="Palatino Linotype" w:hAnsi="Palatino Linotype" w:cs="Arial"/>
          <w:i/>
          <w:sz w:val="22"/>
          <w:szCs w:val="22"/>
        </w:rPr>
      </w:pPr>
      <w:r w:rsidRPr="008A7B51">
        <w:rPr>
          <w:rFonts w:ascii="Palatino Linotype" w:hAnsi="Palatino Linotype" w:cs="Arial"/>
          <w:i/>
          <w:sz w:val="22"/>
          <w:szCs w:val="22"/>
        </w:rPr>
        <w:t xml:space="preserve">Amparo directo 20/2002. Afianzadora Insurgentes, S.A. de C.V. 14 de febrero de 2002. Unanimidad de votos. Ponente: Omar </w:t>
      </w:r>
      <w:proofErr w:type="spellStart"/>
      <w:r w:rsidRPr="008A7B51">
        <w:rPr>
          <w:rFonts w:ascii="Palatino Linotype" w:hAnsi="Palatino Linotype" w:cs="Arial"/>
          <w:i/>
          <w:sz w:val="22"/>
          <w:szCs w:val="22"/>
        </w:rPr>
        <w:t>Losson</w:t>
      </w:r>
      <w:proofErr w:type="spellEnd"/>
      <w:r w:rsidRPr="008A7B51">
        <w:rPr>
          <w:rFonts w:ascii="Palatino Linotype" w:hAnsi="Palatino Linotype" w:cs="Arial"/>
          <w:i/>
          <w:sz w:val="22"/>
          <w:szCs w:val="22"/>
        </w:rPr>
        <w:t xml:space="preserve"> Ovando. Secretaria: Elsa María López Luna.</w:t>
      </w:r>
    </w:p>
    <w:p w:rsidR="00D87DEB" w:rsidRPr="008A7B51" w:rsidRDefault="00D87DEB" w:rsidP="00D87DEB">
      <w:pPr>
        <w:spacing w:before="100" w:beforeAutospacing="1" w:after="100" w:afterAutospacing="1"/>
        <w:ind w:left="851" w:right="901"/>
        <w:jc w:val="both"/>
        <w:rPr>
          <w:rFonts w:ascii="Palatino Linotype" w:hAnsi="Palatino Linotype" w:cs="Arial"/>
          <w:i/>
          <w:sz w:val="22"/>
          <w:szCs w:val="22"/>
        </w:rPr>
      </w:pPr>
      <w:r w:rsidRPr="008A7B51">
        <w:rPr>
          <w:rFonts w:ascii="Palatino Linotype" w:hAnsi="Palatino Linotype" w:cs="Arial"/>
          <w:i/>
          <w:sz w:val="22"/>
          <w:szCs w:val="22"/>
        </w:rPr>
        <w:t xml:space="preserve">Amparo directo 271/2002. Fianzas México </w:t>
      </w:r>
      <w:proofErr w:type="spellStart"/>
      <w:r w:rsidRPr="008A7B51">
        <w:rPr>
          <w:rFonts w:ascii="Palatino Linotype" w:hAnsi="Palatino Linotype" w:cs="Arial"/>
          <w:i/>
          <w:sz w:val="22"/>
          <w:szCs w:val="22"/>
        </w:rPr>
        <w:t>Bital</w:t>
      </w:r>
      <w:proofErr w:type="spellEnd"/>
      <w:r w:rsidRPr="008A7B51">
        <w:rPr>
          <w:rFonts w:ascii="Palatino Linotype" w:hAnsi="Palatino Linotype" w:cs="Arial"/>
          <w:i/>
          <w:sz w:val="22"/>
          <w:szCs w:val="22"/>
        </w:rPr>
        <w:t xml:space="preserve">, S.A., Grupo Financiero </w:t>
      </w:r>
      <w:proofErr w:type="spellStart"/>
      <w:r w:rsidRPr="008A7B51">
        <w:rPr>
          <w:rFonts w:ascii="Palatino Linotype" w:hAnsi="Palatino Linotype" w:cs="Arial"/>
          <w:i/>
          <w:sz w:val="22"/>
          <w:szCs w:val="22"/>
        </w:rPr>
        <w:t>Bital</w:t>
      </w:r>
      <w:proofErr w:type="spellEnd"/>
      <w:r w:rsidRPr="008A7B51">
        <w:rPr>
          <w:rFonts w:ascii="Palatino Linotype" w:hAnsi="Palatino Linotype" w:cs="Arial"/>
          <w:i/>
          <w:sz w:val="22"/>
          <w:szCs w:val="22"/>
        </w:rPr>
        <w:t xml:space="preserve">. 7 de noviembre de 2002. Unanimidad de votos. Ponente: Antonio Meza Alarcón. Secretario: Roberto </w:t>
      </w:r>
      <w:proofErr w:type="spellStart"/>
      <w:r w:rsidRPr="008A7B51">
        <w:rPr>
          <w:rFonts w:ascii="Palatino Linotype" w:hAnsi="Palatino Linotype" w:cs="Arial"/>
          <w:i/>
          <w:sz w:val="22"/>
          <w:szCs w:val="22"/>
        </w:rPr>
        <w:t>Genchi</w:t>
      </w:r>
      <w:proofErr w:type="spellEnd"/>
      <w:r w:rsidRPr="008A7B51">
        <w:rPr>
          <w:rFonts w:ascii="Palatino Linotype" w:hAnsi="Palatino Linotype" w:cs="Arial"/>
          <w:i/>
          <w:sz w:val="22"/>
          <w:szCs w:val="22"/>
        </w:rPr>
        <w:t xml:space="preserve"> Recinos.</w:t>
      </w:r>
    </w:p>
    <w:p w:rsidR="00D87DEB" w:rsidRPr="008A7B51" w:rsidRDefault="00D87DEB" w:rsidP="00D87DEB">
      <w:pPr>
        <w:spacing w:before="100" w:beforeAutospacing="1" w:after="100" w:afterAutospacing="1"/>
        <w:ind w:left="851" w:right="901"/>
        <w:jc w:val="both"/>
        <w:rPr>
          <w:rFonts w:ascii="Palatino Linotype" w:hAnsi="Palatino Linotype" w:cs="Arial"/>
          <w:i/>
          <w:sz w:val="22"/>
          <w:szCs w:val="22"/>
        </w:rPr>
      </w:pPr>
      <w:r w:rsidRPr="008A7B51">
        <w:rPr>
          <w:rFonts w:ascii="Palatino Linotype" w:hAnsi="Palatino Linotype" w:cs="Arial"/>
          <w:i/>
          <w:sz w:val="22"/>
          <w:szCs w:val="22"/>
        </w:rPr>
        <w:t xml:space="preserve">Amparo directo 181/2003. Constructora y Arrendadora </w:t>
      </w:r>
      <w:proofErr w:type="spellStart"/>
      <w:r w:rsidRPr="008A7B51">
        <w:rPr>
          <w:rFonts w:ascii="Palatino Linotype" w:hAnsi="Palatino Linotype" w:cs="Arial"/>
          <w:i/>
          <w:sz w:val="22"/>
          <w:szCs w:val="22"/>
        </w:rPr>
        <w:t>Paquime</w:t>
      </w:r>
      <w:proofErr w:type="spellEnd"/>
      <w:r w:rsidRPr="008A7B51">
        <w:rPr>
          <w:rFonts w:ascii="Palatino Linotype" w:hAnsi="Palatino Linotype" w:cs="Arial"/>
          <w:i/>
          <w:sz w:val="22"/>
          <w:szCs w:val="22"/>
        </w:rPr>
        <w:t xml:space="preserve">, S.A. de C.V. 5 de junio de 2003. Unanimidad de votos. Ponente: Omar </w:t>
      </w:r>
      <w:proofErr w:type="spellStart"/>
      <w:r w:rsidRPr="008A7B51">
        <w:rPr>
          <w:rFonts w:ascii="Palatino Linotype" w:hAnsi="Palatino Linotype" w:cs="Arial"/>
          <w:i/>
          <w:sz w:val="22"/>
          <w:szCs w:val="22"/>
        </w:rPr>
        <w:t>Losson</w:t>
      </w:r>
      <w:proofErr w:type="spellEnd"/>
      <w:r w:rsidRPr="008A7B51">
        <w:rPr>
          <w:rFonts w:ascii="Palatino Linotype" w:hAnsi="Palatino Linotype" w:cs="Arial"/>
          <w:i/>
          <w:sz w:val="22"/>
          <w:szCs w:val="22"/>
        </w:rPr>
        <w:t xml:space="preserve"> Ovando. Secretaria: Elsa María López Luna.</w:t>
      </w:r>
    </w:p>
    <w:p w:rsidR="00D87DEB" w:rsidRPr="008A7B51" w:rsidRDefault="00D87DEB" w:rsidP="00D87DEB">
      <w:pPr>
        <w:spacing w:before="100" w:beforeAutospacing="1" w:after="100" w:afterAutospacing="1"/>
        <w:ind w:left="851" w:right="901"/>
        <w:jc w:val="both"/>
        <w:rPr>
          <w:rFonts w:ascii="Palatino Linotype" w:hAnsi="Palatino Linotype" w:cs="Arial"/>
          <w:i/>
          <w:sz w:val="22"/>
          <w:szCs w:val="22"/>
        </w:rPr>
      </w:pPr>
      <w:r w:rsidRPr="008A7B51">
        <w:rPr>
          <w:rFonts w:ascii="Palatino Linotype" w:hAnsi="Palatino Linotype" w:cs="Arial"/>
          <w:i/>
          <w:sz w:val="22"/>
          <w:szCs w:val="22"/>
        </w:rPr>
        <w:lastRenderedPageBreak/>
        <w:t xml:space="preserve">Amparo directo 137/2003. </w:t>
      </w:r>
      <w:proofErr w:type="spellStart"/>
      <w:r w:rsidRPr="008A7B51">
        <w:rPr>
          <w:rFonts w:ascii="Palatino Linotype" w:hAnsi="Palatino Linotype" w:cs="Arial"/>
          <w:i/>
          <w:sz w:val="22"/>
          <w:szCs w:val="22"/>
        </w:rPr>
        <w:t>Oficentro</w:t>
      </w:r>
      <w:proofErr w:type="spellEnd"/>
      <w:r w:rsidRPr="008A7B51">
        <w:rPr>
          <w:rFonts w:ascii="Palatino Linotype" w:hAnsi="Palatino Linotype" w:cs="Arial"/>
          <w:i/>
          <w:sz w:val="22"/>
          <w:szCs w:val="22"/>
        </w:rPr>
        <w:t xml:space="preserve"> </w:t>
      </w:r>
      <w:proofErr w:type="spellStart"/>
      <w:r w:rsidRPr="008A7B51">
        <w:rPr>
          <w:rFonts w:ascii="Palatino Linotype" w:hAnsi="Palatino Linotype" w:cs="Arial"/>
          <w:i/>
          <w:sz w:val="22"/>
          <w:szCs w:val="22"/>
        </w:rPr>
        <w:t>Zanella</w:t>
      </w:r>
      <w:proofErr w:type="spellEnd"/>
      <w:r w:rsidRPr="008A7B51">
        <w:rPr>
          <w:rFonts w:ascii="Palatino Linotype" w:hAnsi="Palatino Linotype" w:cs="Arial"/>
          <w:i/>
          <w:sz w:val="22"/>
          <w:szCs w:val="22"/>
        </w:rPr>
        <w:t xml:space="preserve">, S.A. de C.V. 12 de junio de 2003. Unanimidad de votos. Ponente: Omar </w:t>
      </w:r>
      <w:proofErr w:type="spellStart"/>
      <w:r w:rsidRPr="008A7B51">
        <w:rPr>
          <w:rFonts w:ascii="Palatino Linotype" w:hAnsi="Palatino Linotype" w:cs="Arial"/>
          <w:i/>
          <w:sz w:val="22"/>
          <w:szCs w:val="22"/>
        </w:rPr>
        <w:t>Losson</w:t>
      </w:r>
      <w:proofErr w:type="spellEnd"/>
      <w:r w:rsidRPr="008A7B51">
        <w:rPr>
          <w:rFonts w:ascii="Palatino Linotype" w:hAnsi="Palatino Linotype" w:cs="Arial"/>
          <w:i/>
          <w:sz w:val="22"/>
          <w:szCs w:val="22"/>
        </w:rPr>
        <w:t xml:space="preserve"> Ovando. Secretaria: Elsa María López Luna.</w:t>
      </w:r>
    </w:p>
    <w:p w:rsidR="00D87DEB" w:rsidRPr="008A7B51" w:rsidRDefault="00D87DEB" w:rsidP="002F1116">
      <w:pPr>
        <w:ind w:left="709" w:right="902"/>
        <w:jc w:val="both"/>
        <w:rPr>
          <w:rFonts w:ascii="Palatino Linotype" w:hAnsi="Palatino Linotype"/>
        </w:rPr>
      </w:pPr>
      <w:r w:rsidRPr="008A7B51">
        <w:rPr>
          <w:rFonts w:ascii="Palatino Linotype" w:hAnsi="Palatino Linotype" w:cs="Arial"/>
          <w:i/>
          <w:sz w:val="22"/>
          <w:szCs w:val="22"/>
        </w:rPr>
        <w:t>Véase: Apéndice al Semanario Judicial de la Federación 1917-2000, Tomo III, Materia Administrativa, página 267, tesis 250, de rubro: "CONCEPTOS DE VIOLACIÓN EN EL AMPARO DIRECTO. INEFICACIA DE LOS ARGUMENTOS NO PROPUESTOS A LA SALA FISCAL RESPONSABLE.</w:t>
      </w:r>
    </w:p>
    <w:p w:rsidR="00D87DEB" w:rsidRPr="008A7B51" w:rsidRDefault="00D87DEB" w:rsidP="00D87DEB">
      <w:pPr>
        <w:spacing w:before="100" w:beforeAutospacing="1" w:after="100" w:afterAutospacing="1" w:line="360" w:lineRule="auto"/>
        <w:ind w:right="49"/>
        <w:jc w:val="both"/>
        <w:rPr>
          <w:rFonts w:ascii="Palatino Linotype" w:hAnsi="Palatino Linotype" w:cs="Arial"/>
        </w:rPr>
      </w:pPr>
      <w:r w:rsidRPr="008A7B51">
        <w:rPr>
          <w:rFonts w:ascii="Palatino Linotype" w:hAnsi="Palatino Linotype"/>
        </w:rPr>
        <w:t xml:space="preserve">Asimismo tenemos que </w:t>
      </w:r>
      <w:r w:rsidRPr="008A7B51">
        <w:rPr>
          <w:rFonts w:ascii="Palatino Linotype" w:hAnsi="Palatino Linotype" w:cs="Arial"/>
        </w:rPr>
        <w:t>la suplencia de la queja únicamente tiene como finalidad el subsanar algunas lagunas que pudiesen existir dentro del acto reclamado y no así la complementación, modificación o adición de lo requerido inicialmente.</w:t>
      </w:r>
    </w:p>
    <w:p w:rsidR="00D87DEB" w:rsidRPr="008A7B51" w:rsidRDefault="00D87DEB" w:rsidP="00D87DEB">
      <w:pPr>
        <w:spacing w:before="100" w:beforeAutospacing="1" w:after="100" w:afterAutospacing="1" w:line="360" w:lineRule="auto"/>
        <w:ind w:right="49"/>
        <w:jc w:val="both"/>
        <w:rPr>
          <w:rFonts w:ascii="Palatino Linotype" w:hAnsi="Palatino Linotype" w:cs="Arial"/>
        </w:rPr>
      </w:pPr>
      <w:r w:rsidRPr="008A7B51">
        <w:rPr>
          <w:rFonts w:ascii="Palatino Linotype" w:hAnsi="Palatino Linotype" w:cs="Arial"/>
        </w:rPr>
        <w:t xml:space="preserve">Es por ello que </w:t>
      </w:r>
      <w:r w:rsidR="002F1116" w:rsidRPr="008A7B51">
        <w:rPr>
          <w:rFonts w:ascii="Palatino Linotype" w:hAnsi="Palatino Linotype" w:cs="Arial"/>
        </w:rPr>
        <w:t xml:space="preserve">esta ponencia </w:t>
      </w:r>
      <w:r w:rsidRPr="008A7B51">
        <w:rPr>
          <w:rFonts w:ascii="Palatino Linotype" w:hAnsi="Palatino Linotype" w:cs="Arial"/>
        </w:rPr>
        <w:t>considera que, si bien los particulares no son expertos, también lo es que se deben delimitar los alcances de la suplencia que se prevé e</w:t>
      </w:r>
      <w:r w:rsidR="002F1116" w:rsidRPr="008A7B51">
        <w:rPr>
          <w:rFonts w:ascii="Palatino Linotype" w:hAnsi="Palatino Linotype" w:cs="Arial"/>
        </w:rPr>
        <w:t>n los ordinales 13 y 181 de la L</w:t>
      </w:r>
      <w:r w:rsidRPr="008A7B51">
        <w:rPr>
          <w:rFonts w:ascii="Palatino Linotype" w:hAnsi="Palatino Linotype" w:cs="Arial"/>
        </w:rPr>
        <w:t>ey de la materia, mismos que indican lo siguiente:</w:t>
      </w:r>
    </w:p>
    <w:p w:rsidR="00D87DEB" w:rsidRPr="008A7B51" w:rsidRDefault="002F1116" w:rsidP="00FA54CC">
      <w:pPr>
        <w:widowControl w:val="0"/>
        <w:ind w:left="851" w:right="899"/>
        <w:jc w:val="both"/>
        <w:rPr>
          <w:rFonts w:ascii="Palatino Linotype" w:hAnsi="Palatino Linotype" w:cs="Tahoma"/>
          <w:i/>
          <w:sz w:val="22"/>
          <w:szCs w:val="22"/>
        </w:rPr>
      </w:pPr>
      <w:r w:rsidRPr="008A7B51">
        <w:rPr>
          <w:rFonts w:ascii="Palatino Linotype" w:hAnsi="Palatino Linotype" w:cs="Tahoma"/>
          <w:i/>
        </w:rPr>
        <w:t>“</w:t>
      </w:r>
      <w:r w:rsidR="00D87DEB" w:rsidRPr="008A7B51">
        <w:rPr>
          <w:rFonts w:ascii="Palatino Linotype" w:hAnsi="Palatino Linotype" w:cs="Tahoma"/>
          <w:b/>
          <w:i/>
        </w:rPr>
        <w:t>Artículo 13.</w:t>
      </w:r>
      <w:r w:rsidR="00D87DEB" w:rsidRPr="008A7B51">
        <w:rPr>
          <w:rFonts w:ascii="Palatino Linotype" w:hAnsi="Palatino Linotype" w:cs="Tahoma"/>
          <w:i/>
        </w:rPr>
        <w:t xml:space="preserve"> El Instituto, en el ámbito de sus atribuciones, deberá suplir cualquier deficiencia para garantizar el ejercicio del derecho de acceso a la información.</w:t>
      </w:r>
    </w:p>
    <w:p w:rsidR="002F1116" w:rsidRPr="008A7B51" w:rsidRDefault="002F1116" w:rsidP="00FA54CC">
      <w:pPr>
        <w:widowControl w:val="0"/>
        <w:ind w:left="851" w:right="899"/>
        <w:jc w:val="both"/>
        <w:rPr>
          <w:rFonts w:ascii="Palatino Linotype" w:hAnsi="Palatino Linotype" w:cs="Tahoma"/>
          <w:b/>
          <w:i/>
        </w:rPr>
      </w:pPr>
    </w:p>
    <w:p w:rsidR="00D87DEB" w:rsidRPr="008A7B51" w:rsidRDefault="00D87DEB" w:rsidP="00FA54CC">
      <w:pPr>
        <w:widowControl w:val="0"/>
        <w:ind w:left="851" w:right="899"/>
        <w:jc w:val="both"/>
        <w:rPr>
          <w:rFonts w:ascii="Palatino Linotype" w:hAnsi="Palatino Linotype" w:cs="Tahoma"/>
          <w:i/>
        </w:rPr>
      </w:pPr>
      <w:r w:rsidRPr="008A7B51">
        <w:rPr>
          <w:rFonts w:ascii="Palatino Linotype" w:hAnsi="Palatino Linotype" w:cs="Tahoma"/>
          <w:b/>
          <w:i/>
        </w:rPr>
        <w:t>Artículo 181.</w:t>
      </w:r>
      <w:r w:rsidRPr="008A7B51">
        <w:rPr>
          <w:rFonts w:ascii="Palatino Linotype" w:hAnsi="Palatino Linotype" w:cs="Tahoma"/>
          <w:i/>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La prevención tendrá el efecto de interrumpir el plazo que tiene el Instituto para resolver el recurso, por lo que comenzará a computarse a partir del día siguiente a su desahogo. No podrá prevenirse por el nombre que proporcione el solicitante. El Instituto resolverá el recurso de revisión en un plazo que no podrá exceder de treinta días hábiles, contados a partir de la </w:t>
      </w:r>
      <w:r w:rsidRPr="008A7B51">
        <w:rPr>
          <w:rFonts w:ascii="Palatino Linotype" w:hAnsi="Palatino Linotype" w:cs="Tahoma"/>
          <w:i/>
        </w:rPr>
        <w:lastRenderedPageBreak/>
        <w:t xml:space="preserve">admisión del mismo, en los términos que establezca la presente ley, plazo que podrá ampliarse por una sola vez y hasta por un periodo de quince días hábiles. </w:t>
      </w:r>
      <w:r w:rsidRPr="008A7B51">
        <w:rPr>
          <w:rFonts w:ascii="Palatino Linotype" w:hAnsi="Palatino Linotype" w:cs="Tahoma"/>
          <w:b/>
          <w:i/>
        </w:rPr>
        <w:t>Durante el procedimiento deberá aplicarse la suplencia de la queja a favor del recurrente, sin cambiar los hechos expuestos, asegurándose de que las partes puedan presentar, de manera oral o escrita, los argumentos que funden y motiven sus pretensiones</w:t>
      </w:r>
      <w:r w:rsidR="002F1116" w:rsidRPr="008A7B51">
        <w:rPr>
          <w:rFonts w:ascii="Palatino Linotype" w:hAnsi="Palatino Linotype" w:cs="Tahoma"/>
          <w:b/>
          <w:i/>
        </w:rPr>
        <w:t xml:space="preserve">. </w:t>
      </w:r>
      <w:r w:rsidRPr="008A7B51">
        <w:rPr>
          <w:rFonts w:ascii="Palatino Linotype" w:hAnsi="Palatino Linotype" w:cs="Tahoma"/>
          <w:i/>
        </w:rPr>
        <w:t>Para el caso de interposición del recurso de revisión a través de la Plataforma Nacional o la plataforma que para tales efectos habilite el Instituto, éste podrá solicitar al particular subsane las deficiencias por ese medio.</w:t>
      </w:r>
    </w:p>
    <w:p w:rsidR="002F1116" w:rsidRPr="008A7B51" w:rsidRDefault="002F1116" w:rsidP="00FA54CC">
      <w:pPr>
        <w:widowControl w:val="0"/>
        <w:ind w:left="851" w:right="899"/>
        <w:jc w:val="both"/>
        <w:rPr>
          <w:rFonts w:ascii="Palatino Linotype" w:hAnsi="Palatino Linotype" w:cs="Tahoma"/>
          <w:i/>
        </w:rPr>
      </w:pPr>
      <w:r w:rsidRPr="008A7B51">
        <w:rPr>
          <w:rFonts w:ascii="Palatino Linotype" w:hAnsi="Palatino Linotype" w:cs="Tahoma"/>
          <w:i/>
        </w:rPr>
        <w:t>(Énfasis añadido)</w:t>
      </w:r>
    </w:p>
    <w:p w:rsidR="00D87DEB" w:rsidRPr="008A7B51" w:rsidRDefault="00D87DEB" w:rsidP="00D87DEB">
      <w:pPr>
        <w:widowControl w:val="0"/>
        <w:ind w:left="709" w:right="757"/>
        <w:jc w:val="both"/>
        <w:rPr>
          <w:rFonts w:ascii="Palatino Linotype" w:hAnsi="Palatino Linotype" w:cs="Tahoma"/>
          <w:i/>
        </w:rPr>
      </w:pPr>
    </w:p>
    <w:p w:rsidR="00D87DEB" w:rsidRPr="008A7B51" w:rsidRDefault="00D87DEB" w:rsidP="00D87DEB">
      <w:pPr>
        <w:spacing w:before="100" w:beforeAutospacing="1" w:after="100" w:afterAutospacing="1" w:line="360" w:lineRule="auto"/>
        <w:ind w:right="49"/>
        <w:jc w:val="both"/>
        <w:rPr>
          <w:rFonts w:ascii="Palatino Linotype" w:hAnsi="Palatino Linotype" w:cs="Arial"/>
        </w:rPr>
      </w:pPr>
      <w:r w:rsidRPr="008A7B51">
        <w:rPr>
          <w:rFonts w:ascii="Palatino Linotype" w:hAnsi="Palatino Linotype" w:cs="Arial"/>
        </w:rPr>
        <w:t>Aunado a lo anterior, se considera menester hacer mención de la tesis I.4o.A.41 K (10a.), m</w:t>
      </w:r>
      <w:r w:rsidR="002F1116" w:rsidRPr="008A7B51">
        <w:rPr>
          <w:rFonts w:ascii="Palatino Linotype" w:hAnsi="Palatino Linotype" w:cs="Arial"/>
        </w:rPr>
        <w:t>isma que nos dicta lo siguiente:</w:t>
      </w:r>
    </w:p>
    <w:p w:rsidR="00D87DEB" w:rsidRPr="008A7B51" w:rsidRDefault="00D87DEB" w:rsidP="00FA54CC">
      <w:pPr>
        <w:ind w:left="851" w:right="899"/>
        <w:jc w:val="both"/>
        <w:rPr>
          <w:rFonts w:ascii="Palatino Linotype" w:hAnsi="Palatino Linotype" w:cstheme="minorBidi"/>
          <w:i/>
          <w:sz w:val="22"/>
          <w:szCs w:val="22"/>
        </w:rPr>
      </w:pPr>
      <w:r w:rsidRPr="008A7B51">
        <w:rPr>
          <w:rFonts w:ascii="Palatino Linotype" w:hAnsi="Palatino Linotype"/>
          <w:i/>
          <w:sz w:val="22"/>
          <w:szCs w:val="22"/>
        </w:rPr>
        <w:t xml:space="preserve">SUPLENCIA DE LA QUEJA DEFICIENTE EN EL AMPARO. </w:t>
      </w:r>
      <w:r w:rsidRPr="008A7B51">
        <w:rPr>
          <w:rFonts w:ascii="Palatino Linotype" w:hAnsi="Palatino Linotype"/>
          <w:b/>
          <w:i/>
          <w:sz w:val="22"/>
          <w:szCs w:val="22"/>
        </w:rPr>
        <w:t>NO TIENE EL ALCANCE DE QUE EL JUZGADOR CONSIDERE COMO ACTOS RECLAMADOS, AQUELLOS QUE EL QUEJOSO NO SEÑALÓ</w:t>
      </w:r>
      <w:r w:rsidRPr="008A7B51">
        <w:rPr>
          <w:rFonts w:ascii="Palatino Linotype" w:hAnsi="Palatino Linotype"/>
          <w:i/>
          <w:sz w:val="22"/>
          <w:szCs w:val="22"/>
        </w:rPr>
        <w:t>.</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De conformidad con el artículo 79 de la Ley de Amparo y la jurisprudencia P</w:t>
      </w:r>
      <w:proofErr w:type="gramStart"/>
      <w:r w:rsidRPr="008A7B51">
        <w:rPr>
          <w:rFonts w:ascii="Palatino Linotype" w:hAnsi="Palatino Linotype"/>
          <w:i/>
          <w:sz w:val="22"/>
          <w:szCs w:val="22"/>
        </w:rPr>
        <w:t>./</w:t>
      </w:r>
      <w:proofErr w:type="gramEnd"/>
      <w:r w:rsidRPr="008A7B51">
        <w:rPr>
          <w:rFonts w:ascii="Palatino Linotype" w:hAnsi="Palatino Linotype"/>
          <w:i/>
          <w:sz w:val="22"/>
          <w:szCs w:val="22"/>
        </w:rPr>
        <w:t xml:space="preserve">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w:t>
      </w:r>
      <w:proofErr w:type="spellStart"/>
      <w:r w:rsidRPr="008A7B51">
        <w:rPr>
          <w:rFonts w:ascii="Palatino Linotype" w:hAnsi="Palatino Linotype"/>
          <w:i/>
          <w:sz w:val="22"/>
          <w:szCs w:val="22"/>
        </w:rPr>
        <w:t>promovente</w:t>
      </w:r>
      <w:proofErr w:type="spellEnd"/>
      <w:r w:rsidRPr="008A7B51">
        <w:rPr>
          <w:rFonts w:ascii="Palatino Linotype" w:hAnsi="Palatino Linotype"/>
          <w:i/>
          <w:sz w:val="22"/>
          <w:szCs w:val="22"/>
        </w:rPr>
        <w:t xml:space="preserve"> para que aclare su demanda cuando omita expresar los actos que de cada autoridad reclame y, si no cumple la prevención, no puede subsanarse esa deficiencia.</w:t>
      </w:r>
    </w:p>
    <w:p w:rsidR="00D87DEB" w:rsidRPr="008A7B51" w:rsidRDefault="00D87DEB" w:rsidP="00FA54CC">
      <w:pPr>
        <w:spacing w:before="100" w:beforeAutospacing="1" w:after="100" w:afterAutospacing="1"/>
        <w:ind w:left="851" w:right="899"/>
        <w:jc w:val="both"/>
        <w:rPr>
          <w:rFonts w:ascii="Palatino Linotype" w:hAnsi="Palatino Linotype"/>
          <w:i/>
          <w:sz w:val="22"/>
          <w:szCs w:val="22"/>
        </w:rPr>
      </w:pPr>
      <w:r w:rsidRPr="008A7B51">
        <w:rPr>
          <w:rFonts w:ascii="Palatino Linotype" w:hAnsi="Palatino Linotype"/>
          <w:i/>
          <w:sz w:val="22"/>
          <w:szCs w:val="22"/>
        </w:rPr>
        <w:lastRenderedPageBreak/>
        <w:t>CUARTO TRIBUNAL COLEGIADO EN MATERIA ADMINISTRATIVA DEL PRIMER CIRCUITO.</w:t>
      </w:r>
    </w:p>
    <w:p w:rsidR="00D87DEB" w:rsidRPr="008A7B51" w:rsidRDefault="00D87DEB" w:rsidP="00FA54CC">
      <w:pPr>
        <w:spacing w:before="100" w:beforeAutospacing="1" w:after="100" w:afterAutospacing="1"/>
        <w:ind w:left="851" w:right="899"/>
        <w:jc w:val="both"/>
        <w:rPr>
          <w:rFonts w:ascii="Palatino Linotype" w:hAnsi="Palatino Linotype"/>
          <w:i/>
          <w:sz w:val="22"/>
          <w:szCs w:val="22"/>
        </w:rPr>
      </w:pPr>
      <w:r w:rsidRPr="008A7B51">
        <w:rPr>
          <w:rFonts w:ascii="Palatino Linotype" w:hAnsi="Palatino Linotype"/>
          <w:i/>
          <w:sz w:val="22"/>
          <w:szCs w:val="22"/>
        </w:rPr>
        <w:t xml:space="preserve">Amparo en revisión 528/2017. Ernesto Benítez Nieto. 11 de octubre de 2018. Unanimidad de votos. Ponente: Jean Claude </w:t>
      </w:r>
      <w:proofErr w:type="spellStart"/>
      <w:r w:rsidRPr="008A7B51">
        <w:rPr>
          <w:rFonts w:ascii="Palatino Linotype" w:hAnsi="Palatino Linotype"/>
          <w:i/>
          <w:sz w:val="22"/>
          <w:szCs w:val="22"/>
        </w:rPr>
        <w:t>Tron</w:t>
      </w:r>
      <w:proofErr w:type="spellEnd"/>
      <w:r w:rsidRPr="008A7B51">
        <w:rPr>
          <w:rFonts w:ascii="Palatino Linotype" w:hAnsi="Palatino Linotype"/>
          <w:i/>
          <w:sz w:val="22"/>
          <w:szCs w:val="22"/>
        </w:rPr>
        <w:t xml:space="preserve"> </w:t>
      </w:r>
      <w:proofErr w:type="spellStart"/>
      <w:r w:rsidRPr="008A7B51">
        <w:rPr>
          <w:rFonts w:ascii="Palatino Linotype" w:hAnsi="Palatino Linotype"/>
          <w:i/>
          <w:sz w:val="22"/>
          <w:szCs w:val="22"/>
        </w:rPr>
        <w:t>Petit</w:t>
      </w:r>
      <w:proofErr w:type="spellEnd"/>
      <w:r w:rsidRPr="008A7B51">
        <w:rPr>
          <w:rFonts w:ascii="Palatino Linotype" w:hAnsi="Palatino Linotype"/>
          <w:i/>
          <w:sz w:val="22"/>
          <w:szCs w:val="22"/>
        </w:rPr>
        <w:t>. Secretario: José Arturo Ramírez Becerra.</w:t>
      </w:r>
    </w:p>
    <w:p w:rsidR="00D87DEB" w:rsidRPr="008A7B51" w:rsidRDefault="00D87DEB" w:rsidP="00FA54CC">
      <w:pPr>
        <w:spacing w:before="100" w:beforeAutospacing="1" w:after="100" w:afterAutospacing="1"/>
        <w:ind w:left="851" w:right="899"/>
        <w:jc w:val="both"/>
        <w:rPr>
          <w:rFonts w:ascii="Palatino Linotype" w:hAnsi="Palatino Linotype"/>
          <w:i/>
          <w:sz w:val="22"/>
          <w:szCs w:val="22"/>
        </w:rPr>
      </w:pPr>
      <w:r w:rsidRPr="008A7B51">
        <w:rPr>
          <w:rFonts w:ascii="Palatino Linotype" w:hAnsi="Palatino Linotype"/>
          <w:i/>
          <w:sz w:val="22"/>
          <w:szCs w:val="22"/>
        </w:rPr>
        <w:t>Nota: La tesis de jurisprudencia P</w:t>
      </w:r>
      <w:proofErr w:type="gramStart"/>
      <w:r w:rsidRPr="008A7B51">
        <w:rPr>
          <w:rFonts w:ascii="Palatino Linotype" w:hAnsi="Palatino Linotype"/>
          <w:i/>
          <w:sz w:val="22"/>
          <w:szCs w:val="22"/>
        </w:rPr>
        <w:t>./</w:t>
      </w:r>
      <w:proofErr w:type="gramEnd"/>
      <w:r w:rsidRPr="008A7B51">
        <w:rPr>
          <w:rFonts w:ascii="Palatino Linotype" w:hAnsi="Palatino Linotype"/>
          <w:i/>
          <w:sz w:val="22"/>
          <w:szCs w:val="22"/>
        </w:rPr>
        <w:t xml:space="preserve">J. 7/2017 (10a.) citada, aparece publicada en </w:t>
      </w:r>
      <w:proofErr w:type="spellStart"/>
      <w:r w:rsidRPr="008A7B51">
        <w:rPr>
          <w:rFonts w:ascii="Palatino Linotype" w:hAnsi="Palatino Linotype"/>
          <w:i/>
          <w:sz w:val="22"/>
          <w:szCs w:val="22"/>
        </w:rPr>
        <w:t>el</w:t>
      </w:r>
      <w:proofErr w:type="spellEnd"/>
      <w:r w:rsidRPr="008A7B51">
        <w:rPr>
          <w:rFonts w:ascii="Palatino Linotype" w:hAnsi="Palatino Linotype"/>
          <w:i/>
          <w:sz w:val="22"/>
          <w:szCs w:val="22"/>
        </w:rPr>
        <w:t xml:space="preserve"> </w:t>
      </w:r>
      <w:r w:rsidR="00FB6A2F" w:rsidRPr="008A7B51">
        <w:rPr>
          <w:rFonts w:ascii="Palatino Linotype" w:hAnsi="Palatino Linotype"/>
          <w:i/>
          <w:sz w:val="22"/>
          <w:szCs w:val="22"/>
        </w:rPr>
        <w:t xml:space="preserve"> </w:t>
      </w:r>
      <w:r w:rsidRPr="008A7B51">
        <w:rPr>
          <w:rFonts w:ascii="Palatino Linotype" w:hAnsi="Palatino Linotype"/>
          <w:i/>
          <w:sz w:val="22"/>
          <w:szCs w:val="22"/>
        </w:rPr>
        <w:t>y en la Gaceta del Semanario Judicial de la Federación, Décima Época, Libro 42, Tomo I, mayo de 2017, página 12.</w:t>
      </w:r>
    </w:p>
    <w:p w:rsidR="00D87DEB" w:rsidRPr="008A7B51" w:rsidRDefault="002F1116" w:rsidP="00D87DEB">
      <w:pPr>
        <w:spacing w:before="100" w:beforeAutospacing="1" w:after="100" w:afterAutospacing="1" w:line="360" w:lineRule="auto"/>
        <w:jc w:val="both"/>
        <w:rPr>
          <w:rFonts w:ascii="Palatino Linotype" w:hAnsi="Palatino Linotype"/>
        </w:rPr>
      </w:pPr>
      <w:r w:rsidRPr="008A7B51">
        <w:rPr>
          <w:rFonts w:ascii="Palatino Linotype" w:hAnsi="Palatino Linotype"/>
        </w:rPr>
        <w:t xml:space="preserve">Acorde con lo anterior, </w:t>
      </w:r>
      <w:r w:rsidR="00D87DEB" w:rsidRPr="008A7B51">
        <w:rPr>
          <w:rFonts w:ascii="Palatino Linotype" w:hAnsi="Palatino Linotype"/>
        </w:rPr>
        <w:t>se considera menester traer a contexto los numeral 191 y 192 de la Ley de Transparencia y Acceso a la Información Pública del Est</w:t>
      </w:r>
      <w:r w:rsidRPr="008A7B51">
        <w:rPr>
          <w:rFonts w:ascii="Palatino Linotype" w:hAnsi="Palatino Linotype"/>
        </w:rPr>
        <w:t>ado de México y Municipios mismos</w:t>
      </w:r>
      <w:r w:rsidR="00D87DEB" w:rsidRPr="008A7B51">
        <w:rPr>
          <w:rFonts w:ascii="Palatino Linotype" w:hAnsi="Palatino Linotype"/>
        </w:rPr>
        <w:t xml:space="preserve"> que </w:t>
      </w:r>
      <w:r w:rsidRPr="008A7B51">
        <w:rPr>
          <w:rFonts w:ascii="Palatino Linotype" w:hAnsi="Palatino Linotype"/>
        </w:rPr>
        <w:t xml:space="preserve">establecen </w:t>
      </w:r>
      <w:r w:rsidR="00D87DEB" w:rsidRPr="008A7B51">
        <w:rPr>
          <w:rFonts w:ascii="Palatino Linotype" w:hAnsi="Palatino Linotype"/>
        </w:rPr>
        <w:t>lo siguiente:</w:t>
      </w:r>
    </w:p>
    <w:p w:rsidR="00D87DEB" w:rsidRPr="008A7B51" w:rsidRDefault="002F1116" w:rsidP="00FA54CC">
      <w:pPr>
        <w:ind w:left="851" w:right="899"/>
        <w:jc w:val="both"/>
        <w:rPr>
          <w:rFonts w:ascii="Palatino Linotype" w:hAnsi="Palatino Linotype"/>
          <w:i/>
          <w:sz w:val="22"/>
          <w:szCs w:val="22"/>
        </w:rPr>
      </w:pPr>
      <w:r w:rsidRPr="008A7B51">
        <w:rPr>
          <w:rFonts w:ascii="Palatino Linotype" w:hAnsi="Palatino Linotype"/>
          <w:b/>
          <w:i/>
          <w:sz w:val="22"/>
          <w:szCs w:val="22"/>
        </w:rPr>
        <w:t>“</w:t>
      </w:r>
      <w:r w:rsidR="00D87DEB" w:rsidRPr="008A7B51">
        <w:rPr>
          <w:rFonts w:ascii="Palatino Linotype" w:hAnsi="Palatino Linotype"/>
          <w:b/>
          <w:i/>
          <w:sz w:val="22"/>
          <w:szCs w:val="22"/>
        </w:rPr>
        <w:t>Artículo 191</w:t>
      </w:r>
      <w:r w:rsidR="00D87DEB" w:rsidRPr="008A7B51">
        <w:rPr>
          <w:rFonts w:ascii="Palatino Linotype" w:hAnsi="Palatino Linotype"/>
          <w:i/>
          <w:sz w:val="22"/>
          <w:szCs w:val="22"/>
        </w:rPr>
        <w:t xml:space="preserve">. El recurso será desechado por improcedente cuando: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I. Sea extemporáneo por haber transcurrido el plazo establecido en la presente Ley, a partir de la respuesta;</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 II. Se esté tramitando ante el Poder Judicial de la Federación algún recurso o medio de defensa interpuesto por el recurrente; </w:t>
      </w:r>
    </w:p>
    <w:p w:rsidR="00D87DEB" w:rsidRPr="008A7B51" w:rsidRDefault="00D87DEB" w:rsidP="00FA54CC">
      <w:pPr>
        <w:ind w:left="851" w:right="899"/>
        <w:jc w:val="both"/>
        <w:rPr>
          <w:rFonts w:ascii="Palatino Linotype" w:hAnsi="Palatino Linotype"/>
          <w:b/>
          <w:i/>
          <w:sz w:val="22"/>
          <w:szCs w:val="22"/>
        </w:rPr>
      </w:pPr>
      <w:r w:rsidRPr="008A7B51">
        <w:rPr>
          <w:rFonts w:ascii="Palatino Linotype" w:hAnsi="Palatino Linotype"/>
          <w:b/>
          <w:i/>
          <w:sz w:val="22"/>
          <w:szCs w:val="22"/>
        </w:rPr>
        <w:t xml:space="preserve">III. No actualice alguno de los supuestos previstos en la presente Ley;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IV. No se haya desahogado la prevención en los términos establecidos en la presente Ley;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V. Se impugne la veracidad de la información proporcionada;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VI. Se trate de una consulta, o trámite en específico; y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VII. El recurrente amplíe su solicitud en el recurso de revisión, únicamente respecto de los nuevos contenidos.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b/>
          <w:i/>
          <w:sz w:val="22"/>
          <w:szCs w:val="22"/>
        </w:rPr>
        <w:t>Artículo 192</w:t>
      </w:r>
      <w:r w:rsidRPr="008A7B51">
        <w:rPr>
          <w:rFonts w:ascii="Palatino Linotype" w:hAnsi="Palatino Linotype"/>
          <w:i/>
          <w:sz w:val="22"/>
          <w:szCs w:val="22"/>
        </w:rPr>
        <w:t>. El recurso será sobreseído, en todo o en parte, cuando una vez admitido, se actualicen alguno de los siguientes supuestos:</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 I. El recurrente se desista expresamente del recurso;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 xml:space="preserve">II. El recurrente fallezca o, tratándose de personas jurídicas colectivas, se disuelva;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III. El sujeto obligado responsable del acto lo modifique o revoque de tal manera que el recurso de revisión quede sin materia;</w:t>
      </w:r>
    </w:p>
    <w:p w:rsidR="00D87DEB" w:rsidRPr="008A7B51" w:rsidRDefault="00D87DEB" w:rsidP="00FA54CC">
      <w:pPr>
        <w:ind w:left="851" w:right="899"/>
        <w:jc w:val="both"/>
        <w:rPr>
          <w:rFonts w:ascii="Palatino Linotype" w:hAnsi="Palatino Linotype"/>
          <w:b/>
          <w:i/>
          <w:sz w:val="22"/>
          <w:szCs w:val="22"/>
        </w:rPr>
      </w:pPr>
      <w:r w:rsidRPr="008A7B51">
        <w:rPr>
          <w:rFonts w:ascii="Palatino Linotype" w:hAnsi="Palatino Linotype"/>
          <w:b/>
          <w:i/>
          <w:sz w:val="22"/>
          <w:szCs w:val="22"/>
        </w:rPr>
        <w:t xml:space="preserve"> IV. Admitido el recurso de revisión, aparezca alguna causal de improcedencia en los términos de la presente Ley; y </w:t>
      </w:r>
    </w:p>
    <w:p w:rsidR="00D87DEB" w:rsidRPr="008A7B51" w:rsidRDefault="00D87DEB" w:rsidP="00FA54CC">
      <w:pPr>
        <w:ind w:left="851" w:right="899"/>
        <w:jc w:val="both"/>
        <w:rPr>
          <w:rFonts w:ascii="Palatino Linotype" w:hAnsi="Palatino Linotype"/>
          <w:i/>
          <w:sz w:val="22"/>
          <w:szCs w:val="22"/>
        </w:rPr>
      </w:pPr>
      <w:r w:rsidRPr="008A7B51">
        <w:rPr>
          <w:rFonts w:ascii="Palatino Linotype" w:hAnsi="Palatino Linotype"/>
          <w:i/>
          <w:sz w:val="22"/>
          <w:szCs w:val="22"/>
        </w:rPr>
        <w:t>V. Cuando por cualquier motivo quede sin materia el recurso.</w:t>
      </w:r>
    </w:p>
    <w:p w:rsidR="00FA54CC" w:rsidRPr="008A7B51" w:rsidRDefault="00FA54CC" w:rsidP="00FA54CC">
      <w:pPr>
        <w:ind w:left="851" w:right="899"/>
        <w:jc w:val="both"/>
        <w:rPr>
          <w:rFonts w:ascii="Palatino Linotype" w:hAnsi="Palatino Linotype" w:cs="Arial"/>
          <w:bCs/>
        </w:rPr>
      </w:pPr>
      <w:r w:rsidRPr="008A7B51">
        <w:rPr>
          <w:rFonts w:ascii="Palatino Linotype" w:hAnsi="Palatino Linotype"/>
          <w:i/>
          <w:sz w:val="22"/>
          <w:szCs w:val="22"/>
        </w:rPr>
        <w:lastRenderedPageBreak/>
        <w:t>(Énfasis añadido)</w:t>
      </w:r>
    </w:p>
    <w:p w:rsidR="00D87DEB" w:rsidRPr="008A7B51" w:rsidRDefault="002F1116" w:rsidP="00D87DEB">
      <w:pPr>
        <w:spacing w:before="100" w:beforeAutospacing="1" w:after="100" w:afterAutospacing="1" w:line="360" w:lineRule="auto"/>
        <w:jc w:val="both"/>
        <w:rPr>
          <w:rFonts w:ascii="Palatino Linotype" w:hAnsi="Palatino Linotype" w:cs="Arial"/>
          <w:bCs/>
        </w:rPr>
      </w:pPr>
      <w:r w:rsidRPr="008A7B51">
        <w:rPr>
          <w:rFonts w:ascii="Palatino Linotype" w:hAnsi="Palatino Linotype" w:cs="Arial"/>
          <w:bCs/>
        </w:rPr>
        <w:t xml:space="preserve">Como resultado, </w:t>
      </w:r>
      <w:r w:rsidR="00D87DEB" w:rsidRPr="008A7B51">
        <w:rPr>
          <w:rFonts w:ascii="Palatino Linotype" w:hAnsi="Palatino Linotype" w:cs="Arial"/>
          <w:bCs/>
        </w:rPr>
        <w:t xml:space="preserve">al no guardar relación las razones y motivos de inconformidad con lo requerido de manera primigenia se actualiza una causal de improcedencia, motivo por el cual se deberá </w:t>
      </w:r>
      <w:r w:rsidR="00D87DEB" w:rsidRPr="008A7B51">
        <w:rPr>
          <w:rFonts w:ascii="Palatino Linotype" w:hAnsi="Palatino Linotype" w:cs="Arial"/>
          <w:b/>
          <w:bCs/>
        </w:rPr>
        <w:t xml:space="preserve">SOBRESEER </w:t>
      </w:r>
      <w:r w:rsidR="00D87DEB" w:rsidRPr="008A7B51">
        <w:rPr>
          <w:rFonts w:ascii="Palatino Linotype" w:hAnsi="Palatino Linotype" w:cs="Arial"/>
          <w:bCs/>
        </w:rPr>
        <w:t xml:space="preserve">el  recurso de revisión número </w:t>
      </w:r>
      <w:r w:rsidR="00D87DEB" w:rsidRPr="008A7B51">
        <w:rPr>
          <w:rFonts w:ascii="Palatino Linotype" w:hAnsi="Palatino Linotype"/>
          <w:b/>
          <w:sz w:val="22"/>
          <w:szCs w:val="22"/>
          <w:lang w:val="en-GB"/>
        </w:rPr>
        <w:t xml:space="preserve">04477/INFOEM/IP/RR/2021, </w:t>
      </w:r>
      <w:proofErr w:type="spellStart"/>
      <w:r w:rsidR="00D87DEB" w:rsidRPr="008A7B51">
        <w:rPr>
          <w:rFonts w:ascii="Palatino Linotype" w:hAnsi="Palatino Linotype"/>
          <w:lang w:val="en-GB"/>
        </w:rPr>
        <w:t>toda</w:t>
      </w:r>
      <w:proofErr w:type="spellEnd"/>
      <w:r w:rsidR="00D87DEB" w:rsidRPr="008A7B51">
        <w:rPr>
          <w:rFonts w:ascii="Palatino Linotype" w:hAnsi="Palatino Linotype"/>
          <w:lang w:val="en-GB"/>
        </w:rPr>
        <w:t xml:space="preserve"> </w:t>
      </w:r>
      <w:proofErr w:type="spellStart"/>
      <w:r w:rsidR="00D87DEB" w:rsidRPr="008A7B51">
        <w:rPr>
          <w:rFonts w:ascii="Palatino Linotype" w:hAnsi="Palatino Linotype"/>
          <w:lang w:val="en-GB"/>
        </w:rPr>
        <w:t>vez</w:t>
      </w:r>
      <w:proofErr w:type="spellEnd"/>
      <w:r w:rsidR="00D87DEB" w:rsidRPr="008A7B51">
        <w:rPr>
          <w:rFonts w:ascii="Palatino Linotype" w:hAnsi="Palatino Linotype"/>
          <w:lang w:val="en-GB"/>
        </w:rPr>
        <w:t xml:space="preserve"> </w:t>
      </w:r>
      <w:proofErr w:type="spellStart"/>
      <w:r w:rsidR="00D87DEB" w:rsidRPr="008A7B51">
        <w:rPr>
          <w:rFonts w:ascii="Palatino Linotype" w:hAnsi="Palatino Linotype"/>
          <w:lang w:val="en-GB"/>
        </w:rPr>
        <w:t>que</w:t>
      </w:r>
      <w:proofErr w:type="spellEnd"/>
      <w:r w:rsidR="00D87DEB" w:rsidRPr="008A7B51">
        <w:rPr>
          <w:rFonts w:ascii="Palatino Linotype" w:hAnsi="Palatino Linotype"/>
          <w:lang w:val="en-GB"/>
        </w:rPr>
        <w:t xml:space="preserve"> se </w:t>
      </w:r>
      <w:proofErr w:type="spellStart"/>
      <w:r w:rsidR="00D87DEB" w:rsidRPr="008A7B51">
        <w:rPr>
          <w:rFonts w:ascii="Palatino Linotype" w:hAnsi="Palatino Linotype"/>
          <w:lang w:val="en-GB"/>
        </w:rPr>
        <w:t>actualiza</w:t>
      </w:r>
      <w:proofErr w:type="spellEnd"/>
      <w:r w:rsidR="00D87DEB" w:rsidRPr="008A7B51">
        <w:rPr>
          <w:rFonts w:ascii="Palatino Linotype" w:hAnsi="Palatino Linotype"/>
          <w:lang w:val="en-GB"/>
        </w:rPr>
        <w:t xml:space="preserve"> el </w:t>
      </w:r>
      <w:proofErr w:type="spellStart"/>
      <w:r w:rsidR="00D87DEB" w:rsidRPr="008A7B51">
        <w:rPr>
          <w:rFonts w:ascii="Palatino Linotype" w:hAnsi="Palatino Linotype"/>
          <w:lang w:val="en-GB"/>
        </w:rPr>
        <w:t>supuesto</w:t>
      </w:r>
      <w:proofErr w:type="spellEnd"/>
      <w:r w:rsidR="00D87DEB" w:rsidRPr="008A7B51">
        <w:rPr>
          <w:rFonts w:ascii="Palatino Linotype" w:hAnsi="Palatino Linotype"/>
          <w:lang w:val="en-GB"/>
        </w:rPr>
        <w:t xml:space="preserve"> </w:t>
      </w:r>
      <w:proofErr w:type="spellStart"/>
      <w:r w:rsidR="00D87DEB" w:rsidRPr="008A7B51">
        <w:rPr>
          <w:rFonts w:ascii="Palatino Linotype" w:hAnsi="Palatino Linotype"/>
          <w:lang w:val="en-GB"/>
        </w:rPr>
        <w:t>previsto</w:t>
      </w:r>
      <w:proofErr w:type="spellEnd"/>
      <w:r w:rsidR="00D87DEB" w:rsidRPr="008A7B51">
        <w:rPr>
          <w:rFonts w:ascii="Palatino Linotype" w:hAnsi="Palatino Linotype"/>
          <w:b/>
          <w:lang w:val="en-GB"/>
        </w:rPr>
        <w:t xml:space="preserve"> </w:t>
      </w:r>
      <w:proofErr w:type="spellStart"/>
      <w:r w:rsidR="00D87DEB" w:rsidRPr="008A7B51">
        <w:rPr>
          <w:rFonts w:ascii="Palatino Linotype" w:hAnsi="Palatino Linotype"/>
          <w:lang w:val="en-GB"/>
        </w:rPr>
        <w:t>en</w:t>
      </w:r>
      <w:proofErr w:type="spellEnd"/>
      <w:r w:rsidR="00D87DEB" w:rsidRPr="008A7B51">
        <w:rPr>
          <w:rFonts w:ascii="Palatino Linotype" w:hAnsi="Palatino Linotype"/>
          <w:lang w:val="en-GB"/>
        </w:rPr>
        <w:t xml:space="preserve"> la </w:t>
      </w:r>
      <w:proofErr w:type="spellStart"/>
      <w:r w:rsidR="00D87DEB" w:rsidRPr="008A7B51">
        <w:rPr>
          <w:rFonts w:ascii="Palatino Linotype" w:hAnsi="Palatino Linotype"/>
          <w:lang w:val="en-GB"/>
        </w:rPr>
        <w:t>fracción</w:t>
      </w:r>
      <w:proofErr w:type="spellEnd"/>
      <w:r w:rsidR="00D87DEB" w:rsidRPr="008A7B51">
        <w:rPr>
          <w:rFonts w:ascii="Palatino Linotype" w:hAnsi="Palatino Linotype"/>
          <w:lang w:val="en-GB"/>
        </w:rPr>
        <w:t xml:space="preserve"> IV del numeral 192 de la ley de la material.</w:t>
      </w:r>
    </w:p>
    <w:p w:rsidR="00B73983" w:rsidRPr="008A7B51" w:rsidRDefault="00B73983" w:rsidP="00B73983">
      <w:pPr>
        <w:spacing w:before="240" w:after="240" w:line="360" w:lineRule="auto"/>
        <w:jc w:val="center"/>
        <w:rPr>
          <w:rFonts w:ascii="Palatino Linotype" w:hAnsi="Palatino Linotype"/>
          <w:b/>
          <w:sz w:val="28"/>
        </w:rPr>
      </w:pPr>
      <w:r w:rsidRPr="008A7B51">
        <w:rPr>
          <w:rFonts w:ascii="Palatino Linotype" w:hAnsi="Palatino Linotype"/>
          <w:b/>
          <w:sz w:val="28"/>
        </w:rPr>
        <w:t>R E S U E L V E</w:t>
      </w:r>
    </w:p>
    <w:p w:rsidR="00B73983" w:rsidRPr="008A7B51" w:rsidRDefault="00DA00C1" w:rsidP="00B73983">
      <w:pPr>
        <w:spacing w:line="360" w:lineRule="auto"/>
        <w:jc w:val="both"/>
        <w:rPr>
          <w:rFonts w:ascii="Palatino Linotype" w:hAnsi="Palatino Linotype" w:cs="Arial"/>
          <w:color w:val="000000" w:themeColor="text1"/>
        </w:rPr>
      </w:pPr>
      <w:r w:rsidRPr="008A7B51">
        <w:rPr>
          <w:rFonts w:ascii="Palatino Linotype" w:hAnsi="Palatino Linotype" w:cs="Arial"/>
          <w:b/>
          <w:color w:val="000000" w:themeColor="text1"/>
        </w:rPr>
        <w:t>PRIMERO.</w:t>
      </w:r>
      <w:r w:rsidRPr="008A7B51">
        <w:rPr>
          <w:rFonts w:ascii="Palatino Linotype" w:hAnsi="Palatino Linotype" w:cs="Arial"/>
          <w:color w:val="000000" w:themeColor="text1"/>
        </w:rPr>
        <w:t xml:space="preserve"> </w:t>
      </w:r>
      <w:r w:rsidR="00B73983" w:rsidRPr="008A7B51">
        <w:rPr>
          <w:rFonts w:ascii="Palatino Linotype" w:hAnsi="Palatino Linotype" w:cs="Arial"/>
          <w:color w:val="000000" w:themeColor="text1"/>
        </w:rPr>
        <w:t>Se</w:t>
      </w:r>
      <w:r w:rsidR="00B73983" w:rsidRPr="008A7B51">
        <w:rPr>
          <w:rFonts w:ascii="Palatino Linotype" w:hAnsi="Palatino Linotype" w:cs="Arial"/>
          <w:b/>
          <w:color w:val="000000" w:themeColor="text1"/>
        </w:rPr>
        <w:t xml:space="preserve"> SOBRESEE </w:t>
      </w:r>
      <w:r w:rsidR="00B73983" w:rsidRPr="008A7B51">
        <w:rPr>
          <w:rFonts w:ascii="Palatino Linotype" w:hAnsi="Palatino Linotype" w:cs="Arial"/>
          <w:color w:val="000000" w:themeColor="text1"/>
        </w:rPr>
        <w:t xml:space="preserve">el </w:t>
      </w:r>
      <w:r w:rsidR="00B73983" w:rsidRPr="008A7B51">
        <w:rPr>
          <w:rFonts w:ascii="Palatino Linotype" w:hAnsi="Palatino Linotype" w:cs="Arial"/>
          <w:color w:val="222222"/>
          <w:shd w:val="clear" w:color="auto" w:fill="FFFFFF"/>
        </w:rPr>
        <w:t>recurso</w:t>
      </w:r>
      <w:r w:rsidR="00B73983" w:rsidRPr="008A7B51">
        <w:rPr>
          <w:rFonts w:ascii="Palatino Linotype" w:hAnsi="Palatino Linotype" w:cs="Arial"/>
          <w:color w:val="000000" w:themeColor="text1"/>
        </w:rPr>
        <w:t xml:space="preserve"> de </w:t>
      </w:r>
      <w:r w:rsidR="00B73983" w:rsidRPr="008A7B51">
        <w:rPr>
          <w:rFonts w:ascii="Palatino Linotype" w:hAnsi="Palatino Linotype"/>
          <w:lang w:eastAsia="es-ES_tradnl"/>
        </w:rPr>
        <w:t>revisión</w:t>
      </w:r>
      <w:r w:rsidR="00B73983" w:rsidRPr="008A7B51">
        <w:rPr>
          <w:rFonts w:ascii="Palatino Linotype" w:hAnsi="Palatino Linotype" w:cs="Arial"/>
          <w:color w:val="000000" w:themeColor="text1"/>
        </w:rPr>
        <w:t xml:space="preserve"> número</w:t>
      </w:r>
      <w:r w:rsidR="00B73983" w:rsidRPr="008A7B51">
        <w:rPr>
          <w:rFonts w:ascii="Palatino Linotype" w:hAnsi="Palatino Linotype" w:cs="Arial"/>
          <w:b/>
          <w:color w:val="000000" w:themeColor="text1"/>
        </w:rPr>
        <w:t xml:space="preserve"> </w:t>
      </w:r>
      <w:r w:rsidR="00B73983" w:rsidRPr="008A7B51">
        <w:rPr>
          <w:rFonts w:ascii="Palatino Linotype" w:hAnsi="Palatino Linotype"/>
          <w:b/>
          <w:sz w:val="22"/>
          <w:szCs w:val="22"/>
          <w:lang w:val="en-GB"/>
        </w:rPr>
        <w:t>04477/INFOEM/IP/RR/2021</w:t>
      </w:r>
      <w:r w:rsidR="00B73983" w:rsidRPr="008A7B51">
        <w:rPr>
          <w:rFonts w:ascii="Palatino Linotype" w:hAnsi="Palatino Linotype" w:cs="Arial"/>
          <w:color w:val="000000" w:themeColor="text1"/>
        </w:rPr>
        <w:t xml:space="preserve">, </w:t>
      </w:r>
      <w:r w:rsidR="00B73983" w:rsidRPr="008A7B51">
        <w:rPr>
          <w:rFonts w:ascii="Palatino Linotype" w:hAnsi="Palatino Linotype" w:cs="Arial"/>
          <w:b/>
          <w:color w:val="000000" w:themeColor="text1"/>
        </w:rPr>
        <w:t>por improcedente</w:t>
      </w:r>
      <w:r w:rsidR="00B73983" w:rsidRPr="008A7B51">
        <w:rPr>
          <w:rFonts w:ascii="Palatino Linotype" w:hAnsi="Palatino Linotype" w:cs="Arial"/>
          <w:color w:val="000000" w:themeColor="text1"/>
        </w:rPr>
        <w:t xml:space="preserve"> en </w:t>
      </w:r>
      <w:r w:rsidR="00B73983" w:rsidRPr="008A7B51">
        <w:rPr>
          <w:rFonts w:ascii="Palatino Linotype" w:hAnsi="Palatino Linotype"/>
          <w:lang w:eastAsia="es-ES_tradnl"/>
        </w:rPr>
        <w:t>términos</w:t>
      </w:r>
      <w:r w:rsidR="00B73983" w:rsidRPr="008A7B51">
        <w:rPr>
          <w:rFonts w:ascii="Palatino Linotype" w:hAnsi="Palatino Linotype" w:cs="Arial"/>
          <w:color w:val="000000" w:themeColor="text1"/>
        </w:rPr>
        <w:t xml:space="preserve"> del Considerando</w:t>
      </w:r>
      <w:r w:rsidR="00B73983" w:rsidRPr="008A7B51">
        <w:rPr>
          <w:rFonts w:ascii="Palatino Linotype" w:hAnsi="Palatino Linotype" w:cs="Arial"/>
          <w:b/>
          <w:color w:val="000000" w:themeColor="text1"/>
        </w:rPr>
        <w:t xml:space="preserve"> QUINTO </w:t>
      </w:r>
      <w:r w:rsidR="00B73983" w:rsidRPr="008A7B51">
        <w:rPr>
          <w:rFonts w:ascii="Palatino Linotype" w:hAnsi="Palatino Linotype" w:cs="Arial"/>
          <w:color w:val="000000" w:themeColor="text1"/>
        </w:rPr>
        <w:t>de la presente resolución.</w:t>
      </w:r>
    </w:p>
    <w:p w:rsidR="00B73983" w:rsidRPr="008A7B51" w:rsidRDefault="00B73983" w:rsidP="00B73983">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A7B51">
        <w:rPr>
          <w:rFonts w:ascii="Palatino Linotype" w:hAnsi="Palatino Linotype" w:cs="Arial"/>
          <w:b/>
          <w:sz w:val="28"/>
          <w:szCs w:val="28"/>
          <w:lang w:val="es-ES_tradnl"/>
        </w:rPr>
        <w:t>SEGUNDO.</w:t>
      </w:r>
      <w:r w:rsidRPr="008A7B51">
        <w:rPr>
          <w:rFonts w:ascii="Palatino Linotype" w:hAnsi="Palatino Linotype" w:cs="Arial"/>
          <w:b/>
          <w:lang w:val="es-ES_tradnl"/>
        </w:rPr>
        <w:t xml:space="preserve"> Notifíquese</w:t>
      </w:r>
      <w:r w:rsidRPr="008A7B51">
        <w:rPr>
          <w:rFonts w:ascii="Palatino Linotype" w:hAnsi="Palatino Linotype" w:cs="Arial"/>
          <w:lang w:val="es-ES_tradnl"/>
        </w:rPr>
        <w:t xml:space="preserve"> la presente resolución a la Titular de la Unidad de Transparencia del </w:t>
      </w:r>
      <w:r w:rsidRPr="008A7B51">
        <w:rPr>
          <w:rFonts w:ascii="Palatino Linotype" w:hAnsi="Palatino Linotype" w:cs="Arial"/>
          <w:b/>
          <w:lang w:val="es-ES_tradnl"/>
        </w:rPr>
        <w:t>SUJETO OBLIGADO</w:t>
      </w:r>
      <w:r w:rsidRPr="008A7B51">
        <w:rPr>
          <w:rFonts w:ascii="Palatino Linotype" w:hAnsi="Palatino Linotype" w:cs="Arial"/>
          <w:lang w:val="es-ES_tradnl"/>
        </w:rPr>
        <w:t xml:space="preserve"> para su conocimiento.</w:t>
      </w:r>
    </w:p>
    <w:p w:rsidR="00B73983" w:rsidRPr="008A7B51" w:rsidRDefault="00B73983" w:rsidP="00B73983">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zCs w:val="17"/>
          <w:lang w:eastAsia="es-ES_tradnl"/>
        </w:rPr>
      </w:pPr>
      <w:r w:rsidRPr="008A7B51">
        <w:rPr>
          <w:rFonts w:ascii="Palatino Linotype" w:hAnsi="Palatino Linotype"/>
          <w:b/>
          <w:sz w:val="28"/>
          <w:szCs w:val="28"/>
          <w:lang w:eastAsia="es-ES_tradnl"/>
        </w:rPr>
        <w:t>TERCERO.</w:t>
      </w:r>
      <w:r w:rsidRPr="008A7B51">
        <w:rPr>
          <w:rFonts w:ascii="Palatino Linotype" w:hAnsi="Palatino Linotype"/>
          <w:b/>
          <w:szCs w:val="17"/>
          <w:lang w:eastAsia="es-ES_tradnl"/>
        </w:rPr>
        <w:t xml:space="preserve"> Notifíquese</w:t>
      </w:r>
      <w:r w:rsidRPr="008A7B51">
        <w:rPr>
          <w:rFonts w:ascii="Palatino Linotype" w:hAnsi="Palatino Linotype"/>
          <w:szCs w:val="17"/>
          <w:lang w:eastAsia="es-ES_tradnl"/>
        </w:rPr>
        <w:t xml:space="preserve"> </w:t>
      </w:r>
      <w:r w:rsidR="002F1116" w:rsidRPr="008A7B51">
        <w:rPr>
          <w:rFonts w:ascii="Palatino Linotype" w:hAnsi="Palatino Linotype"/>
          <w:szCs w:val="17"/>
          <w:lang w:eastAsia="es-ES_tradnl"/>
        </w:rPr>
        <w:t>a</w:t>
      </w:r>
      <w:r w:rsidR="002F1116" w:rsidRPr="008A7B51">
        <w:rPr>
          <w:rFonts w:ascii="Palatino Linotype" w:hAnsi="Palatino Linotype"/>
          <w:b/>
          <w:szCs w:val="17"/>
          <w:lang w:eastAsia="es-ES_tradnl"/>
        </w:rPr>
        <w:t xml:space="preserve"> LA</w:t>
      </w:r>
      <w:r w:rsidRPr="008A7B51">
        <w:rPr>
          <w:rFonts w:ascii="Palatino Linotype" w:hAnsi="Palatino Linotype"/>
          <w:b/>
          <w:szCs w:val="17"/>
          <w:lang w:eastAsia="es-ES_tradnl"/>
        </w:rPr>
        <w:t xml:space="preserve"> RECURRENTE</w:t>
      </w:r>
      <w:r w:rsidRPr="008A7B51">
        <w:rPr>
          <w:rFonts w:ascii="Palatino Linotype" w:hAnsi="Palatino Linotype"/>
          <w:szCs w:val="17"/>
          <w:lang w:eastAsia="es-ES_tradnl"/>
        </w:rPr>
        <w:t xml:space="preserve"> la presente resolución.</w:t>
      </w:r>
    </w:p>
    <w:p w:rsidR="00B73983" w:rsidRPr="008A7B51" w:rsidRDefault="00B73983" w:rsidP="00B73983">
      <w:pPr>
        <w:pStyle w:val="Prrafodelista"/>
        <w:widowControl w:val="0"/>
        <w:tabs>
          <w:tab w:val="left" w:pos="1701"/>
        </w:tabs>
        <w:autoSpaceDE w:val="0"/>
        <w:autoSpaceDN w:val="0"/>
        <w:adjustRightInd w:val="0"/>
        <w:spacing w:before="100" w:beforeAutospacing="1" w:after="100" w:afterAutospacing="1" w:line="360" w:lineRule="auto"/>
        <w:ind w:left="0"/>
        <w:jc w:val="both"/>
        <w:rPr>
          <w:rFonts w:ascii="Palatino Linotype" w:hAnsi="Palatino Linotype"/>
          <w:szCs w:val="17"/>
          <w:lang w:eastAsia="es-ES_tradnl"/>
        </w:rPr>
      </w:pPr>
      <w:r w:rsidRPr="008A7B51">
        <w:rPr>
          <w:rFonts w:ascii="Palatino Linotype" w:hAnsi="Palatino Linotype"/>
          <w:b/>
          <w:sz w:val="28"/>
          <w:szCs w:val="28"/>
          <w:lang w:eastAsia="es-ES_tradnl"/>
        </w:rPr>
        <w:t>CUARTO.</w:t>
      </w:r>
      <w:r w:rsidRPr="008A7B51">
        <w:rPr>
          <w:rFonts w:ascii="Palatino Linotype" w:hAnsi="Palatino Linotype"/>
          <w:b/>
          <w:szCs w:val="17"/>
          <w:lang w:eastAsia="es-ES_tradnl"/>
        </w:rPr>
        <w:t xml:space="preserve"> Hágase</w:t>
      </w:r>
      <w:r w:rsidRPr="008A7B51">
        <w:rPr>
          <w:rFonts w:ascii="Palatino Linotype" w:hAnsi="Palatino Linotype"/>
          <w:szCs w:val="17"/>
          <w:lang w:eastAsia="es-ES_tradnl"/>
        </w:rPr>
        <w:t xml:space="preserve"> </w:t>
      </w:r>
      <w:r w:rsidRPr="008A7B51">
        <w:rPr>
          <w:rFonts w:ascii="Palatino Linotype" w:hAnsi="Palatino Linotype"/>
          <w:b/>
          <w:szCs w:val="17"/>
          <w:lang w:eastAsia="es-ES_tradnl"/>
        </w:rPr>
        <w:t>del conocimiento</w:t>
      </w:r>
      <w:r w:rsidRPr="008A7B51">
        <w:rPr>
          <w:rFonts w:ascii="Palatino Linotype" w:hAnsi="Palatino Linotype"/>
          <w:szCs w:val="17"/>
          <w:lang w:eastAsia="es-ES_tradnl"/>
        </w:rPr>
        <w:t xml:space="preserve"> de</w:t>
      </w:r>
      <w:r w:rsidR="002F1116" w:rsidRPr="008A7B51">
        <w:rPr>
          <w:rFonts w:ascii="Palatino Linotype" w:hAnsi="Palatino Linotype"/>
          <w:b/>
          <w:szCs w:val="17"/>
          <w:lang w:eastAsia="es-ES_tradnl"/>
        </w:rPr>
        <w:t xml:space="preserve"> LA</w:t>
      </w:r>
      <w:r w:rsidRPr="008A7B51">
        <w:rPr>
          <w:rFonts w:ascii="Palatino Linotype" w:hAnsi="Palatino Linotype"/>
          <w:szCs w:val="17"/>
          <w:lang w:eastAsia="es-ES_tradnl"/>
        </w:rPr>
        <w:t xml:space="preserve"> </w:t>
      </w:r>
      <w:r w:rsidRPr="008A7B51">
        <w:rPr>
          <w:rFonts w:ascii="Palatino Linotype" w:hAnsi="Palatino Linotype"/>
          <w:b/>
          <w:szCs w:val="17"/>
          <w:lang w:eastAsia="es-ES_tradnl"/>
        </w:rPr>
        <w:t>RECURRENTE</w:t>
      </w:r>
      <w:r w:rsidRPr="008A7B51">
        <w:rPr>
          <w:rFonts w:ascii="Palatino Linotype" w:hAnsi="Palatino Linotype"/>
          <w:szCs w:val="17"/>
          <w:lang w:eastAsia="es-ES_tradnl"/>
        </w:rPr>
        <w:t xml:space="preserve">, que de conformidad </w:t>
      </w:r>
      <w:r w:rsidRPr="008A7B51">
        <w:rPr>
          <w:rFonts w:ascii="Palatino Linotype" w:hAnsi="Palatino Linotype" w:cs="Arial"/>
        </w:rPr>
        <w:t>con</w:t>
      </w:r>
      <w:r w:rsidRPr="008A7B51">
        <w:rPr>
          <w:rFonts w:ascii="Palatino Linotype" w:hAnsi="Palatino Linotype"/>
          <w:szCs w:val="17"/>
          <w:lang w:eastAsia="es-ES_tradnl"/>
        </w:rPr>
        <w:t xml:space="preserve"> lo </w:t>
      </w:r>
      <w:r w:rsidRPr="008A7B51">
        <w:rPr>
          <w:rFonts w:ascii="Palatino Linotype" w:hAnsi="Palatino Linotype" w:cs="Arial"/>
        </w:rPr>
        <w:t>establecido</w:t>
      </w:r>
      <w:r w:rsidRPr="008A7B51">
        <w:rPr>
          <w:rFonts w:ascii="Palatino Linotype" w:hAnsi="Palatino Linotype"/>
          <w:szCs w:val="17"/>
          <w:lang w:eastAsia="es-ES_tradnl"/>
        </w:rPr>
        <w:t xml:space="preserve"> en el artículo 196 de la Ley de Transparencia y Acceso a la Información Pública del Estado de México y Municipios, podrá impugnarla vía Juicio de Amparo en los términos de las leyes aplicables.</w:t>
      </w:r>
    </w:p>
    <w:p w:rsidR="00B73983" w:rsidRPr="008A7B51" w:rsidRDefault="00B73983" w:rsidP="00B73983">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A7B51">
        <w:rPr>
          <w:rFonts w:ascii="Palatino Linotype" w:hAnsi="Palatino Linotype" w:cs="Arial"/>
        </w:rPr>
        <w:t>ASÍ LO RESUELVE, POR UNANIMIDAD DE VOTOS EL PLENO DEL</w:t>
      </w:r>
      <w:r w:rsidRPr="008A7B51">
        <w:rPr>
          <w:rFonts w:ascii="Palatino Linotype" w:eastAsia="Arial Unicode MS" w:hAnsi="Palatino Linotype" w:cs="Arial"/>
        </w:rPr>
        <w:t xml:space="preserve"> INSTITUTO DE </w:t>
      </w:r>
      <w:r w:rsidRPr="008A7B51">
        <w:rPr>
          <w:rFonts w:ascii="Palatino Linotype" w:hAnsi="Palatino Linotype"/>
          <w:lang w:eastAsia="en-US"/>
        </w:rPr>
        <w:t>TRANSPARENCIA</w:t>
      </w:r>
      <w:r w:rsidRPr="008A7B51">
        <w:rPr>
          <w:rFonts w:ascii="Palatino Linotype" w:eastAsia="Arial Unicode MS" w:hAnsi="Palatino Linotype" w:cs="Arial"/>
        </w:rPr>
        <w:t>, ACCESO A LA INFORMACIÓN PÚBLICA Y PROTECCIÓN DE DATOS PERSONALES DEL ESTADO DE MÉXICO Y MUNICIPIOS</w:t>
      </w:r>
      <w:r w:rsidRPr="008A7B51">
        <w:rPr>
          <w:rFonts w:ascii="Palatino Linotype" w:hAnsi="Palatino Linotype" w:cs="Arial"/>
        </w:rPr>
        <w:t xml:space="preserve">, </w:t>
      </w:r>
      <w:r w:rsidRPr="008A7B51">
        <w:rPr>
          <w:rFonts w:ascii="Palatino Linotype" w:hAnsi="Palatino Linotype" w:cs="Arial"/>
        </w:rPr>
        <w:lastRenderedPageBreak/>
        <w:t>CONFORMADO POR LOS COMISIONADOS JOSÉ MARTÍNEZ VILCHIS; MARÍA DEL ROSARIO MEJÍA AYALA; SHARON CRISTINA MORALES MARTÍNEZ; LUIS GUSTAVO PARRA NORIEGA Y GUADALUPE RAMÍREZ PEÑA; EN LA TRIGÉSIMA CUARTA SESIÓN ORDINARIA CELEBRADA EL VEINTINUEVE DE SEPTIEMBRE DE DOS MIL VEINTIUNO, ANTE EL SECRETARIO TÉCNICO DEL PLENO, ALEXIS TAPIA RAMÍREZ.</w:t>
      </w:r>
    </w:p>
    <w:p w:rsidR="00B73983" w:rsidRDefault="00B73983" w:rsidP="00B73983">
      <w:pPr>
        <w:widowControl w:val="0"/>
        <w:autoSpaceDE w:val="0"/>
        <w:autoSpaceDN w:val="0"/>
        <w:adjustRightInd w:val="0"/>
        <w:spacing w:before="100" w:beforeAutospacing="1" w:after="100" w:afterAutospacing="1" w:line="360" w:lineRule="auto"/>
        <w:jc w:val="both"/>
        <w:rPr>
          <w:rFonts w:ascii="Palatino Linotype" w:hAnsi="Palatino Linotype" w:cs="Arial"/>
          <w:sz w:val="20"/>
        </w:rPr>
      </w:pPr>
      <w:r w:rsidRPr="008A7B51">
        <w:rPr>
          <w:rFonts w:ascii="Palatino Linotype" w:hAnsi="Palatino Linotype" w:cs="Arial"/>
          <w:sz w:val="20"/>
        </w:rPr>
        <w:t>SCMM/BLA/DEMF/AMV/PMRE</w:t>
      </w:r>
    </w:p>
    <w:p w:rsidR="00B73983" w:rsidRDefault="00B73983" w:rsidP="00B73983">
      <w:pPr>
        <w:spacing w:after="160" w:line="259" w:lineRule="auto"/>
        <w:rPr>
          <w:rFonts w:ascii="Palatino Linotype" w:hAnsi="Palatino Linotype" w:cs="Arial"/>
          <w:sz w:val="20"/>
        </w:rPr>
      </w:pPr>
      <w:r>
        <w:rPr>
          <w:rFonts w:ascii="Palatino Linotype" w:hAnsi="Palatino Linotype" w:cs="Arial"/>
          <w:sz w:val="20"/>
        </w:rPr>
        <w:br w:type="page"/>
      </w:r>
    </w:p>
    <w:p w:rsidR="00B73983" w:rsidRDefault="00B73983" w:rsidP="00B73983">
      <w:pPr>
        <w:spacing w:line="360" w:lineRule="auto"/>
        <w:jc w:val="both"/>
        <w:rPr>
          <w:rFonts w:ascii="Palatino Linotype" w:eastAsia="Calibri" w:hAnsi="Palatino Linotype" w:cs="Arial"/>
          <w:b/>
        </w:rPr>
      </w:pPr>
    </w:p>
    <w:p w:rsidR="0007650C" w:rsidRDefault="0007650C"/>
    <w:sectPr w:rsidR="0007650C" w:rsidSect="00080512">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A0F" w:rsidRDefault="00006A0F" w:rsidP="00422962">
      <w:r>
        <w:separator/>
      </w:r>
    </w:p>
  </w:endnote>
  <w:endnote w:type="continuationSeparator" w:id="0">
    <w:p w:rsidR="00006A0F" w:rsidRDefault="00006A0F" w:rsidP="00422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12" w:rsidRPr="0010196A" w:rsidRDefault="00080512" w:rsidP="0008051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6C79">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6C79">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12" w:rsidRPr="0010196A" w:rsidRDefault="00080512" w:rsidP="0008051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6C7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6C79">
      <w:rPr>
        <w:rFonts w:ascii="Palatino Linotype" w:hAnsi="Palatino Linotype" w:cs="Arial"/>
        <w:bCs/>
        <w:noProof/>
        <w:sz w:val="22"/>
        <w:szCs w:val="22"/>
      </w:rPr>
      <w:t>20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A0F" w:rsidRDefault="00006A0F" w:rsidP="00422962">
      <w:r>
        <w:separator/>
      </w:r>
    </w:p>
  </w:footnote>
  <w:footnote w:type="continuationSeparator" w:id="0">
    <w:p w:rsidR="00006A0F" w:rsidRDefault="00006A0F" w:rsidP="004229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12" w:rsidRPr="0010196A" w:rsidRDefault="00080512" w:rsidP="00080512">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080512" w:rsidRPr="008F2CCC" w:rsidTr="00080512">
      <w:tc>
        <w:tcPr>
          <w:tcW w:w="3828" w:type="dxa"/>
          <w:vMerge w:val="restart"/>
        </w:tcPr>
        <w:p w:rsidR="00080512" w:rsidRPr="008F2CCC" w:rsidRDefault="00080512" w:rsidP="003B478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1B074CD5" wp14:editId="021B4054">
                <wp:extent cx="1663440" cy="838200"/>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rsidR="00080512" w:rsidRPr="00664658" w:rsidRDefault="00080512" w:rsidP="003B478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tcPr>
        <w:p w:rsidR="00080512" w:rsidRPr="00B335A1" w:rsidRDefault="0052170D" w:rsidP="003B478E">
          <w:r>
            <w:rPr>
              <w:rFonts w:ascii="Palatino Linotype" w:hAnsi="Palatino Linotype"/>
              <w:b/>
              <w:sz w:val="22"/>
              <w:szCs w:val="22"/>
              <w:lang w:val="es-ES_tradnl"/>
            </w:rPr>
            <w:t>04477</w:t>
          </w:r>
          <w:r w:rsidR="00080512" w:rsidRPr="00B335A1">
            <w:rPr>
              <w:rFonts w:ascii="Palatino Linotype" w:hAnsi="Palatino Linotype"/>
              <w:b/>
              <w:sz w:val="22"/>
              <w:szCs w:val="22"/>
              <w:lang w:val="es-ES_tradnl"/>
            </w:rPr>
            <w:t>/INFOEM/IP/RR/2021</w:t>
          </w:r>
        </w:p>
      </w:tc>
    </w:tr>
    <w:tr w:rsidR="00080512" w:rsidRPr="008F2CCC" w:rsidTr="00080512">
      <w:tc>
        <w:tcPr>
          <w:tcW w:w="3828" w:type="dxa"/>
          <w:vMerge/>
        </w:tcPr>
        <w:p w:rsidR="00080512" w:rsidRPr="008F2CCC" w:rsidRDefault="00080512" w:rsidP="003B478E">
          <w:pPr>
            <w:rPr>
              <w:rFonts w:ascii="Palatino Linotype" w:hAnsi="Palatino Linotype"/>
              <w:b/>
              <w:sz w:val="22"/>
              <w:szCs w:val="22"/>
              <w:lang w:val="es-ES_tradnl"/>
            </w:rPr>
          </w:pPr>
        </w:p>
      </w:tc>
      <w:tc>
        <w:tcPr>
          <w:tcW w:w="2551" w:type="dxa"/>
          <w:shd w:val="clear" w:color="auto" w:fill="auto"/>
        </w:tcPr>
        <w:p w:rsidR="00080512" w:rsidRPr="00664658" w:rsidRDefault="00080512" w:rsidP="003B478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tcPr>
        <w:p w:rsidR="00080512" w:rsidRPr="00B335A1" w:rsidRDefault="0052170D" w:rsidP="003B478E">
          <w:r>
            <w:rPr>
              <w:rFonts w:ascii="Palatino Linotype" w:hAnsi="Palatino Linotype"/>
              <w:b/>
              <w:sz w:val="22"/>
              <w:szCs w:val="22"/>
              <w:lang w:val="es-ES_tradnl"/>
            </w:rPr>
            <w:t>Fiscalía General de Justicia del Estado de México</w:t>
          </w:r>
        </w:p>
      </w:tc>
    </w:tr>
    <w:tr w:rsidR="00080512" w:rsidRPr="008F2CCC" w:rsidTr="00080512">
      <w:trPr>
        <w:trHeight w:val="228"/>
      </w:trPr>
      <w:tc>
        <w:tcPr>
          <w:tcW w:w="3828" w:type="dxa"/>
          <w:vMerge/>
        </w:tcPr>
        <w:p w:rsidR="00080512" w:rsidRPr="008F2CCC" w:rsidRDefault="00080512" w:rsidP="00080512">
          <w:pPr>
            <w:rPr>
              <w:rFonts w:ascii="Palatino Linotype" w:hAnsi="Palatino Linotype"/>
              <w:b/>
              <w:sz w:val="22"/>
              <w:szCs w:val="22"/>
              <w:lang w:val="es-ES_tradnl"/>
            </w:rPr>
          </w:pPr>
        </w:p>
      </w:tc>
      <w:tc>
        <w:tcPr>
          <w:tcW w:w="2551" w:type="dxa"/>
          <w:shd w:val="clear" w:color="auto" w:fill="auto"/>
        </w:tcPr>
        <w:p w:rsidR="00080512" w:rsidRPr="00664658" w:rsidRDefault="00080512" w:rsidP="00080512">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080512" w:rsidRPr="00664658" w:rsidRDefault="00080512" w:rsidP="0008051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080512" w:rsidRPr="0010196A" w:rsidRDefault="00080512" w:rsidP="0008051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512" w:rsidRPr="0010196A" w:rsidRDefault="00080512">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403"/>
      <w:gridCol w:w="2552"/>
      <w:gridCol w:w="3401"/>
    </w:tblGrid>
    <w:tr w:rsidR="00080512" w:rsidRPr="008F2CCC" w:rsidTr="00080512">
      <w:tc>
        <w:tcPr>
          <w:tcW w:w="3403" w:type="dxa"/>
          <w:vMerge w:val="restart"/>
          <w:shd w:val="clear" w:color="auto" w:fill="auto"/>
        </w:tcPr>
        <w:p w:rsidR="00080512" w:rsidRPr="008F2CCC" w:rsidRDefault="00080512" w:rsidP="0008051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4C0AE652" wp14:editId="5932A723">
                <wp:extent cx="1663440" cy="8382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rsidR="00080512" w:rsidRPr="008F2CCC" w:rsidRDefault="00080512" w:rsidP="0008051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rsidR="00080512" w:rsidRPr="00B335A1" w:rsidRDefault="0052170D" w:rsidP="00692406">
          <w:pPr>
            <w:jc w:val="both"/>
            <w:rPr>
              <w:rFonts w:ascii="Palatino Linotype" w:hAnsi="Palatino Linotype"/>
              <w:b/>
              <w:sz w:val="22"/>
              <w:szCs w:val="22"/>
              <w:lang w:val="es-ES_tradnl"/>
            </w:rPr>
          </w:pPr>
          <w:r>
            <w:rPr>
              <w:rFonts w:ascii="Palatino Linotype" w:hAnsi="Palatino Linotype"/>
              <w:b/>
              <w:sz w:val="22"/>
              <w:szCs w:val="22"/>
              <w:lang w:val="es-ES_tradnl"/>
            </w:rPr>
            <w:t>04477</w:t>
          </w:r>
          <w:r w:rsidR="00080512" w:rsidRPr="00B335A1">
            <w:rPr>
              <w:rFonts w:ascii="Palatino Linotype" w:hAnsi="Palatino Linotype"/>
              <w:b/>
              <w:sz w:val="22"/>
              <w:szCs w:val="22"/>
              <w:lang w:val="es-ES_tradnl"/>
            </w:rPr>
            <w:t>/INFOEM/IP/RR/2021</w:t>
          </w:r>
        </w:p>
      </w:tc>
    </w:tr>
    <w:tr w:rsidR="00080512" w:rsidRPr="008F2CCC" w:rsidTr="00080512">
      <w:tc>
        <w:tcPr>
          <w:tcW w:w="3403" w:type="dxa"/>
          <w:vMerge/>
          <w:shd w:val="clear" w:color="auto" w:fill="auto"/>
        </w:tcPr>
        <w:p w:rsidR="00080512" w:rsidRPr="008F2CCC" w:rsidRDefault="00080512" w:rsidP="00080512">
          <w:pPr>
            <w:rPr>
              <w:rFonts w:ascii="Palatino Linotype" w:hAnsi="Palatino Linotype"/>
              <w:b/>
              <w:sz w:val="22"/>
              <w:szCs w:val="22"/>
              <w:lang w:val="es-ES_tradnl"/>
            </w:rPr>
          </w:pPr>
        </w:p>
      </w:tc>
      <w:tc>
        <w:tcPr>
          <w:tcW w:w="2552" w:type="dxa"/>
          <w:shd w:val="clear" w:color="auto" w:fill="auto"/>
        </w:tcPr>
        <w:p w:rsidR="00080512" w:rsidRPr="008F2CCC" w:rsidRDefault="00080512" w:rsidP="0008051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rsidR="00080512" w:rsidRPr="00B335A1" w:rsidRDefault="00DF5A53" w:rsidP="00080512">
          <w:pPr>
            <w:jc w:val="both"/>
            <w:rPr>
              <w:rFonts w:ascii="Palatino Linotype" w:hAnsi="Palatino Linotype"/>
              <w:b/>
              <w:sz w:val="22"/>
              <w:szCs w:val="22"/>
              <w:lang w:val="es-ES_tradnl"/>
            </w:rPr>
          </w:pPr>
          <w:r w:rsidRPr="00DF5A53">
            <w:rPr>
              <w:rFonts w:ascii="Palatino Linotype" w:hAnsi="Palatino Linotype"/>
              <w:b/>
              <w:sz w:val="22"/>
              <w:szCs w:val="22"/>
              <w:lang w:val="es-ES_tradnl"/>
            </w:rPr>
            <w:t>XXXXX XXXX XXXXXX</w:t>
          </w:r>
        </w:p>
      </w:tc>
    </w:tr>
    <w:tr w:rsidR="00080512" w:rsidRPr="008F2CCC" w:rsidTr="00080512">
      <w:trPr>
        <w:trHeight w:val="228"/>
      </w:trPr>
      <w:tc>
        <w:tcPr>
          <w:tcW w:w="3403" w:type="dxa"/>
          <w:vMerge/>
          <w:shd w:val="clear" w:color="auto" w:fill="auto"/>
        </w:tcPr>
        <w:p w:rsidR="00080512" w:rsidRPr="008F2CCC" w:rsidRDefault="00080512" w:rsidP="00080512">
          <w:pPr>
            <w:rPr>
              <w:rFonts w:ascii="Palatino Linotype" w:hAnsi="Palatino Linotype"/>
              <w:b/>
              <w:sz w:val="22"/>
              <w:szCs w:val="22"/>
              <w:lang w:val="es-ES_tradnl"/>
            </w:rPr>
          </w:pPr>
        </w:p>
      </w:tc>
      <w:tc>
        <w:tcPr>
          <w:tcW w:w="2552" w:type="dxa"/>
          <w:shd w:val="clear" w:color="auto" w:fill="auto"/>
        </w:tcPr>
        <w:p w:rsidR="00080512" w:rsidRPr="008F2CCC" w:rsidRDefault="00080512" w:rsidP="0008051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rsidR="00080512" w:rsidRPr="00B335A1" w:rsidRDefault="0052170D" w:rsidP="0052170D">
          <w:pPr>
            <w:jc w:val="both"/>
            <w:rPr>
              <w:rFonts w:ascii="Palatino Linotype" w:hAnsi="Palatino Linotype"/>
              <w:b/>
              <w:sz w:val="22"/>
              <w:szCs w:val="22"/>
              <w:lang w:val="es-ES_tradnl"/>
            </w:rPr>
          </w:pPr>
          <w:r>
            <w:rPr>
              <w:rFonts w:ascii="Palatino Linotype" w:hAnsi="Palatino Linotype"/>
              <w:b/>
              <w:sz w:val="22"/>
              <w:szCs w:val="22"/>
              <w:lang w:val="es-ES_tradnl"/>
            </w:rPr>
            <w:t>Fiscalía General de Justicia del Estado de México</w:t>
          </w:r>
        </w:p>
      </w:tc>
    </w:tr>
    <w:tr w:rsidR="00080512" w:rsidRPr="008F2CCC" w:rsidTr="00080512">
      <w:tc>
        <w:tcPr>
          <w:tcW w:w="3403" w:type="dxa"/>
          <w:vMerge/>
          <w:shd w:val="clear" w:color="auto" w:fill="auto"/>
        </w:tcPr>
        <w:p w:rsidR="00080512" w:rsidRPr="008F2CCC" w:rsidRDefault="00080512" w:rsidP="00080512">
          <w:pPr>
            <w:rPr>
              <w:rFonts w:ascii="Palatino Linotype" w:hAnsi="Palatino Linotype"/>
              <w:b/>
              <w:sz w:val="22"/>
              <w:szCs w:val="22"/>
              <w:lang w:val="es-ES_tradnl"/>
            </w:rPr>
          </w:pPr>
        </w:p>
      </w:tc>
      <w:tc>
        <w:tcPr>
          <w:tcW w:w="2552" w:type="dxa"/>
          <w:shd w:val="clear" w:color="auto" w:fill="auto"/>
        </w:tcPr>
        <w:p w:rsidR="00080512" w:rsidRPr="008F2CCC" w:rsidRDefault="00080512" w:rsidP="0008051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rsidR="00080512" w:rsidRPr="008F2CCC" w:rsidRDefault="00080512" w:rsidP="0008051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rsidR="00080512" w:rsidRPr="00D30855" w:rsidRDefault="00080512" w:rsidP="00080512">
    <w:pPr>
      <w:rPr>
        <w:rFonts w:ascii="Palatino Linotype" w:hAnsi="Palatino Linoty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B6B1191"/>
    <w:multiLevelType w:val="hybridMultilevel"/>
    <w:tmpl w:val="1AA0C4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B8D2CF3"/>
    <w:multiLevelType w:val="hybridMultilevel"/>
    <w:tmpl w:val="30CE9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2FA62711"/>
    <w:multiLevelType w:val="hybridMultilevel"/>
    <w:tmpl w:val="05AA96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561D5098"/>
    <w:multiLevelType w:val="hybridMultilevel"/>
    <w:tmpl w:val="55D43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
  </w:num>
  <w:num w:numId="3">
    <w:abstractNumId w:val="13"/>
  </w:num>
  <w:num w:numId="4">
    <w:abstractNumId w:val="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6"/>
  </w:num>
  <w:num w:numId="10">
    <w:abstractNumId w:val="5"/>
  </w:num>
  <w:num w:numId="11">
    <w:abstractNumId w:val="0"/>
  </w:num>
  <w:num w:numId="12">
    <w:abstractNumId w:val="7"/>
  </w:num>
  <w:num w:numId="13">
    <w:abstractNumId w:val="1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962"/>
    <w:rsid w:val="00006A0F"/>
    <w:rsid w:val="00016760"/>
    <w:rsid w:val="00035079"/>
    <w:rsid w:val="000443AB"/>
    <w:rsid w:val="000453EC"/>
    <w:rsid w:val="00057736"/>
    <w:rsid w:val="0007650C"/>
    <w:rsid w:val="00080512"/>
    <w:rsid w:val="0014353E"/>
    <w:rsid w:val="001B1B3E"/>
    <w:rsid w:val="00253A5B"/>
    <w:rsid w:val="00282F1E"/>
    <w:rsid w:val="002C64BE"/>
    <w:rsid w:val="002E16CC"/>
    <w:rsid w:val="002F1116"/>
    <w:rsid w:val="003422D7"/>
    <w:rsid w:val="003A35F3"/>
    <w:rsid w:val="003B2BCD"/>
    <w:rsid w:val="003B478E"/>
    <w:rsid w:val="003D2583"/>
    <w:rsid w:val="003E71A6"/>
    <w:rsid w:val="003F7F53"/>
    <w:rsid w:val="00411B27"/>
    <w:rsid w:val="00422962"/>
    <w:rsid w:val="004E5A82"/>
    <w:rsid w:val="00512034"/>
    <w:rsid w:val="0052170D"/>
    <w:rsid w:val="00521891"/>
    <w:rsid w:val="00522C17"/>
    <w:rsid w:val="005574B6"/>
    <w:rsid w:val="00571310"/>
    <w:rsid w:val="00571C06"/>
    <w:rsid w:val="005767FE"/>
    <w:rsid w:val="0058251A"/>
    <w:rsid w:val="005C19CD"/>
    <w:rsid w:val="005C5325"/>
    <w:rsid w:val="005D5CA0"/>
    <w:rsid w:val="00631AAE"/>
    <w:rsid w:val="00642619"/>
    <w:rsid w:val="00672EA0"/>
    <w:rsid w:val="00692406"/>
    <w:rsid w:val="00697E11"/>
    <w:rsid w:val="00715D4E"/>
    <w:rsid w:val="007201EE"/>
    <w:rsid w:val="00721A4F"/>
    <w:rsid w:val="007468B1"/>
    <w:rsid w:val="0076033C"/>
    <w:rsid w:val="007752F6"/>
    <w:rsid w:val="007912EF"/>
    <w:rsid w:val="00794931"/>
    <w:rsid w:val="0079597A"/>
    <w:rsid w:val="007A6F92"/>
    <w:rsid w:val="008146D2"/>
    <w:rsid w:val="00817375"/>
    <w:rsid w:val="00847D4D"/>
    <w:rsid w:val="008831D4"/>
    <w:rsid w:val="008A7B51"/>
    <w:rsid w:val="00913924"/>
    <w:rsid w:val="00953644"/>
    <w:rsid w:val="00960B54"/>
    <w:rsid w:val="00987575"/>
    <w:rsid w:val="009A68E8"/>
    <w:rsid w:val="009A6BC5"/>
    <w:rsid w:val="009E62D5"/>
    <w:rsid w:val="009E739A"/>
    <w:rsid w:val="009E74D4"/>
    <w:rsid w:val="009F4A22"/>
    <w:rsid w:val="00A86CB6"/>
    <w:rsid w:val="00AD24AB"/>
    <w:rsid w:val="00AD7E12"/>
    <w:rsid w:val="00B00818"/>
    <w:rsid w:val="00B04D11"/>
    <w:rsid w:val="00B335A1"/>
    <w:rsid w:val="00B60C63"/>
    <w:rsid w:val="00B62DFF"/>
    <w:rsid w:val="00B73983"/>
    <w:rsid w:val="00BE55AD"/>
    <w:rsid w:val="00C2344C"/>
    <w:rsid w:val="00C351D6"/>
    <w:rsid w:val="00C70FE1"/>
    <w:rsid w:val="00CA7C2B"/>
    <w:rsid w:val="00CC2E1D"/>
    <w:rsid w:val="00CE3549"/>
    <w:rsid w:val="00D056D2"/>
    <w:rsid w:val="00D87DEB"/>
    <w:rsid w:val="00DA00C1"/>
    <w:rsid w:val="00DF0FC0"/>
    <w:rsid w:val="00DF5A53"/>
    <w:rsid w:val="00E2290D"/>
    <w:rsid w:val="00E270F6"/>
    <w:rsid w:val="00E31E04"/>
    <w:rsid w:val="00E52E9F"/>
    <w:rsid w:val="00E86C79"/>
    <w:rsid w:val="00EA6128"/>
    <w:rsid w:val="00EF1B83"/>
    <w:rsid w:val="00F75F88"/>
    <w:rsid w:val="00F76CCC"/>
    <w:rsid w:val="00F94AF8"/>
    <w:rsid w:val="00F95157"/>
    <w:rsid w:val="00FA54CC"/>
    <w:rsid w:val="00FB6A2F"/>
    <w:rsid w:val="00FF09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1BE9C2F-A6C8-4227-BC22-3BC2BBAB2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96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3B47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D24A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qFormat/>
    <w:rsid w:val="00AD24AB"/>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AD24AB"/>
    <w:pPr>
      <w:keepNext/>
      <w:keepLines/>
      <w:spacing w:before="40"/>
      <w:outlineLvl w:val="3"/>
    </w:pPr>
    <w:rPr>
      <w:rFonts w:asciiTheme="majorHAnsi" w:eastAsiaTheme="majorEastAsia" w:hAnsiTheme="majorHAnsi" w:cstheme="majorBidi"/>
      <w:i/>
      <w:iCs/>
      <w:color w:val="2E74B5" w:themeColor="accent1" w:themeShade="BF"/>
      <w:lang w:val="es-ES"/>
    </w:rPr>
  </w:style>
  <w:style w:type="paragraph" w:styleId="Ttulo5">
    <w:name w:val="heading 5"/>
    <w:basedOn w:val="Normal"/>
    <w:next w:val="Normal"/>
    <w:link w:val="Ttulo5Car"/>
    <w:uiPriority w:val="9"/>
    <w:unhideWhenUsed/>
    <w:qFormat/>
    <w:rsid w:val="00AD24AB"/>
    <w:pPr>
      <w:keepNext/>
      <w:keepLines/>
      <w:spacing w:before="40"/>
      <w:outlineLvl w:val="4"/>
    </w:pPr>
    <w:rPr>
      <w:rFonts w:asciiTheme="majorHAnsi" w:eastAsiaTheme="majorEastAsia" w:hAnsiTheme="majorHAnsi" w:cstheme="majorBidi"/>
      <w:color w:val="2E74B5" w:themeColor="accent1" w:themeShade="BF"/>
      <w:lang w:val="es-ES"/>
    </w:rPr>
  </w:style>
  <w:style w:type="paragraph" w:styleId="Ttulo6">
    <w:name w:val="heading 6"/>
    <w:basedOn w:val="Normal"/>
    <w:next w:val="Normal"/>
    <w:link w:val="Ttulo6Car"/>
    <w:uiPriority w:val="9"/>
    <w:unhideWhenUsed/>
    <w:qFormat/>
    <w:rsid w:val="00AD24AB"/>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2962"/>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422962"/>
    <w:rPr>
      <w:rFonts w:eastAsiaTheme="minorEastAsia"/>
      <w:sz w:val="24"/>
      <w:szCs w:val="24"/>
      <w:lang w:val="es-ES_tradnl" w:eastAsia="es-ES"/>
    </w:rPr>
  </w:style>
  <w:style w:type="paragraph" w:styleId="Piedepgina">
    <w:name w:val="footer"/>
    <w:basedOn w:val="Normal"/>
    <w:link w:val="PiedepginaCar"/>
    <w:uiPriority w:val="99"/>
    <w:unhideWhenUsed/>
    <w:rsid w:val="00422962"/>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422962"/>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22962"/>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2962"/>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B478E"/>
    <w:rPr>
      <w:color w:val="0563C1" w:themeColor="hyperlink"/>
      <w:u w:val="single"/>
    </w:rPr>
  </w:style>
  <w:style w:type="character" w:customStyle="1" w:styleId="Ttulo1Car">
    <w:name w:val="Título 1 Car"/>
    <w:basedOn w:val="Fuentedeprrafopredeter"/>
    <w:link w:val="Ttulo1"/>
    <w:uiPriority w:val="9"/>
    <w:rsid w:val="003B478E"/>
    <w:rPr>
      <w:rFonts w:asciiTheme="majorHAnsi" w:eastAsiaTheme="majorEastAsia" w:hAnsiTheme="majorHAnsi" w:cstheme="majorBidi"/>
      <w:color w:val="2E74B5" w:themeColor="accent1" w:themeShade="BF"/>
      <w:sz w:val="32"/>
      <w:szCs w:val="32"/>
      <w:lang w:eastAsia="es-ES"/>
    </w:rPr>
  </w:style>
  <w:style w:type="paragraph" w:styleId="Sinespaciado">
    <w:name w:val="No Spacing"/>
    <w:aliases w:val="Francesa"/>
    <w:link w:val="SinespaciadoCar"/>
    <w:uiPriority w:val="1"/>
    <w:qFormat/>
    <w:rsid w:val="005574B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5574B6"/>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C2E1D"/>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C2E1D"/>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CC2E1D"/>
    <w:rPr>
      <w:vertAlign w:val="superscript"/>
    </w:rPr>
  </w:style>
  <w:style w:type="paragraph" w:styleId="Textodeglobo">
    <w:name w:val="Balloon Text"/>
    <w:basedOn w:val="Normal"/>
    <w:link w:val="TextodegloboCar"/>
    <w:uiPriority w:val="99"/>
    <w:semiHidden/>
    <w:unhideWhenUsed/>
    <w:rsid w:val="007201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01EE"/>
    <w:rPr>
      <w:rFonts w:ascii="Segoe UI" w:eastAsia="Times New Roman" w:hAnsi="Segoe UI" w:cs="Segoe UI"/>
      <w:sz w:val="18"/>
      <w:szCs w:val="18"/>
      <w:lang w:eastAsia="es-ES"/>
    </w:rPr>
  </w:style>
  <w:style w:type="character" w:customStyle="1" w:styleId="Ttulo2Car">
    <w:name w:val="Título 2 Car"/>
    <w:basedOn w:val="Fuentedeprrafopredeter"/>
    <w:link w:val="Ttulo2"/>
    <w:uiPriority w:val="9"/>
    <w:rsid w:val="00AD24A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AD24AB"/>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AD24AB"/>
    <w:rPr>
      <w:rFonts w:asciiTheme="majorHAnsi" w:eastAsiaTheme="majorEastAsia" w:hAnsiTheme="majorHAnsi" w:cstheme="majorBidi"/>
      <w:i/>
      <w:iCs/>
      <w:color w:val="2E74B5" w:themeColor="accent1" w:themeShade="BF"/>
      <w:sz w:val="24"/>
      <w:szCs w:val="24"/>
      <w:lang w:val="es-ES" w:eastAsia="es-ES"/>
    </w:rPr>
  </w:style>
  <w:style w:type="character" w:customStyle="1" w:styleId="Ttulo5Car">
    <w:name w:val="Título 5 Car"/>
    <w:basedOn w:val="Fuentedeprrafopredeter"/>
    <w:link w:val="Ttulo5"/>
    <w:uiPriority w:val="9"/>
    <w:rsid w:val="00AD24AB"/>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uiPriority w:val="9"/>
    <w:rsid w:val="00AD24AB"/>
    <w:rPr>
      <w:rFonts w:asciiTheme="majorHAnsi" w:eastAsiaTheme="majorEastAsia" w:hAnsiTheme="majorHAnsi" w:cstheme="majorBidi"/>
      <w:color w:val="1F4D78" w:themeColor="accent1" w:themeShade="7F"/>
      <w:sz w:val="24"/>
      <w:szCs w:val="24"/>
      <w:lang w:val="es-ES" w:eastAsia="es-ES"/>
    </w:rPr>
  </w:style>
  <w:style w:type="character" w:customStyle="1" w:styleId="apple-converted-space">
    <w:name w:val="apple-converted-space"/>
    <w:basedOn w:val="Fuentedeprrafopredeter"/>
    <w:rsid w:val="00AD24AB"/>
  </w:style>
  <w:style w:type="paragraph" w:styleId="NormalWeb">
    <w:name w:val="Normal (Web)"/>
    <w:basedOn w:val="Normal"/>
    <w:uiPriority w:val="99"/>
    <w:rsid w:val="00AD24AB"/>
    <w:pPr>
      <w:spacing w:before="100" w:beforeAutospacing="1" w:after="100" w:afterAutospacing="1"/>
    </w:pPr>
  </w:style>
  <w:style w:type="character" w:styleId="Textoennegrita">
    <w:name w:val="Strong"/>
    <w:uiPriority w:val="22"/>
    <w:qFormat/>
    <w:rsid w:val="00AD24AB"/>
    <w:rPr>
      <w:b/>
      <w:bCs/>
    </w:rPr>
  </w:style>
  <w:style w:type="character" w:styleId="Hipervnculovisitado">
    <w:name w:val="FollowedHyperlink"/>
    <w:basedOn w:val="Fuentedeprrafopredeter"/>
    <w:uiPriority w:val="99"/>
    <w:semiHidden/>
    <w:unhideWhenUsed/>
    <w:rsid w:val="00AD24AB"/>
    <w:rPr>
      <w:color w:val="954F72" w:themeColor="followedHyperlink"/>
      <w:u w:val="single"/>
    </w:rPr>
  </w:style>
  <w:style w:type="paragraph" w:styleId="Textoindependiente2">
    <w:name w:val="Body Text 2"/>
    <w:basedOn w:val="Normal"/>
    <w:link w:val="Textoindependiente2Car"/>
    <w:uiPriority w:val="99"/>
    <w:unhideWhenUsed/>
    <w:rsid w:val="00AD24AB"/>
    <w:pPr>
      <w:spacing w:after="120" w:line="480" w:lineRule="auto"/>
    </w:pPr>
  </w:style>
  <w:style w:type="character" w:customStyle="1" w:styleId="Textoindependiente2Car">
    <w:name w:val="Texto independiente 2 Car"/>
    <w:basedOn w:val="Fuentedeprrafopredeter"/>
    <w:link w:val="Textoindependiente2"/>
    <w:uiPriority w:val="99"/>
    <w:rsid w:val="00AD24AB"/>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AD24AB"/>
    <w:rPr>
      <w:sz w:val="16"/>
      <w:szCs w:val="16"/>
    </w:rPr>
  </w:style>
  <w:style w:type="paragraph" w:customStyle="1" w:styleId="Default">
    <w:name w:val="Default"/>
    <w:rsid w:val="00AD24AB"/>
    <w:pPr>
      <w:autoSpaceDE w:val="0"/>
      <w:autoSpaceDN w:val="0"/>
      <w:adjustRightInd w:val="0"/>
      <w:spacing w:after="0" w:line="240" w:lineRule="auto"/>
    </w:pPr>
    <w:rPr>
      <w:rFonts w:ascii="Arial" w:hAnsi="Arial" w:cs="Arial"/>
      <w:color w:val="000000"/>
      <w:sz w:val="24"/>
      <w:szCs w:val="24"/>
    </w:rPr>
  </w:style>
  <w:style w:type="paragraph" w:customStyle="1" w:styleId="Listavistosa-nfasis11">
    <w:name w:val="Lista vistosa - Énfasis 11"/>
    <w:basedOn w:val="Normal"/>
    <w:link w:val="Listavistosa-nfasis1Car"/>
    <w:uiPriority w:val="34"/>
    <w:qFormat/>
    <w:rsid w:val="00AD24AB"/>
    <w:pPr>
      <w:ind w:left="708"/>
    </w:pPr>
  </w:style>
  <w:style w:type="character" w:customStyle="1" w:styleId="Listavistosa-nfasis1Car">
    <w:name w:val="Lista vistosa - Énfasis 1 Car"/>
    <w:link w:val="Listavistosa-nfasis11"/>
    <w:uiPriority w:val="34"/>
    <w:locked/>
    <w:rsid w:val="00AD24AB"/>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AD24AB"/>
    <w:pPr>
      <w:spacing w:after="101" w:line="216" w:lineRule="exact"/>
      <w:ind w:firstLine="288"/>
      <w:jc w:val="both"/>
    </w:pPr>
    <w:rPr>
      <w:rFonts w:ascii="Arial" w:hAnsi="Arial" w:cs="Arial"/>
      <w:sz w:val="18"/>
      <w:szCs w:val="18"/>
    </w:rPr>
  </w:style>
  <w:style w:type="character" w:customStyle="1" w:styleId="apple-style-span">
    <w:name w:val="apple-style-span"/>
    <w:rsid w:val="00AD24AB"/>
  </w:style>
  <w:style w:type="paragraph" w:styleId="Textosinformato">
    <w:name w:val="Plain Text"/>
    <w:basedOn w:val="Normal"/>
    <w:link w:val="TextosinformatoCar"/>
    <w:rsid w:val="00AD24AB"/>
    <w:rPr>
      <w:rFonts w:ascii="Courier New" w:hAnsi="Courier New"/>
      <w:sz w:val="20"/>
      <w:szCs w:val="20"/>
    </w:rPr>
  </w:style>
  <w:style w:type="character" w:customStyle="1" w:styleId="TextosinformatoCar">
    <w:name w:val="Texto sin formato Car"/>
    <w:basedOn w:val="Fuentedeprrafopredeter"/>
    <w:link w:val="Textosinformato"/>
    <w:rsid w:val="00AD24AB"/>
    <w:rPr>
      <w:rFonts w:ascii="Courier New" w:eastAsia="Times New Roman" w:hAnsi="Courier New" w:cs="Times New Roman"/>
      <w:sz w:val="20"/>
      <w:szCs w:val="20"/>
      <w:lang w:eastAsia="es-ES"/>
    </w:rPr>
  </w:style>
  <w:style w:type="paragraph" w:customStyle="1" w:styleId="Standard">
    <w:name w:val="Standard"/>
    <w:rsid w:val="00AD24A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AD24AB"/>
    <w:rPr>
      <w:rFonts w:ascii="Arial" w:hAnsi="Arial" w:cs="Arial" w:hint="default"/>
      <w:b/>
      <w:bCs/>
      <w:sz w:val="18"/>
      <w:szCs w:val="18"/>
    </w:rPr>
  </w:style>
  <w:style w:type="paragraph" w:customStyle="1" w:styleId="Pa2">
    <w:name w:val="Pa2"/>
    <w:basedOn w:val="Normal"/>
    <w:next w:val="Normal"/>
    <w:uiPriority w:val="99"/>
    <w:rsid w:val="00AD24AB"/>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AD24AB"/>
  </w:style>
  <w:style w:type="paragraph" w:customStyle="1" w:styleId="q">
    <w:name w:val="q"/>
    <w:basedOn w:val="Normal"/>
    <w:rsid w:val="00AD24AB"/>
    <w:pPr>
      <w:spacing w:before="100" w:beforeAutospacing="1" w:after="100" w:afterAutospacing="1"/>
    </w:pPr>
    <w:rPr>
      <w:lang w:eastAsia="es-MX"/>
    </w:rPr>
  </w:style>
  <w:style w:type="character" w:customStyle="1" w:styleId="d">
    <w:name w:val="d"/>
    <w:basedOn w:val="Fuentedeprrafopredeter"/>
    <w:rsid w:val="00AD24AB"/>
  </w:style>
  <w:style w:type="character" w:customStyle="1" w:styleId="b">
    <w:name w:val="b"/>
    <w:basedOn w:val="Fuentedeprrafopredeter"/>
    <w:rsid w:val="00AD24AB"/>
  </w:style>
  <w:style w:type="character" w:customStyle="1" w:styleId="k">
    <w:name w:val="k"/>
    <w:basedOn w:val="Fuentedeprrafopredeter"/>
    <w:rsid w:val="00AD24AB"/>
  </w:style>
  <w:style w:type="character" w:customStyle="1" w:styleId="h">
    <w:name w:val="h"/>
    <w:basedOn w:val="Fuentedeprrafopredeter"/>
    <w:rsid w:val="00AD24AB"/>
  </w:style>
  <w:style w:type="character" w:styleId="CitaHTML">
    <w:name w:val="HTML Cite"/>
    <w:uiPriority w:val="99"/>
    <w:semiHidden/>
    <w:unhideWhenUsed/>
    <w:rsid w:val="00AD24AB"/>
    <w:rPr>
      <w:i/>
      <w:iCs/>
    </w:rPr>
  </w:style>
  <w:style w:type="paragraph" w:customStyle="1" w:styleId="RSCGnotaalpie">
    <w:name w:val="RSCG nota al pie"/>
    <w:basedOn w:val="Normal"/>
    <w:uiPriority w:val="99"/>
    <w:qFormat/>
    <w:rsid w:val="00AD24AB"/>
    <w:pPr>
      <w:spacing w:after="120"/>
      <w:jc w:val="both"/>
    </w:pPr>
    <w:rPr>
      <w:rFonts w:ascii="palatino" w:hAnsi="palatino" w:cstheme="minorBidi"/>
      <w:sz w:val="22"/>
      <w:szCs w:val="22"/>
      <w:lang w:eastAsia="en-US"/>
    </w:rPr>
  </w:style>
  <w:style w:type="character" w:customStyle="1" w:styleId="lbl-encabezado-blanco2">
    <w:name w:val="lbl-encabezado-blanco2"/>
    <w:rsid w:val="00AD24AB"/>
    <w:rPr>
      <w:color w:val="FFFFFF"/>
    </w:rPr>
  </w:style>
  <w:style w:type="character" w:customStyle="1" w:styleId="TextoCar">
    <w:name w:val="Texto Car"/>
    <w:link w:val="Texto"/>
    <w:locked/>
    <w:rsid w:val="00AD24AB"/>
    <w:rPr>
      <w:rFonts w:ascii="Arial" w:eastAsia="Times New Roman" w:hAnsi="Arial" w:cs="Arial"/>
      <w:sz w:val="18"/>
      <w:szCs w:val="18"/>
      <w:lang w:eastAsia="es-ES"/>
    </w:rPr>
  </w:style>
  <w:style w:type="paragraph" w:customStyle="1" w:styleId="ANOTACION">
    <w:name w:val="ANOTACION"/>
    <w:basedOn w:val="Normal"/>
    <w:link w:val="ANOTACIONCar"/>
    <w:rsid w:val="00AD24AB"/>
    <w:pPr>
      <w:spacing w:before="101" w:after="101"/>
      <w:jc w:val="center"/>
    </w:pPr>
    <w:rPr>
      <w:b/>
      <w:sz w:val="18"/>
      <w:szCs w:val="18"/>
    </w:rPr>
  </w:style>
  <w:style w:type="character" w:customStyle="1" w:styleId="ANOTACIONCar">
    <w:name w:val="ANOTACION Car"/>
    <w:link w:val="ANOTACION"/>
    <w:locked/>
    <w:rsid w:val="00AD24AB"/>
    <w:rPr>
      <w:rFonts w:ascii="Times New Roman" w:eastAsia="Times New Roman" w:hAnsi="Times New Roman" w:cs="Times New Roman"/>
      <w:b/>
      <w:sz w:val="18"/>
      <w:szCs w:val="18"/>
      <w:lang w:eastAsia="es-ES"/>
    </w:rPr>
  </w:style>
  <w:style w:type="table" w:styleId="Tablaconcuadrcula">
    <w:name w:val="Table Grid"/>
    <w:basedOn w:val="Tablanormal"/>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D24AB"/>
    <w:rPr>
      <w:i/>
      <w:iCs/>
    </w:rPr>
  </w:style>
  <w:style w:type="paragraph" w:styleId="Bibliografa">
    <w:name w:val="Bibliography"/>
    <w:basedOn w:val="Normal"/>
    <w:next w:val="Normal"/>
    <w:uiPriority w:val="37"/>
    <w:semiHidden/>
    <w:unhideWhenUsed/>
    <w:rsid w:val="00AD24AB"/>
  </w:style>
  <w:style w:type="paragraph" w:styleId="Textocomentario">
    <w:name w:val="annotation text"/>
    <w:basedOn w:val="Normal"/>
    <w:link w:val="TextocomentarioCar"/>
    <w:uiPriority w:val="99"/>
    <w:unhideWhenUsed/>
    <w:rsid w:val="00AD24AB"/>
    <w:rPr>
      <w:sz w:val="20"/>
      <w:szCs w:val="20"/>
    </w:rPr>
  </w:style>
  <w:style w:type="character" w:customStyle="1" w:styleId="TextocomentarioCar">
    <w:name w:val="Texto comentario Car"/>
    <w:basedOn w:val="Fuentedeprrafopredeter"/>
    <w:link w:val="Textocomentario"/>
    <w:uiPriority w:val="99"/>
    <w:rsid w:val="00AD24AB"/>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AD24AB"/>
    <w:rPr>
      <w:b/>
      <w:bCs/>
    </w:rPr>
  </w:style>
  <w:style w:type="character" w:customStyle="1" w:styleId="AsuntodelcomentarioCar">
    <w:name w:val="Asunto del comentario Car"/>
    <w:basedOn w:val="TextocomentarioCar"/>
    <w:link w:val="Asuntodelcomentario"/>
    <w:uiPriority w:val="99"/>
    <w:semiHidden/>
    <w:rsid w:val="00AD24AB"/>
    <w:rPr>
      <w:rFonts w:ascii="Times New Roman" w:eastAsia="Times New Roman" w:hAnsi="Times New Roman" w:cs="Times New Roman"/>
      <w:b/>
      <w:bCs/>
      <w:sz w:val="20"/>
      <w:szCs w:val="20"/>
      <w:lang w:eastAsia="es-ES"/>
    </w:rPr>
  </w:style>
  <w:style w:type="paragraph" w:customStyle="1" w:styleId="ROMANOS">
    <w:name w:val="ROMANOS"/>
    <w:basedOn w:val="Normal"/>
    <w:link w:val="ROMANOSCar"/>
    <w:rsid w:val="00AD24AB"/>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AD24AB"/>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AD24AB"/>
  </w:style>
  <w:style w:type="character" w:customStyle="1" w:styleId="Ninguno">
    <w:name w:val="Ninguno"/>
    <w:rsid w:val="00AD24AB"/>
    <w:rPr>
      <w:lang w:val="es-ES_tradnl"/>
    </w:rPr>
  </w:style>
  <w:style w:type="paragraph" w:customStyle="1" w:styleId="Cuerpo">
    <w:name w:val="Cuerpo"/>
    <w:rsid w:val="00AD24AB"/>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AD24AB"/>
    <w:pPr>
      <w:numPr>
        <w:numId w:val="8"/>
      </w:numPr>
    </w:pPr>
  </w:style>
  <w:style w:type="numbering" w:customStyle="1" w:styleId="Estiloimportado1">
    <w:name w:val="Estilo importado 1"/>
    <w:rsid w:val="00AD24AB"/>
    <w:pPr>
      <w:numPr>
        <w:numId w:val="9"/>
      </w:numPr>
    </w:pPr>
  </w:style>
  <w:style w:type="character" w:customStyle="1" w:styleId="normaltextrun">
    <w:name w:val="normaltextrun"/>
    <w:basedOn w:val="Fuentedeprrafopredeter"/>
    <w:rsid w:val="00AD24AB"/>
  </w:style>
  <w:style w:type="paragraph" w:customStyle="1" w:styleId="INCISO">
    <w:name w:val="INCISO"/>
    <w:basedOn w:val="Normal"/>
    <w:rsid w:val="00AD24AB"/>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AD24AB"/>
    <w:pPr>
      <w:spacing w:before="100" w:beforeAutospacing="1" w:after="100" w:afterAutospacing="1"/>
    </w:pPr>
    <w:rPr>
      <w:lang w:eastAsia="es-MX"/>
    </w:rPr>
  </w:style>
  <w:style w:type="paragraph" w:customStyle="1" w:styleId="j">
    <w:name w:val="j"/>
    <w:basedOn w:val="Normal"/>
    <w:rsid w:val="00AD24AB"/>
    <w:pPr>
      <w:spacing w:before="100" w:beforeAutospacing="1" w:after="100" w:afterAutospacing="1"/>
    </w:pPr>
    <w:rPr>
      <w:lang w:eastAsia="es-MX"/>
    </w:rPr>
  </w:style>
  <w:style w:type="character" w:customStyle="1" w:styleId="nacep">
    <w:name w:val="n_acep"/>
    <w:basedOn w:val="Fuentedeprrafopredeter"/>
    <w:rsid w:val="00AD24AB"/>
  </w:style>
  <w:style w:type="paragraph" w:customStyle="1" w:styleId="m5212863947045306324gmail-msonormal">
    <w:name w:val="m_5212863947045306324gmail-msonormal"/>
    <w:basedOn w:val="Normal"/>
    <w:rsid w:val="00AD24AB"/>
    <w:pPr>
      <w:spacing w:before="100" w:beforeAutospacing="1" w:after="100" w:afterAutospacing="1"/>
    </w:pPr>
    <w:rPr>
      <w:lang w:eastAsia="es-MX"/>
    </w:rPr>
  </w:style>
  <w:style w:type="character" w:customStyle="1" w:styleId="user-highlighted-active">
    <w:name w:val="user-highlighted-active"/>
    <w:basedOn w:val="Fuentedeprrafopredeter"/>
    <w:rsid w:val="00AD24AB"/>
  </w:style>
  <w:style w:type="paragraph" w:styleId="Lista">
    <w:name w:val="List"/>
    <w:basedOn w:val="Normal"/>
    <w:uiPriority w:val="99"/>
    <w:unhideWhenUsed/>
    <w:rsid w:val="00AD24AB"/>
    <w:pPr>
      <w:ind w:left="283" w:hanging="283"/>
      <w:contextualSpacing/>
    </w:pPr>
    <w:rPr>
      <w:lang w:val="es-ES"/>
    </w:rPr>
  </w:style>
  <w:style w:type="paragraph" w:styleId="Lista2">
    <w:name w:val="List 2"/>
    <w:basedOn w:val="Normal"/>
    <w:uiPriority w:val="99"/>
    <w:unhideWhenUsed/>
    <w:rsid w:val="00AD24AB"/>
    <w:pPr>
      <w:ind w:left="566" w:hanging="283"/>
      <w:contextualSpacing/>
    </w:pPr>
    <w:rPr>
      <w:lang w:val="es-ES"/>
    </w:rPr>
  </w:style>
  <w:style w:type="paragraph" w:styleId="Lista3">
    <w:name w:val="List 3"/>
    <w:basedOn w:val="Normal"/>
    <w:uiPriority w:val="99"/>
    <w:unhideWhenUsed/>
    <w:rsid w:val="00AD24AB"/>
    <w:pPr>
      <w:ind w:left="849" w:hanging="283"/>
      <w:contextualSpacing/>
    </w:pPr>
    <w:rPr>
      <w:lang w:val="es-ES"/>
    </w:rPr>
  </w:style>
  <w:style w:type="paragraph" w:styleId="Textoindependiente">
    <w:name w:val="Body Text"/>
    <w:basedOn w:val="Normal"/>
    <w:link w:val="TextoindependienteCar"/>
    <w:uiPriority w:val="99"/>
    <w:unhideWhenUsed/>
    <w:rsid w:val="00AD24AB"/>
    <w:pPr>
      <w:spacing w:after="120"/>
    </w:pPr>
    <w:rPr>
      <w:lang w:val="es-ES"/>
    </w:rPr>
  </w:style>
  <w:style w:type="character" w:customStyle="1" w:styleId="TextoindependienteCar">
    <w:name w:val="Texto independiente Car"/>
    <w:basedOn w:val="Fuentedeprrafopredeter"/>
    <w:link w:val="Textoindependiente"/>
    <w:uiPriority w:val="99"/>
    <w:rsid w:val="00AD24AB"/>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24AB"/>
    <w:pPr>
      <w:spacing w:after="120"/>
      <w:ind w:left="283"/>
    </w:pPr>
    <w:rPr>
      <w:lang w:val="es-ES"/>
    </w:rPr>
  </w:style>
  <w:style w:type="character" w:customStyle="1" w:styleId="SangradetextonormalCar">
    <w:name w:val="Sangría de texto normal Car"/>
    <w:basedOn w:val="Fuentedeprrafopredeter"/>
    <w:link w:val="Sangradetextonormal"/>
    <w:uiPriority w:val="99"/>
    <w:rsid w:val="00AD24AB"/>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AD24A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D24AB"/>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AD24AB"/>
  </w:style>
  <w:style w:type="character" w:customStyle="1" w:styleId="titulorubrolgt">
    <w:name w:val="titulorubrolgt"/>
    <w:basedOn w:val="Fuentedeprrafopredeter"/>
    <w:rsid w:val="00AD24AB"/>
  </w:style>
  <w:style w:type="paragraph" w:customStyle="1" w:styleId="Text">
    <w:name w:val="Text"/>
    <w:basedOn w:val="Normal"/>
    <w:link w:val="TextChar"/>
    <w:rsid w:val="00AD24AB"/>
    <w:pPr>
      <w:spacing w:after="240"/>
    </w:pPr>
    <w:rPr>
      <w:szCs w:val="20"/>
      <w:lang w:val="en-US" w:eastAsia="en-US"/>
    </w:rPr>
  </w:style>
  <w:style w:type="character" w:customStyle="1" w:styleId="TextChar">
    <w:name w:val="Text Char"/>
    <w:link w:val="Text"/>
    <w:locked/>
    <w:rsid w:val="00AD24AB"/>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AD24AB"/>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AD24AB"/>
    <w:rPr>
      <w:rFonts w:asciiTheme="minorHAnsi" w:eastAsia="Cambria" w:hAnsiTheme="minorHAnsi" w:cstheme="minorBidi"/>
      <w:sz w:val="20"/>
      <w:szCs w:val="20"/>
      <w:lang w:eastAsia="en-US"/>
    </w:rPr>
  </w:style>
  <w:style w:type="paragraph" w:customStyle="1" w:styleId="paragraph">
    <w:name w:val="paragraph"/>
    <w:basedOn w:val="Normal"/>
    <w:uiPriority w:val="99"/>
    <w:rsid w:val="00AD24AB"/>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AD24A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AD24A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D24AB"/>
    <w:rPr>
      <w:color w:val="605E5C"/>
      <w:shd w:val="clear" w:color="auto" w:fill="E1DFDD"/>
    </w:rPr>
  </w:style>
  <w:style w:type="character" w:customStyle="1" w:styleId="Mencinsinresolver2">
    <w:name w:val="Mención sin resolver2"/>
    <w:basedOn w:val="Fuentedeprrafopredeter"/>
    <w:uiPriority w:val="99"/>
    <w:semiHidden/>
    <w:unhideWhenUsed/>
    <w:rsid w:val="00AD24AB"/>
    <w:rPr>
      <w:color w:val="605E5C"/>
      <w:shd w:val="clear" w:color="auto" w:fill="E1DFDD"/>
    </w:rPr>
  </w:style>
  <w:style w:type="character" w:customStyle="1" w:styleId="Caracteresdenotaalpie">
    <w:name w:val="Caracteres de nota al pie"/>
    <w:qFormat/>
    <w:rsid w:val="00AD24AB"/>
  </w:style>
  <w:style w:type="table" w:customStyle="1" w:styleId="Tablaconcuadrcula3">
    <w:name w:val="Tabla con cuadrícula3"/>
    <w:basedOn w:val="Tablanormal"/>
    <w:next w:val="Tablaconcuadrcula"/>
    <w:uiPriority w:val="39"/>
    <w:rsid w:val="00AD24A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D24AB"/>
    <w:pPr>
      <w:spacing w:before="100" w:beforeAutospacing="1" w:after="100" w:afterAutospacing="1"/>
    </w:pPr>
    <w:rPr>
      <w:lang w:eastAsia="es-MX"/>
    </w:rPr>
  </w:style>
  <w:style w:type="table" w:customStyle="1" w:styleId="Tablaconcuadrcula7">
    <w:name w:val="Tabla con cuadrícula7"/>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D24AB"/>
  </w:style>
  <w:style w:type="numbering" w:customStyle="1" w:styleId="Sinlista11">
    <w:name w:val="Sin lista11"/>
    <w:next w:val="Sinlista"/>
    <w:uiPriority w:val="99"/>
    <w:semiHidden/>
    <w:unhideWhenUsed/>
    <w:rsid w:val="00AD24AB"/>
  </w:style>
  <w:style w:type="table" w:customStyle="1" w:styleId="Tablaconcuadrcula11">
    <w:name w:val="Tabla con cuadrícula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D24A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D24AB"/>
    <w:rPr>
      <w:rFonts w:ascii="Times New Roman" w:eastAsia="Times New Roman" w:hAnsi="Times New Roman" w:cs="Times New Roman"/>
      <w:sz w:val="16"/>
      <w:szCs w:val="16"/>
      <w:lang w:eastAsia="es-ES"/>
    </w:rPr>
  </w:style>
  <w:style w:type="numbering" w:customStyle="1" w:styleId="Sinlista2">
    <w:name w:val="Sin lista2"/>
    <w:next w:val="Sinlista"/>
    <w:uiPriority w:val="99"/>
    <w:semiHidden/>
    <w:unhideWhenUsed/>
    <w:rsid w:val="00AD24AB"/>
  </w:style>
  <w:style w:type="numbering" w:customStyle="1" w:styleId="Sinlista3">
    <w:name w:val="Sin lista3"/>
    <w:next w:val="Sinlista"/>
    <w:uiPriority w:val="99"/>
    <w:semiHidden/>
    <w:unhideWhenUsed/>
    <w:rsid w:val="00AD24AB"/>
  </w:style>
  <w:style w:type="numbering" w:customStyle="1" w:styleId="Sinlista4">
    <w:name w:val="Sin lista4"/>
    <w:next w:val="Sinlista"/>
    <w:uiPriority w:val="99"/>
    <w:semiHidden/>
    <w:unhideWhenUsed/>
    <w:rsid w:val="00AD24AB"/>
  </w:style>
  <w:style w:type="table" w:customStyle="1" w:styleId="Tablaconcuadrcula4">
    <w:name w:val="Tabla con cuadrícula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AD24AB"/>
  </w:style>
  <w:style w:type="numbering" w:customStyle="1" w:styleId="Sinlista5">
    <w:name w:val="Sin lista5"/>
    <w:next w:val="Sinlista"/>
    <w:uiPriority w:val="99"/>
    <w:semiHidden/>
    <w:unhideWhenUsed/>
    <w:rsid w:val="00AD24AB"/>
  </w:style>
  <w:style w:type="table" w:customStyle="1" w:styleId="Tablaconcuadrcula5">
    <w:name w:val="Tabla con cuadrícula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D24AB"/>
  </w:style>
  <w:style w:type="table" w:customStyle="1" w:styleId="Tablaconcuadrcula21">
    <w:name w:val="Tabla con cuadrícula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AD24AB"/>
  </w:style>
  <w:style w:type="table" w:customStyle="1" w:styleId="Tablaconcuadrcula111">
    <w:name w:val="Tabla con cuadrícula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AD24AB"/>
  </w:style>
  <w:style w:type="numbering" w:customStyle="1" w:styleId="Sinlista31">
    <w:name w:val="Sin lista31"/>
    <w:next w:val="Sinlista"/>
    <w:uiPriority w:val="99"/>
    <w:semiHidden/>
    <w:unhideWhenUsed/>
    <w:rsid w:val="00AD24AB"/>
  </w:style>
  <w:style w:type="table" w:customStyle="1" w:styleId="Tablaconcuadrcula31">
    <w:name w:val="Tabla con cuadrícula3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AD24AB"/>
  </w:style>
  <w:style w:type="table" w:customStyle="1" w:styleId="Tablaconcuadrcula41">
    <w:name w:val="Tabla con cuadrícula4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AD24AB"/>
  </w:style>
  <w:style w:type="numbering" w:customStyle="1" w:styleId="Estiloimportado11">
    <w:name w:val="Estilo importado 11"/>
    <w:rsid w:val="00AD24AB"/>
  </w:style>
  <w:style w:type="numbering" w:customStyle="1" w:styleId="Sinlista1111">
    <w:name w:val="Sin lista1111"/>
    <w:next w:val="Sinlista"/>
    <w:uiPriority w:val="99"/>
    <w:semiHidden/>
    <w:unhideWhenUsed/>
    <w:rsid w:val="00AD24AB"/>
  </w:style>
  <w:style w:type="numbering" w:customStyle="1" w:styleId="Sinlista6">
    <w:name w:val="Sin lista6"/>
    <w:next w:val="Sinlista"/>
    <w:uiPriority w:val="99"/>
    <w:semiHidden/>
    <w:unhideWhenUsed/>
    <w:rsid w:val="00AD24AB"/>
  </w:style>
  <w:style w:type="table" w:customStyle="1" w:styleId="Tablaconcuadrcula6">
    <w:name w:val="Tabla con cuadrícula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AD24AB"/>
  </w:style>
  <w:style w:type="numbering" w:customStyle="1" w:styleId="Sinlista13">
    <w:name w:val="Sin lista13"/>
    <w:next w:val="Sinlista"/>
    <w:uiPriority w:val="99"/>
    <w:semiHidden/>
    <w:unhideWhenUsed/>
    <w:rsid w:val="00AD24AB"/>
  </w:style>
  <w:style w:type="table" w:customStyle="1" w:styleId="Tablaconcuadrcula13">
    <w:name w:val="Tabla con cuadrícula13"/>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AD24AB"/>
  </w:style>
  <w:style w:type="table" w:customStyle="1" w:styleId="Tablaconcuadrcula22">
    <w:name w:val="Tabla con cuadrícula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AD24AB"/>
  </w:style>
  <w:style w:type="table" w:customStyle="1" w:styleId="Tablaconcuadrcula32">
    <w:name w:val="Tabla con cuadrícula3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AD24AB"/>
  </w:style>
  <w:style w:type="table" w:customStyle="1" w:styleId="Tablaconcuadrcula42">
    <w:name w:val="Tabla con cuadrícula4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AD24AB"/>
  </w:style>
  <w:style w:type="table" w:customStyle="1" w:styleId="Tablaconcuadrcula51">
    <w:name w:val="Tabla con cuadrícula5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AD24AB"/>
  </w:style>
  <w:style w:type="table" w:customStyle="1" w:styleId="Tablaconcuadrcula61">
    <w:name w:val="Tabla con cuadrícula6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AD24AB"/>
    <w:pPr>
      <w:numPr>
        <w:numId w:val="10"/>
      </w:numPr>
    </w:pPr>
  </w:style>
  <w:style w:type="numbering" w:customStyle="1" w:styleId="Estiloimportado12">
    <w:name w:val="Estilo importado 12"/>
    <w:rsid w:val="00AD24AB"/>
    <w:pPr>
      <w:numPr>
        <w:numId w:val="11"/>
      </w:numPr>
    </w:pPr>
  </w:style>
  <w:style w:type="table" w:customStyle="1" w:styleId="Tablaconcuadrcula121">
    <w:name w:val="Tabla con cuadrícula12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AD24AB"/>
  </w:style>
  <w:style w:type="table" w:customStyle="1" w:styleId="Tablaconcuadrcula211">
    <w:name w:val="Tabla con cuadrícula2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AD24AB"/>
  </w:style>
  <w:style w:type="table" w:customStyle="1" w:styleId="Tablaconcuadrcula1111">
    <w:name w:val="Tabla con cuadrícula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AD24AB"/>
  </w:style>
  <w:style w:type="numbering" w:customStyle="1" w:styleId="Sinlista311">
    <w:name w:val="Sin lista311"/>
    <w:next w:val="Sinlista"/>
    <w:uiPriority w:val="99"/>
    <w:semiHidden/>
    <w:unhideWhenUsed/>
    <w:rsid w:val="00AD24AB"/>
  </w:style>
  <w:style w:type="table" w:customStyle="1" w:styleId="Tablaconcuadrcula311">
    <w:name w:val="Tabla con cuadrícula3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AD24AB"/>
  </w:style>
  <w:style w:type="table" w:customStyle="1" w:styleId="Tablaconcuadrcula411">
    <w:name w:val="Tabla con cuadrícula4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AD24AB"/>
  </w:style>
  <w:style w:type="numbering" w:customStyle="1" w:styleId="Sinlista121">
    <w:name w:val="Sin lista121"/>
    <w:next w:val="Sinlista"/>
    <w:uiPriority w:val="99"/>
    <w:semiHidden/>
    <w:unhideWhenUsed/>
    <w:rsid w:val="00AD24AB"/>
  </w:style>
  <w:style w:type="numbering" w:customStyle="1" w:styleId="Sinlista11111">
    <w:name w:val="Sin lista11111"/>
    <w:next w:val="Sinlista"/>
    <w:uiPriority w:val="99"/>
    <w:semiHidden/>
    <w:unhideWhenUsed/>
    <w:rsid w:val="00AD24AB"/>
  </w:style>
  <w:style w:type="numbering" w:customStyle="1" w:styleId="Sinlista2111">
    <w:name w:val="Sin lista2111"/>
    <w:next w:val="Sinlista"/>
    <w:uiPriority w:val="99"/>
    <w:semiHidden/>
    <w:unhideWhenUsed/>
    <w:rsid w:val="00AD24AB"/>
  </w:style>
  <w:style w:type="numbering" w:customStyle="1" w:styleId="Sinlista3111">
    <w:name w:val="Sin lista3111"/>
    <w:next w:val="Sinlista"/>
    <w:uiPriority w:val="99"/>
    <w:semiHidden/>
    <w:unhideWhenUsed/>
    <w:rsid w:val="00AD24AB"/>
  </w:style>
  <w:style w:type="numbering" w:customStyle="1" w:styleId="Sinlista4111">
    <w:name w:val="Sin lista4111"/>
    <w:next w:val="Sinlista"/>
    <w:uiPriority w:val="99"/>
    <w:semiHidden/>
    <w:unhideWhenUsed/>
    <w:rsid w:val="00AD24AB"/>
  </w:style>
  <w:style w:type="numbering" w:customStyle="1" w:styleId="Sinlista71">
    <w:name w:val="Sin lista71"/>
    <w:next w:val="Sinlista"/>
    <w:uiPriority w:val="99"/>
    <w:semiHidden/>
    <w:unhideWhenUsed/>
    <w:rsid w:val="00AD24AB"/>
  </w:style>
  <w:style w:type="table" w:customStyle="1" w:styleId="Tablaconcuadrcula8">
    <w:name w:val="Tabla con cuadrícula8"/>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AD24AB"/>
  </w:style>
  <w:style w:type="numbering" w:customStyle="1" w:styleId="Estiloimportado111">
    <w:name w:val="Estilo importado 111"/>
    <w:rsid w:val="00AD24AB"/>
  </w:style>
  <w:style w:type="numbering" w:customStyle="1" w:styleId="Sinlista131">
    <w:name w:val="Sin lista131"/>
    <w:next w:val="Sinlista"/>
    <w:uiPriority w:val="99"/>
    <w:semiHidden/>
    <w:unhideWhenUsed/>
    <w:rsid w:val="00AD24AB"/>
  </w:style>
  <w:style w:type="numbering" w:customStyle="1" w:styleId="Sinlista1121">
    <w:name w:val="Sin lista1121"/>
    <w:next w:val="Sinlista"/>
    <w:uiPriority w:val="99"/>
    <w:semiHidden/>
    <w:unhideWhenUsed/>
    <w:rsid w:val="00AD24AB"/>
  </w:style>
  <w:style w:type="table" w:customStyle="1" w:styleId="Tablaconcuadrcula1121">
    <w:name w:val="Tabla con cuadrícula11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AD24AB"/>
  </w:style>
  <w:style w:type="numbering" w:customStyle="1" w:styleId="Sinlista321">
    <w:name w:val="Sin lista321"/>
    <w:next w:val="Sinlista"/>
    <w:uiPriority w:val="99"/>
    <w:semiHidden/>
    <w:unhideWhenUsed/>
    <w:rsid w:val="00AD24AB"/>
  </w:style>
  <w:style w:type="numbering" w:customStyle="1" w:styleId="Sinlista421">
    <w:name w:val="Sin lista421"/>
    <w:next w:val="Sinlista"/>
    <w:uiPriority w:val="99"/>
    <w:semiHidden/>
    <w:unhideWhenUsed/>
    <w:rsid w:val="00AD24AB"/>
  </w:style>
  <w:style w:type="numbering" w:customStyle="1" w:styleId="Estiloimportado23">
    <w:name w:val="Estilo importado 23"/>
    <w:rsid w:val="00AD24AB"/>
  </w:style>
  <w:style w:type="numbering" w:customStyle="1" w:styleId="Estiloimportado13">
    <w:name w:val="Estilo importado 13"/>
    <w:rsid w:val="00AD24AB"/>
  </w:style>
  <w:style w:type="numbering" w:customStyle="1" w:styleId="Estiloimportado212">
    <w:name w:val="Estilo importado 212"/>
    <w:rsid w:val="00AD24AB"/>
    <w:pPr>
      <w:numPr>
        <w:numId w:val="12"/>
      </w:numPr>
    </w:pPr>
  </w:style>
  <w:style w:type="numbering" w:customStyle="1" w:styleId="Estiloimportado112">
    <w:name w:val="Estilo importado 112"/>
    <w:rsid w:val="00AD24AB"/>
    <w:pPr>
      <w:numPr>
        <w:numId w:val="13"/>
      </w:numPr>
    </w:pPr>
  </w:style>
  <w:style w:type="table" w:customStyle="1" w:styleId="Tablaconcuadrcula1122">
    <w:name w:val="Tabla con cuadrícula11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AD24AB"/>
  </w:style>
  <w:style w:type="table" w:customStyle="1" w:styleId="Tablaconcuadrcula9">
    <w:name w:val="Tabla con cuadrícula9"/>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D24AB"/>
  </w:style>
  <w:style w:type="table" w:customStyle="1" w:styleId="Tablaconcuadrcula14">
    <w:name w:val="Tabla con cuadrícula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AD24AB"/>
  </w:style>
  <w:style w:type="table" w:customStyle="1" w:styleId="Tablaconcuadrcula23">
    <w:name w:val="Tabla con cuadrícula2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AD24AB"/>
  </w:style>
  <w:style w:type="table" w:customStyle="1" w:styleId="Tablaconcuadrcula33">
    <w:name w:val="Tabla con cuadrícula3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AD24AB"/>
  </w:style>
  <w:style w:type="table" w:customStyle="1" w:styleId="Tablaconcuadrcula43">
    <w:name w:val="Tabla con cuadrícula4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AD24AB"/>
  </w:style>
  <w:style w:type="table" w:customStyle="1" w:styleId="Tablaconcuadrcula52">
    <w:name w:val="Tabla con cuadrícula5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AD24AB"/>
  </w:style>
  <w:style w:type="table" w:customStyle="1" w:styleId="Tablaconcuadrcula62">
    <w:name w:val="Tabla con cuadrícula6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AD24AB"/>
    <w:pPr>
      <w:numPr>
        <w:numId w:val="14"/>
      </w:numPr>
    </w:pPr>
  </w:style>
  <w:style w:type="numbering" w:customStyle="1" w:styleId="Estiloimportado14">
    <w:name w:val="Estilo importado 14"/>
    <w:rsid w:val="00AD24AB"/>
    <w:pPr>
      <w:numPr>
        <w:numId w:val="15"/>
      </w:numPr>
    </w:pPr>
  </w:style>
  <w:style w:type="table" w:customStyle="1" w:styleId="Tablaconcuadrcula122">
    <w:name w:val="Tabla con cuadrícula122"/>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AD24AB"/>
  </w:style>
  <w:style w:type="table" w:customStyle="1" w:styleId="Tablaconcuadrcula212">
    <w:name w:val="Tabla con cuadrícula2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AD24AB"/>
  </w:style>
  <w:style w:type="table" w:customStyle="1" w:styleId="Tablaconcuadrcula1112">
    <w:name w:val="Tabla con cuadrícula11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AD24AB"/>
  </w:style>
  <w:style w:type="numbering" w:customStyle="1" w:styleId="Sinlista312">
    <w:name w:val="Sin lista312"/>
    <w:next w:val="Sinlista"/>
    <w:uiPriority w:val="99"/>
    <w:semiHidden/>
    <w:unhideWhenUsed/>
    <w:rsid w:val="00AD24AB"/>
  </w:style>
  <w:style w:type="table" w:customStyle="1" w:styleId="Tablaconcuadrcula312">
    <w:name w:val="Tabla con cuadrícula3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AD24AB"/>
  </w:style>
  <w:style w:type="table" w:customStyle="1" w:styleId="Tablaconcuadrcula412">
    <w:name w:val="Tabla con cuadrícula4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AD24AB"/>
  </w:style>
  <w:style w:type="table" w:customStyle="1" w:styleId="Tablaconcuadrcula511">
    <w:name w:val="Tabla con cuadrícula5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AD24AB"/>
  </w:style>
  <w:style w:type="numbering" w:customStyle="1" w:styleId="Sinlista11112">
    <w:name w:val="Sin lista11112"/>
    <w:next w:val="Sinlista"/>
    <w:uiPriority w:val="99"/>
    <w:semiHidden/>
    <w:unhideWhenUsed/>
    <w:rsid w:val="00AD24AB"/>
  </w:style>
  <w:style w:type="numbering" w:customStyle="1" w:styleId="Sinlista2112">
    <w:name w:val="Sin lista2112"/>
    <w:next w:val="Sinlista"/>
    <w:uiPriority w:val="99"/>
    <w:semiHidden/>
    <w:unhideWhenUsed/>
    <w:rsid w:val="00AD24AB"/>
  </w:style>
  <w:style w:type="numbering" w:customStyle="1" w:styleId="Sinlista3112">
    <w:name w:val="Sin lista3112"/>
    <w:next w:val="Sinlista"/>
    <w:uiPriority w:val="99"/>
    <w:semiHidden/>
    <w:unhideWhenUsed/>
    <w:rsid w:val="00AD24AB"/>
  </w:style>
  <w:style w:type="numbering" w:customStyle="1" w:styleId="Sinlista4112">
    <w:name w:val="Sin lista4112"/>
    <w:next w:val="Sinlista"/>
    <w:uiPriority w:val="99"/>
    <w:semiHidden/>
    <w:unhideWhenUsed/>
    <w:rsid w:val="00AD24AB"/>
  </w:style>
  <w:style w:type="numbering" w:customStyle="1" w:styleId="Sinlista72">
    <w:name w:val="Sin lista72"/>
    <w:next w:val="Sinlista"/>
    <w:uiPriority w:val="99"/>
    <w:semiHidden/>
    <w:unhideWhenUsed/>
    <w:rsid w:val="00AD24AB"/>
  </w:style>
  <w:style w:type="table" w:customStyle="1" w:styleId="Tablaconcuadrcula81">
    <w:name w:val="Tabla con cuadrícula8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AD24AB"/>
  </w:style>
  <w:style w:type="numbering" w:customStyle="1" w:styleId="Estiloimportado113">
    <w:name w:val="Estilo importado 113"/>
    <w:rsid w:val="00AD24AB"/>
  </w:style>
  <w:style w:type="table" w:customStyle="1" w:styleId="Tablaconcuadrcula131">
    <w:name w:val="Tabla con cuadrícula13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AD24AB"/>
  </w:style>
  <w:style w:type="table" w:customStyle="1" w:styleId="Tablaconcuadrcula221">
    <w:name w:val="Tabla con cuadrícula2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AD24AB"/>
  </w:style>
  <w:style w:type="table" w:customStyle="1" w:styleId="Tablaconcuadrcula1123">
    <w:name w:val="Tabla con cuadrícula112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AD24AB"/>
  </w:style>
  <w:style w:type="numbering" w:customStyle="1" w:styleId="Sinlista322">
    <w:name w:val="Sin lista322"/>
    <w:next w:val="Sinlista"/>
    <w:uiPriority w:val="99"/>
    <w:semiHidden/>
    <w:unhideWhenUsed/>
    <w:rsid w:val="00AD24AB"/>
  </w:style>
  <w:style w:type="table" w:customStyle="1" w:styleId="Tablaconcuadrcula321">
    <w:name w:val="Tabla con cuadrícula3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AD24AB"/>
  </w:style>
  <w:style w:type="table" w:customStyle="1" w:styleId="Tablaconcuadrcula421">
    <w:name w:val="Tabla con cuadrícula4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AD24AB"/>
  </w:style>
  <w:style w:type="table" w:customStyle="1" w:styleId="Tablaconcuadrcula10">
    <w:name w:val="Tabla con cuadrícula10"/>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AD24AB"/>
  </w:style>
  <w:style w:type="table" w:customStyle="1" w:styleId="Tablaconcuadrcula24">
    <w:name w:val="Tabla con cuadrícula2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AD24AB"/>
  </w:style>
  <w:style w:type="table" w:customStyle="1" w:styleId="Tablaconcuadrcula116">
    <w:name w:val="Tabla con cuadrícula11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AD24AB"/>
  </w:style>
  <w:style w:type="numbering" w:customStyle="1" w:styleId="Sinlista34">
    <w:name w:val="Sin lista34"/>
    <w:next w:val="Sinlista"/>
    <w:uiPriority w:val="99"/>
    <w:semiHidden/>
    <w:unhideWhenUsed/>
    <w:rsid w:val="00AD24AB"/>
  </w:style>
  <w:style w:type="table" w:customStyle="1" w:styleId="Tablaconcuadrcula34">
    <w:name w:val="Tabla con cuadrícula3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AD24AB"/>
  </w:style>
  <w:style w:type="table" w:customStyle="1" w:styleId="Tablaconcuadrcula44">
    <w:name w:val="Tabla con cuadrícula4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AD24AB"/>
  </w:style>
  <w:style w:type="table" w:customStyle="1" w:styleId="Tablaconcuadrcula53">
    <w:name w:val="Tabla con cuadrícula5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AD24AB"/>
  </w:style>
  <w:style w:type="table" w:customStyle="1" w:styleId="Tablaconcuadrcula213">
    <w:name w:val="Tabla con cuadrícula2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AD24AB"/>
  </w:style>
  <w:style w:type="table" w:customStyle="1" w:styleId="Tablaconcuadrcula1113">
    <w:name w:val="Tabla con cuadrícula11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AD24AB"/>
  </w:style>
  <w:style w:type="numbering" w:customStyle="1" w:styleId="Sinlista313">
    <w:name w:val="Sin lista313"/>
    <w:next w:val="Sinlista"/>
    <w:uiPriority w:val="99"/>
    <w:semiHidden/>
    <w:unhideWhenUsed/>
    <w:rsid w:val="00AD24AB"/>
  </w:style>
  <w:style w:type="table" w:customStyle="1" w:styleId="Tablaconcuadrcula313">
    <w:name w:val="Tabla con cuadrícula3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AD24AB"/>
  </w:style>
  <w:style w:type="table" w:customStyle="1" w:styleId="Tablaconcuadrcula413">
    <w:name w:val="Tabla con cuadrícula41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AD24AB"/>
  </w:style>
  <w:style w:type="numbering" w:customStyle="1" w:styleId="Estiloimportado114">
    <w:name w:val="Estilo importado 114"/>
    <w:rsid w:val="00AD24AB"/>
  </w:style>
  <w:style w:type="numbering" w:customStyle="1" w:styleId="Sinlista11113">
    <w:name w:val="Sin lista11113"/>
    <w:next w:val="Sinlista"/>
    <w:uiPriority w:val="99"/>
    <w:semiHidden/>
    <w:unhideWhenUsed/>
    <w:rsid w:val="00AD24AB"/>
  </w:style>
  <w:style w:type="numbering" w:customStyle="1" w:styleId="Sinlista63">
    <w:name w:val="Sin lista63"/>
    <w:next w:val="Sinlista"/>
    <w:uiPriority w:val="99"/>
    <w:semiHidden/>
    <w:unhideWhenUsed/>
    <w:rsid w:val="00AD24AB"/>
  </w:style>
  <w:style w:type="table" w:customStyle="1" w:styleId="Tablaconcuadrcula63">
    <w:name w:val="Tabla con cuadrícula63"/>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AD24AB"/>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AD24AB"/>
  </w:style>
  <w:style w:type="table" w:customStyle="1" w:styleId="Tablaconcuadrcula16">
    <w:name w:val="Tabla con cuadrícula16"/>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AD24AB"/>
  </w:style>
  <w:style w:type="numbering" w:customStyle="1" w:styleId="Estiloimportado15">
    <w:name w:val="Estilo importado 15"/>
    <w:rsid w:val="00AD24AB"/>
  </w:style>
  <w:style w:type="table" w:customStyle="1" w:styleId="Tablaconcuadrcula1114">
    <w:name w:val="Tabla con cuadrícula11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AD24AB"/>
  </w:style>
  <w:style w:type="table" w:customStyle="1" w:styleId="Tablaconcuadrcula17">
    <w:name w:val="Tabla con cuadrícula17"/>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AD24AB"/>
  </w:style>
  <w:style w:type="numbering" w:customStyle="1" w:styleId="Sinlista25">
    <w:name w:val="Sin lista25"/>
    <w:next w:val="Sinlista"/>
    <w:uiPriority w:val="99"/>
    <w:semiHidden/>
    <w:unhideWhenUsed/>
    <w:rsid w:val="00AD24AB"/>
  </w:style>
  <w:style w:type="numbering" w:customStyle="1" w:styleId="Sinlista35">
    <w:name w:val="Sin lista35"/>
    <w:next w:val="Sinlista"/>
    <w:uiPriority w:val="99"/>
    <w:semiHidden/>
    <w:unhideWhenUsed/>
    <w:rsid w:val="00AD24AB"/>
  </w:style>
  <w:style w:type="table" w:customStyle="1" w:styleId="Tablaconcuadrcula35">
    <w:name w:val="Tabla con cuadrícula3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AD24AB"/>
  </w:style>
  <w:style w:type="table" w:customStyle="1" w:styleId="Tablaconcuadrcula45">
    <w:name w:val="Tabla con cuadrícula45"/>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AD24AB"/>
  </w:style>
  <w:style w:type="table" w:customStyle="1" w:styleId="Tablaconcuadrcula54">
    <w:name w:val="Tabla con cuadrícula5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AD24AB"/>
  </w:style>
  <w:style w:type="table" w:customStyle="1" w:styleId="Tablaconcuadrcula214">
    <w:name w:val="Tabla con cuadrícula2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AD24AB"/>
  </w:style>
  <w:style w:type="numbering" w:customStyle="1" w:styleId="Sinlista214">
    <w:name w:val="Sin lista214"/>
    <w:next w:val="Sinlista"/>
    <w:uiPriority w:val="99"/>
    <w:semiHidden/>
    <w:unhideWhenUsed/>
    <w:rsid w:val="00AD24AB"/>
  </w:style>
  <w:style w:type="numbering" w:customStyle="1" w:styleId="Sinlista314">
    <w:name w:val="Sin lista314"/>
    <w:next w:val="Sinlista"/>
    <w:uiPriority w:val="99"/>
    <w:semiHidden/>
    <w:unhideWhenUsed/>
    <w:rsid w:val="00AD24AB"/>
  </w:style>
  <w:style w:type="table" w:customStyle="1" w:styleId="Tablaconcuadrcula314">
    <w:name w:val="Tabla con cuadrícula3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AD24AB"/>
  </w:style>
  <w:style w:type="table" w:customStyle="1" w:styleId="Tablaconcuadrcula414">
    <w:name w:val="Tabla con cuadrícula41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AD24AB"/>
  </w:style>
  <w:style w:type="numbering" w:customStyle="1" w:styleId="Estiloimportado115">
    <w:name w:val="Estilo importado 115"/>
    <w:rsid w:val="00AD24AB"/>
  </w:style>
  <w:style w:type="numbering" w:customStyle="1" w:styleId="Sinlista64">
    <w:name w:val="Sin lista64"/>
    <w:next w:val="Sinlista"/>
    <w:uiPriority w:val="99"/>
    <w:semiHidden/>
    <w:unhideWhenUsed/>
    <w:rsid w:val="00AD24AB"/>
  </w:style>
  <w:style w:type="table" w:customStyle="1" w:styleId="Tablaconcuadrcula64">
    <w:name w:val="Tabla con cuadrícula64"/>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AD24AB"/>
  </w:style>
  <w:style w:type="table" w:customStyle="1" w:styleId="Tablaconcuadrcula72">
    <w:name w:val="Tabla con cuadrícula7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AD24AB"/>
  </w:style>
  <w:style w:type="numbering" w:customStyle="1" w:styleId="Estiloimportado121">
    <w:name w:val="Estilo importado 121"/>
    <w:rsid w:val="00AD24AB"/>
  </w:style>
  <w:style w:type="table" w:customStyle="1" w:styleId="Tablaconcuadrcula11121">
    <w:name w:val="Tabla con cuadrícula1112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AD24AB"/>
  </w:style>
  <w:style w:type="table" w:customStyle="1" w:styleId="Tablaconcuadrcula132">
    <w:name w:val="Tabla con cuadrícula13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AD24AB"/>
  </w:style>
  <w:style w:type="numbering" w:customStyle="1" w:styleId="Sinlista223">
    <w:name w:val="Sin lista223"/>
    <w:next w:val="Sinlista"/>
    <w:uiPriority w:val="99"/>
    <w:semiHidden/>
    <w:unhideWhenUsed/>
    <w:rsid w:val="00AD24AB"/>
  </w:style>
  <w:style w:type="numbering" w:customStyle="1" w:styleId="Sinlista323">
    <w:name w:val="Sin lista323"/>
    <w:next w:val="Sinlista"/>
    <w:uiPriority w:val="99"/>
    <w:semiHidden/>
    <w:unhideWhenUsed/>
    <w:rsid w:val="00AD24AB"/>
  </w:style>
  <w:style w:type="table" w:customStyle="1" w:styleId="Tablaconcuadrcula322">
    <w:name w:val="Tabla con cuadrícula3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AD24AB"/>
  </w:style>
  <w:style w:type="table" w:customStyle="1" w:styleId="Tablaconcuadrcula422">
    <w:name w:val="Tabla con cuadrícula42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AD24AB"/>
  </w:style>
  <w:style w:type="table" w:customStyle="1" w:styleId="Tablaconcuadrcula512">
    <w:name w:val="Tabla con cuadrícula5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AD24AB"/>
  </w:style>
  <w:style w:type="table" w:customStyle="1" w:styleId="Tablaconcuadrcula2111">
    <w:name w:val="Tabla con cuadrícula2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AD24AB"/>
  </w:style>
  <w:style w:type="numbering" w:customStyle="1" w:styleId="Sinlista2113">
    <w:name w:val="Sin lista2113"/>
    <w:next w:val="Sinlista"/>
    <w:uiPriority w:val="99"/>
    <w:semiHidden/>
    <w:unhideWhenUsed/>
    <w:rsid w:val="00AD24AB"/>
  </w:style>
  <w:style w:type="numbering" w:customStyle="1" w:styleId="Sinlista3113">
    <w:name w:val="Sin lista3113"/>
    <w:next w:val="Sinlista"/>
    <w:uiPriority w:val="99"/>
    <w:semiHidden/>
    <w:unhideWhenUsed/>
    <w:rsid w:val="00AD24AB"/>
  </w:style>
  <w:style w:type="table" w:customStyle="1" w:styleId="Tablaconcuadrcula3111">
    <w:name w:val="Tabla con cuadrícula3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AD24AB"/>
  </w:style>
  <w:style w:type="table" w:customStyle="1" w:styleId="Tablaconcuadrcula4111">
    <w:name w:val="Tabla con cuadrícula4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AD24AB"/>
  </w:style>
  <w:style w:type="numbering" w:customStyle="1" w:styleId="Estiloimportado1111">
    <w:name w:val="Estilo importado 1111"/>
    <w:rsid w:val="00AD24AB"/>
  </w:style>
  <w:style w:type="numbering" w:customStyle="1" w:styleId="Sinlista611">
    <w:name w:val="Sin lista611"/>
    <w:next w:val="Sinlista"/>
    <w:uiPriority w:val="99"/>
    <w:semiHidden/>
    <w:unhideWhenUsed/>
    <w:rsid w:val="00AD24AB"/>
  </w:style>
  <w:style w:type="table" w:customStyle="1" w:styleId="Tablaconcuadrcula611">
    <w:name w:val="Tabla con cuadrícula6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AD2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AD24AB"/>
  </w:style>
  <w:style w:type="numbering" w:customStyle="1" w:styleId="Estiloimportado131">
    <w:name w:val="Estilo importado 131"/>
    <w:rsid w:val="00AD24AB"/>
  </w:style>
  <w:style w:type="table" w:customStyle="1" w:styleId="Tablaconcuadrcula11221">
    <w:name w:val="Tabla con cuadrícula11221"/>
    <w:basedOn w:val="Tablanormal"/>
    <w:next w:val="Tablaconcuadrcula"/>
    <w:uiPriority w:val="39"/>
    <w:rsid w:val="00AD24AB"/>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AD24AB"/>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AD24A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Estilo">
    <w:name w:val="Estilo"/>
    <w:uiPriority w:val="99"/>
    <w:rsid w:val="00AD24AB"/>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character" w:customStyle="1" w:styleId="TextodegloboCar1">
    <w:name w:val="Texto de globo Car1"/>
    <w:basedOn w:val="Fuentedeprrafopredeter"/>
    <w:uiPriority w:val="99"/>
    <w:semiHidden/>
    <w:rsid w:val="00AD24AB"/>
    <w:rPr>
      <w:rFonts w:ascii="Segoe UI" w:eastAsia="Times New Roman" w:hAnsi="Segoe UI" w:cs="Segoe UI"/>
      <w:sz w:val="18"/>
      <w:szCs w:val="18"/>
      <w:lang w:val="es-ES" w:eastAsia="es-ES"/>
    </w:rPr>
  </w:style>
  <w:style w:type="character" w:customStyle="1" w:styleId="u">
    <w:name w:val="u"/>
    <w:basedOn w:val="Fuentedeprrafopredeter"/>
    <w:rsid w:val="00AD2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92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tmp"/><Relationship Id="rId10" Type="http://schemas.openxmlformats.org/officeDocument/2006/relationships/image" Target="media/image3.tm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0B88D-EBA1-4C03-A2F7-290F110A0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20</Pages>
  <Words>3534</Words>
  <Characters>19437</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PONENCIA EAY</cp:lastModifiedBy>
  <cp:revision>4</cp:revision>
  <cp:lastPrinted>2021-09-23T14:39:00Z</cp:lastPrinted>
  <dcterms:created xsi:type="dcterms:W3CDTF">2021-09-29T19:56:00Z</dcterms:created>
  <dcterms:modified xsi:type="dcterms:W3CDTF">2021-10-06T17:54:00Z</dcterms:modified>
</cp:coreProperties>
</file>