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6E599" w14:textId="7A6782BE"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r w:rsidRPr="000C27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4639F">
        <w:rPr>
          <w:rFonts w:ascii="Palatino Linotype" w:eastAsia="Times New Roman" w:hAnsi="Palatino Linotype" w:cs="Arial"/>
          <w:color w:val="000000"/>
          <w:sz w:val="24"/>
          <w:szCs w:val="24"/>
          <w:lang w:eastAsia="es-MX"/>
        </w:rPr>
        <w:t>dos de junio</w:t>
      </w:r>
      <w:r w:rsidR="00FF3748">
        <w:rPr>
          <w:rFonts w:ascii="Palatino Linotype" w:eastAsia="Times New Roman" w:hAnsi="Palatino Linotype" w:cs="Arial"/>
          <w:color w:val="000000"/>
          <w:sz w:val="24"/>
          <w:szCs w:val="24"/>
          <w:lang w:eastAsia="es-MX"/>
        </w:rPr>
        <w:t xml:space="preserve"> de dos mil veintiuno</w:t>
      </w:r>
      <w:r w:rsidRPr="000C270E">
        <w:rPr>
          <w:rFonts w:ascii="Palatino Linotype" w:eastAsia="Times New Roman" w:hAnsi="Palatino Linotype" w:cs="Arial"/>
          <w:color w:val="000000"/>
          <w:sz w:val="24"/>
          <w:szCs w:val="24"/>
          <w:lang w:eastAsia="es-MX"/>
        </w:rPr>
        <w:t>.</w:t>
      </w:r>
    </w:p>
    <w:p w14:paraId="3BB2F846" w14:textId="77777777" w:rsidR="00BE69F0" w:rsidRPr="000C270E" w:rsidRDefault="00BE69F0" w:rsidP="00BE69F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BEB592A" w14:textId="4ADAE43F" w:rsidR="00BE69F0" w:rsidRPr="000C270E" w:rsidRDefault="00BE69F0" w:rsidP="00BE69F0">
      <w:pPr>
        <w:tabs>
          <w:tab w:val="left" w:pos="1701"/>
        </w:tabs>
        <w:spacing w:after="0" w:line="360" w:lineRule="auto"/>
        <w:jc w:val="both"/>
        <w:rPr>
          <w:rFonts w:ascii="Palatino Linotype" w:hAnsi="Palatino Linotype" w:cs="Arial"/>
          <w:sz w:val="24"/>
        </w:rPr>
      </w:pPr>
      <w:r w:rsidRPr="000C270E">
        <w:rPr>
          <w:rFonts w:ascii="Palatino Linotype" w:hAnsi="Palatino Linotype" w:cs="Arial"/>
          <w:b/>
          <w:sz w:val="24"/>
        </w:rPr>
        <w:t>VISTO</w:t>
      </w:r>
      <w:r w:rsidRPr="000C270E">
        <w:rPr>
          <w:rFonts w:ascii="Palatino Linotype" w:hAnsi="Palatino Linotype" w:cs="Arial"/>
          <w:sz w:val="24"/>
        </w:rPr>
        <w:t xml:space="preserve"> el expediente electrónico formado con motivo del recurso de revisión número </w:t>
      </w:r>
      <w:r w:rsidR="00984798" w:rsidRPr="00984798">
        <w:rPr>
          <w:rFonts w:ascii="Palatino Linotype" w:hAnsi="Palatino Linotype" w:cs="Arial"/>
          <w:b/>
          <w:bCs/>
          <w:sz w:val="24"/>
          <w:lang w:eastAsia="es-MX"/>
        </w:rPr>
        <w:t>01340/INFOEM/IP/RR/2021</w:t>
      </w:r>
      <w:r w:rsidRPr="000C270E">
        <w:rPr>
          <w:rFonts w:ascii="Palatino Linotype" w:hAnsi="Palatino Linotype" w:cs="Arial"/>
          <w:sz w:val="24"/>
        </w:rPr>
        <w:t>, interpuesto por el</w:t>
      </w:r>
      <w:r w:rsidRPr="000C270E">
        <w:rPr>
          <w:rFonts w:ascii="Palatino Linotype" w:hAnsi="Palatino Linotype" w:cs="Arial"/>
          <w:b/>
          <w:sz w:val="24"/>
          <w:szCs w:val="24"/>
        </w:rPr>
        <w:t xml:space="preserve"> C. </w:t>
      </w:r>
      <w:proofErr w:type="spellStart"/>
      <w:r w:rsidR="00E615A5">
        <w:rPr>
          <w:rFonts w:ascii="Palatino Linotype" w:hAnsi="Palatino Linotype" w:cs="Arial"/>
          <w:b/>
          <w:sz w:val="24"/>
          <w:szCs w:val="24"/>
        </w:rPr>
        <w:t>xxxxxxxxxxxxxxxxxxxxxx</w:t>
      </w:r>
      <w:proofErr w:type="spellEnd"/>
      <w:r w:rsidR="00AF0D0D" w:rsidRPr="00AF0D0D">
        <w:rPr>
          <w:rFonts w:ascii="Palatino Linotype" w:hAnsi="Palatino Linotype" w:cs="Arial"/>
          <w:b/>
          <w:sz w:val="24"/>
          <w:szCs w:val="24"/>
        </w:rPr>
        <w:t xml:space="preserve"> </w:t>
      </w:r>
      <w:r w:rsidRPr="000C270E">
        <w:rPr>
          <w:rFonts w:ascii="Palatino Linotype" w:hAnsi="Palatino Linotype" w:cs="Arial"/>
          <w:sz w:val="24"/>
        </w:rPr>
        <w:t xml:space="preserve">en lo sucesivo </w:t>
      </w:r>
      <w:r w:rsidRPr="000C270E">
        <w:rPr>
          <w:rFonts w:ascii="Palatino Linotype" w:hAnsi="Palatino Linotype" w:cs="Arial"/>
          <w:b/>
          <w:sz w:val="24"/>
        </w:rPr>
        <w:t>El Recurrente</w:t>
      </w:r>
      <w:r w:rsidRPr="000C270E">
        <w:rPr>
          <w:rFonts w:ascii="Palatino Linotype" w:hAnsi="Palatino Linotype" w:cs="Arial"/>
          <w:sz w:val="24"/>
        </w:rPr>
        <w:t xml:space="preserve">, en contra de la respuesta </w:t>
      </w:r>
      <w:r w:rsidRPr="000C270E">
        <w:rPr>
          <w:rFonts w:ascii="Palatino Linotype" w:hAnsi="Palatino Linotype" w:cs="Arial"/>
          <w:sz w:val="24"/>
          <w:szCs w:val="24"/>
        </w:rPr>
        <w:t xml:space="preserve">del </w:t>
      </w:r>
      <w:r w:rsidR="00984798" w:rsidRPr="00984798">
        <w:rPr>
          <w:rFonts w:ascii="Palatino Linotype" w:hAnsi="Palatino Linotype" w:cs="Arial"/>
          <w:b/>
          <w:sz w:val="24"/>
          <w:szCs w:val="24"/>
        </w:rPr>
        <w:t>Ayuntamiento de Nicolás Romero</w:t>
      </w:r>
      <w:r w:rsidRPr="000C270E">
        <w:rPr>
          <w:rFonts w:ascii="Palatino Linotype" w:hAnsi="Palatino Linotype" w:cs="Arial"/>
          <w:sz w:val="28"/>
          <w:szCs w:val="24"/>
        </w:rPr>
        <w:t xml:space="preserve">, </w:t>
      </w:r>
      <w:r w:rsidRPr="000C270E">
        <w:rPr>
          <w:rFonts w:ascii="Palatino Linotype" w:hAnsi="Palatino Linotype" w:cs="Arial"/>
          <w:sz w:val="24"/>
          <w:szCs w:val="24"/>
        </w:rPr>
        <w:t>en lo subsecuente</w:t>
      </w:r>
      <w:r w:rsidRPr="000C270E">
        <w:rPr>
          <w:rFonts w:ascii="Palatino Linotype" w:hAnsi="Palatino Linotype" w:cs="Arial"/>
          <w:b/>
          <w:sz w:val="24"/>
          <w:szCs w:val="24"/>
        </w:rPr>
        <w:t xml:space="preserve"> El Sujeto Obligado, </w:t>
      </w:r>
      <w:r w:rsidRPr="000C270E">
        <w:rPr>
          <w:rFonts w:ascii="Palatino Linotype" w:hAnsi="Palatino Linotype" w:cs="Arial"/>
          <w:sz w:val="24"/>
          <w:szCs w:val="24"/>
        </w:rPr>
        <w:t>se procede a</w:t>
      </w:r>
      <w:r w:rsidRPr="000C270E">
        <w:rPr>
          <w:rFonts w:ascii="Palatino Linotype" w:hAnsi="Palatino Linotype" w:cs="Arial"/>
          <w:sz w:val="24"/>
        </w:rPr>
        <w:t xml:space="preserve"> dictar la presente resolución.</w:t>
      </w:r>
    </w:p>
    <w:p w14:paraId="6EC881E3" w14:textId="77777777" w:rsidR="00BE69F0" w:rsidRPr="000C270E" w:rsidRDefault="00BE69F0" w:rsidP="00BE69F0">
      <w:pPr>
        <w:tabs>
          <w:tab w:val="left" w:pos="1701"/>
        </w:tabs>
        <w:spacing w:after="0" w:line="360" w:lineRule="auto"/>
        <w:jc w:val="both"/>
        <w:rPr>
          <w:rFonts w:ascii="Palatino Linotype" w:hAnsi="Palatino Linotype" w:cs="Arial"/>
          <w:sz w:val="24"/>
        </w:rPr>
      </w:pPr>
    </w:p>
    <w:p w14:paraId="1D2BD54E" w14:textId="77777777" w:rsidR="00BE69F0" w:rsidRPr="000C270E" w:rsidRDefault="00BE69F0" w:rsidP="00BE69F0">
      <w:pPr>
        <w:spacing w:after="0" w:line="360" w:lineRule="auto"/>
        <w:jc w:val="center"/>
        <w:rPr>
          <w:rFonts w:ascii="Palatino Linotype" w:hAnsi="Palatino Linotype"/>
          <w:b/>
          <w:sz w:val="28"/>
        </w:rPr>
      </w:pPr>
      <w:r w:rsidRPr="000C270E">
        <w:rPr>
          <w:rFonts w:ascii="Palatino Linotype" w:hAnsi="Palatino Linotype"/>
          <w:b/>
          <w:sz w:val="28"/>
        </w:rPr>
        <w:t>A N T E C E D E N T E S   D E L   A S U N T O</w:t>
      </w:r>
    </w:p>
    <w:p w14:paraId="35A2E448" w14:textId="77777777" w:rsidR="00BE69F0" w:rsidRPr="000C270E" w:rsidRDefault="00BE69F0" w:rsidP="00BE69F0">
      <w:pPr>
        <w:spacing w:after="0" w:line="360" w:lineRule="auto"/>
        <w:jc w:val="center"/>
        <w:rPr>
          <w:rFonts w:ascii="Palatino Linotype" w:hAnsi="Palatino Linotype"/>
          <w:b/>
          <w:sz w:val="24"/>
        </w:rPr>
      </w:pPr>
    </w:p>
    <w:p w14:paraId="451C7AEB" w14:textId="77777777" w:rsidR="00BE69F0" w:rsidRPr="000C270E" w:rsidRDefault="00BE69F0" w:rsidP="00BE69F0">
      <w:pPr>
        <w:spacing w:after="0" w:line="360" w:lineRule="auto"/>
        <w:jc w:val="both"/>
        <w:rPr>
          <w:rFonts w:ascii="Palatino Linotype" w:hAnsi="Palatino Linotype"/>
        </w:rPr>
      </w:pPr>
      <w:r w:rsidRPr="000C270E">
        <w:rPr>
          <w:rFonts w:ascii="Palatino Linotype" w:hAnsi="Palatino Linotype" w:cs="Arial"/>
          <w:b/>
          <w:sz w:val="28"/>
        </w:rPr>
        <w:t>PRIMERO.</w:t>
      </w:r>
      <w:r w:rsidRPr="000C270E">
        <w:rPr>
          <w:rFonts w:ascii="Palatino Linotype" w:hAnsi="Palatino Linotype" w:cs="Arial"/>
        </w:rPr>
        <w:t xml:space="preserve"> </w:t>
      </w:r>
      <w:r w:rsidRPr="000C270E">
        <w:rPr>
          <w:rFonts w:ascii="Palatino Linotype" w:hAnsi="Palatino Linotype"/>
          <w:b/>
          <w:sz w:val="28"/>
          <w:szCs w:val="28"/>
        </w:rPr>
        <w:t>De la Solicitud de Información.</w:t>
      </w:r>
    </w:p>
    <w:p w14:paraId="70A45E43" w14:textId="2AB54D20"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rPr>
        <w:t xml:space="preserve">Con fecha </w:t>
      </w:r>
      <w:r w:rsidR="00984798">
        <w:rPr>
          <w:rFonts w:ascii="Palatino Linotype" w:hAnsi="Palatino Linotype" w:cs="Arial"/>
          <w:sz w:val="24"/>
        </w:rPr>
        <w:t>diez de marzo de dos mil veintiuno</w:t>
      </w:r>
      <w:r w:rsidRPr="000C270E">
        <w:rPr>
          <w:rFonts w:ascii="Palatino Linotype" w:hAnsi="Palatino Linotype" w:cs="Arial"/>
          <w:sz w:val="24"/>
        </w:rPr>
        <w:t>, el recurrente, presentó a través del Sistema de Acceso a la Información Mexiquense (</w:t>
      </w:r>
      <w:r w:rsidRPr="000C270E">
        <w:rPr>
          <w:rFonts w:ascii="Palatino Linotype" w:hAnsi="Palatino Linotype" w:cs="Arial"/>
          <w:b/>
          <w:sz w:val="24"/>
        </w:rPr>
        <w:t>SAIMEX)</w:t>
      </w:r>
      <w:r w:rsidRPr="000C270E">
        <w:rPr>
          <w:rFonts w:ascii="Palatino Linotype" w:hAnsi="Palatino Linotype" w:cs="Arial"/>
          <w:sz w:val="24"/>
        </w:rPr>
        <w:t xml:space="preserve"> ante el sujeto obligado, solicitud de acceso a la información pública, registrada bajo el número de expediente</w:t>
      </w:r>
      <w:r w:rsidR="003C076D">
        <w:rPr>
          <w:rFonts w:ascii="Palatino Linotype" w:hAnsi="Palatino Linotype" w:cs="Arial"/>
          <w:b/>
          <w:sz w:val="24"/>
        </w:rPr>
        <w:t xml:space="preserve"> </w:t>
      </w:r>
      <w:r w:rsidR="00984798" w:rsidRPr="00984798">
        <w:rPr>
          <w:rFonts w:ascii="Palatino Linotype" w:hAnsi="Palatino Linotype" w:cs="Arial"/>
          <w:b/>
          <w:sz w:val="24"/>
        </w:rPr>
        <w:t>00074/NICOROM/IP/2021</w:t>
      </w:r>
      <w:r w:rsidRPr="000C270E">
        <w:rPr>
          <w:rFonts w:ascii="Palatino Linotype" w:hAnsi="Palatino Linotype" w:cs="Arial"/>
          <w:b/>
          <w:sz w:val="24"/>
          <w:lang w:eastAsia="es-MX"/>
        </w:rPr>
        <w:t xml:space="preserve">, </w:t>
      </w:r>
      <w:r w:rsidRPr="000C270E">
        <w:rPr>
          <w:rFonts w:ascii="Palatino Linotype" w:hAnsi="Palatino Linotype" w:cs="Arial"/>
          <w:sz w:val="24"/>
        </w:rPr>
        <w:t>mediante la cual solicitó información en el tenor siguiente:</w:t>
      </w:r>
    </w:p>
    <w:p w14:paraId="6CC128D2" w14:textId="77777777" w:rsidR="00BE69F0" w:rsidRPr="003C076D" w:rsidRDefault="00BE69F0" w:rsidP="003C076D">
      <w:pPr>
        <w:pStyle w:val="Sinespaciado"/>
        <w:rPr>
          <w:sz w:val="16"/>
        </w:rPr>
      </w:pPr>
    </w:p>
    <w:p w14:paraId="4948037D" w14:textId="291FCF14" w:rsidR="00BE69F0" w:rsidRPr="000C270E" w:rsidRDefault="00BE69F0" w:rsidP="00BE69F0">
      <w:pPr>
        <w:spacing w:after="0" w:line="240" w:lineRule="auto"/>
        <w:ind w:left="567" w:right="567"/>
        <w:jc w:val="both"/>
        <w:rPr>
          <w:rFonts w:ascii="Palatino Linotype" w:hAnsi="Palatino Linotype"/>
          <w:i/>
          <w:lang w:val="es-ES_tradnl"/>
        </w:rPr>
      </w:pPr>
      <w:r w:rsidRPr="000C270E">
        <w:rPr>
          <w:rFonts w:ascii="Palatino Linotype" w:hAnsi="Palatino Linotype"/>
          <w:i/>
          <w:lang w:val="es-ES_tradnl"/>
        </w:rPr>
        <w:t>“</w:t>
      </w:r>
      <w:r w:rsidR="00144455">
        <w:rPr>
          <w:rFonts w:ascii="Palatino Linotype" w:hAnsi="Palatino Linotype"/>
          <w:i/>
          <w:lang w:val="es-ES_tradnl"/>
        </w:rPr>
        <w:t>P</w:t>
      </w:r>
      <w:r w:rsidR="00984798" w:rsidRPr="00984798">
        <w:rPr>
          <w:rFonts w:ascii="Palatino Linotype" w:hAnsi="Palatino Linotype"/>
          <w:i/>
          <w:lang w:val="es-ES_tradnl"/>
        </w:rPr>
        <w:t xml:space="preserve">or favor se solicita, copia de los planos de las calles que rodean la casa ubicada en </w:t>
      </w:r>
      <w:proofErr w:type="spellStart"/>
      <w:r w:rsidR="00E615A5">
        <w:rPr>
          <w:rFonts w:ascii="Palatino Linotype" w:hAnsi="Palatino Linotype"/>
          <w:i/>
          <w:lang w:val="es-ES_tradnl"/>
        </w:rPr>
        <w:t>xxxxxxx</w:t>
      </w:r>
      <w:proofErr w:type="spellEnd"/>
      <w:r w:rsidR="00984798" w:rsidRPr="00984798">
        <w:rPr>
          <w:rFonts w:ascii="Palatino Linotype" w:hAnsi="Palatino Linotype"/>
          <w:i/>
          <w:lang w:val="es-ES_tradnl"/>
        </w:rPr>
        <w:t xml:space="preserve"> </w:t>
      </w:r>
      <w:proofErr w:type="spellStart"/>
      <w:r w:rsidR="00E615A5">
        <w:rPr>
          <w:rFonts w:ascii="Palatino Linotype" w:hAnsi="Palatino Linotype"/>
          <w:i/>
          <w:lang w:val="es-ES_tradnl"/>
        </w:rPr>
        <w:t>xxxxxxxxxxxx</w:t>
      </w:r>
      <w:proofErr w:type="spellEnd"/>
      <w:r w:rsidR="00984798" w:rsidRPr="00984798">
        <w:rPr>
          <w:rFonts w:ascii="Palatino Linotype" w:hAnsi="Palatino Linotype"/>
          <w:i/>
          <w:lang w:val="es-ES_tradnl"/>
        </w:rPr>
        <w:t xml:space="preserve"> #</w:t>
      </w:r>
      <w:r w:rsidR="00E615A5">
        <w:rPr>
          <w:rFonts w:ascii="Palatino Linotype" w:hAnsi="Palatino Linotype"/>
          <w:i/>
          <w:lang w:val="es-ES_tradnl"/>
        </w:rPr>
        <w:t>xx</w:t>
      </w:r>
      <w:r w:rsidR="00984798" w:rsidRPr="00984798">
        <w:rPr>
          <w:rFonts w:ascii="Palatino Linotype" w:hAnsi="Palatino Linotype"/>
          <w:i/>
          <w:lang w:val="es-ES_tradnl"/>
        </w:rPr>
        <w:t xml:space="preserve">, colonia </w:t>
      </w:r>
      <w:proofErr w:type="spellStart"/>
      <w:r w:rsidR="00E615A5">
        <w:rPr>
          <w:rFonts w:ascii="Palatino Linotype" w:hAnsi="Palatino Linotype"/>
          <w:i/>
          <w:lang w:val="es-ES_tradnl"/>
        </w:rPr>
        <w:t>xxxxxxxxxxxx</w:t>
      </w:r>
      <w:proofErr w:type="spellEnd"/>
      <w:r w:rsidR="00984798" w:rsidRPr="00984798">
        <w:rPr>
          <w:rFonts w:ascii="Palatino Linotype" w:hAnsi="Palatino Linotype"/>
          <w:i/>
          <w:lang w:val="es-ES_tradnl"/>
        </w:rPr>
        <w:t xml:space="preserve">, </w:t>
      </w:r>
      <w:proofErr w:type="spellStart"/>
      <w:r w:rsidR="00984798" w:rsidRPr="00984798">
        <w:rPr>
          <w:rFonts w:ascii="Palatino Linotype" w:hAnsi="Palatino Linotype"/>
          <w:i/>
          <w:lang w:val="es-ES_tradnl"/>
        </w:rPr>
        <w:t>Nicolas</w:t>
      </w:r>
      <w:proofErr w:type="spellEnd"/>
      <w:r w:rsidR="00984798" w:rsidRPr="00984798">
        <w:rPr>
          <w:rFonts w:ascii="Palatino Linotype" w:hAnsi="Palatino Linotype"/>
          <w:i/>
          <w:lang w:val="es-ES_tradnl"/>
        </w:rPr>
        <w:t xml:space="preserve"> Romero, Estado de México. Gracias.</w:t>
      </w:r>
      <w:r w:rsidRPr="000C270E">
        <w:rPr>
          <w:rFonts w:ascii="Palatino Linotype" w:hAnsi="Palatino Linotype"/>
          <w:i/>
          <w:lang w:val="es-ES_tradnl"/>
        </w:rPr>
        <w:t>” [Sic]</w:t>
      </w:r>
    </w:p>
    <w:p w14:paraId="6ABAAE58" w14:textId="77777777" w:rsidR="003C076D" w:rsidRDefault="003C076D" w:rsidP="00BE69F0">
      <w:pPr>
        <w:spacing w:after="0" w:line="360" w:lineRule="auto"/>
        <w:jc w:val="both"/>
        <w:rPr>
          <w:rFonts w:ascii="Verdana" w:hAnsi="Verdana"/>
          <w:b/>
          <w:bCs/>
          <w:color w:val="000000"/>
          <w:sz w:val="14"/>
          <w:szCs w:val="14"/>
          <w:shd w:val="clear" w:color="auto" w:fill="F0FFF0"/>
        </w:rPr>
      </w:pPr>
    </w:p>
    <w:p w14:paraId="48BBF706" w14:textId="6CB155E9" w:rsidR="00BE69F0" w:rsidRPr="00AF0D0D" w:rsidRDefault="003C076D" w:rsidP="00BE69F0">
      <w:pPr>
        <w:spacing w:after="0" w:line="360" w:lineRule="auto"/>
        <w:jc w:val="both"/>
        <w:rPr>
          <w:rFonts w:ascii="Palatino Linotype" w:eastAsia="Times New Roman" w:hAnsi="Palatino Linotype"/>
          <w:sz w:val="24"/>
          <w:szCs w:val="24"/>
          <w:lang w:val="es-ES_tradnl" w:eastAsia="es-ES"/>
        </w:rPr>
      </w:pPr>
      <w:r w:rsidRPr="000C270E">
        <w:rPr>
          <w:rFonts w:ascii="Palatino Linotype" w:eastAsia="Times New Roman" w:hAnsi="Palatino Linotype"/>
          <w:sz w:val="24"/>
          <w:szCs w:val="24"/>
          <w:lang w:val="es-ES_tradnl" w:eastAsia="es-ES"/>
        </w:rPr>
        <w:t>Modalidad</w:t>
      </w:r>
      <w:r>
        <w:rPr>
          <w:rFonts w:ascii="Palatino Linotype" w:eastAsia="Times New Roman" w:hAnsi="Palatino Linotype"/>
          <w:sz w:val="24"/>
          <w:szCs w:val="24"/>
          <w:lang w:val="es-ES_tradnl" w:eastAsia="es-ES"/>
        </w:rPr>
        <w:t xml:space="preserve"> de entrega: </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b/>
          <w:sz w:val="24"/>
          <w:szCs w:val="24"/>
          <w:lang w:val="es-ES_tradnl" w:eastAsia="es-ES"/>
        </w:rPr>
        <w:t>A TRAVÉS DEL SAIMEX</w:t>
      </w:r>
      <w:r w:rsidR="00BE69F0" w:rsidRPr="000C270E">
        <w:rPr>
          <w:rFonts w:ascii="Palatino Linotype" w:eastAsia="Times New Roman" w:hAnsi="Palatino Linotype"/>
          <w:b/>
          <w:i/>
          <w:sz w:val="24"/>
          <w:szCs w:val="24"/>
          <w:lang w:val="es-ES_tradnl" w:eastAsia="es-ES"/>
        </w:rPr>
        <w:t>”</w:t>
      </w:r>
      <w:r w:rsidR="00BE69F0" w:rsidRPr="000C270E">
        <w:rPr>
          <w:rFonts w:ascii="Palatino Linotype" w:eastAsia="Times New Roman" w:hAnsi="Palatino Linotype"/>
          <w:sz w:val="24"/>
          <w:szCs w:val="24"/>
          <w:lang w:val="es-ES_tradnl" w:eastAsia="es-ES"/>
        </w:rPr>
        <w:t>.</w:t>
      </w:r>
    </w:p>
    <w:p w14:paraId="6E008A74" w14:textId="77777777" w:rsidR="00BE69F0" w:rsidRPr="000C270E" w:rsidRDefault="00BE69F0" w:rsidP="00BE69F0">
      <w:pPr>
        <w:pStyle w:val="Sinespaciado"/>
        <w:rPr>
          <w:sz w:val="2"/>
        </w:rPr>
      </w:pPr>
    </w:p>
    <w:p w14:paraId="25CC65D9" w14:textId="77777777" w:rsidR="00BE69F0" w:rsidRPr="000C270E" w:rsidRDefault="00BE69F0" w:rsidP="003D2ACF">
      <w:pPr>
        <w:pStyle w:val="Sinespaciado"/>
      </w:pPr>
    </w:p>
    <w:p w14:paraId="3407A1F7" w14:textId="77777777" w:rsidR="00984798" w:rsidRDefault="00984798" w:rsidP="00BE69F0">
      <w:pPr>
        <w:spacing w:after="0" w:line="360" w:lineRule="auto"/>
        <w:jc w:val="both"/>
        <w:rPr>
          <w:rFonts w:ascii="Palatino Linotype" w:hAnsi="Palatino Linotype" w:cs="Arial"/>
          <w:b/>
          <w:sz w:val="28"/>
        </w:rPr>
      </w:pPr>
    </w:p>
    <w:p w14:paraId="7C83F4BE" w14:textId="77777777" w:rsidR="00984798" w:rsidRDefault="00984798" w:rsidP="00BE69F0">
      <w:pPr>
        <w:spacing w:after="0" w:line="360" w:lineRule="auto"/>
        <w:jc w:val="both"/>
        <w:rPr>
          <w:rFonts w:ascii="Palatino Linotype" w:hAnsi="Palatino Linotype" w:cs="Arial"/>
          <w:b/>
          <w:sz w:val="28"/>
        </w:rPr>
      </w:pPr>
    </w:p>
    <w:p w14:paraId="2D6C0A47" w14:textId="23DD5148" w:rsidR="00BE69F0" w:rsidRPr="000C270E" w:rsidRDefault="00AF0D0D" w:rsidP="00BE69F0">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BE69F0" w:rsidRPr="000C270E">
        <w:rPr>
          <w:rFonts w:ascii="Palatino Linotype" w:hAnsi="Palatino Linotype" w:cs="Arial"/>
          <w:b/>
          <w:sz w:val="28"/>
        </w:rPr>
        <w:t>. De la respuesta del Sujeto Obligado.</w:t>
      </w:r>
    </w:p>
    <w:p w14:paraId="24D31478" w14:textId="1D5CD1AD"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0C270E">
        <w:rPr>
          <w:rFonts w:ascii="Palatino Linotype" w:hAnsi="Palatino Linotype" w:cs="Arial"/>
          <w:b/>
          <w:sz w:val="24"/>
          <w:szCs w:val="24"/>
        </w:rPr>
        <w:t>SAIMEX,</w:t>
      </w:r>
      <w:r w:rsidRPr="000C270E">
        <w:rPr>
          <w:rFonts w:ascii="Palatino Linotype" w:hAnsi="Palatino Linotype" w:cs="Arial"/>
          <w:sz w:val="24"/>
          <w:szCs w:val="24"/>
        </w:rPr>
        <w:t xml:space="preserve"> se aprecia que el</w:t>
      </w:r>
      <w:r w:rsidRPr="000C270E">
        <w:rPr>
          <w:rFonts w:ascii="Palatino Linotype" w:hAnsi="Palatino Linotype" w:cs="Arial"/>
          <w:b/>
          <w:sz w:val="24"/>
          <w:szCs w:val="24"/>
        </w:rPr>
        <w:t xml:space="preserve"> Sujeto Obligado</w:t>
      </w:r>
      <w:r w:rsidRPr="000C270E">
        <w:rPr>
          <w:rFonts w:ascii="Palatino Linotype" w:hAnsi="Palatino Linotype" w:cs="Arial"/>
          <w:sz w:val="24"/>
          <w:szCs w:val="24"/>
        </w:rPr>
        <w:t xml:space="preserve"> en fecha </w:t>
      </w:r>
      <w:r w:rsidR="00984798">
        <w:rPr>
          <w:rFonts w:ascii="Palatino Linotype" w:hAnsi="Palatino Linotype" w:cs="Arial"/>
          <w:sz w:val="24"/>
          <w:szCs w:val="24"/>
        </w:rPr>
        <w:t>veintitrés de marzo</w:t>
      </w:r>
      <w:r w:rsidRPr="000C270E">
        <w:rPr>
          <w:rFonts w:ascii="Palatino Linotype" w:hAnsi="Palatino Linotype" w:cs="Arial"/>
          <w:sz w:val="24"/>
          <w:szCs w:val="24"/>
        </w:rPr>
        <w:t xml:space="preserve"> del año en curso, dio contestación, de conformidad con lo siguiente:</w:t>
      </w:r>
    </w:p>
    <w:p w14:paraId="50C50ECB" w14:textId="77777777" w:rsidR="00BE69F0" w:rsidRPr="000C270E" w:rsidRDefault="00BE69F0" w:rsidP="00BE69F0">
      <w:pPr>
        <w:spacing w:after="0" w:line="360" w:lineRule="auto"/>
        <w:jc w:val="both"/>
        <w:rPr>
          <w:rFonts w:ascii="Palatino Linotype" w:hAnsi="Palatino Linotype" w:cs="Arial"/>
          <w:sz w:val="16"/>
          <w:szCs w:val="24"/>
        </w:rPr>
      </w:pPr>
    </w:p>
    <w:p w14:paraId="582CE4EF" w14:textId="77777777" w:rsidR="00984798" w:rsidRPr="00984798" w:rsidRDefault="00984798" w:rsidP="00984798">
      <w:pPr>
        <w:spacing w:after="0" w:line="240" w:lineRule="auto"/>
        <w:ind w:left="426" w:right="567"/>
        <w:jc w:val="right"/>
        <w:rPr>
          <w:rFonts w:ascii="Palatino Linotype" w:hAnsi="Palatino Linotype" w:cs="Arial"/>
          <w:i/>
          <w:szCs w:val="24"/>
        </w:rPr>
      </w:pPr>
      <w:r w:rsidRPr="00984798">
        <w:rPr>
          <w:rFonts w:ascii="Palatino Linotype" w:hAnsi="Palatino Linotype" w:cs="Arial"/>
          <w:i/>
          <w:szCs w:val="24"/>
        </w:rPr>
        <w:t>Folio de la solicitud: 00074/NICOROM/IP/2021</w:t>
      </w:r>
    </w:p>
    <w:p w14:paraId="3112AD38" w14:textId="77777777" w:rsidR="00984798" w:rsidRDefault="00984798" w:rsidP="00984798">
      <w:pPr>
        <w:spacing w:after="0" w:line="240" w:lineRule="auto"/>
        <w:ind w:left="426" w:right="567"/>
        <w:jc w:val="both"/>
        <w:rPr>
          <w:rFonts w:ascii="Palatino Linotype" w:hAnsi="Palatino Linotype" w:cs="Arial"/>
          <w:i/>
          <w:szCs w:val="24"/>
        </w:rPr>
      </w:pPr>
    </w:p>
    <w:p w14:paraId="4D578601" w14:textId="1C8B8FA7" w:rsidR="00984798" w:rsidRPr="00984798" w:rsidRDefault="00984798" w:rsidP="00984798">
      <w:pPr>
        <w:spacing w:after="0" w:line="240" w:lineRule="auto"/>
        <w:ind w:left="426" w:right="567"/>
        <w:jc w:val="both"/>
        <w:rPr>
          <w:rFonts w:ascii="Palatino Linotype" w:hAnsi="Palatino Linotype" w:cs="Arial"/>
          <w:i/>
          <w:szCs w:val="24"/>
        </w:rPr>
      </w:pPr>
      <w:r w:rsidRPr="0098479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FE6459" w14:textId="77777777" w:rsidR="00984798" w:rsidRDefault="00984798" w:rsidP="00984798">
      <w:pPr>
        <w:spacing w:after="0" w:line="240" w:lineRule="auto"/>
        <w:ind w:left="426" w:right="567"/>
        <w:jc w:val="both"/>
        <w:rPr>
          <w:rFonts w:ascii="Palatino Linotype" w:hAnsi="Palatino Linotype" w:cs="Arial"/>
          <w:i/>
          <w:szCs w:val="24"/>
        </w:rPr>
      </w:pPr>
    </w:p>
    <w:p w14:paraId="31BCC4C2" w14:textId="579AD586" w:rsidR="00984798" w:rsidRPr="00984798" w:rsidRDefault="00984798" w:rsidP="00984798">
      <w:pPr>
        <w:spacing w:after="0" w:line="240" w:lineRule="auto"/>
        <w:ind w:left="426" w:right="567"/>
        <w:jc w:val="both"/>
        <w:rPr>
          <w:rFonts w:ascii="Palatino Linotype" w:hAnsi="Palatino Linotype" w:cs="Arial"/>
          <w:i/>
          <w:szCs w:val="24"/>
        </w:rPr>
      </w:pPr>
      <w:r w:rsidRPr="00984798">
        <w:rPr>
          <w:rFonts w:ascii="Palatino Linotype" w:hAnsi="Palatino Linotype" w:cs="Arial"/>
          <w:i/>
          <w:szCs w:val="24"/>
        </w:rPr>
        <w:t>Buenas tardes, por este medio envío respuesta a su solicitud de información. Sin más por el momento, reciba un cordial saludo.</w:t>
      </w:r>
    </w:p>
    <w:p w14:paraId="7D3439D0" w14:textId="77777777" w:rsidR="00984798" w:rsidRDefault="00984798" w:rsidP="00984798">
      <w:pPr>
        <w:spacing w:after="0" w:line="240" w:lineRule="auto"/>
        <w:ind w:left="426" w:right="567"/>
        <w:jc w:val="both"/>
        <w:rPr>
          <w:rFonts w:ascii="Palatino Linotype" w:hAnsi="Palatino Linotype" w:cs="Arial"/>
          <w:i/>
          <w:szCs w:val="24"/>
        </w:rPr>
      </w:pPr>
    </w:p>
    <w:p w14:paraId="31D50BA3" w14:textId="348C15FC" w:rsidR="00984798" w:rsidRPr="00984798" w:rsidRDefault="00984798" w:rsidP="00984798">
      <w:pPr>
        <w:spacing w:after="0" w:line="240" w:lineRule="auto"/>
        <w:ind w:left="426" w:right="567"/>
        <w:jc w:val="both"/>
        <w:rPr>
          <w:rFonts w:ascii="Palatino Linotype" w:hAnsi="Palatino Linotype" w:cs="Arial"/>
          <w:i/>
          <w:szCs w:val="24"/>
        </w:rPr>
      </w:pPr>
      <w:r w:rsidRPr="00984798">
        <w:rPr>
          <w:rFonts w:ascii="Palatino Linotype" w:hAnsi="Palatino Linotype" w:cs="Arial"/>
          <w:i/>
          <w:szCs w:val="24"/>
        </w:rPr>
        <w:t>ATENTAMENTE</w:t>
      </w:r>
    </w:p>
    <w:p w14:paraId="18E51E28" w14:textId="203A8A5C" w:rsidR="00BE69F0" w:rsidRDefault="00984798" w:rsidP="00984798">
      <w:pPr>
        <w:spacing w:after="0" w:line="240" w:lineRule="auto"/>
        <w:ind w:left="426" w:right="567"/>
        <w:jc w:val="both"/>
        <w:rPr>
          <w:rFonts w:ascii="Palatino Linotype" w:hAnsi="Palatino Linotype" w:cs="Arial"/>
          <w:b/>
          <w:sz w:val="28"/>
        </w:rPr>
      </w:pPr>
      <w:r w:rsidRPr="00984798">
        <w:rPr>
          <w:rFonts w:ascii="Palatino Linotype" w:hAnsi="Palatino Linotype" w:cs="Arial"/>
          <w:i/>
          <w:szCs w:val="24"/>
        </w:rPr>
        <w:t>LIC. ALFONSO HERNANDEZ GASCA</w:t>
      </w:r>
      <w:r w:rsidR="00BE69F0" w:rsidRPr="000C270E">
        <w:rPr>
          <w:rFonts w:ascii="Palatino Linotype" w:hAnsi="Palatino Linotype" w:cs="Arial"/>
          <w:i/>
          <w:szCs w:val="24"/>
        </w:rPr>
        <w:t>” (Sic).</w:t>
      </w:r>
      <w:r w:rsidR="00BE69F0" w:rsidRPr="000C270E">
        <w:rPr>
          <w:rFonts w:ascii="Palatino Linotype" w:hAnsi="Palatino Linotype" w:cs="Arial"/>
          <w:b/>
          <w:sz w:val="28"/>
        </w:rPr>
        <w:t xml:space="preserve"> </w:t>
      </w:r>
    </w:p>
    <w:p w14:paraId="00DAC1D2" w14:textId="77777777" w:rsidR="004F0F40" w:rsidRPr="003D2ACF" w:rsidRDefault="004F0F40" w:rsidP="00984798">
      <w:pPr>
        <w:spacing w:after="0" w:line="240" w:lineRule="auto"/>
        <w:ind w:left="426" w:right="567"/>
        <w:jc w:val="both"/>
        <w:rPr>
          <w:rFonts w:ascii="Palatino Linotype" w:hAnsi="Palatino Linotype" w:cs="Arial"/>
          <w:i/>
          <w:szCs w:val="24"/>
        </w:rPr>
      </w:pPr>
    </w:p>
    <w:p w14:paraId="35BDC985" w14:textId="5294F399" w:rsidR="004F0F40" w:rsidRDefault="004F0F40" w:rsidP="004F0F40">
      <w:pPr>
        <w:pStyle w:val="Prrafodelista"/>
        <w:numPr>
          <w:ilvl w:val="0"/>
          <w:numId w:val="22"/>
        </w:numPr>
        <w:spacing w:line="276" w:lineRule="auto"/>
        <w:jc w:val="both"/>
        <w:rPr>
          <w:rFonts w:ascii="Palatino Linotype" w:hAnsi="Palatino Linotype" w:cs="Arial"/>
        </w:rPr>
      </w:pPr>
      <w:r>
        <w:rPr>
          <w:rFonts w:ascii="Palatino Linotype" w:hAnsi="Palatino Linotype" w:cs="Arial"/>
        </w:rPr>
        <w:t xml:space="preserve">Adjuntando el archivo denominado </w:t>
      </w:r>
      <w:r>
        <w:rPr>
          <w:rFonts w:ascii="Palatino Linotype" w:hAnsi="Palatino Linotype" w:cs="Arial"/>
          <w:i/>
        </w:rPr>
        <w:t>“</w:t>
      </w:r>
      <w:r w:rsidRPr="004F0F40">
        <w:rPr>
          <w:rFonts w:ascii="Palatino Linotype" w:hAnsi="Palatino Linotype" w:cs="Arial"/>
          <w:i/>
        </w:rPr>
        <w:t>NR_DDUAMyMA_439_2021 00074.pdf</w:t>
      </w:r>
      <w:r>
        <w:rPr>
          <w:rFonts w:ascii="Palatino Linotype" w:hAnsi="Palatino Linotype" w:cs="Arial"/>
          <w:i/>
        </w:rPr>
        <w:t>”</w:t>
      </w:r>
      <w:r>
        <w:rPr>
          <w:rFonts w:ascii="Palatino Linotype" w:hAnsi="Palatino Linotype" w:cs="Arial"/>
        </w:rPr>
        <w:t xml:space="preserve">; mismo que no se reproduce por ser del conocimiento de las partes, sin embargo, será materia del estudio en el </w:t>
      </w:r>
      <w:r>
        <w:rPr>
          <w:rFonts w:ascii="Palatino Linotype" w:hAnsi="Palatino Linotype" w:cs="Arial"/>
          <w:b/>
        </w:rPr>
        <w:t>CONSIDERADO</w:t>
      </w:r>
      <w:r>
        <w:rPr>
          <w:rFonts w:ascii="Palatino Linotype" w:hAnsi="Palatino Linotype" w:cs="Arial"/>
        </w:rPr>
        <w:t xml:space="preserve"> respectivo.</w:t>
      </w:r>
    </w:p>
    <w:p w14:paraId="655F99ED" w14:textId="77777777" w:rsidR="00FF3748" w:rsidRDefault="00FF3748" w:rsidP="00BE69F0">
      <w:pPr>
        <w:spacing w:after="0" w:line="360" w:lineRule="auto"/>
        <w:jc w:val="both"/>
        <w:rPr>
          <w:rFonts w:ascii="Palatino Linotype" w:hAnsi="Palatino Linotype" w:cs="Arial"/>
          <w:b/>
          <w:sz w:val="28"/>
        </w:rPr>
      </w:pPr>
    </w:p>
    <w:p w14:paraId="28C2996F" w14:textId="61326528" w:rsidR="00BE69F0" w:rsidRPr="000C270E" w:rsidRDefault="00B371E1" w:rsidP="00BE69F0">
      <w:pPr>
        <w:spacing w:after="0" w:line="360" w:lineRule="auto"/>
        <w:jc w:val="both"/>
        <w:rPr>
          <w:rFonts w:ascii="Palatino Linotype" w:hAnsi="Palatino Linotype" w:cs="Arial"/>
          <w:sz w:val="24"/>
          <w:szCs w:val="24"/>
        </w:rPr>
      </w:pPr>
      <w:r>
        <w:rPr>
          <w:rFonts w:ascii="Palatino Linotype" w:hAnsi="Palatino Linotype" w:cs="Arial"/>
          <w:b/>
          <w:sz w:val="28"/>
        </w:rPr>
        <w:t>TERCERO</w:t>
      </w:r>
      <w:r w:rsidR="00BE69F0" w:rsidRPr="000C270E">
        <w:rPr>
          <w:rFonts w:ascii="Palatino Linotype" w:hAnsi="Palatino Linotype" w:cs="Arial"/>
          <w:b/>
          <w:sz w:val="28"/>
        </w:rPr>
        <w:t>. Del recurso de revisión.</w:t>
      </w:r>
    </w:p>
    <w:p w14:paraId="4C84F3F1" w14:textId="6FF7B2B1"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sz w:val="24"/>
          <w:szCs w:val="24"/>
        </w:rPr>
        <w:t xml:space="preserve">Inconforme con la respuesta del </w:t>
      </w:r>
      <w:r w:rsidRPr="000C270E">
        <w:rPr>
          <w:rFonts w:ascii="Palatino Linotype" w:hAnsi="Palatino Linotype" w:cs="Arial"/>
          <w:b/>
          <w:sz w:val="24"/>
          <w:szCs w:val="24"/>
        </w:rPr>
        <w:t>Sujeto Obligado</w:t>
      </w:r>
      <w:r w:rsidRPr="000C270E">
        <w:rPr>
          <w:rFonts w:ascii="Palatino Linotype" w:hAnsi="Palatino Linotype" w:cs="Arial"/>
          <w:sz w:val="24"/>
          <w:szCs w:val="24"/>
        </w:rPr>
        <w:t xml:space="preserve">, el </w:t>
      </w:r>
      <w:r w:rsidRPr="000C270E">
        <w:rPr>
          <w:rFonts w:ascii="Palatino Linotype" w:hAnsi="Palatino Linotype" w:cs="Arial"/>
          <w:b/>
          <w:sz w:val="24"/>
          <w:szCs w:val="24"/>
        </w:rPr>
        <w:t xml:space="preserve">Recurrente </w:t>
      </w:r>
      <w:r w:rsidRPr="000C270E">
        <w:rPr>
          <w:rFonts w:ascii="Palatino Linotype" w:hAnsi="Palatino Linotype" w:cs="Arial"/>
          <w:sz w:val="24"/>
          <w:szCs w:val="24"/>
        </w:rPr>
        <w:t xml:space="preserve">interpuso el recurso de revisión, en fecha </w:t>
      </w:r>
      <w:r w:rsidR="004F0F40">
        <w:rPr>
          <w:rFonts w:ascii="Palatino Linotype" w:hAnsi="Palatino Linotype" w:cs="Arial"/>
          <w:sz w:val="24"/>
          <w:szCs w:val="24"/>
        </w:rPr>
        <w:t>veintitrés de marzo de dos mil veintiuno</w:t>
      </w:r>
      <w:r w:rsidRPr="000C270E">
        <w:rPr>
          <w:rFonts w:ascii="Palatino Linotype" w:hAnsi="Palatino Linotype" w:cs="Arial"/>
          <w:sz w:val="24"/>
          <w:szCs w:val="24"/>
        </w:rPr>
        <w:t>, el cual fue registrado</w:t>
      </w:r>
      <w:r w:rsidRPr="000C270E">
        <w:rPr>
          <w:rFonts w:ascii="Palatino Linotype" w:hAnsi="Palatino Linotype" w:cs="Arial"/>
          <w:b/>
          <w:sz w:val="24"/>
          <w:szCs w:val="24"/>
        </w:rPr>
        <w:t xml:space="preserve"> </w:t>
      </w:r>
      <w:r w:rsidRPr="000C270E">
        <w:rPr>
          <w:rFonts w:ascii="Palatino Linotype" w:hAnsi="Palatino Linotype" w:cs="Arial"/>
          <w:sz w:val="24"/>
          <w:szCs w:val="24"/>
        </w:rPr>
        <w:t xml:space="preserve">en el sistema electrónico SAIMEX, con el expediente número </w:t>
      </w:r>
      <w:r w:rsidR="004F0F40" w:rsidRPr="004F0F40">
        <w:rPr>
          <w:rFonts w:ascii="Palatino Linotype" w:hAnsi="Palatino Linotype" w:cs="Arial"/>
          <w:b/>
          <w:sz w:val="24"/>
          <w:szCs w:val="24"/>
        </w:rPr>
        <w:t>01340/INFOEM/IP/RR/2021</w:t>
      </w:r>
      <w:r w:rsidRPr="000C270E">
        <w:rPr>
          <w:rFonts w:ascii="Palatino Linotype" w:hAnsi="Palatino Linotype" w:cs="Arial"/>
          <w:sz w:val="24"/>
          <w:szCs w:val="24"/>
        </w:rPr>
        <w:t xml:space="preserve">, en el cual </w:t>
      </w:r>
      <w:r w:rsidRPr="000C270E">
        <w:rPr>
          <w:rFonts w:ascii="Palatino Linotype" w:hAnsi="Palatino Linotype" w:cs="Arial"/>
          <w:sz w:val="24"/>
        </w:rPr>
        <w:t>arguye, las siguientes manifestaciones:</w:t>
      </w:r>
    </w:p>
    <w:p w14:paraId="238F3C5E" w14:textId="77777777" w:rsidR="00BE69F0" w:rsidRPr="000C270E" w:rsidRDefault="00BE69F0" w:rsidP="00BE69F0">
      <w:pPr>
        <w:pStyle w:val="Sinespaciado"/>
      </w:pPr>
    </w:p>
    <w:p w14:paraId="490BB77E" w14:textId="77777777" w:rsidR="00BE69F0" w:rsidRPr="000C270E" w:rsidRDefault="00BE69F0" w:rsidP="00BE69F0">
      <w:pPr>
        <w:pStyle w:val="Prrafodelista"/>
        <w:numPr>
          <w:ilvl w:val="0"/>
          <w:numId w:val="3"/>
        </w:numPr>
        <w:jc w:val="both"/>
        <w:rPr>
          <w:rFonts w:ascii="Palatino Linotype" w:hAnsi="Palatino Linotype" w:cs="Arial"/>
          <w:b/>
        </w:rPr>
      </w:pPr>
      <w:r w:rsidRPr="000C270E">
        <w:rPr>
          <w:rFonts w:ascii="Palatino Linotype" w:hAnsi="Palatino Linotype" w:cs="Arial"/>
          <w:b/>
        </w:rPr>
        <w:t>Acto Impugnado:</w:t>
      </w:r>
    </w:p>
    <w:p w14:paraId="618B3257" w14:textId="5D0F528D" w:rsidR="00BE69F0" w:rsidRPr="000C270E" w:rsidRDefault="00BE69F0" w:rsidP="00BE69F0">
      <w:pPr>
        <w:spacing w:after="0" w:line="240" w:lineRule="auto"/>
        <w:ind w:left="567" w:right="567"/>
        <w:jc w:val="both"/>
        <w:rPr>
          <w:rFonts w:ascii="Palatino Linotype" w:hAnsi="Palatino Linotype"/>
          <w:i/>
          <w:color w:val="000000"/>
        </w:rPr>
      </w:pPr>
      <w:r w:rsidRPr="000C270E">
        <w:rPr>
          <w:rFonts w:ascii="Palatino Linotype" w:hAnsi="Palatino Linotype"/>
          <w:i/>
          <w:color w:val="000000"/>
        </w:rPr>
        <w:t>“</w:t>
      </w:r>
      <w:r w:rsidR="004F0F40" w:rsidRPr="004F0F40">
        <w:rPr>
          <w:rFonts w:ascii="Palatino Linotype" w:hAnsi="Palatino Linotype"/>
          <w:i/>
          <w:color w:val="000000"/>
        </w:rPr>
        <w:t xml:space="preserve">La resolución emitida el día 16 de marzo de 2021en donde se niega información solicitada en la solicitud de información del SAIMEX con número 00074/NICOROM/IP/2020, </w:t>
      </w:r>
      <w:r w:rsidR="004F0F40" w:rsidRPr="004F0F40">
        <w:rPr>
          <w:rFonts w:ascii="Palatino Linotype" w:hAnsi="Palatino Linotype"/>
          <w:i/>
          <w:color w:val="000000"/>
        </w:rPr>
        <w:lastRenderedPageBreak/>
        <w:t>firmado por el Ing. Arq. Víctor Alejandro Vázquez Ramírez quien es Director de Desarrollo Urbano, Asuntos Metropolitanos y Medio Ambiente en el municipio de Nicolás Romero Estado de México.</w:t>
      </w:r>
      <w:r w:rsidRPr="000C270E">
        <w:rPr>
          <w:rFonts w:ascii="Palatino Linotype" w:hAnsi="Palatino Linotype"/>
          <w:i/>
          <w:color w:val="000000"/>
        </w:rPr>
        <w:t>"[Sic]</w:t>
      </w:r>
    </w:p>
    <w:p w14:paraId="34171E14" w14:textId="77777777" w:rsidR="00BE69F0" w:rsidRPr="000C270E" w:rsidRDefault="00BE69F0" w:rsidP="00BE69F0">
      <w:pPr>
        <w:spacing w:after="0" w:line="360" w:lineRule="auto"/>
        <w:jc w:val="both"/>
        <w:rPr>
          <w:rFonts w:ascii="Palatino Linotype" w:hAnsi="Palatino Linotype" w:cs="Arial"/>
          <w:b/>
          <w:sz w:val="24"/>
        </w:rPr>
      </w:pPr>
    </w:p>
    <w:p w14:paraId="75E9C35F" w14:textId="77777777" w:rsidR="00BE69F0" w:rsidRPr="000C270E" w:rsidRDefault="00BE69F0" w:rsidP="00BE69F0">
      <w:pPr>
        <w:pStyle w:val="Prrafodelista"/>
        <w:numPr>
          <w:ilvl w:val="0"/>
          <w:numId w:val="3"/>
        </w:numPr>
        <w:jc w:val="both"/>
        <w:rPr>
          <w:rFonts w:ascii="Palatino Linotype" w:hAnsi="Palatino Linotype" w:cs="Arial"/>
        </w:rPr>
      </w:pPr>
      <w:r w:rsidRPr="000C270E">
        <w:rPr>
          <w:rFonts w:ascii="Palatino Linotype" w:hAnsi="Palatino Linotype" w:cs="Arial"/>
          <w:b/>
        </w:rPr>
        <w:t>Razones o Motivos de Inconformidad</w:t>
      </w:r>
      <w:r w:rsidRPr="000C270E">
        <w:rPr>
          <w:rFonts w:ascii="Palatino Linotype" w:hAnsi="Palatino Linotype" w:cs="Arial"/>
        </w:rPr>
        <w:t xml:space="preserve">: </w:t>
      </w:r>
    </w:p>
    <w:p w14:paraId="23F9191C" w14:textId="77777777" w:rsidR="00BE69F0" w:rsidRPr="000C270E" w:rsidRDefault="00BE69F0" w:rsidP="00BE69F0">
      <w:pPr>
        <w:spacing w:after="0" w:line="240" w:lineRule="auto"/>
        <w:jc w:val="both"/>
        <w:rPr>
          <w:rFonts w:ascii="Palatino Linotype" w:hAnsi="Palatino Linotype" w:cs="Arial"/>
          <w:sz w:val="2"/>
        </w:rPr>
      </w:pPr>
    </w:p>
    <w:p w14:paraId="26451BEB" w14:textId="1452F9C8" w:rsidR="00BE69F0" w:rsidRPr="000C270E" w:rsidRDefault="00BE69F0" w:rsidP="00BE69F0">
      <w:pPr>
        <w:spacing w:after="0" w:line="240" w:lineRule="auto"/>
        <w:ind w:left="567" w:right="567"/>
        <w:jc w:val="both"/>
        <w:rPr>
          <w:rFonts w:ascii="Palatino Linotype" w:hAnsi="Palatino Linotype" w:cs="Arial"/>
          <w:i/>
        </w:rPr>
      </w:pPr>
      <w:r w:rsidRPr="000C270E">
        <w:rPr>
          <w:rFonts w:ascii="Palatino Linotype" w:hAnsi="Palatino Linotype" w:cs="Arial"/>
          <w:i/>
        </w:rPr>
        <w:t>“</w:t>
      </w:r>
      <w:r w:rsidR="004F0F40" w:rsidRPr="004F0F40">
        <w:rPr>
          <w:rFonts w:ascii="Palatino Linotype" w:hAnsi="Palatino Linotype" w:cs="Arial"/>
          <w:i/>
        </w:rPr>
        <w:t>Me fue negada la información sin motivo y sin fundamento en detrimento de mi derecho al libre acceso a la información pública.</w:t>
      </w:r>
      <w:r w:rsidRPr="000C270E">
        <w:rPr>
          <w:rFonts w:ascii="Palatino Linotype" w:hAnsi="Palatino Linotype" w:cs="Arial"/>
          <w:i/>
        </w:rPr>
        <w:t>” [Sic]</w:t>
      </w:r>
    </w:p>
    <w:p w14:paraId="444CCA8E" w14:textId="77777777" w:rsidR="00BE69F0" w:rsidRPr="000C270E" w:rsidRDefault="00BE69F0" w:rsidP="00BE69F0">
      <w:pPr>
        <w:tabs>
          <w:tab w:val="left" w:pos="3550"/>
        </w:tabs>
        <w:spacing w:after="0" w:line="360" w:lineRule="auto"/>
        <w:ind w:right="851"/>
        <w:jc w:val="both"/>
        <w:rPr>
          <w:rFonts w:ascii="Palatino Linotype" w:hAnsi="Palatino Linotype"/>
          <w:color w:val="000000"/>
        </w:rPr>
      </w:pPr>
    </w:p>
    <w:p w14:paraId="51038EAA" w14:textId="77777777" w:rsidR="00BE69F0" w:rsidRPr="000C270E" w:rsidRDefault="00BE69F0" w:rsidP="00BE69F0">
      <w:pPr>
        <w:pStyle w:val="Sinespaciado"/>
      </w:pPr>
    </w:p>
    <w:p w14:paraId="1084EAE0" w14:textId="2EBA9A5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turno del recurso de revisión.</w:t>
      </w:r>
    </w:p>
    <w:p w14:paraId="5633420E" w14:textId="5ADD0915"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 de admisión en fecha </w:t>
      </w:r>
      <w:r w:rsidR="004F0F40">
        <w:rPr>
          <w:rFonts w:ascii="Palatino Linotype" w:hAnsi="Palatino Linotype" w:cs="Arial"/>
          <w:sz w:val="24"/>
          <w:szCs w:val="24"/>
        </w:rPr>
        <w:t>cinco de abril de dos mil veintiuno</w:t>
      </w:r>
      <w:r w:rsidRPr="000C270E">
        <w:rPr>
          <w:rFonts w:ascii="Palatino Linotype" w:hAnsi="Palatino Linotype" w:cs="Arial"/>
          <w:sz w:val="24"/>
          <w:szCs w:val="24"/>
        </w:rPr>
        <w:t>, determinándose en él, un plazo de siete días para que las partes manifestaran lo que a su derecho corresponda en términos del numeral ya citado.</w:t>
      </w:r>
    </w:p>
    <w:p w14:paraId="0779F326" w14:textId="77777777" w:rsidR="00BE69F0" w:rsidRPr="000C270E" w:rsidRDefault="00BE69F0" w:rsidP="00BE69F0">
      <w:pPr>
        <w:spacing w:after="0" w:line="360" w:lineRule="auto"/>
        <w:jc w:val="both"/>
        <w:rPr>
          <w:rFonts w:ascii="Palatino Linotype" w:hAnsi="Palatino Linotype" w:cs="Arial"/>
          <w:b/>
          <w:sz w:val="28"/>
        </w:rPr>
      </w:pPr>
    </w:p>
    <w:p w14:paraId="6C71A708" w14:textId="06D7C642"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 la etapa de instrucción.</w:t>
      </w:r>
    </w:p>
    <w:p w14:paraId="5F21E0E1" w14:textId="74ECF966" w:rsidR="00BE69F0" w:rsidRPr="003D2ACF" w:rsidRDefault="00BE69F0" w:rsidP="003D2ACF">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Una vez abierta la etapa de instrucción, se observa </w:t>
      </w:r>
      <w:r w:rsidR="004F0F40" w:rsidRPr="004F0F40">
        <w:rPr>
          <w:rFonts w:ascii="Palatino Linotype" w:hAnsi="Palatino Linotype" w:cs="Arial"/>
          <w:sz w:val="24"/>
          <w:szCs w:val="24"/>
        </w:rPr>
        <w:t xml:space="preserve">que El Sujeto Obligado, fue omiso en presentar su informe justificado; de igual manera se hace constar que El Recurrente </w:t>
      </w:r>
      <w:r w:rsidR="004F0F40">
        <w:rPr>
          <w:rFonts w:ascii="Palatino Linotype" w:hAnsi="Palatino Linotype" w:cs="Arial"/>
          <w:sz w:val="24"/>
          <w:szCs w:val="24"/>
        </w:rPr>
        <w:t xml:space="preserve">en fecha siete de abril de dos mil veintiuno, </w:t>
      </w:r>
      <w:r w:rsidR="004F0F40" w:rsidRPr="004F0F40">
        <w:rPr>
          <w:rFonts w:ascii="Palatino Linotype" w:hAnsi="Palatino Linotype" w:cs="Arial"/>
          <w:sz w:val="24"/>
          <w:szCs w:val="24"/>
        </w:rPr>
        <w:t>rindió sus manifestaciones a través del archivo electrónico denominado “NR_DDUAMyMA_439_2021 00074.pdf”</w:t>
      </w:r>
      <w:r w:rsidR="00A16E33">
        <w:rPr>
          <w:rFonts w:ascii="Palatino Linotype" w:hAnsi="Palatino Linotype" w:cs="Arial"/>
          <w:sz w:val="24"/>
          <w:szCs w:val="24"/>
        </w:rPr>
        <w:t>.</w:t>
      </w:r>
    </w:p>
    <w:p w14:paraId="31BD050F" w14:textId="700082B0" w:rsidR="00BE69F0" w:rsidRPr="000C270E" w:rsidRDefault="00BE69F0" w:rsidP="00BE69F0">
      <w:pPr>
        <w:spacing w:after="0" w:line="360" w:lineRule="auto"/>
        <w:jc w:val="both"/>
        <w:rPr>
          <w:rFonts w:ascii="Palatino Linotype" w:hAnsi="Palatino Linotype" w:cs="Arial"/>
          <w:sz w:val="24"/>
          <w:szCs w:val="24"/>
        </w:rPr>
      </w:pPr>
    </w:p>
    <w:p w14:paraId="3B77EAD0" w14:textId="77777777" w:rsidR="00BE69F0" w:rsidRPr="000C270E" w:rsidRDefault="00BE69F0" w:rsidP="00BE69F0">
      <w:pPr>
        <w:pStyle w:val="Sinespaciado"/>
      </w:pPr>
    </w:p>
    <w:p w14:paraId="027809A7" w14:textId="24E31C33" w:rsidR="00BE69F0" w:rsidRPr="000C270E" w:rsidRDefault="00B371E1" w:rsidP="00BE69F0">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BE69F0" w:rsidRPr="000C270E">
        <w:rPr>
          <w:rFonts w:ascii="Palatino Linotype" w:hAnsi="Palatino Linotype" w:cs="Arial"/>
          <w:b/>
          <w:sz w:val="24"/>
          <w:szCs w:val="24"/>
        </w:rPr>
        <w:t xml:space="preserve">. </w:t>
      </w:r>
      <w:r w:rsidR="00BE69F0" w:rsidRPr="000C270E">
        <w:rPr>
          <w:rFonts w:ascii="Palatino Linotype" w:hAnsi="Palatino Linotype" w:cs="Arial"/>
          <w:b/>
          <w:sz w:val="28"/>
          <w:szCs w:val="28"/>
        </w:rPr>
        <w:t>Del cierre de la etapa de instrucción.</w:t>
      </w:r>
    </w:p>
    <w:p w14:paraId="52170836" w14:textId="4216D4D4"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lastRenderedPageBreak/>
        <w:t xml:space="preserve">Por lo que en fecha </w:t>
      </w:r>
      <w:r w:rsidR="004F0F40">
        <w:rPr>
          <w:rFonts w:ascii="Palatino Linotype" w:hAnsi="Palatino Linotype" w:cs="Arial"/>
          <w:sz w:val="24"/>
          <w:szCs w:val="24"/>
        </w:rPr>
        <w:t>diecisiete de mayo de dos mil veintiuno</w:t>
      </w:r>
      <w:r w:rsidRPr="000C270E">
        <w:rPr>
          <w:rFonts w:ascii="Palatino Linotype" w:hAnsi="Palatino Linotype" w:cs="Arial"/>
          <w:sz w:val="24"/>
          <w:szCs w:val="24"/>
        </w:rPr>
        <w:t>, se determinó decretar el cierre de instrucción</w:t>
      </w:r>
      <w:r w:rsidR="00FF3748">
        <w:rPr>
          <w:rFonts w:ascii="Palatino Linotype" w:hAnsi="Palatino Linotype" w:cs="Arial"/>
          <w:sz w:val="24"/>
          <w:szCs w:val="24"/>
        </w:rPr>
        <w:t xml:space="preserve"> </w:t>
      </w:r>
      <w:r w:rsidR="00FF3748" w:rsidRPr="00FF3748">
        <w:rPr>
          <w:rFonts w:ascii="Palatino Linotype" w:hAnsi="Palatino Linotype" w:cs="Arial"/>
          <w:sz w:val="24"/>
          <w:szCs w:val="24"/>
        </w:rPr>
        <w:t>en términos del artículo 185 Fracción VI de la Ley de Transparencia y Acceso a la Información Pública del Estado de México y Municipios</w:t>
      </w:r>
      <w:r w:rsidR="00FF3748">
        <w:rPr>
          <w:rFonts w:ascii="Palatino Linotype" w:hAnsi="Palatino Linotype" w:cs="Arial"/>
          <w:sz w:val="24"/>
          <w:szCs w:val="24"/>
        </w:rPr>
        <w:t>.</w:t>
      </w:r>
    </w:p>
    <w:p w14:paraId="58A2D077" w14:textId="77777777" w:rsidR="00BE69F0" w:rsidRPr="000C270E" w:rsidRDefault="00BE69F0" w:rsidP="00BE69F0">
      <w:pPr>
        <w:spacing w:after="0" w:line="360" w:lineRule="auto"/>
        <w:jc w:val="both"/>
        <w:rPr>
          <w:rFonts w:ascii="Palatino Linotype" w:hAnsi="Palatino Linotype" w:cs="Arial"/>
          <w:sz w:val="24"/>
          <w:szCs w:val="24"/>
        </w:rPr>
      </w:pPr>
    </w:p>
    <w:p w14:paraId="792455B2" w14:textId="043C0654" w:rsidR="00BE69F0" w:rsidRPr="000C270E" w:rsidRDefault="00BE69F0" w:rsidP="00BE69F0">
      <w:pPr>
        <w:spacing w:after="0" w:line="360" w:lineRule="auto"/>
        <w:jc w:val="both"/>
        <w:rPr>
          <w:rFonts w:ascii="Palatino Linotype" w:hAnsi="Palatino Linotype" w:cs="Arial"/>
          <w:sz w:val="24"/>
          <w:szCs w:val="24"/>
        </w:rPr>
      </w:pPr>
      <w:r w:rsidRPr="000C270E">
        <w:rPr>
          <w:rFonts w:ascii="Palatino Linotype" w:hAnsi="Palatino Linotype" w:cs="Arial"/>
          <w:sz w:val="24"/>
          <w:szCs w:val="24"/>
        </w:rPr>
        <w:t xml:space="preserve">Así, en fecha </w:t>
      </w:r>
      <w:r w:rsidR="004F0F40">
        <w:rPr>
          <w:rFonts w:ascii="Palatino Linotype" w:hAnsi="Palatino Linotype" w:cs="Arial"/>
          <w:sz w:val="24"/>
          <w:szCs w:val="24"/>
        </w:rPr>
        <w:t>diecinueve de mayo</w:t>
      </w:r>
      <w:r w:rsidRPr="000C270E">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01F88029" w14:textId="77777777" w:rsidR="00BE69F0" w:rsidRPr="000C270E" w:rsidRDefault="00BE69F0" w:rsidP="00BE69F0">
      <w:pPr>
        <w:spacing w:after="0" w:line="360" w:lineRule="auto"/>
        <w:jc w:val="both"/>
        <w:rPr>
          <w:rFonts w:ascii="Palatino Linotype" w:hAnsi="Palatino Linotype" w:cs="Arial"/>
          <w:sz w:val="24"/>
          <w:szCs w:val="24"/>
        </w:rPr>
      </w:pPr>
    </w:p>
    <w:p w14:paraId="54176D4C" w14:textId="77777777" w:rsidR="00FF3748" w:rsidRDefault="00FF3748" w:rsidP="00BE69F0">
      <w:pPr>
        <w:spacing w:after="0" w:line="360" w:lineRule="auto"/>
        <w:jc w:val="center"/>
        <w:rPr>
          <w:rFonts w:ascii="Palatino Linotype" w:hAnsi="Palatino Linotype" w:cs="Arial"/>
          <w:b/>
          <w:sz w:val="28"/>
          <w:szCs w:val="28"/>
        </w:rPr>
      </w:pPr>
    </w:p>
    <w:p w14:paraId="355946FD" w14:textId="6A04C571" w:rsidR="00BE69F0" w:rsidRPr="000C270E" w:rsidRDefault="00BE69F0" w:rsidP="00BE69F0">
      <w:pPr>
        <w:spacing w:after="0" w:line="360" w:lineRule="auto"/>
        <w:jc w:val="center"/>
        <w:rPr>
          <w:rFonts w:ascii="Palatino Linotype" w:hAnsi="Palatino Linotype" w:cs="Arial"/>
          <w:b/>
          <w:sz w:val="28"/>
          <w:szCs w:val="28"/>
        </w:rPr>
      </w:pPr>
      <w:r w:rsidRPr="000C270E">
        <w:rPr>
          <w:rFonts w:ascii="Palatino Linotype" w:hAnsi="Palatino Linotype" w:cs="Arial"/>
          <w:b/>
          <w:sz w:val="28"/>
          <w:szCs w:val="28"/>
        </w:rPr>
        <w:t xml:space="preserve">C O N S I D E R A N D O </w:t>
      </w:r>
    </w:p>
    <w:p w14:paraId="3D052431" w14:textId="77777777" w:rsidR="00BE69F0" w:rsidRPr="000C270E" w:rsidRDefault="00BE69F0" w:rsidP="00BE69F0">
      <w:pPr>
        <w:pStyle w:val="Sinespaciado"/>
      </w:pPr>
    </w:p>
    <w:p w14:paraId="094A32D6" w14:textId="77777777" w:rsidR="00BE69F0" w:rsidRPr="000C270E" w:rsidRDefault="00BE69F0" w:rsidP="00BE69F0">
      <w:pPr>
        <w:spacing w:after="0" w:line="360" w:lineRule="auto"/>
        <w:jc w:val="both"/>
        <w:rPr>
          <w:rFonts w:ascii="Palatino Linotype" w:hAnsi="Palatino Linotype" w:cs="Arial"/>
          <w:sz w:val="24"/>
        </w:rPr>
      </w:pPr>
      <w:r w:rsidRPr="000C270E">
        <w:rPr>
          <w:rFonts w:ascii="Palatino Linotype" w:hAnsi="Palatino Linotype" w:cs="Arial"/>
          <w:b/>
          <w:sz w:val="28"/>
        </w:rPr>
        <w:t>PRIMERO.</w:t>
      </w:r>
      <w:r w:rsidRPr="000C270E">
        <w:rPr>
          <w:rFonts w:ascii="Palatino Linotype" w:hAnsi="Palatino Linotype" w:cs="Arial"/>
          <w:b/>
        </w:rPr>
        <w:t xml:space="preserve"> </w:t>
      </w:r>
      <w:r w:rsidRPr="000C270E">
        <w:rPr>
          <w:rFonts w:ascii="Palatino Linotype" w:hAnsi="Palatino Linotype" w:cs="Arial"/>
          <w:b/>
          <w:sz w:val="28"/>
          <w:szCs w:val="28"/>
        </w:rPr>
        <w:t>De la competencia</w:t>
      </w:r>
      <w:r w:rsidRPr="000C270E">
        <w:rPr>
          <w:rFonts w:ascii="Palatino Linotype" w:hAnsi="Palatino Linotype" w:cs="Arial"/>
          <w:sz w:val="28"/>
          <w:szCs w:val="28"/>
        </w:rPr>
        <w:t>.</w:t>
      </w:r>
    </w:p>
    <w:p w14:paraId="09E1F013" w14:textId="77777777" w:rsidR="004F0F40" w:rsidRPr="004F0F40" w:rsidRDefault="004F0F40" w:rsidP="004F0F40">
      <w:pPr>
        <w:spacing w:after="0" w:line="360" w:lineRule="auto"/>
        <w:jc w:val="both"/>
        <w:rPr>
          <w:rFonts w:ascii="Palatino Linotype" w:hAnsi="Palatino Linotype" w:cs="Arial"/>
          <w:sz w:val="24"/>
        </w:rPr>
      </w:pPr>
      <w:r w:rsidRPr="004F0F40">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BC3AD18" w14:textId="77777777" w:rsidR="004F0F40" w:rsidRPr="004F0F40" w:rsidRDefault="004F0F40" w:rsidP="004F0F40">
      <w:pPr>
        <w:spacing w:after="0" w:line="360" w:lineRule="auto"/>
        <w:jc w:val="both"/>
        <w:rPr>
          <w:rFonts w:ascii="Palatino Linotype" w:hAnsi="Palatino Linotype" w:cs="Arial"/>
          <w:sz w:val="24"/>
        </w:rPr>
      </w:pPr>
    </w:p>
    <w:p w14:paraId="5CD4414B" w14:textId="77777777" w:rsidR="004F0F40" w:rsidRPr="004F0F40" w:rsidRDefault="004F0F40" w:rsidP="004F0F40">
      <w:pPr>
        <w:spacing w:after="0" w:line="360" w:lineRule="auto"/>
        <w:jc w:val="both"/>
        <w:rPr>
          <w:rFonts w:ascii="Palatino Linotype" w:hAnsi="Palatino Linotype"/>
          <w:sz w:val="32"/>
        </w:rPr>
      </w:pPr>
      <w:r w:rsidRPr="004F0F40">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0E17C16" w14:textId="77777777" w:rsidR="00BE69F0" w:rsidRPr="000C270E" w:rsidRDefault="00BE69F0" w:rsidP="00BE69F0">
      <w:pPr>
        <w:spacing w:after="0" w:line="360" w:lineRule="auto"/>
        <w:jc w:val="both"/>
        <w:rPr>
          <w:rFonts w:ascii="Palatino Linotype" w:hAnsi="Palatino Linotype" w:cs="Arial"/>
          <w:sz w:val="24"/>
        </w:rPr>
      </w:pPr>
    </w:p>
    <w:p w14:paraId="6562150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b/>
        </w:rPr>
      </w:pPr>
      <w:r w:rsidRPr="000C270E">
        <w:rPr>
          <w:rFonts w:ascii="Palatino Linotype" w:hAnsi="Palatino Linotype" w:cs="Arial"/>
          <w:b/>
          <w:sz w:val="28"/>
        </w:rPr>
        <w:t>SEGUNDO</w:t>
      </w:r>
      <w:r w:rsidRPr="000C270E">
        <w:rPr>
          <w:rFonts w:ascii="Palatino Linotype" w:hAnsi="Palatino Linotype" w:cs="Arial"/>
          <w:b/>
        </w:rPr>
        <w:t xml:space="preserve">. </w:t>
      </w:r>
      <w:r w:rsidRPr="000C270E">
        <w:rPr>
          <w:rFonts w:ascii="Palatino Linotype" w:hAnsi="Palatino Linotype" w:cs="Arial"/>
          <w:b/>
          <w:sz w:val="28"/>
          <w:szCs w:val="28"/>
        </w:rPr>
        <w:t>Sobre los alcances del recurso de revisión.</w:t>
      </w:r>
      <w:r w:rsidRPr="000C270E">
        <w:rPr>
          <w:rFonts w:ascii="Palatino Linotype" w:hAnsi="Palatino Linotype" w:cs="Arial"/>
          <w:b/>
        </w:rPr>
        <w:t xml:space="preserve"> </w:t>
      </w:r>
    </w:p>
    <w:p w14:paraId="7ECEBBB6"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r w:rsidRPr="000C270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04238F" w14:textId="77777777" w:rsidR="00BE69F0" w:rsidRPr="000C270E" w:rsidRDefault="00BE69F0" w:rsidP="00BE69F0">
      <w:pPr>
        <w:pStyle w:val="Prrafodelista"/>
        <w:autoSpaceDE w:val="0"/>
        <w:autoSpaceDN w:val="0"/>
        <w:adjustRightInd w:val="0"/>
        <w:spacing w:line="360" w:lineRule="auto"/>
        <w:ind w:left="0"/>
        <w:jc w:val="both"/>
        <w:rPr>
          <w:rFonts w:ascii="Palatino Linotype" w:hAnsi="Palatino Linotype" w:cs="Arial"/>
        </w:rPr>
      </w:pPr>
    </w:p>
    <w:p w14:paraId="3795DF5D" w14:textId="77777777" w:rsidR="001C1620" w:rsidRPr="00B21190" w:rsidRDefault="001C1620" w:rsidP="001C1620">
      <w:pPr>
        <w:spacing w:after="0" w:line="360" w:lineRule="auto"/>
        <w:jc w:val="both"/>
        <w:rPr>
          <w:rFonts w:ascii="Palatino Linotype" w:hAnsi="Palatino Linotype" w:cs="Arial"/>
          <w:b/>
          <w:sz w:val="26"/>
          <w:szCs w:val="26"/>
        </w:rPr>
      </w:pPr>
      <w:r w:rsidRPr="00B21190">
        <w:rPr>
          <w:rFonts w:ascii="Palatino Linotype" w:hAnsi="Palatino Linotype" w:cs="Arial"/>
          <w:b/>
          <w:sz w:val="26"/>
          <w:szCs w:val="26"/>
        </w:rPr>
        <w:t>TERCERO. Del estudio de las causas de improcedencia y sobreseimiento.</w:t>
      </w:r>
    </w:p>
    <w:p w14:paraId="0BA6D5EB"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w:t>
      </w:r>
      <w:r w:rsidRPr="00B21190">
        <w:rPr>
          <w:rFonts w:ascii="Palatino Linotype" w:hAnsi="Palatino Linotype" w:cs="Arial"/>
        </w:rPr>
        <w:lastRenderedPageBreak/>
        <w:t>Transparencia y Acceso a la Información Pública del Estado de México y Municipios, en correlación con la seguridad jurídica que debe generar lo actuado ante este Organismo garante.</w:t>
      </w:r>
    </w:p>
    <w:p w14:paraId="1A6957C3"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p>
    <w:p w14:paraId="5658A0F1"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9BE0F14" w14:textId="0F8F20D1"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653F7EEA" w14:textId="77777777" w:rsidR="00572765" w:rsidRDefault="00572765" w:rsidP="001C1620">
      <w:pPr>
        <w:autoSpaceDE w:val="0"/>
        <w:autoSpaceDN w:val="0"/>
        <w:adjustRightInd w:val="0"/>
        <w:spacing w:after="0" w:line="360" w:lineRule="auto"/>
        <w:jc w:val="both"/>
        <w:rPr>
          <w:rFonts w:ascii="Palatino Linotype" w:hAnsi="Palatino Linotype" w:cs="Arial"/>
          <w:sz w:val="24"/>
          <w:szCs w:val="24"/>
        </w:rPr>
      </w:pPr>
    </w:p>
    <w:p w14:paraId="6B554D87" w14:textId="2242518E" w:rsidR="001C1620" w:rsidRPr="00B21190" w:rsidRDefault="001C1620" w:rsidP="001C162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28C1706" w14:textId="77777777" w:rsidR="001C1620" w:rsidRPr="00B21190" w:rsidRDefault="001C1620" w:rsidP="001C1620">
      <w:pPr>
        <w:autoSpaceDE w:val="0"/>
        <w:autoSpaceDN w:val="0"/>
        <w:adjustRightInd w:val="0"/>
        <w:spacing w:after="0" w:line="360" w:lineRule="auto"/>
        <w:jc w:val="both"/>
        <w:rPr>
          <w:rFonts w:ascii="Palatino Linotype" w:hAnsi="Palatino Linotype" w:cs="Arial"/>
          <w:sz w:val="24"/>
          <w:szCs w:val="24"/>
        </w:rPr>
      </w:pPr>
    </w:p>
    <w:p w14:paraId="135C1913" w14:textId="77777777" w:rsidR="001C1620" w:rsidRPr="00B21190" w:rsidRDefault="001C1620" w:rsidP="001C1620">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F3AA3DA" w14:textId="77777777" w:rsidR="001C1620" w:rsidRPr="00B21190" w:rsidRDefault="001C1620" w:rsidP="001C1620">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21190">
        <w:rPr>
          <w:rFonts w:ascii="Palatino Linotype" w:hAnsi="Palatino Linotype" w:cs="Arial"/>
        </w:rPr>
        <w:lastRenderedPageBreak/>
        <w:t>internacionales en los que el Estado Mexicano sea parte, en concordancia con el párrafo tercero del artículo 1, de la Constitución Federal y el diverso 8, de la Ley de Transparencia local.</w:t>
      </w:r>
    </w:p>
    <w:p w14:paraId="17ACB3A5" w14:textId="77777777" w:rsidR="001C1620" w:rsidRPr="00B21190" w:rsidRDefault="001C1620" w:rsidP="001C1620">
      <w:pPr>
        <w:tabs>
          <w:tab w:val="left" w:pos="709"/>
        </w:tabs>
        <w:spacing w:after="0" w:line="360" w:lineRule="auto"/>
        <w:jc w:val="both"/>
        <w:rPr>
          <w:rFonts w:ascii="Palatino Linotype" w:hAnsi="Palatino Linotype" w:cs="Arial"/>
          <w:sz w:val="18"/>
          <w:szCs w:val="24"/>
        </w:rPr>
      </w:pPr>
    </w:p>
    <w:p w14:paraId="5774856D" w14:textId="77777777" w:rsidR="001C1620" w:rsidRDefault="001C1620" w:rsidP="001C1620">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C2F8130" w14:textId="77777777" w:rsidR="001C1620" w:rsidRPr="00B21190" w:rsidRDefault="001C1620" w:rsidP="001C1620">
      <w:pPr>
        <w:tabs>
          <w:tab w:val="left" w:pos="709"/>
        </w:tabs>
        <w:spacing w:after="0" w:line="360" w:lineRule="auto"/>
        <w:jc w:val="both"/>
        <w:rPr>
          <w:rFonts w:ascii="Palatino Linotype" w:hAnsi="Palatino Linotype" w:cs="Arial"/>
          <w:sz w:val="24"/>
          <w:szCs w:val="24"/>
        </w:rPr>
      </w:pPr>
    </w:p>
    <w:p w14:paraId="357BD911" w14:textId="77777777" w:rsidR="001C1620" w:rsidRPr="00B21190" w:rsidRDefault="001C1620" w:rsidP="001C1620">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sidRPr="00B21190">
        <w:rPr>
          <w:rFonts w:ascii="Palatino Linotype" w:hAnsi="Palatino Linotype" w:cs="Arial"/>
          <w:sz w:val="24"/>
          <w:szCs w:val="24"/>
        </w:rPr>
        <w:t>, para el efecto de que quede sin materia el recurso de revisión, es necesario realizar una valoración de la información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B4337B7" w14:textId="77777777" w:rsidR="001C1620" w:rsidRPr="00B21190" w:rsidRDefault="001C1620" w:rsidP="001C1620">
      <w:pPr>
        <w:tabs>
          <w:tab w:val="left" w:pos="709"/>
        </w:tabs>
        <w:spacing w:line="360" w:lineRule="auto"/>
        <w:jc w:val="both"/>
        <w:rPr>
          <w:rFonts w:ascii="Palatino Linotype" w:hAnsi="Palatino Linotype" w:cs="Arial"/>
          <w:sz w:val="10"/>
        </w:rPr>
      </w:pPr>
    </w:p>
    <w:p w14:paraId="0F40EF1D" w14:textId="3A1DB05D" w:rsidR="00BE69F0" w:rsidRPr="001C1620" w:rsidRDefault="001C1620" w:rsidP="001C1620">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Pr="00B21190">
        <w:rPr>
          <w:rFonts w:ascii="Palatino Linotype" w:hAnsi="Palatino Linotype" w:cs="Arial"/>
        </w:rPr>
        <w:t>:</w:t>
      </w:r>
    </w:p>
    <w:p w14:paraId="4921D711" w14:textId="77777777" w:rsidR="00BE69F0" w:rsidRPr="000C270E" w:rsidRDefault="00BE69F0" w:rsidP="00BE69F0">
      <w:pPr>
        <w:tabs>
          <w:tab w:val="left" w:pos="709"/>
        </w:tabs>
        <w:spacing w:after="0" w:line="360" w:lineRule="auto"/>
        <w:jc w:val="both"/>
        <w:rPr>
          <w:rFonts w:ascii="Palatino Linotype" w:hAnsi="Palatino Linotype"/>
          <w:sz w:val="24"/>
          <w:szCs w:val="24"/>
        </w:rPr>
      </w:pPr>
    </w:p>
    <w:p w14:paraId="32449579" w14:textId="302DEFE0" w:rsidR="00BE69F0" w:rsidRPr="000C270E" w:rsidRDefault="008504E5" w:rsidP="00653691">
      <w:pPr>
        <w:pStyle w:val="Prrafodelista"/>
        <w:numPr>
          <w:ilvl w:val="0"/>
          <w:numId w:val="2"/>
        </w:numPr>
        <w:tabs>
          <w:tab w:val="left" w:pos="709"/>
        </w:tabs>
        <w:spacing w:line="360" w:lineRule="auto"/>
        <w:jc w:val="both"/>
        <w:rPr>
          <w:rFonts w:ascii="Palatino Linotype" w:hAnsi="Palatino Linotype"/>
        </w:rPr>
      </w:pPr>
      <w:r>
        <w:rPr>
          <w:rFonts w:ascii="Palatino Linotype" w:hAnsi="Palatino Linotype"/>
        </w:rPr>
        <w:lastRenderedPageBreak/>
        <w:t>L</w:t>
      </w:r>
      <w:r w:rsidR="00E433CC" w:rsidRPr="00E433CC">
        <w:rPr>
          <w:rFonts w:ascii="Palatino Linotype" w:hAnsi="Palatino Linotype"/>
        </w:rPr>
        <w:t xml:space="preserve">os planos de las calles que rodean la casa ubicada en </w:t>
      </w:r>
      <w:proofErr w:type="spellStart"/>
      <w:r w:rsidR="00E615A5">
        <w:rPr>
          <w:rFonts w:ascii="Palatino Linotype" w:hAnsi="Palatino Linotype"/>
        </w:rPr>
        <w:t>xxxxxxxxxxxxxxxxxxxx</w:t>
      </w:r>
      <w:proofErr w:type="spellEnd"/>
      <w:r w:rsidR="00E433CC" w:rsidRPr="00E433CC">
        <w:rPr>
          <w:rFonts w:ascii="Palatino Linotype" w:hAnsi="Palatino Linotype"/>
        </w:rPr>
        <w:t xml:space="preserve"> </w:t>
      </w:r>
      <w:r>
        <w:rPr>
          <w:rFonts w:ascii="Palatino Linotype" w:hAnsi="Palatino Linotype"/>
        </w:rPr>
        <w:t xml:space="preserve">número </w:t>
      </w:r>
      <w:r w:rsidR="00E615A5">
        <w:rPr>
          <w:rFonts w:ascii="Palatino Linotype" w:hAnsi="Palatino Linotype"/>
        </w:rPr>
        <w:t>xx</w:t>
      </w:r>
      <w:r w:rsidR="00E433CC" w:rsidRPr="00E433CC">
        <w:rPr>
          <w:rFonts w:ascii="Palatino Linotype" w:hAnsi="Palatino Linotype"/>
        </w:rPr>
        <w:t xml:space="preserve">, colonia </w:t>
      </w:r>
      <w:proofErr w:type="spellStart"/>
      <w:r w:rsidR="00E615A5">
        <w:rPr>
          <w:rFonts w:ascii="Palatino Linotype" w:hAnsi="Palatino Linotype"/>
        </w:rPr>
        <w:t>xxxxxxxxxxxxxxx</w:t>
      </w:r>
      <w:proofErr w:type="spellEnd"/>
      <w:r w:rsidR="00E433CC" w:rsidRPr="00E433CC">
        <w:rPr>
          <w:rFonts w:ascii="Palatino Linotype" w:hAnsi="Palatino Linotype"/>
        </w:rPr>
        <w:t xml:space="preserve">, </w:t>
      </w:r>
      <w:proofErr w:type="spellStart"/>
      <w:r w:rsidR="00E433CC" w:rsidRPr="00E433CC">
        <w:rPr>
          <w:rFonts w:ascii="Palatino Linotype" w:hAnsi="Palatino Linotype"/>
        </w:rPr>
        <w:t>Nicolas</w:t>
      </w:r>
      <w:proofErr w:type="spellEnd"/>
      <w:r w:rsidR="00E433CC" w:rsidRPr="00E433CC">
        <w:rPr>
          <w:rFonts w:ascii="Palatino Linotype" w:hAnsi="Palatino Linotype"/>
        </w:rPr>
        <w:t xml:space="preserve"> Romero, Estado de México.</w:t>
      </w:r>
    </w:p>
    <w:p w14:paraId="0C2704D3" w14:textId="77777777" w:rsidR="00BE69F0" w:rsidRPr="000C270E" w:rsidRDefault="00BE69F0" w:rsidP="00BE69F0">
      <w:pPr>
        <w:pStyle w:val="Sinespaciado"/>
        <w:spacing w:line="360" w:lineRule="auto"/>
        <w:jc w:val="both"/>
        <w:rPr>
          <w:rFonts w:ascii="Palatino Linotype" w:hAnsi="Palatino Linotype" w:cs="Arial"/>
        </w:rPr>
      </w:pPr>
    </w:p>
    <w:p w14:paraId="7B2D25C9" w14:textId="089C807E" w:rsidR="008504E5" w:rsidRDefault="00F20E9A" w:rsidP="008504E5">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4ABA5E0A" wp14:editId="3D4FB0DB">
                <wp:simplePos x="0" y="0"/>
                <wp:positionH relativeFrom="column">
                  <wp:posOffset>24045</wp:posOffset>
                </wp:positionH>
                <wp:positionV relativeFrom="paragraph">
                  <wp:posOffset>2595963</wp:posOffset>
                </wp:positionV>
                <wp:extent cx="5745193" cy="2061713"/>
                <wp:effectExtent l="0" t="0" r="84455" b="72390"/>
                <wp:wrapNone/>
                <wp:docPr id="3" name="Conector recto de flecha 3"/>
                <wp:cNvGraphicFramePr/>
                <a:graphic xmlns:a="http://schemas.openxmlformats.org/drawingml/2006/main">
                  <a:graphicData uri="http://schemas.microsoft.com/office/word/2010/wordprocessingShape">
                    <wps:wsp>
                      <wps:cNvCnPr/>
                      <wps:spPr>
                        <a:xfrm>
                          <a:off x="0" y="0"/>
                          <a:ext cx="5745193" cy="20617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1AB3A2B" id="_x0000_t32" coordsize="21600,21600" o:spt="32" o:oned="t" path="m,l21600,21600e" filled="f">
                <v:path arrowok="t" fillok="f" o:connecttype="none"/>
                <o:lock v:ext="edit" shapetype="t"/>
              </v:shapetype>
              <v:shape id="Conector recto de flecha 3" o:spid="_x0000_s1026" type="#_x0000_t32" style="position:absolute;margin-left:1.9pt;margin-top:204.4pt;width:452.4pt;height:162.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" strokecolor="#5b9bd5 [3204]" strokeweight=".5pt">
                <v:stroke endarrow="block" joinstyle="miter"/>
              </v:shape>
            </w:pict>
          </mc:Fallback>
        </mc:AlternateContent>
      </w:r>
      <w:r w:rsidR="008504E5">
        <w:rPr>
          <w:rFonts w:ascii="Palatino Linotype" w:hAnsi="Palatino Linotype"/>
        </w:rPr>
        <w:t xml:space="preserve">A lo que el </w:t>
      </w:r>
      <w:r w:rsidR="008504E5">
        <w:rPr>
          <w:rFonts w:ascii="Palatino Linotype" w:hAnsi="Palatino Linotype"/>
          <w:b/>
        </w:rPr>
        <w:t>Sujeto Obligado</w:t>
      </w:r>
      <w:r w:rsidR="008504E5">
        <w:rPr>
          <w:rFonts w:ascii="Palatino Linotype" w:hAnsi="Palatino Linotype"/>
        </w:rPr>
        <w:t>, mediante el archivo electrónico denominado “</w:t>
      </w:r>
      <w:r w:rsidR="008504E5" w:rsidRPr="008504E5">
        <w:rPr>
          <w:rFonts w:ascii="Palatino Linotype" w:hAnsi="Palatino Linotype"/>
          <w:b/>
          <w:bCs/>
          <w:i/>
        </w:rPr>
        <w:t>NR_DDUAMyMA_439_2021 00074.pdf</w:t>
      </w:r>
      <w:r w:rsidR="008504E5">
        <w:rPr>
          <w:rFonts w:ascii="Palatino Linotype" w:hAnsi="Palatino Linotype"/>
          <w:i/>
        </w:rPr>
        <w:t>”</w:t>
      </w:r>
      <w:r w:rsidR="008504E5">
        <w:rPr>
          <w:rFonts w:ascii="Palatino Linotype" w:hAnsi="Palatino Linotype"/>
        </w:rPr>
        <w:t xml:space="preserve">, mismo que contiene el oficio No. </w:t>
      </w:r>
      <w:r w:rsidR="008504E5" w:rsidRPr="008504E5">
        <w:rPr>
          <w:rFonts w:ascii="Palatino Linotype" w:hAnsi="Palatino Linotype"/>
        </w:rPr>
        <w:t>NR</w:t>
      </w:r>
      <w:r w:rsidR="008504E5">
        <w:rPr>
          <w:rFonts w:ascii="Palatino Linotype" w:hAnsi="Palatino Linotype"/>
        </w:rPr>
        <w:t>/</w:t>
      </w:r>
      <w:proofErr w:type="spellStart"/>
      <w:r w:rsidR="008504E5" w:rsidRPr="008504E5">
        <w:rPr>
          <w:rFonts w:ascii="Palatino Linotype" w:hAnsi="Palatino Linotype"/>
        </w:rPr>
        <w:t>DDUAMyMA</w:t>
      </w:r>
      <w:proofErr w:type="spellEnd"/>
      <w:r w:rsidR="008504E5">
        <w:rPr>
          <w:rFonts w:ascii="Palatino Linotype" w:hAnsi="Palatino Linotype"/>
        </w:rPr>
        <w:t>/</w:t>
      </w:r>
      <w:r w:rsidR="008504E5" w:rsidRPr="008504E5">
        <w:rPr>
          <w:rFonts w:ascii="Palatino Linotype" w:hAnsi="Palatino Linotype"/>
        </w:rPr>
        <w:t>439</w:t>
      </w:r>
      <w:r w:rsidR="008504E5">
        <w:rPr>
          <w:rFonts w:ascii="Palatino Linotype" w:hAnsi="Palatino Linotype"/>
        </w:rPr>
        <w:t>/</w:t>
      </w:r>
      <w:r w:rsidR="008504E5" w:rsidRPr="008504E5">
        <w:rPr>
          <w:rFonts w:ascii="Palatino Linotype" w:hAnsi="Palatino Linotype"/>
        </w:rPr>
        <w:t>2021</w:t>
      </w:r>
      <w:r w:rsidR="008504E5">
        <w:rPr>
          <w:rFonts w:ascii="Palatino Linotype" w:hAnsi="Palatino Linotype"/>
        </w:rPr>
        <w:t xml:space="preserve">, firmado por el Director de Desarrollo Urbano, Asuntos Metropolitanos y Medio Ambiente, y remitido al Titular de la Unidad de Transparencia, </w:t>
      </w:r>
      <w:r w:rsidR="008504E5">
        <w:rPr>
          <w:rFonts w:ascii="Palatino Linotype" w:hAnsi="Palatino Linotype"/>
          <w:b/>
          <w:u w:val="single"/>
        </w:rPr>
        <w:t xml:space="preserve">a través del cual informó que se realizó una búsqueda exhaustiva en los archivos de esa dependencia no encontrando autorización alguna de apertura y prolongación de vías públicas y/o lotificaciones en condominio en da dirección referida por el </w:t>
      </w:r>
      <w:r>
        <w:rPr>
          <w:rFonts w:ascii="Palatino Linotype" w:hAnsi="Palatino Linotype"/>
          <w:b/>
          <w:u w:val="single"/>
        </w:rPr>
        <w:t>particular,</w:t>
      </w:r>
      <w:r w:rsidR="008504E5">
        <w:rPr>
          <w:rFonts w:ascii="Palatino Linotype" w:hAnsi="Palatino Linotype"/>
        </w:rPr>
        <w:t xml:space="preserve"> de conformidad con la siguiente imagen:</w:t>
      </w:r>
    </w:p>
    <w:p w14:paraId="35AC59A7" w14:textId="6599D140" w:rsidR="00F20E9A" w:rsidRDefault="00F20E9A" w:rsidP="00F20E9A">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69504" behindDoc="0" locked="0" layoutInCell="1" allowOverlap="1" wp14:anchorId="0B6CAE71" wp14:editId="0E380084">
                <wp:simplePos x="0" y="0"/>
                <wp:positionH relativeFrom="margin">
                  <wp:align>center</wp:align>
                </wp:positionH>
                <wp:positionV relativeFrom="paragraph">
                  <wp:posOffset>2511425</wp:posOffset>
                </wp:positionV>
                <wp:extent cx="4475312" cy="963295"/>
                <wp:effectExtent l="19050" t="19050" r="20955" b="27305"/>
                <wp:wrapNone/>
                <wp:docPr id="10" name="Rectángulo 10"/>
                <wp:cNvGraphicFramePr/>
                <a:graphic xmlns:a="http://schemas.openxmlformats.org/drawingml/2006/main">
                  <a:graphicData uri="http://schemas.microsoft.com/office/word/2010/wordprocessingShape">
                    <wps:wsp>
                      <wps:cNvSpPr/>
                      <wps:spPr>
                        <a:xfrm>
                          <a:off x="0" y="0"/>
                          <a:ext cx="4475312" cy="96329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36CC2" id="Rectángulo 10" o:spid="_x0000_s1026" style="position:absolute;margin-left:0;margin-top:197.75pt;width:352.4pt;height:75.8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" filled="f" strokecolor="red" strokeweight="2.25pt">
                <w10:wrap anchorx="margin"/>
              </v:rect>
            </w:pict>
          </mc:Fallback>
        </mc:AlternateContent>
      </w:r>
      <w:r w:rsidR="00E615A5">
        <w:rPr>
          <w:rFonts w:ascii="Palatino Linotype" w:hAnsi="Palatino Linotype"/>
          <w:noProof/>
          <w:lang w:eastAsia="es-MX"/>
        </w:rPr>
        <w:drawing>
          <wp:inline distT="0" distB="0" distL="0" distR="0" wp14:anchorId="16FE75F6" wp14:editId="2DE98B98">
            <wp:extent cx="5048250" cy="521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160" cy="5232014"/>
                    </a:xfrm>
                    <a:prstGeom prst="rect">
                      <a:avLst/>
                    </a:prstGeom>
                    <a:noFill/>
                    <a:ln>
                      <a:noFill/>
                    </a:ln>
                  </pic:spPr>
                </pic:pic>
              </a:graphicData>
            </a:graphic>
          </wp:inline>
        </w:drawing>
      </w:r>
      <w:bookmarkStart w:id="0" w:name="_GoBack"/>
      <w:bookmarkEnd w:id="0"/>
    </w:p>
    <w:p w14:paraId="6F5ABB4E" w14:textId="77777777" w:rsidR="00BE69F0" w:rsidRPr="000C270E" w:rsidRDefault="00BE69F0" w:rsidP="00BE69F0">
      <w:pPr>
        <w:pStyle w:val="Sinespaciado"/>
        <w:spacing w:line="276" w:lineRule="auto"/>
        <w:ind w:left="567" w:right="567"/>
        <w:jc w:val="both"/>
        <w:rPr>
          <w:rFonts w:ascii="Palatino Linotype" w:hAnsi="Palatino Linotype" w:cs="Arial"/>
          <w:i/>
        </w:rPr>
      </w:pPr>
    </w:p>
    <w:p w14:paraId="06D0A53D" w14:textId="77777777" w:rsidR="00BE69F0" w:rsidRPr="000C270E" w:rsidRDefault="00BE69F0" w:rsidP="00BE69F0">
      <w:pPr>
        <w:pStyle w:val="Sinespaciado"/>
      </w:pPr>
    </w:p>
    <w:p w14:paraId="0D5FB90E" w14:textId="76A0CA13" w:rsidR="00BE69F0" w:rsidRDefault="00BE69F0" w:rsidP="00BE69F0">
      <w:pPr>
        <w:pStyle w:val="Sinespaciado"/>
        <w:spacing w:line="360" w:lineRule="auto"/>
        <w:jc w:val="both"/>
        <w:rPr>
          <w:rFonts w:ascii="Palatino Linotype" w:hAnsi="Palatino Linotype" w:cs="Arial"/>
          <w:i/>
        </w:rPr>
      </w:pPr>
      <w:r w:rsidRPr="000C270E">
        <w:rPr>
          <w:rFonts w:ascii="Palatino Linotype" w:hAnsi="Palatino Linotype"/>
        </w:rPr>
        <w:t xml:space="preserve">Inconforme con la respuesta que recayó a la solicitud de información, el ahora </w:t>
      </w:r>
      <w:r w:rsidRPr="000C270E">
        <w:rPr>
          <w:rFonts w:ascii="Palatino Linotype" w:hAnsi="Palatino Linotype"/>
          <w:b/>
        </w:rPr>
        <w:t>Recurrente</w:t>
      </w:r>
      <w:r w:rsidRPr="000C270E">
        <w:rPr>
          <w:rFonts w:ascii="Palatino Linotype" w:hAnsi="Palatino Linotype"/>
          <w:lang w:val="es-ES_tradnl"/>
        </w:rPr>
        <w:t>,</w:t>
      </w:r>
      <w:r w:rsidRPr="000C270E">
        <w:rPr>
          <w:rFonts w:ascii="Palatino Linotype" w:hAnsi="Palatino Linotype"/>
          <w:b/>
          <w:lang w:val="es-ES_tradnl"/>
        </w:rPr>
        <w:t xml:space="preserve"> </w:t>
      </w:r>
      <w:r w:rsidRPr="000C270E">
        <w:rPr>
          <w:rFonts w:ascii="Palatino Linotype" w:hAnsi="Palatino Linotype"/>
        </w:rPr>
        <w:t xml:space="preserve">señaló como </w:t>
      </w:r>
      <w:r w:rsidRPr="000C270E">
        <w:rPr>
          <w:rFonts w:ascii="Palatino Linotype" w:hAnsi="Palatino Linotype"/>
          <w:b/>
        </w:rPr>
        <w:t>Acto Impugnado</w:t>
      </w:r>
      <w:r w:rsidRPr="000C270E">
        <w:rPr>
          <w:rFonts w:ascii="Palatino Linotype" w:hAnsi="Palatino Linotype"/>
        </w:rPr>
        <w:t xml:space="preserve">: </w:t>
      </w:r>
      <w:r w:rsidRPr="000C270E">
        <w:rPr>
          <w:rFonts w:ascii="Palatino Linotype" w:hAnsi="Palatino Linotype"/>
          <w:i/>
        </w:rPr>
        <w:t>“</w:t>
      </w:r>
      <w:r w:rsidR="00F20E9A" w:rsidRPr="00F20E9A">
        <w:rPr>
          <w:rFonts w:ascii="Palatino Linotype" w:hAnsi="Palatino Linotype"/>
          <w:i/>
        </w:rPr>
        <w:t>La resolución emitida el día 16 de marzo de 2021en donde se niega información solicitada en la solicitud de información del SAIMEX con número 00074/NICOROM/IP/2020, firmado por el Ing. Arq. Víctor Alejandro Vázquez Ramírez quien es Director de Desarrollo Urbano, Asuntos Metropolitanos y Medio Ambiente en el municipio de Nicolás Romero Estado de México.</w:t>
      </w:r>
      <w:r w:rsidRPr="000C270E">
        <w:rPr>
          <w:rFonts w:ascii="Palatino Linotype" w:hAnsi="Palatino Linotype"/>
          <w:i/>
        </w:rPr>
        <w:t>” (Sic)</w:t>
      </w:r>
      <w:r w:rsidRPr="000C270E">
        <w:rPr>
          <w:rFonts w:ascii="Palatino Linotype" w:hAnsi="Palatino Linotype"/>
        </w:rPr>
        <w:t xml:space="preserve">, y como </w:t>
      </w:r>
      <w:r w:rsidRPr="000C270E">
        <w:rPr>
          <w:rFonts w:ascii="Palatino Linotype" w:hAnsi="Palatino Linotype"/>
          <w:b/>
        </w:rPr>
        <w:t xml:space="preserve">Motivos de </w:t>
      </w:r>
      <w:r w:rsidRPr="000C270E">
        <w:rPr>
          <w:rFonts w:ascii="Palatino Linotype" w:hAnsi="Palatino Linotype"/>
          <w:b/>
        </w:rPr>
        <w:lastRenderedPageBreak/>
        <w:t>Inconformidad</w:t>
      </w:r>
      <w:r w:rsidRPr="000C270E">
        <w:rPr>
          <w:rFonts w:ascii="Palatino Linotype" w:hAnsi="Palatino Linotype"/>
        </w:rPr>
        <w:t xml:space="preserve">, lo siguiente: </w:t>
      </w:r>
      <w:r w:rsidRPr="000C270E">
        <w:rPr>
          <w:rFonts w:ascii="Palatino Linotype" w:hAnsi="Palatino Linotype"/>
          <w:i/>
        </w:rPr>
        <w:t>“</w:t>
      </w:r>
      <w:r w:rsidR="00F20E9A" w:rsidRPr="00F20E9A">
        <w:rPr>
          <w:rFonts w:ascii="Palatino Linotype" w:hAnsi="Palatino Linotype"/>
          <w:b/>
          <w:i/>
          <w:u w:val="single"/>
        </w:rPr>
        <w:t>Me fue negada la información sin motivo y sin fundamento en detrimento de mi derecho al libre acceso a la información pública.</w:t>
      </w:r>
      <w:r w:rsidRPr="000C270E">
        <w:rPr>
          <w:rFonts w:ascii="Palatino Linotype" w:hAnsi="Palatino Linotype"/>
          <w:i/>
        </w:rPr>
        <w:t>” (Sic).</w:t>
      </w:r>
    </w:p>
    <w:p w14:paraId="2C4B01CA" w14:textId="77777777" w:rsidR="00653691" w:rsidRPr="00653691" w:rsidRDefault="00653691" w:rsidP="00653691">
      <w:pPr>
        <w:pStyle w:val="Sinespaciado"/>
      </w:pPr>
    </w:p>
    <w:p w14:paraId="0979DFB3" w14:textId="268F5BF8" w:rsidR="00D22F83" w:rsidRDefault="001C1620" w:rsidP="00007A91">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puntualiza que en la etapa de instrucción esta ponencia se allegó del documento </w:t>
      </w:r>
      <w:r>
        <w:rPr>
          <w:rFonts w:ascii="Palatino Linotype" w:hAnsi="Palatino Linotype" w:cs="Arial"/>
          <w:b/>
          <w:sz w:val="24"/>
          <w:szCs w:val="24"/>
        </w:rPr>
        <w:t>“</w:t>
      </w:r>
      <w:r w:rsidR="00F20E9A" w:rsidRPr="00F20E9A">
        <w:rPr>
          <w:rFonts w:ascii="Palatino Linotype" w:hAnsi="Palatino Linotype" w:cs="Arial"/>
          <w:b/>
          <w:sz w:val="24"/>
          <w:szCs w:val="24"/>
        </w:rPr>
        <w:t>NR_DDUAMyMA_439_2021 00074.pdf</w:t>
      </w:r>
      <w:r>
        <w:rPr>
          <w:rFonts w:ascii="Palatino Linotype" w:hAnsi="Palatino Linotype" w:cs="Arial"/>
          <w:b/>
          <w:sz w:val="24"/>
          <w:szCs w:val="24"/>
        </w:rPr>
        <w:t xml:space="preserve">”. </w:t>
      </w:r>
      <w:proofErr w:type="gramStart"/>
      <w:r w:rsidR="00F20E9A">
        <w:rPr>
          <w:rFonts w:ascii="Palatino Linotype" w:hAnsi="Palatino Linotype" w:cs="Arial"/>
          <w:sz w:val="24"/>
          <w:szCs w:val="24"/>
        </w:rPr>
        <w:t>remitido</w:t>
      </w:r>
      <w:proofErr w:type="gramEnd"/>
      <w:r w:rsidR="00F20E9A">
        <w:rPr>
          <w:rFonts w:ascii="Palatino Linotype" w:hAnsi="Palatino Linotype" w:cs="Arial"/>
          <w:sz w:val="24"/>
          <w:szCs w:val="24"/>
        </w:rPr>
        <w:t xml:space="preserve"> por el particular, mismo que contiene el archivo electrónico entregado en respuesta por el Sujeto Obligado.</w:t>
      </w:r>
    </w:p>
    <w:p w14:paraId="64C810C2" w14:textId="77777777" w:rsidR="00007A91" w:rsidRPr="00007A91" w:rsidRDefault="00007A91" w:rsidP="00007A91">
      <w:pPr>
        <w:tabs>
          <w:tab w:val="left" w:pos="709"/>
        </w:tabs>
        <w:spacing w:after="0" w:line="360" w:lineRule="auto"/>
        <w:jc w:val="both"/>
        <w:rPr>
          <w:rFonts w:ascii="Palatino Linotype" w:hAnsi="Palatino Linotype" w:cs="Arial"/>
          <w:sz w:val="24"/>
          <w:szCs w:val="24"/>
        </w:rPr>
      </w:pPr>
    </w:p>
    <w:p w14:paraId="3DAF7EF1" w14:textId="3115F5FA" w:rsidR="00295A5B" w:rsidRPr="00295A5B" w:rsidRDefault="00572765" w:rsidP="00572765">
      <w:pPr>
        <w:shd w:val="clear" w:color="auto" w:fill="FFFFFF"/>
        <w:spacing w:after="0" w:line="360" w:lineRule="auto"/>
        <w:jc w:val="both"/>
        <w:rPr>
          <w:rFonts w:ascii="Palatino Linotype" w:hAnsi="Palatino Linotype" w:cs="Arial"/>
          <w:sz w:val="24"/>
        </w:rPr>
      </w:pPr>
      <w:r>
        <w:rPr>
          <w:rFonts w:ascii="Palatino Linotype" w:hAnsi="Palatino Linotype"/>
          <w:color w:val="222222"/>
          <w:sz w:val="24"/>
        </w:rPr>
        <w:t>Aclarado lo anterior</w:t>
      </w:r>
      <w:r w:rsidR="00295A5B" w:rsidRPr="00295A5B">
        <w:rPr>
          <w:rFonts w:ascii="Palatino Linotype" w:hAnsi="Palatino Linotype"/>
          <w:color w:val="222222"/>
          <w:sz w:val="24"/>
        </w:rPr>
        <w:t>,</w:t>
      </w:r>
      <w:r w:rsidR="00295A5B" w:rsidRPr="00295A5B">
        <w:rPr>
          <w:rFonts w:ascii="Palatino Linotype" w:hAnsi="Palatino Linotype" w:cs="Arial"/>
          <w:sz w:val="24"/>
        </w:rPr>
        <w:t xml:space="preserve"> </w:t>
      </w:r>
      <w:r>
        <w:rPr>
          <w:rFonts w:ascii="Palatino Linotype" w:hAnsi="Palatino Linotype" w:cs="Arial"/>
          <w:sz w:val="24"/>
        </w:rPr>
        <w:t xml:space="preserve">es </w:t>
      </w:r>
      <w:r w:rsidR="00295A5B" w:rsidRPr="00295A5B">
        <w:rPr>
          <w:rFonts w:ascii="Palatino Linotype" w:hAnsi="Palatino Linotype" w:cs="Arial"/>
          <w:sz w:val="24"/>
        </w:rPr>
        <w:t xml:space="preserve">importante señalar que, dicha respuesta fue emitida por el Servidor Público Habilitado correspondiente; es decir, el </w:t>
      </w:r>
      <w:r w:rsidR="00295A5B">
        <w:rPr>
          <w:rFonts w:ascii="Palatino Linotype" w:hAnsi="Palatino Linotype" w:cs="Arial"/>
          <w:sz w:val="24"/>
        </w:rPr>
        <w:t>Director</w:t>
      </w:r>
      <w:r w:rsidR="00295A5B" w:rsidRPr="00295A5B">
        <w:t xml:space="preserve"> </w:t>
      </w:r>
      <w:r w:rsidR="00295A5B" w:rsidRPr="00295A5B">
        <w:rPr>
          <w:rFonts w:ascii="Palatino Linotype" w:hAnsi="Palatino Linotype" w:cs="Arial"/>
          <w:sz w:val="24"/>
        </w:rPr>
        <w:t>de Desarrollo Urbano, Asuntos Metropolitanos y Medio Ambiente, d</w:t>
      </w:r>
      <w:r w:rsidR="00295A5B" w:rsidRPr="00295A5B">
        <w:rPr>
          <w:rFonts w:ascii="Palatino Linotype" w:eastAsia="Times New Roman" w:hAnsi="Palatino Linotype"/>
          <w:sz w:val="24"/>
          <w:szCs w:val="24"/>
          <w:lang w:eastAsia="es-MX"/>
        </w:rPr>
        <w:t>e este modo, se señala que en un primer término, el Titular de la Unidad de Transparencia procedió a turnar la solicitud de información al área involucrada, tal</w:t>
      </w:r>
      <w:r w:rsidR="00295A5B" w:rsidRPr="00295A5B">
        <w:rPr>
          <w:rFonts w:ascii="Palatino Linotype" w:hAnsi="Palatino Linotype"/>
          <w:sz w:val="24"/>
          <w:szCs w:val="24"/>
        </w:rPr>
        <w:t xml:space="preserve"> y como se desglosa de en la página de Información Pública de Oficio Mexiquense (IPOMEX) del </w:t>
      </w:r>
      <w:r w:rsidR="00295A5B" w:rsidRPr="00295A5B">
        <w:rPr>
          <w:rFonts w:ascii="Palatino Linotype" w:hAnsi="Palatino Linotype"/>
          <w:b/>
          <w:sz w:val="24"/>
          <w:szCs w:val="24"/>
        </w:rPr>
        <w:t>Sujeto Obligado</w:t>
      </w:r>
      <w:r w:rsidR="00295A5B" w:rsidRPr="00295A5B">
        <w:rPr>
          <w:rFonts w:ascii="Palatino Linotype" w:hAnsi="Palatino Linotype"/>
          <w:sz w:val="24"/>
          <w:szCs w:val="24"/>
        </w:rPr>
        <w:t>, en la fracción VII “Directorio de Servidores Público</w:t>
      </w:r>
      <w:r>
        <w:rPr>
          <w:rFonts w:ascii="Palatino Linotype" w:hAnsi="Palatino Linotype"/>
          <w:sz w:val="24"/>
          <w:szCs w:val="24"/>
        </w:rPr>
        <w:t>s”, sin embargo</w:t>
      </w:r>
      <w:r w:rsidR="00295A5B" w:rsidRPr="00295A5B">
        <w:rPr>
          <w:rFonts w:ascii="Palatino Linotype" w:hAnsi="Palatino Linotype" w:cs="Arial"/>
          <w:sz w:val="24"/>
          <w:lang w:eastAsia="es-MX"/>
        </w:rPr>
        <w:t>, debe precisarse que</w:t>
      </w:r>
      <w:r w:rsidR="00295A5B" w:rsidRPr="00295A5B">
        <w:rPr>
          <w:rFonts w:ascii="Palatino Linotype" w:hAnsi="Palatino Linotype"/>
          <w:b/>
          <w:sz w:val="24"/>
        </w:rPr>
        <w:t xml:space="preserve"> </w:t>
      </w:r>
      <w:r w:rsidR="00295A5B" w:rsidRPr="00295A5B">
        <w:rPr>
          <w:rFonts w:ascii="Palatino Linotype" w:hAnsi="Palatino Linotype" w:cs="Arial"/>
          <w:sz w:val="24"/>
          <w:lang w:eastAsia="es-MX"/>
        </w:rPr>
        <w:t>de conformidad con lo establecido en el artículo 31 de la Ley Orgánica Municipal del Estado de México, establece lo siguiente:</w:t>
      </w:r>
    </w:p>
    <w:p w14:paraId="10A5B1DB"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3FA4CAEB" w14:textId="77777777" w:rsidR="00295A5B" w:rsidRPr="00295A5B" w:rsidRDefault="00295A5B" w:rsidP="00295A5B">
      <w:pPr>
        <w:spacing w:after="0" w:line="276" w:lineRule="auto"/>
        <w:ind w:left="709" w:right="709"/>
        <w:jc w:val="both"/>
        <w:rPr>
          <w:rFonts w:ascii="Palatino Linotype" w:hAnsi="Palatino Linotype"/>
          <w:i/>
        </w:rPr>
      </w:pPr>
      <w:r w:rsidRPr="00295A5B">
        <w:rPr>
          <w:rFonts w:ascii="Palatino Linotype" w:hAnsi="Palatino Linotype"/>
          <w:b/>
          <w:i/>
        </w:rPr>
        <w:t>Artículo 31</w:t>
      </w:r>
      <w:r w:rsidRPr="00295A5B">
        <w:rPr>
          <w:rFonts w:ascii="Palatino Linotype" w:hAnsi="Palatino Linotype"/>
          <w:i/>
        </w:rPr>
        <w:t xml:space="preserve">.- </w:t>
      </w:r>
      <w:r w:rsidRPr="00295A5B">
        <w:rPr>
          <w:rFonts w:ascii="Palatino Linotype" w:hAnsi="Palatino Linotype"/>
          <w:b/>
          <w:i/>
        </w:rPr>
        <w:t>Son atribuciones de los ayuntamientos</w:t>
      </w:r>
      <w:r w:rsidRPr="00295A5B">
        <w:rPr>
          <w:rFonts w:ascii="Palatino Linotype" w:hAnsi="Palatino Linotype"/>
          <w:i/>
        </w:rPr>
        <w:t>:</w:t>
      </w:r>
    </w:p>
    <w:p w14:paraId="3009613B" w14:textId="77777777" w:rsidR="00295A5B" w:rsidRPr="00295A5B" w:rsidRDefault="00295A5B" w:rsidP="00295A5B">
      <w:pPr>
        <w:spacing w:after="0" w:line="276" w:lineRule="auto"/>
        <w:ind w:left="709" w:right="709"/>
        <w:jc w:val="both"/>
        <w:rPr>
          <w:rFonts w:ascii="Palatino Linotype" w:hAnsi="Palatino Linotype"/>
          <w:i/>
        </w:rPr>
      </w:pPr>
      <w:r w:rsidRPr="00295A5B">
        <w:rPr>
          <w:rFonts w:ascii="Palatino Linotype" w:hAnsi="Palatino Linotype"/>
          <w:b/>
          <w:i/>
        </w:rPr>
        <w:t>(</w:t>
      </w:r>
      <w:r w:rsidRPr="00295A5B">
        <w:rPr>
          <w:rFonts w:ascii="Palatino Linotype" w:hAnsi="Palatino Linotype"/>
          <w:i/>
        </w:rPr>
        <w:t>…)</w:t>
      </w:r>
    </w:p>
    <w:p w14:paraId="72E3CF53" w14:textId="77777777" w:rsidR="00295A5B" w:rsidRPr="00295A5B" w:rsidRDefault="00295A5B" w:rsidP="00295A5B">
      <w:pPr>
        <w:spacing w:after="0" w:line="276" w:lineRule="auto"/>
        <w:ind w:left="709" w:right="709"/>
        <w:jc w:val="both"/>
        <w:rPr>
          <w:rFonts w:ascii="Palatino Linotype" w:hAnsi="Palatino Linotype"/>
          <w:i/>
        </w:rPr>
      </w:pPr>
      <w:r w:rsidRPr="00295A5B">
        <w:rPr>
          <w:rFonts w:ascii="Palatino Linotype" w:hAnsi="Palatino Linotype"/>
          <w:b/>
          <w:i/>
        </w:rPr>
        <w:t>V</w:t>
      </w:r>
      <w:r w:rsidRPr="00295A5B">
        <w:rPr>
          <w:rFonts w:ascii="Palatino Linotype" w:hAnsi="Palatino Linotype"/>
          <w:i/>
        </w:rPr>
        <w:t xml:space="preserve">. Acordar la </w:t>
      </w:r>
      <w:r w:rsidRPr="00295A5B">
        <w:rPr>
          <w:rFonts w:ascii="Palatino Linotype" w:hAnsi="Palatino Linotype"/>
          <w:b/>
          <w:i/>
        </w:rPr>
        <w:t>división territorial municipal en</w:t>
      </w:r>
      <w:r w:rsidRPr="00295A5B">
        <w:rPr>
          <w:rFonts w:ascii="Palatino Linotype" w:hAnsi="Palatino Linotype"/>
          <w:i/>
        </w:rPr>
        <w:t xml:space="preserve"> delegaciones, subdelegaciones, colonias, sectores y </w:t>
      </w:r>
      <w:r w:rsidRPr="00295A5B">
        <w:rPr>
          <w:rFonts w:ascii="Palatino Linotype" w:hAnsi="Palatino Linotype"/>
          <w:b/>
          <w:i/>
        </w:rPr>
        <w:t>manzanas</w:t>
      </w:r>
      <w:r w:rsidRPr="00295A5B">
        <w:rPr>
          <w:rFonts w:ascii="Palatino Linotype" w:hAnsi="Palatino Linotype"/>
          <w:i/>
        </w:rPr>
        <w:t>;</w:t>
      </w:r>
    </w:p>
    <w:p w14:paraId="28959A84" w14:textId="77777777" w:rsidR="00295A5B" w:rsidRPr="00295A5B" w:rsidRDefault="00295A5B" w:rsidP="00295A5B">
      <w:pPr>
        <w:spacing w:after="0" w:line="276" w:lineRule="auto"/>
        <w:ind w:left="709" w:right="709"/>
        <w:jc w:val="both"/>
        <w:rPr>
          <w:rFonts w:ascii="Palatino Linotype" w:hAnsi="Palatino Linotype"/>
          <w:i/>
          <w:sz w:val="18"/>
        </w:rPr>
      </w:pPr>
      <w:r w:rsidRPr="00295A5B">
        <w:rPr>
          <w:rFonts w:ascii="Palatino Linotype" w:hAnsi="Palatino Linotype" w:cs="Arial"/>
          <w:i/>
          <w:sz w:val="18"/>
          <w:lang w:eastAsia="es-MX"/>
        </w:rPr>
        <w:t>(Énfasis añadido)</w:t>
      </w:r>
    </w:p>
    <w:p w14:paraId="0E557B12" w14:textId="77777777" w:rsidR="00295A5B" w:rsidRPr="00295A5B" w:rsidRDefault="00295A5B" w:rsidP="00295A5B">
      <w:pPr>
        <w:spacing w:after="0" w:line="360" w:lineRule="auto"/>
        <w:ind w:left="709" w:right="709"/>
        <w:jc w:val="both"/>
        <w:rPr>
          <w:rFonts w:ascii="Palatino Linotype" w:hAnsi="Palatino Linotype" w:cs="Arial"/>
          <w:lang w:eastAsia="es-MX"/>
        </w:rPr>
      </w:pPr>
    </w:p>
    <w:p w14:paraId="005F0F1A" w14:textId="77777777" w:rsidR="00295A5B" w:rsidRPr="00295A5B" w:rsidRDefault="00295A5B" w:rsidP="00295A5B">
      <w:pPr>
        <w:spacing w:after="0" w:line="360" w:lineRule="auto"/>
        <w:jc w:val="both"/>
        <w:rPr>
          <w:rFonts w:ascii="Palatino Linotype" w:hAnsi="Palatino Linotype" w:cs="Arial"/>
          <w:sz w:val="24"/>
        </w:rPr>
      </w:pPr>
      <w:r w:rsidRPr="00295A5B">
        <w:rPr>
          <w:rFonts w:ascii="Palatino Linotype" w:hAnsi="Palatino Linotype" w:cs="Arial"/>
          <w:sz w:val="24"/>
        </w:rPr>
        <w:t>Asimismo, el Código Administrativo del Estado de México señala como obligaciones en materia catastral, las que a continuación se citan:</w:t>
      </w:r>
    </w:p>
    <w:p w14:paraId="59D2F657"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0D4153A8" w14:textId="77777777" w:rsidR="00295A5B" w:rsidRPr="00295A5B" w:rsidRDefault="00295A5B" w:rsidP="00295A5B">
      <w:pPr>
        <w:spacing w:after="0" w:line="276" w:lineRule="auto"/>
        <w:ind w:left="709" w:right="814"/>
        <w:jc w:val="both"/>
        <w:rPr>
          <w:rFonts w:ascii="Palatino Linotype" w:hAnsi="Palatino Linotype" w:cs="Arial"/>
          <w:i/>
        </w:rPr>
      </w:pPr>
      <w:r w:rsidRPr="00295A5B">
        <w:rPr>
          <w:rFonts w:ascii="Palatino Linotype" w:hAnsi="Palatino Linotype" w:cs="Arial"/>
          <w:b/>
          <w:i/>
        </w:rPr>
        <w:t>Artículo 14.15.- Los ayuntamientos</w:t>
      </w:r>
      <w:r w:rsidRPr="00295A5B">
        <w:rPr>
          <w:rFonts w:ascii="Palatino Linotype" w:hAnsi="Palatino Linotype" w:cs="Arial"/>
          <w:i/>
        </w:rPr>
        <w:t xml:space="preserve"> en materia de información catastral, tendrán las siguientes obligaciones:</w:t>
      </w:r>
    </w:p>
    <w:p w14:paraId="1E33130C" w14:textId="77777777" w:rsidR="00295A5B" w:rsidRPr="00295A5B" w:rsidRDefault="00295A5B" w:rsidP="00295A5B">
      <w:pPr>
        <w:spacing w:after="0" w:line="276" w:lineRule="auto"/>
        <w:ind w:right="814"/>
        <w:jc w:val="both"/>
        <w:rPr>
          <w:rFonts w:ascii="Palatino Linotype" w:hAnsi="Palatino Linotype" w:cs="Arial"/>
          <w:i/>
        </w:rPr>
      </w:pPr>
    </w:p>
    <w:p w14:paraId="286E83FC" w14:textId="77777777" w:rsidR="00295A5B" w:rsidRPr="00295A5B" w:rsidRDefault="00295A5B" w:rsidP="00295A5B">
      <w:pPr>
        <w:spacing w:after="0" w:line="276" w:lineRule="auto"/>
        <w:ind w:left="709" w:right="814"/>
        <w:jc w:val="both"/>
        <w:rPr>
          <w:rFonts w:ascii="Palatino Linotype" w:hAnsi="Palatino Linotype" w:cs="Arial"/>
          <w:b/>
          <w:i/>
        </w:rPr>
      </w:pPr>
      <w:r w:rsidRPr="00295A5B">
        <w:rPr>
          <w:rFonts w:ascii="Palatino Linotype" w:hAnsi="Palatino Linotype" w:cs="Arial"/>
          <w:b/>
          <w:i/>
        </w:rPr>
        <w:t>I. La identificación, localización geográfica, medición, clasificación, inscripción y control, de los inmuebles ubicados dentro del territorio municipal;</w:t>
      </w:r>
    </w:p>
    <w:p w14:paraId="32CA1F1B" w14:textId="77777777" w:rsidR="00295A5B" w:rsidRPr="00295A5B" w:rsidRDefault="00295A5B" w:rsidP="00295A5B">
      <w:pPr>
        <w:spacing w:after="0" w:line="276" w:lineRule="auto"/>
        <w:ind w:left="709" w:right="814"/>
        <w:jc w:val="both"/>
        <w:rPr>
          <w:rFonts w:ascii="Palatino Linotype" w:hAnsi="Palatino Linotype" w:cs="Arial"/>
          <w:i/>
        </w:rPr>
      </w:pPr>
      <w:r w:rsidRPr="00295A5B">
        <w:rPr>
          <w:rFonts w:ascii="Palatino Linotype" w:hAnsi="Palatino Linotype" w:cs="Arial"/>
          <w:i/>
        </w:rPr>
        <w:t>II. Cumplir con la normatividad establecida en los ordenamientos jurídicos aplicables para el desarrollo de la actividad catastral en el municipio;</w:t>
      </w:r>
    </w:p>
    <w:p w14:paraId="0F18305E" w14:textId="77777777" w:rsidR="00295A5B" w:rsidRPr="00295A5B" w:rsidRDefault="00295A5B" w:rsidP="00295A5B">
      <w:pPr>
        <w:spacing w:after="0" w:line="276" w:lineRule="auto"/>
        <w:ind w:left="709" w:right="814"/>
        <w:jc w:val="both"/>
        <w:rPr>
          <w:rFonts w:ascii="Palatino Linotype" w:hAnsi="Palatino Linotype" w:cs="Arial"/>
          <w:i/>
        </w:rPr>
      </w:pPr>
      <w:r w:rsidRPr="00295A5B">
        <w:rPr>
          <w:rFonts w:ascii="Palatino Linotype" w:hAnsi="Palatino Linotype" w:cs="Arial"/>
          <w:i/>
        </w:rPr>
        <w:t>III. Determinar, conjuntamente con el IGECEM, las acciones necesarias para la modernización, actualización, consolidación, mantenimiento y resguardo del inventario inmobiliario municipal;</w:t>
      </w:r>
    </w:p>
    <w:p w14:paraId="2E044CA8" w14:textId="77777777" w:rsidR="00295A5B" w:rsidRPr="00295A5B" w:rsidRDefault="00295A5B" w:rsidP="00295A5B">
      <w:pPr>
        <w:spacing w:after="0" w:line="276" w:lineRule="auto"/>
        <w:ind w:left="709" w:right="814"/>
        <w:jc w:val="both"/>
        <w:rPr>
          <w:rFonts w:ascii="Palatino Linotype" w:hAnsi="Palatino Linotype" w:cs="Arial"/>
          <w:i/>
        </w:rPr>
      </w:pPr>
      <w:r w:rsidRPr="00295A5B">
        <w:rPr>
          <w:rFonts w:ascii="Palatino Linotype" w:hAnsi="Palatino Linotype" w:cs="Arial"/>
          <w:i/>
        </w:rPr>
        <w:t xml:space="preserve">IV. </w:t>
      </w:r>
      <w:r w:rsidRPr="00295A5B">
        <w:rPr>
          <w:rFonts w:ascii="Palatino Linotype" w:hAnsi="Palatino Linotype" w:cs="Arial"/>
          <w:b/>
          <w:i/>
        </w:rPr>
        <w:t>Proporcionar</w:t>
      </w:r>
      <w:r w:rsidRPr="00295A5B">
        <w:rPr>
          <w:rFonts w:ascii="Palatino Linotype" w:hAnsi="Palatino Linotype" w:cs="Arial"/>
          <w:i/>
        </w:rPr>
        <w:t xml:space="preserve"> al IGECEM, dentro de los plazos y conforme se establezca en los ordenamientos aplicables, los </w:t>
      </w:r>
      <w:r w:rsidRPr="00295A5B">
        <w:rPr>
          <w:rFonts w:ascii="Palatino Linotype" w:hAnsi="Palatino Linotype" w:cs="Arial"/>
          <w:b/>
          <w:i/>
        </w:rPr>
        <w:t>datos, documentos</w:t>
      </w:r>
      <w:r w:rsidRPr="00295A5B">
        <w:rPr>
          <w:rFonts w:ascii="Palatino Linotype" w:hAnsi="Palatino Linotype" w:cs="Arial"/>
          <w:i/>
        </w:rPr>
        <w:t xml:space="preserve">, reportes, informes, propuestas y respaldos en medios electrónicos de almacenamiento, para integrar, conservar y </w:t>
      </w:r>
      <w:r w:rsidRPr="00295A5B">
        <w:rPr>
          <w:rFonts w:ascii="Palatino Linotype" w:hAnsi="Palatino Linotype" w:cs="Arial"/>
          <w:b/>
          <w:i/>
        </w:rPr>
        <w:t>mantener actualizada la información catastral del estado</w:t>
      </w:r>
      <w:r w:rsidRPr="00295A5B">
        <w:rPr>
          <w:rFonts w:ascii="Palatino Linotype" w:hAnsi="Palatino Linotype" w:cs="Arial"/>
          <w:i/>
        </w:rPr>
        <w:t>.</w:t>
      </w:r>
    </w:p>
    <w:p w14:paraId="360A7D85" w14:textId="77777777" w:rsidR="0025007C" w:rsidRDefault="0025007C" w:rsidP="00295A5B">
      <w:pPr>
        <w:spacing w:after="0" w:line="360" w:lineRule="auto"/>
        <w:jc w:val="both"/>
        <w:rPr>
          <w:rFonts w:ascii="Palatino Linotype" w:hAnsi="Palatino Linotype" w:cs="Arial"/>
          <w:sz w:val="24"/>
          <w:szCs w:val="24"/>
        </w:rPr>
      </w:pPr>
    </w:p>
    <w:p w14:paraId="75FD9FF2" w14:textId="313E1724" w:rsidR="00295A5B" w:rsidRPr="00295A5B" w:rsidRDefault="00295A5B" w:rsidP="00295A5B">
      <w:pPr>
        <w:spacing w:after="0" w:line="360" w:lineRule="auto"/>
        <w:jc w:val="both"/>
        <w:rPr>
          <w:rFonts w:ascii="Palatino Linotype" w:hAnsi="Palatino Linotype" w:cs="Arial"/>
          <w:sz w:val="24"/>
          <w:szCs w:val="24"/>
        </w:rPr>
      </w:pPr>
      <w:r w:rsidRPr="00295A5B">
        <w:rPr>
          <w:rFonts w:ascii="Palatino Linotype" w:hAnsi="Palatino Linotype" w:cs="Arial"/>
          <w:sz w:val="24"/>
          <w:szCs w:val="24"/>
        </w:rPr>
        <w:t>De los preceptos anteriormente citados, se advierte que los Ayuntamientos tienen facultades conferidas para generar, poseer o administrar la información catastral, de los predios ubicados dentro del territorio Municipal.</w:t>
      </w:r>
    </w:p>
    <w:p w14:paraId="1DEDFBBB" w14:textId="77777777" w:rsidR="00295A5B" w:rsidRPr="00295A5B" w:rsidRDefault="00295A5B" w:rsidP="00295A5B">
      <w:pPr>
        <w:spacing w:after="0" w:line="360" w:lineRule="auto"/>
        <w:jc w:val="both"/>
        <w:rPr>
          <w:rFonts w:ascii="Palatino Linotype" w:hAnsi="Palatino Linotype" w:cs="Arial"/>
          <w:sz w:val="24"/>
          <w:szCs w:val="24"/>
        </w:rPr>
      </w:pPr>
    </w:p>
    <w:p w14:paraId="4DDEEF4D" w14:textId="2E5138BE" w:rsidR="00295A5B" w:rsidRPr="00295A5B" w:rsidRDefault="00295A5B" w:rsidP="00295A5B">
      <w:pPr>
        <w:spacing w:after="0" w:line="360" w:lineRule="auto"/>
        <w:jc w:val="both"/>
        <w:rPr>
          <w:rFonts w:ascii="Palatino Linotype" w:hAnsi="Palatino Linotype" w:cs="Arial"/>
          <w:sz w:val="24"/>
          <w:szCs w:val="24"/>
        </w:rPr>
      </w:pPr>
      <w:r w:rsidRPr="00295A5B">
        <w:rPr>
          <w:rFonts w:ascii="Palatino Linotype" w:hAnsi="Palatino Linotype" w:cs="Arial"/>
          <w:sz w:val="24"/>
          <w:szCs w:val="24"/>
        </w:rPr>
        <w:t xml:space="preserve">En ese tenor, y en virtud de que el particular solicitó </w:t>
      </w:r>
      <w:r w:rsidR="00A546BC" w:rsidRPr="00A546BC">
        <w:rPr>
          <w:rFonts w:ascii="Palatino Linotype" w:hAnsi="Palatino Linotype" w:cs="Arial"/>
          <w:sz w:val="24"/>
          <w:szCs w:val="24"/>
        </w:rPr>
        <w:t>los planos de las calles que rodean la casa ubicada</w:t>
      </w:r>
      <w:r w:rsidR="00A546BC">
        <w:rPr>
          <w:rFonts w:ascii="Palatino Linotype" w:hAnsi="Palatino Linotype" w:cs="Arial"/>
          <w:sz w:val="24"/>
          <w:szCs w:val="24"/>
        </w:rPr>
        <w:t xml:space="preserve"> en la dirección referida en la solicitud de información</w:t>
      </w:r>
      <w:r w:rsidRPr="00295A5B">
        <w:rPr>
          <w:rFonts w:ascii="Palatino Linotype" w:hAnsi="Palatino Linotype" w:cs="Arial"/>
          <w:sz w:val="24"/>
          <w:szCs w:val="24"/>
        </w:rPr>
        <w:t>, procede entonces indagar a que se refiere dicho término por lo que en menester remitirse al Código Financiero del Estado de México y Municipios señala en su artículo 179 fracciones I y IV, para efectos de lo que nos ocupa, lo siguiente:</w:t>
      </w:r>
    </w:p>
    <w:p w14:paraId="7C8F49EA"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20139A42" w14:textId="77777777" w:rsidR="00295A5B" w:rsidRPr="00295A5B" w:rsidRDefault="00295A5B" w:rsidP="00295A5B">
      <w:pPr>
        <w:spacing w:after="0"/>
        <w:ind w:left="709" w:right="814"/>
        <w:jc w:val="both"/>
        <w:rPr>
          <w:rFonts w:ascii="Palatino Linotype" w:hAnsi="Palatino Linotype" w:cs="Arial"/>
          <w:i/>
        </w:rPr>
      </w:pPr>
      <w:r w:rsidRPr="00295A5B">
        <w:rPr>
          <w:rFonts w:ascii="Palatino Linotype" w:hAnsi="Palatino Linotype" w:cs="Arial"/>
          <w:b/>
          <w:i/>
        </w:rPr>
        <w:t>Artículo 179</w:t>
      </w:r>
      <w:r w:rsidRPr="00295A5B">
        <w:rPr>
          <w:rFonts w:ascii="Palatino Linotype" w:hAnsi="Palatino Linotype" w:cs="Arial"/>
          <w:i/>
        </w:rPr>
        <w:t>.- En términos de este capítulo, en lo sucesivo, salvo mención expresa, se entenderá por:</w:t>
      </w:r>
    </w:p>
    <w:p w14:paraId="2B11A062" w14:textId="77777777" w:rsidR="00295A5B" w:rsidRPr="00295A5B" w:rsidRDefault="00295A5B" w:rsidP="00295A5B">
      <w:pPr>
        <w:ind w:left="709" w:right="814"/>
        <w:jc w:val="both"/>
        <w:rPr>
          <w:rFonts w:ascii="Palatino Linotype" w:hAnsi="Palatino Linotype" w:cs="Arial"/>
          <w:b/>
          <w:i/>
        </w:rPr>
      </w:pPr>
      <w:r w:rsidRPr="00295A5B">
        <w:rPr>
          <w:rFonts w:ascii="Palatino Linotype" w:hAnsi="Palatino Linotype" w:cs="Arial"/>
          <w:b/>
          <w:i/>
        </w:rPr>
        <w:t xml:space="preserve">I. Clave catastral.- El código alfanumérico único e irrepetible y está compuesto de dieciséis caracteres, que se asigna para efectos de localización </w:t>
      </w:r>
      <w:r w:rsidRPr="00295A5B">
        <w:rPr>
          <w:rFonts w:ascii="Palatino Linotype" w:hAnsi="Palatino Linotype" w:cs="Arial"/>
          <w:b/>
          <w:i/>
        </w:rPr>
        <w:lastRenderedPageBreak/>
        <w:t>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5E42913D"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II. Municipio. La delimitación conforme a la división política del estado en territorios municipales, con sustento en los decretos, acuerdos y resoluciones que en esta materia haya fijado la Legislatura; está representado por los dígitos primero al tercero de la clave catastral.</w:t>
      </w:r>
    </w:p>
    <w:p w14:paraId="3ACAAF7F"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Los códigos que identifican catastralmente a cada municipio serán los que establece el Reglamento correspondiente.</w:t>
      </w:r>
    </w:p>
    <w:p w14:paraId="0CBB68EA"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III. Zona catastral.-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está representada por el cuarto y quinto dígitos de la clave catastral.</w:t>
      </w:r>
    </w:p>
    <w:p w14:paraId="0CB4A151" w14:textId="77777777" w:rsidR="00295A5B" w:rsidRPr="00295A5B" w:rsidRDefault="00295A5B" w:rsidP="00295A5B">
      <w:pPr>
        <w:ind w:left="709" w:right="814"/>
        <w:jc w:val="both"/>
        <w:rPr>
          <w:rFonts w:ascii="Palatino Linotype" w:hAnsi="Palatino Linotype" w:cs="Arial"/>
          <w:b/>
          <w:i/>
        </w:rPr>
      </w:pPr>
      <w:r w:rsidRPr="00295A5B">
        <w:rPr>
          <w:rFonts w:ascii="Palatino Linotype" w:hAnsi="Palatino Linotype" w:cs="Arial"/>
          <w:b/>
          <w:i/>
        </w:rPr>
        <w:t xml:space="preserve">IV. Manzana catastral. La delimitación del terreno por vialidades y límites físicos, en polígono cerrado, conforme al número y dimensión de los predios que se localizan en ella; está representada por </w:t>
      </w:r>
      <w:proofErr w:type="gramStart"/>
      <w:r w:rsidRPr="00295A5B">
        <w:rPr>
          <w:rFonts w:ascii="Palatino Linotype" w:hAnsi="Palatino Linotype" w:cs="Arial"/>
          <w:b/>
          <w:i/>
        </w:rPr>
        <w:t>los dígitos sexto</w:t>
      </w:r>
      <w:proofErr w:type="gramEnd"/>
      <w:r w:rsidRPr="00295A5B">
        <w:rPr>
          <w:rFonts w:ascii="Palatino Linotype" w:hAnsi="Palatino Linotype" w:cs="Arial"/>
          <w:b/>
          <w:i/>
        </w:rPr>
        <w:t xml:space="preserve"> a octavo de la clave catastral.</w:t>
      </w:r>
    </w:p>
    <w:p w14:paraId="089D5EC5"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V. Predio.- El inmueble urbano o rústico con o sin construcciones, integrante de una manzana catastral, cuyos linderos forman un polígono cerrado; está representado por los dígitos noveno y décimo de la clave catastral.</w:t>
      </w:r>
    </w:p>
    <w:p w14:paraId="184963D7"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VI. Edificio.- El total de unidades privativas que integran un módulo en un conjunto urbano de régimen de propiedad condominal, en sus modalidades horizontal, vertical o mixto destinadas a la vivienda, comercio, servicio e industria y se representa por los dígitos décimo primero y duodécimo.</w:t>
      </w:r>
    </w:p>
    <w:p w14:paraId="5287F264" w14:textId="77777777" w:rsidR="00295A5B" w:rsidRPr="00295A5B" w:rsidRDefault="00295A5B" w:rsidP="00295A5B">
      <w:pPr>
        <w:ind w:left="709" w:right="814"/>
        <w:jc w:val="both"/>
        <w:rPr>
          <w:rFonts w:ascii="Palatino Linotype" w:hAnsi="Palatino Linotype" w:cs="Arial"/>
          <w:i/>
        </w:rPr>
      </w:pPr>
      <w:r w:rsidRPr="00295A5B">
        <w:rPr>
          <w:rFonts w:ascii="Palatino Linotype" w:hAnsi="Palatino Linotype" w:cs="Arial"/>
          <w:i/>
        </w:rPr>
        <w:t xml:space="preserve">VII. Departamento.- La unidad privativa de un módulo en un conjunto urbano de régimen de propiedad condominal, en sus modalidades horizontales, verticales o mixto, destinadas a la vivienda, comercio, servicio e industria, mismas que tiene el derecho a </w:t>
      </w:r>
      <w:r w:rsidRPr="00295A5B">
        <w:rPr>
          <w:rFonts w:ascii="Palatino Linotype" w:hAnsi="Palatino Linotype" w:cs="Arial"/>
          <w:i/>
        </w:rPr>
        <w:lastRenderedPageBreak/>
        <w:t>la parte proporcional de las áreas comunes del inmueble, y está representado por los dígitos del décimo tercero al décimo sexto.</w:t>
      </w:r>
    </w:p>
    <w:p w14:paraId="446AC483" w14:textId="77777777" w:rsidR="00295A5B" w:rsidRPr="00295A5B" w:rsidRDefault="00295A5B" w:rsidP="00295A5B">
      <w:pPr>
        <w:ind w:left="709" w:right="814"/>
        <w:jc w:val="both"/>
        <w:rPr>
          <w:rFonts w:ascii="Palatino Linotype" w:hAnsi="Palatino Linotype" w:cs="Arial"/>
          <w:i/>
        </w:rPr>
      </w:pPr>
    </w:p>
    <w:p w14:paraId="4F01BBCB" w14:textId="77777777" w:rsidR="00295A5B" w:rsidRPr="00295A5B" w:rsidRDefault="00295A5B" w:rsidP="00295A5B">
      <w:pPr>
        <w:spacing w:after="0" w:line="360" w:lineRule="auto"/>
        <w:jc w:val="both"/>
        <w:rPr>
          <w:rFonts w:ascii="Palatino Linotype" w:hAnsi="Palatino Linotype" w:cs="Arial"/>
          <w:sz w:val="24"/>
        </w:rPr>
      </w:pPr>
      <w:r w:rsidRPr="00295A5B">
        <w:rPr>
          <w:rFonts w:ascii="Palatino Linotype" w:hAnsi="Palatino Linotype" w:cs="Arial"/>
          <w:sz w:val="24"/>
        </w:rPr>
        <w:t>Al respecto el Manual Catastral del Estado de México, señala en sus políticas generales ACGC009 y ACGC010, lo que a continuación se transcribe:</w:t>
      </w:r>
    </w:p>
    <w:p w14:paraId="108E2B4C"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391FC034" w14:textId="77777777" w:rsidR="00295A5B" w:rsidRPr="00295A5B" w:rsidRDefault="00295A5B" w:rsidP="00295A5B">
      <w:pPr>
        <w:spacing w:after="0"/>
        <w:ind w:left="709" w:right="814"/>
        <w:jc w:val="both"/>
        <w:rPr>
          <w:rFonts w:ascii="Palatino Linotype" w:hAnsi="Palatino Linotype" w:cs="Arial"/>
          <w:i/>
        </w:rPr>
      </w:pPr>
      <w:r w:rsidRPr="00295A5B">
        <w:rPr>
          <w:rFonts w:ascii="Palatino Linotype" w:hAnsi="Palatino Linotype" w:cs="Arial"/>
          <w:i/>
        </w:rPr>
        <w:t>“</w:t>
      </w:r>
      <w:r w:rsidRPr="00295A5B">
        <w:rPr>
          <w:rFonts w:ascii="Palatino Linotype" w:hAnsi="Palatino Linotype" w:cs="Arial"/>
          <w:b/>
          <w:i/>
        </w:rPr>
        <w:t>ACGC009</w:t>
      </w:r>
      <w:r w:rsidRPr="00295A5B">
        <w:rPr>
          <w:rFonts w:ascii="Palatino Linotype" w:hAnsi="Palatino Linotype" w:cs="Arial"/>
          <w:i/>
        </w:rPr>
        <w:t xml:space="preserve">.- En caso de que la autoridad catastral cuente con cartografía en medios digitales, la </w:t>
      </w:r>
      <w:r w:rsidRPr="00295A5B">
        <w:rPr>
          <w:rFonts w:ascii="Palatino Linotype" w:hAnsi="Palatino Linotype" w:cs="Arial"/>
          <w:b/>
          <w:i/>
        </w:rPr>
        <w:t>certificación de plano manzanero</w:t>
      </w:r>
      <w:r w:rsidRPr="00295A5B">
        <w:rPr>
          <w:rFonts w:ascii="Palatino Linotype" w:hAnsi="Palatino Linotype" w:cs="Arial"/>
          <w:i/>
        </w:rPr>
        <w:t xml:space="preserve"> se plasmará dentro del formato que contenga la representación gráfica del inmueble de que se trate, que </w:t>
      </w:r>
      <w:r w:rsidRPr="00295A5B">
        <w:rPr>
          <w:rFonts w:ascii="Palatino Linotype" w:hAnsi="Palatino Linotype" w:cs="Arial"/>
          <w:b/>
          <w:i/>
        </w:rPr>
        <w:t>deberá contener las medidas y colindancias, superficie, orientación y el nombre de las vialidades que en su caso colinden con el inmueble;</w:t>
      </w:r>
      <w:r w:rsidRPr="00295A5B">
        <w:rPr>
          <w:rFonts w:ascii="Palatino Linotype" w:hAnsi="Palatino Linotype" w:cs="Arial"/>
          <w:i/>
        </w:rPr>
        <w:t xml:space="preserve"> y la tira marginal deberá ilustrar la imagen institucional, el croquis con la ubicación dentro de la manzana a la que pertenezca, clave catastral, la leyenda de la certificación, número de recibo del pago del servicio, fecha de la expedición, nombre, firma y cargo de los responsables de la elaboración y autorización; y sello del área catastral.</w:t>
      </w:r>
    </w:p>
    <w:p w14:paraId="121D4A35" w14:textId="77777777" w:rsidR="00295A5B" w:rsidRPr="00295A5B" w:rsidRDefault="00295A5B" w:rsidP="00295A5B">
      <w:pPr>
        <w:spacing w:after="0"/>
        <w:ind w:left="709" w:right="814"/>
        <w:jc w:val="both"/>
        <w:rPr>
          <w:rFonts w:ascii="Palatino Linotype" w:hAnsi="Palatino Linotype" w:cs="Arial"/>
          <w:i/>
        </w:rPr>
      </w:pPr>
    </w:p>
    <w:p w14:paraId="08B49964" w14:textId="77777777" w:rsidR="00295A5B" w:rsidRPr="00295A5B" w:rsidRDefault="00295A5B" w:rsidP="00295A5B">
      <w:pPr>
        <w:spacing w:after="0"/>
        <w:ind w:left="709" w:right="814"/>
        <w:jc w:val="both"/>
        <w:rPr>
          <w:rFonts w:ascii="Palatino Linotype" w:hAnsi="Palatino Linotype" w:cs="Arial"/>
          <w:i/>
        </w:rPr>
      </w:pPr>
      <w:r w:rsidRPr="00295A5B">
        <w:rPr>
          <w:rFonts w:ascii="Palatino Linotype" w:hAnsi="Palatino Linotype" w:cs="Arial"/>
          <w:b/>
          <w:i/>
        </w:rPr>
        <w:t>ACGC010</w:t>
      </w:r>
      <w:r w:rsidRPr="00295A5B">
        <w:rPr>
          <w:rFonts w:ascii="Palatino Linotype" w:hAnsi="Palatino Linotype" w:cs="Arial"/>
          <w:i/>
        </w:rPr>
        <w:t xml:space="preserve">.- </w:t>
      </w:r>
      <w:r w:rsidRPr="00295A5B">
        <w:rPr>
          <w:rFonts w:ascii="Palatino Linotype" w:hAnsi="Palatino Linotype" w:cs="Arial"/>
          <w:b/>
          <w:i/>
        </w:rPr>
        <w:t>Cuando</w:t>
      </w:r>
      <w:r w:rsidRPr="00295A5B">
        <w:rPr>
          <w:rFonts w:ascii="Palatino Linotype" w:hAnsi="Palatino Linotype" w:cs="Arial"/>
          <w:i/>
        </w:rPr>
        <w:t xml:space="preserve"> por algún motivo el predio del que se solicita la certificación o constancia, </w:t>
      </w:r>
      <w:r w:rsidRPr="00295A5B">
        <w:rPr>
          <w:rFonts w:ascii="Palatino Linotype" w:hAnsi="Palatino Linotype" w:cs="Arial"/>
          <w:b/>
          <w:i/>
        </w:rPr>
        <w:t>no se encuentre inscrito en el Padrón Catastral o su información no esté actualizada, el solicitante deberá presentar ante la autoridad catastral municipal, los requisitos establecidos y en su caso, los estudios técnicos que le sean requeridos</w:t>
      </w:r>
      <w:r w:rsidRPr="00295A5B">
        <w:rPr>
          <w:rFonts w:ascii="Palatino Linotype" w:hAnsi="Palatino Linotype" w:cs="Arial"/>
          <w:i/>
        </w:rPr>
        <w:t xml:space="preserve"> para su inscripción o actualización en el Padrón Catastral municipal correspondiente.”</w:t>
      </w:r>
    </w:p>
    <w:p w14:paraId="136D4568"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78FF17D4" w14:textId="7F06A5E8" w:rsidR="00295A5B" w:rsidRDefault="00295A5B" w:rsidP="00D2513F">
      <w:pPr>
        <w:spacing w:after="0" w:line="360" w:lineRule="auto"/>
        <w:jc w:val="both"/>
        <w:rPr>
          <w:rFonts w:ascii="Palatino Linotype" w:hAnsi="Palatino Linotype" w:cs="Arial"/>
          <w:sz w:val="24"/>
        </w:rPr>
      </w:pPr>
      <w:r w:rsidRPr="00295A5B">
        <w:rPr>
          <w:rFonts w:ascii="Palatino Linotype" w:hAnsi="Palatino Linotype" w:cs="Arial"/>
          <w:sz w:val="24"/>
        </w:rPr>
        <w:t>De lo anterior, concluimos que</w:t>
      </w:r>
      <w:r w:rsidR="00A546BC">
        <w:rPr>
          <w:rFonts w:ascii="Palatino Linotype" w:hAnsi="Palatino Linotype" w:cs="Arial"/>
          <w:sz w:val="24"/>
        </w:rPr>
        <w:t>, si bien es cierto, el particular señaló que requería el plano de las calles que rodean un predio en particular, se advierte que su pretensión es obtener</w:t>
      </w:r>
      <w:r w:rsidRPr="00295A5B">
        <w:rPr>
          <w:rFonts w:ascii="Palatino Linotype" w:hAnsi="Palatino Linotype" w:cs="Arial"/>
          <w:sz w:val="24"/>
        </w:rPr>
        <w:t xml:space="preserve"> el Plano Manzanero</w:t>
      </w:r>
      <w:r w:rsidR="00A546BC">
        <w:rPr>
          <w:rFonts w:ascii="Palatino Linotype" w:hAnsi="Palatino Linotype" w:cs="Arial"/>
          <w:sz w:val="24"/>
        </w:rPr>
        <w:t>, ya que es el</w:t>
      </w:r>
      <w:r w:rsidRPr="00295A5B">
        <w:rPr>
          <w:rFonts w:ascii="Palatino Linotype" w:hAnsi="Palatino Linotype" w:cs="Arial"/>
          <w:sz w:val="24"/>
        </w:rPr>
        <w:t xml:space="preserve"> documento donde se especifica la ubicación, medidas, superficie de </w:t>
      </w:r>
      <w:r w:rsidR="00D2513F" w:rsidRPr="00295A5B">
        <w:rPr>
          <w:rFonts w:ascii="Palatino Linotype" w:hAnsi="Palatino Linotype" w:cs="Arial"/>
          <w:sz w:val="24"/>
        </w:rPr>
        <w:t>terreno,</w:t>
      </w:r>
      <w:r w:rsidRPr="00295A5B">
        <w:rPr>
          <w:rFonts w:ascii="Palatino Linotype" w:hAnsi="Palatino Linotype" w:cs="Arial"/>
          <w:sz w:val="24"/>
        </w:rPr>
        <w:t xml:space="preserve"> así como su delimitación, superficie de construcción o construcciones y número de niveles con referencia a su clave catastral; sin embargo, conforme a la Policita General ACGC001 del citado manual, para otorgar la prestación de servicios catastrales, </w:t>
      </w:r>
      <w:r w:rsidRPr="00295A5B">
        <w:rPr>
          <w:rFonts w:ascii="Palatino Linotype" w:hAnsi="Palatino Linotype" w:cs="Arial"/>
          <w:b/>
          <w:sz w:val="24"/>
        </w:rPr>
        <w:t xml:space="preserve">el usuario deberá presentar solicitud por escrito o en el formato establecido, acreditar su interés jurídico o legítimo y cumplir con los </w:t>
      </w:r>
      <w:r w:rsidRPr="00295A5B">
        <w:rPr>
          <w:rFonts w:ascii="Palatino Linotype" w:hAnsi="Palatino Linotype" w:cs="Arial"/>
          <w:b/>
          <w:sz w:val="24"/>
        </w:rPr>
        <w:lastRenderedPageBreak/>
        <w:t xml:space="preserve">requisitos establecidos </w:t>
      </w:r>
      <w:r w:rsidRPr="00295A5B">
        <w:rPr>
          <w:rFonts w:ascii="Palatino Linotype" w:hAnsi="Palatino Linotype" w:cs="Arial"/>
          <w:sz w:val="24"/>
        </w:rPr>
        <w:t>en el multicitado manual, en términos de lo que establece el artículo 173, del Código Financiero del Estado de México y Municipios.</w:t>
      </w:r>
    </w:p>
    <w:p w14:paraId="3D17BFE6" w14:textId="77777777" w:rsidR="00AB15AF" w:rsidRPr="00295A5B" w:rsidRDefault="00AB15AF" w:rsidP="00D2513F">
      <w:pPr>
        <w:spacing w:after="0" w:line="360" w:lineRule="auto"/>
        <w:jc w:val="both"/>
        <w:rPr>
          <w:rFonts w:ascii="Palatino Linotype" w:hAnsi="Palatino Linotype" w:cs="Arial"/>
          <w:sz w:val="24"/>
        </w:rPr>
      </w:pPr>
    </w:p>
    <w:p w14:paraId="6D4206F7" w14:textId="2CE036A4" w:rsidR="00295A5B" w:rsidRPr="00295A5B" w:rsidRDefault="00D2513F" w:rsidP="00295A5B">
      <w:pPr>
        <w:tabs>
          <w:tab w:val="left" w:pos="8080"/>
        </w:tabs>
        <w:spacing w:after="0" w:line="360" w:lineRule="auto"/>
        <w:ind w:right="49"/>
        <w:jc w:val="both"/>
        <w:rPr>
          <w:rFonts w:ascii="Palatino Linotype" w:hAnsi="Palatino Linotype" w:cs="Arial"/>
          <w:sz w:val="24"/>
        </w:rPr>
      </w:pPr>
      <w:r>
        <w:rPr>
          <w:rFonts w:ascii="Palatino Linotype" w:hAnsi="Palatino Linotype" w:cs="Arial"/>
          <w:sz w:val="24"/>
        </w:rPr>
        <w:t>En ese orden de ideas</w:t>
      </w:r>
      <w:r w:rsidR="00295A5B" w:rsidRPr="00295A5B">
        <w:rPr>
          <w:rFonts w:ascii="Palatino Linotype" w:hAnsi="Palatino Linotype" w:cs="Arial"/>
          <w:sz w:val="24"/>
        </w:rPr>
        <w:t>,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191221C0" w14:textId="77777777" w:rsidR="00295A5B" w:rsidRPr="00295A5B" w:rsidRDefault="00295A5B" w:rsidP="00295A5B">
      <w:pPr>
        <w:tabs>
          <w:tab w:val="left" w:pos="8080"/>
        </w:tabs>
        <w:spacing w:after="0" w:line="360" w:lineRule="auto"/>
        <w:ind w:right="49"/>
        <w:jc w:val="both"/>
        <w:rPr>
          <w:rFonts w:ascii="Palatino Linotype" w:hAnsi="Palatino Linotype" w:cs="Arial"/>
          <w:sz w:val="24"/>
        </w:rPr>
      </w:pPr>
    </w:p>
    <w:p w14:paraId="67A58B81" w14:textId="77777777" w:rsidR="00295A5B" w:rsidRPr="00295A5B" w:rsidRDefault="00295A5B" w:rsidP="00295A5B">
      <w:pPr>
        <w:autoSpaceDE w:val="0"/>
        <w:autoSpaceDN w:val="0"/>
        <w:adjustRightInd w:val="0"/>
        <w:spacing w:after="0"/>
        <w:ind w:left="709" w:right="814"/>
        <w:jc w:val="both"/>
        <w:rPr>
          <w:rFonts w:ascii="Palatino Linotype" w:hAnsi="Palatino Linotype" w:cs="Arial"/>
          <w:b/>
          <w:bCs/>
          <w:i/>
        </w:rPr>
      </w:pPr>
      <w:r w:rsidRPr="00295A5B">
        <w:rPr>
          <w:rFonts w:ascii="Palatino Linotype" w:hAnsi="Palatino Linotype" w:cs="Arial"/>
          <w:bCs/>
          <w:i/>
        </w:rPr>
        <w:t>“</w:t>
      </w:r>
      <w:r w:rsidRPr="00295A5B">
        <w:rPr>
          <w:rFonts w:ascii="Palatino Linotype" w:hAnsi="Palatino Linotype" w:cs="Arial"/>
          <w:b/>
          <w:bCs/>
          <w:i/>
        </w:rPr>
        <w:t xml:space="preserve">Artículo 3. </w:t>
      </w:r>
      <w:r w:rsidRPr="00295A5B">
        <w:rPr>
          <w:rFonts w:ascii="Palatino Linotype" w:hAnsi="Palatino Linotype" w:cs="Arial"/>
          <w:bCs/>
          <w:i/>
        </w:rPr>
        <w:t>Para los efectos de la presente Ley se entenderá por:</w:t>
      </w:r>
      <w:r w:rsidRPr="00295A5B">
        <w:rPr>
          <w:rFonts w:ascii="Palatino Linotype" w:hAnsi="Palatino Linotype" w:cs="Arial"/>
          <w:b/>
          <w:bCs/>
          <w:i/>
        </w:rPr>
        <w:t xml:space="preserve"> </w:t>
      </w:r>
    </w:p>
    <w:p w14:paraId="54E5BC03" w14:textId="77777777" w:rsidR="00295A5B" w:rsidRPr="00295A5B" w:rsidRDefault="00295A5B" w:rsidP="00295A5B">
      <w:pPr>
        <w:autoSpaceDE w:val="0"/>
        <w:autoSpaceDN w:val="0"/>
        <w:adjustRightInd w:val="0"/>
        <w:spacing w:after="0"/>
        <w:ind w:left="709" w:right="814"/>
        <w:jc w:val="both"/>
        <w:rPr>
          <w:rFonts w:ascii="Palatino Linotype" w:hAnsi="Palatino Linotype" w:cs="Arial"/>
          <w:bCs/>
          <w:i/>
        </w:rPr>
      </w:pPr>
      <w:r w:rsidRPr="00295A5B">
        <w:rPr>
          <w:rFonts w:ascii="Palatino Linotype" w:hAnsi="Palatino Linotype" w:cs="Arial"/>
          <w:bCs/>
          <w:i/>
        </w:rPr>
        <w:t>(…)</w:t>
      </w:r>
    </w:p>
    <w:p w14:paraId="0C6AAB5D" w14:textId="77777777" w:rsidR="00295A5B" w:rsidRPr="00295A5B" w:rsidRDefault="00295A5B" w:rsidP="00295A5B">
      <w:pPr>
        <w:autoSpaceDE w:val="0"/>
        <w:autoSpaceDN w:val="0"/>
        <w:adjustRightInd w:val="0"/>
        <w:spacing w:after="0"/>
        <w:ind w:left="709" w:right="814"/>
        <w:jc w:val="both"/>
        <w:rPr>
          <w:rFonts w:ascii="Palatino Linotype" w:hAnsi="Palatino Linotype" w:cs="Arial"/>
          <w:i/>
        </w:rPr>
      </w:pPr>
      <w:r w:rsidRPr="00295A5B">
        <w:rPr>
          <w:rFonts w:ascii="Palatino Linotype" w:hAnsi="Palatino Linotype" w:cs="Arial"/>
          <w:b/>
          <w:i/>
        </w:rPr>
        <w:t>XI. Documento:</w:t>
      </w:r>
      <w:r w:rsidRPr="00295A5B">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3CD451" w14:textId="77777777" w:rsidR="00295A5B" w:rsidRPr="00295A5B" w:rsidRDefault="00295A5B" w:rsidP="00295A5B">
      <w:pPr>
        <w:autoSpaceDE w:val="0"/>
        <w:autoSpaceDN w:val="0"/>
        <w:adjustRightInd w:val="0"/>
        <w:spacing w:after="0"/>
        <w:ind w:left="709" w:right="814"/>
        <w:jc w:val="both"/>
        <w:rPr>
          <w:rFonts w:ascii="Palatino Linotype" w:hAnsi="Palatino Linotype" w:cs="Arial"/>
          <w:bCs/>
          <w:i/>
        </w:rPr>
      </w:pPr>
      <w:r w:rsidRPr="00295A5B">
        <w:rPr>
          <w:rFonts w:ascii="Palatino Linotype" w:hAnsi="Palatino Linotype" w:cs="Arial"/>
          <w:b/>
          <w:bCs/>
          <w:i/>
        </w:rPr>
        <w:t>(…)</w:t>
      </w:r>
      <w:r w:rsidRPr="00295A5B">
        <w:rPr>
          <w:rFonts w:ascii="Palatino Linotype" w:hAnsi="Palatino Linotype" w:cs="Arial"/>
          <w:bCs/>
          <w:i/>
        </w:rPr>
        <w:t>”</w:t>
      </w:r>
    </w:p>
    <w:p w14:paraId="7FAA16D7" w14:textId="77777777" w:rsidR="00295A5B" w:rsidRPr="00295A5B" w:rsidRDefault="00295A5B" w:rsidP="00295A5B">
      <w:pPr>
        <w:tabs>
          <w:tab w:val="left" w:pos="8080"/>
        </w:tabs>
        <w:spacing w:after="0" w:line="360" w:lineRule="auto"/>
        <w:ind w:right="49"/>
        <w:jc w:val="both"/>
        <w:rPr>
          <w:rFonts w:ascii="Palatino Linotype" w:hAnsi="Palatino Linotype" w:cs="Arial"/>
          <w:sz w:val="24"/>
        </w:rPr>
      </w:pPr>
    </w:p>
    <w:p w14:paraId="3B3B3A34" w14:textId="77777777" w:rsidR="00295A5B" w:rsidRPr="00295A5B" w:rsidRDefault="00295A5B" w:rsidP="00295A5B">
      <w:pPr>
        <w:spacing w:after="0" w:line="360" w:lineRule="auto"/>
        <w:jc w:val="both"/>
        <w:rPr>
          <w:rFonts w:ascii="Palatino Linotype" w:hAnsi="Palatino Linotype"/>
          <w:sz w:val="24"/>
          <w:szCs w:val="24"/>
        </w:rPr>
      </w:pPr>
      <w:r w:rsidRPr="00295A5B">
        <w:rPr>
          <w:rFonts w:ascii="Palatino Linotype" w:hAnsi="Palatino Linotype"/>
          <w:sz w:val="24"/>
          <w:szCs w:val="24"/>
        </w:rPr>
        <w:t xml:space="preserve">En ese contexto, el dato sobre el domicilio particular es información de carácter </w:t>
      </w:r>
      <w:r w:rsidRPr="00295A5B">
        <w:rPr>
          <w:rFonts w:ascii="Palatino Linotype" w:hAnsi="Palatino Linotype"/>
          <w:b/>
          <w:sz w:val="24"/>
          <w:szCs w:val="24"/>
        </w:rPr>
        <w:t>CONFIDENCIAL</w:t>
      </w:r>
      <w:r w:rsidRPr="00295A5B">
        <w:rPr>
          <w:rFonts w:ascii="Palatino Linotype" w:hAnsi="Palatino Linotype"/>
          <w:sz w:val="24"/>
          <w:szCs w:val="24"/>
        </w:rPr>
        <w:t xml:space="preserve">, en términos de lo dispuesto por la fracción I del artículo 143 de la Ley de la materia, así como el artículo 4, fracciones XI y XII, de la Ley de Protección de </w:t>
      </w:r>
      <w:r w:rsidRPr="00295A5B">
        <w:rPr>
          <w:rFonts w:ascii="Palatino Linotype" w:hAnsi="Palatino Linotype"/>
          <w:sz w:val="24"/>
          <w:szCs w:val="24"/>
        </w:rPr>
        <w:lastRenderedPageBreak/>
        <w:t>Datos Personales del Estado de México, en virtud de que constituye información que incide en la intimidad de un individuo identificado.</w:t>
      </w:r>
    </w:p>
    <w:p w14:paraId="6A34BFB8" w14:textId="77777777" w:rsidR="00295A5B" w:rsidRPr="00295A5B" w:rsidRDefault="00295A5B" w:rsidP="00295A5B">
      <w:pPr>
        <w:spacing w:after="0" w:line="360" w:lineRule="auto"/>
        <w:jc w:val="both"/>
        <w:rPr>
          <w:rFonts w:ascii="Palatino Linotype" w:hAnsi="Palatino Linotype"/>
          <w:sz w:val="24"/>
          <w:szCs w:val="24"/>
        </w:rPr>
      </w:pPr>
    </w:p>
    <w:p w14:paraId="04ABE617" w14:textId="77777777" w:rsidR="00295A5B" w:rsidRPr="00295A5B" w:rsidRDefault="00295A5B" w:rsidP="00295A5B">
      <w:pPr>
        <w:spacing w:after="0" w:line="360" w:lineRule="auto"/>
        <w:jc w:val="both"/>
        <w:rPr>
          <w:rFonts w:ascii="Palatino Linotype" w:hAnsi="Palatino Linotype" w:cs="Arial"/>
          <w:sz w:val="24"/>
          <w:szCs w:val="24"/>
        </w:rPr>
      </w:pPr>
      <w:r w:rsidRPr="00295A5B">
        <w:rPr>
          <w:rFonts w:ascii="Palatino Linotype" w:hAnsi="Palatino Linotype" w:cs="Arial"/>
          <w:sz w:val="24"/>
          <w:szCs w:val="24"/>
        </w:rPr>
        <w:t>De una interpretación armónica y sistemática de dichos preceptos jurídicos, podemos advertir que la información privada es aquella contenida en documentos de orden público que se refiera a la vida privada o contenga datos personales, los cuales no serán de acceso público. En ese mismo sentido, los datos personales son aquellos que conciernen a una persona, ya sea física o jurídica colectiva, que la hacen identificada o identificable, lo anterior, siempre que no involucren el ejercicio de recursos públicos.</w:t>
      </w:r>
    </w:p>
    <w:p w14:paraId="51A6B794" w14:textId="77777777" w:rsidR="00295A5B" w:rsidRPr="00295A5B" w:rsidRDefault="00295A5B" w:rsidP="00295A5B">
      <w:pPr>
        <w:spacing w:after="0" w:line="360" w:lineRule="auto"/>
        <w:jc w:val="both"/>
        <w:rPr>
          <w:rFonts w:ascii="Palatino Linotype" w:hAnsi="Palatino Linotype" w:cs="Arial"/>
          <w:sz w:val="24"/>
          <w:szCs w:val="24"/>
        </w:rPr>
      </w:pPr>
    </w:p>
    <w:p w14:paraId="03DD7D97" w14:textId="77777777" w:rsidR="00295A5B" w:rsidRPr="00295A5B" w:rsidRDefault="00295A5B" w:rsidP="00295A5B">
      <w:pPr>
        <w:spacing w:after="0" w:line="360" w:lineRule="auto"/>
        <w:jc w:val="both"/>
        <w:rPr>
          <w:rFonts w:ascii="Palatino Linotype" w:hAnsi="Palatino Linotype" w:cs="Arial"/>
          <w:sz w:val="24"/>
          <w:szCs w:val="24"/>
        </w:rPr>
      </w:pPr>
      <w:r w:rsidRPr="00295A5B">
        <w:rPr>
          <w:rFonts w:ascii="Palatino Linotype" w:hAnsi="Palatino Linotype" w:cs="Arial"/>
          <w:sz w:val="24"/>
          <w:szCs w:val="24"/>
        </w:rPr>
        <w:t>En ese tenor, existe información personal que tiene un grado de sensibilidad tal, que su revelación puede poner en riesgo a las personas, las cuales, sin oponerse a lo anterior, son susceptibles de clasificarse como confidenciales, 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 o salud de las mismas, aunado a que su publicidad en nada abona a la trasparencia y a la rendición de cuentas.</w:t>
      </w:r>
    </w:p>
    <w:p w14:paraId="6327AEA5" w14:textId="77777777" w:rsidR="00295A5B" w:rsidRPr="00295A5B" w:rsidRDefault="00295A5B" w:rsidP="00295A5B">
      <w:pPr>
        <w:spacing w:after="0" w:line="360" w:lineRule="auto"/>
        <w:jc w:val="both"/>
        <w:rPr>
          <w:rFonts w:ascii="Palatino Linotype" w:hAnsi="Palatino Linotype" w:cs="Arial"/>
        </w:rPr>
      </w:pPr>
    </w:p>
    <w:p w14:paraId="0451E30C" w14:textId="309CEA3A" w:rsidR="00295A5B" w:rsidRPr="00295A5B" w:rsidRDefault="00295A5B" w:rsidP="00295A5B">
      <w:pPr>
        <w:spacing w:after="0" w:line="360" w:lineRule="auto"/>
        <w:jc w:val="both"/>
        <w:rPr>
          <w:rFonts w:ascii="Palatino Linotype" w:hAnsi="Palatino Linotype" w:cs="Arial"/>
          <w:sz w:val="24"/>
        </w:rPr>
      </w:pPr>
      <w:r w:rsidRPr="00295A5B">
        <w:rPr>
          <w:rFonts w:ascii="Palatino Linotype" w:hAnsi="Palatino Linotype" w:cs="Arial"/>
          <w:sz w:val="24"/>
        </w:rPr>
        <w:t xml:space="preserve">Por cuanto hace al </w:t>
      </w:r>
      <w:r w:rsidRPr="00295A5B">
        <w:rPr>
          <w:rFonts w:ascii="Palatino Linotype" w:hAnsi="Palatino Linotype" w:cs="Arial"/>
          <w:b/>
          <w:sz w:val="24"/>
        </w:rPr>
        <w:t>domicilio</w:t>
      </w:r>
      <w:r w:rsidRPr="00295A5B">
        <w:rPr>
          <w:rFonts w:ascii="Palatino Linotype" w:hAnsi="Palatino Linotype" w:cs="Arial"/>
          <w:sz w:val="24"/>
        </w:rPr>
        <w:t xml:space="preserve">, sirve de apoyo a lo anterior, la Tesis Aislada con número de registro 2000979, de la Décima Época de la Primera Sala de la Suprema Corte de </w:t>
      </w:r>
      <w:r w:rsidRPr="00295A5B">
        <w:rPr>
          <w:rFonts w:ascii="Palatino Linotype" w:hAnsi="Palatino Linotype" w:cs="Arial"/>
          <w:sz w:val="24"/>
        </w:rPr>
        <w:lastRenderedPageBreak/>
        <w:t xml:space="preserve">Justicia de la Nación, publicada en la página 258 del Libro IX, Tomo 1 de junio de 2012, en el Semanario Judicial de la Federación, misma que refiere lo siguiente: </w:t>
      </w:r>
    </w:p>
    <w:p w14:paraId="547FEE84" w14:textId="77777777" w:rsidR="00295A5B" w:rsidRPr="00295A5B" w:rsidRDefault="00295A5B" w:rsidP="00D2513F">
      <w:pPr>
        <w:spacing w:line="240" w:lineRule="auto"/>
        <w:ind w:left="709" w:right="814"/>
        <w:jc w:val="both"/>
        <w:rPr>
          <w:rFonts w:ascii="Palatino Linotype" w:hAnsi="Palatino Linotype" w:cs="Arial"/>
          <w:i/>
        </w:rPr>
      </w:pPr>
      <w:r w:rsidRPr="00295A5B">
        <w:rPr>
          <w:rFonts w:ascii="Palatino Linotype" w:hAnsi="Palatino Linotype" w:cs="Arial"/>
          <w:i/>
        </w:rPr>
        <w:t>“</w:t>
      </w:r>
      <w:r w:rsidRPr="00295A5B">
        <w:rPr>
          <w:rFonts w:ascii="Palatino Linotype" w:hAnsi="Palatino Linotype" w:cs="Arial"/>
          <w:b/>
          <w:i/>
        </w:rPr>
        <w:t>DOMICILIO. SU CONCEPTO PARA EFECTOS DE PROTECCIÓN CONSTITUCIONAL</w:t>
      </w:r>
      <w:r w:rsidRPr="00295A5B">
        <w:rPr>
          <w:rFonts w:ascii="Palatino Linotype"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w:t>
      </w:r>
      <w:r w:rsidRPr="00295A5B">
        <w:rPr>
          <w:rFonts w:ascii="Palatino Linotype" w:hAnsi="Palatino Linotype" w:cs="Arial"/>
          <w:i/>
        </w:rPr>
        <w:lastRenderedPageBreak/>
        <w:t xml:space="preserve">son domicilios para los efectos aquí expuestos, sin embargo, se puede dar el caso de aquellos habitáculos móviles remolcados, normalmente conocidos como </w:t>
      </w:r>
      <w:proofErr w:type="spellStart"/>
      <w:r w:rsidRPr="00295A5B">
        <w:rPr>
          <w:rFonts w:ascii="Palatino Linotype" w:hAnsi="Palatino Linotype" w:cs="Arial"/>
          <w:i/>
        </w:rPr>
        <w:t>roulottes</w:t>
      </w:r>
      <w:proofErr w:type="spellEnd"/>
      <w:r w:rsidRPr="00295A5B">
        <w:rPr>
          <w:rFonts w:ascii="Palatino Linotype" w:hAnsi="Palatino Linotype" w:cs="Arial"/>
          <w:i/>
        </w:rPr>
        <w:t xml:space="preserve">, campers o </w:t>
      </w:r>
      <w:proofErr w:type="spellStart"/>
      <w:r w:rsidRPr="00295A5B">
        <w:rPr>
          <w:rFonts w:ascii="Palatino Linotype" w:hAnsi="Palatino Linotype" w:cs="Arial"/>
          <w:i/>
        </w:rPr>
        <w:t>autocaravanas</w:t>
      </w:r>
      <w:proofErr w:type="spellEnd"/>
      <w:r w:rsidRPr="00295A5B">
        <w:rPr>
          <w:rFonts w:ascii="Palatino Linotype" w:hAnsi="Palatino Linotype" w:cs="Arial"/>
          <w:i/>
        </w:rPr>
        <w:t>, los cuales gozarán de protección constitucional cuando sean aptos para servir de auténtica vivienda.</w:t>
      </w:r>
    </w:p>
    <w:p w14:paraId="4AEE2FC5" w14:textId="77777777" w:rsidR="00295A5B" w:rsidRPr="00295A5B" w:rsidRDefault="00295A5B" w:rsidP="00D2513F">
      <w:pPr>
        <w:spacing w:line="240" w:lineRule="auto"/>
        <w:ind w:left="709" w:right="814"/>
        <w:jc w:val="both"/>
        <w:rPr>
          <w:rFonts w:ascii="Palatino Linotype" w:hAnsi="Palatino Linotype" w:cs="Arial"/>
          <w:i/>
        </w:rPr>
      </w:pPr>
      <w:r w:rsidRPr="00295A5B">
        <w:rPr>
          <w:rFonts w:ascii="Palatino Linotype" w:hAnsi="Palatino Linotype" w:cs="Arial"/>
          <w:i/>
        </w:rPr>
        <w:t>Amparo directo en revisión 2420/2011. 11 de abril de 2012. Cinco votos. Ponente: Arturo Zaldívar Lelo de Larrea. Secretario: Javier Mijangos y González.”</w:t>
      </w:r>
    </w:p>
    <w:p w14:paraId="2EAB6F09" w14:textId="77777777" w:rsidR="00295A5B" w:rsidRPr="00295A5B" w:rsidRDefault="00295A5B" w:rsidP="00295A5B">
      <w:pPr>
        <w:spacing w:line="360" w:lineRule="auto"/>
        <w:jc w:val="both"/>
        <w:rPr>
          <w:rFonts w:ascii="Palatino Linotype" w:hAnsi="Palatino Linotype" w:cs="Arial"/>
        </w:rPr>
      </w:pPr>
    </w:p>
    <w:p w14:paraId="01CF7747" w14:textId="77777777" w:rsidR="00295A5B" w:rsidRPr="00295A5B" w:rsidRDefault="00295A5B" w:rsidP="00295A5B">
      <w:pPr>
        <w:spacing w:after="0" w:line="360" w:lineRule="auto"/>
        <w:ind w:right="-93"/>
        <w:jc w:val="both"/>
        <w:rPr>
          <w:rFonts w:ascii="Palatino Linotype" w:hAnsi="Palatino Linotype" w:cs="Tahoma"/>
          <w:bCs/>
          <w:sz w:val="24"/>
        </w:rPr>
      </w:pPr>
      <w:r w:rsidRPr="00295A5B">
        <w:rPr>
          <w:rFonts w:ascii="Palatino Linotype" w:hAnsi="Palatino Linotype" w:cs="Tahoma"/>
          <w:bCs/>
          <w:sz w:val="24"/>
        </w:rPr>
        <w:t>En este orden de ideas, se advierte que el documento en comento, es invariablemente vinculado a una o varias claves catastrales correspondientes a predios determinados de uno o varios particulares.</w:t>
      </w:r>
    </w:p>
    <w:p w14:paraId="0F1F8B74" w14:textId="77777777" w:rsidR="00295A5B" w:rsidRPr="00295A5B" w:rsidRDefault="00295A5B" w:rsidP="00295A5B">
      <w:pPr>
        <w:spacing w:after="0" w:line="360" w:lineRule="auto"/>
        <w:jc w:val="both"/>
        <w:rPr>
          <w:rFonts w:ascii="Palatino Linotype" w:hAnsi="Palatino Linotype"/>
          <w:sz w:val="24"/>
        </w:rPr>
      </w:pPr>
    </w:p>
    <w:p w14:paraId="48359E82" w14:textId="77777777" w:rsidR="00295A5B" w:rsidRPr="00295A5B" w:rsidRDefault="00295A5B" w:rsidP="00295A5B">
      <w:pPr>
        <w:spacing w:after="0" w:line="360" w:lineRule="auto"/>
        <w:jc w:val="both"/>
        <w:rPr>
          <w:rFonts w:ascii="Palatino Linotype" w:hAnsi="Palatino Linotype"/>
          <w:sz w:val="24"/>
        </w:rPr>
      </w:pPr>
      <w:r w:rsidRPr="00295A5B">
        <w:rPr>
          <w:rFonts w:ascii="Palatino Linotype" w:hAnsi="Palatino Linotype"/>
          <w:sz w:val="24"/>
        </w:rPr>
        <w:t>Por lo que, El “Diccionario de Datos catastrales Escala 1:1000” del Instituto Nacional de Estadística y Geografía (INEGI), contempla en su Glosario la definición de la Clave Catastral, la cual, apunta lo siguiente:</w:t>
      </w:r>
    </w:p>
    <w:p w14:paraId="4C0EC900"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6E41F4CA"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i/>
        </w:rPr>
        <w:t>“</w:t>
      </w:r>
      <w:r w:rsidRPr="00295A5B">
        <w:rPr>
          <w:rFonts w:ascii="Palatino Linotype" w:hAnsi="Palatino Linotype"/>
          <w:b/>
          <w:i/>
        </w:rPr>
        <w:t>Clave Catastral</w:t>
      </w:r>
      <w:r w:rsidRPr="00295A5B">
        <w:rPr>
          <w:rFonts w:ascii="Palatino Linotype" w:hAnsi="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7358E9E2" w14:textId="77777777" w:rsidR="00295A5B" w:rsidRPr="00295A5B" w:rsidRDefault="00295A5B" w:rsidP="00295A5B">
      <w:pPr>
        <w:spacing w:after="0" w:line="360" w:lineRule="auto"/>
        <w:jc w:val="both"/>
        <w:rPr>
          <w:rFonts w:ascii="Palatino Linotype" w:hAnsi="Palatino Linotype"/>
        </w:rPr>
      </w:pPr>
    </w:p>
    <w:p w14:paraId="351170B9" w14:textId="77777777" w:rsidR="00295A5B" w:rsidRPr="00295A5B" w:rsidRDefault="00295A5B" w:rsidP="00295A5B">
      <w:pPr>
        <w:spacing w:after="0" w:line="360" w:lineRule="auto"/>
        <w:jc w:val="both"/>
        <w:rPr>
          <w:rFonts w:ascii="Palatino Linotype" w:hAnsi="Palatino Linotype"/>
          <w:sz w:val="24"/>
        </w:rPr>
      </w:pPr>
      <w:r w:rsidRPr="00295A5B">
        <w:rPr>
          <w:rFonts w:ascii="Palatino Linotype" w:hAnsi="Palatino Linotype"/>
          <w:sz w:val="24"/>
        </w:rPr>
        <w:t>Asimismo, dicho diccionario estipula dos tipos de Claves Catastrales, siendo estas la Estándar y la Original, cuyo Diccionario de Datos catastrales Escala 1:1000 del INEGI, las define como:</w:t>
      </w:r>
    </w:p>
    <w:p w14:paraId="791E3927" w14:textId="77777777" w:rsidR="00295A5B" w:rsidRPr="00295A5B" w:rsidRDefault="00295A5B" w:rsidP="00295A5B">
      <w:pPr>
        <w:spacing w:after="0" w:line="240" w:lineRule="auto"/>
        <w:rPr>
          <w:rFonts w:ascii="Times New Roman" w:eastAsia="Times New Roman" w:hAnsi="Times New Roman"/>
          <w:sz w:val="28"/>
          <w:szCs w:val="24"/>
          <w:lang w:eastAsia="es-ES"/>
        </w:rPr>
      </w:pPr>
    </w:p>
    <w:p w14:paraId="1783861B"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i/>
        </w:rPr>
        <w:t>“</w:t>
      </w:r>
      <w:r w:rsidRPr="00295A5B">
        <w:rPr>
          <w:rFonts w:ascii="Palatino Linotype" w:hAnsi="Palatino Linotype"/>
          <w:b/>
          <w:i/>
        </w:rPr>
        <w:t>CLAVE CATASTRAL ESTÁNDAR</w:t>
      </w:r>
      <w:r w:rsidRPr="00295A5B">
        <w:rPr>
          <w:rFonts w:ascii="Palatino Linotype" w:hAnsi="Palatino Linotype"/>
          <w:i/>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2BBC73E1" w14:textId="77777777" w:rsidR="00295A5B" w:rsidRPr="00295A5B" w:rsidRDefault="00295A5B" w:rsidP="00295A5B">
      <w:pPr>
        <w:spacing w:after="0"/>
        <w:ind w:left="709" w:right="850"/>
        <w:jc w:val="both"/>
        <w:rPr>
          <w:rFonts w:ascii="Palatino Linotype" w:hAnsi="Palatino Linotype"/>
        </w:rPr>
      </w:pPr>
    </w:p>
    <w:p w14:paraId="77B64FCF"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b/>
          <w:i/>
        </w:rPr>
        <w:lastRenderedPageBreak/>
        <w:t>CLAVE CATASTRAL ORIGINAL</w:t>
      </w:r>
      <w:r w:rsidRPr="00295A5B">
        <w:rPr>
          <w:rFonts w:ascii="Palatino Linotype" w:hAnsi="Palatino Linotype"/>
          <w:i/>
        </w:rPr>
        <w:t>: Código que identifica al objeto espacial, el cual es asignado por el Catastro Estatal, Municipal o por el Registro Agrario Nacional.”</w:t>
      </w:r>
    </w:p>
    <w:p w14:paraId="2820A692" w14:textId="77777777" w:rsidR="00295A5B" w:rsidRPr="00295A5B" w:rsidRDefault="00295A5B" w:rsidP="00295A5B">
      <w:pPr>
        <w:spacing w:line="360" w:lineRule="auto"/>
        <w:jc w:val="both"/>
        <w:rPr>
          <w:rFonts w:ascii="Palatino Linotype" w:hAnsi="Palatino Linotype"/>
        </w:rPr>
      </w:pPr>
    </w:p>
    <w:p w14:paraId="07A2F7F3" w14:textId="77777777" w:rsidR="00295A5B" w:rsidRPr="00295A5B" w:rsidRDefault="00295A5B" w:rsidP="00295A5B">
      <w:pPr>
        <w:spacing w:after="0" w:line="360" w:lineRule="auto"/>
        <w:jc w:val="both"/>
        <w:rPr>
          <w:rFonts w:ascii="Palatino Linotype" w:hAnsi="Palatino Linotype"/>
          <w:sz w:val="24"/>
        </w:rPr>
      </w:pPr>
      <w:r w:rsidRPr="00295A5B">
        <w:rPr>
          <w:rFonts w:ascii="Palatino Linotype" w:hAnsi="Palatino Linotype"/>
          <w:sz w:val="24"/>
        </w:rPr>
        <w:t>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del Estado de México.</w:t>
      </w:r>
    </w:p>
    <w:p w14:paraId="120ECEA4" w14:textId="77777777" w:rsidR="00295A5B" w:rsidRPr="00295A5B" w:rsidRDefault="00295A5B" w:rsidP="00295A5B">
      <w:pPr>
        <w:spacing w:after="0" w:line="360" w:lineRule="auto"/>
        <w:jc w:val="both"/>
        <w:rPr>
          <w:rFonts w:ascii="Palatino Linotype" w:hAnsi="Palatino Linotype"/>
          <w:sz w:val="24"/>
        </w:rPr>
      </w:pPr>
    </w:p>
    <w:p w14:paraId="5D1A273E" w14:textId="77777777" w:rsidR="00295A5B" w:rsidRPr="00295A5B" w:rsidRDefault="00295A5B" w:rsidP="00295A5B">
      <w:pPr>
        <w:spacing w:after="0" w:line="360" w:lineRule="auto"/>
        <w:jc w:val="both"/>
        <w:rPr>
          <w:rFonts w:ascii="Palatino Linotype" w:hAnsi="Palatino Linotype"/>
          <w:sz w:val="24"/>
        </w:rPr>
      </w:pPr>
      <w:r w:rsidRPr="00295A5B">
        <w:rPr>
          <w:rFonts w:ascii="Palatino Linotype" w:hAnsi="Palatino Linotype"/>
          <w:sz w:val="24"/>
        </w:rPr>
        <w:t>Tiene apoyo a lo expresado, lo contemplado en la siguiente tesis jurisprudencial.</w:t>
      </w:r>
    </w:p>
    <w:p w14:paraId="4F60622B"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3FA2F3FF" w14:textId="77777777" w:rsidR="00295A5B" w:rsidRPr="00295A5B" w:rsidRDefault="00295A5B" w:rsidP="00295A5B">
      <w:pPr>
        <w:ind w:left="709" w:right="850"/>
        <w:jc w:val="both"/>
        <w:rPr>
          <w:rFonts w:ascii="Palatino Linotype" w:hAnsi="Palatino Linotype"/>
          <w:i/>
        </w:rPr>
      </w:pPr>
      <w:r w:rsidRPr="00295A5B">
        <w:rPr>
          <w:rFonts w:ascii="Palatino Linotype" w:hAnsi="Palatino Linotype"/>
          <w:i/>
        </w:rPr>
        <w:t>“</w:t>
      </w:r>
      <w:r w:rsidRPr="00295A5B">
        <w:rPr>
          <w:rFonts w:ascii="Palatino Linotype" w:hAnsi="Palatino Linotype"/>
          <w:b/>
          <w:i/>
        </w:rPr>
        <w:t>DERECHO A LA VIDA PRIVADA. ALCANCE DE SU PROTECCIÓN POR EL ESTADO</w:t>
      </w:r>
      <w:r w:rsidRPr="00295A5B">
        <w:rPr>
          <w:rFonts w:ascii="Palatino Linotype" w:hAnsi="Palatino Linotype"/>
          <w:i/>
        </w:rPr>
        <w:t xml:space="preserve">.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w:t>
      </w:r>
      <w:r w:rsidRPr="00295A5B">
        <w:rPr>
          <w:rFonts w:ascii="Palatino Linotype" w:hAnsi="Palatino Linotype"/>
          <w:i/>
        </w:rPr>
        <w:lastRenderedPageBreak/>
        <w:t>expresiones utilizadas estén protegidas constitucionalmente, por no ser absolutamente vejatorias, esto es, ofensivas, oprobiosas o impertinentes, según el contexto.</w:t>
      </w:r>
    </w:p>
    <w:p w14:paraId="69775873" w14:textId="77777777" w:rsidR="00295A5B" w:rsidRPr="00295A5B" w:rsidRDefault="00295A5B" w:rsidP="00295A5B">
      <w:pPr>
        <w:ind w:left="709" w:right="850"/>
        <w:jc w:val="both"/>
        <w:rPr>
          <w:rFonts w:ascii="Palatino Linotype" w:hAnsi="Palatino Linotype"/>
          <w:i/>
        </w:rPr>
      </w:pPr>
    </w:p>
    <w:p w14:paraId="22891350"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i/>
        </w:rPr>
        <w:t xml:space="preserve">Amparo directo 23/2013. Teresita del Niño Jesús Tinajero </w:t>
      </w:r>
      <w:proofErr w:type="spellStart"/>
      <w:r w:rsidRPr="00295A5B">
        <w:rPr>
          <w:rFonts w:ascii="Palatino Linotype" w:hAnsi="Palatino Linotype"/>
          <w:i/>
        </w:rPr>
        <w:t>Fontán</w:t>
      </w:r>
      <w:proofErr w:type="spellEnd"/>
      <w:r w:rsidRPr="00295A5B">
        <w:rPr>
          <w:rFonts w:ascii="Palatino Linotype" w:hAnsi="Palatino Linotype"/>
          <w:i/>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295A5B">
        <w:rPr>
          <w:rFonts w:ascii="Palatino Linotype" w:hAnsi="Palatino Linotype"/>
          <w:i/>
        </w:rPr>
        <w:t>Vértiz</w:t>
      </w:r>
      <w:proofErr w:type="spellEnd"/>
      <w:r w:rsidRPr="00295A5B">
        <w:rPr>
          <w:rFonts w:ascii="Palatino Linotype" w:hAnsi="Palatino Linotype"/>
          <w:i/>
        </w:rPr>
        <w:t xml:space="preserve"> Contreras.”</w:t>
      </w:r>
    </w:p>
    <w:p w14:paraId="7FB6AE3D" w14:textId="77777777" w:rsidR="00295A5B" w:rsidRPr="00295A5B" w:rsidRDefault="00295A5B" w:rsidP="00295A5B">
      <w:pPr>
        <w:spacing w:after="0"/>
        <w:ind w:left="709" w:right="850"/>
        <w:jc w:val="both"/>
        <w:rPr>
          <w:rFonts w:ascii="Palatino Linotype" w:hAnsi="Palatino Linotype"/>
          <w:i/>
        </w:rPr>
      </w:pPr>
    </w:p>
    <w:p w14:paraId="1E47539F"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i/>
        </w:rPr>
        <w:t>“</w:t>
      </w:r>
      <w:r w:rsidRPr="00295A5B">
        <w:rPr>
          <w:rFonts w:ascii="Palatino Linotype" w:hAnsi="Palatino Linotype"/>
          <w:b/>
          <w:i/>
        </w:rPr>
        <w:t>INFORMACIÓN CONFIDENCIAL. LÍMITE AL DERECHO DE ACCESO A LA INFORMACIÓN (LEY FEDERAL DE TRANSPARENCIA Y ACCESO A LA INFORMACIÓN PÚBLICA GUBERNAMENTAL)</w:t>
      </w:r>
      <w:r w:rsidRPr="00295A5B">
        <w:rPr>
          <w:rFonts w:ascii="Palatino Linotype" w:hAnsi="Palatino Linotype"/>
          <w:i/>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295A5B">
        <w:rPr>
          <w:rFonts w:ascii="Palatino Linotype" w:hAnsi="Palatino Linotype"/>
          <w:i/>
        </w:rPr>
        <w:lastRenderedPageBreak/>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315FBF2C" w14:textId="77777777" w:rsidR="00295A5B" w:rsidRPr="00295A5B" w:rsidRDefault="00295A5B" w:rsidP="00295A5B">
      <w:pPr>
        <w:spacing w:after="0"/>
        <w:ind w:right="850"/>
        <w:jc w:val="both"/>
        <w:rPr>
          <w:rFonts w:ascii="Palatino Linotype" w:hAnsi="Palatino Linotype"/>
          <w:i/>
        </w:rPr>
      </w:pPr>
    </w:p>
    <w:p w14:paraId="4135CE9B" w14:textId="77777777" w:rsidR="00295A5B" w:rsidRPr="00295A5B" w:rsidRDefault="00295A5B" w:rsidP="00295A5B">
      <w:pPr>
        <w:spacing w:after="0"/>
        <w:ind w:left="709" w:right="850"/>
        <w:jc w:val="both"/>
        <w:rPr>
          <w:rFonts w:ascii="Palatino Linotype" w:hAnsi="Palatino Linotype"/>
          <w:i/>
        </w:rPr>
      </w:pPr>
      <w:r w:rsidRPr="00295A5B">
        <w:rPr>
          <w:rFonts w:ascii="Palatino Linotype" w:hAnsi="Palatino Linotype"/>
          <w:i/>
        </w:rPr>
        <w:t>Amparo en revisión 168/2011. Comisión Mexicana de Defensa y Protección de los Derechos Humanos, A.C. y otra. 30 de noviembre de 2011. Cinco votos. Ponente: Arturo Zaldívar Lelo de Larrea. Secretario: Javier Mijangos y González.”</w:t>
      </w:r>
    </w:p>
    <w:p w14:paraId="4843DF0F"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6ED1189D" w14:textId="32ADFD97" w:rsidR="00295A5B" w:rsidRPr="00295A5B" w:rsidRDefault="00295A5B" w:rsidP="00295A5B">
      <w:pPr>
        <w:spacing w:after="0" w:line="360" w:lineRule="auto"/>
        <w:jc w:val="both"/>
        <w:rPr>
          <w:rFonts w:ascii="Palatino Linotype" w:hAnsi="Palatino Linotype"/>
          <w:sz w:val="24"/>
        </w:rPr>
      </w:pPr>
      <w:r w:rsidRPr="00295A5B">
        <w:rPr>
          <w:rFonts w:ascii="Palatino Linotype" w:hAnsi="Palatino Linotype"/>
          <w:sz w:val="24"/>
        </w:rPr>
        <w:t>Corolario a lo anterior, de los conceptos antepuestos, se advierte que la Clave Catastral es una serie de elementos que hacen identificable un inmueble para su localización geográfica y posterior inscripción al padrón catastral de cada Entidad Federativa e</w:t>
      </w:r>
      <w:r w:rsidR="00D2513F">
        <w:rPr>
          <w:rFonts w:ascii="Palatino Linotype" w:hAnsi="Palatino Linotype"/>
          <w:sz w:val="24"/>
        </w:rPr>
        <w:t>s</w:t>
      </w:r>
      <w:r w:rsidRPr="00295A5B">
        <w:rPr>
          <w:rFonts w:ascii="Palatino Linotype" w:hAnsi="Palatino Linotype"/>
          <w:sz w:val="24"/>
        </w:rPr>
        <w:t xml:space="preserve"> integrada al Plano Manzanero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dicha información.</w:t>
      </w:r>
    </w:p>
    <w:p w14:paraId="66AA3AE4" w14:textId="77777777" w:rsidR="00295A5B" w:rsidRPr="00295A5B" w:rsidRDefault="00295A5B" w:rsidP="00295A5B">
      <w:pPr>
        <w:spacing w:after="0" w:line="360" w:lineRule="auto"/>
        <w:jc w:val="both"/>
        <w:rPr>
          <w:rFonts w:ascii="Palatino Linotype" w:hAnsi="Palatino Linotype"/>
          <w:sz w:val="24"/>
          <w:szCs w:val="24"/>
        </w:rPr>
      </w:pPr>
    </w:p>
    <w:p w14:paraId="2BA22069" w14:textId="77777777" w:rsidR="00295A5B" w:rsidRPr="00295A5B" w:rsidRDefault="00295A5B" w:rsidP="00295A5B">
      <w:pPr>
        <w:spacing w:after="0" w:line="360" w:lineRule="auto"/>
        <w:jc w:val="both"/>
        <w:rPr>
          <w:rFonts w:ascii="Palatino Linotype" w:hAnsi="Palatino Linotype"/>
          <w:sz w:val="24"/>
          <w:szCs w:val="24"/>
        </w:rPr>
      </w:pPr>
      <w:r w:rsidRPr="00295A5B">
        <w:rPr>
          <w:rFonts w:ascii="Palatino Linotype" w:hAnsi="Palatino Linotype"/>
          <w:sz w:val="24"/>
          <w:szCs w:val="24"/>
        </w:rPr>
        <w:t xml:space="preserve">En esa óptica, </w:t>
      </w:r>
      <w:r w:rsidRPr="00295A5B">
        <w:rPr>
          <w:rFonts w:ascii="Palatino Linotype" w:hAnsi="Palatino Linotype"/>
          <w:sz w:val="24"/>
          <w:szCs w:val="24"/>
          <w:lang w:eastAsia="es-MX"/>
        </w:rPr>
        <w:t xml:space="preserve">y atendiendo a la naturaleza jurídica de dichos documentos los mismos son susceptibles de clasificarse como totalmente confidenciales, de </w:t>
      </w:r>
      <w:r w:rsidRPr="00295A5B">
        <w:rPr>
          <w:rFonts w:ascii="Palatino Linotype" w:hAnsi="Palatino Linotype"/>
          <w:sz w:val="24"/>
          <w:szCs w:val="24"/>
        </w:rPr>
        <w:t xml:space="preserve">acuerdo al artículo 116, párrafo primero de la Ley General de Trasparencia, a la par de lo señalado en el </w:t>
      </w:r>
      <w:r w:rsidRPr="00295A5B">
        <w:rPr>
          <w:rFonts w:ascii="Palatino Linotype" w:hAnsi="Palatino Linotype"/>
          <w:sz w:val="24"/>
          <w:szCs w:val="24"/>
        </w:rPr>
        <w:lastRenderedPageBreak/>
        <w:t>artículo 143, fracción I de la Ley de Transparencia y acceso a la Información Pública del Estado de México y Municipios, que señalan lo siguiente:</w:t>
      </w:r>
    </w:p>
    <w:p w14:paraId="05C21EFC" w14:textId="77777777" w:rsidR="00295A5B" w:rsidRPr="00295A5B" w:rsidRDefault="00295A5B" w:rsidP="00295A5B">
      <w:pPr>
        <w:spacing w:after="0" w:line="240" w:lineRule="auto"/>
        <w:rPr>
          <w:rFonts w:ascii="Times New Roman" w:eastAsia="Times New Roman" w:hAnsi="Times New Roman"/>
          <w:sz w:val="24"/>
          <w:szCs w:val="24"/>
          <w:lang w:eastAsia="es-ES"/>
        </w:rPr>
      </w:pPr>
    </w:p>
    <w:p w14:paraId="032B5DED" w14:textId="77777777" w:rsidR="00295A5B" w:rsidRPr="00295A5B" w:rsidRDefault="00295A5B" w:rsidP="00295A5B">
      <w:pPr>
        <w:spacing w:after="0" w:line="240" w:lineRule="auto"/>
        <w:ind w:left="851" w:right="851"/>
        <w:contextualSpacing/>
        <w:jc w:val="both"/>
        <w:rPr>
          <w:rFonts w:ascii="Palatino Linotype" w:hAnsi="Palatino Linotype"/>
          <w:i/>
          <w:szCs w:val="24"/>
        </w:rPr>
      </w:pPr>
      <w:r w:rsidRPr="00295A5B">
        <w:rPr>
          <w:rFonts w:ascii="Palatino Linotype" w:hAnsi="Palatino Linotype"/>
          <w:bCs/>
          <w:i/>
          <w:szCs w:val="24"/>
        </w:rPr>
        <w:t>“</w:t>
      </w:r>
      <w:r w:rsidRPr="00295A5B">
        <w:rPr>
          <w:rFonts w:ascii="Palatino Linotype" w:hAnsi="Palatino Linotype"/>
          <w:b/>
          <w:bCs/>
          <w:i/>
          <w:szCs w:val="24"/>
        </w:rPr>
        <w:t xml:space="preserve">Artículo 116. </w:t>
      </w:r>
      <w:r w:rsidRPr="00295A5B">
        <w:rPr>
          <w:rFonts w:ascii="Palatino Linotype" w:hAnsi="Palatino Linotype"/>
          <w:i/>
          <w:szCs w:val="24"/>
        </w:rPr>
        <w:t>Se considera información confidencial la que contiene datos personales concernientes a una persona identificada o identificable</w:t>
      </w:r>
      <w:r w:rsidRPr="00295A5B">
        <w:rPr>
          <w:rFonts w:ascii="Palatino Linotype" w:hAnsi="Palatino Linotype"/>
          <w:bCs/>
          <w:i/>
          <w:szCs w:val="24"/>
        </w:rPr>
        <w:t>…”</w:t>
      </w:r>
    </w:p>
    <w:p w14:paraId="31BEFF4D" w14:textId="77777777" w:rsidR="00295A5B" w:rsidRPr="00295A5B" w:rsidRDefault="00295A5B" w:rsidP="00295A5B">
      <w:pPr>
        <w:spacing w:after="0" w:line="240" w:lineRule="auto"/>
        <w:ind w:left="851" w:right="851"/>
        <w:contextualSpacing/>
        <w:jc w:val="both"/>
        <w:rPr>
          <w:rFonts w:ascii="Palatino Linotype" w:hAnsi="Palatino Linotype"/>
          <w:i/>
          <w:szCs w:val="24"/>
        </w:rPr>
      </w:pPr>
    </w:p>
    <w:p w14:paraId="0754FB47" w14:textId="77777777" w:rsidR="00295A5B" w:rsidRPr="00295A5B" w:rsidRDefault="00295A5B" w:rsidP="00295A5B">
      <w:pPr>
        <w:spacing w:after="0" w:line="240" w:lineRule="auto"/>
        <w:ind w:left="851" w:right="851"/>
        <w:contextualSpacing/>
        <w:jc w:val="both"/>
        <w:rPr>
          <w:rFonts w:ascii="Palatino Linotype" w:hAnsi="Palatino Linotype"/>
          <w:i/>
          <w:szCs w:val="24"/>
        </w:rPr>
      </w:pPr>
      <w:r w:rsidRPr="00295A5B">
        <w:rPr>
          <w:rFonts w:ascii="Palatino Linotype" w:hAnsi="Palatino Linotype"/>
          <w:i/>
          <w:szCs w:val="24"/>
        </w:rPr>
        <w:t>“</w:t>
      </w:r>
      <w:r w:rsidRPr="00295A5B">
        <w:rPr>
          <w:rFonts w:ascii="Palatino Linotype" w:hAnsi="Palatino Linotype"/>
          <w:b/>
          <w:i/>
          <w:szCs w:val="24"/>
        </w:rPr>
        <w:t xml:space="preserve">Artículo 143.- </w:t>
      </w:r>
      <w:r w:rsidRPr="00295A5B">
        <w:rPr>
          <w:rFonts w:ascii="Palatino Linotype" w:hAnsi="Palatino Linotype"/>
          <w:i/>
          <w:szCs w:val="24"/>
        </w:rPr>
        <w:t xml:space="preserve">Para los efectos de esta ley se considera información confidencial la clasificada como tal, de manera permanente por su naturaleza cuando: </w:t>
      </w:r>
    </w:p>
    <w:p w14:paraId="62389627" w14:textId="77777777" w:rsidR="00295A5B" w:rsidRPr="00295A5B" w:rsidRDefault="00295A5B" w:rsidP="00295A5B">
      <w:pPr>
        <w:spacing w:after="0" w:line="240" w:lineRule="auto"/>
        <w:ind w:left="851" w:right="851"/>
        <w:contextualSpacing/>
        <w:jc w:val="both"/>
        <w:rPr>
          <w:rFonts w:ascii="Palatino Linotype" w:hAnsi="Palatino Linotype"/>
          <w:b/>
          <w:i/>
          <w:szCs w:val="24"/>
        </w:rPr>
      </w:pPr>
    </w:p>
    <w:p w14:paraId="2FE53B53" w14:textId="77777777" w:rsidR="00295A5B" w:rsidRPr="00295A5B" w:rsidRDefault="00295A5B" w:rsidP="00295A5B">
      <w:pPr>
        <w:spacing w:after="0" w:line="240" w:lineRule="auto"/>
        <w:ind w:left="851" w:right="851"/>
        <w:contextualSpacing/>
        <w:jc w:val="both"/>
        <w:rPr>
          <w:rFonts w:ascii="Palatino Linotype" w:hAnsi="Palatino Linotype"/>
          <w:i/>
          <w:szCs w:val="24"/>
        </w:rPr>
      </w:pPr>
      <w:r w:rsidRPr="00295A5B">
        <w:rPr>
          <w:rFonts w:ascii="Palatino Linotype" w:hAnsi="Palatino Linotype"/>
          <w:b/>
          <w:i/>
          <w:szCs w:val="24"/>
        </w:rPr>
        <w:t>I.</w:t>
      </w:r>
      <w:r w:rsidRPr="00295A5B">
        <w:rPr>
          <w:rFonts w:ascii="Palatino Linotype" w:hAnsi="Palatino Linotype"/>
          <w:i/>
          <w:szCs w:val="24"/>
        </w:rPr>
        <w:t xml:space="preserve"> Se refiera a la información privada y los datos personales concernientes a una persona física o jurídico colectiva identificada o identificable”</w:t>
      </w:r>
    </w:p>
    <w:p w14:paraId="08219AE0" w14:textId="77777777" w:rsidR="00295A5B" w:rsidRPr="00295A5B" w:rsidRDefault="00295A5B" w:rsidP="00295A5B">
      <w:pPr>
        <w:spacing w:after="0" w:line="240" w:lineRule="auto"/>
        <w:rPr>
          <w:rFonts w:ascii="Times New Roman" w:hAnsi="Times New Roman"/>
          <w:sz w:val="24"/>
          <w:szCs w:val="24"/>
          <w:lang w:eastAsia="es-ES"/>
        </w:rPr>
      </w:pPr>
    </w:p>
    <w:p w14:paraId="0C3F2DF0" w14:textId="77777777" w:rsidR="00295A5B" w:rsidRPr="00295A5B" w:rsidRDefault="00295A5B" w:rsidP="00295A5B">
      <w:pPr>
        <w:spacing w:after="0" w:line="240" w:lineRule="auto"/>
        <w:rPr>
          <w:rFonts w:ascii="Times New Roman" w:hAnsi="Times New Roman"/>
          <w:sz w:val="24"/>
          <w:szCs w:val="24"/>
          <w:lang w:eastAsia="es-ES"/>
        </w:rPr>
      </w:pPr>
    </w:p>
    <w:p w14:paraId="6ED20A41" w14:textId="77777777" w:rsidR="00295A5B" w:rsidRPr="00295A5B" w:rsidRDefault="00295A5B" w:rsidP="00295A5B">
      <w:pPr>
        <w:spacing w:after="0" w:line="360" w:lineRule="auto"/>
        <w:ind w:right="49"/>
        <w:jc w:val="both"/>
        <w:rPr>
          <w:rFonts w:ascii="Palatino Linotype" w:hAnsi="Palatino Linotype"/>
          <w:sz w:val="24"/>
          <w:szCs w:val="24"/>
          <w:lang w:eastAsia="es-MX"/>
        </w:rPr>
      </w:pPr>
      <w:r w:rsidRPr="00295A5B">
        <w:rPr>
          <w:rFonts w:ascii="Palatino Linotype" w:hAnsi="Palatino Linotype" w:cs="Arial"/>
          <w:sz w:val="24"/>
          <w:szCs w:val="24"/>
        </w:rPr>
        <w:t xml:space="preserve">Ahora bien, no pasa desapercibido que este Instituto considera que no es procedente la entrega de las documentales en versión pública, toda vez que </w:t>
      </w:r>
      <w:r w:rsidRPr="00295A5B">
        <w:rPr>
          <w:rFonts w:ascii="Palatino Linotype" w:hAnsi="Palatino Linotype"/>
          <w:sz w:val="24"/>
          <w:szCs w:val="24"/>
          <w:lang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0AE0570D" w14:textId="77777777" w:rsidR="00295A5B" w:rsidRPr="00295A5B" w:rsidRDefault="00295A5B" w:rsidP="00295A5B">
      <w:pPr>
        <w:spacing w:after="0" w:line="360" w:lineRule="auto"/>
        <w:jc w:val="both"/>
        <w:rPr>
          <w:rFonts w:ascii="Palatino Linotype" w:hAnsi="Palatino Linotype" w:cs="Arial"/>
          <w:sz w:val="24"/>
          <w:szCs w:val="24"/>
        </w:rPr>
      </w:pPr>
    </w:p>
    <w:p w14:paraId="5B7855E1" w14:textId="77777777" w:rsidR="00295A5B" w:rsidRPr="00295A5B" w:rsidRDefault="00295A5B" w:rsidP="00295A5B">
      <w:pPr>
        <w:spacing w:after="0" w:line="360" w:lineRule="auto"/>
        <w:jc w:val="both"/>
        <w:rPr>
          <w:rFonts w:ascii="Palatino Linotype" w:hAnsi="Palatino Linotype" w:cs="Arial"/>
          <w:sz w:val="24"/>
          <w:szCs w:val="24"/>
        </w:rPr>
      </w:pPr>
      <w:r w:rsidRPr="00295A5B">
        <w:rPr>
          <w:rFonts w:ascii="Palatino Linotype" w:hAnsi="Palatino Linotype" w:cs="Arial"/>
          <w:sz w:val="24"/>
          <w:szCs w:val="24"/>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295A5B">
        <w:rPr>
          <w:rFonts w:ascii="Palatino Linotype" w:hAnsi="Palatino Linotype" w:cs="Arial"/>
          <w:sz w:val="24"/>
          <w:szCs w:val="24"/>
          <w:lang w:eastAsia="es-MX"/>
        </w:rPr>
        <w:t>ya que se trata de características físicas que permiten la identificación de un individuo que en su caso podría otorga</w:t>
      </w:r>
      <w:r w:rsidRPr="00295A5B">
        <w:rPr>
          <w:rFonts w:ascii="Palatino Linotype" w:hAnsi="Palatino Linotype" w:cs="Arial"/>
          <w:sz w:val="24"/>
          <w:szCs w:val="24"/>
        </w:rPr>
        <w:t xml:space="preserve">r acceso a terceros y posteriormente se podría derivar un mal uso de información, </w:t>
      </w:r>
      <w:r w:rsidRPr="00295A5B">
        <w:rPr>
          <w:rFonts w:ascii="Palatino Linotype" w:hAnsi="Palatino Linotype" w:cs="Arial"/>
          <w:sz w:val="24"/>
          <w:szCs w:val="24"/>
        </w:rPr>
        <w:lastRenderedPageBreak/>
        <w:t xml:space="preserve">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295A5B">
        <w:rPr>
          <w:rFonts w:ascii="Palatino Linotype" w:hAnsi="Palatino Linotype" w:cs="Arial"/>
          <w:bCs/>
          <w:sz w:val="24"/>
          <w:szCs w:val="24"/>
        </w:rPr>
        <w:t xml:space="preserve">4, fracciones XI y XII, de </w:t>
      </w:r>
      <w:r w:rsidRPr="00295A5B">
        <w:rPr>
          <w:rFonts w:ascii="Palatino Linotype" w:hAnsi="Palatino Linotype" w:cs="Arial"/>
          <w:sz w:val="24"/>
          <w:szCs w:val="24"/>
        </w:rPr>
        <w:t>la Ley de Protección de Datos Personales en Posesión de Sujetos Obligados del Estado de México y Municipios.</w:t>
      </w:r>
    </w:p>
    <w:p w14:paraId="32836F82" w14:textId="77777777" w:rsidR="00295A5B" w:rsidRPr="00295A5B" w:rsidRDefault="00295A5B" w:rsidP="00295A5B">
      <w:pPr>
        <w:spacing w:after="0" w:line="360" w:lineRule="auto"/>
        <w:jc w:val="both"/>
        <w:rPr>
          <w:rFonts w:ascii="Palatino Linotype" w:hAnsi="Palatino Linotype" w:cs="Arial"/>
          <w:sz w:val="24"/>
          <w:szCs w:val="24"/>
        </w:rPr>
      </w:pPr>
    </w:p>
    <w:p w14:paraId="77598EBD" w14:textId="4D908501" w:rsidR="00295A5B" w:rsidRPr="00295A5B" w:rsidRDefault="00295A5B" w:rsidP="00295A5B">
      <w:pPr>
        <w:spacing w:after="0" w:line="360" w:lineRule="auto"/>
        <w:jc w:val="both"/>
        <w:rPr>
          <w:rFonts w:ascii="Palatino Linotype" w:eastAsia="Times New Roman" w:hAnsi="Palatino Linotype" w:cs="Arial"/>
          <w:color w:val="000000"/>
          <w:sz w:val="24"/>
          <w:szCs w:val="24"/>
          <w:lang w:val="es-ES_tradnl" w:eastAsia="es-MX"/>
        </w:rPr>
      </w:pPr>
      <w:r w:rsidRPr="00295A5B">
        <w:rPr>
          <w:rFonts w:ascii="Palatino Linotype" w:eastAsia="Times New Roman" w:hAnsi="Palatino Linotype" w:cs="Arial"/>
          <w:color w:val="000000"/>
          <w:sz w:val="24"/>
          <w:szCs w:val="24"/>
          <w:lang w:val="es-ES_tradnl" w:eastAsia="es-MX"/>
        </w:rPr>
        <w:t xml:space="preserve">De lo explicado con anterioridad y conforme a las disposiciones citadas, se le hace de conocimiento al particular que este Órgano Garante advierte que dicha solicitud no constituye un derecho de acceso a la información pública, </w:t>
      </w:r>
      <w:r w:rsidRPr="00295A5B">
        <w:rPr>
          <w:rFonts w:ascii="Palatino Linotype" w:eastAsia="Times New Roman" w:hAnsi="Palatino Linotype" w:cs="Arial"/>
          <w:b/>
          <w:color w:val="000000"/>
          <w:sz w:val="24"/>
          <w:szCs w:val="24"/>
          <w:u w:val="single"/>
          <w:lang w:val="es-ES_tradnl" w:eastAsia="es-MX"/>
        </w:rPr>
        <w:t>sino más bien, refiere a un trámite, por lo que el solicitante deberá realizar dicho trámite de manera presencial ante el Sujeto Obligado</w:t>
      </w:r>
      <w:r w:rsidRPr="00295A5B">
        <w:rPr>
          <w:rFonts w:ascii="Palatino Linotype" w:eastAsia="Times New Roman" w:hAnsi="Palatino Linotype" w:cs="Arial"/>
          <w:color w:val="000000"/>
          <w:sz w:val="24"/>
          <w:szCs w:val="24"/>
          <w:lang w:val="es-ES_tradnl" w:eastAsia="es-MX"/>
        </w:rPr>
        <w:t xml:space="preserve"> para poder allegarse de la información que refiere en su solicitud de información, conforme a los requisitos y procedimientos establecidos para la obtención de la misma. Es por ello que la vía que intenta ejercer </w:t>
      </w:r>
      <w:r w:rsidR="00D2513F">
        <w:rPr>
          <w:rFonts w:ascii="Palatino Linotype" w:eastAsia="Times New Roman" w:hAnsi="Palatino Linotype" w:cs="Arial"/>
          <w:color w:val="000000"/>
          <w:sz w:val="24"/>
          <w:szCs w:val="24"/>
          <w:lang w:val="es-ES_tradnl" w:eastAsia="es-MX"/>
        </w:rPr>
        <w:t>el</w:t>
      </w:r>
      <w:r w:rsidR="00D2513F" w:rsidRPr="00295A5B">
        <w:rPr>
          <w:rFonts w:ascii="Palatino Linotype" w:eastAsia="Times New Roman" w:hAnsi="Palatino Linotype" w:cs="Arial"/>
          <w:color w:val="000000"/>
          <w:sz w:val="24"/>
          <w:szCs w:val="24"/>
          <w:lang w:val="es-ES_tradnl" w:eastAsia="es-MX"/>
        </w:rPr>
        <w:t xml:space="preserve"> solicitante denominada</w:t>
      </w:r>
      <w:r w:rsidRPr="00295A5B">
        <w:rPr>
          <w:rFonts w:ascii="Palatino Linotype" w:eastAsia="Times New Roman" w:hAnsi="Palatino Linotype" w:cs="Arial"/>
          <w:color w:val="000000"/>
          <w:sz w:val="24"/>
          <w:szCs w:val="24"/>
          <w:lang w:val="es-ES_tradnl" w:eastAsia="es-MX"/>
        </w:rPr>
        <w:t xml:space="preserve"> de </w:t>
      </w:r>
      <w:r w:rsidRPr="00295A5B">
        <w:rPr>
          <w:rFonts w:ascii="Palatino Linotype" w:eastAsia="Times New Roman" w:hAnsi="Palatino Linotype" w:cs="Arial"/>
          <w:b/>
          <w:i/>
          <w:color w:val="000000"/>
          <w:sz w:val="24"/>
          <w:szCs w:val="24"/>
          <w:lang w:val="es-ES_tradnl" w:eastAsia="es-MX"/>
        </w:rPr>
        <w:t>“acceso a la información pública”</w:t>
      </w:r>
      <w:r w:rsidRPr="00295A5B">
        <w:rPr>
          <w:rFonts w:ascii="Palatino Linotype" w:eastAsia="Times New Roman" w:hAnsi="Palatino Linotype" w:cs="Arial"/>
          <w:color w:val="000000"/>
          <w:sz w:val="24"/>
          <w:szCs w:val="24"/>
          <w:lang w:val="es-ES_tradnl" w:eastAsia="es-MX"/>
        </w:rPr>
        <w:t>, no es la idónea para allegarse de la información materia de la solicitud.</w:t>
      </w:r>
    </w:p>
    <w:p w14:paraId="41C5D18F" w14:textId="77777777" w:rsidR="00295A5B" w:rsidRPr="00295A5B" w:rsidRDefault="00295A5B" w:rsidP="00295A5B">
      <w:pPr>
        <w:spacing w:after="0" w:line="360" w:lineRule="auto"/>
        <w:jc w:val="both"/>
        <w:rPr>
          <w:rFonts w:ascii="Palatino Linotype" w:eastAsia="Times New Roman" w:hAnsi="Palatino Linotype" w:cs="Arial"/>
          <w:color w:val="000000"/>
          <w:sz w:val="24"/>
          <w:szCs w:val="24"/>
          <w:lang w:val="es-ES_tradnl" w:eastAsia="es-MX"/>
        </w:rPr>
      </w:pPr>
    </w:p>
    <w:p w14:paraId="5D05402D" w14:textId="77777777" w:rsidR="00295A5B" w:rsidRPr="00295A5B" w:rsidRDefault="00295A5B" w:rsidP="00295A5B">
      <w:pPr>
        <w:spacing w:after="0" w:line="360" w:lineRule="auto"/>
        <w:jc w:val="both"/>
        <w:rPr>
          <w:rFonts w:ascii="Palatino Linotype" w:eastAsia="Times New Roman" w:hAnsi="Palatino Linotype" w:cs="Arial"/>
          <w:color w:val="000000"/>
          <w:sz w:val="24"/>
          <w:szCs w:val="24"/>
          <w:lang w:val="es-ES_tradnl" w:eastAsia="es-MX"/>
        </w:rPr>
      </w:pPr>
      <w:r w:rsidRPr="00295A5B">
        <w:rPr>
          <w:rFonts w:ascii="Palatino Linotype" w:eastAsia="Times New Roman" w:hAnsi="Palatino Linotype" w:cs="Arial"/>
          <w:color w:val="000000"/>
          <w:sz w:val="24"/>
          <w:szCs w:val="24"/>
          <w:lang w:val="es-ES_tradnl" w:eastAsia="es-MX"/>
        </w:rPr>
        <w:t>En consecuencia, este órgano garante concluye que el procedimiento de acceso a la información pública y el de acceso a datos personales no son las vías para obtener la documentación solicitada, ya que existe un trámite específico que, además, requieren la satisfacción de requisitos concretos; toda vez que no es el medio adecuado para concluir las tramitaciones correspondientes.</w:t>
      </w:r>
    </w:p>
    <w:p w14:paraId="17BD4009" w14:textId="77777777" w:rsidR="00295A5B" w:rsidRPr="00295A5B" w:rsidRDefault="00295A5B" w:rsidP="00BE69F0">
      <w:pPr>
        <w:spacing w:after="0" w:line="360" w:lineRule="auto"/>
        <w:jc w:val="both"/>
      </w:pPr>
    </w:p>
    <w:p w14:paraId="058C1549" w14:textId="1F1A96D3" w:rsidR="00A01A1A" w:rsidRPr="00D2513F" w:rsidRDefault="00A01A1A" w:rsidP="00D2513F">
      <w:pPr>
        <w:spacing w:after="0" w:line="360" w:lineRule="auto"/>
        <w:jc w:val="both"/>
        <w:rPr>
          <w:rFonts w:ascii="Palatino Linotype" w:eastAsia="Times New Roman" w:hAnsi="Palatino Linotype" w:cs="Arial"/>
          <w:color w:val="000000"/>
          <w:sz w:val="24"/>
          <w:szCs w:val="24"/>
          <w:lang w:val="es-ES_tradnl" w:eastAsia="es-MX"/>
        </w:rPr>
      </w:pPr>
      <w:r>
        <w:rPr>
          <w:rFonts w:ascii="Palatino Linotype" w:hAnsi="Palatino Linotype"/>
          <w:sz w:val="24"/>
          <w:szCs w:val="24"/>
        </w:rPr>
        <w:lastRenderedPageBreak/>
        <w:t xml:space="preserve">En consecuencia, de manera invariable debemos de referirnos a las causales de sobreseimiento contenidas en el artículo 192 de la Ley de Transparencia y Acceso a la Información </w:t>
      </w:r>
      <w:r w:rsidR="00D2513F">
        <w:rPr>
          <w:rFonts w:ascii="Palatino Linotype" w:hAnsi="Palatino Linotype"/>
          <w:sz w:val="24"/>
          <w:szCs w:val="24"/>
        </w:rPr>
        <w:t>Pública</w:t>
      </w:r>
      <w:r>
        <w:rPr>
          <w:rFonts w:ascii="Palatino Linotype" w:hAnsi="Palatino Linotype"/>
          <w:sz w:val="24"/>
          <w:szCs w:val="24"/>
        </w:rPr>
        <w:t xml:space="preserve"> del Estado de México y Municipios, es oportuno señalar que estos requisitos privilegian la existencia de elementos de fondo tales como el desistimiento o </w:t>
      </w:r>
      <w:r w:rsidRPr="0002604C">
        <w:rPr>
          <w:rFonts w:ascii="Palatino Linotype" w:hAnsi="Palatino Linotype"/>
          <w:b/>
          <w:sz w:val="24"/>
          <w:szCs w:val="24"/>
          <w:u w:val="single"/>
        </w:rPr>
        <w:t>la aparición de una causal de improcedencia, una vez admitido el recurso de revisión</w:t>
      </w:r>
      <w:r>
        <w:rPr>
          <w:rFonts w:ascii="Palatino Linotype" w:hAnsi="Palatino Linotype"/>
          <w:sz w:val="24"/>
          <w:szCs w:val="24"/>
        </w:rPr>
        <w:t xml:space="preserve"> de ahí que la actualización de alguno de éstos trae como consecuencia que el medio de impugnación, se concluya sin que se analice el objeto de estudio planteado, </w:t>
      </w:r>
      <w:r w:rsidRPr="00D2513F">
        <w:rPr>
          <w:rFonts w:ascii="Palatino Linotype" w:eastAsia="Times New Roman" w:hAnsi="Palatino Linotype" w:cs="Arial"/>
          <w:color w:val="000000"/>
          <w:sz w:val="24"/>
          <w:szCs w:val="24"/>
          <w:lang w:val="es-ES_tradnl" w:eastAsia="es-MX"/>
        </w:rPr>
        <w:t>es decir se sobresea.</w:t>
      </w:r>
    </w:p>
    <w:p w14:paraId="5A18CC4E" w14:textId="77777777" w:rsidR="00D2513F" w:rsidRPr="00D2513F" w:rsidRDefault="00D2513F" w:rsidP="00D2513F">
      <w:pPr>
        <w:spacing w:after="0" w:line="360" w:lineRule="auto"/>
        <w:jc w:val="both"/>
        <w:rPr>
          <w:rFonts w:ascii="Palatino Linotype" w:eastAsia="Times New Roman" w:hAnsi="Palatino Linotype" w:cs="Arial"/>
          <w:color w:val="000000"/>
          <w:sz w:val="24"/>
          <w:szCs w:val="24"/>
          <w:lang w:val="es-ES_tradnl" w:eastAsia="es-MX"/>
        </w:rPr>
      </w:pPr>
    </w:p>
    <w:p w14:paraId="6A1932F0" w14:textId="77777777" w:rsidR="00A01A1A" w:rsidRPr="0004467E" w:rsidRDefault="00A01A1A" w:rsidP="00D2513F">
      <w:pPr>
        <w:spacing w:after="0" w:line="360" w:lineRule="auto"/>
        <w:jc w:val="both"/>
        <w:rPr>
          <w:rFonts w:ascii="Palatino Linotype" w:hAnsi="Palatino Linotype" w:cs="Arial"/>
          <w:sz w:val="24"/>
          <w:szCs w:val="24"/>
        </w:rPr>
      </w:pPr>
      <w:r w:rsidRPr="00D2513F">
        <w:rPr>
          <w:rFonts w:ascii="Palatino Linotype" w:eastAsia="Times New Roman" w:hAnsi="Palatino Linotype" w:cs="Arial"/>
          <w:color w:val="000000"/>
          <w:sz w:val="24"/>
          <w:szCs w:val="24"/>
          <w:lang w:val="es-ES_tradnl" w:eastAsia="es-MX"/>
        </w:rPr>
        <w:t>Por</w:t>
      </w:r>
      <w:r w:rsidRPr="0004467E">
        <w:rPr>
          <w:rFonts w:ascii="Palatino Linotype" w:hAnsi="Palatino Linotype" w:cs="Arial"/>
          <w:sz w:val="24"/>
          <w:szCs w:val="24"/>
        </w:rPr>
        <w:t xml:space="preserve">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04E898D3" w14:textId="77777777" w:rsidR="00D2513F" w:rsidRDefault="00D2513F" w:rsidP="00A01A1A">
      <w:pPr>
        <w:spacing w:line="360" w:lineRule="auto"/>
        <w:ind w:left="851" w:right="851"/>
        <w:jc w:val="both"/>
        <w:rPr>
          <w:rFonts w:ascii="Palatino Linotype" w:hAnsi="Palatino Linotype" w:cs="Arial"/>
          <w:b/>
          <w:i/>
        </w:rPr>
      </w:pPr>
    </w:p>
    <w:p w14:paraId="63C41278" w14:textId="6A4219E7" w:rsidR="00A01A1A" w:rsidRPr="0004467E" w:rsidRDefault="00A01A1A" w:rsidP="00A01A1A">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740568B9" w14:textId="77777777" w:rsidR="00A01A1A" w:rsidRPr="0004467E" w:rsidRDefault="00A01A1A" w:rsidP="00A01A1A">
      <w:pPr>
        <w:spacing w:line="360" w:lineRule="auto"/>
        <w:ind w:left="851" w:right="851"/>
        <w:jc w:val="both"/>
        <w:rPr>
          <w:rFonts w:ascii="Palatino Linotype" w:hAnsi="Palatino Linotype"/>
          <w:i/>
          <w:color w:val="000000"/>
        </w:rPr>
      </w:pPr>
      <w:r w:rsidRPr="0004467E">
        <w:rPr>
          <w:rFonts w:ascii="Palatino Linotype" w:hAnsi="Palatino Linotype" w:cs="Arial"/>
          <w:b/>
          <w:i/>
        </w:rPr>
        <w:t xml:space="preserve">El sobreseimiento </w:t>
      </w:r>
      <w:r w:rsidRPr="0004467E">
        <w:rPr>
          <w:rFonts w:ascii="Palatino Linotype" w:hAnsi="Palatino Linotype" w:cs="Arial"/>
          <w:i/>
        </w:rPr>
        <w:t xml:space="preserve">en el juicio de amparo directo </w:t>
      </w:r>
      <w:r w:rsidRPr="0004467E">
        <w:rPr>
          <w:rFonts w:ascii="Palatino Linotype" w:hAnsi="Palatino Linotype" w:cs="Arial"/>
          <w:b/>
          <w:i/>
        </w:rPr>
        <w:t xml:space="preserve">provoca la terminación de la controversia planteada </w:t>
      </w:r>
      <w:r w:rsidRPr="0004467E">
        <w:rPr>
          <w:rFonts w:ascii="Palatino Linotype" w:hAnsi="Palatino Linotype" w:cs="Arial"/>
          <w:i/>
        </w:rPr>
        <w:t>por el quejoso en la demanda de amparo</w:t>
      </w:r>
      <w:r w:rsidRPr="0004467E">
        <w:rPr>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lastRenderedPageBreak/>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E8F66F7" w14:textId="77777777" w:rsidR="00A01A1A" w:rsidRPr="0004467E" w:rsidRDefault="00A01A1A" w:rsidP="00A01A1A">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E6DB89F" w14:textId="77777777" w:rsidR="00A01A1A" w:rsidRPr="0004467E" w:rsidRDefault="00A01A1A" w:rsidP="00A01A1A">
      <w:pPr>
        <w:spacing w:line="360" w:lineRule="auto"/>
        <w:ind w:left="851" w:right="851"/>
        <w:jc w:val="both"/>
        <w:rPr>
          <w:rFonts w:ascii="Palatino Linotype" w:hAnsi="Palatino Linotype" w:cs="Arial"/>
          <w:i/>
        </w:rPr>
      </w:pPr>
      <w:r w:rsidRPr="0004467E">
        <w:rPr>
          <w:rFonts w:ascii="Palatino Linotype" w:hAnsi="Palatino Linotype" w:cs="Arial"/>
          <w:i/>
        </w:rPr>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b/>
          <w:i/>
          <w:lang w:val="es-ES_tradnl" w:eastAsia="es-ES"/>
        </w:rPr>
        <w:t xml:space="preserve"> [Sic]</w:t>
      </w:r>
    </w:p>
    <w:p w14:paraId="425069A7" w14:textId="77777777" w:rsidR="00A01A1A" w:rsidRPr="0004467E" w:rsidRDefault="00A01A1A" w:rsidP="00A01A1A">
      <w:pPr>
        <w:ind w:right="141"/>
        <w:jc w:val="both"/>
        <w:rPr>
          <w:rFonts w:ascii="Palatino Linotype" w:hAnsi="Palatino Linotype" w:cs="Arial"/>
        </w:rPr>
      </w:pPr>
    </w:p>
    <w:p w14:paraId="21F206DC" w14:textId="6C934403" w:rsidR="00A01A1A" w:rsidRDefault="00A01A1A" w:rsidP="00A01A1A">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8A5171B" w14:textId="207455EE" w:rsidR="0026472A" w:rsidRDefault="0026472A" w:rsidP="00A01A1A">
      <w:pPr>
        <w:spacing w:line="360" w:lineRule="auto"/>
        <w:jc w:val="both"/>
        <w:rPr>
          <w:rFonts w:ascii="Palatino Linotype" w:hAnsi="Palatino Linotype" w:cs="Arial"/>
          <w:sz w:val="24"/>
          <w:szCs w:val="24"/>
        </w:rPr>
      </w:pPr>
    </w:p>
    <w:p w14:paraId="74CD5628" w14:textId="77777777" w:rsidR="0026472A" w:rsidRPr="00B21190" w:rsidRDefault="0026472A" w:rsidP="0026472A">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046F286F" w14:textId="77777777" w:rsidR="0026472A" w:rsidRPr="00B21190" w:rsidRDefault="0026472A" w:rsidP="0026472A">
      <w:pPr>
        <w:pStyle w:val="Sinespaciado"/>
      </w:pPr>
    </w:p>
    <w:p w14:paraId="376ECD04" w14:textId="77777777" w:rsidR="0026472A" w:rsidRPr="00B21190" w:rsidRDefault="0026472A" w:rsidP="0026472A">
      <w:pPr>
        <w:autoSpaceDE w:val="0"/>
        <w:autoSpaceDN w:val="0"/>
        <w:adjustRightInd w:val="0"/>
        <w:spacing w:after="0" w:line="240" w:lineRule="auto"/>
        <w:ind w:left="709"/>
        <w:jc w:val="both"/>
        <w:rPr>
          <w:rFonts w:ascii="Palatino Linotype" w:hAnsi="Palatino Linotype"/>
          <w:i/>
        </w:rPr>
      </w:pPr>
      <w:r w:rsidRPr="00B21190">
        <w:rPr>
          <w:rFonts w:ascii="Palatino Linotype" w:hAnsi="Palatino Linotype"/>
          <w:b/>
          <w:i/>
        </w:rPr>
        <w:t xml:space="preserve">“Artículo 191. </w:t>
      </w:r>
      <w:r w:rsidRPr="00B21190">
        <w:rPr>
          <w:rFonts w:ascii="Palatino Linotype" w:hAnsi="Palatino Linotype"/>
          <w:b/>
          <w:i/>
          <w:u w:val="single"/>
        </w:rPr>
        <w:t>El recurso será desechado por improcedente cuando</w:t>
      </w:r>
      <w:r w:rsidRPr="00B21190">
        <w:rPr>
          <w:rFonts w:ascii="Palatino Linotype" w:hAnsi="Palatino Linotype"/>
          <w:i/>
        </w:rPr>
        <w:t xml:space="preserve">: </w:t>
      </w:r>
    </w:p>
    <w:p w14:paraId="30BBF01D"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i/>
          <w:lang w:val="es-ES" w:eastAsia="es-ES"/>
        </w:rPr>
      </w:pPr>
      <w:r w:rsidRPr="00B21190">
        <w:rPr>
          <w:rFonts w:ascii="Palatino Linotype" w:eastAsia="Times New Roman" w:hAnsi="Palatino Linotype"/>
          <w:i/>
          <w:lang w:val="es-ES" w:eastAsia="es-ES"/>
        </w:rPr>
        <w:t xml:space="preserve">Sea extemporáneo por haber transcurrido el plazo establecido en la presente Ley, a partir de la respuesta; </w:t>
      </w:r>
    </w:p>
    <w:p w14:paraId="34F76453"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i/>
          <w:lang w:val="es-ES" w:eastAsia="es-ES"/>
        </w:rPr>
        <w:t xml:space="preserve">Se esté tramitando ante el Poder Judicial de la Federación algún recurso o medio de defensa interpuesto por el recurrente; </w:t>
      </w:r>
    </w:p>
    <w:p w14:paraId="11D08B30"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i/>
          <w:lang w:val="es-ES" w:eastAsia="es-ES"/>
        </w:rPr>
        <w:t xml:space="preserve">No actualice alguno de los supuestos previstos en la presente Ley; </w:t>
      </w:r>
    </w:p>
    <w:p w14:paraId="08786B69"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i/>
          <w:lang w:val="es-ES" w:eastAsia="es-ES"/>
        </w:rPr>
        <w:lastRenderedPageBreak/>
        <w:t xml:space="preserve">No se haya desahogado la prevención en los términos establecidos en la presente Ley; </w:t>
      </w:r>
    </w:p>
    <w:p w14:paraId="0EBD4CC0"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i/>
          <w:lang w:val="es-ES" w:eastAsia="es-ES"/>
        </w:rPr>
        <w:t xml:space="preserve">Se impugne la veracidad de la información proporcionada; </w:t>
      </w:r>
    </w:p>
    <w:p w14:paraId="0F361EAC" w14:textId="77777777" w:rsidR="0026472A" w:rsidRPr="0026472A"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bCs/>
          <w:i/>
          <w:lang w:val="es-ES" w:eastAsia="es-ES"/>
        </w:rPr>
      </w:pPr>
      <w:r w:rsidRPr="0026472A">
        <w:rPr>
          <w:rFonts w:ascii="Palatino Linotype" w:eastAsia="Times New Roman" w:hAnsi="Palatino Linotype"/>
          <w:b/>
          <w:i/>
          <w:u w:val="single"/>
          <w:lang w:val="es-ES" w:eastAsia="es-ES"/>
        </w:rPr>
        <w:t>Se trate de una consulta, o trámite en específico</w:t>
      </w:r>
      <w:r w:rsidRPr="0026472A">
        <w:rPr>
          <w:rFonts w:ascii="Palatino Linotype" w:eastAsia="Times New Roman" w:hAnsi="Palatino Linotype"/>
          <w:bCs/>
          <w:i/>
          <w:lang w:val="es-ES" w:eastAsia="es-ES"/>
        </w:rPr>
        <w:t xml:space="preserve">; y </w:t>
      </w:r>
    </w:p>
    <w:p w14:paraId="2A435373" w14:textId="77777777" w:rsidR="0026472A" w:rsidRPr="00B21190" w:rsidRDefault="0026472A" w:rsidP="0026472A">
      <w:pPr>
        <w:numPr>
          <w:ilvl w:val="0"/>
          <w:numId w:val="21"/>
        </w:numPr>
        <w:autoSpaceDE w:val="0"/>
        <w:autoSpaceDN w:val="0"/>
        <w:adjustRightInd w:val="0"/>
        <w:spacing w:after="0" w:line="240" w:lineRule="auto"/>
        <w:jc w:val="both"/>
        <w:rPr>
          <w:rFonts w:ascii="Palatino Linotype" w:eastAsia="Times New Roman" w:hAnsi="Palatino Linotype" w:cs="Arial"/>
          <w:i/>
          <w:lang w:val="es-ES" w:eastAsia="es-ES"/>
        </w:rPr>
      </w:pPr>
      <w:r w:rsidRPr="00B21190">
        <w:rPr>
          <w:rFonts w:ascii="Palatino Linotype" w:eastAsia="Times New Roman" w:hAnsi="Palatino Linotype"/>
          <w:i/>
          <w:lang w:val="es-ES" w:eastAsia="es-ES"/>
        </w:rPr>
        <w:t>El recurrente amplíe su solicitud en el recurso de revisión, únicamente respecto de los nuevos contenidos.</w:t>
      </w:r>
    </w:p>
    <w:p w14:paraId="73E527A2"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2E6F48"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concatenado con lo establecido en las fracciones III y IV, del numeral 192, de la Ley de Transparencia vigente en la entidad, que a la letra establecen:</w:t>
      </w:r>
    </w:p>
    <w:p w14:paraId="456FF9B1" w14:textId="77777777" w:rsidR="0026472A" w:rsidRPr="00B21190" w:rsidRDefault="0026472A" w:rsidP="0026472A">
      <w:pPr>
        <w:autoSpaceDE w:val="0"/>
        <w:autoSpaceDN w:val="0"/>
        <w:adjustRightInd w:val="0"/>
        <w:spacing w:after="0" w:line="360" w:lineRule="auto"/>
        <w:ind w:left="708"/>
        <w:jc w:val="both"/>
        <w:rPr>
          <w:rFonts w:ascii="Palatino Linotype" w:eastAsia="Times New Roman" w:hAnsi="Palatino Linotype"/>
          <w:i/>
          <w:sz w:val="24"/>
          <w:szCs w:val="24"/>
          <w:lang w:val="es-ES" w:eastAsia="es-ES"/>
        </w:rPr>
      </w:pPr>
    </w:p>
    <w:p w14:paraId="73CAE1A6" w14:textId="77777777" w:rsidR="0026472A" w:rsidRPr="00B21190" w:rsidRDefault="0026472A" w:rsidP="0026472A">
      <w:pPr>
        <w:autoSpaceDE w:val="0"/>
        <w:autoSpaceDN w:val="0"/>
        <w:adjustRightInd w:val="0"/>
        <w:spacing w:after="0" w:line="240" w:lineRule="auto"/>
        <w:ind w:left="708"/>
        <w:jc w:val="both"/>
        <w:rPr>
          <w:rFonts w:ascii="Palatino Linotype" w:eastAsia="Times New Roman" w:hAnsi="Palatino Linotype"/>
          <w:i/>
          <w:szCs w:val="24"/>
          <w:lang w:val="es-ES" w:eastAsia="es-ES"/>
        </w:rPr>
      </w:pPr>
      <w:r w:rsidRPr="00B21190">
        <w:rPr>
          <w:rFonts w:ascii="Palatino Linotype" w:eastAsia="Times New Roman" w:hAnsi="Palatino Linotype"/>
          <w:b/>
          <w:i/>
          <w:szCs w:val="24"/>
          <w:lang w:val="es-ES" w:eastAsia="es-ES"/>
        </w:rPr>
        <w:t xml:space="preserve">“Artículo 192. </w:t>
      </w:r>
      <w:r w:rsidRPr="00B21190">
        <w:rPr>
          <w:rFonts w:ascii="Palatino Linotype" w:eastAsia="Times New Roman" w:hAnsi="Palatino Linotype"/>
          <w:b/>
          <w:i/>
          <w:szCs w:val="24"/>
          <w:u w:val="single"/>
          <w:lang w:val="es-ES" w:eastAsia="es-ES"/>
        </w:rPr>
        <w:t>El recurso será sobreseído, en todo o en parte, cuando una vez admitido, se actualicen alguno de los siguientes supuestos</w:t>
      </w:r>
      <w:r w:rsidRPr="00B21190">
        <w:rPr>
          <w:rFonts w:ascii="Palatino Linotype" w:eastAsia="Times New Roman" w:hAnsi="Palatino Linotype"/>
          <w:i/>
          <w:szCs w:val="24"/>
          <w:lang w:val="es-ES" w:eastAsia="es-ES"/>
        </w:rPr>
        <w:t>:</w:t>
      </w:r>
    </w:p>
    <w:p w14:paraId="493FA227"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i/>
          <w:szCs w:val="24"/>
          <w:lang w:val="es-ES" w:eastAsia="es-ES"/>
        </w:rPr>
      </w:pPr>
      <w:r w:rsidRPr="00B21190">
        <w:rPr>
          <w:rFonts w:ascii="Palatino Linotype" w:eastAsia="Times New Roman" w:hAnsi="Palatino Linotype"/>
          <w:i/>
          <w:szCs w:val="24"/>
          <w:lang w:val="es-ES" w:eastAsia="es-ES"/>
        </w:rPr>
        <w:t xml:space="preserve">El recurrente se desista expresamente del recurso; </w:t>
      </w:r>
    </w:p>
    <w:p w14:paraId="293C8DF5"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i/>
          <w:szCs w:val="24"/>
          <w:lang w:val="es-ES" w:eastAsia="es-ES"/>
        </w:rPr>
        <w:t xml:space="preserve">El recurrente fallezca o, tratándose de personas jurídicas colectivas, se disuelva; </w:t>
      </w:r>
    </w:p>
    <w:p w14:paraId="131EB70A"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i/>
          <w:szCs w:val="24"/>
          <w:lang w:val="es-ES" w:eastAsia="es-ES"/>
        </w:rPr>
        <w:t xml:space="preserve">El sujeto obligado responsable del acto lo modifique o revoque de tal manera que el recurso de revisión quede sin materia; </w:t>
      </w:r>
    </w:p>
    <w:p w14:paraId="1C60B59B"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B21190">
        <w:rPr>
          <w:rFonts w:ascii="Palatino Linotype" w:eastAsia="Times New Roman" w:hAnsi="Palatino Linotype"/>
          <w:b/>
          <w:i/>
          <w:szCs w:val="24"/>
          <w:u w:val="single"/>
          <w:lang w:val="es-ES" w:eastAsia="es-ES"/>
        </w:rPr>
        <w:t xml:space="preserve">Admitido el recurso de revisión, aparezca alguna causal de improcedencia en los términos de la presente Ley; y </w:t>
      </w:r>
    </w:p>
    <w:p w14:paraId="4523ACE9" w14:textId="77777777" w:rsidR="0026472A" w:rsidRPr="00B21190" w:rsidRDefault="0026472A" w:rsidP="0026472A">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21190">
        <w:rPr>
          <w:rFonts w:ascii="Palatino Linotype" w:eastAsia="Times New Roman" w:hAnsi="Palatino Linotype"/>
          <w:i/>
          <w:szCs w:val="24"/>
          <w:lang w:val="es-ES" w:eastAsia="es-ES"/>
        </w:rPr>
        <w:t>Cuando por cualquier motivo quede sin materia el recurso.”</w:t>
      </w:r>
    </w:p>
    <w:p w14:paraId="04AD49EE"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F9D66D"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39A3D875"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B3D792" w14:textId="21DC7865"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sidR="00D2513F">
        <w:rPr>
          <w:rFonts w:ascii="Palatino Linotype" w:eastAsia="Times New Roman" w:hAnsi="Palatino Linotype" w:cs="Arial"/>
          <w:sz w:val="24"/>
          <w:szCs w:val="24"/>
          <w:lang w:val="es-ES" w:eastAsia="es-ES"/>
        </w:rPr>
        <w:t>cinco de abril de dos mil veintiuno</w:t>
      </w:r>
      <w:r w:rsidRPr="00B21190">
        <w:rPr>
          <w:rFonts w:ascii="Palatino Linotype" w:eastAsia="Times New Roman" w:hAnsi="Palatino Linotype" w:cs="Arial"/>
          <w:sz w:val="24"/>
          <w:szCs w:val="24"/>
          <w:lang w:val="es-ES" w:eastAsia="es-ES"/>
        </w:rPr>
        <w:t>, la Comisionada Zulema Martínez Sánchez admitió a trámite el recurso de revisión que nos ocupa.</w:t>
      </w:r>
    </w:p>
    <w:p w14:paraId="5761D86D" w14:textId="77777777" w:rsidR="0026472A" w:rsidRPr="00B21190" w:rsidRDefault="0026472A" w:rsidP="0026472A">
      <w:pPr>
        <w:pStyle w:val="Sinespaciado"/>
        <w:rPr>
          <w:lang w:val="es-ES"/>
        </w:rPr>
      </w:pPr>
    </w:p>
    <w:p w14:paraId="5FB8A603" w14:textId="48BD5567"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El</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dentro </w:t>
      </w:r>
      <w:r>
        <w:rPr>
          <w:rFonts w:ascii="Palatino Linotype" w:eastAsia="Times New Roman" w:hAnsi="Palatino Linotype" w:cs="Arial"/>
          <w:sz w:val="24"/>
          <w:szCs w:val="24"/>
          <w:lang w:val="es-ES" w:eastAsia="es-ES"/>
        </w:rPr>
        <w:t>de la solicitud de información corresponde a la obtención de documentales que para su obtención se encuentra establecido un trámite en específico</w:t>
      </w:r>
      <w:r w:rsidRPr="00B21190">
        <w:rPr>
          <w:rFonts w:ascii="Palatino Linotype" w:eastAsia="Times New Roman" w:hAnsi="Palatino Linotype" w:cs="Arial"/>
          <w:sz w:val="24"/>
          <w:szCs w:val="24"/>
          <w:lang w:val="es-ES" w:eastAsia="es-ES"/>
        </w:rPr>
        <w:t xml:space="preserve">, lo cual resulta incongruente con lo establecido en el segundo párrafo del </w:t>
      </w:r>
      <w:r w:rsidRPr="00B21190">
        <w:rPr>
          <w:rFonts w:ascii="Palatino Linotype" w:eastAsia="Times New Roman" w:hAnsi="Palatino Linotype" w:cs="Arial"/>
          <w:sz w:val="24"/>
          <w:szCs w:val="24"/>
          <w:lang w:val="es-ES" w:eastAsia="es-ES"/>
        </w:rPr>
        <w:lastRenderedPageBreak/>
        <w:t>artículo 12, de la Ley de Transparencia y Acceso a la Información Pública del Estado de México y Municipios.</w:t>
      </w:r>
    </w:p>
    <w:p w14:paraId="49C5A7D1" w14:textId="77777777" w:rsidR="0026472A" w:rsidRPr="00B21190" w:rsidRDefault="0026472A" w:rsidP="0026472A">
      <w:pPr>
        <w:pStyle w:val="Sinespaciado"/>
        <w:rPr>
          <w:lang w:val="es-ES"/>
        </w:rPr>
      </w:pPr>
    </w:p>
    <w:p w14:paraId="3EC3D7E4" w14:textId="6AC56AA3" w:rsidR="0026472A" w:rsidRPr="00B21190" w:rsidRDefault="0026472A" w:rsidP="0026472A">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El recurso </w:t>
      </w:r>
      <w:r w:rsidR="00D2513F" w:rsidRPr="00D2513F">
        <w:rPr>
          <w:rFonts w:ascii="Palatino Linotype" w:eastAsia="Times New Roman" w:hAnsi="Palatino Linotype" w:cs="Arial"/>
          <w:b/>
          <w:bCs/>
          <w:sz w:val="24"/>
          <w:szCs w:val="24"/>
          <w:lang w:val="es-ES" w:eastAsia="es-MX"/>
        </w:rPr>
        <w:t>01340/INFOEM/IP/RR/2021</w:t>
      </w:r>
      <w:r w:rsidRPr="00B21190">
        <w:rPr>
          <w:rFonts w:ascii="Palatino Linotype" w:eastAsia="Times New Roman" w:hAnsi="Palatino Linotype" w:cs="Arial"/>
          <w:bCs/>
          <w:sz w:val="24"/>
          <w:szCs w:val="24"/>
          <w:lang w:val="es-ES" w:eastAsia="es-MX"/>
        </w:rPr>
        <w:t>,</w:t>
      </w:r>
      <w:r w:rsidRPr="00B21190">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7A3E0CEF" w14:textId="77777777" w:rsidR="0026472A" w:rsidRPr="00B21190" w:rsidRDefault="0026472A" w:rsidP="0026472A">
      <w:pPr>
        <w:pStyle w:val="Sinespaciado"/>
      </w:pPr>
    </w:p>
    <w:p w14:paraId="39831520" w14:textId="77777777" w:rsidR="0026472A" w:rsidRPr="00B21190" w:rsidRDefault="0026472A" w:rsidP="0026472A">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B21190">
        <w:rPr>
          <w:rFonts w:ascii="Palatino Linotype" w:eastAsia="Times New Roman" w:hAnsi="Palatino Linotype"/>
          <w:sz w:val="24"/>
          <w:szCs w:val="24"/>
          <w:lang w:val="es-ES" w:eastAsia="es-ES"/>
        </w:rPr>
        <w:t xml:space="preserve">Es importante resaltar a manera de analogía que la Suprema Corte de Justicia de la Nación mediante el número 2, de la Serie </w:t>
      </w:r>
      <w:r w:rsidRPr="00B21190">
        <w:rPr>
          <w:rFonts w:ascii="Palatino Linotype" w:eastAsia="Times New Roman" w:hAnsi="Palatino Linotype"/>
          <w:i/>
          <w:sz w:val="24"/>
          <w:szCs w:val="24"/>
          <w:lang w:val="es-ES" w:eastAsia="es-ES"/>
        </w:rPr>
        <w:t xml:space="preserve">Estudios Introductorios sobre el Juicio de Amparo </w:t>
      </w:r>
      <w:r w:rsidRPr="00B21190">
        <w:rPr>
          <w:rFonts w:ascii="Palatino Linotype" w:eastAsia="Times New Roman" w:hAnsi="Palatino Linotype"/>
          <w:sz w:val="24"/>
          <w:szCs w:val="24"/>
          <w:lang w:val="es-ES" w:eastAsia="es-ES"/>
        </w:rPr>
        <w:t xml:space="preserve">relativo a </w:t>
      </w:r>
      <w:r w:rsidRPr="00B21190">
        <w:rPr>
          <w:rFonts w:ascii="Palatino Linotype" w:eastAsia="Times New Roman" w:hAnsi="Palatino Linotype"/>
          <w:i/>
          <w:sz w:val="24"/>
          <w:szCs w:val="24"/>
          <w:lang w:val="es-ES" w:eastAsia="es-ES"/>
        </w:rPr>
        <w:t xml:space="preserve">LA IMPROCEDENCIA DE LA ACCIÓN DE AMPARO </w:t>
      </w:r>
      <w:r w:rsidRPr="00B21190">
        <w:rPr>
          <w:rFonts w:ascii="Palatino Linotype" w:eastAsia="Times New Roman" w:hAnsi="Palatino Linotype"/>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b/>
          <w:sz w:val="24"/>
          <w:szCs w:val="24"/>
          <w:u w:val="single"/>
          <w:lang w:val="es-ES" w:eastAsia="es-ES"/>
        </w:rPr>
        <w:t>lo que generará que la demanda sea desechada; o bien, después de admitida la demanda, lo que tendrá como consecuencia que se sobresea en el juicio.</w:t>
      </w:r>
    </w:p>
    <w:p w14:paraId="74CE4078" w14:textId="77777777" w:rsidR="0026472A" w:rsidRPr="00B21190" w:rsidRDefault="0026472A" w:rsidP="0026472A"/>
    <w:p w14:paraId="278C1F40" w14:textId="1F578E53" w:rsidR="0026472A" w:rsidRPr="00B21190" w:rsidRDefault="0026472A" w:rsidP="0026472A">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 </w:t>
      </w:r>
      <w:r w:rsidR="00D2513F" w:rsidRPr="00D2513F">
        <w:rPr>
          <w:rFonts w:ascii="Palatino Linotype" w:eastAsiaTheme="minorEastAsia" w:hAnsi="Palatino Linotype" w:cstheme="minorBidi"/>
          <w:b/>
          <w:lang w:val="es-ES_tradnl"/>
        </w:rPr>
        <w:t>01340/INFOEM/IP/RR/2021</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4597A434" w14:textId="77777777" w:rsidR="0026472A" w:rsidRPr="00B21190" w:rsidRDefault="0026472A" w:rsidP="0026472A">
      <w:pPr>
        <w:autoSpaceDE w:val="0"/>
        <w:autoSpaceDN w:val="0"/>
        <w:adjustRightInd w:val="0"/>
        <w:spacing w:line="276" w:lineRule="auto"/>
        <w:ind w:right="-234"/>
        <w:jc w:val="both"/>
        <w:rPr>
          <w:rFonts w:ascii="Palatino Linotype" w:hAnsi="Palatino Linotype" w:cs="Arial"/>
          <w:sz w:val="18"/>
          <w:szCs w:val="24"/>
        </w:rPr>
      </w:pPr>
    </w:p>
    <w:p w14:paraId="65834371" w14:textId="77777777" w:rsidR="0026472A" w:rsidRPr="00B21190" w:rsidRDefault="0026472A" w:rsidP="0026472A">
      <w:pPr>
        <w:autoSpaceDE w:val="0"/>
        <w:autoSpaceDN w:val="0"/>
        <w:adjustRightInd w:val="0"/>
        <w:spacing w:line="276" w:lineRule="auto"/>
        <w:ind w:right="-234"/>
        <w:jc w:val="both"/>
        <w:rPr>
          <w:rFonts w:ascii="Palatino Linotype" w:hAnsi="Palatino Linotype" w:cs="Arial"/>
          <w:sz w:val="24"/>
          <w:szCs w:val="24"/>
          <w:lang w:eastAsia="es-MX"/>
        </w:rPr>
      </w:pPr>
      <w:r w:rsidRPr="00B21190">
        <w:rPr>
          <w:rFonts w:ascii="Palatino Linotype" w:hAnsi="Palatino Linotype" w:cs="Arial"/>
          <w:sz w:val="24"/>
          <w:szCs w:val="24"/>
          <w:lang w:eastAsia="es-MX"/>
        </w:rPr>
        <w:lastRenderedPageBreak/>
        <w:t>Por lo antes expuesto y fundado es de resolverse y,</w:t>
      </w:r>
    </w:p>
    <w:p w14:paraId="77BF3D1C" w14:textId="77777777" w:rsidR="0026472A" w:rsidRPr="00B21190" w:rsidRDefault="0026472A" w:rsidP="0026472A">
      <w:pPr>
        <w:pStyle w:val="Sinespaciado"/>
        <w:rPr>
          <w:lang w:val="pt-BR"/>
        </w:rPr>
      </w:pPr>
    </w:p>
    <w:p w14:paraId="7E984D0F" w14:textId="77777777" w:rsidR="0026472A" w:rsidRPr="00B21190" w:rsidRDefault="0026472A" w:rsidP="0026472A">
      <w:pPr>
        <w:pStyle w:val="Sinespaciado"/>
        <w:rPr>
          <w:lang w:val="pt-BR"/>
        </w:rPr>
      </w:pPr>
    </w:p>
    <w:p w14:paraId="33D13C40" w14:textId="77777777" w:rsidR="0026472A" w:rsidRPr="00B21190" w:rsidRDefault="0026472A" w:rsidP="0026472A">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7D012A34" w14:textId="77777777" w:rsidR="0026472A" w:rsidRPr="00B21190" w:rsidRDefault="0026472A" w:rsidP="0026472A">
      <w:pPr>
        <w:pStyle w:val="Sinespaciado"/>
      </w:pPr>
    </w:p>
    <w:p w14:paraId="30BD0D9E" w14:textId="588A2C67" w:rsidR="0026472A" w:rsidRPr="00B21190" w:rsidRDefault="0026472A" w:rsidP="0026472A">
      <w:pPr>
        <w:spacing w:line="360" w:lineRule="auto"/>
        <w:jc w:val="both"/>
        <w:rPr>
          <w:rFonts w:ascii="Palatino Linotype" w:hAnsi="Palatino Linotype" w:cs="Arial"/>
          <w:sz w:val="24"/>
          <w:szCs w:val="24"/>
          <w:lang w:val="es-ES_tradnl"/>
        </w:rPr>
      </w:pPr>
      <w:r w:rsidRPr="00B21190">
        <w:rPr>
          <w:rFonts w:ascii="Palatino Linotype" w:hAnsi="Palatino Linotype" w:cs="Arial"/>
          <w:b/>
          <w:sz w:val="28"/>
          <w:szCs w:val="24"/>
          <w:lang w:val="es-ES_tradnl"/>
        </w:rPr>
        <w:t>PRIMERO.</w:t>
      </w:r>
      <w:r w:rsidRPr="00B21190">
        <w:rPr>
          <w:rFonts w:ascii="Palatino Linotype" w:hAnsi="Palatino Linotype" w:cs="Arial"/>
          <w:sz w:val="28"/>
          <w:szCs w:val="24"/>
          <w:lang w:val="es-ES_tradnl"/>
        </w:rPr>
        <w:t xml:space="preserve"> </w:t>
      </w:r>
      <w:r w:rsidRPr="00B21190">
        <w:rPr>
          <w:rFonts w:ascii="Palatino Linotype" w:hAnsi="Palatino Linotype" w:cs="Arial"/>
          <w:sz w:val="24"/>
          <w:szCs w:val="24"/>
          <w:lang w:val="es-ES_tradnl"/>
        </w:rPr>
        <w:t xml:space="preserve">Se </w:t>
      </w:r>
      <w:r w:rsidRPr="00B21190">
        <w:rPr>
          <w:rFonts w:ascii="Palatino Linotype" w:hAnsi="Palatino Linotype" w:cs="Arial"/>
          <w:b/>
          <w:sz w:val="24"/>
          <w:szCs w:val="24"/>
          <w:lang w:val="es-ES_tradnl"/>
        </w:rPr>
        <w:t xml:space="preserve">SOBRESEE </w:t>
      </w:r>
      <w:r w:rsidRPr="00B21190">
        <w:rPr>
          <w:rFonts w:ascii="Palatino Linotype" w:hAnsi="Palatino Linotype" w:cs="Arial"/>
          <w:sz w:val="24"/>
          <w:szCs w:val="24"/>
          <w:lang w:val="es-ES_tradnl"/>
        </w:rPr>
        <w:t xml:space="preserve">el recurso de revisión número </w:t>
      </w:r>
      <w:r w:rsidR="00D2513F" w:rsidRPr="00D2513F">
        <w:rPr>
          <w:rFonts w:ascii="Palatino Linotype" w:hAnsi="Palatino Linotype" w:cs="Arial"/>
          <w:b/>
          <w:sz w:val="24"/>
          <w:szCs w:val="24"/>
          <w:lang w:val="es-ES_tradnl"/>
        </w:rPr>
        <w:t>01340/INFOEM/IP/RR/2021</w:t>
      </w:r>
      <w:r w:rsidRPr="00B21190">
        <w:rPr>
          <w:rFonts w:ascii="Palatino Linotype" w:hAnsi="Palatino Linotype" w:cs="Arial"/>
          <w:sz w:val="24"/>
          <w:szCs w:val="24"/>
          <w:lang w:val="es-ES_tradnl"/>
        </w:rPr>
        <w:t xml:space="preserve">, por actualizarse la causal de improcedencia inmersa en la fracción VI, del artículo 191, de la Ley de Transparencia vigente en la entidad, en términos del Considerando </w:t>
      </w:r>
      <w:r w:rsidRPr="00B21190">
        <w:rPr>
          <w:rFonts w:ascii="Palatino Linotype" w:hAnsi="Palatino Linotype" w:cs="Arial"/>
          <w:b/>
          <w:sz w:val="24"/>
          <w:szCs w:val="24"/>
          <w:lang w:val="es-ES_tradnl"/>
        </w:rPr>
        <w:t>TERCERO</w:t>
      </w:r>
      <w:r w:rsidRPr="00B21190">
        <w:rPr>
          <w:rFonts w:ascii="Palatino Linotype" w:hAnsi="Palatino Linotype" w:cs="Arial"/>
          <w:sz w:val="24"/>
          <w:szCs w:val="24"/>
          <w:lang w:val="es-ES_tradnl"/>
        </w:rPr>
        <w:t xml:space="preserve"> de la presente resolución.</w:t>
      </w:r>
    </w:p>
    <w:p w14:paraId="5FC042A2" w14:textId="77777777" w:rsidR="0026472A" w:rsidRPr="00B21190" w:rsidRDefault="0026472A" w:rsidP="0026472A">
      <w:pPr>
        <w:autoSpaceDE w:val="0"/>
        <w:autoSpaceDN w:val="0"/>
        <w:adjustRightInd w:val="0"/>
        <w:spacing w:after="0" w:line="360" w:lineRule="auto"/>
        <w:ind w:right="49"/>
        <w:jc w:val="both"/>
        <w:rPr>
          <w:rFonts w:ascii="Palatino Linotype" w:hAnsi="Palatino Linotype" w:cs="Arial"/>
          <w:sz w:val="24"/>
          <w:szCs w:val="24"/>
        </w:rPr>
      </w:pPr>
      <w:r w:rsidRPr="00B21190">
        <w:rPr>
          <w:rFonts w:ascii="Palatino Linotype" w:hAnsi="Palatino Linotype"/>
          <w:b/>
          <w:sz w:val="28"/>
          <w:szCs w:val="24"/>
        </w:rPr>
        <w:t>SEGUNDO.</w:t>
      </w:r>
      <w:r w:rsidRPr="00B21190">
        <w:rPr>
          <w:rFonts w:ascii="Palatino Linotype" w:hAnsi="Palatino Linotype" w:cs="Arial"/>
          <w:sz w:val="28"/>
          <w:szCs w:val="24"/>
        </w:rPr>
        <w:t xml:space="preserve"> </w:t>
      </w:r>
      <w:r w:rsidRPr="00B21190">
        <w:rPr>
          <w:rFonts w:ascii="Palatino Linotype" w:hAnsi="Palatino Linotype" w:cs="Arial"/>
          <w:b/>
          <w:sz w:val="24"/>
          <w:szCs w:val="24"/>
        </w:rPr>
        <w:t>NOTIFÍQUESE</w:t>
      </w:r>
      <w:r w:rsidRPr="00B21190">
        <w:rPr>
          <w:rFonts w:ascii="Palatino Linotype" w:hAnsi="Palatino Linotype" w:cs="Arial"/>
          <w:sz w:val="24"/>
          <w:szCs w:val="24"/>
        </w:rPr>
        <w:t xml:space="preserve"> vía </w:t>
      </w:r>
      <w:r w:rsidRPr="00B21190">
        <w:rPr>
          <w:rFonts w:ascii="Palatino Linotype" w:hAnsi="Palatino Linotype" w:cs="Arial"/>
          <w:b/>
          <w:sz w:val="24"/>
          <w:szCs w:val="24"/>
        </w:rPr>
        <w:t>SAIMEX</w:t>
      </w:r>
      <w:r w:rsidRPr="00B21190">
        <w:rPr>
          <w:rFonts w:ascii="Palatino Linotype" w:hAnsi="Palatino Linotype" w:cs="Arial"/>
          <w:sz w:val="24"/>
          <w:szCs w:val="24"/>
        </w:rPr>
        <w:t xml:space="preserve"> la presente resolución al Titular de la Unidad de Transparencia del </w:t>
      </w:r>
      <w:r w:rsidRPr="00B21190">
        <w:rPr>
          <w:rFonts w:ascii="Palatino Linotype" w:hAnsi="Palatino Linotype" w:cs="Arial"/>
          <w:b/>
          <w:sz w:val="24"/>
          <w:szCs w:val="24"/>
        </w:rPr>
        <w:t>Sujeto Obligado</w:t>
      </w:r>
      <w:r w:rsidRPr="00B21190">
        <w:rPr>
          <w:rFonts w:ascii="Palatino Linotype" w:hAnsi="Palatino Linotype" w:cs="Arial"/>
          <w:sz w:val="24"/>
          <w:szCs w:val="24"/>
        </w:rPr>
        <w:t>.</w:t>
      </w:r>
    </w:p>
    <w:p w14:paraId="6DC931B1" w14:textId="77777777" w:rsidR="0026472A" w:rsidRPr="00B21190" w:rsidRDefault="0026472A" w:rsidP="0026472A">
      <w:pPr>
        <w:spacing w:line="360" w:lineRule="auto"/>
        <w:jc w:val="both"/>
        <w:rPr>
          <w:rFonts w:ascii="Palatino Linotype" w:hAnsi="Palatino Linotype" w:cs="Arial"/>
          <w:sz w:val="16"/>
          <w:szCs w:val="16"/>
          <w:lang w:val="es-ES_tradnl"/>
        </w:rPr>
      </w:pPr>
    </w:p>
    <w:p w14:paraId="5A844245" w14:textId="77777777" w:rsidR="0026472A" w:rsidRPr="00B21190" w:rsidRDefault="0026472A" w:rsidP="0026472A">
      <w:pPr>
        <w:autoSpaceDE w:val="0"/>
        <w:autoSpaceDN w:val="0"/>
        <w:adjustRightInd w:val="0"/>
        <w:spacing w:after="0" w:line="360" w:lineRule="auto"/>
        <w:jc w:val="both"/>
        <w:rPr>
          <w:rFonts w:ascii="Palatino Linotype" w:hAnsi="Palatino Linotype" w:cs="Arial"/>
          <w:b/>
          <w:sz w:val="24"/>
          <w:szCs w:val="24"/>
        </w:rPr>
      </w:pPr>
      <w:r w:rsidRPr="00B21190">
        <w:rPr>
          <w:rFonts w:ascii="Palatino Linotype" w:hAnsi="Palatino Linotype" w:cs="Arial"/>
          <w:b/>
          <w:sz w:val="28"/>
          <w:szCs w:val="24"/>
        </w:rPr>
        <w:t xml:space="preserve">TERCERO. </w:t>
      </w:r>
      <w:r w:rsidRPr="00B21190">
        <w:rPr>
          <w:rFonts w:ascii="Palatino Linotype" w:hAnsi="Palatino Linotype" w:cs="Arial"/>
          <w:b/>
          <w:sz w:val="24"/>
          <w:szCs w:val="24"/>
        </w:rPr>
        <w:t>NOTIFÍQUESE</w:t>
      </w:r>
      <w:r w:rsidRPr="00B21190">
        <w:rPr>
          <w:rFonts w:ascii="Palatino Linotype" w:hAnsi="Palatino Linotype" w:cs="Arial"/>
          <w:sz w:val="24"/>
          <w:szCs w:val="24"/>
        </w:rPr>
        <w:t xml:space="preserve"> a</w:t>
      </w:r>
      <w:r>
        <w:rPr>
          <w:rFonts w:ascii="Palatino Linotype" w:hAnsi="Palatino Linotype" w:cs="Arial"/>
          <w:sz w:val="24"/>
          <w:szCs w:val="24"/>
        </w:rPr>
        <w:t>l</w:t>
      </w:r>
      <w:r w:rsidRPr="00B21190">
        <w:rPr>
          <w:rFonts w:ascii="Palatino Linotype" w:hAnsi="Palatino Linotype" w:cs="Arial"/>
          <w:b/>
          <w:sz w:val="24"/>
          <w:szCs w:val="24"/>
        </w:rPr>
        <w:t xml:space="preserve"> Recurrente</w:t>
      </w:r>
      <w:r w:rsidRPr="00B21190">
        <w:rPr>
          <w:rFonts w:ascii="Palatino Linotype" w:hAnsi="Palatino Linotype" w:cs="Arial"/>
          <w:sz w:val="24"/>
          <w:szCs w:val="24"/>
        </w:rPr>
        <w:t>, la presente resolución y hágase del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EEF2B5B" w14:textId="77777777" w:rsidR="0026472A" w:rsidRPr="00B21190" w:rsidRDefault="0026472A" w:rsidP="0026472A">
      <w:pPr>
        <w:tabs>
          <w:tab w:val="left" w:pos="709"/>
        </w:tabs>
        <w:spacing w:line="360" w:lineRule="auto"/>
        <w:jc w:val="both"/>
        <w:rPr>
          <w:rFonts w:ascii="Palatino Linotype" w:hAnsi="Palatino Linotype"/>
          <w:sz w:val="10"/>
          <w:szCs w:val="24"/>
        </w:rPr>
      </w:pPr>
    </w:p>
    <w:p w14:paraId="6C7B9AB4" w14:textId="77777777" w:rsidR="00BE69F0" w:rsidRPr="000C270E" w:rsidRDefault="00BE69F0" w:rsidP="00BE69F0">
      <w:pPr>
        <w:pStyle w:val="Sinespaciado"/>
        <w:spacing w:line="360" w:lineRule="auto"/>
        <w:jc w:val="both"/>
        <w:rPr>
          <w:rFonts w:ascii="Palatino Linotype" w:hAnsi="Palatino Linotype" w:cs="Arial"/>
        </w:rPr>
      </w:pPr>
    </w:p>
    <w:p w14:paraId="54C5E3D1" w14:textId="1D6E2CA6" w:rsidR="00C4617F" w:rsidRDefault="00BE69F0" w:rsidP="00D2513F">
      <w:pPr>
        <w:spacing w:after="0" w:line="360" w:lineRule="auto"/>
        <w:jc w:val="both"/>
        <w:rPr>
          <w:rFonts w:ascii="Palatino Linotype" w:hAnsi="Palatino Linotype" w:cs="Arial"/>
          <w:sz w:val="16"/>
          <w:szCs w:val="16"/>
        </w:rPr>
      </w:pPr>
      <w:r w:rsidRPr="000C270E">
        <w:rPr>
          <w:rFonts w:ascii="Palatino Linotype" w:hAnsi="Palatino Linotype" w:cs="Arial"/>
          <w:sz w:val="24"/>
          <w:szCs w:val="24"/>
        </w:rPr>
        <w:t>ASÍ LO RESUELVE, POR UNANIMIDAD DE VOTOS EL PLENO DEL</w:t>
      </w:r>
      <w:r w:rsidRPr="000C27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270E">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D2513F">
        <w:rPr>
          <w:rFonts w:ascii="Palatino Linotype" w:hAnsi="Palatino Linotype" w:cs="Arial"/>
          <w:sz w:val="24"/>
          <w:szCs w:val="24"/>
        </w:rPr>
        <w:t xml:space="preserve">DÉCIMA </w:t>
      </w:r>
      <w:r w:rsidR="001E1B11">
        <w:rPr>
          <w:rFonts w:ascii="Palatino Linotype" w:hAnsi="Palatino Linotype" w:cs="Arial"/>
          <w:sz w:val="24"/>
          <w:szCs w:val="24"/>
        </w:rPr>
        <w:lastRenderedPageBreak/>
        <w:t>NOVENA</w:t>
      </w:r>
      <w:r w:rsidRPr="000C270E">
        <w:rPr>
          <w:rFonts w:ascii="Palatino Linotype" w:hAnsi="Palatino Linotype" w:cs="Arial"/>
          <w:sz w:val="24"/>
          <w:szCs w:val="24"/>
        </w:rPr>
        <w:t xml:space="preserve"> SESIÓN ORDINARIA CELEBRADA EL </w:t>
      </w:r>
      <w:r w:rsidR="00D2513F">
        <w:rPr>
          <w:rFonts w:ascii="Palatino Linotype" w:hAnsi="Palatino Linotype" w:cs="Arial"/>
          <w:sz w:val="24"/>
          <w:szCs w:val="24"/>
        </w:rPr>
        <w:t>DOS DE JUNIO</w:t>
      </w:r>
      <w:r w:rsidR="00AD3FF2">
        <w:rPr>
          <w:rFonts w:ascii="Palatino Linotype" w:hAnsi="Palatino Linotype" w:cs="Arial"/>
          <w:sz w:val="24"/>
          <w:szCs w:val="24"/>
        </w:rPr>
        <w:t xml:space="preserve"> DE DOS MIL VEINTIUNO</w:t>
      </w:r>
      <w:r w:rsidRPr="000C270E">
        <w:rPr>
          <w:rFonts w:ascii="Palatino Linotype" w:hAnsi="Palatino Linotype" w:cs="Arial"/>
          <w:sz w:val="24"/>
          <w:szCs w:val="24"/>
        </w:rPr>
        <w:t>, ANTE EL SECRETARIO TÉCNICO DEL PLENO, ALEXIS TAPIA RAMÍREZ.</w:t>
      </w:r>
      <w:r w:rsidR="00A80AAB">
        <w:rPr>
          <w:rFonts w:ascii="Palatino Linotype" w:hAnsi="Palatino Linotype" w:cs="Arial"/>
          <w:sz w:val="24"/>
          <w:szCs w:val="24"/>
        </w:rPr>
        <w:t>-------------------------------------------------------------------------------------------------------------------------------------------------------------------------------------------------------------------------------------------------------------------------------------------------------------------------------------------------------------------------------------------------------------------</w:t>
      </w:r>
      <w:r w:rsidR="00BB1C40">
        <w:rPr>
          <w:rFonts w:ascii="Palatino Linotype" w:hAnsi="Palatino Linotype" w:cs="Arial"/>
          <w:sz w:val="24"/>
          <w:szCs w:val="24"/>
        </w:rPr>
        <w:t>----------------------------------------------------------------------------------------------------------------------------------------------------------------------------------------------------------------------------------------------------------------------------------------------------------------------------------------------------------------------------------------------------------------------------------------------------------------------------------------------------------------------------------------------------------------------------------------------------------------------------------------------------------------------------------------------------------------------------------------------------------------------------------------------------------------------------------------------------------------------------------------------------------------------------------------</w:t>
      </w:r>
      <w:r w:rsidR="00A80AAB">
        <w:rPr>
          <w:rFonts w:ascii="Palatino Linotype" w:hAnsi="Palatino Linotype" w:cs="Arial"/>
          <w:sz w:val="24"/>
          <w:szCs w:val="24"/>
        </w:rPr>
        <w:t>---------------------------------</w:t>
      </w:r>
      <w:r w:rsidR="00AB15AF">
        <w:rPr>
          <w:rFonts w:ascii="Palatino Linotype" w:hAnsi="Palatino Linotype" w:cs="Arial"/>
          <w:sz w:val="24"/>
          <w:szCs w:val="24"/>
        </w:rPr>
        <w:t>--------------------------------------------------------------------------------------------------------------------------------------------------------------------------------------------------------------------------------------------------------------------------------------------------------------------------------------------------------------------------------------------------------------------------------------------------------------------------------------------------------------------------------------------------------------------------------------------------------------------------------------------------------------------------------------------------------------------------------------------------------------------------------------------------------------------------------------------------------------------------------------------------------------------------------------------------------------------------------------------------------------------------------------------------------------------------------------------------------------------------------------------------------------------------</w:t>
      </w:r>
      <w:r w:rsidR="00A80AAB">
        <w:rPr>
          <w:rFonts w:ascii="Palatino Linotype" w:hAnsi="Palatino Linotype" w:cs="Arial"/>
          <w:sz w:val="24"/>
          <w:szCs w:val="24"/>
        </w:rPr>
        <w:t>-</w:t>
      </w:r>
      <w:r w:rsidRPr="000C270E">
        <w:rPr>
          <w:rFonts w:ascii="Palatino Linotype" w:hAnsi="Palatino Linotype" w:cs="Arial"/>
          <w:sz w:val="16"/>
          <w:szCs w:val="16"/>
        </w:rPr>
        <w:t>ZMS/OSAM/</w:t>
      </w:r>
      <w:r w:rsidR="00D2513F">
        <w:rPr>
          <w:rFonts w:ascii="Palatino Linotype" w:hAnsi="Palatino Linotype" w:cs="Arial"/>
          <w:sz w:val="16"/>
          <w:szCs w:val="16"/>
        </w:rPr>
        <w:t>EJDG</w:t>
      </w:r>
    </w:p>
    <w:p w14:paraId="4C4AE0F8" w14:textId="6FA56F65" w:rsidR="00A00D23" w:rsidRDefault="00A00D23" w:rsidP="00D2513F">
      <w:pPr>
        <w:spacing w:after="0" w:line="360" w:lineRule="auto"/>
        <w:jc w:val="both"/>
        <w:rPr>
          <w:rFonts w:ascii="Palatino Linotype" w:hAnsi="Palatino Linotype" w:cs="Arial"/>
          <w:sz w:val="16"/>
          <w:szCs w:val="16"/>
        </w:rPr>
      </w:pPr>
    </w:p>
    <w:p w14:paraId="38AF65B6" w14:textId="77777777" w:rsidR="00A00D23" w:rsidRPr="00D2513F" w:rsidRDefault="00A00D23" w:rsidP="00D2513F">
      <w:pPr>
        <w:spacing w:after="0" w:line="360" w:lineRule="auto"/>
        <w:jc w:val="both"/>
        <w:rPr>
          <w:rFonts w:ascii="Palatino Linotype" w:hAnsi="Palatino Linotype" w:cs="Arial"/>
          <w:sz w:val="24"/>
          <w:szCs w:val="24"/>
        </w:rPr>
      </w:pPr>
    </w:p>
    <w:sectPr w:rsidR="00A00D23" w:rsidRPr="00D2513F" w:rsidSect="003D2AC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A5675" w14:textId="77777777" w:rsidR="007E7857" w:rsidRDefault="007E7857" w:rsidP="00BE69F0">
      <w:pPr>
        <w:spacing w:after="0" w:line="240" w:lineRule="auto"/>
      </w:pPr>
      <w:r>
        <w:separator/>
      </w:r>
    </w:p>
  </w:endnote>
  <w:endnote w:type="continuationSeparator" w:id="0">
    <w:p w14:paraId="05A044F6" w14:textId="77777777" w:rsidR="007E7857" w:rsidRDefault="007E7857" w:rsidP="00B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EF89" w14:textId="77777777"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54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540">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0BDD" w14:textId="77777777" w:rsidR="003D2ACF" w:rsidRPr="000B69FA" w:rsidRDefault="003D2ACF" w:rsidP="003D2AC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15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15A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58886" w14:textId="77777777" w:rsidR="007E7857" w:rsidRDefault="007E7857" w:rsidP="00BE69F0">
      <w:pPr>
        <w:spacing w:after="0" w:line="240" w:lineRule="auto"/>
      </w:pPr>
      <w:r>
        <w:separator/>
      </w:r>
    </w:p>
  </w:footnote>
  <w:footnote w:type="continuationSeparator" w:id="0">
    <w:p w14:paraId="41CA1A1C" w14:textId="77777777" w:rsidR="007E7857" w:rsidRDefault="007E7857" w:rsidP="00BE69F0">
      <w:pPr>
        <w:spacing w:after="0" w:line="240" w:lineRule="auto"/>
      </w:pPr>
      <w:r>
        <w:continuationSeparator/>
      </w:r>
    </w:p>
  </w:footnote>
  <w:footnote w:id="1">
    <w:p w14:paraId="5811A3F9" w14:textId="77777777" w:rsidR="001C1620" w:rsidRPr="00911081" w:rsidRDefault="001C1620" w:rsidP="001C162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CC7980" w14:textId="77777777" w:rsidR="001C1620" w:rsidRPr="00911081" w:rsidRDefault="001C1620" w:rsidP="001C162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F4D1" w14:textId="798AC822" w:rsidR="00D20797" w:rsidRDefault="007E7857">
    <w:pPr>
      <w:pStyle w:val="Encabezado"/>
    </w:pPr>
    <w:r>
      <w:rPr>
        <w:noProof/>
        <w:lang w:val="es-MX" w:eastAsia="es-MX"/>
      </w:rPr>
      <w:pict w14:anchorId="5C2CC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9217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FAE5D" w14:textId="3CAA3056" w:rsidR="003D2ACF" w:rsidRDefault="007E7857">
    <w:pPr>
      <w:pStyle w:val="Encabezado"/>
    </w:pPr>
    <w:r>
      <w:rPr>
        <w:noProof/>
        <w:lang w:val="es-MX" w:eastAsia="es-MX"/>
      </w:rPr>
      <w:pict w14:anchorId="680D1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9217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D2ACF" w14:paraId="77061277" w14:textId="77777777" w:rsidTr="003D2ACF">
      <w:trPr>
        <w:trHeight w:val="227"/>
      </w:trPr>
      <w:tc>
        <w:tcPr>
          <w:tcW w:w="5529" w:type="dxa"/>
          <w:hideMark/>
        </w:tcPr>
        <w:p w14:paraId="71010F82"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0BCD361" w14:textId="273BAA3A" w:rsidR="003D2ACF" w:rsidRDefault="00984798" w:rsidP="003D2ACF">
          <w:pPr>
            <w:spacing w:after="120" w:line="240" w:lineRule="auto"/>
            <w:ind w:left="-486" w:right="214" w:firstLine="1585"/>
            <w:jc w:val="right"/>
            <w:rPr>
              <w:rFonts w:ascii="Palatino Linotype" w:hAnsi="Palatino Linotype" w:cs="Arial"/>
              <w:szCs w:val="20"/>
            </w:rPr>
          </w:pPr>
          <w:r w:rsidRPr="00984798">
            <w:rPr>
              <w:rFonts w:ascii="Palatino Linotype" w:hAnsi="Palatino Linotype" w:cs="Arial"/>
              <w:bCs/>
              <w:sz w:val="24"/>
              <w:lang w:eastAsia="es-MX"/>
            </w:rPr>
            <w:t>01340/INFOEM/IP/RR/2021</w:t>
          </w:r>
        </w:p>
      </w:tc>
    </w:tr>
    <w:tr w:rsidR="003D2ACF" w14:paraId="110FE472" w14:textId="77777777" w:rsidTr="003D2ACF">
      <w:trPr>
        <w:trHeight w:val="242"/>
      </w:trPr>
      <w:tc>
        <w:tcPr>
          <w:tcW w:w="5529" w:type="dxa"/>
          <w:hideMark/>
        </w:tcPr>
        <w:p w14:paraId="3EFF6474"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BD8E7B" w14:textId="6A7793F8" w:rsidR="003D2ACF" w:rsidRPr="007070A4" w:rsidRDefault="00BB1C40" w:rsidP="003D2ACF">
          <w:pPr>
            <w:spacing w:after="120" w:line="240" w:lineRule="auto"/>
            <w:ind w:left="-486" w:right="214" w:firstLine="558"/>
            <w:jc w:val="right"/>
            <w:rPr>
              <w:rFonts w:ascii="Palatino Linotype" w:hAnsi="Palatino Linotype" w:cs="Arial"/>
              <w:sz w:val="24"/>
              <w:szCs w:val="24"/>
            </w:rPr>
          </w:pPr>
          <w:r w:rsidRPr="00BB1C40">
            <w:rPr>
              <w:rFonts w:ascii="Palatino Linotype" w:hAnsi="Palatino Linotype" w:cs="Arial"/>
              <w:szCs w:val="20"/>
            </w:rPr>
            <w:t>Ayuntamiento de Nicolás Romero</w:t>
          </w:r>
        </w:p>
      </w:tc>
    </w:tr>
    <w:tr w:rsidR="003D2ACF" w14:paraId="4654043C" w14:textId="77777777" w:rsidTr="003D2ACF">
      <w:trPr>
        <w:trHeight w:val="342"/>
      </w:trPr>
      <w:tc>
        <w:tcPr>
          <w:tcW w:w="5529" w:type="dxa"/>
          <w:hideMark/>
        </w:tcPr>
        <w:p w14:paraId="29BBA223" w14:textId="77777777"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7DF73" w14:textId="77777777"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335A40" w14:textId="77777777" w:rsidR="003D2ACF" w:rsidRDefault="003D2AC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D2ACF" w14:paraId="6EC73948" w14:textId="77777777" w:rsidTr="003D2ACF">
      <w:trPr>
        <w:trHeight w:val="227"/>
      </w:trPr>
      <w:tc>
        <w:tcPr>
          <w:tcW w:w="5529" w:type="dxa"/>
          <w:hideMark/>
        </w:tcPr>
        <w:p w14:paraId="2807B0BA"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A13A5AA" w14:textId="01111788" w:rsidR="003D2ACF" w:rsidRPr="00B4142F" w:rsidRDefault="00984798" w:rsidP="003C076D">
          <w:pPr>
            <w:spacing w:after="120" w:line="240" w:lineRule="auto"/>
            <w:ind w:left="-486" w:right="214" w:firstLine="1408"/>
            <w:jc w:val="right"/>
            <w:rPr>
              <w:rFonts w:ascii="Palatino Linotype" w:hAnsi="Palatino Linotype" w:cs="Arial"/>
              <w:szCs w:val="20"/>
            </w:rPr>
          </w:pPr>
          <w:r w:rsidRPr="00984798">
            <w:rPr>
              <w:rFonts w:ascii="Palatino Linotype" w:hAnsi="Palatino Linotype" w:cs="Arial"/>
              <w:bCs/>
              <w:sz w:val="24"/>
              <w:lang w:eastAsia="es-MX"/>
            </w:rPr>
            <w:t>01340/INFOEM/IP/RR/2021</w:t>
          </w:r>
        </w:p>
      </w:tc>
    </w:tr>
    <w:tr w:rsidR="003D2ACF" w14:paraId="71C3ABEA" w14:textId="77777777" w:rsidTr="003D2ACF">
      <w:trPr>
        <w:trHeight w:val="196"/>
      </w:trPr>
      <w:tc>
        <w:tcPr>
          <w:tcW w:w="5529" w:type="dxa"/>
          <w:hideMark/>
        </w:tcPr>
        <w:p w14:paraId="6BED66C8"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D8CE897" w14:textId="695692D8" w:rsidR="003D2ACF" w:rsidRPr="00F06FED" w:rsidRDefault="00E615A5" w:rsidP="003D2ACF">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3D2ACF" w14:paraId="65379B40" w14:textId="77777777" w:rsidTr="003D2ACF">
      <w:trPr>
        <w:trHeight w:val="242"/>
      </w:trPr>
      <w:tc>
        <w:tcPr>
          <w:tcW w:w="5529" w:type="dxa"/>
          <w:hideMark/>
        </w:tcPr>
        <w:p w14:paraId="7AA71FA6" w14:textId="77777777" w:rsidR="003D2ACF" w:rsidRDefault="003D2ACF" w:rsidP="003D2ACF">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8761604" w14:textId="7B11037F" w:rsidR="003D2ACF" w:rsidRDefault="00984798" w:rsidP="003D2ACF">
          <w:pPr>
            <w:spacing w:after="120" w:line="240" w:lineRule="auto"/>
            <w:ind w:left="-495" w:right="214" w:firstLine="567"/>
            <w:jc w:val="right"/>
            <w:rPr>
              <w:rFonts w:ascii="Palatino Linotype" w:hAnsi="Palatino Linotype" w:cs="Arial"/>
              <w:szCs w:val="20"/>
            </w:rPr>
          </w:pPr>
          <w:r w:rsidRPr="00984798">
            <w:rPr>
              <w:rFonts w:ascii="Palatino Linotype" w:hAnsi="Palatino Linotype" w:cs="Arial"/>
              <w:szCs w:val="20"/>
            </w:rPr>
            <w:t>Ayuntamiento de Nicolás Romero</w:t>
          </w:r>
        </w:p>
      </w:tc>
    </w:tr>
    <w:tr w:rsidR="003D2ACF" w14:paraId="2ACBE582" w14:textId="77777777" w:rsidTr="003D2ACF">
      <w:trPr>
        <w:trHeight w:val="342"/>
      </w:trPr>
      <w:tc>
        <w:tcPr>
          <w:tcW w:w="5529" w:type="dxa"/>
          <w:hideMark/>
        </w:tcPr>
        <w:p w14:paraId="214BD393" w14:textId="77777777" w:rsidR="003D2ACF" w:rsidRDefault="003D2ACF" w:rsidP="003D2ACF">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006266" w14:textId="77777777" w:rsidR="003D2ACF" w:rsidRDefault="003D2ACF" w:rsidP="003D2ACF">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B3068D7" w14:textId="50AD8E20" w:rsidR="003D2ACF" w:rsidRDefault="007E7857">
    <w:pPr>
      <w:pStyle w:val="Encabezado"/>
    </w:pPr>
    <w:r>
      <w:rPr>
        <w:noProof/>
        <w:lang w:val="es-MX" w:eastAsia="es-MX"/>
      </w:rPr>
      <w:pict w14:anchorId="2D323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9217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9231384"/>
    <w:multiLevelType w:val="hybridMultilevel"/>
    <w:tmpl w:val="413284BC"/>
    <w:lvl w:ilvl="0" w:tplc="34C4A144">
      <w:start w:val="1"/>
      <w:numFmt w:val="lowerLetter"/>
      <w:lvlText w:val="%1)"/>
      <w:lvlJc w:val="left"/>
      <w:pPr>
        <w:ind w:left="720" w:hanging="360"/>
      </w:pPr>
      <w:rPr>
        <w:rFonts w:ascii="Calibri-Bold" w:hAnsi="Calibri-Bold" w:cs="Calibri-Bold"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703FD6"/>
    <w:multiLevelType w:val="hybridMultilevel"/>
    <w:tmpl w:val="7DAA778A"/>
    <w:lvl w:ilvl="0" w:tplc="FC1AFD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3375B4"/>
    <w:multiLevelType w:val="hybridMultilevel"/>
    <w:tmpl w:val="CE425CA0"/>
    <w:lvl w:ilvl="0" w:tplc="2D8A52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632FC4"/>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3C6F7B"/>
    <w:multiLevelType w:val="hybridMultilevel"/>
    <w:tmpl w:val="598826F8"/>
    <w:lvl w:ilvl="0" w:tplc="3692E1EA">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nsid w:val="34317490"/>
    <w:multiLevelType w:val="hybridMultilevel"/>
    <w:tmpl w:val="14928C02"/>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1F65E1"/>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nsid w:val="40E97AED"/>
    <w:multiLevelType w:val="hybridMultilevel"/>
    <w:tmpl w:val="F620AC56"/>
    <w:lvl w:ilvl="0" w:tplc="F1444E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2E6CFB"/>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353522F"/>
    <w:multiLevelType w:val="hybridMultilevel"/>
    <w:tmpl w:val="4BBCF57E"/>
    <w:lvl w:ilvl="0" w:tplc="8AE0246C">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AC8053A"/>
    <w:multiLevelType w:val="hybridMultilevel"/>
    <w:tmpl w:val="709CAEB6"/>
    <w:lvl w:ilvl="0" w:tplc="82C2B4EE">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6D245D"/>
    <w:multiLevelType w:val="hybridMultilevel"/>
    <w:tmpl w:val="D8B67AFE"/>
    <w:lvl w:ilvl="0" w:tplc="D7AC84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7D19D9"/>
    <w:multiLevelType w:val="hybridMultilevel"/>
    <w:tmpl w:val="565218D0"/>
    <w:lvl w:ilvl="0" w:tplc="28F24F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7F3A4E"/>
    <w:multiLevelType w:val="hybridMultilevel"/>
    <w:tmpl w:val="B1743076"/>
    <w:lvl w:ilvl="0" w:tplc="080A000F">
      <w:start w:val="1"/>
      <w:numFmt w:val="decimal"/>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8"/>
  </w:num>
  <w:num w:numId="4">
    <w:abstractNumId w:val="5"/>
  </w:num>
  <w:num w:numId="5">
    <w:abstractNumId w:val="6"/>
  </w:num>
  <w:num w:numId="6">
    <w:abstractNumId w:val="1"/>
  </w:num>
  <w:num w:numId="7">
    <w:abstractNumId w:val="4"/>
  </w:num>
  <w:num w:numId="8">
    <w:abstractNumId w:val="8"/>
  </w:num>
  <w:num w:numId="9">
    <w:abstractNumId w:val="15"/>
  </w:num>
  <w:num w:numId="10">
    <w:abstractNumId w:val="16"/>
  </w:num>
  <w:num w:numId="11">
    <w:abstractNumId w:val="10"/>
  </w:num>
  <w:num w:numId="12">
    <w:abstractNumId w:val="19"/>
  </w:num>
  <w:num w:numId="13">
    <w:abstractNumId w:val="17"/>
  </w:num>
  <w:num w:numId="14">
    <w:abstractNumId w:val="20"/>
  </w:num>
  <w:num w:numId="15">
    <w:abstractNumId w:val="14"/>
  </w:num>
  <w:num w:numId="16">
    <w:abstractNumId w:val="2"/>
  </w:num>
  <w:num w:numId="17">
    <w:abstractNumId w:val="13"/>
  </w:num>
  <w:num w:numId="18">
    <w:abstractNumId w:val="3"/>
  </w:num>
  <w:num w:numId="19">
    <w:abstractNumId w:val="12"/>
  </w:num>
  <w:num w:numId="20">
    <w:abstractNumId w:val="9"/>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F0"/>
    <w:rsid w:val="00007A91"/>
    <w:rsid w:val="000506E9"/>
    <w:rsid w:val="00076BEA"/>
    <w:rsid w:val="001313BE"/>
    <w:rsid w:val="00144455"/>
    <w:rsid w:val="001958DE"/>
    <w:rsid w:val="001C1620"/>
    <w:rsid w:val="001C37B0"/>
    <w:rsid w:val="001E1B11"/>
    <w:rsid w:val="0025007C"/>
    <w:rsid w:val="0026472A"/>
    <w:rsid w:val="00295A5B"/>
    <w:rsid w:val="002C3BBE"/>
    <w:rsid w:val="002E5FAD"/>
    <w:rsid w:val="00311983"/>
    <w:rsid w:val="003748D7"/>
    <w:rsid w:val="003C076D"/>
    <w:rsid w:val="003D2ACF"/>
    <w:rsid w:val="00405D0E"/>
    <w:rsid w:val="00446A5E"/>
    <w:rsid w:val="004F0F40"/>
    <w:rsid w:val="00572111"/>
    <w:rsid w:val="00572765"/>
    <w:rsid w:val="00653691"/>
    <w:rsid w:val="00665290"/>
    <w:rsid w:val="006A74FE"/>
    <w:rsid w:val="006B3540"/>
    <w:rsid w:val="007E7857"/>
    <w:rsid w:val="007F10AC"/>
    <w:rsid w:val="00842F8E"/>
    <w:rsid w:val="00850220"/>
    <w:rsid w:val="008504E5"/>
    <w:rsid w:val="00856308"/>
    <w:rsid w:val="008775B0"/>
    <w:rsid w:val="0094639F"/>
    <w:rsid w:val="00950AD9"/>
    <w:rsid w:val="00984798"/>
    <w:rsid w:val="009A557E"/>
    <w:rsid w:val="00A00D23"/>
    <w:rsid w:val="00A01A1A"/>
    <w:rsid w:val="00A05761"/>
    <w:rsid w:val="00A1288B"/>
    <w:rsid w:val="00A16E33"/>
    <w:rsid w:val="00A26F2D"/>
    <w:rsid w:val="00A546BC"/>
    <w:rsid w:val="00A57972"/>
    <w:rsid w:val="00A64AD4"/>
    <w:rsid w:val="00A80AAB"/>
    <w:rsid w:val="00A97B71"/>
    <w:rsid w:val="00AB15AF"/>
    <w:rsid w:val="00AD3FF2"/>
    <w:rsid w:val="00AF0D0D"/>
    <w:rsid w:val="00B010CA"/>
    <w:rsid w:val="00B371E1"/>
    <w:rsid w:val="00B409C4"/>
    <w:rsid w:val="00B83893"/>
    <w:rsid w:val="00BB1C40"/>
    <w:rsid w:val="00BE69F0"/>
    <w:rsid w:val="00C4617F"/>
    <w:rsid w:val="00C538AE"/>
    <w:rsid w:val="00C66595"/>
    <w:rsid w:val="00CB53B6"/>
    <w:rsid w:val="00CF1F1B"/>
    <w:rsid w:val="00D07488"/>
    <w:rsid w:val="00D20797"/>
    <w:rsid w:val="00D22F83"/>
    <w:rsid w:val="00D2513F"/>
    <w:rsid w:val="00D94004"/>
    <w:rsid w:val="00D95850"/>
    <w:rsid w:val="00DB0A6B"/>
    <w:rsid w:val="00E01F3E"/>
    <w:rsid w:val="00E433CC"/>
    <w:rsid w:val="00E615A5"/>
    <w:rsid w:val="00F20E9A"/>
    <w:rsid w:val="00F26A40"/>
    <w:rsid w:val="00F96454"/>
    <w:rsid w:val="00FC2BB5"/>
    <w:rsid w:val="00FF37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9FE2B"/>
  <w15:chartTrackingRefBased/>
  <w15:docId w15:val="{4278C7E3-6195-4271-8C72-01FC265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A5B"/>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BE69F0"/>
    <w:pPr>
      <w:keepNext/>
      <w:spacing w:before="240" w:after="60" w:line="240" w:lineRule="auto"/>
      <w:outlineLvl w:val="0"/>
    </w:pPr>
    <w:rPr>
      <w:rFonts w:ascii="Arial" w:eastAsia="Times New Roman" w:hAnsi="Arial"/>
      <w:b/>
      <w:bCs/>
      <w:spacing w:val="30"/>
      <w:kern w:val="32"/>
      <w:sz w:val="24"/>
      <w:szCs w:val="32"/>
      <w:lang w:val="es-ES_tradnl"/>
    </w:rPr>
  </w:style>
  <w:style w:type="paragraph" w:styleId="Ttulo2">
    <w:name w:val="heading 2"/>
    <w:basedOn w:val="Normal"/>
    <w:next w:val="Normal"/>
    <w:link w:val="Ttulo2Car"/>
    <w:uiPriority w:val="9"/>
    <w:unhideWhenUsed/>
    <w:qFormat/>
    <w:rsid w:val="00BE69F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BE69F0"/>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9F0"/>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E69F0"/>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BE69F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E69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E69F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E69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69F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69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E69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E69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E69F0"/>
    <w:rPr>
      <w:color w:val="0563C1" w:themeColor="hyperlink"/>
      <w:u w:val="single"/>
    </w:rPr>
  </w:style>
  <w:style w:type="paragraph" w:styleId="Sinespaciado">
    <w:name w:val="No Spacing"/>
    <w:aliases w:val="Francesa"/>
    <w:link w:val="SinespaciadoCar"/>
    <w:uiPriority w:val="1"/>
    <w:qFormat/>
    <w:rsid w:val="00BE69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E69F0"/>
    <w:rPr>
      <w:b/>
      <w:bCs/>
    </w:rPr>
  </w:style>
  <w:style w:type="character" w:customStyle="1" w:styleId="SinespaciadoCar">
    <w:name w:val="Sin espaciado Car"/>
    <w:aliases w:val="Francesa Car"/>
    <w:link w:val="Sinespaciado"/>
    <w:uiPriority w:val="1"/>
    <w:locked/>
    <w:rsid w:val="00BE69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E69F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E69F0"/>
    <w:rPr>
      <w:sz w:val="20"/>
      <w:szCs w:val="20"/>
    </w:rPr>
  </w:style>
  <w:style w:type="paragraph" w:styleId="Textosinformato">
    <w:name w:val="Plain Text"/>
    <w:basedOn w:val="Normal"/>
    <w:link w:val="TextosinformatoCar"/>
    <w:rsid w:val="00BE69F0"/>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BE69F0"/>
    <w:rPr>
      <w:rFonts w:ascii="Courier New" w:eastAsia="Times New Roman" w:hAnsi="Courier New" w:cs="Times New Roman"/>
      <w:sz w:val="20"/>
      <w:szCs w:val="20"/>
      <w:lang w:val="es-ES" w:eastAsia="es-ES"/>
    </w:rPr>
  </w:style>
  <w:style w:type="paragraph" w:customStyle="1" w:styleId="Texto">
    <w:name w:val="Texto"/>
    <w:basedOn w:val="Normal"/>
    <w:link w:val="TextoCar"/>
    <w:rsid w:val="00BE69F0"/>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E69F0"/>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BE69F0"/>
    <w:rPr>
      <w:rFonts w:ascii="Tahoma" w:hAnsi="Tahoma" w:cs="Tahoma"/>
      <w:sz w:val="16"/>
      <w:szCs w:val="16"/>
    </w:rPr>
  </w:style>
  <w:style w:type="paragraph" w:customStyle="1" w:styleId="Default">
    <w:name w:val="Default"/>
    <w:rsid w:val="00BE69F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E69F0"/>
    <w:rPr>
      <w:sz w:val="16"/>
      <w:szCs w:val="16"/>
    </w:rPr>
  </w:style>
  <w:style w:type="paragraph" w:styleId="Textocomentario">
    <w:name w:val="annotation text"/>
    <w:basedOn w:val="Normal"/>
    <w:link w:val="TextocomentarioCar"/>
    <w:uiPriority w:val="99"/>
    <w:semiHidden/>
    <w:unhideWhenUsed/>
    <w:rsid w:val="00BE69F0"/>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BE69F0"/>
    <w:rPr>
      <w:sz w:val="20"/>
      <w:szCs w:val="20"/>
    </w:rPr>
  </w:style>
  <w:style w:type="paragraph" w:styleId="Asuntodelcomentario">
    <w:name w:val="annotation subject"/>
    <w:basedOn w:val="Textocomentario"/>
    <w:next w:val="Textocomentario"/>
    <w:link w:val="AsuntodelcomentarioCar"/>
    <w:uiPriority w:val="99"/>
    <w:semiHidden/>
    <w:unhideWhenUsed/>
    <w:rsid w:val="00BE69F0"/>
    <w:rPr>
      <w:b/>
      <w:bCs/>
    </w:rPr>
  </w:style>
  <w:style w:type="character" w:customStyle="1" w:styleId="AsuntodelcomentarioCar">
    <w:name w:val="Asunto del comentario Car"/>
    <w:basedOn w:val="TextocomentarioCar"/>
    <w:link w:val="Asuntodelcomentario"/>
    <w:uiPriority w:val="99"/>
    <w:semiHidden/>
    <w:rsid w:val="00BE69F0"/>
    <w:rPr>
      <w:b/>
      <w:bCs/>
      <w:sz w:val="20"/>
      <w:szCs w:val="20"/>
    </w:rPr>
  </w:style>
  <w:style w:type="character" w:customStyle="1" w:styleId="TextoCar">
    <w:name w:val="Texto Car"/>
    <w:link w:val="Texto"/>
    <w:locked/>
    <w:rsid w:val="00BE69F0"/>
    <w:rPr>
      <w:rFonts w:ascii="Arial" w:eastAsia="Times New Roman" w:hAnsi="Arial" w:cs="Arial"/>
      <w:sz w:val="18"/>
      <w:szCs w:val="18"/>
      <w:lang w:eastAsia="es-ES"/>
    </w:rPr>
  </w:style>
  <w:style w:type="paragraph" w:styleId="Revisin">
    <w:name w:val="Revision"/>
    <w:hidden/>
    <w:uiPriority w:val="99"/>
    <w:semiHidden/>
    <w:rsid w:val="00BE69F0"/>
    <w:pPr>
      <w:spacing w:after="0" w:line="240" w:lineRule="auto"/>
    </w:pPr>
  </w:style>
  <w:style w:type="table" w:styleId="Tablaconcuadrcula">
    <w:name w:val="Table Grid"/>
    <w:basedOn w:val="Tablanormal"/>
    <w:uiPriority w:val="39"/>
    <w:rsid w:val="00BE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E69F0"/>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BE69F0"/>
    <w:rPr>
      <w:i/>
      <w:iCs/>
    </w:rPr>
  </w:style>
  <w:style w:type="paragraph" w:customStyle="1" w:styleId="j">
    <w:name w:val="j"/>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BE69F0"/>
  </w:style>
  <w:style w:type="character" w:customStyle="1" w:styleId="notranslate">
    <w:name w:val="notranslate"/>
    <w:basedOn w:val="Fuentedeprrafopredeter"/>
    <w:rsid w:val="00BE69F0"/>
  </w:style>
  <w:style w:type="character" w:styleId="Hipervnculovisitado">
    <w:name w:val="FollowedHyperlink"/>
    <w:basedOn w:val="Fuentedeprrafopredeter"/>
    <w:uiPriority w:val="99"/>
    <w:semiHidden/>
    <w:unhideWhenUsed/>
    <w:rsid w:val="00BE69F0"/>
    <w:rPr>
      <w:color w:val="954F72" w:themeColor="followedHyperlink"/>
      <w:u w:val="single"/>
    </w:rPr>
  </w:style>
  <w:style w:type="character" w:customStyle="1" w:styleId="m-8468718270129410089gmail-msofootnotereference">
    <w:name w:val="m_-8468718270129410089gmail-msofootnotereference"/>
    <w:basedOn w:val="Fuentedeprrafopredeter"/>
    <w:rsid w:val="00BE69F0"/>
  </w:style>
  <w:style w:type="paragraph" w:customStyle="1" w:styleId="m-8468718270129410089gmail-msofootnotetext">
    <w:name w:val="m_-8468718270129410089gmail-msofootnotetext"/>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BE69F0"/>
  </w:style>
  <w:style w:type="paragraph" w:customStyle="1" w:styleId="m-4266661516571022424gmail-msolistparagraph">
    <w:name w:val="m_-4266661516571022424gmail-msolistparagraph"/>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4266661516571022424gmail-msonospacing">
    <w:name w:val="m_-4266661516571022424gmail-msonospacing"/>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
    <w:name w:val="il"/>
    <w:basedOn w:val="Fuentedeprrafopredeter"/>
    <w:rsid w:val="00BE69F0"/>
  </w:style>
  <w:style w:type="character" w:customStyle="1" w:styleId="apple-style-span">
    <w:name w:val="apple-style-span"/>
    <w:rsid w:val="00BE69F0"/>
  </w:style>
  <w:style w:type="paragraph" w:styleId="Textoindependiente">
    <w:name w:val="Body Text"/>
    <w:basedOn w:val="Normal"/>
    <w:link w:val="TextoindependienteCar"/>
    <w:uiPriority w:val="1"/>
    <w:unhideWhenUsed/>
    <w:qFormat/>
    <w:rsid w:val="00BE69F0"/>
    <w:pPr>
      <w:spacing w:after="12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BE69F0"/>
  </w:style>
  <w:style w:type="character" w:customStyle="1" w:styleId="lbl-encabezado-negro">
    <w:name w:val="lbl-encabezado-negro"/>
    <w:basedOn w:val="Fuentedeprrafopredeter"/>
    <w:rsid w:val="00BE69F0"/>
  </w:style>
  <w:style w:type="character" w:customStyle="1" w:styleId="red">
    <w:name w:val="red"/>
    <w:basedOn w:val="Fuentedeprrafopredeter"/>
    <w:rsid w:val="00BE69F0"/>
  </w:style>
  <w:style w:type="paragraph" w:customStyle="1" w:styleId="francesa">
    <w:name w:val="francesa"/>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0">
    <w:name w:val="Pa0"/>
    <w:basedOn w:val="Default"/>
    <w:next w:val="Default"/>
    <w:uiPriority w:val="99"/>
    <w:rsid w:val="00BE69F0"/>
    <w:pPr>
      <w:spacing w:line="221" w:lineRule="atLeast"/>
    </w:pPr>
    <w:rPr>
      <w:color w:val="auto"/>
    </w:rPr>
  </w:style>
  <w:style w:type="paragraph" w:customStyle="1" w:styleId="j2">
    <w:name w:val="j2"/>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o">
    <w:name w:val="o"/>
    <w:basedOn w:val="Normal"/>
    <w:rsid w:val="00BE69F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h">
    <w:name w:val="h"/>
    <w:basedOn w:val="Fuentedeprrafopredeter"/>
    <w:rsid w:val="00BE69F0"/>
  </w:style>
  <w:style w:type="character" w:customStyle="1" w:styleId="i1">
    <w:name w:val="i1"/>
    <w:basedOn w:val="Fuentedeprrafopredeter"/>
    <w:rsid w:val="00BE69F0"/>
  </w:style>
  <w:style w:type="paragraph" w:styleId="Sangradetextonormal">
    <w:name w:val="Body Text Indent"/>
    <w:basedOn w:val="Normal"/>
    <w:link w:val="SangradetextonormalCar"/>
    <w:uiPriority w:val="99"/>
    <w:unhideWhenUsed/>
    <w:rsid w:val="00BE69F0"/>
    <w:pPr>
      <w:spacing w:after="120" w:line="276" w:lineRule="auto"/>
      <w:ind w:left="283"/>
    </w:pPr>
  </w:style>
  <w:style w:type="character" w:customStyle="1" w:styleId="SangradetextonormalCar">
    <w:name w:val="Sangría de texto normal Car"/>
    <w:basedOn w:val="Fuentedeprrafopredeter"/>
    <w:link w:val="Sangradetextonormal"/>
    <w:uiPriority w:val="99"/>
    <w:rsid w:val="00BE69F0"/>
    <w:rPr>
      <w:rFonts w:ascii="Calibri" w:eastAsia="Calibri" w:hAnsi="Calibri" w:cs="Times New Roman"/>
    </w:rPr>
  </w:style>
  <w:style w:type="paragraph" w:styleId="Textoindependiente2">
    <w:name w:val="Body Text 2"/>
    <w:basedOn w:val="Normal"/>
    <w:link w:val="Textoindependiente2Car"/>
    <w:uiPriority w:val="99"/>
    <w:semiHidden/>
    <w:unhideWhenUsed/>
    <w:rsid w:val="00295A5B"/>
    <w:pPr>
      <w:spacing w:after="120" w:line="480" w:lineRule="auto"/>
    </w:pPr>
    <w:rPr>
      <w:rFonts w:asciiTheme="minorHAnsi" w:eastAsiaTheme="minorHAnsi" w:hAnsiTheme="minorHAnsi" w:cstheme="minorBidi"/>
    </w:rPr>
  </w:style>
  <w:style w:type="character" w:customStyle="1" w:styleId="Textoindependiente2Car">
    <w:name w:val="Texto independiente 2 Car"/>
    <w:basedOn w:val="Fuentedeprrafopredeter"/>
    <w:link w:val="Textoindependiente2"/>
    <w:uiPriority w:val="99"/>
    <w:semiHidden/>
    <w:rsid w:val="0029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80353">
      <w:bodyDiv w:val="1"/>
      <w:marLeft w:val="0"/>
      <w:marRight w:val="0"/>
      <w:marTop w:val="0"/>
      <w:marBottom w:val="0"/>
      <w:divBdr>
        <w:top w:val="none" w:sz="0" w:space="0" w:color="auto"/>
        <w:left w:val="none" w:sz="0" w:space="0" w:color="auto"/>
        <w:bottom w:val="none" w:sz="0" w:space="0" w:color="auto"/>
        <w:right w:val="none" w:sz="0" w:space="0" w:color="auto"/>
      </w:divBdr>
    </w:div>
    <w:div w:id="631323363">
      <w:bodyDiv w:val="1"/>
      <w:marLeft w:val="0"/>
      <w:marRight w:val="0"/>
      <w:marTop w:val="0"/>
      <w:marBottom w:val="0"/>
      <w:divBdr>
        <w:top w:val="none" w:sz="0" w:space="0" w:color="auto"/>
        <w:left w:val="none" w:sz="0" w:space="0" w:color="auto"/>
        <w:bottom w:val="none" w:sz="0" w:space="0" w:color="auto"/>
        <w:right w:val="none" w:sz="0" w:space="0" w:color="auto"/>
      </w:divBdr>
    </w:div>
    <w:div w:id="1517189816">
      <w:bodyDiv w:val="1"/>
      <w:marLeft w:val="0"/>
      <w:marRight w:val="0"/>
      <w:marTop w:val="0"/>
      <w:marBottom w:val="0"/>
      <w:divBdr>
        <w:top w:val="none" w:sz="0" w:space="0" w:color="auto"/>
        <w:left w:val="none" w:sz="0" w:space="0" w:color="auto"/>
        <w:bottom w:val="none" w:sz="0" w:space="0" w:color="auto"/>
        <w:right w:val="none" w:sz="0" w:space="0" w:color="auto"/>
      </w:divBdr>
    </w:div>
    <w:div w:id="1940404670">
      <w:bodyDiv w:val="1"/>
      <w:marLeft w:val="0"/>
      <w:marRight w:val="0"/>
      <w:marTop w:val="0"/>
      <w:marBottom w:val="0"/>
      <w:divBdr>
        <w:top w:val="none" w:sz="0" w:space="0" w:color="auto"/>
        <w:left w:val="none" w:sz="0" w:space="0" w:color="auto"/>
        <w:bottom w:val="none" w:sz="0" w:space="0" w:color="auto"/>
        <w:right w:val="none" w:sz="0" w:space="0" w:color="auto"/>
      </w:divBdr>
    </w:div>
    <w:div w:id="211612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30</Pages>
  <Words>7655</Words>
  <Characters>42105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18</cp:revision>
  <dcterms:created xsi:type="dcterms:W3CDTF">2021-05-20T01:01:00Z</dcterms:created>
  <dcterms:modified xsi:type="dcterms:W3CDTF">2021-08-04T23:07:00Z</dcterms:modified>
</cp:coreProperties>
</file>