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6FBCD970"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w:t>
      </w:r>
      <w:r w:rsidRPr="00912ADB">
        <w:rPr>
          <w:rFonts w:ascii="Palatino Linotype" w:eastAsia="Times New Roman" w:hAnsi="Palatino Linotype" w:cs="Arial"/>
          <w:color w:val="000000"/>
          <w:sz w:val="24"/>
          <w:szCs w:val="24"/>
          <w:lang w:eastAsia="es-MX"/>
        </w:rPr>
        <w:t xml:space="preserve">Instituto de Transparencia, Acceso a la Información Pública y Protección de Datos Personales del Estado de México y Municipios, con domicilio en Metepec, Estado de México, a </w:t>
      </w:r>
      <w:r w:rsidR="00277C58" w:rsidRPr="00912ADB">
        <w:rPr>
          <w:rFonts w:ascii="Palatino Linotype" w:eastAsia="Times New Roman" w:hAnsi="Palatino Linotype" w:cs="Arial"/>
          <w:color w:val="000000"/>
          <w:sz w:val="24"/>
          <w:szCs w:val="24"/>
          <w:lang w:eastAsia="es-MX"/>
        </w:rPr>
        <w:t>diez</w:t>
      </w:r>
      <w:r w:rsidR="001A5573" w:rsidRPr="00912ADB">
        <w:rPr>
          <w:rFonts w:ascii="Palatino Linotype" w:eastAsia="Times New Roman" w:hAnsi="Palatino Linotype" w:cs="Arial"/>
          <w:color w:val="000000"/>
          <w:sz w:val="24"/>
          <w:szCs w:val="24"/>
          <w:lang w:eastAsia="es-MX"/>
        </w:rPr>
        <w:t xml:space="preserve"> de noviembre de dos mil veintiuno.</w:t>
      </w:r>
      <w:r w:rsidR="001A5573">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3C07271E" w14:textId="18D86803" w:rsidR="001A5573" w:rsidRPr="001A5573"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A241D">
        <w:rPr>
          <w:rFonts w:ascii="Palatino Linotype" w:hAnsi="Palatino Linotype" w:cs="Arial"/>
          <w:b/>
          <w:sz w:val="24"/>
        </w:rPr>
        <w:t>0</w:t>
      </w:r>
      <w:r w:rsidR="001A5573">
        <w:rPr>
          <w:rFonts w:ascii="Palatino Linotype" w:hAnsi="Palatino Linotype" w:cs="Arial"/>
          <w:b/>
          <w:sz w:val="24"/>
        </w:rPr>
        <w:t>5050</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1A5573">
        <w:rPr>
          <w:rFonts w:ascii="Palatino Linotype" w:hAnsi="Palatino Linotype" w:cs="Arial"/>
          <w:sz w:val="24"/>
        </w:rPr>
        <w:t xml:space="preserve">el </w:t>
      </w:r>
      <w:r w:rsidR="001A5573">
        <w:rPr>
          <w:rFonts w:ascii="Palatino Linotype" w:hAnsi="Palatino Linotype" w:cs="Arial"/>
          <w:b/>
          <w:bCs/>
          <w:sz w:val="24"/>
        </w:rPr>
        <w:t xml:space="preserve">C. </w:t>
      </w:r>
      <w:r w:rsidR="00995290">
        <w:rPr>
          <w:rFonts w:ascii="Palatino Linotype" w:hAnsi="Palatino Linotype" w:cs="Arial"/>
          <w:b/>
          <w:bCs/>
          <w:sz w:val="24"/>
        </w:rPr>
        <w:t>XXXXXXXXXXXXXXXXXX</w:t>
      </w:r>
      <w:r w:rsidR="001A5573">
        <w:rPr>
          <w:rFonts w:ascii="Palatino Linotype" w:hAnsi="Palatino Linotype" w:cs="Arial"/>
          <w:b/>
          <w:bCs/>
          <w:sz w:val="24"/>
        </w:rPr>
        <w:t xml:space="preserve"> </w:t>
      </w:r>
      <w:r w:rsidR="00995290">
        <w:rPr>
          <w:rFonts w:ascii="Palatino Linotype" w:hAnsi="Palatino Linotype" w:cs="Arial"/>
          <w:b/>
          <w:bCs/>
          <w:sz w:val="24"/>
        </w:rPr>
        <w:t>XXXXXXXX</w:t>
      </w:r>
      <w:r w:rsidR="001A5573">
        <w:rPr>
          <w:rFonts w:ascii="Palatino Linotype" w:hAnsi="Palatino Linotype" w:cs="Arial"/>
          <w:b/>
          <w:bCs/>
          <w:sz w:val="24"/>
        </w:rPr>
        <w:t xml:space="preserve">, </w:t>
      </w:r>
      <w:r w:rsidR="001A5573">
        <w:rPr>
          <w:rFonts w:ascii="Palatino Linotype" w:hAnsi="Palatino Linotype" w:cs="Arial"/>
          <w:sz w:val="24"/>
        </w:rPr>
        <w:t xml:space="preserve">en lo sucesivo </w:t>
      </w:r>
      <w:r w:rsidR="001A5573">
        <w:rPr>
          <w:rFonts w:ascii="Palatino Linotype" w:hAnsi="Palatino Linotype" w:cs="Arial"/>
          <w:b/>
          <w:bCs/>
          <w:sz w:val="24"/>
        </w:rPr>
        <w:t xml:space="preserve">El Recurrente, </w:t>
      </w:r>
      <w:r w:rsidR="001A5573">
        <w:rPr>
          <w:rFonts w:ascii="Palatino Linotype" w:hAnsi="Palatino Linotype" w:cs="Arial"/>
          <w:sz w:val="24"/>
        </w:rPr>
        <w:t xml:space="preserve">en contra de la falta de respuesta del </w:t>
      </w:r>
      <w:r w:rsidR="001A5573">
        <w:rPr>
          <w:rFonts w:ascii="Palatino Linotype" w:hAnsi="Palatino Linotype" w:cs="Arial"/>
          <w:b/>
          <w:bCs/>
          <w:sz w:val="24"/>
        </w:rPr>
        <w:t xml:space="preserve">Ayuntamiento de Zumpahuacán, </w:t>
      </w:r>
      <w:r w:rsidR="001A5573">
        <w:rPr>
          <w:rFonts w:ascii="Palatino Linotype" w:hAnsi="Palatino Linotype" w:cs="Arial"/>
          <w:sz w:val="24"/>
        </w:rPr>
        <w:t xml:space="preserve">en lo sucesivo </w:t>
      </w:r>
      <w:r w:rsidR="001A5573">
        <w:rPr>
          <w:rFonts w:ascii="Palatino Linotype" w:hAnsi="Palatino Linotype" w:cs="Arial"/>
          <w:b/>
          <w:bCs/>
          <w:sz w:val="24"/>
        </w:rPr>
        <w:t xml:space="preserve">El Sujeto Obligado, </w:t>
      </w:r>
      <w:r w:rsidR="001A5573">
        <w:rPr>
          <w:rFonts w:ascii="Palatino Linotype" w:hAnsi="Palatino Linotype" w:cs="Arial"/>
          <w:sz w:val="24"/>
        </w:rPr>
        <w:t xml:space="preserve">se procede a dictar la presente resolución. </w:t>
      </w:r>
    </w:p>
    <w:p w14:paraId="0514452A" w14:textId="77777777" w:rsidR="001A5573" w:rsidRDefault="001A5573" w:rsidP="006D5803">
      <w:pPr>
        <w:tabs>
          <w:tab w:val="left" w:pos="1701"/>
        </w:tabs>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B80B191" w14:textId="07914E90" w:rsidR="001A5573"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1A5573">
        <w:rPr>
          <w:rFonts w:ascii="Palatino Linotype" w:hAnsi="Palatino Linotype" w:cs="Arial"/>
          <w:sz w:val="24"/>
        </w:rPr>
        <w:t xml:space="preserve">veintiuno de septiembre de dos mil veintiuno, </w:t>
      </w:r>
      <w:r w:rsidR="001A5573">
        <w:rPr>
          <w:rFonts w:ascii="Palatino Linotype" w:hAnsi="Palatino Linotype" w:cs="Arial"/>
          <w:b/>
          <w:bCs/>
          <w:sz w:val="24"/>
        </w:rPr>
        <w:t xml:space="preserve">El Recurrente, </w:t>
      </w:r>
      <w:r w:rsidR="003A241D">
        <w:rPr>
          <w:rFonts w:ascii="Palatino Linotype" w:hAnsi="Palatino Linotype" w:cs="Arial"/>
          <w:sz w:val="24"/>
        </w:rPr>
        <w:t>presentó a través del Sistema de Acceso de Información Mexiquense (</w:t>
      </w:r>
      <w:r w:rsidR="003A241D">
        <w:rPr>
          <w:rFonts w:ascii="Palatino Linotype" w:hAnsi="Palatino Linotype" w:cs="Arial"/>
          <w:b/>
          <w:sz w:val="24"/>
        </w:rPr>
        <w:t>SAIMEX)</w:t>
      </w:r>
      <w:r w:rsidR="003A241D">
        <w:rPr>
          <w:rFonts w:ascii="Palatino Linotype" w:hAnsi="Palatino Linotype" w:cs="Arial"/>
          <w:sz w:val="24"/>
        </w:rPr>
        <w:t xml:space="preserve"> ante </w:t>
      </w:r>
      <w:r w:rsidR="003A241D">
        <w:rPr>
          <w:rFonts w:ascii="Palatino Linotype" w:hAnsi="Palatino Linotype" w:cs="Arial"/>
          <w:b/>
          <w:sz w:val="24"/>
        </w:rPr>
        <w:t>El Sujeto Obligado</w:t>
      </w:r>
      <w:r w:rsidR="003A241D">
        <w:rPr>
          <w:rFonts w:ascii="Palatino Linotype" w:hAnsi="Palatino Linotype" w:cs="Arial"/>
          <w:sz w:val="24"/>
        </w:rPr>
        <w:t xml:space="preserve">, solicitud de acceso a la información pública, registrada bajo el número de expediente </w:t>
      </w:r>
      <w:r w:rsidR="001A5573">
        <w:rPr>
          <w:rFonts w:ascii="Palatino Linotype" w:hAnsi="Palatino Linotype" w:cs="Arial"/>
          <w:b/>
          <w:bCs/>
          <w:sz w:val="24"/>
        </w:rPr>
        <w:t xml:space="preserve">00043/ZUMPAHUA/IP/2021, </w:t>
      </w:r>
      <w:r w:rsidR="001A5573">
        <w:rPr>
          <w:rFonts w:ascii="Palatino Linotype" w:hAnsi="Palatino Linotype" w:cs="Arial"/>
          <w:sz w:val="24"/>
        </w:rPr>
        <w:t xml:space="preserve">mediante la cual solicitó información en el tenor siguiente: </w:t>
      </w:r>
    </w:p>
    <w:p w14:paraId="6C7F95B2" w14:textId="0DA326B0" w:rsidR="001A5573" w:rsidRPr="001A5573" w:rsidRDefault="001A5573" w:rsidP="001A5573">
      <w:pPr>
        <w:pStyle w:val="Citas"/>
        <w:rPr>
          <w:b/>
          <w:bCs/>
          <w:sz w:val="24"/>
        </w:rPr>
      </w:pPr>
      <w:r>
        <w:t xml:space="preserve">“Solicito me informen cuánto se le debe a cada proveedor del Ayuntamiento.” </w:t>
      </w:r>
      <w:r>
        <w:rPr>
          <w:b/>
          <w:bCs/>
        </w:rPr>
        <w:t xml:space="preserve">[Sic] </w:t>
      </w:r>
    </w:p>
    <w:p w14:paraId="284BBE4E" w14:textId="38DAE7BE"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6751EA5D" w14:textId="4A63E820"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5B1C46">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47B4AC44" w14:textId="69F92D8D" w:rsidR="001A5573" w:rsidRPr="001A5573"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5B1C46">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1A5573">
        <w:rPr>
          <w:rFonts w:ascii="Palatino Linotype" w:hAnsi="Palatino Linotype" w:cs="Arial"/>
          <w:sz w:val="24"/>
          <w:szCs w:val="24"/>
        </w:rPr>
        <w:t xml:space="preserve"> trece de octubre del año en curso, el cual fue registrado con el expediente número </w:t>
      </w:r>
      <w:r w:rsidR="001A5573">
        <w:rPr>
          <w:rFonts w:ascii="Palatino Linotype" w:hAnsi="Palatino Linotype" w:cs="Arial"/>
          <w:b/>
          <w:bCs/>
          <w:sz w:val="24"/>
          <w:szCs w:val="24"/>
        </w:rPr>
        <w:t xml:space="preserve">05050/INFOEM/IP/RR/2021, </w:t>
      </w:r>
      <w:r w:rsidR="001A5573">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2B7C4F06" w14:textId="07EB10DD" w:rsidR="006D5803" w:rsidRPr="001A4BAD" w:rsidRDefault="00E138CC" w:rsidP="001A5573">
      <w:pPr>
        <w:pStyle w:val="Citas"/>
      </w:pPr>
      <w:r w:rsidRPr="005B1C46">
        <w:t>“</w:t>
      </w:r>
      <w:r w:rsidR="001A5573" w:rsidRPr="001A5573">
        <w:t>La falta de respuesta</w:t>
      </w:r>
      <w:r w:rsidR="001A5573">
        <w:t>”</w:t>
      </w:r>
      <w:r w:rsidR="006D5803" w:rsidRPr="001A4BAD">
        <w:t xml:space="preserve"> </w:t>
      </w:r>
      <w:r w:rsidR="006D5803" w:rsidRPr="00E138CC">
        <w:rPr>
          <w:b/>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1B610F1E" w14:textId="511B9404" w:rsidR="00E138CC" w:rsidRDefault="00E138CC" w:rsidP="00E61E5F">
      <w:pPr>
        <w:pStyle w:val="Citas"/>
        <w:rPr>
          <w:b/>
        </w:rPr>
      </w:pPr>
      <w:r w:rsidRPr="001A5573">
        <w:t>“</w:t>
      </w:r>
      <w:r w:rsidR="001A5573" w:rsidRPr="001A5573">
        <w:t>Ante la falta de respuesta, no me entregaron la información solicitada. Lo que pedí está en su BALANZA MENSUAL DE COMPROBACIÓN DETALLADA.</w:t>
      </w:r>
      <w:r w:rsidR="00E61E5F" w:rsidRPr="001A5573">
        <w:t>”</w:t>
      </w:r>
      <w:r w:rsidRPr="001A4BAD">
        <w:t xml:space="preserve"> </w:t>
      </w:r>
      <w:r w:rsidRPr="00E138CC">
        <w:rPr>
          <w:b/>
        </w:rPr>
        <w:t>[Sic]</w:t>
      </w:r>
    </w:p>
    <w:p w14:paraId="73A41C1E" w14:textId="77777777" w:rsidR="005C3CD1" w:rsidRDefault="005C3CD1" w:rsidP="00E61E5F">
      <w:pPr>
        <w:pStyle w:val="Citas"/>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lastRenderedPageBreak/>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7C3FD4F" w14:textId="6F3B5E32"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A5573">
        <w:rPr>
          <w:rFonts w:ascii="Palatino Linotype" w:hAnsi="Palatino Linotype" w:cs="Arial"/>
          <w:sz w:val="24"/>
          <w:szCs w:val="24"/>
        </w:rPr>
        <w:t>al</w:t>
      </w:r>
      <w:r>
        <w:rPr>
          <w:rFonts w:ascii="Palatino Linotype" w:hAnsi="Palatino Linotype" w:cs="Arial"/>
          <w:sz w:val="24"/>
          <w:szCs w:val="24"/>
        </w:rPr>
        <w:t xml:space="preserve"> Comisionad</w:t>
      </w:r>
      <w:r w:rsidR="001A5573">
        <w:rPr>
          <w:rFonts w:ascii="Palatino Linotype" w:hAnsi="Palatino Linotype" w:cs="Arial"/>
          <w:sz w:val="24"/>
          <w:szCs w:val="24"/>
        </w:rPr>
        <w:t>o</w:t>
      </w:r>
      <w:r>
        <w:rPr>
          <w:rFonts w:ascii="Palatino Linotype" w:hAnsi="Palatino Linotype" w:cs="Arial"/>
          <w:sz w:val="24"/>
          <w:szCs w:val="24"/>
        </w:rPr>
        <w:t xml:space="preserve"> </w:t>
      </w:r>
      <w:r w:rsidR="001A5573">
        <w:rPr>
          <w:rFonts w:ascii="Palatino Linotype" w:hAnsi="Palatino Linotype" w:cs="Arial"/>
          <w:b/>
          <w:bCs/>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1A5573">
        <w:rPr>
          <w:rFonts w:ascii="Palatino Linotype" w:hAnsi="Palatino Linotype" w:cs="Arial"/>
          <w:sz w:val="24"/>
          <w:szCs w:val="24"/>
        </w:rPr>
        <w:t xml:space="preserve">catorce de octubre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5E6D7CFD" w14:textId="77777777" w:rsidR="005C3CD1" w:rsidRDefault="005C3CD1"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0BD0AD97" w14:textId="3DD0186A" w:rsidR="00C07683" w:rsidRDefault="00C07683" w:rsidP="00C0768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veintiuno de octubre, mismo que se puso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w:t>
      </w:r>
      <w:r w:rsidR="00B33133">
        <w:rPr>
          <w:rFonts w:ascii="Palatino Linotype" w:hAnsi="Palatino Linotype" w:cs="Arial"/>
          <w:sz w:val="24"/>
          <w:szCs w:val="24"/>
        </w:rPr>
        <w:t>veintinueve</w:t>
      </w:r>
      <w:r>
        <w:rPr>
          <w:rFonts w:ascii="Palatino Linotype" w:hAnsi="Palatino Linotype" w:cs="Arial"/>
          <w:sz w:val="24"/>
          <w:szCs w:val="24"/>
        </w:rPr>
        <w:t xml:space="preserve"> de octubre, ambos de dos mil veintiuno. </w:t>
      </w:r>
    </w:p>
    <w:p w14:paraId="29568ECB" w14:textId="77777777" w:rsidR="00D84B6C" w:rsidRDefault="00D84B6C" w:rsidP="00C07683">
      <w:pPr>
        <w:spacing w:after="0" w:line="360" w:lineRule="auto"/>
        <w:jc w:val="both"/>
        <w:rPr>
          <w:rFonts w:ascii="Palatino Linotype" w:hAnsi="Palatino Linotype" w:cs="Arial"/>
          <w:sz w:val="24"/>
          <w:szCs w:val="24"/>
        </w:rPr>
      </w:pPr>
    </w:p>
    <w:p w14:paraId="063649D1" w14:textId="77777777" w:rsidR="00D84B6C" w:rsidRDefault="00D84B6C" w:rsidP="00D84B6C">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 xml:space="preserve">Del </w:t>
      </w:r>
      <w:r>
        <w:rPr>
          <w:rFonts w:ascii="Palatino Linotype" w:hAnsi="Palatino Linotype" w:cs="Arial"/>
          <w:b/>
          <w:sz w:val="28"/>
          <w:szCs w:val="28"/>
        </w:rPr>
        <w:t xml:space="preserve">desistimiento </w:t>
      </w:r>
      <w:r w:rsidRPr="00523CF0">
        <w:rPr>
          <w:rFonts w:ascii="Palatino Linotype" w:hAnsi="Palatino Linotype" w:cs="Arial"/>
          <w:b/>
          <w:sz w:val="28"/>
          <w:szCs w:val="28"/>
        </w:rPr>
        <w:t>del recurso de revisión.</w:t>
      </w:r>
    </w:p>
    <w:p w14:paraId="6BBA79EA" w14:textId="66F268C9" w:rsidR="00D84B6C" w:rsidRDefault="00D84B6C" w:rsidP="00D84B6C">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dos de noviembre del año en curso, en el detalle de seguimiento de solicitud, se aprecia que el hoy </w:t>
      </w:r>
      <w:r w:rsidRPr="00AA1BBB">
        <w:rPr>
          <w:rFonts w:ascii="Palatino Linotype" w:hAnsi="Palatino Linotype"/>
          <w:b/>
          <w:sz w:val="24"/>
          <w:szCs w:val="24"/>
        </w:rPr>
        <w:t>Recurrente</w:t>
      </w:r>
      <w:r>
        <w:rPr>
          <w:rFonts w:ascii="Palatino Linotype" w:hAnsi="Palatino Linotype"/>
          <w:sz w:val="24"/>
          <w:szCs w:val="24"/>
        </w:rPr>
        <w:t xml:space="preserve"> se desistió del recurso de revisión que nos ocupa, expresando lo siguiente:</w:t>
      </w:r>
    </w:p>
    <w:p w14:paraId="62AB675F" w14:textId="762163DD" w:rsidR="00D84B6C" w:rsidRDefault="00D84B6C" w:rsidP="00D84B6C">
      <w:pPr>
        <w:pStyle w:val="INFOEM"/>
        <w:jc w:val="right"/>
      </w:pPr>
      <w:r>
        <w:t>“Zumpahuacán, México a 02 de Noviembre de 2021</w:t>
      </w:r>
    </w:p>
    <w:p w14:paraId="18866019" w14:textId="7D032178" w:rsidR="00D84B6C" w:rsidRDefault="00D84B6C" w:rsidP="00D84B6C">
      <w:pPr>
        <w:pStyle w:val="INFOEM"/>
        <w:jc w:val="right"/>
      </w:pPr>
      <w:r>
        <w:t xml:space="preserve">Nombre del solicitante: </w:t>
      </w:r>
      <w:r w:rsidR="00995290">
        <w:t>XXXXXXXXXXXXXXXXXXXXXXXXXXXX</w:t>
      </w:r>
    </w:p>
    <w:p w14:paraId="7255C7A0" w14:textId="32F44EFB" w:rsidR="00D84B6C" w:rsidRDefault="00D84B6C" w:rsidP="00D84B6C">
      <w:pPr>
        <w:pStyle w:val="INFOEM"/>
        <w:jc w:val="right"/>
      </w:pPr>
      <w:r>
        <w:lastRenderedPageBreak/>
        <w:t>Folio de la solicitud: 00043/ZUMPAHUA/IP/2021</w:t>
      </w:r>
    </w:p>
    <w:p w14:paraId="3177F71A" w14:textId="74E04EBA" w:rsidR="00D84B6C" w:rsidRDefault="00D84B6C" w:rsidP="00D84B6C">
      <w:pPr>
        <w:pStyle w:val="INFOEM"/>
        <w:rPr>
          <w:b/>
        </w:rPr>
      </w:pPr>
      <w:r>
        <w:t xml:space="preserve">Me entregaron la información en su informe de justificación. Gracias” </w:t>
      </w:r>
      <w:r>
        <w:rPr>
          <w:b/>
        </w:rPr>
        <w:t xml:space="preserve">[Sic] </w:t>
      </w:r>
    </w:p>
    <w:p w14:paraId="52FDFD03" w14:textId="77777777" w:rsidR="00D84B6C" w:rsidRDefault="00D84B6C" w:rsidP="00D84B6C">
      <w:pPr>
        <w:pStyle w:val="INFOEM"/>
        <w:rPr>
          <w:b/>
        </w:rPr>
      </w:pPr>
    </w:p>
    <w:p w14:paraId="6DD17C93" w14:textId="0598B0A0" w:rsidR="00D84B6C" w:rsidRDefault="00D84B6C" w:rsidP="00D84B6C">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Pr="0080421D">
        <w:rPr>
          <w:rFonts w:ascii="Palatino Linotype" w:hAnsi="Palatino Linotype" w:cs="Arial"/>
          <w:b/>
          <w:sz w:val="24"/>
          <w:szCs w:val="24"/>
        </w:rPr>
        <w:t xml:space="preserve">. </w:t>
      </w:r>
      <w:r w:rsidR="00B33133">
        <w:rPr>
          <w:rFonts w:ascii="Palatino Linotype" w:hAnsi="Palatino Linotype" w:cs="Arial"/>
          <w:b/>
          <w:sz w:val="28"/>
          <w:szCs w:val="28"/>
        </w:rPr>
        <w:t xml:space="preserve">Del cierre de instrucción. </w:t>
      </w:r>
    </w:p>
    <w:p w14:paraId="48DAC552" w14:textId="561E9E93" w:rsidR="00C07683" w:rsidRDefault="00C07683" w:rsidP="00C0768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D84B6C">
        <w:rPr>
          <w:rFonts w:ascii="Palatino Linotype" w:hAnsi="Palatino Linotype" w:cs="Arial"/>
          <w:sz w:val="24"/>
          <w:szCs w:val="24"/>
        </w:rPr>
        <w:t>cinco</w:t>
      </w:r>
      <w:r>
        <w:rPr>
          <w:rFonts w:ascii="Palatino Linotype" w:hAnsi="Palatino Linotype" w:cs="Arial"/>
          <w:sz w:val="24"/>
          <w:szCs w:val="24"/>
        </w:rPr>
        <w:t xml:space="preserve"> de noviembre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08787EFA"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25E202C6" w14:textId="77777777" w:rsidR="001C7715" w:rsidRDefault="001C7715" w:rsidP="001C7715">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 xml:space="preserve">Ley de Transparencia y Acceso a la Información </w:t>
      </w:r>
      <w:r w:rsidRPr="00582D89">
        <w:rPr>
          <w:rFonts w:ascii="Palatino Linotype" w:eastAsia="Calibri" w:hAnsi="Palatino Linotype" w:cs="Arial"/>
          <w:b/>
          <w:color w:val="000000" w:themeColor="text1"/>
          <w:sz w:val="24"/>
          <w:szCs w:val="24"/>
        </w:rPr>
        <w:lastRenderedPageBreak/>
        <w:t>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FAD1A2A" w14:textId="77777777" w:rsidR="005B1C46" w:rsidRDefault="005B1C46"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1D10037E" w14:textId="77777777" w:rsidR="00BB4FA9" w:rsidRDefault="00BB4FA9" w:rsidP="00BB4FA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6943254B" w14:textId="1BDE116F" w:rsidR="0044721E" w:rsidRPr="00584718" w:rsidRDefault="0044721E" w:rsidP="0044721E">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 xml:space="preserve">En una aproximación inicial, </w:t>
      </w:r>
      <w:r w:rsidRPr="00584718">
        <w:rPr>
          <w:rFonts w:ascii="Palatino Linotype" w:eastAsia="Times New Roman" w:hAnsi="Palatino Linotype" w:cs="Times New Roman"/>
          <w:sz w:val="24"/>
          <w:szCs w:val="24"/>
          <w:lang w:eastAsia="es-ES"/>
        </w:rPr>
        <w:t xml:space="preserve">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007C5996">
        <w:rPr>
          <w:rFonts w:ascii="Palatino Linotype" w:eastAsia="Times New Roman" w:hAnsi="Palatino Linotype" w:cs="Times New Roman"/>
          <w:sz w:val="24"/>
          <w:szCs w:val="24"/>
          <w:lang w:eastAsia="es-ES"/>
        </w:rPr>
        <w:lastRenderedPageBreak/>
        <w:t xml:space="preserve">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FFA9B7E" w14:textId="77777777" w:rsidR="0044721E" w:rsidRPr="00584718" w:rsidRDefault="0044721E" w:rsidP="0044721E">
      <w:pPr>
        <w:spacing w:after="0" w:line="360" w:lineRule="auto"/>
        <w:jc w:val="both"/>
        <w:rPr>
          <w:rFonts w:ascii="Palatino Linotype" w:eastAsia="Times New Roman" w:hAnsi="Palatino Linotype" w:cs="Times New Roman"/>
          <w:sz w:val="24"/>
          <w:szCs w:val="24"/>
          <w:lang w:eastAsia="es-ES"/>
        </w:rPr>
      </w:pPr>
    </w:p>
    <w:p w14:paraId="5C2C042B" w14:textId="77777777" w:rsidR="0044721E" w:rsidRPr="00584718" w:rsidRDefault="0044721E" w:rsidP="0044721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1FA8C5D5" w14:textId="77777777" w:rsidR="0044721E" w:rsidRDefault="0044721E" w:rsidP="0044721E">
      <w:pPr>
        <w:spacing w:after="0" w:line="360" w:lineRule="auto"/>
        <w:jc w:val="both"/>
        <w:rPr>
          <w:rFonts w:ascii="Palatino Linotype" w:eastAsia="Times New Roman" w:hAnsi="Palatino Linotype" w:cs="Times New Roman"/>
          <w:sz w:val="24"/>
          <w:szCs w:val="24"/>
          <w:lang w:eastAsia="es-ES"/>
        </w:rPr>
      </w:pPr>
    </w:p>
    <w:p w14:paraId="28BA388C" w14:textId="77777777" w:rsidR="0044721E" w:rsidRDefault="0044721E" w:rsidP="0044721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39C17214" w14:textId="77777777" w:rsidR="0057274E" w:rsidRDefault="0057274E" w:rsidP="0044721E">
      <w:pPr>
        <w:spacing w:after="0" w:line="360" w:lineRule="auto"/>
        <w:jc w:val="both"/>
        <w:rPr>
          <w:rFonts w:ascii="Palatino Linotype" w:eastAsia="Times New Roman" w:hAnsi="Palatino Linotype" w:cs="Times New Roman"/>
          <w:sz w:val="24"/>
          <w:szCs w:val="24"/>
          <w:lang w:eastAsia="es-ES"/>
        </w:rPr>
      </w:pPr>
    </w:p>
    <w:p w14:paraId="0B18273B" w14:textId="77777777" w:rsidR="0044721E" w:rsidRPr="00584718" w:rsidRDefault="0044721E" w:rsidP="0044721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584718">
        <w:rPr>
          <w:rFonts w:ascii="Palatino Linotype" w:eastAsia="Times New Roman" w:hAnsi="Palatino Linotype" w:cs="Times New Roman"/>
          <w:sz w:val="24"/>
          <w:szCs w:val="24"/>
          <w:lang w:eastAsia="es-ES"/>
        </w:rPr>
        <w:lastRenderedPageBreak/>
        <w:t>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38A5CA24" w14:textId="77777777" w:rsidR="0044721E" w:rsidRPr="00584718" w:rsidRDefault="0044721E" w:rsidP="0044721E">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B489A66" w14:textId="77777777" w:rsidR="0044721E" w:rsidRPr="00584718" w:rsidRDefault="0044721E" w:rsidP="0044721E">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58144B" w14:textId="77777777" w:rsidR="0044721E" w:rsidRPr="00584718" w:rsidRDefault="0044721E" w:rsidP="0044721E">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3D0F67E6" w14:textId="77777777" w:rsidR="0044721E" w:rsidRPr="00584718" w:rsidRDefault="0044721E" w:rsidP="0044721E">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1311B68D" w14:textId="77777777" w:rsidR="0044721E" w:rsidRPr="00584718" w:rsidRDefault="0044721E" w:rsidP="0044721E">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84718">
        <w:rPr>
          <w:lang w:eastAsia="es-ES"/>
        </w:rPr>
        <w:lastRenderedPageBreak/>
        <w:t xml:space="preserve">presentarla conforme al interés del solicitante; no estarán obligados a generarla, resumirla, efectuar cálculos o practicar investigaciones. </w:t>
      </w:r>
    </w:p>
    <w:p w14:paraId="29950A74" w14:textId="77777777" w:rsidR="0044721E" w:rsidRPr="00584718" w:rsidRDefault="0044721E" w:rsidP="0044721E">
      <w:pPr>
        <w:pStyle w:val="infoemcitas"/>
        <w:rPr>
          <w:lang w:eastAsia="es-ES"/>
        </w:rPr>
      </w:pPr>
      <w:r w:rsidRPr="00584718">
        <w:rPr>
          <w:lang w:eastAsia="es-ES"/>
        </w:rPr>
        <w:t>(…)</w:t>
      </w:r>
    </w:p>
    <w:p w14:paraId="55BEC5B4" w14:textId="77777777" w:rsidR="0044721E" w:rsidRPr="00584718" w:rsidRDefault="0044721E" w:rsidP="0044721E">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2B361C3" w14:textId="77777777" w:rsidR="0044721E" w:rsidRPr="00F66CC7" w:rsidRDefault="0044721E" w:rsidP="0044721E">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06BA2161" w14:textId="77777777" w:rsidR="0044721E" w:rsidRDefault="0044721E" w:rsidP="0044721E">
      <w:pPr>
        <w:spacing w:after="0" w:line="360" w:lineRule="auto"/>
        <w:jc w:val="both"/>
        <w:rPr>
          <w:rFonts w:ascii="Palatino Linotype" w:eastAsia="Times New Roman" w:hAnsi="Palatino Linotype" w:cs="Times New Roman"/>
          <w:sz w:val="24"/>
          <w:szCs w:val="24"/>
          <w:lang w:eastAsia="es-ES"/>
        </w:rPr>
      </w:pPr>
    </w:p>
    <w:p w14:paraId="2D9F27CF" w14:textId="77777777" w:rsidR="0044721E" w:rsidRPr="00584718" w:rsidRDefault="0044721E" w:rsidP="0044721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4DC6F210" w14:textId="77777777" w:rsidR="0044721E" w:rsidRPr="00584718" w:rsidRDefault="0044721E" w:rsidP="0044721E">
      <w:pPr>
        <w:pStyle w:val="Sinespaciado"/>
      </w:pPr>
    </w:p>
    <w:p w14:paraId="64411CB0" w14:textId="77777777" w:rsidR="0044721E" w:rsidRDefault="0044721E" w:rsidP="0044721E">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30F673B7" w14:textId="77777777" w:rsidR="0044721E" w:rsidRDefault="0044721E" w:rsidP="0044721E">
      <w:pPr>
        <w:pStyle w:val="infoemcitas"/>
        <w:rPr>
          <w:b/>
          <w:bCs/>
          <w:lang w:eastAsia="es-ES"/>
        </w:rPr>
      </w:pPr>
    </w:p>
    <w:p w14:paraId="79C1FCE8" w14:textId="77777777" w:rsidR="0044721E" w:rsidRPr="00584718" w:rsidRDefault="0044721E" w:rsidP="0044721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Pr>
          <w:rFonts w:ascii="Palatino Linotype" w:eastAsia="Times New Roman" w:hAnsi="Palatino Linotype" w:cs="Times New Roman"/>
          <w:sz w:val="24"/>
          <w:szCs w:val="24"/>
          <w:lang w:eastAsia="es-ES"/>
        </w:rPr>
        <w:t>nformación pública del</w:t>
      </w:r>
      <w:r w:rsidRPr="00584718">
        <w:rPr>
          <w:rFonts w:ascii="Palatino Linotype" w:eastAsia="Times New Roman" w:hAnsi="Palatino Linotype" w:cs="Times New Roman"/>
          <w:sz w:val="24"/>
          <w:szCs w:val="24"/>
          <w:lang w:eastAsia="es-ES"/>
        </w:rPr>
        <w:t xml:space="preserve"> Recurrente, toda vez que no </w:t>
      </w:r>
      <w:r w:rsidRPr="00584718">
        <w:rPr>
          <w:rFonts w:ascii="Palatino Linotype" w:eastAsia="Times New Roman" w:hAnsi="Palatino Linotype" w:cs="Times New Roman"/>
          <w:sz w:val="24"/>
          <w:szCs w:val="24"/>
          <w:lang w:eastAsia="es-ES"/>
        </w:rPr>
        <w:lastRenderedPageBreak/>
        <w:t xml:space="preserve">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221050C9" w14:textId="77777777" w:rsidR="0044721E" w:rsidRPr="00584718" w:rsidRDefault="0044721E" w:rsidP="0044721E">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66F7F646" w14:textId="77777777" w:rsidR="0044721E" w:rsidRPr="00584718" w:rsidRDefault="0044721E" w:rsidP="0044721E">
      <w:pPr>
        <w:pStyle w:val="infoemcitas"/>
        <w:rPr>
          <w:lang w:eastAsia="es-ES"/>
        </w:rPr>
      </w:pPr>
      <w:r w:rsidRPr="00584718">
        <w:rPr>
          <w:bCs/>
          <w:lang w:eastAsia="es-ES"/>
        </w:rPr>
        <w:t>(..</w:t>
      </w:r>
      <w:r w:rsidRPr="00584718">
        <w:rPr>
          <w:lang w:eastAsia="es-ES"/>
        </w:rPr>
        <w:t>.)</w:t>
      </w:r>
    </w:p>
    <w:p w14:paraId="51AFD1AA" w14:textId="77777777" w:rsidR="0044721E" w:rsidRDefault="0044721E" w:rsidP="0044721E">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610B58B9" w14:textId="77777777" w:rsidR="0044721E" w:rsidRDefault="0044721E" w:rsidP="0044721E">
      <w:pPr>
        <w:pStyle w:val="infoemcitas"/>
        <w:rPr>
          <w:b/>
          <w:lang w:eastAsia="es-ES"/>
        </w:rPr>
      </w:pPr>
      <w:r>
        <w:rPr>
          <w:bCs/>
          <w:lang w:eastAsia="es-ES"/>
        </w:rPr>
        <w:t xml:space="preserve">(…)” </w:t>
      </w:r>
      <w:r>
        <w:rPr>
          <w:b/>
          <w:lang w:eastAsia="es-ES"/>
        </w:rPr>
        <w:t>[Sic]</w:t>
      </w:r>
    </w:p>
    <w:p w14:paraId="34731C67" w14:textId="77777777" w:rsidR="0057274E" w:rsidRDefault="0057274E" w:rsidP="0044721E">
      <w:pPr>
        <w:pStyle w:val="infoemcitas"/>
        <w:rPr>
          <w:b/>
          <w:lang w:eastAsia="es-ES"/>
        </w:rPr>
      </w:pPr>
    </w:p>
    <w:p w14:paraId="67A33CB3" w14:textId="77777777" w:rsidR="0057274E" w:rsidRDefault="0057274E" w:rsidP="0057274E">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C5C88D3" w14:textId="77777777" w:rsidR="0057274E" w:rsidRDefault="0057274E" w:rsidP="0057274E">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04F9F2C7" w14:textId="77777777" w:rsidR="0057274E" w:rsidRPr="00584718" w:rsidRDefault="0057274E" w:rsidP="0057274E">
      <w:pPr>
        <w:pStyle w:val="infoemcitas"/>
      </w:pPr>
      <w:r>
        <w:rPr>
          <w:b/>
          <w:bCs/>
        </w:rPr>
        <w:t>(…</w:t>
      </w:r>
      <w:r>
        <w:t>)</w:t>
      </w:r>
    </w:p>
    <w:p w14:paraId="03E373F8" w14:textId="77777777" w:rsidR="0057274E" w:rsidRPr="00584718" w:rsidRDefault="0057274E" w:rsidP="0057274E">
      <w:pPr>
        <w:pStyle w:val="infoemcitas"/>
      </w:pPr>
      <w:r w:rsidRPr="00584718">
        <w:rPr>
          <w:b/>
          <w:bCs/>
        </w:rPr>
        <w:t xml:space="preserve">VII. </w:t>
      </w:r>
      <w:r w:rsidRPr="00584718">
        <w:t>La falta de respuesta a una solicitud de acceso a la información</w:t>
      </w:r>
    </w:p>
    <w:p w14:paraId="47E4A2FF" w14:textId="77777777" w:rsidR="0057274E" w:rsidRDefault="0057274E" w:rsidP="0057274E">
      <w:pPr>
        <w:pStyle w:val="infoemcitas"/>
        <w:rPr>
          <w:rFonts w:cs="Arial"/>
          <w:b/>
        </w:rPr>
      </w:pPr>
      <w:r w:rsidRPr="00584718">
        <w:rPr>
          <w:rFonts w:cs="Arial"/>
          <w:b/>
        </w:rPr>
        <w:lastRenderedPageBreak/>
        <w:t>(…)”</w:t>
      </w:r>
      <w:r w:rsidRPr="00584718">
        <w:rPr>
          <w:rFonts w:cs="Arial"/>
        </w:rPr>
        <w:t xml:space="preserve"> </w:t>
      </w:r>
      <w:r w:rsidRPr="00584718">
        <w:rPr>
          <w:rFonts w:cs="Arial"/>
          <w:b/>
        </w:rPr>
        <w:t>[Sic]</w:t>
      </w:r>
    </w:p>
    <w:p w14:paraId="294DE96E" w14:textId="77777777" w:rsidR="0057274E" w:rsidRDefault="0057274E" w:rsidP="0057274E">
      <w:pPr>
        <w:pStyle w:val="infoemcitas"/>
        <w:rPr>
          <w:rFonts w:cs="Arial"/>
          <w:b/>
        </w:rPr>
      </w:pPr>
    </w:p>
    <w:p w14:paraId="2D00DDCE" w14:textId="78C2B6C0" w:rsidR="0057274E" w:rsidRDefault="0057274E" w:rsidP="0057274E">
      <w:pPr>
        <w:pStyle w:val="Prrafodelista"/>
        <w:autoSpaceDE w:val="0"/>
        <w:autoSpaceDN w:val="0"/>
        <w:adjustRightInd w:val="0"/>
        <w:spacing w:line="360" w:lineRule="auto"/>
        <w:ind w:left="0"/>
        <w:jc w:val="both"/>
        <w:rPr>
          <w:rFonts w:ascii="Palatino Linotype" w:hAnsi="Palatino Linotype" w:cs="Arial"/>
          <w:b/>
        </w:rPr>
      </w:pPr>
      <w:r w:rsidRPr="0057274E">
        <w:rPr>
          <w:rFonts w:ascii="Palatino Linotype" w:hAnsi="Palatino Linotype" w:cs="Arial"/>
        </w:rPr>
        <w:t xml:space="preserve">En este tenor, resulta evidente que las razones o motivos de inconformidad hechos valer por </w:t>
      </w:r>
      <w:r w:rsidRPr="0057274E">
        <w:rPr>
          <w:rFonts w:ascii="Palatino Linotype" w:hAnsi="Palatino Linotype" w:cs="Arial"/>
          <w:b/>
        </w:rPr>
        <w:t xml:space="preserve">El Recurrente, </w:t>
      </w:r>
      <w:r w:rsidRPr="0057274E">
        <w:rPr>
          <w:rFonts w:ascii="Palatino Linotype" w:hAnsi="Palatino Linotype" w:cs="Arial"/>
        </w:rPr>
        <w:t xml:space="preserve">resultan fundados y procedentes, en virtud de que como consta en el expediente electrónico del </w:t>
      </w:r>
      <w:r w:rsidRPr="0057274E">
        <w:rPr>
          <w:rFonts w:ascii="Palatino Linotype" w:hAnsi="Palatino Linotype" w:cs="Arial"/>
          <w:b/>
        </w:rPr>
        <w:t xml:space="preserve">SAIMEX, </w:t>
      </w:r>
      <w:r w:rsidRPr="0057274E">
        <w:rPr>
          <w:rFonts w:ascii="Palatino Linotype" w:hAnsi="Palatino Linotype" w:cs="Arial"/>
        </w:rPr>
        <w:t xml:space="preserve">se acredita que </w:t>
      </w:r>
      <w:r w:rsidRPr="0057274E">
        <w:rPr>
          <w:rFonts w:ascii="Palatino Linotype" w:hAnsi="Palatino Linotype" w:cs="Arial"/>
          <w:b/>
        </w:rPr>
        <w:t xml:space="preserve">El Sujeto Obligado </w:t>
      </w:r>
      <w:r w:rsidRPr="0057274E">
        <w:rPr>
          <w:rFonts w:ascii="Palatino Linotype" w:hAnsi="Palatino Linotype" w:cs="Arial"/>
        </w:rPr>
        <w:t xml:space="preserve">fue omiso en responder la solicitud de información hecha por </w:t>
      </w:r>
      <w:r w:rsidRPr="0057274E">
        <w:rPr>
          <w:rFonts w:ascii="Palatino Linotype" w:hAnsi="Palatino Linotype" w:cs="Arial"/>
          <w:b/>
        </w:rPr>
        <w:t>El Recurrente</w:t>
      </w:r>
      <w:r w:rsidR="00BF1740">
        <w:rPr>
          <w:rFonts w:ascii="Palatino Linotype" w:hAnsi="Palatino Linotype" w:cs="Arial"/>
          <w:b/>
        </w:rPr>
        <w:t xml:space="preserve">. </w:t>
      </w:r>
    </w:p>
    <w:p w14:paraId="378E167D" w14:textId="77777777" w:rsidR="0057274E" w:rsidRDefault="0057274E" w:rsidP="0057274E">
      <w:pPr>
        <w:spacing w:after="240" w:line="360" w:lineRule="auto"/>
        <w:jc w:val="both"/>
        <w:rPr>
          <w:rFonts w:ascii="Palatino Linotype" w:hAnsi="Palatino Linotype" w:cs="Arial"/>
          <w:sz w:val="24"/>
          <w:szCs w:val="24"/>
        </w:rPr>
      </w:pPr>
    </w:p>
    <w:p w14:paraId="5EC6D39D" w14:textId="604D0C40" w:rsidR="0057274E" w:rsidRDefault="0057274E" w:rsidP="0057274E">
      <w:pPr>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En contraste, como se mencionó en el antecedente quinto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adjuntando para tal efecto el siguiente soporte documental: </w:t>
      </w:r>
    </w:p>
    <w:p w14:paraId="0CB10554" w14:textId="77777777" w:rsidR="0057274E" w:rsidRPr="00C07683" w:rsidRDefault="0057274E" w:rsidP="0057274E">
      <w:pPr>
        <w:pStyle w:val="Prrafodelista"/>
        <w:numPr>
          <w:ilvl w:val="0"/>
          <w:numId w:val="31"/>
        </w:numPr>
        <w:tabs>
          <w:tab w:val="right" w:leader="dot" w:pos="8505"/>
        </w:tabs>
        <w:spacing w:before="240" w:after="240" w:line="360" w:lineRule="auto"/>
        <w:jc w:val="both"/>
        <w:rPr>
          <w:rFonts w:ascii="Palatino Linotype" w:hAnsi="Palatino Linotype" w:cs="Arial"/>
          <w:b/>
          <w:lang w:eastAsia="es-MX"/>
        </w:rPr>
      </w:pPr>
      <w:r>
        <w:rPr>
          <w:rFonts w:ascii="Palatino Linotype" w:hAnsi="Palatino Linotype" w:cs="Arial"/>
          <w:b/>
          <w:noProof/>
          <w:lang w:val="es-MX" w:eastAsia="es-MX"/>
        </w:rPr>
        <mc:AlternateContent>
          <mc:Choice Requires="wps">
            <w:drawing>
              <wp:anchor distT="0" distB="0" distL="114300" distR="114300" simplePos="0" relativeHeight="251747327" behindDoc="0" locked="0" layoutInCell="1" allowOverlap="1" wp14:anchorId="41AD21E6" wp14:editId="6234B74B">
                <wp:simplePos x="0" y="0"/>
                <wp:positionH relativeFrom="column">
                  <wp:posOffset>120511</wp:posOffset>
                </wp:positionH>
                <wp:positionV relativeFrom="paragraph">
                  <wp:posOffset>1343467</wp:posOffset>
                </wp:positionV>
                <wp:extent cx="5995283" cy="3156668"/>
                <wp:effectExtent l="0" t="0" r="24765" b="24765"/>
                <wp:wrapNone/>
                <wp:docPr id="1" name="Conector recto 1"/>
                <wp:cNvGraphicFramePr/>
                <a:graphic xmlns:a="http://schemas.openxmlformats.org/drawingml/2006/main">
                  <a:graphicData uri="http://schemas.microsoft.com/office/word/2010/wordprocessingShape">
                    <wps:wsp>
                      <wps:cNvCnPr/>
                      <wps:spPr>
                        <a:xfrm>
                          <a:off x="0" y="0"/>
                          <a:ext cx="5995283" cy="31566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B8FCF" id="Conector recto 1" o:spid="_x0000_s1026" style="position:absolute;z-index:251747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05.8pt" to="481.55pt,3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" strokecolor="#5b9bd5 [3204]" strokeweight=".5pt">
                <v:stroke joinstyle="miter"/>
              </v:line>
            </w:pict>
          </mc:Fallback>
        </mc:AlternateContent>
      </w:r>
      <w:r>
        <w:rPr>
          <w:rFonts w:ascii="Palatino Linotype" w:hAnsi="Palatino Linotype" w:cs="Arial"/>
          <w:b/>
          <w:lang w:eastAsia="es-MX"/>
        </w:rPr>
        <w:t xml:space="preserve">“00043-ZUMPAHUA-IP-2021.pdf”: </w:t>
      </w:r>
      <w:r>
        <w:rPr>
          <w:rFonts w:ascii="Palatino Linotype" w:hAnsi="Palatino Linotype" w:cs="Arial"/>
          <w:lang w:eastAsia="es-MX"/>
        </w:rPr>
        <w:t xml:space="preserve">En lo medular compila balanza de la comprobación detallada correspondiente al periodo comprendido del uno al treinta y uno de agosto de dos mil veintiuno. Sirve de sustento la siguiente imagen ilustrativa: </w:t>
      </w:r>
    </w:p>
    <w:p w14:paraId="7E263271" w14:textId="77777777" w:rsidR="0057274E" w:rsidRPr="00C07683" w:rsidRDefault="0057274E" w:rsidP="0057274E">
      <w:pPr>
        <w:pStyle w:val="Prrafodelista"/>
        <w:tabs>
          <w:tab w:val="right" w:leader="dot" w:pos="8505"/>
        </w:tabs>
        <w:spacing w:before="240" w:after="240" w:line="360" w:lineRule="auto"/>
        <w:ind w:left="720"/>
        <w:jc w:val="both"/>
        <w:rPr>
          <w:rFonts w:ascii="Palatino Linotype" w:hAnsi="Palatino Linotype" w:cs="Arial"/>
          <w:b/>
          <w:lang w:eastAsia="es-MX"/>
        </w:rPr>
      </w:pPr>
    </w:p>
    <w:p w14:paraId="1A6A0B78" w14:textId="77777777" w:rsidR="0057274E" w:rsidRDefault="0057274E" w:rsidP="0057274E">
      <w:pPr>
        <w:tabs>
          <w:tab w:val="right" w:leader="dot" w:pos="8505"/>
        </w:tabs>
        <w:spacing w:before="240" w:after="240" w:line="360" w:lineRule="auto"/>
        <w:jc w:val="both"/>
        <w:rPr>
          <w:rFonts w:ascii="Palatino Linotype" w:hAnsi="Palatino Linotype" w:cs="Arial"/>
          <w:sz w:val="24"/>
          <w:szCs w:val="24"/>
          <w:lang w:eastAsia="es-MX"/>
        </w:rPr>
      </w:pPr>
    </w:p>
    <w:p w14:paraId="7146BC27" w14:textId="77777777" w:rsidR="0057274E" w:rsidRDefault="0057274E" w:rsidP="0057274E">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w:lastRenderedPageBreak/>
        <w:drawing>
          <wp:anchor distT="0" distB="0" distL="114300" distR="114300" simplePos="0" relativeHeight="251748351" behindDoc="0" locked="0" layoutInCell="1" allowOverlap="1" wp14:anchorId="017357D1" wp14:editId="40FCA68C">
            <wp:simplePos x="0" y="0"/>
            <wp:positionH relativeFrom="column">
              <wp:posOffset>-62398</wp:posOffset>
            </wp:positionH>
            <wp:positionV relativeFrom="paragraph">
              <wp:posOffset>19122</wp:posOffset>
            </wp:positionV>
            <wp:extent cx="5760720" cy="7159625"/>
            <wp:effectExtent l="19050" t="19050" r="11430" b="22225"/>
            <wp:wrapThrough wrapText="bothSides">
              <wp:wrapPolygon edited="0">
                <wp:start x="-71" y="-57"/>
                <wp:lineTo x="-71" y="21610"/>
                <wp:lineTo x="21571" y="21610"/>
                <wp:lineTo x="21571" y="-57"/>
                <wp:lineTo x="-71" y="-5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1596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273474F" w14:textId="01DA9637" w:rsidR="00FD72CA" w:rsidRDefault="0057274E" w:rsidP="00FD72C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Luego entonces, es menester señalar que es </w:t>
      </w:r>
      <w:r w:rsidR="00FD72CA" w:rsidRPr="00961F29">
        <w:rPr>
          <w:rFonts w:ascii="Palatino Linotype" w:hAnsi="Palatino Linotype" w:cs="Arial"/>
          <w:sz w:val="24"/>
          <w:szCs w:val="24"/>
        </w:rPr>
        <w:t>una facultad legal entrar al estudio de las causas de improcedencia que</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hagan valer las partes o que se adviertan de oficio por este Resolutor; presupuestos</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procesales de inicio o trámite de un proceso que dotan de seguridad jurídica las</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resoluciones emitidas por este organismo colegiado, máxime que se trata de una</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figura procesal adoptada en la ley de la materia, la cual permite dilucidar alguna</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causal que impida el estudio y resolución de un asunto en su fondo, cuando una vez</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admitido el recurso de revisión se advierta una causa de improcedencia que permita</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sobreseerlo.</w:t>
      </w:r>
    </w:p>
    <w:p w14:paraId="5B837817" w14:textId="77777777" w:rsidR="00FD72CA" w:rsidRDefault="00FD72CA" w:rsidP="00FD72C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DA2F4C1" w14:textId="77777777" w:rsidR="00FD72CA" w:rsidRPr="008D6732" w:rsidRDefault="00FD72CA" w:rsidP="00FD72CA">
      <w:pPr>
        <w:tabs>
          <w:tab w:val="left" w:pos="709"/>
        </w:tabs>
        <w:spacing w:before="240" w:after="240" w:line="360" w:lineRule="auto"/>
        <w:jc w:val="both"/>
        <w:rPr>
          <w:rFonts w:ascii="Palatino Linotype" w:hAnsi="Palatino Linotype" w:cs="Arial"/>
          <w:sz w:val="24"/>
          <w:szCs w:val="24"/>
        </w:rPr>
      </w:pPr>
      <w:r w:rsidRPr="008D6732">
        <w:rPr>
          <w:rFonts w:ascii="Palatino Linotype" w:hAnsi="Palatino Linotype" w:cs="Arial"/>
          <w:sz w:val="24"/>
          <w:szCs w:val="24"/>
        </w:rPr>
        <w:t xml:space="preserve">Ahora bien, resulta importante referir que en la Ley de Transparencia Local vigente, en su artículo 192 contempla la figura jurídica del sobreseimiento; en el cual, la </w:t>
      </w:r>
      <w:r w:rsidRPr="008D6732">
        <w:rPr>
          <w:rFonts w:ascii="Palatino Linotype" w:hAnsi="Palatino Linotype" w:cs="Arial"/>
          <w:sz w:val="24"/>
          <w:szCs w:val="24"/>
        </w:rPr>
        <w:lastRenderedPageBreak/>
        <w:t>hipótesis inmersa en la fracción I</w:t>
      </w:r>
      <w:r w:rsidRPr="008D6732">
        <w:rPr>
          <w:rStyle w:val="Refdenotaalpie"/>
          <w:rFonts w:ascii="Palatino Linotype" w:hAnsi="Palatino Linotype" w:cs="Arial"/>
          <w:sz w:val="24"/>
          <w:szCs w:val="24"/>
        </w:rPr>
        <w:footnoteReference w:id="2"/>
      </w:r>
      <w:r w:rsidRPr="008D6732">
        <w:rPr>
          <w:rFonts w:ascii="Palatino Linotype" w:hAnsi="Palatino Linotype" w:cs="Arial"/>
          <w:sz w:val="24"/>
          <w:szCs w:val="24"/>
        </w:rPr>
        <w:t xml:space="preserve">, refiere que el recurrente se desista expresamente del recurso. </w:t>
      </w:r>
    </w:p>
    <w:p w14:paraId="4F946741" w14:textId="1C589679" w:rsidR="00FD72CA" w:rsidRDefault="00995290" w:rsidP="00FD72C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44254" behindDoc="0" locked="0" layoutInCell="1" allowOverlap="1" wp14:anchorId="21D86CFF" wp14:editId="705522CE">
            <wp:simplePos x="0" y="0"/>
            <wp:positionH relativeFrom="column">
              <wp:posOffset>-57150</wp:posOffset>
            </wp:positionH>
            <wp:positionV relativeFrom="paragraph">
              <wp:posOffset>1163955</wp:posOffset>
            </wp:positionV>
            <wp:extent cx="5753100" cy="3599815"/>
            <wp:effectExtent l="0" t="0" r="0" b="635"/>
            <wp:wrapThrough wrapText="bothSides">
              <wp:wrapPolygon edited="0">
                <wp:start x="0" y="0"/>
                <wp:lineTo x="0" y="21490"/>
                <wp:lineTo x="21528" y="21490"/>
                <wp:lineTo x="21528"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998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FD72CA" w:rsidRPr="008D6732">
        <w:rPr>
          <w:rFonts w:ascii="Palatino Linotype" w:hAnsi="Palatino Linotype" w:cs="Arial"/>
          <w:sz w:val="24"/>
          <w:szCs w:val="24"/>
        </w:rPr>
        <w:t xml:space="preserve">Así, para que se tenga por desistido bastará con que </w:t>
      </w:r>
      <w:r w:rsidR="00FD72CA" w:rsidRPr="008D6732">
        <w:rPr>
          <w:rFonts w:ascii="Palatino Linotype" w:hAnsi="Palatino Linotype" w:cs="Arial"/>
          <w:b/>
          <w:sz w:val="24"/>
          <w:szCs w:val="24"/>
        </w:rPr>
        <w:t>El Recurrente</w:t>
      </w:r>
      <w:r w:rsidR="00FD72CA" w:rsidRPr="008D6732">
        <w:rPr>
          <w:rFonts w:ascii="Palatino Linotype" w:hAnsi="Palatino Linotype" w:cs="Arial"/>
          <w:sz w:val="24"/>
          <w:szCs w:val="24"/>
        </w:rPr>
        <w:t xml:space="preserve"> expresamente se desista del recurso de revisión promovido, lo cual es a evidente que se actualiza en el presente asunto, tal y como se muestra en la siguiente imagen ilustrativa:</w:t>
      </w:r>
      <w:r w:rsidR="00FD72CA" w:rsidRPr="00B42834">
        <w:rPr>
          <w:rFonts w:ascii="Palatino Linotype" w:hAnsi="Palatino Linotype" w:cs="Arial"/>
          <w:sz w:val="24"/>
          <w:szCs w:val="24"/>
        </w:rPr>
        <w:t xml:space="preserve"> </w:t>
      </w:r>
    </w:p>
    <w:p w14:paraId="72D0B676" w14:textId="2D99F27F" w:rsidR="00FD72CA" w:rsidRDefault="00FD72CA" w:rsidP="00BB4FA9">
      <w:pPr>
        <w:pStyle w:val="Prrafodelista"/>
        <w:autoSpaceDE w:val="0"/>
        <w:autoSpaceDN w:val="0"/>
        <w:adjustRightInd w:val="0"/>
        <w:spacing w:before="240" w:after="160" w:line="360" w:lineRule="auto"/>
        <w:ind w:left="0"/>
        <w:jc w:val="both"/>
        <w:rPr>
          <w:rFonts w:ascii="Palatino Linotype" w:hAnsi="Palatino Linotype" w:cs="Arial"/>
          <w:b/>
          <w:sz w:val="28"/>
          <w:szCs w:val="28"/>
        </w:rPr>
      </w:pPr>
    </w:p>
    <w:p w14:paraId="2FE1681B" w14:textId="77777777" w:rsidR="001A4AFE" w:rsidRPr="00C608E1" w:rsidRDefault="001A4AFE" w:rsidP="001A4AFE">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Manifestando para tales efectos lo siguiente: </w:t>
      </w:r>
    </w:p>
    <w:p w14:paraId="0743E1F2" w14:textId="1693BB4B" w:rsidR="001A4AFE" w:rsidRDefault="001A4AFE" w:rsidP="001A4AFE">
      <w:pPr>
        <w:pStyle w:val="INFOEM"/>
        <w:rPr>
          <w:b/>
        </w:rPr>
      </w:pPr>
      <w:r>
        <w:lastRenderedPageBreak/>
        <w:t xml:space="preserve">“Me entregaron la información en su informe de justificación. Gracias” </w:t>
      </w:r>
      <w:r>
        <w:rPr>
          <w:b/>
        </w:rPr>
        <w:t xml:space="preserve">[Sic] </w:t>
      </w:r>
    </w:p>
    <w:p w14:paraId="442B9DA3" w14:textId="77777777" w:rsidR="001A4AFE" w:rsidRDefault="001A4AFE" w:rsidP="00C65944">
      <w:pPr>
        <w:pStyle w:val="Citas"/>
        <w:ind w:left="0" w:right="0"/>
        <w:rPr>
          <w:i w:val="0"/>
          <w:sz w:val="24"/>
          <w:szCs w:val="24"/>
        </w:rPr>
      </w:pPr>
    </w:p>
    <w:p w14:paraId="11AF28B7" w14:textId="77777777" w:rsidR="001A4AFE" w:rsidRDefault="001A4AFE" w:rsidP="001A4AFE">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se entiende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de propia voluntad, sin existir coacción o dolo, en ejercicio de sus derechos, se desiste del recurso en que se actúa, por lo que se procede a la valoración, respecto de si el desistimiento cumple con lo 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w:t>
      </w:r>
    </w:p>
    <w:p w14:paraId="07B9BB84" w14:textId="77777777" w:rsidR="001A4AFE" w:rsidRDefault="001A4AFE" w:rsidP="001A4AFE">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xml:space="preserve">; lo que en el caso concreto, ha de entenderse como la renuncia que hace </w:t>
      </w:r>
      <w:r w:rsidRPr="00B42834">
        <w:rPr>
          <w:rFonts w:ascii="Palatino Linotype" w:hAnsi="Palatino Linotype" w:cs="Arial"/>
          <w:b/>
          <w:sz w:val="24"/>
          <w:szCs w:val="24"/>
        </w:rPr>
        <w:t>El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7B5B71EB" w14:textId="67322753" w:rsidR="001A4AFE" w:rsidRPr="009639FB" w:rsidRDefault="001A4AFE" w:rsidP="001A4AFE">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w:t>
      </w:r>
      <w:r>
        <w:rPr>
          <w:rFonts w:ascii="Palatino Linotype" w:hAnsi="Palatino Linotype" w:cs="Arial"/>
          <w:b/>
          <w:sz w:val="24"/>
          <w:szCs w:val="24"/>
        </w:rPr>
        <w:t xml:space="preserve">El Recurrente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3"/>
      </w:r>
      <w:r>
        <w:rPr>
          <w:rFonts w:ascii="Palatino Linotype" w:hAnsi="Palatino Linotype" w:cs="Arial"/>
          <w:sz w:val="24"/>
          <w:szCs w:val="24"/>
        </w:rPr>
        <w:t xml:space="preserve"> que debidamente se tiene acreditada en autos, es la misma persona que realizó la solicitud de información número </w:t>
      </w:r>
      <w:r>
        <w:rPr>
          <w:rFonts w:ascii="Palatino Linotype" w:hAnsi="Palatino Linotype" w:cs="Arial"/>
          <w:b/>
          <w:sz w:val="24"/>
          <w:szCs w:val="24"/>
        </w:rPr>
        <w:t>00043/ZUMPAHUA/IP/2021</w:t>
      </w:r>
      <w:r w:rsidRPr="00383067">
        <w:rPr>
          <w:rFonts w:ascii="Palatino Linotype" w:hAnsi="Palatino Linotype" w:cs="Arial"/>
          <w:sz w:val="24"/>
          <w:szCs w:val="24"/>
        </w:rPr>
        <w:t>,</w:t>
      </w:r>
      <w:r>
        <w:rPr>
          <w:rFonts w:ascii="Palatino Linotype" w:hAnsi="Palatino Linotype" w:cs="Arial"/>
          <w:sz w:val="24"/>
          <w:szCs w:val="24"/>
        </w:rPr>
        <w:t xml:space="preserve"> y quien, posteriormente interpuso el presente recurso de revisión número </w:t>
      </w:r>
      <w:r>
        <w:rPr>
          <w:rFonts w:ascii="Palatino Linotype" w:hAnsi="Palatino Linotype" w:cs="Arial"/>
          <w:b/>
          <w:sz w:val="24"/>
          <w:szCs w:val="24"/>
        </w:rPr>
        <w:t xml:space="preserve">05050/INFOEM/IP/RR/2021, </w:t>
      </w:r>
      <w:r>
        <w:rPr>
          <w:rFonts w:ascii="Palatino Linotype" w:hAnsi="Palatino Linotype" w:cs="Arial"/>
          <w:sz w:val="24"/>
          <w:szCs w:val="24"/>
        </w:rPr>
        <w:t xml:space="preserve">en contra de la respuesta </w:t>
      </w:r>
      <w:r>
        <w:rPr>
          <w:rFonts w:ascii="Palatino Linotype" w:hAnsi="Palatino Linotype" w:cs="Arial"/>
          <w:sz w:val="24"/>
          <w:szCs w:val="24"/>
        </w:rPr>
        <w:lastRenderedPageBreak/>
        <w:t xml:space="preserve">otorgada; todo esto, de conformidad con las actuaciones que obran en el expediente electrónico del </w:t>
      </w:r>
      <w:r>
        <w:rPr>
          <w:rFonts w:ascii="Palatino Linotype" w:hAnsi="Palatino Linotype" w:cs="Arial"/>
          <w:b/>
          <w:sz w:val="24"/>
          <w:szCs w:val="24"/>
        </w:rPr>
        <w:t xml:space="preserve">SAIMEX. </w:t>
      </w:r>
    </w:p>
    <w:p w14:paraId="7E2E42B2" w14:textId="77777777" w:rsidR="001A4AFE" w:rsidRPr="0074371B" w:rsidRDefault="001A4AFE" w:rsidP="001A4AFE">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procedimiento; por lo que, con efectos vinculantes a la presente Resolución, dicho desistimiento debe quedar firme.</w:t>
      </w:r>
    </w:p>
    <w:p w14:paraId="4FC1B075" w14:textId="77777777" w:rsidR="001A4AFE" w:rsidRDefault="001A4AFE" w:rsidP="001A4AFE">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 lo procedente es </w:t>
      </w:r>
      <w:r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Pr>
          <w:rFonts w:ascii="Palatino Linotype" w:hAnsi="Palatino Linotype" w:cs="Arial"/>
          <w:b/>
          <w:sz w:val="24"/>
          <w:szCs w:val="24"/>
        </w:rPr>
        <w:t>E</w:t>
      </w:r>
      <w:r w:rsidRPr="009639FB">
        <w:rPr>
          <w:rFonts w:ascii="Palatino Linotype" w:hAnsi="Palatino Linotype" w:cs="Arial"/>
          <w:b/>
          <w:sz w:val="24"/>
          <w:szCs w:val="24"/>
        </w:rPr>
        <w:t>l</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549B53D7" w14:textId="77777777" w:rsidR="001A4AFE" w:rsidRPr="007E7B66" w:rsidRDefault="001A4AFE" w:rsidP="001A4AFE">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190937D2" w14:textId="77777777" w:rsidR="001A4AFE" w:rsidRDefault="001A4AFE" w:rsidP="00C65944">
      <w:pPr>
        <w:pStyle w:val="Citas"/>
        <w:ind w:left="0" w:right="0"/>
        <w:rPr>
          <w:i w:val="0"/>
          <w:sz w:val="24"/>
          <w:szCs w:val="24"/>
        </w:rPr>
      </w:pPr>
    </w:p>
    <w:p w14:paraId="360C22FF" w14:textId="77777777" w:rsidR="001A4AFE" w:rsidRPr="004D2A05" w:rsidRDefault="001A4AFE" w:rsidP="001A4AFE">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0AA76E13" w14:textId="6DEF1D5B" w:rsidR="001A4AFE" w:rsidRPr="00961F29" w:rsidRDefault="001A4AFE" w:rsidP="001A4AFE">
      <w:pPr>
        <w:spacing w:before="240" w:after="240" w:line="360" w:lineRule="auto"/>
        <w:jc w:val="both"/>
        <w:rPr>
          <w:rFonts w:ascii="Palatino Linotype" w:hAnsi="Palatino Linotype" w:cs="Arial"/>
          <w:b/>
          <w:sz w:val="28"/>
          <w:szCs w:val="24"/>
          <w:lang w:val="es-ES_tradnl"/>
        </w:rPr>
      </w:pPr>
      <w:r>
        <w:rPr>
          <w:rFonts w:ascii="Palatino Linotype" w:hAnsi="Palatino Linotype" w:cs="Arial"/>
          <w:b/>
          <w:sz w:val="28"/>
          <w:szCs w:val="24"/>
          <w:lang w:val="es-ES_tradnl"/>
        </w:rPr>
        <w:t>P</w:t>
      </w:r>
      <w:r w:rsidRPr="00961F29">
        <w:rPr>
          <w:rFonts w:ascii="Palatino Linotype" w:hAnsi="Palatino Linotype" w:cs="Arial"/>
          <w:b/>
          <w:sz w:val="28"/>
          <w:szCs w:val="24"/>
          <w:lang w:val="es-ES_tradnl"/>
        </w:rPr>
        <w:t xml:space="preserve">RIMERO. </w:t>
      </w:r>
      <w:r w:rsidRPr="00961F29">
        <w:rPr>
          <w:rFonts w:ascii="Palatino Linotype" w:hAnsi="Palatino Linotype" w:cs="Arial"/>
          <w:sz w:val="24"/>
          <w:szCs w:val="24"/>
          <w:lang w:val="es-ES_tradnl"/>
        </w:rPr>
        <w:t xml:space="preserve">Se </w:t>
      </w:r>
      <w:r w:rsidRPr="00961F29">
        <w:rPr>
          <w:rFonts w:ascii="Palatino Linotype" w:hAnsi="Palatino Linotype" w:cs="Arial"/>
          <w:b/>
          <w:sz w:val="24"/>
          <w:szCs w:val="24"/>
          <w:lang w:val="es-ES_tradnl"/>
        </w:rPr>
        <w:t>SOBRESEE</w:t>
      </w:r>
      <w:r w:rsidRPr="00961F29">
        <w:rPr>
          <w:rFonts w:ascii="Palatino Linotype" w:hAnsi="Palatino Linotype" w:cs="Arial"/>
          <w:sz w:val="24"/>
          <w:szCs w:val="24"/>
          <w:lang w:val="es-ES_tradnl"/>
        </w:rPr>
        <w:t xml:space="preserve"> </w:t>
      </w:r>
      <w:r>
        <w:rPr>
          <w:rFonts w:ascii="Palatino Linotype" w:hAnsi="Palatino Linotype" w:cs="Arial"/>
          <w:sz w:val="24"/>
          <w:szCs w:val="24"/>
          <w:lang w:val="es-ES_tradnl"/>
        </w:rPr>
        <w:t>el</w:t>
      </w:r>
      <w:r w:rsidRPr="00961F29">
        <w:rPr>
          <w:rFonts w:ascii="Palatino Linotype" w:hAnsi="Palatino Linotype" w:cs="Arial"/>
          <w:sz w:val="24"/>
          <w:szCs w:val="24"/>
          <w:lang w:val="es-ES_tradnl"/>
        </w:rPr>
        <w:t xml:space="preserve"> recurso de revisión número </w:t>
      </w:r>
      <w:r>
        <w:rPr>
          <w:rFonts w:ascii="Palatino Linotype" w:hAnsi="Palatino Linotype" w:cs="Arial"/>
          <w:b/>
          <w:sz w:val="24"/>
          <w:szCs w:val="24"/>
          <w:lang w:val="es-ES_tradnl"/>
        </w:rPr>
        <w:t>05050/INFOEM/IP/RR/2021</w:t>
      </w:r>
      <w:r w:rsidRPr="00961F29">
        <w:rPr>
          <w:rFonts w:ascii="Palatino Linotype" w:hAnsi="Palatino Linotype" w:cs="Arial"/>
          <w:sz w:val="24"/>
          <w:szCs w:val="24"/>
          <w:lang w:val="es-ES_tradnl"/>
        </w:rPr>
        <w:t>, por haberse desistido expresamente</w:t>
      </w:r>
      <w:r>
        <w:rPr>
          <w:rFonts w:ascii="Palatino Linotype" w:hAnsi="Palatino Linotype" w:cs="Arial"/>
          <w:sz w:val="24"/>
          <w:szCs w:val="24"/>
          <w:lang w:val="es-ES_tradnl"/>
        </w:rPr>
        <w:t xml:space="preserve"> </w:t>
      </w:r>
      <w:r w:rsidRPr="009639FB">
        <w:rPr>
          <w:rFonts w:ascii="Palatino Linotype" w:hAnsi="Palatino Linotype" w:cs="Arial"/>
          <w:b/>
          <w:sz w:val="24"/>
          <w:szCs w:val="24"/>
          <w:lang w:val="es-ES_tradnl"/>
        </w:rPr>
        <w:t>EL RECURRENTE</w:t>
      </w:r>
      <w:r w:rsidRPr="00961F29">
        <w:rPr>
          <w:rFonts w:ascii="Palatino Linotype" w:hAnsi="Palatino Linotype" w:cs="Arial"/>
          <w:sz w:val="24"/>
          <w:szCs w:val="24"/>
          <w:lang w:val="es-ES_tradnl"/>
        </w:rPr>
        <w:t xml:space="preserve">, en términos del Considerando </w:t>
      </w:r>
      <w:r>
        <w:rPr>
          <w:rFonts w:ascii="Palatino Linotype" w:hAnsi="Palatino Linotype" w:cs="Arial"/>
          <w:b/>
          <w:sz w:val="24"/>
          <w:szCs w:val="24"/>
          <w:lang w:val="es-ES_tradnl"/>
        </w:rPr>
        <w:t>TERCERO</w:t>
      </w:r>
      <w:r w:rsidRPr="00961F29">
        <w:rPr>
          <w:rFonts w:ascii="Palatino Linotype" w:hAnsi="Palatino Linotype" w:cs="Arial"/>
          <w:sz w:val="24"/>
          <w:szCs w:val="24"/>
          <w:lang w:val="es-ES_tradnl"/>
        </w:rPr>
        <w:t xml:space="preserve"> de la presente resolución.</w:t>
      </w:r>
      <w:r>
        <w:rPr>
          <w:rFonts w:ascii="Palatino Linotype" w:hAnsi="Palatino Linotype" w:cs="Arial"/>
          <w:b/>
          <w:sz w:val="28"/>
          <w:szCs w:val="24"/>
          <w:lang w:val="es-ES_tradnl"/>
        </w:rPr>
        <w:t xml:space="preserve"> </w:t>
      </w:r>
    </w:p>
    <w:p w14:paraId="543695C9" w14:textId="1EC1795B" w:rsidR="001A4AFE" w:rsidRPr="00961F29" w:rsidRDefault="001A4AFE" w:rsidP="001A4AFE">
      <w:pPr>
        <w:spacing w:before="240" w:after="240" w:line="360" w:lineRule="auto"/>
        <w:jc w:val="both"/>
        <w:rPr>
          <w:rFonts w:ascii="Palatino Linotype" w:hAnsi="Palatino Linotype" w:cs="Arial"/>
          <w:b/>
          <w:sz w:val="28"/>
          <w:szCs w:val="24"/>
          <w:lang w:val="es-ES_tradnl"/>
        </w:rPr>
      </w:pPr>
      <w:r w:rsidRPr="00961F29">
        <w:rPr>
          <w:rFonts w:ascii="Palatino Linotype" w:hAnsi="Palatino Linotype" w:cs="Arial"/>
          <w:b/>
          <w:sz w:val="28"/>
          <w:szCs w:val="24"/>
          <w:lang w:val="es-ES_tradnl"/>
        </w:rPr>
        <w:lastRenderedPageBreak/>
        <w:t xml:space="preserve">SEGUNDO.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vía </w:t>
      </w:r>
      <w:r>
        <w:rPr>
          <w:rFonts w:ascii="Palatino Linotype" w:hAnsi="Palatino Linotype" w:cs="Arial"/>
        </w:rPr>
        <w:t>Sistema de Acceso a la Información Mexiquense (</w:t>
      </w:r>
      <w:r w:rsidRPr="009639FB">
        <w:rPr>
          <w:rFonts w:ascii="Palatino Linotype" w:hAnsi="Palatino Linotype" w:cs="Arial"/>
          <w:b/>
          <w:sz w:val="24"/>
          <w:szCs w:val="24"/>
          <w:lang w:val="es-ES_tradnl"/>
        </w:rPr>
        <w:t>SAIMEX</w:t>
      </w:r>
      <w:r>
        <w:rPr>
          <w:rFonts w:ascii="Palatino Linotype" w:hAnsi="Palatino Linotype" w:cs="Arial"/>
          <w:b/>
          <w:sz w:val="24"/>
          <w:szCs w:val="24"/>
          <w:lang w:val="es-ES_tradnl"/>
        </w:rPr>
        <w:t>)</w:t>
      </w:r>
      <w:r w:rsidRPr="009639FB">
        <w:rPr>
          <w:rFonts w:ascii="Palatino Linotype" w:hAnsi="Palatino Linotype" w:cs="Arial"/>
          <w:b/>
          <w:sz w:val="24"/>
          <w:szCs w:val="24"/>
          <w:lang w:val="es-ES_tradnl"/>
        </w:rPr>
        <w:t>,</w:t>
      </w:r>
      <w:r w:rsidRPr="00961F29">
        <w:rPr>
          <w:rFonts w:ascii="Palatino Linotype" w:hAnsi="Palatino Linotype" w:cs="Arial"/>
          <w:sz w:val="24"/>
          <w:szCs w:val="24"/>
          <w:lang w:val="es-ES_tradnl"/>
        </w:rPr>
        <w:t xml:space="preserve"> la presente resolución al Titular de la Unidad de Transparencia del </w:t>
      </w:r>
      <w:r w:rsidRPr="00961F29">
        <w:rPr>
          <w:rFonts w:ascii="Palatino Linotype" w:hAnsi="Palatino Linotype" w:cs="Arial"/>
          <w:b/>
          <w:sz w:val="24"/>
          <w:szCs w:val="24"/>
          <w:lang w:val="es-ES_tradnl"/>
        </w:rPr>
        <w:t>SUJETO OBLIGADO</w:t>
      </w:r>
      <w:r w:rsidRPr="00961F29">
        <w:rPr>
          <w:rFonts w:ascii="Palatino Linotype" w:hAnsi="Palatino Linotype" w:cs="Arial"/>
          <w:sz w:val="24"/>
          <w:szCs w:val="24"/>
          <w:lang w:val="es-ES_tradnl"/>
        </w:rPr>
        <w:t>.</w:t>
      </w:r>
      <w:r>
        <w:rPr>
          <w:rFonts w:ascii="Palatino Linotype" w:hAnsi="Palatino Linotype" w:cs="Arial"/>
          <w:b/>
          <w:sz w:val="28"/>
          <w:szCs w:val="24"/>
          <w:lang w:val="es-ES_tradnl"/>
        </w:rPr>
        <w:t xml:space="preserve"> </w:t>
      </w:r>
    </w:p>
    <w:p w14:paraId="4D1D136A" w14:textId="77777777" w:rsidR="001A4AFE" w:rsidRDefault="001A4AFE" w:rsidP="001A4AFE">
      <w:pPr>
        <w:spacing w:before="240" w:after="240" w:line="360" w:lineRule="auto"/>
        <w:jc w:val="both"/>
        <w:rPr>
          <w:rFonts w:ascii="Palatino Linotype" w:hAnsi="Palatino Linotype" w:cs="Arial"/>
          <w:b/>
          <w:sz w:val="28"/>
          <w:szCs w:val="24"/>
          <w:lang w:val="es-ES_tradnl"/>
        </w:rPr>
      </w:pPr>
    </w:p>
    <w:p w14:paraId="6F7EA9B7" w14:textId="12A9C5F8" w:rsidR="001A4AFE" w:rsidRDefault="001A4AFE" w:rsidP="001A4AFE">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w:t>
      </w:r>
      <w:r w:rsidR="003E5612" w:rsidRPr="003E5612">
        <w:t xml:space="preserve"> </w:t>
      </w:r>
      <w:r w:rsidR="003E5612" w:rsidRPr="003E5612">
        <w:rPr>
          <w:rFonts w:ascii="Palatino Linotype" w:hAnsi="Palatino Linotype" w:cs="Arial"/>
          <w:sz w:val="24"/>
          <w:szCs w:val="24"/>
          <w:lang w:val="es-ES_tradnl"/>
        </w:rPr>
        <w:t xml:space="preserve">a través del Sistema de Acceso a la Información Mexiquense </w:t>
      </w:r>
      <w:r w:rsidR="003E5612" w:rsidRPr="003E5612">
        <w:rPr>
          <w:rFonts w:ascii="Palatino Linotype" w:hAnsi="Palatino Linotype" w:cs="Arial"/>
          <w:b/>
          <w:bCs/>
          <w:sz w:val="24"/>
          <w:szCs w:val="24"/>
          <w:lang w:val="es-ES_tradnl"/>
        </w:rPr>
        <w:t>(SAIMEX)</w:t>
      </w:r>
      <w:r w:rsidRPr="00961F29">
        <w:rPr>
          <w:rFonts w:ascii="Palatino Linotype" w:hAnsi="Palatino Linotype" w:cs="Arial"/>
          <w:sz w:val="24"/>
          <w:szCs w:val="24"/>
          <w:lang w:val="es-ES_tradnl"/>
        </w:rPr>
        <w:t>,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584B400E" w14:textId="77777777" w:rsidR="001A4AFE" w:rsidRDefault="001A4AFE" w:rsidP="00C65944">
      <w:pPr>
        <w:pStyle w:val="Citas"/>
        <w:ind w:left="0" w:right="0"/>
        <w:rPr>
          <w:i w:val="0"/>
          <w:sz w:val="24"/>
          <w:szCs w:val="24"/>
        </w:rPr>
      </w:pPr>
    </w:p>
    <w:p w14:paraId="7BB268E6" w14:textId="37F51AE4" w:rsidR="00083BAF" w:rsidRDefault="00083BAF" w:rsidP="00083BA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CUADRAGÉSIMA SESIÓN ORDINARIA CELEBRADA EL DIEZ DE NOVIEMBRE DE DOS MIL VEINTIUNO, ANTE EL SECRETARIO TÉCNICO DEL PLENO, ALEXIS TAPIA RAMÍREZ. </w:t>
      </w:r>
    </w:p>
    <w:p w14:paraId="066F32F3" w14:textId="77777777" w:rsidR="00083BAF" w:rsidRPr="00280B8B" w:rsidRDefault="00083BAF" w:rsidP="00083BA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6A44959" w14:textId="56BAD598" w:rsidR="00C65944" w:rsidRDefault="00C65944" w:rsidP="00C65944">
      <w:pPr>
        <w:spacing w:after="0" w:line="360" w:lineRule="auto"/>
        <w:jc w:val="both"/>
        <w:rPr>
          <w:rFonts w:ascii="Palatino Linotype" w:hAnsi="Palatino Linotype" w:cs="Arial"/>
          <w:sz w:val="16"/>
          <w:szCs w:val="16"/>
        </w:rPr>
      </w:pPr>
    </w:p>
    <w:p w14:paraId="779EAE46" w14:textId="77777777" w:rsidR="00C65944" w:rsidRDefault="00C65944" w:rsidP="00C65944">
      <w:pPr>
        <w:spacing w:after="0" w:line="360" w:lineRule="auto"/>
        <w:jc w:val="both"/>
        <w:rPr>
          <w:rFonts w:ascii="Palatino Linotype" w:hAnsi="Palatino Linotype" w:cs="Arial"/>
          <w:sz w:val="16"/>
          <w:szCs w:val="16"/>
        </w:rPr>
      </w:pPr>
    </w:p>
    <w:p w14:paraId="1D90B68E" w14:textId="77777777" w:rsidR="00C65944" w:rsidRDefault="00C65944" w:rsidP="00C65944">
      <w:pPr>
        <w:spacing w:after="0" w:line="360" w:lineRule="auto"/>
        <w:jc w:val="both"/>
        <w:rPr>
          <w:rFonts w:ascii="Palatino Linotype" w:hAnsi="Palatino Linotype" w:cs="Arial"/>
          <w:sz w:val="16"/>
          <w:szCs w:val="16"/>
        </w:rPr>
      </w:pPr>
    </w:p>
    <w:p w14:paraId="53B83AA1" w14:textId="77777777" w:rsidR="00C65944" w:rsidRDefault="00C65944" w:rsidP="00C65944">
      <w:pPr>
        <w:spacing w:after="0" w:line="360" w:lineRule="auto"/>
        <w:jc w:val="both"/>
        <w:rPr>
          <w:rFonts w:ascii="Palatino Linotype" w:hAnsi="Palatino Linotype" w:cs="Arial"/>
          <w:sz w:val="16"/>
          <w:szCs w:val="16"/>
        </w:rPr>
      </w:pPr>
    </w:p>
    <w:p w14:paraId="5DAE128B" w14:textId="77777777" w:rsidR="00C65944" w:rsidRDefault="00C65944" w:rsidP="00C65944">
      <w:pPr>
        <w:spacing w:after="0" w:line="360" w:lineRule="auto"/>
        <w:jc w:val="both"/>
        <w:rPr>
          <w:rFonts w:ascii="Palatino Linotype" w:hAnsi="Palatino Linotype" w:cs="Arial"/>
          <w:sz w:val="16"/>
          <w:szCs w:val="16"/>
        </w:rPr>
      </w:pPr>
    </w:p>
    <w:p w14:paraId="7A0A5973" w14:textId="77777777" w:rsidR="00C65944" w:rsidRDefault="00C65944" w:rsidP="00C65944">
      <w:pPr>
        <w:spacing w:after="0" w:line="360" w:lineRule="auto"/>
        <w:jc w:val="both"/>
        <w:rPr>
          <w:rFonts w:ascii="Palatino Linotype" w:hAnsi="Palatino Linotype" w:cs="Arial"/>
          <w:sz w:val="16"/>
          <w:szCs w:val="16"/>
        </w:rPr>
      </w:pPr>
    </w:p>
    <w:p w14:paraId="7A1693C0" w14:textId="77777777" w:rsidR="00C65944" w:rsidRDefault="00C65944" w:rsidP="00C65944">
      <w:pPr>
        <w:spacing w:after="0" w:line="360" w:lineRule="auto"/>
        <w:jc w:val="both"/>
        <w:rPr>
          <w:rFonts w:ascii="Palatino Linotype" w:hAnsi="Palatino Linotype" w:cs="Arial"/>
          <w:sz w:val="16"/>
          <w:szCs w:val="16"/>
        </w:rPr>
      </w:pPr>
    </w:p>
    <w:p w14:paraId="4F2F1A12" w14:textId="77777777" w:rsidR="00C65944" w:rsidRDefault="00C65944" w:rsidP="00C65944">
      <w:pPr>
        <w:spacing w:after="0" w:line="360" w:lineRule="auto"/>
        <w:jc w:val="both"/>
        <w:rPr>
          <w:rFonts w:ascii="Palatino Linotype" w:hAnsi="Palatino Linotype" w:cs="Arial"/>
          <w:sz w:val="16"/>
          <w:szCs w:val="16"/>
        </w:rPr>
      </w:pPr>
    </w:p>
    <w:p w14:paraId="5D07FEFA" w14:textId="77777777" w:rsidR="00C65944" w:rsidRDefault="00C65944" w:rsidP="00C65944">
      <w:pPr>
        <w:spacing w:after="0" w:line="360" w:lineRule="auto"/>
        <w:jc w:val="both"/>
        <w:rPr>
          <w:rFonts w:ascii="Palatino Linotype" w:hAnsi="Palatino Linotype" w:cs="Arial"/>
          <w:sz w:val="16"/>
          <w:szCs w:val="16"/>
        </w:rPr>
      </w:pPr>
    </w:p>
    <w:p w14:paraId="16CD9FE1" w14:textId="77777777" w:rsidR="00C65944" w:rsidRDefault="00C65944" w:rsidP="00C65944">
      <w:pPr>
        <w:spacing w:after="0" w:line="360" w:lineRule="auto"/>
        <w:jc w:val="both"/>
        <w:rPr>
          <w:rFonts w:ascii="Palatino Linotype" w:hAnsi="Palatino Linotype" w:cs="Arial"/>
          <w:sz w:val="16"/>
          <w:szCs w:val="16"/>
        </w:rPr>
      </w:pPr>
    </w:p>
    <w:p w14:paraId="697B3328" w14:textId="77777777" w:rsidR="00C65944" w:rsidRDefault="00C65944" w:rsidP="00C65944">
      <w:pPr>
        <w:spacing w:after="0" w:line="360" w:lineRule="auto"/>
        <w:jc w:val="both"/>
        <w:rPr>
          <w:rFonts w:ascii="Palatino Linotype" w:hAnsi="Palatino Linotype" w:cs="Arial"/>
          <w:sz w:val="16"/>
          <w:szCs w:val="16"/>
        </w:rPr>
      </w:pPr>
    </w:p>
    <w:p w14:paraId="7B732FC0" w14:textId="77777777" w:rsidR="00C65944" w:rsidRPr="00C65944" w:rsidRDefault="00C65944" w:rsidP="00C65944">
      <w:pPr>
        <w:pStyle w:val="Citas"/>
        <w:ind w:left="0" w:right="0"/>
        <w:rPr>
          <w:i w:val="0"/>
        </w:rPr>
      </w:pPr>
    </w:p>
    <w:p w14:paraId="65E6CAA5" w14:textId="77777777" w:rsidR="00676C2E" w:rsidRDefault="00676C2E" w:rsidP="00676C2E">
      <w:pPr>
        <w:pStyle w:val="Citas"/>
        <w:ind w:left="0"/>
        <w:rPr>
          <w:b/>
        </w:rPr>
      </w:pPr>
    </w:p>
    <w:p w14:paraId="61F91027" w14:textId="77777777" w:rsidR="00676C2E" w:rsidRDefault="00676C2E" w:rsidP="00676C2E">
      <w:pPr>
        <w:pStyle w:val="Citas"/>
        <w:ind w:left="0"/>
        <w:rPr>
          <w:b/>
        </w:rPr>
      </w:pPr>
    </w:p>
    <w:p w14:paraId="2AED9DCF" w14:textId="77777777" w:rsidR="00676C2E" w:rsidRDefault="00676C2E" w:rsidP="00676C2E">
      <w:pPr>
        <w:pStyle w:val="Citas"/>
        <w:ind w:left="0"/>
        <w:rPr>
          <w:b/>
        </w:rPr>
      </w:pPr>
    </w:p>
    <w:p w14:paraId="78CBC86A" w14:textId="77777777" w:rsidR="00676C2E" w:rsidRDefault="00676C2E" w:rsidP="00676C2E">
      <w:pPr>
        <w:pStyle w:val="Citas"/>
        <w:ind w:left="0"/>
        <w:rPr>
          <w:b/>
        </w:rPr>
      </w:pPr>
    </w:p>
    <w:p w14:paraId="3CD48FE1" w14:textId="77777777" w:rsidR="00676C2E" w:rsidRDefault="00676C2E" w:rsidP="00676C2E">
      <w:pPr>
        <w:pStyle w:val="Citas"/>
        <w:ind w:left="0"/>
        <w:rPr>
          <w:b/>
        </w:rPr>
      </w:pPr>
    </w:p>
    <w:p w14:paraId="41A090DE" w14:textId="77777777" w:rsidR="00676C2E" w:rsidRDefault="00676C2E" w:rsidP="00676C2E">
      <w:pPr>
        <w:pStyle w:val="Citas"/>
        <w:ind w:left="0"/>
        <w:rPr>
          <w:b/>
        </w:rPr>
      </w:pPr>
    </w:p>
    <w:p w14:paraId="47E25E3A" w14:textId="77777777" w:rsidR="00676C2E" w:rsidRPr="00676C2E" w:rsidRDefault="00676C2E" w:rsidP="00676C2E">
      <w:pPr>
        <w:pStyle w:val="Citas"/>
        <w:ind w:left="0"/>
        <w:rPr>
          <w:b/>
        </w:rPr>
      </w:pPr>
    </w:p>
    <w:sectPr w:rsidR="00676C2E" w:rsidRPr="00676C2E"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82B16" w14:textId="77777777" w:rsidR="00FA07D9" w:rsidRDefault="00FA07D9" w:rsidP="006168E4">
      <w:pPr>
        <w:spacing w:after="0" w:line="240" w:lineRule="auto"/>
      </w:pPr>
      <w:r>
        <w:separator/>
      </w:r>
    </w:p>
  </w:endnote>
  <w:endnote w:type="continuationSeparator" w:id="0">
    <w:p w14:paraId="7DE4B4DF" w14:textId="77777777" w:rsidR="00FA07D9" w:rsidRDefault="00FA07D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529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5290">
      <w:rPr>
        <w:rFonts w:ascii="Palatino Linotype" w:hAnsi="Palatino Linotype"/>
        <w:bCs/>
        <w:noProof/>
        <w:sz w:val="20"/>
      </w:rPr>
      <w:t>17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52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5290">
      <w:rPr>
        <w:rFonts w:ascii="Palatino Linotype" w:hAnsi="Palatino Linotype"/>
        <w:bCs/>
        <w:noProof/>
        <w:sz w:val="20"/>
      </w:rPr>
      <w:t>17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2E95C" w14:textId="77777777" w:rsidR="00FA07D9" w:rsidRDefault="00FA07D9" w:rsidP="006168E4">
      <w:pPr>
        <w:spacing w:after="0" w:line="240" w:lineRule="auto"/>
      </w:pPr>
      <w:r>
        <w:separator/>
      </w:r>
    </w:p>
  </w:footnote>
  <w:footnote w:type="continuationSeparator" w:id="0">
    <w:p w14:paraId="5B9A252D" w14:textId="77777777" w:rsidR="00FA07D9" w:rsidRDefault="00FA07D9" w:rsidP="006168E4">
      <w:pPr>
        <w:spacing w:after="0" w:line="240" w:lineRule="auto"/>
      </w:pPr>
      <w:r>
        <w:continuationSeparator/>
      </w:r>
    </w:p>
  </w:footnote>
  <w:footnote w:id="1">
    <w:p w14:paraId="0B4A0BF9" w14:textId="77777777" w:rsidR="00FD72CA" w:rsidRDefault="00FD72CA" w:rsidP="00FD72CA">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B9FD64" w14:textId="77777777" w:rsidR="00FD72CA" w:rsidRDefault="00FD72CA" w:rsidP="00FD72CA">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43AA611" w14:textId="77777777" w:rsidR="00FD72CA" w:rsidRDefault="00FD72CA" w:rsidP="00FD72CA">
      <w:pPr>
        <w:pStyle w:val="Textonotapie"/>
      </w:pPr>
      <w:r>
        <w:rPr>
          <w:rStyle w:val="Refdenotaalpie"/>
        </w:rPr>
        <w:footnoteRef/>
      </w:r>
      <w:r>
        <w:t xml:space="preserve"> Artículo 192. El recurso será sobreseído, en todo o en parte, cuando una vez admitido, se actualicen alguno de los siguientes supuestos: </w:t>
      </w:r>
    </w:p>
    <w:p w14:paraId="7901B19D" w14:textId="77777777" w:rsidR="00FD72CA" w:rsidRDefault="00FD72CA" w:rsidP="00FD72CA">
      <w:pPr>
        <w:pStyle w:val="Textonotapie"/>
      </w:pPr>
      <w:r>
        <w:t>I. El recurrente se desista expresamente del recurso;</w:t>
      </w:r>
    </w:p>
    <w:p w14:paraId="5107D343" w14:textId="77777777" w:rsidR="00FD72CA" w:rsidRDefault="00FD72CA" w:rsidP="00FD72CA">
      <w:pPr>
        <w:pStyle w:val="Textonotapie"/>
      </w:pPr>
      <w:r>
        <w:t>…</w:t>
      </w:r>
    </w:p>
  </w:footnote>
  <w:footnote w:id="3">
    <w:p w14:paraId="65EC490D" w14:textId="77777777" w:rsidR="001A4AFE" w:rsidRDefault="001A4AFE" w:rsidP="001A4AFE">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AE1EF60" w:rsidR="00903376" w:rsidRDefault="00903376">
    <w:pPr>
      <w:pStyle w:val="Encabezado"/>
    </w:pP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03376" w14:paraId="17981A04" w14:textId="77777777" w:rsidTr="00083BAF">
      <w:trPr>
        <w:trHeight w:val="227"/>
      </w:trPr>
      <w:tc>
        <w:tcPr>
          <w:tcW w:w="5529" w:type="dxa"/>
          <w:hideMark/>
        </w:tcPr>
        <w:p w14:paraId="0E414BC5" w14:textId="19670DF2"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89A7C65" w:rsidR="00903376" w:rsidRPr="00B4142F" w:rsidRDefault="003A241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A5573">
            <w:rPr>
              <w:rFonts w:ascii="Palatino Linotype" w:hAnsi="Palatino Linotype" w:cs="Arial"/>
              <w:bCs/>
              <w:sz w:val="24"/>
              <w:lang w:eastAsia="es-MX"/>
            </w:rPr>
            <w:t>5050</w:t>
          </w:r>
          <w:r w:rsidR="00903376">
            <w:rPr>
              <w:rFonts w:ascii="Palatino Linotype" w:hAnsi="Palatino Linotype" w:cs="Arial"/>
              <w:bCs/>
              <w:sz w:val="24"/>
              <w:lang w:eastAsia="es-MX"/>
            </w:rPr>
            <w:t>/INFOEM/IP/RR/2021</w:t>
          </w:r>
        </w:p>
      </w:tc>
    </w:tr>
    <w:tr w:rsidR="00903376" w14:paraId="637042F0" w14:textId="77777777" w:rsidTr="00083BAF">
      <w:trPr>
        <w:trHeight w:val="242"/>
      </w:trPr>
      <w:tc>
        <w:tcPr>
          <w:tcW w:w="5529" w:type="dxa"/>
          <w:hideMark/>
        </w:tcPr>
        <w:p w14:paraId="412AD568" w14:textId="582E7AD7"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722EADF" w:rsidR="00903376" w:rsidRPr="00F06FED" w:rsidRDefault="00903376" w:rsidP="003A241D">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1A5573">
            <w:rPr>
              <w:rFonts w:ascii="Palatino Linotype" w:hAnsi="Palatino Linotype" w:cs="Arial"/>
              <w:szCs w:val="20"/>
            </w:rPr>
            <w:t>Zumpahuacán</w:t>
          </w:r>
          <w:r>
            <w:rPr>
              <w:rFonts w:ascii="Palatino Linotype" w:hAnsi="Palatino Linotype" w:cs="Arial"/>
              <w:szCs w:val="20"/>
            </w:rPr>
            <w:t xml:space="preserve">  </w:t>
          </w:r>
        </w:p>
      </w:tc>
    </w:tr>
    <w:tr w:rsidR="00903376" w14:paraId="21BFE746" w14:textId="77777777" w:rsidTr="00083BAF">
      <w:trPr>
        <w:trHeight w:val="342"/>
      </w:trPr>
      <w:tc>
        <w:tcPr>
          <w:tcW w:w="5529" w:type="dxa"/>
          <w:hideMark/>
        </w:tcPr>
        <w:p w14:paraId="64C4E314" w14:textId="1076886A" w:rsidR="00903376" w:rsidRDefault="0090337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1A5573">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704853B3" w14:textId="20B095AD" w:rsidR="00903376" w:rsidRDefault="001A557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903376" w:rsidRDefault="009033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03376" w14:paraId="385FD437" w14:textId="77777777" w:rsidTr="00083BAF">
      <w:trPr>
        <w:trHeight w:val="227"/>
      </w:trPr>
      <w:tc>
        <w:tcPr>
          <w:tcW w:w="5529" w:type="dxa"/>
          <w:hideMark/>
        </w:tcPr>
        <w:p w14:paraId="272860E8" w14:textId="6340DBC0"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A463E32" w:rsidR="00903376" w:rsidRPr="00B4142F" w:rsidRDefault="003A241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A5573">
            <w:rPr>
              <w:rFonts w:ascii="Palatino Linotype" w:hAnsi="Palatino Linotype" w:cs="Arial"/>
              <w:bCs/>
              <w:sz w:val="24"/>
              <w:lang w:eastAsia="es-MX"/>
            </w:rPr>
            <w:t>5050</w:t>
          </w:r>
          <w:r w:rsidR="00903376">
            <w:rPr>
              <w:rFonts w:ascii="Palatino Linotype" w:hAnsi="Palatino Linotype" w:cs="Arial"/>
              <w:bCs/>
              <w:sz w:val="24"/>
              <w:lang w:eastAsia="es-MX"/>
            </w:rPr>
            <w:t>/INFOEM/IP/RR/2021</w:t>
          </w:r>
        </w:p>
      </w:tc>
    </w:tr>
    <w:tr w:rsidR="00903376" w14:paraId="33FC5097" w14:textId="77777777" w:rsidTr="00083BAF">
      <w:trPr>
        <w:trHeight w:val="196"/>
      </w:trPr>
      <w:tc>
        <w:tcPr>
          <w:tcW w:w="5529" w:type="dxa"/>
          <w:hideMark/>
        </w:tcPr>
        <w:p w14:paraId="4F5D01E5"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5648370" w:rsidR="00903376" w:rsidRPr="00F06FED" w:rsidRDefault="00995290"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XXXXXXXXXXXXXXXXXXXXXXXXXXXXXXXXXXX</w:t>
          </w:r>
          <w:r w:rsidR="001A5573">
            <w:rPr>
              <w:rFonts w:ascii="Palatino Linotype" w:hAnsi="Palatino Linotype" w:cs="Arial"/>
            </w:rPr>
            <w:t xml:space="preserve"> </w:t>
          </w:r>
        </w:p>
      </w:tc>
    </w:tr>
    <w:tr w:rsidR="00903376" w14:paraId="178280DE" w14:textId="77777777" w:rsidTr="00083BAF">
      <w:trPr>
        <w:trHeight w:val="242"/>
      </w:trPr>
      <w:tc>
        <w:tcPr>
          <w:tcW w:w="5529" w:type="dxa"/>
          <w:hideMark/>
        </w:tcPr>
        <w:p w14:paraId="71AC708B"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1C45CB7" w:rsidR="00903376" w:rsidRDefault="00903376" w:rsidP="003A241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1A5573">
            <w:rPr>
              <w:rFonts w:ascii="Palatino Linotype" w:hAnsi="Palatino Linotype" w:cs="Arial"/>
              <w:szCs w:val="20"/>
            </w:rPr>
            <w:t>Zumpahuacán</w:t>
          </w:r>
        </w:p>
      </w:tc>
    </w:tr>
    <w:tr w:rsidR="00903376" w14:paraId="0518978B" w14:textId="77777777" w:rsidTr="00083BAF">
      <w:trPr>
        <w:trHeight w:val="342"/>
      </w:trPr>
      <w:tc>
        <w:tcPr>
          <w:tcW w:w="5529" w:type="dxa"/>
          <w:hideMark/>
        </w:tcPr>
        <w:p w14:paraId="04968A43" w14:textId="68BD74E1" w:rsidR="00903376" w:rsidRDefault="0090337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1A5573">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1E42D601" w14:textId="4BCA6FD5" w:rsidR="00903376" w:rsidRDefault="001A557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385EC9D4" w:rsidR="00903376" w:rsidRDefault="009033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851"/>
    <w:multiLevelType w:val="hybridMultilevel"/>
    <w:tmpl w:val="ED5214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3"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753F3"/>
    <w:multiLevelType w:val="hybridMultilevel"/>
    <w:tmpl w:val="9DEC0E82"/>
    <w:lvl w:ilvl="0" w:tplc="36E436E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8B229A"/>
    <w:multiLevelType w:val="hybridMultilevel"/>
    <w:tmpl w:val="322C4DD0"/>
    <w:lvl w:ilvl="0" w:tplc="7F9852C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4B73F72"/>
    <w:multiLevelType w:val="hybridMultilevel"/>
    <w:tmpl w:val="BC5E14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8F2A36"/>
    <w:multiLevelType w:val="hybridMultilevel"/>
    <w:tmpl w:val="0E32E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30"/>
  </w:num>
  <w:num w:numId="4">
    <w:abstractNumId w:val="2"/>
  </w:num>
  <w:num w:numId="5">
    <w:abstractNumId w:val="27"/>
  </w:num>
  <w:num w:numId="6">
    <w:abstractNumId w:val="3"/>
  </w:num>
  <w:num w:numId="7">
    <w:abstractNumId w:val="31"/>
  </w:num>
  <w:num w:numId="8">
    <w:abstractNumId w:val="7"/>
  </w:num>
  <w:num w:numId="9">
    <w:abstractNumId w:val="8"/>
  </w:num>
  <w:num w:numId="10">
    <w:abstractNumId w:val="29"/>
  </w:num>
  <w:num w:numId="11">
    <w:abstractNumId w:val="24"/>
  </w:num>
  <w:num w:numId="12">
    <w:abstractNumId w:val="32"/>
  </w:num>
  <w:num w:numId="13">
    <w:abstractNumId w:val="23"/>
  </w:num>
  <w:num w:numId="14">
    <w:abstractNumId w:val="33"/>
  </w:num>
  <w:num w:numId="15">
    <w:abstractNumId w:val="9"/>
  </w:num>
  <w:num w:numId="16">
    <w:abstractNumId w:val="3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26"/>
  </w:num>
  <w:num w:numId="21">
    <w:abstractNumId w:val="20"/>
  </w:num>
  <w:num w:numId="22">
    <w:abstractNumId w:val="19"/>
  </w:num>
  <w:num w:numId="23">
    <w:abstractNumId w:val="14"/>
  </w:num>
  <w:num w:numId="24">
    <w:abstractNumId w:val="15"/>
  </w:num>
  <w:num w:numId="25">
    <w:abstractNumId w:val="10"/>
  </w:num>
  <w:num w:numId="26">
    <w:abstractNumId w:val="4"/>
  </w:num>
  <w:num w:numId="27">
    <w:abstractNumId w:val="5"/>
  </w:num>
  <w:num w:numId="28">
    <w:abstractNumId w:val="34"/>
  </w:num>
  <w:num w:numId="29">
    <w:abstractNumId w:val="12"/>
  </w:num>
  <w:num w:numId="30">
    <w:abstractNumId w:val="17"/>
  </w:num>
  <w:num w:numId="31">
    <w:abstractNumId w:val="0"/>
  </w:num>
  <w:num w:numId="32">
    <w:abstractNumId w:val="35"/>
  </w:num>
  <w:num w:numId="33">
    <w:abstractNumId w:val="16"/>
  </w:num>
  <w:num w:numId="34">
    <w:abstractNumId w:val="25"/>
  </w:num>
  <w:num w:numId="35">
    <w:abstractNumId w:val="28"/>
  </w:num>
  <w:num w:numId="36">
    <w:abstractNumId w:val="22"/>
  </w:num>
  <w:num w:numId="3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3BAF"/>
    <w:rsid w:val="00085007"/>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55B8"/>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511C"/>
    <w:rsid w:val="00196DCE"/>
    <w:rsid w:val="00196FE9"/>
    <w:rsid w:val="001A02EC"/>
    <w:rsid w:val="001A1756"/>
    <w:rsid w:val="001A30F5"/>
    <w:rsid w:val="001A4643"/>
    <w:rsid w:val="001A4AFE"/>
    <w:rsid w:val="001A4BAD"/>
    <w:rsid w:val="001A5573"/>
    <w:rsid w:val="001A5630"/>
    <w:rsid w:val="001A577E"/>
    <w:rsid w:val="001A7484"/>
    <w:rsid w:val="001A7959"/>
    <w:rsid w:val="001A7C9B"/>
    <w:rsid w:val="001B05B9"/>
    <w:rsid w:val="001B6914"/>
    <w:rsid w:val="001B7B88"/>
    <w:rsid w:val="001B7FA2"/>
    <w:rsid w:val="001C1337"/>
    <w:rsid w:val="001C1CAF"/>
    <w:rsid w:val="001C50EE"/>
    <w:rsid w:val="001C7319"/>
    <w:rsid w:val="001C7715"/>
    <w:rsid w:val="001C7D87"/>
    <w:rsid w:val="001D23B4"/>
    <w:rsid w:val="001D27C1"/>
    <w:rsid w:val="001D3E87"/>
    <w:rsid w:val="001D49A2"/>
    <w:rsid w:val="001D627A"/>
    <w:rsid w:val="001D6B60"/>
    <w:rsid w:val="001E0C3F"/>
    <w:rsid w:val="001E11BF"/>
    <w:rsid w:val="001E2B43"/>
    <w:rsid w:val="001E5168"/>
    <w:rsid w:val="001E58D8"/>
    <w:rsid w:val="001E78AA"/>
    <w:rsid w:val="001F2101"/>
    <w:rsid w:val="001F2360"/>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77C58"/>
    <w:rsid w:val="0028588E"/>
    <w:rsid w:val="00286784"/>
    <w:rsid w:val="00292BF6"/>
    <w:rsid w:val="00293A18"/>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E5612"/>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60C0"/>
    <w:rsid w:val="0044721E"/>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0D20"/>
    <w:rsid w:val="00521A89"/>
    <w:rsid w:val="00521E57"/>
    <w:rsid w:val="00523D92"/>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274E"/>
    <w:rsid w:val="005733EB"/>
    <w:rsid w:val="00575485"/>
    <w:rsid w:val="00580802"/>
    <w:rsid w:val="00581A22"/>
    <w:rsid w:val="005833A8"/>
    <w:rsid w:val="0058661B"/>
    <w:rsid w:val="00592ED6"/>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CD1"/>
    <w:rsid w:val="005C3E35"/>
    <w:rsid w:val="005C40CB"/>
    <w:rsid w:val="005C5BAE"/>
    <w:rsid w:val="005C687E"/>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64AA"/>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6C2E"/>
    <w:rsid w:val="00681802"/>
    <w:rsid w:val="00682225"/>
    <w:rsid w:val="006822F4"/>
    <w:rsid w:val="00682B6F"/>
    <w:rsid w:val="00683417"/>
    <w:rsid w:val="00684893"/>
    <w:rsid w:val="006848B7"/>
    <w:rsid w:val="00684CBE"/>
    <w:rsid w:val="00686FC2"/>
    <w:rsid w:val="0069391E"/>
    <w:rsid w:val="00697281"/>
    <w:rsid w:val="006A2C7F"/>
    <w:rsid w:val="006B12A6"/>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27DB"/>
    <w:rsid w:val="0070371E"/>
    <w:rsid w:val="00705F8F"/>
    <w:rsid w:val="007064F6"/>
    <w:rsid w:val="007078A3"/>
    <w:rsid w:val="00711536"/>
    <w:rsid w:val="007129C0"/>
    <w:rsid w:val="00713390"/>
    <w:rsid w:val="007142B5"/>
    <w:rsid w:val="007154F0"/>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7A6F"/>
    <w:rsid w:val="007C2C6B"/>
    <w:rsid w:val="007C4343"/>
    <w:rsid w:val="007C5773"/>
    <w:rsid w:val="007C5996"/>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20AC"/>
    <w:rsid w:val="007F43BD"/>
    <w:rsid w:val="007F53D4"/>
    <w:rsid w:val="007F6C8E"/>
    <w:rsid w:val="007F7C71"/>
    <w:rsid w:val="008000A0"/>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17C2B"/>
    <w:rsid w:val="008230AE"/>
    <w:rsid w:val="00824B64"/>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3440"/>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E4AB5"/>
    <w:rsid w:val="008E6375"/>
    <w:rsid w:val="008E7DB4"/>
    <w:rsid w:val="008F10A6"/>
    <w:rsid w:val="008F16D2"/>
    <w:rsid w:val="008F3674"/>
    <w:rsid w:val="008F4944"/>
    <w:rsid w:val="008F4C65"/>
    <w:rsid w:val="0090155A"/>
    <w:rsid w:val="009020E0"/>
    <w:rsid w:val="0090233A"/>
    <w:rsid w:val="00903376"/>
    <w:rsid w:val="00903410"/>
    <w:rsid w:val="00905422"/>
    <w:rsid w:val="00910B4E"/>
    <w:rsid w:val="00912ADB"/>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706B5"/>
    <w:rsid w:val="00970CE3"/>
    <w:rsid w:val="009718BF"/>
    <w:rsid w:val="00972BDF"/>
    <w:rsid w:val="0097390F"/>
    <w:rsid w:val="0098182D"/>
    <w:rsid w:val="00985C4C"/>
    <w:rsid w:val="0098704B"/>
    <w:rsid w:val="00993821"/>
    <w:rsid w:val="009940F6"/>
    <w:rsid w:val="00994280"/>
    <w:rsid w:val="0099529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30C44"/>
    <w:rsid w:val="00A328AE"/>
    <w:rsid w:val="00A347D8"/>
    <w:rsid w:val="00A36D20"/>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9B2"/>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3133"/>
    <w:rsid w:val="00B34CA9"/>
    <w:rsid w:val="00B35797"/>
    <w:rsid w:val="00B35A93"/>
    <w:rsid w:val="00B3672D"/>
    <w:rsid w:val="00B40656"/>
    <w:rsid w:val="00B40F8A"/>
    <w:rsid w:val="00B418C8"/>
    <w:rsid w:val="00B4745C"/>
    <w:rsid w:val="00B50AAA"/>
    <w:rsid w:val="00B544D9"/>
    <w:rsid w:val="00B5641B"/>
    <w:rsid w:val="00B564E0"/>
    <w:rsid w:val="00B658D4"/>
    <w:rsid w:val="00B70133"/>
    <w:rsid w:val="00B7481A"/>
    <w:rsid w:val="00B75A2C"/>
    <w:rsid w:val="00B813AC"/>
    <w:rsid w:val="00B823B0"/>
    <w:rsid w:val="00B8287F"/>
    <w:rsid w:val="00B8376C"/>
    <w:rsid w:val="00B84260"/>
    <w:rsid w:val="00B86811"/>
    <w:rsid w:val="00B8738D"/>
    <w:rsid w:val="00B91F0B"/>
    <w:rsid w:val="00B9223B"/>
    <w:rsid w:val="00B92D47"/>
    <w:rsid w:val="00B9306F"/>
    <w:rsid w:val="00B961A5"/>
    <w:rsid w:val="00B97013"/>
    <w:rsid w:val="00BA18D5"/>
    <w:rsid w:val="00BA1FC4"/>
    <w:rsid w:val="00BA49CC"/>
    <w:rsid w:val="00BA4D1F"/>
    <w:rsid w:val="00BA7AD1"/>
    <w:rsid w:val="00BB0B9D"/>
    <w:rsid w:val="00BB1CC2"/>
    <w:rsid w:val="00BB2250"/>
    <w:rsid w:val="00BB4F63"/>
    <w:rsid w:val="00BB4FA9"/>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1740"/>
    <w:rsid w:val="00BF2EA1"/>
    <w:rsid w:val="00BF543F"/>
    <w:rsid w:val="00BF6564"/>
    <w:rsid w:val="00BF6902"/>
    <w:rsid w:val="00BF7421"/>
    <w:rsid w:val="00C01E2A"/>
    <w:rsid w:val="00C06E2B"/>
    <w:rsid w:val="00C07650"/>
    <w:rsid w:val="00C07683"/>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E54"/>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787"/>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2AE4"/>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6188C"/>
    <w:rsid w:val="00D61959"/>
    <w:rsid w:val="00D62F3F"/>
    <w:rsid w:val="00D6340F"/>
    <w:rsid w:val="00D6781D"/>
    <w:rsid w:val="00D67D98"/>
    <w:rsid w:val="00D72D16"/>
    <w:rsid w:val="00D7412C"/>
    <w:rsid w:val="00D75521"/>
    <w:rsid w:val="00D75B88"/>
    <w:rsid w:val="00D8195B"/>
    <w:rsid w:val="00D83503"/>
    <w:rsid w:val="00D84724"/>
    <w:rsid w:val="00D84B6C"/>
    <w:rsid w:val="00D8554E"/>
    <w:rsid w:val="00D8619F"/>
    <w:rsid w:val="00D86764"/>
    <w:rsid w:val="00D872D8"/>
    <w:rsid w:val="00D91F4E"/>
    <w:rsid w:val="00D93A67"/>
    <w:rsid w:val="00D93F28"/>
    <w:rsid w:val="00D96FC1"/>
    <w:rsid w:val="00DA2E2B"/>
    <w:rsid w:val="00DA3DE4"/>
    <w:rsid w:val="00DA69DE"/>
    <w:rsid w:val="00DB5C0A"/>
    <w:rsid w:val="00DB6DAF"/>
    <w:rsid w:val="00DC0AF1"/>
    <w:rsid w:val="00DC2393"/>
    <w:rsid w:val="00DC510E"/>
    <w:rsid w:val="00DC588B"/>
    <w:rsid w:val="00DC64BF"/>
    <w:rsid w:val="00DD0123"/>
    <w:rsid w:val="00DD13E2"/>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0C99"/>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1E5F"/>
    <w:rsid w:val="00E644A0"/>
    <w:rsid w:val="00E67395"/>
    <w:rsid w:val="00E70778"/>
    <w:rsid w:val="00E72707"/>
    <w:rsid w:val="00E72AE3"/>
    <w:rsid w:val="00E7349C"/>
    <w:rsid w:val="00E73B51"/>
    <w:rsid w:val="00E75790"/>
    <w:rsid w:val="00E80180"/>
    <w:rsid w:val="00E8129E"/>
    <w:rsid w:val="00E81A2B"/>
    <w:rsid w:val="00E81E42"/>
    <w:rsid w:val="00E83A01"/>
    <w:rsid w:val="00E861BA"/>
    <w:rsid w:val="00E91EBF"/>
    <w:rsid w:val="00E97676"/>
    <w:rsid w:val="00EA1CE1"/>
    <w:rsid w:val="00EA1F89"/>
    <w:rsid w:val="00EA63E0"/>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391E"/>
    <w:rsid w:val="00F04089"/>
    <w:rsid w:val="00F06275"/>
    <w:rsid w:val="00F06472"/>
    <w:rsid w:val="00F123EC"/>
    <w:rsid w:val="00F14613"/>
    <w:rsid w:val="00F16331"/>
    <w:rsid w:val="00F16803"/>
    <w:rsid w:val="00F16CA3"/>
    <w:rsid w:val="00F22566"/>
    <w:rsid w:val="00F22963"/>
    <w:rsid w:val="00F30AEF"/>
    <w:rsid w:val="00F32406"/>
    <w:rsid w:val="00F378B2"/>
    <w:rsid w:val="00F403EA"/>
    <w:rsid w:val="00F40B51"/>
    <w:rsid w:val="00F40E4D"/>
    <w:rsid w:val="00F417FE"/>
    <w:rsid w:val="00F41DE4"/>
    <w:rsid w:val="00F41F3D"/>
    <w:rsid w:val="00F42499"/>
    <w:rsid w:val="00F42753"/>
    <w:rsid w:val="00F46CE7"/>
    <w:rsid w:val="00F471AE"/>
    <w:rsid w:val="00F510DB"/>
    <w:rsid w:val="00F548C1"/>
    <w:rsid w:val="00F604E0"/>
    <w:rsid w:val="00F63013"/>
    <w:rsid w:val="00F648E3"/>
    <w:rsid w:val="00F6501E"/>
    <w:rsid w:val="00F70615"/>
    <w:rsid w:val="00F7192A"/>
    <w:rsid w:val="00F72722"/>
    <w:rsid w:val="00F727B0"/>
    <w:rsid w:val="00F7598B"/>
    <w:rsid w:val="00F87ADD"/>
    <w:rsid w:val="00F914FD"/>
    <w:rsid w:val="00F9164E"/>
    <w:rsid w:val="00F92D2B"/>
    <w:rsid w:val="00F952BF"/>
    <w:rsid w:val="00F95515"/>
    <w:rsid w:val="00F9574E"/>
    <w:rsid w:val="00F974AA"/>
    <w:rsid w:val="00FA07D9"/>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D72CA"/>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BD46B406-999D-4F35-89A8-45181B8F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565373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82809052">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9868616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90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30B8-CA17-48D1-8574-5C6C0E4B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17</Pages>
  <Words>2747</Words>
  <Characters>15110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20</cp:revision>
  <cp:lastPrinted>2018-12-04T20:35:00Z</cp:lastPrinted>
  <dcterms:created xsi:type="dcterms:W3CDTF">2021-10-22T14:22:00Z</dcterms:created>
  <dcterms:modified xsi:type="dcterms:W3CDTF">2021-11-18T00:58:00Z</dcterms:modified>
</cp:coreProperties>
</file>