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2AA5FD0" w:rsidR="00200BFC" w:rsidRPr="001A3DEA" w:rsidRDefault="00200BFC" w:rsidP="00200BFC">
      <w:pPr>
        <w:spacing w:line="360" w:lineRule="auto"/>
        <w:jc w:val="both"/>
        <w:rPr>
          <w:rFonts w:ascii="Palatino Linotype" w:hAnsi="Palatino Linotype" w:cs="Arial"/>
        </w:rPr>
      </w:pPr>
      <w:r w:rsidRPr="001A3DE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820D3B" w:rsidRPr="001A3DEA">
        <w:rPr>
          <w:rFonts w:ascii="Palatino Linotype" w:hAnsi="Palatino Linotype" w:cs="Arial"/>
        </w:rPr>
        <w:t xml:space="preserve">veintiséis </w:t>
      </w:r>
      <w:r w:rsidR="00754477" w:rsidRPr="001A3DEA">
        <w:rPr>
          <w:rFonts w:ascii="Palatino Linotype" w:hAnsi="Palatino Linotype" w:cs="Arial"/>
        </w:rPr>
        <w:t xml:space="preserve">de </w:t>
      </w:r>
      <w:r w:rsidR="005815F8" w:rsidRPr="001A3DEA">
        <w:rPr>
          <w:rFonts w:ascii="Palatino Linotype" w:hAnsi="Palatino Linotype" w:cs="Arial"/>
        </w:rPr>
        <w:t>mayo</w:t>
      </w:r>
      <w:r w:rsidR="004E049F" w:rsidRPr="001A3DEA">
        <w:rPr>
          <w:rFonts w:ascii="Palatino Linotype" w:hAnsi="Palatino Linotype" w:cs="Arial"/>
        </w:rPr>
        <w:t xml:space="preserve"> de dos mil veint</w:t>
      </w:r>
      <w:r w:rsidR="002A2174" w:rsidRPr="001A3DEA">
        <w:rPr>
          <w:rFonts w:ascii="Palatino Linotype" w:hAnsi="Palatino Linotype" w:cs="Arial"/>
        </w:rPr>
        <w:t>iuno</w:t>
      </w:r>
      <w:r w:rsidR="003253C6" w:rsidRPr="001A3DEA">
        <w:rPr>
          <w:rFonts w:ascii="Palatino Linotype" w:hAnsi="Palatino Linotype" w:cs="Arial"/>
        </w:rPr>
        <w:t>.</w:t>
      </w:r>
    </w:p>
    <w:p w14:paraId="57CA25AC" w14:textId="77777777" w:rsidR="003253C6" w:rsidRPr="001A3DEA" w:rsidRDefault="003253C6" w:rsidP="00200BFC">
      <w:pPr>
        <w:spacing w:line="360" w:lineRule="auto"/>
        <w:jc w:val="both"/>
        <w:rPr>
          <w:rFonts w:ascii="Palatino Linotype" w:hAnsi="Palatino Linotype" w:cs="Arial"/>
        </w:rPr>
      </w:pPr>
    </w:p>
    <w:p w14:paraId="42C7D1A2" w14:textId="12CBE92C" w:rsidR="003253C6" w:rsidRPr="001A3DEA" w:rsidRDefault="00200BFC" w:rsidP="00200BFC">
      <w:pPr>
        <w:spacing w:line="360" w:lineRule="auto"/>
        <w:jc w:val="both"/>
        <w:rPr>
          <w:rFonts w:ascii="Palatino Linotype" w:hAnsi="Palatino Linotype" w:cs="Arial"/>
          <w:lang w:val="es-ES"/>
        </w:rPr>
      </w:pPr>
      <w:r w:rsidRPr="001A3DEA">
        <w:rPr>
          <w:rFonts w:ascii="Palatino Linotype" w:hAnsi="Palatino Linotype" w:cs="Arial"/>
          <w:b/>
          <w:sz w:val="28"/>
        </w:rPr>
        <w:t>VISTO</w:t>
      </w:r>
      <w:r w:rsidRPr="001A3DEA">
        <w:rPr>
          <w:rFonts w:ascii="Palatino Linotype" w:hAnsi="Palatino Linotype" w:cs="Arial"/>
        </w:rPr>
        <w:t xml:space="preserve"> el expediente formado con motivo del recurso de revisión </w:t>
      </w:r>
      <w:r w:rsidR="00B33F56" w:rsidRPr="001A3DEA">
        <w:rPr>
          <w:rFonts w:ascii="Palatino Linotype" w:hAnsi="Palatino Linotype" w:cs="Arial"/>
          <w:b/>
          <w:bCs/>
        </w:rPr>
        <w:t>01052/INFOEM/IP/RR/2021</w:t>
      </w:r>
      <w:r w:rsidRPr="001A3DEA">
        <w:rPr>
          <w:rFonts w:ascii="Palatino Linotype" w:hAnsi="Palatino Linotype" w:cs="Arial"/>
        </w:rPr>
        <w:t xml:space="preserve">, promovido </w:t>
      </w:r>
      <w:r w:rsidRPr="001A3DEA">
        <w:rPr>
          <w:rFonts w:ascii="Palatino Linotype" w:hAnsi="Palatino Linotype"/>
        </w:rPr>
        <w:t>por</w:t>
      </w:r>
      <w:r w:rsidR="00754477" w:rsidRPr="001A3DEA">
        <w:rPr>
          <w:rFonts w:ascii="Palatino Linotype" w:hAnsi="Palatino Linotype"/>
        </w:rPr>
        <w:t xml:space="preserve"> </w:t>
      </w:r>
      <w:r w:rsidR="00402442" w:rsidRPr="00402442">
        <w:rPr>
          <w:rFonts w:ascii="Palatino Linotype" w:hAnsi="Palatino Linotype"/>
          <w:b/>
        </w:rPr>
        <w:t>xxxx xxxx xxxx</w:t>
      </w:r>
      <w:bookmarkStart w:id="0" w:name="_GoBack"/>
      <w:bookmarkEnd w:id="0"/>
      <w:r w:rsidRPr="001A3DEA">
        <w:rPr>
          <w:rFonts w:ascii="Palatino Linotype" w:hAnsi="Palatino Linotype"/>
          <w:b/>
          <w:lang w:val="es-ES"/>
        </w:rPr>
        <w:t>,</w:t>
      </w:r>
      <w:r w:rsidRPr="001A3DEA">
        <w:rPr>
          <w:rFonts w:ascii="Palatino Linotype" w:hAnsi="Palatino Linotype" w:cs="Arial"/>
          <w:b/>
          <w:lang w:val="es-ES"/>
        </w:rPr>
        <w:t xml:space="preserve"> </w:t>
      </w:r>
      <w:r w:rsidRPr="001A3DEA">
        <w:rPr>
          <w:rFonts w:ascii="Palatino Linotype" w:hAnsi="Palatino Linotype" w:cs="Arial"/>
          <w:lang w:val="es-ES"/>
        </w:rPr>
        <w:t>en lo sucesivo</w:t>
      </w:r>
      <w:r w:rsidRPr="001A3DEA">
        <w:rPr>
          <w:rFonts w:ascii="Palatino Linotype" w:hAnsi="Palatino Linotype" w:cs="Arial"/>
          <w:b/>
          <w:lang w:val="es-ES"/>
        </w:rPr>
        <w:t xml:space="preserve"> </w:t>
      </w:r>
      <w:r w:rsidR="00754477" w:rsidRPr="001A3DEA">
        <w:rPr>
          <w:rFonts w:ascii="Palatino Linotype" w:hAnsi="Palatino Linotype" w:cs="Arial"/>
          <w:b/>
          <w:lang w:val="es-ES"/>
        </w:rPr>
        <w:t>EL</w:t>
      </w:r>
      <w:r w:rsidRPr="001A3DEA">
        <w:rPr>
          <w:rFonts w:ascii="Palatino Linotype" w:hAnsi="Palatino Linotype" w:cs="Arial"/>
          <w:b/>
          <w:lang w:val="es-ES"/>
        </w:rPr>
        <w:t xml:space="preserve"> RECURRENTE,</w:t>
      </w:r>
      <w:r w:rsidRPr="001A3DEA">
        <w:rPr>
          <w:rFonts w:ascii="Palatino Linotype" w:hAnsi="Palatino Linotype" w:cs="Arial"/>
          <w:lang w:val="es-ES"/>
        </w:rPr>
        <w:t xml:space="preserve"> en contra de la respuesta del </w:t>
      </w:r>
      <w:r w:rsidR="00B33F56" w:rsidRPr="001A3DEA">
        <w:rPr>
          <w:rFonts w:ascii="Palatino Linotype" w:hAnsi="Palatino Linotype" w:cs="Arial"/>
          <w:b/>
          <w:bCs/>
        </w:rPr>
        <w:t>Ayuntamiento de Naucalpan de Juárez</w:t>
      </w:r>
      <w:r w:rsidRPr="001A3DEA">
        <w:rPr>
          <w:rFonts w:ascii="Palatino Linotype" w:hAnsi="Palatino Linotype" w:cs="Arial"/>
          <w:b/>
          <w:lang w:val="es-ES"/>
        </w:rPr>
        <w:t xml:space="preserve">, </w:t>
      </w:r>
      <w:r w:rsidRPr="001A3DEA">
        <w:rPr>
          <w:rFonts w:ascii="Palatino Linotype" w:hAnsi="Palatino Linotype" w:cs="Arial"/>
          <w:lang w:val="es-ES"/>
        </w:rPr>
        <w:t xml:space="preserve">en lo sucesivo </w:t>
      </w:r>
      <w:r w:rsidRPr="001A3DEA">
        <w:rPr>
          <w:rFonts w:ascii="Palatino Linotype" w:hAnsi="Palatino Linotype" w:cs="Arial"/>
          <w:b/>
          <w:lang w:val="es-ES"/>
        </w:rPr>
        <w:t xml:space="preserve">EL SUJETO OBLIGADO, </w:t>
      </w:r>
      <w:r w:rsidRPr="001A3DEA">
        <w:rPr>
          <w:rFonts w:ascii="Palatino Linotype" w:hAnsi="Palatino Linotype" w:cs="Arial"/>
          <w:lang w:val="es-ES"/>
        </w:rPr>
        <w:t xml:space="preserve">se procede a dictar la presente resolución con base en lo siguiente: </w:t>
      </w:r>
    </w:p>
    <w:p w14:paraId="7E5DAA96" w14:textId="77777777" w:rsidR="00200BFC" w:rsidRPr="001A3DEA" w:rsidRDefault="00200BFC" w:rsidP="00200BFC">
      <w:pPr>
        <w:jc w:val="center"/>
        <w:rPr>
          <w:rFonts w:ascii="Palatino Linotype" w:hAnsi="Palatino Linotype" w:cs="Arial"/>
          <w:b/>
          <w:bCs/>
          <w:spacing w:val="60"/>
        </w:rPr>
      </w:pPr>
    </w:p>
    <w:p w14:paraId="6A6647B5" w14:textId="7AF7E570" w:rsidR="00200BFC" w:rsidRPr="001A3DEA" w:rsidRDefault="00200BFC" w:rsidP="00200BFC">
      <w:pPr>
        <w:jc w:val="center"/>
        <w:rPr>
          <w:rFonts w:ascii="Palatino Linotype" w:hAnsi="Palatino Linotype" w:cs="Arial"/>
          <w:b/>
          <w:bCs/>
          <w:spacing w:val="60"/>
          <w:sz w:val="28"/>
        </w:rPr>
      </w:pPr>
      <w:r w:rsidRPr="001A3DEA">
        <w:rPr>
          <w:rFonts w:ascii="Palatino Linotype" w:hAnsi="Palatino Linotype" w:cs="Arial"/>
          <w:b/>
          <w:bCs/>
          <w:spacing w:val="60"/>
          <w:sz w:val="28"/>
        </w:rPr>
        <w:t>RESULTANDO</w:t>
      </w:r>
    </w:p>
    <w:p w14:paraId="1329FDA4" w14:textId="77777777" w:rsidR="00242FAC" w:rsidRPr="001A3DEA" w:rsidRDefault="00242FAC" w:rsidP="00200BFC">
      <w:pPr>
        <w:jc w:val="center"/>
        <w:rPr>
          <w:rFonts w:ascii="Palatino Linotype" w:hAnsi="Palatino Linotype" w:cs="Arial"/>
          <w:b/>
          <w:bCs/>
          <w:spacing w:val="60"/>
        </w:rPr>
      </w:pPr>
    </w:p>
    <w:p w14:paraId="70D9D779" w14:textId="77777777" w:rsidR="00200BFC" w:rsidRPr="001A3DEA" w:rsidRDefault="00200BFC" w:rsidP="00200BFC">
      <w:pPr>
        <w:jc w:val="center"/>
        <w:rPr>
          <w:rFonts w:ascii="Palatino Linotype" w:hAnsi="Palatino Linotype" w:cs="Arial"/>
          <w:b/>
          <w:bCs/>
          <w:spacing w:val="60"/>
        </w:rPr>
      </w:pPr>
    </w:p>
    <w:p w14:paraId="702C2C4C" w14:textId="590E2053" w:rsidR="00200BFC" w:rsidRPr="001A3DEA" w:rsidRDefault="00200BFC" w:rsidP="00200BFC">
      <w:pPr>
        <w:spacing w:line="360" w:lineRule="auto"/>
        <w:jc w:val="both"/>
        <w:rPr>
          <w:rFonts w:ascii="Palatino Linotype" w:eastAsia="MS Mincho" w:hAnsi="Palatino Linotype" w:cs="Arial"/>
          <w:b/>
          <w:bCs/>
        </w:rPr>
      </w:pPr>
      <w:r w:rsidRPr="001A3DEA">
        <w:rPr>
          <w:rFonts w:ascii="Palatino Linotype" w:eastAsia="MS Mincho" w:hAnsi="Palatino Linotype" w:cs="Arial"/>
          <w:b/>
          <w:sz w:val="28"/>
        </w:rPr>
        <w:t>I</w:t>
      </w:r>
      <w:r w:rsidRPr="001A3DEA">
        <w:rPr>
          <w:rFonts w:ascii="Palatino Linotype" w:eastAsia="MS Mincho" w:hAnsi="Palatino Linotype" w:cs="Arial"/>
          <w:b/>
        </w:rPr>
        <w:t xml:space="preserve">. </w:t>
      </w:r>
      <w:r w:rsidRPr="001A3DEA">
        <w:rPr>
          <w:rFonts w:ascii="Palatino Linotype" w:eastAsia="MS Mincho" w:hAnsi="Palatino Linotype" w:cs="Arial"/>
        </w:rPr>
        <w:t xml:space="preserve">En fecha </w:t>
      </w:r>
      <w:r w:rsidR="00B33F56" w:rsidRPr="001A3DEA">
        <w:rPr>
          <w:rFonts w:ascii="Palatino Linotype" w:eastAsia="MS Mincho" w:hAnsi="Palatino Linotype" w:cs="Arial"/>
        </w:rPr>
        <w:t>dieciocho</w:t>
      </w:r>
      <w:r w:rsidR="00754477" w:rsidRPr="001A3DEA">
        <w:rPr>
          <w:rFonts w:ascii="Palatino Linotype" w:eastAsia="MS Mincho" w:hAnsi="Palatino Linotype" w:cs="Arial"/>
        </w:rPr>
        <w:t xml:space="preserve"> de </w:t>
      </w:r>
      <w:r w:rsidR="00B33F56" w:rsidRPr="001A3DEA">
        <w:rPr>
          <w:rFonts w:ascii="Palatino Linotype" w:eastAsia="MS Mincho" w:hAnsi="Palatino Linotype" w:cs="Arial"/>
        </w:rPr>
        <w:t>enero</w:t>
      </w:r>
      <w:r w:rsidRPr="001A3DEA">
        <w:rPr>
          <w:rFonts w:ascii="Palatino Linotype" w:eastAsia="MS Mincho" w:hAnsi="Palatino Linotype" w:cs="Arial"/>
        </w:rPr>
        <w:t xml:space="preserve"> de dos mil veint</w:t>
      </w:r>
      <w:r w:rsidR="0028192C" w:rsidRPr="001A3DEA">
        <w:rPr>
          <w:rFonts w:ascii="Palatino Linotype" w:eastAsia="MS Mincho" w:hAnsi="Palatino Linotype" w:cs="Arial"/>
        </w:rPr>
        <w:t>iuno</w:t>
      </w:r>
      <w:r w:rsidRPr="001A3DEA">
        <w:rPr>
          <w:rFonts w:ascii="Palatino Linotype" w:eastAsia="MS Mincho" w:hAnsi="Palatino Linotype" w:cs="Arial"/>
        </w:rPr>
        <w:t xml:space="preserve">, </w:t>
      </w:r>
      <w:r w:rsidR="009B3C61" w:rsidRPr="001A3DEA">
        <w:rPr>
          <w:rFonts w:ascii="Palatino Linotype" w:eastAsia="MS Mincho" w:hAnsi="Palatino Linotype" w:cs="Arial"/>
          <w:b/>
        </w:rPr>
        <w:t>EL</w:t>
      </w:r>
      <w:r w:rsidRPr="001A3DEA">
        <w:rPr>
          <w:rFonts w:ascii="Palatino Linotype" w:eastAsia="MS Mincho" w:hAnsi="Palatino Linotype" w:cs="Arial"/>
          <w:b/>
        </w:rPr>
        <w:t xml:space="preserve"> RECURRENTE</w:t>
      </w:r>
      <w:r w:rsidR="00242FAC" w:rsidRPr="001A3DEA">
        <w:rPr>
          <w:rFonts w:ascii="Palatino Linotype" w:eastAsia="MS Mincho" w:hAnsi="Palatino Linotype" w:cs="Arial"/>
        </w:rPr>
        <w:t xml:space="preserve"> presentó a través de</w:t>
      </w:r>
      <w:r w:rsidRPr="001A3DEA">
        <w:rPr>
          <w:rFonts w:ascii="Palatino Linotype" w:eastAsia="MS Mincho" w:hAnsi="Palatino Linotype" w:cs="Arial"/>
        </w:rPr>
        <w:t>l Sistema de Acceso a la Información Mexiquense</w:t>
      </w:r>
      <w:r w:rsidRPr="001A3DEA">
        <w:rPr>
          <w:rFonts w:ascii="Palatino Linotype" w:eastAsia="MS Mincho" w:hAnsi="Palatino Linotype"/>
        </w:rPr>
        <w:t xml:space="preserve">, en lo subsecuente </w:t>
      </w:r>
      <w:r w:rsidRPr="001A3DEA">
        <w:rPr>
          <w:rFonts w:ascii="Palatino Linotype" w:eastAsia="MS Mincho" w:hAnsi="Palatino Linotype" w:cs="Arial"/>
          <w:b/>
        </w:rPr>
        <w:t>EL SAIMEX</w:t>
      </w:r>
      <w:r w:rsidRPr="001A3DEA">
        <w:rPr>
          <w:rFonts w:ascii="Palatino Linotype" w:eastAsia="MS Mincho" w:hAnsi="Palatino Linotype" w:cs="Arial"/>
        </w:rPr>
        <w:t xml:space="preserve"> ante </w:t>
      </w:r>
      <w:r w:rsidRPr="001A3DEA">
        <w:rPr>
          <w:rFonts w:ascii="Palatino Linotype" w:eastAsia="MS Mincho" w:hAnsi="Palatino Linotype" w:cs="Arial"/>
          <w:b/>
        </w:rPr>
        <w:t>EL SUJETO OBLIGADO</w:t>
      </w:r>
      <w:r w:rsidRPr="001A3DEA">
        <w:rPr>
          <w:rFonts w:ascii="Palatino Linotype" w:eastAsia="MS Mincho" w:hAnsi="Palatino Linotype" w:cs="Arial"/>
        </w:rPr>
        <w:t xml:space="preserve">, la solicitud de acceso a la información pública, a la que se le asignó el número de expediente </w:t>
      </w:r>
      <w:r w:rsidR="00B33F56" w:rsidRPr="001A3DEA">
        <w:rPr>
          <w:rFonts w:ascii="Palatino Linotype" w:eastAsia="MS Mincho" w:hAnsi="Palatino Linotype" w:cs="Arial"/>
          <w:b/>
          <w:bCs/>
        </w:rPr>
        <w:t>00006/NAUCALPA/IP/2021</w:t>
      </w:r>
      <w:r w:rsidRPr="001A3DEA">
        <w:rPr>
          <w:rFonts w:ascii="Palatino Linotype" w:eastAsia="MS Mincho" w:hAnsi="Palatino Linotype" w:cs="Arial"/>
        </w:rPr>
        <w:t xml:space="preserve">, </w:t>
      </w:r>
      <w:r w:rsidRPr="001A3DEA">
        <w:rPr>
          <w:rFonts w:ascii="Palatino Linotype" w:eastAsia="MS Mincho" w:hAnsi="Palatino Linotype" w:cs="Arial"/>
          <w:bCs/>
        </w:rPr>
        <w:t>por medio de la cual requirió</w:t>
      </w:r>
      <w:r w:rsidRPr="001A3DEA">
        <w:rPr>
          <w:rFonts w:ascii="Palatino Linotype" w:eastAsia="MS Mincho" w:hAnsi="Palatino Linotype" w:cs="Arial"/>
        </w:rPr>
        <w:t>:</w:t>
      </w:r>
    </w:p>
    <w:tbl>
      <w:tblPr>
        <w:tblStyle w:val="Tablaconcuadrcula"/>
        <w:tblpPr w:leftFromText="141" w:rightFromText="141" w:vertAnchor="text" w:tblpY="1"/>
        <w:tblOverlap w:val="never"/>
        <w:tblW w:w="9006" w:type="dxa"/>
        <w:tblLook w:val="04A0" w:firstRow="1" w:lastRow="0" w:firstColumn="1" w:lastColumn="0" w:noHBand="0" w:noVBand="1"/>
      </w:tblPr>
      <w:tblGrid>
        <w:gridCol w:w="3161"/>
        <w:gridCol w:w="5845"/>
      </w:tblGrid>
      <w:tr w:rsidR="00603B79" w:rsidRPr="001A3DEA" w14:paraId="4C226809" w14:textId="77777777" w:rsidTr="001D4F14">
        <w:trPr>
          <w:trHeight w:val="589"/>
        </w:trPr>
        <w:tc>
          <w:tcPr>
            <w:tcW w:w="2972" w:type="dxa"/>
            <w:shd w:val="clear" w:color="auto" w:fill="000000" w:themeFill="text1"/>
            <w:vAlign w:val="center"/>
          </w:tcPr>
          <w:p w14:paraId="490D6447" w14:textId="77777777" w:rsidR="00603B79" w:rsidRPr="001A3DEA" w:rsidRDefault="00603B79" w:rsidP="001D4F14">
            <w:pPr>
              <w:spacing w:line="360" w:lineRule="auto"/>
              <w:jc w:val="center"/>
              <w:rPr>
                <w:rFonts w:ascii="Palatino Linotype" w:hAnsi="Palatino Linotype"/>
                <w:b/>
                <w:color w:val="FFFFFF" w:themeColor="background1"/>
                <w:sz w:val="24"/>
                <w:szCs w:val="24"/>
                <w:lang w:val="es-ES" w:eastAsia="es-ES"/>
              </w:rPr>
            </w:pPr>
            <w:r w:rsidRPr="001A3DEA">
              <w:rPr>
                <w:rFonts w:ascii="Palatino Linotype" w:hAnsi="Palatino Linotype"/>
                <w:b/>
                <w:color w:val="FFFFFF" w:themeColor="background1"/>
                <w:sz w:val="24"/>
                <w:szCs w:val="24"/>
                <w:lang w:val="es-ES" w:eastAsia="es-ES"/>
              </w:rPr>
              <w:t>Número de Solicitud</w:t>
            </w:r>
          </w:p>
        </w:tc>
        <w:tc>
          <w:tcPr>
            <w:tcW w:w="6034" w:type="dxa"/>
            <w:shd w:val="clear" w:color="auto" w:fill="000000" w:themeFill="text1"/>
            <w:vAlign w:val="center"/>
          </w:tcPr>
          <w:p w14:paraId="21CCE2B8" w14:textId="77777777" w:rsidR="00603B79" w:rsidRPr="001A3DEA" w:rsidRDefault="00603B79" w:rsidP="001D4F14">
            <w:pPr>
              <w:tabs>
                <w:tab w:val="left" w:pos="1125"/>
              </w:tabs>
              <w:spacing w:line="360" w:lineRule="auto"/>
              <w:jc w:val="center"/>
              <w:rPr>
                <w:rFonts w:ascii="Palatino Linotype" w:hAnsi="Palatino Linotype"/>
                <w:b/>
                <w:sz w:val="24"/>
                <w:szCs w:val="24"/>
                <w:lang w:val="es-ES" w:eastAsia="es-ES"/>
              </w:rPr>
            </w:pPr>
            <w:r w:rsidRPr="001A3DEA">
              <w:rPr>
                <w:rFonts w:ascii="Palatino Linotype" w:hAnsi="Palatino Linotype"/>
                <w:b/>
                <w:sz w:val="24"/>
                <w:szCs w:val="24"/>
                <w:lang w:val="es-ES" w:eastAsia="es-ES"/>
              </w:rPr>
              <w:t>Contenido</w:t>
            </w:r>
          </w:p>
        </w:tc>
      </w:tr>
      <w:tr w:rsidR="00603B79" w:rsidRPr="001A3DEA" w14:paraId="2B1C96A7" w14:textId="77777777" w:rsidTr="001D4F14">
        <w:trPr>
          <w:trHeight w:val="792"/>
        </w:trPr>
        <w:tc>
          <w:tcPr>
            <w:tcW w:w="2972" w:type="dxa"/>
            <w:vAlign w:val="center"/>
          </w:tcPr>
          <w:p w14:paraId="5EFE0E24" w14:textId="635BAF83" w:rsidR="00603B79" w:rsidRPr="001A3DEA" w:rsidRDefault="00B33F56" w:rsidP="001D4F14">
            <w:pPr>
              <w:spacing w:line="360" w:lineRule="auto"/>
              <w:jc w:val="center"/>
              <w:rPr>
                <w:rFonts w:ascii="Palatino Linotype" w:hAnsi="Palatino Linotype"/>
                <w:sz w:val="24"/>
                <w:szCs w:val="24"/>
                <w:lang w:val="es-ES" w:eastAsia="es-ES"/>
              </w:rPr>
            </w:pPr>
            <w:r w:rsidRPr="001A3DEA">
              <w:rPr>
                <w:rFonts w:ascii="Palatino Linotype" w:hAnsi="Palatino Linotype"/>
                <w:b/>
                <w:sz w:val="24"/>
                <w:szCs w:val="24"/>
              </w:rPr>
              <w:t>00006/NAUCALPA/IP/2021</w:t>
            </w:r>
          </w:p>
        </w:tc>
        <w:tc>
          <w:tcPr>
            <w:tcW w:w="6034" w:type="dxa"/>
          </w:tcPr>
          <w:p w14:paraId="3D637216" w14:textId="049445B9" w:rsidR="00603B79" w:rsidRPr="001A3DEA" w:rsidRDefault="00B33F56" w:rsidP="00B33F56">
            <w:pPr>
              <w:spacing w:before="80" w:after="120"/>
              <w:ind w:right="114"/>
              <w:jc w:val="both"/>
              <w:rPr>
                <w:rFonts w:ascii="Palatino Linotype" w:hAnsi="Palatino Linotype"/>
                <w:sz w:val="24"/>
                <w:szCs w:val="24"/>
              </w:rPr>
            </w:pPr>
            <w:r w:rsidRPr="001A3DEA">
              <w:rPr>
                <w:rFonts w:ascii="Palatino Linotype" w:hAnsi="Palatino Linotype" w:cs="Arial"/>
                <w:i/>
                <w:sz w:val="24"/>
                <w:szCs w:val="24"/>
              </w:rPr>
              <w:t xml:space="preserve">copia del contrato / estudios de mercado / </w:t>
            </w:r>
            <w:r w:rsidRPr="001A3DEA">
              <w:rPr>
                <w:rFonts w:ascii="Palatino Linotype" w:hAnsi="Palatino Linotype" w:cs="Arial"/>
                <w:i/>
              </w:rPr>
              <w:t>facturas</w:t>
            </w:r>
            <w:r w:rsidRPr="001A3DEA">
              <w:rPr>
                <w:rFonts w:ascii="Palatino Linotype" w:hAnsi="Palatino Linotype" w:cs="Arial"/>
                <w:i/>
                <w:sz w:val="24"/>
                <w:szCs w:val="24"/>
              </w:rPr>
              <w:t xml:space="preserve"> de los bienes comprados y revisión de bases que realizo su contraloría interna / copia del reporte que hicieron de los gastos erogados al Secretariado Ejecutivo del sistema nacional de Seguridad publica mas los RECURSOS LOCALES / FORTASEG y FASP de 2017 a la fecha sobre el como / informe de cada contraloría la revisión de bases, </w:t>
            </w:r>
            <w:r w:rsidRPr="001A3DEA">
              <w:rPr>
                <w:rFonts w:ascii="Palatino Linotype" w:hAnsi="Palatino Linotype" w:cs="Arial"/>
                <w:i/>
                <w:sz w:val="24"/>
                <w:szCs w:val="24"/>
              </w:rPr>
              <w:lastRenderedPageBreak/>
              <w:t>anexos técnicos de los bienes comprados, así como auditorías practicadas ( bienes para seguridad ) patrullas, moto patrullas, cámaras con poste y botón de pánico , precio detallado vehículo y equipo policial , ( lineamientos de FASP que aplicaron en cada caso con sus documentos técnicos ) empresa a la que se compro o rento la patrulla y el equipo policial o cámara , Numero de cámaras instaladas en la población , costo de su C5 o similar . con su contrato de obra y equipamiento detallado .</w:t>
            </w:r>
            <w:r w:rsidR="00603B79" w:rsidRPr="001A3DEA">
              <w:rPr>
                <w:rFonts w:ascii="Palatino Linotype" w:hAnsi="Palatino Linotype" w:cs="Arial"/>
                <w:i/>
                <w:sz w:val="24"/>
                <w:szCs w:val="24"/>
              </w:rPr>
              <w:t xml:space="preserve">” </w:t>
            </w:r>
            <w:r w:rsidR="00603B79" w:rsidRPr="001A3DEA">
              <w:rPr>
                <w:rFonts w:ascii="Palatino Linotype" w:hAnsi="Palatino Linotype"/>
                <w:sz w:val="24"/>
                <w:szCs w:val="24"/>
              </w:rPr>
              <w:t>(Sic).</w:t>
            </w:r>
          </w:p>
        </w:tc>
      </w:tr>
    </w:tbl>
    <w:p w14:paraId="08A394C1" w14:textId="77777777" w:rsidR="002A2174" w:rsidRPr="001A3DEA" w:rsidRDefault="002A2174" w:rsidP="00200BFC">
      <w:pPr>
        <w:spacing w:line="360" w:lineRule="auto"/>
        <w:jc w:val="both"/>
        <w:rPr>
          <w:rFonts w:ascii="Palatino Linotype" w:hAnsi="Palatino Linotype" w:cs="Arial"/>
          <w:b/>
        </w:rPr>
      </w:pPr>
    </w:p>
    <w:p w14:paraId="342F7C72" w14:textId="7B55027D" w:rsidR="00200BFC" w:rsidRPr="001A3DEA" w:rsidRDefault="00200BFC" w:rsidP="00200BFC">
      <w:pPr>
        <w:spacing w:line="360" w:lineRule="auto"/>
        <w:jc w:val="both"/>
        <w:rPr>
          <w:rFonts w:ascii="Palatino Linotype" w:hAnsi="Palatino Linotype" w:cs="Arial"/>
          <w:b/>
        </w:rPr>
      </w:pPr>
      <w:r w:rsidRPr="001A3DEA">
        <w:rPr>
          <w:rFonts w:ascii="Palatino Linotype" w:hAnsi="Palatino Linotype" w:cs="Arial"/>
          <w:b/>
        </w:rPr>
        <w:t>MODALIDAD DE ENTREGA:</w:t>
      </w:r>
      <w:r w:rsidRPr="001A3DEA">
        <w:rPr>
          <w:rFonts w:ascii="Palatino Linotype" w:hAnsi="Palatino Linotype" w:cs="Arial"/>
        </w:rPr>
        <w:t xml:space="preserve"> Vía </w:t>
      </w:r>
      <w:r w:rsidRPr="001A3DEA">
        <w:rPr>
          <w:rFonts w:ascii="Palatino Linotype" w:hAnsi="Palatino Linotype" w:cs="Arial"/>
          <w:b/>
        </w:rPr>
        <w:t>SAIMEX</w:t>
      </w:r>
      <w:r w:rsidR="00923E33" w:rsidRPr="001A3DEA">
        <w:rPr>
          <w:rFonts w:ascii="Palatino Linotype" w:hAnsi="Palatino Linotype" w:cs="Arial"/>
          <w:b/>
        </w:rPr>
        <w:t>.</w:t>
      </w:r>
    </w:p>
    <w:p w14:paraId="074D7D7C" w14:textId="77777777" w:rsidR="007940E5" w:rsidRPr="001A3DEA" w:rsidRDefault="007940E5" w:rsidP="00200BFC">
      <w:pPr>
        <w:spacing w:line="360" w:lineRule="auto"/>
        <w:jc w:val="both"/>
        <w:rPr>
          <w:rFonts w:ascii="Palatino Linotype" w:hAnsi="Palatino Linotype" w:cs="Arial"/>
        </w:rPr>
      </w:pPr>
    </w:p>
    <w:p w14:paraId="578587C9" w14:textId="1499B724" w:rsidR="00F143A3" w:rsidRPr="001A3DEA" w:rsidRDefault="007940E5" w:rsidP="00F143A3">
      <w:pPr>
        <w:spacing w:line="360" w:lineRule="auto"/>
        <w:jc w:val="both"/>
        <w:rPr>
          <w:rFonts w:ascii="Palatino Linotype" w:hAnsi="Palatino Linotype" w:cs="Arial"/>
          <w:lang w:val="es-ES_tradnl"/>
        </w:rPr>
      </w:pPr>
      <w:r w:rsidRPr="001A3DEA">
        <w:rPr>
          <w:rFonts w:ascii="Palatino Linotype" w:eastAsia="Calibri" w:hAnsi="Palatino Linotype" w:cs="Arial"/>
          <w:b/>
          <w:bCs/>
          <w:sz w:val="28"/>
          <w:lang w:val="es-ES" w:eastAsia="en-US"/>
        </w:rPr>
        <w:t>II</w:t>
      </w:r>
      <w:r w:rsidRPr="001A3DEA">
        <w:rPr>
          <w:rFonts w:ascii="Palatino Linotype" w:eastAsia="Calibri" w:hAnsi="Palatino Linotype" w:cs="Arial"/>
          <w:b/>
          <w:bCs/>
          <w:lang w:val="es-ES" w:eastAsia="en-US"/>
        </w:rPr>
        <w:t>.</w:t>
      </w:r>
      <w:r w:rsidRPr="001A3DEA">
        <w:rPr>
          <w:rFonts w:ascii="Palatino Linotype" w:eastAsia="Calibri" w:hAnsi="Palatino Linotype" w:cs="Arial"/>
          <w:lang w:val="es-ES" w:eastAsia="en-US"/>
        </w:rPr>
        <w:t xml:space="preserve"> </w:t>
      </w:r>
      <w:r w:rsidR="00F143A3" w:rsidRPr="001A3DEA">
        <w:rPr>
          <w:rFonts w:ascii="Palatino Linotype" w:hAnsi="Palatino Linotype" w:cs="Arial"/>
        </w:rPr>
        <w:t xml:space="preserve">De las </w:t>
      </w:r>
      <w:r w:rsidR="00F143A3" w:rsidRPr="001A3DEA">
        <w:rPr>
          <w:rFonts w:ascii="Palatino Linotype" w:hAnsi="Palatino Linotype" w:cs="Arial"/>
          <w:lang w:val="es-ES_tradnl"/>
        </w:rPr>
        <w:t xml:space="preserve">constancias que obran en </w:t>
      </w:r>
      <w:r w:rsidR="00F143A3" w:rsidRPr="001A3DEA">
        <w:rPr>
          <w:rFonts w:ascii="Palatino Linotype" w:hAnsi="Palatino Linotype" w:cs="Arial"/>
          <w:b/>
          <w:lang w:val="es-ES_tradnl"/>
        </w:rPr>
        <w:t>EL</w:t>
      </w:r>
      <w:r w:rsidR="00F143A3" w:rsidRPr="001A3DEA">
        <w:rPr>
          <w:rFonts w:ascii="Palatino Linotype" w:hAnsi="Palatino Linotype" w:cs="Arial"/>
          <w:lang w:val="es-ES_tradnl"/>
        </w:rPr>
        <w:t xml:space="preserve"> </w:t>
      </w:r>
      <w:r w:rsidR="00F143A3" w:rsidRPr="001A3DEA">
        <w:rPr>
          <w:rFonts w:ascii="Palatino Linotype" w:hAnsi="Palatino Linotype" w:cs="Arial"/>
          <w:b/>
          <w:lang w:val="es-ES_tradnl"/>
        </w:rPr>
        <w:t>SAIMEX</w:t>
      </w:r>
      <w:r w:rsidR="00F143A3" w:rsidRPr="001A3DEA">
        <w:rPr>
          <w:rFonts w:ascii="Palatino Linotype" w:hAnsi="Palatino Linotype" w:cs="Arial"/>
          <w:lang w:val="es-ES_tradnl"/>
        </w:rPr>
        <w:t>, se desprende que el veintiuno de enero de dos mil veintiuno,</w:t>
      </w:r>
      <w:r w:rsidR="00F143A3" w:rsidRPr="001A3DEA">
        <w:rPr>
          <w:rFonts w:ascii="Palatino Linotype" w:hAnsi="Palatino Linotype" w:cs="Arial"/>
          <w:b/>
          <w:lang w:val="es-ES_tradnl"/>
        </w:rPr>
        <w:t xml:space="preserve"> EL SUJETO OBLIGADO</w:t>
      </w:r>
      <w:r w:rsidR="00F143A3" w:rsidRPr="001A3DEA">
        <w:rPr>
          <w:rFonts w:ascii="Palatino Linotype" w:hAnsi="Palatino Linotype" w:cs="Arial"/>
          <w:lang w:val="es-ES_tradnl"/>
        </w:rPr>
        <w:t xml:space="preserve"> solicitó aclaración a la solicitud de acceso a la información de la siguiente forma, como se muestra a continuación:</w:t>
      </w:r>
    </w:p>
    <w:p w14:paraId="38B70270" w14:textId="361565D0" w:rsidR="00F143A3" w:rsidRPr="001A3DEA" w:rsidRDefault="00F143A3" w:rsidP="00F143A3">
      <w:pPr>
        <w:spacing w:line="276" w:lineRule="auto"/>
        <w:ind w:left="851" w:right="899"/>
        <w:jc w:val="both"/>
        <w:rPr>
          <w:rFonts w:ascii="Palatino Linotype" w:hAnsi="Palatino Linotype" w:cs="Arial"/>
          <w:i/>
          <w:sz w:val="22"/>
          <w:szCs w:val="22"/>
          <w:lang w:val="es-ES_tradnl"/>
        </w:rPr>
      </w:pPr>
      <w:r w:rsidRPr="001A3DEA">
        <w:rPr>
          <w:rFonts w:ascii="Palatino Linotype" w:hAnsi="Palatino Linotype"/>
          <w:i/>
          <w:color w:val="000000"/>
          <w:sz w:val="22"/>
          <w:szCs w:val="22"/>
        </w:rPr>
        <w:t>“Favor de aclarar su solicitud”</w:t>
      </w:r>
    </w:p>
    <w:p w14:paraId="5FE5430D" w14:textId="77777777" w:rsidR="00F143A3" w:rsidRPr="001A3DEA" w:rsidRDefault="00F143A3" w:rsidP="00F143A3">
      <w:pPr>
        <w:pStyle w:val="Prrafodelista"/>
        <w:spacing w:line="360" w:lineRule="auto"/>
        <w:ind w:left="0"/>
        <w:jc w:val="both"/>
        <w:rPr>
          <w:rFonts w:ascii="Palatino Linotype" w:hAnsi="Palatino Linotype" w:cs="Arial"/>
        </w:rPr>
      </w:pPr>
    </w:p>
    <w:p w14:paraId="1BDBFD60" w14:textId="30ACC04B" w:rsidR="00F143A3" w:rsidRPr="001A3DEA" w:rsidRDefault="00F143A3" w:rsidP="00F143A3">
      <w:pPr>
        <w:pStyle w:val="Prrafodelista"/>
        <w:spacing w:line="360" w:lineRule="auto"/>
        <w:ind w:left="0"/>
        <w:jc w:val="both"/>
        <w:rPr>
          <w:rFonts w:ascii="Palatino Linotype" w:hAnsi="Palatino Linotype"/>
          <w:i/>
          <w:sz w:val="22"/>
          <w:szCs w:val="22"/>
        </w:rPr>
      </w:pPr>
      <w:r w:rsidRPr="001A3DEA">
        <w:rPr>
          <w:rFonts w:ascii="Palatino Linotype" w:hAnsi="Palatino Linotype" w:cs="Arial"/>
        </w:rPr>
        <w:t xml:space="preserve">Bajo lo cual, se observó que el particular fue omiso en </w:t>
      </w:r>
      <w:r w:rsidR="00103CDC" w:rsidRPr="001A3DEA">
        <w:rPr>
          <w:rFonts w:ascii="Palatino Linotype" w:hAnsi="Palatino Linotype" w:cs="Arial"/>
        </w:rPr>
        <w:t xml:space="preserve">responder a la aclaración requerida por el </w:t>
      </w:r>
      <w:r w:rsidR="00103CDC" w:rsidRPr="001A3DEA">
        <w:rPr>
          <w:rFonts w:ascii="Palatino Linotype" w:hAnsi="Palatino Linotype" w:cs="Arial"/>
          <w:b/>
        </w:rPr>
        <w:t>SUJETO OBLIGADO</w:t>
      </w:r>
      <w:r w:rsidR="00103CDC" w:rsidRPr="001A3DEA">
        <w:rPr>
          <w:rFonts w:ascii="Palatino Linotype" w:hAnsi="Palatino Linotype" w:cs="Arial"/>
        </w:rPr>
        <w:t>.</w:t>
      </w:r>
    </w:p>
    <w:p w14:paraId="61940053" w14:textId="77777777" w:rsidR="00F143A3" w:rsidRPr="001A3DEA" w:rsidRDefault="00F143A3" w:rsidP="00F143A3">
      <w:pPr>
        <w:spacing w:line="360" w:lineRule="auto"/>
        <w:jc w:val="both"/>
        <w:rPr>
          <w:rFonts w:ascii="Palatino Linotype" w:hAnsi="Palatino Linotype"/>
          <w:sz w:val="28"/>
          <w:szCs w:val="28"/>
        </w:rPr>
      </w:pPr>
    </w:p>
    <w:p w14:paraId="1FB9A04A" w14:textId="7FCF4005" w:rsidR="00200BFC" w:rsidRPr="001A3DEA" w:rsidRDefault="00103CDC" w:rsidP="0028192C">
      <w:pPr>
        <w:tabs>
          <w:tab w:val="left" w:pos="426"/>
        </w:tabs>
        <w:spacing w:before="100" w:beforeAutospacing="1" w:after="100" w:afterAutospacing="1" w:line="360" w:lineRule="auto"/>
        <w:contextualSpacing/>
        <w:jc w:val="both"/>
        <w:rPr>
          <w:rFonts w:ascii="Palatino Linotype" w:hAnsi="Palatino Linotype"/>
          <w:color w:val="000000"/>
        </w:rPr>
      </w:pPr>
      <w:r w:rsidRPr="001A3DEA">
        <w:rPr>
          <w:rFonts w:ascii="Palatino Linotype" w:eastAsia="Calibri" w:hAnsi="Palatino Linotype" w:cs="Arial"/>
          <w:b/>
          <w:sz w:val="28"/>
          <w:szCs w:val="28"/>
          <w:lang w:val="es-ES" w:eastAsia="en-US"/>
        </w:rPr>
        <w:t>III.</w:t>
      </w:r>
      <w:r w:rsidRPr="001A3DEA">
        <w:rPr>
          <w:rFonts w:ascii="Palatino Linotype" w:eastAsia="Calibri" w:hAnsi="Palatino Linotype" w:cs="Arial"/>
          <w:lang w:val="es-ES" w:eastAsia="en-US"/>
        </w:rPr>
        <w:t xml:space="preserve"> </w:t>
      </w:r>
      <w:r w:rsidR="00B3328C" w:rsidRPr="001A3DEA">
        <w:rPr>
          <w:rFonts w:ascii="Palatino Linotype" w:hAnsi="Palatino Linotype" w:cs="Arial"/>
        </w:rPr>
        <w:t>E</w:t>
      </w:r>
      <w:r w:rsidR="007940E5" w:rsidRPr="001A3DEA">
        <w:rPr>
          <w:rFonts w:ascii="Palatino Linotype" w:hAnsi="Palatino Linotype" w:cs="Arial"/>
        </w:rPr>
        <w:t xml:space="preserve">n fecha </w:t>
      </w:r>
      <w:r w:rsidR="009F2C63" w:rsidRPr="001A3DEA">
        <w:rPr>
          <w:rFonts w:ascii="Palatino Linotype" w:hAnsi="Palatino Linotype" w:cs="Arial"/>
        </w:rPr>
        <w:t>veinticuatro</w:t>
      </w:r>
      <w:r w:rsidR="00B3328C" w:rsidRPr="001A3DEA">
        <w:rPr>
          <w:rFonts w:ascii="Palatino Linotype" w:hAnsi="Palatino Linotype" w:cs="Arial"/>
        </w:rPr>
        <w:t xml:space="preserve"> de </w:t>
      </w:r>
      <w:r w:rsidR="0028192C" w:rsidRPr="001A3DEA">
        <w:rPr>
          <w:rFonts w:ascii="Palatino Linotype" w:hAnsi="Palatino Linotype" w:cs="Arial"/>
        </w:rPr>
        <w:t>fe</w:t>
      </w:r>
      <w:r w:rsidR="006E2588" w:rsidRPr="001A3DEA">
        <w:rPr>
          <w:rFonts w:ascii="Palatino Linotype" w:hAnsi="Palatino Linotype" w:cs="Arial"/>
        </w:rPr>
        <w:t>b</w:t>
      </w:r>
      <w:r w:rsidR="0028192C" w:rsidRPr="001A3DEA">
        <w:rPr>
          <w:rFonts w:ascii="Palatino Linotype" w:hAnsi="Palatino Linotype" w:cs="Arial"/>
        </w:rPr>
        <w:t>rero</w:t>
      </w:r>
      <w:r w:rsidR="00754D17" w:rsidRPr="001A3DEA">
        <w:rPr>
          <w:rFonts w:ascii="Palatino Linotype" w:hAnsi="Palatino Linotype" w:cs="Arial"/>
        </w:rPr>
        <w:t xml:space="preserve"> de</w:t>
      </w:r>
      <w:r w:rsidR="003E7169" w:rsidRPr="001A3DEA">
        <w:rPr>
          <w:rFonts w:ascii="Palatino Linotype" w:hAnsi="Palatino Linotype" w:cs="Arial"/>
        </w:rPr>
        <w:t xml:space="preserve"> dos mil</w:t>
      </w:r>
      <w:r w:rsidR="00754D17" w:rsidRPr="001A3DEA">
        <w:rPr>
          <w:rFonts w:ascii="Palatino Linotype" w:hAnsi="Palatino Linotype" w:cs="Arial"/>
        </w:rPr>
        <w:t xml:space="preserve"> veint</w:t>
      </w:r>
      <w:r w:rsidR="00804F31" w:rsidRPr="001A3DEA">
        <w:rPr>
          <w:rFonts w:ascii="Palatino Linotype" w:hAnsi="Palatino Linotype" w:cs="Arial"/>
        </w:rPr>
        <w:t>iuno</w:t>
      </w:r>
      <w:r w:rsidR="003E7169" w:rsidRPr="001A3DEA">
        <w:rPr>
          <w:rFonts w:ascii="Palatino Linotype" w:hAnsi="Palatino Linotype" w:cs="Arial"/>
        </w:rPr>
        <w:t xml:space="preserve">, </w:t>
      </w:r>
      <w:r w:rsidR="003E7169" w:rsidRPr="001A3DEA">
        <w:rPr>
          <w:rFonts w:ascii="Palatino Linotype" w:hAnsi="Palatino Linotype"/>
          <w:color w:val="000000"/>
        </w:rPr>
        <w:t xml:space="preserve">el </w:t>
      </w:r>
      <w:r w:rsidR="003E7169" w:rsidRPr="001A3DEA">
        <w:rPr>
          <w:rFonts w:ascii="Palatino Linotype" w:hAnsi="Palatino Linotype"/>
          <w:b/>
          <w:color w:val="000000"/>
        </w:rPr>
        <w:t>SUJETO OBLIGADO</w:t>
      </w:r>
      <w:r w:rsidR="003E7169" w:rsidRPr="001A3DEA">
        <w:rPr>
          <w:rFonts w:ascii="Palatino Linotype" w:hAnsi="Palatino Linotype"/>
          <w:color w:val="000000"/>
        </w:rPr>
        <w:t xml:space="preserve"> dio respuesta a la solicitud de información en los siguientes términos:</w:t>
      </w:r>
    </w:p>
    <w:p w14:paraId="7DA89BF2" w14:textId="0CB0893A" w:rsidR="00754D17" w:rsidRPr="001A3DEA" w:rsidRDefault="00754D17" w:rsidP="007940E5">
      <w:pPr>
        <w:ind w:right="901"/>
        <w:rPr>
          <w:rFonts w:ascii="Palatino Linotype" w:hAnsi="Palatino Linotype" w:cs="Arial"/>
          <w:i/>
        </w:rPr>
      </w:pPr>
    </w:p>
    <w:p w14:paraId="5054C16F" w14:textId="77777777" w:rsidR="009F2C63" w:rsidRPr="001A3DEA" w:rsidRDefault="00FD3603" w:rsidP="009F2C63">
      <w:pPr>
        <w:ind w:left="850" w:right="901"/>
        <w:jc w:val="right"/>
        <w:rPr>
          <w:rFonts w:ascii="Palatino Linotype" w:hAnsi="Palatino Linotype" w:cs="Arial"/>
          <w:i/>
        </w:rPr>
      </w:pPr>
      <w:r w:rsidRPr="001A3DEA">
        <w:rPr>
          <w:rFonts w:ascii="Palatino Linotype" w:hAnsi="Palatino Linotype" w:cs="Arial"/>
          <w:i/>
        </w:rPr>
        <w:t>“</w:t>
      </w:r>
      <w:r w:rsidR="009F2C63" w:rsidRPr="001A3DEA">
        <w:rPr>
          <w:rFonts w:ascii="Palatino Linotype" w:hAnsi="Palatino Linotype" w:cs="Arial"/>
          <w:i/>
        </w:rPr>
        <w:t>Folio de la solicitud: 00006/NAUCALPA/IP/2021</w:t>
      </w:r>
    </w:p>
    <w:p w14:paraId="5E8DB226" w14:textId="77777777" w:rsidR="009F2C63" w:rsidRPr="001A3DEA" w:rsidRDefault="009F2C63" w:rsidP="009F2C63">
      <w:pPr>
        <w:ind w:left="850" w:right="901"/>
        <w:jc w:val="both"/>
        <w:rPr>
          <w:rFonts w:ascii="Palatino Linotype" w:hAnsi="Palatino Linotype" w:cs="Arial"/>
          <w:i/>
        </w:rPr>
      </w:pPr>
      <w:r w:rsidRPr="001A3DEA">
        <w:rPr>
          <w:rFonts w:ascii="Palatino Linotype" w:hAnsi="Palatino Linotype" w:cs="Arial"/>
          <w:i/>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7CF856D5" w14:textId="77777777" w:rsidR="009F2C63" w:rsidRPr="001A3DEA" w:rsidRDefault="009F2C63" w:rsidP="009F2C63">
      <w:pPr>
        <w:ind w:left="850" w:right="901"/>
        <w:jc w:val="both"/>
        <w:rPr>
          <w:rFonts w:ascii="Palatino Linotype" w:hAnsi="Palatino Linotype" w:cs="Arial"/>
          <w:i/>
        </w:rPr>
      </w:pPr>
      <w:r w:rsidRPr="001A3DEA">
        <w:rPr>
          <w:rFonts w:ascii="Palatino Linotype" w:hAnsi="Palatino Linotype" w:cs="Arial"/>
          <w:i/>
        </w:rPr>
        <w:t>Solicitud concluida</w:t>
      </w:r>
    </w:p>
    <w:p w14:paraId="5E283352" w14:textId="77777777" w:rsidR="009F2C63" w:rsidRPr="001A3DEA" w:rsidRDefault="009F2C63" w:rsidP="009F2C63">
      <w:pPr>
        <w:ind w:left="850" w:right="901"/>
        <w:jc w:val="both"/>
        <w:rPr>
          <w:rFonts w:ascii="Palatino Linotype" w:hAnsi="Palatino Linotype" w:cs="Arial"/>
          <w:i/>
        </w:rPr>
      </w:pPr>
      <w:r w:rsidRPr="001A3DEA">
        <w:rPr>
          <w:rFonts w:ascii="Palatino Linotype" w:hAnsi="Palatino Linotype" w:cs="Arial"/>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4745BA10" w14:textId="77777777" w:rsidR="009F2C63" w:rsidRPr="001A3DEA" w:rsidRDefault="009F2C63" w:rsidP="009F2C63">
      <w:pPr>
        <w:ind w:left="850" w:right="901"/>
        <w:jc w:val="both"/>
        <w:rPr>
          <w:rFonts w:ascii="Palatino Linotype" w:hAnsi="Palatino Linotype" w:cs="Arial"/>
          <w:i/>
        </w:rPr>
      </w:pPr>
      <w:r w:rsidRPr="001A3DEA">
        <w:rPr>
          <w:rFonts w:ascii="Palatino Linotype" w:hAnsi="Palatino Linotype" w:cs="Arial"/>
          <w:i/>
        </w:rPr>
        <w:t>ATENTAMENTE</w:t>
      </w:r>
    </w:p>
    <w:p w14:paraId="4E43E25B" w14:textId="58FFD985" w:rsidR="00754D17" w:rsidRPr="001A3DEA" w:rsidRDefault="009F2C63" w:rsidP="009F2C63">
      <w:pPr>
        <w:ind w:left="850" w:right="901"/>
        <w:jc w:val="both"/>
        <w:rPr>
          <w:rFonts w:ascii="Palatino Linotype" w:hAnsi="Palatino Linotype" w:cs="Arial"/>
          <w:i/>
        </w:rPr>
      </w:pPr>
      <w:r w:rsidRPr="001A3DEA">
        <w:rPr>
          <w:rFonts w:ascii="Palatino Linotype" w:hAnsi="Palatino Linotype" w:cs="Arial"/>
          <w:i/>
        </w:rPr>
        <w:t>C. LEONARDO SALCEDO MALVAEZ</w:t>
      </w:r>
      <w:r w:rsidR="00754D17" w:rsidRPr="001A3DEA">
        <w:rPr>
          <w:rFonts w:ascii="Palatino Linotype" w:hAnsi="Palatino Linotype" w:cs="Arial"/>
          <w:i/>
        </w:rPr>
        <w:t>”</w:t>
      </w:r>
      <w:r w:rsidR="007940E5" w:rsidRPr="001A3DEA">
        <w:rPr>
          <w:rFonts w:ascii="Palatino Linotype" w:hAnsi="Palatino Linotype" w:cs="Arial"/>
          <w:i/>
        </w:rPr>
        <w:t xml:space="preserve"> (sic)</w:t>
      </w:r>
    </w:p>
    <w:p w14:paraId="63ABB681" w14:textId="51394536" w:rsidR="00754D17" w:rsidRPr="001A3DEA" w:rsidRDefault="00754D17" w:rsidP="00754D17">
      <w:pPr>
        <w:jc w:val="both"/>
        <w:rPr>
          <w:rFonts w:ascii="Palatino Linotype" w:hAnsi="Palatino Linotype" w:cs="Arial"/>
        </w:rPr>
      </w:pPr>
    </w:p>
    <w:p w14:paraId="1D211A49" w14:textId="41A2DAFC" w:rsidR="003E7169" w:rsidRPr="001A3DEA" w:rsidRDefault="003E7169" w:rsidP="00754D17">
      <w:pPr>
        <w:jc w:val="both"/>
        <w:rPr>
          <w:rFonts w:ascii="Palatino Linotype" w:hAnsi="Palatino Linotype" w:cs="Arial"/>
          <w:sz w:val="2"/>
        </w:rPr>
      </w:pPr>
    </w:p>
    <w:p w14:paraId="300574FD" w14:textId="19554DEC" w:rsidR="00B3328C" w:rsidRPr="001A3DEA" w:rsidRDefault="00B3328C" w:rsidP="00603B79">
      <w:pPr>
        <w:tabs>
          <w:tab w:val="left" w:pos="709"/>
        </w:tabs>
        <w:spacing w:line="360" w:lineRule="auto"/>
        <w:jc w:val="both"/>
        <w:rPr>
          <w:rFonts w:ascii="Palatino Linotype" w:hAnsi="Palatino Linotype"/>
        </w:rPr>
      </w:pPr>
      <w:r w:rsidRPr="001A3DEA">
        <w:rPr>
          <w:rFonts w:ascii="Palatino Linotype" w:hAnsi="Palatino Linotype" w:cs="Arial"/>
        </w:rPr>
        <w:t xml:space="preserve">Así mismo, adjuntó a la </w:t>
      </w:r>
      <w:r w:rsidR="009F2C63" w:rsidRPr="001A3DEA">
        <w:rPr>
          <w:rFonts w:ascii="Palatino Linotype" w:hAnsi="Palatino Linotype" w:cs="Arial"/>
        </w:rPr>
        <w:t>misma</w:t>
      </w:r>
      <w:r w:rsidRPr="001A3DEA">
        <w:rPr>
          <w:rFonts w:ascii="Palatino Linotype" w:hAnsi="Palatino Linotype" w:cs="Arial"/>
        </w:rPr>
        <w:t xml:space="preserve">, </w:t>
      </w:r>
      <w:r w:rsidR="00603B79" w:rsidRPr="001A3DEA">
        <w:rPr>
          <w:rFonts w:ascii="Palatino Linotype" w:hAnsi="Palatino Linotype" w:cs="Arial"/>
        </w:rPr>
        <w:t>un</w:t>
      </w:r>
      <w:r w:rsidR="00837C97" w:rsidRPr="001A3DEA">
        <w:rPr>
          <w:rFonts w:ascii="Palatino Linotype" w:hAnsi="Palatino Linotype" w:cs="Arial"/>
        </w:rPr>
        <w:t xml:space="preserve"> archivo electrónico</w:t>
      </w:r>
      <w:r w:rsidR="00603B79" w:rsidRPr="001A3DEA">
        <w:rPr>
          <w:rFonts w:ascii="Palatino Linotype" w:hAnsi="Palatino Linotype" w:cs="Arial"/>
        </w:rPr>
        <w:t xml:space="preserve"> denominado </w:t>
      </w:r>
      <w:r w:rsidR="009F2C63" w:rsidRPr="001A3DEA">
        <w:rPr>
          <w:rFonts w:ascii="Palatino Linotype" w:hAnsi="Palatino Linotype" w:cs="Arial"/>
          <w:b/>
          <w:i/>
        </w:rPr>
        <w:t>6_202102240716.pdf</w:t>
      </w:r>
      <w:r w:rsidR="00603B79" w:rsidRPr="001A3DEA">
        <w:rPr>
          <w:rFonts w:ascii="Palatino Linotype" w:hAnsi="Palatino Linotype" w:cs="Arial"/>
        </w:rPr>
        <w:t xml:space="preserve">, el cual contiene el </w:t>
      </w:r>
      <w:r w:rsidR="009F2C63" w:rsidRPr="001A3DEA">
        <w:rPr>
          <w:rFonts w:ascii="Palatino Linotype" w:hAnsi="Palatino Linotype" w:cs="Arial"/>
        </w:rPr>
        <w:t>Acuerdo del Titular de la Unidad de Transparencia y Acceso a la Información Pública, por medio del cual y en virtud de no haber desahogado la aclaración, tiene por concluido el recurso de mérito.</w:t>
      </w:r>
    </w:p>
    <w:p w14:paraId="5C65E25A" w14:textId="77777777" w:rsidR="00B3328C" w:rsidRPr="001A3DEA" w:rsidRDefault="00B3328C" w:rsidP="00B3328C">
      <w:pPr>
        <w:tabs>
          <w:tab w:val="left" w:pos="709"/>
        </w:tabs>
        <w:spacing w:line="360" w:lineRule="auto"/>
        <w:jc w:val="both"/>
        <w:rPr>
          <w:rFonts w:ascii="Palatino Linotype" w:hAnsi="Palatino Linotype" w:cs="Arial"/>
          <w:b/>
          <w:i/>
          <w:sz w:val="18"/>
        </w:rPr>
      </w:pPr>
    </w:p>
    <w:p w14:paraId="4029CE49" w14:textId="24128F68" w:rsidR="00646958" w:rsidRPr="001A3DEA" w:rsidRDefault="00A6054B" w:rsidP="0090264B">
      <w:pPr>
        <w:tabs>
          <w:tab w:val="left" w:pos="709"/>
        </w:tabs>
        <w:spacing w:line="360" w:lineRule="auto"/>
        <w:jc w:val="both"/>
        <w:rPr>
          <w:rFonts w:ascii="Palatino Linotype" w:hAnsi="Palatino Linotype" w:cs="Arial"/>
        </w:rPr>
      </w:pPr>
      <w:r w:rsidRPr="001A3DEA">
        <w:rPr>
          <w:rFonts w:ascii="Palatino Linotype" w:hAnsi="Palatino Linotype" w:cs="Arial"/>
          <w:b/>
          <w:sz w:val="28"/>
          <w:szCs w:val="28"/>
        </w:rPr>
        <w:t>I</w:t>
      </w:r>
      <w:r w:rsidR="009F2C63" w:rsidRPr="001A3DEA">
        <w:rPr>
          <w:rFonts w:ascii="Palatino Linotype" w:hAnsi="Palatino Linotype" w:cs="Arial"/>
          <w:b/>
          <w:sz w:val="28"/>
          <w:szCs w:val="28"/>
        </w:rPr>
        <w:t>V</w:t>
      </w:r>
      <w:r w:rsidR="00200BFC" w:rsidRPr="001A3DEA">
        <w:rPr>
          <w:rFonts w:ascii="Palatino Linotype" w:hAnsi="Palatino Linotype" w:cs="Arial"/>
          <w:b/>
        </w:rPr>
        <w:t xml:space="preserve">. </w:t>
      </w:r>
      <w:r w:rsidR="00754D17" w:rsidRPr="001A3DEA">
        <w:rPr>
          <w:rFonts w:ascii="Palatino Linotype" w:hAnsi="Palatino Linotype" w:cs="Arial"/>
        </w:rPr>
        <w:t>Inconforme por la</w:t>
      </w:r>
      <w:r w:rsidR="00200BFC" w:rsidRPr="001A3DEA">
        <w:rPr>
          <w:rFonts w:ascii="Palatino Linotype" w:hAnsi="Palatino Linotype" w:cs="Arial"/>
        </w:rPr>
        <w:t xml:space="preserve"> respuesta</w:t>
      </w:r>
      <w:r w:rsidR="00AC709C" w:rsidRPr="001A3DEA">
        <w:rPr>
          <w:rFonts w:ascii="Palatino Linotype" w:hAnsi="Palatino Linotype" w:cs="Arial"/>
        </w:rPr>
        <w:t xml:space="preserve"> del</w:t>
      </w:r>
      <w:r w:rsidR="00AC709C" w:rsidRPr="001A3DEA">
        <w:rPr>
          <w:rFonts w:ascii="Palatino Linotype" w:hAnsi="Palatino Linotype" w:cs="Arial"/>
          <w:b/>
        </w:rPr>
        <w:t xml:space="preserve"> SUJETO OBLIGADO</w:t>
      </w:r>
      <w:r w:rsidR="00200BFC" w:rsidRPr="001A3DEA">
        <w:rPr>
          <w:rFonts w:ascii="Palatino Linotype" w:hAnsi="Palatino Linotype" w:cs="Arial"/>
        </w:rPr>
        <w:t xml:space="preserve">, el </w:t>
      </w:r>
      <w:r w:rsidR="009F2C63" w:rsidRPr="001A3DEA">
        <w:rPr>
          <w:rFonts w:ascii="Palatino Linotype" w:hAnsi="Palatino Linotype" w:cs="Arial"/>
        </w:rPr>
        <w:t>diez</w:t>
      </w:r>
      <w:r w:rsidR="00E60873" w:rsidRPr="001A3DEA">
        <w:rPr>
          <w:rFonts w:ascii="Palatino Linotype" w:hAnsi="Palatino Linotype" w:cs="Arial"/>
        </w:rPr>
        <w:t xml:space="preserve"> </w:t>
      </w:r>
      <w:r w:rsidR="0090264B" w:rsidRPr="001A3DEA">
        <w:rPr>
          <w:rFonts w:ascii="Palatino Linotype" w:hAnsi="Palatino Linotype" w:cs="Arial"/>
        </w:rPr>
        <w:t xml:space="preserve">de </w:t>
      </w:r>
      <w:r w:rsidR="00E60873" w:rsidRPr="001A3DEA">
        <w:rPr>
          <w:rFonts w:ascii="Palatino Linotype" w:hAnsi="Palatino Linotype" w:cs="Arial"/>
        </w:rPr>
        <w:t>marzo</w:t>
      </w:r>
      <w:r w:rsidR="00200BFC" w:rsidRPr="001A3DEA">
        <w:rPr>
          <w:rFonts w:ascii="Palatino Linotype" w:hAnsi="Palatino Linotype" w:cs="Arial"/>
        </w:rPr>
        <w:t xml:space="preserve"> de dos mil veint</w:t>
      </w:r>
      <w:r w:rsidR="00076843" w:rsidRPr="001A3DEA">
        <w:rPr>
          <w:rFonts w:ascii="Palatino Linotype" w:hAnsi="Palatino Linotype" w:cs="Arial"/>
        </w:rPr>
        <w:t>iuno</w:t>
      </w:r>
      <w:r w:rsidR="00200BFC" w:rsidRPr="001A3DEA">
        <w:rPr>
          <w:rFonts w:ascii="Palatino Linotype" w:hAnsi="Palatino Linotype" w:cs="Arial"/>
        </w:rPr>
        <w:t xml:space="preserve">, </w:t>
      </w:r>
      <w:r w:rsidR="0090264B" w:rsidRPr="001A3DEA">
        <w:rPr>
          <w:rFonts w:ascii="Palatino Linotype" w:hAnsi="Palatino Linotype" w:cs="Arial"/>
          <w:b/>
        </w:rPr>
        <w:t>EL</w:t>
      </w:r>
      <w:r w:rsidR="00200BFC" w:rsidRPr="001A3DEA">
        <w:rPr>
          <w:rFonts w:ascii="Palatino Linotype" w:hAnsi="Palatino Linotype" w:cs="Arial"/>
          <w:b/>
        </w:rPr>
        <w:t xml:space="preserve"> RECURRENTE</w:t>
      </w:r>
      <w:r w:rsidR="00200BFC" w:rsidRPr="001A3DEA">
        <w:rPr>
          <w:rFonts w:ascii="Palatino Linotype" w:hAnsi="Palatino Linotype" w:cs="Arial"/>
        </w:rPr>
        <w:t xml:space="preserve"> interpuso el recurso de revisión sujeto del presente estudio, </w:t>
      </w:r>
      <w:bookmarkStart w:id="1" w:name="_Hlk58339022"/>
      <w:r w:rsidR="00200BFC" w:rsidRPr="001A3DEA">
        <w:rPr>
          <w:rFonts w:ascii="Palatino Linotype" w:hAnsi="Palatino Linotype" w:cs="Arial"/>
        </w:rPr>
        <w:t xml:space="preserve">el cual fue registrado en </w:t>
      </w:r>
      <w:r w:rsidR="00200BFC" w:rsidRPr="001A3DEA">
        <w:rPr>
          <w:rFonts w:ascii="Palatino Linotype" w:hAnsi="Palatino Linotype" w:cs="Arial"/>
          <w:b/>
        </w:rPr>
        <w:t>EL SAIMEX</w:t>
      </w:r>
      <w:bookmarkEnd w:id="1"/>
      <w:r w:rsidR="00646958" w:rsidRPr="001A3DEA">
        <w:rPr>
          <w:rFonts w:ascii="Palatino Linotype" w:hAnsi="Palatino Linotype" w:cs="Arial"/>
          <w:b/>
        </w:rPr>
        <w:t xml:space="preserve">, </w:t>
      </w:r>
      <w:r w:rsidR="00646958" w:rsidRPr="001A3DEA">
        <w:rPr>
          <w:rFonts w:ascii="Palatino Linotype" w:hAnsi="Palatino Linotype" w:cs="Arial"/>
        </w:rPr>
        <w:t xml:space="preserve">al que se le asignó el número de expediente </w:t>
      </w:r>
      <w:r w:rsidR="003E7169" w:rsidRPr="001A3DEA">
        <w:rPr>
          <w:rFonts w:ascii="Palatino Linotype" w:hAnsi="Palatino Linotype" w:cs="Arial"/>
          <w:b/>
        </w:rPr>
        <w:t>0</w:t>
      </w:r>
      <w:r w:rsidR="009F2C63" w:rsidRPr="001A3DEA">
        <w:rPr>
          <w:rFonts w:ascii="Palatino Linotype" w:hAnsi="Palatino Linotype" w:cs="Arial"/>
          <w:b/>
        </w:rPr>
        <w:t>1052</w:t>
      </w:r>
      <w:r w:rsidR="00076843" w:rsidRPr="001A3DEA">
        <w:rPr>
          <w:rFonts w:ascii="Palatino Linotype" w:hAnsi="Palatino Linotype" w:cs="Arial"/>
          <w:b/>
        </w:rPr>
        <w:t>/INFOEM/IP/RR/2021</w:t>
      </w:r>
      <w:r w:rsidR="00200BFC" w:rsidRPr="001A3DEA">
        <w:rPr>
          <w:rFonts w:ascii="Palatino Linotype" w:hAnsi="Palatino Linotype" w:cs="Arial"/>
          <w:b/>
        </w:rPr>
        <w:t>,</w:t>
      </w:r>
      <w:r w:rsidR="00200BFC" w:rsidRPr="001A3DEA">
        <w:rPr>
          <w:rFonts w:ascii="Palatino Linotype" w:hAnsi="Palatino Linotype" w:cs="Arial"/>
        </w:rPr>
        <w:t xml:space="preserve"> en el que señaló</w:t>
      </w:r>
      <w:r w:rsidR="0090264B" w:rsidRPr="001A3DEA">
        <w:rPr>
          <w:rFonts w:ascii="Palatino Linotype" w:hAnsi="Palatino Linotype" w:cs="Arial"/>
        </w:rPr>
        <w:t xml:space="preserve"> c</w:t>
      </w:r>
      <w:r w:rsidR="003253C6" w:rsidRPr="001A3DEA">
        <w:rPr>
          <w:rFonts w:ascii="Palatino Linotype" w:hAnsi="Palatino Linotype" w:cs="Arial"/>
        </w:rPr>
        <w:t>omo</w:t>
      </w:r>
      <w:r w:rsidR="00646958" w:rsidRPr="001A3DEA">
        <w:rPr>
          <w:rFonts w:ascii="Palatino Linotype" w:hAnsi="Palatino Linotype" w:cs="Arial"/>
        </w:rPr>
        <w:t>:</w:t>
      </w:r>
    </w:p>
    <w:p w14:paraId="6A561E95" w14:textId="77777777" w:rsidR="00646958" w:rsidRPr="001A3DEA" w:rsidRDefault="00646958" w:rsidP="0090264B">
      <w:pPr>
        <w:tabs>
          <w:tab w:val="left" w:pos="709"/>
        </w:tabs>
        <w:spacing w:line="360" w:lineRule="auto"/>
        <w:jc w:val="both"/>
        <w:rPr>
          <w:rFonts w:ascii="Palatino Linotype" w:hAnsi="Palatino Linotype" w:cs="Arial"/>
          <w:sz w:val="18"/>
        </w:rPr>
      </w:pPr>
    </w:p>
    <w:p w14:paraId="14465ED5" w14:textId="55B086D8" w:rsidR="003253C6" w:rsidRPr="001A3DEA" w:rsidRDefault="00646958" w:rsidP="0090264B">
      <w:pPr>
        <w:tabs>
          <w:tab w:val="left" w:pos="709"/>
        </w:tabs>
        <w:spacing w:line="360" w:lineRule="auto"/>
        <w:jc w:val="both"/>
        <w:rPr>
          <w:rFonts w:ascii="Palatino Linotype" w:hAnsi="Palatino Linotype" w:cs="Arial"/>
        </w:rPr>
      </w:pPr>
      <w:r w:rsidRPr="001A3DEA">
        <w:rPr>
          <w:rFonts w:ascii="Palatino Linotype" w:hAnsi="Palatino Linotype" w:cs="Arial"/>
        </w:rPr>
        <w:t>A</w:t>
      </w:r>
      <w:r w:rsidR="003253C6" w:rsidRPr="001A3DEA">
        <w:rPr>
          <w:rFonts w:ascii="Palatino Linotype" w:hAnsi="Palatino Linotype" w:cs="Arial"/>
        </w:rPr>
        <w:t>cto impugnado:</w:t>
      </w:r>
    </w:p>
    <w:p w14:paraId="05AE2EEB" w14:textId="77777777" w:rsidR="0090264B" w:rsidRPr="001A3DEA" w:rsidRDefault="0090264B" w:rsidP="0090264B">
      <w:pPr>
        <w:tabs>
          <w:tab w:val="left" w:pos="709"/>
        </w:tabs>
        <w:spacing w:line="360" w:lineRule="auto"/>
        <w:jc w:val="both"/>
        <w:rPr>
          <w:rFonts w:ascii="Palatino Linotype" w:hAnsi="Palatino Linotype" w:cs="Arial"/>
          <w:sz w:val="12"/>
        </w:rPr>
      </w:pPr>
    </w:p>
    <w:p w14:paraId="6D133172" w14:textId="00609CCD" w:rsidR="003E7169" w:rsidRPr="001A3DEA" w:rsidRDefault="003E7169" w:rsidP="0090264B">
      <w:pPr>
        <w:ind w:left="850" w:right="901"/>
        <w:jc w:val="both"/>
        <w:rPr>
          <w:rFonts w:ascii="Palatino Linotype" w:hAnsi="Palatino Linotype" w:cs="Arial"/>
          <w:i/>
          <w:sz w:val="22"/>
          <w:szCs w:val="22"/>
        </w:rPr>
      </w:pPr>
      <w:r w:rsidRPr="001A3DEA">
        <w:rPr>
          <w:rFonts w:ascii="Palatino Linotype" w:hAnsi="Palatino Linotype" w:cs="Arial"/>
          <w:i/>
          <w:sz w:val="22"/>
          <w:szCs w:val="22"/>
        </w:rPr>
        <w:t>“</w:t>
      </w:r>
      <w:r w:rsidR="009F2C63" w:rsidRPr="001A3DEA">
        <w:rPr>
          <w:rFonts w:ascii="Palatino Linotype" w:hAnsi="Palatino Linotype" w:cs="Arial"/>
          <w:i/>
          <w:sz w:val="22"/>
          <w:szCs w:val="22"/>
        </w:rPr>
        <w:t>No entrego todo lo solicitado con máxima transparencia y punto por punto de las partes que son competentes NO DIO RESPUESTA</w:t>
      </w:r>
      <w:r w:rsidRPr="001A3DEA">
        <w:rPr>
          <w:rFonts w:ascii="Palatino Linotype" w:hAnsi="Palatino Linotype" w:cs="Arial"/>
          <w:i/>
          <w:sz w:val="22"/>
          <w:szCs w:val="22"/>
        </w:rPr>
        <w:t>” (sic);</w:t>
      </w:r>
    </w:p>
    <w:p w14:paraId="6B5C2BE0" w14:textId="6AFA05E5" w:rsidR="000D70F7" w:rsidRPr="001A3DEA" w:rsidRDefault="000D70F7" w:rsidP="000D70F7">
      <w:pPr>
        <w:spacing w:line="360" w:lineRule="auto"/>
        <w:ind w:left="850" w:right="901"/>
        <w:jc w:val="both"/>
        <w:rPr>
          <w:rFonts w:ascii="Palatino Linotype" w:hAnsi="Palatino Linotype" w:cs="Arial"/>
          <w:i/>
          <w:sz w:val="14"/>
        </w:rPr>
      </w:pPr>
    </w:p>
    <w:p w14:paraId="49267E67" w14:textId="2FD9DDC2" w:rsidR="0090264B" w:rsidRPr="001A3DEA" w:rsidRDefault="003E7169" w:rsidP="003253C6">
      <w:pPr>
        <w:spacing w:line="360" w:lineRule="auto"/>
        <w:jc w:val="both"/>
        <w:rPr>
          <w:rFonts w:ascii="Palatino Linotype" w:hAnsi="Palatino Linotype" w:cs="Arial"/>
        </w:rPr>
      </w:pPr>
      <w:r w:rsidRPr="001A3DEA">
        <w:rPr>
          <w:rFonts w:ascii="Palatino Linotype" w:hAnsi="Palatino Linotype" w:cs="Arial"/>
        </w:rPr>
        <w:t>A</w:t>
      </w:r>
      <w:r w:rsidR="00200BFC" w:rsidRPr="001A3DEA">
        <w:rPr>
          <w:rFonts w:ascii="Palatino Linotype" w:hAnsi="Palatino Linotype" w:cs="Arial"/>
        </w:rPr>
        <w:t>sí como, razon</w:t>
      </w:r>
      <w:r w:rsidR="003253C6" w:rsidRPr="001A3DEA">
        <w:rPr>
          <w:rFonts w:ascii="Palatino Linotype" w:hAnsi="Palatino Linotype" w:cs="Arial"/>
        </w:rPr>
        <w:t xml:space="preserve">es o motivos de inconformidad: </w:t>
      </w:r>
    </w:p>
    <w:p w14:paraId="541D18D8" w14:textId="77777777" w:rsidR="00646958" w:rsidRPr="001A3DEA" w:rsidRDefault="00646958" w:rsidP="003253C6">
      <w:pPr>
        <w:spacing w:line="360" w:lineRule="auto"/>
        <w:jc w:val="both"/>
        <w:rPr>
          <w:rFonts w:ascii="Palatino Linotype" w:hAnsi="Palatino Linotype" w:cs="Arial"/>
          <w:sz w:val="10"/>
        </w:rPr>
      </w:pPr>
    </w:p>
    <w:p w14:paraId="288057DC" w14:textId="53FF1128" w:rsidR="00F862A0" w:rsidRPr="001A3DEA" w:rsidRDefault="00200BFC" w:rsidP="0090264B">
      <w:pPr>
        <w:tabs>
          <w:tab w:val="left" w:pos="851"/>
        </w:tabs>
        <w:ind w:left="851" w:right="901"/>
        <w:jc w:val="both"/>
        <w:rPr>
          <w:rFonts w:ascii="Palatino Linotype" w:hAnsi="Palatino Linotype" w:cs="Arial"/>
          <w:i/>
        </w:rPr>
      </w:pPr>
      <w:r w:rsidRPr="001A3DEA">
        <w:rPr>
          <w:rFonts w:ascii="Palatino Linotype" w:hAnsi="Palatino Linotype" w:cs="Arial"/>
          <w:i/>
        </w:rPr>
        <w:t>“</w:t>
      </w:r>
      <w:r w:rsidR="009F2C63" w:rsidRPr="001A3DEA">
        <w:rPr>
          <w:rFonts w:ascii="Palatino Linotype" w:hAnsi="Palatino Linotype" w:cs="Arial"/>
          <w:i/>
        </w:rPr>
        <w:t>Dar vista al OIC</w:t>
      </w:r>
      <w:r w:rsidRPr="001A3DEA">
        <w:rPr>
          <w:rFonts w:ascii="Palatino Linotype" w:hAnsi="Palatino Linotype" w:cs="Arial"/>
          <w:i/>
        </w:rPr>
        <w:t>” (sic)</w:t>
      </w:r>
    </w:p>
    <w:p w14:paraId="1D0A0806" w14:textId="24E28135" w:rsidR="00646958" w:rsidRPr="001A3DEA" w:rsidRDefault="00646958" w:rsidP="0090264B">
      <w:pPr>
        <w:tabs>
          <w:tab w:val="left" w:pos="851"/>
        </w:tabs>
        <w:ind w:left="851" w:right="901"/>
        <w:jc w:val="both"/>
        <w:rPr>
          <w:rFonts w:ascii="Palatino Linotype" w:hAnsi="Palatino Linotype" w:cs="Arial"/>
          <w:i/>
        </w:rPr>
      </w:pPr>
    </w:p>
    <w:p w14:paraId="20839C7B" w14:textId="77777777" w:rsidR="00646958" w:rsidRPr="001A3DEA" w:rsidRDefault="00646958" w:rsidP="0090264B">
      <w:pPr>
        <w:tabs>
          <w:tab w:val="left" w:pos="851"/>
        </w:tabs>
        <w:ind w:left="851" w:right="901"/>
        <w:jc w:val="both"/>
        <w:rPr>
          <w:rFonts w:ascii="Palatino Linotype" w:hAnsi="Palatino Linotype" w:cs="Arial"/>
          <w:i/>
          <w:sz w:val="8"/>
        </w:rPr>
      </w:pPr>
    </w:p>
    <w:p w14:paraId="7AFA6F77" w14:textId="56CAF44F" w:rsidR="00200BFC" w:rsidRPr="001A3DEA" w:rsidRDefault="00F862A0" w:rsidP="00200BFC">
      <w:pPr>
        <w:spacing w:line="360" w:lineRule="auto"/>
        <w:jc w:val="both"/>
        <w:rPr>
          <w:rFonts w:ascii="Palatino Linotype" w:hAnsi="Palatino Linotype" w:cs="Arial"/>
        </w:rPr>
      </w:pPr>
      <w:r w:rsidRPr="001A3DEA">
        <w:rPr>
          <w:rFonts w:ascii="Palatino Linotype" w:hAnsi="Palatino Linotype" w:cs="Arial"/>
          <w:b/>
          <w:sz w:val="28"/>
          <w:szCs w:val="28"/>
        </w:rPr>
        <w:t>V</w:t>
      </w:r>
      <w:r w:rsidR="00200BFC" w:rsidRPr="001A3DEA">
        <w:rPr>
          <w:rFonts w:ascii="Palatino Linotype" w:hAnsi="Palatino Linotype" w:cs="Arial"/>
          <w:b/>
          <w:sz w:val="28"/>
          <w:szCs w:val="28"/>
        </w:rPr>
        <w:t xml:space="preserve">. </w:t>
      </w:r>
      <w:r w:rsidR="00200BFC" w:rsidRPr="001A3DEA">
        <w:rPr>
          <w:rFonts w:ascii="Palatino Linotype" w:hAnsi="Palatino Linotype" w:cs="Arial"/>
        </w:rPr>
        <w:t xml:space="preserve">El </w:t>
      </w:r>
      <w:r w:rsidR="009F2C63" w:rsidRPr="001A3DEA">
        <w:rPr>
          <w:rFonts w:ascii="Palatino Linotype" w:hAnsi="Palatino Linotype" w:cs="Arial"/>
        </w:rPr>
        <w:t>diez</w:t>
      </w:r>
      <w:r w:rsidR="00646958" w:rsidRPr="001A3DEA">
        <w:rPr>
          <w:rFonts w:ascii="Palatino Linotype" w:hAnsi="Palatino Linotype" w:cs="Arial"/>
        </w:rPr>
        <w:t xml:space="preserve"> de </w:t>
      </w:r>
      <w:r w:rsidR="00E60873" w:rsidRPr="001A3DEA">
        <w:rPr>
          <w:rFonts w:ascii="Palatino Linotype" w:hAnsi="Palatino Linotype" w:cs="Arial"/>
        </w:rPr>
        <w:t>marzo</w:t>
      </w:r>
      <w:r w:rsidR="00A6763D" w:rsidRPr="001A3DEA">
        <w:rPr>
          <w:rFonts w:ascii="Palatino Linotype" w:hAnsi="Palatino Linotype" w:cs="Arial"/>
        </w:rPr>
        <w:t xml:space="preserve"> </w:t>
      </w:r>
      <w:r w:rsidR="00200BFC" w:rsidRPr="001A3DEA">
        <w:rPr>
          <w:rFonts w:ascii="Palatino Linotype" w:hAnsi="Palatino Linotype" w:cs="Arial"/>
        </w:rPr>
        <w:t>de dos mil</w:t>
      </w:r>
      <w:r w:rsidR="00076843" w:rsidRPr="001A3DEA">
        <w:rPr>
          <w:rFonts w:ascii="Palatino Linotype" w:hAnsi="Palatino Linotype" w:cs="Arial"/>
        </w:rPr>
        <w:t xml:space="preserve"> veintiuno</w:t>
      </w:r>
      <w:r w:rsidR="00200BFC" w:rsidRPr="001A3DEA">
        <w:rPr>
          <w:rFonts w:ascii="Palatino Linotype" w:hAnsi="Palatino Linotype" w:cs="Arial"/>
        </w:rPr>
        <w:t xml:space="preserve">, el recurso de que se trata se envió electrónicamente al Instituto de </w:t>
      </w:r>
      <w:r w:rsidR="00200BFC" w:rsidRPr="001A3DEA">
        <w:rPr>
          <w:rFonts w:ascii="Palatino Linotype" w:eastAsia="Arial Unicode MS" w:hAnsi="Palatino Linotype" w:cs="Arial"/>
        </w:rPr>
        <w:t>Transparencia</w:t>
      </w:r>
      <w:r w:rsidR="00200BFC" w:rsidRPr="001A3DEA">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1A3DEA">
        <w:rPr>
          <w:rFonts w:ascii="Palatino Linotype" w:hAnsi="Palatino Linotype"/>
        </w:rPr>
        <w:t>Ley de Transparencia y Acceso a la Información Pública del Estado de México y Municipios</w:t>
      </w:r>
      <w:r w:rsidR="00200BFC" w:rsidRPr="001A3DEA">
        <w:rPr>
          <w:rFonts w:ascii="Palatino Linotype" w:hAnsi="Palatino Linotype" w:cs="Arial"/>
        </w:rPr>
        <w:t>, se turnó, a través del</w:t>
      </w:r>
      <w:r w:rsidR="00200BFC" w:rsidRPr="001A3DEA">
        <w:rPr>
          <w:rFonts w:ascii="Palatino Linotype" w:eastAsia="Arial Unicode MS" w:hAnsi="Palatino Linotype" w:cs="Arial"/>
        </w:rPr>
        <w:t xml:space="preserve"> </w:t>
      </w:r>
      <w:r w:rsidR="00200BFC" w:rsidRPr="001A3DEA">
        <w:rPr>
          <w:rFonts w:ascii="Palatino Linotype" w:eastAsia="Arial Unicode MS" w:hAnsi="Palatino Linotype" w:cs="Arial"/>
          <w:b/>
        </w:rPr>
        <w:t>SAIMEX</w:t>
      </w:r>
      <w:r w:rsidR="00200BFC" w:rsidRPr="001A3DEA">
        <w:rPr>
          <w:rFonts w:ascii="Palatino Linotype" w:hAnsi="Palatino Linotype"/>
        </w:rPr>
        <w:t xml:space="preserve">, a la </w:t>
      </w:r>
      <w:r w:rsidR="00200BFC" w:rsidRPr="001A3DEA">
        <w:rPr>
          <w:rFonts w:ascii="Palatino Linotype" w:hAnsi="Palatino Linotype" w:cs="Arial"/>
        </w:rPr>
        <w:t xml:space="preserve">Comisionada </w:t>
      </w:r>
      <w:r w:rsidR="00200BFC" w:rsidRPr="001A3DEA">
        <w:rPr>
          <w:rFonts w:ascii="Palatino Linotype" w:hAnsi="Palatino Linotype" w:cs="Arial"/>
          <w:b/>
        </w:rPr>
        <w:t>EVA ABAID YAPUR</w:t>
      </w:r>
      <w:r w:rsidR="00200BFC" w:rsidRPr="001A3DEA">
        <w:rPr>
          <w:rFonts w:ascii="Palatino Linotype" w:hAnsi="Palatino Linotype"/>
        </w:rPr>
        <w:t>,</w:t>
      </w:r>
      <w:r w:rsidR="00200BFC" w:rsidRPr="001A3DEA">
        <w:rPr>
          <w:rFonts w:ascii="Palatino Linotype" w:hAnsi="Palatino Linotype" w:cs="Arial"/>
        </w:rPr>
        <w:t xml:space="preserve"> a efecto de decretar su admisión o desechamiento.</w:t>
      </w:r>
    </w:p>
    <w:p w14:paraId="74931326" w14:textId="77777777" w:rsidR="00200BFC" w:rsidRPr="001A3DEA" w:rsidRDefault="00200BFC" w:rsidP="00200BFC">
      <w:pPr>
        <w:spacing w:line="360" w:lineRule="auto"/>
        <w:jc w:val="both"/>
        <w:rPr>
          <w:rFonts w:ascii="Palatino Linotype" w:hAnsi="Palatino Linotype" w:cs="Arial"/>
        </w:rPr>
      </w:pPr>
    </w:p>
    <w:p w14:paraId="4952A0CD" w14:textId="76A0A1D5" w:rsidR="00200BFC" w:rsidRPr="001A3DEA" w:rsidRDefault="00200BFC" w:rsidP="00200BFC">
      <w:pPr>
        <w:tabs>
          <w:tab w:val="center" w:pos="4252"/>
          <w:tab w:val="right" w:pos="8504"/>
        </w:tabs>
        <w:spacing w:line="360" w:lineRule="auto"/>
        <w:jc w:val="both"/>
        <w:rPr>
          <w:rFonts w:ascii="Palatino Linotype" w:hAnsi="Palatino Linotype" w:cs="Arial"/>
        </w:rPr>
      </w:pPr>
      <w:r w:rsidRPr="001A3DEA">
        <w:rPr>
          <w:rFonts w:ascii="Palatino Linotype" w:hAnsi="Palatino Linotype" w:cs="Arial"/>
          <w:b/>
          <w:sz w:val="28"/>
          <w:szCs w:val="28"/>
        </w:rPr>
        <w:t>V</w:t>
      </w:r>
      <w:r w:rsidR="00F862A0" w:rsidRPr="001A3DEA">
        <w:rPr>
          <w:rFonts w:ascii="Palatino Linotype" w:hAnsi="Palatino Linotype" w:cs="Arial"/>
          <w:b/>
          <w:sz w:val="28"/>
          <w:szCs w:val="28"/>
        </w:rPr>
        <w:t>I</w:t>
      </w:r>
      <w:r w:rsidRPr="001A3DEA">
        <w:rPr>
          <w:rFonts w:ascii="Palatino Linotype" w:hAnsi="Palatino Linotype" w:cs="Arial"/>
          <w:b/>
        </w:rPr>
        <w:t xml:space="preserve">. </w:t>
      </w:r>
      <w:r w:rsidRPr="001A3DEA">
        <w:rPr>
          <w:rFonts w:ascii="Palatino Linotype" w:hAnsi="Palatino Linotype" w:cs="Arial"/>
        </w:rPr>
        <w:t>De las constancias del expediente electrónico del</w:t>
      </w:r>
      <w:r w:rsidRPr="001A3DEA">
        <w:rPr>
          <w:rFonts w:ascii="Palatino Linotype" w:hAnsi="Palatino Linotype" w:cs="Arial"/>
          <w:b/>
        </w:rPr>
        <w:t xml:space="preserve"> SAIMEX</w:t>
      </w:r>
      <w:r w:rsidRPr="001A3DEA">
        <w:rPr>
          <w:rFonts w:ascii="Palatino Linotype" w:hAnsi="Palatino Linotype" w:cs="Arial"/>
        </w:rPr>
        <w:t xml:space="preserve">, se advierte que en fecha </w:t>
      </w:r>
      <w:r w:rsidR="009F2C63" w:rsidRPr="001A3DEA">
        <w:rPr>
          <w:rFonts w:ascii="Palatino Linotype" w:hAnsi="Palatino Linotype" w:cs="Arial"/>
        </w:rPr>
        <w:t>diecisiete</w:t>
      </w:r>
      <w:r w:rsidR="00646958" w:rsidRPr="001A3DEA">
        <w:rPr>
          <w:rFonts w:ascii="Palatino Linotype" w:hAnsi="Palatino Linotype" w:cs="Arial"/>
        </w:rPr>
        <w:t xml:space="preserve"> de </w:t>
      </w:r>
      <w:r w:rsidR="00E60873" w:rsidRPr="001A3DEA">
        <w:rPr>
          <w:rFonts w:ascii="Palatino Linotype" w:hAnsi="Palatino Linotype" w:cs="Arial"/>
        </w:rPr>
        <w:t>marzo</w:t>
      </w:r>
      <w:r w:rsidRPr="001A3DEA">
        <w:rPr>
          <w:rFonts w:ascii="Palatino Linotype" w:hAnsi="Palatino Linotype" w:cs="Arial"/>
        </w:rPr>
        <w:t xml:space="preserve"> de dos mil veint</w:t>
      </w:r>
      <w:r w:rsidR="00076843" w:rsidRPr="001A3DEA">
        <w:rPr>
          <w:rFonts w:ascii="Palatino Linotype" w:hAnsi="Palatino Linotype" w:cs="Arial"/>
        </w:rPr>
        <w:t>iuno</w:t>
      </w:r>
      <w:r w:rsidRPr="001A3DE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A3DEA">
        <w:rPr>
          <w:rFonts w:ascii="Palatino Linotype" w:hAnsi="Palatino Linotype" w:cs="Arial"/>
          <w:b/>
        </w:rPr>
        <w:t xml:space="preserve">EL SUJETO OBLIGADO </w:t>
      </w:r>
      <w:r w:rsidRPr="001A3DEA">
        <w:rPr>
          <w:rFonts w:ascii="Palatino Linotype" w:hAnsi="Palatino Linotype" w:cs="Arial"/>
        </w:rPr>
        <w:t>rindiera su</w:t>
      </w:r>
      <w:r w:rsidRPr="001A3DEA">
        <w:rPr>
          <w:rFonts w:ascii="Palatino Linotype" w:hAnsi="Palatino Linotype" w:cs="Arial"/>
          <w:b/>
        </w:rPr>
        <w:t xml:space="preserve"> </w:t>
      </w:r>
      <w:r w:rsidRPr="001A3DEA">
        <w:rPr>
          <w:rFonts w:ascii="Palatino Linotype" w:hAnsi="Palatino Linotype" w:cs="Arial"/>
        </w:rPr>
        <w:t>Informe Justificado.</w:t>
      </w:r>
    </w:p>
    <w:p w14:paraId="01EFA607" w14:textId="77777777" w:rsidR="00200BFC" w:rsidRPr="001A3DEA" w:rsidRDefault="00200BFC" w:rsidP="00200BFC">
      <w:pPr>
        <w:spacing w:line="360" w:lineRule="auto"/>
        <w:jc w:val="both"/>
        <w:rPr>
          <w:rFonts w:ascii="Palatino Linotype" w:eastAsia="Arial Unicode MS" w:hAnsi="Palatino Linotype" w:cs="Arial"/>
          <w:b/>
        </w:rPr>
      </w:pPr>
    </w:p>
    <w:p w14:paraId="0B6D6896" w14:textId="3817F2A4" w:rsidR="009F2C63" w:rsidRPr="001A3DEA" w:rsidRDefault="00200BFC" w:rsidP="00931A1C">
      <w:pPr>
        <w:spacing w:line="360" w:lineRule="auto"/>
        <w:jc w:val="both"/>
        <w:rPr>
          <w:rFonts w:ascii="Palatino Linotype" w:eastAsia="Arial Unicode MS" w:hAnsi="Palatino Linotype" w:cs="Arial"/>
          <w:bCs/>
        </w:rPr>
      </w:pPr>
      <w:r w:rsidRPr="001A3DEA">
        <w:rPr>
          <w:rFonts w:ascii="Palatino Linotype" w:eastAsia="Arial Unicode MS" w:hAnsi="Palatino Linotype" w:cs="Arial"/>
          <w:b/>
          <w:sz w:val="28"/>
          <w:szCs w:val="28"/>
        </w:rPr>
        <w:t>V</w:t>
      </w:r>
      <w:r w:rsidR="00F862A0" w:rsidRPr="001A3DEA">
        <w:rPr>
          <w:rFonts w:ascii="Palatino Linotype" w:eastAsia="Arial Unicode MS" w:hAnsi="Palatino Linotype" w:cs="Arial"/>
          <w:b/>
          <w:sz w:val="28"/>
          <w:szCs w:val="28"/>
        </w:rPr>
        <w:t>II</w:t>
      </w:r>
      <w:r w:rsidRPr="001A3DEA">
        <w:rPr>
          <w:rFonts w:ascii="Palatino Linotype" w:eastAsia="Arial Unicode MS" w:hAnsi="Palatino Linotype" w:cs="Arial"/>
          <w:b/>
        </w:rPr>
        <w:t>.</w:t>
      </w:r>
      <w:r w:rsidR="00F862A0" w:rsidRPr="001A3DEA">
        <w:rPr>
          <w:rFonts w:ascii="Palatino Linotype" w:eastAsia="Arial Unicode MS" w:hAnsi="Palatino Linotype" w:cs="Arial"/>
          <w:b/>
        </w:rPr>
        <w:t xml:space="preserve"> </w:t>
      </w:r>
      <w:r w:rsidR="00F862A0" w:rsidRPr="001A3DEA">
        <w:rPr>
          <w:rFonts w:ascii="Palatino Linotype" w:eastAsia="Arial Unicode MS" w:hAnsi="Palatino Linotype" w:cs="Arial"/>
          <w:bCs/>
        </w:rPr>
        <w:t xml:space="preserve">En cumplimiento a lo anterior, de las constancias del expediente electrónico del </w:t>
      </w:r>
      <w:r w:rsidR="00F862A0" w:rsidRPr="001A3DEA">
        <w:rPr>
          <w:rFonts w:ascii="Palatino Linotype" w:eastAsia="Arial Unicode MS" w:hAnsi="Palatino Linotype" w:cs="Arial"/>
          <w:b/>
        </w:rPr>
        <w:t>SAIMEX</w:t>
      </w:r>
      <w:r w:rsidR="00F862A0" w:rsidRPr="001A3DEA">
        <w:rPr>
          <w:rFonts w:ascii="Palatino Linotype" w:eastAsia="Arial Unicode MS" w:hAnsi="Palatino Linotype" w:cs="Arial"/>
          <w:bCs/>
        </w:rPr>
        <w:t xml:space="preserve">, se observa que </w:t>
      </w:r>
      <w:r w:rsidR="00F862A0" w:rsidRPr="001A3DEA">
        <w:rPr>
          <w:rFonts w:ascii="Palatino Linotype" w:eastAsia="Arial Unicode MS" w:hAnsi="Palatino Linotype" w:cs="Arial"/>
          <w:b/>
        </w:rPr>
        <w:t>EL SUJETO OBLIGADO</w:t>
      </w:r>
      <w:r w:rsidR="00F862A0" w:rsidRPr="001A3DEA">
        <w:rPr>
          <w:rFonts w:ascii="Palatino Linotype" w:eastAsia="Arial Unicode MS" w:hAnsi="Palatino Linotype" w:cs="Arial"/>
          <w:bCs/>
        </w:rPr>
        <w:t xml:space="preserve"> </w:t>
      </w:r>
      <w:r w:rsidR="009F2C63" w:rsidRPr="001A3DEA">
        <w:rPr>
          <w:rFonts w:ascii="Palatino Linotype" w:eastAsia="Arial Unicode MS" w:hAnsi="Palatino Linotype" w:cs="Arial"/>
          <w:bCs/>
        </w:rPr>
        <w:t>rindió el Informe Justificado, en el cual adjunt</w:t>
      </w:r>
      <w:r w:rsidR="00AB0711" w:rsidRPr="001A3DEA">
        <w:rPr>
          <w:rFonts w:ascii="Palatino Linotype" w:eastAsia="Arial Unicode MS" w:hAnsi="Palatino Linotype" w:cs="Arial"/>
          <w:bCs/>
        </w:rPr>
        <w:t>ó</w:t>
      </w:r>
      <w:r w:rsidR="009F2C63" w:rsidRPr="001A3DEA">
        <w:rPr>
          <w:rFonts w:ascii="Palatino Linotype" w:eastAsia="Arial Unicode MS" w:hAnsi="Palatino Linotype" w:cs="Arial"/>
          <w:bCs/>
        </w:rPr>
        <w:t xml:space="preserve"> información referente a lo requerido, por lo que el encuadrar en el supuesto de procedencia de la fracción III, del artículo 185 de la Ley de Transparencia y Acceso a la Información Pública del Estado de México y Municipios, se puso a la vista del particular, para que en el t</w:t>
      </w:r>
      <w:r w:rsidR="00CC5E84" w:rsidRPr="001A3DEA">
        <w:rPr>
          <w:rFonts w:ascii="Palatino Linotype" w:eastAsia="Arial Unicode MS" w:hAnsi="Palatino Linotype" w:cs="Arial"/>
          <w:bCs/>
        </w:rPr>
        <w:t>érmino de tres días hábiles manifestara lo que a su derecho conviniera.</w:t>
      </w:r>
    </w:p>
    <w:p w14:paraId="051F8ABD" w14:textId="77777777" w:rsidR="009F2C63" w:rsidRPr="001A3DEA" w:rsidRDefault="009F2C63" w:rsidP="00931A1C">
      <w:pPr>
        <w:spacing w:line="360" w:lineRule="auto"/>
        <w:jc w:val="both"/>
        <w:rPr>
          <w:rFonts w:ascii="Palatino Linotype" w:eastAsia="Arial Unicode MS" w:hAnsi="Palatino Linotype" w:cs="Arial"/>
          <w:bCs/>
        </w:rPr>
      </w:pPr>
    </w:p>
    <w:p w14:paraId="4F77FCDC" w14:textId="46D919E4" w:rsidR="00200BFC" w:rsidRPr="001A3DEA" w:rsidRDefault="00CC5E84" w:rsidP="00931A1C">
      <w:pPr>
        <w:spacing w:line="360" w:lineRule="auto"/>
        <w:jc w:val="both"/>
        <w:rPr>
          <w:rFonts w:ascii="Palatino Linotype" w:eastAsia="Arial Unicode MS" w:hAnsi="Palatino Linotype" w:cs="Arial"/>
          <w:bCs/>
        </w:rPr>
      </w:pPr>
      <w:r w:rsidRPr="001A3DEA">
        <w:rPr>
          <w:rFonts w:ascii="Palatino Linotype" w:eastAsia="MS Mincho" w:hAnsi="Palatino Linotype"/>
          <w:noProof/>
          <w:lang w:eastAsia="es-MX"/>
        </w:rPr>
        <w:t>P</w:t>
      </w:r>
      <w:r w:rsidR="005C647B" w:rsidRPr="001A3DEA">
        <w:rPr>
          <w:rFonts w:ascii="Palatino Linotype" w:eastAsia="MS Mincho" w:hAnsi="Palatino Linotype"/>
          <w:noProof/>
          <w:lang w:eastAsia="es-MX"/>
        </w:rPr>
        <w:t xml:space="preserve">or su parte, </w:t>
      </w:r>
      <w:r w:rsidR="00841867" w:rsidRPr="001A3DEA">
        <w:rPr>
          <w:rFonts w:ascii="Palatino Linotype" w:eastAsia="MS Mincho" w:hAnsi="Palatino Linotype"/>
          <w:noProof/>
          <w:lang w:eastAsia="es-MX"/>
        </w:rPr>
        <w:t>el</w:t>
      </w:r>
      <w:r w:rsidR="00200BFC" w:rsidRPr="001A3DEA">
        <w:rPr>
          <w:rFonts w:ascii="Palatino Linotype" w:eastAsia="MS Mincho" w:hAnsi="Palatino Linotype"/>
          <w:noProof/>
          <w:lang w:eastAsia="es-MX"/>
        </w:rPr>
        <w:t xml:space="preserve"> particular no realizó manifiestación alguna,</w:t>
      </w:r>
      <w:r w:rsidRPr="001A3DEA">
        <w:rPr>
          <w:rFonts w:ascii="Palatino Linotype" w:eastAsia="Arial Unicode MS" w:hAnsi="Palatino Linotype" w:cs="Arial"/>
        </w:rPr>
        <w:t xml:space="preserve"> ni presentó pruebas o alegatos, ni realizó pronunciamiento respecto del Informe Justificado.</w:t>
      </w:r>
    </w:p>
    <w:p w14:paraId="492C6E2C" w14:textId="77777777" w:rsidR="00200BFC" w:rsidRPr="001A3DEA" w:rsidRDefault="00200BFC" w:rsidP="00200BFC">
      <w:pPr>
        <w:spacing w:line="360" w:lineRule="auto"/>
        <w:jc w:val="both"/>
        <w:rPr>
          <w:rFonts w:ascii="Palatino Linotype" w:hAnsi="Palatino Linotype"/>
          <w:b/>
        </w:rPr>
      </w:pPr>
    </w:p>
    <w:p w14:paraId="069531E8" w14:textId="089ADD99" w:rsidR="00BB17AB" w:rsidRPr="001A3DEA" w:rsidRDefault="002018F0" w:rsidP="00407AD2">
      <w:pPr>
        <w:spacing w:line="360" w:lineRule="auto"/>
        <w:jc w:val="both"/>
        <w:rPr>
          <w:rFonts w:ascii="Palatino Linotype" w:eastAsia="MS Mincho" w:hAnsi="Palatino Linotype"/>
          <w:color w:val="000000"/>
          <w:lang w:val="es-ES_tradnl"/>
        </w:rPr>
      </w:pPr>
      <w:r w:rsidRPr="001A3DEA">
        <w:rPr>
          <w:rFonts w:ascii="Palatino Linotype" w:hAnsi="Palatino Linotype"/>
          <w:b/>
          <w:sz w:val="28"/>
        </w:rPr>
        <w:t>VIII</w:t>
      </w:r>
      <w:r w:rsidRPr="001A3DEA">
        <w:rPr>
          <w:rFonts w:ascii="Palatino Linotype" w:hAnsi="Palatino Linotype"/>
          <w:b/>
        </w:rPr>
        <w:t xml:space="preserve">. </w:t>
      </w:r>
      <w:r w:rsidRPr="001A3DEA">
        <w:rPr>
          <w:rFonts w:ascii="Palatino Linotype" w:hAnsi="Palatino Linotype" w:cs="Arial"/>
        </w:rPr>
        <w:t xml:space="preserve">Transcurrido el plazo señalado en el párrafo anterior y, una vez analizado el estado procesal que guarda el expediente, el </w:t>
      </w:r>
      <w:r w:rsidR="00CC5E84" w:rsidRPr="001A3DEA">
        <w:rPr>
          <w:rFonts w:ascii="Palatino Linotype" w:hAnsi="Palatino Linotype" w:cs="Arial"/>
        </w:rPr>
        <w:t>doce</w:t>
      </w:r>
      <w:r w:rsidRPr="001A3DEA">
        <w:rPr>
          <w:rFonts w:ascii="Palatino Linotype" w:hAnsi="Palatino Linotype" w:cs="Arial"/>
        </w:rPr>
        <w:t xml:space="preserve"> de</w:t>
      </w:r>
      <w:r w:rsidR="00AE11AA" w:rsidRPr="001A3DEA">
        <w:rPr>
          <w:rFonts w:ascii="Palatino Linotype" w:hAnsi="Palatino Linotype" w:cs="Arial"/>
        </w:rPr>
        <w:t xml:space="preserve"> </w:t>
      </w:r>
      <w:r w:rsidR="00CC5E84" w:rsidRPr="001A3DEA">
        <w:rPr>
          <w:rFonts w:ascii="Palatino Linotype" w:hAnsi="Palatino Linotype" w:cs="Arial"/>
        </w:rPr>
        <w:t>mayo</w:t>
      </w:r>
      <w:r w:rsidRPr="001A3DEA">
        <w:rPr>
          <w:rFonts w:ascii="Palatino Linotype" w:hAnsi="Palatino Linotype" w:cs="Arial"/>
        </w:rPr>
        <w:t xml:space="preserve"> de dos mil veint</w:t>
      </w:r>
      <w:r w:rsidR="00407AD2" w:rsidRPr="001A3DEA">
        <w:rPr>
          <w:rFonts w:ascii="Palatino Linotype" w:hAnsi="Palatino Linotype" w:cs="Arial"/>
        </w:rPr>
        <w:t>iuno</w:t>
      </w:r>
      <w:r w:rsidRPr="001A3DEA">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1A3DEA">
        <w:rPr>
          <w:rFonts w:ascii="Palatino Linotype" w:hAnsi="Palatino Linotype" w:cs="Arial"/>
        </w:rPr>
        <w:t>.</w:t>
      </w:r>
      <w:r w:rsidR="00AE11AA" w:rsidRPr="001A3DEA">
        <w:rPr>
          <w:rFonts w:ascii="Palatino Linotype" w:eastAsia="MS Mincho" w:hAnsi="Palatino Linotype"/>
          <w:color w:val="000000"/>
          <w:lang w:val="es-ES_tradnl"/>
        </w:rPr>
        <w:t xml:space="preserve"> </w:t>
      </w:r>
      <w:r w:rsidR="00E60873" w:rsidRPr="001A3DEA">
        <w:rPr>
          <w:rFonts w:ascii="Palatino Linotype" w:eastAsia="MS Mincho" w:hAnsi="Palatino Linotype"/>
          <w:color w:val="000000"/>
          <w:lang w:val="es-ES_tradnl"/>
        </w:rPr>
        <w:t>Y</w:t>
      </w:r>
    </w:p>
    <w:p w14:paraId="79E03EFF" w14:textId="77777777" w:rsidR="00E60873" w:rsidRPr="001A3DEA" w:rsidRDefault="00E60873" w:rsidP="00407AD2">
      <w:pPr>
        <w:spacing w:line="360" w:lineRule="auto"/>
        <w:jc w:val="both"/>
        <w:rPr>
          <w:rFonts w:ascii="Palatino Linotype" w:hAnsi="Palatino Linotype" w:cs="Arial"/>
        </w:rPr>
      </w:pPr>
    </w:p>
    <w:p w14:paraId="23461604" w14:textId="06D56E16" w:rsidR="00200BFC" w:rsidRPr="001A3DEA" w:rsidRDefault="00200BFC" w:rsidP="00AE11AA">
      <w:pPr>
        <w:jc w:val="center"/>
        <w:rPr>
          <w:rFonts w:ascii="Palatino Linotype" w:hAnsi="Palatino Linotype" w:cs="Arial"/>
          <w:b/>
          <w:bCs/>
          <w:spacing w:val="60"/>
          <w:sz w:val="28"/>
        </w:rPr>
      </w:pPr>
      <w:r w:rsidRPr="001A3DEA">
        <w:rPr>
          <w:rFonts w:ascii="Palatino Linotype" w:hAnsi="Palatino Linotype" w:cs="Arial"/>
          <w:b/>
          <w:bCs/>
          <w:spacing w:val="60"/>
          <w:sz w:val="28"/>
        </w:rPr>
        <w:t>CONSIDERANDO</w:t>
      </w:r>
    </w:p>
    <w:p w14:paraId="6003998F" w14:textId="77777777" w:rsidR="00E60873" w:rsidRPr="001A3DEA" w:rsidRDefault="00E60873" w:rsidP="00AE11AA">
      <w:pPr>
        <w:jc w:val="center"/>
        <w:rPr>
          <w:rFonts w:ascii="Palatino Linotype" w:hAnsi="Palatino Linotype" w:cs="Arial"/>
          <w:b/>
          <w:bCs/>
          <w:spacing w:val="60"/>
          <w:sz w:val="28"/>
        </w:rPr>
      </w:pPr>
    </w:p>
    <w:p w14:paraId="44ECF04C" w14:textId="77777777" w:rsidR="00AE11AA" w:rsidRPr="001A3DEA" w:rsidRDefault="00AE11AA" w:rsidP="00AE11AA">
      <w:pPr>
        <w:jc w:val="center"/>
        <w:rPr>
          <w:rFonts w:ascii="Palatino Linotype" w:hAnsi="Palatino Linotype" w:cs="Arial"/>
          <w:b/>
          <w:bCs/>
          <w:spacing w:val="60"/>
          <w:sz w:val="28"/>
        </w:rPr>
      </w:pPr>
    </w:p>
    <w:p w14:paraId="52C76394" w14:textId="5268084C" w:rsidR="00200BFC" w:rsidRPr="001A3DEA" w:rsidRDefault="00200BFC" w:rsidP="00200BFC">
      <w:pPr>
        <w:spacing w:line="360" w:lineRule="auto"/>
        <w:ind w:right="50"/>
        <w:jc w:val="both"/>
        <w:rPr>
          <w:rFonts w:ascii="Palatino Linotype" w:hAnsi="Palatino Linotype" w:cs="Arial"/>
        </w:rPr>
      </w:pPr>
      <w:r w:rsidRPr="001A3DEA">
        <w:rPr>
          <w:rFonts w:ascii="Palatino Linotype" w:hAnsi="Palatino Linotype"/>
          <w:b/>
          <w:sz w:val="28"/>
        </w:rPr>
        <w:t>PRIMERO</w:t>
      </w:r>
      <w:r w:rsidRPr="001A3DEA">
        <w:rPr>
          <w:rFonts w:ascii="Palatino Linotype" w:hAnsi="Palatino Linotype"/>
          <w:b/>
        </w:rPr>
        <w:t>.</w:t>
      </w:r>
      <w:r w:rsidRPr="001A3DEA">
        <w:rPr>
          <w:rFonts w:ascii="Palatino Linotype" w:hAnsi="Palatino Linotype"/>
        </w:rPr>
        <w:t xml:space="preserve"> </w:t>
      </w:r>
      <w:r w:rsidRPr="001A3DEA">
        <w:rPr>
          <w:rFonts w:ascii="Palatino Linotype" w:hAnsi="Palatino Linotype"/>
          <w:b/>
          <w:i/>
        </w:rPr>
        <w:t>Competencia</w:t>
      </w:r>
      <w:r w:rsidRPr="001A3DEA">
        <w:rPr>
          <w:rFonts w:ascii="Palatino Linotype" w:hAnsi="Palatino Linotype"/>
        </w:rPr>
        <w:t>.</w:t>
      </w:r>
      <w:r w:rsidRPr="001A3DEA">
        <w:rPr>
          <w:rFonts w:ascii="Palatino Linotype" w:hAnsi="Palatino Linotype"/>
          <w:b/>
        </w:rPr>
        <w:t xml:space="preserve"> </w:t>
      </w:r>
      <w:r w:rsidRPr="001A3DEA">
        <w:rPr>
          <w:rFonts w:ascii="Palatino Linotype" w:hAnsi="Palatino Linotype"/>
        </w:rPr>
        <w:t xml:space="preserve">Este Instituto de </w:t>
      </w:r>
      <w:r w:rsidRPr="001A3DEA">
        <w:rPr>
          <w:rFonts w:ascii="Palatino Linotype" w:hAnsi="Palatino Linotype" w:cs="Arial"/>
        </w:rPr>
        <w:t>Transparencia</w:t>
      </w:r>
      <w:r w:rsidRPr="001A3DEA">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076843" w:rsidRPr="001A3DEA">
        <w:rPr>
          <w:rFonts w:ascii="Palatino Linotype" w:hAnsi="Palatino Linotype"/>
        </w:rPr>
        <w:t>tr</w:t>
      </w:r>
      <w:r w:rsidRPr="001A3DEA">
        <w:rPr>
          <w:rFonts w:ascii="Palatino Linotype" w:hAnsi="Palatino Linotype"/>
        </w:rPr>
        <w:t xml:space="preserve">igésimo, </w:t>
      </w:r>
      <w:r w:rsidR="00407AD2" w:rsidRPr="001A3DEA">
        <w:rPr>
          <w:rFonts w:ascii="Palatino Linotype" w:hAnsi="Palatino Linotype"/>
        </w:rPr>
        <w:t>tr</w:t>
      </w:r>
      <w:r w:rsidRPr="001A3DEA">
        <w:rPr>
          <w:rFonts w:ascii="Palatino Linotype" w:hAnsi="Palatino Linotype"/>
        </w:rPr>
        <w:t>igésimo</w:t>
      </w:r>
      <w:r w:rsidR="00076843" w:rsidRPr="001A3DEA">
        <w:rPr>
          <w:rFonts w:ascii="Palatino Linotype" w:hAnsi="Palatino Linotype"/>
        </w:rPr>
        <w:t xml:space="preserve"> primero</w:t>
      </w:r>
      <w:r w:rsidRPr="001A3DEA">
        <w:rPr>
          <w:rFonts w:ascii="Palatino Linotype" w:hAnsi="Palatino Linotype"/>
        </w:rPr>
        <w:t xml:space="preserve"> y </w:t>
      </w:r>
      <w:r w:rsidR="00407AD2" w:rsidRPr="001A3DEA">
        <w:rPr>
          <w:rFonts w:ascii="Palatino Linotype" w:hAnsi="Palatino Linotype"/>
        </w:rPr>
        <w:t>tr</w:t>
      </w:r>
      <w:r w:rsidRPr="001A3DEA">
        <w:rPr>
          <w:rFonts w:ascii="Palatino Linotype" w:hAnsi="Palatino Linotype"/>
        </w:rPr>
        <w:t xml:space="preserve">igésimo </w:t>
      </w:r>
      <w:r w:rsidR="00076843" w:rsidRPr="001A3DEA">
        <w:rPr>
          <w:rFonts w:ascii="Palatino Linotype" w:hAnsi="Palatino Linotype"/>
        </w:rPr>
        <w:t>segundo</w:t>
      </w:r>
      <w:r w:rsidRPr="001A3DEA">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A3DE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727EC97E" w14:textId="77777777" w:rsidR="00407AD2" w:rsidRPr="001A3DEA" w:rsidRDefault="00407AD2" w:rsidP="00200BFC">
      <w:pPr>
        <w:spacing w:line="360" w:lineRule="auto"/>
        <w:ind w:right="50"/>
        <w:jc w:val="both"/>
        <w:rPr>
          <w:rFonts w:ascii="Palatino Linotype" w:hAnsi="Palatino Linotype" w:cs="Arial"/>
        </w:rPr>
      </w:pPr>
    </w:p>
    <w:p w14:paraId="42F5FF73" w14:textId="77777777" w:rsidR="00407AD2" w:rsidRPr="001A3DEA" w:rsidRDefault="00407AD2" w:rsidP="00407AD2">
      <w:pPr>
        <w:spacing w:line="360" w:lineRule="auto"/>
        <w:ind w:right="50"/>
        <w:jc w:val="both"/>
        <w:rPr>
          <w:rFonts w:ascii="Palatino Linotype" w:hAnsi="Palatino Linotype" w:cs="Arial"/>
        </w:rPr>
      </w:pPr>
      <w:r w:rsidRPr="001A3DEA">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6441396" w14:textId="77777777" w:rsidR="00200BFC" w:rsidRPr="001A3DEA" w:rsidRDefault="00200BFC" w:rsidP="00200BFC">
      <w:pPr>
        <w:spacing w:line="360" w:lineRule="auto"/>
        <w:jc w:val="both"/>
        <w:rPr>
          <w:rFonts w:ascii="Palatino Linotype" w:hAnsi="Palatino Linotype" w:cs="Arial"/>
          <w:b/>
        </w:rPr>
      </w:pPr>
    </w:p>
    <w:p w14:paraId="4DD8B4F5" w14:textId="59E6BC8E" w:rsidR="00200BFC" w:rsidRPr="001A3DEA" w:rsidRDefault="00200BFC" w:rsidP="00200BFC">
      <w:pPr>
        <w:spacing w:line="360" w:lineRule="auto"/>
        <w:jc w:val="both"/>
        <w:rPr>
          <w:rFonts w:ascii="Palatino Linotype" w:hAnsi="Palatino Linotype" w:cs="Arial"/>
          <w:b/>
          <w:snapToGrid w:val="0"/>
        </w:rPr>
      </w:pPr>
      <w:r w:rsidRPr="001A3DEA">
        <w:rPr>
          <w:rFonts w:ascii="Palatino Linotype" w:hAnsi="Palatino Linotype" w:cs="Arial"/>
          <w:b/>
          <w:sz w:val="28"/>
        </w:rPr>
        <w:t>SEGUNDO</w:t>
      </w:r>
      <w:r w:rsidRPr="001A3DEA">
        <w:rPr>
          <w:rFonts w:ascii="Palatino Linotype" w:hAnsi="Palatino Linotype" w:cs="Arial"/>
          <w:b/>
        </w:rPr>
        <w:t xml:space="preserve">. </w:t>
      </w:r>
      <w:r w:rsidRPr="001A3DEA">
        <w:rPr>
          <w:rFonts w:ascii="Palatino Linotype" w:hAnsi="Palatino Linotype" w:cs="Arial"/>
          <w:b/>
          <w:i/>
        </w:rPr>
        <w:t>Interés</w:t>
      </w:r>
      <w:r w:rsidRPr="001A3DEA">
        <w:rPr>
          <w:rFonts w:ascii="Palatino Linotype" w:hAnsi="Palatino Linotype" w:cs="Arial"/>
          <w:b/>
        </w:rPr>
        <w:t xml:space="preserve">. </w:t>
      </w:r>
      <w:r w:rsidRPr="001A3DEA">
        <w:rPr>
          <w:rFonts w:ascii="Palatino Linotype" w:hAnsi="Palatino Linotype" w:cs="Arial"/>
          <w:bCs/>
        </w:rPr>
        <w:t xml:space="preserve">El recurso de revisión fue interpuesto por parte legítima, en atención a que se presentó por </w:t>
      </w:r>
      <w:r w:rsidR="00AE11AA" w:rsidRPr="001A3DEA">
        <w:rPr>
          <w:rFonts w:ascii="Palatino Linotype" w:hAnsi="Palatino Linotype" w:cs="Arial"/>
          <w:b/>
          <w:bCs/>
        </w:rPr>
        <w:t>EL</w:t>
      </w:r>
      <w:r w:rsidRPr="001A3DEA">
        <w:rPr>
          <w:rFonts w:ascii="Palatino Linotype" w:hAnsi="Palatino Linotype" w:cs="Arial"/>
          <w:b/>
          <w:bCs/>
        </w:rPr>
        <w:t xml:space="preserve"> RECURRENTE,</w:t>
      </w:r>
      <w:r w:rsidRPr="001A3DEA">
        <w:rPr>
          <w:rFonts w:ascii="Palatino Linotype" w:hAnsi="Palatino Linotype" w:cs="Arial"/>
          <w:bCs/>
        </w:rPr>
        <w:t xml:space="preserve"> quien es la misma persona que formuló la solicitud de acceso a la información pública al </w:t>
      </w:r>
      <w:r w:rsidRPr="001A3DEA">
        <w:rPr>
          <w:rFonts w:ascii="Palatino Linotype" w:hAnsi="Palatino Linotype" w:cs="Arial"/>
          <w:b/>
          <w:bCs/>
        </w:rPr>
        <w:t>SUJETO OBLIGADO.</w:t>
      </w:r>
    </w:p>
    <w:p w14:paraId="7267C8A1" w14:textId="22219D24" w:rsidR="00FD561B" w:rsidRPr="001A3DEA"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1A3DEA">
        <w:rPr>
          <w:rFonts w:ascii="Palatino Linotype" w:hAnsi="Palatino Linotype" w:cs="Arial"/>
          <w:b/>
          <w:sz w:val="28"/>
        </w:rPr>
        <w:t>TERCERO</w:t>
      </w:r>
      <w:r w:rsidRPr="001A3DEA">
        <w:rPr>
          <w:rFonts w:ascii="Palatino Linotype" w:hAnsi="Palatino Linotype" w:cs="Arial"/>
          <w:b/>
        </w:rPr>
        <w:t xml:space="preserve">. </w:t>
      </w:r>
      <w:r w:rsidRPr="001A3DEA">
        <w:rPr>
          <w:rFonts w:ascii="Palatino Linotype" w:hAnsi="Palatino Linotype" w:cs="Arial"/>
          <w:b/>
          <w:i/>
          <w:lang w:val="es-ES"/>
        </w:rPr>
        <w:t>Oportunidad</w:t>
      </w:r>
      <w:r w:rsidR="00FD561B" w:rsidRPr="001A3DEA">
        <w:rPr>
          <w:rFonts w:ascii="Palatino Linotype" w:hAnsi="Palatino Linotype" w:cs="Arial"/>
        </w:rPr>
        <w:t xml:space="preserve">. El recurso de revisión fue interpuesto dentro del plazo de quince días hábiles, contados a partir del día siguiente al en que </w:t>
      </w:r>
      <w:r w:rsidR="005342F7" w:rsidRPr="001A3DEA">
        <w:rPr>
          <w:rFonts w:ascii="Palatino Linotype" w:hAnsi="Palatino Linotype" w:cs="Arial"/>
          <w:b/>
        </w:rPr>
        <w:t>EL</w:t>
      </w:r>
      <w:r w:rsidR="00FD561B" w:rsidRPr="001A3DEA">
        <w:rPr>
          <w:rFonts w:ascii="Palatino Linotype" w:hAnsi="Palatino Linotype" w:cs="Arial"/>
          <w:b/>
        </w:rPr>
        <w:t xml:space="preserve"> RECURRENTE </w:t>
      </w:r>
      <w:r w:rsidR="00FD561B" w:rsidRPr="001A3DE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77777777" w:rsidR="00FD561B" w:rsidRPr="001A3DEA" w:rsidRDefault="00FD561B" w:rsidP="00FD561B">
      <w:pPr>
        <w:spacing w:before="100" w:beforeAutospacing="1" w:after="100" w:afterAutospacing="1"/>
        <w:ind w:left="720" w:right="709"/>
        <w:contextualSpacing/>
        <w:jc w:val="both"/>
        <w:rPr>
          <w:rFonts w:ascii="Palatino Linotype" w:hAnsi="Palatino Linotype" w:cs="Arial"/>
          <w:i/>
          <w:sz w:val="22"/>
        </w:rPr>
      </w:pPr>
      <w:r w:rsidRPr="001A3DEA">
        <w:rPr>
          <w:rFonts w:ascii="Palatino Linotype" w:hAnsi="Palatino Linotype" w:cs="Arial"/>
          <w:i/>
          <w:sz w:val="22"/>
        </w:rPr>
        <w:t>“</w:t>
      </w:r>
      <w:r w:rsidRPr="001A3DEA">
        <w:rPr>
          <w:rFonts w:ascii="Palatino Linotype" w:hAnsi="Palatino Linotype" w:cs="Arial"/>
          <w:b/>
          <w:i/>
          <w:sz w:val="22"/>
        </w:rPr>
        <w:t>Artículo 178.</w:t>
      </w:r>
      <w:r w:rsidRPr="001A3DE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3D4369" w14:textId="77777777" w:rsidR="00FD561B" w:rsidRPr="001A3DEA" w:rsidRDefault="00FD561B" w:rsidP="00FD561B">
      <w:pPr>
        <w:spacing w:before="100" w:beforeAutospacing="1" w:after="100" w:afterAutospacing="1"/>
        <w:ind w:left="720" w:right="709"/>
        <w:contextualSpacing/>
        <w:jc w:val="both"/>
        <w:rPr>
          <w:rFonts w:ascii="Palatino Linotype" w:hAnsi="Palatino Linotype" w:cs="Arial"/>
          <w:i/>
          <w:sz w:val="22"/>
        </w:rPr>
      </w:pPr>
      <w:r w:rsidRPr="001A3DE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77777777" w:rsidR="00FD561B" w:rsidRPr="001A3DEA" w:rsidRDefault="00FD561B" w:rsidP="00FD561B">
      <w:pPr>
        <w:spacing w:before="240" w:after="100" w:afterAutospacing="1"/>
        <w:ind w:left="720" w:right="709"/>
        <w:jc w:val="both"/>
        <w:rPr>
          <w:rFonts w:ascii="Palatino Linotype" w:hAnsi="Palatino Linotype" w:cs="Arial"/>
          <w:i/>
          <w:sz w:val="22"/>
        </w:rPr>
      </w:pPr>
      <w:r w:rsidRPr="001A3DEA">
        <w:rPr>
          <w:rFonts w:ascii="Palatino Linotype" w:hAnsi="Palatino Linotype" w:cs="Arial"/>
          <w:i/>
          <w:sz w:val="22"/>
        </w:rPr>
        <w:t xml:space="preserve">En el caso de que se interponga ante la Unidad de Transparencia, ésta deberá remitir el recurso de revisión al Instituto a más tardar al día </w:t>
      </w:r>
      <w:r w:rsidRPr="001A3DEA">
        <w:rPr>
          <w:rFonts w:ascii="Palatino Linotype" w:hAnsi="Palatino Linotype" w:cs="Arial"/>
          <w:i/>
          <w:sz w:val="22"/>
          <w:lang w:eastAsia="es-MX"/>
        </w:rPr>
        <w:t>siguiente</w:t>
      </w:r>
      <w:r w:rsidRPr="001A3DEA">
        <w:rPr>
          <w:rFonts w:ascii="Palatino Linotype" w:hAnsi="Palatino Linotype" w:cs="Arial"/>
          <w:i/>
          <w:sz w:val="22"/>
        </w:rPr>
        <w:t xml:space="preserve"> de haberlo recibido.”</w:t>
      </w:r>
    </w:p>
    <w:p w14:paraId="0FAABC2A" w14:textId="13B918DB" w:rsidR="009577C2" w:rsidRPr="001A3DEA" w:rsidRDefault="00FD561B" w:rsidP="00FD561B">
      <w:pPr>
        <w:spacing w:before="240" w:after="100" w:afterAutospacing="1" w:line="360" w:lineRule="auto"/>
        <w:jc w:val="both"/>
        <w:rPr>
          <w:rFonts w:ascii="Palatino Linotype" w:hAnsi="Palatino Linotype" w:cs="Arial"/>
        </w:rPr>
      </w:pPr>
      <w:r w:rsidRPr="001A3DEA">
        <w:rPr>
          <w:rFonts w:ascii="Palatino Linotype" w:hAnsi="Palatino Linotype" w:cs="Arial"/>
        </w:rPr>
        <w:t xml:space="preserve">En esa tesitura, atendiendo a que </w:t>
      </w:r>
      <w:r w:rsidRPr="001A3DEA">
        <w:rPr>
          <w:rFonts w:ascii="Palatino Linotype" w:hAnsi="Palatino Linotype" w:cs="Arial"/>
          <w:b/>
        </w:rPr>
        <w:t>EL SUJETO OBLIGADO</w:t>
      </w:r>
      <w:r w:rsidRPr="001A3DEA">
        <w:rPr>
          <w:rFonts w:ascii="Palatino Linotype" w:hAnsi="Palatino Linotype" w:cs="Arial"/>
        </w:rPr>
        <w:t xml:space="preserve"> notificó </w:t>
      </w:r>
      <w:r w:rsidR="00C11ADE" w:rsidRPr="001A3DEA">
        <w:rPr>
          <w:rFonts w:ascii="Palatino Linotype" w:hAnsi="Palatino Linotype" w:cs="Arial"/>
        </w:rPr>
        <w:t>el acuerdo por el que tiene por concluida la solicitud de acceso a la información pública</w:t>
      </w:r>
      <w:r w:rsidRPr="001A3DEA">
        <w:rPr>
          <w:rFonts w:ascii="Palatino Linotype" w:hAnsi="Palatino Linotype" w:cs="Arial"/>
        </w:rPr>
        <w:t xml:space="preserve"> el día</w:t>
      </w:r>
      <w:r w:rsidRPr="001A3DEA">
        <w:rPr>
          <w:rFonts w:ascii="Palatino Linotype" w:hAnsi="Palatino Linotype" w:cs="Arial"/>
          <w:b/>
        </w:rPr>
        <w:t xml:space="preserve"> </w:t>
      </w:r>
      <w:r w:rsidR="00C11ADE" w:rsidRPr="001A3DEA">
        <w:rPr>
          <w:rFonts w:ascii="Palatino Linotype" w:hAnsi="Palatino Linotype" w:cs="Arial"/>
          <w:b/>
        </w:rPr>
        <w:t>veinticuatro</w:t>
      </w:r>
      <w:r w:rsidR="00AE11AA" w:rsidRPr="001A3DEA">
        <w:rPr>
          <w:rFonts w:ascii="Palatino Linotype" w:hAnsi="Palatino Linotype" w:cs="Arial"/>
          <w:b/>
        </w:rPr>
        <w:t xml:space="preserve"> de </w:t>
      </w:r>
      <w:r w:rsidR="00E60873" w:rsidRPr="001A3DEA">
        <w:rPr>
          <w:rFonts w:ascii="Palatino Linotype" w:hAnsi="Palatino Linotype" w:cs="Arial"/>
          <w:b/>
        </w:rPr>
        <w:t>febrero</w:t>
      </w:r>
      <w:r w:rsidRPr="001A3DEA">
        <w:rPr>
          <w:rFonts w:ascii="Palatino Linotype" w:hAnsi="Palatino Linotype" w:cs="Arial"/>
          <w:b/>
        </w:rPr>
        <w:t xml:space="preserve"> de dos mil veint</w:t>
      </w:r>
      <w:r w:rsidR="00076843" w:rsidRPr="001A3DEA">
        <w:rPr>
          <w:rFonts w:ascii="Palatino Linotype" w:hAnsi="Palatino Linotype" w:cs="Arial"/>
          <w:b/>
        </w:rPr>
        <w:t>iuno</w:t>
      </w:r>
      <w:r w:rsidRPr="001A3DEA">
        <w:rPr>
          <w:rFonts w:ascii="Palatino Linotype" w:hAnsi="Palatino Linotype" w:cs="Arial"/>
        </w:rPr>
        <w:t>; así, el plazo de quince días hábiles que el artículo 178 de la Ley de la materia otorga al</w:t>
      </w:r>
      <w:r w:rsidRPr="001A3DEA">
        <w:rPr>
          <w:rFonts w:ascii="Palatino Linotype" w:hAnsi="Palatino Linotype" w:cs="Arial"/>
          <w:b/>
        </w:rPr>
        <w:t xml:space="preserve"> RECURRENTE</w:t>
      </w:r>
      <w:r w:rsidRPr="001A3DEA">
        <w:rPr>
          <w:rFonts w:ascii="Palatino Linotype" w:hAnsi="Palatino Linotype" w:cs="Arial"/>
        </w:rPr>
        <w:t xml:space="preserve"> para presentar el respectivo recurso de revisión, transcurrió del </w:t>
      </w:r>
      <w:r w:rsidR="00C11ADE" w:rsidRPr="001A3DEA">
        <w:rPr>
          <w:rFonts w:ascii="Palatino Linotype" w:hAnsi="Palatino Linotype" w:cs="Arial"/>
          <w:b/>
        </w:rPr>
        <w:t>veinticinco</w:t>
      </w:r>
      <w:r w:rsidR="00076843" w:rsidRPr="001A3DEA">
        <w:rPr>
          <w:rFonts w:ascii="Palatino Linotype" w:hAnsi="Palatino Linotype" w:cs="Arial"/>
          <w:b/>
        </w:rPr>
        <w:t xml:space="preserve"> de </w:t>
      </w:r>
      <w:r w:rsidR="00E60873" w:rsidRPr="001A3DEA">
        <w:rPr>
          <w:rFonts w:ascii="Palatino Linotype" w:hAnsi="Palatino Linotype" w:cs="Arial"/>
          <w:b/>
        </w:rPr>
        <w:t>febrero</w:t>
      </w:r>
      <w:r w:rsidR="00614D0D" w:rsidRPr="001A3DEA">
        <w:rPr>
          <w:rFonts w:ascii="Palatino Linotype" w:hAnsi="Palatino Linotype" w:cs="Arial"/>
          <w:b/>
        </w:rPr>
        <w:t xml:space="preserve"> al </w:t>
      </w:r>
      <w:r w:rsidR="00C11ADE" w:rsidRPr="001A3DEA">
        <w:rPr>
          <w:rFonts w:ascii="Palatino Linotype" w:hAnsi="Palatino Linotype" w:cs="Arial"/>
          <w:b/>
        </w:rPr>
        <w:t>veintiuno</w:t>
      </w:r>
      <w:r w:rsidR="00614D0D" w:rsidRPr="001A3DEA">
        <w:rPr>
          <w:rFonts w:ascii="Palatino Linotype" w:hAnsi="Palatino Linotype" w:cs="Arial"/>
          <w:b/>
        </w:rPr>
        <w:t xml:space="preserve"> de </w:t>
      </w:r>
      <w:r w:rsidR="00E60873" w:rsidRPr="001A3DEA">
        <w:rPr>
          <w:rFonts w:ascii="Palatino Linotype" w:hAnsi="Palatino Linotype" w:cs="Arial"/>
          <w:b/>
        </w:rPr>
        <w:t>marzo</w:t>
      </w:r>
      <w:r w:rsidRPr="001A3DEA">
        <w:rPr>
          <w:rFonts w:ascii="Palatino Linotype" w:hAnsi="Palatino Linotype" w:cs="Arial"/>
          <w:b/>
        </w:rPr>
        <w:t xml:space="preserve"> de dos mil veint</w:t>
      </w:r>
      <w:r w:rsidR="00076843" w:rsidRPr="001A3DEA">
        <w:rPr>
          <w:rFonts w:ascii="Palatino Linotype" w:hAnsi="Palatino Linotype" w:cs="Arial"/>
          <w:b/>
        </w:rPr>
        <w:t>iuno</w:t>
      </w:r>
      <w:r w:rsidRPr="001A3DEA">
        <w:rPr>
          <w:rFonts w:ascii="Palatino Linotype" w:hAnsi="Palatino Linotype" w:cs="Arial"/>
        </w:rPr>
        <w:t>, sin co</w:t>
      </w:r>
      <w:r w:rsidR="003C0560" w:rsidRPr="001A3DEA">
        <w:rPr>
          <w:rFonts w:ascii="Palatino Linotype" w:hAnsi="Palatino Linotype" w:cs="Arial"/>
        </w:rPr>
        <w:t>ntemplar en el cómputo los</w:t>
      </w:r>
      <w:r w:rsidR="00802406" w:rsidRPr="001A3DEA">
        <w:rPr>
          <w:rFonts w:ascii="Palatino Linotype" w:hAnsi="Palatino Linotype" w:cs="Arial"/>
        </w:rPr>
        <w:t xml:space="preserve"> días </w:t>
      </w:r>
      <w:r w:rsidR="00E60873" w:rsidRPr="001A3DEA">
        <w:rPr>
          <w:rFonts w:ascii="Palatino Linotype" w:hAnsi="Palatino Linotype" w:cs="Arial"/>
        </w:rPr>
        <w:t>veintisiete y veintiocho de febrero;</w:t>
      </w:r>
      <w:r w:rsidR="00076843" w:rsidRPr="001A3DEA">
        <w:rPr>
          <w:rFonts w:ascii="Palatino Linotype" w:hAnsi="Palatino Linotype" w:cs="Arial"/>
        </w:rPr>
        <w:t xml:space="preserve"> </w:t>
      </w:r>
      <w:r w:rsidR="00E60873" w:rsidRPr="001A3DEA">
        <w:rPr>
          <w:rFonts w:ascii="Palatino Linotype" w:hAnsi="Palatino Linotype" w:cs="Arial"/>
        </w:rPr>
        <w:t>seis, siete, trece, catorce, veinte y veintiuno de marzo</w:t>
      </w:r>
      <w:r w:rsidR="00614D0D" w:rsidRPr="001A3DEA">
        <w:rPr>
          <w:rFonts w:ascii="Palatino Linotype" w:hAnsi="Palatino Linotype" w:cs="Arial"/>
        </w:rPr>
        <w:t xml:space="preserve"> </w:t>
      </w:r>
      <w:r w:rsidRPr="001A3DEA">
        <w:rPr>
          <w:rFonts w:ascii="Palatino Linotype" w:hAnsi="Palatino Linotype" w:cs="Arial"/>
        </w:rPr>
        <w:t>de dos mil veint</w:t>
      </w:r>
      <w:r w:rsidR="00076843" w:rsidRPr="001A3DEA">
        <w:rPr>
          <w:rFonts w:ascii="Palatino Linotype" w:hAnsi="Palatino Linotype" w:cs="Arial"/>
        </w:rPr>
        <w:t>iuno</w:t>
      </w:r>
      <w:r w:rsidRPr="001A3DEA">
        <w:rPr>
          <w:rFonts w:ascii="Palatino Linotype" w:hAnsi="Palatino Linotype" w:cs="Arial"/>
        </w:rPr>
        <w:t xml:space="preserve">, por corresponder a sábados y domingos, considerados como días inhábiles, </w:t>
      </w:r>
      <w:r w:rsidR="009577C2" w:rsidRPr="001A3DEA">
        <w:rPr>
          <w:rFonts w:ascii="Palatino Linotype" w:hAnsi="Palatino Linotype" w:cs="Arial"/>
        </w:rPr>
        <w:t>en términos del artículo 3, fracción X de la Ley de Transparencia y Acceso a la Información Pública del Estado de México y Municipio</w:t>
      </w:r>
      <w:r w:rsidR="00407AD2" w:rsidRPr="001A3DEA">
        <w:rPr>
          <w:rFonts w:ascii="Palatino Linotype" w:hAnsi="Palatino Linotype" w:cs="Arial"/>
        </w:rPr>
        <w:t>s</w:t>
      </w:r>
      <w:r w:rsidR="0033096E" w:rsidRPr="001A3DEA">
        <w:rPr>
          <w:rFonts w:ascii="Palatino Linotype" w:hAnsi="Palatino Linotype" w:cs="Arial"/>
        </w:rPr>
        <w:t xml:space="preserve">; así como </w:t>
      </w:r>
      <w:r w:rsidR="00E60873" w:rsidRPr="001A3DEA">
        <w:rPr>
          <w:rFonts w:ascii="Palatino Linotype" w:hAnsi="Palatino Linotype" w:cs="Arial"/>
        </w:rPr>
        <w:t>los días dos y quince de marzo</w:t>
      </w:r>
      <w:r w:rsidR="0033096E" w:rsidRPr="001A3DEA">
        <w:rPr>
          <w:rFonts w:ascii="Palatino Linotype" w:hAnsi="Palatino Linotype" w:cs="Arial"/>
        </w:rPr>
        <w:t xml:space="preserve"> de dos mil veintiuno por ser día</w:t>
      </w:r>
      <w:r w:rsidR="00E60873" w:rsidRPr="001A3DEA">
        <w:rPr>
          <w:rFonts w:ascii="Palatino Linotype" w:hAnsi="Palatino Linotype" w:cs="Arial"/>
        </w:rPr>
        <w:t>s</w:t>
      </w:r>
      <w:r w:rsidR="0033096E" w:rsidRPr="001A3DEA">
        <w:rPr>
          <w:rFonts w:ascii="Palatino Linotype" w:hAnsi="Palatino Linotype" w:cs="Arial"/>
        </w:rPr>
        <w:t xml:space="preserve"> inhábil</w:t>
      </w:r>
      <w:r w:rsidR="00E60873" w:rsidRPr="001A3DEA">
        <w:rPr>
          <w:rFonts w:ascii="Palatino Linotype" w:hAnsi="Palatino Linotype" w:cs="Arial"/>
        </w:rPr>
        <w:t>es</w:t>
      </w:r>
      <w:r w:rsidR="009577C2" w:rsidRPr="001A3DEA">
        <w:rPr>
          <w:rFonts w:ascii="Palatino Linotype" w:hAnsi="Palatino Linotype" w:cs="Arial"/>
        </w:rPr>
        <w:t>.</w:t>
      </w:r>
    </w:p>
    <w:p w14:paraId="2855CED0" w14:textId="3897E5AE" w:rsidR="00FD561B" w:rsidRPr="001A3DEA" w:rsidRDefault="00FD561B" w:rsidP="00FD561B">
      <w:pPr>
        <w:spacing w:before="240" w:after="100" w:afterAutospacing="1" w:line="360" w:lineRule="auto"/>
        <w:jc w:val="both"/>
        <w:rPr>
          <w:rFonts w:ascii="Palatino Linotype" w:hAnsi="Palatino Linotype" w:cs="Arial"/>
        </w:rPr>
      </w:pPr>
      <w:r w:rsidRPr="001A3DEA">
        <w:rPr>
          <w:rFonts w:ascii="Palatino Linotype" w:hAnsi="Palatino Linotype" w:cs="Arial"/>
        </w:rPr>
        <w:t xml:space="preserve">En ese tenor, si el recurso de revisión que nos ocupa, se interpuso </w:t>
      </w:r>
      <w:r w:rsidR="00E60873" w:rsidRPr="001A3DEA">
        <w:rPr>
          <w:rFonts w:ascii="Palatino Linotype" w:hAnsi="Palatino Linotype" w:cs="Arial"/>
        </w:rPr>
        <w:t>el</w:t>
      </w:r>
      <w:r w:rsidR="00E60873" w:rsidRPr="001A3DEA">
        <w:rPr>
          <w:rFonts w:ascii="Palatino Linotype" w:hAnsi="Palatino Linotype" w:cs="Arial"/>
          <w:b/>
        </w:rPr>
        <w:t xml:space="preserve"> </w:t>
      </w:r>
      <w:r w:rsidR="00C11ADE" w:rsidRPr="001A3DEA">
        <w:rPr>
          <w:rFonts w:ascii="Palatino Linotype" w:hAnsi="Palatino Linotype" w:cs="Arial"/>
          <w:b/>
          <w:u w:val="single"/>
        </w:rPr>
        <w:t>diez</w:t>
      </w:r>
      <w:r w:rsidR="00E60873" w:rsidRPr="001A3DEA">
        <w:rPr>
          <w:rFonts w:ascii="Palatino Linotype" w:hAnsi="Palatino Linotype" w:cs="Arial"/>
          <w:b/>
          <w:u w:val="single"/>
        </w:rPr>
        <w:t xml:space="preserve"> </w:t>
      </w:r>
      <w:r w:rsidR="0033096E" w:rsidRPr="001A3DEA">
        <w:rPr>
          <w:rFonts w:ascii="Palatino Linotype" w:hAnsi="Palatino Linotype" w:cs="Arial"/>
          <w:b/>
          <w:u w:val="single"/>
        </w:rPr>
        <w:t xml:space="preserve">de </w:t>
      </w:r>
      <w:r w:rsidR="00E60873" w:rsidRPr="001A3DEA">
        <w:rPr>
          <w:rFonts w:ascii="Palatino Linotype" w:hAnsi="Palatino Linotype" w:cs="Arial"/>
          <w:b/>
          <w:u w:val="single"/>
        </w:rPr>
        <w:t>marzo</w:t>
      </w:r>
      <w:r w:rsidR="0033096E" w:rsidRPr="001A3DEA">
        <w:rPr>
          <w:rFonts w:ascii="Palatino Linotype" w:hAnsi="Palatino Linotype" w:cs="Arial"/>
          <w:b/>
          <w:u w:val="single"/>
        </w:rPr>
        <w:t xml:space="preserve"> de dos mil veintiuno</w:t>
      </w:r>
      <w:r w:rsidR="00614D0D" w:rsidRPr="001A3DEA">
        <w:rPr>
          <w:rFonts w:ascii="Palatino Linotype" w:hAnsi="Palatino Linotype" w:cs="Arial"/>
          <w:b/>
        </w:rPr>
        <w:t xml:space="preserve">, </w:t>
      </w:r>
      <w:r w:rsidRPr="001A3DEA">
        <w:rPr>
          <w:rFonts w:ascii="Palatino Linotype" w:hAnsi="Palatino Linotype" w:cs="Arial"/>
        </w:rPr>
        <w:t>éste se encuentra dentro de los márgenes temporales previstos en el precepto legal citado en el párrafo anterior y, por tanto, su interposición se considera oportuna</w:t>
      </w:r>
      <w:r w:rsidR="003C0560" w:rsidRPr="001A3DEA">
        <w:rPr>
          <w:rFonts w:ascii="Palatino Linotype" w:hAnsi="Palatino Linotype" w:cs="Arial"/>
        </w:rPr>
        <w:t>.</w:t>
      </w:r>
    </w:p>
    <w:p w14:paraId="4B129DD7" w14:textId="77777777" w:rsidR="005342F7" w:rsidRPr="001A3DEA" w:rsidRDefault="00200BFC" w:rsidP="005342F7">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1A3DEA">
        <w:rPr>
          <w:rFonts w:ascii="Palatino Linotype" w:hAnsi="Palatino Linotype" w:cs="Arial"/>
          <w:b/>
          <w:sz w:val="28"/>
        </w:rPr>
        <w:t>CUARTO</w:t>
      </w:r>
      <w:r w:rsidRPr="001A3DEA">
        <w:rPr>
          <w:rFonts w:ascii="Palatino Linotype" w:hAnsi="Palatino Linotype"/>
          <w:b/>
        </w:rPr>
        <w:t xml:space="preserve">. </w:t>
      </w:r>
      <w:r w:rsidRPr="001A3DEA">
        <w:rPr>
          <w:rFonts w:ascii="Palatino Linotype" w:hAnsi="Palatino Linotype"/>
          <w:b/>
          <w:i/>
        </w:rPr>
        <w:t>Procedibilidad</w:t>
      </w:r>
      <w:r w:rsidRPr="001A3DEA">
        <w:rPr>
          <w:rFonts w:ascii="Palatino Linotype" w:hAnsi="Palatino Linotype"/>
          <w:b/>
        </w:rPr>
        <w:t xml:space="preserve">. </w:t>
      </w:r>
      <w:r w:rsidR="005342F7" w:rsidRPr="001A3DEA">
        <w:rPr>
          <w:rFonts w:ascii="Palatino Linotype" w:eastAsia="Palatino Linotype" w:hAnsi="Palatino Linotype" w:cs="Palatino Linotype"/>
          <w:color w:val="201F1E"/>
          <w:lang w:val="es-ES" w:eastAsia="es-MX"/>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14:paraId="243E1AA6" w14:textId="77777777" w:rsidR="005342F7" w:rsidRPr="001A3DEA" w:rsidRDefault="005342F7" w:rsidP="005342F7">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 </w:t>
      </w:r>
    </w:p>
    <w:p w14:paraId="7D91081A"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“Artículo 180. </w:t>
      </w:r>
      <w:r w:rsidRPr="001A3DEA">
        <w:rPr>
          <w:rFonts w:ascii="Palatino Linotype" w:eastAsia="Palatino Linotype" w:hAnsi="Palatino Linotype" w:cs="Palatino Linotype"/>
          <w:i/>
          <w:color w:val="201F1E"/>
          <w:sz w:val="22"/>
          <w:szCs w:val="22"/>
          <w:lang w:val="es-ES" w:eastAsia="es-MX"/>
        </w:rPr>
        <w:t>El recurso de revisión contendrá:</w:t>
      </w:r>
    </w:p>
    <w:p w14:paraId="3FF0B752"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I. </w:t>
      </w:r>
      <w:r w:rsidRPr="001A3DEA">
        <w:rPr>
          <w:rFonts w:ascii="Palatino Linotype" w:eastAsia="Palatino Linotype" w:hAnsi="Palatino Linotype" w:cs="Palatino Linotype"/>
          <w:i/>
          <w:color w:val="201F1E"/>
          <w:sz w:val="22"/>
          <w:szCs w:val="22"/>
          <w:lang w:val="es-ES" w:eastAsia="es-MX"/>
        </w:rPr>
        <w:t>El sujeto obligado ante la cual se presentó la solicitud;</w:t>
      </w:r>
    </w:p>
    <w:p w14:paraId="10B59198"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II. </w:t>
      </w:r>
      <w:r w:rsidRPr="001A3DEA">
        <w:rPr>
          <w:rFonts w:ascii="Palatino Linotype" w:eastAsia="Palatino Linotype" w:hAnsi="Palatino Linotype" w:cs="Palatino Linotype"/>
          <w:b/>
          <w:i/>
          <w:color w:val="201F1E"/>
          <w:sz w:val="22"/>
          <w:szCs w:val="22"/>
          <w:u w:val="single"/>
          <w:lang w:val="es-ES" w:eastAsia="es-MX"/>
        </w:rPr>
        <w:t>El nombre del solicitante que recurre </w:t>
      </w:r>
      <w:r w:rsidRPr="001A3DEA">
        <w:rPr>
          <w:rFonts w:ascii="Palatino Linotype" w:eastAsia="Palatino Linotype" w:hAnsi="Palatino Linotype" w:cs="Palatino Linotype"/>
          <w:i/>
          <w:color w:val="201F1E"/>
          <w:sz w:val="22"/>
          <w:szCs w:val="22"/>
          <w:lang w:val="es-ES" w:eastAsia="es-MX"/>
        </w:rPr>
        <w:t>o de su representante y, en su caso, del tercero interesado, así como la dirección o medio que señale para recibir notificaciones;</w:t>
      </w:r>
    </w:p>
    <w:p w14:paraId="209F2EAA"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III. </w:t>
      </w:r>
      <w:r w:rsidRPr="001A3DEA">
        <w:rPr>
          <w:rFonts w:ascii="Palatino Linotype" w:eastAsia="Palatino Linotype" w:hAnsi="Palatino Linotype" w:cs="Palatino Linotype"/>
          <w:i/>
          <w:color w:val="201F1E"/>
          <w:sz w:val="22"/>
          <w:szCs w:val="22"/>
          <w:lang w:val="es-ES" w:eastAsia="es-MX"/>
        </w:rPr>
        <w:t>El número de folio de respuesta de la solicitud de acceso;</w:t>
      </w:r>
    </w:p>
    <w:p w14:paraId="15CDFD50"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IV. </w:t>
      </w:r>
      <w:r w:rsidRPr="001A3DEA">
        <w:rPr>
          <w:rFonts w:ascii="Palatino Linotype" w:eastAsia="Palatino Linotype" w:hAnsi="Palatino Linotype" w:cs="Palatino Linotype"/>
          <w:i/>
          <w:color w:val="201F1E"/>
          <w:sz w:val="22"/>
          <w:szCs w:val="22"/>
          <w:lang w:val="es-ES" w:eastAsia="es-MX"/>
        </w:rPr>
        <w:t>La fecha en que fue notificada la respuesta al solicitante o tuvo conocimiento del acto reclamado, o de presentación de la solicitud, en caso de falta de respuesta;</w:t>
      </w:r>
    </w:p>
    <w:p w14:paraId="1A7B9977"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V. </w:t>
      </w:r>
      <w:r w:rsidRPr="001A3DEA">
        <w:rPr>
          <w:rFonts w:ascii="Palatino Linotype" w:eastAsia="Palatino Linotype" w:hAnsi="Palatino Linotype" w:cs="Palatino Linotype"/>
          <w:i/>
          <w:color w:val="201F1E"/>
          <w:sz w:val="22"/>
          <w:szCs w:val="22"/>
          <w:lang w:val="es-ES" w:eastAsia="es-MX"/>
        </w:rPr>
        <w:t>El acto que se recurre;</w:t>
      </w:r>
    </w:p>
    <w:p w14:paraId="12BB34F0"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VI. </w:t>
      </w:r>
      <w:r w:rsidRPr="001A3DEA">
        <w:rPr>
          <w:rFonts w:ascii="Palatino Linotype" w:eastAsia="Palatino Linotype" w:hAnsi="Palatino Linotype" w:cs="Palatino Linotype"/>
          <w:i/>
          <w:color w:val="201F1E"/>
          <w:sz w:val="22"/>
          <w:szCs w:val="22"/>
          <w:lang w:val="es-ES" w:eastAsia="es-MX"/>
        </w:rPr>
        <w:t>Las razones o motivos de inconformidad;</w:t>
      </w:r>
    </w:p>
    <w:p w14:paraId="32EA9256"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VII. </w:t>
      </w:r>
      <w:r w:rsidRPr="001A3DEA">
        <w:rPr>
          <w:rFonts w:ascii="Palatino Linotype" w:eastAsia="Palatino Linotype" w:hAnsi="Palatino Linotype" w:cs="Palatino Linotype"/>
          <w:i/>
          <w:color w:val="201F1E"/>
          <w:sz w:val="22"/>
          <w:szCs w:val="22"/>
          <w:lang w:val="es-ES" w:eastAsia="es-MX"/>
        </w:rPr>
        <w:t>La copia de la respuesta que se impugna y, en su caso, de la notificación correspondiente, en el caso de respuesta de la solicitud; y</w:t>
      </w:r>
    </w:p>
    <w:p w14:paraId="6BFCBB17"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VIII. </w:t>
      </w:r>
      <w:r w:rsidRPr="001A3DEA">
        <w:rPr>
          <w:rFonts w:ascii="Palatino Linotype" w:eastAsia="Palatino Linotype" w:hAnsi="Palatino Linotype" w:cs="Palatino Linotype"/>
          <w:i/>
          <w:color w:val="201F1E"/>
          <w:sz w:val="22"/>
          <w:szCs w:val="22"/>
          <w:lang w:val="es-ES" w:eastAsia="es-MX"/>
        </w:rPr>
        <w:t>Firma del recurrente, en su caso, cuando se presente por escrito, requisito sin el cual se dará trámite al recurso.</w:t>
      </w:r>
    </w:p>
    <w:p w14:paraId="59A256FE"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Adicionalmente, se podrán anexar las pruebas y demás elementos que considere procedentes someter a juicio del Instituto.</w:t>
      </w:r>
    </w:p>
    <w:p w14:paraId="43F02F02"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En ningún caso será necesario que el particular ratifique el recurso de revisión interpuesto.</w:t>
      </w:r>
    </w:p>
    <w:p w14:paraId="7048264E"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u w:val="single"/>
          <w:lang w:val="es-ES" w:eastAsia="es-MX"/>
        </w:rPr>
        <w:t>En caso de que el recurso se interponga de manera electrónica no será indispensable que contengan los requisitos establecidos en las fracciones II</w:t>
      </w:r>
      <w:r w:rsidRPr="001A3DEA">
        <w:rPr>
          <w:rFonts w:ascii="Palatino Linotype" w:eastAsia="Palatino Linotype" w:hAnsi="Palatino Linotype" w:cs="Palatino Linotype"/>
          <w:i/>
          <w:color w:val="201F1E"/>
          <w:sz w:val="22"/>
          <w:szCs w:val="22"/>
          <w:lang w:val="es-ES" w:eastAsia="es-MX"/>
        </w:rPr>
        <w:t>, IV, VII y VIII.</w:t>
      </w:r>
      <w:r w:rsidRPr="001A3DEA">
        <w:rPr>
          <w:rFonts w:ascii="Palatino Linotype" w:eastAsia="Palatino Linotype" w:hAnsi="Palatino Linotype" w:cs="Palatino Linotype"/>
          <w:b/>
          <w:i/>
          <w:color w:val="201F1E"/>
          <w:sz w:val="22"/>
          <w:szCs w:val="22"/>
          <w:lang w:val="es-ES" w:eastAsia="es-MX"/>
        </w:rPr>
        <w:t>”</w:t>
      </w:r>
    </w:p>
    <w:p w14:paraId="1AF28296"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sz w:val="22"/>
          <w:szCs w:val="22"/>
          <w:lang w:val="es-ES" w:eastAsia="es-MX"/>
        </w:rPr>
        <w:t>(Énfasis añadido)</w:t>
      </w:r>
    </w:p>
    <w:p w14:paraId="64887EE5" w14:textId="77777777" w:rsidR="005342F7" w:rsidRPr="001A3DEA" w:rsidRDefault="005342F7" w:rsidP="005342F7">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 </w:t>
      </w:r>
    </w:p>
    <w:p w14:paraId="6378FF31"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En principio, de una interpretación del artículo transcrito se observan los requisitos que deberán contener los recursos de revisión; sobre el particular, de la revisión del expediente electrónico del </w:t>
      </w:r>
      <w:r w:rsidRPr="001A3DEA">
        <w:rPr>
          <w:rFonts w:ascii="Palatino Linotype" w:eastAsia="Palatino Linotype" w:hAnsi="Palatino Linotype" w:cs="Palatino Linotype"/>
          <w:b/>
          <w:color w:val="201F1E"/>
          <w:lang w:val="es-ES" w:eastAsia="es-MX"/>
        </w:rPr>
        <w:t>SAIMEX</w:t>
      </w:r>
      <w:r w:rsidRPr="001A3DEA">
        <w:rPr>
          <w:rFonts w:ascii="Palatino Linotype" w:eastAsia="Palatino Linotype" w:hAnsi="Palatino Linotype" w:cs="Palatino Linotype"/>
          <w:color w:val="201F1E"/>
          <w:lang w:val="es-ES" w:eastAsia="es-MX"/>
        </w:rPr>
        <w:t> se desprende que la parte solicitante y ahora </w:t>
      </w:r>
      <w:r w:rsidRPr="001A3DEA">
        <w:rPr>
          <w:rFonts w:ascii="Palatino Linotype" w:eastAsia="Palatino Linotype" w:hAnsi="Palatino Linotype" w:cs="Palatino Linotype"/>
          <w:b/>
          <w:color w:val="201F1E"/>
          <w:lang w:val="es-ES" w:eastAsia="es-MX"/>
        </w:rPr>
        <w:t>RECURRENTE</w:t>
      </w:r>
      <w:r w:rsidRPr="001A3DEA">
        <w:rPr>
          <w:rFonts w:ascii="Palatino Linotype" w:eastAsia="Palatino Linotype" w:hAnsi="Palatino Linotype" w:cs="Palatino Linotype"/>
          <w:color w:val="201F1E"/>
          <w:lang w:val="es-ES" w:eastAsia="es-MX"/>
        </w:rPr>
        <w:t>, en ejercicio de su derecho de acceso a la información pública, no proporcionó su nombre para que sea identificado, por lo que no se tiene certeza sobre su identidad, lo que en estricto sentido, provoca que no se colmen los requisitos establecidos en el citado artículo 180 de la Ley de Transparencia.</w:t>
      </w:r>
    </w:p>
    <w:p w14:paraId="33E2D923"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20B0E17E"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Empero lo anterior, debe destacarse que el artículo 15 de Ley de Transparencia y Acceso a la Información Pública del Estado de México y Municipios prevé que, toda persona tendrá acceso a la información </w:t>
      </w:r>
      <w:r w:rsidRPr="001A3DEA">
        <w:rPr>
          <w:rFonts w:ascii="Palatino Linotype" w:eastAsia="Palatino Linotype" w:hAnsi="Palatino Linotype" w:cs="Palatino Linotype"/>
          <w:color w:val="000000"/>
          <w:lang w:val="es-ES" w:eastAsia="es-MX"/>
        </w:rPr>
        <w:t>sin necesidad de acreditar interés alguno o justificar su utilización, de lo que se infiere que para el </w:t>
      </w:r>
      <w:r w:rsidRPr="001A3DEA">
        <w:rPr>
          <w:rFonts w:ascii="Palatino Linotype" w:eastAsia="Palatino Linotype" w:hAnsi="Palatino Linotype" w:cs="Palatino Linotype"/>
          <w:color w:val="201F1E"/>
          <w:lang w:val="es-ES" w:eastAsia="es-MX"/>
        </w:rPr>
        <w:t>ejercicio</w:t>
      </w:r>
      <w:r w:rsidRPr="001A3DEA">
        <w:rPr>
          <w:rFonts w:ascii="Palatino Linotype" w:eastAsia="Palatino Linotype" w:hAnsi="Palatino Linotype" w:cs="Palatino Linotype"/>
          <w:color w:val="000000"/>
          <w:lang w:val="es-ES" w:eastAsia="es-MX"/>
        </w:rPr>
        <w:t> del derecho de acceso a la información pública, </w:t>
      </w:r>
      <w:r w:rsidRPr="001A3DEA">
        <w:rPr>
          <w:rFonts w:ascii="Palatino Linotype" w:eastAsia="Palatino Linotype" w:hAnsi="Palatino Linotype" w:cs="Palatino Linotype"/>
          <w:b/>
          <w:color w:val="000000"/>
          <w:u w:val="single"/>
          <w:lang w:val="es-ES" w:eastAsia="es-MX"/>
        </w:rPr>
        <w:t>el nombre no es un requisito </w:t>
      </w:r>
      <w:r w:rsidRPr="001A3DEA">
        <w:rPr>
          <w:rFonts w:ascii="Palatino Linotype" w:eastAsia="Palatino Linotype" w:hAnsi="Palatino Linotype" w:cs="Palatino Linotype"/>
          <w:b/>
          <w:i/>
          <w:color w:val="000000"/>
          <w:u w:val="single"/>
          <w:lang w:val="es-ES" w:eastAsia="es-MX"/>
        </w:rPr>
        <w:t>sine qua non</w:t>
      </w:r>
      <w:r w:rsidRPr="001A3DEA">
        <w:rPr>
          <w:rFonts w:ascii="Palatino Linotype" w:eastAsia="Palatino Linotype" w:hAnsi="Palatino Linotype" w:cs="Palatino Linotype"/>
          <w:color w:val="000000"/>
          <w:lang w:val="es-ES"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CC76714"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48CA4EF8" w14:textId="4F8ACCCA"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 xml:space="preserve">Correlativo a ello, cabe mencionar que los artículos 6, Apartado A, fracciones III y IV de la Constitución Política de los Estados Unidos Mexicanos y 5, párrafos </w:t>
      </w:r>
      <w:r w:rsidR="0033096E" w:rsidRPr="001A3DEA">
        <w:rPr>
          <w:rFonts w:ascii="Palatino Linotype" w:eastAsia="Palatino Linotype" w:hAnsi="Palatino Linotype" w:cs="Palatino Linotype"/>
          <w:color w:val="201F1E"/>
          <w:lang w:val="es-ES" w:eastAsia="es-MX"/>
        </w:rPr>
        <w:t>tr</w:t>
      </w:r>
      <w:r w:rsidRPr="001A3DEA">
        <w:rPr>
          <w:rFonts w:ascii="Palatino Linotype" w:eastAsia="Palatino Linotype" w:hAnsi="Palatino Linotype" w:cs="Palatino Linotype"/>
          <w:color w:val="201F1E"/>
          <w:lang w:val="es-ES" w:eastAsia="es-MX"/>
        </w:rPr>
        <w:t xml:space="preserve">igésimo, </w:t>
      </w:r>
      <w:r w:rsidR="0033096E" w:rsidRPr="001A3DEA">
        <w:rPr>
          <w:rFonts w:ascii="Palatino Linotype" w:eastAsia="Palatino Linotype" w:hAnsi="Palatino Linotype" w:cs="Palatino Linotype"/>
          <w:color w:val="201F1E"/>
          <w:lang w:val="es-ES" w:eastAsia="es-MX"/>
        </w:rPr>
        <w:t>tr</w:t>
      </w:r>
      <w:r w:rsidRPr="001A3DEA">
        <w:rPr>
          <w:rFonts w:ascii="Palatino Linotype" w:eastAsia="Palatino Linotype" w:hAnsi="Palatino Linotype" w:cs="Palatino Linotype"/>
          <w:color w:val="201F1E"/>
          <w:lang w:val="es-ES" w:eastAsia="es-MX"/>
        </w:rPr>
        <w:t xml:space="preserve">igésimo </w:t>
      </w:r>
      <w:r w:rsidR="0033096E" w:rsidRPr="001A3DEA">
        <w:rPr>
          <w:rFonts w:ascii="Palatino Linotype" w:eastAsia="Palatino Linotype" w:hAnsi="Palatino Linotype" w:cs="Palatino Linotype"/>
          <w:color w:val="201F1E"/>
          <w:lang w:val="es-ES" w:eastAsia="es-MX"/>
        </w:rPr>
        <w:t>primero</w:t>
      </w:r>
      <w:r w:rsidRPr="001A3DEA">
        <w:rPr>
          <w:rFonts w:ascii="Palatino Linotype" w:eastAsia="Palatino Linotype" w:hAnsi="Palatino Linotype" w:cs="Palatino Linotype"/>
          <w:color w:val="201F1E"/>
          <w:lang w:val="es-ES" w:eastAsia="es-MX"/>
        </w:rPr>
        <w:t xml:space="preserve"> y </w:t>
      </w:r>
      <w:r w:rsidR="0033096E" w:rsidRPr="001A3DEA">
        <w:rPr>
          <w:rFonts w:ascii="Palatino Linotype" w:eastAsia="Palatino Linotype" w:hAnsi="Palatino Linotype" w:cs="Palatino Linotype"/>
          <w:color w:val="201F1E"/>
          <w:lang w:val="es-ES" w:eastAsia="es-MX"/>
        </w:rPr>
        <w:t>tr</w:t>
      </w:r>
      <w:r w:rsidRPr="001A3DEA">
        <w:rPr>
          <w:rFonts w:ascii="Palatino Linotype" w:eastAsia="Palatino Linotype" w:hAnsi="Palatino Linotype" w:cs="Palatino Linotype"/>
          <w:color w:val="201F1E"/>
          <w:lang w:val="es-ES" w:eastAsia="es-MX"/>
        </w:rPr>
        <w:t xml:space="preserve">igésimo </w:t>
      </w:r>
      <w:r w:rsidR="0033096E" w:rsidRPr="001A3DEA">
        <w:rPr>
          <w:rFonts w:ascii="Palatino Linotype" w:eastAsia="Palatino Linotype" w:hAnsi="Palatino Linotype" w:cs="Palatino Linotype"/>
          <w:color w:val="201F1E"/>
          <w:lang w:val="es-ES" w:eastAsia="es-MX"/>
        </w:rPr>
        <w:t>segundo</w:t>
      </w:r>
      <w:r w:rsidRPr="001A3DEA">
        <w:rPr>
          <w:rFonts w:ascii="Palatino Linotype" w:eastAsia="Palatino Linotype" w:hAnsi="Palatino Linotype" w:cs="Palatino Linotype"/>
          <w:color w:val="201F1E"/>
          <w:lang w:val="es-ES" w:eastAsia="es-MX"/>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4445EBB"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 </w:t>
      </w:r>
    </w:p>
    <w:p w14:paraId="1DF2EF39" w14:textId="77777777" w:rsidR="005342F7" w:rsidRPr="001A3DEA" w:rsidRDefault="005342F7" w:rsidP="005342F7">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Constitución Política de los Estados Unidos Mexicanos</w:t>
      </w:r>
    </w:p>
    <w:p w14:paraId="0BD01588"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“Artículo 6o.</w:t>
      </w:r>
      <w:r w:rsidRPr="001A3DEA">
        <w:rPr>
          <w:rFonts w:ascii="Palatino Linotype" w:eastAsia="Palatino Linotype" w:hAnsi="Palatino Linotype" w:cs="Palatino Linotype"/>
          <w:i/>
          <w:color w:val="201F1E"/>
          <w:sz w:val="22"/>
          <w:szCs w:val="22"/>
          <w:lang w:val="es-ES"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A3DEA">
        <w:rPr>
          <w:rFonts w:ascii="Palatino Linotype" w:eastAsia="Palatino Linotype" w:hAnsi="Palatino Linotype" w:cs="Palatino Linotype"/>
          <w:b/>
          <w:i/>
          <w:color w:val="201F1E"/>
          <w:sz w:val="22"/>
          <w:szCs w:val="22"/>
          <w:lang w:val="es-ES" w:eastAsia="es-MX"/>
        </w:rPr>
        <w:t>El derecho a la información será garantizado por el Estado.</w:t>
      </w:r>
    </w:p>
    <w:p w14:paraId="48D6C23F"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Toda persona tiene derecho al libre acceso a información plural y oportuna, así como a buscar, recibir y difundir información e ideas de toda índole por cualquier medio de expresión.</w:t>
      </w:r>
    </w:p>
    <w:p w14:paraId="71E6BB6F"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Para efectos de lo dispuesto en el presente artículo se observará lo siguiente:</w:t>
      </w:r>
    </w:p>
    <w:p w14:paraId="3BB17547"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A. Para el ejercicio del derecho de acceso a la información, la Federación, los Estados y el Distrito Federal, en el ámbito de sus respectivas competencias, se regirán por los siguientes principios y bases:</w:t>
      </w:r>
    </w:p>
    <w:p w14:paraId="21ED0A9F"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u w:val="single"/>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BD49D5"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II.    La información que se refiere a la vida privada y los datos personales será protegida en los términos y con las excepciones que fijen las leyes.</w:t>
      </w:r>
    </w:p>
    <w:p w14:paraId="01C64294"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u w:val="single"/>
          <w:lang w:val="es-ES" w:eastAsia="es-MX"/>
        </w:rPr>
        <w:t>III.   Toda persona, sin necesidad de acreditar interés alguno o justificar su utilización, tendrá acceso gratuito a la información pública, a sus datos personales o a la rectificación de éstos.</w:t>
      </w:r>
    </w:p>
    <w:p w14:paraId="2DF4E535"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IV.   Se establecerán mecanismos de acceso a la información y procedimientos de revisión expeditos que se sustanciarán ante los organismos autónomos especializados e imparciales que establece esta Constitución.</w:t>
      </w:r>
    </w:p>
    <w:p w14:paraId="2709FA00"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u w:val="single"/>
          <w:lang w:val="es-ES"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4C89104"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u w:val="single"/>
          <w:lang w:val="es-ES" w:eastAsia="es-MX"/>
        </w:rPr>
        <w:t>VI.   Las leyes determinarán la manera en que los sujetos obligados deberán hacer pública la información relativa a los recursos públicos que entreguen a personas físicas o morales.</w:t>
      </w:r>
    </w:p>
    <w:p w14:paraId="5D701713"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VII. La inobservancia a las disposiciones en materia de acceso a la información pública será sancionada en los términos que dispongan las leyes.</w:t>
      </w:r>
    </w:p>
    <w:p w14:paraId="30321ED4"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DD56636"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w:t>
      </w:r>
    </w:p>
    <w:p w14:paraId="4EBEEC20"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u w:val="single"/>
          <w:lang w:val="es-ES" w:eastAsia="es-MX"/>
        </w:rPr>
        <w:t>La ley establecerá aquella información que se considere reservada o confidencial.</w:t>
      </w:r>
      <w:r w:rsidRPr="001A3DEA">
        <w:rPr>
          <w:rFonts w:ascii="Palatino Linotype" w:eastAsia="Palatino Linotype" w:hAnsi="Palatino Linotype" w:cs="Palatino Linotype"/>
          <w:b/>
          <w:i/>
          <w:color w:val="201F1E"/>
          <w:sz w:val="22"/>
          <w:szCs w:val="22"/>
          <w:lang w:val="es-ES" w:eastAsia="es-MX"/>
        </w:rPr>
        <w:t>”</w:t>
      </w:r>
    </w:p>
    <w:p w14:paraId="0D755E8C"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000000"/>
          <w:sz w:val="22"/>
          <w:szCs w:val="22"/>
          <w:lang w:val="es-ES" w:eastAsia="es-MX"/>
        </w:rPr>
        <w:t> </w:t>
      </w:r>
    </w:p>
    <w:p w14:paraId="6AB8C8F2" w14:textId="77777777" w:rsidR="005342F7" w:rsidRPr="001A3DEA" w:rsidRDefault="005342F7" w:rsidP="005342F7">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Constitución Política del Estado Libre y Soberano de México</w:t>
      </w:r>
    </w:p>
    <w:p w14:paraId="4E01CC92" w14:textId="77777777" w:rsidR="005342F7" w:rsidRPr="001A3DEA" w:rsidRDefault="005342F7" w:rsidP="005342F7">
      <w:pPr>
        <w:pBdr>
          <w:top w:val="nil"/>
          <w:left w:val="nil"/>
          <w:bottom w:val="nil"/>
          <w:right w:val="nil"/>
          <w:between w:val="nil"/>
        </w:pBdr>
        <w:shd w:val="clear" w:color="auto" w:fill="FFFFFF"/>
        <w:ind w:left="851" w:right="901"/>
        <w:jc w:val="center"/>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 </w:t>
      </w:r>
    </w:p>
    <w:p w14:paraId="3611E304"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“Artículo 5.  …</w:t>
      </w:r>
    </w:p>
    <w:p w14:paraId="673EF275"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El derecho a la información será garantizado por el Estado. La ley establecerá las previsiones que permitan asegurar la protección, el respeto y la difusión de este derecho.</w:t>
      </w:r>
    </w:p>
    <w:p w14:paraId="74E862D2"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23F6D9"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Este derecho se regirá por los principios y bases siguientes:</w:t>
      </w:r>
    </w:p>
    <w:p w14:paraId="08C18D52"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I. Toda la información en posesión de cualquier autoridad, entidad, órgano y organismos de los Poderes Ejecutivo, Legislativo y Judicial, órganos autónomos, partidos políticos, fideicomisos y fondos públicos estatales y municipales</w:t>
      </w:r>
      <w:r w:rsidRPr="001A3DEA">
        <w:rPr>
          <w:rFonts w:ascii="Palatino Linotype" w:eastAsia="Palatino Linotype" w:hAnsi="Palatino Linotype" w:cs="Palatino Linotype"/>
          <w:i/>
          <w:color w:val="201F1E"/>
          <w:sz w:val="22"/>
          <w:szCs w:val="22"/>
          <w:lang w:val="es-ES"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45735E5"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II.</w:t>
      </w:r>
      <w:r w:rsidRPr="001A3DEA">
        <w:rPr>
          <w:rFonts w:ascii="Palatino Linotype" w:eastAsia="Palatino Linotype" w:hAnsi="Palatino Linotype" w:cs="Palatino Linotype"/>
          <w:i/>
          <w:color w:val="201F1E"/>
          <w:sz w:val="22"/>
          <w:szCs w:val="22"/>
          <w:lang w:val="es-ES" w:eastAsia="es-MX"/>
        </w:rPr>
        <w:t> La información referente a la intimidad de la vida privada y la imagen de las personas será protegida a través de un marco jurídico rígido de tratamiento y manejo de datos personales, con las excepciones que establezca la ley reglamentaria.</w:t>
      </w:r>
    </w:p>
    <w:p w14:paraId="20BB4106"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III. Toda persona, sin necesidad de acreditar interés alguno o justificar su utilización, tendrá acceso gratuito a la información pública, a sus datos personales o a la rectificación de éstos.</w:t>
      </w:r>
    </w:p>
    <w:p w14:paraId="4ABA4AD0"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IV.</w:t>
      </w:r>
      <w:r w:rsidRPr="001A3DEA">
        <w:rPr>
          <w:rFonts w:ascii="Palatino Linotype" w:eastAsia="Palatino Linotype" w:hAnsi="Palatino Linotype" w:cs="Palatino Linotype"/>
          <w:i/>
          <w:color w:val="201F1E"/>
          <w:sz w:val="22"/>
          <w:szCs w:val="22"/>
          <w:lang w:val="es-ES" w:eastAsia="es-MX"/>
        </w:rPr>
        <w:t> Se establecerán mecanismos de acceso a la información y procedimientos de revisión expeditos que se sustanciarán ante el organismo autónomo especializado e imparcial que establece esta Constitución.</w:t>
      </w:r>
    </w:p>
    <w:p w14:paraId="67D4D9EA"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V.</w:t>
      </w:r>
      <w:r w:rsidRPr="001A3DEA">
        <w:rPr>
          <w:rFonts w:ascii="Palatino Linotype" w:eastAsia="Palatino Linotype" w:hAnsi="Palatino Linotype" w:cs="Palatino Linotype"/>
          <w:i/>
          <w:color w:val="201F1E"/>
          <w:sz w:val="22"/>
          <w:szCs w:val="22"/>
          <w:lang w:val="es-ES" w:eastAsia="es-MX"/>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A3DEA">
        <w:rPr>
          <w:rFonts w:ascii="Palatino Linotype" w:eastAsia="Palatino Linotype" w:hAnsi="Palatino Linotype" w:cs="Palatino Linotype"/>
          <w:b/>
          <w:i/>
          <w:color w:val="201F1E"/>
          <w:sz w:val="22"/>
          <w:szCs w:val="22"/>
          <w:lang w:val="es-ES" w:eastAsia="es-MX"/>
        </w:rPr>
        <w:t>”</w:t>
      </w:r>
    </w:p>
    <w:p w14:paraId="6BB8C35E"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sz w:val="22"/>
          <w:szCs w:val="22"/>
          <w:lang w:val="es-ES" w:eastAsia="es-MX"/>
        </w:rPr>
        <w:t>(Énfasis añadido)</w:t>
      </w:r>
    </w:p>
    <w:p w14:paraId="2A2BD36D" w14:textId="77777777" w:rsidR="005342F7" w:rsidRPr="001A3DEA" w:rsidRDefault="005342F7" w:rsidP="005342F7">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sz w:val="22"/>
          <w:szCs w:val="22"/>
          <w:lang w:val="es-ES" w:eastAsia="es-MX"/>
        </w:rPr>
        <w:t> </w:t>
      </w:r>
    </w:p>
    <w:p w14:paraId="6E5AD430"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Por otra parte, del contenido del artículo 1 de la Constitución Política de los Estados Unidos Mexicanos, se destaca lo siguiente:</w:t>
      </w:r>
    </w:p>
    <w:p w14:paraId="2D8B1C3E"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 </w:t>
      </w:r>
    </w:p>
    <w:p w14:paraId="4CC73217"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“Artículo 1o</w:t>
      </w:r>
      <w:r w:rsidRPr="001A3DEA">
        <w:rPr>
          <w:rFonts w:ascii="Palatino Linotype" w:eastAsia="Palatino Linotype" w:hAnsi="Palatino Linotype" w:cs="Palatino Linotype"/>
          <w:i/>
          <w:color w:val="201F1E"/>
          <w:sz w:val="22"/>
          <w:szCs w:val="22"/>
          <w:lang w:val="es-ES"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D985B5"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u w:val="single"/>
          <w:lang w:val="es-ES" w:eastAsia="es-MX"/>
        </w:rPr>
        <w:t>Las normas relativas a los derechos humanos se interpretarán</w:t>
      </w:r>
      <w:r w:rsidRPr="001A3DEA">
        <w:rPr>
          <w:rFonts w:ascii="Palatino Linotype" w:eastAsia="Palatino Linotype" w:hAnsi="Palatino Linotype" w:cs="Palatino Linotype"/>
          <w:i/>
          <w:color w:val="201F1E"/>
          <w:sz w:val="22"/>
          <w:szCs w:val="22"/>
          <w:lang w:val="es-ES" w:eastAsia="es-MX"/>
        </w:rPr>
        <w:t> de conformidad con esta Constitución y con los tratados internacionales de la </w:t>
      </w:r>
      <w:r w:rsidRPr="001A3DEA">
        <w:rPr>
          <w:rFonts w:ascii="Palatino Linotype" w:eastAsia="Palatino Linotype" w:hAnsi="Palatino Linotype" w:cs="Palatino Linotype"/>
          <w:b/>
          <w:i/>
          <w:color w:val="201F1E"/>
          <w:sz w:val="22"/>
          <w:szCs w:val="22"/>
          <w:lang w:val="es-ES" w:eastAsia="es-MX"/>
        </w:rPr>
        <w:t>materia </w:t>
      </w:r>
      <w:r w:rsidRPr="001A3DEA">
        <w:rPr>
          <w:rFonts w:ascii="Palatino Linotype" w:eastAsia="Palatino Linotype" w:hAnsi="Palatino Linotype" w:cs="Palatino Linotype"/>
          <w:b/>
          <w:i/>
          <w:color w:val="201F1E"/>
          <w:sz w:val="22"/>
          <w:szCs w:val="22"/>
          <w:u w:val="single"/>
          <w:lang w:val="es-ES" w:eastAsia="es-MX"/>
        </w:rPr>
        <w:t>favoreciendo en todo tiempo a las personas la protección más amplia</w:t>
      </w:r>
      <w:r w:rsidRPr="001A3DEA">
        <w:rPr>
          <w:rFonts w:ascii="Palatino Linotype" w:eastAsia="Palatino Linotype" w:hAnsi="Palatino Linotype" w:cs="Palatino Linotype"/>
          <w:b/>
          <w:i/>
          <w:color w:val="201F1E"/>
          <w:sz w:val="22"/>
          <w:szCs w:val="22"/>
          <w:lang w:val="es-ES" w:eastAsia="es-MX"/>
        </w:rPr>
        <w:t>.</w:t>
      </w:r>
    </w:p>
    <w:p w14:paraId="03EB3312"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u w:val="single"/>
          <w:lang w:val="es-ES"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1A3DEA">
        <w:rPr>
          <w:rFonts w:ascii="Palatino Linotype" w:eastAsia="Palatino Linotype" w:hAnsi="Palatino Linotype" w:cs="Palatino Linotype"/>
          <w:i/>
          <w:color w:val="201F1E"/>
          <w:sz w:val="22"/>
          <w:szCs w:val="22"/>
          <w:lang w:val="es-ES" w:eastAsia="es-MX"/>
        </w:rPr>
        <w:t>. En consecuencia, el Estado deberá prevenir, investigar, sancionar y reparar las violaciones a los derechos humanos, en los términos que establezca la ley.</w:t>
      </w:r>
      <w:r w:rsidRPr="001A3DEA">
        <w:rPr>
          <w:rFonts w:ascii="Palatino Linotype" w:eastAsia="Palatino Linotype" w:hAnsi="Palatino Linotype" w:cs="Palatino Linotype"/>
          <w:b/>
          <w:i/>
          <w:color w:val="201F1E"/>
          <w:sz w:val="22"/>
          <w:szCs w:val="22"/>
          <w:lang w:val="es-ES" w:eastAsia="es-MX"/>
        </w:rPr>
        <w:t>”</w:t>
      </w:r>
    </w:p>
    <w:p w14:paraId="7112E37F"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sz w:val="22"/>
          <w:szCs w:val="22"/>
          <w:lang w:val="es-ES" w:eastAsia="es-MX"/>
        </w:rPr>
        <w:t>(Énfasis añadido)</w:t>
      </w:r>
    </w:p>
    <w:p w14:paraId="7CAE748C" w14:textId="77777777" w:rsidR="005342F7" w:rsidRPr="001A3DEA" w:rsidRDefault="005342F7" w:rsidP="005342F7">
      <w:pPr>
        <w:pBdr>
          <w:top w:val="nil"/>
          <w:left w:val="nil"/>
          <w:bottom w:val="nil"/>
          <w:right w:val="nil"/>
          <w:between w:val="nil"/>
        </w:pBdr>
        <w:shd w:val="clear" w:color="auto" w:fill="FFFFFF"/>
        <w:spacing w:line="360" w:lineRule="auto"/>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sz w:val="22"/>
          <w:szCs w:val="22"/>
          <w:lang w:val="es-ES" w:eastAsia="es-MX"/>
        </w:rPr>
        <w:t> </w:t>
      </w:r>
    </w:p>
    <w:p w14:paraId="4BBA10FA"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2A12E0"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3522DCDD"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1A3DEA">
        <w:rPr>
          <w:rFonts w:ascii="Palatino Linotype" w:eastAsia="Palatino Linotype" w:hAnsi="Palatino Linotype" w:cs="Palatino Linotype"/>
          <w:color w:val="201F1E"/>
          <w:lang w:val="es-ES" w:eastAsia="es-MX"/>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157FDAB0"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64F54197"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b/>
          <w:i/>
          <w:color w:val="201F1E"/>
          <w:sz w:val="22"/>
          <w:szCs w:val="22"/>
          <w:lang w:val="es-ES" w:eastAsia="es-MX"/>
        </w:rPr>
        <w:t>“Acceso a información gubernamental. No debe condicionarse a que el solicitante acredite su personalidad, demuestre interés alguno o justifique su utilización.</w:t>
      </w:r>
      <w:r w:rsidRPr="001A3DEA">
        <w:rPr>
          <w:rFonts w:ascii="Palatino Linotype" w:eastAsia="Palatino Linotype" w:hAnsi="Palatino Linotype" w:cs="Palatino Linotype"/>
          <w:i/>
          <w:color w:val="201F1E"/>
          <w:sz w:val="22"/>
          <w:szCs w:val="22"/>
          <w:lang w:val="es-ES"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FE22BC7" w14:textId="77777777" w:rsidR="005342F7" w:rsidRPr="001A3DEA" w:rsidRDefault="005342F7" w:rsidP="005342F7">
      <w:pPr>
        <w:pBdr>
          <w:top w:val="nil"/>
          <w:left w:val="nil"/>
          <w:bottom w:val="nil"/>
          <w:right w:val="nil"/>
          <w:between w:val="nil"/>
        </w:pBdr>
        <w:shd w:val="clear" w:color="auto" w:fill="FFFFFF"/>
        <w:ind w:left="851" w:right="901"/>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i/>
          <w:color w:val="201F1E"/>
          <w:sz w:val="22"/>
          <w:szCs w:val="22"/>
          <w:lang w:val="es-ES" w:eastAsia="es-MX"/>
        </w:rPr>
        <w:t> </w:t>
      </w:r>
    </w:p>
    <w:p w14:paraId="12B636AE"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1A3DEA">
        <w:rPr>
          <w:rFonts w:ascii="Palatino Linotype" w:eastAsia="Palatino Linotype" w:hAnsi="Palatino Linotype" w:cs="Palatino Linotype"/>
          <w:color w:val="201F1E"/>
          <w:lang w:val="es-ES" w:eastAsia="es-MX"/>
        </w:rPr>
        <w:t>En ese orden de ideas, se estima que el requerimiento relativo al nombre como presupuesto de procedibilidad, podría limitar el ejercicio del derecho de acceso a la información pública, debido a que, el hecho de solicitar la identificación del</w:t>
      </w:r>
      <w:r w:rsidRPr="001A3DEA">
        <w:rPr>
          <w:rFonts w:ascii="Palatino Linotype" w:eastAsia="Palatino Linotype" w:hAnsi="Palatino Linotype" w:cs="Palatino Linotype"/>
          <w:b/>
          <w:color w:val="201F1E"/>
          <w:lang w:val="es-ES" w:eastAsia="es-MX"/>
        </w:rPr>
        <w:t> RECURRENTE</w:t>
      </w:r>
      <w:r w:rsidRPr="001A3DEA">
        <w:rPr>
          <w:rFonts w:ascii="Palatino Linotype" w:eastAsia="Palatino Linotype" w:hAnsi="Palatino Linotype" w:cs="Palatino Linotype"/>
          <w:color w:val="201F1E"/>
          <w:lang w:val="es-ES" w:eastAsia="es-MX"/>
        </w:rPr>
        <w:t> a través de dicho dato personal, en ciertos extremos se equipara a una exigencia acerca de su interés o justificación de su utilización, lo que materialmente haría nugatorio un derecho fundamental.</w:t>
      </w:r>
    </w:p>
    <w:p w14:paraId="735C6C54"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p>
    <w:p w14:paraId="3BB4B86B"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1F13BBE9"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531CA7B8"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lang w:val="es-ES" w:eastAsia="es-MX"/>
        </w:rPr>
      </w:pPr>
      <w:r w:rsidRPr="001A3DEA">
        <w:rPr>
          <w:rFonts w:ascii="Palatino Linotype" w:eastAsia="Palatino Linotype" w:hAnsi="Palatino Linotype" w:cs="Palatino Linotype"/>
          <w:color w:val="201F1E"/>
          <w:lang w:val="es-ES" w:eastAsia="es-MX"/>
        </w:rPr>
        <w:t>Asimismo, se estima que el requisito relativo al nombre del </w:t>
      </w:r>
      <w:r w:rsidRPr="001A3DEA">
        <w:rPr>
          <w:rFonts w:ascii="Palatino Linotype" w:eastAsia="Palatino Linotype" w:hAnsi="Palatino Linotype" w:cs="Palatino Linotype"/>
          <w:b/>
          <w:color w:val="201F1E"/>
          <w:lang w:val="es-ES" w:eastAsia="es-MX"/>
        </w:rPr>
        <w:t>RECURRENTE</w:t>
      </w:r>
      <w:r w:rsidRPr="001A3DEA">
        <w:rPr>
          <w:rFonts w:ascii="Palatino Linotype" w:eastAsia="Palatino Linotype" w:hAnsi="Palatino Linotype" w:cs="Palatino Linotype"/>
          <w:color w:val="201F1E"/>
          <w:lang w:val="es-ES" w:eastAsia="es-MX"/>
        </w:rPr>
        <w:t>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A3DEA">
        <w:rPr>
          <w:rFonts w:ascii="Palatino Linotype" w:eastAsia="Palatino Linotype" w:hAnsi="Palatino Linotype" w:cs="Palatino Linotype"/>
          <w:b/>
          <w:color w:val="201F1E"/>
          <w:lang w:val="es-ES" w:eastAsia="es-MX"/>
        </w:rPr>
        <w:t>EL RECURRENTE</w:t>
      </w:r>
      <w:r w:rsidRPr="001A3DEA">
        <w:rPr>
          <w:rFonts w:ascii="Palatino Linotype" w:eastAsia="Palatino Linotype" w:hAnsi="Palatino Linotype" w:cs="Palatino Linotype"/>
          <w:color w:val="201F1E"/>
          <w:lang w:val="es-ES" w:eastAsia="es-MX"/>
        </w:rPr>
        <w:t> es la misma persona que realizó la solicitud de acceso a la información pública que ahora se impugna.</w:t>
      </w:r>
    </w:p>
    <w:p w14:paraId="0D5B2207" w14:textId="77777777" w:rsidR="005342F7" w:rsidRPr="001A3DEA" w:rsidRDefault="005342F7" w:rsidP="005342F7">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0597565B" w14:textId="43AAC7BB" w:rsidR="004D6EDE" w:rsidRPr="001A3DEA" w:rsidRDefault="005342F7" w:rsidP="0031118C">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r w:rsidRPr="001A3DEA">
        <w:rPr>
          <w:rFonts w:ascii="Palatino Linotype" w:eastAsia="Palatino Linotype" w:hAnsi="Palatino Linotype" w:cs="Palatino Linotype"/>
          <w:color w:val="201F1E"/>
          <w:lang w:val="es-ES" w:eastAsia="es-MX"/>
        </w:rPr>
        <w:t>En adición a lo anterior, el propio artículo 180, en su último párrafo, establece que cuando el recurso de revisión se interponga de manera electrónica no será indispensable que contenga determinados requisitos, entre ellos, el nombre del</w:t>
      </w:r>
      <w:r w:rsidRPr="001A3DEA">
        <w:rPr>
          <w:rFonts w:ascii="Palatino Linotype" w:eastAsia="Palatino Linotype" w:hAnsi="Palatino Linotype" w:cs="Palatino Linotype"/>
          <w:b/>
          <w:color w:val="201F1E"/>
          <w:lang w:val="es-ES" w:eastAsia="es-MX"/>
        </w:rPr>
        <w:t> RECURRENTE;</w:t>
      </w:r>
      <w:r w:rsidRPr="001A3DEA">
        <w:rPr>
          <w:rFonts w:ascii="Palatino Linotype" w:eastAsia="Palatino Linotype" w:hAnsi="Palatino Linotype" w:cs="Palatino Linotype"/>
          <w:color w:val="201F1E"/>
          <w:lang w:val="es-ES" w:eastAsia="es-MX"/>
        </w:rPr>
        <w:t> por lo que, en el presente caso, al haber sido presentado el recurso de revisión vía </w:t>
      </w:r>
      <w:r w:rsidRPr="001A3DEA">
        <w:rPr>
          <w:rFonts w:ascii="Palatino Linotype" w:eastAsia="Palatino Linotype" w:hAnsi="Palatino Linotype" w:cs="Palatino Linotype"/>
          <w:b/>
          <w:color w:val="201F1E"/>
          <w:lang w:val="es-ES" w:eastAsia="es-MX"/>
        </w:rPr>
        <w:t>SAIMEX</w:t>
      </w:r>
      <w:r w:rsidRPr="001A3DEA">
        <w:rPr>
          <w:rFonts w:ascii="Palatino Linotype" w:eastAsia="Palatino Linotype" w:hAnsi="Palatino Linotype" w:cs="Palatino Linotype"/>
          <w:color w:val="201F1E"/>
          <w:lang w:val="es-ES" w:eastAsia="es-MX"/>
        </w:rPr>
        <w:t>, dicho requisito resulta innecesario.</w:t>
      </w:r>
    </w:p>
    <w:p w14:paraId="09BD2BFA" w14:textId="77777777" w:rsidR="0031118C" w:rsidRPr="001A3DEA" w:rsidRDefault="0031118C" w:rsidP="0031118C">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201F1E"/>
          <w:sz w:val="20"/>
          <w:szCs w:val="20"/>
          <w:lang w:val="es-ES" w:eastAsia="es-MX"/>
        </w:rPr>
      </w:pPr>
    </w:p>
    <w:p w14:paraId="19D8985C" w14:textId="77777777" w:rsidR="004D6EDE" w:rsidRPr="001A3DEA" w:rsidRDefault="004D6EDE" w:rsidP="004D6EDE">
      <w:pPr>
        <w:spacing w:line="360" w:lineRule="auto"/>
        <w:jc w:val="both"/>
        <w:rPr>
          <w:rFonts w:ascii="Palatino Linotype" w:hAnsi="Palatino Linotype" w:cs="Arial"/>
        </w:rPr>
      </w:pPr>
      <w:r w:rsidRPr="001A3DEA">
        <w:rPr>
          <w:rFonts w:ascii="Palatino Linotype" w:hAnsi="Palatino Linotype" w:cs="Arial"/>
          <w:b/>
          <w:sz w:val="28"/>
          <w:szCs w:val="28"/>
        </w:rPr>
        <w:t>QUINTO</w:t>
      </w:r>
      <w:r w:rsidRPr="001A3DEA">
        <w:rPr>
          <w:rFonts w:ascii="Palatino Linotype" w:hAnsi="Palatino Linotype" w:cs="Arial"/>
          <w:b/>
        </w:rPr>
        <w:t xml:space="preserve">. </w:t>
      </w:r>
      <w:r w:rsidRPr="001A3DEA">
        <w:rPr>
          <w:rFonts w:ascii="Palatino Linotype" w:eastAsiaTheme="minorEastAsia" w:hAnsi="Palatino Linotype" w:cs="Arial"/>
          <w:b/>
          <w:i/>
          <w:lang w:val="es-ES_tradnl"/>
        </w:rPr>
        <w:t>Estudio y resolución del asunto</w:t>
      </w:r>
      <w:r w:rsidRPr="001A3DEA">
        <w:rPr>
          <w:rFonts w:ascii="Palatino Linotype" w:eastAsiaTheme="minorEastAsia" w:hAnsi="Palatino Linotype" w:cstheme="minorBidi"/>
          <w:b/>
          <w:lang w:val="es-ES_tradnl"/>
        </w:rPr>
        <w:t xml:space="preserve">. </w:t>
      </w:r>
      <w:r w:rsidRPr="001A3DEA">
        <w:rPr>
          <w:rFonts w:ascii="Palatino Linotype" w:hAnsi="Palatino Linotype" w:cs="Arial"/>
        </w:rPr>
        <w:t xml:space="preserve">Una vez determinada la vía sobre la que versará el presente recurso, y previa revisión del expediente electrónico formado en </w:t>
      </w:r>
      <w:r w:rsidRPr="001A3DEA">
        <w:rPr>
          <w:rFonts w:ascii="Palatino Linotype" w:hAnsi="Palatino Linotype" w:cs="Arial"/>
          <w:b/>
        </w:rPr>
        <w:t>EL SAIMEX</w:t>
      </w:r>
      <w:r w:rsidRPr="001A3DE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2559B6D9" w14:textId="77777777" w:rsidR="004D6EDE" w:rsidRPr="001A3DEA" w:rsidRDefault="004D6EDE" w:rsidP="004D6EDE">
      <w:pPr>
        <w:spacing w:line="360" w:lineRule="auto"/>
        <w:jc w:val="both"/>
        <w:rPr>
          <w:rFonts w:ascii="Palatino Linotype" w:hAnsi="Palatino Linotype" w:cs="Arial"/>
          <w:sz w:val="18"/>
        </w:rPr>
      </w:pPr>
    </w:p>
    <w:p w14:paraId="6158E228" w14:textId="2599A2AB" w:rsidR="00EB54DB" w:rsidRPr="001A3DEA" w:rsidRDefault="00691BE0" w:rsidP="006D3B04">
      <w:pPr>
        <w:spacing w:line="360" w:lineRule="auto"/>
        <w:jc w:val="both"/>
        <w:rPr>
          <w:rFonts w:ascii="Palatino Linotype" w:hAnsi="Palatino Linotype"/>
          <w:i/>
          <w:sz w:val="22"/>
          <w:szCs w:val="22"/>
          <w:lang w:eastAsia="es-MX"/>
        </w:rPr>
      </w:pPr>
      <w:r w:rsidRPr="001A3DEA">
        <w:rPr>
          <w:rFonts w:ascii="Palatino Linotype" w:hAnsi="Palatino Linotype" w:cs="Arial"/>
          <w:szCs w:val="22"/>
        </w:rPr>
        <w:t xml:space="preserve">Primero se señala que el </w:t>
      </w:r>
      <w:r w:rsidR="00EB54DB" w:rsidRPr="001A3DEA">
        <w:rPr>
          <w:rFonts w:ascii="Palatino Linotype" w:hAnsi="Palatino Linotype" w:cs="Arial"/>
          <w:b/>
          <w:szCs w:val="22"/>
        </w:rPr>
        <w:t>RECURRENTE</w:t>
      </w:r>
      <w:r w:rsidR="00EB54DB" w:rsidRPr="001A3DEA">
        <w:rPr>
          <w:rFonts w:ascii="Palatino Linotype" w:hAnsi="Palatino Linotype" w:cs="Arial"/>
          <w:szCs w:val="22"/>
        </w:rPr>
        <w:t xml:space="preserve"> </w:t>
      </w:r>
      <w:r w:rsidRPr="001A3DEA">
        <w:rPr>
          <w:rFonts w:ascii="Palatino Linotype" w:hAnsi="Palatino Linotype" w:cs="Arial"/>
          <w:szCs w:val="22"/>
        </w:rPr>
        <w:t xml:space="preserve">requirió del </w:t>
      </w:r>
      <w:r w:rsidRPr="001A3DEA">
        <w:rPr>
          <w:rFonts w:ascii="Palatino Linotype" w:hAnsi="Palatino Linotype" w:cs="Arial"/>
          <w:b/>
          <w:szCs w:val="22"/>
        </w:rPr>
        <w:t>SUJETO OBLIGADO</w:t>
      </w:r>
      <w:r w:rsidRPr="001A3DEA">
        <w:rPr>
          <w:rFonts w:ascii="Palatino Linotype" w:hAnsi="Palatino Linotype" w:cs="Arial"/>
          <w:szCs w:val="22"/>
        </w:rPr>
        <w:t xml:space="preserve"> </w:t>
      </w:r>
      <w:r w:rsidR="00EB54DB" w:rsidRPr="001A3DEA">
        <w:rPr>
          <w:rFonts w:ascii="Palatino Linotype" w:hAnsi="Palatino Linotype" w:cs="Arial"/>
          <w:szCs w:val="22"/>
        </w:rPr>
        <w:t xml:space="preserve">lo referente a </w:t>
      </w:r>
      <w:r w:rsidR="00EB54DB" w:rsidRPr="001A3DEA">
        <w:rPr>
          <w:rFonts w:ascii="Palatino Linotype" w:hAnsi="Palatino Linotype" w:cs="Arial"/>
          <w:i/>
          <w:sz w:val="22"/>
          <w:szCs w:val="22"/>
        </w:rPr>
        <w:t>“</w:t>
      </w:r>
      <w:r w:rsidR="00EB54DB" w:rsidRPr="001A3DEA">
        <w:rPr>
          <w:rFonts w:ascii="Palatino Linotype" w:hAnsi="Palatino Linotype"/>
          <w:i/>
          <w:sz w:val="22"/>
          <w:szCs w:val="22"/>
          <w:lang w:eastAsia="es-MX"/>
        </w:rPr>
        <w:t>copia del contrato / estudios de mercado / facturas de los bienes comprados y revisión de bases que realizo su contraloría interna / copia del reporte que hicieron de los gastos erogados al Secretariado Ejecutivo del sistema nacional de Seguridad publica mas los RECURSOS LOCALES / FORTASEG y FASP de 2017 a la fecha sobre el como / informe de cada contraloría la revisión de bases, anexos técnicos de los bienes comprados, así como auditorías practicadas ( bienes para seguridad ) patrullas, moto patrullas, cámaras con poste y botón de pánico , precio detallado vehículo y equipo policial , ( lineamientos de FASP que aplicaron en cada caso con sus documentos técnicos ) empresa a la que se compro o rento la patrulla y el equipo policial o cámara , Numero de cámaras instaladas en la población , costo de su C5 o similar . con su contrato de obra y equipamiento detallado .”</w:t>
      </w:r>
    </w:p>
    <w:p w14:paraId="0FF31A3F" w14:textId="77777777" w:rsidR="00EB54DB" w:rsidRPr="001A3DEA" w:rsidRDefault="00EB54DB" w:rsidP="00EB54DB">
      <w:pPr>
        <w:jc w:val="both"/>
        <w:rPr>
          <w:rFonts w:ascii="Palatino Linotype" w:hAnsi="Palatino Linotype"/>
          <w:i/>
          <w:sz w:val="22"/>
          <w:szCs w:val="22"/>
          <w:lang w:eastAsia="es-MX"/>
        </w:rPr>
      </w:pPr>
    </w:p>
    <w:p w14:paraId="7C4299F5" w14:textId="09C4564C" w:rsidR="00EB54DB" w:rsidRPr="001A3DEA" w:rsidRDefault="00EB54DB" w:rsidP="00EB54DB">
      <w:pPr>
        <w:spacing w:line="360" w:lineRule="auto"/>
        <w:jc w:val="both"/>
        <w:rPr>
          <w:rFonts w:ascii="Palatino Linotype" w:hAnsi="Palatino Linotype"/>
          <w:lang w:eastAsia="es-MX"/>
        </w:rPr>
      </w:pPr>
      <w:r w:rsidRPr="001A3DEA">
        <w:rPr>
          <w:rFonts w:ascii="Palatino Linotype" w:hAnsi="Palatino Linotype"/>
          <w:lang w:eastAsia="es-MX"/>
        </w:rPr>
        <w:t xml:space="preserve">De lo anterior, es que </w:t>
      </w:r>
      <w:r w:rsidRPr="001A3DEA">
        <w:rPr>
          <w:rFonts w:ascii="Palatino Linotype" w:hAnsi="Palatino Linotype"/>
          <w:b/>
          <w:lang w:eastAsia="es-MX"/>
        </w:rPr>
        <w:t>EL SUJETO OBLIGADO</w:t>
      </w:r>
      <w:r w:rsidRPr="001A3DEA">
        <w:rPr>
          <w:rFonts w:ascii="Palatino Linotype" w:hAnsi="Palatino Linotype"/>
          <w:lang w:eastAsia="es-MX"/>
        </w:rPr>
        <w:t xml:space="preserve"> requirió aclaración a la solicitud de acceso a la información, a lo que el particular no dio contestación a la misma, por lo que la autoridad concluy</w:t>
      </w:r>
      <w:r w:rsidR="00AB0711" w:rsidRPr="001A3DEA">
        <w:rPr>
          <w:rFonts w:ascii="Palatino Linotype" w:hAnsi="Palatino Linotype"/>
          <w:lang w:eastAsia="es-MX"/>
        </w:rPr>
        <w:t>ó</w:t>
      </w:r>
      <w:r w:rsidRPr="001A3DEA">
        <w:rPr>
          <w:rFonts w:ascii="Palatino Linotype" w:hAnsi="Palatino Linotype"/>
          <w:lang w:eastAsia="es-MX"/>
        </w:rPr>
        <w:t xml:space="preserve"> dicha solicitud.</w:t>
      </w:r>
    </w:p>
    <w:p w14:paraId="5E01518D" w14:textId="77777777" w:rsidR="00EB54DB" w:rsidRPr="001A3DEA" w:rsidRDefault="00EB54DB" w:rsidP="00EB54DB">
      <w:pPr>
        <w:spacing w:line="360" w:lineRule="auto"/>
        <w:jc w:val="both"/>
        <w:rPr>
          <w:rFonts w:ascii="Palatino Linotype" w:hAnsi="Palatino Linotype"/>
          <w:lang w:eastAsia="es-MX"/>
        </w:rPr>
      </w:pPr>
    </w:p>
    <w:p w14:paraId="3D3C08E9" w14:textId="0180FE53" w:rsidR="00EB54DB" w:rsidRPr="001A3DEA" w:rsidRDefault="00EB54DB" w:rsidP="00EB54DB">
      <w:pPr>
        <w:spacing w:line="360" w:lineRule="auto"/>
        <w:jc w:val="both"/>
        <w:rPr>
          <w:rFonts w:ascii="Palatino Linotype" w:hAnsi="Palatino Linotype"/>
          <w:lang w:eastAsia="es-MX"/>
        </w:rPr>
      </w:pPr>
      <w:r w:rsidRPr="001A3DEA">
        <w:rPr>
          <w:rFonts w:ascii="Palatino Linotype" w:hAnsi="Palatino Linotype"/>
          <w:lang w:eastAsia="es-MX"/>
        </w:rPr>
        <w:t>De e</w:t>
      </w:r>
      <w:r w:rsidR="00AB0711" w:rsidRPr="001A3DEA">
        <w:rPr>
          <w:rFonts w:ascii="Palatino Linotype" w:hAnsi="Palatino Linotype"/>
          <w:lang w:eastAsia="es-MX"/>
        </w:rPr>
        <w:t>s</w:t>
      </w:r>
      <w:r w:rsidRPr="001A3DEA">
        <w:rPr>
          <w:rFonts w:ascii="Palatino Linotype" w:hAnsi="Palatino Linotype"/>
          <w:lang w:eastAsia="es-MX"/>
        </w:rPr>
        <w:t>ta forma es que el particular se inconforma ya que no le dio respuesta y le negó la información.</w:t>
      </w:r>
    </w:p>
    <w:p w14:paraId="0C2AA36F" w14:textId="77777777" w:rsidR="00EB54DB" w:rsidRPr="001A3DEA" w:rsidRDefault="00EB54DB" w:rsidP="00EB54DB">
      <w:pPr>
        <w:spacing w:line="360" w:lineRule="auto"/>
        <w:jc w:val="both"/>
        <w:rPr>
          <w:rFonts w:ascii="Palatino Linotype" w:hAnsi="Palatino Linotype"/>
          <w:lang w:eastAsia="es-MX"/>
        </w:rPr>
      </w:pPr>
    </w:p>
    <w:p w14:paraId="72DB164F" w14:textId="18B8FD81" w:rsidR="00EB54DB" w:rsidRPr="001A3DEA" w:rsidRDefault="00EB54DB" w:rsidP="00EB54DB">
      <w:pPr>
        <w:spacing w:line="360" w:lineRule="auto"/>
        <w:jc w:val="both"/>
        <w:rPr>
          <w:rFonts w:ascii="Palatino Linotype" w:hAnsi="Palatino Linotype"/>
          <w:lang w:eastAsia="es-MX"/>
        </w:rPr>
      </w:pPr>
      <w:r w:rsidRPr="001A3DEA">
        <w:rPr>
          <w:rFonts w:ascii="Palatino Linotype" w:hAnsi="Palatino Linotype"/>
          <w:lang w:eastAsia="es-MX"/>
        </w:rPr>
        <w:t xml:space="preserve">Es mediante Informe Justificado que </w:t>
      </w:r>
      <w:r w:rsidRPr="001A3DEA">
        <w:rPr>
          <w:rFonts w:ascii="Palatino Linotype" w:hAnsi="Palatino Linotype"/>
          <w:b/>
          <w:lang w:eastAsia="es-MX"/>
        </w:rPr>
        <w:t>EL SUJETO OBLIGADO</w:t>
      </w:r>
      <w:r w:rsidRPr="001A3DEA">
        <w:rPr>
          <w:rFonts w:ascii="Palatino Linotype" w:hAnsi="Palatino Linotype"/>
          <w:lang w:eastAsia="es-MX"/>
        </w:rPr>
        <w:t xml:space="preserve"> </w:t>
      </w:r>
      <w:r w:rsidR="00D90A80" w:rsidRPr="001A3DEA">
        <w:rPr>
          <w:rFonts w:ascii="Palatino Linotype" w:hAnsi="Palatino Linotype"/>
          <w:lang w:eastAsia="es-MX"/>
        </w:rPr>
        <w:t>le adjuntó</w:t>
      </w:r>
      <w:r w:rsidRPr="001A3DEA">
        <w:rPr>
          <w:rFonts w:ascii="Palatino Linotype" w:hAnsi="Palatino Linotype"/>
          <w:lang w:eastAsia="es-MX"/>
        </w:rPr>
        <w:t xml:space="preserve"> información </w:t>
      </w:r>
      <w:r w:rsidR="00DB3E1A" w:rsidRPr="001A3DEA">
        <w:rPr>
          <w:rFonts w:ascii="Palatino Linotype" w:hAnsi="Palatino Linotype"/>
          <w:lang w:eastAsia="es-MX"/>
        </w:rPr>
        <w:t xml:space="preserve">referente </w:t>
      </w:r>
      <w:r w:rsidRPr="001A3DEA">
        <w:rPr>
          <w:rFonts w:ascii="Palatino Linotype" w:hAnsi="Palatino Linotype"/>
          <w:lang w:eastAsia="es-MX"/>
        </w:rPr>
        <w:t>a facturas</w:t>
      </w:r>
      <w:r w:rsidR="00DB3E1A" w:rsidRPr="001A3DEA">
        <w:rPr>
          <w:rFonts w:ascii="Palatino Linotype" w:hAnsi="Palatino Linotype"/>
          <w:lang w:eastAsia="es-MX"/>
        </w:rPr>
        <w:t xml:space="preserve"> y contratos de los años 2017, 2019 y 2020</w:t>
      </w:r>
      <w:r w:rsidRPr="001A3DEA">
        <w:rPr>
          <w:rFonts w:ascii="Palatino Linotype" w:hAnsi="Palatino Linotype"/>
          <w:lang w:eastAsia="es-MX"/>
        </w:rPr>
        <w:t xml:space="preserve">, así como, estudios de mercado </w:t>
      </w:r>
      <w:r w:rsidR="00D54271" w:rsidRPr="001A3DEA">
        <w:rPr>
          <w:rFonts w:ascii="Palatino Linotype" w:hAnsi="Palatino Linotype"/>
          <w:lang w:eastAsia="es-MX"/>
        </w:rPr>
        <w:t>solo de 2019 y 2020, por lo que es incompleta la documentación que el ahora Recurrente</w:t>
      </w:r>
      <w:r w:rsidR="00AB0711" w:rsidRPr="001A3DEA">
        <w:rPr>
          <w:rFonts w:ascii="Palatino Linotype" w:hAnsi="Palatino Linotype"/>
          <w:lang w:eastAsia="es-MX"/>
        </w:rPr>
        <w:t xml:space="preserve"> </w:t>
      </w:r>
      <w:r w:rsidR="006A1412" w:rsidRPr="001A3DEA">
        <w:rPr>
          <w:rFonts w:ascii="Palatino Linotype" w:hAnsi="Palatino Linotype"/>
          <w:lang w:eastAsia="es-MX"/>
        </w:rPr>
        <w:t>solicitó</w:t>
      </w:r>
      <w:r w:rsidR="00D54271" w:rsidRPr="001A3DEA">
        <w:rPr>
          <w:rFonts w:ascii="Palatino Linotype" w:hAnsi="Palatino Linotype"/>
          <w:lang w:eastAsia="es-MX"/>
        </w:rPr>
        <w:t xml:space="preserve">; ello en virtud, de que </w:t>
      </w:r>
      <w:r w:rsidR="00863B70" w:rsidRPr="001A3DEA">
        <w:rPr>
          <w:rFonts w:ascii="Palatino Linotype" w:hAnsi="Palatino Linotype"/>
          <w:lang w:eastAsia="es-MX"/>
        </w:rPr>
        <w:t>no realizó un pronunciamiento de todo lo solicitado y sólo se concretó a mandar facturas y contratos.</w:t>
      </w:r>
    </w:p>
    <w:p w14:paraId="1933421B" w14:textId="77777777" w:rsidR="00863B70" w:rsidRPr="001A3DEA" w:rsidRDefault="00863B70" w:rsidP="00EB54DB">
      <w:pPr>
        <w:spacing w:line="360" w:lineRule="auto"/>
        <w:jc w:val="both"/>
        <w:rPr>
          <w:rFonts w:ascii="Palatino Linotype" w:hAnsi="Palatino Linotype"/>
          <w:lang w:eastAsia="es-MX"/>
        </w:rPr>
      </w:pPr>
    </w:p>
    <w:p w14:paraId="4E7C94CA" w14:textId="330F7AEA" w:rsidR="00863B70" w:rsidRPr="001A3DEA" w:rsidRDefault="00863B70" w:rsidP="00EB54DB">
      <w:pPr>
        <w:spacing w:line="360" w:lineRule="auto"/>
        <w:jc w:val="both"/>
        <w:rPr>
          <w:rFonts w:ascii="Palatino Linotype" w:hAnsi="Palatino Linotype"/>
          <w:lang w:eastAsia="es-MX"/>
        </w:rPr>
      </w:pPr>
      <w:r w:rsidRPr="001A3DEA">
        <w:rPr>
          <w:rFonts w:ascii="Palatino Linotype" w:hAnsi="Palatino Linotype"/>
          <w:lang w:eastAsia="es-MX"/>
        </w:rPr>
        <w:t xml:space="preserve">De lo anterior, </w:t>
      </w:r>
      <w:r w:rsidRPr="001A3DEA">
        <w:rPr>
          <w:rFonts w:ascii="Palatino Linotype" w:hAnsi="Palatino Linotype"/>
          <w:b/>
          <w:lang w:eastAsia="es-MX"/>
        </w:rPr>
        <w:t>EL SUJETO OBLIGADO</w:t>
      </w:r>
      <w:r w:rsidRPr="001A3DEA">
        <w:rPr>
          <w:rFonts w:ascii="Palatino Linotype" w:hAnsi="Palatino Linotype"/>
          <w:lang w:eastAsia="es-MX"/>
        </w:rPr>
        <w:t xml:space="preserve"> debe ajustarse a lo que disponen los artículos 4 y 12 de la Ley de Transparencia y Acceso a la Información Pública del Estado de México y Municipios que establecen:</w:t>
      </w:r>
    </w:p>
    <w:p w14:paraId="4146A3BB" w14:textId="30B2CD09" w:rsidR="002C6DB8" w:rsidRPr="001A3DEA" w:rsidRDefault="002C6DB8" w:rsidP="00892E6F">
      <w:pPr>
        <w:spacing w:line="360" w:lineRule="auto"/>
        <w:jc w:val="both"/>
        <w:rPr>
          <w:rFonts w:ascii="Palatino Linotype" w:hAnsi="Palatino Linotype" w:cs="Arial"/>
        </w:rPr>
      </w:pPr>
    </w:p>
    <w:p w14:paraId="747ADE98" w14:textId="77777777" w:rsidR="00863B70" w:rsidRPr="001A3DEA" w:rsidRDefault="00863B70" w:rsidP="00863B70">
      <w:pPr>
        <w:spacing w:line="276" w:lineRule="auto"/>
        <w:ind w:left="851" w:right="902"/>
        <w:jc w:val="both"/>
        <w:rPr>
          <w:rFonts w:ascii="Palatino Linotype" w:hAnsi="Palatino Linotype"/>
          <w:i/>
          <w:sz w:val="22"/>
          <w:szCs w:val="22"/>
        </w:rPr>
      </w:pPr>
      <w:r w:rsidRPr="001A3DEA">
        <w:rPr>
          <w:rFonts w:ascii="Palatino Linotype" w:hAnsi="Palatino Linotype"/>
          <w:b/>
          <w:i/>
          <w:sz w:val="22"/>
          <w:szCs w:val="22"/>
        </w:rPr>
        <w:t>Artículo 4.</w:t>
      </w:r>
      <w:r w:rsidRPr="001A3DEA">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F69E393" w14:textId="77777777" w:rsidR="00863B70" w:rsidRPr="001A3DEA" w:rsidRDefault="00863B70" w:rsidP="00863B70">
      <w:pPr>
        <w:spacing w:line="276" w:lineRule="auto"/>
        <w:ind w:left="851" w:right="902"/>
        <w:jc w:val="both"/>
        <w:rPr>
          <w:rFonts w:ascii="Palatino Linotype" w:hAnsi="Palatino Linotype"/>
          <w:i/>
          <w:sz w:val="22"/>
          <w:szCs w:val="22"/>
        </w:rPr>
      </w:pPr>
      <w:r w:rsidRPr="001A3DEA">
        <w:rPr>
          <w:rFonts w:ascii="Palatino Linotype" w:hAnsi="Palatino Linotype"/>
          <w:i/>
          <w:sz w:val="22"/>
          <w:szCs w:val="22"/>
        </w:rPr>
        <w:t xml:space="preserve">Solo podrá ser clasificada excepcionalmente como reservada temporalmente por razones de interés público, en los términos de las causas legítimas y estrictamente necesarias previstas por esta Ley. </w:t>
      </w:r>
    </w:p>
    <w:p w14:paraId="1FF4DF3F" w14:textId="6C4C2B82" w:rsidR="00CE1F82" w:rsidRPr="001A3DEA" w:rsidRDefault="00863B70" w:rsidP="00863B70">
      <w:pPr>
        <w:spacing w:line="276" w:lineRule="auto"/>
        <w:ind w:left="851" w:right="902"/>
        <w:jc w:val="both"/>
        <w:rPr>
          <w:rFonts w:ascii="Palatino Linotype" w:hAnsi="Palatino Linotype"/>
          <w:i/>
          <w:sz w:val="22"/>
          <w:szCs w:val="22"/>
        </w:rPr>
      </w:pPr>
      <w:r w:rsidRPr="001A3DEA">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71A79DE1" w14:textId="77777777" w:rsidR="00863B70" w:rsidRPr="001A3DEA" w:rsidRDefault="00863B70" w:rsidP="00863B70">
      <w:pPr>
        <w:spacing w:line="276" w:lineRule="auto"/>
        <w:ind w:left="851" w:right="902"/>
        <w:jc w:val="both"/>
        <w:rPr>
          <w:rFonts w:ascii="Palatino Linotype" w:hAnsi="Palatino Linotype"/>
          <w:i/>
          <w:sz w:val="22"/>
          <w:szCs w:val="22"/>
        </w:rPr>
      </w:pPr>
      <w:r w:rsidRPr="001A3DEA">
        <w:rPr>
          <w:rFonts w:ascii="Palatino Linotype" w:hAnsi="Palatino Linotype"/>
          <w:b/>
          <w:i/>
          <w:sz w:val="22"/>
          <w:szCs w:val="22"/>
        </w:rPr>
        <w:t>Artículo 12.</w:t>
      </w:r>
      <w:r w:rsidRPr="001A3DE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14:paraId="412E0167" w14:textId="4660C729" w:rsidR="00863B70" w:rsidRPr="001A3DEA" w:rsidRDefault="00863B70" w:rsidP="00863B70">
      <w:pPr>
        <w:spacing w:line="276" w:lineRule="auto"/>
        <w:ind w:left="851" w:right="902"/>
        <w:jc w:val="both"/>
        <w:rPr>
          <w:rFonts w:ascii="Palatino Linotype" w:hAnsi="Palatino Linotype" w:cs="Arial"/>
          <w:i/>
          <w:sz w:val="22"/>
          <w:szCs w:val="22"/>
        </w:rPr>
      </w:pPr>
      <w:r w:rsidRPr="001A3DEA">
        <w:rPr>
          <w:rFonts w:ascii="Palatino Linotype" w:hAnsi="Palatino Linotype"/>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5964A3F" w14:textId="77777777" w:rsidR="002C6DB8" w:rsidRPr="001A3DEA" w:rsidRDefault="002C6DB8" w:rsidP="003575B0">
      <w:pPr>
        <w:autoSpaceDE w:val="0"/>
        <w:autoSpaceDN w:val="0"/>
        <w:adjustRightInd w:val="0"/>
        <w:spacing w:line="360" w:lineRule="auto"/>
        <w:jc w:val="both"/>
        <w:rPr>
          <w:rFonts w:ascii="Palatino Linotype" w:hAnsi="Palatino Linotype" w:cs="Arial"/>
          <w:szCs w:val="22"/>
        </w:rPr>
      </w:pPr>
    </w:p>
    <w:p w14:paraId="11AB1BDF" w14:textId="0E57A83F" w:rsidR="002C6DB8" w:rsidRPr="001A3DEA" w:rsidRDefault="00863B70" w:rsidP="003575B0">
      <w:pPr>
        <w:autoSpaceDE w:val="0"/>
        <w:autoSpaceDN w:val="0"/>
        <w:adjustRightInd w:val="0"/>
        <w:spacing w:line="360" w:lineRule="auto"/>
        <w:jc w:val="both"/>
        <w:rPr>
          <w:rFonts w:ascii="Palatino Linotype" w:hAnsi="Palatino Linotype" w:cs="Arial"/>
          <w:szCs w:val="22"/>
        </w:rPr>
      </w:pPr>
      <w:r w:rsidRPr="001A3DEA">
        <w:rPr>
          <w:rFonts w:ascii="Palatino Linotype" w:hAnsi="Palatino Linotype" w:cs="Arial"/>
          <w:szCs w:val="22"/>
        </w:rPr>
        <w:t xml:space="preserve">Es de la normativa es estudio, que se debe garantizar </w:t>
      </w:r>
      <w:r w:rsidR="00C7233B" w:rsidRPr="001A3DEA">
        <w:rPr>
          <w:rFonts w:ascii="Palatino Linotype" w:hAnsi="Palatino Linotype" w:cs="Arial"/>
          <w:szCs w:val="22"/>
        </w:rPr>
        <w:t xml:space="preserve">el derecho de las personas para buscar, difundir, investigar, recabar, recibir y solicitar información pública por lo que los Sujetos Obligados deben poner en práctica, políticas y programas de acceso a la información que se apeguen a criterios de publicidad, veracidad, oportunidad, precisión y suficiencia en beneficio de los solicitantes, la cual si obra en poder de la Autoridad ya sea porque la genere, administre, posea </w:t>
      </w:r>
      <w:r w:rsidR="002466C5" w:rsidRPr="001A3DEA">
        <w:rPr>
          <w:rFonts w:ascii="Palatino Linotype" w:hAnsi="Palatino Linotype" w:cs="Arial"/>
          <w:szCs w:val="22"/>
        </w:rPr>
        <w:t>por cualquier medio, deberá ponerla a disposición de la ciudadanía en un ejercicio de máxima publicidad.</w:t>
      </w:r>
    </w:p>
    <w:p w14:paraId="5D83D1AC" w14:textId="791C23EF" w:rsidR="00B020F6" w:rsidRPr="001A3DEA" w:rsidRDefault="00B020F6" w:rsidP="003575B0">
      <w:pPr>
        <w:autoSpaceDE w:val="0"/>
        <w:autoSpaceDN w:val="0"/>
        <w:adjustRightInd w:val="0"/>
        <w:spacing w:line="360" w:lineRule="auto"/>
        <w:jc w:val="both"/>
        <w:rPr>
          <w:rFonts w:ascii="Palatino Linotype" w:hAnsi="Palatino Linotype" w:cs="Arial"/>
          <w:szCs w:val="22"/>
        </w:rPr>
      </w:pPr>
      <w:r w:rsidRPr="001A3DEA">
        <w:rPr>
          <w:rFonts w:ascii="Palatino Linotype" w:hAnsi="Palatino Linotype" w:cs="Arial"/>
          <w:szCs w:val="22"/>
        </w:rPr>
        <w:t>Es de esta forma, que la información es incompleta ya que remiti</w:t>
      </w:r>
      <w:r w:rsidR="00B94921" w:rsidRPr="001A3DEA">
        <w:rPr>
          <w:rFonts w:ascii="Palatino Linotype" w:hAnsi="Palatino Linotype" w:cs="Arial"/>
          <w:szCs w:val="22"/>
        </w:rPr>
        <w:t>ó contratos y facturas de los años 2017</w:t>
      </w:r>
      <w:r w:rsidR="006A1412" w:rsidRPr="001A3DEA">
        <w:rPr>
          <w:rFonts w:ascii="Palatino Linotype" w:hAnsi="Palatino Linotype" w:cs="Arial"/>
          <w:szCs w:val="22"/>
        </w:rPr>
        <w:t>,</w:t>
      </w:r>
      <w:r w:rsidR="00B94921" w:rsidRPr="001A3DEA">
        <w:rPr>
          <w:rFonts w:ascii="Palatino Linotype" w:hAnsi="Palatino Linotype" w:cs="Arial"/>
          <w:szCs w:val="22"/>
        </w:rPr>
        <w:t xml:space="preserve"> 2019 y 2020; sin embargo, no remitió nada de 2018 aunado que los estudios de mercado</w:t>
      </w:r>
      <w:r w:rsidR="009C4844" w:rsidRPr="001A3DEA">
        <w:rPr>
          <w:rFonts w:ascii="Palatino Linotype" w:hAnsi="Palatino Linotype" w:cs="Arial"/>
          <w:szCs w:val="22"/>
        </w:rPr>
        <w:t>,</w:t>
      </w:r>
      <w:r w:rsidR="00B94921" w:rsidRPr="001A3DEA">
        <w:rPr>
          <w:rFonts w:ascii="Palatino Linotype" w:hAnsi="Palatino Linotype" w:cs="Arial"/>
          <w:szCs w:val="22"/>
        </w:rPr>
        <w:t xml:space="preserve"> sólo remitió los de 2019 y 2020, faltando los de 2017 y 2018, siendo incompleta, dejando en estado de incertidumbre al particular, ya que no hubo pronunciamiento ni argumento de lo que adjuntó y sólo se limitó a mandar la información la cual se puso a la vista del particular</w:t>
      </w:r>
      <w:r w:rsidR="00AB0711" w:rsidRPr="001A3DEA">
        <w:rPr>
          <w:rFonts w:ascii="Palatino Linotype" w:hAnsi="Palatino Linotype" w:cs="Arial"/>
          <w:szCs w:val="22"/>
        </w:rPr>
        <w:t xml:space="preserve"> en términos de la fracción III, del artículo 185 de la Ley de Transparencia y Acceso a la Información Pública del Estado de México y Municipios</w:t>
      </w:r>
      <w:r w:rsidR="00B94921" w:rsidRPr="001A3DEA">
        <w:rPr>
          <w:rFonts w:ascii="Palatino Linotype" w:hAnsi="Palatino Linotype" w:cs="Arial"/>
          <w:szCs w:val="22"/>
        </w:rPr>
        <w:t xml:space="preserve">. </w:t>
      </w:r>
    </w:p>
    <w:p w14:paraId="6A5AFD3A" w14:textId="6E571709" w:rsidR="006A1412" w:rsidRPr="001A3DEA" w:rsidRDefault="006A1412" w:rsidP="003575B0">
      <w:pPr>
        <w:autoSpaceDE w:val="0"/>
        <w:autoSpaceDN w:val="0"/>
        <w:adjustRightInd w:val="0"/>
        <w:spacing w:line="360" w:lineRule="auto"/>
        <w:jc w:val="both"/>
        <w:rPr>
          <w:rFonts w:ascii="Palatino Linotype" w:hAnsi="Palatino Linotype" w:cs="Arial"/>
          <w:szCs w:val="22"/>
        </w:rPr>
      </w:pPr>
      <w:r w:rsidRPr="001A3DEA">
        <w:rPr>
          <w:noProof/>
          <w:lang w:eastAsia="es-MX"/>
        </w:rPr>
        <w:drawing>
          <wp:inline distT="0" distB="0" distL="0" distR="0" wp14:anchorId="1E1BA75D" wp14:editId="09B09141">
            <wp:extent cx="6464924" cy="47501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01585" cy="4777066"/>
                    </a:xfrm>
                    <a:prstGeom prst="rect">
                      <a:avLst/>
                    </a:prstGeom>
                  </pic:spPr>
                </pic:pic>
              </a:graphicData>
            </a:graphic>
          </wp:inline>
        </w:drawing>
      </w:r>
    </w:p>
    <w:p w14:paraId="42D24627" w14:textId="65C11767" w:rsidR="00B94921" w:rsidRPr="001A3DEA" w:rsidRDefault="00B94921" w:rsidP="00B94921">
      <w:pPr>
        <w:spacing w:line="360" w:lineRule="auto"/>
        <w:jc w:val="both"/>
        <w:rPr>
          <w:rFonts w:ascii="Palatino Linotype" w:hAnsi="Palatino Linotype"/>
          <w:color w:val="222222"/>
        </w:rPr>
      </w:pPr>
      <w:r w:rsidRPr="001A3DEA">
        <w:rPr>
          <w:rFonts w:ascii="Palatino Linotype" w:hAnsi="Palatino Linotype" w:cs="Arial"/>
          <w:szCs w:val="22"/>
        </w:rPr>
        <w:t xml:space="preserve">Por </w:t>
      </w:r>
      <w:r w:rsidRPr="001A3DEA">
        <w:rPr>
          <w:rFonts w:ascii="Palatino Linotype" w:eastAsia="Calibri" w:hAnsi="Palatino Linotype" w:cs="Tahoma"/>
          <w:bCs/>
          <w:lang w:eastAsia="en-US"/>
        </w:rPr>
        <w:t xml:space="preserve">lo que al respecto de este punto, </w:t>
      </w:r>
      <w:r w:rsidRPr="001A3DEA">
        <w:rPr>
          <w:rFonts w:ascii="Palatino Linotype" w:hAnsi="Palatino Linotype" w:cs="Arial"/>
        </w:rPr>
        <w:t xml:space="preserve">al hacer un pronunciamiento respecto de la información que es requerida por el particular, </w:t>
      </w:r>
      <w:r w:rsidRPr="001A3DEA">
        <w:rPr>
          <w:rFonts w:ascii="Palatino Linotype" w:hAnsi="Palatino Linotype"/>
          <w:color w:val="222222"/>
        </w:rPr>
        <w:t>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17DA1C1D" w14:textId="77777777" w:rsidR="00B94921" w:rsidRPr="001A3DEA" w:rsidRDefault="00B94921" w:rsidP="00B94921">
      <w:pPr>
        <w:shd w:val="clear" w:color="auto" w:fill="FFFFFF"/>
        <w:spacing w:line="221" w:lineRule="atLeast"/>
        <w:ind w:left="851" w:right="1276"/>
        <w:jc w:val="both"/>
        <w:rPr>
          <w:rFonts w:ascii="Palatino Linotype" w:hAnsi="Palatino Linotype"/>
          <w:i/>
          <w:iCs/>
          <w:color w:val="222222"/>
        </w:rPr>
      </w:pPr>
    </w:p>
    <w:p w14:paraId="25754520" w14:textId="77777777" w:rsidR="00B94921" w:rsidRPr="001A3DEA" w:rsidRDefault="00B94921" w:rsidP="00B94921">
      <w:pPr>
        <w:shd w:val="clear" w:color="auto" w:fill="FFFFFF"/>
        <w:spacing w:line="221" w:lineRule="atLeast"/>
        <w:ind w:left="851" w:right="1276"/>
        <w:jc w:val="both"/>
        <w:rPr>
          <w:rFonts w:ascii="Palatino Linotype" w:hAnsi="Palatino Linotype"/>
          <w:i/>
          <w:iCs/>
          <w:color w:val="222222"/>
        </w:rPr>
      </w:pPr>
      <w:r w:rsidRPr="001A3DEA">
        <w:rPr>
          <w:rFonts w:ascii="Palatino Linotype" w:hAnsi="Palatino Linotype"/>
          <w:i/>
          <w:iCs/>
          <w:color w:val="222222"/>
        </w:rPr>
        <w:t>“</w:t>
      </w:r>
      <w:r w:rsidRPr="001A3DEA">
        <w:rPr>
          <w:rFonts w:ascii="Palatino Linotype" w:hAnsi="Palatino Linotype"/>
          <w:i/>
          <w:iCs/>
          <w:color w:val="222222"/>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E9A622" w14:textId="77777777" w:rsidR="00B94921" w:rsidRPr="001A3DEA" w:rsidRDefault="00B94921" w:rsidP="00B94921">
      <w:pPr>
        <w:spacing w:line="360" w:lineRule="auto"/>
        <w:jc w:val="both"/>
        <w:rPr>
          <w:rFonts w:ascii="Palatino Linotype" w:hAnsi="Palatino Linotype"/>
          <w:color w:val="222222"/>
          <w:sz w:val="8"/>
        </w:rPr>
      </w:pPr>
    </w:p>
    <w:p w14:paraId="04972119" w14:textId="77777777" w:rsidR="00B94921" w:rsidRPr="001A3DEA" w:rsidRDefault="00B94921" w:rsidP="00B94921">
      <w:pPr>
        <w:shd w:val="clear" w:color="auto" w:fill="FFFFFF"/>
        <w:spacing w:before="120" w:line="360" w:lineRule="auto"/>
        <w:jc w:val="both"/>
        <w:rPr>
          <w:rFonts w:ascii="Palatino Linotype" w:hAnsi="Palatino Linotype" w:cs="Arial"/>
          <w:bCs/>
        </w:rPr>
      </w:pPr>
      <w:r w:rsidRPr="001A3DEA">
        <w:rPr>
          <w:rFonts w:ascii="Palatino Linotype" w:hAnsi="Palatino Linotype" w:cs="Arial"/>
        </w:rPr>
        <w:t xml:space="preserve">Así, y de conformidad con lo establecido en el artículo 12 de la Ley de Transparencia y Acceso a la Información Pública del Estado de México y Municipios </w:t>
      </w:r>
      <w:r w:rsidRPr="001A3DEA">
        <w:rPr>
          <w:rFonts w:ascii="Palatino Linotype" w:hAnsi="Palatino Linotype" w:cs="Arial"/>
          <w:b/>
        </w:rPr>
        <w:t>EL SUJETO OBLIGADO</w:t>
      </w:r>
      <w:r w:rsidRPr="001A3DEA">
        <w:rPr>
          <w:rFonts w:ascii="Palatino Linotype" w:hAnsi="Palatino Linotype" w:cs="Arial"/>
        </w:rPr>
        <w:t xml:space="preserve"> sólo proporcionará la información que se les requiera y que obre en sus archivos; y con la orientación en respuesta</w:t>
      </w:r>
      <w:r w:rsidRPr="001A3DEA">
        <w:rPr>
          <w:rFonts w:ascii="Palatino Linotype" w:hAnsi="Palatino Linotype" w:cs="Arial"/>
          <w:bCs/>
        </w:rPr>
        <w:t xml:space="preserve"> se privilegia el principio de simplicidad y rapidez que rigen las actuaciones de la Autoridades en materia de acceso a la información pública, consagradas en la Ley de Transparencia y Acceso a la Información Pública del Estado de México y Municipios, en sus artículos 2, fracciones I y II, 150 y 173, que señalan:</w:t>
      </w:r>
    </w:p>
    <w:p w14:paraId="34DD7F25" w14:textId="77777777" w:rsidR="00B94921" w:rsidRPr="001A3DEA" w:rsidRDefault="00B94921" w:rsidP="00B94921">
      <w:pPr>
        <w:shd w:val="clear" w:color="auto" w:fill="FFFFFF"/>
        <w:spacing w:before="120" w:line="360" w:lineRule="auto"/>
        <w:jc w:val="both"/>
        <w:rPr>
          <w:rFonts w:ascii="Palatino Linotype" w:hAnsi="Palatino Linotype" w:cs="Arial"/>
          <w:bCs/>
          <w:sz w:val="8"/>
        </w:rPr>
      </w:pPr>
    </w:p>
    <w:p w14:paraId="306377B9"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i/>
          <w:sz w:val="22"/>
          <w:szCs w:val="22"/>
        </w:rPr>
      </w:pPr>
      <w:r w:rsidRPr="001A3DEA">
        <w:rPr>
          <w:rFonts w:ascii="Palatino Linotype" w:hAnsi="Palatino Linotype" w:cs="Arial"/>
          <w:b/>
          <w:bCs/>
          <w:i/>
          <w:sz w:val="22"/>
          <w:szCs w:val="22"/>
        </w:rPr>
        <w:t xml:space="preserve">“Artículo 2. </w:t>
      </w:r>
      <w:r w:rsidRPr="001A3DEA">
        <w:rPr>
          <w:rFonts w:ascii="Palatino Linotype" w:hAnsi="Palatino Linotype" w:cs="Arial"/>
          <w:i/>
          <w:sz w:val="22"/>
          <w:szCs w:val="22"/>
        </w:rPr>
        <w:t>Son objetivos de esta Ley:</w:t>
      </w:r>
    </w:p>
    <w:p w14:paraId="72F4C068"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i/>
          <w:sz w:val="22"/>
          <w:szCs w:val="22"/>
        </w:rPr>
      </w:pPr>
      <w:r w:rsidRPr="001A3DEA">
        <w:rPr>
          <w:rFonts w:ascii="Palatino Linotype" w:hAnsi="Palatino Linotype" w:cs="Arial"/>
          <w:b/>
          <w:bCs/>
          <w:i/>
          <w:sz w:val="22"/>
          <w:szCs w:val="22"/>
        </w:rPr>
        <w:t xml:space="preserve">I. </w:t>
      </w:r>
      <w:r w:rsidRPr="001A3DEA">
        <w:rPr>
          <w:rFonts w:ascii="Palatino Linotype" w:hAnsi="Palatino Linotype" w:cs="Arial"/>
          <w:i/>
          <w:sz w:val="22"/>
          <w:szCs w:val="22"/>
        </w:rPr>
        <w:t>Establecer la competencia, operación y funcionamiento del Instituto, en materia de transparencia y acceso a la información;</w:t>
      </w:r>
    </w:p>
    <w:p w14:paraId="32864B92"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i/>
          <w:sz w:val="22"/>
          <w:szCs w:val="22"/>
        </w:rPr>
      </w:pPr>
      <w:r w:rsidRPr="001A3DEA">
        <w:rPr>
          <w:rFonts w:ascii="Palatino Linotype" w:hAnsi="Palatino Linotype" w:cs="Arial"/>
          <w:b/>
          <w:bCs/>
          <w:i/>
          <w:sz w:val="22"/>
          <w:szCs w:val="22"/>
        </w:rPr>
        <w:t xml:space="preserve">II. </w:t>
      </w:r>
      <w:r w:rsidRPr="001A3DEA">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14:paraId="650DE831"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b/>
          <w:bCs/>
          <w:i/>
          <w:sz w:val="22"/>
          <w:szCs w:val="22"/>
        </w:rPr>
      </w:pPr>
    </w:p>
    <w:p w14:paraId="61919CEE"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i/>
          <w:sz w:val="22"/>
          <w:szCs w:val="22"/>
        </w:rPr>
      </w:pPr>
      <w:r w:rsidRPr="001A3DEA">
        <w:rPr>
          <w:rFonts w:ascii="Palatino Linotype" w:hAnsi="Palatino Linotype" w:cs="Arial"/>
          <w:b/>
          <w:bCs/>
          <w:i/>
          <w:sz w:val="22"/>
          <w:szCs w:val="22"/>
        </w:rPr>
        <w:t xml:space="preserve">Artículo 150. </w:t>
      </w:r>
      <w:r w:rsidRPr="001A3DEA">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A3E3D57"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i/>
          <w:sz w:val="22"/>
          <w:szCs w:val="22"/>
        </w:rPr>
      </w:pPr>
    </w:p>
    <w:p w14:paraId="30C3F525"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i/>
          <w:sz w:val="22"/>
          <w:szCs w:val="22"/>
        </w:rPr>
      </w:pPr>
      <w:r w:rsidRPr="001A3DEA">
        <w:rPr>
          <w:rFonts w:ascii="Palatino Linotype" w:hAnsi="Palatino Linotype" w:cs="Arial"/>
          <w:b/>
          <w:bCs/>
          <w:i/>
          <w:sz w:val="22"/>
          <w:szCs w:val="22"/>
        </w:rPr>
        <w:t xml:space="preserve">Artículo 173. </w:t>
      </w:r>
      <w:r w:rsidRPr="001A3DEA">
        <w:rPr>
          <w:rFonts w:ascii="Palatino Linotype" w:hAnsi="Palatino Linotype" w:cs="Arial"/>
          <w:i/>
          <w:sz w:val="22"/>
          <w:szCs w:val="22"/>
        </w:rPr>
        <w:t>Sin perjuicio de lo anteriormente establecido, el procedimiento de acceso a la información se rige por los siguientes principios:</w:t>
      </w:r>
    </w:p>
    <w:p w14:paraId="68A04B4E"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i/>
          <w:sz w:val="22"/>
          <w:szCs w:val="22"/>
        </w:rPr>
      </w:pPr>
      <w:r w:rsidRPr="001A3DEA">
        <w:rPr>
          <w:rFonts w:ascii="Palatino Linotype" w:hAnsi="Palatino Linotype" w:cs="Arial"/>
          <w:b/>
          <w:bCs/>
          <w:i/>
          <w:sz w:val="22"/>
          <w:szCs w:val="22"/>
        </w:rPr>
        <w:t xml:space="preserve">I. </w:t>
      </w:r>
      <w:r w:rsidRPr="001A3DEA">
        <w:rPr>
          <w:rFonts w:ascii="Palatino Linotype" w:hAnsi="Palatino Linotype" w:cs="Arial"/>
          <w:i/>
          <w:sz w:val="22"/>
          <w:szCs w:val="22"/>
        </w:rPr>
        <w:t>Simplicidad y rapidez;</w:t>
      </w:r>
    </w:p>
    <w:p w14:paraId="6875D862"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cs="Arial"/>
          <w:i/>
          <w:sz w:val="22"/>
          <w:szCs w:val="22"/>
        </w:rPr>
      </w:pPr>
      <w:r w:rsidRPr="001A3DEA">
        <w:rPr>
          <w:rFonts w:ascii="Palatino Linotype" w:hAnsi="Palatino Linotype" w:cs="Arial"/>
          <w:b/>
          <w:bCs/>
          <w:i/>
          <w:sz w:val="22"/>
          <w:szCs w:val="22"/>
        </w:rPr>
        <w:t xml:space="preserve">II. </w:t>
      </w:r>
      <w:r w:rsidRPr="001A3DEA">
        <w:rPr>
          <w:rFonts w:ascii="Palatino Linotype" w:hAnsi="Palatino Linotype" w:cs="Arial"/>
          <w:i/>
          <w:sz w:val="22"/>
          <w:szCs w:val="22"/>
        </w:rPr>
        <w:t>Gratuidad del procedimiento; y</w:t>
      </w:r>
    </w:p>
    <w:p w14:paraId="0BFB1AC5" w14:textId="77777777" w:rsidR="00B94921" w:rsidRPr="001A3DEA" w:rsidRDefault="00B94921" w:rsidP="00B94921">
      <w:pPr>
        <w:autoSpaceDE w:val="0"/>
        <w:autoSpaceDN w:val="0"/>
        <w:adjustRightInd w:val="0"/>
        <w:spacing w:line="276" w:lineRule="auto"/>
        <w:ind w:left="851" w:right="902"/>
        <w:jc w:val="both"/>
        <w:rPr>
          <w:rFonts w:ascii="Palatino Linotype" w:hAnsi="Palatino Linotype"/>
          <w:i/>
          <w:sz w:val="22"/>
          <w:szCs w:val="22"/>
        </w:rPr>
      </w:pPr>
      <w:r w:rsidRPr="001A3DEA">
        <w:rPr>
          <w:rFonts w:ascii="Palatino Linotype" w:hAnsi="Palatino Linotype" w:cs="Arial"/>
          <w:b/>
          <w:bCs/>
          <w:i/>
          <w:sz w:val="22"/>
          <w:szCs w:val="22"/>
        </w:rPr>
        <w:t xml:space="preserve">III. </w:t>
      </w:r>
      <w:r w:rsidRPr="001A3DEA">
        <w:rPr>
          <w:rFonts w:ascii="Palatino Linotype" w:hAnsi="Palatino Linotype" w:cs="Arial"/>
          <w:i/>
          <w:sz w:val="22"/>
          <w:szCs w:val="22"/>
        </w:rPr>
        <w:t>Auxilio y orientación a los particulares</w:t>
      </w:r>
      <w:r w:rsidRPr="001A3DEA">
        <w:rPr>
          <w:rFonts w:ascii="Palatino Linotype" w:hAnsi="Palatino Linotype"/>
          <w:i/>
          <w:sz w:val="22"/>
          <w:szCs w:val="22"/>
        </w:rPr>
        <w:t>“</w:t>
      </w:r>
    </w:p>
    <w:p w14:paraId="2E876DCB" w14:textId="75185DC5" w:rsidR="00B94921" w:rsidRPr="001A3DEA" w:rsidRDefault="00B94921" w:rsidP="003575B0">
      <w:pPr>
        <w:autoSpaceDE w:val="0"/>
        <w:autoSpaceDN w:val="0"/>
        <w:adjustRightInd w:val="0"/>
        <w:spacing w:line="360" w:lineRule="auto"/>
        <w:jc w:val="both"/>
        <w:rPr>
          <w:rFonts w:ascii="Palatino Linotype" w:hAnsi="Palatino Linotype" w:cs="Arial"/>
          <w:szCs w:val="22"/>
        </w:rPr>
      </w:pPr>
    </w:p>
    <w:p w14:paraId="5A2ABC1F" w14:textId="77777777" w:rsidR="00C90729" w:rsidRPr="001A3DEA" w:rsidRDefault="00C90729" w:rsidP="00C90729">
      <w:pPr>
        <w:autoSpaceDE w:val="0"/>
        <w:autoSpaceDN w:val="0"/>
        <w:adjustRightInd w:val="0"/>
        <w:spacing w:line="360" w:lineRule="auto"/>
        <w:jc w:val="both"/>
        <w:rPr>
          <w:rFonts w:ascii="Palatino Linotype" w:hAnsi="Palatino Linotype" w:cs="Arial"/>
          <w:szCs w:val="22"/>
        </w:rPr>
      </w:pPr>
      <w:r w:rsidRPr="001A3DEA">
        <w:rPr>
          <w:rFonts w:ascii="Palatino Linotype" w:hAnsi="Palatino Linotype" w:cs="Arial"/>
          <w:szCs w:val="22"/>
        </w:rPr>
        <w:t xml:space="preserve">De la normativa en estudio, se desprende que toda la información generada, obtenida, adquirida, transformada, administrada o en posesión de los sujetos obligados es pública y accesible de manera permanente a cualquier persona, por lo que al desprenderse que </w:t>
      </w:r>
      <w:r w:rsidRPr="001A3DEA">
        <w:rPr>
          <w:rFonts w:ascii="Palatino Linotype" w:hAnsi="Palatino Linotype" w:cs="Arial"/>
          <w:b/>
          <w:szCs w:val="22"/>
        </w:rPr>
        <w:t>EL SUJETO OBLIGADO</w:t>
      </w:r>
      <w:r w:rsidRPr="001A3DEA">
        <w:rPr>
          <w:rFonts w:ascii="Palatino Linotype" w:hAnsi="Palatino Linotype" w:cs="Arial"/>
          <w:szCs w:val="22"/>
        </w:rPr>
        <w:t xml:space="preserve"> cuenta con facultades y atribuciones con la información requerida por el particular.</w:t>
      </w:r>
    </w:p>
    <w:p w14:paraId="347FC808" w14:textId="77777777" w:rsidR="00C90729" w:rsidRPr="001A3DEA" w:rsidRDefault="00C90729" w:rsidP="00C90729">
      <w:pPr>
        <w:autoSpaceDE w:val="0"/>
        <w:autoSpaceDN w:val="0"/>
        <w:adjustRightInd w:val="0"/>
        <w:spacing w:line="360" w:lineRule="auto"/>
        <w:jc w:val="both"/>
        <w:rPr>
          <w:rFonts w:ascii="Palatino Linotype" w:hAnsi="Palatino Linotype" w:cs="Arial"/>
          <w:szCs w:val="22"/>
        </w:rPr>
      </w:pPr>
    </w:p>
    <w:p w14:paraId="25299B6C" w14:textId="77777777" w:rsidR="00C90729" w:rsidRPr="001A3DEA" w:rsidRDefault="00C90729" w:rsidP="00C90729">
      <w:pPr>
        <w:autoSpaceDE w:val="0"/>
        <w:autoSpaceDN w:val="0"/>
        <w:adjustRightInd w:val="0"/>
        <w:spacing w:line="360" w:lineRule="auto"/>
        <w:jc w:val="both"/>
        <w:rPr>
          <w:rFonts w:ascii="Palatino Linotype" w:hAnsi="Palatino Linotype" w:cs="Arial"/>
          <w:szCs w:val="22"/>
        </w:rPr>
      </w:pPr>
      <w:r w:rsidRPr="001A3DEA">
        <w:rPr>
          <w:rFonts w:ascii="Palatino Linotype" w:hAnsi="Palatino Linotype" w:cs="Arial"/>
          <w:szCs w:val="22"/>
        </w:rPr>
        <w:t xml:space="preserve">Aunado a lo anterior, la misma norma dispone que </w:t>
      </w:r>
      <w:r w:rsidRPr="001A3DEA">
        <w:rPr>
          <w:rFonts w:ascii="Palatino Linotype" w:hAnsi="Palatino Linotype" w:cs="Arial"/>
          <w:b/>
          <w:szCs w:val="22"/>
        </w:rPr>
        <w:t>EL SUJETO OBLIGADO</w:t>
      </w:r>
      <w:r w:rsidRPr="001A3DEA">
        <w:rPr>
          <w:rFonts w:ascii="Palatino Linotype" w:hAnsi="Palatino Linotype" w:cs="Arial"/>
          <w:szCs w:val="22"/>
        </w:rPr>
        <w:t xml:space="preserve"> sólo proporcionará la información pública que se les requiera y que obre en sus archivos y en el estado en que ésta se encuentre.</w:t>
      </w:r>
    </w:p>
    <w:p w14:paraId="483C40C5" w14:textId="77777777" w:rsidR="00C90729" w:rsidRPr="001A3DEA" w:rsidRDefault="00C90729" w:rsidP="00C90729">
      <w:pPr>
        <w:autoSpaceDE w:val="0"/>
        <w:autoSpaceDN w:val="0"/>
        <w:adjustRightInd w:val="0"/>
        <w:spacing w:line="360" w:lineRule="auto"/>
        <w:jc w:val="both"/>
        <w:rPr>
          <w:rFonts w:ascii="Palatino Linotype" w:hAnsi="Palatino Linotype" w:cs="Arial"/>
          <w:szCs w:val="22"/>
        </w:rPr>
      </w:pPr>
    </w:p>
    <w:p w14:paraId="4A8DAACB" w14:textId="77777777" w:rsidR="00C90729" w:rsidRPr="001A3DEA" w:rsidRDefault="00C90729" w:rsidP="00C90729">
      <w:pPr>
        <w:autoSpaceDE w:val="0"/>
        <w:autoSpaceDN w:val="0"/>
        <w:adjustRightInd w:val="0"/>
        <w:spacing w:line="360" w:lineRule="auto"/>
        <w:jc w:val="both"/>
        <w:rPr>
          <w:rFonts w:ascii="Palatino Linotype" w:hAnsi="Palatino Linotype"/>
        </w:rPr>
      </w:pPr>
      <w:r w:rsidRPr="001A3DEA">
        <w:rPr>
          <w:rFonts w:ascii="Palatino Linotype" w:hAnsi="Palatino Linotype" w:cs="Arial"/>
        </w:rPr>
        <w:t xml:space="preserve">Ello es así, ya que </w:t>
      </w:r>
      <w:r w:rsidRPr="001A3DEA">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1A3DEA">
        <w:rPr>
          <w:rFonts w:ascii="Palatino Linotype" w:eastAsia="Arial Unicode MS" w:hAnsi="Palatino Linotype" w:cs="Arial"/>
        </w:rPr>
        <w:t>que</w:t>
      </w:r>
      <w:r w:rsidRPr="001A3DEA">
        <w:rPr>
          <w:rFonts w:ascii="Palatino Linotype" w:hAnsi="Palatino Linotype"/>
          <w:color w:val="222222"/>
          <w:shd w:val="clear" w:color="auto" w:fill="FFFFFF"/>
        </w:rPr>
        <w:t xml:space="preserve"> generen; ello, de conformidad con </w:t>
      </w:r>
      <w:r w:rsidRPr="001A3DEA">
        <w:rPr>
          <w:rFonts w:ascii="Palatino Linotype" w:hAnsi="Palatino Linotype"/>
        </w:rPr>
        <w:t>lo establecido en el artículo 18 de la Ley de Transparencia y Acceso a la Información Pública del Estado de México y Municipios.</w:t>
      </w:r>
    </w:p>
    <w:p w14:paraId="250FA634" w14:textId="77777777" w:rsidR="00B020F6" w:rsidRPr="001A3DEA" w:rsidRDefault="00B020F6" w:rsidP="003575B0">
      <w:pPr>
        <w:autoSpaceDE w:val="0"/>
        <w:autoSpaceDN w:val="0"/>
        <w:adjustRightInd w:val="0"/>
        <w:spacing w:line="360" w:lineRule="auto"/>
        <w:jc w:val="both"/>
        <w:rPr>
          <w:rFonts w:ascii="Palatino Linotype" w:hAnsi="Palatino Linotype" w:cs="Arial"/>
          <w:szCs w:val="22"/>
        </w:rPr>
      </w:pPr>
    </w:p>
    <w:p w14:paraId="109A57F5" w14:textId="623DF0E3" w:rsidR="002466C5" w:rsidRPr="001A3DEA" w:rsidRDefault="002466C5" w:rsidP="003575B0">
      <w:pPr>
        <w:autoSpaceDE w:val="0"/>
        <w:autoSpaceDN w:val="0"/>
        <w:adjustRightInd w:val="0"/>
        <w:spacing w:line="360" w:lineRule="auto"/>
        <w:jc w:val="both"/>
        <w:rPr>
          <w:rFonts w:ascii="Palatino Linotype" w:hAnsi="Palatino Linotype" w:cs="Arial"/>
          <w:szCs w:val="22"/>
        </w:rPr>
      </w:pPr>
      <w:r w:rsidRPr="001A3DEA">
        <w:rPr>
          <w:rFonts w:ascii="Palatino Linotype" w:hAnsi="Palatino Linotype" w:cs="Arial"/>
          <w:szCs w:val="22"/>
        </w:rPr>
        <w:t xml:space="preserve">Es de recordar, el particular requirió también información relativa </w:t>
      </w:r>
      <w:r w:rsidR="00B020F6" w:rsidRPr="001A3DEA">
        <w:rPr>
          <w:rFonts w:ascii="Palatino Linotype" w:hAnsi="Palatino Linotype" w:cs="Arial"/>
          <w:szCs w:val="22"/>
        </w:rPr>
        <w:t>a revisión de bases que realiz</w:t>
      </w:r>
      <w:r w:rsidR="006A1412" w:rsidRPr="001A3DEA">
        <w:rPr>
          <w:rFonts w:ascii="Palatino Linotype" w:hAnsi="Palatino Linotype" w:cs="Arial"/>
          <w:szCs w:val="22"/>
        </w:rPr>
        <w:t>ó</w:t>
      </w:r>
      <w:r w:rsidR="00B020F6" w:rsidRPr="001A3DEA">
        <w:rPr>
          <w:rFonts w:ascii="Palatino Linotype" w:hAnsi="Palatino Linotype" w:cs="Arial"/>
          <w:szCs w:val="22"/>
        </w:rPr>
        <w:t xml:space="preserve"> su contraloría interna, copia del reporte que hicieron de los gastos erogados al Secretariado Ejecutivo del </w:t>
      </w:r>
      <w:r w:rsidR="00AB0711" w:rsidRPr="001A3DEA">
        <w:rPr>
          <w:rFonts w:ascii="Palatino Linotype" w:hAnsi="Palatino Linotype" w:cs="Arial"/>
          <w:szCs w:val="22"/>
        </w:rPr>
        <w:t xml:space="preserve">Sistema Nacional </w:t>
      </w:r>
      <w:r w:rsidR="00B020F6" w:rsidRPr="001A3DEA">
        <w:rPr>
          <w:rFonts w:ascii="Palatino Linotype" w:hAnsi="Palatino Linotype" w:cs="Arial"/>
          <w:szCs w:val="22"/>
        </w:rPr>
        <w:t xml:space="preserve">de Seguridad </w:t>
      </w:r>
      <w:r w:rsidR="00AB0711" w:rsidRPr="001A3DEA">
        <w:rPr>
          <w:rFonts w:ascii="Palatino Linotype" w:hAnsi="Palatino Linotype" w:cs="Arial"/>
          <w:szCs w:val="22"/>
        </w:rPr>
        <w:t>pública</w:t>
      </w:r>
      <w:r w:rsidR="00B020F6" w:rsidRPr="001A3DEA">
        <w:rPr>
          <w:rFonts w:ascii="Palatino Linotype" w:hAnsi="Palatino Linotype" w:cs="Arial"/>
          <w:szCs w:val="22"/>
        </w:rPr>
        <w:t xml:space="preserve"> de los </w:t>
      </w:r>
      <w:r w:rsidR="00AB0711" w:rsidRPr="001A3DEA">
        <w:rPr>
          <w:rFonts w:ascii="Palatino Linotype" w:hAnsi="Palatino Linotype" w:cs="Arial"/>
          <w:szCs w:val="22"/>
        </w:rPr>
        <w:t xml:space="preserve">recursos locales </w:t>
      </w:r>
      <w:r w:rsidR="00B020F6" w:rsidRPr="001A3DEA">
        <w:rPr>
          <w:rFonts w:ascii="Palatino Linotype" w:hAnsi="Palatino Linotype" w:cs="Arial"/>
          <w:szCs w:val="22"/>
        </w:rPr>
        <w:t xml:space="preserve"> FORTASEG y FASP de 2017 al 18 de enero de 2021, informe de cada contraloría la revisión de bases, anexos técnicos de los bienes comprados, así como auditorías practicadas a los bienes para seguridad, patrullas, moto patrullas, cámaras con poste y botón de pánico, lineamientos de FASP que aplicaron en cada cas</w:t>
      </w:r>
      <w:r w:rsidR="003D56D5" w:rsidRPr="001A3DEA">
        <w:rPr>
          <w:rFonts w:ascii="Palatino Linotype" w:hAnsi="Palatino Linotype" w:cs="Arial"/>
          <w:szCs w:val="22"/>
        </w:rPr>
        <w:t xml:space="preserve">o con sus documentos técnicos, </w:t>
      </w:r>
      <w:r w:rsidR="00B020F6" w:rsidRPr="001A3DEA">
        <w:rPr>
          <w:rFonts w:ascii="Palatino Linotype" w:hAnsi="Palatino Linotype" w:cs="Arial"/>
          <w:szCs w:val="22"/>
        </w:rPr>
        <w:t xml:space="preserve">empresa a la que se </w:t>
      </w:r>
      <w:r w:rsidR="00B94921" w:rsidRPr="001A3DEA">
        <w:rPr>
          <w:rFonts w:ascii="Palatino Linotype" w:hAnsi="Palatino Linotype" w:cs="Arial"/>
          <w:szCs w:val="22"/>
        </w:rPr>
        <w:t>compró</w:t>
      </w:r>
      <w:r w:rsidR="00B020F6" w:rsidRPr="001A3DEA">
        <w:rPr>
          <w:rFonts w:ascii="Palatino Linotype" w:hAnsi="Palatino Linotype" w:cs="Arial"/>
          <w:szCs w:val="22"/>
        </w:rPr>
        <w:t xml:space="preserve"> o rento la patrulla</w:t>
      </w:r>
      <w:r w:rsidR="003D56D5" w:rsidRPr="001A3DEA">
        <w:rPr>
          <w:rFonts w:ascii="Palatino Linotype" w:hAnsi="Palatino Linotype" w:cs="Arial"/>
          <w:szCs w:val="22"/>
        </w:rPr>
        <w:t xml:space="preserve"> y el equipo policial o cámara,</w:t>
      </w:r>
      <w:r w:rsidR="00B020F6" w:rsidRPr="001A3DEA">
        <w:rPr>
          <w:rFonts w:ascii="Palatino Linotype" w:hAnsi="Palatino Linotype" w:cs="Arial"/>
          <w:szCs w:val="22"/>
        </w:rPr>
        <w:t xml:space="preserve"> </w:t>
      </w:r>
      <w:r w:rsidR="003D56D5" w:rsidRPr="001A3DEA">
        <w:rPr>
          <w:rFonts w:ascii="Palatino Linotype" w:hAnsi="Palatino Linotype" w:cs="Arial"/>
          <w:szCs w:val="22"/>
        </w:rPr>
        <w:t>n</w:t>
      </w:r>
      <w:r w:rsidR="006A1412" w:rsidRPr="001A3DEA">
        <w:rPr>
          <w:rFonts w:ascii="Palatino Linotype" w:hAnsi="Palatino Linotype" w:cs="Arial"/>
          <w:szCs w:val="22"/>
        </w:rPr>
        <w:t>ú</w:t>
      </w:r>
      <w:r w:rsidR="00B020F6" w:rsidRPr="001A3DEA">
        <w:rPr>
          <w:rFonts w:ascii="Palatino Linotype" w:hAnsi="Palatino Linotype" w:cs="Arial"/>
          <w:szCs w:val="22"/>
        </w:rPr>
        <w:t>mero de cámaras instaladas en la poblac</w:t>
      </w:r>
      <w:r w:rsidR="00B94921" w:rsidRPr="001A3DEA">
        <w:rPr>
          <w:rFonts w:ascii="Palatino Linotype" w:hAnsi="Palatino Linotype" w:cs="Arial"/>
          <w:szCs w:val="22"/>
        </w:rPr>
        <w:t>ión, costo de su C5 o similar,</w:t>
      </w:r>
      <w:r w:rsidR="00B020F6" w:rsidRPr="001A3DEA">
        <w:rPr>
          <w:rFonts w:ascii="Palatino Linotype" w:hAnsi="Palatino Linotype" w:cs="Arial"/>
          <w:szCs w:val="22"/>
        </w:rPr>
        <w:t xml:space="preserve"> con su contrato de obra y equipamiento detallado</w:t>
      </w:r>
      <w:r w:rsidR="00586C12" w:rsidRPr="001A3DEA">
        <w:rPr>
          <w:rFonts w:ascii="Palatino Linotype" w:hAnsi="Palatino Linotype" w:cs="Arial"/>
          <w:szCs w:val="22"/>
        </w:rPr>
        <w:t>.</w:t>
      </w:r>
    </w:p>
    <w:p w14:paraId="6C58EA57" w14:textId="77777777" w:rsidR="002C6DB8" w:rsidRPr="001A3DEA" w:rsidRDefault="002C6DB8" w:rsidP="003575B0">
      <w:pPr>
        <w:autoSpaceDE w:val="0"/>
        <w:autoSpaceDN w:val="0"/>
        <w:adjustRightInd w:val="0"/>
        <w:spacing w:line="360" w:lineRule="auto"/>
        <w:jc w:val="both"/>
        <w:rPr>
          <w:rFonts w:ascii="Palatino Linotype" w:hAnsi="Palatino Linotype" w:cs="Arial"/>
          <w:szCs w:val="22"/>
        </w:rPr>
      </w:pPr>
    </w:p>
    <w:p w14:paraId="075BEF7C" w14:textId="603F1B84" w:rsidR="00586C12" w:rsidRPr="001A3DEA" w:rsidRDefault="00586C12" w:rsidP="00913AC4">
      <w:pPr>
        <w:autoSpaceDE w:val="0"/>
        <w:autoSpaceDN w:val="0"/>
        <w:adjustRightInd w:val="0"/>
        <w:spacing w:line="360" w:lineRule="auto"/>
        <w:jc w:val="both"/>
        <w:rPr>
          <w:rFonts w:ascii="Palatino Linotype" w:hAnsi="Palatino Linotype" w:cs="Arial"/>
        </w:rPr>
      </w:pPr>
      <w:r w:rsidRPr="001A3DEA">
        <w:rPr>
          <w:rFonts w:ascii="Palatino Linotype" w:hAnsi="Palatino Linotype" w:cs="Arial"/>
        </w:rPr>
        <w:t xml:space="preserve">Una vez apuntado lo anterior, es importante señalar lo que dispone el Bando Municipal de Naucalpan de </w:t>
      </w:r>
      <w:r w:rsidR="00AB0711" w:rsidRPr="001A3DEA">
        <w:rPr>
          <w:rFonts w:ascii="Palatino Linotype" w:hAnsi="Palatino Linotype" w:cs="Arial"/>
        </w:rPr>
        <w:t>Juárez</w:t>
      </w:r>
      <w:r w:rsidRPr="001A3DEA">
        <w:rPr>
          <w:rFonts w:ascii="Palatino Linotype" w:hAnsi="Palatino Linotype" w:cs="Arial"/>
        </w:rPr>
        <w:t xml:space="preserve"> que dispone lo siguiente:</w:t>
      </w:r>
    </w:p>
    <w:p w14:paraId="482F0BD6" w14:textId="77777777" w:rsidR="00586C12" w:rsidRPr="001A3DEA" w:rsidRDefault="00586C12" w:rsidP="00913AC4">
      <w:pPr>
        <w:autoSpaceDE w:val="0"/>
        <w:autoSpaceDN w:val="0"/>
        <w:adjustRightInd w:val="0"/>
        <w:spacing w:line="360" w:lineRule="auto"/>
        <w:jc w:val="both"/>
        <w:rPr>
          <w:rFonts w:ascii="Palatino Linotype" w:hAnsi="Palatino Linotype" w:cs="Arial"/>
        </w:rPr>
      </w:pPr>
    </w:p>
    <w:p w14:paraId="4F90AF51" w14:textId="07CF1251" w:rsidR="00586C12" w:rsidRPr="001A3DEA" w:rsidRDefault="00AB0711"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w:t>
      </w:r>
      <w:r w:rsidR="00586C12" w:rsidRPr="001A3DEA">
        <w:rPr>
          <w:rFonts w:ascii="Palatino Linotype" w:hAnsi="Palatino Linotype"/>
          <w:i/>
          <w:sz w:val="22"/>
          <w:szCs w:val="22"/>
        </w:rPr>
        <w:t>Artículo 32. La Administración Pública Centralizada se constituye por las dependencias que señala la Ley Orgánica</w:t>
      </w:r>
      <w:r w:rsidR="009C4844" w:rsidRPr="001A3DEA">
        <w:rPr>
          <w:rFonts w:ascii="Palatino Linotype" w:hAnsi="Palatino Linotype"/>
          <w:i/>
          <w:sz w:val="22"/>
          <w:szCs w:val="22"/>
        </w:rPr>
        <w:t xml:space="preserve"> </w:t>
      </w:r>
      <w:r w:rsidR="00586C12" w:rsidRPr="001A3DEA">
        <w:rPr>
          <w:rFonts w:ascii="Palatino Linotype" w:hAnsi="Palatino Linotype"/>
          <w:i/>
          <w:sz w:val="22"/>
          <w:szCs w:val="22"/>
        </w:rPr>
        <w:t xml:space="preserve">Municipal del Estado de México, así como por aquellas que sean creadas por acuerdo de Cabildo; dependen del Ayuntamiento y están subordinados jerárquicamente a la Presidenta Municipal. La Administración Pública Centralizada se integra por: </w:t>
      </w:r>
    </w:p>
    <w:p w14:paraId="027CDE47"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Secretaría del Ayuntamiento; </w:t>
      </w:r>
    </w:p>
    <w:p w14:paraId="7E69BC9F"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b/>
          <w:i/>
          <w:sz w:val="22"/>
          <w:szCs w:val="22"/>
        </w:rPr>
      </w:pPr>
      <w:r w:rsidRPr="001A3DEA">
        <w:rPr>
          <w:rFonts w:ascii="Palatino Linotype" w:hAnsi="Palatino Linotype"/>
          <w:b/>
          <w:i/>
          <w:sz w:val="22"/>
          <w:szCs w:val="22"/>
        </w:rPr>
        <w:t xml:space="preserve">II. Tesorería Municipal; </w:t>
      </w:r>
    </w:p>
    <w:p w14:paraId="011476BE"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b/>
          <w:i/>
          <w:sz w:val="22"/>
          <w:szCs w:val="22"/>
        </w:rPr>
      </w:pPr>
      <w:r w:rsidRPr="001A3DEA">
        <w:rPr>
          <w:rFonts w:ascii="Palatino Linotype" w:hAnsi="Palatino Linotype"/>
          <w:b/>
          <w:i/>
          <w:sz w:val="22"/>
          <w:szCs w:val="22"/>
        </w:rPr>
        <w:t xml:space="preserve">III. Contraloría Interna Municipal; </w:t>
      </w:r>
    </w:p>
    <w:p w14:paraId="158EEDDF"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IV. Secretarías de: </w:t>
      </w:r>
    </w:p>
    <w:p w14:paraId="1AF3DC16"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 Administración; </w:t>
      </w:r>
    </w:p>
    <w:p w14:paraId="2800CCF1"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b) Desarrollo Económico; </w:t>
      </w:r>
    </w:p>
    <w:p w14:paraId="7268B4F8"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c) Desarrollo Social; </w:t>
      </w:r>
    </w:p>
    <w:p w14:paraId="5A3F7B98"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d) Planeación Urbana y Obras Públicas; </w:t>
      </w:r>
    </w:p>
    <w:p w14:paraId="44080D85"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e) Medio Ambiente; </w:t>
      </w:r>
    </w:p>
    <w:p w14:paraId="635184CC"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f) Servicios Públicos; </w:t>
      </w:r>
    </w:p>
    <w:p w14:paraId="11565E90"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g) las Mujeres Naucalpenses y la Igualdad Sustantiva; </w:t>
      </w:r>
    </w:p>
    <w:p w14:paraId="1332E3F5"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h) Gobierno; </w:t>
      </w:r>
    </w:p>
    <w:p w14:paraId="556805B0"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Cultura, y </w:t>
      </w:r>
    </w:p>
    <w:p w14:paraId="6223101B"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j) Asuntos Jurídicos. </w:t>
      </w:r>
    </w:p>
    <w:p w14:paraId="5769DBC1" w14:textId="77777777"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b/>
          <w:i/>
          <w:sz w:val="22"/>
          <w:szCs w:val="22"/>
        </w:rPr>
        <w:t>V. Dirección General de Seguridad Ciudadana y Tránsito Municipal,</w:t>
      </w:r>
      <w:r w:rsidRPr="001A3DEA">
        <w:rPr>
          <w:rFonts w:ascii="Palatino Linotype" w:hAnsi="Palatino Linotype"/>
          <w:i/>
          <w:sz w:val="22"/>
          <w:szCs w:val="22"/>
        </w:rPr>
        <w:t xml:space="preserve"> y </w:t>
      </w:r>
    </w:p>
    <w:p w14:paraId="4FE5F765" w14:textId="1320599A" w:rsidR="00586C12" w:rsidRPr="001A3DEA" w:rsidRDefault="00586C12" w:rsidP="00AB0711">
      <w:pPr>
        <w:autoSpaceDE w:val="0"/>
        <w:autoSpaceDN w:val="0"/>
        <w:adjustRightInd w:val="0"/>
        <w:spacing w:line="276" w:lineRule="auto"/>
        <w:ind w:left="851" w:right="899"/>
        <w:jc w:val="both"/>
        <w:rPr>
          <w:rFonts w:ascii="Palatino Linotype" w:hAnsi="Palatino Linotype" w:cs="Arial"/>
          <w:i/>
          <w:sz w:val="22"/>
          <w:szCs w:val="22"/>
        </w:rPr>
      </w:pPr>
      <w:r w:rsidRPr="001A3DEA">
        <w:rPr>
          <w:rFonts w:ascii="Palatino Linotype" w:hAnsi="Palatino Linotype"/>
          <w:i/>
          <w:sz w:val="22"/>
          <w:szCs w:val="22"/>
        </w:rPr>
        <w:t>VI. Coordinación Municipal de Protección Civil.</w:t>
      </w:r>
    </w:p>
    <w:p w14:paraId="6CFF293B" w14:textId="7BD1B312" w:rsidR="00586C12" w:rsidRPr="001A3DEA" w:rsidRDefault="00586C12" w:rsidP="00AB071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Artículo 74. La seguridad pública la ejercerá el Ayuntamiento a través de la Dirección General de Seguridad Ciudadana y Tránsito Municipal, quien tendrá a su cargo dar cumplimiento a los planes en la materia, bajo la vigilancia de la Defensoría Municipal de Derechos Humanos y la Comisión de Honor y Justicia, en los términos de las facultades que sus reglamentos les confieran. Es una función orientada a generar y mantener las condiciones de paz y orden público que permitan el ejercicio irrestricto de las libertades y derechos ciudadanos, privilegiándose por los principios de legalidad, objetividad, eficiencia, profesionalismo, honradez y el respeto a los derechos humanos. El Ayuntamiento, a través de la Dirección General de Seguridad Ciudadana y Tránsito Municipal, deberá difundir y establecer entre su personal programas y protocolos a fin de que los derechos humanos fundamentales sean respetados.</w:t>
      </w:r>
      <w:r w:rsidR="00AB0711" w:rsidRPr="001A3DEA">
        <w:rPr>
          <w:rFonts w:ascii="Palatino Linotype" w:hAnsi="Palatino Linotype"/>
          <w:i/>
          <w:sz w:val="22"/>
          <w:szCs w:val="22"/>
        </w:rPr>
        <w:t>”</w:t>
      </w:r>
    </w:p>
    <w:p w14:paraId="1E8D813B" w14:textId="77777777" w:rsidR="00586C12" w:rsidRPr="001A3DEA" w:rsidRDefault="00586C12" w:rsidP="00586C12">
      <w:pPr>
        <w:autoSpaceDE w:val="0"/>
        <w:autoSpaceDN w:val="0"/>
        <w:adjustRightInd w:val="0"/>
        <w:spacing w:line="276" w:lineRule="auto"/>
        <w:jc w:val="both"/>
        <w:rPr>
          <w:rFonts w:ascii="Palatino Linotype" w:hAnsi="Palatino Linotype"/>
          <w:i/>
          <w:sz w:val="22"/>
          <w:szCs w:val="22"/>
        </w:rPr>
      </w:pPr>
    </w:p>
    <w:p w14:paraId="239E4354" w14:textId="4CDA3757" w:rsidR="00191D9C" w:rsidRPr="001A3DEA" w:rsidRDefault="00191D9C" w:rsidP="00191D9C">
      <w:pPr>
        <w:autoSpaceDE w:val="0"/>
        <w:autoSpaceDN w:val="0"/>
        <w:adjustRightInd w:val="0"/>
        <w:spacing w:line="360" w:lineRule="auto"/>
        <w:jc w:val="both"/>
        <w:rPr>
          <w:rFonts w:ascii="Palatino Linotype" w:hAnsi="Palatino Linotype"/>
        </w:rPr>
      </w:pPr>
      <w:r w:rsidRPr="001A3DEA">
        <w:rPr>
          <w:rFonts w:ascii="Palatino Linotype" w:hAnsi="Palatino Linotype"/>
        </w:rPr>
        <w:t>Por su parte Reglamento Orgánico de la Administración Pública Municipal de Naucalpan de Juárez, México, establece lo siguiente:</w:t>
      </w:r>
    </w:p>
    <w:p w14:paraId="6A89D60D" w14:textId="77777777" w:rsidR="00191D9C" w:rsidRPr="001A3DEA" w:rsidRDefault="00191D9C" w:rsidP="00191D9C">
      <w:pPr>
        <w:autoSpaceDE w:val="0"/>
        <w:autoSpaceDN w:val="0"/>
        <w:adjustRightInd w:val="0"/>
        <w:spacing w:line="276" w:lineRule="auto"/>
        <w:jc w:val="both"/>
        <w:rPr>
          <w:rFonts w:ascii="Palatino Linotype" w:hAnsi="Palatino Linotype"/>
        </w:rPr>
      </w:pPr>
    </w:p>
    <w:p w14:paraId="2B3BA608" w14:textId="5F0F0901" w:rsidR="004577F1" w:rsidRPr="001A3DEA" w:rsidRDefault="00AB071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w:t>
      </w:r>
      <w:r w:rsidR="004577F1" w:rsidRPr="001A3DEA">
        <w:rPr>
          <w:rFonts w:ascii="Palatino Linotype" w:hAnsi="Palatino Linotype"/>
          <w:i/>
          <w:sz w:val="22"/>
          <w:szCs w:val="22"/>
        </w:rPr>
        <w:t xml:space="preserve">Artículo 1.15.- La Administración Pública Centralizada, es una de las formas de organización de la Administración Pública del Municipio, cuyos órganos integrantes dependen del Ayuntamiento y están subordinados jerárquicamente al Presidente Municipal, integrándose de la siguiente manera: </w:t>
      </w:r>
    </w:p>
    <w:p w14:paraId="571C4957"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Presidencia Municipal; </w:t>
      </w:r>
    </w:p>
    <w:p w14:paraId="074CF545"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II. Secretaría del Ayuntamiento; </w:t>
      </w:r>
    </w:p>
    <w:p w14:paraId="37BC48FA"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b/>
          <w:i/>
          <w:sz w:val="22"/>
          <w:szCs w:val="22"/>
        </w:rPr>
      </w:pPr>
      <w:r w:rsidRPr="001A3DEA">
        <w:rPr>
          <w:rFonts w:ascii="Palatino Linotype" w:hAnsi="Palatino Linotype"/>
          <w:b/>
          <w:i/>
          <w:sz w:val="22"/>
          <w:szCs w:val="22"/>
        </w:rPr>
        <w:t xml:space="preserve">III. Tesorería Municipal; </w:t>
      </w:r>
    </w:p>
    <w:p w14:paraId="6DD15984"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b/>
          <w:i/>
          <w:sz w:val="22"/>
          <w:szCs w:val="22"/>
        </w:rPr>
      </w:pPr>
      <w:r w:rsidRPr="001A3DEA">
        <w:rPr>
          <w:rFonts w:ascii="Palatino Linotype" w:hAnsi="Palatino Linotype"/>
          <w:b/>
          <w:i/>
          <w:sz w:val="22"/>
          <w:szCs w:val="22"/>
        </w:rPr>
        <w:t xml:space="preserve">IV. Contraloría Interna Municipal; </w:t>
      </w:r>
    </w:p>
    <w:p w14:paraId="0091B25F"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 Secretaría de Gobierno; </w:t>
      </w:r>
    </w:p>
    <w:p w14:paraId="4452AFF0"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b/>
          <w:i/>
          <w:sz w:val="22"/>
          <w:szCs w:val="22"/>
        </w:rPr>
      </w:pPr>
      <w:r w:rsidRPr="001A3DEA">
        <w:rPr>
          <w:rFonts w:ascii="Palatino Linotype" w:hAnsi="Palatino Linotype"/>
          <w:b/>
          <w:i/>
          <w:sz w:val="22"/>
          <w:szCs w:val="22"/>
        </w:rPr>
        <w:t xml:space="preserve">VI. Secretaría de Administración; </w:t>
      </w:r>
    </w:p>
    <w:p w14:paraId="7A840282"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VII. Secretaría de Medio Ambiente; </w:t>
      </w:r>
    </w:p>
    <w:p w14:paraId="6A8E2E43"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VIII. Secretaría de Desarrollo Económico; </w:t>
      </w:r>
    </w:p>
    <w:p w14:paraId="4E052F2A"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IX. Secretaría de Planeación Urbana y Obras Públicas; </w:t>
      </w:r>
    </w:p>
    <w:p w14:paraId="6F8725E8"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 Secretaría de Servicios Públicos; </w:t>
      </w:r>
    </w:p>
    <w:p w14:paraId="02D6C0A1"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 Secretaría de Cultura; </w:t>
      </w:r>
    </w:p>
    <w:p w14:paraId="741369FB"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XII. Secretaría de Desarrollo Social; </w:t>
      </w:r>
    </w:p>
    <w:p w14:paraId="4DCB4E7E"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XIII. Secretaría de las Mujeres Naucalpenses y la Igualdad Sustantiva; </w:t>
      </w:r>
    </w:p>
    <w:p w14:paraId="0D0D89E8"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XIV. Dirección General de Protección Civil y Bomberos; </w:t>
      </w:r>
    </w:p>
    <w:p w14:paraId="44E59B92" w14:textId="5B7038A2" w:rsidR="00191D9C"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b/>
          <w:i/>
          <w:sz w:val="22"/>
          <w:szCs w:val="22"/>
        </w:rPr>
        <w:t>XV. Dirección General de Seguridad Ciudadana y Tránsito Municipal;</w:t>
      </w:r>
      <w:r w:rsidRPr="001A3DEA">
        <w:rPr>
          <w:rFonts w:ascii="Palatino Linotype" w:hAnsi="Palatino Linotype"/>
          <w:i/>
          <w:sz w:val="22"/>
          <w:szCs w:val="22"/>
        </w:rPr>
        <w:t xml:space="preserve"> y</w:t>
      </w:r>
    </w:p>
    <w:p w14:paraId="7B399742" w14:textId="1B08766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XVI. Las demás que determine crear el Ayuntamiento por acuerdo de Cabildo.</w:t>
      </w:r>
    </w:p>
    <w:p w14:paraId="137A3962"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DE LA SUBDIRECCIÓN DE PATRIMONIO </w:t>
      </w:r>
    </w:p>
    <w:p w14:paraId="128CCB45"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Artículo 3.17.- La Subdirección de Patrimonio Municipal, estará integrada por las siguientes Unidades Administrativas: </w:t>
      </w:r>
    </w:p>
    <w:p w14:paraId="54F3B057"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Departamento de Bienes Inmuebles; </w:t>
      </w:r>
    </w:p>
    <w:p w14:paraId="299B26F2"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II. Departamento de Bienes Muebles; </w:t>
      </w:r>
    </w:p>
    <w:p w14:paraId="56537B1A"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III. Departamento de Archivo y Documentación </w:t>
      </w:r>
    </w:p>
    <w:p w14:paraId="1E48B102"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Artículo 3.18.- Corresponde al Titular de la Subdirección de Patrimonio Municipal, el despacho de los asuntos siguientes: </w:t>
      </w:r>
    </w:p>
    <w:p w14:paraId="60145876" w14:textId="77777777"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Auxiliar al Secretario del Ayuntamiento en la elaboración del inventario General de Bienes Municipales, conforme a la Ley Orgánica Municipal; </w:t>
      </w:r>
    </w:p>
    <w:p w14:paraId="3504FA70" w14:textId="0792A01B"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II. Solicitar la inscripción en el Instituto de la Función Registral de los inmuebles destinados a vías públicas y equipamiento urbano de dominio público, así como las áreas de donación entregadas al Municipio, de acuerdo con la normatividad aplicable; III. Mantener actualizado el Registro Administrativo de la Propiedad Pública Municipal;</w:t>
      </w:r>
    </w:p>
    <w:p w14:paraId="03B7B1CF"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IV. Llevar el control de las inscripciones en el Registro Administrativo de la Propiedad Pública Municipal, en términos del Reglamento de Bienes Municipales de Naucalpan de Juárez, México; </w:t>
      </w:r>
    </w:p>
    <w:p w14:paraId="0C798F77"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 Mantener actualizada la relación de los bienes municipales, que el Ayuntamiento incorpore o desincorpore del dominio público o privado municipal; </w:t>
      </w:r>
    </w:p>
    <w:p w14:paraId="3B731DE5"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 Mantener actualizada la relación de los bienes que el Ayuntamiento afecte al servicio público municipal, así como los que hayan sido afectados; </w:t>
      </w:r>
    </w:p>
    <w:p w14:paraId="4A20B446"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VII. Validar con su firma la información contenida en la relación de bienes municipales que se presentará a la Comisión Edilicia de Patrimonio Municipal, sometidos al procedimiento de enajenación, incorporación, desincorporación, cambio de uso o destino, cambio de usuario, así como la sustitución de bienes robados, extraviados o faltantes, que haya registrado la Subdirección de Patrimonio Municipal; </w:t>
      </w:r>
    </w:p>
    <w:p w14:paraId="0EC22F98"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VIII. Revisar la asignación del número de inventario de los bienes muebles municipales; </w:t>
      </w:r>
    </w:p>
    <w:p w14:paraId="409588B9"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IX. Elaborar para firma del Secretario del Ayuntamiento, los informes que se deban presentar al Órgano Superior de Fiscalización del Poder Legislativo del Estado de México, relativas al inventario de bienes municipales; </w:t>
      </w:r>
    </w:p>
    <w:p w14:paraId="109076FE"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 Participar en la elaboración de la normatividad a la que deberá sujetarse la vigilancia, cuidado, administración y aprovechamiento de los bienes del dominio público y privado municipales; </w:t>
      </w:r>
    </w:p>
    <w:p w14:paraId="39956339"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 Coordinarse con las dependencias competentes para llevar a cabo las acciones de recuperación de los bienes inmuebles municipales por la vía que corresponda (administrativa y/o judicial); </w:t>
      </w:r>
    </w:p>
    <w:p w14:paraId="7A690F51"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XII. Emitir el dictamen correspondiente en las solicitudes de uso de bienes municipales para someterlo a la Comisión Edilicia de Patrimonio Municipal, tratándose de concesión, autorización o licencia en su caso; </w:t>
      </w:r>
    </w:p>
    <w:p w14:paraId="08B87651"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XIII. Otorgar los permisos, autorizaciones o licencias de uso de bien municipal en términos de la normatividad aplicable; </w:t>
      </w:r>
    </w:p>
    <w:p w14:paraId="331188EE"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XIV. Acordar con el Secretario del Ayuntamiento y el Director Técnico la procedencia de las solicitudes de uso de los bienes de dominio público y privado municipales para la emisión de los permisos, autorizaciones o licencias de uso de bien municipal, que correspondan; </w:t>
      </w:r>
    </w:p>
    <w:p w14:paraId="2FD58AA8"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XV. Informar al Secretario del Ayuntamiento y al Director Técnico, todos los actos jurídicos traslativos de dominio que afecten al patrimonio municipal; </w:t>
      </w:r>
    </w:p>
    <w:p w14:paraId="4728F34C"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XVI. Validar los resguardos de bienes muebles municipales; </w:t>
      </w:r>
    </w:p>
    <w:p w14:paraId="7442D90A"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XVII. Auxiliar al Secretario del Ayuntamiento en la elaboración semestral del Inventario General de Bienes Muebles e Inmuebles; </w:t>
      </w:r>
    </w:p>
    <w:p w14:paraId="2005072E" w14:textId="77777777" w:rsidR="00A2186B"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XVIII. Proponer, previo acuerdo con su superior jerárquico, el nombramiento y remoción del personal a su cargo, atendiendo a la normatividad aplicable; y </w:t>
      </w:r>
    </w:p>
    <w:p w14:paraId="5CB3BED5" w14:textId="7BF1244F" w:rsidR="004577F1" w:rsidRPr="001A3DEA" w:rsidRDefault="004577F1"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XIX. Las demás que le sean encomendados por el Director Técnico.</w:t>
      </w:r>
    </w:p>
    <w:p w14:paraId="3623CA60"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Artículo 4.1.- La Tesorería Municipal es el órgano encargado de la recaudación de los ingresos municipales y responsable de realizar las erogaciones que haga el Ayuntamiento. </w:t>
      </w:r>
    </w:p>
    <w:p w14:paraId="21DD736A"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Artículo 4.2.- El Tesorero Municipal, al tomar posesión de su cargo, recibirá la Hacienda Pública de acuerdo con las previsiones a que se refiere el artículo 19 de La Ley Orgánica Municipal del Estado de México y remitirá un ejemplar de dicha documentación al Ayuntamiento, al Órgano Superior de Fiscalización del Estado de México y al archivo de la Tesorería Municipal. </w:t>
      </w:r>
    </w:p>
    <w:p w14:paraId="184A5540"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Artículo 4.3.- Son atribuciones del Tesorero Municipal: </w:t>
      </w:r>
    </w:p>
    <w:p w14:paraId="22077177"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Administrar la Hacienda Pública Municipal, de conformidad con las disposiciones legales aplicables; </w:t>
      </w:r>
    </w:p>
    <w:p w14:paraId="7CB95548"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272AD84E"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III. Imponer las sanciones administrativas que procedan por infracciones a las disposiciones fiscales; </w:t>
      </w:r>
    </w:p>
    <w:p w14:paraId="2019DB18"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IV. Llevar los registros contables, financieros y administrativos de los ingresos, egresos, e inventarios; </w:t>
      </w:r>
    </w:p>
    <w:p w14:paraId="0C3B13B8"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 Proporcionar oportunamente al Ayuntamiento todos los datos o informes que sean necesarios para la formulación del Presupuesto de Egresos Municipales, vigilando que se ajuste a las disposiciones de la Ley en la materia y otros ordenamientos aplicables; </w:t>
      </w:r>
    </w:p>
    <w:p w14:paraId="6D0AD82B" w14:textId="517023BA"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VI. Presentar anualmente al ayuntamiento un informe de la situación contable financiera de la Tesorería Municipal;</w:t>
      </w:r>
    </w:p>
    <w:p w14:paraId="2D09565B"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VII. Proporcionar para la formulación del proyecto de Presupuesto de Egresos Municipales la información financiera relativa a la solución o en su caso, el pago de los litigios laborales; </w:t>
      </w:r>
    </w:p>
    <w:p w14:paraId="4B5F6E5E"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VIII. Diseñar y aprobar las formas oficiales de manifestaciones, avisos y declaraciones y demás documentos requeridos; </w:t>
      </w:r>
    </w:p>
    <w:p w14:paraId="26F23416"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IX. Participar en la formulación de Convenios Fiscales y ejercer las atribuciones que le correspondan en el ámbito de su competencia; </w:t>
      </w:r>
    </w:p>
    <w:p w14:paraId="019935C9"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 Proponer al Ayuntamiento la cancelación de cuentas incobrables; </w:t>
      </w:r>
    </w:p>
    <w:p w14:paraId="3D0683A8"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 Custodiar y ejercer las garantías que se otorguen en favor de la hacienda municipal; </w:t>
      </w:r>
    </w:p>
    <w:p w14:paraId="10B69CB5"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XII. Proponer la política de ingresos de la tesorería municipal; </w:t>
      </w:r>
    </w:p>
    <w:p w14:paraId="370CC4DD"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XIII. Intervenir en la elaboración del programa financiero municipal; </w:t>
      </w:r>
    </w:p>
    <w:p w14:paraId="2F265B1C"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XIV. Elaborar y mantener actualizado el Padrón de Contribuyentes; </w:t>
      </w:r>
    </w:p>
    <w:p w14:paraId="3067B563"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XV. Ministrar a su inmediato antecesor todos los datos oficiales que le solicitare, para contestar los pliegos de observaciones y alcances que formule y deduzca el Órgano Superior de Fiscalización del Estado de México; </w:t>
      </w:r>
    </w:p>
    <w:p w14:paraId="2CCF65AF"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XVI. Solicitar a las instancias competentes, la práctica de revisiones circunstanciadas, de conformidad con las normas que rigen en materia de control y evaluación gubernamental en el ámbito municipal; </w:t>
      </w:r>
    </w:p>
    <w:p w14:paraId="686BD783"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XVII. Glosar oportunamente las cuentas del Ayuntamiento; </w:t>
      </w:r>
    </w:p>
    <w:p w14:paraId="4D533775"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XVIII. Contestar oportunamente los pliegos de observaciones y responsabilidad que haga el Órgano Superior de Fiscalización del Estado de México, así como atender en tiempo y forma las solicitudes de información que éste requiera, informando al Ayuntamiento; </w:t>
      </w:r>
    </w:p>
    <w:p w14:paraId="27F3FB62"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XIX. Expedir copias certificadas de los documentos a su cuidado, por acuerdo expreso del Ayuntamiento y cuando se trate de documentación presentada ante el Órgano Superior de Fiscalización del Estado de México; </w:t>
      </w:r>
    </w:p>
    <w:p w14:paraId="4A5FC63F"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478D670"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XXI. Dar cumplimiento a las leyes, convenios de coordinación fiscal y demás que en materia hacendaria celebre el Ayuntamiento con el Estado; </w:t>
      </w:r>
    </w:p>
    <w:p w14:paraId="47BEB28D"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XXII. Entregar oportunamente a él o los Síndicos, según sea el caso, el informe mensual que corresponda, a fin de que se revise, y de ser necesario, para que se formulen las observaciones respectivas; y </w:t>
      </w:r>
    </w:p>
    <w:p w14:paraId="56178503" w14:textId="79D4A50F"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XXIII. Las que les señalen las demás disposiciones legales y el Ayuntamiento.</w:t>
      </w:r>
    </w:p>
    <w:p w14:paraId="75F14B47"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Artículo 4.13.- La Coordinación Administrativa, estará a cargo de un Titular, a quien le corresponderá el ejercicio de las atribuciones siguientes: </w:t>
      </w:r>
    </w:p>
    <w:p w14:paraId="2541CB41"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Organizar, controlar y verificar que todos los recursos humanos, materiales y de servicios de todas las Unidades administrativas de la Tesorería, sean los óptimos para las funciones de cada una de éstas, así como vigilar y gestionar la aplicación correcta de los mismos para su mejor aprovechamiento, atendiendo lo inherente a su ejercicio; II. Proponer al Tesorero las políticas y procedimientos necesarios para la administración de los recursos materiales y humanos con los que cuenta; </w:t>
      </w:r>
    </w:p>
    <w:p w14:paraId="6DCD287B" w14:textId="681F3482"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III. Elaborar el programa de actividades y recopilar de las diversas Unidades administrativas que integran la Tesorería, las metas para el presupuesto anual de la Tesorería; IV. Obtener, analizar y registrar la información del fondo fijo asignado a la Tesorería;</w:t>
      </w:r>
    </w:p>
    <w:p w14:paraId="62E6BA4C" w14:textId="77777777" w:rsidR="00A2186B"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Artículo 5.1.- La Contraloría Interna Municipal, es el órgano de control interno, establecido por el Ayuntamiento, responsable de la supervisión, evaluación, operación y funcionamiento de las Dependencias respecto de la responsabilidad administrativa disciplinaria y/o resarcitoria de los servidores públicos municipales en sus etapas de investigación, substanciación y resolución. Para efectos del presente libro, se le denominará la Contraloría. </w:t>
      </w:r>
    </w:p>
    <w:p w14:paraId="72302C50" w14:textId="77777777" w:rsidR="00284DF5"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La Contraloría conducirá sus acciones en forma programada y con base en lo establecido en las disposiciones federales y estatales, Plan de Desarrollo Municipal, los programas que de éste se deriven, reglamentos municipales y demás disposiciones legales, en el presupuesto autorizado por el Ayuntamiento, así como los acuerdos emitidos por el Presidente Municipal y el Ayuntamiento, para el logro de sus objetivos y prioridades; así como para cumplir la función de la Contraloría y la relativa a la responsabilidad administrativa de los servidores públicos municipales. Artículo 5.2.- La Contraloría, estará a cargo de un titular a quien se le denominará Contralor Interno y le corresponderá además de las atribuciones señaladas en el artículo 1.12 del LIBRO PRIMERO, el ejercicio de las siguientes: </w:t>
      </w:r>
    </w:p>
    <w:p w14:paraId="32E55006" w14:textId="77777777" w:rsidR="00284DF5"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Encomendar a los titulares de las Unidades Administrativas de la Contraloría Interna Municipal, las funciones que sean necesarias para el cumplimiento de las atribuciones que tiene conferidas, excepto las que por disposición de la ley, deban ser ejercidas directamente por él. </w:t>
      </w:r>
    </w:p>
    <w:p w14:paraId="43E2F179" w14:textId="77777777" w:rsidR="00284DF5"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II. Establecer las disposiciones y lineamientos de carácter general para el buen despacho de los asuntos de su competencia, así como fijar, dirigir y controlar la política general de la Contraloría Interna Municipal </w:t>
      </w:r>
    </w:p>
    <w:p w14:paraId="507CE587" w14:textId="77777777" w:rsidR="00284DF5" w:rsidRPr="001A3DEA" w:rsidRDefault="00A2186B"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III. Establecer los lineamientos y políticas que orienten la coordinación de acciones de la Contraloría Interna Municipal, con la Secretaría de la Contraloría del Estado de México, la Contraloría del Poder Legislativo, el ÓSFEM y con las Dependencias Federales correspondientes, para el mejor cumplimiento de sus respectivas responsabilidades; IV. Someter a consideración del Presidente Municipal, los asuntos cuyo despacho corresponde a la Contraloría Interna Municipal e informarle sobre el avance de los mismos, así como del desempeño de las comisiones y funciones que le hubiere conferido V. Someter a consideración y aprobación del Presidente Municipal los programas a cargo de la Contraloría Interna Municipal derivados del Plan de Desarrollo Municipal, así como encomendar a</w:t>
      </w:r>
      <w:r w:rsidR="00284DF5" w:rsidRPr="001A3DEA">
        <w:rPr>
          <w:rFonts w:ascii="Palatino Linotype" w:hAnsi="Palatino Linotype"/>
          <w:i/>
          <w:sz w:val="22"/>
          <w:szCs w:val="22"/>
        </w:rPr>
        <w:t xml:space="preserve"> las Unidades Administrativas de la Contraloría Interna Municipal la ejecución y acciones derivadas de los mismos; </w:t>
      </w:r>
    </w:p>
    <w:p w14:paraId="20ADA7E3" w14:textId="77777777" w:rsidR="00284DF5" w:rsidRPr="001A3DEA" w:rsidRDefault="00284DF5"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 Aprobar los programas de metas y trabajos de las Unidades Administrativas de la Contraloría Interna Municipal </w:t>
      </w:r>
    </w:p>
    <w:p w14:paraId="651DEDDC" w14:textId="77777777" w:rsidR="00284DF5" w:rsidRPr="001A3DEA" w:rsidRDefault="00284DF5"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VII. Proponer el anteproyecto del presupuesto anual de egresos para la Contraloría Interna Municipal y enviarlo en forma oportuna a la Tesorería Municipal; </w:t>
      </w:r>
    </w:p>
    <w:p w14:paraId="4ACAE0C5" w14:textId="483B04E9" w:rsidR="00A2186B" w:rsidRPr="001A3DEA" w:rsidRDefault="00284DF5"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VIII. Informar al Presidente Municipal sobre el resultado de las investigaciones y acciones de control y evaluación practicadas a las Dependencias y Entidades;</w:t>
      </w:r>
    </w:p>
    <w:p w14:paraId="0DC835A6" w14:textId="77777777" w:rsidR="00284DF5" w:rsidRPr="001A3DEA" w:rsidRDefault="00284DF5"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Artículo 5.4.- Para la investigación, estudio, planeación, substanciación, despacho y resolución de los asuntos de su competencia, la Contraloría Interna Municipal se integra por las unidades administrativas siguientes: </w:t>
      </w:r>
    </w:p>
    <w:p w14:paraId="395FFE09" w14:textId="77777777" w:rsidR="00284DF5" w:rsidRPr="001A3DEA" w:rsidRDefault="00284DF5"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 Coordinación Administrativa; </w:t>
      </w:r>
    </w:p>
    <w:p w14:paraId="5E8A5622" w14:textId="77777777" w:rsidR="00284DF5" w:rsidRPr="001A3DEA" w:rsidRDefault="00284DF5"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II. Coordinación de Enlace Jurídico; </w:t>
      </w:r>
    </w:p>
    <w:p w14:paraId="2415F1A4" w14:textId="77777777" w:rsidR="00284DF5" w:rsidRPr="001A3DEA" w:rsidRDefault="00284DF5" w:rsidP="004577F1">
      <w:pPr>
        <w:autoSpaceDE w:val="0"/>
        <w:autoSpaceDN w:val="0"/>
        <w:adjustRightInd w:val="0"/>
        <w:spacing w:line="276" w:lineRule="auto"/>
        <w:ind w:left="851" w:right="899"/>
        <w:jc w:val="both"/>
        <w:rPr>
          <w:rFonts w:ascii="Palatino Linotype" w:hAnsi="Palatino Linotype"/>
          <w:i/>
          <w:sz w:val="22"/>
          <w:szCs w:val="22"/>
        </w:rPr>
      </w:pPr>
      <w:r w:rsidRPr="001A3DEA">
        <w:rPr>
          <w:rFonts w:ascii="Palatino Linotype" w:hAnsi="Palatino Linotype"/>
          <w:i/>
          <w:sz w:val="22"/>
          <w:szCs w:val="22"/>
        </w:rPr>
        <w:t xml:space="preserve">III. Coordinación de Evaluación y Seguimiento de la Contraloría Interna Municipal; IV. Subcontraloría Social; V. Subcontraloría de Auditoría e Investigación; y </w:t>
      </w:r>
    </w:p>
    <w:p w14:paraId="1B383F61" w14:textId="58050A25" w:rsidR="00284DF5" w:rsidRPr="001A3DEA" w:rsidRDefault="00284DF5" w:rsidP="004577F1">
      <w:pPr>
        <w:autoSpaceDE w:val="0"/>
        <w:autoSpaceDN w:val="0"/>
        <w:adjustRightInd w:val="0"/>
        <w:spacing w:line="276" w:lineRule="auto"/>
        <w:ind w:left="851" w:right="899"/>
        <w:jc w:val="both"/>
        <w:rPr>
          <w:rFonts w:ascii="Palatino Linotype" w:hAnsi="Palatino Linotype" w:cs="Arial"/>
          <w:i/>
          <w:sz w:val="22"/>
          <w:szCs w:val="22"/>
        </w:rPr>
      </w:pPr>
      <w:r w:rsidRPr="001A3DEA">
        <w:rPr>
          <w:rFonts w:ascii="Palatino Linotype" w:hAnsi="Palatino Linotype"/>
          <w:i/>
          <w:sz w:val="22"/>
          <w:szCs w:val="22"/>
        </w:rPr>
        <w:t>VI. Subcontraloría de Responsabilidades.</w:t>
      </w:r>
      <w:r w:rsidR="00AB0711" w:rsidRPr="001A3DEA">
        <w:rPr>
          <w:rFonts w:ascii="Palatino Linotype" w:hAnsi="Palatino Linotype"/>
          <w:i/>
          <w:sz w:val="22"/>
          <w:szCs w:val="22"/>
        </w:rPr>
        <w:t>”</w:t>
      </w:r>
    </w:p>
    <w:p w14:paraId="13DDBDB0" w14:textId="77777777" w:rsidR="00586C12" w:rsidRPr="001A3DEA" w:rsidRDefault="00586C12" w:rsidP="00913AC4">
      <w:pPr>
        <w:autoSpaceDE w:val="0"/>
        <w:autoSpaceDN w:val="0"/>
        <w:adjustRightInd w:val="0"/>
        <w:spacing w:line="360" w:lineRule="auto"/>
        <w:jc w:val="both"/>
        <w:rPr>
          <w:rFonts w:ascii="Palatino Linotype" w:hAnsi="Palatino Linotype" w:cs="Arial"/>
        </w:rPr>
      </w:pPr>
    </w:p>
    <w:p w14:paraId="16DBA540" w14:textId="77777777" w:rsidR="00284DF5" w:rsidRPr="001A3DEA" w:rsidRDefault="00913AC4" w:rsidP="00913AC4">
      <w:pPr>
        <w:autoSpaceDE w:val="0"/>
        <w:autoSpaceDN w:val="0"/>
        <w:adjustRightInd w:val="0"/>
        <w:spacing w:line="360" w:lineRule="auto"/>
        <w:jc w:val="both"/>
        <w:rPr>
          <w:rFonts w:ascii="Palatino Linotype" w:hAnsi="Palatino Linotype" w:cs="Arial"/>
        </w:rPr>
      </w:pPr>
      <w:r w:rsidRPr="001A3DEA">
        <w:rPr>
          <w:rFonts w:ascii="Palatino Linotype" w:hAnsi="Palatino Linotype" w:cs="Arial"/>
        </w:rPr>
        <w:t>De la interpretación armónica de los preceptos transcritos, se advierte que </w:t>
      </w:r>
      <w:r w:rsidRPr="001A3DEA">
        <w:rPr>
          <w:rFonts w:ascii="Palatino Linotype" w:hAnsi="Palatino Linotype" w:cs="Arial"/>
          <w:b/>
        </w:rPr>
        <w:t>EL SUJETO OBLIGADO</w:t>
      </w:r>
      <w:r w:rsidRPr="001A3DEA">
        <w:rPr>
          <w:rFonts w:ascii="Palatino Linotype" w:hAnsi="Palatino Linotype" w:cs="Arial"/>
        </w:rPr>
        <w:t>, cuenta con la</w:t>
      </w:r>
      <w:r w:rsidR="00284DF5" w:rsidRPr="001A3DEA">
        <w:rPr>
          <w:rFonts w:ascii="Palatino Linotype" w:hAnsi="Palatino Linotype" w:cs="Arial"/>
        </w:rPr>
        <w:t>s Unidades Administrativas que pudieran contar con la información.</w:t>
      </w:r>
    </w:p>
    <w:p w14:paraId="777BF090" w14:textId="77777777" w:rsidR="00284DF5" w:rsidRPr="001A3DEA" w:rsidRDefault="00284DF5" w:rsidP="00913AC4">
      <w:pPr>
        <w:autoSpaceDE w:val="0"/>
        <w:autoSpaceDN w:val="0"/>
        <w:adjustRightInd w:val="0"/>
        <w:spacing w:line="360" w:lineRule="auto"/>
        <w:jc w:val="both"/>
        <w:rPr>
          <w:rFonts w:ascii="Palatino Linotype" w:hAnsi="Palatino Linotype" w:cs="Arial"/>
        </w:rPr>
      </w:pPr>
    </w:p>
    <w:p w14:paraId="7843A39F" w14:textId="26887A62" w:rsidR="00913AC4" w:rsidRPr="001A3DEA" w:rsidRDefault="00284DF5" w:rsidP="00913AC4">
      <w:pPr>
        <w:autoSpaceDE w:val="0"/>
        <w:autoSpaceDN w:val="0"/>
        <w:adjustRightInd w:val="0"/>
        <w:spacing w:line="360" w:lineRule="auto"/>
        <w:jc w:val="both"/>
        <w:rPr>
          <w:rFonts w:ascii="Palatino Linotype" w:hAnsi="Palatino Linotype" w:cs="Arial"/>
        </w:rPr>
      </w:pPr>
      <w:r w:rsidRPr="001A3DEA">
        <w:rPr>
          <w:rFonts w:ascii="Palatino Linotype" w:hAnsi="Palatino Linotype" w:cs="Arial"/>
        </w:rPr>
        <w:t xml:space="preserve">De igual forma, </w:t>
      </w:r>
      <w:r w:rsidRPr="001A3DEA">
        <w:rPr>
          <w:rFonts w:ascii="Palatino Linotype" w:hAnsi="Palatino Linotype" w:cs="Arial"/>
          <w:b/>
        </w:rPr>
        <w:t>EL SUJETO OBLIGADO</w:t>
      </w:r>
      <w:r w:rsidRPr="001A3DEA">
        <w:rPr>
          <w:rFonts w:ascii="Palatino Linotype" w:hAnsi="Palatino Linotype" w:cs="Arial"/>
        </w:rPr>
        <w:t xml:space="preserve"> debe ajustarse a lo que dispone el artículo 162 de la Ley de Transparencia y </w:t>
      </w:r>
      <w:r w:rsidR="009C4844" w:rsidRPr="001A3DEA">
        <w:rPr>
          <w:rFonts w:ascii="Palatino Linotype" w:hAnsi="Palatino Linotype" w:cs="Arial"/>
        </w:rPr>
        <w:t>Acceso a</w:t>
      </w:r>
      <w:r w:rsidRPr="001A3DEA">
        <w:rPr>
          <w:rFonts w:ascii="Palatino Linotype" w:hAnsi="Palatino Linotype" w:cs="Arial"/>
        </w:rPr>
        <w:t xml:space="preserve"> la información Pública que señala:</w:t>
      </w:r>
    </w:p>
    <w:p w14:paraId="2DBE256E" w14:textId="77777777" w:rsidR="00284DF5" w:rsidRPr="001A3DEA" w:rsidRDefault="00284DF5" w:rsidP="00913AC4">
      <w:pPr>
        <w:autoSpaceDE w:val="0"/>
        <w:autoSpaceDN w:val="0"/>
        <w:adjustRightInd w:val="0"/>
        <w:spacing w:line="360" w:lineRule="auto"/>
        <w:jc w:val="both"/>
        <w:rPr>
          <w:rFonts w:ascii="Palatino Linotype" w:hAnsi="Palatino Linotype" w:cs="Arial"/>
        </w:rPr>
      </w:pPr>
    </w:p>
    <w:p w14:paraId="72AEA874" w14:textId="75BF3003" w:rsidR="00284DF5" w:rsidRPr="001A3DEA" w:rsidRDefault="00284DF5" w:rsidP="00284DF5">
      <w:pPr>
        <w:autoSpaceDE w:val="0"/>
        <w:autoSpaceDN w:val="0"/>
        <w:adjustRightInd w:val="0"/>
        <w:spacing w:line="276" w:lineRule="auto"/>
        <w:ind w:left="851" w:right="899"/>
        <w:jc w:val="both"/>
        <w:rPr>
          <w:rFonts w:ascii="Palatino Linotype" w:hAnsi="Palatino Linotype" w:cs="Arial"/>
          <w:i/>
          <w:sz w:val="22"/>
          <w:szCs w:val="22"/>
        </w:rPr>
      </w:pPr>
      <w:r w:rsidRPr="001A3DEA">
        <w:rPr>
          <w:rFonts w:ascii="Palatino Linotype" w:hAnsi="Palatino Linotype"/>
          <w:i/>
          <w:sz w:val="22"/>
          <w:szCs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E40BAB4" w14:textId="77777777" w:rsidR="00C554BF" w:rsidRPr="001A3DEA" w:rsidRDefault="00C554BF" w:rsidP="00913AC4">
      <w:pPr>
        <w:autoSpaceDE w:val="0"/>
        <w:autoSpaceDN w:val="0"/>
        <w:adjustRightInd w:val="0"/>
        <w:spacing w:line="360" w:lineRule="auto"/>
        <w:jc w:val="both"/>
        <w:rPr>
          <w:rFonts w:ascii="Palatino Linotype" w:hAnsi="Palatino Linotype" w:cs="Arial"/>
        </w:rPr>
      </w:pPr>
    </w:p>
    <w:p w14:paraId="44B95BF1" w14:textId="4B1476D6" w:rsidR="00284DF5" w:rsidRPr="001A3DEA" w:rsidRDefault="00284DF5" w:rsidP="003575B0">
      <w:pPr>
        <w:autoSpaceDE w:val="0"/>
        <w:autoSpaceDN w:val="0"/>
        <w:adjustRightInd w:val="0"/>
        <w:spacing w:line="360" w:lineRule="auto"/>
        <w:jc w:val="both"/>
        <w:rPr>
          <w:rFonts w:ascii="Palatino Linotype" w:hAnsi="Palatino Linotype" w:cs="Arial"/>
          <w:szCs w:val="22"/>
        </w:rPr>
      </w:pPr>
      <w:r w:rsidRPr="001A3DEA">
        <w:rPr>
          <w:rFonts w:ascii="Palatino Linotype" w:hAnsi="Palatino Linotype" w:cs="Arial"/>
          <w:szCs w:val="22"/>
        </w:rPr>
        <w:t xml:space="preserve">De esta forma, </w:t>
      </w:r>
      <w:r w:rsidRPr="001A3DEA">
        <w:rPr>
          <w:rFonts w:ascii="Palatino Linotype" w:hAnsi="Palatino Linotype" w:cs="Arial"/>
          <w:b/>
          <w:szCs w:val="22"/>
        </w:rPr>
        <w:t>EL SUJETO OBLIGADO</w:t>
      </w:r>
      <w:r w:rsidRPr="001A3DEA">
        <w:rPr>
          <w:rFonts w:ascii="Palatino Linotype" w:hAnsi="Palatino Linotype" w:cs="Arial"/>
          <w:szCs w:val="22"/>
        </w:rPr>
        <w:t xml:space="preserve"> debe turnar a todas las áreas que pudieran contar con la información, sin perder de vista que si la información encuadra en los supuestos de la Ley de la materia, la autoridad se debe ajustar a los mismos salvaguardando en todo momento los datos que por su naturaleza pongan en riesgo a los servidores públicos o que vulnere la persecución de los delitos en razón de la información que es requerida por el particular ya que si bien en primer término toda la información es pública; también lo es, que la misma norma restringe los datos que comprometan a los servidores públicos en el ejercicio de sus atribuciones y funciones.</w:t>
      </w:r>
    </w:p>
    <w:p w14:paraId="531E439B" w14:textId="77777777" w:rsidR="00284DF5" w:rsidRPr="001A3DEA" w:rsidRDefault="00284DF5" w:rsidP="003575B0">
      <w:pPr>
        <w:autoSpaceDE w:val="0"/>
        <w:autoSpaceDN w:val="0"/>
        <w:adjustRightInd w:val="0"/>
        <w:spacing w:line="360" w:lineRule="auto"/>
        <w:jc w:val="both"/>
        <w:rPr>
          <w:rFonts w:ascii="Palatino Linotype" w:hAnsi="Palatino Linotype" w:cs="Arial"/>
          <w:szCs w:val="22"/>
        </w:rPr>
      </w:pPr>
    </w:p>
    <w:p w14:paraId="7FD450B6" w14:textId="77777777" w:rsidR="001D4F14" w:rsidRPr="001A3DEA" w:rsidRDefault="001D4F14" w:rsidP="001D4F14">
      <w:pPr>
        <w:spacing w:line="360" w:lineRule="auto"/>
        <w:ind w:right="49"/>
        <w:jc w:val="both"/>
        <w:rPr>
          <w:rFonts w:ascii="Palatino Linotype" w:hAnsi="Palatino Linotype"/>
          <w:color w:val="222222"/>
        </w:rPr>
      </w:pPr>
      <w:r w:rsidRPr="001A3DEA">
        <w:rPr>
          <w:rFonts w:ascii="Palatino Linotype" w:hAnsi="Palatino Linotype"/>
          <w:color w:val="222222"/>
        </w:rPr>
        <w:t xml:space="preserve">Ahora bien, es importante señalar que la información que requiere el particular pudiera ser entregada en versión pública, ya que no se tienen elementos necesarios para determinar tal circunstancia, pero debe ordenarse la entrega de la información de ser procedente en versión pública, salvaguardando en todo momento los datos personales que obren en los documentos de referencia. </w:t>
      </w:r>
    </w:p>
    <w:p w14:paraId="0F2942D8" w14:textId="77777777" w:rsidR="001D4F14" w:rsidRPr="001A3DEA" w:rsidRDefault="001D4F14" w:rsidP="001D4F14">
      <w:pPr>
        <w:spacing w:line="360" w:lineRule="auto"/>
        <w:ind w:right="49"/>
        <w:jc w:val="both"/>
        <w:rPr>
          <w:rFonts w:ascii="Palatino Linotype" w:hAnsi="Palatino Linotype"/>
          <w:color w:val="222222"/>
        </w:rPr>
      </w:pPr>
    </w:p>
    <w:p w14:paraId="3CF606B3" w14:textId="77777777" w:rsidR="001D4F14" w:rsidRPr="001A3DEA" w:rsidRDefault="001D4F14" w:rsidP="001D4F14">
      <w:pPr>
        <w:spacing w:before="100" w:beforeAutospacing="1" w:after="100" w:afterAutospacing="1" w:line="360" w:lineRule="auto"/>
        <w:contextualSpacing/>
        <w:jc w:val="both"/>
        <w:rPr>
          <w:rFonts w:ascii="Palatino Linotype" w:eastAsia="Batang" w:hAnsi="Palatino Linotype" w:cs="Arial"/>
          <w:iCs/>
          <w:lang w:val="es-AR"/>
        </w:rPr>
      </w:pPr>
      <w:r w:rsidRPr="001A3DEA">
        <w:rPr>
          <w:rFonts w:ascii="Palatino Linotype" w:eastAsia="Batang" w:hAnsi="Palatino Linotype" w:cs="Arial"/>
          <w:iCs/>
          <w:lang w:val="es-AR"/>
        </w:rPr>
        <w:t>Para ello deberá cumplir con las formas y formalidades de la Ley forma y formalidades que la ley de la materia impone; es decir, mediante acuerdo debidamente fundado y motivado, de su Comité de Transparencia, en términos de los artículos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6BDDA4" w14:textId="77777777" w:rsidR="001D4F14" w:rsidRPr="001A3DEA" w:rsidRDefault="001D4F14" w:rsidP="001D4F14">
      <w:pPr>
        <w:spacing w:before="100" w:beforeAutospacing="1" w:after="100" w:afterAutospacing="1" w:line="360" w:lineRule="auto"/>
        <w:contextualSpacing/>
        <w:jc w:val="both"/>
        <w:rPr>
          <w:rFonts w:ascii="Palatino Linotype" w:eastAsia="Batang" w:hAnsi="Palatino Linotype" w:cs="Arial"/>
          <w:iCs/>
          <w:sz w:val="14"/>
          <w:lang w:val="es-AR"/>
        </w:rPr>
      </w:pPr>
    </w:p>
    <w:p w14:paraId="5622A389"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“Artículo 49. Los Comités de Transparencia tendrán las siguientes atribuciones: VIII. Aprobar, modificar o revocar la clasificación de la información;</w:t>
      </w:r>
    </w:p>
    <w:p w14:paraId="09E89923"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Artículo 132. La clasificación de la información se llevará a cabo en el momento en que:</w:t>
      </w:r>
    </w:p>
    <w:p w14:paraId="3B478970"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I.</w:t>
      </w:r>
      <w:r w:rsidRPr="001A3DEA">
        <w:rPr>
          <w:rFonts w:ascii="Palatino Linotype" w:eastAsia="Batang" w:hAnsi="Palatino Linotype" w:cs="Arial"/>
          <w:i/>
          <w:iCs/>
          <w:sz w:val="22"/>
          <w:szCs w:val="22"/>
          <w:lang w:val="es-AR"/>
        </w:rPr>
        <w:tab/>
        <w:t>Se reciba una solicitud de acceso a la información;</w:t>
      </w:r>
    </w:p>
    <w:p w14:paraId="42707098"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II.</w:t>
      </w:r>
      <w:r w:rsidRPr="001A3DEA">
        <w:rPr>
          <w:rFonts w:ascii="Palatino Linotype" w:eastAsia="Batang" w:hAnsi="Palatino Linotype" w:cs="Arial"/>
          <w:i/>
          <w:iCs/>
          <w:sz w:val="22"/>
          <w:szCs w:val="22"/>
          <w:lang w:val="es-AR"/>
        </w:rPr>
        <w:tab/>
        <w:t>Se determine mediante resolución de autoridad competente; o</w:t>
      </w:r>
    </w:p>
    <w:p w14:paraId="6E9C4810"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III.</w:t>
      </w:r>
      <w:r w:rsidRPr="001A3DEA">
        <w:rPr>
          <w:rFonts w:ascii="Palatino Linotype" w:eastAsia="Batang" w:hAnsi="Palatino Linotype" w:cs="Arial"/>
          <w:i/>
          <w:iCs/>
          <w:sz w:val="22"/>
          <w:szCs w:val="22"/>
          <w:lang w:val="es-AR"/>
        </w:rPr>
        <w:tab/>
        <w:t>Se generen versiones públicas para dar cumplimiento a las obligaciones de transparencia previstas en esta Ley.”</w:t>
      </w:r>
    </w:p>
    <w:p w14:paraId="7C858DA3"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“Segundo.- Para efectos de los presentes Lineamientos Generales, se entenderá por:</w:t>
      </w:r>
    </w:p>
    <w:p w14:paraId="2A97A1EC"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 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2BB061"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Los sujetos obligados deberán aplicar, de manera estricta, las excepciones al derecho de acceso a la información y sólo podrán invocarlas cuando acrediten su procedencia. 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1A4452"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Sexto. Los sujetos obligados no podrán emitir acuerdos de carácter general ni particular que clasifiquen documentos o expedientes como reservados, ni clasificar documentos antes de que se genere la información o cuando éstos no obren en sus archivos.</w:t>
      </w:r>
    </w:p>
    <w:p w14:paraId="7BBBB169"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La clasificación de información se realizará conforme a un análisis caso por caso, mediante la aplicación de la prueba de daño y de interés público.</w:t>
      </w:r>
    </w:p>
    <w:p w14:paraId="6A920F1D"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Séptimo. La clasificación de la información se llevará a cabo en el momento en que:</w:t>
      </w:r>
    </w:p>
    <w:p w14:paraId="005AC30D"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I.</w:t>
      </w:r>
      <w:r w:rsidRPr="001A3DEA">
        <w:rPr>
          <w:rFonts w:ascii="Palatino Linotype" w:eastAsia="Batang" w:hAnsi="Palatino Linotype" w:cs="Arial"/>
          <w:i/>
          <w:iCs/>
          <w:sz w:val="22"/>
          <w:szCs w:val="22"/>
          <w:lang w:val="es-AR"/>
        </w:rPr>
        <w:tab/>
        <w:t>Se reciba una solicitud de acceso a la información;</w:t>
      </w:r>
    </w:p>
    <w:p w14:paraId="34F97256"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II.</w:t>
      </w:r>
      <w:r w:rsidRPr="001A3DEA">
        <w:rPr>
          <w:rFonts w:ascii="Palatino Linotype" w:eastAsia="Batang" w:hAnsi="Palatino Linotype" w:cs="Arial"/>
          <w:i/>
          <w:iCs/>
          <w:sz w:val="22"/>
          <w:szCs w:val="22"/>
          <w:lang w:val="es-AR"/>
        </w:rPr>
        <w:tab/>
        <w:t>Se determine mediante resolución de autoridad competente, o</w:t>
      </w:r>
    </w:p>
    <w:p w14:paraId="60A411F4"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III. Se generen versiones públicas para dar cumplimiento a las obligaciones de transparencia previstas en la Ley General, la Ley Federal y las correspondientes de las entidades federativas.</w:t>
      </w:r>
    </w:p>
    <w:p w14:paraId="11519529"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Los titulares de las áreas deberán revisar la clasificación al momento de la recepción de una solicitud de acceso a la información, para verificar si encuadra en una causal de reserva o de confidencialidad.</w:t>
      </w:r>
    </w:p>
    <w:p w14:paraId="01D3FF5E"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Octavo.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w:t>
      </w:r>
    </w:p>
    <w:p w14:paraId="3CF878D7"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En caso de referirse a información reservada, la motivación de la clasificación también deberá comprender las circunstancias que justifican el establecimiento de determinado plazo de reserva.</w:t>
      </w:r>
    </w:p>
    <w:p w14:paraId="234092B9"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Tratándose de información clasificada como confidencial respecto de la cual se haya determinado su conservación permanente por tener valor histórico, ésta conservará tal carácter de conformidad con la normativa aplicable en materia de archivos.</w:t>
      </w:r>
    </w:p>
    <w:p w14:paraId="7F4979AD"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Los documentos contenidos en los archivos históricos y los identificados como históricos confidenciales no serán susceptibles de clasificación como reservados.</w:t>
      </w:r>
    </w:p>
    <w:p w14:paraId="40CDE413"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B37B0E"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848CDF"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En ausencia de los titulares de las áreas, la información será clasificada o desclasificada por la persona que lo supla, en términos de la normativa que rija la actuación del sujeto obligado.</w:t>
      </w:r>
    </w:p>
    <w:p w14:paraId="151D171D"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r w:rsidRPr="001A3DEA">
        <w:rPr>
          <w:rFonts w:ascii="Palatino Linotype" w:eastAsia="Batang" w:hAnsi="Palatino Linotype" w:cs="Arial"/>
          <w:i/>
          <w:iCs/>
          <w:sz w:val="22"/>
          <w:szCs w:val="22"/>
          <w:lang w:val="es-AR"/>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180C6DAF" w14:textId="77777777" w:rsidR="001D4F14" w:rsidRPr="001A3DEA" w:rsidRDefault="001D4F14" w:rsidP="001D4F14">
      <w:pPr>
        <w:spacing w:line="276" w:lineRule="auto"/>
        <w:ind w:left="851" w:right="902"/>
        <w:contextualSpacing/>
        <w:jc w:val="both"/>
        <w:rPr>
          <w:rFonts w:ascii="Palatino Linotype" w:eastAsia="Batang" w:hAnsi="Palatino Linotype" w:cs="Arial"/>
          <w:i/>
          <w:iCs/>
          <w:sz w:val="22"/>
          <w:szCs w:val="22"/>
          <w:lang w:val="es-AR"/>
        </w:rPr>
      </w:pPr>
    </w:p>
    <w:p w14:paraId="2FD88441" w14:textId="77777777" w:rsidR="001D4F14" w:rsidRPr="001A3DEA" w:rsidRDefault="001D4F14" w:rsidP="001D4F14">
      <w:pPr>
        <w:spacing w:line="360" w:lineRule="auto"/>
        <w:jc w:val="both"/>
        <w:rPr>
          <w:rFonts w:ascii="Palatino Linotype" w:hAnsi="Palatino Linotype"/>
          <w:color w:val="222222"/>
          <w:lang w:eastAsia="es-MX"/>
        </w:rPr>
      </w:pPr>
      <w:r w:rsidRPr="001A3DEA">
        <w:rPr>
          <w:rFonts w:ascii="Palatino Linotype" w:hAnsi="Palatino Linotype"/>
          <w:color w:val="222222"/>
          <w:lang w:eastAsia="es-MX"/>
        </w:rPr>
        <w:t xml:space="preserve">En este contexto, el hecho de que la información pública solicitada contenga datos personales susceptibles de ser protegidos mediante su versión pública, ello no implica que esta circunstancia opere en automático, sino que es necesario que el Comité de Transparencia del </w:t>
      </w:r>
      <w:r w:rsidRPr="001A3DEA">
        <w:rPr>
          <w:rFonts w:ascii="Palatino Linotype" w:hAnsi="Palatino Linotype"/>
          <w:b/>
          <w:color w:val="222222"/>
          <w:lang w:eastAsia="es-MX"/>
        </w:rPr>
        <w:t>SUJETO OBLIGADO</w:t>
      </w:r>
      <w:r w:rsidRPr="001A3DEA">
        <w:rPr>
          <w:rFonts w:ascii="Palatino Linotype" w:hAnsi="Palatino Linotype"/>
          <w:color w:val="222222"/>
          <w:lang w:eastAsia="es-MX"/>
        </w:rPr>
        <w:t xml:space="preserve"> emita el Acuerdo de Clasificación. </w:t>
      </w:r>
    </w:p>
    <w:p w14:paraId="20567580" w14:textId="77777777" w:rsidR="001D4F14" w:rsidRPr="001A3DEA" w:rsidRDefault="001D4F14" w:rsidP="001D4F14">
      <w:pPr>
        <w:spacing w:line="360" w:lineRule="auto"/>
        <w:jc w:val="both"/>
        <w:rPr>
          <w:rFonts w:ascii="Palatino Linotype" w:hAnsi="Palatino Linotype"/>
          <w:color w:val="222222"/>
          <w:lang w:eastAsia="es-MX"/>
        </w:rPr>
      </w:pPr>
    </w:p>
    <w:p w14:paraId="2FE678B5" w14:textId="77777777" w:rsidR="001D4F14" w:rsidRPr="001A3DEA" w:rsidRDefault="001D4F14" w:rsidP="001D4F14">
      <w:pPr>
        <w:spacing w:line="360" w:lineRule="auto"/>
        <w:jc w:val="both"/>
        <w:rPr>
          <w:rFonts w:ascii="Palatino Linotype" w:hAnsi="Palatino Linotype"/>
          <w:color w:val="222222"/>
          <w:lang w:eastAsia="es-MX"/>
        </w:rPr>
      </w:pPr>
      <w:r w:rsidRPr="001A3DEA">
        <w:rPr>
          <w:rFonts w:ascii="Palatino Linotype" w:hAnsi="Palatino Linotype"/>
          <w:color w:val="222222"/>
          <w:lang w:eastAsia="es-MX"/>
        </w:rPr>
        <w:t>Por tanto, dicho Acuerdo debe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37B17CFD" w14:textId="77777777" w:rsidR="001D4F14" w:rsidRPr="001A3DEA" w:rsidRDefault="001D4F14" w:rsidP="001D4F14">
      <w:pPr>
        <w:spacing w:line="276" w:lineRule="auto"/>
        <w:ind w:left="851" w:right="902"/>
        <w:jc w:val="both"/>
        <w:rPr>
          <w:rFonts w:ascii="Palatino Linotype" w:hAnsi="Palatino Linotype"/>
          <w:i/>
          <w:color w:val="222222"/>
          <w:sz w:val="22"/>
          <w:szCs w:val="22"/>
          <w:lang w:eastAsia="es-MX"/>
        </w:rPr>
      </w:pPr>
      <w:r w:rsidRPr="001A3DEA">
        <w:rPr>
          <w:rFonts w:ascii="Palatino Linotype" w:hAnsi="Palatino Linotype"/>
          <w:i/>
          <w:color w:val="222222"/>
          <w:sz w:val="22"/>
          <w:szCs w:val="22"/>
          <w:lang w:eastAsia="es-MX"/>
        </w:rPr>
        <w:t xml:space="preserve">“Artículo 135. Los lineamientos generales que se emitan al respecto en materia de clasificación de la información reservada y confidencial y, para la elaboración de versiones públicas, serán de observancia obligatoria para los sujetos obligados. </w:t>
      </w:r>
    </w:p>
    <w:p w14:paraId="2F14C975" w14:textId="77777777" w:rsidR="001D4F14" w:rsidRPr="001A3DEA" w:rsidRDefault="001D4F14" w:rsidP="001D4F14">
      <w:pPr>
        <w:spacing w:line="276" w:lineRule="auto"/>
        <w:ind w:left="851" w:right="902"/>
        <w:jc w:val="both"/>
        <w:rPr>
          <w:rFonts w:ascii="Palatino Linotype" w:hAnsi="Palatino Linotype"/>
          <w:i/>
          <w:color w:val="222222"/>
          <w:sz w:val="22"/>
          <w:szCs w:val="22"/>
          <w:lang w:eastAsia="es-MX"/>
        </w:rPr>
      </w:pPr>
      <w:r w:rsidRPr="001A3DEA">
        <w:rPr>
          <w:rFonts w:ascii="Palatino Linotype" w:hAnsi="Palatino Linotype"/>
          <w:i/>
          <w:color w:val="222222"/>
          <w:sz w:val="22"/>
          <w:szCs w:val="22"/>
          <w:lang w:eastAsia="es-MX"/>
        </w:rPr>
        <w:t>…”</w:t>
      </w:r>
    </w:p>
    <w:p w14:paraId="3BB1ABCF"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Lineamientos Generales en Materia de Clasificación y Desclasificación de la información, así como para la elaboración de Versiones Públicas.</w:t>
      </w:r>
    </w:p>
    <w:p w14:paraId="2A18F952" w14:textId="77777777" w:rsidR="001D4F14" w:rsidRPr="001A3DEA" w:rsidRDefault="001D4F14" w:rsidP="001D4F14">
      <w:pPr>
        <w:spacing w:line="276" w:lineRule="auto"/>
        <w:ind w:left="851" w:right="902"/>
        <w:contextualSpacing/>
        <w:jc w:val="both"/>
        <w:rPr>
          <w:rFonts w:ascii="Palatino Linotype" w:hAnsi="Palatino Linotype" w:cs="Arial"/>
          <w:i/>
          <w:sz w:val="22"/>
          <w:szCs w:val="22"/>
          <w:lang w:eastAsia="es-MX"/>
        </w:rPr>
      </w:pPr>
    </w:p>
    <w:p w14:paraId="1B217F74" w14:textId="77777777" w:rsidR="001D4F14" w:rsidRPr="001A3DEA" w:rsidRDefault="001D4F14" w:rsidP="001D4F14">
      <w:pPr>
        <w:spacing w:line="276" w:lineRule="auto"/>
        <w:ind w:left="851" w:right="902"/>
        <w:contextualSpacing/>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6F23559C" w14:textId="77777777" w:rsidR="001D4F14" w:rsidRPr="001A3DEA" w:rsidRDefault="001D4F14" w:rsidP="001D4F14">
      <w:pPr>
        <w:spacing w:line="276" w:lineRule="auto"/>
        <w:ind w:left="851" w:right="902"/>
        <w:contextualSpacing/>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39984506" w14:textId="77777777" w:rsidR="001D4F14" w:rsidRPr="001A3DEA" w:rsidRDefault="001D4F14" w:rsidP="001D4F14">
      <w:pPr>
        <w:spacing w:line="276" w:lineRule="auto"/>
        <w:ind w:left="851" w:right="902"/>
        <w:contextualSpacing/>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 xml:space="preserve">…” </w:t>
      </w:r>
    </w:p>
    <w:p w14:paraId="219CBAB1" w14:textId="77777777" w:rsidR="001D4F14" w:rsidRPr="001A3DEA" w:rsidRDefault="001D4F14" w:rsidP="001D4F14">
      <w:pPr>
        <w:spacing w:line="276" w:lineRule="auto"/>
        <w:ind w:left="851" w:right="902"/>
        <w:contextualSpacing/>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 xml:space="preserve">(Énfasis añadido)  </w:t>
      </w:r>
    </w:p>
    <w:p w14:paraId="14B2E508"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2E091762"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A3DEA">
        <w:rPr>
          <w:rFonts w:ascii="Palatino Linotype" w:hAnsi="Palatino Linotype" w:cs="Arial"/>
          <w:b/>
          <w:lang w:eastAsia="es-MX"/>
        </w:rPr>
        <w:t>EL SUJETO OBLIGADO</w:t>
      </w:r>
      <w:r w:rsidRPr="001A3DEA">
        <w:rPr>
          <w:rFonts w:ascii="Palatino Linotype" w:hAnsi="Palatino Linotype" w:cs="Arial"/>
          <w:lang w:eastAsia="es-MX"/>
        </w:rPr>
        <w:t xml:space="preserve">, en ese contexto, todo dato personal susceptible de clasificación debe ser protegido.  </w:t>
      </w:r>
    </w:p>
    <w:p w14:paraId="2DD2DC46"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0D5942D3"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4654084" w14:textId="77777777" w:rsidR="001D4F14" w:rsidRPr="001A3DEA" w:rsidRDefault="001D4F14" w:rsidP="001D4F14">
      <w:pPr>
        <w:spacing w:line="276" w:lineRule="auto"/>
        <w:ind w:left="851" w:right="902"/>
        <w:contextualSpacing/>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B68D3B5" w14:textId="77777777" w:rsidR="001D4F14" w:rsidRPr="001A3DEA" w:rsidRDefault="001D4F14" w:rsidP="001D4F14">
      <w:pPr>
        <w:spacing w:line="276" w:lineRule="auto"/>
        <w:ind w:left="851" w:right="902"/>
        <w:contextualSpacing/>
        <w:jc w:val="both"/>
        <w:rPr>
          <w:rFonts w:ascii="Palatino Linotype" w:hAnsi="Palatino Linotype" w:cs="Arial"/>
          <w:i/>
          <w:sz w:val="22"/>
          <w:szCs w:val="22"/>
          <w:lang w:eastAsia="es-MX"/>
        </w:rPr>
      </w:pPr>
    </w:p>
    <w:p w14:paraId="6F8E92BB"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 xml:space="preserve">Por ende, en el presente caso, </w:t>
      </w:r>
      <w:r w:rsidRPr="001A3DEA">
        <w:rPr>
          <w:rFonts w:ascii="Palatino Linotype" w:hAnsi="Palatino Linotype" w:cs="Arial"/>
          <w:b/>
          <w:lang w:eastAsia="es-MX"/>
        </w:rPr>
        <w:t>EL SUJETO OBLIGADO</w:t>
      </w:r>
      <w:r w:rsidRPr="001A3DEA">
        <w:rPr>
          <w:rFonts w:ascii="Palatino Linotype" w:hAnsi="Palatino Linotype" w:cs="Arial"/>
          <w:lang w:eastAsia="es-MX"/>
        </w:rPr>
        <w:t xml:space="preserve"> debe 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1A3DEA">
        <w:rPr>
          <w:rFonts w:ascii="Palatino Linotype" w:hAnsi="Palatino Linotype" w:cs="Arial"/>
          <w:b/>
          <w:lang w:eastAsia="es-MX"/>
        </w:rPr>
        <w:t>EL SUJETO OBLIGADO</w:t>
      </w:r>
      <w:r w:rsidRPr="001A3DEA">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A3DEA">
        <w:rPr>
          <w:rFonts w:ascii="Palatino Linotype" w:hAnsi="Palatino Linotype" w:cs="Arial"/>
          <w:b/>
          <w:lang w:eastAsia="es-MX"/>
        </w:rPr>
        <w:t>SUJETO OBLIGADO</w:t>
      </w:r>
      <w:r w:rsidRPr="001A3DEA">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B9FF0D1"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sz w:val="16"/>
          <w:lang w:eastAsia="es-MX"/>
        </w:rPr>
      </w:pPr>
    </w:p>
    <w:p w14:paraId="51E65685"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 xml:space="preserve">Así, es que </w:t>
      </w:r>
      <w:r w:rsidRPr="001A3DEA">
        <w:rPr>
          <w:rFonts w:ascii="Palatino Linotype" w:hAnsi="Palatino Linotype" w:cs="Arial"/>
          <w:b/>
          <w:lang w:eastAsia="es-MX"/>
        </w:rPr>
        <w:t>EL SUJETO OBLIGADO</w:t>
      </w:r>
      <w:r w:rsidRPr="001A3DEA">
        <w:rPr>
          <w:rFonts w:ascii="Palatino Linotype" w:hAnsi="Palatino Linotype" w:cs="Arial"/>
          <w:lang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 </w:t>
      </w:r>
    </w:p>
    <w:p w14:paraId="0C9208EE"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Lo anterior, atiendo lo señalado en el artículo 149 de la Ley de Transparencia Local, cuyo contenido es de la literalidad siguiente:</w:t>
      </w:r>
    </w:p>
    <w:p w14:paraId="596D596B"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530C383C" w14:textId="77777777" w:rsidR="001D4F14" w:rsidRPr="001A3DEA" w:rsidRDefault="001D4F14" w:rsidP="001D4F14">
      <w:pPr>
        <w:spacing w:before="100" w:beforeAutospacing="1" w:after="100" w:afterAutospacing="1" w:line="276" w:lineRule="auto"/>
        <w:ind w:left="851" w:right="899"/>
        <w:contextualSpacing/>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“Artículo 149. El acuerdo que clasifique la información como confidencial deberá contener un razonamiento lógico en el que demuestre que la información se encuentra en alguna o algunas de las hipótesis previstas en la presente Ley.”</w:t>
      </w:r>
    </w:p>
    <w:p w14:paraId="16D631E3"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32448E02"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 xml:space="preserve">Atento a ello, es importante referir que la fundamentación y motivación consiste en la obligación que tiene todo ente público de expresar los preceptos jurídicos aplicables al asunto motivo del acto y las razones o argumentos de su actuar. </w:t>
      </w:r>
    </w:p>
    <w:p w14:paraId="0B08B394"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sz w:val="16"/>
          <w:lang w:eastAsia="es-MX"/>
        </w:rPr>
      </w:pPr>
    </w:p>
    <w:p w14:paraId="67DDE7DD"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Al respecto, el máximo tribunal del país ha establecido jurisprudencia respecto a qué debe entenderse por fundamentación y motivación, en los siguientes términos:</w:t>
      </w:r>
    </w:p>
    <w:p w14:paraId="471504D8"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0C679A1B" w14:textId="77777777" w:rsidR="001D4F14" w:rsidRPr="001A3DEA" w:rsidRDefault="001D4F14" w:rsidP="00B33F56">
      <w:pPr>
        <w:spacing w:before="100" w:beforeAutospacing="1" w:after="100" w:afterAutospacing="1"/>
        <w:ind w:left="851" w:right="899"/>
        <w:contextualSpacing/>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“FUNDAMENTACIÓN Y MOTIVACIÓN.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D8FA3CB"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0A8BA679"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A7E3006"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sz w:val="16"/>
          <w:lang w:eastAsia="es-MX"/>
        </w:rPr>
      </w:pPr>
    </w:p>
    <w:p w14:paraId="46051545"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C0DCFA8"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48E446D5" w14:textId="77777777" w:rsidR="001D4F14" w:rsidRPr="001A3DEA" w:rsidRDefault="001D4F14" w:rsidP="001D4F14">
      <w:pPr>
        <w:spacing w:before="100" w:beforeAutospacing="1" w:after="100" w:afterAutospacing="1" w:line="276" w:lineRule="auto"/>
        <w:ind w:left="851" w:right="899"/>
        <w:contextualSpacing/>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“FUNDAMENTACIÓN Y MOTIVACIÓN. EL ASPECTO FORMAL DE LA GARANTÍA Y SU FINALIDAD SE TRADUCEN EN EXPLICAR, JUSTIFICAR, POSIBILITAR LA DEFENSA Y COMUNICAR LA DECISIÓN.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87E3B4F" w14:textId="77777777"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p>
    <w:p w14:paraId="1DB62F0D" w14:textId="338A6D3E" w:rsidR="001D4F14" w:rsidRPr="001A3DEA" w:rsidRDefault="001D4F14" w:rsidP="001D4F14">
      <w:pPr>
        <w:spacing w:before="100" w:beforeAutospacing="1" w:after="100" w:afterAutospacing="1" w:line="360" w:lineRule="auto"/>
        <w:contextualSpacing/>
        <w:jc w:val="both"/>
        <w:rPr>
          <w:rFonts w:ascii="Palatino Linotype" w:hAnsi="Palatino Linotype" w:cs="Arial"/>
          <w:lang w:eastAsia="es-MX"/>
        </w:rPr>
      </w:pPr>
      <w:r w:rsidRPr="001A3DEA">
        <w:rPr>
          <w:rFonts w:ascii="Palatino Linotype" w:hAnsi="Palatino Linotype" w:cs="Arial"/>
          <w:lang w:eastAsia="es-MX"/>
        </w:rPr>
        <w:t xml:space="preserve">Por lo que, la fundamentación y motivación implica </w:t>
      </w:r>
      <w:r w:rsidR="009C4844" w:rsidRPr="001A3DEA">
        <w:rPr>
          <w:rFonts w:ascii="Palatino Linotype" w:hAnsi="Palatino Linotype" w:cs="Arial"/>
          <w:lang w:eastAsia="es-MX"/>
        </w:rPr>
        <w:t>que,</w:t>
      </w:r>
      <w:r w:rsidRPr="001A3DEA">
        <w:rPr>
          <w:rFonts w:ascii="Palatino Linotype" w:hAnsi="Palatino Linotype" w:cs="Arial"/>
          <w:lang w:eastAsia="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8E7BB64" w14:textId="77777777" w:rsidR="0007587F" w:rsidRPr="001A3DEA" w:rsidRDefault="0007587F" w:rsidP="0007587F">
      <w:pPr>
        <w:autoSpaceDE w:val="0"/>
        <w:autoSpaceDN w:val="0"/>
        <w:adjustRightInd w:val="0"/>
        <w:spacing w:line="360" w:lineRule="auto"/>
        <w:jc w:val="both"/>
        <w:rPr>
          <w:rFonts w:ascii="Palatino Linotype" w:eastAsiaTheme="minorHAnsi" w:hAnsi="Palatino Linotype" w:cs="Arial"/>
          <w:color w:val="000000"/>
          <w:sz w:val="14"/>
          <w:szCs w:val="22"/>
          <w:lang w:eastAsia="en-US"/>
        </w:rPr>
      </w:pPr>
    </w:p>
    <w:p w14:paraId="47D26D20" w14:textId="77777777" w:rsidR="00905A13" w:rsidRPr="001A3DEA" w:rsidRDefault="00905A13" w:rsidP="00905A13">
      <w:pPr>
        <w:spacing w:line="360" w:lineRule="auto"/>
        <w:jc w:val="both"/>
        <w:rPr>
          <w:rFonts w:ascii="Palatino Linotype" w:hAnsi="Palatino Linotype" w:cs="Arial"/>
        </w:rPr>
      </w:pPr>
      <w:r w:rsidRPr="001A3DEA">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6EB12D14" w14:textId="77777777" w:rsidR="00905A13" w:rsidRPr="001A3DEA" w:rsidRDefault="00905A13" w:rsidP="00905A13">
      <w:pPr>
        <w:spacing w:line="360" w:lineRule="auto"/>
        <w:jc w:val="both"/>
        <w:rPr>
          <w:rFonts w:ascii="Palatino Linotype" w:hAnsi="Palatino Linotype" w:cs="Arial"/>
          <w:sz w:val="18"/>
        </w:rPr>
      </w:pPr>
    </w:p>
    <w:p w14:paraId="1E1B4AE9" w14:textId="77777777" w:rsidR="00905A13" w:rsidRPr="001A3DEA" w:rsidRDefault="00905A13" w:rsidP="00905A13">
      <w:pPr>
        <w:spacing w:line="360" w:lineRule="auto"/>
        <w:contextualSpacing/>
        <w:jc w:val="both"/>
        <w:rPr>
          <w:rFonts w:ascii="Palatino Linotype" w:hAnsi="Palatino Linotype" w:cs="Arial"/>
        </w:rPr>
      </w:pPr>
      <w:r w:rsidRPr="001A3DEA">
        <w:rPr>
          <w:rFonts w:ascii="Palatino Linotype" w:hAnsi="Palatino Linotype" w:cs="Arial"/>
        </w:rPr>
        <w:t>Al respecto, el máximo tribunal del país ha establecido jurisprudencia respecto a qué debe entenderse por fundamentación y motivación, en los siguientes términos:</w:t>
      </w:r>
    </w:p>
    <w:p w14:paraId="18157CD4" w14:textId="77777777" w:rsidR="00905A13" w:rsidRPr="001A3DEA" w:rsidRDefault="00905A13" w:rsidP="00905A13">
      <w:pPr>
        <w:contextualSpacing/>
        <w:jc w:val="both"/>
        <w:rPr>
          <w:rFonts w:ascii="Palatino Linotype" w:hAnsi="Palatino Linotype" w:cs="Arial"/>
        </w:rPr>
      </w:pPr>
    </w:p>
    <w:p w14:paraId="0B627CA1" w14:textId="77777777" w:rsidR="00905A13" w:rsidRPr="001A3DEA" w:rsidRDefault="00905A13" w:rsidP="00905A13">
      <w:pPr>
        <w:ind w:left="851" w:right="901"/>
        <w:jc w:val="both"/>
        <w:rPr>
          <w:rFonts w:ascii="Palatino Linotype" w:hAnsi="Palatino Linotype" w:cs="Arial"/>
          <w:i/>
          <w:sz w:val="22"/>
          <w:szCs w:val="22"/>
        </w:rPr>
      </w:pPr>
      <w:r w:rsidRPr="001A3DEA">
        <w:rPr>
          <w:rFonts w:ascii="Palatino Linotype" w:hAnsi="Palatino Linotype" w:cs="Arial"/>
          <w:i/>
          <w:sz w:val="22"/>
          <w:szCs w:val="22"/>
        </w:rPr>
        <w:t>“</w:t>
      </w:r>
      <w:r w:rsidRPr="001A3DEA">
        <w:rPr>
          <w:rFonts w:ascii="Palatino Linotype" w:hAnsi="Palatino Linotype" w:cs="Arial"/>
          <w:b/>
          <w:i/>
          <w:sz w:val="22"/>
          <w:szCs w:val="22"/>
        </w:rPr>
        <w:t xml:space="preserve">FUNDAMENTACIÓN Y MOTIVACIÓN. </w:t>
      </w:r>
      <w:r w:rsidRPr="001A3DEA">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w:t>
      </w:r>
      <w:r w:rsidRPr="001A3DEA">
        <w:rPr>
          <w:rFonts w:ascii="Palatino Linotype" w:hAnsi="Palatino Linotype" w:cs="Arial"/>
          <w:i/>
        </w:rPr>
        <w:t xml:space="preserve"> </w:t>
      </w:r>
      <w:r w:rsidRPr="001A3DEA">
        <w:rPr>
          <w:rFonts w:ascii="Palatino Linotype" w:hAnsi="Palatino Linotype" w:cs="Arial"/>
          <w:i/>
          <w:sz w:val="22"/>
          <w:szCs w:val="22"/>
        </w:rPr>
        <w:t>previsto por la norma legal invocada como fundamento.”(Sic)</w:t>
      </w:r>
    </w:p>
    <w:p w14:paraId="5C53D506" w14:textId="77777777" w:rsidR="00905A13" w:rsidRPr="001A3DEA" w:rsidRDefault="00905A13" w:rsidP="00905A13">
      <w:pPr>
        <w:ind w:left="851" w:right="899"/>
        <w:contextualSpacing/>
        <w:jc w:val="both"/>
        <w:rPr>
          <w:rFonts w:ascii="Palatino Linotype" w:hAnsi="Palatino Linotype" w:cs="Arial"/>
          <w:i/>
        </w:rPr>
      </w:pPr>
    </w:p>
    <w:p w14:paraId="17202B49" w14:textId="525215B8" w:rsidR="00905A13" w:rsidRPr="001A3DEA" w:rsidRDefault="00905A13" w:rsidP="00905A13">
      <w:pPr>
        <w:spacing w:line="360" w:lineRule="auto"/>
        <w:jc w:val="both"/>
        <w:rPr>
          <w:rFonts w:ascii="Palatino Linotype" w:hAnsi="Palatino Linotype" w:cs="Arial"/>
        </w:rPr>
      </w:pPr>
      <w:r w:rsidRPr="001A3DE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2181421" w14:textId="77777777" w:rsidR="00B24275" w:rsidRPr="001A3DEA" w:rsidRDefault="00B24275" w:rsidP="00905A13">
      <w:pPr>
        <w:spacing w:line="360" w:lineRule="auto"/>
        <w:jc w:val="both"/>
        <w:rPr>
          <w:rFonts w:ascii="Palatino Linotype" w:hAnsi="Palatino Linotype" w:cs="Arial"/>
        </w:rPr>
      </w:pPr>
    </w:p>
    <w:p w14:paraId="48295CC5" w14:textId="77777777" w:rsidR="00905A13" w:rsidRPr="001A3DEA" w:rsidRDefault="00905A13" w:rsidP="00905A13">
      <w:pPr>
        <w:spacing w:line="360" w:lineRule="auto"/>
        <w:jc w:val="both"/>
        <w:rPr>
          <w:rFonts w:ascii="Palatino Linotype" w:hAnsi="Palatino Linotype" w:cs="Arial"/>
        </w:rPr>
      </w:pPr>
      <w:r w:rsidRPr="001A3DE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5D8D5D1" w14:textId="77777777" w:rsidR="00905A13" w:rsidRPr="001A3DEA" w:rsidRDefault="00905A13" w:rsidP="00905A13">
      <w:pPr>
        <w:spacing w:line="360" w:lineRule="auto"/>
        <w:jc w:val="both"/>
        <w:rPr>
          <w:rFonts w:ascii="Palatino Linotype" w:hAnsi="Palatino Linotype" w:cs="Arial"/>
        </w:rPr>
      </w:pPr>
    </w:p>
    <w:p w14:paraId="1A8FB47B" w14:textId="77777777" w:rsidR="00905A13" w:rsidRPr="001A3DEA" w:rsidRDefault="00905A13" w:rsidP="00905A13">
      <w:pPr>
        <w:ind w:left="851" w:right="901"/>
        <w:jc w:val="both"/>
        <w:rPr>
          <w:rFonts w:ascii="Palatino Linotype" w:hAnsi="Palatino Linotype" w:cs="Arial"/>
          <w:i/>
          <w:sz w:val="22"/>
          <w:szCs w:val="22"/>
        </w:rPr>
      </w:pPr>
      <w:r w:rsidRPr="001A3DE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A3DEA">
        <w:rPr>
          <w:rFonts w:ascii="Palatino Linotype" w:hAnsi="Palatino Linotype" w:cs="Arial"/>
          <w:i/>
          <w:sz w:val="22"/>
          <w:szCs w:val="22"/>
        </w:rPr>
        <w:t xml:space="preserve">. El contenido formal de la garantía de legalidad prevista en el artículo 16 constitucional relativa a la </w:t>
      </w:r>
      <w:r w:rsidRPr="001A3DEA">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A3DEA">
        <w:rPr>
          <w:rFonts w:ascii="Palatino Linotype" w:hAnsi="Palatino Linotype" w:cs="Arial"/>
          <w:i/>
          <w:sz w:val="22"/>
          <w:szCs w:val="22"/>
        </w:rPr>
        <w:t xml:space="preserve">. Por tanto, </w:t>
      </w:r>
      <w:r w:rsidRPr="001A3DEA">
        <w:rPr>
          <w:rFonts w:ascii="Palatino Linotype" w:hAnsi="Palatino Linotype" w:cs="Arial"/>
          <w:b/>
          <w:i/>
          <w:sz w:val="22"/>
          <w:szCs w:val="22"/>
        </w:rPr>
        <w:t>no basta que el acto de autoridad apenas observe una motivación pro forma pero de una manera incongruente, insuficiente o imprecisa</w:t>
      </w:r>
      <w:r w:rsidRPr="001A3DEA">
        <w:rPr>
          <w:rFonts w:ascii="Palatino Linotype" w:hAnsi="Palatino Linotype" w:cs="Arial"/>
          <w:i/>
          <w:sz w:val="22"/>
          <w:szCs w:val="22"/>
        </w:rPr>
        <w:t>, que impida la finalidad del conocimiento, comprobación y defensa pertinente</w:t>
      </w:r>
      <w:r w:rsidRPr="001A3DEA">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A3DEA">
        <w:rPr>
          <w:rFonts w:ascii="Palatino Linotype" w:hAnsi="Palatino Linotype" w:cs="Arial"/>
          <w:i/>
          <w:sz w:val="22"/>
          <w:szCs w:val="22"/>
        </w:rPr>
        <w:t>.”(Sic)</w:t>
      </w:r>
    </w:p>
    <w:p w14:paraId="160B8869" w14:textId="77777777" w:rsidR="00905A13" w:rsidRPr="001A3DEA" w:rsidRDefault="00905A13" w:rsidP="00905A13">
      <w:pPr>
        <w:ind w:left="851" w:right="899"/>
        <w:contextualSpacing/>
        <w:jc w:val="both"/>
        <w:rPr>
          <w:rFonts w:ascii="Palatino Linotype" w:hAnsi="Palatino Linotype" w:cs="Arial"/>
          <w:i/>
        </w:rPr>
      </w:pPr>
    </w:p>
    <w:p w14:paraId="537CE0B0" w14:textId="77777777" w:rsidR="00905A13" w:rsidRPr="001A3DEA" w:rsidRDefault="00905A13" w:rsidP="00905A13">
      <w:pPr>
        <w:spacing w:line="360" w:lineRule="auto"/>
        <w:jc w:val="both"/>
        <w:rPr>
          <w:rFonts w:ascii="Palatino Linotype" w:hAnsi="Palatino Linotype" w:cs="Arial"/>
        </w:rPr>
      </w:pPr>
      <w:r w:rsidRPr="001A3DE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4830A63" w14:textId="77777777" w:rsidR="00F27892" w:rsidRPr="001A3DEA" w:rsidRDefault="00F27892" w:rsidP="00905A13">
      <w:pPr>
        <w:spacing w:line="360" w:lineRule="auto"/>
        <w:jc w:val="both"/>
        <w:rPr>
          <w:rFonts w:ascii="Palatino Linotype" w:hAnsi="Palatino Linotype" w:cs="Arial"/>
        </w:rPr>
      </w:pPr>
    </w:p>
    <w:p w14:paraId="123270AD" w14:textId="44C37FC1" w:rsidR="00F27892" w:rsidRPr="001A3DEA" w:rsidRDefault="00F27892" w:rsidP="00905A13">
      <w:pPr>
        <w:spacing w:line="360" w:lineRule="auto"/>
        <w:jc w:val="both"/>
        <w:rPr>
          <w:rFonts w:ascii="Palatino Linotype" w:hAnsi="Palatino Linotype" w:cs="Arial"/>
        </w:rPr>
      </w:pPr>
      <w:r w:rsidRPr="001A3DEA">
        <w:rPr>
          <w:rFonts w:ascii="Palatino Linotype" w:hAnsi="Palatino Linotype" w:cs="Arial"/>
        </w:rPr>
        <w:t>De igual forma, en relación a las auditorias que se encuentren en trámite relativas a la información de acceso a la información pública requerida por el particular EL SUJETO OBLIGADO debe observar lo que dispone la Ley de la materia.</w:t>
      </w:r>
    </w:p>
    <w:p w14:paraId="1B08ECED" w14:textId="429C17D8" w:rsidR="00F27892" w:rsidRPr="001A3DEA" w:rsidRDefault="00F27892" w:rsidP="00F27892">
      <w:pPr>
        <w:spacing w:line="360" w:lineRule="auto"/>
        <w:jc w:val="both"/>
        <w:rPr>
          <w:rFonts w:ascii="Palatino Linotype" w:hAnsi="Palatino Linotype"/>
          <w:color w:val="222222"/>
        </w:rPr>
      </w:pPr>
      <w:r w:rsidRPr="001A3DEA">
        <w:rPr>
          <w:rFonts w:ascii="Palatino Linotype" w:hAnsi="Palatino Linotype"/>
          <w:color w:val="222222"/>
        </w:rPr>
        <w:t xml:space="preserve">Esto es que, </w:t>
      </w:r>
      <w:r w:rsidR="00BE21C7" w:rsidRPr="001A3DEA">
        <w:rPr>
          <w:rFonts w:ascii="Palatino Linotype" w:hAnsi="Palatino Linotype"/>
          <w:color w:val="222222"/>
        </w:rPr>
        <w:t>con el objeto de no salvaguardar los procedimientos debe</w:t>
      </w:r>
      <w:r w:rsidRPr="001A3DEA">
        <w:rPr>
          <w:rFonts w:ascii="Palatino Linotype" w:hAnsi="Palatino Linotype"/>
          <w:color w:val="222222"/>
        </w:rPr>
        <w:t xml:space="preserve"> observar lo que dispone el artículo 20 de la normativa jurídica en estudio que señala:</w:t>
      </w:r>
    </w:p>
    <w:p w14:paraId="40760375" w14:textId="77777777" w:rsidR="00F27892" w:rsidRPr="001A3DEA" w:rsidRDefault="00F27892" w:rsidP="00F27892">
      <w:pPr>
        <w:spacing w:line="276" w:lineRule="auto"/>
        <w:ind w:left="851" w:right="899"/>
        <w:jc w:val="both"/>
        <w:rPr>
          <w:rFonts w:ascii="Palatino Linotype" w:hAnsi="Palatino Linotype"/>
          <w:i/>
          <w:color w:val="222222"/>
          <w:sz w:val="22"/>
          <w:szCs w:val="22"/>
        </w:rPr>
      </w:pPr>
      <w:r w:rsidRPr="001A3DEA">
        <w:rPr>
          <w:rFonts w:ascii="Palatino Linotype" w:hAnsi="Palatino Linotype"/>
          <w:b/>
          <w:i/>
          <w:sz w:val="22"/>
          <w:szCs w:val="22"/>
        </w:rPr>
        <w:t>Artículo 20.</w:t>
      </w:r>
      <w:r w:rsidRPr="001A3DEA">
        <w:rPr>
          <w:rFonts w:ascii="Palatino Linotype" w:hAnsi="Palatino Linotype"/>
          <w:i/>
          <w:sz w:val="22"/>
          <w:szCs w:val="22"/>
        </w:rPr>
        <w:t xml:space="preserve"> </w:t>
      </w:r>
      <w:r w:rsidRPr="001A3DEA">
        <w:rPr>
          <w:rFonts w:ascii="Palatino Linotype" w:hAnsi="Palatino Linotype"/>
          <w:i/>
          <w:sz w:val="22"/>
          <w:szCs w:val="22"/>
          <w:u w:val="single"/>
        </w:rPr>
        <w:t>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sidRPr="001A3DEA">
        <w:rPr>
          <w:rFonts w:ascii="Palatino Linotype" w:hAnsi="Palatino Linotype"/>
          <w:i/>
          <w:sz w:val="22"/>
          <w:szCs w:val="22"/>
        </w:rPr>
        <w:t>.</w:t>
      </w:r>
    </w:p>
    <w:p w14:paraId="0A6F84A9" w14:textId="77777777" w:rsidR="00F27892" w:rsidRPr="001A3DEA" w:rsidRDefault="00F27892" w:rsidP="00F27892">
      <w:pPr>
        <w:spacing w:line="360" w:lineRule="auto"/>
        <w:jc w:val="both"/>
        <w:rPr>
          <w:rFonts w:ascii="Palatino Linotype" w:hAnsi="Palatino Linotype"/>
          <w:color w:val="222222"/>
        </w:rPr>
      </w:pPr>
    </w:p>
    <w:p w14:paraId="7341031C" w14:textId="30EFE5B3" w:rsidR="00F27892" w:rsidRPr="001A3DEA" w:rsidRDefault="00F27892" w:rsidP="00F27892">
      <w:pPr>
        <w:spacing w:line="360" w:lineRule="auto"/>
        <w:jc w:val="both"/>
        <w:rPr>
          <w:rFonts w:ascii="Palatino Linotype" w:hAnsi="Palatino Linotype"/>
          <w:color w:val="222222"/>
        </w:rPr>
      </w:pPr>
      <w:r w:rsidRPr="001A3DEA">
        <w:rPr>
          <w:rFonts w:ascii="Palatino Linotype" w:hAnsi="Palatino Linotype"/>
          <w:color w:val="222222"/>
        </w:rPr>
        <w:t>De igual forma, debe seguir lo que dispone el artículo 128 de la Ley de Transparencia y Acceso a la Información Pública del Estado de México y Municipios que dispone:</w:t>
      </w:r>
    </w:p>
    <w:p w14:paraId="20214076" w14:textId="77777777" w:rsidR="00F27892" w:rsidRPr="001A3DEA" w:rsidRDefault="00F27892" w:rsidP="00F27892">
      <w:pPr>
        <w:spacing w:line="276" w:lineRule="auto"/>
        <w:ind w:left="851" w:right="616"/>
        <w:jc w:val="both"/>
        <w:rPr>
          <w:rFonts w:ascii="Palatino Linotype" w:hAnsi="Palatino Linotype"/>
          <w:i/>
        </w:rPr>
      </w:pPr>
      <w:r w:rsidRPr="001A3DEA">
        <w:rPr>
          <w:rFonts w:ascii="Palatino Linotype" w:hAnsi="Palatino Linotype"/>
          <w:b/>
          <w:i/>
        </w:rPr>
        <w:t>“Artículo 128.</w:t>
      </w:r>
      <w:r w:rsidRPr="001A3DEA">
        <w:rPr>
          <w:rFonts w:ascii="Palatino Linotype" w:hAnsi="Palatino Linotype"/>
          <w:i/>
        </w:rPr>
        <w:t xml:space="preserve"> En los casos en que se niegue el acceso a la información, por actualizarse alguno de los supuestos de clasificación, el Comité de Transparencia deberá </w:t>
      </w:r>
      <w:r w:rsidRPr="001A3DEA">
        <w:rPr>
          <w:rFonts w:ascii="Palatino Linotype" w:hAnsi="Palatino Linotype"/>
          <w:b/>
          <w:i/>
          <w:u w:val="single"/>
        </w:rPr>
        <w:t>confirmar</w:t>
      </w:r>
      <w:r w:rsidRPr="001A3DEA">
        <w:rPr>
          <w:rFonts w:ascii="Palatino Linotype" w:hAnsi="Palatino Linotype"/>
          <w:i/>
        </w:rPr>
        <w:t xml:space="preserve">, modificar o revocar la decisión. </w:t>
      </w:r>
    </w:p>
    <w:p w14:paraId="36B2A8F0" w14:textId="77777777" w:rsidR="00F27892" w:rsidRPr="001A3DEA" w:rsidRDefault="00F27892" w:rsidP="00F27892">
      <w:pPr>
        <w:spacing w:line="276" w:lineRule="auto"/>
        <w:ind w:left="851" w:right="616"/>
        <w:jc w:val="both"/>
        <w:rPr>
          <w:rFonts w:ascii="Palatino Linotype" w:hAnsi="Palatino Linotype"/>
          <w:i/>
        </w:rPr>
      </w:pPr>
      <w:r w:rsidRPr="001A3DEA">
        <w:rPr>
          <w:rFonts w:ascii="Palatino Linotype" w:hAnsi="Palatino Linotype"/>
          <w:i/>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p>
    <w:p w14:paraId="7F07D042" w14:textId="77777777" w:rsidR="00F27892" w:rsidRPr="001A3DEA" w:rsidRDefault="00F27892" w:rsidP="00F27892">
      <w:pPr>
        <w:spacing w:line="276" w:lineRule="auto"/>
        <w:ind w:left="851" w:right="616"/>
        <w:jc w:val="both"/>
        <w:rPr>
          <w:rFonts w:ascii="Palatino Linotype" w:hAnsi="Palatino Linotype"/>
          <w:b/>
          <w:i/>
          <w:u w:val="single"/>
        </w:rPr>
      </w:pPr>
      <w:r w:rsidRPr="001A3DEA">
        <w:rPr>
          <w:rFonts w:ascii="Palatino Linotype" w:hAnsi="Palatino Linotype"/>
          <w:b/>
          <w:i/>
          <w:u w:val="single"/>
        </w:rPr>
        <w:t xml:space="preserve">Además, el sujeto obligado deberá, en todo momento, aplicar una prueba de daño. </w:t>
      </w:r>
    </w:p>
    <w:p w14:paraId="69CD6258" w14:textId="77777777" w:rsidR="00F27892" w:rsidRPr="001A3DEA" w:rsidRDefault="00F27892" w:rsidP="00F27892">
      <w:pPr>
        <w:spacing w:line="276" w:lineRule="auto"/>
        <w:ind w:left="851" w:right="616"/>
        <w:jc w:val="both"/>
        <w:rPr>
          <w:rFonts w:ascii="Palatino Linotype" w:hAnsi="Palatino Linotype"/>
          <w:i/>
        </w:rPr>
      </w:pPr>
      <w:r w:rsidRPr="001A3DEA">
        <w:rPr>
          <w:rFonts w:ascii="Palatino Linotype" w:hAnsi="Palatino Linotype"/>
          <w:i/>
        </w:rPr>
        <w:t xml:space="preserve">Tratándose de aquélla información que actualice los supuestos de clasificación, deberá </w:t>
      </w:r>
      <w:r w:rsidRPr="001A3DEA">
        <w:rPr>
          <w:rFonts w:ascii="Palatino Linotype" w:hAnsi="Palatino Linotype"/>
          <w:i/>
          <w:u w:val="single"/>
        </w:rPr>
        <w:t>señalarse el plazo al que estará sujeto la reserva</w:t>
      </w:r>
      <w:r w:rsidRPr="001A3DEA">
        <w:rPr>
          <w:rFonts w:ascii="Palatino Linotype" w:hAnsi="Palatino Linotype"/>
          <w:i/>
        </w:rPr>
        <w:t>.”</w:t>
      </w:r>
    </w:p>
    <w:p w14:paraId="0742B93E" w14:textId="77777777" w:rsidR="00F27892" w:rsidRPr="001A3DEA" w:rsidRDefault="00F27892" w:rsidP="00F27892">
      <w:pPr>
        <w:spacing w:line="276" w:lineRule="auto"/>
        <w:ind w:left="851" w:right="616"/>
        <w:jc w:val="both"/>
        <w:rPr>
          <w:rFonts w:ascii="Palatino Linotype" w:hAnsi="Palatino Linotype"/>
          <w:i/>
        </w:rPr>
      </w:pPr>
    </w:p>
    <w:p w14:paraId="25C928E3" w14:textId="77777777" w:rsidR="00F27892" w:rsidRPr="001A3DEA" w:rsidRDefault="00F27892" w:rsidP="00F27892">
      <w:pPr>
        <w:spacing w:line="360" w:lineRule="auto"/>
        <w:jc w:val="both"/>
        <w:rPr>
          <w:rFonts w:ascii="Palatino Linotype" w:hAnsi="Palatino Linotype"/>
          <w:color w:val="222222"/>
        </w:rPr>
      </w:pPr>
      <w:r w:rsidRPr="001A3DEA">
        <w:rPr>
          <w:rFonts w:ascii="Palatino Linotype" w:hAnsi="Palatino Linotype"/>
          <w:color w:val="222222"/>
        </w:rPr>
        <w:t xml:space="preserve">Bajo la normativa en estudio, se desprende que </w:t>
      </w:r>
      <w:r w:rsidRPr="001A3DEA">
        <w:rPr>
          <w:rFonts w:ascii="Palatino Linotype" w:hAnsi="Palatino Linotype"/>
          <w:b/>
          <w:color w:val="222222"/>
        </w:rPr>
        <w:t>EL SUJETO OBLIGADO</w:t>
      </w:r>
      <w:r w:rsidRPr="001A3DEA">
        <w:rPr>
          <w:rFonts w:ascii="Palatino Linotype" w:hAnsi="Palatino Linotype"/>
          <w:color w:val="222222"/>
        </w:rPr>
        <w:t xml:space="preserve"> debió aplicar lo que dispone el artículo 129 de la Ley de la materia que dispone:</w:t>
      </w:r>
    </w:p>
    <w:p w14:paraId="31324A22" w14:textId="77777777" w:rsidR="00F27892" w:rsidRPr="001A3DEA" w:rsidRDefault="00F27892" w:rsidP="00F27892">
      <w:pPr>
        <w:spacing w:line="276" w:lineRule="auto"/>
        <w:ind w:left="851" w:right="902"/>
        <w:jc w:val="both"/>
        <w:rPr>
          <w:rFonts w:ascii="Palatino Linotype" w:hAnsi="Palatino Linotype"/>
          <w:i/>
        </w:rPr>
      </w:pPr>
      <w:r w:rsidRPr="001A3DEA">
        <w:rPr>
          <w:rFonts w:ascii="Palatino Linotype" w:hAnsi="Palatino Linotype"/>
          <w:b/>
          <w:i/>
        </w:rPr>
        <w:t>Artículo 129.</w:t>
      </w:r>
      <w:r w:rsidRPr="001A3DEA">
        <w:rPr>
          <w:rFonts w:ascii="Palatino Linotype" w:hAnsi="Palatino Linotype"/>
          <w:i/>
        </w:rPr>
        <w:t xml:space="preserve"> </w:t>
      </w:r>
      <w:r w:rsidRPr="001A3DEA">
        <w:rPr>
          <w:rFonts w:ascii="Palatino Linotype" w:hAnsi="Palatino Linotype"/>
          <w:i/>
          <w:u w:val="single"/>
        </w:rPr>
        <w:t>En la aplicación de la prueba de daño</w:t>
      </w:r>
      <w:r w:rsidRPr="001A3DEA">
        <w:rPr>
          <w:rFonts w:ascii="Palatino Linotype" w:hAnsi="Palatino Linotype"/>
          <w:i/>
        </w:rPr>
        <w:t xml:space="preserve">, el sujeto obligado </w:t>
      </w:r>
      <w:r w:rsidRPr="001A3DEA">
        <w:rPr>
          <w:rFonts w:ascii="Palatino Linotype" w:hAnsi="Palatino Linotype"/>
          <w:b/>
          <w:i/>
          <w:u w:val="single"/>
        </w:rPr>
        <w:t>deberá</w:t>
      </w:r>
      <w:r w:rsidRPr="001A3DEA">
        <w:rPr>
          <w:rFonts w:ascii="Palatino Linotype" w:hAnsi="Palatino Linotype"/>
          <w:i/>
        </w:rPr>
        <w:t xml:space="preserve"> </w:t>
      </w:r>
      <w:r w:rsidRPr="001A3DEA">
        <w:rPr>
          <w:rFonts w:ascii="Palatino Linotype" w:hAnsi="Palatino Linotype"/>
          <w:b/>
          <w:i/>
          <w:u w:val="single"/>
        </w:rPr>
        <w:t>precisar las razones objetivas</w:t>
      </w:r>
      <w:r w:rsidRPr="001A3DEA">
        <w:rPr>
          <w:rFonts w:ascii="Palatino Linotype" w:hAnsi="Palatino Linotype"/>
          <w:i/>
        </w:rPr>
        <w:t xml:space="preserve"> por las que la apertura de la información generaría una afectación, justificando que: </w:t>
      </w:r>
    </w:p>
    <w:p w14:paraId="7152C0A2" w14:textId="77777777" w:rsidR="00F27892" w:rsidRPr="001A3DEA" w:rsidRDefault="00F27892" w:rsidP="00F27892">
      <w:pPr>
        <w:spacing w:line="276" w:lineRule="auto"/>
        <w:ind w:left="851" w:right="902"/>
        <w:jc w:val="both"/>
        <w:rPr>
          <w:rFonts w:ascii="Palatino Linotype" w:hAnsi="Palatino Linotype"/>
          <w:i/>
        </w:rPr>
      </w:pPr>
      <w:r w:rsidRPr="001A3DEA">
        <w:rPr>
          <w:rFonts w:ascii="Palatino Linotype" w:hAnsi="Palatino Linotype"/>
          <w:b/>
          <w:i/>
        </w:rPr>
        <w:t>I.</w:t>
      </w:r>
      <w:r w:rsidRPr="001A3DEA">
        <w:rPr>
          <w:rFonts w:ascii="Palatino Linotype" w:hAnsi="Palatino Linotype"/>
          <w:i/>
        </w:rPr>
        <w:t xml:space="preserve"> La divulgación de la información representa un riesgo real, demostrable e identificable del perjuicio significativo al interés público o a la seguridad pública; </w:t>
      </w:r>
    </w:p>
    <w:p w14:paraId="0EB4EF3B" w14:textId="77777777" w:rsidR="00F27892" w:rsidRPr="001A3DEA" w:rsidRDefault="00F27892" w:rsidP="00F27892">
      <w:pPr>
        <w:spacing w:line="276" w:lineRule="auto"/>
        <w:ind w:left="851" w:right="902"/>
        <w:jc w:val="both"/>
        <w:rPr>
          <w:rFonts w:ascii="Palatino Linotype" w:hAnsi="Palatino Linotype"/>
          <w:i/>
        </w:rPr>
      </w:pPr>
      <w:r w:rsidRPr="001A3DEA">
        <w:rPr>
          <w:rFonts w:ascii="Palatino Linotype" w:hAnsi="Palatino Linotype"/>
          <w:b/>
          <w:i/>
        </w:rPr>
        <w:t>II.</w:t>
      </w:r>
      <w:r w:rsidRPr="001A3DEA">
        <w:rPr>
          <w:rFonts w:ascii="Palatino Linotype" w:hAnsi="Palatino Linotype"/>
          <w:i/>
        </w:rPr>
        <w:t xml:space="preserve"> El riesgo de perjuicio que supondría la divulgación supera el interés público general de que se difunda; y </w:t>
      </w:r>
    </w:p>
    <w:p w14:paraId="4E4A5EF5" w14:textId="77777777" w:rsidR="00F27892" w:rsidRPr="001A3DEA" w:rsidRDefault="00F27892" w:rsidP="00F27892">
      <w:pPr>
        <w:spacing w:line="276" w:lineRule="auto"/>
        <w:ind w:left="851" w:right="902"/>
        <w:jc w:val="both"/>
        <w:rPr>
          <w:rFonts w:ascii="Palatino Linotype" w:hAnsi="Palatino Linotype"/>
          <w:i/>
        </w:rPr>
      </w:pPr>
      <w:r w:rsidRPr="001A3DEA">
        <w:rPr>
          <w:rFonts w:ascii="Palatino Linotype" w:hAnsi="Palatino Linotype"/>
          <w:b/>
          <w:i/>
        </w:rPr>
        <w:t>III.</w:t>
      </w:r>
      <w:r w:rsidRPr="001A3DEA">
        <w:rPr>
          <w:rFonts w:ascii="Palatino Linotype" w:hAnsi="Palatino Linotype"/>
          <w:i/>
        </w:rPr>
        <w:t xml:space="preserve"> La limitación se adecua al principio de proporcionalidad y representa el medio menos restrictivo disponible representa el medio menos restrictivo disponible para evitar el perjuicio.</w:t>
      </w:r>
    </w:p>
    <w:p w14:paraId="1629C382" w14:textId="77777777" w:rsidR="00F27892" w:rsidRPr="001A3DEA" w:rsidRDefault="00F27892" w:rsidP="00F27892">
      <w:pPr>
        <w:spacing w:line="360" w:lineRule="auto"/>
        <w:jc w:val="both"/>
        <w:rPr>
          <w:rFonts w:ascii="Palatino Linotype" w:hAnsi="Palatino Linotype"/>
          <w:color w:val="222222"/>
        </w:rPr>
      </w:pPr>
      <w:r w:rsidRPr="001A3DEA">
        <w:rPr>
          <w:rFonts w:ascii="Palatino Linotype" w:hAnsi="Palatino Linotype"/>
          <w:color w:val="222222"/>
        </w:rPr>
        <w:t>Esto es, el Comité de Transparencia analizará de forma fundada y motivada desglosando los puntos del dispositivo jurídico anteriormente citado ya que debe seguir el procedimiento establecido para ello, esto es, deberá ir desglosando las fracciones con los argumentos que considere pertinentes.</w:t>
      </w:r>
    </w:p>
    <w:p w14:paraId="5B3E1848" w14:textId="77777777" w:rsidR="00F27892" w:rsidRPr="001A3DEA" w:rsidRDefault="00F27892" w:rsidP="00F27892">
      <w:pPr>
        <w:spacing w:line="360" w:lineRule="auto"/>
        <w:jc w:val="both"/>
        <w:rPr>
          <w:rFonts w:ascii="Palatino Linotype" w:hAnsi="Palatino Linotype"/>
          <w:color w:val="222222"/>
        </w:rPr>
      </w:pPr>
      <w:r w:rsidRPr="001A3DEA">
        <w:rPr>
          <w:rFonts w:ascii="Palatino Linotype" w:hAnsi="Palatino Linotype"/>
          <w:color w:val="222222"/>
        </w:rPr>
        <w:t>Refuerza lo anterior, la tesis aislada emitida por el Salto Tribunal del país que señala:</w:t>
      </w:r>
    </w:p>
    <w:p w14:paraId="78367BFD" w14:textId="77777777" w:rsidR="00F27892" w:rsidRPr="001A3DEA" w:rsidRDefault="00F27892" w:rsidP="00F27892">
      <w:pPr>
        <w:spacing w:line="276" w:lineRule="auto"/>
        <w:ind w:left="851" w:right="618"/>
        <w:jc w:val="both"/>
        <w:rPr>
          <w:rFonts w:ascii="Palatino Linotype" w:hAnsi="Palatino Linotype"/>
          <w:i/>
          <w:sz w:val="22"/>
          <w:szCs w:val="22"/>
        </w:rPr>
      </w:pPr>
      <w:r w:rsidRPr="001A3DEA">
        <w:rPr>
          <w:rFonts w:ascii="Palatino Linotype" w:hAnsi="Palatino Linotype"/>
          <w:i/>
          <w:sz w:val="22"/>
          <w:szCs w:val="22"/>
        </w:rPr>
        <w:t xml:space="preserve">“Época: Décima Época Registro: 2018460 Instancia: Tribunales Colegiados de Circuito Tipo de Tesis: Aislada Fuente: Semanario Judicial de la Federación Publicación: viernes 23 de noviembre de 2018 10:34 h Materia(s): (Administrativa) Tesis: I.10o.A.79 A (10a.) </w:t>
      </w:r>
    </w:p>
    <w:p w14:paraId="5D3F8016" w14:textId="77777777" w:rsidR="00F27892" w:rsidRPr="001A3DEA" w:rsidRDefault="00F27892" w:rsidP="00F27892">
      <w:pPr>
        <w:spacing w:line="276" w:lineRule="auto"/>
        <w:ind w:left="851" w:right="618"/>
        <w:jc w:val="both"/>
        <w:rPr>
          <w:rFonts w:ascii="Palatino Linotype" w:hAnsi="Palatino Linotype"/>
          <w:i/>
          <w:sz w:val="22"/>
          <w:szCs w:val="22"/>
        </w:rPr>
      </w:pPr>
      <w:r w:rsidRPr="001A3DEA">
        <w:rPr>
          <w:rFonts w:ascii="Palatino Linotype" w:hAnsi="Palatino Linotype"/>
          <w:b/>
          <w:i/>
          <w:sz w:val="22"/>
          <w:szCs w:val="22"/>
        </w:rPr>
        <w:t>PRUEBA DE DAÑO EN LA CLASIFICACIÓN DE LA</w:t>
      </w:r>
      <w:r w:rsidRPr="001A3DEA">
        <w:rPr>
          <w:rFonts w:ascii="Palatino Linotype" w:hAnsi="Palatino Linotype"/>
          <w:i/>
          <w:sz w:val="22"/>
          <w:szCs w:val="22"/>
        </w:rPr>
        <w:t xml:space="preserve"> </w:t>
      </w:r>
      <w:r w:rsidRPr="001A3DEA">
        <w:rPr>
          <w:rFonts w:ascii="Palatino Linotype" w:hAnsi="Palatino Linotype"/>
          <w:b/>
          <w:i/>
          <w:sz w:val="22"/>
          <w:szCs w:val="22"/>
        </w:rPr>
        <w:t>INFORMACIÓN PÚBLICA. SU VALIDEZ NO DEPENDE DE LOS MEDIOS DE PRUEBA QUE EL SUJETO OBLIGADO APORTE</w:t>
      </w:r>
      <w:r w:rsidRPr="001A3DEA">
        <w:rPr>
          <w:rFonts w:ascii="Palatino Linotype" w:hAnsi="Palatino Linotype"/>
          <w:i/>
          <w:sz w:val="22"/>
          <w:szCs w:val="22"/>
        </w:rPr>
        <w:t xml:space="preserve">. 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 la validez de la prueba de daño no depende de los medios de prueba que el sujeto obligado aporte, sino de la solidez del juicio de ponderación que se efectúe en los términos señalados. </w:t>
      </w:r>
    </w:p>
    <w:p w14:paraId="6821AA7A" w14:textId="77777777" w:rsidR="00F27892" w:rsidRPr="001A3DEA" w:rsidRDefault="00F27892" w:rsidP="00F27892">
      <w:pPr>
        <w:spacing w:line="276" w:lineRule="auto"/>
        <w:ind w:left="851" w:right="618"/>
        <w:jc w:val="both"/>
        <w:rPr>
          <w:rFonts w:ascii="Palatino Linotype" w:hAnsi="Palatino Linotype"/>
          <w:i/>
          <w:color w:val="222222"/>
          <w:sz w:val="22"/>
          <w:szCs w:val="22"/>
        </w:rPr>
      </w:pPr>
      <w:r w:rsidRPr="001A3DEA">
        <w:rPr>
          <w:rFonts w:ascii="Palatino Linotype" w:hAnsi="Palatino Linotype"/>
          <w:i/>
          <w:sz w:val="22"/>
          <w:szCs w:val="22"/>
        </w:rPr>
        <w:t>DÉCIMO TRIBUNAL COLEGIADO EN MATERIA ADMINISTRATIVA DEL PRIMER CIRCUITO. Amparo en revisión 149/2018. Amanda Ibáñez Molina. 6 de septiembre de 2018. Unanimidad de votos. Ponente: Alfredo Enrique Báez López. Secretario: Roberto César Morales Corona. Esta tesis se publicó el viernes 23 de noviembre de 2018 a las 10:34 horas en el Semanario Judicial de la Federación.”</w:t>
      </w:r>
    </w:p>
    <w:p w14:paraId="6E95E608" w14:textId="77777777" w:rsidR="00F27892" w:rsidRPr="001A3DEA" w:rsidRDefault="00F27892" w:rsidP="00F27892">
      <w:pPr>
        <w:spacing w:line="360" w:lineRule="auto"/>
        <w:jc w:val="both"/>
        <w:rPr>
          <w:rFonts w:ascii="Palatino Linotype" w:hAnsi="Palatino Linotype"/>
          <w:color w:val="222222"/>
          <w:sz w:val="14"/>
        </w:rPr>
      </w:pPr>
    </w:p>
    <w:p w14:paraId="07A6A756" w14:textId="77777777" w:rsidR="00F27892" w:rsidRPr="001A3DEA" w:rsidRDefault="00F27892" w:rsidP="00F27892">
      <w:pPr>
        <w:spacing w:line="360" w:lineRule="auto"/>
        <w:jc w:val="both"/>
        <w:rPr>
          <w:rFonts w:ascii="Palatino Linotype" w:hAnsi="Palatino Linotype"/>
          <w:color w:val="222222"/>
        </w:rPr>
      </w:pPr>
      <w:r w:rsidRPr="001A3DEA">
        <w:rPr>
          <w:rFonts w:ascii="Palatino Linotype" w:hAnsi="Palatino Linotype"/>
          <w:color w:val="222222"/>
        </w:rPr>
        <w:t>En este sentido, es importante que la Autoridad se ajuste a lo que dispone la norma a efecto de otorgar certeza jurídica de que la información que apruebe su clasificación se ajuste a los preceptos normativos de que la Ley de la materia impone, esto es debidamente fundado y motivado.</w:t>
      </w:r>
    </w:p>
    <w:p w14:paraId="1F6E4D69" w14:textId="77777777" w:rsidR="00F27892" w:rsidRPr="001A3DEA" w:rsidRDefault="00F27892" w:rsidP="00F27892">
      <w:pPr>
        <w:spacing w:line="360" w:lineRule="auto"/>
        <w:jc w:val="both"/>
        <w:rPr>
          <w:rFonts w:ascii="Palatino Linotype" w:hAnsi="Palatino Linotype"/>
          <w:color w:val="222222"/>
          <w:sz w:val="18"/>
        </w:rPr>
      </w:pPr>
    </w:p>
    <w:p w14:paraId="659C6D57" w14:textId="77777777" w:rsidR="00F27892" w:rsidRPr="001A3DEA" w:rsidRDefault="00F27892" w:rsidP="00F27892">
      <w:pPr>
        <w:spacing w:line="360" w:lineRule="auto"/>
        <w:jc w:val="both"/>
        <w:rPr>
          <w:rFonts w:ascii="Palatino Linotype" w:hAnsi="Palatino Linotype" w:cs="Arial"/>
        </w:rPr>
      </w:pPr>
      <w:r w:rsidRPr="001A3DEA">
        <w:rPr>
          <w:rFonts w:ascii="Palatino Linotype" w:hAnsi="Palatino Linotype" w:cs="Arial"/>
        </w:rPr>
        <w:t>Atento a ello, es importante referir que la fundamentación y motivación consiste en la obligación que tiene todo ente público de expresar los preceptos jurídicos aplicables al asunto motivo del acto y las razones o argumentos de su actuar.</w:t>
      </w:r>
    </w:p>
    <w:p w14:paraId="3D1B8549" w14:textId="77777777" w:rsidR="00F27892" w:rsidRPr="001A3DEA" w:rsidRDefault="00F27892" w:rsidP="00F27892">
      <w:pPr>
        <w:spacing w:line="360" w:lineRule="auto"/>
        <w:jc w:val="both"/>
        <w:rPr>
          <w:rFonts w:ascii="Palatino Linotype" w:hAnsi="Palatino Linotype" w:cs="Arial"/>
          <w:sz w:val="18"/>
        </w:rPr>
      </w:pPr>
    </w:p>
    <w:p w14:paraId="63D523D3" w14:textId="77777777" w:rsidR="00F27892" w:rsidRPr="001A3DEA" w:rsidRDefault="00F27892" w:rsidP="00F27892">
      <w:pPr>
        <w:spacing w:line="360" w:lineRule="auto"/>
        <w:contextualSpacing/>
        <w:jc w:val="both"/>
        <w:rPr>
          <w:rFonts w:ascii="Palatino Linotype" w:hAnsi="Palatino Linotype" w:cs="Arial"/>
        </w:rPr>
      </w:pPr>
      <w:r w:rsidRPr="001A3DEA">
        <w:rPr>
          <w:rFonts w:ascii="Palatino Linotype" w:hAnsi="Palatino Linotype" w:cs="Arial"/>
        </w:rPr>
        <w:t>Al respecto, el máximo tribunal del país ha establecido jurisprudencia respecto a qué debe entenderse por fundamentación y motivación, en los siguientes términos:</w:t>
      </w:r>
    </w:p>
    <w:p w14:paraId="02CC3B7C" w14:textId="77777777" w:rsidR="00F27892" w:rsidRPr="001A3DEA" w:rsidRDefault="00F27892" w:rsidP="00F27892">
      <w:pPr>
        <w:contextualSpacing/>
        <w:jc w:val="both"/>
        <w:rPr>
          <w:rFonts w:ascii="Palatino Linotype" w:hAnsi="Palatino Linotype" w:cs="Arial"/>
        </w:rPr>
      </w:pPr>
    </w:p>
    <w:p w14:paraId="7012B1C0" w14:textId="77777777" w:rsidR="00F27892" w:rsidRPr="001A3DEA" w:rsidRDefault="00F27892" w:rsidP="00F27892">
      <w:pPr>
        <w:ind w:left="851" w:right="901"/>
        <w:jc w:val="both"/>
        <w:rPr>
          <w:rFonts w:ascii="Palatino Linotype" w:hAnsi="Palatino Linotype" w:cs="Arial"/>
          <w:i/>
          <w:sz w:val="22"/>
          <w:szCs w:val="22"/>
        </w:rPr>
      </w:pPr>
      <w:r w:rsidRPr="001A3DEA">
        <w:rPr>
          <w:rFonts w:ascii="Palatino Linotype" w:hAnsi="Palatino Linotype" w:cs="Arial"/>
          <w:i/>
          <w:sz w:val="22"/>
          <w:szCs w:val="22"/>
        </w:rPr>
        <w:t>“</w:t>
      </w:r>
      <w:r w:rsidRPr="001A3DEA">
        <w:rPr>
          <w:rFonts w:ascii="Palatino Linotype" w:hAnsi="Palatino Linotype" w:cs="Arial"/>
          <w:b/>
          <w:i/>
          <w:sz w:val="22"/>
          <w:szCs w:val="22"/>
        </w:rPr>
        <w:t xml:space="preserve">FUNDAMENTACIÓN Y MOTIVACIÓN. </w:t>
      </w:r>
      <w:r w:rsidRPr="001A3DEA">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w:t>
      </w:r>
      <w:r w:rsidRPr="001A3DEA">
        <w:rPr>
          <w:rFonts w:ascii="Palatino Linotype" w:hAnsi="Palatino Linotype" w:cs="Arial"/>
          <w:i/>
        </w:rPr>
        <w:t xml:space="preserve"> </w:t>
      </w:r>
      <w:r w:rsidRPr="001A3DEA">
        <w:rPr>
          <w:rFonts w:ascii="Palatino Linotype" w:hAnsi="Palatino Linotype" w:cs="Arial"/>
          <w:i/>
          <w:sz w:val="22"/>
          <w:szCs w:val="22"/>
        </w:rPr>
        <w:t>previsto por la norma legal invocada como fundamento.”(Sic)</w:t>
      </w:r>
    </w:p>
    <w:p w14:paraId="183A0B51" w14:textId="77777777" w:rsidR="00F27892" w:rsidRPr="001A3DEA" w:rsidRDefault="00F27892" w:rsidP="00F27892">
      <w:pPr>
        <w:ind w:left="851" w:right="899"/>
        <w:contextualSpacing/>
        <w:jc w:val="both"/>
        <w:rPr>
          <w:rFonts w:ascii="Palatino Linotype" w:hAnsi="Palatino Linotype" w:cs="Arial"/>
          <w:i/>
        </w:rPr>
      </w:pPr>
    </w:p>
    <w:p w14:paraId="05D0D083" w14:textId="77777777" w:rsidR="00F27892" w:rsidRPr="001A3DEA" w:rsidRDefault="00F27892" w:rsidP="00F27892">
      <w:pPr>
        <w:spacing w:line="360" w:lineRule="auto"/>
        <w:jc w:val="both"/>
        <w:rPr>
          <w:rFonts w:ascii="Palatino Linotype" w:hAnsi="Palatino Linotype" w:cs="Arial"/>
        </w:rPr>
      </w:pPr>
      <w:r w:rsidRPr="001A3DEA">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6DBD9E7" w14:textId="77777777" w:rsidR="00F27892" w:rsidRPr="001A3DEA" w:rsidRDefault="00F27892" w:rsidP="00F27892">
      <w:pPr>
        <w:spacing w:line="360" w:lineRule="auto"/>
        <w:jc w:val="both"/>
        <w:rPr>
          <w:rFonts w:ascii="Palatino Linotype" w:hAnsi="Palatino Linotype" w:cs="Arial"/>
        </w:rPr>
      </w:pPr>
      <w:r w:rsidRPr="001A3DE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B43421E" w14:textId="77777777" w:rsidR="00F27892" w:rsidRPr="001A3DEA" w:rsidRDefault="00F27892" w:rsidP="00F27892">
      <w:pPr>
        <w:ind w:left="851" w:right="901"/>
        <w:jc w:val="both"/>
        <w:rPr>
          <w:rFonts w:ascii="Palatino Linotype" w:hAnsi="Palatino Linotype" w:cs="Arial"/>
          <w:i/>
          <w:sz w:val="22"/>
          <w:szCs w:val="22"/>
        </w:rPr>
      </w:pPr>
      <w:r w:rsidRPr="001A3DE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A3DEA">
        <w:rPr>
          <w:rFonts w:ascii="Palatino Linotype" w:hAnsi="Palatino Linotype" w:cs="Arial"/>
          <w:i/>
          <w:sz w:val="22"/>
          <w:szCs w:val="22"/>
        </w:rPr>
        <w:t xml:space="preserve">. El contenido formal de la garantía de legalidad prevista en el artículo 16 constitucional relativa a la </w:t>
      </w:r>
      <w:r w:rsidRPr="001A3DEA">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A3DEA">
        <w:rPr>
          <w:rFonts w:ascii="Palatino Linotype" w:hAnsi="Palatino Linotype" w:cs="Arial"/>
          <w:i/>
          <w:sz w:val="22"/>
          <w:szCs w:val="22"/>
        </w:rPr>
        <w:t xml:space="preserve">. Por tanto, </w:t>
      </w:r>
      <w:r w:rsidRPr="001A3DEA">
        <w:rPr>
          <w:rFonts w:ascii="Palatino Linotype" w:hAnsi="Palatino Linotype" w:cs="Arial"/>
          <w:b/>
          <w:i/>
          <w:sz w:val="22"/>
          <w:szCs w:val="22"/>
        </w:rPr>
        <w:t>no basta que el acto de autoridad apenas observe una motivación pro forma pero de una manera incongruente, insuficiente o imprecisa</w:t>
      </w:r>
      <w:r w:rsidRPr="001A3DEA">
        <w:rPr>
          <w:rFonts w:ascii="Palatino Linotype" w:hAnsi="Palatino Linotype" w:cs="Arial"/>
          <w:i/>
          <w:sz w:val="22"/>
          <w:szCs w:val="22"/>
        </w:rPr>
        <w:t>, que impida la finalidad del conocimiento, comprobación y defensa pertinente</w:t>
      </w:r>
      <w:r w:rsidRPr="001A3DEA">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A3DEA">
        <w:rPr>
          <w:rFonts w:ascii="Palatino Linotype" w:hAnsi="Palatino Linotype" w:cs="Arial"/>
          <w:i/>
          <w:sz w:val="22"/>
          <w:szCs w:val="22"/>
        </w:rPr>
        <w:t>.”(Sic)</w:t>
      </w:r>
    </w:p>
    <w:p w14:paraId="4E4C5283" w14:textId="77777777" w:rsidR="00F27892" w:rsidRPr="001A3DEA" w:rsidRDefault="00F27892" w:rsidP="00F27892">
      <w:pPr>
        <w:ind w:left="851" w:right="899"/>
        <w:contextualSpacing/>
        <w:jc w:val="both"/>
        <w:rPr>
          <w:rFonts w:ascii="Palatino Linotype" w:hAnsi="Palatino Linotype" w:cs="Arial"/>
          <w:i/>
        </w:rPr>
      </w:pPr>
    </w:p>
    <w:p w14:paraId="61064EB8" w14:textId="77777777" w:rsidR="00F27892" w:rsidRPr="001A3DEA" w:rsidRDefault="00F27892" w:rsidP="00F27892">
      <w:pPr>
        <w:spacing w:line="360" w:lineRule="auto"/>
        <w:jc w:val="both"/>
        <w:rPr>
          <w:rFonts w:ascii="Palatino Linotype" w:hAnsi="Palatino Linotype" w:cs="Arial"/>
        </w:rPr>
      </w:pPr>
      <w:r w:rsidRPr="001A3DE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A06CE99" w14:textId="77777777" w:rsidR="00F27892" w:rsidRPr="001A3DEA" w:rsidRDefault="00F27892" w:rsidP="00F27892">
      <w:pPr>
        <w:spacing w:line="360" w:lineRule="auto"/>
        <w:jc w:val="both"/>
        <w:rPr>
          <w:rFonts w:ascii="Palatino Linotype" w:hAnsi="Palatino Linotype" w:cs="Arial"/>
        </w:rPr>
      </w:pPr>
    </w:p>
    <w:p w14:paraId="023090B0" w14:textId="77777777" w:rsidR="00F27892" w:rsidRPr="001A3DEA" w:rsidRDefault="00F27892" w:rsidP="00F27892">
      <w:pPr>
        <w:spacing w:line="360" w:lineRule="auto"/>
        <w:jc w:val="both"/>
        <w:rPr>
          <w:rFonts w:ascii="Palatino Linotype" w:hAnsi="Palatino Linotype" w:cs="Arial"/>
        </w:rPr>
      </w:pPr>
      <w:r w:rsidRPr="001A3DEA">
        <w:rPr>
          <w:rFonts w:ascii="Palatino Linotype" w:hAnsi="Palatino Linotype" w:cs="Arial"/>
        </w:rPr>
        <w:t>Aunado a lo anterior, es importante precisar que en la prueba de daño señaló como elemento de la clasificación lo referente a los Lineamientos Generales en Materia de Clasificación y Desclasificación de la Información, así como para la Elaboración de Versiones Públicas, señalando que se ajusta a lo dispuesto en el numeral vigésimo séptimo que señala lo referente a opiniones; siendo que lo procedente es precisar que le corresponde el vigésimo Octavo, ya que se refiere a aquella que obstruya los procedimientos para fincar responsabilidad a los servidores públicos, en tanto no se haya dictado la resolución administrativa correspondiente.</w:t>
      </w:r>
    </w:p>
    <w:p w14:paraId="1C2B5FE5" w14:textId="77777777" w:rsidR="00F27892" w:rsidRPr="001A3DEA" w:rsidRDefault="00F27892" w:rsidP="00F27892">
      <w:pPr>
        <w:spacing w:line="360" w:lineRule="auto"/>
        <w:jc w:val="both"/>
        <w:rPr>
          <w:rFonts w:ascii="Palatino Linotype" w:hAnsi="Palatino Linotype" w:cs="Arial"/>
          <w:sz w:val="20"/>
        </w:rPr>
      </w:pPr>
    </w:p>
    <w:p w14:paraId="470A9143" w14:textId="77777777" w:rsidR="00F27892" w:rsidRPr="001A3DEA" w:rsidRDefault="00F27892" w:rsidP="00F27892">
      <w:pPr>
        <w:spacing w:line="360" w:lineRule="auto"/>
        <w:jc w:val="both"/>
        <w:rPr>
          <w:rFonts w:ascii="Palatino Linotype" w:hAnsi="Palatino Linotype" w:cs="Arial"/>
          <w:sz w:val="22"/>
          <w:szCs w:val="22"/>
          <w:lang w:eastAsia="es-MX"/>
        </w:rPr>
      </w:pPr>
      <w:r w:rsidRPr="001A3DEA">
        <w:rPr>
          <w:rFonts w:ascii="Palatino Linotype" w:hAnsi="Palatino Linotype" w:cs="Arial"/>
          <w:sz w:val="22"/>
          <w:szCs w:val="22"/>
          <w:lang w:eastAsia="es-MX"/>
        </w:rPr>
        <w:t xml:space="preserve">En consecuencia, este Instituto estima que </w:t>
      </w:r>
      <w:r w:rsidRPr="001A3DEA">
        <w:rPr>
          <w:rFonts w:ascii="Palatino Linotype" w:hAnsi="Palatino Linotype" w:cs="Arial"/>
          <w:b/>
          <w:sz w:val="22"/>
          <w:szCs w:val="22"/>
          <w:lang w:eastAsia="es-MX"/>
        </w:rPr>
        <w:t>EL SUJETO OBLIGADO</w:t>
      </w:r>
      <w:r w:rsidRPr="001A3DEA">
        <w:rPr>
          <w:rFonts w:ascii="Palatino Linotype" w:hAnsi="Palatino Linotype" w:cs="Arial"/>
          <w:sz w:val="22"/>
          <w:szCs w:val="22"/>
          <w:lang w:eastAsia="es-MX"/>
        </w:rPr>
        <w:t xml:space="preserve"> debe emitir un acuerdo de clasificación que cumpla los preceptos de la Ley sustantiva en los siguientes términos:</w:t>
      </w:r>
    </w:p>
    <w:p w14:paraId="7B73833D" w14:textId="77777777" w:rsidR="00F27892" w:rsidRPr="001A3DEA" w:rsidRDefault="00F27892" w:rsidP="00F27892">
      <w:pPr>
        <w:spacing w:before="120" w:after="120"/>
        <w:ind w:left="851" w:right="902"/>
        <w:jc w:val="both"/>
        <w:rPr>
          <w:rFonts w:ascii="Palatino Linotype" w:hAnsi="Palatino Linotype" w:cs="Arial"/>
          <w:i/>
          <w:sz w:val="22"/>
          <w:szCs w:val="22"/>
          <w:lang w:eastAsia="es-MX"/>
        </w:rPr>
      </w:pPr>
      <w:r w:rsidRPr="001A3DEA">
        <w:rPr>
          <w:rFonts w:ascii="Palatino Linotype" w:hAnsi="Palatino Linotype" w:cs="Arial"/>
          <w:i/>
          <w:sz w:val="22"/>
          <w:szCs w:val="22"/>
          <w:lang w:eastAsia="es-MX"/>
        </w:rPr>
        <w:t>“</w:t>
      </w:r>
      <w:r w:rsidRPr="001A3DEA">
        <w:rPr>
          <w:rFonts w:ascii="Palatino Linotype" w:hAnsi="Palatino Linotype" w:cs="Arial"/>
          <w:b/>
          <w:i/>
          <w:sz w:val="22"/>
          <w:szCs w:val="22"/>
          <w:lang w:eastAsia="es-MX"/>
        </w:rPr>
        <w:t xml:space="preserve">Artículo 49. </w:t>
      </w:r>
      <w:r w:rsidRPr="001A3DEA">
        <w:rPr>
          <w:rFonts w:ascii="Palatino Linotype" w:hAnsi="Palatino Linotype" w:cs="Arial"/>
          <w:i/>
          <w:sz w:val="22"/>
          <w:szCs w:val="22"/>
          <w:lang w:eastAsia="es-MX"/>
        </w:rPr>
        <w:t>Los Comités de Transparencia tendrán las siguientes atribuciones:</w:t>
      </w:r>
    </w:p>
    <w:p w14:paraId="197EBB71" w14:textId="77777777" w:rsidR="00F27892" w:rsidRPr="001A3DEA" w:rsidRDefault="00F27892" w:rsidP="00F27892">
      <w:pPr>
        <w:spacing w:before="120" w:after="120"/>
        <w:ind w:left="851" w:right="902"/>
        <w:jc w:val="both"/>
        <w:rPr>
          <w:rFonts w:ascii="Palatino Linotype" w:hAnsi="Palatino Linotype" w:cs="Arial"/>
          <w:i/>
          <w:sz w:val="22"/>
          <w:szCs w:val="22"/>
          <w:lang w:eastAsia="es-MX"/>
        </w:rPr>
      </w:pPr>
      <w:r w:rsidRPr="001A3DEA">
        <w:rPr>
          <w:rFonts w:ascii="Palatino Linotype" w:hAnsi="Palatino Linotype" w:cs="Arial"/>
          <w:b/>
          <w:i/>
          <w:sz w:val="22"/>
          <w:szCs w:val="22"/>
          <w:lang w:eastAsia="es-MX"/>
        </w:rPr>
        <w:t>VIII.</w:t>
      </w:r>
      <w:r w:rsidRPr="001A3DEA">
        <w:rPr>
          <w:rFonts w:ascii="Palatino Linotype" w:hAnsi="Palatino Linotype" w:cs="Arial"/>
          <w:i/>
          <w:sz w:val="22"/>
          <w:szCs w:val="22"/>
          <w:lang w:eastAsia="es-MX"/>
        </w:rPr>
        <w:t xml:space="preserve"> Aprobar, modificar o revocar la clasificación de la información;</w:t>
      </w:r>
    </w:p>
    <w:p w14:paraId="2DE99054" w14:textId="77777777" w:rsidR="00F27892" w:rsidRPr="001A3DEA" w:rsidRDefault="00F27892" w:rsidP="00F27892">
      <w:pPr>
        <w:spacing w:before="120" w:after="120"/>
        <w:ind w:left="851" w:right="902"/>
        <w:jc w:val="both"/>
        <w:rPr>
          <w:rFonts w:ascii="Palatino Linotype" w:hAnsi="Palatino Linotype" w:cs="Arial"/>
          <w:i/>
          <w:sz w:val="22"/>
          <w:szCs w:val="22"/>
          <w:lang w:eastAsia="es-MX"/>
        </w:rPr>
      </w:pPr>
      <w:r w:rsidRPr="001A3DEA">
        <w:rPr>
          <w:rFonts w:ascii="Palatino Linotype" w:hAnsi="Palatino Linotype" w:cs="Arial"/>
          <w:b/>
          <w:i/>
          <w:sz w:val="22"/>
          <w:szCs w:val="22"/>
          <w:lang w:eastAsia="es-MX"/>
        </w:rPr>
        <w:t>Artículo 132.</w:t>
      </w:r>
      <w:r w:rsidRPr="001A3DEA">
        <w:rPr>
          <w:rFonts w:ascii="Palatino Linotype" w:hAnsi="Palatino Linotype" w:cs="Arial"/>
          <w:i/>
          <w:sz w:val="22"/>
          <w:szCs w:val="22"/>
          <w:lang w:eastAsia="es-MX"/>
        </w:rPr>
        <w:t xml:space="preserve"> La clasificación de la información se llevará a cabo en el momento en que:</w:t>
      </w:r>
    </w:p>
    <w:p w14:paraId="7452BBC8" w14:textId="77777777" w:rsidR="00F27892" w:rsidRPr="001A3DEA" w:rsidRDefault="00F27892" w:rsidP="00F27892">
      <w:pPr>
        <w:spacing w:before="120" w:after="120"/>
        <w:ind w:left="851" w:right="902"/>
        <w:jc w:val="both"/>
        <w:rPr>
          <w:rFonts w:ascii="Palatino Linotype" w:hAnsi="Palatino Linotype" w:cs="Arial"/>
          <w:i/>
          <w:sz w:val="22"/>
          <w:szCs w:val="22"/>
          <w:lang w:eastAsia="es-MX"/>
        </w:rPr>
      </w:pPr>
      <w:r w:rsidRPr="001A3DEA">
        <w:rPr>
          <w:rFonts w:ascii="Palatino Linotype" w:hAnsi="Palatino Linotype" w:cs="Arial"/>
          <w:b/>
          <w:i/>
          <w:sz w:val="22"/>
          <w:szCs w:val="22"/>
          <w:lang w:eastAsia="es-MX"/>
        </w:rPr>
        <w:t>I.</w:t>
      </w:r>
      <w:r w:rsidRPr="001A3DEA">
        <w:rPr>
          <w:rFonts w:ascii="Palatino Linotype" w:hAnsi="Palatino Linotype" w:cs="Arial"/>
          <w:i/>
          <w:sz w:val="22"/>
          <w:szCs w:val="22"/>
          <w:lang w:eastAsia="es-MX"/>
        </w:rPr>
        <w:t xml:space="preserve"> Se reciba una solicitud de acceso a la información;</w:t>
      </w:r>
    </w:p>
    <w:p w14:paraId="24FADC9F" w14:textId="77777777" w:rsidR="00F27892" w:rsidRPr="001A3DEA" w:rsidRDefault="00F27892" w:rsidP="00F27892">
      <w:pPr>
        <w:spacing w:before="120" w:after="120"/>
        <w:ind w:left="851" w:right="902"/>
        <w:jc w:val="both"/>
        <w:rPr>
          <w:rFonts w:ascii="Palatino Linotype" w:hAnsi="Palatino Linotype" w:cs="Arial"/>
          <w:i/>
          <w:sz w:val="22"/>
          <w:szCs w:val="22"/>
          <w:lang w:eastAsia="es-MX"/>
        </w:rPr>
      </w:pPr>
      <w:r w:rsidRPr="001A3DEA">
        <w:rPr>
          <w:rFonts w:ascii="Palatino Linotype" w:hAnsi="Palatino Linotype" w:cs="Arial"/>
          <w:b/>
          <w:i/>
          <w:sz w:val="22"/>
          <w:szCs w:val="22"/>
          <w:lang w:eastAsia="es-MX"/>
        </w:rPr>
        <w:t>II.</w:t>
      </w:r>
      <w:r w:rsidRPr="001A3DEA">
        <w:rPr>
          <w:rFonts w:ascii="Palatino Linotype" w:hAnsi="Palatino Linotype" w:cs="Arial"/>
          <w:i/>
          <w:sz w:val="22"/>
          <w:szCs w:val="22"/>
          <w:lang w:eastAsia="es-MX"/>
        </w:rPr>
        <w:t xml:space="preserve"> Se determine mediante resolución de autoridad competente; o</w:t>
      </w:r>
    </w:p>
    <w:p w14:paraId="46EE8811" w14:textId="77777777" w:rsidR="00F27892" w:rsidRPr="001A3DEA" w:rsidRDefault="00F27892" w:rsidP="00F27892">
      <w:pPr>
        <w:spacing w:before="120" w:after="120"/>
        <w:ind w:left="851" w:right="902"/>
        <w:jc w:val="both"/>
        <w:rPr>
          <w:rFonts w:ascii="Palatino Linotype" w:hAnsi="Palatino Linotype" w:cs="Arial"/>
          <w:b/>
          <w:i/>
          <w:sz w:val="22"/>
          <w:szCs w:val="22"/>
          <w:lang w:eastAsia="es-MX"/>
        </w:rPr>
      </w:pPr>
      <w:r w:rsidRPr="001A3DEA">
        <w:rPr>
          <w:rFonts w:ascii="Palatino Linotype" w:hAnsi="Palatino Linotype" w:cs="Arial"/>
          <w:i/>
          <w:sz w:val="22"/>
          <w:szCs w:val="22"/>
          <w:lang w:eastAsia="es-MX"/>
        </w:rPr>
        <w:t>III. Se generen versiones públicas para dar cumplimiento a las obligaciones de transparencia previstas en esta Ley.</w:t>
      </w:r>
      <w:r w:rsidRPr="001A3DEA">
        <w:rPr>
          <w:rFonts w:ascii="Palatino Linotype" w:hAnsi="Palatino Linotype" w:cs="Arial"/>
          <w:b/>
          <w:i/>
          <w:sz w:val="22"/>
          <w:szCs w:val="22"/>
          <w:lang w:eastAsia="es-MX"/>
        </w:rPr>
        <w:t>”</w:t>
      </w:r>
    </w:p>
    <w:p w14:paraId="47E6D8E1" w14:textId="77777777" w:rsidR="00F27892" w:rsidRPr="001A3DEA" w:rsidRDefault="00F27892" w:rsidP="00F27892">
      <w:pPr>
        <w:spacing w:before="120" w:after="120"/>
        <w:ind w:left="851" w:right="902"/>
        <w:jc w:val="both"/>
        <w:rPr>
          <w:rFonts w:ascii="Palatino Linotype" w:hAnsi="Palatino Linotype" w:cs="Arial"/>
          <w:b/>
          <w:i/>
          <w:sz w:val="22"/>
          <w:szCs w:val="22"/>
          <w:lang w:eastAsia="es-MX"/>
        </w:rPr>
      </w:pPr>
    </w:p>
    <w:p w14:paraId="7E1B0E5F" w14:textId="77777777" w:rsidR="00F27892" w:rsidRPr="001A3DEA" w:rsidRDefault="00F27892" w:rsidP="00F27892">
      <w:pPr>
        <w:spacing w:line="360" w:lineRule="auto"/>
        <w:jc w:val="both"/>
        <w:rPr>
          <w:rFonts w:ascii="Palatino Linotype" w:hAnsi="Palatino Linotype" w:cs="Arial"/>
          <w:sz w:val="22"/>
          <w:szCs w:val="22"/>
        </w:rPr>
      </w:pPr>
      <w:r w:rsidRPr="001A3DEA">
        <w:rPr>
          <w:rFonts w:ascii="Palatino Linotype" w:hAnsi="Palatino Linotype" w:cs="Arial"/>
          <w:sz w:val="22"/>
          <w:szCs w:val="22"/>
          <w:lang w:eastAsia="es-MX"/>
        </w:rPr>
        <w:t>Haciendo hincapié en los artículos de la Ley de la materia por actualizarse los supuestos de la fracción VII del</w:t>
      </w:r>
      <w:r w:rsidRPr="001A3DEA">
        <w:rPr>
          <w:rFonts w:ascii="Palatino Linotype" w:hAnsi="Palatino Linotype" w:cs="Arial"/>
          <w:sz w:val="22"/>
          <w:szCs w:val="22"/>
        </w:rPr>
        <w:t xml:space="preserve"> artículo 140 de la Ley de Transparencia y Acceso a la Información Pública del Estado de México y Municipios, para lo cual el Comité de Transparencia deberá clasificar la información como reservada, como se muestra a continuación:</w:t>
      </w:r>
    </w:p>
    <w:p w14:paraId="6F033C28" w14:textId="77777777" w:rsidR="00F27892" w:rsidRPr="001A3DEA" w:rsidRDefault="00F27892" w:rsidP="00F27892">
      <w:pPr>
        <w:spacing w:line="360" w:lineRule="auto"/>
        <w:jc w:val="both"/>
        <w:rPr>
          <w:rFonts w:ascii="Palatino Linotype" w:hAnsi="Palatino Linotype" w:cs="Arial"/>
          <w:sz w:val="22"/>
          <w:szCs w:val="22"/>
        </w:rPr>
      </w:pPr>
    </w:p>
    <w:p w14:paraId="6A27CF3A"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“Artículo 140. </w:t>
      </w:r>
      <w:r w:rsidRPr="001A3DEA">
        <w:rPr>
          <w:rFonts w:ascii="Palatino Linotype" w:hAnsi="Palatino Linotype" w:cs="Arial"/>
          <w:i/>
          <w:sz w:val="22"/>
          <w:szCs w:val="22"/>
        </w:rPr>
        <w:t>El acceso a la información pública será restringido excepcionalmente, cuando por razones de interés público, ésta sea clasificada como reservada, conforme a los criterios siguientes:</w:t>
      </w:r>
    </w:p>
    <w:p w14:paraId="1445D849"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I. </w:t>
      </w:r>
      <w:r w:rsidRPr="001A3DEA">
        <w:rPr>
          <w:rFonts w:ascii="Palatino Linotype" w:hAnsi="Palatino Linotype" w:cs="Arial"/>
          <w:i/>
          <w:sz w:val="22"/>
          <w:szCs w:val="22"/>
        </w:rPr>
        <w:t>Comprometa la seguridad pública y cuente con un propósito genuino y un efecto demostrable;</w:t>
      </w:r>
    </w:p>
    <w:p w14:paraId="568737CB"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II. </w:t>
      </w:r>
      <w:r w:rsidRPr="001A3DEA">
        <w:rPr>
          <w:rFonts w:ascii="Palatino Linotype" w:hAnsi="Palatino Linotype" w:cs="Arial"/>
          <w:i/>
          <w:sz w:val="22"/>
          <w:szCs w:val="22"/>
        </w:rPr>
        <w:t>Pueda menoscabar la conducción de las negociaciones y relaciones internacionales;</w:t>
      </w:r>
    </w:p>
    <w:p w14:paraId="1C744755"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III. </w:t>
      </w:r>
      <w:r w:rsidRPr="001A3DEA">
        <w:rPr>
          <w:rFonts w:ascii="Palatino Linotype" w:hAnsi="Palatino Linotype" w:cs="Arial"/>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3E14087"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IV. </w:t>
      </w:r>
      <w:r w:rsidRPr="001A3DEA">
        <w:rPr>
          <w:rFonts w:ascii="Palatino Linotype" w:hAnsi="Palatino Linotype" w:cs="Arial"/>
          <w:i/>
          <w:sz w:val="22"/>
          <w:szCs w:val="22"/>
        </w:rPr>
        <w:t>Ponga en riesgo la vida, la seguridad o la salud de una persona física;</w:t>
      </w:r>
    </w:p>
    <w:p w14:paraId="63753ACE"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V. </w:t>
      </w:r>
      <w:r w:rsidRPr="001A3DEA">
        <w:rPr>
          <w:rFonts w:ascii="Palatino Linotype" w:hAnsi="Palatino Linotype" w:cs="Arial"/>
          <w:i/>
          <w:sz w:val="22"/>
          <w:szCs w:val="22"/>
        </w:rPr>
        <w:t>Aquella cuya divulgación obstruya o pueda causar un serio perjuicio a:</w:t>
      </w:r>
    </w:p>
    <w:p w14:paraId="235DE0C8"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Cs/>
          <w:i/>
          <w:sz w:val="22"/>
          <w:szCs w:val="22"/>
          <w:u w:val="single"/>
        </w:rPr>
        <w:t xml:space="preserve">1. </w:t>
      </w:r>
      <w:r w:rsidRPr="001A3DEA">
        <w:rPr>
          <w:rFonts w:ascii="Palatino Linotype" w:hAnsi="Palatino Linotype" w:cs="Arial"/>
          <w:i/>
          <w:sz w:val="22"/>
          <w:szCs w:val="22"/>
          <w:u w:val="single"/>
        </w:rPr>
        <w:t>Las actividades de fiscalización, verificación, inspección, comprobación y auditoría sobre el cumplimiento de las Leyes</w:t>
      </w:r>
      <w:r w:rsidRPr="001A3DEA">
        <w:rPr>
          <w:rFonts w:ascii="Palatino Linotype" w:hAnsi="Palatino Linotype" w:cs="Arial"/>
          <w:i/>
          <w:sz w:val="22"/>
          <w:szCs w:val="22"/>
        </w:rPr>
        <w:t>; o</w:t>
      </w:r>
    </w:p>
    <w:p w14:paraId="63851A5E"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2. </w:t>
      </w:r>
      <w:r w:rsidRPr="001A3DEA">
        <w:rPr>
          <w:rFonts w:ascii="Palatino Linotype" w:hAnsi="Palatino Linotype" w:cs="Arial"/>
          <w:i/>
          <w:sz w:val="22"/>
          <w:szCs w:val="22"/>
        </w:rPr>
        <w:t>La recaudación de las contribuciones.</w:t>
      </w:r>
    </w:p>
    <w:p w14:paraId="04516D75"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VI. </w:t>
      </w:r>
      <w:r w:rsidRPr="001A3DEA">
        <w:rPr>
          <w:rFonts w:ascii="Palatino Linotype" w:hAnsi="Palatino Linotype" w:cs="Arial"/>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E0C4CC"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VII. </w:t>
      </w:r>
      <w:r w:rsidRPr="001A3DEA">
        <w:rPr>
          <w:rFonts w:ascii="Palatino Linotype" w:hAnsi="Palatino Linotype" w:cs="Arial"/>
          <w:i/>
          <w:sz w:val="22"/>
          <w:szCs w:val="22"/>
        </w:rPr>
        <w:t>La que contengan las opiniones, recomendaciones o puntos de vista que formen parte del proceso deliberativo de los servidores públicos, hasta en tanto sea adoptada la decisión definitiva, la cual deberá estar documentada;</w:t>
      </w:r>
    </w:p>
    <w:p w14:paraId="43EA8ECA"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VIII. </w:t>
      </w:r>
      <w:r w:rsidRPr="001A3DEA">
        <w:rPr>
          <w:rFonts w:ascii="Palatino Linotype" w:hAnsi="Palatino Linotype" w:cs="Arial"/>
          <w:i/>
          <w:sz w:val="22"/>
          <w:szCs w:val="22"/>
        </w:rPr>
        <w:t>Vulnere la conducción de los expedientes judiciales o de los procedimientos administrativos seguidos en forma de juicio, en tanto no hayan quedado firmes;</w:t>
      </w:r>
    </w:p>
    <w:p w14:paraId="1874BC91"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IX. </w:t>
      </w:r>
      <w:r w:rsidRPr="001A3DEA">
        <w:rPr>
          <w:rFonts w:ascii="Palatino Linotype" w:hAnsi="Palatino Linotype" w:cs="Arial"/>
          <w:i/>
          <w:sz w:val="22"/>
          <w:szCs w:val="22"/>
        </w:rPr>
        <w:t>Se encuentre contenida dentro de las investigaciones de hechos que la Ley señale como delitos y se tramiten ante el</w:t>
      </w:r>
    </w:p>
    <w:p w14:paraId="5172D0B4"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i/>
          <w:sz w:val="22"/>
          <w:szCs w:val="22"/>
        </w:rPr>
        <w:t>Ministerio Público;</w:t>
      </w:r>
    </w:p>
    <w:p w14:paraId="3CBD74EA"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X. </w:t>
      </w:r>
      <w:r w:rsidRPr="001A3DEA">
        <w:rPr>
          <w:rFonts w:ascii="Palatino Linotype" w:hAnsi="Palatino Linotype" w:cs="Arial"/>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B3B0196"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XI. </w:t>
      </w:r>
      <w:r w:rsidRPr="001A3DEA">
        <w:rPr>
          <w:rFonts w:ascii="Palatino Linotype" w:hAnsi="Palatino Linotype" w:cs="Arial"/>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1B8A365"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Artículo 141. </w:t>
      </w:r>
      <w:r w:rsidRPr="001A3DEA">
        <w:rPr>
          <w:rFonts w:ascii="Palatino Linotype" w:hAnsi="Palatino Linotype" w:cs="Arial"/>
          <w:i/>
          <w:sz w:val="22"/>
          <w:szCs w:val="22"/>
        </w:rPr>
        <w:t>Las causales de reserva previstas en este Capítulo se deberán fundar y motivar, a través de la aplicación de la prueba de daño a la que se hace referencia en el presente Título.”</w:t>
      </w:r>
    </w:p>
    <w:p w14:paraId="1361339C" w14:textId="77777777" w:rsidR="00F27892" w:rsidRPr="001A3DEA" w:rsidRDefault="00F27892" w:rsidP="00F27892">
      <w:pPr>
        <w:autoSpaceDE w:val="0"/>
        <w:autoSpaceDN w:val="0"/>
        <w:adjustRightInd w:val="0"/>
        <w:ind w:right="899"/>
        <w:jc w:val="both"/>
        <w:rPr>
          <w:rFonts w:ascii="Palatino Linotype" w:hAnsi="Palatino Linotype" w:cs="Arial"/>
          <w:b/>
          <w:bCs/>
          <w:i/>
        </w:rPr>
      </w:pPr>
    </w:p>
    <w:p w14:paraId="130599F4" w14:textId="77777777" w:rsidR="00F27892" w:rsidRPr="001A3DEA" w:rsidRDefault="00F27892" w:rsidP="00F27892">
      <w:pPr>
        <w:autoSpaceDE w:val="0"/>
        <w:autoSpaceDN w:val="0"/>
        <w:adjustRightInd w:val="0"/>
        <w:spacing w:line="360" w:lineRule="auto"/>
        <w:ind w:right="-93"/>
        <w:jc w:val="both"/>
        <w:rPr>
          <w:rFonts w:ascii="Palatino Linotype" w:hAnsi="Palatino Linotype" w:cs="Arial"/>
          <w:bCs/>
        </w:rPr>
      </w:pPr>
      <w:r w:rsidRPr="001A3DEA">
        <w:rPr>
          <w:rFonts w:ascii="Palatino Linotype" w:hAnsi="Palatino Linotype" w:cs="Arial"/>
          <w:bCs/>
        </w:rPr>
        <w:t>Debiendo cumplir las formalidades expuestas en el presente medio de impugnación, en concordancia con los artículos 3 y 129 de la Ley en cita, que dispone:</w:t>
      </w:r>
    </w:p>
    <w:p w14:paraId="58EFD48B" w14:textId="77777777" w:rsidR="00F27892" w:rsidRPr="001A3DEA" w:rsidRDefault="00F27892" w:rsidP="00F27892">
      <w:pPr>
        <w:autoSpaceDE w:val="0"/>
        <w:autoSpaceDN w:val="0"/>
        <w:adjustRightInd w:val="0"/>
        <w:spacing w:line="360" w:lineRule="auto"/>
        <w:ind w:left="851" w:right="899"/>
        <w:jc w:val="both"/>
        <w:rPr>
          <w:rFonts w:ascii="Palatino Linotype" w:hAnsi="Palatino Linotype" w:cs="Arial"/>
          <w:i/>
          <w:sz w:val="22"/>
          <w:szCs w:val="22"/>
        </w:rPr>
      </w:pPr>
      <w:r w:rsidRPr="001A3DEA">
        <w:rPr>
          <w:rFonts w:ascii="Palatino Linotype" w:hAnsi="Palatino Linotype" w:cs="Arial"/>
          <w:b/>
          <w:bCs/>
          <w:i/>
        </w:rPr>
        <w:t>“</w:t>
      </w:r>
      <w:r w:rsidRPr="001A3DEA">
        <w:rPr>
          <w:rFonts w:ascii="Palatino Linotype" w:hAnsi="Palatino Linotype" w:cs="Arial"/>
          <w:b/>
          <w:bCs/>
          <w:i/>
          <w:sz w:val="22"/>
          <w:szCs w:val="22"/>
        </w:rPr>
        <w:t xml:space="preserve">Artículo 3. </w:t>
      </w:r>
      <w:r w:rsidRPr="001A3DEA">
        <w:rPr>
          <w:rFonts w:ascii="Palatino Linotype" w:hAnsi="Palatino Linotype" w:cs="Arial"/>
          <w:i/>
          <w:sz w:val="22"/>
          <w:szCs w:val="22"/>
        </w:rPr>
        <w:t>Para los efectos de la presente Ley se entenderá por:</w:t>
      </w:r>
    </w:p>
    <w:p w14:paraId="03B9CD77"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XXXIII. Prueba de Daño: </w:t>
      </w:r>
      <w:r w:rsidRPr="001A3DEA">
        <w:rPr>
          <w:rFonts w:ascii="Palatino Linotype" w:hAnsi="Palatino Linotype" w:cs="Arial"/>
          <w:i/>
          <w:sz w:val="22"/>
          <w:szCs w:val="22"/>
        </w:rPr>
        <w:t>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0A0BF01A"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Artículo 129. </w:t>
      </w:r>
      <w:r w:rsidRPr="001A3DEA">
        <w:rPr>
          <w:rFonts w:ascii="Palatino Linotype" w:hAnsi="Palatino Linotype" w:cs="Arial"/>
          <w:i/>
          <w:sz w:val="22"/>
          <w:szCs w:val="22"/>
        </w:rPr>
        <w:t>En la aplicación de la prueba de daño, el sujeto obligado deberá precisar las razones objetivas por las que la apertura de la información generaría una afectación, justificando que:</w:t>
      </w:r>
    </w:p>
    <w:p w14:paraId="0706CCD2"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I. </w:t>
      </w:r>
      <w:r w:rsidRPr="001A3DEA">
        <w:rPr>
          <w:rFonts w:ascii="Palatino Linotype" w:hAnsi="Palatino Linotype" w:cs="Arial"/>
          <w:i/>
          <w:sz w:val="22"/>
          <w:szCs w:val="22"/>
        </w:rPr>
        <w:t>La divulgación de la información representa un riesgo real, demostrable e identificable del perjuicio significativo al interés público o a la seguridad pública;</w:t>
      </w:r>
    </w:p>
    <w:p w14:paraId="2AEC50AF"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II. </w:t>
      </w:r>
      <w:r w:rsidRPr="001A3DEA">
        <w:rPr>
          <w:rFonts w:ascii="Palatino Linotype" w:hAnsi="Palatino Linotype" w:cs="Arial"/>
          <w:i/>
          <w:sz w:val="22"/>
          <w:szCs w:val="22"/>
        </w:rPr>
        <w:t>El riesgo de perjuicio que supondría la divulgación supera el interés público general de que se difunda; y</w:t>
      </w:r>
    </w:p>
    <w:p w14:paraId="46E00C7C" w14:textId="77777777" w:rsidR="00F27892" w:rsidRPr="001A3DEA" w:rsidRDefault="00F27892" w:rsidP="00F27892">
      <w:pPr>
        <w:autoSpaceDE w:val="0"/>
        <w:autoSpaceDN w:val="0"/>
        <w:adjustRightInd w:val="0"/>
        <w:ind w:left="851" w:right="899"/>
        <w:jc w:val="both"/>
        <w:rPr>
          <w:rFonts w:ascii="Palatino Linotype" w:hAnsi="Palatino Linotype" w:cs="Arial"/>
          <w:i/>
          <w:sz w:val="22"/>
          <w:szCs w:val="22"/>
        </w:rPr>
      </w:pPr>
      <w:r w:rsidRPr="001A3DEA">
        <w:rPr>
          <w:rFonts w:ascii="Palatino Linotype" w:hAnsi="Palatino Linotype" w:cs="Arial"/>
          <w:b/>
          <w:bCs/>
          <w:i/>
          <w:sz w:val="22"/>
          <w:szCs w:val="22"/>
        </w:rPr>
        <w:t xml:space="preserve">III. </w:t>
      </w:r>
      <w:r w:rsidRPr="001A3DEA">
        <w:rPr>
          <w:rFonts w:ascii="Palatino Linotype" w:hAnsi="Palatino Linotype" w:cs="Arial"/>
          <w:i/>
          <w:sz w:val="22"/>
          <w:szCs w:val="22"/>
        </w:rPr>
        <w:t>La limitación se adecua al principio de proporcionalidad y representa el medio menos restrictivo disponible representa el medio menos restrictivo disponible para evitar el perjuicio.”</w:t>
      </w:r>
    </w:p>
    <w:p w14:paraId="1C4BD2C2" w14:textId="77777777" w:rsidR="00F27892" w:rsidRPr="001A3DEA" w:rsidRDefault="00F27892" w:rsidP="00F27892">
      <w:pPr>
        <w:spacing w:line="360" w:lineRule="auto"/>
        <w:jc w:val="both"/>
        <w:rPr>
          <w:rFonts w:ascii="Palatino Linotype" w:hAnsi="Palatino Linotype"/>
          <w:color w:val="222222"/>
          <w:sz w:val="10"/>
        </w:rPr>
      </w:pPr>
    </w:p>
    <w:p w14:paraId="23E10A8F" w14:textId="77777777" w:rsidR="00F27892" w:rsidRPr="001A3DEA" w:rsidRDefault="00F27892" w:rsidP="00F27892">
      <w:pPr>
        <w:spacing w:line="360" w:lineRule="auto"/>
        <w:jc w:val="both"/>
        <w:rPr>
          <w:rFonts w:ascii="Palatino Linotype" w:hAnsi="Palatino Linotype"/>
          <w:color w:val="222222"/>
        </w:rPr>
      </w:pPr>
      <w:r w:rsidRPr="001A3DEA">
        <w:rPr>
          <w:rFonts w:ascii="Palatino Linotype" w:hAnsi="Palatino Linotype"/>
          <w:color w:val="222222"/>
        </w:rPr>
        <w:t xml:space="preserve">De igual forma, deberá señalar lo que disponen los </w:t>
      </w:r>
      <w:r w:rsidRPr="001A3DEA">
        <w:rPr>
          <w:rFonts w:ascii="Palatino Linotype" w:hAnsi="Palatino Linotype" w:cs="Arial"/>
        </w:rPr>
        <w:t>Lineamientos Generales en Materia de Clasificación y Desclasificación de la Información, así como para la Elaboración de Versiones Públicas</w:t>
      </w:r>
      <w:r w:rsidRPr="001A3DEA">
        <w:rPr>
          <w:rFonts w:ascii="Palatino Linotype" w:hAnsi="Palatino Linotype"/>
          <w:color w:val="222222"/>
        </w:rPr>
        <w:t>, cumpliendo lo siguiente:</w:t>
      </w:r>
    </w:p>
    <w:p w14:paraId="0B5EDEA1" w14:textId="77777777" w:rsidR="00F27892" w:rsidRPr="001A3DEA" w:rsidRDefault="00F27892" w:rsidP="00F27892">
      <w:pPr>
        <w:spacing w:line="360" w:lineRule="auto"/>
        <w:jc w:val="both"/>
        <w:rPr>
          <w:rFonts w:ascii="Palatino Linotype" w:hAnsi="Palatino Linotype"/>
          <w:color w:val="222222"/>
          <w:sz w:val="16"/>
        </w:rPr>
      </w:pPr>
    </w:p>
    <w:p w14:paraId="518F6F53" w14:textId="77777777" w:rsidR="00F27892" w:rsidRPr="001A3DEA" w:rsidRDefault="00F27892" w:rsidP="00F27892">
      <w:pPr>
        <w:spacing w:line="276" w:lineRule="auto"/>
        <w:ind w:left="851" w:right="618"/>
        <w:jc w:val="both"/>
        <w:rPr>
          <w:rFonts w:ascii="Palatino Linotype" w:hAnsi="Palatino Linotype"/>
          <w:i/>
          <w:color w:val="222222"/>
          <w:sz w:val="22"/>
          <w:szCs w:val="22"/>
        </w:rPr>
      </w:pPr>
      <w:r w:rsidRPr="001A3DEA">
        <w:rPr>
          <w:rFonts w:ascii="Palatino Linotype" w:hAnsi="Palatino Linotype"/>
          <w:b/>
          <w:i/>
          <w:color w:val="222222"/>
          <w:sz w:val="22"/>
          <w:szCs w:val="22"/>
        </w:rPr>
        <w:t>“Vigésimo octavo.</w:t>
      </w:r>
      <w:r w:rsidRPr="001A3DEA">
        <w:rPr>
          <w:rFonts w:ascii="Palatino Linotype" w:hAnsi="Palatino Linotype"/>
          <w:i/>
          <w:color w:val="222222"/>
          <w:sz w:val="22"/>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06AE9CC5" w14:textId="77777777" w:rsidR="00F27892" w:rsidRPr="001A3DEA" w:rsidRDefault="00F27892" w:rsidP="00F27892">
      <w:pPr>
        <w:spacing w:line="276" w:lineRule="auto"/>
        <w:ind w:left="851" w:right="618"/>
        <w:jc w:val="both"/>
        <w:rPr>
          <w:rFonts w:ascii="Palatino Linotype" w:hAnsi="Palatino Linotype"/>
          <w:i/>
          <w:color w:val="222222"/>
          <w:sz w:val="22"/>
          <w:szCs w:val="22"/>
        </w:rPr>
      </w:pPr>
      <w:r w:rsidRPr="001A3DEA">
        <w:rPr>
          <w:rFonts w:ascii="Palatino Linotype" w:hAnsi="Palatino Linotype"/>
          <w:b/>
          <w:i/>
          <w:color w:val="222222"/>
          <w:sz w:val="22"/>
          <w:szCs w:val="22"/>
        </w:rPr>
        <w:t>I.</w:t>
      </w:r>
      <w:r w:rsidRPr="001A3DEA">
        <w:rPr>
          <w:rFonts w:ascii="Palatino Linotype" w:hAnsi="Palatino Linotype"/>
          <w:i/>
          <w:color w:val="222222"/>
          <w:sz w:val="22"/>
          <w:szCs w:val="22"/>
        </w:rPr>
        <w:t xml:space="preserve"> La existencia de un procedimiento de responsabilidad administrativa en trámite, y</w:t>
      </w:r>
    </w:p>
    <w:p w14:paraId="73C0EE55" w14:textId="77777777" w:rsidR="00F27892" w:rsidRPr="001A3DEA" w:rsidRDefault="00F27892" w:rsidP="00F27892">
      <w:pPr>
        <w:spacing w:line="276" w:lineRule="auto"/>
        <w:ind w:left="851" w:right="618"/>
        <w:jc w:val="both"/>
        <w:rPr>
          <w:rFonts w:ascii="Palatino Linotype" w:hAnsi="Palatino Linotype"/>
          <w:i/>
          <w:color w:val="222222"/>
          <w:sz w:val="22"/>
          <w:szCs w:val="22"/>
        </w:rPr>
      </w:pPr>
      <w:r w:rsidRPr="001A3DEA">
        <w:rPr>
          <w:rFonts w:ascii="Palatino Linotype" w:hAnsi="Palatino Linotype"/>
          <w:b/>
          <w:i/>
          <w:color w:val="222222"/>
          <w:sz w:val="22"/>
          <w:szCs w:val="22"/>
        </w:rPr>
        <w:t>II.</w:t>
      </w:r>
      <w:r w:rsidRPr="001A3DEA">
        <w:rPr>
          <w:rFonts w:ascii="Palatino Linotype" w:hAnsi="Palatino Linotype"/>
          <w:i/>
          <w:color w:val="222222"/>
          <w:sz w:val="22"/>
          <w:szCs w:val="22"/>
        </w:rPr>
        <w:t xml:space="preserve"> Que la información se refiera a actuaciones, diligencias y constancias propias del procedimiento de responsabilidad.”</w:t>
      </w:r>
    </w:p>
    <w:p w14:paraId="0A3C422D" w14:textId="77777777" w:rsidR="00F27892" w:rsidRPr="001A3DEA" w:rsidRDefault="00F27892" w:rsidP="00905A13">
      <w:pPr>
        <w:spacing w:line="360" w:lineRule="auto"/>
        <w:jc w:val="both"/>
        <w:rPr>
          <w:rFonts w:ascii="Palatino Linotype" w:hAnsi="Palatino Linotype" w:cs="Arial"/>
        </w:rPr>
      </w:pPr>
    </w:p>
    <w:p w14:paraId="16E7DB72" w14:textId="2861A2E4" w:rsidR="00AB49D4" w:rsidRPr="001A3DEA" w:rsidRDefault="00C90729" w:rsidP="00905A13">
      <w:pPr>
        <w:spacing w:line="360" w:lineRule="auto"/>
        <w:jc w:val="both"/>
        <w:rPr>
          <w:rFonts w:ascii="Palatino Linotype" w:hAnsi="Palatino Linotype" w:cs="Arial"/>
        </w:rPr>
      </w:pPr>
      <w:r w:rsidRPr="001A3DEA">
        <w:rPr>
          <w:rFonts w:ascii="Palatino Linotype" w:hAnsi="Palatino Linotype" w:cs="Arial"/>
        </w:rPr>
        <w:t>Po</w:t>
      </w:r>
      <w:r w:rsidR="00F31327" w:rsidRPr="001A3DEA">
        <w:rPr>
          <w:rFonts w:ascii="Palatino Linotype" w:hAnsi="Palatino Linotype" w:cs="Arial"/>
        </w:rPr>
        <w:t xml:space="preserve">r otra parte, es importante señalar que </w:t>
      </w:r>
      <w:r w:rsidR="00F31327" w:rsidRPr="001A3DEA">
        <w:rPr>
          <w:rFonts w:ascii="Palatino Linotype" w:hAnsi="Palatino Linotype" w:cs="Arial"/>
          <w:b/>
        </w:rPr>
        <w:t>EL SUJETO OBLIGADO</w:t>
      </w:r>
      <w:r w:rsidR="00F31327" w:rsidRPr="001A3DEA">
        <w:rPr>
          <w:rFonts w:ascii="Palatino Linotype" w:hAnsi="Palatino Linotype" w:cs="Arial"/>
        </w:rPr>
        <w:t xml:space="preserve"> mediante Informe Justificado remitió información relativa a chalecos balísticos dejando visible especificaciones y niveles de protección lo que </w:t>
      </w:r>
      <w:r w:rsidR="0062792A" w:rsidRPr="001A3DEA">
        <w:rPr>
          <w:rFonts w:ascii="Palatino Linotype" w:hAnsi="Palatino Linotype" w:cs="Arial"/>
        </w:rPr>
        <w:t>se considera información que debe reservarse</w:t>
      </w:r>
      <w:r w:rsidR="00F31327" w:rsidRPr="001A3DEA">
        <w:rPr>
          <w:rFonts w:ascii="Palatino Linotype" w:hAnsi="Palatino Linotype" w:cs="Arial"/>
        </w:rPr>
        <w:t>, ya que al conocer dichos datos se estaría dando información que pudiera encuadrar en los supuestos de clasificación que contempla la Ley de la materia</w:t>
      </w:r>
      <w:r w:rsidR="0062792A" w:rsidRPr="001A3DEA">
        <w:rPr>
          <w:rFonts w:ascii="Palatino Linotype" w:hAnsi="Palatino Linotype" w:cs="Arial"/>
        </w:rPr>
        <w:t>;</w:t>
      </w:r>
      <w:r w:rsidR="00F31327" w:rsidRPr="001A3DEA">
        <w:rPr>
          <w:rFonts w:ascii="Palatino Linotype" w:hAnsi="Palatino Linotype" w:cs="Arial"/>
        </w:rPr>
        <w:t xml:space="preserve"> </w:t>
      </w:r>
      <w:r w:rsidR="0062792A" w:rsidRPr="001A3DEA">
        <w:rPr>
          <w:rFonts w:ascii="Palatino Linotype" w:hAnsi="Palatino Linotype" w:cs="Arial"/>
        </w:rPr>
        <w:t>d</w:t>
      </w:r>
      <w:r w:rsidR="00AB49D4" w:rsidRPr="001A3DEA">
        <w:rPr>
          <w:rFonts w:ascii="Palatino Linotype" w:hAnsi="Palatino Linotype" w:cs="Arial"/>
        </w:rPr>
        <w:t>e igual forma, el particular mediante sus razones y motivos de inconformidad señaló que se di</w:t>
      </w:r>
      <w:r w:rsidR="008D4372" w:rsidRPr="001A3DEA">
        <w:rPr>
          <w:rFonts w:ascii="Palatino Linotype" w:hAnsi="Palatino Linotype" w:cs="Arial"/>
        </w:rPr>
        <w:t>era</w:t>
      </w:r>
      <w:r w:rsidR="00AB49D4" w:rsidRPr="001A3DEA">
        <w:rPr>
          <w:rFonts w:ascii="Palatino Linotype" w:hAnsi="Palatino Linotype" w:cs="Arial"/>
        </w:rPr>
        <w:t xml:space="preserve"> vista a </w:t>
      </w:r>
      <w:r w:rsidR="00AB49D4" w:rsidRPr="001A3DEA">
        <w:rPr>
          <w:rFonts w:ascii="Palatino Linotype" w:hAnsi="Palatino Linotype"/>
          <w:color w:val="222222"/>
          <w:lang w:eastAsia="es-ES_tradnl"/>
        </w:rPr>
        <w:t xml:space="preserve">la Contraloría Interna y Órgano de Control y Vigilancia, por lo que el recurso de revisión no es el medio para sancionar, por lo que, a efecto de analizar el planteamiento del particular, gírese oficio al mismo para que determine lo </w:t>
      </w:r>
      <w:r w:rsidR="00AB49D4" w:rsidRPr="001A3DEA">
        <w:rPr>
          <w:rFonts w:ascii="Palatino Linotype" w:hAnsi="Palatino Linotype" w:cs="Arial"/>
        </w:rPr>
        <w:t>conducente.</w:t>
      </w:r>
    </w:p>
    <w:p w14:paraId="2C120F1F" w14:textId="77777777" w:rsidR="00BF4B60" w:rsidRPr="001A3DEA" w:rsidRDefault="00BF4B60" w:rsidP="00905A13">
      <w:pPr>
        <w:spacing w:line="360" w:lineRule="auto"/>
        <w:jc w:val="both"/>
        <w:rPr>
          <w:rFonts w:ascii="Palatino Linotype" w:hAnsi="Palatino Linotype" w:cs="Arial"/>
        </w:rPr>
      </w:pPr>
    </w:p>
    <w:p w14:paraId="2571E2E7" w14:textId="4492824D" w:rsidR="004D6EDE" w:rsidRPr="001A3DEA" w:rsidRDefault="004D6EDE" w:rsidP="004D6EDE">
      <w:pPr>
        <w:spacing w:line="360" w:lineRule="auto"/>
        <w:jc w:val="both"/>
        <w:rPr>
          <w:rFonts w:ascii="Palatino Linotype" w:eastAsia="Calibri" w:hAnsi="Palatino Linotype"/>
          <w:b/>
        </w:rPr>
      </w:pPr>
      <w:r w:rsidRPr="001A3DEA">
        <w:rPr>
          <w:rFonts w:ascii="Palatino Linotype" w:eastAsia="Calibri" w:hAnsi="Palatino Linotype"/>
        </w:rPr>
        <w:t xml:space="preserve">Por lo anterior, se considera que las </w:t>
      </w:r>
      <w:r w:rsidRPr="001A3DEA">
        <w:rPr>
          <w:rFonts w:ascii="Palatino Linotype" w:hAnsi="Palatino Linotype" w:cs="Arial"/>
        </w:rPr>
        <w:t xml:space="preserve">razones o motivos de inconformidad planteadas por </w:t>
      </w:r>
      <w:r w:rsidR="00841867" w:rsidRPr="001A3DEA">
        <w:rPr>
          <w:rFonts w:ascii="Palatino Linotype" w:hAnsi="Palatino Linotype" w:cs="Arial"/>
          <w:b/>
        </w:rPr>
        <w:t>EL</w:t>
      </w:r>
      <w:r w:rsidRPr="001A3DEA">
        <w:rPr>
          <w:rFonts w:ascii="Palatino Linotype" w:hAnsi="Palatino Linotype" w:cs="Arial"/>
          <w:b/>
        </w:rPr>
        <w:t xml:space="preserve"> RECURRENTE,</w:t>
      </w:r>
      <w:r w:rsidRPr="001A3DEA">
        <w:rPr>
          <w:rFonts w:ascii="Palatino Linotype" w:hAnsi="Palatino Linotype"/>
          <w:b/>
        </w:rPr>
        <w:t xml:space="preserve"> </w:t>
      </w:r>
      <w:r w:rsidRPr="001A3DEA">
        <w:rPr>
          <w:rFonts w:ascii="Palatino Linotype" w:hAnsi="Palatino Linotype" w:cs="Arial"/>
        </w:rPr>
        <w:t>resultan</w:t>
      </w:r>
      <w:r w:rsidR="00AB49D4" w:rsidRPr="001A3DEA">
        <w:rPr>
          <w:rFonts w:ascii="Palatino Linotype" w:hAnsi="Palatino Linotype" w:cs="Arial"/>
        </w:rPr>
        <w:t xml:space="preserve"> </w:t>
      </w:r>
      <w:r w:rsidR="00AB49D4" w:rsidRPr="001A3DEA">
        <w:rPr>
          <w:rFonts w:ascii="Palatino Linotype" w:hAnsi="Palatino Linotype" w:cs="Arial"/>
          <w:b/>
        </w:rPr>
        <w:t>parcialmente</w:t>
      </w:r>
      <w:r w:rsidR="00905A13" w:rsidRPr="001A3DEA">
        <w:rPr>
          <w:rFonts w:ascii="Palatino Linotype" w:hAnsi="Palatino Linotype" w:cs="Arial"/>
          <w:b/>
        </w:rPr>
        <w:t xml:space="preserve"> </w:t>
      </w:r>
      <w:r w:rsidRPr="001A3DEA">
        <w:rPr>
          <w:rFonts w:ascii="Palatino Linotype" w:hAnsi="Palatino Linotype" w:cs="Arial"/>
          <w:b/>
        </w:rPr>
        <w:t>fundadas</w:t>
      </w:r>
      <w:r w:rsidRPr="001A3DEA">
        <w:rPr>
          <w:rFonts w:ascii="Palatino Linotype" w:hAnsi="Palatino Linotype" w:cs="Arial"/>
        </w:rPr>
        <w:t>;</w:t>
      </w:r>
      <w:r w:rsidRPr="001A3DEA">
        <w:rPr>
          <w:rFonts w:ascii="Palatino Linotype" w:eastAsia="Calibri" w:hAnsi="Palatino Linotype"/>
        </w:rPr>
        <w:t xml:space="preserve"> en </w:t>
      </w:r>
      <w:r w:rsidR="00364628" w:rsidRPr="001A3DEA">
        <w:rPr>
          <w:rFonts w:ascii="Palatino Linotype" w:eastAsia="Calibri" w:hAnsi="Palatino Linotype"/>
        </w:rPr>
        <w:t>consecuencia,</w:t>
      </w:r>
      <w:r w:rsidRPr="001A3DEA">
        <w:rPr>
          <w:rFonts w:ascii="Palatino Linotype" w:eastAsia="Calibri" w:hAnsi="Palatino Linotype"/>
        </w:rPr>
        <w:t xml:space="preserve"> este Órgano Garante determina </w:t>
      </w:r>
      <w:r w:rsidR="00D90507" w:rsidRPr="001A3DEA">
        <w:rPr>
          <w:rFonts w:ascii="Palatino Linotype" w:eastAsia="Calibri" w:hAnsi="Palatino Linotype"/>
          <w:b/>
        </w:rPr>
        <w:t>ORDENAR</w:t>
      </w:r>
      <w:r w:rsidRPr="001A3DEA">
        <w:rPr>
          <w:rFonts w:ascii="Palatino Linotype" w:eastAsia="Calibri" w:hAnsi="Palatino Linotype"/>
        </w:rPr>
        <w:t xml:space="preserve"> </w:t>
      </w:r>
      <w:r w:rsidR="00D90507" w:rsidRPr="001A3DEA">
        <w:rPr>
          <w:rFonts w:ascii="Palatino Linotype" w:eastAsia="Calibri" w:hAnsi="Palatino Linotype"/>
        </w:rPr>
        <w:t>a</w:t>
      </w:r>
      <w:r w:rsidRPr="001A3DEA">
        <w:rPr>
          <w:rFonts w:ascii="Palatino Linotype" w:eastAsia="Calibri" w:hAnsi="Palatino Linotype"/>
        </w:rPr>
        <w:t xml:space="preserve">l </w:t>
      </w:r>
      <w:r w:rsidRPr="001A3DEA">
        <w:rPr>
          <w:rFonts w:ascii="Palatino Linotype" w:eastAsia="Calibri" w:hAnsi="Palatino Linotype"/>
          <w:b/>
        </w:rPr>
        <w:t>SUJETO OBLIGADO</w:t>
      </w:r>
      <w:r w:rsidR="0039190C" w:rsidRPr="001A3DEA">
        <w:rPr>
          <w:rFonts w:ascii="Palatino Linotype" w:eastAsia="Calibri" w:hAnsi="Palatino Linotype"/>
          <w:b/>
        </w:rPr>
        <w:t xml:space="preserve"> </w:t>
      </w:r>
      <w:r w:rsidR="0039190C" w:rsidRPr="001A3DEA">
        <w:rPr>
          <w:rFonts w:ascii="Palatino Linotype" w:eastAsia="Calibri" w:hAnsi="Palatino Linotype"/>
        </w:rPr>
        <w:t>la información señalada</w:t>
      </w:r>
      <w:r w:rsidRPr="001A3DEA">
        <w:rPr>
          <w:rFonts w:ascii="Palatino Linotype" w:eastAsia="Calibri" w:hAnsi="Palatino Linotype"/>
          <w:b/>
        </w:rPr>
        <w:t xml:space="preserve"> </w:t>
      </w:r>
      <w:r w:rsidRPr="001A3DEA">
        <w:rPr>
          <w:rFonts w:ascii="Palatino Linotype" w:eastAsia="Calibri" w:hAnsi="Palatino Linotype"/>
        </w:rPr>
        <w:t xml:space="preserve">en la solicitud </w:t>
      </w:r>
      <w:r w:rsidR="00AB49D4" w:rsidRPr="001A3DEA">
        <w:rPr>
          <w:rFonts w:ascii="Palatino Linotype" w:eastAsia="MS Mincho" w:hAnsi="Palatino Linotype" w:cs="Arial"/>
          <w:b/>
          <w:bCs/>
        </w:rPr>
        <w:t>00006/NAUCALPA/IP/2021</w:t>
      </w:r>
      <w:r w:rsidRPr="001A3DEA">
        <w:rPr>
          <w:rFonts w:ascii="Palatino Linotype" w:eastAsia="Calibri" w:hAnsi="Palatino Linotype"/>
          <w:b/>
        </w:rPr>
        <w:t>.</w:t>
      </w:r>
    </w:p>
    <w:p w14:paraId="1D1A8E2A" w14:textId="0A107937" w:rsidR="004D6EDE" w:rsidRPr="001A3DEA" w:rsidRDefault="00BF4B60" w:rsidP="00BF4B60">
      <w:pPr>
        <w:tabs>
          <w:tab w:val="left" w:pos="1169"/>
        </w:tabs>
        <w:spacing w:line="360" w:lineRule="auto"/>
        <w:ind w:right="49"/>
        <w:jc w:val="both"/>
        <w:rPr>
          <w:rFonts w:ascii="Palatino Linotype" w:hAnsi="Palatino Linotype" w:cs="Arial"/>
        </w:rPr>
      </w:pPr>
      <w:r w:rsidRPr="001A3DEA">
        <w:rPr>
          <w:rFonts w:ascii="Palatino Linotype" w:hAnsi="Palatino Linotype" w:cs="Arial"/>
        </w:rPr>
        <w:tab/>
      </w:r>
    </w:p>
    <w:p w14:paraId="687FC075" w14:textId="59BADA2E" w:rsidR="005C25EA" w:rsidRPr="001A3DEA" w:rsidRDefault="004D6EDE" w:rsidP="00605DE1">
      <w:pPr>
        <w:spacing w:line="360" w:lineRule="auto"/>
        <w:jc w:val="both"/>
        <w:rPr>
          <w:rFonts w:ascii="Palatino Linotype" w:eastAsia="Calibri" w:hAnsi="Palatino Linotype" w:cs="Arial"/>
        </w:rPr>
      </w:pPr>
      <w:r w:rsidRPr="001A3DEA">
        <w:rPr>
          <w:rFonts w:ascii="Palatino Linotype" w:eastAsia="Calibri" w:hAnsi="Palatino Linotype" w:cs="Arial"/>
        </w:rPr>
        <w:t xml:space="preserve">Así, con fundamento en lo prescrito en los artículos 5, párrafos </w:t>
      </w:r>
      <w:r w:rsidR="0070656A" w:rsidRPr="001A3DEA">
        <w:rPr>
          <w:rFonts w:ascii="Palatino Linotype" w:eastAsia="Calibri" w:hAnsi="Palatino Linotype" w:cs="Arial"/>
        </w:rPr>
        <w:t>tr</w:t>
      </w:r>
      <w:r w:rsidRPr="001A3DEA">
        <w:rPr>
          <w:rFonts w:ascii="Palatino Linotype" w:hAnsi="Palatino Linotype"/>
        </w:rPr>
        <w:t>igésimo</w:t>
      </w:r>
      <w:r w:rsidRPr="001A3DEA">
        <w:rPr>
          <w:rFonts w:ascii="Palatino Linotype" w:hAnsi="Palatino Linotype" w:cs="Arial"/>
        </w:rPr>
        <w:t>,</w:t>
      </w:r>
      <w:r w:rsidRPr="001A3DEA">
        <w:rPr>
          <w:rFonts w:ascii="Palatino Linotype" w:hAnsi="Palatino Linotype"/>
        </w:rPr>
        <w:t xml:space="preserve"> </w:t>
      </w:r>
      <w:r w:rsidR="00E655D0" w:rsidRPr="001A3DEA">
        <w:rPr>
          <w:rFonts w:ascii="Palatino Linotype" w:hAnsi="Palatino Linotype"/>
        </w:rPr>
        <w:t>tr</w:t>
      </w:r>
      <w:r w:rsidRPr="001A3DEA">
        <w:rPr>
          <w:rFonts w:ascii="Palatino Linotype" w:hAnsi="Palatino Linotype"/>
        </w:rPr>
        <w:t>igésimo</w:t>
      </w:r>
      <w:r w:rsidR="0070656A" w:rsidRPr="001A3DEA">
        <w:rPr>
          <w:rFonts w:ascii="Palatino Linotype" w:hAnsi="Palatino Linotype"/>
        </w:rPr>
        <w:t xml:space="preserve"> primero</w:t>
      </w:r>
      <w:r w:rsidRPr="001A3DEA">
        <w:rPr>
          <w:rFonts w:ascii="Palatino Linotype" w:hAnsi="Palatino Linotype"/>
        </w:rPr>
        <w:t xml:space="preserve"> y </w:t>
      </w:r>
      <w:r w:rsidR="00E655D0" w:rsidRPr="001A3DEA">
        <w:rPr>
          <w:rFonts w:ascii="Palatino Linotype" w:hAnsi="Palatino Linotype"/>
        </w:rPr>
        <w:t>tr</w:t>
      </w:r>
      <w:r w:rsidRPr="001A3DEA">
        <w:rPr>
          <w:rFonts w:ascii="Palatino Linotype" w:hAnsi="Palatino Linotype"/>
        </w:rPr>
        <w:t xml:space="preserve">igésimo </w:t>
      </w:r>
      <w:r w:rsidR="0070656A" w:rsidRPr="001A3DEA">
        <w:rPr>
          <w:rFonts w:ascii="Palatino Linotype" w:hAnsi="Palatino Linotype"/>
        </w:rPr>
        <w:t>segundo</w:t>
      </w:r>
      <w:r w:rsidRPr="001A3DEA">
        <w:rPr>
          <w:rFonts w:ascii="Palatino Linotype" w:hAnsi="Palatino Linotype"/>
        </w:rPr>
        <w:t xml:space="preserve">, fracciones IV y V </w:t>
      </w:r>
      <w:r w:rsidRPr="001A3DEA">
        <w:rPr>
          <w:rFonts w:ascii="Palatino Linotype" w:eastAsia="Calibri" w:hAnsi="Palatino Linotype" w:cs="Arial"/>
        </w:rPr>
        <w:t xml:space="preserve">de la Constitución Política del Estado Libre y Soberano de México; </w:t>
      </w:r>
      <w:r w:rsidRPr="001A3DEA">
        <w:rPr>
          <w:rFonts w:ascii="Palatino Linotype" w:hAnsi="Palatino Linotype" w:cs="Arial"/>
        </w:rPr>
        <w:t>2, fracción II, 9, 29, 36, fracciones I y II, 176, 178, 179, 181, 185, fracción I, 186 y 188</w:t>
      </w:r>
      <w:r w:rsidRPr="001A3DEA">
        <w:rPr>
          <w:rFonts w:ascii="Palatino Linotype" w:eastAsia="Calibri" w:hAnsi="Palatino Linotype" w:cs="Arial"/>
        </w:rPr>
        <w:t xml:space="preserve"> de la Ley de Transparencia y Acceso a la Información Pública del Estado de México y Municipios, este Pleno:</w:t>
      </w:r>
    </w:p>
    <w:p w14:paraId="27471586" w14:textId="77777777" w:rsidR="00AB49D4" w:rsidRPr="001A3DEA" w:rsidRDefault="00AB49D4" w:rsidP="00605DE1">
      <w:pPr>
        <w:spacing w:line="360" w:lineRule="auto"/>
        <w:jc w:val="both"/>
        <w:rPr>
          <w:rFonts w:ascii="Palatino Linotype" w:eastAsia="Calibri" w:hAnsi="Palatino Linotype" w:cs="Arial"/>
        </w:rPr>
      </w:pPr>
    </w:p>
    <w:p w14:paraId="73EDCB69" w14:textId="4E433FBD" w:rsidR="003302C9" w:rsidRPr="001A3DEA" w:rsidRDefault="00200BFC" w:rsidP="00364628">
      <w:pPr>
        <w:jc w:val="center"/>
        <w:rPr>
          <w:rFonts w:ascii="Palatino Linotype" w:hAnsi="Palatino Linotype" w:cs="Arial"/>
          <w:b/>
          <w:spacing w:val="44"/>
          <w:sz w:val="28"/>
        </w:rPr>
      </w:pPr>
      <w:r w:rsidRPr="001A3DEA">
        <w:rPr>
          <w:rFonts w:ascii="Palatino Linotype" w:hAnsi="Palatino Linotype" w:cs="Arial"/>
          <w:b/>
          <w:spacing w:val="44"/>
          <w:sz w:val="28"/>
        </w:rPr>
        <w:t>RESUELVE</w:t>
      </w:r>
    </w:p>
    <w:p w14:paraId="789C6183" w14:textId="77777777" w:rsidR="0070656A" w:rsidRPr="001A3DEA" w:rsidRDefault="0070656A" w:rsidP="00364628">
      <w:pPr>
        <w:jc w:val="center"/>
        <w:rPr>
          <w:rFonts w:ascii="Palatino Linotype" w:hAnsi="Palatino Linotype" w:cs="Arial"/>
          <w:b/>
          <w:spacing w:val="44"/>
          <w:sz w:val="28"/>
        </w:rPr>
      </w:pPr>
    </w:p>
    <w:p w14:paraId="0ED3DD51" w14:textId="1CDAF8AF" w:rsidR="0070656A" w:rsidRPr="001A3DEA" w:rsidRDefault="0070656A" w:rsidP="0070656A">
      <w:pPr>
        <w:spacing w:line="360" w:lineRule="auto"/>
        <w:jc w:val="both"/>
        <w:rPr>
          <w:rFonts w:ascii="Palatino Linotype" w:eastAsiaTheme="minorEastAsia" w:hAnsi="Palatino Linotype" w:cs="Arial"/>
        </w:rPr>
      </w:pPr>
      <w:r w:rsidRPr="001A3DEA">
        <w:rPr>
          <w:rFonts w:ascii="Palatino Linotype" w:eastAsiaTheme="minorEastAsia" w:hAnsi="Palatino Linotype" w:cs="Arial"/>
          <w:b/>
          <w:bCs/>
          <w:color w:val="222222"/>
          <w:sz w:val="28"/>
          <w:szCs w:val="18"/>
          <w:lang w:val="es-ES_tradnl" w:eastAsia="es-MX"/>
        </w:rPr>
        <w:t>PRIMERO</w:t>
      </w:r>
      <w:r w:rsidRPr="001A3DEA">
        <w:rPr>
          <w:rFonts w:ascii="Palatino Linotype" w:eastAsiaTheme="minorEastAsia" w:hAnsi="Palatino Linotype" w:cs="Arial"/>
          <w:sz w:val="20"/>
          <w:szCs w:val="20"/>
          <w:lang w:val="es-ES_tradnl"/>
        </w:rPr>
        <w:t xml:space="preserve">. </w:t>
      </w:r>
      <w:r w:rsidRPr="001A3DEA">
        <w:rPr>
          <w:rFonts w:ascii="Palatino Linotype" w:eastAsiaTheme="minorEastAsia" w:hAnsi="Palatino Linotype" w:cs="Arial"/>
          <w:lang w:val="es-ES_tradnl"/>
        </w:rPr>
        <w:t xml:space="preserve">Resultan </w:t>
      </w:r>
      <w:r w:rsidR="00AB49D4" w:rsidRPr="001A3DEA">
        <w:rPr>
          <w:rFonts w:ascii="Palatino Linotype" w:eastAsiaTheme="minorEastAsia" w:hAnsi="Palatino Linotype" w:cs="Arial"/>
          <w:b/>
          <w:lang w:val="es-ES_tradnl"/>
        </w:rPr>
        <w:t>parcialmente</w:t>
      </w:r>
      <w:r w:rsidR="00AB49D4" w:rsidRPr="001A3DEA">
        <w:rPr>
          <w:rFonts w:ascii="Palatino Linotype" w:eastAsiaTheme="minorEastAsia" w:hAnsi="Palatino Linotype" w:cs="Arial"/>
          <w:lang w:val="es-ES_tradnl"/>
        </w:rPr>
        <w:t xml:space="preserve"> </w:t>
      </w:r>
      <w:r w:rsidRPr="001A3DEA">
        <w:rPr>
          <w:rFonts w:ascii="Palatino Linotype" w:eastAsiaTheme="minorEastAsia" w:hAnsi="Palatino Linotype" w:cs="Arial"/>
          <w:b/>
          <w:lang w:val="es-ES_tradnl"/>
        </w:rPr>
        <w:t>fundadas</w:t>
      </w:r>
      <w:r w:rsidRPr="001A3DEA">
        <w:rPr>
          <w:rFonts w:ascii="Palatino Linotype" w:eastAsiaTheme="minorEastAsia" w:hAnsi="Palatino Linotype" w:cs="Arial"/>
          <w:lang w:val="es-ES_tradnl"/>
        </w:rPr>
        <w:t xml:space="preserve"> las razones o motivos de inconformidad planteadas por </w:t>
      </w:r>
      <w:r w:rsidRPr="001A3DEA">
        <w:rPr>
          <w:rFonts w:ascii="Palatino Linotype" w:eastAsiaTheme="minorEastAsia" w:hAnsi="Palatino Linotype" w:cs="Arial"/>
          <w:b/>
          <w:lang w:val="es-ES_tradnl"/>
        </w:rPr>
        <w:t>EL RECURRENTE</w:t>
      </w:r>
      <w:r w:rsidRPr="001A3DEA">
        <w:rPr>
          <w:rFonts w:ascii="Palatino Linotype" w:eastAsiaTheme="minorEastAsia" w:hAnsi="Palatino Linotype" w:cs="Arial"/>
          <w:lang w:val="es-ES_tradnl"/>
        </w:rPr>
        <w:t xml:space="preserve"> </w:t>
      </w:r>
      <w:r w:rsidRPr="001A3DEA">
        <w:rPr>
          <w:rFonts w:ascii="Palatino Linotype" w:eastAsiaTheme="minorEastAsia" w:hAnsi="Palatino Linotype" w:cs="Arial"/>
        </w:rPr>
        <w:t xml:space="preserve">en términos del </w:t>
      </w:r>
      <w:r w:rsidRPr="001A3DEA">
        <w:rPr>
          <w:rFonts w:ascii="Palatino Linotype" w:eastAsiaTheme="minorEastAsia" w:hAnsi="Palatino Linotype" w:cs="Arial"/>
          <w:lang w:val="es-ES_tradnl"/>
        </w:rPr>
        <w:t>Considerando</w:t>
      </w:r>
      <w:r w:rsidRPr="001A3DEA">
        <w:rPr>
          <w:rFonts w:ascii="Palatino Linotype" w:eastAsiaTheme="minorEastAsia" w:hAnsi="Palatino Linotype" w:cs="Arial"/>
        </w:rPr>
        <w:t xml:space="preserve"> </w:t>
      </w:r>
      <w:r w:rsidRPr="001A3DEA">
        <w:rPr>
          <w:rFonts w:ascii="Palatino Linotype" w:eastAsiaTheme="minorEastAsia" w:hAnsi="Palatino Linotype" w:cs="Arial"/>
          <w:b/>
        </w:rPr>
        <w:t xml:space="preserve">QUINTO </w:t>
      </w:r>
      <w:r w:rsidRPr="001A3DEA">
        <w:rPr>
          <w:rFonts w:ascii="Palatino Linotype" w:eastAsiaTheme="minorEastAsia" w:hAnsi="Palatino Linotype" w:cs="Arial"/>
        </w:rPr>
        <w:t>de esta Resolución.</w:t>
      </w:r>
    </w:p>
    <w:p w14:paraId="70DE24EB" w14:textId="77777777" w:rsidR="0070656A" w:rsidRPr="001A3DEA" w:rsidRDefault="0070656A" w:rsidP="0070656A">
      <w:pPr>
        <w:spacing w:line="360" w:lineRule="auto"/>
        <w:jc w:val="both"/>
        <w:rPr>
          <w:rFonts w:ascii="Palatino Linotype" w:eastAsiaTheme="minorEastAsia" w:hAnsi="Palatino Linotype" w:cs="Arial"/>
          <w:szCs w:val="20"/>
          <w:lang w:val="es-ES_tradnl"/>
        </w:rPr>
      </w:pPr>
    </w:p>
    <w:p w14:paraId="153B49EE" w14:textId="6F0D3F48" w:rsidR="0070656A" w:rsidRPr="001A3DEA" w:rsidRDefault="0070656A" w:rsidP="0070656A">
      <w:pPr>
        <w:spacing w:line="360" w:lineRule="auto"/>
        <w:jc w:val="both"/>
        <w:rPr>
          <w:rFonts w:ascii="Palatino Linotype" w:hAnsi="Palatino Linotype" w:cs="Arial"/>
          <w:lang w:val="es-ES_tradnl"/>
        </w:rPr>
      </w:pPr>
      <w:r w:rsidRPr="001A3DEA">
        <w:rPr>
          <w:rFonts w:ascii="Palatino Linotype" w:eastAsiaTheme="minorEastAsia" w:hAnsi="Palatino Linotype" w:cs="Arial"/>
          <w:b/>
          <w:bCs/>
          <w:color w:val="222222"/>
          <w:sz w:val="28"/>
          <w:szCs w:val="18"/>
          <w:lang w:val="es-ES_tradnl" w:eastAsia="es-MX"/>
        </w:rPr>
        <w:t>SEGUNDO</w:t>
      </w:r>
      <w:r w:rsidRPr="001A3DEA">
        <w:rPr>
          <w:rFonts w:ascii="Palatino Linotype" w:eastAsia="Calibri" w:hAnsi="Palatino Linotype" w:cs="Arial"/>
          <w:b/>
          <w:bCs/>
          <w:sz w:val="20"/>
          <w:szCs w:val="20"/>
          <w:lang w:val="es-ES_tradnl"/>
        </w:rPr>
        <w:t xml:space="preserve">. </w:t>
      </w:r>
      <w:r w:rsidR="00D90507" w:rsidRPr="001A3DEA">
        <w:rPr>
          <w:rFonts w:ascii="Palatino Linotype" w:hAnsi="Palatino Linotype"/>
          <w:color w:val="222222"/>
          <w:lang w:eastAsia="es-MX"/>
        </w:rPr>
        <w:t>Se</w:t>
      </w:r>
      <w:r w:rsidR="00D90507" w:rsidRPr="001A3DEA">
        <w:rPr>
          <w:rFonts w:ascii="Palatino Linotype" w:hAnsi="Palatino Linotype"/>
          <w:b/>
          <w:bCs/>
          <w:color w:val="222222"/>
          <w:lang w:eastAsia="es-MX"/>
        </w:rPr>
        <w:t xml:space="preserve"> ORDENA </w:t>
      </w:r>
      <w:r w:rsidR="00D90507" w:rsidRPr="001A3DEA">
        <w:rPr>
          <w:rFonts w:ascii="Palatino Linotype" w:hAnsi="Palatino Linotype"/>
          <w:color w:val="222222"/>
          <w:lang w:eastAsia="es-MX"/>
        </w:rPr>
        <w:t xml:space="preserve">al </w:t>
      </w:r>
      <w:r w:rsidR="00D90507" w:rsidRPr="001A3DEA">
        <w:rPr>
          <w:rFonts w:ascii="Palatino Linotype" w:hAnsi="Palatino Linotype"/>
          <w:b/>
          <w:bCs/>
          <w:color w:val="222222"/>
          <w:lang w:eastAsia="es-MX"/>
        </w:rPr>
        <w:t xml:space="preserve">SUJETO OBLIGADO </w:t>
      </w:r>
      <w:r w:rsidR="00D90507" w:rsidRPr="001A3DEA">
        <w:rPr>
          <w:rFonts w:ascii="Palatino Linotype" w:hAnsi="Palatino Linotype"/>
          <w:color w:val="222222"/>
          <w:lang w:eastAsia="es-MX"/>
        </w:rPr>
        <w:t xml:space="preserve">dé trámite a la solicitud de acceso a la información pública que </w:t>
      </w:r>
      <w:r w:rsidR="00820D3B" w:rsidRPr="001A3DEA">
        <w:rPr>
          <w:rFonts w:ascii="Palatino Linotype" w:hAnsi="Palatino Linotype"/>
          <w:color w:val="222222"/>
          <w:lang w:eastAsia="es-MX"/>
        </w:rPr>
        <w:t>dio</w:t>
      </w:r>
      <w:r w:rsidR="00D90507" w:rsidRPr="001A3DEA">
        <w:rPr>
          <w:rFonts w:ascii="Palatino Linotype" w:hAnsi="Palatino Linotype"/>
          <w:color w:val="222222"/>
          <w:lang w:eastAsia="es-MX"/>
        </w:rPr>
        <w:t xml:space="preserve"> origen al recurso de revisión número </w:t>
      </w:r>
      <w:r w:rsidR="00D90507" w:rsidRPr="001A3DEA">
        <w:rPr>
          <w:rFonts w:ascii="Palatino Linotype" w:hAnsi="Palatino Linotype" w:cs="Arial"/>
          <w:b/>
          <w:bCs/>
        </w:rPr>
        <w:t xml:space="preserve">01052/INFOEM/IP/RR/2021, </w:t>
      </w:r>
      <w:r w:rsidR="00D90507" w:rsidRPr="001A3DEA">
        <w:rPr>
          <w:rFonts w:ascii="Palatino Linotype" w:hAnsi="Palatino Linotype"/>
          <w:color w:val="222222"/>
          <w:lang w:eastAsia="es-MX"/>
        </w:rPr>
        <w:t xml:space="preserve">en términos del Considerando </w:t>
      </w:r>
      <w:r w:rsidR="00D90507" w:rsidRPr="001A3DEA">
        <w:rPr>
          <w:rFonts w:ascii="Palatino Linotype" w:hAnsi="Palatino Linotype"/>
          <w:b/>
          <w:bCs/>
          <w:color w:val="222222"/>
          <w:lang w:eastAsia="es-MX"/>
        </w:rPr>
        <w:t xml:space="preserve">QUINTO </w:t>
      </w:r>
      <w:r w:rsidR="00D90507" w:rsidRPr="001A3DEA">
        <w:rPr>
          <w:rFonts w:ascii="Palatino Linotype" w:hAnsi="Palatino Linotype"/>
          <w:color w:val="222222"/>
          <w:lang w:eastAsia="es-MX"/>
        </w:rPr>
        <w:t xml:space="preserve">de esta resolución; y </w:t>
      </w:r>
      <w:r w:rsidR="00820D3B" w:rsidRPr="001A3DEA">
        <w:rPr>
          <w:rFonts w:ascii="Palatino Linotype" w:hAnsi="Palatino Linotype"/>
          <w:color w:val="222222"/>
          <w:lang w:eastAsia="es-MX"/>
        </w:rPr>
        <w:t>entregue</w:t>
      </w:r>
      <w:r w:rsidR="00D90507" w:rsidRPr="001A3DEA">
        <w:rPr>
          <w:rFonts w:ascii="Palatino Linotype" w:hAnsi="Palatino Linotype"/>
          <w:color w:val="222222"/>
          <w:lang w:eastAsia="es-MX"/>
        </w:rPr>
        <w:t xml:space="preserve"> vía </w:t>
      </w:r>
      <w:r w:rsidR="00D90507" w:rsidRPr="001A3DEA">
        <w:rPr>
          <w:rFonts w:ascii="Palatino Linotype" w:hAnsi="Palatino Linotype"/>
          <w:b/>
          <w:bCs/>
          <w:color w:val="222222"/>
          <w:lang w:eastAsia="es-MX"/>
        </w:rPr>
        <w:t>SAIMEX</w:t>
      </w:r>
      <w:r w:rsidR="00D90507" w:rsidRPr="001A3DEA">
        <w:rPr>
          <w:rFonts w:ascii="Palatino Linotype" w:hAnsi="Palatino Linotype"/>
          <w:bCs/>
          <w:color w:val="222222"/>
          <w:lang w:eastAsia="es-MX"/>
        </w:rPr>
        <w:t>,</w:t>
      </w:r>
      <w:r w:rsidR="00D90507" w:rsidRPr="001A3DEA">
        <w:rPr>
          <w:rFonts w:ascii="Palatino Linotype" w:hAnsi="Palatino Linotype"/>
          <w:color w:val="222222"/>
          <w:lang w:eastAsia="es-MX"/>
        </w:rPr>
        <w:t xml:space="preserve"> </w:t>
      </w:r>
      <w:r w:rsidR="00AF0FAB" w:rsidRPr="001A3DEA">
        <w:rPr>
          <w:rFonts w:ascii="Palatino Linotype" w:hAnsi="Palatino Linotype" w:cs="Arial"/>
          <w:lang w:val="es-ES"/>
        </w:rPr>
        <w:t>de ser procedente en</w:t>
      </w:r>
      <w:r w:rsidR="0062792A" w:rsidRPr="001A3DEA">
        <w:rPr>
          <w:rFonts w:ascii="Palatino Linotype" w:hAnsi="Palatino Linotype" w:cs="Arial"/>
          <w:lang w:val="es-ES"/>
        </w:rPr>
        <w:t xml:space="preserve"> </w:t>
      </w:r>
      <w:r w:rsidR="0062792A" w:rsidRPr="001A3DEA">
        <w:rPr>
          <w:rFonts w:ascii="Palatino Linotype" w:hAnsi="Palatino Linotype" w:cs="Arial"/>
          <w:b/>
          <w:lang w:val="es-ES"/>
        </w:rPr>
        <w:t>versión</w:t>
      </w:r>
      <w:r w:rsidR="00AF0FAB" w:rsidRPr="001A3DEA">
        <w:rPr>
          <w:rFonts w:ascii="Palatino Linotype" w:hAnsi="Palatino Linotype" w:cs="Arial"/>
          <w:lang w:val="es-ES"/>
        </w:rPr>
        <w:t xml:space="preserve"> </w:t>
      </w:r>
      <w:r w:rsidR="00AF0FAB" w:rsidRPr="001A3DEA">
        <w:rPr>
          <w:rFonts w:ascii="Palatino Linotype" w:hAnsi="Palatino Linotype" w:cs="Arial"/>
          <w:b/>
          <w:lang w:val="es-ES"/>
        </w:rPr>
        <w:t>pública</w:t>
      </w:r>
      <w:r w:rsidR="00AF0FAB" w:rsidRPr="001A3DEA">
        <w:rPr>
          <w:rFonts w:ascii="Palatino Linotype" w:hAnsi="Palatino Linotype" w:cs="Arial"/>
          <w:lang w:val="es-ES"/>
        </w:rPr>
        <w:t xml:space="preserve"> </w:t>
      </w:r>
      <w:r w:rsidRPr="001A3DEA">
        <w:rPr>
          <w:rFonts w:ascii="Palatino Linotype" w:hAnsi="Palatino Linotype" w:cs="Arial"/>
          <w:lang w:val="es-ES"/>
        </w:rPr>
        <w:t xml:space="preserve">de </w:t>
      </w:r>
      <w:r w:rsidRPr="001A3DEA">
        <w:rPr>
          <w:rFonts w:ascii="Palatino Linotype" w:hAnsi="Palatino Linotype" w:cs="Arial"/>
          <w:lang w:val="es-ES_tradnl"/>
        </w:rPr>
        <w:t>lo siguiente:</w:t>
      </w:r>
    </w:p>
    <w:p w14:paraId="1E8FDAFF" w14:textId="77777777" w:rsidR="0070656A" w:rsidRPr="001A3DEA" w:rsidRDefault="0070656A" w:rsidP="0070656A">
      <w:pPr>
        <w:spacing w:line="360" w:lineRule="auto"/>
        <w:jc w:val="both"/>
        <w:rPr>
          <w:rFonts w:ascii="Palatino Linotype" w:hAnsi="Palatino Linotype" w:cs="Arial"/>
          <w:lang w:val="es-ES_tradnl"/>
        </w:rPr>
      </w:pPr>
    </w:p>
    <w:p w14:paraId="2C356FC6" w14:textId="74C629D5" w:rsidR="00BC3679" w:rsidRPr="001A3DEA" w:rsidRDefault="0070656A" w:rsidP="00820D3B">
      <w:pPr>
        <w:spacing w:line="276" w:lineRule="auto"/>
        <w:ind w:left="709" w:right="902"/>
        <w:jc w:val="both"/>
        <w:rPr>
          <w:rFonts w:ascii="Palatino Linotype" w:hAnsi="Palatino Linotype" w:cs="Arial"/>
          <w:i/>
          <w:iCs/>
          <w:lang w:val="es-ES_tradnl"/>
        </w:rPr>
      </w:pPr>
      <w:r w:rsidRPr="001A3DEA">
        <w:rPr>
          <w:rFonts w:ascii="Palatino Linotype" w:hAnsi="Palatino Linotype" w:cs="Arial"/>
          <w:i/>
          <w:iCs/>
          <w:lang w:val="es-ES_tradnl"/>
        </w:rPr>
        <w:t xml:space="preserve">“a) </w:t>
      </w:r>
      <w:r w:rsidR="006D3B04" w:rsidRPr="001A3DEA">
        <w:rPr>
          <w:rFonts w:ascii="Palatino Linotype" w:hAnsi="Palatino Linotype" w:cs="Arial"/>
          <w:i/>
          <w:iCs/>
          <w:lang w:val="es-ES_tradnl"/>
        </w:rPr>
        <w:t>Los contratos, estudios de mercado y facturas</w:t>
      </w:r>
      <w:r w:rsidR="00820D3B" w:rsidRPr="001A3DEA">
        <w:rPr>
          <w:rFonts w:ascii="Palatino Linotype" w:hAnsi="Palatino Linotype" w:cs="Arial"/>
          <w:i/>
          <w:iCs/>
          <w:lang w:val="es-ES_tradnl"/>
        </w:rPr>
        <w:t xml:space="preserve"> </w:t>
      </w:r>
      <w:r w:rsidR="00820D3B" w:rsidRPr="001A3DEA">
        <w:rPr>
          <w:rFonts w:ascii="Palatino Linotype" w:eastAsia="Palatino Linotype" w:hAnsi="Palatino Linotype" w:cs="Palatino Linotype"/>
          <w:i/>
        </w:rPr>
        <w:t>faltantes, derivados</w:t>
      </w:r>
      <w:r w:rsidR="006D3B04" w:rsidRPr="001A3DEA">
        <w:rPr>
          <w:rFonts w:ascii="Palatino Linotype" w:hAnsi="Palatino Linotype" w:cs="Arial"/>
          <w:i/>
          <w:iCs/>
          <w:lang w:val="es-ES_tradnl"/>
        </w:rPr>
        <w:t xml:space="preserve"> de </w:t>
      </w:r>
      <w:r w:rsidR="00820D3B" w:rsidRPr="001A3DEA">
        <w:rPr>
          <w:rFonts w:ascii="Palatino Linotype" w:hAnsi="Palatino Linotype" w:cs="Arial"/>
          <w:i/>
          <w:iCs/>
          <w:lang w:val="es-ES_tradnl"/>
        </w:rPr>
        <w:t xml:space="preserve">la </w:t>
      </w:r>
      <w:r w:rsidR="006D3B04" w:rsidRPr="001A3DEA">
        <w:rPr>
          <w:rFonts w:ascii="Palatino Linotype" w:hAnsi="Palatino Linotype" w:cs="Arial"/>
          <w:i/>
          <w:iCs/>
          <w:lang w:val="es-ES_tradnl"/>
        </w:rPr>
        <w:t xml:space="preserve">adquisición de bienes, realizados con recursos </w:t>
      </w:r>
      <w:r w:rsidR="00820D3B" w:rsidRPr="001A3DEA">
        <w:rPr>
          <w:rFonts w:ascii="Palatino Linotype" w:hAnsi="Palatino Linotype" w:cs="Arial"/>
          <w:i/>
          <w:iCs/>
          <w:lang w:val="es-ES_tradnl"/>
        </w:rPr>
        <w:t>d</w:t>
      </w:r>
      <w:r w:rsidR="006D3B04" w:rsidRPr="001A3DEA">
        <w:rPr>
          <w:rFonts w:ascii="Palatino Linotype" w:hAnsi="Palatino Linotype" w:cs="Arial"/>
          <w:i/>
          <w:iCs/>
          <w:lang w:val="es-ES_tradnl"/>
        </w:rPr>
        <w:t xml:space="preserve">el </w:t>
      </w:r>
      <w:r w:rsidR="006D3B04" w:rsidRPr="001A3DEA">
        <w:rPr>
          <w:rFonts w:ascii="Palatino Linotype" w:eastAsia="Palatino Linotype" w:hAnsi="Palatino Linotype" w:cs="Palatino Linotype"/>
          <w:i/>
        </w:rPr>
        <w:t>Fortalecimiento del desempeño en materia de Seguridad Pública</w:t>
      </w:r>
      <w:r w:rsidR="006D3B04" w:rsidRPr="001A3DEA">
        <w:rPr>
          <w:rFonts w:ascii="Palatino Linotype" w:hAnsi="Palatino Linotype" w:cs="Arial"/>
          <w:i/>
          <w:iCs/>
          <w:lang w:val="es-ES_tradnl"/>
        </w:rPr>
        <w:t xml:space="preserve"> y el Programa de Fortalecimiento para la Seguridad </w:t>
      </w:r>
      <w:r w:rsidR="00D90507" w:rsidRPr="001A3DEA">
        <w:rPr>
          <w:rFonts w:ascii="Palatino Linotype" w:eastAsia="Palatino Linotype" w:hAnsi="Palatino Linotype" w:cs="Palatino Linotype"/>
          <w:i/>
        </w:rPr>
        <w:t>del 1 de enero 2017 al 18 de enero de 2021</w:t>
      </w:r>
      <w:r w:rsidR="00BC3679" w:rsidRPr="001A3DEA">
        <w:rPr>
          <w:rFonts w:ascii="Palatino Linotype" w:hAnsi="Palatino Linotype" w:cs="Arial"/>
          <w:i/>
          <w:iCs/>
          <w:lang w:val="es-ES_tradnl"/>
        </w:rPr>
        <w:t>.</w:t>
      </w:r>
    </w:p>
    <w:p w14:paraId="0800C4CB" w14:textId="77777777" w:rsidR="00BC3679" w:rsidRPr="001A3DEA" w:rsidRDefault="00BC3679" w:rsidP="00820D3B">
      <w:pPr>
        <w:spacing w:line="276" w:lineRule="auto"/>
        <w:ind w:left="709" w:right="902"/>
        <w:jc w:val="both"/>
        <w:rPr>
          <w:rFonts w:ascii="Palatino Linotype" w:hAnsi="Palatino Linotype" w:cs="Arial"/>
          <w:i/>
          <w:iCs/>
          <w:lang w:val="es-ES_tradnl"/>
        </w:rPr>
      </w:pPr>
    </w:p>
    <w:p w14:paraId="72C29381" w14:textId="3F357243" w:rsidR="008F1AAB" w:rsidRPr="001A3DEA" w:rsidRDefault="00D90507" w:rsidP="00820D3B">
      <w:pPr>
        <w:spacing w:line="276" w:lineRule="auto"/>
        <w:ind w:left="709" w:right="902"/>
        <w:jc w:val="both"/>
        <w:rPr>
          <w:rFonts w:ascii="Palatino Linotype" w:eastAsia="Palatino Linotype" w:hAnsi="Palatino Linotype" w:cs="Palatino Linotype"/>
          <w:i/>
        </w:rPr>
      </w:pPr>
      <w:r w:rsidRPr="001A3DEA">
        <w:rPr>
          <w:rFonts w:ascii="Palatino Linotype" w:hAnsi="Palatino Linotype" w:cs="Arial"/>
          <w:i/>
          <w:iCs/>
          <w:lang w:val="es-ES_tradnl"/>
        </w:rPr>
        <w:t>b</w:t>
      </w:r>
      <w:r w:rsidR="00BC3679" w:rsidRPr="001A3DEA">
        <w:rPr>
          <w:rFonts w:ascii="Palatino Linotype" w:hAnsi="Palatino Linotype" w:cs="Arial"/>
          <w:i/>
          <w:iCs/>
          <w:lang w:val="es-ES_tradnl"/>
        </w:rPr>
        <w:t xml:space="preserve">) </w:t>
      </w:r>
      <w:r w:rsidR="00AB49D4" w:rsidRPr="001A3DEA">
        <w:rPr>
          <w:rFonts w:ascii="Palatino Linotype" w:hAnsi="Palatino Linotype" w:cs="Arial"/>
          <w:i/>
          <w:iCs/>
          <w:lang w:val="es-ES_tradnl"/>
        </w:rPr>
        <w:t xml:space="preserve">El documento o documentos donde conste la </w:t>
      </w:r>
      <w:r w:rsidR="00AB49D4" w:rsidRPr="001A3DEA">
        <w:rPr>
          <w:rFonts w:ascii="Palatino Linotype" w:eastAsia="Palatino Linotype" w:hAnsi="Palatino Linotype" w:cs="Palatino Linotype"/>
          <w:i/>
        </w:rPr>
        <w:t xml:space="preserve">información relativa a revisión de bases </w:t>
      </w:r>
      <w:r w:rsidR="008F1AAB" w:rsidRPr="001A3DEA">
        <w:rPr>
          <w:rFonts w:ascii="Palatino Linotype" w:eastAsia="Palatino Linotype" w:hAnsi="Palatino Linotype" w:cs="Palatino Linotype"/>
          <w:i/>
        </w:rPr>
        <w:t xml:space="preserve">y anexos técnicos de los bienes comprados </w:t>
      </w:r>
      <w:r w:rsidR="00AB49D4" w:rsidRPr="001A3DEA">
        <w:rPr>
          <w:rFonts w:ascii="Palatino Linotype" w:eastAsia="Palatino Linotype" w:hAnsi="Palatino Linotype" w:cs="Palatino Linotype"/>
          <w:i/>
        </w:rPr>
        <w:t>que realiz</w:t>
      </w:r>
      <w:r w:rsidR="00D64FF1" w:rsidRPr="001A3DEA">
        <w:rPr>
          <w:rFonts w:ascii="Palatino Linotype" w:eastAsia="Palatino Linotype" w:hAnsi="Palatino Linotype" w:cs="Palatino Linotype"/>
          <w:i/>
        </w:rPr>
        <w:t>ó</w:t>
      </w:r>
      <w:r w:rsidR="00AB49D4" w:rsidRPr="001A3DEA">
        <w:rPr>
          <w:rFonts w:ascii="Palatino Linotype" w:eastAsia="Palatino Linotype" w:hAnsi="Palatino Linotype" w:cs="Palatino Linotype"/>
          <w:i/>
        </w:rPr>
        <w:t xml:space="preserve"> su contraloría interna, </w:t>
      </w:r>
      <w:r w:rsidR="00E906BA" w:rsidRPr="001A3DEA">
        <w:rPr>
          <w:rFonts w:ascii="Palatino Linotype" w:eastAsia="Palatino Linotype" w:hAnsi="Palatino Linotype" w:cs="Palatino Linotype"/>
          <w:i/>
        </w:rPr>
        <w:t>del 1 de enero 2017 al 18 de enero de 2021</w:t>
      </w:r>
      <w:r w:rsidR="008F1AAB" w:rsidRPr="001A3DEA">
        <w:rPr>
          <w:rFonts w:ascii="Palatino Linotype" w:eastAsia="Palatino Linotype" w:hAnsi="Palatino Linotype" w:cs="Palatino Linotype"/>
          <w:i/>
        </w:rPr>
        <w:t>.</w:t>
      </w:r>
    </w:p>
    <w:p w14:paraId="30488EE5" w14:textId="77777777" w:rsidR="008F1AAB" w:rsidRPr="001A3DEA" w:rsidRDefault="008F1AAB" w:rsidP="00820D3B">
      <w:pPr>
        <w:spacing w:line="276" w:lineRule="auto"/>
        <w:ind w:left="709" w:right="902"/>
        <w:jc w:val="both"/>
        <w:rPr>
          <w:rFonts w:ascii="Palatino Linotype" w:eastAsia="Palatino Linotype" w:hAnsi="Palatino Linotype" w:cs="Palatino Linotype"/>
          <w:i/>
        </w:rPr>
      </w:pPr>
    </w:p>
    <w:p w14:paraId="68E5202C" w14:textId="53EDDE6B" w:rsidR="008F1AAB" w:rsidRPr="001A3DEA" w:rsidRDefault="00D90507" w:rsidP="00820D3B">
      <w:pPr>
        <w:spacing w:line="276" w:lineRule="auto"/>
        <w:ind w:left="709" w:right="902"/>
        <w:jc w:val="both"/>
        <w:rPr>
          <w:rFonts w:ascii="Palatino Linotype" w:eastAsia="Palatino Linotype" w:hAnsi="Palatino Linotype" w:cs="Palatino Linotype"/>
          <w:i/>
        </w:rPr>
      </w:pPr>
      <w:r w:rsidRPr="001A3DEA">
        <w:rPr>
          <w:rFonts w:ascii="Palatino Linotype" w:eastAsia="Palatino Linotype" w:hAnsi="Palatino Linotype" w:cs="Palatino Linotype"/>
          <w:i/>
        </w:rPr>
        <w:t>c</w:t>
      </w:r>
      <w:r w:rsidR="008F1AAB" w:rsidRPr="001A3DEA">
        <w:rPr>
          <w:rFonts w:ascii="Palatino Linotype" w:eastAsia="Palatino Linotype" w:hAnsi="Palatino Linotype" w:cs="Palatino Linotype"/>
          <w:i/>
        </w:rPr>
        <w:t xml:space="preserve">) </w:t>
      </w:r>
      <w:r w:rsidR="006545A1" w:rsidRPr="001A3DEA">
        <w:rPr>
          <w:rFonts w:ascii="Palatino Linotype" w:eastAsia="Palatino Linotype" w:hAnsi="Palatino Linotype" w:cs="Palatino Linotype"/>
          <w:i/>
        </w:rPr>
        <w:t>Los reportes</w:t>
      </w:r>
      <w:r w:rsidR="00AB49D4" w:rsidRPr="001A3DEA">
        <w:rPr>
          <w:rFonts w:ascii="Palatino Linotype" w:eastAsia="Palatino Linotype" w:hAnsi="Palatino Linotype" w:cs="Palatino Linotype"/>
          <w:i/>
        </w:rPr>
        <w:t xml:space="preserve"> que hicieron de los gastos erogados al Secretariado Ejecutivo del </w:t>
      </w:r>
      <w:r w:rsidR="00E906BA" w:rsidRPr="001A3DEA">
        <w:rPr>
          <w:rFonts w:ascii="Palatino Linotype" w:eastAsia="Palatino Linotype" w:hAnsi="Palatino Linotype" w:cs="Palatino Linotype"/>
          <w:i/>
        </w:rPr>
        <w:t xml:space="preserve">Sistema Nacional </w:t>
      </w:r>
      <w:r w:rsidR="00AB49D4" w:rsidRPr="001A3DEA">
        <w:rPr>
          <w:rFonts w:ascii="Palatino Linotype" w:eastAsia="Palatino Linotype" w:hAnsi="Palatino Linotype" w:cs="Palatino Linotype"/>
          <w:i/>
        </w:rPr>
        <w:t xml:space="preserve">de Seguridad </w:t>
      </w:r>
      <w:r w:rsidR="00820D3B" w:rsidRPr="001A3DEA">
        <w:rPr>
          <w:rFonts w:ascii="Palatino Linotype" w:eastAsia="Palatino Linotype" w:hAnsi="Palatino Linotype" w:cs="Palatino Linotype"/>
          <w:i/>
        </w:rPr>
        <w:t>P</w:t>
      </w:r>
      <w:r w:rsidR="0062792A" w:rsidRPr="001A3DEA">
        <w:rPr>
          <w:rFonts w:ascii="Palatino Linotype" w:eastAsia="Palatino Linotype" w:hAnsi="Palatino Linotype" w:cs="Palatino Linotype"/>
          <w:i/>
        </w:rPr>
        <w:t>ública</w:t>
      </w:r>
      <w:r w:rsidR="00AB49D4" w:rsidRPr="001A3DEA">
        <w:rPr>
          <w:rFonts w:ascii="Palatino Linotype" w:eastAsia="Palatino Linotype" w:hAnsi="Palatino Linotype" w:cs="Palatino Linotype"/>
          <w:i/>
        </w:rPr>
        <w:t xml:space="preserve"> de los </w:t>
      </w:r>
      <w:r w:rsidR="00820D3B" w:rsidRPr="001A3DEA">
        <w:rPr>
          <w:rFonts w:ascii="Palatino Linotype" w:eastAsia="Palatino Linotype" w:hAnsi="Palatino Linotype" w:cs="Palatino Linotype"/>
          <w:i/>
        </w:rPr>
        <w:t>Recursos Propios</w:t>
      </w:r>
      <w:r w:rsidR="00BC3679" w:rsidRPr="001A3DEA">
        <w:rPr>
          <w:rFonts w:ascii="Palatino Linotype" w:eastAsia="Palatino Linotype" w:hAnsi="Palatino Linotype" w:cs="Palatino Linotype"/>
          <w:i/>
        </w:rPr>
        <w:t>,</w:t>
      </w:r>
      <w:r w:rsidR="008F1AAB" w:rsidRPr="001A3DEA">
        <w:rPr>
          <w:rFonts w:ascii="Palatino Linotype" w:eastAsia="Palatino Linotype" w:hAnsi="Palatino Linotype" w:cs="Palatino Linotype"/>
          <w:i/>
        </w:rPr>
        <w:t xml:space="preserve"> </w:t>
      </w:r>
      <w:r w:rsidR="00E906BA" w:rsidRPr="001A3DEA">
        <w:rPr>
          <w:rFonts w:ascii="Palatino Linotype" w:eastAsia="Palatino Linotype" w:hAnsi="Palatino Linotype" w:cs="Palatino Linotype"/>
          <w:i/>
        </w:rPr>
        <w:t>Fortalecimiento del desempeño en materia de Seguridad Pública</w:t>
      </w:r>
      <w:r w:rsidR="00E906BA" w:rsidRPr="001A3DEA" w:rsidDel="00E906BA">
        <w:rPr>
          <w:rFonts w:ascii="Palatino Linotype" w:eastAsia="Palatino Linotype" w:hAnsi="Palatino Linotype" w:cs="Palatino Linotype"/>
          <w:i/>
        </w:rPr>
        <w:t xml:space="preserve"> </w:t>
      </w:r>
      <w:r w:rsidR="00AB49D4" w:rsidRPr="001A3DEA">
        <w:rPr>
          <w:rFonts w:ascii="Palatino Linotype" w:eastAsia="Palatino Linotype" w:hAnsi="Palatino Linotype" w:cs="Palatino Linotype"/>
          <w:i/>
        </w:rPr>
        <w:t xml:space="preserve">y </w:t>
      </w:r>
      <w:r w:rsidR="00E906BA" w:rsidRPr="001A3DEA">
        <w:rPr>
          <w:rFonts w:ascii="Palatino Linotype" w:eastAsia="Palatino Linotype" w:hAnsi="Palatino Linotype" w:cs="Palatino Linotype"/>
          <w:i/>
        </w:rPr>
        <w:t xml:space="preserve">del Fondo de Aportaciones para la Seguridad Pública </w:t>
      </w:r>
      <w:r w:rsidR="00AB49D4" w:rsidRPr="001A3DEA">
        <w:rPr>
          <w:rFonts w:ascii="Palatino Linotype" w:eastAsia="Palatino Linotype" w:hAnsi="Palatino Linotype" w:cs="Palatino Linotype"/>
          <w:i/>
        </w:rPr>
        <w:t>de</w:t>
      </w:r>
      <w:r w:rsidR="00E906BA" w:rsidRPr="001A3DEA">
        <w:rPr>
          <w:rFonts w:ascii="Palatino Linotype" w:eastAsia="Palatino Linotype" w:hAnsi="Palatino Linotype" w:cs="Palatino Linotype"/>
          <w:i/>
        </w:rPr>
        <w:t>l 1 de enero</w:t>
      </w:r>
      <w:r w:rsidR="00AB49D4" w:rsidRPr="001A3DEA">
        <w:rPr>
          <w:rFonts w:ascii="Palatino Linotype" w:eastAsia="Palatino Linotype" w:hAnsi="Palatino Linotype" w:cs="Palatino Linotype"/>
          <w:i/>
        </w:rPr>
        <w:t xml:space="preserve"> 2017 al 18 de enero de 2021</w:t>
      </w:r>
      <w:r w:rsidR="00820D3B" w:rsidRPr="001A3DEA">
        <w:rPr>
          <w:rFonts w:ascii="Palatino Linotype" w:eastAsia="Palatino Linotype" w:hAnsi="Palatino Linotype" w:cs="Palatino Linotype"/>
          <w:i/>
        </w:rPr>
        <w:t>.</w:t>
      </w:r>
    </w:p>
    <w:p w14:paraId="31DFFC3F" w14:textId="77777777" w:rsidR="008D4372" w:rsidRPr="001A3DEA" w:rsidRDefault="008D4372" w:rsidP="00820D3B">
      <w:pPr>
        <w:spacing w:line="276" w:lineRule="auto"/>
        <w:ind w:left="709" w:right="902"/>
        <w:jc w:val="both"/>
        <w:rPr>
          <w:rFonts w:ascii="Palatino Linotype" w:eastAsia="Palatino Linotype" w:hAnsi="Palatino Linotype" w:cs="Palatino Linotype"/>
          <w:i/>
        </w:rPr>
      </w:pPr>
    </w:p>
    <w:p w14:paraId="798F28C0" w14:textId="504205CF" w:rsidR="008F1AAB" w:rsidRPr="001A3DEA" w:rsidRDefault="00D90507" w:rsidP="00820D3B">
      <w:pPr>
        <w:spacing w:line="276" w:lineRule="auto"/>
        <w:ind w:left="709" w:right="902"/>
        <w:jc w:val="both"/>
        <w:rPr>
          <w:rFonts w:ascii="Palatino Linotype" w:eastAsia="Palatino Linotype" w:hAnsi="Palatino Linotype" w:cs="Palatino Linotype"/>
          <w:i/>
        </w:rPr>
      </w:pPr>
      <w:r w:rsidRPr="001A3DEA">
        <w:rPr>
          <w:rFonts w:ascii="Palatino Linotype" w:eastAsia="Palatino Linotype" w:hAnsi="Palatino Linotype" w:cs="Palatino Linotype"/>
          <w:i/>
        </w:rPr>
        <w:t>d</w:t>
      </w:r>
      <w:r w:rsidR="008F1AAB" w:rsidRPr="001A3DEA">
        <w:rPr>
          <w:rFonts w:ascii="Palatino Linotype" w:eastAsia="Palatino Linotype" w:hAnsi="Palatino Linotype" w:cs="Palatino Linotype"/>
          <w:i/>
        </w:rPr>
        <w:t xml:space="preserve">) Las </w:t>
      </w:r>
      <w:r w:rsidR="00AB49D4" w:rsidRPr="001A3DEA">
        <w:rPr>
          <w:rFonts w:ascii="Palatino Linotype" w:eastAsia="Palatino Linotype" w:hAnsi="Palatino Linotype" w:cs="Palatino Linotype"/>
          <w:i/>
        </w:rPr>
        <w:t xml:space="preserve">auditorías </w:t>
      </w:r>
      <w:r w:rsidR="00820D3B" w:rsidRPr="001A3DEA">
        <w:rPr>
          <w:rFonts w:ascii="Palatino Linotype" w:eastAsia="Palatino Linotype" w:hAnsi="Palatino Linotype" w:cs="Palatino Linotype"/>
          <w:i/>
        </w:rPr>
        <w:t xml:space="preserve">concluidas </w:t>
      </w:r>
      <w:r w:rsidR="00AB49D4" w:rsidRPr="001A3DEA">
        <w:rPr>
          <w:rFonts w:ascii="Palatino Linotype" w:eastAsia="Palatino Linotype" w:hAnsi="Palatino Linotype" w:cs="Palatino Linotype"/>
          <w:i/>
        </w:rPr>
        <w:t>practicadas</w:t>
      </w:r>
      <w:r w:rsidR="005975B7" w:rsidRPr="001A3DEA">
        <w:rPr>
          <w:rFonts w:ascii="Palatino Linotype" w:eastAsia="Palatino Linotype" w:hAnsi="Palatino Linotype" w:cs="Palatino Linotype"/>
          <w:i/>
        </w:rPr>
        <w:t xml:space="preserve"> </w:t>
      </w:r>
      <w:r w:rsidR="00AB49D4" w:rsidRPr="001A3DEA">
        <w:rPr>
          <w:rFonts w:ascii="Palatino Linotype" w:eastAsia="Palatino Linotype" w:hAnsi="Palatino Linotype" w:cs="Palatino Linotype"/>
          <w:i/>
        </w:rPr>
        <w:t xml:space="preserve">a los bienes </w:t>
      </w:r>
      <w:r w:rsidR="00820D3B" w:rsidRPr="001A3DEA">
        <w:rPr>
          <w:rFonts w:ascii="Palatino Linotype" w:eastAsia="Palatino Linotype" w:hAnsi="Palatino Linotype" w:cs="Palatino Linotype"/>
          <w:i/>
        </w:rPr>
        <w:t>adquiridos en materia de</w:t>
      </w:r>
      <w:r w:rsidR="00AB49D4" w:rsidRPr="001A3DEA">
        <w:rPr>
          <w:rFonts w:ascii="Palatino Linotype" w:eastAsia="Palatino Linotype" w:hAnsi="Palatino Linotype" w:cs="Palatino Linotype"/>
          <w:i/>
        </w:rPr>
        <w:t xml:space="preserve"> seguridad, patrullas, moto patrullas, cámaras con poste y botón de pánico, </w:t>
      </w:r>
      <w:r w:rsidR="00E906BA" w:rsidRPr="001A3DEA">
        <w:rPr>
          <w:rFonts w:ascii="Palatino Linotype" w:eastAsia="Palatino Linotype" w:hAnsi="Palatino Linotype" w:cs="Palatino Linotype"/>
          <w:i/>
        </w:rPr>
        <w:t>del 1 de en</w:t>
      </w:r>
      <w:r w:rsidR="00820D3B" w:rsidRPr="001A3DEA">
        <w:rPr>
          <w:rFonts w:ascii="Palatino Linotype" w:eastAsia="Palatino Linotype" w:hAnsi="Palatino Linotype" w:cs="Palatino Linotype"/>
          <w:i/>
        </w:rPr>
        <w:t xml:space="preserve">ero 2017 al 18 de enero de 2021. </w:t>
      </w:r>
    </w:p>
    <w:p w14:paraId="65C38826" w14:textId="77777777" w:rsidR="00820D3B" w:rsidRPr="001A3DEA" w:rsidRDefault="00820D3B" w:rsidP="00820D3B">
      <w:pPr>
        <w:spacing w:line="276" w:lineRule="auto"/>
        <w:ind w:left="709" w:right="902"/>
        <w:jc w:val="both"/>
        <w:rPr>
          <w:rFonts w:ascii="Palatino Linotype" w:eastAsia="Palatino Linotype" w:hAnsi="Palatino Linotype" w:cs="Palatino Linotype"/>
          <w:i/>
        </w:rPr>
      </w:pPr>
    </w:p>
    <w:p w14:paraId="59D80B9A" w14:textId="2C49A848" w:rsidR="00820D3B" w:rsidRPr="001A3DEA" w:rsidRDefault="00820D3B" w:rsidP="00820D3B">
      <w:pPr>
        <w:spacing w:line="276" w:lineRule="auto"/>
        <w:ind w:left="709" w:right="902"/>
        <w:jc w:val="both"/>
        <w:rPr>
          <w:rFonts w:ascii="Palatino Linotype" w:eastAsia="Palatino Linotype" w:hAnsi="Palatino Linotype" w:cs="Palatino Linotype"/>
          <w:i/>
        </w:rPr>
      </w:pPr>
      <w:r w:rsidRPr="001A3DEA">
        <w:rPr>
          <w:rFonts w:ascii="Palatino Linotype" w:eastAsia="Palatino Linotype" w:hAnsi="Palatino Linotype" w:cs="Palatino Linotype"/>
          <w:i/>
        </w:rPr>
        <w:t>Para aquellas auditorías que se encuentren en trámite, deberá hacer la Clasificación de la información como reservada en términos de los ordinales 129 y 140 de la Ley de Transparencia y Acceso a la Información Pública del Estado de México y Municipios.</w:t>
      </w:r>
    </w:p>
    <w:p w14:paraId="258CEE1A" w14:textId="77777777" w:rsidR="00820D3B" w:rsidRPr="001A3DEA" w:rsidRDefault="00820D3B" w:rsidP="00820D3B">
      <w:pPr>
        <w:spacing w:line="276" w:lineRule="auto"/>
        <w:ind w:left="709" w:right="902"/>
        <w:jc w:val="both"/>
        <w:rPr>
          <w:rFonts w:ascii="Palatino Linotype" w:eastAsia="Palatino Linotype" w:hAnsi="Palatino Linotype" w:cs="Palatino Linotype"/>
          <w:i/>
        </w:rPr>
      </w:pPr>
    </w:p>
    <w:p w14:paraId="7F7535A0" w14:textId="7570BC62" w:rsidR="00E906BA" w:rsidRPr="001A3DEA" w:rsidRDefault="00D90507" w:rsidP="00820D3B">
      <w:pPr>
        <w:spacing w:line="276" w:lineRule="auto"/>
        <w:ind w:left="709" w:right="902"/>
        <w:jc w:val="both"/>
        <w:rPr>
          <w:rFonts w:ascii="Palatino Linotype" w:eastAsia="Palatino Linotype" w:hAnsi="Palatino Linotype" w:cs="Palatino Linotype"/>
          <w:i/>
        </w:rPr>
      </w:pPr>
      <w:r w:rsidRPr="001A3DEA">
        <w:rPr>
          <w:rFonts w:ascii="Palatino Linotype" w:eastAsia="Palatino Linotype" w:hAnsi="Palatino Linotype" w:cs="Palatino Linotype"/>
          <w:i/>
        </w:rPr>
        <w:t>e</w:t>
      </w:r>
      <w:r w:rsidR="008F1AAB" w:rsidRPr="001A3DEA">
        <w:rPr>
          <w:rFonts w:ascii="Palatino Linotype" w:eastAsia="Palatino Linotype" w:hAnsi="Palatino Linotype" w:cs="Palatino Linotype"/>
          <w:i/>
        </w:rPr>
        <w:t xml:space="preserve">) Los </w:t>
      </w:r>
      <w:r w:rsidR="00AB49D4" w:rsidRPr="001A3DEA">
        <w:rPr>
          <w:rFonts w:ascii="Palatino Linotype" w:eastAsia="Palatino Linotype" w:hAnsi="Palatino Linotype" w:cs="Palatino Linotype"/>
          <w:i/>
        </w:rPr>
        <w:t xml:space="preserve">lineamientos </w:t>
      </w:r>
      <w:r w:rsidR="00E906BA" w:rsidRPr="001A3DEA">
        <w:rPr>
          <w:rFonts w:ascii="Palatino Linotype" w:eastAsia="Palatino Linotype" w:hAnsi="Palatino Linotype" w:cs="Palatino Linotype"/>
          <w:i/>
        </w:rPr>
        <w:t xml:space="preserve">del Fondo de Aportaciones para la Seguridad Pública </w:t>
      </w:r>
      <w:r w:rsidR="00AB49D4" w:rsidRPr="001A3DEA">
        <w:rPr>
          <w:rFonts w:ascii="Palatino Linotype" w:eastAsia="Palatino Linotype" w:hAnsi="Palatino Linotype" w:cs="Palatino Linotype"/>
          <w:i/>
        </w:rPr>
        <w:t>que aplicaron en cada caso con</w:t>
      </w:r>
      <w:r w:rsidR="006D3B04" w:rsidRPr="001A3DEA">
        <w:rPr>
          <w:rFonts w:ascii="Palatino Linotype" w:eastAsia="Palatino Linotype" w:hAnsi="Palatino Linotype" w:cs="Palatino Linotype"/>
          <w:i/>
        </w:rPr>
        <w:t>,</w:t>
      </w:r>
      <w:r w:rsidR="00AB49D4" w:rsidRPr="001A3DEA">
        <w:rPr>
          <w:rFonts w:ascii="Palatino Linotype" w:eastAsia="Palatino Linotype" w:hAnsi="Palatino Linotype" w:cs="Palatino Linotype"/>
          <w:i/>
        </w:rPr>
        <w:t xml:space="preserve"> sus documentos técnicos,</w:t>
      </w:r>
      <w:r w:rsidR="00D26802" w:rsidRPr="001A3DEA">
        <w:rPr>
          <w:rFonts w:ascii="Palatino Linotype" w:eastAsia="Palatino Linotype" w:hAnsi="Palatino Linotype" w:cs="Palatino Linotype"/>
          <w:i/>
        </w:rPr>
        <w:t xml:space="preserve"> vigentes</w:t>
      </w:r>
      <w:r w:rsidR="00AB49D4" w:rsidRPr="001A3DEA">
        <w:rPr>
          <w:rFonts w:ascii="Palatino Linotype" w:eastAsia="Palatino Linotype" w:hAnsi="Palatino Linotype" w:cs="Palatino Linotype"/>
          <w:i/>
        </w:rPr>
        <w:t xml:space="preserve"> </w:t>
      </w:r>
      <w:r w:rsidR="00820D3B" w:rsidRPr="001A3DEA">
        <w:rPr>
          <w:rFonts w:ascii="Palatino Linotype" w:eastAsia="Palatino Linotype" w:hAnsi="Palatino Linotype" w:cs="Palatino Linotype"/>
          <w:i/>
        </w:rPr>
        <w:t>al 18 de enero de 2021.</w:t>
      </w:r>
    </w:p>
    <w:p w14:paraId="7C4539EA" w14:textId="77777777" w:rsidR="00E906BA" w:rsidRPr="001A3DEA" w:rsidRDefault="00E906BA" w:rsidP="00820D3B">
      <w:pPr>
        <w:spacing w:line="276" w:lineRule="auto"/>
        <w:ind w:left="709" w:right="902"/>
        <w:jc w:val="both"/>
        <w:rPr>
          <w:rFonts w:ascii="Palatino Linotype" w:eastAsia="Palatino Linotype" w:hAnsi="Palatino Linotype" w:cs="Palatino Linotype"/>
          <w:i/>
        </w:rPr>
      </w:pPr>
    </w:p>
    <w:p w14:paraId="0C7D3A20" w14:textId="6F2E7FB2" w:rsidR="00E906BA" w:rsidRPr="001A3DEA" w:rsidRDefault="00D90507" w:rsidP="00820D3B">
      <w:pPr>
        <w:spacing w:line="276" w:lineRule="auto"/>
        <w:ind w:left="709" w:right="902"/>
        <w:jc w:val="both"/>
        <w:rPr>
          <w:rFonts w:ascii="Palatino Linotype" w:eastAsia="Palatino Linotype" w:hAnsi="Palatino Linotype" w:cs="Palatino Linotype"/>
          <w:i/>
        </w:rPr>
      </w:pPr>
      <w:r w:rsidRPr="001A3DEA">
        <w:rPr>
          <w:rFonts w:ascii="Palatino Linotype" w:eastAsia="Palatino Linotype" w:hAnsi="Palatino Linotype" w:cs="Palatino Linotype"/>
          <w:i/>
        </w:rPr>
        <w:t>f</w:t>
      </w:r>
      <w:r w:rsidR="00E906BA" w:rsidRPr="001A3DEA">
        <w:rPr>
          <w:rFonts w:ascii="Palatino Linotype" w:eastAsia="Palatino Linotype" w:hAnsi="Palatino Linotype" w:cs="Palatino Linotype"/>
          <w:i/>
        </w:rPr>
        <w:t xml:space="preserve">) </w:t>
      </w:r>
      <w:r w:rsidR="00832409" w:rsidRPr="001A3DEA">
        <w:rPr>
          <w:rFonts w:ascii="Palatino Linotype" w:eastAsia="Palatino Linotype" w:hAnsi="Palatino Linotype" w:cs="Palatino Linotype"/>
          <w:i/>
        </w:rPr>
        <w:t>El nombre de l</w:t>
      </w:r>
      <w:r w:rsidR="00E906BA" w:rsidRPr="001A3DEA">
        <w:rPr>
          <w:rFonts w:ascii="Palatino Linotype" w:eastAsia="Palatino Linotype" w:hAnsi="Palatino Linotype" w:cs="Palatino Linotype"/>
          <w:i/>
        </w:rPr>
        <w:t xml:space="preserve">a </w:t>
      </w:r>
      <w:r w:rsidR="00820D3B" w:rsidRPr="001A3DEA">
        <w:rPr>
          <w:rFonts w:ascii="Palatino Linotype" w:eastAsia="Palatino Linotype" w:hAnsi="Palatino Linotype" w:cs="Palatino Linotype"/>
          <w:i/>
        </w:rPr>
        <w:t>empresa a la que se le rentaron</w:t>
      </w:r>
      <w:r w:rsidR="00AB49D4" w:rsidRPr="001A3DEA">
        <w:rPr>
          <w:rFonts w:ascii="Palatino Linotype" w:eastAsia="Palatino Linotype" w:hAnsi="Palatino Linotype" w:cs="Palatino Linotype"/>
          <w:i/>
        </w:rPr>
        <w:t xml:space="preserve"> la</w:t>
      </w:r>
      <w:r w:rsidR="00820D3B" w:rsidRPr="001A3DEA">
        <w:rPr>
          <w:rFonts w:ascii="Palatino Linotype" w:eastAsia="Palatino Linotype" w:hAnsi="Palatino Linotype" w:cs="Palatino Linotype"/>
          <w:i/>
        </w:rPr>
        <w:t>s</w:t>
      </w:r>
      <w:r w:rsidR="00AB49D4" w:rsidRPr="001A3DEA">
        <w:rPr>
          <w:rFonts w:ascii="Palatino Linotype" w:eastAsia="Palatino Linotype" w:hAnsi="Palatino Linotype" w:cs="Palatino Linotype"/>
          <w:i/>
        </w:rPr>
        <w:t xml:space="preserve"> patrulla</w:t>
      </w:r>
      <w:r w:rsidR="00820D3B" w:rsidRPr="001A3DEA">
        <w:rPr>
          <w:rFonts w:ascii="Palatino Linotype" w:eastAsia="Palatino Linotype" w:hAnsi="Palatino Linotype" w:cs="Palatino Linotype"/>
          <w:i/>
        </w:rPr>
        <w:t>s</w:t>
      </w:r>
      <w:r w:rsidR="00AB49D4" w:rsidRPr="001A3DEA">
        <w:rPr>
          <w:rFonts w:ascii="Palatino Linotype" w:eastAsia="Palatino Linotype" w:hAnsi="Palatino Linotype" w:cs="Palatino Linotype"/>
          <w:i/>
        </w:rPr>
        <w:t xml:space="preserve"> y el equipo policial o cámara</w:t>
      </w:r>
      <w:r w:rsidR="00832409" w:rsidRPr="001A3DEA">
        <w:rPr>
          <w:rFonts w:ascii="Palatino Linotype" w:eastAsia="Palatino Linotype" w:hAnsi="Palatino Linotype" w:cs="Palatino Linotype"/>
          <w:i/>
        </w:rPr>
        <w:t>s</w:t>
      </w:r>
      <w:r w:rsidR="00E906BA" w:rsidRPr="001A3DEA">
        <w:rPr>
          <w:rFonts w:ascii="Palatino Linotype" w:eastAsia="Palatino Linotype" w:hAnsi="Palatino Linotype" w:cs="Palatino Linotype"/>
          <w:i/>
        </w:rPr>
        <w:t xml:space="preserve"> del 1 de en</w:t>
      </w:r>
      <w:r w:rsidR="00820D3B" w:rsidRPr="001A3DEA">
        <w:rPr>
          <w:rFonts w:ascii="Palatino Linotype" w:eastAsia="Palatino Linotype" w:hAnsi="Palatino Linotype" w:cs="Palatino Linotype"/>
          <w:i/>
        </w:rPr>
        <w:t>ero 2017 al 18 de enero de 2021.</w:t>
      </w:r>
    </w:p>
    <w:p w14:paraId="3CF1856C" w14:textId="77777777" w:rsidR="00E906BA" w:rsidRPr="001A3DEA" w:rsidRDefault="00E906BA" w:rsidP="00820D3B">
      <w:pPr>
        <w:spacing w:line="276" w:lineRule="auto"/>
        <w:ind w:left="709" w:right="902"/>
        <w:jc w:val="both"/>
        <w:rPr>
          <w:rFonts w:ascii="Palatino Linotype" w:eastAsia="Palatino Linotype" w:hAnsi="Palatino Linotype" w:cs="Palatino Linotype"/>
          <w:i/>
        </w:rPr>
      </w:pPr>
    </w:p>
    <w:p w14:paraId="2F1CD046" w14:textId="4B860D7E" w:rsidR="008F1AAB" w:rsidRPr="001A3DEA" w:rsidRDefault="00D90507" w:rsidP="00820D3B">
      <w:pPr>
        <w:spacing w:line="276" w:lineRule="auto"/>
        <w:ind w:left="709" w:right="902"/>
        <w:jc w:val="both"/>
        <w:rPr>
          <w:rFonts w:ascii="Palatino Linotype" w:eastAsia="Palatino Linotype" w:hAnsi="Palatino Linotype" w:cs="Palatino Linotype"/>
          <w:i/>
        </w:rPr>
      </w:pPr>
      <w:r w:rsidRPr="001A3DEA">
        <w:rPr>
          <w:rFonts w:ascii="Palatino Linotype" w:eastAsia="Palatino Linotype" w:hAnsi="Palatino Linotype" w:cs="Palatino Linotype"/>
          <w:i/>
        </w:rPr>
        <w:t>g</w:t>
      </w:r>
      <w:r w:rsidR="00E906BA" w:rsidRPr="001A3DEA">
        <w:rPr>
          <w:rFonts w:ascii="Palatino Linotype" w:eastAsia="Palatino Linotype" w:hAnsi="Palatino Linotype" w:cs="Palatino Linotype"/>
          <w:i/>
        </w:rPr>
        <w:t>) El documento donde conste el número</w:t>
      </w:r>
      <w:r w:rsidR="00AB49D4" w:rsidRPr="001A3DEA">
        <w:rPr>
          <w:rFonts w:ascii="Palatino Linotype" w:eastAsia="Palatino Linotype" w:hAnsi="Palatino Linotype" w:cs="Palatino Linotype"/>
          <w:i/>
        </w:rPr>
        <w:t xml:space="preserve"> de cámaras instaladas en </w:t>
      </w:r>
      <w:r w:rsidR="00832409" w:rsidRPr="001A3DEA">
        <w:rPr>
          <w:rFonts w:ascii="Palatino Linotype" w:eastAsia="Palatino Linotype" w:hAnsi="Palatino Linotype" w:cs="Palatino Linotype"/>
          <w:i/>
        </w:rPr>
        <w:t>e</w:t>
      </w:r>
      <w:r w:rsidR="00AB49D4" w:rsidRPr="001A3DEA">
        <w:rPr>
          <w:rFonts w:ascii="Palatino Linotype" w:eastAsia="Palatino Linotype" w:hAnsi="Palatino Linotype" w:cs="Palatino Linotype"/>
          <w:i/>
        </w:rPr>
        <w:t xml:space="preserve">l </w:t>
      </w:r>
      <w:r w:rsidR="006D3B04" w:rsidRPr="001A3DEA">
        <w:rPr>
          <w:rFonts w:ascii="Palatino Linotype" w:eastAsia="Palatino Linotype" w:hAnsi="Palatino Linotype" w:cs="Palatino Linotype"/>
          <w:i/>
        </w:rPr>
        <w:t>Ayuntamiento de Naucalpan de Juárez</w:t>
      </w:r>
      <w:r w:rsidR="00E906BA" w:rsidRPr="001A3DEA">
        <w:rPr>
          <w:rFonts w:ascii="Palatino Linotype" w:eastAsia="Palatino Linotype" w:hAnsi="Palatino Linotype" w:cs="Palatino Linotype"/>
          <w:i/>
        </w:rPr>
        <w:t xml:space="preserve"> al 18 de enero d</w:t>
      </w:r>
      <w:r w:rsidR="00820D3B" w:rsidRPr="001A3DEA">
        <w:rPr>
          <w:rFonts w:ascii="Palatino Linotype" w:eastAsia="Palatino Linotype" w:hAnsi="Palatino Linotype" w:cs="Palatino Linotype"/>
          <w:i/>
        </w:rPr>
        <w:t>e 2021.</w:t>
      </w:r>
    </w:p>
    <w:p w14:paraId="7D96CAC0" w14:textId="77777777" w:rsidR="00E906BA" w:rsidRPr="001A3DEA" w:rsidRDefault="00E906BA" w:rsidP="00820D3B">
      <w:pPr>
        <w:spacing w:line="276" w:lineRule="auto"/>
        <w:ind w:left="709" w:right="902"/>
        <w:jc w:val="both"/>
        <w:rPr>
          <w:rFonts w:ascii="Palatino Linotype" w:eastAsia="Palatino Linotype" w:hAnsi="Palatino Linotype" w:cs="Palatino Linotype"/>
          <w:i/>
        </w:rPr>
      </w:pPr>
    </w:p>
    <w:p w14:paraId="20E691FA" w14:textId="1A043B0D" w:rsidR="00AF0FAB" w:rsidRPr="001A3DEA" w:rsidRDefault="00D90507" w:rsidP="00820D3B">
      <w:pPr>
        <w:spacing w:line="276" w:lineRule="auto"/>
        <w:ind w:left="709" w:right="902"/>
        <w:jc w:val="both"/>
        <w:rPr>
          <w:rFonts w:ascii="Palatino Linotype" w:eastAsia="Palatino Linotype" w:hAnsi="Palatino Linotype" w:cs="Palatino Linotype"/>
          <w:i/>
        </w:rPr>
      </w:pPr>
      <w:r w:rsidRPr="001A3DEA">
        <w:rPr>
          <w:rFonts w:ascii="Palatino Linotype" w:eastAsia="Palatino Linotype" w:hAnsi="Palatino Linotype" w:cs="Palatino Linotype"/>
          <w:i/>
        </w:rPr>
        <w:t>h</w:t>
      </w:r>
      <w:r w:rsidR="008F1AAB" w:rsidRPr="001A3DEA">
        <w:rPr>
          <w:rFonts w:ascii="Palatino Linotype" w:eastAsia="Palatino Linotype" w:hAnsi="Palatino Linotype" w:cs="Palatino Linotype"/>
          <w:i/>
        </w:rPr>
        <w:t xml:space="preserve">) Los </w:t>
      </w:r>
      <w:r w:rsidR="00AB49D4" w:rsidRPr="001A3DEA">
        <w:rPr>
          <w:rFonts w:ascii="Palatino Linotype" w:eastAsia="Palatino Linotype" w:hAnsi="Palatino Linotype" w:cs="Palatino Linotype"/>
          <w:i/>
        </w:rPr>
        <w:t>costo</w:t>
      </w:r>
      <w:r w:rsidR="00BC3679" w:rsidRPr="001A3DEA">
        <w:rPr>
          <w:rFonts w:ascii="Palatino Linotype" w:eastAsia="Palatino Linotype" w:hAnsi="Palatino Linotype" w:cs="Palatino Linotype"/>
          <w:i/>
        </w:rPr>
        <w:t>s</w:t>
      </w:r>
      <w:r w:rsidR="00AB49D4" w:rsidRPr="001A3DEA">
        <w:rPr>
          <w:rFonts w:ascii="Palatino Linotype" w:eastAsia="Palatino Linotype" w:hAnsi="Palatino Linotype" w:cs="Palatino Linotype"/>
          <w:i/>
        </w:rPr>
        <w:t xml:space="preserve"> de su C5 o similar, con su contrato y equipamiento.</w:t>
      </w:r>
      <w:r w:rsidR="00AF0FAB" w:rsidRPr="001A3DEA">
        <w:rPr>
          <w:rFonts w:ascii="Palatino Linotype" w:eastAsia="Palatino Linotype" w:hAnsi="Palatino Linotype" w:cs="Palatino Linotype"/>
          <w:i/>
        </w:rPr>
        <w:t xml:space="preserve"> </w:t>
      </w:r>
    </w:p>
    <w:p w14:paraId="5180348F" w14:textId="77777777" w:rsidR="00AF0FAB" w:rsidRPr="001A3DEA" w:rsidRDefault="00AF0FAB" w:rsidP="00820D3B">
      <w:pPr>
        <w:spacing w:line="276" w:lineRule="auto"/>
        <w:ind w:left="709" w:right="902"/>
        <w:jc w:val="both"/>
        <w:rPr>
          <w:rFonts w:ascii="Palatino Linotype" w:eastAsia="Palatino Linotype" w:hAnsi="Palatino Linotype" w:cs="Palatino Linotype"/>
          <w:i/>
        </w:rPr>
      </w:pPr>
    </w:p>
    <w:p w14:paraId="267D52DF" w14:textId="77777777" w:rsidR="00D90507" w:rsidRPr="001A3DEA" w:rsidRDefault="00AF0FAB" w:rsidP="00820D3B">
      <w:pPr>
        <w:spacing w:line="276" w:lineRule="auto"/>
        <w:ind w:left="709" w:right="902"/>
        <w:jc w:val="both"/>
        <w:rPr>
          <w:rFonts w:ascii="Palatino Linotype" w:eastAsia="Palatino Linotype" w:hAnsi="Palatino Linotype" w:cs="Palatino Linotype"/>
          <w:i/>
        </w:rPr>
      </w:pPr>
      <w:r w:rsidRPr="001A3DEA">
        <w:rPr>
          <w:rFonts w:ascii="Palatino Linotype" w:eastAsia="Palatino Linotype" w:hAnsi="Palatino Linotype" w:cs="Palatino Linotype"/>
          <w:i/>
        </w:rPr>
        <w:t xml:space="preserve">Debiendo notificar al </w:t>
      </w:r>
      <w:r w:rsidRPr="001A3DEA">
        <w:rPr>
          <w:rFonts w:ascii="Palatino Linotype" w:eastAsia="Palatino Linotype" w:hAnsi="Palatino Linotype" w:cs="Palatino Linotype"/>
          <w:b/>
          <w:i/>
        </w:rPr>
        <w:t>RECURRENTE</w:t>
      </w:r>
      <w:r w:rsidRPr="001A3DEA">
        <w:rPr>
          <w:rFonts w:ascii="Palatino Linotype" w:eastAsia="Palatino Linotype" w:hAnsi="Palatino Linotype" w:cs="Palatino Linotype"/>
          <w:i/>
        </w:rPr>
        <w:t xml:space="preserve"> el Acuerdo de Clasificación de la información que emita en su caso el Comité de Transparencia con motivo de la versión pública.</w:t>
      </w:r>
    </w:p>
    <w:p w14:paraId="7470F038" w14:textId="77777777" w:rsidR="00D90507" w:rsidRPr="001A3DEA" w:rsidRDefault="00D90507" w:rsidP="008F1AAB">
      <w:pPr>
        <w:spacing w:line="276" w:lineRule="auto"/>
        <w:ind w:left="851" w:right="902"/>
        <w:jc w:val="both"/>
        <w:rPr>
          <w:rFonts w:ascii="Palatino Linotype" w:eastAsia="Palatino Linotype" w:hAnsi="Palatino Linotype" w:cs="Palatino Linotype"/>
          <w:i/>
        </w:rPr>
      </w:pPr>
    </w:p>
    <w:p w14:paraId="6CFBD6CA" w14:textId="260A30F5" w:rsidR="0070656A" w:rsidRPr="001A3DEA" w:rsidRDefault="0070656A" w:rsidP="0070656A">
      <w:pPr>
        <w:spacing w:line="360" w:lineRule="auto"/>
        <w:jc w:val="both"/>
        <w:rPr>
          <w:rFonts w:ascii="Palatino Linotype" w:eastAsiaTheme="minorEastAsia" w:hAnsi="Palatino Linotype" w:cstheme="minorBidi"/>
          <w:color w:val="222222"/>
          <w:shd w:val="clear" w:color="auto" w:fill="FFFFFF"/>
          <w:lang w:val="es-ES_tradnl"/>
        </w:rPr>
      </w:pPr>
      <w:r w:rsidRPr="001A3DEA">
        <w:rPr>
          <w:rFonts w:ascii="Palatino Linotype" w:eastAsiaTheme="minorEastAsia" w:hAnsi="Palatino Linotype" w:cstheme="minorBidi"/>
          <w:b/>
          <w:color w:val="222222"/>
          <w:sz w:val="28"/>
          <w:shd w:val="clear" w:color="auto" w:fill="FFFFFF"/>
          <w:lang w:val="es-ES_tradnl"/>
        </w:rPr>
        <w:t>TERCERO</w:t>
      </w:r>
      <w:r w:rsidRPr="001A3DEA">
        <w:rPr>
          <w:rFonts w:ascii="Palatino Linotype" w:eastAsiaTheme="minorEastAsia" w:hAnsi="Palatino Linotype" w:cstheme="minorBidi"/>
          <w:b/>
          <w:color w:val="222222"/>
          <w:sz w:val="28"/>
          <w:szCs w:val="28"/>
          <w:shd w:val="clear" w:color="auto" w:fill="FFFFFF"/>
          <w:lang w:val="es-ES_tradnl"/>
        </w:rPr>
        <w:t>.</w:t>
      </w:r>
      <w:r w:rsidRPr="001A3DEA">
        <w:rPr>
          <w:rFonts w:ascii="Palatino Linotype" w:eastAsiaTheme="minorEastAsia" w:hAnsi="Palatino Linotype" w:cstheme="minorBidi"/>
          <w:b/>
          <w:color w:val="222222"/>
          <w:sz w:val="20"/>
          <w:szCs w:val="20"/>
          <w:shd w:val="clear" w:color="auto" w:fill="FFFFFF"/>
          <w:lang w:val="es-ES_tradnl"/>
        </w:rPr>
        <w:t> </w:t>
      </w:r>
      <w:r w:rsidRPr="001A3DEA">
        <w:rPr>
          <w:rFonts w:ascii="Palatino Linotype" w:eastAsiaTheme="minorEastAsia" w:hAnsi="Palatino Linotype" w:cstheme="minorBidi"/>
          <w:b/>
          <w:color w:val="222222"/>
          <w:lang w:val="es-ES_tradnl" w:eastAsia="es-ES_tradnl"/>
        </w:rPr>
        <w:t>Notifíquese</w:t>
      </w:r>
      <w:r w:rsidRPr="001A3DEA">
        <w:rPr>
          <w:rFonts w:ascii="Palatino Linotype" w:eastAsiaTheme="minorEastAsia" w:hAnsi="Palatino Linotype" w:cstheme="minorBidi"/>
          <w:color w:val="222222"/>
          <w:lang w:val="es-ES_tradnl" w:eastAsia="es-ES_tradnl"/>
        </w:rPr>
        <w:t xml:space="preserve"> </w:t>
      </w:r>
      <w:r w:rsidRPr="001A3DEA">
        <w:rPr>
          <w:rFonts w:ascii="Palatino Linotype" w:eastAsiaTheme="minorEastAsia" w:hAnsi="Palatino Linotype" w:cstheme="minorBidi"/>
          <w:color w:val="222222"/>
          <w:shd w:val="clear" w:color="auto" w:fill="FFFFFF"/>
          <w:lang w:val="es-ES_tradnl"/>
        </w:rPr>
        <w:t>al Titular de la Unidad de Transparencia del</w:t>
      </w:r>
      <w:r w:rsidRPr="001A3DEA">
        <w:rPr>
          <w:rFonts w:ascii="Palatino Linotype" w:eastAsiaTheme="minorEastAsia" w:hAnsi="Palatino Linotype" w:cstheme="minorBidi"/>
          <w:b/>
          <w:color w:val="222222"/>
          <w:shd w:val="clear" w:color="auto" w:fill="FFFFFF"/>
          <w:lang w:val="es-ES_tradnl"/>
        </w:rPr>
        <w:t> SUJETO OBLIGADO</w:t>
      </w:r>
      <w:r w:rsidRPr="001A3DEA">
        <w:rPr>
          <w:rFonts w:ascii="Palatino Linotype" w:eastAsiaTheme="minorEastAsia" w:hAnsi="Palatino Linotype" w:cstheme="minorBidi"/>
          <w:color w:val="222222"/>
          <w:shd w:val="clear" w:color="auto" w:fill="FFFFFF"/>
          <w:lang w:val="es-ES_tradnl"/>
        </w:rPr>
        <w:t xml:space="preserve">, para que conforme a los artículos 186, último párrafo y 189, párrafo segundo de la Ley de </w:t>
      </w:r>
      <w:r w:rsidRPr="001A3DEA">
        <w:rPr>
          <w:rFonts w:ascii="Palatino Linotype" w:eastAsiaTheme="minorEastAsia" w:hAnsi="Palatino Linotype" w:cs="Arial"/>
          <w:lang w:val="es-ES_tradnl"/>
        </w:rPr>
        <w:t>Transparencia</w:t>
      </w:r>
      <w:r w:rsidRPr="001A3DEA">
        <w:rPr>
          <w:rFonts w:ascii="Palatino Linotype" w:eastAsiaTheme="minorEastAsia" w:hAnsi="Palatino Linotype" w:cstheme="minorBidi"/>
          <w:color w:val="222222"/>
          <w:shd w:val="clear" w:color="auto" w:fill="FFFFFF"/>
          <w:lang w:val="es-ES_tradnl"/>
        </w:rPr>
        <w:t xml:space="preserve"> y Acceso a la Información Pública del Estado de México y Municipios, dé </w:t>
      </w:r>
      <w:r w:rsidRPr="001A3DEA">
        <w:rPr>
          <w:rFonts w:ascii="Palatino Linotype" w:eastAsiaTheme="minorEastAsia" w:hAnsi="Palatino Linotype" w:cs="Arial"/>
          <w:lang w:val="es-ES_tradnl"/>
        </w:rPr>
        <w:t>cumplimiento</w:t>
      </w:r>
      <w:r w:rsidRPr="001A3DEA">
        <w:rPr>
          <w:rFonts w:ascii="Palatino Linotype" w:eastAsiaTheme="minorEastAsia" w:hAnsi="Palatino Linotype" w:cstheme="minorBidi"/>
          <w:color w:val="222222"/>
          <w:shd w:val="clear" w:color="auto" w:fill="FFFFFF"/>
          <w:lang w:val="es-ES_tradnl"/>
        </w:rPr>
        <w:t xml:space="preserve"> a lo ordenado dentro del plazo de </w:t>
      </w:r>
      <w:r w:rsidR="00E906BA" w:rsidRPr="001A3DEA">
        <w:rPr>
          <w:rFonts w:ascii="Palatino Linotype" w:eastAsiaTheme="minorEastAsia" w:hAnsi="Palatino Linotype" w:cstheme="minorBidi"/>
          <w:color w:val="222222"/>
          <w:shd w:val="clear" w:color="auto" w:fill="FFFFFF"/>
          <w:lang w:val="es-ES_tradnl"/>
        </w:rPr>
        <w:t xml:space="preserve">quince </w:t>
      </w:r>
      <w:r w:rsidRPr="001A3DEA">
        <w:rPr>
          <w:rFonts w:ascii="Palatino Linotype" w:eastAsiaTheme="minorEastAsia" w:hAnsi="Palatino Linotype" w:cstheme="minorBidi"/>
          <w:color w:val="222222"/>
          <w:shd w:val="clear" w:color="auto" w:fill="FFFFFF"/>
          <w:lang w:val="es-ES_tradnl"/>
        </w:rPr>
        <w:t xml:space="preserve">días hábiles, debiendo </w:t>
      </w:r>
      <w:r w:rsidRPr="001A3DEA">
        <w:rPr>
          <w:rFonts w:ascii="Palatino Linotype" w:eastAsiaTheme="minorEastAsia" w:hAnsi="Palatino Linotype" w:cs="Arial"/>
          <w:lang w:val="es-ES_tradnl"/>
        </w:rPr>
        <w:t>informar</w:t>
      </w:r>
      <w:r w:rsidRPr="001A3DEA">
        <w:rPr>
          <w:rFonts w:ascii="Palatino Linotype" w:eastAsiaTheme="minorEastAsia" w:hAnsi="Palatino Linotype" w:cstheme="minorBidi"/>
          <w:color w:val="222222"/>
          <w:shd w:val="clear" w:color="auto" w:fill="FFFFFF"/>
          <w:lang w:val="es-ES_tradnl"/>
        </w:rPr>
        <w:t xml:space="preserve"> a este Instituto en un plazo </w:t>
      </w:r>
      <w:r w:rsidRPr="001A3DEA">
        <w:rPr>
          <w:rFonts w:ascii="Palatino Linotype" w:eastAsiaTheme="minorEastAsia" w:hAnsi="Palatino Linotype" w:cstheme="minorBidi"/>
          <w:color w:val="222222"/>
          <w:lang w:val="es-ES_tradnl" w:eastAsia="es-ES_tradnl"/>
        </w:rPr>
        <w:t>de</w:t>
      </w:r>
      <w:r w:rsidRPr="001A3DEA">
        <w:rPr>
          <w:rFonts w:ascii="Palatino Linotype" w:eastAsiaTheme="minorEastAsia" w:hAnsi="Palatino Linotype" w:cstheme="minorBidi"/>
          <w:color w:val="222222"/>
          <w:shd w:val="clear" w:color="auto" w:fill="FFFFFF"/>
          <w:lang w:val="es-ES_tradnl"/>
        </w:rPr>
        <w:t xml:space="preserve"> tres días hábiles siguientes sobre el cumplimiento dado a la presente resolución.</w:t>
      </w:r>
    </w:p>
    <w:p w14:paraId="146BF979" w14:textId="77777777" w:rsidR="0070656A" w:rsidRPr="001A3DEA" w:rsidRDefault="0070656A" w:rsidP="0070656A">
      <w:pPr>
        <w:spacing w:line="360" w:lineRule="auto"/>
        <w:jc w:val="both"/>
        <w:rPr>
          <w:rFonts w:ascii="Palatino Linotype" w:eastAsiaTheme="minorEastAsia" w:hAnsi="Palatino Linotype" w:cstheme="minorBidi"/>
          <w:color w:val="222222"/>
          <w:shd w:val="clear" w:color="auto" w:fill="FFFFFF"/>
          <w:lang w:val="es-ES_tradnl"/>
        </w:rPr>
      </w:pPr>
    </w:p>
    <w:p w14:paraId="0D4E54A0" w14:textId="77777777" w:rsidR="0070656A" w:rsidRPr="001A3DEA" w:rsidRDefault="0070656A" w:rsidP="0070656A">
      <w:pPr>
        <w:spacing w:line="360" w:lineRule="auto"/>
        <w:jc w:val="both"/>
        <w:rPr>
          <w:rFonts w:ascii="Palatino Linotype" w:eastAsiaTheme="minorEastAsia" w:hAnsi="Palatino Linotype" w:cstheme="minorBidi"/>
          <w:color w:val="222222"/>
          <w:shd w:val="clear" w:color="auto" w:fill="FFFFFF"/>
          <w:lang w:val="es-ES_tradnl"/>
        </w:rPr>
      </w:pPr>
      <w:r w:rsidRPr="001A3DEA">
        <w:rPr>
          <w:rFonts w:ascii="Palatino Linotype" w:eastAsia="Calibri" w:hAnsi="Palatino Linotype" w:cs="Arial"/>
          <w:b/>
          <w:sz w:val="28"/>
          <w:lang w:val="es-ES_tradnl"/>
        </w:rPr>
        <w:t>CUARTO</w:t>
      </w:r>
      <w:r w:rsidRPr="001A3DEA">
        <w:rPr>
          <w:rFonts w:ascii="Palatino Linotype" w:eastAsia="Calibri" w:hAnsi="Palatino Linotype" w:cs="Arial"/>
          <w:b/>
          <w:sz w:val="28"/>
          <w:szCs w:val="28"/>
          <w:lang w:val="es-ES_tradnl"/>
        </w:rPr>
        <w:t xml:space="preserve">. </w:t>
      </w:r>
      <w:r w:rsidRPr="001A3DEA">
        <w:rPr>
          <w:rFonts w:ascii="Palatino Linotype" w:eastAsia="Calibri" w:hAnsi="Palatino Linotype" w:cs="Arial"/>
          <w:lang w:val="es-ES_tradnl"/>
        </w:rPr>
        <w:t xml:space="preserve">Con fundamento en el artículo 198 de la Ley de Transparencia y Acceso a la Información Pública del Estado de México y Municipios, se apercibe al </w:t>
      </w:r>
      <w:r w:rsidRPr="001A3DEA">
        <w:rPr>
          <w:rFonts w:ascii="Palatino Linotype" w:eastAsia="Calibri" w:hAnsi="Palatino Linotype" w:cs="Arial"/>
          <w:b/>
          <w:lang w:val="es-ES_tradnl"/>
        </w:rPr>
        <w:t xml:space="preserve">SUJETO OBLIGADO </w:t>
      </w:r>
      <w:r w:rsidRPr="001A3DEA">
        <w:rPr>
          <w:rFonts w:ascii="Palatino Linotype" w:eastAsia="Calibri" w:hAnsi="Palatino Linotype" w:cs="Arial"/>
          <w:lang w:val="es-ES_tradnl"/>
        </w:rPr>
        <w:t>que, en caso de negarse a cumplir la presente resolución, o hacerlo de manera parcial, se actuará de conformidad con lo previsto en los artículos 213, 214, 216 y 217 de dicha Ley.</w:t>
      </w:r>
    </w:p>
    <w:p w14:paraId="11114469" w14:textId="77777777" w:rsidR="0070656A" w:rsidRPr="001A3DEA" w:rsidRDefault="0070656A" w:rsidP="0070656A">
      <w:pPr>
        <w:spacing w:line="360" w:lineRule="auto"/>
        <w:ind w:right="49"/>
        <w:jc w:val="both"/>
        <w:rPr>
          <w:rFonts w:ascii="Palatino Linotype" w:eastAsiaTheme="minorEastAsia" w:hAnsi="Palatino Linotype" w:cstheme="minorBidi"/>
          <w:b/>
          <w:color w:val="222222"/>
          <w:szCs w:val="20"/>
          <w:shd w:val="clear" w:color="auto" w:fill="FFFFFF"/>
          <w:lang w:val="es-ES_tradnl"/>
        </w:rPr>
      </w:pPr>
    </w:p>
    <w:p w14:paraId="5E7A3228" w14:textId="2A7F5BC4" w:rsidR="0070656A" w:rsidRPr="001A3DEA" w:rsidRDefault="0070656A" w:rsidP="0070656A">
      <w:pPr>
        <w:spacing w:line="360" w:lineRule="auto"/>
        <w:jc w:val="both"/>
        <w:rPr>
          <w:rFonts w:ascii="Palatino Linotype" w:eastAsia="Calibri" w:hAnsi="Palatino Linotype" w:cs="Arial"/>
          <w:lang w:val="es-ES_tradnl"/>
        </w:rPr>
      </w:pPr>
      <w:r w:rsidRPr="001A3DEA">
        <w:rPr>
          <w:rFonts w:ascii="Palatino Linotype" w:eastAsiaTheme="minorEastAsia" w:hAnsi="Palatino Linotype" w:cstheme="minorBidi"/>
          <w:b/>
          <w:color w:val="222222"/>
          <w:sz w:val="28"/>
          <w:shd w:val="clear" w:color="auto" w:fill="FFFFFF"/>
          <w:lang w:val="es-ES_tradnl"/>
        </w:rPr>
        <w:t>QUINTO</w:t>
      </w:r>
      <w:r w:rsidRPr="001A3DEA">
        <w:rPr>
          <w:rFonts w:ascii="Palatino Linotype" w:eastAsiaTheme="minorEastAsia" w:hAnsi="Palatino Linotype" w:cs="Arial"/>
          <w:b/>
          <w:bCs/>
          <w:color w:val="222222"/>
          <w:lang w:val="es-ES_tradnl" w:eastAsia="es-MX"/>
        </w:rPr>
        <w:t xml:space="preserve">. </w:t>
      </w:r>
      <w:bookmarkStart w:id="2" w:name="_Hlk57757546"/>
      <w:r w:rsidRPr="001A3DEA">
        <w:rPr>
          <w:rFonts w:ascii="Palatino Linotype" w:eastAsiaTheme="minorEastAsia" w:hAnsi="Palatino Linotype" w:cstheme="minorBidi"/>
          <w:b/>
          <w:color w:val="222222"/>
          <w:lang w:val="es-ES_tradnl" w:eastAsia="es-ES_tradnl"/>
        </w:rPr>
        <w:t>Notifíquese</w:t>
      </w:r>
      <w:r w:rsidRPr="001A3DEA">
        <w:rPr>
          <w:rFonts w:ascii="Palatino Linotype" w:eastAsiaTheme="minorEastAsia" w:hAnsi="Palatino Linotype" w:cstheme="minorBidi"/>
          <w:color w:val="222222"/>
          <w:lang w:val="es-ES_tradnl" w:eastAsia="es-ES_tradnl"/>
        </w:rPr>
        <w:t xml:space="preserve"> al </w:t>
      </w:r>
      <w:r w:rsidRPr="001A3DEA">
        <w:rPr>
          <w:rFonts w:ascii="Palatino Linotype" w:eastAsiaTheme="minorEastAsia" w:hAnsi="Palatino Linotype" w:cstheme="minorBidi"/>
          <w:b/>
          <w:color w:val="222222"/>
          <w:lang w:val="es-ES_tradnl" w:eastAsia="es-ES_tradnl"/>
        </w:rPr>
        <w:t>RECURRENTE</w:t>
      </w:r>
      <w:r w:rsidRPr="001A3DEA">
        <w:rPr>
          <w:rFonts w:ascii="Palatino Linotype" w:eastAsiaTheme="minorEastAsia" w:hAnsi="Palatino Linotype" w:cstheme="minorBidi"/>
          <w:color w:val="222222"/>
          <w:lang w:val="es-ES_tradnl" w:eastAsia="es-ES_tradnl"/>
        </w:rPr>
        <w:t xml:space="preserve"> la </w:t>
      </w:r>
      <w:r w:rsidRPr="001A3DEA">
        <w:rPr>
          <w:rFonts w:ascii="Palatino Linotype" w:eastAsiaTheme="minorEastAsia" w:hAnsi="Palatino Linotype" w:cs="Arial"/>
          <w:lang w:val="es-ES_tradnl"/>
        </w:rPr>
        <w:t>presente</w:t>
      </w:r>
      <w:r w:rsidRPr="001A3DEA">
        <w:rPr>
          <w:rFonts w:ascii="Palatino Linotype" w:eastAsiaTheme="minorEastAsia" w:hAnsi="Palatino Linotype" w:cstheme="minorBidi"/>
          <w:color w:val="222222"/>
          <w:lang w:val="es-ES_tradnl" w:eastAsia="es-ES_tradnl"/>
        </w:rPr>
        <w:t xml:space="preserve"> resolución.</w:t>
      </w:r>
    </w:p>
    <w:bookmarkEnd w:id="2"/>
    <w:p w14:paraId="10E30359" w14:textId="77777777" w:rsidR="0070656A" w:rsidRPr="001A3DEA" w:rsidRDefault="0070656A" w:rsidP="0070656A">
      <w:pPr>
        <w:spacing w:line="360" w:lineRule="auto"/>
        <w:ind w:right="49"/>
        <w:jc w:val="both"/>
        <w:rPr>
          <w:rFonts w:ascii="Palatino Linotype" w:eastAsiaTheme="minorEastAsia" w:hAnsi="Palatino Linotype" w:cs="Arial"/>
          <w:b/>
          <w:bCs/>
          <w:color w:val="222222"/>
          <w:szCs w:val="20"/>
          <w:lang w:val="es-ES_tradnl" w:eastAsia="es-MX"/>
        </w:rPr>
      </w:pPr>
    </w:p>
    <w:p w14:paraId="70042680" w14:textId="77777777" w:rsidR="0070656A" w:rsidRPr="001A3DEA" w:rsidRDefault="0070656A" w:rsidP="0070656A">
      <w:pPr>
        <w:spacing w:line="360" w:lineRule="auto"/>
        <w:jc w:val="both"/>
        <w:rPr>
          <w:rFonts w:ascii="Palatino Linotype" w:eastAsiaTheme="minorEastAsia" w:hAnsi="Palatino Linotype" w:cstheme="minorBidi"/>
          <w:color w:val="222222"/>
          <w:lang w:val="es-ES_tradnl" w:eastAsia="es-ES_tradnl"/>
        </w:rPr>
      </w:pPr>
      <w:r w:rsidRPr="001A3DEA">
        <w:rPr>
          <w:rFonts w:ascii="Palatino Linotype" w:eastAsiaTheme="minorEastAsia" w:hAnsi="Palatino Linotype" w:cstheme="minorBidi"/>
          <w:b/>
          <w:color w:val="222222"/>
          <w:sz w:val="28"/>
          <w:shd w:val="clear" w:color="auto" w:fill="FFFFFF"/>
          <w:lang w:val="es-ES_tradnl"/>
        </w:rPr>
        <w:t>SEXTO</w:t>
      </w:r>
      <w:r w:rsidRPr="001A3DEA">
        <w:rPr>
          <w:rFonts w:ascii="Palatino Linotype" w:eastAsiaTheme="minorEastAsia" w:hAnsi="Palatino Linotype" w:cs="Arial"/>
          <w:b/>
          <w:bCs/>
          <w:color w:val="222222"/>
          <w:sz w:val="28"/>
          <w:szCs w:val="20"/>
          <w:lang w:val="es-ES_tradnl" w:eastAsia="es-MX"/>
        </w:rPr>
        <w:t>.</w:t>
      </w:r>
      <w:r w:rsidRPr="001A3DEA">
        <w:rPr>
          <w:rFonts w:ascii="Palatino Linotype" w:eastAsiaTheme="minorEastAsia" w:hAnsi="Palatino Linotype" w:cstheme="minorBidi"/>
          <w:color w:val="222222"/>
          <w:sz w:val="20"/>
          <w:szCs w:val="17"/>
          <w:lang w:val="es-ES_tradnl" w:eastAsia="es-ES_tradnl"/>
        </w:rPr>
        <w:t xml:space="preserve"> </w:t>
      </w:r>
      <w:r w:rsidRPr="001A3DEA">
        <w:rPr>
          <w:rFonts w:ascii="Palatino Linotype" w:eastAsiaTheme="minorEastAsia" w:hAnsi="Palatino Linotype" w:cstheme="minorBidi"/>
          <w:b/>
          <w:color w:val="222222"/>
          <w:lang w:val="es-ES_tradnl" w:eastAsia="es-ES_tradnl"/>
        </w:rPr>
        <w:t>Hágase del conocimiento</w:t>
      </w:r>
      <w:r w:rsidRPr="001A3DEA">
        <w:rPr>
          <w:rFonts w:ascii="Palatino Linotype" w:eastAsiaTheme="minorEastAsia" w:hAnsi="Palatino Linotype" w:cstheme="minorBidi"/>
          <w:color w:val="222222"/>
          <w:lang w:val="es-ES_tradnl" w:eastAsia="es-ES_tradnl"/>
        </w:rPr>
        <w:t xml:space="preserve"> al </w:t>
      </w:r>
      <w:r w:rsidRPr="001A3DEA">
        <w:rPr>
          <w:rFonts w:ascii="Palatino Linotype" w:eastAsiaTheme="minorEastAsia" w:hAnsi="Palatino Linotype" w:cstheme="minorBidi"/>
          <w:b/>
          <w:color w:val="222222"/>
          <w:lang w:val="es-ES_tradnl" w:eastAsia="es-ES_tradnl"/>
        </w:rPr>
        <w:t>RECURRENTE</w:t>
      </w:r>
      <w:r w:rsidRPr="001A3DEA">
        <w:rPr>
          <w:rFonts w:ascii="Palatino Linotype" w:eastAsiaTheme="minorEastAsia" w:hAnsi="Palatino Linotype" w:cstheme="minorBidi"/>
          <w:color w:val="222222"/>
          <w:lang w:val="es-ES_tradnl" w:eastAsia="es-ES_tradnl"/>
        </w:rPr>
        <w:t xml:space="preserve"> que de conformidad con lo establecido en el </w:t>
      </w:r>
      <w:r w:rsidRPr="001A3DEA">
        <w:rPr>
          <w:rFonts w:ascii="Palatino Linotype" w:eastAsiaTheme="minorEastAsia" w:hAnsi="Palatino Linotype" w:cs="Arial"/>
          <w:lang w:val="es-ES_tradnl"/>
        </w:rPr>
        <w:t>artículo</w:t>
      </w:r>
      <w:r w:rsidRPr="001A3DEA">
        <w:rPr>
          <w:rFonts w:ascii="Palatino Linotype" w:eastAsiaTheme="minorEastAsia" w:hAnsi="Palatino Linotype" w:cstheme="minorBidi"/>
          <w:color w:val="222222"/>
          <w:lang w:val="es-ES_tradnl" w:eastAsia="es-ES_tradnl"/>
        </w:rPr>
        <w:t xml:space="preserve"> 196 de la </w:t>
      </w:r>
      <w:r w:rsidRPr="001A3DEA">
        <w:rPr>
          <w:rFonts w:ascii="Palatino Linotype" w:eastAsiaTheme="minorEastAsia" w:hAnsi="Palatino Linotype" w:cs="Arial"/>
          <w:lang w:val="es-ES_tradnl"/>
        </w:rPr>
        <w:t>Ley</w:t>
      </w:r>
      <w:r w:rsidRPr="001A3DEA">
        <w:rPr>
          <w:rFonts w:ascii="Palatino Linotype" w:eastAsiaTheme="minorEastAsia" w:hAnsi="Palatino Linotype" w:cstheme="minorBidi"/>
          <w:color w:val="222222"/>
          <w:lang w:val="es-ES_tradnl" w:eastAsia="es-ES_tradnl"/>
        </w:rPr>
        <w:t xml:space="preserve"> de Transparencia y Acceso a la Información Pública del Estado de México y Municipios, podrá impugnarla vía Juicio de Amparo en los términos de las leyes aplicables.</w:t>
      </w:r>
    </w:p>
    <w:p w14:paraId="6A45ED0A" w14:textId="77777777" w:rsidR="0070656A" w:rsidRPr="001A3DEA" w:rsidRDefault="0070656A" w:rsidP="0070656A">
      <w:pPr>
        <w:autoSpaceDE w:val="0"/>
        <w:autoSpaceDN w:val="0"/>
        <w:adjustRightInd w:val="0"/>
        <w:spacing w:line="360" w:lineRule="auto"/>
        <w:ind w:right="49"/>
        <w:jc w:val="both"/>
      </w:pPr>
    </w:p>
    <w:p w14:paraId="17A3923F" w14:textId="77777777" w:rsidR="0070656A" w:rsidRPr="001A3DEA" w:rsidRDefault="0070656A" w:rsidP="0070656A">
      <w:pPr>
        <w:spacing w:line="360" w:lineRule="auto"/>
        <w:jc w:val="both"/>
        <w:rPr>
          <w:rFonts w:ascii="Palatino Linotype" w:eastAsiaTheme="minorEastAsia" w:hAnsi="Palatino Linotype" w:cstheme="minorBidi"/>
          <w:color w:val="222222"/>
          <w:lang w:val="es-ES_tradnl" w:eastAsia="es-ES_tradnl"/>
        </w:rPr>
      </w:pPr>
      <w:r w:rsidRPr="001A3DEA">
        <w:rPr>
          <w:rFonts w:ascii="Palatino Linotype" w:eastAsiaTheme="minorEastAsia" w:hAnsi="Palatino Linotype" w:cstheme="minorBidi"/>
          <w:b/>
          <w:bCs/>
          <w:color w:val="222222"/>
          <w:sz w:val="28"/>
          <w:szCs w:val="28"/>
          <w:lang w:val="es-ES_tradnl" w:eastAsia="es-ES_tradnl"/>
        </w:rPr>
        <w:t xml:space="preserve">SÉPTIMO. </w:t>
      </w:r>
      <w:r w:rsidRPr="001A3DEA">
        <w:rPr>
          <w:rFonts w:ascii="Palatino Linotype" w:eastAsiaTheme="minorEastAsia" w:hAnsi="Palatino Linotype" w:cstheme="minorBidi"/>
          <w:color w:val="222222"/>
          <w:lang w:val="es-ES_tradnl" w:eastAsia="es-ES_tradnl"/>
        </w:rPr>
        <w:t xml:space="preserve">De conformidad con el artículo 198 de la Ley de Transparencia y Acceso a la Información Pública del Estado de México y Municipios, de considerarlo procedente, </w:t>
      </w:r>
      <w:r w:rsidRPr="001A3DEA">
        <w:rPr>
          <w:rFonts w:ascii="Palatino Linotype" w:eastAsiaTheme="minorEastAsia" w:hAnsi="Palatino Linotype" w:cstheme="minorBidi"/>
          <w:b/>
          <w:bCs/>
          <w:color w:val="222222"/>
          <w:lang w:val="es-ES_tradnl" w:eastAsia="es-ES_tradnl"/>
        </w:rPr>
        <w:t>EL SUJETO OBLIGADO</w:t>
      </w:r>
      <w:r w:rsidRPr="001A3DEA">
        <w:rPr>
          <w:rFonts w:ascii="Palatino Linotype" w:eastAsiaTheme="minorEastAsia" w:hAnsi="Palatino Linotype" w:cstheme="minorBidi"/>
          <w:color w:val="222222"/>
          <w:lang w:val="es-ES_tradnl" w:eastAsia="es-ES_tradnl"/>
        </w:rPr>
        <w:t xml:space="preserve"> de manera fundada y motivada, podrá solicitar una ampliación de plazo para el cumplimiento de la presente resolución.</w:t>
      </w:r>
    </w:p>
    <w:p w14:paraId="41E94726" w14:textId="77777777" w:rsidR="0039190C" w:rsidRPr="001A3DEA" w:rsidRDefault="009232EB" w:rsidP="0039190C">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lang w:eastAsia="es-ES_tradnl"/>
        </w:rPr>
      </w:pPr>
      <w:r w:rsidRPr="001A3DEA">
        <w:rPr>
          <w:rFonts w:ascii="Palatino Linotype" w:hAnsi="Palatino Linotype"/>
          <w:b/>
          <w:color w:val="222222"/>
          <w:sz w:val="28"/>
          <w:szCs w:val="28"/>
          <w:lang w:eastAsia="es-ES_tradnl"/>
        </w:rPr>
        <w:t>OCTAVO</w:t>
      </w:r>
      <w:r w:rsidR="008F1AAB" w:rsidRPr="001A3DEA">
        <w:rPr>
          <w:rFonts w:ascii="Palatino Linotype" w:hAnsi="Palatino Linotype"/>
          <w:b/>
          <w:color w:val="222222"/>
          <w:sz w:val="28"/>
          <w:szCs w:val="28"/>
          <w:lang w:eastAsia="es-ES_tradnl"/>
        </w:rPr>
        <w:t>.</w:t>
      </w:r>
      <w:r w:rsidR="008F1AAB" w:rsidRPr="001A3DEA">
        <w:rPr>
          <w:rFonts w:ascii="Palatino Linotype" w:hAnsi="Palatino Linotype"/>
          <w:b/>
          <w:color w:val="222222"/>
          <w:lang w:eastAsia="es-ES_tradnl"/>
        </w:rPr>
        <w:t xml:space="preserve"> </w:t>
      </w:r>
      <w:r w:rsidR="0039190C" w:rsidRPr="001A3DEA">
        <w:rPr>
          <w:rFonts w:ascii="Palatino Linotype" w:hAnsi="Palatino Linotype"/>
          <w:b/>
          <w:color w:val="222222"/>
          <w:lang w:eastAsia="es-ES_tradnl"/>
        </w:rPr>
        <w:t xml:space="preserve">Hágase del conocimiento </w:t>
      </w:r>
      <w:r w:rsidR="0039190C" w:rsidRPr="001A3DEA">
        <w:rPr>
          <w:rFonts w:ascii="Palatino Linotype" w:hAnsi="Palatino Linotype"/>
          <w:color w:val="222222"/>
          <w:lang w:eastAsia="es-ES_tradnl"/>
        </w:rPr>
        <w:t xml:space="preserve">del </w:t>
      </w:r>
      <w:r w:rsidR="0039190C" w:rsidRPr="001A3DEA">
        <w:rPr>
          <w:rFonts w:ascii="Palatino Linotype" w:hAnsi="Palatino Linotype"/>
          <w:b/>
          <w:color w:val="222222"/>
          <w:lang w:eastAsia="es-ES_tradnl"/>
        </w:rPr>
        <w:t xml:space="preserve">RECURRENTE </w:t>
      </w:r>
      <w:r w:rsidR="0039190C" w:rsidRPr="001A3DEA">
        <w:rPr>
          <w:rFonts w:ascii="Palatino Linotype" w:hAnsi="Palatino Linotype"/>
          <w:color w:val="222222"/>
          <w:lang w:eastAsia="es-ES_tradnl"/>
        </w:rPr>
        <w:t xml:space="preserve">que la respuesta que dé </w:t>
      </w:r>
      <w:r w:rsidR="0039190C" w:rsidRPr="001A3DEA">
        <w:rPr>
          <w:rFonts w:ascii="Palatino Linotype" w:hAnsi="Palatino Linotype"/>
          <w:b/>
          <w:color w:val="222222"/>
          <w:lang w:eastAsia="es-ES_tradnl"/>
        </w:rPr>
        <w:t>EL SUJETO OBLIGADO</w:t>
      </w:r>
      <w:r w:rsidR="0039190C" w:rsidRPr="001A3DEA">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0039190C" w:rsidRPr="001A3DEA">
        <w:rPr>
          <w:rFonts w:ascii="Palatino Linotype" w:hAnsi="Palatino Linotype"/>
          <w:color w:val="222222"/>
          <w:lang w:eastAsia="es-MX"/>
        </w:rPr>
        <w:t>de Transparencia y Acceso a la Información Pública del Estado de México y Municipios.</w:t>
      </w:r>
    </w:p>
    <w:p w14:paraId="66114EFA" w14:textId="23D88C76" w:rsidR="008F1AAB" w:rsidRPr="001A3DEA" w:rsidRDefault="0039190C" w:rsidP="008F1AAB">
      <w:pPr>
        <w:widowControl w:val="0"/>
        <w:tabs>
          <w:tab w:val="left" w:pos="1701"/>
        </w:tabs>
        <w:autoSpaceDE w:val="0"/>
        <w:autoSpaceDN w:val="0"/>
        <w:adjustRightInd w:val="0"/>
        <w:spacing w:before="240" w:after="240" w:line="360" w:lineRule="auto"/>
        <w:ind w:right="49"/>
        <w:jc w:val="both"/>
        <w:rPr>
          <w:rFonts w:ascii="Palatino Linotype" w:hAnsi="Palatino Linotype"/>
          <w:color w:val="222222"/>
          <w:lang w:eastAsia="es-ES_tradnl"/>
        </w:rPr>
      </w:pPr>
      <w:r w:rsidRPr="001A3DEA">
        <w:rPr>
          <w:rFonts w:ascii="Palatino Linotype" w:hAnsi="Palatino Linotype"/>
          <w:b/>
          <w:color w:val="222222"/>
          <w:sz w:val="28"/>
          <w:szCs w:val="28"/>
          <w:lang w:eastAsia="es-ES_tradnl"/>
        </w:rPr>
        <w:t>NOVENO.</w:t>
      </w:r>
      <w:r w:rsidRPr="001A3DEA">
        <w:rPr>
          <w:rFonts w:ascii="Palatino Linotype" w:hAnsi="Palatino Linotype"/>
          <w:b/>
          <w:color w:val="222222"/>
          <w:lang w:eastAsia="es-ES_tradnl"/>
        </w:rPr>
        <w:t xml:space="preserve"> </w:t>
      </w:r>
      <w:r w:rsidR="008F1AAB" w:rsidRPr="001A3DEA">
        <w:rPr>
          <w:rFonts w:ascii="Palatino Linotype" w:hAnsi="Palatino Linotype"/>
          <w:b/>
          <w:color w:val="222222"/>
          <w:lang w:eastAsia="es-ES_tradnl"/>
        </w:rPr>
        <w:t xml:space="preserve">Gírese oficio </w:t>
      </w:r>
      <w:r w:rsidR="008F1AAB" w:rsidRPr="001A3DEA">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8F1AAB" w:rsidRPr="001A3DEA">
        <w:rPr>
          <w:rFonts w:ascii="Palatino Linotype" w:hAnsi="Palatino Linotype"/>
          <w:b/>
          <w:color w:val="222222"/>
          <w:lang w:eastAsia="es-ES_tradnl"/>
        </w:rPr>
        <w:t>QUINTO</w:t>
      </w:r>
      <w:r w:rsidR="008F1AAB" w:rsidRPr="001A3DEA">
        <w:rPr>
          <w:rFonts w:ascii="Palatino Linotype" w:hAnsi="Palatino Linotype"/>
          <w:color w:val="222222"/>
          <w:lang w:eastAsia="es-ES_tradnl"/>
        </w:rPr>
        <w:t xml:space="preserve"> de la presente resolución.</w:t>
      </w:r>
    </w:p>
    <w:p w14:paraId="42730DA1" w14:textId="6841AB5B" w:rsidR="00200BFC" w:rsidRPr="001A3DEA" w:rsidRDefault="001A3DEA" w:rsidP="00200BFC">
      <w:pPr>
        <w:spacing w:line="360" w:lineRule="auto"/>
        <w:jc w:val="both"/>
        <w:rPr>
          <w:rFonts w:ascii="Palatino Linotype" w:hAnsi="Palatino Linotype" w:cs="Arial"/>
        </w:rPr>
      </w:pPr>
      <w:r w:rsidRPr="001A3DEA">
        <w:rPr>
          <w:rFonts w:ascii="Palatino Linotype" w:hAnsi="Palatino Linotype" w:cs="Arial"/>
        </w:rPr>
        <w:t xml:space="preserve">ASÍ LO RESUELVE, POR UNANIMIDAD </w:t>
      </w:r>
      <w:r w:rsidR="00200BFC" w:rsidRPr="001A3DEA">
        <w:rPr>
          <w:rFonts w:ascii="Palatino Linotype" w:hAnsi="Palatino Linotype" w:cs="Arial"/>
        </w:rPr>
        <w:t>DE VOTOS EL PLENO DEL</w:t>
      </w:r>
      <w:r w:rsidR="00200BFC" w:rsidRPr="001A3DEA">
        <w:rPr>
          <w:rFonts w:ascii="Palatino Linotype" w:eastAsia="Arial Unicode MS" w:hAnsi="Palatino Linotype" w:cs="Arial"/>
        </w:rPr>
        <w:t xml:space="preserve"> INSTITUTO DE </w:t>
      </w:r>
      <w:r w:rsidR="00200BFC" w:rsidRPr="001A3DEA">
        <w:rPr>
          <w:rFonts w:ascii="Palatino Linotype" w:hAnsi="Palatino Linotype"/>
          <w:lang w:eastAsia="en-US"/>
        </w:rPr>
        <w:t>TRANSPARENCIA</w:t>
      </w:r>
      <w:r w:rsidR="00200BFC" w:rsidRPr="001A3DEA">
        <w:rPr>
          <w:rFonts w:ascii="Palatino Linotype" w:eastAsia="Arial Unicode MS" w:hAnsi="Palatino Linotype" w:cs="Arial"/>
        </w:rPr>
        <w:t>, ACCESO A LA INFORMACIÓN PÚBLICA Y PROTECCIÓN DE DATOS PERSONALES DEL ESTADO DE MÉXICO Y MUNICIPIOS</w:t>
      </w:r>
      <w:r w:rsidR="00200BFC" w:rsidRPr="001A3DEA">
        <w:rPr>
          <w:rFonts w:ascii="Palatino Linotype" w:hAnsi="Palatino Linotype" w:cs="Arial"/>
        </w:rPr>
        <w:t xml:space="preserve">, CONFORMADO POR LOS COMISIONADOS ZULEMA MARTÍNEZ SÁNCHEZ; EVA ABAID YAPUR; JOSÉ GUADALUPE LUNA HERNÁNDEZ, JAVIER MARTÍNEZ CRUZ Y LUIS GUSTAVO PARRA NORIEGA; </w:t>
      </w:r>
      <w:r w:rsidR="00200BFC" w:rsidRPr="001A3DEA">
        <w:rPr>
          <w:rFonts w:ascii="Palatino Linotype" w:hAnsi="Palatino Linotype" w:cs="Arial"/>
          <w:shd w:val="clear" w:color="auto" w:fill="FFFFFF" w:themeFill="background1"/>
        </w:rPr>
        <w:t xml:space="preserve">EN </w:t>
      </w:r>
      <w:r w:rsidR="0070656A" w:rsidRPr="001A3DEA">
        <w:rPr>
          <w:rFonts w:ascii="Palatino Linotype" w:hAnsi="Palatino Linotype" w:cs="Arial"/>
          <w:shd w:val="clear" w:color="auto" w:fill="FFFFFF" w:themeFill="background1"/>
        </w:rPr>
        <w:t xml:space="preserve">LA DÉCIMA </w:t>
      </w:r>
      <w:r>
        <w:rPr>
          <w:rFonts w:ascii="Palatino Linotype" w:hAnsi="Palatino Linotype" w:cs="Arial"/>
          <w:shd w:val="clear" w:color="auto" w:fill="FFFFFF" w:themeFill="background1"/>
        </w:rPr>
        <w:t>OCTAVA</w:t>
      </w:r>
      <w:r w:rsidR="00BF4B60" w:rsidRPr="001A3DEA">
        <w:rPr>
          <w:rFonts w:ascii="Palatino Linotype" w:hAnsi="Palatino Linotype" w:cs="Arial"/>
        </w:rPr>
        <w:t xml:space="preserve"> SESIÓN </w:t>
      </w:r>
      <w:r w:rsidR="00200BFC" w:rsidRPr="001A3DEA">
        <w:rPr>
          <w:rFonts w:ascii="Palatino Linotype" w:hAnsi="Palatino Linotype" w:cs="Arial"/>
        </w:rPr>
        <w:t xml:space="preserve">ORDINARIA CELEBRADA EL </w:t>
      </w:r>
      <w:r>
        <w:rPr>
          <w:rFonts w:ascii="Palatino Linotype" w:hAnsi="Palatino Linotype" w:cs="Arial"/>
        </w:rPr>
        <w:t>VEINTISÉIS</w:t>
      </w:r>
      <w:r w:rsidR="005C25EA" w:rsidRPr="001A3DEA">
        <w:rPr>
          <w:rFonts w:ascii="Palatino Linotype" w:hAnsi="Palatino Linotype" w:cs="Arial"/>
        </w:rPr>
        <w:t xml:space="preserve"> DE </w:t>
      </w:r>
      <w:r w:rsidR="00BF4B60" w:rsidRPr="001A3DEA">
        <w:rPr>
          <w:rFonts w:ascii="Palatino Linotype" w:hAnsi="Palatino Linotype" w:cs="Arial"/>
        </w:rPr>
        <w:t xml:space="preserve">MAYO </w:t>
      </w:r>
      <w:r w:rsidR="00200BFC" w:rsidRPr="001A3DEA">
        <w:rPr>
          <w:rFonts w:ascii="Palatino Linotype" w:hAnsi="Palatino Linotype" w:cs="Arial"/>
        </w:rPr>
        <w:t>DE DOS MIL VEINT</w:t>
      </w:r>
      <w:r w:rsidR="0070656A" w:rsidRPr="001A3DEA">
        <w:rPr>
          <w:rFonts w:ascii="Palatino Linotype" w:hAnsi="Palatino Linotype" w:cs="Arial"/>
        </w:rPr>
        <w:t>IUNO</w:t>
      </w:r>
      <w:r w:rsidR="00200BFC" w:rsidRPr="001A3DEA">
        <w:rPr>
          <w:rFonts w:ascii="Palatino Linotype" w:hAnsi="Palatino Linotype" w:cs="Arial"/>
        </w:rPr>
        <w:t xml:space="preserve">, ANTE EL SECRETARIO TÉCNICO DEL PLENO, </w:t>
      </w:r>
      <w:r w:rsidR="00200BFC" w:rsidRPr="001A3DEA">
        <w:rPr>
          <w:rFonts w:ascii="Palatino Linotype" w:eastAsia="Arial Unicode MS" w:hAnsi="Palatino Linotype" w:cs="Arial"/>
        </w:rPr>
        <w:t>ALEXIS</w:t>
      </w:r>
      <w:r w:rsidR="00200BFC" w:rsidRPr="001A3DEA">
        <w:rPr>
          <w:rFonts w:ascii="Palatino Linotype" w:hAnsi="Palatino Linotype" w:cs="Arial"/>
        </w:rPr>
        <w:t xml:space="preserve"> TAPIA RAMÍREZ.</w:t>
      </w:r>
    </w:p>
    <w:p w14:paraId="75F473D4" w14:textId="61BC5621" w:rsidR="0070656A" w:rsidRDefault="0070656A" w:rsidP="00200BFC">
      <w:pPr>
        <w:spacing w:line="360" w:lineRule="auto"/>
        <w:jc w:val="both"/>
        <w:rPr>
          <w:rFonts w:ascii="Palatino Linotype" w:hAnsi="Palatino Linotype" w:cs="Arial"/>
          <w:sz w:val="20"/>
          <w:szCs w:val="20"/>
        </w:rPr>
      </w:pPr>
      <w:r w:rsidRPr="001A3DEA">
        <w:rPr>
          <w:rFonts w:ascii="Palatino Linotype" w:hAnsi="Palatino Linotype" w:cs="Arial"/>
          <w:sz w:val="20"/>
          <w:szCs w:val="20"/>
        </w:rPr>
        <w:t>YSM/LAGO</w:t>
      </w:r>
    </w:p>
    <w:p w14:paraId="0A1887A7" w14:textId="77777777" w:rsidR="008F1AAB" w:rsidRDefault="008F1AAB" w:rsidP="00200BFC">
      <w:pPr>
        <w:spacing w:line="360" w:lineRule="auto"/>
        <w:jc w:val="both"/>
        <w:rPr>
          <w:rFonts w:ascii="Palatino Linotype" w:hAnsi="Palatino Linotype" w:cs="Arial"/>
          <w:sz w:val="20"/>
          <w:szCs w:val="20"/>
        </w:rPr>
      </w:pPr>
    </w:p>
    <w:p w14:paraId="6A18CF42" w14:textId="77777777" w:rsidR="008F1AAB" w:rsidRDefault="008F1AAB" w:rsidP="00200BFC">
      <w:pPr>
        <w:spacing w:line="360" w:lineRule="auto"/>
        <w:jc w:val="both"/>
        <w:rPr>
          <w:rFonts w:ascii="Palatino Linotype" w:hAnsi="Palatino Linotype" w:cs="Arial"/>
          <w:sz w:val="20"/>
          <w:szCs w:val="20"/>
        </w:rPr>
      </w:pPr>
    </w:p>
    <w:p w14:paraId="54D3FCA7" w14:textId="77777777" w:rsidR="008F1AAB" w:rsidRDefault="008F1AAB" w:rsidP="00200BFC">
      <w:pPr>
        <w:spacing w:line="360" w:lineRule="auto"/>
        <w:jc w:val="both"/>
        <w:rPr>
          <w:rFonts w:ascii="Palatino Linotype" w:hAnsi="Palatino Linotype" w:cs="Arial"/>
          <w:sz w:val="20"/>
          <w:szCs w:val="20"/>
        </w:rPr>
      </w:pPr>
    </w:p>
    <w:p w14:paraId="63907F2A" w14:textId="77777777" w:rsidR="008F1AAB" w:rsidRPr="0070656A" w:rsidRDefault="008F1AAB" w:rsidP="00200BFC">
      <w:pPr>
        <w:spacing w:line="360" w:lineRule="auto"/>
        <w:jc w:val="both"/>
        <w:rPr>
          <w:rFonts w:ascii="Palatino Linotype" w:hAnsi="Palatino Linotype" w:cs="Arial"/>
          <w:sz w:val="20"/>
          <w:szCs w:val="20"/>
        </w:rPr>
      </w:pPr>
    </w:p>
    <w:p w14:paraId="414D8358" w14:textId="77777777" w:rsidR="003302C9" w:rsidRDefault="003302C9" w:rsidP="00200BFC">
      <w:pPr>
        <w:spacing w:line="360" w:lineRule="auto"/>
        <w:jc w:val="both"/>
        <w:rPr>
          <w:rFonts w:ascii="Palatino Linotype" w:hAnsi="Palatino Linotype" w:cs="Arial"/>
        </w:rPr>
      </w:pPr>
    </w:p>
    <w:p w14:paraId="3C17EAE8" w14:textId="77777777" w:rsidR="0039190C" w:rsidRDefault="0039190C" w:rsidP="00200BFC">
      <w:pPr>
        <w:spacing w:line="360" w:lineRule="auto"/>
        <w:jc w:val="both"/>
        <w:rPr>
          <w:rFonts w:ascii="Palatino Linotype" w:hAnsi="Palatino Linotype" w:cs="Arial"/>
        </w:rPr>
      </w:pPr>
    </w:p>
    <w:p w14:paraId="7C9BA177" w14:textId="77777777" w:rsidR="0039190C" w:rsidRDefault="0039190C" w:rsidP="00200BFC">
      <w:pPr>
        <w:spacing w:line="360" w:lineRule="auto"/>
        <w:jc w:val="both"/>
        <w:rPr>
          <w:rFonts w:ascii="Palatino Linotype" w:hAnsi="Palatino Linotype" w:cs="Arial"/>
        </w:rPr>
      </w:pPr>
    </w:p>
    <w:p w14:paraId="798E549A" w14:textId="77777777" w:rsidR="0039190C" w:rsidRDefault="0039190C" w:rsidP="00200BFC">
      <w:pPr>
        <w:spacing w:line="360" w:lineRule="auto"/>
        <w:jc w:val="both"/>
        <w:rPr>
          <w:rFonts w:ascii="Palatino Linotype" w:hAnsi="Palatino Linotype" w:cs="Arial"/>
        </w:rPr>
      </w:pPr>
    </w:p>
    <w:p w14:paraId="64509A3E" w14:textId="77777777" w:rsidR="0039190C" w:rsidRPr="003253C6" w:rsidRDefault="0039190C" w:rsidP="00200BFC">
      <w:pPr>
        <w:spacing w:line="360" w:lineRule="auto"/>
        <w:jc w:val="both"/>
        <w:rPr>
          <w:rFonts w:ascii="Palatino Linotype" w:hAnsi="Palatino Linotype" w:cs="Arial"/>
        </w:rPr>
      </w:pPr>
    </w:p>
    <w:sectPr w:rsidR="0039190C" w:rsidRPr="003253C6"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C6B9" w16cex:dateUtc="2021-05-13T20:39:00Z"/>
  <w16cex:commentExtensible w16cex:durableId="2447C779" w16cex:dateUtc="2021-05-13T20:42:00Z"/>
  <w16cex:commentExtensible w16cex:durableId="2447C814" w16cex:dateUtc="2021-05-13T20:45:00Z"/>
  <w16cex:commentExtensible w16cex:durableId="2447C826" w16cex:dateUtc="2021-05-13T20:45:00Z"/>
  <w16cex:commentExtensible w16cex:durableId="2447C832" w16cex:dateUtc="2021-05-13T20:45:00Z"/>
  <w16cex:commentExtensible w16cex:durableId="2447C838" w16cex:dateUtc="2021-05-13T20:46:00Z"/>
  <w16cex:commentExtensible w16cex:durableId="2447C84F" w16cex:dateUtc="2021-05-13T20:46:00Z"/>
  <w16cex:commentExtensible w16cex:durableId="2447C88E" w16cex:dateUtc="2021-05-13T20:47:00Z"/>
  <w16cex:commentExtensible w16cex:durableId="2447C896" w16cex:dateUtc="2021-05-13T20:47:00Z"/>
  <w16cex:commentExtensible w16cex:durableId="2447C8AA" w16cex:dateUtc="2021-05-13T20:47:00Z"/>
  <w16cex:commentExtensible w16cex:durableId="2447C8B6" w16cex:dateUtc="2021-05-13T20:48:00Z"/>
  <w16cex:commentExtensible w16cex:durableId="2447C915" w16cex:dateUtc="2021-05-13T20:49:00Z"/>
  <w16cex:commentExtensible w16cex:durableId="2447C91B" w16cex:dateUtc="2021-05-13T20:49:00Z"/>
  <w16cex:commentExtensible w16cex:durableId="2447C93D" w16cex:dateUtc="2021-05-1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6841C" w16cid:durableId="2447C6B9"/>
  <w16cid:commentId w16cid:paraId="2A0A6A6A" w16cid:durableId="2447C779"/>
  <w16cid:commentId w16cid:paraId="404E1B68" w16cid:durableId="2447C814"/>
  <w16cid:commentId w16cid:paraId="17C249D7" w16cid:durableId="2447C826"/>
  <w16cid:commentId w16cid:paraId="77338673" w16cid:durableId="2447C832"/>
  <w16cid:commentId w16cid:paraId="523FDAB6" w16cid:durableId="2447C838"/>
  <w16cid:commentId w16cid:paraId="6C5E1E19" w16cid:durableId="2447C84F"/>
  <w16cid:commentId w16cid:paraId="43E5D3EC" w16cid:durableId="2447C88E"/>
  <w16cid:commentId w16cid:paraId="75426197" w16cid:durableId="2447C896"/>
  <w16cid:commentId w16cid:paraId="28D2FEFF" w16cid:durableId="2447C8AA"/>
  <w16cid:commentId w16cid:paraId="25CB1000" w16cid:durableId="2447C8B6"/>
  <w16cid:commentId w16cid:paraId="608DAAB4" w16cid:durableId="2447C915"/>
  <w16cid:commentId w16cid:paraId="0DF73CB0" w16cid:durableId="2447C91B"/>
  <w16cid:commentId w16cid:paraId="3FD35A7B" w16cid:durableId="2447C9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CE077" w14:textId="77777777" w:rsidR="00B62E37" w:rsidRDefault="00B62E37" w:rsidP="00C80F8C">
      <w:r>
        <w:separator/>
      </w:r>
    </w:p>
  </w:endnote>
  <w:endnote w:type="continuationSeparator" w:id="0">
    <w:p w14:paraId="0494DFA3" w14:textId="77777777" w:rsidR="00B62E37" w:rsidRDefault="00B62E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7BBD710" w:rsidR="00820D3B" w:rsidRPr="0010196A" w:rsidRDefault="00820D3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2442">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2442">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D399E11" w:rsidR="00820D3B" w:rsidRPr="0010196A" w:rsidRDefault="00820D3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2E3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2E37">
      <w:rPr>
        <w:rFonts w:ascii="Palatino Linotype" w:hAnsi="Palatino Linotype" w:cs="Arial"/>
        <w:bCs/>
        <w:noProof/>
        <w:sz w:val="22"/>
        <w:szCs w:val="22"/>
      </w:rPr>
      <w:t>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72E05" w14:textId="77777777" w:rsidR="00B62E37" w:rsidRDefault="00B62E37" w:rsidP="00C80F8C">
      <w:r>
        <w:separator/>
      </w:r>
    </w:p>
  </w:footnote>
  <w:footnote w:type="continuationSeparator" w:id="0">
    <w:p w14:paraId="47220ABC" w14:textId="77777777" w:rsidR="00B62E37" w:rsidRDefault="00B62E3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20D3B" w:rsidRDefault="00B62E3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20D3B" w:rsidRPr="0010196A" w:rsidRDefault="00B62E3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694"/>
      <w:gridCol w:w="3401"/>
    </w:tblGrid>
    <w:tr w:rsidR="00820D3B" w:rsidRPr="008F2CCC" w14:paraId="1F097D8A" w14:textId="77777777" w:rsidTr="00B33F56">
      <w:tc>
        <w:tcPr>
          <w:tcW w:w="3261" w:type="dxa"/>
          <w:vMerge w:val="restart"/>
        </w:tcPr>
        <w:p w14:paraId="1F780A0C" w14:textId="1EFF25F4" w:rsidR="00820D3B" w:rsidRPr="008F2CCC" w:rsidRDefault="00820D3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5B26419A" w14:textId="77777777" w:rsidR="00820D3B" w:rsidRPr="00664658" w:rsidRDefault="00820D3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1" w:type="dxa"/>
          <w:shd w:val="clear" w:color="auto" w:fill="auto"/>
          <w:vAlign w:val="center"/>
        </w:tcPr>
        <w:p w14:paraId="65AFA994" w14:textId="28667840" w:rsidR="00820D3B" w:rsidRPr="00664658" w:rsidRDefault="00820D3B" w:rsidP="00B33F56">
          <w:pPr>
            <w:ind w:right="213"/>
            <w:jc w:val="both"/>
            <w:rPr>
              <w:rFonts w:ascii="Palatino Linotype" w:hAnsi="Palatino Linotype"/>
              <w:b/>
              <w:sz w:val="22"/>
              <w:szCs w:val="22"/>
              <w:lang w:val="es-ES_tradnl"/>
            </w:rPr>
          </w:pPr>
          <w:r w:rsidRPr="00B33F56">
            <w:rPr>
              <w:rFonts w:ascii="Palatino Linotype" w:hAnsi="Palatino Linotype"/>
              <w:b/>
              <w:bCs/>
              <w:sz w:val="22"/>
              <w:szCs w:val="22"/>
            </w:rPr>
            <w:t>01052/INFOEM/IP/RR/2021</w:t>
          </w:r>
        </w:p>
      </w:tc>
    </w:tr>
    <w:tr w:rsidR="00820D3B" w:rsidRPr="008F2CCC" w14:paraId="049677A3" w14:textId="77777777" w:rsidTr="00B33F56">
      <w:tc>
        <w:tcPr>
          <w:tcW w:w="3261" w:type="dxa"/>
          <w:vMerge/>
        </w:tcPr>
        <w:p w14:paraId="4A21EAC1" w14:textId="5C1F145E" w:rsidR="00820D3B" w:rsidRPr="008F2CCC" w:rsidRDefault="00820D3B" w:rsidP="00200BFC">
          <w:pPr>
            <w:rPr>
              <w:rFonts w:ascii="Palatino Linotype" w:hAnsi="Palatino Linotype"/>
              <w:b/>
              <w:sz w:val="22"/>
              <w:szCs w:val="22"/>
              <w:lang w:val="es-ES_tradnl"/>
            </w:rPr>
          </w:pPr>
        </w:p>
      </w:tc>
      <w:tc>
        <w:tcPr>
          <w:tcW w:w="2694" w:type="dxa"/>
          <w:shd w:val="clear" w:color="auto" w:fill="auto"/>
        </w:tcPr>
        <w:p w14:paraId="1237BCDE" w14:textId="77777777" w:rsidR="00820D3B" w:rsidRPr="00664658" w:rsidRDefault="00820D3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1" w:type="dxa"/>
          <w:shd w:val="clear" w:color="auto" w:fill="auto"/>
          <w:vAlign w:val="center"/>
        </w:tcPr>
        <w:p w14:paraId="7F554073" w14:textId="7CBE4BC6" w:rsidR="00820D3B" w:rsidRPr="00D41D47" w:rsidRDefault="00820D3B" w:rsidP="00200BFC">
          <w:pPr>
            <w:jc w:val="both"/>
            <w:rPr>
              <w:rFonts w:ascii="Palatino Linotype" w:hAnsi="Palatino Linotype"/>
              <w:b/>
              <w:sz w:val="22"/>
              <w:szCs w:val="22"/>
              <w:lang w:val="es-ES_tradnl"/>
            </w:rPr>
          </w:pPr>
          <w:r w:rsidRPr="00B33F56">
            <w:rPr>
              <w:rFonts w:ascii="Palatino Linotype" w:hAnsi="Palatino Linotype"/>
              <w:b/>
              <w:bCs/>
              <w:sz w:val="22"/>
              <w:szCs w:val="22"/>
            </w:rPr>
            <w:t>Ayuntamiento de Naucalpan de Juárez</w:t>
          </w:r>
        </w:p>
      </w:tc>
    </w:tr>
    <w:tr w:rsidR="00820D3B" w:rsidRPr="008F2CCC" w14:paraId="72CD087D" w14:textId="77777777" w:rsidTr="00B33F56">
      <w:trPr>
        <w:trHeight w:val="228"/>
      </w:trPr>
      <w:tc>
        <w:tcPr>
          <w:tcW w:w="3261" w:type="dxa"/>
          <w:vMerge/>
        </w:tcPr>
        <w:p w14:paraId="1B78656F" w14:textId="01E6F6F6" w:rsidR="00820D3B" w:rsidRPr="008F2CCC" w:rsidRDefault="00820D3B" w:rsidP="00200BFC">
          <w:pPr>
            <w:rPr>
              <w:rFonts w:ascii="Palatino Linotype" w:hAnsi="Palatino Linotype"/>
              <w:b/>
              <w:sz w:val="22"/>
              <w:szCs w:val="22"/>
              <w:lang w:val="es-ES_tradnl"/>
            </w:rPr>
          </w:pPr>
        </w:p>
      </w:tc>
      <w:tc>
        <w:tcPr>
          <w:tcW w:w="2694" w:type="dxa"/>
          <w:shd w:val="clear" w:color="auto" w:fill="auto"/>
        </w:tcPr>
        <w:p w14:paraId="74D81628" w14:textId="77777777" w:rsidR="00820D3B" w:rsidRPr="00664658" w:rsidRDefault="00820D3B"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1" w:type="dxa"/>
          <w:shd w:val="clear" w:color="auto" w:fill="auto"/>
        </w:tcPr>
        <w:p w14:paraId="20D6FDA3" w14:textId="77777777" w:rsidR="00820D3B" w:rsidRPr="00664658" w:rsidRDefault="00820D3B"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820D3B" w:rsidRPr="0010196A" w:rsidRDefault="00820D3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820D3B" w:rsidRPr="0010196A" w:rsidRDefault="00B62E3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348" w:type="dxa"/>
      <w:tblInd w:w="-1276" w:type="dxa"/>
      <w:tblLayout w:type="fixed"/>
      <w:tblLook w:val="04A0" w:firstRow="1" w:lastRow="0" w:firstColumn="1" w:lastColumn="0" w:noHBand="0" w:noVBand="1"/>
    </w:tblPr>
    <w:tblGrid>
      <w:gridCol w:w="4111"/>
      <w:gridCol w:w="2552"/>
      <w:gridCol w:w="3685"/>
    </w:tblGrid>
    <w:tr w:rsidR="00820D3B" w:rsidRPr="008F2CCC" w14:paraId="6ABABA57" w14:textId="77777777" w:rsidTr="005815F8">
      <w:tc>
        <w:tcPr>
          <w:tcW w:w="4111" w:type="dxa"/>
          <w:vMerge w:val="restart"/>
          <w:shd w:val="clear" w:color="auto" w:fill="auto"/>
        </w:tcPr>
        <w:p w14:paraId="6AA376CC" w14:textId="1234161B" w:rsidR="00820D3B" w:rsidRPr="008F2CCC" w:rsidRDefault="00820D3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820D3B" w:rsidRPr="008F2CCC" w:rsidRDefault="00820D3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1AFF879" w:rsidR="00820D3B" w:rsidRPr="008F2CCC" w:rsidRDefault="00820D3B" w:rsidP="002A2174">
          <w:pPr>
            <w:jc w:val="both"/>
            <w:rPr>
              <w:rFonts w:ascii="Palatino Linotype" w:hAnsi="Palatino Linotype"/>
              <w:b/>
              <w:sz w:val="22"/>
              <w:szCs w:val="22"/>
              <w:lang w:val="es-ES_tradnl"/>
            </w:rPr>
          </w:pPr>
          <w:r w:rsidRPr="00B33F56">
            <w:rPr>
              <w:rFonts w:ascii="Palatino Linotype" w:hAnsi="Palatino Linotype"/>
              <w:b/>
              <w:bCs/>
              <w:sz w:val="22"/>
              <w:szCs w:val="22"/>
            </w:rPr>
            <w:t>01052/INFOEM/IP/RR/2021</w:t>
          </w:r>
        </w:p>
      </w:tc>
    </w:tr>
    <w:tr w:rsidR="00820D3B" w:rsidRPr="008F2CCC" w14:paraId="3B45FB53" w14:textId="77777777" w:rsidTr="005815F8">
      <w:tc>
        <w:tcPr>
          <w:tcW w:w="4111" w:type="dxa"/>
          <w:vMerge/>
          <w:shd w:val="clear" w:color="auto" w:fill="auto"/>
        </w:tcPr>
        <w:p w14:paraId="188B82EF" w14:textId="77777777" w:rsidR="00820D3B" w:rsidRPr="008F2CCC" w:rsidRDefault="00820D3B" w:rsidP="00200BFC">
          <w:pPr>
            <w:rPr>
              <w:rFonts w:ascii="Palatino Linotype" w:hAnsi="Palatino Linotype"/>
              <w:b/>
              <w:sz w:val="22"/>
              <w:szCs w:val="22"/>
              <w:lang w:val="es-ES_tradnl"/>
            </w:rPr>
          </w:pPr>
        </w:p>
      </w:tc>
      <w:tc>
        <w:tcPr>
          <w:tcW w:w="2552" w:type="dxa"/>
          <w:shd w:val="clear" w:color="auto" w:fill="auto"/>
        </w:tcPr>
        <w:p w14:paraId="3B2AD0CF" w14:textId="77777777" w:rsidR="00820D3B" w:rsidRPr="008F2CCC" w:rsidRDefault="00820D3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EC00DF7" w:rsidR="00820D3B" w:rsidRPr="008F2CCC" w:rsidRDefault="00402442" w:rsidP="00200BFC">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820D3B">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820D3B">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820D3B" w:rsidRPr="008F2CCC" w14:paraId="28A493EB" w14:textId="77777777" w:rsidTr="005815F8">
      <w:trPr>
        <w:trHeight w:val="228"/>
      </w:trPr>
      <w:tc>
        <w:tcPr>
          <w:tcW w:w="4111" w:type="dxa"/>
          <w:vMerge/>
          <w:shd w:val="clear" w:color="auto" w:fill="auto"/>
        </w:tcPr>
        <w:p w14:paraId="06C77D31" w14:textId="77777777" w:rsidR="00820D3B" w:rsidRPr="008F2CCC" w:rsidRDefault="00820D3B" w:rsidP="00200BFC">
          <w:pPr>
            <w:rPr>
              <w:rFonts w:ascii="Palatino Linotype" w:hAnsi="Palatino Linotype"/>
              <w:b/>
              <w:sz w:val="22"/>
              <w:szCs w:val="22"/>
              <w:lang w:val="es-ES_tradnl"/>
            </w:rPr>
          </w:pPr>
        </w:p>
      </w:tc>
      <w:tc>
        <w:tcPr>
          <w:tcW w:w="2552" w:type="dxa"/>
          <w:shd w:val="clear" w:color="auto" w:fill="auto"/>
        </w:tcPr>
        <w:p w14:paraId="2E1A72B4" w14:textId="77777777" w:rsidR="00820D3B" w:rsidRPr="008F2CCC" w:rsidRDefault="00820D3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FAA9960" w:rsidR="00820D3B" w:rsidRPr="00DC41C8" w:rsidRDefault="00820D3B" w:rsidP="00200BFC">
          <w:pPr>
            <w:jc w:val="both"/>
            <w:rPr>
              <w:rFonts w:ascii="Palatino Linotype" w:hAnsi="Palatino Linotype"/>
              <w:b/>
              <w:sz w:val="22"/>
              <w:szCs w:val="22"/>
            </w:rPr>
          </w:pPr>
          <w:r w:rsidRPr="00B33F56">
            <w:rPr>
              <w:rFonts w:ascii="Palatino Linotype" w:hAnsi="Palatino Linotype"/>
              <w:b/>
              <w:bCs/>
              <w:sz w:val="22"/>
              <w:szCs w:val="22"/>
            </w:rPr>
            <w:t>Ayuntamiento de Naucalpan de Juárez</w:t>
          </w:r>
        </w:p>
      </w:tc>
    </w:tr>
    <w:tr w:rsidR="00820D3B" w:rsidRPr="008F2CCC" w14:paraId="0F114FF0" w14:textId="77777777" w:rsidTr="005815F8">
      <w:tc>
        <w:tcPr>
          <w:tcW w:w="4111" w:type="dxa"/>
          <w:vMerge/>
          <w:shd w:val="clear" w:color="auto" w:fill="auto"/>
        </w:tcPr>
        <w:p w14:paraId="4CCB64BA" w14:textId="77777777" w:rsidR="00820D3B" w:rsidRPr="008F2CCC" w:rsidRDefault="00820D3B" w:rsidP="00200BFC">
          <w:pPr>
            <w:rPr>
              <w:rFonts w:ascii="Palatino Linotype" w:hAnsi="Palatino Linotype"/>
              <w:b/>
              <w:sz w:val="22"/>
              <w:szCs w:val="22"/>
              <w:lang w:val="es-ES_tradnl"/>
            </w:rPr>
          </w:pPr>
        </w:p>
      </w:tc>
      <w:tc>
        <w:tcPr>
          <w:tcW w:w="2552" w:type="dxa"/>
          <w:shd w:val="clear" w:color="auto" w:fill="auto"/>
        </w:tcPr>
        <w:p w14:paraId="31E422EA" w14:textId="77777777" w:rsidR="00820D3B" w:rsidRPr="008F2CCC" w:rsidRDefault="00820D3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820D3B" w:rsidRPr="008F2CCC" w:rsidRDefault="00820D3B"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820D3B" w:rsidRPr="0010196A" w:rsidRDefault="00820D3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4046A"/>
    <w:multiLevelType w:val="hybridMultilevel"/>
    <w:tmpl w:val="EBF82E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34AC2"/>
    <w:multiLevelType w:val="hybridMultilevel"/>
    <w:tmpl w:val="78D646F8"/>
    <w:lvl w:ilvl="0" w:tplc="080A0009">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C15C6A"/>
    <w:multiLevelType w:val="hybridMultilevel"/>
    <w:tmpl w:val="44746C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3763B3"/>
    <w:multiLevelType w:val="hybridMultilevel"/>
    <w:tmpl w:val="40DE1A7E"/>
    <w:lvl w:ilvl="0" w:tplc="D1321900">
      <w:start w:val="1"/>
      <w:numFmt w:val="bullet"/>
      <w:lvlText w:val=""/>
      <w:lvlJc w:val="left"/>
      <w:pPr>
        <w:ind w:left="720" w:hanging="360"/>
      </w:pPr>
      <w:rPr>
        <w:rFonts w:ascii="Wingdings" w:hAnsi="Wingding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A8579E"/>
    <w:multiLevelType w:val="hybridMultilevel"/>
    <w:tmpl w:val="2320FCBE"/>
    <w:lvl w:ilvl="0" w:tplc="45B45D06">
      <w:start w:val="1"/>
      <w:numFmt w:val="decimal"/>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79292A"/>
    <w:multiLevelType w:val="hybridMultilevel"/>
    <w:tmpl w:val="D1148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A156A5"/>
    <w:multiLevelType w:val="hybridMultilevel"/>
    <w:tmpl w:val="71D8CC66"/>
    <w:lvl w:ilvl="0" w:tplc="F198FE4E">
      <w:start w:val="1"/>
      <w:numFmt w:val="bullet"/>
      <w:lvlText w:val=""/>
      <w:lvlJc w:val="left"/>
      <w:pPr>
        <w:ind w:left="1080" w:hanging="360"/>
      </w:pPr>
      <w:rPr>
        <w:rFonts w:ascii="Wingdings" w:hAnsi="Wingdings" w:hint="default"/>
        <w:b/>
        <w:color w:val="auto"/>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E38A0"/>
    <w:multiLevelType w:val="hybridMultilevel"/>
    <w:tmpl w:val="1DDCD3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2C1B83"/>
    <w:multiLevelType w:val="hybridMultilevel"/>
    <w:tmpl w:val="3956134E"/>
    <w:lvl w:ilvl="0" w:tplc="F01850CC">
      <w:start w:val="1"/>
      <w:numFmt w:val="decimal"/>
      <w:lvlText w:val="%1."/>
      <w:lvlJc w:val="left"/>
      <w:pPr>
        <w:ind w:left="720" w:hanging="360"/>
      </w:pPr>
      <w:rPr>
        <w:rFonts w:eastAsia="Calibri"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E17C72"/>
    <w:multiLevelType w:val="hybridMultilevel"/>
    <w:tmpl w:val="CE2E4F64"/>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364" w:hanging="360"/>
      </w:pPr>
      <w:rPr>
        <w:rFonts w:ascii="Courier New" w:hAnsi="Courier New" w:cs="Courier New" w:hint="default"/>
      </w:rPr>
    </w:lvl>
    <w:lvl w:ilvl="2" w:tplc="080A0005">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start w:val="1"/>
      <w:numFmt w:val="bullet"/>
      <w:lvlText w:val="o"/>
      <w:lvlJc w:val="left"/>
      <w:pPr>
        <w:ind w:left="3524" w:hanging="360"/>
      </w:pPr>
      <w:rPr>
        <w:rFonts w:ascii="Courier New" w:hAnsi="Courier New" w:cs="Courier New" w:hint="default"/>
      </w:rPr>
    </w:lvl>
    <w:lvl w:ilvl="5" w:tplc="080A0005">
      <w:start w:val="1"/>
      <w:numFmt w:val="bullet"/>
      <w:lvlText w:val=""/>
      <w:lvlJc w:val="left"/>
      <w:pPr>
        <w:ind w:left="4244" w:hanging="360"/>
      </w:pPr>
      <w:rPr>
        <w:rFonts w:ascii="Wingdings" w:hAnsi="Wingdings" w:hint="default"/>
      </w:rPr>
    </w:lvl>
    <w:lvl w:ilvl="6" w:tplc="080A0001">
      <w:start w:val="1"/>
      <w:numFmt w:val="bullet"/>
      <w:lvlText w:val=""/>
      <w:lvlJc w:val="left"/>
      <w:pPr>
        <w:ind w:left="4964" w:hanging="360"/>
      </w:pPr>
      <w:rPr>
        <w:rFonts w:ascii="Symbol" w:hAnsi="Symbol" w:hint="default"/>
      </w:rPr>
    </w:lvl>
    <w:lvl w:ilvl="7" w:tplc="080A0003">
      <w:start w:val="1"/>
      <w:numFmt w:val="bullet"/>
      <w:lvlText w:val="o"/>
      <w:lvlJc w:val="left"/>
      <w:pPr>
        <w:ind w:left="5684" w:hanging="360"/>
      </w:pPr>
      <w:rPr>
        <w:rFonts w:ascii="Courier New" w:hAnsi="Courier New" w:cs="Courier New" w:hint="default"/>
      </w:rPr>
    </w:lvl>
    <w:lvl w:ilvl="8" w:tplc="080A0005">
      <w:start w:val="1"/>
      <w:numFmt w:val="bullet"/>
      <w:lvlText w:val=""/>
      <w:lvlJc w:val="left"/>
      <w:pPr>
        <w:ind w:left="6404" w:hanging="360"/>
      </w:pPr>
      <w:rPr>
        <w:rFonts w:ascii="Wingdings" w:hAnsi="Wingdings" w:hint="default"/>
      </w:rPr>
    </w:lvl>
  </w:abstractNum>
  <w:abstractNum w:abstractNumId="31" w15:restartNumberingAfterBreak="0">
    <w:nsid w:val="50E644AA"/>
    <w:multiLevelType w:val="hybridMultilevel"/>
    <w:tmpl w:val="D318F736"/>
    <w:lvl w:ilvl="0" w:tplc="A51CC6C0">
      <w:start w:val="1"/>
      <w:numFmt w:val="bullet"/>
      <w:lvlText w:val=""/>
      <w:lvlJc w:val="left"/>
      <w:pPr>
        <w:ind w:left="720" w:hanging="360"/>
      </w:pPr>
      <w:rPr>
        <w:rFonts w:ascii="Symbol" w:hAnsi="Symbol" w:hint="default"/>
        <w:b/>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66450E"/>
    <w:multiLevelType w:val="hybridMultilevel"/>
    <w:tmpl w:val="5D6A32D4"/>
    <w:lvl w:ilvl="0" w:tplc="C9AEA70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C31B73"/>
    <w:multiLevelType w:val="hybridMultilevel"/>
    <w:tmpl w:val="68B20372"/>
    <w:lvl w:ilvl="0" w:tplc="080A000F">
      <w:start w:val="1"/>
      <w:numFmt w:val="decimal"/>
      <w:lvlText w:val="%1."/>
      <w:lvlJc w:val="left"/>
      <w:pPr>
        <w:ind w:left="720" w:hanging="360"/>
      </w:pPr>
      <w:rPr>
        <w:rFont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594EB6"/>
    <w:multiLevelType w:val="hybridMultilevel"/>
    <w:tmpl w:val="E30A7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9D5C4A"/>
    <w:multiLevelType w:val="hybridMultilevel"/>
    <w:tmpl w:val="7E3AF7B4"/>
    <w:lvl w:ilvl="0" w:tplc="080A000D">
      <w:start w:val="1"/>
      <w:numFmt w:val="bullet"/>
      <w:lvlText w:val=""/>
      <w:lvlJc w:val="left"/>
      <w:pPr>
        <w:ind w:left="1570" w:hanging="360"/>
      </w:pPr>
      <w:rPr>
        <w:rFonts w:ascii="Wingdings" w:hAnsi="Wingding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580F67"/>
    <w:multiLevelType w:val="hybridMultilevel"/>
    <w:tmpl w:val="0A408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1952361"/>
    <w:multiLevelType w:val="hybridMultilevel"/>
    <w:tmpl w:val="0FC07610"/>
    <w:lvl w:ilvl="0" w:tplc="A9F4AA8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7" w15:restartNumberingAfterBreak="0">
    <w:nsid w:val="7BAD01A5"/>
    <w:multiLevelType w:val="hybridMultilevel"/>
    <w:tmpl w:val="4B44F1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12"/>
  </w:num>
  <w:num w:numId="4">
    <w:abstractNumId w:val="28"/>
  </w:num>
  <w:num w:numId="5">
    <w:abstractNumId w:val="39"/>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6"/>
  </w:num>
  <w:num w:numId="10">
    <w:abstractNumId w:val="13"/>
  </w:num>
  <w:num w:numId="11">
    <w:abstractNumId w:val="11"/>
  </w:num>
  <w:num w:numId="12">
    <w:abstractNumId w:val="0"/>
  </w:num>
  <w:num w:numId="13">
    <w:abstractNumId w:val="44"/>
  </w:num>
  <w:num w:numId="14">
    <w:abstractNumId w:val="4"/>
  </w:num>
  <w:num w:numId="15">
    <w:abstractNumId w:val="6"/>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0"/>
  </w:num>
  <w:num w:numId="19">
    <w:abstractNumId w:val="7"/>
  </w:num>
  <w:num w:numId="20">
    <w:abstractNumId w:val="27"/>
  </w:num>
  <w:num w:numId="21">
    <w:abstractNumId w:val="25"/>
  </w:num>
  <w:num w:numId="22">
    <w:abstractNumId w:val="37"/>
  </w:num>
  <w:num w:numId="23">
    <w:abstractNumId w:val="40"/>
  </w:num>
  <w:num w:numId="24">
    <w:abstractNumId w:val="38"/>
  </w:num>
  <w:num w:numId="25">
    <w:abstractNumId w:val="2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6"/>
  </w:num>
  <w:num w:numId="29">
    <w:abstractNumId w:val="14"/>
  </w:num>
  <w:num w:numId="30">
    <w:abstractNumId w:val="18"/>
  </w:num>
  <w:num w:numId="31">
    <w:abstractNumId w:val="42"/>
  </w:num>
  <w:num w:numId="32">
    <w:abstractNumId w:val="2"/>
  </w:num>
  <w:num w:numId="33">
    <w:abstractNumId w:val="32"/>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3"/>
  </w:num>
  <w:num w:numId="37">
    <w:abstractNumId w:val="47"/>
  </w:num>
  <w:num w:numId="38">
    <w:abstractNumId w:val="29"/>
  </w:num>
  <w:num w:numId="39">
    <w:abstractNumId w:val="15"/>
  </w:num>
  <w:num w:numId="40">
    <w:abstractNumId w:val="22"/>
  </w:num>
  <w:num w:numId="41">
    <w:abstractNumId w:val="8"/>
  </w:num>
  <w:num w:numId="42">
    <w:abstractNumId w:val="33"/>
  </w:num>
  <w:num w:numId="43">
    <w:abstractNumId w:val="3"/>
  </w:num>
  <w:num w:numId="44">
    <w:abstractNumId w:val="34"/>
  </w:num>
  <w:num w:numId="45">
    <w:abstractNumId w:val="31"/>
  </w:num>
  <w:num w:numId="46">
    <w:abstractNumId w:val="16"/>
  </w:num>
  <w:num w:numId="47">
    <w:abstractNumId w:val="35"/>
  </w:num>
  <w:num w:numId="48">
    <w:abstractNumId w:val="30"/>
  </w:num>
  <w:num w:numId="49">
    <w:abstractNumId w:val="9"/>
  </w:num>
  <w:num w:numId="50">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09"/>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0EC8"/>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509"/>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843"/>
    <w:rsid w:val="00077AC1"/>
    <w:rsid w:val="00077B79"/>
    <w:rsid w:val="00077BB8"/>
    <w:rsid w:val="00077BC0"/>
    <w:rsid w:val="0008043B"/>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2B"/>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3CDC"/>
    <w:rsid w:val="00104A6F"/>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339"/>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BB9"/>
    <w:rsid w:val="0014538F"/>
    <w:rsid w:val="00145F32"/>
    <w:rsid w:val="00146317"/>
    <w:rsid w:val="00146D8A"/>
    <w:rsid w:val="001471C8"/>
    <w:rsid w:val="0014732A"/>
    <w:rsid w:val="00147CC8"/>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F8"/>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1D9C"/>
    <w:rsid w:val="00192B47"/>
    <w:rsid w:val="0019369B"/>
    <w:rsid w:val="00193D12"/>
    <w:rsid w:val="00194579"/>
    <w:rsid w:val="0019504F"/>
    <w:rsid w:val="00195288"/>
    <w:rsid w:val="0019536A"/>
    <w:rsid w:val="00195609"/>
    <w:rsid w:val="00195662"/>
    <w:rsid w:val="00195F6E"/>
    <w:rsid w:val="001962AC"/>
    <w:rsid w:val="00196A42"/>
    <w:rsid w:val="00196F12"/>
    <w:rsid w:val="00197E56"/>
    <w:rsid w:val="001A0054"/>
    <w:rsid w:val="001A14F4"/>
    <w:rsid w:val="001A19AF"/>
    <w:rsid w:val="001A1D0F"/>
    <w:rsid w:val="001A2717"/>
    <w:rsid w:val="001A280D"/>
    <w:rsid w:val="001A2917"/>
    <w:rsid w:val="001A2C39"/>
    <w:rsid w:val="001A2CBD"/>
    <w:rsid w:val="001A3095"/>
    <w:rsid w:val="001A328E"/>
    <w:rsid w:val="001A397C"/>
    <w:rsid w:val="001A3DEA"/>
    <w:rsid w:val="001A3FEF"/>
    <w:rsid w:val="001A43AC"/>
    <w:rsid w:val="001A4549"/>
    <w:rsid w:val="001A474B"/>
    <w:rsid w:val="001A5211"/>
    <w:rsid w:val="001A53FA"/>
    <w:rsid w:val="001A59B8"/>
    <w:rsid w:val="001A78D9"/>
    <w:rsid w:val="001B0393"/>
    <w:rsid w:val="001B0793"/>
    <w:rsid w:val="001B1253"/>
    <w:rsid w:val="001B125C"/>
    <w:rsid w:val="001B12D9"/>
    <w:rsid w:val="001B1590"/>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14"/>
    <w:rsid w:val="001D4F82"/>
    <w:rsid w:val="001D4FCB"/>
    <w:rsid w:val="001D52D2"/>
    <w:rsid w:val="001D55E8"/>
    <w:rsid w:val="001D5716"/>
    <w:rsid w:val="001D5BD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72A"/>
    <w:rsid w:val="00210956"/>
    <w:rsid w:val="00210AF1"/>
    <w:rsid w:val="00212797"/>
    <w:rsid w:val="00212AD4"/>
    <w:rsid w:val="00212CDA"/>
    <w:rsid w:val="00212E8D"/>
    <w:rsid w:val="00213125"/>
    <w:rsid w:val="00213EBF"/>
    <w:rsid w:val="002141DB"/>
    <w:rsid w:val="00214E35"/>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2332"/>
    <w:rsid w:val="0023279B"/>
    <w:rsid w:val="00232BCF"/>
    <w:rsid w:val="0023377D"/>
    <w:rsid w:val="00233ECF"/>
    <w:rsid w:val="00233F58"/>
    <w:rsid w:val="002341CE"/>
    <w:rsid w:val="00234622"/>
    <w:rsid w:val="0023487A"/>
    <w:rsid w:val="0023574C"/>
    <w:rsid w:val="00235E84"/>
    <w:rsid w:val="002362D3"/>
    <w:rsid w:val="00236ABB"/>
    <w:rsid w:val="002373B0"/>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6C5"/>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FC6"/>
    <w:rsid w:val="002766F9"/>
    <w:rsid w:val="00277316"/>
    <w:rsid w:val="00277453"/>
    <w:rsid w:val="00277DD9"/>
    <w:rsid w:val="0028019C"/>
    <w:rsid w:val="0028167B"/>
    <w:rsid w:val="0028192C"/>
    <w:rsid w:val="00281AA4"/>
    <w:rsid w:val="0028266C"/>
    <w:rsid w:val="00282679"/>
    <w:rsid w:val="00283424"/>
    <w:rsid w:val="002843D9"/>
    <w:rsid w:val="00284DF5"/>
    <w:rsid w:val="0028546D"/>
    <w:rsid w:val="002864B2"/>
    <w:rsid w:val="00286B88"/>
    <w:rsid w:val="00286DE5"/>
    <w:rsid w:val="00287E1C"/>
    <w:rsid w:val="00290904"/>
    <w:rsid w:val="00290C11"/>
    <w:rsid w:val="00290C9B"/>
    <w:rsid w:val="002910B6"/>
    <w:rsid w:val="00291CD6"/>
    <w:rsid w:val="00292081"/>
    <w:rsid w:val="002922B7"/>
    <w:rsid w:val="00292588"/>
    <w:rsid w:val="00292DCD"/>
    <w:rsid w:val="002930AD"/>
    <w:rsid w:val="002930C5"/>
    <w:rsid w:val="002930F8"/>
    <w:rsid w:val="002931A0"/>
    <w:rsid w:val="0029397F"/>
    <w:rsid w:val="00293F4A"/>
    <w:rsid w:val="00294BD2"/>
    <w:rsid w:val="00294EE7"/>
    <w:rsid w:val="002966ED"/>
    <w:rsid w:val="00296F09"/>
    <w:rsid w:val="00297165"/>
    <w:rsid w:val="00297453"/>
    <w:rsid w:val="00297A56"/>
    <w:rsid w:val="002A0A30"/>
    <w:rsid w:val="002A0D34"/>
    <w:rsid w:val="002A0DD8"/>
    <w:rsid w:val="002A1156"/>
    <w:rsid w:val="002A1348"/>
    <w:rsid w:val="002A157A"/>
    <w:rsid w:val="002A16E7"/>
    <w:rsid w:val="002A2174"/>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B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82D"/>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96E"/>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5B0"/>
    <w:rsid w:val="003576E8"/>
    <w:rsid w:val="00357994"/>
    <w:rsid w:val="0036004B"/>
    <w:rsid w:val="003604BD"/>
    <w:rsid w:val="003604F7"/>
    <w:rsid w:val="003605BA"/>
    <w:rsid w:val="00360675"/>
    <w:rsid w:val="003622CB"/>
    <w:rsid w:val="003628F4"/>
    <w:rsid w:val="0036306A"/>
    <w:rsid w:val="003638D1"/>
    <w:rsid w:val="00364628"/>
    <w:rsid w:val="00364BC7"/>
    <w:rsid w:val="00365921"/>
    <w:rsid w:val="00365DB3"/>
    <w:rsid w:val="00366317"/>
    <w:rsid w:val="003663F5"/>
    <w:rsid w:val="00366DDB"/>
    <w:rsid w:val="00367536"/>
    <w:rsid w:val="0036781E"/>
    <w:rsid w:val="00367DBB"/>
    <w:rsid w:val="00367DDA"/>
    <w:rsid w:val="00370582"/>
    <w:rsid w:val="00370A22"/>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90C"/>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6259"/>
    <w:rsid w:val="003B7AA0"/>
    <w:rsid w:val="003C0396"/>
    <w:rsid w:val="003C04E5"/>
    <w:rsid w:val="003C0544"/>
    <w:rsid w:val="003C0560"/>
    <w:rsid w:val="003C0C03"/>
    <w:rsid w:val="003C0C4B"/>
    <w:rsid w:val="003C0F0A"/>
    <w:rsid w:val="003C20B9"/>
    <w:rsid w:val="003C22CD"/>
    <w:rsid w:val="003C2568"/>
    <w:rsid w:val="003C27DB"/>
    <w:rsid w:val="003C3640"/>
    <w:rsid w:val="003C3ACE"/>
    <w:rsid w:val="003C3D09"/>
    <w:rsid w:val="003C492A"/>
    <w:rsid w:val="003C549A"/>
    <w:rsid w:val="003C582F"/>
    <w:rsid w:val="003C5AD5"/>
    <w:rsid w:val="003C5BE8"/>
    <w:rsid w:val="003C5FA2"/>
    <w:rsid w:val="003C653B"/>
    <w:rsid w:val="003C65F0"/>
    <w:rsid w:val="003C687A"/>
    <w:rsid w:val="003C69A3"/>
    <w:rsid w:val="003C718E"/>
    <w:rsid w:val="003C736B"/>
    <w:rsid w:val="003D1122"/>
    <w:rsid w:val="003D1518"/>
    <w:rsid w:val="003D1C17"/>
    <w:rsid w:val="003D23E8"/>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6D5"/>
    <w:rsid w:val="003D5A25"/>
    <w:rsid w:val="003D5BE3"/>
    <w:rsid w:val="003D606B"/>
    <w:rsid w:val="003D63D4"/>
    <w:rsid w:val="003D63E5"/>
    <w:rsid w:val="003D6B0A"/>
    <w:rsid w:val="003D6DCE"/>
    <w:rsid w:val="003D6FAE"/>
    <w:rsid w:val="003D74A1"/>
    <w:rsid w:val="003D7948"/>
    <w:rsid w:val="003E05C7"/>
    <w:rsid w:val="003E0F14"/>
    <w:rsid w:val="003E1926"/>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442"/>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07AD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50388"/>
    <w:rsid w:val="00451252"/>
    <w:rsid w:val="00451491"/>
    <w:rsid w:val="00451515"/>
    <w:rsid w:val="00452910"/>
    <w:rsid w:val="00453185"/>
    <w:rsid w:val="004536A9"/>
    <w:rsid w:val="0045460F"/>
    <w:rsid w:val="00454B3A"/>
    <w:rsid w:val="00455095"/>
    <w:rsid w:val="00455213"/>
    <w:rsid w:val="00455350"/>
    <w:rsid w:val="00456B3B"/>
    <w:rsid w:val="00456EDA"/>
    <w:rsid w:val="004577F1"/>
    <w:rsid w:val="00457A14"/>
    <w:rsid w:val="00457EEE"/>
    <w:rsid w:val="00460083"/>
    <w:rsid w:val="00460A6E"/>
    <w:rsid w:val="00461C58"/>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87A"/>
    <w:rsid w:val="004A088B"/>
    <w:rsid w:val="004A101A"/>
    <w:rsid w:val="004A1423"/>
    <w:rsid w:val="004A148B"/>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DE3"/>
    <w:rsid w:val="00515E79"/>
    <w:rsid w:val="00516405"/>
    <w:rsid w:val="00517F8D"/>
    <w:rsid w:val="00520615"/>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86D"/>
    <w:rsid w:val="0053312C"/>
    <w:rsid w:val="00533289"/>
    <w:rsid w:val="005339AC"/>
    <w:rsid w:val="005342F7"/>
    <w:rsid w:val="00534597"/>
    <w:rsid w:val="0053469A"/>
    <w:rsid w:val="00534847"/>
    <w:rsid w:val="005349EA"/>
    <w:rsid w:val="0053543F"/>
    <w:rsid w:val="005356F6"/>
    <w:rsid w:val="0053596E"/>
    <w:rsid w:val="00535997"/>
    <w:rsid w:val="0053600D"/>
    <w:rsid w:val="005363B1"/>
    <w:rsid w:val="00536915"/>
    <w:rsid w:val="00536A93"/>
    <w:rsid w:val="00536B5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0E"/>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3F1"/>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5F8"/>
    <w:rsid w:val="00581F80"/>
    <w:rsid w:val="0058283F"/>
    <w:rsid w:val="00583151"/>
    <w:rsid w:val="00583CBF"/>
    <w:rsid w:val="00583FFA"/>
    <w:rsid w:val="005843B8"/>
    <w:rsid w:val="00584500"/>
    <w:rsid w:val="00585436"/>
    <w:rsid w:val="0058673A"/>
    <w:rsid w:val="00586A9F"/>
    <w:rsid w:val="00586C12"/>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75B7"/>
    <w:rsid w:val="005A0144"/>
    <w:rsid w:val="005A0B26"/>
    <w:rsid w:val="005A0DD9"/>
    <w:rsid w:val="005A14E6"/>
    <w:rsid w:val="005A1BA8"/>
    <w:rsid w:val="005A1F9F"/>
    <w:rsid w:val="005A2186"/>
    <w:rsid w:val="005A2346"/>
    <w:rsid w:val="005A2851"/>
    <w:rsid w:val="005A350C"/>
    <w:rsid w:val="005A3909"/>
    <w:rsid w:val="005A4B84"/>
    <w:rsid w:val="005A4D1B"/>
    <w:rsid w:val="005A523C"/>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442E"/>
    <w:rsid w:val="005B6571"/>
    <w:rsid w:val="005B6997"/>
    <w:rsid w:val="005B6AFF"/>
    <w:rsid w:val="005B6C71"/>
    <w:rsid w:val="005B70A2"/>
    <w:rsid w:val="005B7AD1"/>
    <w:rsid w:val="005C0DCA"/>
    <w:rsid w:val="005C1FEE"/>
    <w:rsid w:val="005C21E7"/>
    <w:rsid w:val="005C25EA"/>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E19"/>
    <w:rsid w:val="005D0128"/>
    <w:rsid w:val="005D0A47"/>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35FF"/>
    <w:rsid w:val="005F4830"/>
    <w:rsid w:val="005F4A88"/>
    <w:rsid w:val="005F50D7"/>
    <w:rsid w:val="005F54BC"/>
    <w:rsid w:val="005F565C"/>
    <w:rsid w:val="005F56AF"/>
    <w:rsid w:val="005F6AA0"/>
    <w:rsid w:val="005F70A9"/>
    <w:rsid w:val="00601150"/>
    <w:rsid w:val="006011C5"/>
    <w:rsid w:val="00601329"/>
    <w:rsid w:val="006017E2"/>
    <w:rsid w:val="00602A6F"/>
    <w:rsid w:val="00603B79"/>
    <w:rsid w:val="006044B8"/>
    <w:rsid w:val="00604940"/>
    <w:rsid w:val="00604AE6"/>
    <w:rsid w:val="00605BE2"/>
    <w:rsid w:val="00605D41"/>
    <w:rsid w:val="00605DE1"/>
    <w:rsid w:val="0060628C"/>
    <w:rsid w:val="006064F4"/>
    <w:rsid w:val="00606759"/>
    <w:rsid w:val="00607554"/>
    <w:rsid w:val="006079D6"/>
    <w:rsid w:val="00607B93"/>
    <w:rsid w:val="00610C11"/>
    <w:rsid w:val="00610D0E"/>
    <w:rsid w:val="00611280"/>
    <w:rsid w:val="00611B99"/>
    <w:rsid w:val="00611C39"/>
    <w:rsid w:val="00612329"/>
    <w:rsid w:val="00612635"/>
    <w:rsid w:val="00612762"/>
    <w:rsid w:val="006129FE"/>
    <w:rsid w:val="00612BD9"/>
    <w:rsid w:val="00612E97"/>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32F"/>
    <w:rsid w:val="0061758F"/>
    <w:rsid w:val="0062069D"/>
    <w:rsid w:val="00621604"/>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92A"/>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3AED"/>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30C"/>
    <w:rsid w:val="006545A1"/>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4E6"/>
    <w:rsid w:val="0069069F"/>
    <w:rsid w:val="00690B17"/>
    <w:rsid w:val="00691932"/>
    <w:rsid w:val="00691BE0"/>
    <w:rsid w:val="00692F64"/>
    <w:rsid w:val="006930D5"/>
    <w:rsid w:val="00693490"/>
    <w:rsid w:val="00693878"/>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412"/>
    <w:rsid w:val="006A1546"/>
    <w:rsid w:val="006A1AF4"/>
    <w:rsid w:val="006A1BFC"/>
    <w:rsid w:val="006A1FD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03E"/>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3B04"/>
    <w:rsid w:val="006D4392"/>
    <w:rsid w:val="006D4A76"/>
    <w:rsid w:val="006D4D7E"/>
    <w:rsid w:val="006D5B86"/>
    <w:rsid w:val="006D6201"/>
    <w:rsid w:val="006D6E39"/>
    <w:rsid w:val="006D7EA2"/>
    <w:rsid w:val="006D7EEB"/>
    <w:rsid w:val="006D7F59"/>
    <w:rsid w:val="006E0836"/>
    <w:rsid w:val="006E1976"/>
    <w:rsid w:val="006E1BB0"/>
    <w:rsid w:val="006E2588"/>
    <w:rsid w:val="006E25F7"/>
    <w:rsid w:val="006E316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122"/>
    <w:rsid w:val="0070528E"/>
    <w:rsid w:val="00705741"/>
    <w:rsid w:val="00706383"/>
    <w:rsid w:val="0070656A"/>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48E4"/>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0941"/>
    <w:rsid w:val="007615FB"/>
    <w:rsid w:val="00761A77"/>
    <w:rsid w:val="007626AB"/>
    <w:rsid w:val="00762EBE"/>
    <w:rsid w:val="007631BF"/>
    <w:rsid w:val="007631D9"/>
    <w:rsid w:val="007636B4"/>
    <w:rsid w:val="007637A7"/>
    <w:rsid w:val="007637D6"/>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491"/>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4F31"/>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F88"/>
    <w:rsid w:val="00820488"/>
    <w:rsid w:val="00820B21"/>
    <w:rsid w:val="00820B9B"/>
    <w:rsid w:val="00820D1B"/>
    <w:rsid w:val="00820D3B"/>
    <w:rsid w:val="00822643"/>
    <w:rsid w:val="0082293F"/>
    <w:rsid w:val="00822E25"/>
    <w:rsid w:val="008236E8"/>
    <w:rsid w:val="00823C4B"/>
    <w:rsid w:val="00824389"/>
    <w:rsid w:val="00824392"/>
    <w:rsid w:val="008245DA"/>
    <w:rsid w:val="008256D6"/>
    <w:rsid w:val="0082576A"/>
    <w:rsid w:val="00826BFD"/>
    <w:rsid w:val="00827092"/>
    <w:rsid w:val="0082710A"/>
    <w:rsid w:val="008271FF"/>
    <w:rsid w:val="00827366"/>
    <w:rsid w:val="00827A68"/>
    <w:rsid w:val="008306AF"/>
    <w:rsid w:val="00830EC9"/>
    <w:rsid w:val="008312E0"/>
    <w:rsid w:val="00831D36"/>
    <w:rsid w:val="00831DA4"/>
    <w:rsid w:val="00831EB3"/>
    <w:rsid w:val="00831FA8"/>
    <w:rsid w:val="00831FBF"/>
    <w:rsid w:val="008320A5"/>
    <w:rsid w:val="00832409"/>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70"/>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233"/>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2E6F"/>
    <w:rsid w:val="0089336B"/>
    <w:rsid w:val="00893451"/>
    <w:rsid w:val="008950DB"/>
    <w:rsid w:val="008950DD"/>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372"/>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AAB"/>
    <w:rsid w:val="008F1EC6"/>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54F7"/>
    <w:rsid w:val="00905581"/>
    <w:rsid w:val="00905693"/>
    <w:rsid w:val="00905A1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AC4"/>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2EB"/>
    <w:rsid w:val="00923640"/>
    <w:rsid w:val="00923900"/>
    <w:rsid w:val="00923E33"/>
    <w:rsid w:val="00923E4E"/>
    <w:rsid w:val="00923E89"/>
    <w:rsid w:val="009246E5"/>
    <w:rsid w:val="00926554"/>
    <w:rsid w:val="00926BCF"/>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234"/>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718"/>
    <w:rsid w:val="009C2BF8"/>
    <w:rsid w:val="009C2DCB"/>
    <w:rsid w:val="009C34D3"/>
    <w:rsid w:val="009C36D2"/>
    <w:rsid w:val="009C44F7"/>
    <w:rsid w:val="009C4844"/>
    <w:rsid w:val="009C4EB4"/>
    <w:rsid w:val="009C53F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63"/>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D7"/>
    <w:rsid w:val="00A00B3D"/>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86B"/>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384"/>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60FD"/>
    <w:rsid w:val="00A56129"/>
    <w:rsid w:val="00A56AE1"/>
    <w:rsid w:val="00A57335"/>
    <w:rsid w:val="00A57AD7"/>
    <w:rsid w:val="00A57C21"/>
    <w:rsid w:val="00A57CBA"/>
    <w:rsid w:val="00A57EAE"/>
    <w:rsid w:val="00A6054B"/>
    <w:rsid w:val="00A60552"/>
    <w:rsid w:val="00A60B7A"/>
    <w:rsid w:val="00A61848"/>
    <w:rsid w:val="00A61970"/>
    <w:rsid w:val="00A62001"/>
    <w:rsid w:val="00A6216D"/>
    <w:rsid w:val="00A62F19"/>
    <w:rsid w:val="00A6338B"/>
    <w:rsid w:val="00A63567"/>
    <w:rsid w:val="00A635DE"/>
    <w:rsid w:val="00A63958"/>
    <w:rsid w:val="00A640E4"/>
    <w:rsid w:val="00A6429F"/>
    <w:rsid w:val="00A64752"/>
    <w:rsid w:val="00A651C5"/>
    <w:rsid w:val="00A65B4D"/>
    <w:rsid w:val="00A65C19"/>
    <w:rsid w:val="00A65D16"/>
    <w:rsid w:val="00A66398"/>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D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B0425"/>
    <w:rsid w:val="00AB0613"/>
    <w:rsid w:val="00AB0711"/>
    <w:rsid w:val="00AB0828"/>
    <w:rsid w:val="00AB08A3"/>
    <w:rsid w:val="00AB159D"/>
    <w:rsid w:val="00AB17BA"/>
    <w:rsid w:val="00AB1847"/>
    <w:rsid w:val="00AB272D"/>
    <w:rsid w:val="00AB2802"/>
    <w:rsid w:val="00AB2C63"/>
    <w:rsid w:val="00AB412E"/>
    <w:rsid w:val="00AB49D4"/>
    <w:rsid w:val="00AB4B9D"/>
    <w:rsid w:val="00AB4D70"/>
    <w:rsid w:val="00AB4E3C"/>
    <w:rsid w:val="00AB5702"/>
    <w:rsid w:val="00AB61B4"/>
    <w:rsid w:val="00AB64B8"/>
    <w:rsid w:val="00AB6C73"/>
    <w:rsid w:val="00AB7158"/>
    <w:rsid w:val="00AB7563"/>
    <w:rsid w:val="00AB76BB"/>
    <w:rsid w:val="00AB78FA"/>
    <w:rsid w:val="00AB7D26"/>
    <w:rsid w:val="00AB7E4F"/>
    <w:rsid w:val="00AC0987"/>
    <w:rsid w:val="00AC0B68"/>
    <w:rsid w:val="00AC0C4F"/>
    <w:rsid w:val="00AC11DF"/>
    <w:rsid w:val="00AC137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92"/>
    <w:rsid w:val="00AE07B5"/>
    <w:rsid w:val="00AE11AA"/>
    <w:rsid w:val="00AE18D5"/>
    <w:rsid w:val="00AE26E7"/>
    <w:rsid w:val="00AE27B1"/>
    <w:rsid w:val="00AE281B"/>
    <w:rsid w:val="00AE2FE6"/>
    <w:rsid w:val="00AE32FA"/>
    <w:rsid w:val="00AE3DC4"/>
    <w:rsid w:val="00AE4585"/>
    <w:rsid w:val="00AE45DB"/>
    <w:rsid w:val="00AE4B07"/>
    <w:rsid w:val="00AE5306"/>
    <w:rsid w:val="00AE67F7"/>
    <w:rsid w:val="00AE6C84"/>
    <w:rsid w:val="00AE6EA9"/>
    <w:rsid w:val="00AE6F5F"/>
    <w:rsid w:val="00AE7F1F"/>
    <w:rsid w:val="00AE7F31"/>
    <w:rsid w:val="00AF0034"/>
    <w:rsid w:val="00AF0113"/>
    <w:rsid w:val="00AF0FAB"/>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0F6"/>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275"/>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28C"/>
    <w:rsid w:val="00B33EC7"/>
    <w:rsid w:val="00B33F56"/>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7D62"/>
    <w:rsid w:val="00B57E2A"/>
    <w:rsid w:val="00B57FE5"/>
    <w:rsid w:val="00B600B2"/>
    <w:rsid w:val="00B61C6C"/>
    <w:rsid w:val="00B621C6"/>
    <w:rsid w:val="00B626DA"/>
    <w:rsid w:val="00B62A7E"/>
    <w:rsid w:val="00B62E37"/>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921"/>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3809"/>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679"/>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173C"/>
    <w:rsid w:val="00BE214A"/>
    <w:rsid w:val="00BE215C"/>
    <w:rsid w:val="00BE21C7"/>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98B"/>
    <w:rsid w:val="00BF242E"/>
    <w:rsid w:val="00BF26E9"/>
    <w:rsid w:val="00BF2E72"/>
    <w:rsid w:val="00BF402A"/>
    <w:rsid w:val="00BF4087"/>
    <w:rsid w:val="00BF4931"/>
    <w:rsid w:val="00BF49C6"/>
    <w:rsid w:val="00BF4B60"/>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1ADE"/>
    <w:rsid w:val="00C125A7"/>
    <w:rsid w:val="00C12D95"/>
    <w:rsid w:val="00C13E34"/>
    <w:rsid w:val="00C1421C"/>
    <w:rsid w:val="00C145C7"/>
    <w:rsid w:val="00C14943"/>
    <w:rsid w:val="00C14A98"/>
    <w:rsid w:val="00C14B05"/>
    <w:rsid w:val="00C152A8"/>
    <w:rsid w:val="00C15C58"/>
    <w:rsid w:val="00C16092"/>
    <w:rsid w:val="00C162C5"/>
    <w:rsid w:val="00C16DE2"/>
    <w:rsid w:val="00C171C5"/>
    <w:rsid w:val="00C17639"/>
    <w:rsid w:val="00C17A7C"/>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54BF"/>
    <w:rsid w:val="00C5558D"/>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33B"/>
    <w:rsid w:val="00C724A7"/>
    <w:rsid w:val="00C7267B"/>
    <w:rsid w:val="00C7292C"/>
    <w:rsid w:val="00C72FC7"/>
    <w:rsid w:val="00C73084"/>
    <w:rsid w:val="00C733DB"/>
    <w:rsid w:val="00C748B8"/>
    <w:rsid w:val="00C74D84"/>
    <w:rsid w:val="00C75787"/>
    <w:rsid w:val="00C75A16"/>
    <w:rsid w:val="00C75EC5"/>
    <w:rsid w:val="00C75F3B"/>
    <w:rsid w:val="00C765CD"/>
    <w:rsid w:val="00C7692D"/>
    <w:rsid w:val="00C7715E"/>
    <w:rsid w:val="00C7788E"/>
    <w:rsid w:val="00C778B4"/>
    <w:rsid w:val="00C779D8"/>
    <w:rsid w:val="00C77AAA"/>
    <w:rsid w:val="00C801B1"/>
    <w:rsid w:val="00C804BE"/>
    <w:rsid w:val="00C80F8C"/>
    <w:rsid w:val="00C813CF"/>
    <w:rsid w:val="00C8219A"/>
    <w:rsid w:val="00C83386"/>
    <w:rsid w:val="00C835BF"/>
    <w:rsid w:val="00C83685"/>
    <w:rsid w:val="00C842E4"/>
    <w:rsid w:val="00C8430A"/>
    <w:rsid w:val="00C843CE"/>
    <w:rsid w:val="00C8477B"/>
    <w:rsid w:val="00C84D0D"/>
    <w:rsid w:val="00C857D8"/>
    <w:rsid w:val="00C85EF1"/>
    <w:rsid w:val="00C85FDE"/>
    <w:rsid w:val="00C86B63"/>
    <w:rsid w:val="00C86D8E"/>
    <w:rsid w:val="00C86DC7"/>
    <w:rsid w:val="00C86DDC"/>
    <w:rsid w:val="00C874FB"/>
    <w:rsid w:val="00C87924"/>
    <w:rsid w:val="00C9040D"/>
    <w:rsid w:val="00C90729"/>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4B0"/>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542"/>
    <w:rsid w:val="00CC2167"/>
    <w:rsid w:val="00CC2ADC"/>
    <w:rsid w:val="00CC3126"/>
    <w:rsid w:val="00CC369E"/>
    <w:rsid w:val="00CC3E12"/>
    <w:rsid w:val="00CC4476"/>
    <w:rsid w:val="00CC45D7"/>
    <w:rsid w:val="00CC4AB6"/>
    <w:rsid w:val="00CC4D5D"/>
    <w:rsid w:val="00CC5104"/>
    <w:rsid w:val="00CC52FF"/>
    <w:rsid w:val="00CC53DC"/>
    <w:rsid w:val="00CC55EF"/>
    <w:rsid w:val="00CC56D5"/>
    <w:rsid w:val="00CC5913"/>
    <w:rsid w:val="00CC5CB4"/>
    <w:rsid w:val="00CC5E0D"/>
    <w:rsid w:val="00CC5E19"/>
    <w:rsid w:val="00CC5E84"/>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1F82"/>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802"/>
    <w:rsid w:val="00D26BC0"/>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271"/>
    <w:rsid w:val="00D546AD"/>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4FF1"/>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CC2"/>
    <w:rsid w:val="00D84F12"/>
    <w:rsid w:val="00D8682D"/>
    <w:rsid w:val="00D869A7"/>
    <w:rsid w:val="00D86DB5"/>
    <w:rsid w:val="00D87A8E"/>
    <w:rsid w:val="00D9016A"/>
    <w:rsid w:val="00D90507"/>
    <w:rsid w:val="00D90A80"/>
    <w:rsid w:val="00D90A8B"/>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E1A"/>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0FD4"/>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6E"/>
    <w:rsid w:val="00E52DD5"/>
    <w:rsid w:val="00E5313E"/>
    <w:rsid w:val="00E53410"/>
    <w:rsid w:val="00E53498"/>
    <w:rsid w:val="00E53979"/>
    <w:rsid w:val="00E5460E"/>
    <w:rsid w:val="00E5559D"/>
    <w:rsid w:val="00E55C0B"/>
    <w:rsid w:val="00E55CC0"/>
    <w:rsid w:val="00E5610C"/>
    <w:rsid w:val="00E5626A"/>
    <w:rsid w:val="00E5676C"/>
    <w:rsid w:val="00E567FC"/>
    <w:rsid w:val="00E56E8D"/>
    <w:rsid w:val="00E56EE0"/>
    <w:rsid w:val="00E573F7"/>
    <w:rsid w:val="00E6045D"/>
    <w:rsid w:val="00E60873"/>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5D0"/>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6BA"/>
    <w:rsid w:val="00E9151F"/>
    <w:rsid w:val="00E91588"/>
    <w:rsid w:val="00E915CC"/>
    <w:rsid w:val="00E91D9A"/>
    <w:rsid w:val="00E9246E"/>
    <w:rsid w:val="00E92585"/>
    <w:rsid w:val="00E925FB"/>
    <w:rsid w:val="00E9369B"/>
    <w:rsid w:val="00E947D0"/>
    <w:rsid w:val="00E94F26"/>
    <w:rsid w:val="00E954FF"/>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4DB"/>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509C"/>
    <w:rsid w:val="00EC5301"/>
    <w:rsid w:val="00EC5CA8"/>
    <w:rsid w:val="00EC64B5"/>
    <w:rsid w:val="00EC685F"/>
    <w:rsid w:val="00EC715C"/>
    <w:rsid w:val="00EC761D"/>
    <w:rsid w:val="00ED0A62"/>
    <w:rsid w:val="00ED0EFD"/>
    <w:rsid w:val="00ED119B"/>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73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D3C"/>
    <w:rsid w:val="00F143A3"/>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4F1B"/>
    <w:rsid w:val="00F25009"/>
    <w:rsid w:val="00F25738"/>
    <w:rsid w:val="00F261E6"/>
    <w:rsid w:val="00F266B1"/>
    <w:rsid w:val="00F26CDA"/>
    <w:rsid w:val="00F27831"/>
    <w:rsid w:val="00F27892"/>
    <w:rsid w:val="00F27ADA"/>
    <w:rsid w:val="00F30154"/>
    <w:rsid w:val="00F30B2E"/>
    <w:rsid w:val="00F310CE"/>
    <w:rsid w:val="00F31281"/>
    <w:rsid w:val="00F31327"/>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15C"/>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6B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41F6"/>
    <w:rsid w:val="00FD4AC3"/>
    <w:rsid w:val="00FD50ED"/>
    <w:rsid w:val="00FD5206"/>
    <w:rsid w:val="00FD561B"/>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B82DF1B9-299C-4839-B8AA-8B4C6379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styleId="Revisin">
    <w:name w:val="Revision"/>
    <w:hidden/>
    <w:uiPriority w:val="99"/>
    <w:semiHidden/>
    <w:rsid w:val="00D64FF1"/>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8024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12930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7131664">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2968604">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FC4DD-1AB2-4584-9D73-7D80844F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14502</Words>
  <Characters>79761</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2021-05-27T16:55:00Z</cp:lastPrinted>
  <dcterms:created xsi:type="dcterms:W3CDTF">2021-06-08T22:16:00Z</dcterms:created>
  <dcterms:modified xsi:type="dcterms:W3CDTF">2021-06-08T22:16:00Z</dcterms:modified>
</cp:coreProperties>
</file>