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77777777" w:rsidR="005000AA" w:rsidRPr="00624AAD" w:rsidRDefault="005000AA" w:rsidP="005000AA">
      <w:pPr>
        <w:spacing w:before="240" w:after="240" w:line="360" w:lineRule="auto"/>
        <w:jc w:val="center"/>
        <w:rPr>
          <w:rFonts w:ascii="Palatino Linotype" w:hAnsi="Palatino Linotype"/>
          <w:sz w:val="24"/>
          <w:szCs w:val="24"/>
        </w:rPr>
      </w:pPr>
      <w:bookmarkStart w:id="0" w:name="_GoBack"/>
      <w:bookmarkEnd w:id="0"/>
      <w:r w:rsidRPr="00624AAD">
        <w:rPr>
          <w:rFonts w:ascii="Palatino Linotype" w:hAnsi="Palatino Linotype"/>
          <w:b/>
          <w:sz w:val="24"/>
          <w:szCs w:val="24"/>
        </w:rPr>
        <w:t>Índice</w:t>
      </w:r>
      <w:r w:rsidRPr="00624AAD">
        <w:rPr>
          <w:rFonts w:ascii="Palatino Linotype" w:hAnsi="Palatino Linotype"/>
          <w:sz w:val="24"/>
          <w:szCs w:val="24"/>
        </w:rPr>
        <w:t>.</w:t>
      </w:r>
    </w:p>
    <w:sdt>
      <w:sdtPr>
        <w:rPr>
          <w:rFonts w:ascii="Times New Roman" w:eastAsiaTheme="minorEastAsia" w:hAnsi="Times New Roman" w:cstheme="minorBidi"/>
          <w:b w:val="0"/>
          <w:sz w:val="20"/>
          <w:szCs w:val="24"/>
          <w:lang w:val="es-ES" w:eastAsia="es-ES"/>
        </w:rPr>
        <w:id w:val="1703668029"/>
        <w:docPartObj>
          <w:docPartGallery w:val="Table of Contents"/>
          <w:docPartUnique/>
        </w:docPartObj>
      </w:sdtPr>
      <w:sdtEndPr>
        <w:rPr>
          <w:rFonts w:eastAsia="Times New Roman" w:cs="Times New Roman"/>
        </w:rPr>
      </w:sdtEndPr>
      <w:sdtContent>
        <w:p w14:paraId="533358D9" w14:textId="77777777" w:rsidR="005000AA" w:rsidRPr="00624AAD" w:rsidRDefault="005000AA" w:rsidP="00DD04F7">
          <w:pPr>
            <w:pStyle w:val="TtulodeTDC"/>
            <w:spacing w:line="360" w:lineRule="auto"/>
            <w:rPr>
              <w:szCs w:val="24"/>
            </w:rPr>
          </w:pPr>
        </w:p>
        <w:p w14:paraId="0212623C" w14:textId="77777777" w:rsidR="00DD04F7" w:rsidRDefault="005000AA" w:rsidP="00DD04F7">
          <w:pPr>
            <w:pStyle w:val="TDC1"/>
            <w:spacing w:line="360" w:lineRule="auto"/>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3311681" w:history="1">
            <w:r w:rsidR="00DD04F7" w:rsidRPr="00AD1489">
              <w:rPr>
                <w:rStyle w:val="Hipervnculo"/>
              </w:rPr>
              <w:t>ANTECEDENTES</w:t>
            </w:r>
            <w:r w:rsidR="00DD04F7">
              <w:rPr>
                <w:webHidden/>
              </w:rPr>
              <w:tab/>
            </w:r>
            <w:r w:rsidR="00DD04F7">
              <w:rPr>
                <w:webHidden/>
              </w:rPr>
              <w:fldChar w:fldCharType="begin"/>
            </w:r>
            <w:r w:rsidR="00DD04F7">
              <w:rPr>
                <w:webHidden/>
              </w:rPr>
              <w:instrText xml:space="preserve"> PAGEREF _Toc83311681 \h </w:instrText>
            </w:r>
            <w:r w:rsidR="00DD04F7">
              <w:rPr>
                <w:webHidden/>
              </w:rPr>
            </w:r>
            <w:r w:rsidR="00DD04F7">
              <w:rPr>
                <w:webHidden/>
              </w:rPr>
              <w:fldChar w:fldCharType="separate"/>
            </w:r>
            <w:r w:rsidR="00DD04F7">
              <w:rPr>
                <w:webHidden/>
              </w:rPr>
              <w:t>2</w:t>
            </w:r>
            <w:r w:rsidR="00DD04F7">
              <w:rPr>
                <w:webHidden/>
              </w:rPr>
              <w:fldChar w:fldCharType="end"/>
            </w:r>
          </w:hyperlink>
        </w:p>
        <w:p w14:paraId="164F58FD"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82" w:history="1">
            <w:r w:rsidR="00DD04F7" w:rsidRPr="00AD1489">
              <w:rPr>
                <w:rStyle w:val="Hipervnculo"/>
              </w:rPr>
              <w:t>CONSIDERANDO</w:t>
            </w:r>
            <w:r w:rsidR="00DD04F7">
              <w:rPr>
                <w:webHidden/>
              </w:rPr>
              <w:tab/>
            </w:r>
            <w:r w:rsidR="00DD04F7">
              <w:rPr>
                <w:webHidden/>
              </w:rPr>
              <w:fldChar w:fldCharType="begin"/>
            </w:r>
            <w:r w:rsidR="00DD04F7">
              <w:rPr>
                <w:webHidden/>
              </w:rPr>
              <w:instrText xml:space="preserve"> PAGEREF _Toc83311682 \h </w:instrText>
            </w:r>
            <w:r w:rsidR="00DD04F7">
              <w:rPr>
                <w:webHidden/>
              </w:rPr>
            </w:r>
            <w:r w:rsidR="00DD04F7">
              <w:rPr>
                <w:webHidden/>
              </w:rPr>
              <w:fldChar w:fldCharType="separate"/>
            </w:r>
            <w:r w:rsidR="00DD04F7">
              <w:rPr>
                <w:webHidden/>
              </w:rPr>
              <w:t>9</w:t>
            </w:r>
            <w:r w:rsidR="00DD04F7">
              <w:rPr>
                <w:webHidden/>
              </w:rPr>
              <w:fldChar w:fldCharType="end"/>
            </w:r>
          </w:hyperlink>
        </w:p>
        <w:p w14:paraId="7D15966F" w14:textId="77777777" w:rsidR="00DD04F7" w:rsidRDefault="00EC1BE2" w:rsidP="00DD04F7">
          <w:pPr>
            <w:pStyle w:val="TDC2"/>
            <w:spacing w:line="360" w:lineRule="auto"/>
            <w:rPr>
              <w:noProof/>
              <w:sz w:val="22"/>
              <w:szCs w:val="22"/>
              <w:lang w:val="es-MX" w:eastAsia="es-MX"/>
            </w:rPr>
          </w:pPr>
          <w:hyperlink w:anchor="_Toc83311683" w:history="1">
            <w:r w:rsidR="00DD04F7" w:rsidRPr="00AD1489">
              <w:rPr>
                <w:rStyle w:val="Hipervnculo"/>
                <w:rFonts w:ascii="Palatino Linotype" w:hAnsi="Palatino Linotype"/>
                <w:b/>
                <w:noProof/>
              </w:rPr>
              <w:t>PRIMERO. De la competencia</w:t>
            </w:r>
            <w:r w:rsidR="00DD04F7">
              <w:rPr>
                <w:noProof/>
                <w:webHidden/>
              </w:rPr>
              <w:tab/>
            </w:r>
            <w:r w:rsidR="00DD04F7">
              <w:rPr>
                <w:noProof/>
                <w:webHidden/>
              </w:rPr>
              <w:fldChar w:fldCharType="begin"/>
            </w:r>
            <w:r w:rsidR="00DD04F7">
              <w:rPr>
                <w:noProof/>
                <w:webHidden/>
              </w:rPr>
              <w:instrText xml:space="preserve"> PAGEREF _Toc83311683 \h </w:instrText>
            </w:r>
            <w:r w:rsidR="00DD04F7">
              <w:rPr>
                <w:noProof/>
                <w:webHidden/>
              </w:rPr>
            </w:r>
            <w:r w:rsidR="00DD04F7">
              <w:rPr>
                <w:noProof/>
                <w:webHidden/>
              </w:rPr>
              <w:fldChar w:fldCharType="separate"/>
            </w:r>
            <w:r w:rsidR="00DD04F7">
              <w:rPr>
                <w:noProof/>
                <w:webHidden/>
              </w:rPr>
              <w:t>9</w:t>
            </w:r>
            <w:r w:rsidR="00DD04F7">
              <w:rPr>
                <w:noProof/>
                <w:webHidden/>
              </w:rPr>
              <w:fldChar w:fldCharType="end"/>
            </w:r>
          </w:hyperlink>
        </w:p>
        <w:p w14:paraId="40391DD4" w14:textId="77777777" w:rsidR="00DD04F7" w:rsidRDefault="00EC1BE2" w:rsidP="00DD04F7">
          <w:pPr>
            <w:pStyle w:val="TDC2"/>
            <w:spacing w:line="360" w:lineRule="auto"/>
            <w:rPr>
              <w:noProof/>
              <w:sz w:val="22"/>
              <w:szCs w:val="22"/>
              <w:lang w:val="es-MX" w:eastAsia="es-MX"/>
            </w:rPr>
          </w:pPr>
          <w:hyperlink w:anchor="_Toc83311684" w:history="1">
            <w:r w:rsidR="00DD04F7" w:rsidRPr="00AD1489">
              <w:rPr>
                <w:rStyle w:val="Hipervnculo"/>
                <w:rFonts w:ascii="Palatino Linotype" w:hAnsi="Palatino Linotype"/>
                <w:b/>
                <w:noProof/>
              </w:rPr>
              <w:t>SEGUNDO. De la oportunidad y procedencia.</w:t>
            </w:r>
            <w:r w:rsidR="00DD04F7">
              <w:rPr>
                <w:noProof/>
                <w:webHidden/>
              </w:rPr>
              <w:tab/>
            </w:r>
            <w:r w:rsidR="00DD04F7">
              <w:rPr>
                <w:noProof/>
                <w:webHidden/>
              </w:rPr>
              <w:fldChar w:fldCharType="begin"/>
            </w:r>
            <w:r w:rsidR="00DD04F7">
              <w:rPr>
                <w:noProof/>
                <w:webHidden/>
              </w:rPr>
              <w:instrText xml:space="preserve"> PAGEREF _Toc83311684 \h </w:instrText>
            </w:r>
            <w:r w:rsidR="00DD04F7">
              <w:rPr>
                <w:noProof/>
                <w:webHidden/>
              </w:rPr>
            </w:r>
            <w:r w:rsidR="00DD04F7">
              <w:rPr>
                <w:noProof/>
                <w:webHidden/>
              </w:rPr>
              <w:fldChar w:fldCharType="separate"/>
            </w:r>
            <w:r w:rsidR="00DD04F7">
              <w:rPr>
                <w:noProof/>
                <w:webHidden/>
              </w:rPr>
              <w:t>10</w:t>
            </w:r>
            <w:r w:rsidR="00DD04F7">
              <w:rPr>
                <w:noProof/>
                <w:webHidden/>
              </w:rPr>
              <w:fldChar w:fldCharType="end"/>
            </w:r>
          </w:hyperlink>
        </w:p>
        <w:p w14:paraId="6A3A3171"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85" w:history="1">
            <w:r w:rsidR="00DD04F7" w:rsidRPr="00AD1489">
              <w:rPr>
                <w:rStyle w:val="Hipervnculo"/>
              </w:rPr>
              <w:t>TERCERO. Planteamiento de la Litis</w:t>
            </w:r>
            <w:r w:rsidR="00DD04F7">
              <w:rPr>
                <w:webHidden/>
              </w:rPr>
              <w:tab/>
            </w:r>
            <w:r w:rsidR="00DD04F7">
              <w:rPr>
                <w:webHidden/>
              </w:rPr>
              <w:fldChar w:fldCharType="begin"/>
            </w:r>
            <w:r w:rsidR="00DD04F7">
              <w:rPr>
                <w:webHidden/>
              </w:rPr>
              <w:instrText xml:space="preserve"> PAGEREF _Toc83311685 \h </w:instrText>
            </w:r>
            <w:r w:rsidR="00DD04F7">
              <w:rPr>
                <w:webHidden/>
              </w:rPr>
            </w:r>
            <w:r w:rsidR="00DD04F7">
              <w:rPr>
                <w:webHidden/>
              </w:rPr>
              <w:fldChar w:fldCharType="separate"/>
            </w:r>
            <w:r w:rsidR="00DD04F7">
              <w:rPr>
                <w:webHidden/>
              </w:rPr>
              <w:t>13</w:t>
            </w:r>
            <w:r w:rsidR="00DD04F7">
              <w:rPr>
                <w:webHidden/>
              </w:rPr>
              <w:fldChar w:fldCharType="end"/>
            </w:r>
          </w:hyperlink>
        </w:p>
        <w:p w14:paraId="5587BDAD"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86" w:history="1">
            <w:r w:rsidR="00DD04F7" w:rsidRPr="00AD1489">
              <w:rPr>
                <w:rStyle w:val="Hipervnculo"/>
              </w:rPr>
              <w:t>CUARTO. Estudio y resolución del asunto</w:t>
            </w:r>
            <w:r w:rsidR="00DD04F7">
              <w:rPr>
                <w:webHidden/>
              </w:rPr>
              <w:tab/>
            </w:r>
            <w:r w:rsidR="00DD04F7">
              <w:rPr>
                <w:webHidden/>
              </w:rPr>
              <w:fldChar w:fldCharType="begin"/>
            </w:r>
            <w:r w:rsidR="00DD04F7">
              <w:rPr>
                <w:webHidden/>
              </w:rPr>
              <w:instrText xml:space="preserve"> PAGEREF _Toc83311686 \h </w:instrText>
            </w:r>
            <w:r w:rsidR="00DD04F7">
              <w:rPr>
                <w:webHidden/>
              </w:rPr>
            </w:r>
            <w:r w:rsidR="00DD04F7">
              <w:rPr>
                <w:webHidden/>
              </w:rPr>
              <w:fldChar w:fldCharType="separate"/>
            </w:r>
            <w:r w:rsidR="00DD04F7">
              <w:rPr>
                <w:webHidden/>
              </w:rPr>
              <w:t>17</w:t>
            </w:r>
            <w:r w:rsidR="00DD04F7">
              <w:rPr>
                <w:webHidden/>
              </w:rPr>
              <w:fldChar w:fldCharType="end"/>
            </w:r>
          </w:hyperlink>
        </w:p>
        <w:p w14:paraId="538478D4" w14:textId="77777777" w:rsidR="00DD04F7" w:rsidRDefault="00EC1BE2" w:rsidP="00DD04F7">
          <w:pPr>
            <w:pStyle w:val="TDC2"/>
            <w:spacing w:line="360" w:lineRule="auto"/>
            <w:rPr>
              <w:noProof/>
              <w:sz w:val="22"/>
              <w:szCs w:val="22"/>
              <w:lang w:val="es-MX" w:eastAsia="es-MX"/>
            </w:rPr>
          </w:pPr>
          <w:hyperlink w:anchor="_Toc83311687" w:history="1">
            <w:r w:rsidR="00DD04F7" w:rsidRPr="00AD1489">
              <w:rPr>
                <w:rStyle w:val="Hipervnculo"/>
                <w:rFonts w:ascii="Palatino Linotype" w:hAnsi="Palatino Linotype"/>
                <w:b/>
                <w:noProof/>
                <w:lang w:eastAsia="en-US"/>
              </w:rPr>
              <w:t>A.</w:t>
            </w:r>
            <w:r w:rsidR="00DD04F7">
              <w:rPr>
                <w:noProof/>
                <w:sz w:val="22"/>
                <w:szCs w:val="22"/>
                <w:lang w:val="es-MX" w:eastAsia="es-MX"/>
              </w:rPr>
              <w:tab/>
            </w:r>
            <w:r w:rsidR="00DD04F7" w:rsidRPr="00AD1489">
              <w:rPr>
                <w:rStyle w:val="Hipervnculo"/>
                <w:rFonts w:ascii="Palatino Linotype" w:hAnsi="Palatino Linotype"/>
                <w:b/>
                <w:noProof/>
              </w:rPr>
              <w:t>De la fuente obligacional.</w:t>
            </w:r>
            <w:r w:rsidR="00DD04F7">
              <w:rPr>
                <w:noProof/>
                <w:webHidden/>
              </w:rPr>
              <w:tab/>
            </w:r>
            <w:r w:rsidR="00DD04F7">
              <w:rPr>
                <w:noProof/>
                <w:webHidden/>
              </w:rPr>
              <w:fldChar w:fldCharType="begin"/>
            </w:r>
            <w:r w:rsidR="00DD04F7">
              <w:rPr>
                <w:noProof/>
                <w:webHidden/>
              </w:rPr>
              <w:instrText xml:space="preserve"> PAGEREF _Toc83311687 \h </w:instrText>
            </w:r>
            <w:r w:rsidR="00DD04F7">
              <w:rPr>
                <w:noProof/>
                <w:webHidden/>
              </w:rPr>
            </w:r>
            <w:r w:rsidR="00DD04F7">
              <w:rPr>
                <w:noProof/>
                <w:webHidden/>
              </w:rPr>
              <w:fldChar w:fldCharType="separate"/>
            </w:r>
            <w:r w:rsidR="00DD04F7">
              <w:rPr>
                <w:noProof/>
                <w:webHidden/>
              </w:rPr>
              <w:t>17</w:t>
            </w:r>
            <w:r w:rsidR="00DD04F7">
              <w:rPr>
                <w:noProof/>
                <w:webHidden/>
              </w:rPr>
              <w:fldChar w:fldCharType="end"/>
            </w:r>
          </w:hyperlink>
        </w:p>
        <w:p w14:paraId="1C1C34D6" w14:textId="77777777" w:rsidR="00DD04F7" w:rsidRDefault="00EC1BE2" w:rsidP="00DD04F7">
          <w:pPr>
            <w:pStyle w:val="TDC2"/>
            <w:spacing w:line="360" w:lineRule="auto"/>
            <w:rPr>
              <w:noProof/>
              <w:sz w:val="22"/>
              <w:szCs w:val="22"/>
              <w:lang w:val="es-MX" w:eastAsia="es-MX"/>
            </w:rPr>
          </w:pPr>
          <w:hyperlink w:anchor="_Toc83311688" w:history="1">
            <w:r w:rsidR="00DD04F7" w:rsidRPr="00AD1489">
              <w:rPr>
                <w:rStyle w:val="Hipervnculo"/>
                <w:rFonts w:ascii="Palatino Linotype" w:hAnsi="Palatino Linotype"/>
                <w:b/>
                <w:noProof/>
              </w:rPr>
              <w:t>B.</w:t>
            </w:r>
            <w:r w:rsidR="00DD04F7">
              <w:rPr>
                <w:noProof/>
                <w:sz w:val="22"/>
                <w:szCs w:val="22"/>
                <w:lang w:val="es-MX" w:eastAsia="es-MX"/>
              </w:rPr>
              <w:tab/>
            </w:r>
            <w:r w:rsidR="00DD04F7" w:rsidRPr="00AD1489">
              <w:rPr>
                <w:rStyle w:val="Hipervnculo"/>
                <w:rFonts w:ascii="Palatino Linotype" w:hAnsi="Palatino Linotype"/>
                <w:b/>
                <w:noProof/>
              </w:rPr>
              <w:t>De la información pública de oficio.</w:t>
            </w:r>
            <w:r w:rsidR="00DD04F7">
              <w:rPr>
                <w:noProof/>
                <w:webHidden/>
              </w:rPr>
              <w:tab/>
            </w:r>
            <w:r w:rsidR="00DD04F7">
              <w:rPr>
                <w:noProof/>
                <w:webHidden/>
              </w:rPr>
              <w:fldChar w:fldCharType="begin"/>
            </w:r>
            <w:r w:rsidR="00DD04F7">
              <w:rPr>
                <w:noProof/>
                <w:webHidden/>
              </w:rPr>
              <w:instrText xml:space="preserve"> PAGEREF _Toc83311688 \h </w:instrText>
            </w:r>
            <w:r w:rsidR="00DD04F7">
              <w:rPr>
                <w:noProof/>
                <w:webHidden/>
              </w:rPr>
            </w:r>
            <w:r w:rsidR="00DD04F7">
              <w:rPr>
                <w:noProof/>
                <w:webHidden/>
              </w:rPr>
              <w:fldChar w:fldCharType="separate"/>
            </w:r>
            <w:r w:rsidR="00DD04F7">
              <w:rPr>
                <w:noProof/>
                <w:webHidden/>
              </w:rPr>
              <w:t>30</w:t>
            </w:r>
            <w:r w:rsidR="00DD04F7">
              <w:rPr>
                <w:noProof/>
                <w:webHidden/>
              </w:rPr>
              <w:fldChar w:fldCharType="end"/>
            </w:r>
          </w:hyperlink>
        </w:p>
        <w:p w14:paraId="0123A4BA" w14:textId="77777777" w:rsidR="00DD04F7" w:rsidRDefault="00EC1BE2" w:rsidP="00DD04F7">
          <w:pPr>
            <w:pStyle w:val="TDC2"/>
            <w:spacing w:line="360" w:lineRule="auto"/>
            <w:rPr>
              <w:noProof/>
              <w:sz w:val="22"/>
              <w:szCs w:val="22"/>
              <w:lang w:val="es-MX" w:eastAsia="es-MX"/>
            </w:rPr>
          </w:pPr>
          <w:hyperlink w:anchor="_Toc83311689" w:history="1">
            <w:r w:rsidR="00DD04F7" w:rsidRPr="00AD1489">
              <w:rPr>
                <w:rStyle w:val="Hipervnculo"/>
                <w:rFonts w:ascii="Palatino Linotype" w:hAnsi="Palatino Linotype"/>
                <w:b/>
                <w:noProof/>
              </w:rPr>
              <w:t>C.</w:t>
            </w:r>
            <w:r w:rsidR="00DD04F7">
              <w:rPr>
                <w:noProof/>
                <w:sz w:val="22"/>
                <w:szCs w:val="22"/>
                <w:lang w:val="es-MX" w:eastAsia="es-MX"/>
              </w:rPr>
              <w:tab/>
            </w:r>
            <w:r w:rsidR="00DD04F7" w:rsidRPr="00AD1489">
              <w:rPr>
                <w:rStyle w:val="Hipervnculo"/>
                <w:rFonts w:ascii="Palatino Linotype" w:hAnsi="Palatino Linotype"/>
                <w:b/>
                <w:noProof/>
              </w:rPr>
              <w:t>De la aplicabilidad.</w:t>
            </w:r>
            <w:r w:rsidR="00DD04F7">
              <w:rPr>
                <w:noProof/>
                <w:webHidden/>
              </w:rPr>
              <w:tab/>
            </w:r>
            <w:r w:rsidR="00DD04F7">
              <w:rPr>
                <w:noProof/>
                <w:webHidden/>
              </w:rPr>
              <w:fldChar w:fldCharType="begin"/>
            </w:r>
            <w:r w:rsidR="00DD04F7">
              <w:rPr>
                <w:noProof/>
                <w:webHidden/>
              </w:rPr>
              <w:instrText xml:space="preserve"> PAGEREF _Toc83311689 \h </w:instrText>
            </w:r>
            <w:r w:rsidR="00DD04F7">
              <w:rPr>
                <w:noProof/>
                <w:webHidden/>
              </w:rPr>
            </w:r>
            <w:r w:rsidR="00DD04F7">
              <w:rPr>
                <w:noProof/>
                <w:webHidden/>
              </w:rPr>
              <w:fldChar w:fldCharType="separate"/>
            </w:r>
            <w:r w:rsidR="00DD04F7">
              <w:rPr>
                <w:noProof/>
                <w:webHidden/>
              </w:rPr>
              <w:t>45</w:t>
            </w:r>
            <w:r w:rsidR="00DD04F7">
              <w:rPr>
                <w:noProof/>
                <w:webHidden/>
              </w:rPr>
              <w:fldChar w:fldCharType="end"/>
            </w:r>
          </w:hyperlink>
        </w:p>
        <w:p w14:paraId="4F7322C6" w14:textId="77777777" w:rsidR="00DD04F7" w:rsidRDefault="00EC1BE2" w:rsidP="00DD04F7">
          <w:pPr>
            <w:pStyle w:val="TDC2"/>
            <w:spacing w:line="360" w:lineRule="auto"/>
            <w:rPr>
              <w:noProof/>
              <w:sz w:val="22"/>
              <w:szCs w:val="22"/>
              <w:lang w:val="es-MX" w:eastAsia="es-MX"/>
            </w:rPr>
          </w:pPr>
          <w:hyperlink w:anchor="_Toc83311690" w:history="1">
            <w:r w:rsidR="00DD04F7" w:rsidRPr="00AD1489">
              <w:rPr>
                <w:rStyle w:val="Hipervnculo"/>
                <w:rFonts w:ascii="Palatino Linotype" w:hAnsi="Palatino Linotype"/>
                <w:b/>
                <w:noProof/>
              </w:rPr>
              <w:t>D.</w:t>
            </w:r>
            <w:r w:rsidR="00DD04F7">
              <w:rPr>
                <w:noProof/>
                <w:sz w:val="22"/>
                <w:szCs w:val="22"/>
                <w:lang w:val="es-MX" w:eastAsia="es-MX"/>
              </w:rPr>
              <w:tab/>
            </w:r>
            <w:r w:rsidR="00DD04F7" w:rsidRPr="00AD1489">
              <w:rPr>
                <w:rStyle w:val="Hipervnculo"/>
                <w:rFonts w:ascii="Palatino Linotype" w:hAnsi="Palatino Linotype"/>
                <w:b/>
                <w:noProof/>
              </w:rPr>
              <w:t>De la modalidad de entrega de la información</w:t>
            </w:r>
            <w:r w:rsidR="00DD04F7">
              <w:rPr>
                <w:noProof/>
                <w:webHidden/>
              </w:rPr>
              <w:tab/>
            </w:r>
            <w:r w:rsidR="00DD04F7">
              <w:rPr>
                <w:noProof/>
                <w:webHidden/>
              </w:rPr>
              <w:fldChar w:fldCharType="begin"/>
            </w:r>
            <w:r w:rsidR="00DD04F7">
              <w:rPr>
                <w:noProof/>
                <w:webHidden/>
              </w:rPr>
              <w:instrText xml:space="preserve"> PAGEREF _Toc83311690 \h </w:instrText>
            </w:r>
            <w:r w:rsidR="00DD04F7">
              <w:rPr>
                <w:noProof/>
                <w:webHidden/>
              </w:rPr>
            </w:r>
            <w:r w:rsidR="00DD04F7">
              <w:rPr>
                <w:noProof/>
                <w:webHidden/>
              </w:rPr>
              <w:fldChar w:fldCharType="separate"/>
            </w:r>
            <w:r w:rsidR="00DD04F7">
              <w:rPr>
                <w:noProof/>
                <w:webHidden/>
              </w:rPr>
              <w:t>54</w:t>
            </w:r>
            <w:r w:rsidR="00DD04F7">
              <w:rPr>
                <w:noProof/>
                <w:webHidden/>
              </w:rPr>
              <w:fldChar w:fldCharType="end"/>
            </w:r>
          </w:hyperlink>
        </w:p>
        <w:p w14:paraId="0F09F068"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91" w:history="1">
            <w:r w:rsidR="00DD04F7" w:rsidRPr="00AD1489">
              <w:rPr>
                <w:rStyle w:val="Hipervnculo"/>
                <w:rFonts w:eastAsia="Calibri"/>
              </w:rPr>
              <w:t>QUINTO. VERSIÓN PÚBLICA.</w:t>
            </w:r>
            <w:r w:rsidR="00DD04F7">
              <w:rPr>
                <w:webHidden/>
              </w:rPr>
              <w:tab/>
            </w:r>
            <w:r w:rsidR="00DD04F7">
              <w:rPr>
                <w:webHidden/>
              </w:rPr>
              <w:fldChar w:fldCharType="begin"/>
            </w:r>
            <w:r w:rsidR="00DD04F7">
              <w:rPr>
                <w:webHidden/>
              </w:rPr>
              <w:instrText xml:space="preserve"> PAGEREF _Toc83311691 \h </w:instrText>
            </w:r>
            <w:r w:rsidR="00DD04F7">
              <w:rPr>
                <w:webHidden/>
              </w:rPr>
            </w:r>
            <w:r w:rsidR="00DD04F7">
              <w:rPr>
                <w:webHidden/>
              </w:rPr>
              <w:fldChar w:fldCharType="separate"/>
            </w:r>
            <w:r w:rsidR="00DD04F7">
              <w:rPr>
                <w:webHidden/>
              </w:rPr>
              <w:t>59</w:t>
            </w:r>
            <w:r w:rsidR="00DD04F7">
              <w:rPr>
                <w:webHidden/>
              </w:rPr>
              <w:fldChar w:fldCharType="end"/>
            </w:r>
          </w:hyperlink>
        </w:p>
        <w:p w14:paraId="0B5888FF" w14:textId="77777777" w:rsidR="00DD04F7" w:rsidRDefault="00EC1BE2" w:rsidP="00DD04F7">
          <w:pPr>
            <w:pStyle w:val="TDC1"/>
            <w:tabs>
              <w:tab w:val="left" w:pos="660"/>
            </w:tabs>
            <w:spacing w:line="360" w:lineRule="auto"/>
            <w:rPr>
              <w:rFonts w:asciiTheme="minorHAnsi" w:hAnsiTheme="minorHAnsi"/>
              <w:b w:val="0"/>
              <w:bCs w:val="0"/>
              <w:sz w:val="22"/>
              <w:szCs w:val="22"/>
              <w:lang w:val="es-MX" w:eastAsia="es-MX"/>
            </w:rPr>
          </w:pPr>
          <w:hyperlink w:anchor="_Toc83311692" w:history="1">
            <w:r w:rsidR="00DD04F7" w:rsidRPr="00AD1489">
              <w:rPr>
                <w:rStyle w:val="Hipervnculo"/>
                <w:rFonts w:cs="Times New Roman"/>
              </w:rPr>
              <w:t>I.</w:t>
            </w:r>
            <w:r w:rsidR="00DD04F7">
              <w:rPr>
                <w:rFonts w:asciiTheme="minorHAnsi" w:hAnsiTheme="minorHAnsi"/>
                <w:b w:val="0"/>
                <w:bCs w:val="0"/>
                <w:sz w:val="22"/>
                <w:szCs w:val="22"/>
                <w:lang w:val="es-MX" w:eastAsia="es-MX"/>
              </w:rPr>
              <w:tab/>
            </w:r>
            <w:r w:rsidR="00DD04F7" w:rsidRPr="00AD1489">
              <w:rPr>
                <w:rStyle w:val="Hipervnculo"/>
                <w:rFonts w:cs="Times New Roman"/>
                <w:lang w:eastAsia="es-ES_tradnl"/>
              </w:rPr>
              <w:t>Nociones generales.</w:t>
            </w:r>
            <w:r w:rsidR="00DD04F7">
              <w:rPr>
                <w:webHidden/>
              </w:rPr>
              <w:tab/>
            </w:r>
            <w:r w:rsidR="00DD04F7">
              <w:rPr>
                <w:webHidden/>
              </w:rPr>
              <w:fldChar w:fldCharType="begin"/>
            </w:r>
            <w:r w:rsidR="00DD04F7">
              <w:rPr>
                <w:webHidden/>
              </w:rPr>
              <w:instrText xml:space="preserve"> PAGEREF _Toc83311692 \h </w:instrText>
            </w:r>
            <w:r w:rsidR="00DD04F7">
              <w:rPr>
                <w:webHidden/>
              </w:rPr>
            </w:r>
            <w:r w:rsidR="00DD04F7">
              <w:rPr>
                <w:webHidden/>
              </w:rPr>
              <w:fldChar w:fldCharType="separate"/>
            </w:r>
            <w:r w:rsidR="00DD04F7">
              <w:rPr>
                <w:webHidden/>
              </w:rPr>
              <w:t>59</w:t>
            </w:r>
            <w:r w:rsidR="00DD04F7">
              <w:rPr>
                <w:webHidden/>
              </w:rPr>
              <w:fldChar w:fldCharType="end"/>
            </w:r>
          </w:hyperlink>
        </w:p>
        <w:p w14:paraId="5E8C4F7D"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93" w:history="1">
            <w:r w:rsidR="00DD04F7" w:rsidRPr="00AD1489">
              <w:rPr>
                <w:rStyle w:val="Hipervnculo"/>
                <w:rFonts w:eastAsia="Calibri"/>
              </w:rPr>
              <w:t>SEXTO. DECISIÓN.</w:t>
            </w:r>
            <w:r w:rsidR="00DD04F7">
              <w:rPr>
                <w:webHidden/>
              </w:rPr>
              <w:tab/>
            </w:r>
            <w:r w:rsidR="00DD04F7">
              <w:rPr>
                <w:webHidden/>
              </w:rPr>
              <w:fldChar w:fldCharType="begin"/>
            </w:r>
            <w:r w:rsidR="00DD04F7">
              <w:rPr>
                <w:webHidden/>
              </w:rPr>
              <w:instrText xml:space="preserve"> PAGEREF _Toc83311693 \h </w:instrText>
            </w:r>
            <w:r w:rsidR="00DD04F7">
              <w:rPr>
                <w:webHidden/>
              </w:rPr>
            </w:r>
            <w:r w:rsidR="00DD04F7">
              <w:rPr>
                <w:webHidden/>
              </w:rPr>
              <w:fldChar w:fldCharType="separate"/>
            </w:r>
            <w:r w:rsidR="00DD04F7">
              <w:rPr>
                <w:webHidden/>
              </w:rPr>
              <w:t>63</w:t>
            </w:r>
            <w:r w:rsidR="00DD04F7">
              <w:rPr>
                <w:webHidden/>
              </w:rPr>
              <w:fldChar w:fldCharType="end"/>
            </w:r>
          </w:hyperlink>
        </w:p>
        <w:p w14:paraId="47D258BC" w14:textId="77777777" w:rsidR="00DD04F7" w:rsidRDefault="00EC1BE2" w:rsidP="00DD04F7">
          <w:pPr>
            <w:pStyle w:val="TDC1"/>
            <w:spacing w:line="360" w:lineRule="auto"/>
            <w:rPr>
              <w:rFonts w:asciiTheme="minorHAnsi" w:hAnsiTheme="minorHAnsi"/>
              <w:b w:val="0"/>
              <w:bCs w:val="0"/>
              <w:sz w:val="22"/>
              <w:szCs w:val="22"/>
              <w:lang w:val="es-MX" w:eastAsia="es-MX"/>
            </w:rPr>
          </w:pPr>
          <w:hyperlink w:anchor="_Toc83311694" w:history="1">
            <w:r w:rsidR="00DD04F7" w:rsidRPr="00AD1489">
              <w:rPr>
                <w:rStyle w:val="Hipervnculo"/>
              </w:rPr>
              <w:t>R E S O L U T I V O S</w:t>
            </w:r>
            <w:r w:rsidR="00DD04F7">
              <w:rPr>
                <w:webHidden/>
              </w:rPr>
              <w:tab/>
            </w:r>
            <w:r w:rsidR="00DD04F7">
              <w:rPr>
                <w:webHidden/>
              </w:rPr>
              <w:fldChar w:fldCharType="begin"/>
            </w:r>
            <w:r w:rsidR="00DD04F7">
              <w:rPr>
                <w:webHidden/>
              </w:rPr>
              <w:instrText xml:space="preserve"> PAGEREF _Toc83311694 \h </w:instrText>
            </w:r>
            <w:r w:rsidR="00DD04F7">
              <w:rPr>
                <w:webHidden/>
              </w:rPr>
            </w:r>
            <w:r w:rsidR="00DD04F7">
              <w:rPr>
                <w:webHidden/>
              </w:rPr>
              <w:fldChar w:fldCharType="separate"/>
            </w:r>
            <w:r w:rsidR="00DD04F7">
              <w:rPr>
                <w:webHidden/>
              </w:rPr>
              <w:t>65</w:t>
            </w:r>
            <w:r w:rsidR="00DD04F7">
              <w:rPr>
                <w:webHidden/>
              </w:rPr>
              <w:fldChar w:fldCharType="end"/>
            </w:r>
          </w:hyperlink>
        </w:p>
        <w:p w14:paraId="19723959" w14:textId="77777777" w:rsidR="005000AA" w:rsidRPr="00624AAD" w:rsidRDefault="005000AA" w:rsidP="00DD04F7">
          <w:pPr>
            <w:spacing w:line="360"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6FEFF981" w14:textId="77777777" w:rsidR="00F24CE9" w:rsidRDefault="00F24CE9" w:rsidP="005000AA">
      <w:pPr>
        <w:spacing w:before="240" w:after="240" w:line="360" w:lineRule="auto"/>
        <w:jc w:val="both"/>
        <w:rPr>
          <w:rFonts w:ascii="Palatino Linotype" w:hAnsi="Palatino Linotype"/>
          <w:sz w:val="24"/>
          <w:szCs w:val="24"/>
        </w:rPr>
      </w:pPr>
    </w:p>
    <w:p w14:paraId="6BA2F478" w14:textId="77777777" w:rsidR="00DD04F7" w:rsidRDefault="00DD04F7" w:rsidP="005000AA">
      <w:pPr>
        <w:spacing w:before="240" w:after="240" w:line="360" w:lineRule="auto"/>
        <w:jc w:val="both"/>
        <w:rPr>
          <w:rFonts w:ascii="Palatino Linotype" w:hAnsi="Palatino Linotype"/>
          <w:sz w:val="24"/>
          <w:szCs w:val="24"/>
        </w:rPr>
      </w:pPr>
    </w:p>
    <w:p w14:paraId="43847B78" w14:textId="1C6BFEBF"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D83D52">
        <w:rPr>
          <w:rFonts w:ascii="Palatino Linotype" w:hAnsi="Palatino Linotype"/>
          <w:sz w:val="24"/>
          <w:szCs w:val="24"/>
        </w:rPr>
        <w:t>veintinueve</w:t>
      </w:r>
      <w:r w:rsidRPr="00E02EEA">
        <w:rPr>
          <w:rFonts w:ascii="Palatino Linotype" w:hAnsi="Palatino Linotype"/>
          <w:sz w:val="24"/>
          <w:szCs w:val="24"/>
        </w:rPr>
        <w:t xml:space="preserve"> (</w:t>
      </w:r>
      <w:r w:rsidR="003074B3" w:rsidRPr="00E02EEA">
        <w:rPr>
          <w:rFonts w:ascii="Palatino Linotype" w:hAnsi="Palatino Linotype"/>
          <w:sz w:val="24"/>
          <w:szCs w:val="24"/>
        </w:rPr>
        <w:t>2</w:t>
      </w:r>
      <w:r w:rsidR="00D83D52" w:rsidRPr="00E02EEA">
        <w:rPr>
          <w:rFonts w:ascii="Palatino Linotype" w:hAnsi="Palatino Linotype"/>
          <w:sz w:val="24"/>
          <w:szCs w:val="24"/>
        </w:rPr>
        <w:t>9</w:t>
      </w:r>
      <w:r w:rsidRPr="00E02EEA">
        <w:rPr>
          <w:rFonts w:ascii="Palatino Linotype" w:hAnsi="Palatino Linotype"/>
          <w:sz w:val="24"/>
          <w:szCs w:val="24"/>
        </w:rPr>
        <w:t>) de septiembre de dos mil veintiuno.</w:t>
      </w:r>
    </w:p>
    <w:p w14:paraId="4C818016" w14:textId="5DD905EB"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801EE4" w:rsidRPr="00801EE4">
        <w:rPr>
          <w:rFonts w:ascii="Palatino Linotype" w:eastAsia="Calibri" w:hAnsi="Palatino Linotype" w:cs="Tahoma"/>
          <w:b/>
          <w:bCs/>
          <w:sz w:val="24"/>
          <w:szCs w:val="22"/>
          <w:lang w:eastAsia="en-US"/>
        </w:rPr>
        <w:t>03853/INFOEM/IP/RR/2021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801EE4">
        <w:rPr>
          <w:rFonts w:ascii="Palatino Linotype" w:eastAsia="Calibri" w:hAnsi="Palatino Linotype" w:cs="Tahoma"/>
          <w:b/>
          <w:sz w:val="24"/>
          <w:szCs w:val="22"/>
          <w:lang w:eastAsia="en-US"/>
        </w:rPr>
        <w:t>un Usuario del Sistema de Acceso a la Información Mexiquense que no proporcionó su nombre para ser identificado</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respuesta del </w:t>
      </w:r>
      <w:r w:rsidR="00801EE4" w:rsidRPr="00801EE4">
        <w:rPr>
          <w:rFonts w:ascii="Palatino Linotype" w:eastAsia="Calibri" w:hAnsi="Palatino Linotype" w:cs="Tahoma"/>
          <w:b/>
          <w:sz w:val="24"/>
          <w:szCs w:val="22"/>
          <w:lang w:eastAsia="en-US"/>
        </w:rPr>
        <w:t>Ayuntamiento de Chimalhuacán</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1" w:name="_Toc83311681"/>
      <w:r w:rsidRPr="00624AAD">
        <w:rPr>
          <w:rFonts w:ascii="Palatino Linotype" w:hAnsi="Palatino Linotype"/>
          <w:b/>
          <w:color w:val="auto"/>
          <w:sz w:val="24"/>
          <w:szCs w:val="24"/>
        </w:rPr>
        <w:t>ANTECEDENTES</w:t>
      </w:r>
      <w:bookmarkEnd w:id="1"/>
    </w:p>
    <w:p w14:paraId="04287D5F" w14:textId="77777777" w:rsidR="005000AA" w:rsidRPr="00624AAD" w:rsidRDefault="005000AA" w:rsidP="005000AA">
      <w:pPr>
        <w:rPr>
          <w:rFonts w:ascii="Palatino Linotype" w:hAnsi="Palatino Linotype"/>
          <w:sz w:val="24"/>
          <w:szCs w:val="24"/>
          <w:lang w:eastAsia="en-US"/>
        </w:rPr>
      </w:pPr>
    </w:p>
    <w:p w14:paraId="205E5E03" w14:textId="24A720E5" w:rsidR="005000AA" w:rsidRPr="00624AAD" w:rsidRDefault="00801EE4"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El día once</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11</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de ju</w:t>
      </w:r>
      <w:r>
        <w:rPr>
          <w:rFonts w:ascii="Palatino Linotype" w:eastAsia="Calibri" w:hAnsi="Palatino Linotype"/>
          <w:sz w:val="24"/>
          <w:lang w:val="es-ES"/>
        </w:rPr>
        <w:t>nio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Pr>
          <w:rFonts w:ascii="Palatino Linotype" w:eastAsia="Calibri" w:hAnsi="Palatino Linotype" w:cs="Arial"/>
          <w:b/>
          <w:sz w:val="24"/>
          <w:lang w:val="es-ES"/>
        </w:rPr>
        <w:t>115</w:t>
      </w:r>
      <w:r w:rsidR="00624AAD" w:rsidRPr="00624AAD">
        <w:rPr>
          <w:rFonts w:ascii="Palatino Linotype" w:eastAsia="Calibri" w:hAnsi="Palatino Linotype" w:cs="Arial"/>
          <w:b/>
          <w:sz w:val="24"/>
          <w:lang w:val="es-ES"/>
        </w:rPr>
        <w:t>/</w:t>
      </w:r>
      <w:r>
        <w:rPr>
          <w:rFonts w:ascii="Palatino Linotype" w:eastAsia="Calibri" w:hAnsi="Palatino Linotype" w:cs="Arial"/>
          <w:b/>
          <w:sz w:val="24"/>
          <w:lang w:val="es-ES"/>
        </w:rPr>
        <w:t>CHIMALHU</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5F494AEA"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19CBEB32" w14:textId="41EAD54C"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801EE4" w:rsidRPr="00801EE4">
        <w:rPr>
          <w:rFonts w:ascii="Palatino Linotype" w:hAnsi="Palatino Linotype"/>
          <w:i/>
          <w:sz w:val="24"/>
          <w:szCs w:val="24"/>
          <w:lang w:eastAsia="es-MX"/>
        </w:rPr>
        <w:t xml:space="preserve">SOLICITO LA INFORMACIÓN QUE ACONTINUACIÓN SE ENUCNIA, TODA VEZ QUE NO SE ECUENTRA PUBLICADO NI A DISPOSICIÓN DEL PÚBLICO. 1. Matriz de Indicadores de Resultados FRACCIÓN VI B 2. Tabulador de sueldos y salarios FRACCIÓN VIII 3. Gastos por concepto de viáticos y gastos de representación FRACCIÓN IX 4. Contrataciones de servicios profesionales por honorarios FRACCIÓN XI 5. Declaraciones patrimoniales de los servidores públicos FRACCIÓN XIII 6. Programas de subsidios, estímulos y apoyos FRACCIÓN XIV A 7. Agenda de reuniones FRACCIÓN XV 8. Registro de solicitudes de acceso a la información recibidas y atendidas FRACCIÓN XVII </w:t>
      </w:r>
      <w:r w:rsidR="00801EE4" w:rsidRPr="00801EE4">
        <w:rPr>
          <w:rFonts w:ascii="Palatino Linotype" w:hAnsi="Palatino Linotype"/>
          <w:i/>
          <w:sz w:val="24"/>
          <w:szCs w:val="24"/>
          <w:lang w:eastAsia="es-MX"/>
        </w:rPr>
        <w:lastRenderedPageBreak/>
        <w:t xml:space="preserve">9. Convocatorias a concursos para ocupar cargos públicos FRACCIÓN XVIII 10. Servidores públicos con sanciones administrativas definitivas FRACCIÓN XXII 11. Deuda pública FRACCIÓN XXVI 12. Erogación de recursos por contratación de servicios FRACCIÓN XXVII B 13. Utilización de los tiempos oficiales FRACCIÓN XXVII C 14. Mensaje e hipervínculo a la información relacionada con los Tiempos Oficiales FRACCIÓN XXVII D 15. Resultados de auditorías realizadas FRACCIÓN XXVIII 16. Resultados de la dictaminación de los estados financieros FRACCIÓN XXX 17. Personas que usan recursos públicos FRACCIÓN XXXI 18. Las concesiones, contratos, convenios, permisos, licencias o autorizaciones otorgados FRACCIÓN XXXII 19. Estadísticas generadas FRACCIÓN XXXIV 20. Convenios de coordinación, de concertación con el sector social o privado FRACCIÓN XXXVII 21. Inventario de bajas practicadas a bienes muebles FRACCIÓN XXXVIII C 22. Inventario de bienes inmuebles FRACCIÓN XXXVIII D 23. Inventario de altas practicadas a bienes inmuebles FRACCIÓN XXXVIII E 24. Recomendaciones emitidas por organismos internacionales FRACCIÓN XXXIX C 25. Recomendaciones emitidas por la Comisión Nacional de Derechos Humanos FRACCIÓN XXXIX A 26. Casos especiales emitidos por la CNDH u otros organismos FRACCIÓN XXXIX B 27. Resoluciones y laudos emitidos FRACCIÓN XL 28. Resultado de los mecanismos de participación FRACCIÓN XLI B 29. Programas que ofrecen FRACCIÓN XLII A 30. Informe de resoluciones del comité de transparencia FRACCIÓN XLIII B 31. Calendario de sesiones ordinarias del comité de transparencia FRACCIÓN XLIII D 32. Evaluaciones y encuestas a programas financiados con recursos públicos FRACCIÓN XLIV A 33. Encuestas sobre programas financiados con recursos FRACCIÓN XLIV B 34. Estudios financiados con recursos públicos FRACCIÓN XLV 35. Hipervínculo al listado de pensionados y jubilados FRACCIÓN XLVI A 36. Listado de jubilados y pensionados y el monto que reciben FRACCIÓN XLVI B 37. Ingresos recibidos por cualquier concepto por el sujeto obligado FRACCIÓN XLVII A 38. Donaciones en dinero realizadas FRACCIÓN XLVIII A 39. Donaciones en especie realizadas FRACCIÓN XLVIII B 40. Catálogo de disposición documental y guía simple de archivos FRACCIÓN XLIX 41. Actas del consejo consultivo FRACCIÓN L A 42. Opiniones y recomendaciones del consejo consultivo FRACCIÓN L B 43. Solicitudes de intervención de comunicaciones FRACCIÓN LI A 44. Solicitudes de registro de comunicaciones y de registro de localización geográfica FRACCIÓN LI B 45. Presupuesto de egresos FRACCIÓN </w:t>
      </w:r>
      <w:r w:rsidR="00801EE4" w:rsidRPr="00801EE4">
        <w:rPr>
          <w:rFonts w:ascii="Palatino Linotype" w:hAnsi="Palatino Linotype"/>
          <w:i/>
          <w:sz w:val="24"/>
          <w:szCs w:val="24"/>
          <w:lang w:eastAsia="es-MX"/>
        </w:rPr>
        <w:lastRenderedPageBreak/>
        <w:t>I B1 46. Egresos y fórmulas de distribución de los recursos FRACCIÓN I B2 47. Hipervínculo al listado de expropiaciones FRACCIÓN I C1 48. Listado de expropiaciones realizadas FRACCIÓN I C2 49. Hipervínculo a las cancelaciones y condonaciones FRACCIÓN I D1 50. Contribuyentes que recibieron cancelación o condonación de créditos fiscales FRACCIÓN I D2 51. Estadísticas sobre exenciones FRACCIÓN I D3 52. Hipervínculo a la información de los corredores FRACCIÓN I E1 53. Corredores y notarios públicos FRACCIÓN I E2 54. Sanciones aplicadas a corredores y notarios FRACCIÓN I E3 55. Planes y/o programas de desarrollo urbano FRACCIÓN I F2 56. Planes y programas de ordenamiento territorial FRACCIÓN I F3 57. Requisitos para ser Oficial del Registro Civil FRACCIÓN I H 58. Resultados de los exámenes de aptitud FRACCIÓN I H2 59. Resultados de las supervisiones, investigaciones e inspecciones a las Oficinas y Oficialías del Registro Civil FRACCIÓN I H3 60. Oficialías del Registro Civil en el Estado de México, domicilios de las mismas e información curricular y antigüedad de sus titulares FRACCIÓN I H4 61. Estadísticas de los trámites ante el Registro Civil FRACCIÓN I H5 62. Calendario del ciclo escolar FRACCIÓN I I 63. Directorio de escuelas incorporadas FRACCIÓN I I2 64. Lista de materiales y útiles escolares autorizados FRACCIÓN I I3 65. irectorio de bibliotecas públicas estatales FRACCIÓN I I4 66. Atlas de Riesgos FRACCIÓN I J 67. información para el conocimiento y evaluación de las funciones y políticas públicas implementadas por el Poder Ejecutivo FRACCIÓN I K 68. El contenido de las gacetas municipales FRACCIÓN II A2 69. Participaciones y Aportaciones recibidas, derivadas de la Ley de Coordinación Fiscal FRAC 70. Recursos federales recibidos, derivados del Título Segundo. Del Federalismo del Presupuesto de Egresos de la Federación FRACCIÓN II D</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3AA5C8A2" w14:textId="426F26A7" w:rsidR="00801EE4" w:rsidRPr="00801EE4" w:rsidRDefault="00801EE4" w:rsidP="005000AA">
      <w:pPr>
        <w:pStyle w:val="Prrafodelista"/>
        <w:numPr>
          <w:ilvl w:val="0"/>
          <w:numId w:val="3"/>
        </w:numPr>
        <w:spacing w:before="240" w:after="240" w:line="360" w:lineRule="auto"/>
        <w:ind w:left="0" w:firstLine="0"/>
        <w:jc w:val="both"/>
        <w:rPr>
          <w:rFonts w:ascii="Palatino Linotype" w:eastAsia="Calibri" w:hAnsi="Palatino Linotype"/>
          <w:sz w:val="24"/>
          <w:lang w:val="es-ES"/>
        </w:rPr>
      </w:pPr>
      <w:r w:rsidRPr="00801EE4">
        <w:rPr>
          <w:rFonts w:ascii="Palatino Linotype" w:eastAsia="Calibri" w:hAnsi="Palatino Linotype"/>
          <w:sz w:val="24"/>
          <w:lang w:val="es-ES"/>
        </w:rPr>
        <w:t>El cinco (5) de julio de dos mil veintiuno, el Sujeto Obligado solicitó una prórroga para atender la solicitud, manifestando:</w:t>
      </w:r>
    </w:p>
    <w:p w14:paraId="3D2ABBFF" w14:textId="77777777" w:rsidR="00801EE4" w:rsidRPr="00801EE4" w:rsidRDefault="00801EE4" w:rsidP="00801EE4">
      <w:pPr>
        <w:pStyle w:val="Prrafodelista"/>
        <w:rPr>
          <w:rFonts w:ascii="Palatino Linotype" w:eastAsia="Calibri" w:hAnsi="Palatino Linotype"/>
          <w:b/>
          <w:i/>
          <w:sz w:val="24"/>
          <w:lang w:val="es-ES"/>
        </w:rPr>
      </w:pPr>
    </w:p>
    <w:p w14:paraId="4544462F" w14:textId="04E3ECF7" w:rsidR="00801EE4" w:rsidRPr="00801EE4" w:rsidRDefault="00801EE4" w:rsidP="00801EE4">
      <w:pPr>
        <w:spacing w:before="240" w:after="240" w:line="360" w:lineRule="auto"/>
        <w:ind w:left="567" w:right="822"/>
        <w:jc w:val="both"/>
        <w:rPr>
          <w:rFonts w:ascii="Palatino Linotype" w:eastAsia="Calibri" w:hAnsi="Palatino Linotype"/>
          <w:i/>
          <w:sz w:val="22"/>
          <w:lang w:val="es-ES"/>
        </w:rPr>
      </w:pPr>
      <w:r>
        <w:rPr>
          <w:rFonts w:ascii="Palatino Linotype" w:eastAsia="Calibri" w:hAnsi="Palatino Linotype"/>
          <w:i/>
          <w:sz w:val="22"/>
          <w:lang w:val="es-ES"/>
        </w:rPr>
        <w:lastRenderedPageBreak/>
        <w:t>“</w:t>
      </w:r>
      <w:r w:rsidRPr="00801EE4">
        <w:rPr>
          <w:rFonts w:ascii="Palatino Linotype" w:eastAsia="Calibri" w:hAnsi="Palatino Linotype"/>
          <w:i/>
          <w:sz w:val="22"/>
          <w:lang w:val="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454FB0" w14:textId="77777777" w:rsidR="00801EE4" w:rsidRPr="00801EE4" w:rsidRDefault="00801EE4" w:rsidP="00801EE4">
      <w:pPr>
        <w:spacing w:before="240" w:after="240" w:line="360" w:lineRule="auto"/>
        <w:ind w:left="567" w:right="822"/>
        <w:jc w:val="both"/>
        <w:rPr>
          <w:rFonts w:ascii="Palatino Linotype" w:eastAsia="Calibri" w:hAnsi="Palatino Linotype"/>
          <w:i/>
          <w:sz w:val="22"/>
          <w:lang w:val="es-ES"/>
        </w:rPr>
      </w:pPr>
      <w:r w:rsidRPr="00801EE4">
        <w:rPr>
          <w:rFonts w:ascii="Palatino Linotype" w:eastAsia="Calibri" w:hAnsi="Palatino Linotype"/>
          <w:i/>
          <w:sz w:val="22"/>
          <w:lang w:val="es-ES"/>
        </w:rPr>
        <w:t>Una vez realizado el análisis del estado que guarda la integración de la información y a fin de brindar la respuesta correspondiente de manera actualizada, veras y completa de ser el caso, se otorga al prórroga solicitada a fin de que se subsane el requerimiento de ser procedente la entrega de la información</w:t>
      </w:r>
    </w:p>
    <w:p w14:paraId="690F123D" w14:textId="77777777" w:rsidR="00801EE4" w:rsidRPr="00801EE4" w:rsidRDefault="00801EE4" w:rsidP="00801EE4">
      <w:pPr>
        <w:spacing w:before="240" w:after="240" w:line="360" w:lineRule="auto"/>
        <w:ind w:left="567" w:right="822"/>
        <w:jc w:val="both"/>
        <w:rPr>
          <w:rFonts w:ascii="Palatino Linotype" w:eastAsia="Calibri" w:hAnsi="Palatino Linotype"/>
          <w:i/>
          <w:sz w:val="22"/>
          <w:lang w:val="es-ES"/>
        </w:rPr>
      </w:pPr>
      <w:r w:rsidRPr="00801EE4">
        <w:rPr>
          <w:rFonts w:ascii="Palatino Linotype" w:eastAsia="Calibri" w:hAnsi="Palatino Linotype"/>
          <w:i/>
          <w:sz w:val="22"/>
          <w:lang w:val="es-ES"/>
        </w:rPr>
        <w:t>LIC. CELSO ORTIZ TORRES</w:t>
      </w:r>
    </w:p>
    <w:p w14:paraId="328C10D9" w14:textId="74A6AD4F" w:rsidR="00801EE4" w:rsidRPr="00801EE4" w:rsidRDefault="00801EE4" w:rsidP="00801EE4">
      <w:pPr>
        <w:spacing w:before="240" w:after="240" w:line="360" w:lineRule="auto"/>
        <w:ind w:left="567" w:right="822"/>
        <w:jc w:val="both"/>
        <w:rPr>
          <w:rFonts w:ascii="Palatino Linotype" w:eastAsia="Calibri" w:hAnsi="Palatino Linotype"/>
          <w:i/>
          <w:sz w:val="22"/>
          <w:lang w:val="es-ES"/>
        </w:rPr>
      </w:pPr>
      <w:r w:rsidRPr="00801EE4">
        <w:rPr>
          <w:rFonts w:ascii="Palatino Linotype" w:eastAsia="Calibri" w:hAnsi="Palatino Linotype"/>
          <w:i/>
          <w:sz w:val="22"/>
          <w:lang w:val="es-ES"/>
        </w:rPr>
        <w:t>Responsable de la Unidad de Transparencia</w:t>
      </w:r>
      <w:r>
        <w:rPr>
          <w:rFonts w:ascii="Palatino Linotype" w:eastAsia="Calibri" w:hAnsi="Palatino Linotype"/>
          <w:i/>
          <w:sz w:val="22"/>
          <w:lang w:val="es-ES"/>
        </w:rPr>
        <w:t xml:space="preserve">” (sic) </w:t>
      </w:r>
    </w:p>
    <w:p w14:paraId="050EC7B8" w14:textId="77777777" w:rsidR="00801EE4" w:rsidRPr="00801EE4" w:rsidRDefault="00801EE4" w:rsidP="00801EE4">
      <w:pPr>
        <w:pStyle w:val="Prrafodelista"/>
        <w:rPr>
          <w:rFonts w:ascii="Palatino Linotype" w:eastAsia="Calibri" w:hAnsi="Palatino Linotype"/>
          <w:sz w:val="24"/>
          <w:lang w:val="es-ES"/>
        </w:rPr>
      </w:pPr>
    </w:p>
    <w:p w14:paraId="47BDCF02" w14:textId="0E4799A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801EE4">
        <w:rPr>
          <w:rFonts w:ascii="Palatino Linotype" w:eastAsia="Calibri" w:hAnsi="Palatino Linotype"/>
          <w:sz w:val="24"/>
          <w:lang w:val="es-ES"/>
        </w:rPr>
        <w:t>trece</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801EE4">
        <w:rPr>
          <w:rFonts w:ascii="Palatino Linotype" w:eastAsia="Calibri" w:hAnsi="Palatino Linotype" w:cs="Arial"/>
          <w:sz w:val="24"/>
          <w:lang w:val="es-ES"/>
        </w:rPr>
        <w:t>13</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de ju</w:t>
      </w:r>
      <w:r w:rsidR="00A36BE2">
        <w:rPr>
          <w:rFonts w:ascii="Palatino Linotype" w:eastAsia="Calibri" w:hAnsi="Palatino Linotype"/>
          <w:sz w:val="24"/>
          <w:lang w:val="es-ES"/>
        </w:rPr>
        <w:t>lio</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5EF907EE" w14:textId="77777777" w:rsidR="00801EE4" w:rsidRPr="00801EE4" w:rsidRDefault="005000AA" w:rsidP="00801EE4">
      <w:pPr>
        <w:pStyle w:val="Prrafodelista"/>
        <w:spacing w:before="240" w:after="240" w:line="360" w:lineRule="auto"/>
        <w:ind w:left="567" w:right="567"/>
        <w:jc w:val="both"/>
        <w:rPr>
          <w:rFonts w:ascii="Palatino Linotype" w:hAnsi="Palatino Linotype"/>
          <w:i/>
          <w:color w:val="000000"/>
          <w:sz w:val="24"/>
        </w:rPr>
      </w:pPr>
      <w:r w:rsidRPr="00624AAD">
        <w:rPr>
          <w:rFonts w:ascii="Palatino Linotype" w:eastAsia="Calibri" w:hAnsi="Palatino Linotype"/>
          <w:i/>
          <w:sz w:val="24"/>
          <w:lang w:val="es-ES"/>
        </w:rPr>
        <w:t>“</w:t>
      </w:r>
      <w:r w:rsidR="00801EE4" w:rsidRPr="00801EE4">
        <w:rPr>
          <w:rFonts w:ascii="Palatino Linotype" w:hAnsi="Palatino Linotype"/>
          <w:i/>
          <w:color w:val="000000"/>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B22D20" w14:textId="77777777" w:rsidR="00801EE4" w:rsidRPr="00801EE4" w:rsidRDefault="00801EE4" w:rsidP="00801EE4">
      <w:pPr>
        <w:pStyle w:val="Prrafodelista"/>
        <w:spacing w:before="240" w:after="240" w:line="360" w:lineRule="auto"/>
        <w:ind w:left="567" w:right="567"/>
        <w:jc w:val="both"/>
        <w:rPr>
          <w:rFonts w:ascii="Palatino Linotype" w:hAnsi="Palatino Linotype"/>
          <w:i/>
          <w:color w:val="000000"/>
          <w:sz w:val="24"/>
        </w:rPr>
      </w:pPr>
      <w:r w:rsidRPr="00801EE4">
        <w:rPr>
          <w:rFonts w:ascii="Palatino Linotype" w:hAnsi="Palatino Linotype"/>
          <w:i/>
          <w:color w:val="000000"/>
          <w:sz w:val="24"/>
        </w:rPr>
        <w:t>En atención a su solicitud de información 00115/CHIMALHU/IP/2021, le informo que, en lo referente a su requerimiento se adjunta oficio de respuesta.</w:t>
      </w:r>
    </w:p>
    <w:p w14:paraId="5879E8CF" w14:textId="77777777" w:rsidR="00801EE4" w:rsidRPr="00801EE4" w:rsidRDefault="00801EE4" w:rsidP="00801EE4">
      <w:pPr>
        <w:pStyle w:val="Prrafodelista"/>
        <w:spacing w:before="240" w:after="240" w:line="360" w:lineRule="auto"/>
        <w:ind w:left="567" w:right="567"/>
        <w:jc w:val="both"/>
        <w:rPr>
          <w:rFonts w:ascii="Palatino Linotype" w:hAnsi="Palatino Linotype"/>
          <w:i/>
          <w:color w:val="000000"/>
          <w:sz w:val="24"/>
        </w:rPr>
      </w:pPr>
      <w:r w:rsidRPr="00801EE4">
        <w:rPr>
          <w:rFonts w:ascii="Palatino Linotype" w:hAnsi="Palatino Linotype"/>
          <w:i/>
          <w:color w:val="000000"/>
          <w:sz w:val="24"/>
        </w:rPr>
        <w:t>ATENTAMENTE</w:t>
      </w:r>
    </w:p>
    <w:p w14:paraId="362915EB" w14:textId="57E53247" w:rsidR="005000AA" w:rsidRPr="00624AAD" w:rsidRDefault="00801EE4" w:rsidP="00801EE4">
      <w:pPr>
        <w:pStyle w:val="Prrafodelista"/>
        <w:spacing w:before="240" w:after="240" w:line="360" w:lineRule="auto"/>
        <w:ind w:left="567" w:right="567"/>
        <w:jc w:val="both"/>
        <w:rPr>
          <w:rFonts w:ascii="Palatino Linotype" w:hAnsi="Palatino Linotype"/>
          <w:i/>
          <w:color w:val="000000"/>
          <w:sz w:val="24"/>
        </w:rPr>
      </w:pPr>
      <w:r w:rsidRPr="00801EE4">
        <w:rPr>
          <w:rFonts w:ascii="Palatino Linotype" w:hAnsi="Palatino Linotype"/>
          <w:i/>
          <w:color w:val="000000"/>
          <w:sz w:val="24"/>
        </w:rPr>
        <w:t>LIC. CELSO ORTIZ TORRES</w:t>
      </w:r>
      <w:r w:rsidR="005000AA" w:rsidRPr="00624AAD">
        <w:rPr>
          <w:rFonts w:ascii="Palatino Linotype" w:hAnsi="Palatino Linotype"/>
          <w:i/>
          <w:color w:val="000000"/>
          <w:sz w:val="24"/>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2FDE732B" w14:textId="1CE33D16" w:rsidR="00801EE4" w:rsidRPr="00541DA7" w:rsidRDefault="00A36BE2"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lastRenderedPageBreak/>
        <w:t>RESPUESTA A LA SOLICITU</w:t>
      </w:r>
      <w:r w:rsidR="00801EE4">
        <w:rPr>
          <w:rFonts w:ascii="Palatino Linotype" w:hAnsi="Palatino Linotype"/>
          <w:b/>
          <w:bCs/>
          <w:iCs/>
          <w:color w:val="000000"/>
          <w:sz w:val="24"/>
        </w:rPr>
        <w:t xml:space="preserve">D-00115_CHIMALHU_IP_2021-U.T.pdf: </w:t>
      </w:r>
      <w:r w:rsidR="00801EE4" w:rsidRPr="00541DA7">
        <w:rPr>
          <w:rFonts w:ascii="Palatino Linotype" w:hAnsi="Palatino Linotype"/>
          <w:bCs/>
          <w:iCs/>
          <w:color w:val="000000"/>
          <w:sz w:val="24"/>
        </w:rPr>
        <w:t xml:space="preserve">Documento suscrito por el Titular de la Unidad de Transparencia mediante el cual refiere </w:t>
      </w:r>
      <w:r w:rsidR="00541DA7" w:rsidRPr="00541DA7">
        <w:rPr>
          <w:rFonts w:ascii="Palatino Linotype" w:hAnsi="Palatino Linotype"/>
          <w:bCs/>
          <w:iCs/>
          <w:color w:val="000000"/>
          <w:sz w:val="24"/>
        </w:rPr>
        <w:t>que, derivado a lo extenso de la información requerida, aunado a que se encuentran en periodo de verificación oficiosa, se realizan los procedimientos internos pertinentes a fin de informar que se está alimentando cada fracción respectiva para que la ciudadanía pueda consultar el portal IPOMEX en los días subsecuentes, por lo que el Sujeto Obligado se encuentra en proceso de validar cada una de las fracciones que apliqué en el ámbito de su competencia, asimismo, se está integrando la declaración de no aplicabilidad en las fracciones que haya lugar.</w:t>
      </w:r>
    </w:p>
    <w:p w14:paraId="54AB46E3" w14:textId="77777777" w:rsidR="00541DA7" w:rsidRDefault="00541DA7" w:rsidP="00541DA7">
      <w:pPr>
        <w:pStyle w:val="Prrafodelista"/>
        <w:spacing w:before="240" w:after="240" w:line="360" w:lineRule="auto"/>
        <w:ind w:left="709" w:right="567"/>
        <w:jc w:val="both"/>
        <w:rPr>
          <w:rFonts w:ascii="Palatino Linotype" w:hAnsi="Palatino Linotype"/>
          <w:b/>
          <w:bCs/>
          <w:iCs/>
          <w:color w:val="000000"/>
          <w:sz w:val="24"/>
        </w:rPr>
      </w:pPr>
    </w:p>
    <w:p w14:paraId="518CDCD9" w14:textId="6EF31528" w:rsidR="005000AA" w:rsidRPr="00624AAD" w:rsidRDefault="004E6A3B"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dos</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2</w:t>
      </w:r>
      <w:r w:rsidR="005000AA" w:rsidRPr="00624AAD">
        <w:rPr>
          <w:rFonts w:ascii="Palatino Linotype" w:eastAsia="Calibri" w:hAnsi="Palatino Linotype" w:cs="Arial"/>
          <w:sz w:val="24"/>
          <w:lang w:val="es-AR"/>
        </w:rPr>
        <w:t xml:space="preserve">) de </w:t>
      </w:r>
      <w:r>
        <w:rPr>
          <w:rFonts w:ascii="Palatino Linotype" w:eastAsia="Calibri" w:hAnsi="Palatino Linotype" w:cs="Arial"/>
          <w:sz w:val="24"/>
          <w:lang w:val="es-AR"/>
        </w:rPr>
        <w:t xml:space="preserve">agosto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54EC4985"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541DA7" w:rsidRPr="00541DA7">
        <w:rPr>
          <w:rFonts w:ascii="Palatino Linotype" w:hAnsi="Palatino Linotype"/>
          <w:bCs/>
          <w:i/>
          <w:iCs/>
          <w:sz w:val="24"/>
        </w:rPr>
        <w:t>TODO LA SOLICITUD DE INFORMACIÓN</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13059573"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541DA7" w:rsidRPr="00541DA7">
        <w:rPr>
          <w:rFonts w:ascii="Palatino Linotype" w:hAnsi="Palatino Linotype"/>
          <w:i/>
          <w:sz w:val="24"/>
        </w:rPr>
        <w:t xml:space="preserve">EL SUJETO OBLIGADO NO ENTREGA INFORMACIÓN SOLICITADA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Pr="00624AAD" w:rsidRDefault="005000AA" w:rsidP="005000AA">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5BC2B45E"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Pr="00624AAD">
        <w:rPr>
          <w:rFonts w:ascii="Palatino Linotype" w:hAnsi="Palatino Linotype" w:cs="Arial"/>
          <w:sz w:val="24"/>
          <w:lang w:val="es-ES"/>
        </w:rPr>
        <w:t xml:space="preserve">l </w:t>
      </w:r>
      <w:r w:rsidR="00D31521">
        <w:rPr>
          <w:rFonts w:ascii="Palatino Linotype" w:hAnsi="Palatino Linotype" w:cs="Arial"/>
          <w:b/>
          <w:sz w:val="24"/>
          <w:lang w:val="es-ES"/>
        </w:rPr>
        <w:t>Comisionado</w:t>
      </w:r>
      <w:r w:rsidRPr="00624AAD">
        <w:rPr>
          <w:rFonts w:ascii="Palatino Linotype" w:hAnsi="Palatino Linotype" w:cs="Arial"/>
          <w:b/>
          <w:sz w:val="24"/>
          <w:lang w:val="es-ES"/>
        </w:rPr>
        <w:t xml:space="preserve"> </w:t>
      </w:r>
      <w:r w:rsidR="00D31521">
        <w:rPr>
          <w:rFonts w:ascii="Palatino Linotype" w:hAnsi="Palatino Linotype" w:cs="Arial"/>
          <w:b/>
          <w:sz w:val="24"/>
          <w:lang w:val="es-ES"/>
        </w:rPr>
        <w:t>Luis Gustavo Parra Noriega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48A0A6EC"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541DA7">
        <w:rPr>
          <w:rFonts w:ascii="Palatino Linotype" w:eastAsia="Calibri" w:hAnsi="Palatino Linotype" w:cs="Arial"/>
          <w:sz w:val="24"/>
          <w:lang w:val="es-ES"/>
        </w:rPr>
        <w:t>seis</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541DA7">
        <w:rPr>
          <w:rFonts w:ascii="Palatino Linotype" w:eastAsia="Calibri" w:hAnsi="Palatino Linotype" w:cs="Arial"/>
          <w:sz w:val="24"/>
          <w:lang w:val="es-ES"/>
        </w:rPr>
        <w:t>6</w:t>
      </w:r>
      <w:r w:rsidR="004E6A3B">
        <w:rPr>
          <w:rFonts w:ascii="Palatino Linotype" w:eastAsia="Calibri" w:hAnsi="Palatino Linotype" w:cs="Arial"/>
          <w:sz w:val="24"/>
          <w:lang w:val="es-ES"/>
        </w:rPr>
        <w:t>) de agosto</w:t>
      </w:r>
      <w:r w:rsidRPr="00624AAD">
        <w:rPr>
          <w:rFonts w:ascii="Palatino Linotype" w:eastAsia="Calibri" w:hAnsi="Palatino Linotype" w:cs="Arial"/>
          <w:sz w:val="24"/>
          <w:lang w:val="es-ES"/>
        </w:rPr>
        <w:t xml:space="preserve"> de dos mil veintiuno, puso a disposición de las partes el expediente 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433A2E4A" w14:textId="5B45A7FB" w:rsidR="004E6A3B" w:rsidRPr="004E6A3B" w:rsidRDefault="005000AA"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t>De las constancias que obran en el expediente electrónico del SAIMEX se aprecia que</w:t>
      </w:r>
      <w:r w:rsidR="00541DA7">
        <w:rPr>
          <w:rFonts w:ascii="Palatino Linotype" w:hAnsi="Palatino Linotype"/>
          <w:iCs/>
          <w:color w:val="000000"/>
          <w:sz w:val="24"/>
        </w:rPr>
        <w:t>, tanto</w:t>
      </w:r>
      <w:r w:rsidRPr="00624AAD">
        <w:rPr>
          <w:rFonts w:ascii="Palatino Linotype" w:hAnsi="Palatino Linotype"/>
          <w:iCs/>
          <w:color w:val="000000"/>
          <w:sz w:val="24"/>
        </w:rPr>
        <w:t xml:space="preserve"> el Sujeto Obligado</w:t>
      </w:r>
      <w:r w:rsidR="00541DA7">
        <w:rPr>
          <w:rFonts w:ascii="Palatino Linotype" w:hAnsi="Palatino Linotype"/>
          <w:iCs/>
          <w:color w:val="000000"/>
          <w:sz w:val="24"/>
        </w:rPr>
        <w:t xml:space="preserve"> como la parte Recurrente, fueron omisos en presentar manifestaciones, así como el informe justificado correspondiente, </w:t>
      </w:r>
      <w:r w:rsidR="004E6A3B" w:rsidRPr="004E6A3B">
        <w:rPr>
          <w:rFonts w:ascii="Palatino Linotype" w:hAnsi="Palatino Linotype"/>
          <w:iCs/>
          <w:color w:val="000000"/>
          <w:sz w:val="24"/>
        </w:rPr>
        <w:t>se inserta su contenido íntegro a continuación:</w:t>
      </w:r>
    </w:p>
    <w:p w14:paraId="358B5E8F" w14:textId="3C713BE9" w:rsidR="004E6A3B" w:rsidRDefault="00541DA7" w:rsidP="004E6A3B">
      <w:pPr>
        <w:spacing w:before="240" w:after="240" w:line="360" w:lineRule="auto"/>
        <w:jc w:val="center"/>
        <w:rPr>
          <w:rFonts w:ascii="Palatino Linotype" w:hAnsi="Palatino Linotype"/>
          <w:i/>
          <w:color w:val="000000"/>
          <w:sz w:val="24"/>
        </w:rPr>
      </w:pPr>
      <w:r>
        <w:rPr>
          <w:noProof/>
          <w:lang w:eastAsia="es-MX"/>
        </w:rPr>
        <w:drawing>
          <wp:inline distT="0" distB="0" distL="0" distR="0" wp14:anchorId="5F142313" wp14:editId="0270FD20">
            <wp:extent cx="5742940" cy="14189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01" t="46294" r="6623" b="15668"/>
                    <a:stretch/>
                  </pic:blipFill>
                  <pic:spPr bwMode="auto">
                    <a:xfrm>
                      <a:off x="0" y="0"/>
                      <a:ext cx="5742940" cy="1418918"/>
                    </a:xfrm>
                    <a:prstGeom prst="rect">
                      <a:avLst/>
                    </a:prstGeom>
                    <a:ln>
                      <a:noFill/>
                    </a:ln>
                    <a:extLst>
                      <a:ext uri="{53640926-AAD7-44D8-BBD7-CCE9431645EC}">
                        <a14:shadowObscured xmlns:a14="http://schemas.microsoft.com/office/drawing/2010/main"/>
                      </a:ext>
                    </a:extLst>
                  </pic:spPr>
                </pic:pic>
              </a:graphicData>
            </a:graphic>
          </wp:inline>
        </w:drawing>
      </w:r>
    </w:p>
    <w:p w14:paraId="186BE0ED" w14:textId="77777777" w:rsidR="00541DA7" w:rsidRPr="00A34D56" w:rsidRDefault="00541DA7" w:rsidP="00541DA7">
      <w:pPr>
        <w:pStyle w:val="Prrafodelista"/>
        <w:numPr>
          <w:ilvl w:val="0"/>
          <w:numId w:val="2"/>
        </w:numPr>
        <w:spacing w:line="360" w:lineRule="auto"/>
        <w:ind w:left="0" w:firstLine="0"/>
        <w:jc w:val="both"/>
        <w:rPr>
          <w:rFonts w:ascii="Palatino Linotype" w:hAnsi="Palatino Linotype" w:cs="Arial"/>
          <w:sz w:val="24"/>
        </w:rPr>
      </w:pPr>
      <w:r w:rsidRPr="00A34D56">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DA0A80E" w14:textId="77777777" w:rsidR="00541DA7" w:rsidRPr="002152A6" w:rsidRDefault="00541DA7" w:rsidP="00541DA7">
      <w:pPr>
        <w:pStyle w:val="Prrafodelista"/>
        <w:spacing w:line="360" w:lineRule="auto"/>
        <w:ind w:left="0"/>
        <w:jc w:val="both"/>
        <w:rPr>
          <w:rFonts w:ascii="Palatino Linotype" w:hAnsi="Palatino Linotype" w:cs="Arial"/>
        </w:rPr>
      </w:pPr>
    </w:p>
    <w:p w14:paraId="175C17A0" w14:textId="77777777" w:rsidR="00541DA7" w:rsidRPr="002152A6" w:rsidRDefault="00541DA7" w:rsidP="00541DA7">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43031663" w14:textId="77777777" w:rsidR="00541DA7" w:rsidRPr="002152A6" w:rsidRDefault="00541DA7" w:rsidP="00541DA7">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687EB5D2" w14:textId="77777777" w:rsidR="00541DA7" w:rsidRPr="00A34D56" w:rsidRDefault="00541DA7" w:rsidP="00541DA7">
      <w:pPr>
        <w:pStyle w:val="Prrafodelista"/>
        <w:numPr>
          <w:ilvl w:val="0"/>
          <w:numId w:val="2"/>
        </w:numPr>
        <w:spacing w:line="360" w:lineRule="auto"/>
        <w:ind w:left="0" w:firstLine="0"/>
        <w:jc w:val="both"/>
        <w:rPr>
          <w:rFonts w:ascii="Palatino Linotype" w:hAnsi="Palatino Linotype" w:cs="Arial"/>
          <w:b/>
          <w:sz w:val="24"/>
          <w:lang w:val="es-ES"/>
        </w:rPr>
      </w:pPr>
      <w:r w:rsidRPr="00A34D56">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sz w:val="24"/>
        </w:rPr>
        <w:t>SUJETO OBLIGADO</w:t>
      </w:r>
      <w:r w:rsidRPr="00A34D56">
        <w:rPr>
          <w:rFonts w:ascii="Palatino Linotype" w:hAnsi="Palatino Linotype" w:cs="Arial"/>
          <w:color w:val="222222"/>
          <w:sz w:val="24"/>
        </w:rPr>
        <w:t> pierda la oportunidad de justificar su falta de respuesta y manifestar lo que a su derecho convenga.</w:t>
      </w:r>
    </w:p>
    <w:p w14:paraId="153E23FD" w14:textId="0987DE8B" w:rsidR="004E6A3B" w:rsidRDefault="004E6A3B" w:rsidP="004E6A3B">
      <w:pPr>
        <w:spacing w:before="240" w:after="240" w:line="360" w:lineRule="auto"/>
        <w:jc w:val="center"/>
        <w:rPr>
          <w:rFonts w:ascii="Palatino Linotype" w:hAnsi="Palatino Linotype"/>
          <w:i/>
          <w:color w:val="000000"/>
          <w:sz w:val="24"/>
        </w:rPr>
      </w:pPr>
    </w:p>
    <w:p w14:paraId="155A6D98" w14:textId="44E8CF19" w:rsidR="004E6A3B" w:rsidRDefault="004E6A3B" w:rsidP="004E6A3B">
      <w:pPr>
        <w:spacing w:before="240" w:after="240" w:line="360" w:lineRule="auto"/>
        <w:jc w:val="center"/>
        <w:rPr>
          <w:rFonts w:ascii="Palatino Linotype" w:hAnsi="Palatino Linotype"/>
          <w:i/>
          <w:color w:val="000000"/>
          <w:sz w:val="24"/>
        </w:rPr>
      </w:pPr>
    </w:p>
    <w:p w14:paraId="14642681" w14:textId="325DCC99" w:rsidR="004E6A3B" w:rsidRDefault="004E6A3B" w:rsidP="004E6A3B">
      <w:pPr>
        <w:spacing w:before="240" w:after="240" w:line="360" w:lineRule="auto"/>
        <w:jc w:val="center"/>
        <w:rPr>
          <w:rFonts w:ascii="Palatino Linotype" w:hAnsi="Palatino Linotype"/>
          <w:i/>
          <w:color w:val="000000"/>
          <w:sz w:val="24"/>
        </w:rPr>
      </w:pPr>
    </w:p>
    <w:p w14:paraId="12AC96F6" w14:textId="537ECD3E" w:rsidR="004E6A3B" w:rsidRPr="004E6A3B" w:rsidRDefault="004E6A3B" w:rsidP="004E6A3B">
      <w:pPr>
        <w:spacing w:before="240" w:after="240" w:line="360" w:lineRule="auto"/>
        <w:jc w:val="center"/>
        <w:rPr>
          <w:rFonts w:ascii="Palatino Linotype" w:hAnsi="Palatino Linotype"/>
          <w:i/>
          <w:color w:val="000000"/>
          <w:sz w:val="24"/>
        </w:rPr>
      </w:pPr>
    </w:p>
    <w:p w14:paraId="10B56B56" w14:textId="77777777" w:rsidR="00541DA7" w:rsidRPr="00541DA7" w:rsidRDefault="005000AA" w:rsidP="005000AA">
      <w:pPr>
        <w:pStyle w:val="Prrafodelista"/>
        <w:numPr>
          <w:ilvl w:val="0"/>
          <w:numId w:val="3"/>
        </w:numPr>
        <w:spacing w:line="360" w:lineRule="auto"/>
        <w:ind w:left="0" w:firstLine="0"/>
        <w:jc w:val="both"/>
        <w:rPr>
          <w:rFonts w:ascii="Palatino Linotype" w:hAnsi="Palatino Linotype" w:cs="Tahoma"/>
          <w:sz w:val="24"/>
        </w:rPr>
      </w:pPr>
      <w:r w:rsidRPr="00624AAD">
        <w:rPr>
          <w:rFonts w:ascii="Palatino Linotype" w:hAnsi="Palatino Linotype" w:cs="Arial"/>
          <w:color w:val="000000" w:themeColor="text1"/>
          <w:sz w:val="24"/>
        </w:rPr>
        <w:t>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w:t>
      </w:r>
    </w:p>
    <w:p w14:paraId="242D79C0" w14:textId="77777777" w:rsidR="00541DA7" w:rsidRPr="00541DA7" w:rsidRDefault="00541DA7" w:rsidP="00541DA7">
      <w:pPr>
        <w:pStyle w:val="Prrafodelista"/>
        <w:spacing w:line="360" w:lineRule="auto"/>
        <w:ind w:left="0"/>
        <w:jc w:val="both"/>
        <w:rPr>
          <w:rFonts w:ascii="Palatino Linotype" w:hAnsi="Palatino Linotype" w:cs="Tahoma"/>
          <w:sz w:val="24"/>
        </w:rPr>
      </w:pPr>
    </w:p>
    <w:p w14:paraId="602C21C8" w14:textId="0F54D12C" w:rsidR="005000AA" w:rsidRPr="00541DA7" w:rsidRDefault="00541DA7" w:rsidP="00541DA7">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El día veintiséis</w:t>
      </w:r>
      <w:r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26</w:t>
      </w:r>
      <w:r w:rsidRPr="00624AAD">
        <w:rPr>
          <w:rFonts w:ascii="Palatino Linotype" w:eastAsia="Calibri" w:hAnsi="Palatino Linotype" w:cs="Arial"/>
          <w:sz w:val="24"/>
          <w:lang w:val="es-ES"/>
        </w:rPr>
        <w:t xml:space="preserve">) de </w:t>
      </w:r>
      <w:r>
        <w:rPr>
          <w:rFonts w:ascii="Palatino Linotype" w:eastAsia="Calibri" w:hAnsi="Palatino Linotype" w:cs="Arial"/>
          <w:sz w:val="24"/>
          <w:lang w:val="es-ES"/>
        </w:rPr>
        <w:t>agosto</w:t>
      </w:r>
      <w:r w:rsidRPr="00624AAD">
        <w:rPr>
          <w:rFonts w:ascii="Palatino Linotype" w:eastAsia="Calibri" w:hAnsi="Palatino Linotype" w:cs="Arial"/>
          <w:sz w:val="24"/>
          <w:lang w:val="es-ES"/>
        </w:rPr>
        <w:t xml:space="preserve"> de dos mil veintiuno, e</w:t>
      </w:r>
      <w:r w:rsidRPr="00624AAD">
        <w:rPr>
          <w:rFonts w:ascii="Palatino Linotype" w:hAnsi="Palatino Linotype"/>
          <w:sz w:val="24"/>
        </w:rPr>
        <w:t>l Comisionado Ponente decretó el cierre de instrucción</w:t>
      </w:r>
      <w:r w:rsidRPr="00624AAD">
        <w:rPr>
          <w:rFonts w:ascii="Palatino Linotype" w:hAnsi="Palatino Linotype" w:cs="Arial"/>
          <w:sz w:val="24"/>
        </w:rPr>
        <w:t>.</w:t>
      </w:r>
      <w:r w:rsidRPr="00624AAD">
        <w:rPr>
          <w:rFonts w:ascii="Palatino Linotype" w:hAnsi="Palatino Linotype" w:cs="Tahoma"/>
          <w:sz w:val="24"/>
        </w:rPr>
        <w:t xml:space="preserve"> </w:t>
      </w:r>
      <w:r w:rsidR="00D83D52">
        <w:rPr>
          <w:rFonts w:ascii="Palatino Linotype" w:hAnsi="Palatino Linotype" w:cs="Tahoma"/>
          <w:sz w:val="24"/>
        </w:rPr>
        <w:t>Asimismo, el veinticuatro</w:t>
      </w:r>
      <w:r>
        <w:rPr>
          <w:rFonts w:ascii="Palatino Linotype" w:hAnsi="Palatino Linotype" w:cs="Tahoma"/>
          <w:sz w:val="24"/>
        </w:rPr>
        <w:t xml:space="preserve"> (</w:t>
      </w:r>
      <w:r w:rsidR="00D83D52">
        <w:rPr>
          <w:rFonts w:ascii="Palatino Linotype" w:hAnsi="Palatino Linotype" w:cs="Tahoma"/>
          <w:sz w:val="24"/>
        </w:rPr>
        <w:t>24</w:t>
      </w:r>
      <w:r>
        <w:rPr>
          <w:rFonts w:ascii="Palatino Linotype" w:hAnsi="Palatino Linotype" w:cs="Tahoma"/>
          <w:sz w:val="24"/>
        </w:rPr>
        <w:t xml:space="preserve">) de septiembre del mismo año, se notificó el acuerdo mediante el cual se amplió el plazo para emitir resolución, misma que a continuación se pronuncia; </w:t>
      </w:r>
      <w:r w:rsidR="005000AA" w:rsidRPr="00541DA7">
        <w:rPr>
          <w:rFonts w:ascii="Palatino Linotype" w:hAnsi="Palatino Linotype" w:cs="Arial"/>
          <w:color w:val="000000" w:themeColor="text1"/>
          <w:sz w:val="24"/>
        </w:rPr>
        <w:t xml:space="preserve">y - - - - - - - - - - - </w:t>
      </w:r>
      <w:r w:rsidR="005000AA" w:rsidRPr="00541DA7">
        <w:rPr>
          <w:rFonts w:ascii="Palatino Linotype" w:hAnsi="Palatino Linotype" w:cs="Arial"/>
          <w:sz w:val="24"/>
        </w:rPr>
        <w:t xml:space="preserve">- - - - - - - - - - - - - </w:t>
      </w:r>
    </w:p>
    <w:p w14:paraId="1818EEE5" w14:textId="77777777" w:rsidR="005000AA" w:rsidRPr="00624AAD" w:rsidRDefault="005000AA" w:rsidP="005000AA">
      <w:pPr>
        <w:pStyle w:val="Prrafodelista"/>
        <w:rPr>
          <w:rFonts w:ascii="Palatino Linotype" w:hAnsi="Palatino Linotype" w:cs="Tahoma"/>
          <w:sz w:val="24"/>
        </w:rPr>
      </w:pP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5" w:name="_Toc83311682"/>
      <w:r w:rsidRPr="00624AAD">
        <w:rPr>
          <w:rFonts w:ascii="Palatino Linotype" w:hAnsi="Palatino Linotype"/>
          <w:b/>
          <w:color w:val="auto"/>
          <w:sz w:val="24"/>
          <w:szCs w:val="24"/>
        </w:rPr>
        <w:t>CONSIDERANDO</w:t>
      </w:r>
      <w:bookmarkEnd w:id="5"/>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3311683"/>
      <w:r w:rsidRPr="00624AAD">
        <w:rPr>
          <w:rFonts w:ascii="Palatino Linotype" w:hAnsi="Palatino Linotype"/>
          <w:b/>
          <w:color w:val="auto"/>
          <w:sz w:val="24"/>
          <w:szCs w:val="24"/>
        </w:rPr>
        <w:t>PRIMERO. De la competencia</w:t>
      </w:r>
      <w:bookmarkEnd w:id="6"/>
    </w:p>
    <w:p w14:paraId="38B24DFE" w14:textId="34C8983B"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lastRenderedPageBreak/>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3311684"/>
      <w:r w:rsidRPr="00624AAD">
        <w:rPr>
          <w:rFonts w:ascii="Palatino Linotype" w:hAnsi="Palatino Linotype"/>
          <w:b/>
          <w:color w:val="auto"/>
          <w:sz w:val="24"/>
          <w:szCs w:val="24"/>
        </w:rPr>
        <w:t>SEGUNDO. De la oportunidad y procedencia.</w:t>
      </w:r>
      <w:bookmarkEnd w:id="7"/>
    </w:p>
    <w:p w14:paraId="68EB8895" w14:textId="796EC21B" w:rsidR="005000AA" w:rsidRPr="00541DA7"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541DA7">
        <w:rPr>
          <w:rFonts w:ascii="Palatino Linotype" w:eastAsia="Calibri" w:hAnsi="Palatino Linotype" w:cs="Arial"/>
          <w:sz w:val="24"/>
        </w:rPr>
        <w:t>siete</w:t>
      </w:r>
      <w:r w:rsidRPr="00624AAD">
        <w:rPr>
          <w:rFonts w:ascii="Palatino Linotype" w:eastAsia="Calibri" w:hAnsi="Palatino Linotype" w:cs="Arial"/>
          <w:sz w:val="24"/>
        </w:rPr>
        <w:t xml:space="preserve"> (</w:t>
      </w:r>
      <w:r w:rsidR="00541DA7">
        <w:rPr>
          <w:rFonts w:ascii="Palatino Linotype" w:eastAsia="Calibri" w:hAnsi="Palatino Linotype" w:cs="Arial"/>
          <w:sz w:val="24"/>
        </w:rPr>
        <w:t>7</w:t>
      </w:r>
      <w:r w:rsidRPr="00624AAD">
        <w:rPr>
          <w:rFonts w:ascii="Palatino Linotype" w:eastAsia="Calibri" w:hAnsi="Palatino Linotype" w:cs="Arial"/>
          <w:sz w:val="24"/>
        </w:rPr>
        <w:t>) de ju</w:t>
      </w:r>
      <w:r w:rsidR="00D31521">
        <w:rPr>
          <w:rFonts w:ascii="Palatino Linotype" w:eastAsia="Calibri" w:hAnsi="Palatino Linotype" w:cs="Arial"/>
          <w:sz w:val="24"/>
        </w:rPr>
        <w:t>lio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541DA7">
        <w:rPr>
          <w:rFonts w:ascii="Palatino Linotype" w:hAnsi="Palatino Linotype" w:cs="Arial"/>
          <w:sz w:val="24"/>
        </w:rPr>
        <w:t>ocho</w:t>
      </w:r>
      <w:r w:rsidRPr="00624AAD">
        <w:rPr>
          <w:rFonts w:ascii="Palatino Linotype" w:hAnsi="Palatino Linotype" w:cs="Arial"/>
          <w:sz w:val="24"/>
        </w:rPr>
        <w:t xml:space="preserve"> (</w:t>
      </w:r>
      <w:r w:rsidR="00541DA7">
        <w:rPr>
          <w:rFonts w:ascii="Palatino Linotype" w:hAnsi="Palatino Linotype" w:cs="Arial"/>
          <w:sz w:val="24"/>
        </w:rPr>
        <w:t>8</w:t>
      </w:r>
      <w:r w:rsidRPr="00624AAD">
        <w:rPr>
          <w:rFonts w:ascii="Palatino Linotype" w:hAnsi="Palatino Linotype" w:cs="Arial"/>
          <w:sz w:val="24"/>
        </w:rPr>
        <w:t>) de ju</w:t>
      </w:r>
      <w:r w:rsidR="00D31521">
        <w:rPr>
          <w:rFonts w:ascii="Palatino Linotype" w:hAnsi="Palatino Linotype" w:cs="Arial"/>
          <w:sz w:val="24"/>
        </w:rPr>
        <w:t>lio</w:t>
      </w:r>
      <w:r w:rsidRPr="00624AAD">
        <w:rPr>
          <w:rFonts w:ascii="Palatino Linotype" w:hAnsi="Palatino Linotype" w:cs="Arial"/>
          <w:sz w:val="24"/>
        </w:rPr>
        <w:t xml:space="preserve"> al </w:t>
      </w:r>
      <w:r w:rsidR="00541DA7">
        <w:rPr>
          <w:rFonts w:ascii="Palatino Linotype" w:hAnsi="Palatino Linotype" w:cs="Arial"/>
          <w:sz w:val="24"/>
        </w:rPr>
        <w:t>once</w:t>
      </w:r>
      <w:r w:rsidRPr="00624AAD">
        <w:rPr>
          <w:rFonts w:ascii="Palatino Linotype" w:hAnsi="Palatino Linotype" w:cs="Arial"/>
          <w:sz w:val="24"/>
        </w:rPr>
        <w:t xml:space="preserve"> (</w:t>
      </w:r>
      <w:r w:rsidR="00541DA7">
        <w:rPr>
          <w:rFonts w:ascii="Palatino Linotype" w:hAnsi="Palatino Linotype" w:cs="Arial"/>
          <w:sz w:val="24"/>
        </w:rPr>
        <w:t>11</w:t>
      </w:r>
      <w:r w:rsidRPr="00624AAD">
        <w:rPr>
          <w:rFonts w:ascii="Palatino Linotype" w:hAnsi="Palatino Linotype" w:cs="Arial"/>
          <w:sz w:val="24"/>
        </w:rPr>
        <w:t xml:space="preserve">) de </w:t>
      </w:r>
      <w:r w:rsidR="00D31521">
        <w:rPr>
          <w:rFonts w:ascii="Palatino Linotype" w:hAnsi="Palatino Linotype" w:cs="Arial"/>
          <w:sz w:val="24"/>
        </w:rPr>
        <w:t>agosto</w:t>
      </w:r>
      <w:r w:rsidRPr="00624AAD">
        <w:rPr>
          <w:rFonts w:ascii="Palatino Linotype" w:hAnsi="Palatino Linotype" w:cs="Arial"/>
          <w:sz w:val="24"/>
        </w:rPr>
        <w:t xml:space="preserve"> de dos mil veintiuno; en consecuencia, presentó su inconformidad el día </w:t>
      </w:r>
      <w:r w:rsidR="00D31521">
        <w:rPr>
          <w:rFonts w:ascii="Palatino Linotype" w:hAnsi="Palatino Linotype" w:cs="Arial"/>
          <w:sz w:val="24"/>
        </w:rPr>
        <w:t>dos</w:t>
      </w:r>
      <w:r w:rsidRPr="00624AAD">
        <w:rPr>
          <w:rFonts w:ascii="Palatino Linotype" w:hAnsi="Palatino Linotype" w:cs="Arial"/>
          <w:sz w:val="24"/>
        </w:rPr>
        <w:t xml:space="preserve"> </w:t>
      </w:r>
      <w:r w:rsidRPr="00624AAD">
        <w:rPr>
          <w:rFonts w:ascii="Palatino Linotype" w:eastAsia="Calibri" w:hAnsi="Palatino Linotype" w:cs="Arial"/>
          <w:sz w:val="24"/>
        </w:rPr>
        <w:t>(</w:t>
      </w:r>
      <w:r w:rsidR="00D31521">
        <w:rPr>
          <w:rFonts w:ascii="Palatino Linotype" w:eastAsia="Calibri" w:hAnsi="Palatino Linotype" w:cs="Arial"/>
          <w:sz w:val="24"/>
        </w:rPr>
        <w:t>2</w:t>
      </w:r>
      <w:r w:rsidRPr="00624AAD">
        <w:rPr>
          <w:rFonts w:ascii="Palatino Linotype" w:eastAsia="Calibri" w:hAnsi="Palatino Linotype" w:cs="Arial"/>
          <w:sz w:val="24"/>
        </w:rPr>
        <w:t xml:space="preserve">) de </w:t>
      </w:r>
      <w:r w:rsidR="00D31521">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7E678B59" w14:textId="77777777" w:rsidR="00541DA7" w:rsidRDefault="00541DA7" w:rsidP="00541DA7">
      <w:pPr>
        <w:pStyle w:val="Prrafodelista"/>
        <w:spacing w:before="240" w:after="240" w:line="360" w:lineRule="auto"/>
        <w:ind w:left="0" w:right="49"/>
        <w:jc w:val="both"/>
        <w:rPr>
          <w:rFonts w:ascii="Palatino Linotype" w:hAnsi="Palatino Linotype" w:cs="Arial"/>
          <w:b/>
          <w:sz w:val="24"/>
        </w:rPr>
      </w:pPr>
    </w:p>
    <w:p w14:paraId="40BE0D66"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Por </w:t>
      </w:r>
      <w:r w:rsidRPr="00F43832">
        <w:rPr>
          <w:rFonts w:ascii="Palatino Linotype" w:hAnsi="Palatino Linotype" w:cs="Arial"/>
          <w:color w:val="000000" w:themeColor="text1"/>
          <w:sz w:val="24"/>
          <w:lang w:val="es-ES"/>
        </w:rPr>
        <w:t xml:space="preserve">otro lado, de la revisión al expediente electrónico contenido en el sistema </w:t>
      </w:r>
      <w:r w:rsidRPr="00F43832">
        <w:rPr>
          <w:rFonts w:ascii="Palatino Linotype" w:hAnsi="Palatino Linotype" w:cs="Arial"/>
          <w:b/>
          <w:color w:val="000000" w:themeColor="text1"/>
          <w:sz w:val="24"/>
          <w:lang w:val="es-ES"/>
        </w:rPr>
        <w:t>SAIMEX,</w:t>
      </w:r>
      <w:r w:rsidRPr="00F43832">
        <w:rPr>
          <w:rFonts w:ascii="Palatino Linotype" w:hAnsi="Palatino Linotype" w:cs="Arial"/>
          <w:color w:val="000000" w:themeColor="text1"/>
          <w:sz w:val="24"/>
          <w:lang w:val="es-ES"/>
        </w:rPr>
        <w:t xml:space="preserve"> se desprende que la parte solicitante, en ejercicio de su derecho de acceso a la información pública en el expediente que se revisa, tanto en la solicitud de información como en el recurso de revisión, </w:t>
      </w:r>
      <w:r w:rsidRPr="00F43832">
        <w:rPr>
          <w:rFonts w:ascii="Palatino Linotype" w:hAnsi="Palatino Linotype" w:cs="Arial"/>
          <w:b/>
          <w:color w:val="000000" w:themeColor="text1"/>
          <w:sz w:val="24"/>
          <w:lang w:val="es-ES"/>
        </w:rPr>
        <w:t>no señaló ningún nombre, seudónimo o carácter para ser identificado</w:t>
      </w:r>
      <w:r w:rsidRPr="00F43832">
        <w:rPr>
          <w:rFonts w:ascii="Palatino Linotype" w:hAnsi="Palatino Linotype" w:cs="Arial"/>
          <w:color w:val="000000" w:themeColor="text1"/>
          <w:sz w:val="24"/>
          <w:lang w:val="es-ES"/>
        </w:rPr>
        <w:t xml:space="preserve">; sin embargo, es importante señalar que </w:t>
      </w:r>
      <w:r w:rsidRPr="00F43832">
        <w:rPr>
          <w:rFonts w:ascii="Palatino Linotype" w:hAnsi="Palatino Linotype" w:cs="Arial"/>
          <w:color w:val="000000" w:themeColor="text1"/>
          <w:sz w:val="24"/>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614D646" w14:textId="77777777" w:rsidR="00541DA7" w:rsidRPr="00F43832" w:rsidRDefault="00541DA7" w:rsidP="00541DA7">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786D1B8F"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Esto </w:t>
      </w:r>
      <w:r w:rsidRPr="00F43832">
        <w:rPr>
          <w:rFonts w:ascii="Palatino Linotype" w:hAnsi="Palatino Linotype" w:cs="Arial"/>
          <w:color w:val="000000" w:themeColor="text1"/>
          <w:sz w:val="24"/>
          <w:lang w:val="es-ES"/>
        </w:rPr>
        <w:t xml:space="preserve">es así, ya que de conformidad con los artículos 6, apartado A, fracciones III y IV de la </w:t>
      </w:r>
      <w:r w:rsidRPr="00F43832">
        <w:rPr>
          <w:rFonts w:ascii="Palatino Linotype" w:hAnsi="Palatino Linotype" w:cs="Arial"/>
          <w:b/>
          <w:color w:val="000000" w:themeColor="text1"/>
          <w:sz w:val="24"/>
          <w:lang w:val="es-ES"/>
        </w:rPr>
        <w:t>Constitución Política de los Estados Unidos Mexicanos</w:t>
      </w:r>
      <w:r w:rsidRPr="00F43832">
        <w:rPr>
          <w:rFonts w:ascii="Palatino Linotype" w:hAnsi="Palatino Linotype" w:cs="Arial"/>
          <w:color w:val="000000" w:themeColor="text1"/>
          <w:sz w:val="24"/>
          <w:lang w:val="es-ES"/>
        </w:rPr>
        <w:t xml:space="preserve">; 5, párrafos vigésimo segundo, vigésimo tercero y vigésimo cuarto, fracciones III, IV y V, de la </w:t>
      </w:r>
      <w:r w:rsidRPr="00F43832">
        <w:rPr>
          <w:rFonts w:ascii="Palatino Linotype" w:hAnsi="Palatino Linotype" w:cs="Arial"/>
          <w:b/>
          <w:color w:val="000000" w:themeColor="text1"/>
          <w:sz w:val="24"/>
          <w:lang w:val="es-ES"/>
        </w:rPr>
        <w:t>Constitución Política del Estado Libre y Soberano de México</w:t>
      </w:r>
      <w:r w:rsidRPr="00F43832">
        <w:rPr>
          <w:rFonts w:ascii="Palatino Linotype" w:hAnsi="Palatino Linotype" w:cs="Arial"/>
          <w:color w:val="000000" w:themeColor="text1"/>
          <w:sz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CC73EE1" w14:textId="77777777" w:rsidR="00541DA7" w:rsidRPr="00F43832" w:rsidRDefault="00541DA7" w:rsidP="00541DA7">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52C3F004"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Por </w:t>
      </w:r>
      <w:r w:rsidRPr="00F43832">
        <w:rPr>
          <w:rFonts w:ascii="Palatino Linotype" w:hAnsi="Palatino Linotype" w:cs="Arial"/>
          <w:color w:val="000000" w:themeColor="text1"/>
          <w:sz w:val="24"/>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1DB9EB9" w14:textId="77777777" w:rsidR="00541DA7" w:rsidRPr="00F43832" w:rsidRDefault="00541DA7" w:rsidP="00541DA7">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2164EDCF"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Asimismo, </w:t>
      </w:r>
      <w:r w:rsidRPr="00F43832">
        <w:rPr>
          <w:rFonts w:ascii="Palatino Linotype" w:eastAsia="Calibri" w:hAnsi="Palatino Linotype" w:cs="Arial"/>
          <w:sz w:val="24"/>
        </w:rPr>
        <w:t>como lo establece la Convención Americana en su artículo 13, el derecho de acceso a la información es un derecho humano universal y en consecuencia, toda persona tiene derecho a solicitar acceso a la información.</w:t>
      </w:r>
    </w:p>
    <w:p w14:paraId="3803E66E" w14:textId="77777777" w:rsidR="00541DA7" w:rsidRPr="00F43832" w:rsidRDefault="00541DA7" w:rsidP="00541DA7">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08ABE7B3"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De </w:t>
      </w:r>
      <w:r w:rsidRPr="00F43832">
        <w:rPr>
          <w:rFonts w:ascii="Palatino Linotype" w:eastAsia="Calibri" w:hAnsi="Palatino Linotype" w:cs="Arial"/>
          <w:sz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5E47A6B" w14:textId="77777777" w:rsidR="00541DA7" w:rsidRPr="00F43832" w:rsidRDefault="00541DA7" w:rsidP="00541DA7">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69394425" w14:textId="77777777" w:rsidR="00541DA7" w:rsidRPr="00F43832" w:rsidRDefault="00541DA7" w:rsidP="00541DA7">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F43832">
        <w:rPr>
          <w:rFonts w:ascii="Palatino Linotype" w:hAnsi="Palatino Linotype" w:cs="Arial"/>
          <w:color w:val="000000" w:themeColor="text1"/>
          <w:sz w:val="24"/>
        </w:rPr>
        <w:t xml:space="preserve">Por </w:t>
      </w:r>
      <w:r w:rsidRPr="00F43832">
        <w:rPr>
          <w:rFonts w:ascii="Palatino Linotype" w:eastAsia="Calibri" w:hAnsi="Palatino Linotype" w:cs="Arial"/>
          <w:sz w:val="24"/>
        </w:rPr>
        <w:t xml:space="preserve">lo tanto, </w:t>
      </w:r>
      <w:r w:rsidRPr="00F43832">
        <w:rPr>
          <w:rFonts w:ascii="Palatino Linotype" w:hAnsi="Palatino Linotype" w:cs="Arial"/>
          <w:color w:val="000000" w:themeColor="text1"/>
          <w:sz w:val="24"/>
          <w:lang w:val="es-ES" w:eastAsia="es-MX"/>
        </w:rPr>
        <w:t xml:space="preserve">el nombre del </w:t>
      </w:r>
      <w:r w:rsidRPr="00F43832">
        <w:rPr>
          <w:rFonts w:ascii="Palatino Linotype" w:hAnsi="Palatino Linotype" w:cs="Arial"/>
          <w:b/>
          <w:color w:val="000000" w:themeColor="text1"/>
          <w:sz w:val="24"/>
          <w:lang w:val="es-ES" w:eastAsia="es-MX"/>
        </w:rPr>
        <w:t>SOLICITANTE</w:t>
      </w:r>
      <w:r w:rsidRPr="00F43832">
        <w:rPr>
          <w:rFonts w:ascii="Palatino Linotype" w:hAnsi="Palatino Linotype" w:cs="Arial"/>
          <w:color w:val="000000" w:themeColor="text1"/>
          <w:sz w:val="24"/>
          <w:lang w:val="es-ES" w:eastAsia="es-MX"/>
        </w:rPr>
        <w:t xml:space="preserve"> y subsecuente </w:t>
      </w:r>
      <w:r w:rsidRPr="00F43832">
        <w:rPr>
          <w:rFonts w:ascii="Palatino Linotype" w:hAnsi="Palatino Linotype" w:cs="Arial"/>
          <w:b/>
          <w:color w:val="000000" w:themeColor="text1"/>
          <w:sz w:val="24"/>
          <w:lang w:val="es-ES" w:eastAsia="es-MX"/>
        </w:rPr>
        <w:t>RECURRENTE</w:t>
      </w:r>
      <w:r w:rsidRPr="00F43832">
        <w:rPr>
          <w:rFonts w:ascii="Palatino Linotype" w:hAnsi="Palatino Linotype" w:cs="Arial"/>
          <w:color w:val="000000" w:themeColor="text1"/>
          <w:sz w:val="24"/>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2EE3B909" w14:textId="77777777" w:rsidR="005000AA" w:rsidRPr="00624AAD" w:rsidRDefault="005000AA" w:rsidP="005000A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8" w:name="_Toc83311685"/>
      <w:r w:rsidRPr="00624AAD">
        <w:rPr>
          <w:rFonts w:ascii="Palatino Linotype" w:hAnsi="Palatino Linotype"/>
          <w:b/>
          <w:color w:val="auto"/>
          <w:sz w:val="24"/>
          <w:szCs w:val="24"/>
        </w:rPr>
        <w:t>TERCERO. Planteamiento de la Litis</w:t>
      </w:r>
      <w:bookmarkEnd w:id="8"/>
      <w:r w:rsidRPr="00624AAD">
        <w:rPr>
          <w:rFonts w:ascii="Palatino Linotype" w:hAnsi="Palatino Linotype"/>
          <w:b/>
          <w:color w:val="auto"/>
          <w:sz w:val="24"/>
          <w:szCs w:val="24"/>
        </w:rPr>
        <w:t xml:space="preserve"> </w:t>
      </w:r>
    </w:p>
    <w:p w14:paraId="17F8B12C"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 lo siguiente:</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2B843051" w14:textId="77777777" w:rsidR="0031377E"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801EE4">
        <w:rPr>
          <w:rFonts w:ascii="Palatino Linotype" w:hAnsi="Palatino Linotype"/>
          <w:i/>
          <w:sz w:val="24"/>
          <w:lang w:eastAsia="es-MX"/>
        </w:rPr>
        <w:t xml:space="preserve">1. Matriz de Indicadores de Resultados FRACCIÓN VI B </w:t>
      </w:r>
    </w:p>
    <w:p w14:paraId="3A7CC0AE" w14:textId="77777777" w:rsidR="0031377E"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801EE4">
        <w:rPr>
          <w:rFonts w:ascii="Palatino Linotype" w:hAnsi="Palatino Linotype"/>
          <w:i/>
          <w:sz w:val="24"/>
          <w:lang w:eastAsia="es-MX"/>
        </w:rPr>
        <w:t xml:space="preserve">2. Tabulador de sueldos y salarios FRACCIÓN VIII </w:t>
      </w:r>
    </w:p>
    <w:p w14:paraId="0195A59E" w14:textId="77777777" w:rsidR="0031377E"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801EE4">
        <w:rPr>
          <w:rFonts w:ascii="Palatino Linotype" w:hAnsi="Palatino Linotype"/>
          <w:i/>
          <w:sz w:val="24"/>
          <w:lang w:eastAsia="es-MX"/>
        </w:rPr>
        <w:t xml:space="preserve">3. Gastos por concepto de viáticos y gastos de representación FRACCIÓN IX </w:t>
      </w:r>
    </w:p>
    <w:p w14:paraId="343C55CC" w14:textId="77777777" w:rsidR="0031377E"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801EE4">
        <w:rPr>
          <w:rFonts w:ascii="Palatino Linotype" w:hAnsi="Palatino Linotype"/>
          <w:i/>
          <w:sz w:val="24"/>
          <w:lang w:eastAsia="es-MX"/>
        </w:rPr>
        <w:t xml:space="preserve">4. Contrataciones de servicios profesionales por honorarios FRACCIÓN XI </w:t>
      </w:r>
    </w:p>
    <w:p w14:paraId="61FC3A59"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 Declaraciones patrimoniales de los servidores públicos FRACCIÓN XIII </w:t>
      </w:r>
    </w:p>
    <w:p w14:paraId="45CE3E69"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 Programas de subsidios, estímulos y apoyos FRACCIÓN XIV A </w:t>
      </w:r>
    </w:p>
    <w:p w14:paraId="07B220DC"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7. Agenda de reuniones FRACCIÓN XV </w:t>
      </w:r>
    </w:p>
    <w:p w14:paraId="2FAFCCCC"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8. Registro de solicitudes de acceso a la información recibidas y atendidas FRACCIÓN XVII </w:t>
      </w:r>
    </w:p>
    <w:p w14:paraId="5626B8DE"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9. Convocatorias a concursos para ocupar cargos públicos FRACCIÓN XVIII </w:t>
      </w:r>
    </w:p>
    <w:p w14:paraId="582DCD14"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u w:val="single"/>
          <w:lang w:eastAsia="es-MX"/>
        </w:rPr>
      </w:pPr>
      <w:r w:rsidRPr="00DD04F7">
        <w:rPr>
          <w:rFonts w:ascii="Palatino Linotype" w:hAnsi="Palatino Linotype"/>
          <w:i/>
          <w:sz w:val="24"/>
          <w:u w:val="single"/>
          <w:lang w:eastAsia="es-MX"/>
        </w:rPr>
        <w:t xml:space="preserve">10. Servidores públicos con sanciones administrativas definitivas FRACCIÓN XXII </w:t>
      </w:r>
    </w:p>
    <w:p w14:paraId="49B9631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11. Deuda pública FRACCIÓN XXVI </w:t>
      </w:r>
    </w:p>
    <w:p w14:paraId="6F5C950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12. Erogación de recursos por contratación de servicios FRACCIÓN XXVII B </w:t>
      </w:r>
    </w:p>
    <w:p w14:paraId="6B6FAEE4"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13. Utilización de los tiempos oficiales FRACCIÓN XXVII C </w:t>
      </w:r>
    </w:p>
    <w:p w14:paraId="1BDD9FE6"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14. Mensaje e hipervínculo a la información relacionada con los Tiempos Oficiales FRACCIÓN XXVII D </w:t>
      </w:r>
    </w:p>
    <w:p w14:paraId="1F5E736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15. Resultados de auditorías realizadas FRACCIÓN XXVIII </w:t>
      </w:r>
    </w:p>
    <w:p w14:paraId="418A0F32"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16. Resultados de la dictaminación de los estados financieros FRACCIÓN XXX </w:t>
      </w:r>
    </w:p>
    <w:p w14:paraId="08EE631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17. Personas que usan recursos públicos FRACCIÓN XXXI </w:t>
      </w:r>
    </w:p>
    <w:p w14:paraId="122CD7C4"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18. Las concesiones, contratos, convenios, permisos, licencias o autorizaciones otorgados FRACCIÓN XXXII </w:t>
      </w:r>
    </w:p>
    <w:p w14:paraId="020552A3"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19. Estadísticas generadas FRACCIÓN XXXIV </w:t>
      </w:r>
    </w:p>
    <w:p w14:paraId="2A0D51A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20. Convenios de coordinación, de concertación con el sector social o privado FRACCIÓN XXXVII </w:t>
      </w:r>
    </w:p>
    <w:p w14:paraId="4F8F3C3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21. Inventario de bajas practicadas a bienes muebles FRACCIÓN XXXVIII C </w:t>
      </w:r>
    </w:p>
    <w:p w14:paraId="3E9A913D"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22. Inventario de bienes inmuebles FRACCIÓN XXXVIII D </w:t>
      </w:r>
    </w:p>
    <w:p w14:paraId="2988AC47"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23. Inventario de altas practicadas a bienes inmuebles FRACCIÓN XXXVIII E </w:t>
      </w:r>
    </w:p>
    <w:p w14:paraId="42B5397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24. Recomendaciones emitidas por organismos internacionales FRACCIÓN XXXIX C </w:t>
      </w:r>
    </w:p>
    <w:p w14:paraId="60C2E690"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25. Recomendaciones emitidas por la Comisión Nacional de Derechos Humanos FRACCIÓN XXXIX A </w:t>
      </w:r>
    </w:p>
    <w:p w14:paraId="0D5ACC33"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26. Casos especiales emitidos por la CNDH u otros organismos FRACCIÓN XXXIX B </w:t>
      </w:r>
    </w:p>
    <w:p w14:paraId="31B181A7"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27. Resoluciones y laudos emitidos FRACCIÓN XL </w:t>
      </w:r>
    </w:p>
    <w:p w14:paraId="6730F0B9"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28. Resultado de los mecanismos de participación FRACCIÓN XLI B </w:t>
      </w:r>
    </w:p>
    <w:p w14:paraId="39341E4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29. Programas que ofrecen FRACCIÓN XLII A </w:t>
      </w:r>
    </w:p>
    <w:p w14:paraId="11394F0D"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30. Informe de resoluciones del comité de transparencia FRACCIÓN XLIII B </w:t>
      </w:r>
    </w:p>
    <w:p w14:paraId="63232246"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31. Calendario de sesiones ordinarias del comité de transparencia FRACCIÓN XLIII D </w:t>
      </w:r>
    </w:p>
    <w:p w14:paraId="117B6F97"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32. Evaluaciones y encuestas a programas financiados con recursos públicos FRACCIÓN XLIV A </w:t>
      </w:r>
    </w:p>
    <w:p w14:paraId="62FC05C3"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33. Encuestas sobre programas financiados con recursos FRACCIÓN XLIV B </w:t>
      </w:r>
    </w:p>
    <w:p w14:paraId="3DD9D749"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34. Estudios financiados con recursos públicos FRACCIÓN XLV </w:t>
      </w:r>
    </w:p>
    <w:p w14:paraId="4524274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35. Hipervínculo al listado de pensionados y jubilados FRACCIÓN XLVI A </w:t>
      </w:r>
    </w:p>
    <w:p w14:paraId="5D4FCBD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36. Listado de jubilados y pensionados y el monto que reciben FRACCIÓN XLVI B </w:t>
      </w:r>
    </w:p>
    <w:p w14:paraId="2998F8D3"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37. Ingresos recibidos por cualquier concepto por el sujeto obligado FRACCIÓN XLVII A </w:t>
      </w:r>
    </w:p>
    <w:p w14:paraId="33E2881A"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38. Donaciones en dinero realizadas FRACCIÓN XLVIII A </w:t>
      </w:r>
    </w:p>
    <w:p w14:paraId="5EFCF680"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39. Donaciones en especie realizadas FRACCIÓN XLVIII B </w:t>
      </w:r>
    </w:p>
    <w:p w14:paraId="1B4F796E"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40. Catálogo de disposición documental y guía simple de archivos FRACCIÓN XLIX </w:t>
      </w:r>
    </w:p>
    <w:p w14:paraId="2FD11E53"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41. Actas del consejo consultivo FRACCIÓN L A </w:t>
      </w:r>
    </w:p>
    <w:p w14:paraId="02A64AE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42. Opiniones y recomendaciones del consejo consultivo FRACCIÓN L B </w:t>
      </w:r>
    </w:p>
    <w:p w14:paraId="3FF25918"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43. Solicitudes de intervención de comunicaciones FRACCIÓN LI A </w:t>
      </w:r>
    </w:p>
    <w:p w14:paraId="6815F55A"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44. Solicitudes de registro de comunicaciones y de registro de localización geográfica FRACCIÓN LI B </w:t>
      </w:r>
    </w:p>
    <w:p w14:paraId="1BC7D89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45. Presupuesto de egresos FRACCIÓN I B1 </w:t>
      </w:r>
    </w:p>
    <w:p w14:paraId="16BC0729"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46. Egresos y fórmulas de distribución de los recursos FRACCIÓN I B2 </w:t>
      </w:r>
    </w:p>
    <w:p w14:paraId="21909C8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47. Hipervínculo al listado de expropiaciones FRACCIÓN I C1 </w:t>
      </w:r>
    </w:p>
    <w:p w14:paraId="542E620A"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48. Listado de expropiaciones realizadas FRACCIÓN I C2 </w:t>
      </w:r>
    </w:p>
    <w:p w14:paraId="08163AB0"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49. Hipervínculo a las cancelaciones y condonaciones FRACCIÓN I D1 </w:t>
      </w:r>
    </w:p>
    <w:p w14:paraId="5003E70C"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50. Contribuyentes que recibieron cancelación o condonación de créditos fiscales FRACCIÓN I D2 </w:t>
      </w:r>
    </w:p>
    <w:p w14:paraId="2969C5EB"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51. Estadísticas sobre exenciones FRACCIÓN I D3 </w:t>
      </w:r>
    </w:p>
    <w:p w14:paraId="2F355557"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52. Hipervínculo a la información de los corredores FRACCIÓN I E1 </w:t>
      </w:r>
    </w:p>
    <w:p w14:paraId="24515830"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53. Corredores y notarios públicos FRACCIÓN I E2 </w:t>
      </w:r>
    </w:p>
    <w:p w14:paraId="2000A43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54. Sanciones aplicadas a corredores y notarios FRACCIÓN I E3 </w:t>
      </w:r>
    </w:p>
    <w:p w14:paraId="793BBC97"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55. Planes y/o programas de desarrollo urbano FRACCIÓN I F2 </w:t>
      </w:r>
    </w:p>
    <w:p w14:paraId="4FBB7D0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56. Planes y programas de ordenamiento territorial FRACCIÓN I F3 </w:t>
      </w:r>
    </w:p>
    <w:p w14:paraId="7694395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57. Requisitos para ser Oficial del Registro Civil FRACCIÓN I H </w:t>
      </w:r>
    </w:p>
    <w:p w14:paraId="0ABED572"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58. Resultados de los exámenes de aptitud FRACCIÓN I H2 </w:t>
      </w:r>
    </w:p>
    <w:p w14:paraId="1F7079DF"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59. Resultados de las supervisiones, investigaciones e inspecciones a las Oficinas y Oficialías del Registro Civil FRACCIÓN I H3 </w:t>
      </w:r>
    </w:p>
    <w:p w14:paraId="56B5A904"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60. Oficialías del Registro Civil en el Estado de México, domicilios de las mismas e información curricular y antigüedad de sus titulares FRACCIÓN I H4 </w:t>
      </w:r>
    </w:p>
    <w:p w14:paraId="38B29890"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61. Estadísticas de los trámites ante el Registro Civil FRACCIÓN I H5 </w:t>
      </w:r>
    </w:p>
    <w:p w14:paraId="59B8D392"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62. Calendario del ciclo escolar FRACCIÓN I I </w:t>
      </w:r>
    </w:p>
    <w:p w14:paraId="73D9490D"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63. Directorio de escuelas incorporadas FRACCIÓN I I2 </w:t>
      </w:r>
    </w:p>
    <w:p w14:paraId="7CC20B05"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64. Lista de materiales y útiles escolares autorizados FRACCIÓN I I3 </w:t>
      </w:r>
    </w:p>
    <w:p w14:paraId="63DB0203" w14:textId="7FB2B37F"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65. </w:t>
      </w:r>
      <w:r w:rsidR="0031377E" w:rsidRPr="00DD04F7">
        <w:rPr>
          <w:rFonts w:ascii="Palatino Linotype" w:hAnsi="Palatino Linotype"/>
          <w:i/>
          <w:sz w:val="24"/>
          <w:lang w:eastAsia="es-MX"/>
        </w:rPr>
        <w:t>D</w:t>
      </w:r>
      <w:r w:rsidRPr="00DD04F7">
        <w:rPr>
          <w:rFonts w:ascii="Palatino Linotype" w:hAnsi="Palatino Linotype"/>
          <w:i/>
          <w:sz w:val="24"/>
          <w:lang w:eastAsia="es-MX"/>
        </w:rPr>
        <w:t xml:space="preserve">irectorio de bibliotecas públicas estatales FRACCIÓN I I4 </w:t>
      </w:r>
    </w:p>
    <w:p w14:paraId="059D169C"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66. Atlas de Riesgos FRACCIÓN I J </w:t>
      </w:r>
    </w:p>
    <w:p w14:paraId="28113043" w14:textId="77777777" w:rsidR="0031377E" w:rsidRPr="00DD04F7" w:rsidRDefault="0031377E"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67. I</w:t>
      </w:r>
      <w:r w:rsidR="005B613A" w:rsidRPr="00DD04F7">
        <w:rPr>
          <w:rFonts w:ascii="Palatino Linotype" w:hAnsi="Palatino Linotype"/>
          <w:i/>
          <w:sz w:val="24"/>
          <w:lang w:eastAsia="es-MX"/>
        </w:rPr>
        <w:t xml:space="preserve">nformación para el conocimiento y evaluación de las funciones y políticas públicas implementadas por el Poder Ejecutivo FRACCIÓN I K </w:t>
      </w:r>
    </w:p>
    <w:p w14:paraId="4A48A721"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68. El contenido de las gacetas municipales FRACCIÓN II A2 </w:t>
      </w:r>
    </w:p>
    <w:p w14:paraId="25016A58" w14:textId="77777777" w:rsidR="0031377E" w:rsidRPr="00DD04F7" w:rsidRDefault="005B613A" w:rsidP="005B613A">
      <w:pPr>
        <w:pStyle w:val="Prrafodelista"/>
        <w:spacing w:before="100" w:beforeAutospacing="1" w:after="100" w:afterAutospacing="1" w:line="360" w:lineRule="auto"/>
        <w:jc w:val="both"/>
        <w:rPr>
          <w:rFonts w:ascii="Palatino Linotype" w:hAnsi="Palatino Linotype"/>
          <w:i/>
          <w:sz w:val="24"/>
          <w:lang w:eastAsia="es-MX"/>
        </w:rPr>
      </w:pPr>
      <w:r w:rsidRPr="00DD04F7">
        <w:rPr>
          <w:rFonts w:ascii="Palatino Linotype" w:hAnsi="Palatino Linotype"/>
          <w:i/>
          <w:sz w:val="24"/>
          <w:lang w:eastAsia="es-MX"/>
        </w:rPr>
        <w:t xml:space="preserve">69. Participaciones y Aportaciones recibidas, derivadas de la Ley de Coordinación Fiscal FRAC </w:t>
      </w:r>
    </w:p>
    <w:p w14:paraId="61A661E3" w14:textId="42597495" w:rsidR="005B613A" w:rsidRDefault="005B613A" w:rsidP="005B613A">
      <w:pPr>
        <w:pStyle w:val="Prrafodelista"/>
        <w:spacing w:before="100" w:beforeAutospacing="1" w:after="100" w:afterAutospacing="1" w:line="360" w:lineRule="auto"/>
        <w:jc w:val="both"/>
        <w:rPr>
          <w:rFonts w:ascii="Palatino Linotype" w:eastAsiaTheme="minorEastAsia" w:hAnsi="Palatino Linotype" w:cs="Arial"/>
          <w:sz w:val="24"/>
          <w:lang w:val="es-ES_tradnl"/>
        </w:rPr>
      </w:pPr>
      <w:r w:rsidRPr="00DD04F7">
        <w:rPr>
          <w:rFonts w:ascii="Palatino Linotype" w:hAnsi="Palatino Linotype"/>
          <w:i/>
          <w:sz w:val="24"/>
          <w:lang w:eastAsia="es-MX"/>
        </w:rPr>
        <w:t>70. Recursos federales recibidos, derivados del Título Segundo. Del Federalismo del Presupuesto de Egresos de la Federación FRACCIÓN II D</w:t>
      </w:r>
    </w:p>
    <w:p w14:paraId="7CDA3DF5" w14:textId="77777777" w:rsidR="0031377E" w:rsidRPr="0031377E" w:rsidRDefault="0031377E" w:rsidP="0031377E">
      <w:pPr>
        <w:pStyle w:val="Prrafodelista"/>
        <w:spacing w:before="240" w:after="240" w:line="360" w:lineRule="auto"/>
        <w:ind w:left="0" w:right="49"/>
        <w:jc w:val="both"/>
        <w:rPr>
          <w:rFonts w:ascii="Palatino Linotype" w:eastAsiaTheme="minorEastAsia" w:hAnsi="Palatino Linotype" w:cstheme="minorBidi"/>
          <w:bCs/>
          <w:sz w:val="24"/>
          <w:lang w:val="es-ES_tradnl"/>
        </w:rPr>
      </w:pPr>
    </w:p>
    <w:p w14:paraId="56F914DF" w14:textId="50236EA6"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manifestó </w:t>
      </w:r>
      <w:r w:rsidR="0031377E">
        <w:rPr>
          <w:rFonts w:ascii="Palatino Linotype" w:hAnsi="Palatino Linotype"/>
          <w:bCs/>
          <w:sz w:val="24"/>
        </w:rPr>
        <w:t>se encuentra actualizando la información de su portal IPOMEX para que los usuarios puedan consultar la información que les sea de su interés.</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80F0BB2"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31377E">
        <w:rPr>
          <w:rFonts w:ascii="Palatino Linotype" w:hAnsi="Palatino Linotype"/>
          <w:bCs/>
          <w:sz w:val="24"/>
        </w:rPr>
        <w:t>que el Sujeto Obligado no entregó la información solicitada.</w:t>
      </w:r>
    </w:p>
    <w:p w14:paraId="0D89BECC" w14:textId="77777777" w:rsidR="005000AA" w:rsidRPr="00624AAD" w:rsidRDefault="005000AA" w:rsidP="005000AA">
      <w:pPr>
        <w:pStyle w:val="Prrafodelista"/>
        <w:rPr>
          <w:rFonts w:ascii="Palatino Linotype" w:hAnsi="Palatino Linotype"/>
          <w:bCs/>
          <w:sz w:val="24"/>
        </w:rPr>
      </w:pPr>
    </w:p>
    <w:p w14:paraId="78695B9E" w14:textId="48DDA6AF"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 xml:space="preserve">Por lo anterior, en este recurso de revisión se analizará si se actualiza la causal de procedencia de las fracciones I del artículo 179 de la Ley de Transparencia y Acceso a la Información Pública del Estado de México y Municipios, relativos a la negativa </w:t>
      </w:r>
      <w:r w:rsidR="00971F24">
        <w:rPr>
          <w:rFonts w:ascii="Palatino Linotype" w:hAnsi="Palatino Linotype"/>
          <w:sz w:val="24"/>
        </w:rPr>
        <w:t xml:space="preserve">de </w:t>
      </w:r>
      <w:bookmarkStart w:id="9" w:name="_Toc486525253"/>
      <w:r w:rsidR="0031377E">
        <w:rPr>
          <w:rFonts w:ascii="Palatino Linotype" w:hAnsi="Palatino Linotype"/>
          <w:sz w:val="24"/>
        </w:rPr>
        <w:t>la información.</w:t>
      </w:r>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10" w:name="_Toc4061675"/>
      <w:bookmarkStart w:id="11" w:name="_Toc3372324"/>
      <w:bookmarkStart w:id="12" w:name="_Toc499201873"/>
      <w:bookmarkStart w:id="13" w:name="_Toc83311686"/>
      <w:bookmarkEnd w:id="9"/>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10"/>
      <w:bookmarkEnd w:id="11"/>
      <w:bookmarkEnd w:id="12"/>
      <w:bookmarkEnd w:id="13"/>
    </w:p>
    <w:p w14:paraId="09B5F100" w14:textId="77777777" w:rsidR="005000AA" w:rsidRPr="00624AAD" w:rsidRDefault="005000AA" w:rsidP="005000AA">
      <w:pPr>
        <w:rPr>
          <w:rFonts w:ascii="Palatino Linotype" w:hAnsi="Palatino Linotype"/>
          <w:sz w:val="24"/>
          <w:szCs w:val="24"/>
          <w:lang w:eastAsia="en-US"/>
        </w:rPr>
      </w:pPr>
    </w:p>
    <w:p w14:paraId="6C784363" w14:textId="0A9F43CF" w:rsidR="00DD0FEA" w:rsidRDefault="004C522A" w:rsidP="005000AA">
      <w:pPr>
        <w:pStyle w:val="Ttulo2"/>
        <w:numPr>
          <w:ilvl w:val="0"/>
          <w:numId w:val="20"/>
        </w:numPr>
        <w:spacing w:line="256" w:lineRule="auto"/>
        <w:rPr>
          <w:rFonts w:ascii="Palatino Linotype" w:hAnsi="Palatino Linotype"/>
          <w:b/>
          <w:color w:val="auto"/>
          <w:sz w:val="24"/>
          <w:szCs w:val="24"/>
          <w:lang w:eastAsia="en-US"/>
        </w:rPr>
      </w:pPr>
      <w:bookmarkStart w:id="14" w:name="_Toc83311687"/>
      <w:bookmarkStart w:id="15" w:name="_Toc34911390"/>
      <w:r>
        <w:rPr>
          <w:rFonts w:ascii="Palatino Linotype" w:hAnsi="Palatino Linotype"/>
          <w:b/>
          <w:color w:val="auto"/>
          <w:sz w:val="24"/>
          <w:szCs w:val="24"/>
        </w:rPr>
        <w:t>De la fuente obligacional</w:t>
      </w:r>
      <w:r w:rsidR="00DD0FEA">
        <w:rPr>
          <w:rFonts w:ascii="Palatino Linotype" w:hAnsi="Palatino Linotype"/>
          <w:b/>
          <w:color w:val="auto"/>
          <w:sz w:val="24"/>
          <w:szCs w:val="24"/>
        </w:rPr>
        <w:t>.</w:t>
      </w:r>
      <w:bookmarkEnd w:id="14"/>
    </w:p>
    <w:p w14:paraId="140F6EBE" w14:textId="77777777" w:rsidR="005000AA" w:rsidRPr="00624AAD" w:rsidRDefault="005000AA" w:rsidP="005000AA">
      <w:pPr>
        <w:pStyle w:val="Prrafodelista"/>
        <w:rPr>
          <w:rFonts w:ascii="Palatino Linotype" w:hAnsi="Palatino Linotype"/>
          <w:sz w:val="24"/>
        </w:rPr>
      </w:pPr>
    </w:p>
    <w:p w14:paraId="2F183B27" w14:textId="77777777" w:rsidR="005000AA" w:rsidRPr="00624AAD" w:rsidRDefault="005000AA" w:rsidP="005000AA">
      <w:pPr>
        <w:rPr>
          <w:rFonts w:ascii="Palatino Linotype" w:hAnsi="Palatino Linotype"/>
          <w:sz w:val="24"/>
          <w:szCs w:val="24"/>
        </w:rPr>
      </w:pPr>
    </w:p>
    <w:p w14:paraId="0D9A88FA" w14:textId="77777777" w:rsidR="004C522A" w:rsidRPr="000A4A59" w:rsidRDefault="004C522A" w:rsidP="004C522A">
      <w:pPr>
        <w:numPr>
          <w:ilvl w:val="0"/>
          <w:numId w:val="2"/>
        </w:numPr>
        <w:spacing w:line="360" w:lineRule="auto"/>
        <w:ind w:left="0" w:right="34" w:firstLine="0"/>
        <w:contextualSpacing/>
        <w:jc w:val="both"/>
        <w:rPr>
          <w:rFonts w:ascii="Palatino Linotype" w:eastAsia="MS Mincho" w:hAnsi="Palatino Linotype" w:cs="Arial"/>
          <w:sz w:val="24"/>
          <w:szCs w:val="24"/>
          <w:lang w:val="es-ES_tradnl"/>
        </w:rPr>
      </w:pPr>
      <w:r w:rsidRPr="000A4A59">
        <w:rPr>
          <w:rFonts w:ascii="Palatino Linotype"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4A59">
        <w:rPr>
          <w:rFonts w:ascii="Palatino Linotype" w:hAnsi="Palatino Linotype" w:cs="Arial"/>
          <w:color w:val="000000"/>
          <w:sz w:val="24"/>
          <w:szCs w:val="24"/>
          <w:lang w:val="es-ES_tradnl"/>
        </w:rPr>
        <w:t xml:space="preserve"> </w:t>
      </w:r>
      <w:r w:rsidRPr="000A4A59">
        <w:rPr>
          <w:rFonts w:ascii="Palatino Linotype" w:hAnsi="Palatino Linotype" w:cs="Arial"/>
          <w:b/>
          <w:color w:val="000000"/>
          <w:sz w:val="24"/>
          <w:szCs w:val="24"/>
          <w:lang w:val="es-ES_tradnl"/>
        </w:rPr>
        <w:t>SUJETO OBLIGADO</w:t>
      </w:r>
      <w:r w:rsidRPr="000A4A59">
        <w:rPr>
          <w:rFonts w:ascii="Palatino Linotype" w:hAnsi="Palatino Linotype" w:cs="Arial"/>
          <w:color w:val="000000"/>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A59">
        <w:rPr>
          <w:rFonts w:ascii="Palatino Linotype" w:hAnsi="Palatino Linotype" w:cs="Arial"/>
          <w:b/>
          <w:color w:val="000000"/>
          <w:sz w:val="24"/>
          <w:szCs w:val="24"/>
          <w:lang w:val="es-ES_tradnl"/>
        </w:rPr>
        <w:t xml:space="preserve">Constitución Política de los Estados Unidos Mexicanos </w:t>
      </w:r>
      <w:r w:rsidRPr="000A4A59">
        <w:rPr>
          <w:rFonts w:ascii="Palatino Linotype" w:hAnsi="Palatino Linotype" w:cs="Arial"/>
          <w:color w:val="000000"/>
          <w:sz w:val="24"/>
          <w:szCs w:val="24"/>
          <w:lang w:val="es-ES_tradnl"/>
        </w:rPr>
        <w:t xml:space="preserve">al señalar la obligación de “promover, </w:t>
      </w:r>
      <w:r w:rsidRPr="000A4A59">
        <w:rPr>
          <w:rFonts w:ascii="Palatino Linotype" w:hAnsi="Palatino Linotype" w:cs="Arial"/>
          <w:b/>
          <w:color w:val="000000"/>
          <w:sz w:val="24"/>
          <w:szCs w:val="24"/>
          <w:lang w:val="es-ES_tradnl"/>
        </w:rPr>
        <w:t>respetar</w:t>
      </w:r>
      <w:r w:rsidRPr="000A4A59">
        <w:rPr>
          <w:rFonts w:ascii="Palatino Linotype" w:hAnsi="Palatino Linotype" w:cs="Arial"/>
          <w:color w:val="000000"/>
          <w:sz w:val="24"/>
          <w:szCs w:val="24"/>
          <w:lang w:val="es-ES_tradnl"/>
        </w:rPr>
        <w:t xml:space="preserve">, proteger y </w:t>
      </w:r>
      <w:r w:rsidRPr="000A4A59">
        <w:rPr>
          <w:rFonts w:ascii="Palatino Linotype" w:hAnsi="Palatino Linotype" w:cs="Arial"/>
          <w:b/>
          <w:color w:val="000000"/>
          <w:sz w:val="24"/>
          <w:szCs w:val="24"/>
          <w:lang w:val="es-ES_tradnl"/>
        </w:rPr>
        <w:t>garantizar</w:t>
      </w:r>
      <w:r w:rsidRPr="000A4A59">
        <w:rPr>
          <w:rFonts w:ascii="Palatino Linotype" w:hAnsi="Palatino Linotype" w:cs="Arial"/>
          <w:color w:val="000000"/>
          <w:sz w:val="24"/>
          <w:szCs w:val="24"/>
          <w:lang w:val="es-ES_tradnl"/>
        </w:rPr>
        <w:t xml:space="preserve"> los derechos humanos”, entre los cuales se encuentra dicho derecho. </w:t>
      </w:r>
    </w:p>
    <w:p w14:paraId="7C858721" w14:textId="77777777" w:rsidR="004C522A" w:rsidRPr="00255189" w:rsidRDefault="004C522A" w:rsidP="004C522A">
      <w:pPr>
        <w:tabs>
          <w:tab w:val="left" w:pos="284"/>
        </w:tabs>
        <w:spacing w:before="240" w:after="240" w:line="360" w:lineRule="auto"/>
        <w:ind w:right="49"/>
        <w:contextualSpacing/>
        <w:jc w:val="both"/>
        <w:rPr>
          <w:rFonts w:ascii="Palatino Linotype" w:eastAsia="MS Mincho" w:hAnsi="Palatino Linotype"/>
          <w:color w:val="000000"/>
          <w:sz w:val="24"/>
          <w:szCs w:val="24"/>
          <w:lang w:val="es-ES_tradnl"/>
        </w:rPr>
      </w:pPr>
    </w:p>
    <w:p w14:paraId="299DF28D" w14:textId="77777777" w:rsidR="004C522A" w:rsidRPr="00255189" w:rsidRDefault="004C522A" w:rsidP="004C522A">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hAnsi="Palatino Linotype"/>
          <w:sz w:val="24"/>
          <w:szCs w:val="24"/>
          <w:lang w:val="es-ES_tradnl"/>
        </w:rPr>
        <w:t xml:space="preserve">Definiendo el Derecho de Acceso a la Información Pública como: </w:t>
      </w:r>
      <w:r w:rsidRPr="00255189">
        <w:rPr>
          <w:rFonts w:ascii="Palatino Linotype" w:eastAsiaTheme="minorEastAsia" w:hAnsi="Palatino Linotype"/>
          <w:i/>
          <w:color w:val="000000"/>
          <w:sz w:val="24"/>
          <w:szCs w:val="24"/>
          <w:lang w:val="es-ES_tradnl"/>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rPr>
        <w:footnoteReference w:id="1"/>
      </w:r>
      <w:r w:rsidRPr="00255189">
        <w:rPr>
          <w:rFonts w:ascii="Palatino Linotype" w:eastAsiaTheme="minorEastAsia" w:hAnsi="Palatino Linotype"/>
          <w:i/>
          <w:color w:val="000000"/>
          <w:sz w:val="24"/>
          <w:szCs w:val="24"/>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eastAsiaTheme="minorEastAsia" w:hAnsi="Palatino Linotype"/>
          <w:i/>
          <w:color w:val="000000"/>
          <w:sz w:val="24"/>
          <w:szCs w:val="24"/>
          <w:vertAlign w:val="superscript"/>
          <w:lang w:val="es-ES_tradnl"/>
        </w:rPr>
        <w:footnoteReference w:id="2"/>
      </w:r>
      <w:r w:rsidRPr="00255189">
        <w:rPr>
          <w:rFonts w:ascii="Palatino Linotype" w:eastAsiaTheme="minorEastAsia" w:hAnsi="Palatino Linotype"/>
          <w:color w:val="000000"/>
          <w:sz w:val="24"/>
          <w:szCs w:val="24"/>
          <w:lang w:val="es-ES_tradnl"/>
        </w:rPr>
        <w:t>que se constituye como una herramienta fundamental para ejercer</w:t>
      </w:r>
      <w:r w:rsidRPr="00255189">
        <w:rPr>
          <w:rFonts w:ascii="Palatino Linotype" w:eastAsiaTheme="minorEastAsia" w:hAnsi="Palatino Linotype"/>
          <w:i/>
          <w:color w:val="000000"/>
          <w:sz w:val="24"/>
          <w:szCs w:val="24"/>
          <w:lang w:val="es-ES_tradnl"/>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rPr>
        <w:footnoteReference w:id="3"/>
      </w:r>
      <w:r w:rsidRPr="00255189">
        <w:rPr>
          <w:rFonts w:ascii="Palatino Linotype" w:eastAsiaTheme="minorEastAsia" w:hAnsi="Palatino Linotype"/>
          <w:color w:val="000000"/>
          <w:sz w:val="24"/>
          <w:szCs w:val="24"/>
          <w:lang w:val="es-ES_tradnl"/>
        </w:rPr>
        <w:t>fomentando</w:t>
      </w:r>
      <w:r w:rsidRPr="00255189">
        <w:rPr>
          <w:rFonts w:ascii="Palatino Linotype" w:eastAsiaTheme="minorEastAsia" w:hAnsi="Palatino Linotype"/>
          <w:i/>
          <w:color w:val="000000"/>
          <w:sz w:val="24"/>
          <w:szCs w:val="24"/>
          <w:lang w:val="es-ES_tradnl"/>
        </w:rPr>
        <w:t xml:space="preserve"> la transparencia de las actividades estatales y </w:t>
      </w:r>
      <w:r w:rsidRPr="00255189">
        <w:rPr>
          <w:rFonts w:ascii="Palatino Linotype" w:eastAsiaTheme="minorEastAsia" w:hAnsi="Palatino Linotype"/>
          <w:color w:val="000000"/>
          <w:sz w:val="24"/>
          <w:szCs w:val="24"/>
          <w:lang w:val="es-ES_tradnl"/>
        </w:rPr>
        <w:t>promoviendo</w:t>
      </w:r>
      <w:r w:rsidRPr="00255189">
        <w:rPr>
          <w:rFonts w:ascii="Palatino Linotype" w:eastAsiaTheme="minorEastAsia" w:hAnsi="Palatino Linotype"/>
          <w:i/>
          <w:color w:val="000000"/>
          <w:sz w:val="24"/>
          <w:szCs w:val="24"/>
          <w:lang w:val="es-ES_tradnl"/>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rPr>
        <w:footnoteReference w:id="4"/>
      </w:r>
      <w:r w:rsidRPr="00255189">
        <w:rPr>
          <w:rFonts w:ascii="Palatino Linotype" w:eastAsiaTheme="minorEastAsia" w:hAnsi="Palatino Linotype"/>
          <w:color w:val="000000"/>
          <w:sz w:val="24"/>
          <w:szCs w:val="24"/>
          <w:lang w:val="es-ES_tradnl"/>
        </w:rPr>
        <w:t>que permite</w:t>
      </w:r>
      <w:r w:rsidRPr="00255189">
        <w:rPr>
          <w:rFonts w:ascii="Palatino Linotype" w:eastAsiaTheme="minorEastAsia" w:hAnsi="Palatino Linotype"/>
          <w:i/>
          <w:color w:val="000000"/>
          <w:sz w:val="24"/>
          <w:szCs w:val="24"/>
          <w:lang w:val="es-ES_tradnl"/>
        </w:rPr>
        <w:t xml:space="preserve"> saber qué están haciendo los gobiernos por sus pueblos, sin lo cual la verdad languidecería y la participación en el gobierno permanecería fragmentada.</w:t>
      </w:r>
    </w:p>
    <w:p w14:paraId="2B6EE4EA" w14:textId="77777777" w:rsidR="004C522A" w:rsidRPr="00255189" w:rsidRDefault="004C522A" w:rsidP="004C522A">
      <w:pPr>
        <w:tabs>
          <w:tab w:val="left" w:pos="284"/>
        </w:tabs>
        <w:contextualSpacing/>
        <w:rPr>
          <w:rFonts w:ascii="Palatino Linotype" w:hAnsi="Palatino Linotype"/>
          <w:sz w:val="24"/>
          <w:szCs w:val="24"/>
          <w:lang w:val="es-ES_tradnl"/>
        </w:rPr>
      </w:pPr>
    </w:p>
    <w:p w14:paraId="5850A8BE" w14:textId="77777777" w:rsidR="004C522A" w:rsidRPr="00255189" w:rsidRDefault="004C522A" w:rsidP="004C522A">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Pr>
          <w:rFonts w:ascii="Palatino Linotype" w:hAnsi="Palatino Linotype"/>
          <w:sz w:val="24"/>
          <w:szCs w:val="24"/>
          <w:lang w:val="es-ES_tradnl"/>
        </w:rPr>
        <w:t>S</w:t>
      </w:r>
      <w:r w:rsidRPr="00255189">
        <w:rPr>
          <w:rFonts w:ascii="Palatino Linotype" w:hAnsi="Palatino Linotype"/>
          <w:sz w:val="24"/>
          <w:szCs w:val="24"/>
          <w:lang w:val="es-ES_tradnl"/>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96662A8" w14:textId="77777777" w:rsidR="004C522A" w:rsidRPr="00255189" w:rsidRDefault="004C522A" w:rsidP="004C522A">
      <w:pPr>
        <w:tabs>
          <w:tab w:val="left" w:pos="284"/>
        </w:tabs>
        <w:spacing w:before="240" w:after="240" w:line="360" w:lineRule="auto"/>
        <w:contextualSpacing/>
        <w:jc w:val="both"/>
        <w:rPr>
          <w:rFonts w:ascii="Palatino Linotype" w:eastAsiaTheme="minorEastAsia" w:hAnsi="Palatino Linotype"/>
          <w:i/>
          <w:sz w:val="24"/>
          <w:szCs w:val="24"/>
          <w:lang w:val="es-ES_tradnl"/>
        </w:rPr>
      </w:pPr>
      <w:r w:rsidRPr="00255189">
        <w:rPr>
          <w:rFonts w:ascii="Palatino Linotype" w:eastAsiaTheme="minorEastAsia" w:hAnsi="Palatino Linotype"/>
          <w:i/>
          <w:sz w:val="24"/>
          <w:szCs w:val="24"/>
          <w:lang w:val="es-ES_tradnl"/>
        </w:rPr>
        <w:t xml:space="preserve"> </w:t>
      </w:r>
    </w:p>
    <w:p w14:paraId="57E39482" w14:textId="77777777" w:rsidR="004C522A" w:rsidRDefault="004C522A" w:rsidP="004C522A">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255189">
        <w:rPr>
          <w:rFonts w:ascii="Palatino Linotype" w:hAnsi="Palatino Linotype"/>
          <w:sz w:val="24"/>
          <w:szCs w:val="24"/>
          <w:lang w:val="es-ES_tradnl"/>
        </w:rPr>
        <w:t xml:space="preserve">Por lo tanto, </w:t>
      </w:r>
      <w:r>
        <w:rPr>
          <w:rFonts w:ascii="Palatino Linotype" w:hAnsi="Palatino Linotype"/>
          <w:sz w:val="24"/>
          <w:szCs w:val="24"/>
          <w:lang w:val="es-ES_tradnl"/>
        </w:rPr>
        <w:t xml:space="preserve">la actuación del </w:t>
      </w:r>
      <w:r w:rsidRPr="00A82A4C">
        <w:rPr>
          <w:rFonts w:ascii="Palatino Linotype" w:hAnsi="Palatino Linotype"/>
          <w:b/>
          <w:sz w:val="24"/>
          <w:szCs w:val="24"/>
          <w:lang w:val="es-ES_tradnl"/>
        </w:rPr>
        <w:t>Ayuntamiento de Temascalapa</w:t>
      </w:r>
      <w:r>
        <w:rPr>
          <w:rFonts w:ascii="Palatino Linotype" w:hAnsi="Palatino Linotype" w:cs="Arial"/>
          <w:b/>
          <w:sz w:val="24"/>
          <w:szCs w:val="24"/>
        </w:rPr>
        <w:t>,</w:t>
      </w:r>
      <w:r w:rsidRPr="00255189">
        <w:rPr>
          <w:rFonts w:ascii="Palatino Linotype" w:eastAsiaTheme="minorEastAsia" w:hAnsi="Palatino Linotype" w:cs="Arial"/>
          <w:sz w:val="24"/>
          <w:szCs w:val="24"/>
          <w:lang w:val="es-ES_tradnl"/>
        </w:rPr>
        <w:t xml:space="preserve"> constituye una afectación al derecho humano de acceso a la información pública del particular, toda vez que incumple al no</w:t>
      </w:r>
      <w:r>
        <w:rPr>
          <w:rFonts w:ascii="Palatino Linotype" w:eastAsiaTheme="minorEastAsia" w:hAnsi="Palatino Linotype" w:cs="Arial"/>
          <w:sz w:val="24"/>
          <w:szCs w:val="24"/>
          <w:lang w:val="es-ES_tradnl"/>
        </w:rPr>
        <w:t xml:space="preserve"> entregar la información solicitada ni en respuesta ni en informe justificado, dos momentos procesales que antes del cierre de instrucción del asunto a resolver, puede ser entregada la información para reparar el derecho afectado. </w:t>
      </w:r>
    </w:p>
    <w:p w14:paraId="50C51206" w14:textId="77777777" w:rsidR="004C522A" w:rsidRPr="00255189" w:rsidRDefault="004C522A" w:rsidP="004C522A">
      <w:pPr>
        <w:tabs>
          <w:tab w:val="left" w:pos="284"/>
        </w:tabs>
        <w:contextualSpacing/>
        <w:rPr>
          <w:rFonts w:ascii="Palatino Linotype" w:eastAsiaTheme="minorEastAsia" w:hAnsi="Palatino Linotype" w:cs="Arial"/>
          <w:sz w:val="24"/>
          <w:szCs w:val="24"/>
          <w:lang w:val="es-ES_tradnl"/>
        </w:rPr>
      </w:pPr>
    </w:p>
    <w:p w14:paraId="33513F01" w14:textId="77777777" w:rsidR="004C522A" w:rsidRPr="0071317B" w:rsidRDefault="004C522A" w:rsidP="004C522A">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eastAsiaTheme="minorEastAsia" w:hAnsi="Palatino Linotype" w:cs="Arial"/>
          <w:sz w:val="24"/>
          <w:szCs w:val="24"/>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eastAsiaTheme="minorEastAsia" w:hAnsi="Palatino Linotype" w:cs="Arial"/>
          <w:sz w:val="24"/>
          <w:szCs w:val="24"/>
          <w:u w:val="single"/>
          <w:lang w:val="es-ES_tradnl"/>
        </w:rPr>
        <w:t>prevenir, investigar, sancionar y reparar las violaciones a los derechos humanos</w:t>
      </w:r>
      <w:r w:rsidRPr="00255189">
        <w:rPr>
          <w:rFonts w:ascii="Palatino Linotype" w:eastAsiaTheme="minorEastAsia" w:hAnsi="Palatino Linotype" w:cs="Arial"/>
          <w:sz w:val="24"/>
          <w:szCs w:val="24"/>
          <w:lang w:val="es-ES_tradnl"/>
        </w:rPr>
        <w:t xml:space="preserve">. </w:t>
      </w:r>
    </w:p>
    <w:p w14:paraId="4EEAE680" w14:textId="77777777" w:rsidR="004C522A" w:rsidRPr="0071317B" w:rsidRDefault="004C522A" w:rsidP="004C522A">
      <w:pPr>
        <w:tabs>
          <w:tab w:val="left" w:pos="284"/>
        </w:tabs>
        <w:spacing w:before="240" w:after="240" w:line="360" w:lineRule="auto"/>
        <w:contextualSpacing/>
        <w:jc w:val="both"/>
        <w:rPr>
          <w:rFonts w:ascii="Palatino Linotype" w:hAnsi="Palatino Linotype"/>
          <w:sz w:val="24"/>
          <w:szCs w:val="24"/>
          <w:lang w:val="es-ES_tradnl"/>
        </w:rPr>
      </w:pPr>
    </w:p>
    <w:p w14:paraId="24998DE0" w14:textId="77777777" w:rsidR="004C522A" w:rsidRPr="00D5606A" w:rsidRDefault="004C522A" w:rsidP="004C522A">
      <w:pPr>
        <w:numPr>
          <w:ilvl w:val="0"/>
          <w:numId w:val="2"/>
        </w:numPr>
        <w:tabs>
          <w:tab w:val="left" w:pos="284"/>
        </w:tabs>
        <w:spacing w:before="240" w:line="360" w:lineRule="auto"/>
        <w:ind w:left="0" w:firstLine="0"/>
        <w:contextualSpacing/>
        <w:jc w:val="both"/>
        <w:rPr>
          <w:rFonts w:ascii="Palatino Linotype" w:hAnsi="Palatino Linotype"/>
          <w:sz w:val="24"/>
          <w:szCs w:val="24"/>
          <w:lang w:val="es-ES_tradnl"/>
        </w:rPr>
      </w:pPr>
      <w:r w:rsidRPr="00D5606A">
        <w:rPr>
          <w:rFonts w:ascii="Palatino Linotype" w:eastAsiaTheme="minorEastAsia" w:hAnsi="Palatino Linotype" w:cs="Arial"/>
          <w:sz w:val="24"/>
          <w:szCs w:val="24"/>
          <w:lang w:val="es-ES_tradn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5606A">
        <w:rPr>
          <w:rFonts w:ascii="Palatino Linotype" w:eastAsiaTheme="minorEastAsia" w:hAnsi="Palatino Linotype" w:cs="Arial"/>
          <w:i/>
          <w:sz w:val="24"/>
          <w:szCs w:val="24"/>
          <w:lang w:val="es-ES_tradnl"/>
        </w:rPr>
        <w:t>por los principios de simplicidad, rapidez gratuidad del procedimiento, auxilio y orientación a los particulares</w:t>
      </w:r>
      <w:r w:rsidRPr="00D5606A">
        <w:rPr>
          <w:rFonts w:ascii="Palatino Linotype" w:eastAsiaTheme="minorEastAsia" w:hAnsi="Palatino Linotype" w:cs="Arial"/>
          <w:sz w:val="24"/>
          <w:szCs w:val="24"/>
          <w:lang w:val="es-ES_tradnl"/>
        </w:rPr>
        <w:t xml:space="preserve">, contemplando el derecho de las personas con discapacidad y hablantes de lengua indígena. </w:t>
      </w:r>
    </w:p>
    <w:p w14:paraId="31E487E4" w14:textId="77777777" w:rsidR="004C522A" w:rsidRPr="0071317B" w:rsidRDefault="004C522A" w:rsidP="004C522A">
      <w:pPr>
        <w:tabs>
          <w:tab w:val="left" w:pos="284"/>
        </w:tabs>
        <w:spacing w:before="240" w:after="240" w:line="360" w:lineRule="auto"/>
        <w:contextualSpacing/>
        <w:jc w:val="both"/>
        <w:rPr>
          <w:rFonts w:ascii="Palatino Linotype" w:hAnsi="Palatino Linotype"/>
          <w:sz w:val="24"/>
          <w:szCs w:val="24"/>
          <w:lang w:val="es-ES_tradnl"/>
        </w:rPr>
      </w:pPr>
    </w:p>
    <w:p w14:paraId="273E148A" w14:textId="77777777" w:rsidR="004C522A" w:rsidRPr="0071317B" w:rsidRDefault="004C522A" w:rsidP="004C522A">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hAnsi="Palatino Linotype"/>
          <w:sz w:val="24"/>
          <w:szCs w:val="24"/>
          <w:lang w:val="es-ES_tradnl"/>
        </w:rPr>
        <w:t xml:space="preserve">Es así que la </w:t>
      </w:r>
      <w:r w:rsidRPr="00255189">
        <w:rPr>
          <w:rFonts w:ascii="Palatino Linotype" w:hAnsi="Palatino Linotype"/>
          <w:b/>
          <w:sz w:val="24"/>
          <w:szCs w:val="24"/>
          <w:lang w:val="es-ES_tradnl"/>
        </w:rPr>
        <w:t xml:space="preserve">Ley de Transparencia y Acceso a la Información Pública del Estado de México y Municipios, </w:t>
      </w:r>
      <w:r w:rsidRPr="00255189">
        <w:rPr>
          <w:rFonts w:ascii="Palatino Linotype" w:hAnsi="Palatino Linotype"/>
          <w:sz w:val="24"/>
          <w:szCs w:val="24"/>
          <w:lang w:val="es-ES_tradnl"/>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sz w:val="24"/>
          <w:szCs w:val="24"/>
          <w:lang w:val="es-ES_tradnl"/>
        </w:rPr>
        <w:t xml:space="preserve"> </w:t>
      </w:r>
      <w:r w:rsidRPr="00255189">
        <w:rPr>
          <w:rFonts w:ascii="Palatino Linotype" w:hAnsi="Palatino Linotype"/>
          <w:sz w:val="24"/>
          <w:szCs w:val="24"/>
          <w:lang w:val="es-ES_tradnl"/>
        </w:rPr>
        <w:t xml:space="preserve">establece que </w:t>
      </w:r>
      <w:r w:rsidRPr="006E3DBF">
        <w:rPr>
          <w:rFonts w:ascii="Palatino Linotype" w:hAnsi="Palatino Linotype"/>
          <w:b/>
          <w:i/>
          <w:sz w:val="24"/>
          <w:szCs w:val="24"/>
          <w:u w:val="single"/>
          <w:lang w:val="es-ES_tradnl"/>
        </w:rPr>
        <w:t>el recurso de revisión es la garantía secundaria</w:t>
      </w:r>
      <w:r w:rsidRPr="006E3DBF">
        <w:rPr>
          <w:rFonts w:ascii="Palatino Linotype" w:hAnsi="Palatino Linotype"/>
          <w:b/>
          <w:i/>
          <w:sz w:val="24"/>
          <w:szCs w:val="24"/>
          <w:lang w:val="es-ES_tradnl"/>
        </w:rPr>
        <w:t xml:space="preserve"> mediante la cual se pretende reparar cualquier posible afectación al derecho de acceso a la información pública</w:t>
      </w:r>
      <w:r w:rsidRPr="006E3DBF">
        <w:rPr>
          <w:rFonts w:ascii="Palatino Linotype" w:hAnsi="Palatino Linotype"/>
          <w:b/>
          <w:sz w:val="24"/>
          <w:szCs w:val="24"/>
          <w:lang w:val="es-ES_tradnl"/>
        </w:rPr>
        <w:t>, s</w:t>
      </w:r>
      <w:r w:rsidRPr="00255189">
        <w:rPr>
          <w:rFonts w:ascii="Palatino Linotype" w:hAnsi="Palatino Linotype"/>
          <w:sz w:val="24"/>
          <w:szCs w:val="24"/>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3A6BC64" w14:textId="77777777" w:rsidR="004C522A" w:rsidRPr="00255189" w:rsidRDefault="004C522A" w:rsidP="004C522A">
      <w:pPr>
        <w:tabs>
          <w:tab w:val="left" w:pos="284"/>
        </w:tabs>
        <w:rPr>
          <w:rFonts w:ascii="Palatino Linotype" w:eastAsia="MS Mincho" w:hAnsi="Palatino Linotype" w:cs="Arial"/>
          <w:sz w:val="24"/>
          <w:szCs w:val="24"/>
          <w:lang w:val="es-ES_tradnl"/>
        </w:rPr>
      </w:pPr>
    </w:p>
    <w:p w14:paraId="7E95FC06" w14:textId="77777777" w:rsidR="004C522A" w:rsidRPr="00A82A4C" w:rsidRDefault="004C522A" w:rsidP="004C522A">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255189">
        <w:rPr>
          <w:rFonts w:ascii="Palatino Linotype" w:eastAsia="Calibri" w:hAnsi="Palatino Linotype"/>
          <w:sz w:val="24"/>
          <w:szCs w:val="24"/>
          <w:lang w:val="es-ES_tradnl"/>
        </w:rPr>
        <w:t xml:space="preserve">Establecido lo anterior, resulta evidente que las razones o motivos de inconformidad hechos valer en el recurso de revisión resultan </w:t>
      </w:r>
      <w:r w:rsidRPr="00255189">
        <w:rPr>
          <w:rFonts w:ascii="Palatino Linotype" w:eastAsia="Calibri" w:hAnsi="Palatino Linotype"/>
          <w:b/>
          <w:sz w:val="24"/>
          <w:szCs w:val="24"/>
          <w:lang w:val="es-ES_tradnl"/>
        </w:rPr>
        <w:t>fundadas y procedentes</w:t>
      </w:r>
      <w:r w:rsidRPr="00255189">
        <w:rPr>
          <w:rFonts w:ascii="Palatino Linotype" w:eastAsia="Calibri" w:hAnsi="Palatino Linotype"/>
          <w:sz w:val="24"/>
          <w:szCs w:val="24"/>
          <w:lang w:val="es-ES_tradnl"/>
        </w:rPr>
        <w:t xml:space="preserve">, debido a que el </w:t>
      </w:r>
      <w:r w:rsidRPr="00255189">
        <w:rPr>
          <w:rFonts w:ascii="Palatino Linotype" w:eastAsia="Calibri" w:hAnsi="Palatino Linotype"/>
          <w:b/>
          <w:sz w:val="24"/>
          <w:szCs w:val="24"/>
          <w:lang w:val="es-ES_tradnl"/>
        </w:rPr>
        <w:t>SUJETO OBLIGADO</w:t>
      </w:r>
      <w:r w:rsidRPr="00255189">
        <w:rPr>
          <w:rFonts w:ascii="Palatino Linotype" w:eastAsia="Calibri" w:hAnsi="Palatino Linotype"/>
          <w:sz w:val="24"/>
          <w:szCs w:val="24"/>
          <w:lang w:val="es-ES_tradnl"/>
        </w:rPr>
        <w:t xml:space="preserve"> </w:t>
      </w:r>
      <w:r>
        <w:rPr>
          <w:rFonts w:ascii="Palatino Linotype" w:eastAsia="Calibri" w:hAnsi="Palatino Linotype"/>
          <w:sz w:val="24"/>
          <w:szCs w:val="24"/>
          <w:lang w:val="es-ES_tradnl"/>
        </w:rPr>
        <w:t>proporcionó información que no corresponde con lo solicitado.</w:t>
      </w:r>
    </w:p>
    <w:p w14:paraId="5AF27F1E" w14:textId="77777777" w:rsidR="004C522A" w:rsidRPr="003520FC" w:rsidRDefault="004C522A" w:rsidP="004C522A">
      <w:pPr>
        <w:pStyle w:val="Prrafodelista"/>
        <w:numPr>
          <w:ilvl w:val="0"/>
          <w:numId w:val="3"/>
        </w:numPr>
        <w:spacing w:before="240" w:after="360" w:line="360" w:lineRule="auto"/>
        <w:ind w:left="0" w:firstLine="0"/>
        <w:jc w:val="both"/>
        <w:rPr>
          <w:rFonts w:ascii="Palatino Linotype" w:hAnsi="Palatino Linotype" w:cs="Arial"/>
          <w:i/>
          <w:color w:val="000000" w:themeColor="text1"/>
          <w:sz w:val="24"/>
        </w:rPr>
      </w:pPr>
      <w:r w:rsidRPr="003520FC">
        <w:rPr>
          <w:rFonts w:ascii="Palatino Linotype" w:hAnsi="Palatino Linotype" w:cs="Arial"/>
          <w:sz w:val="24"/>
        </w:rPr>
        <w:t xml:space="preserve">Ahora bien para entender los alcances de la información pública se considera importante citar el criterio </w:t>
      </w:r>
      <w:r w:rsidRPr="003520FC">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520FC">
        <w:rPr>
          <w:rFonts w:ascii="Palatino Linotype" w:hAnsi="Palatino Linotype" w:cs="Arial"/>
          <w:sz w:val="24"/>
        </w:rPr>
        <w:t>cuyo rubro y texto dispone:</w:t>
      </w:r>
    </w:p>
    <w:p w14:paraId="2403955D" w14:textId="77777777" w:rsidR="004C522A" w:rsidRDefault="004C522A" w:rsidP="004C522A">
      <w:pPr>
        <w:pStyle w:val="Prrafodelista"/>
        <w:autoSpaceDE w:val="0"/>
        <w:autoSpaceDN w:val="0"/>
        <w:adjustRightInd w:val="0"/>
        <w:spacing w:line="360" w:lineRule="auto"/>
        <w:ind w:left="0"/>
        <w:jc w:val="both"/>
        <w:rPr>
          <w:rFonts w:ascii="Palatino Linotype" w:hAnsi="Palatino Linotype" w:cs="Arial"/>
        </w:rPr>
      </w:pPr>
    </w:p>
    <w:p w14:paraId="3885E71A" w14:textId="77777777" w:rsidR="004C522A" w:rsidRDefault="004C522A" w:rsidP="004C522A">
      <w:pPr>
        <w:autoSpaceDE w:val="0"/>
        <w:autoSpaceDN w:val="0"/>
        <w:adjustRightInd w:val="0"/>
        <w:spacing w:line="360" w:lineRule="auto"/>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3FFB3E1" w14:textId="77777777" w:rsidR="004C522A" w:rsidRDefault="004C522A" w:rsidP="004C522A">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A473A4" w14:textId="77777777" w:rsidR="004C522A" w:rsidRDefault="004C522A" w:rsidP="004C522A">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56F51732" w14:textId="77777777" w:rsidR="004C522A" w:rsidRDefault="004C522A" w:rsidP="004C522A">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1387B0FC" w14:textId="77777777" w:rsidR="004C522A" w:rsidRDefault="004C522A" w:rsidP="004C522A">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79D6287" w14:textId="77777777" w:rsidR="004C522A" w:rsidRDefault="004C522A" w:rsidP="004C522A">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4BD9AA9C" w14:textId="77777777" w:rsidR="004C522A" w:rsidRDefault="004C522A" w:rsidP="004C522A">
      <w:pPr>
        <w:pStyle w:val="Prrafodelista"/>
        <w:tabs>
          <w:tab w:val="left" w:pos="851"/>
        </w:tabs>
        <w:spacing w:line="360" w:lineRule="auto"/>
        <w:ind w:left="0" w:right="49"/>
        <w:jc w:val="both"/>
        <w:rPr>
          <w:rFonts w:ascii="Palatino Linotype" w:hAnsi="Palatino Linotype"/>
          <w:lang w:val="es-ES"/>
        </w:rPr>
      </w:pPr>
    </w:p>
    <w:p w14:paraId="78730D24" w14:textId="77777777" w:rsidR="004C522A" w:rsidRPr="003520FC" w:rsidRDefault="004C522A" w:rsidP="004C522A">
      <w:pPr>
        <w:pStyle w:val="Prrafodelista"/>
        <w:numPr>
          <w:ilvl w:val="0"/>
          <w:numId w:val="3"/>
        </w:numPr>
        <w:tabs>
          <w:tab w:val="left" w:pos="851"/>
        </w:tabs>
        <w:spacing w:before="240" w:after="240" w:line="360" w:lineRule="auto"/>
        <w:ind w:left="0" w:right="49" w:firstLine="0"/>
        <w:jc w:val="both"/>
        <w:rPr>
          <w:rFonts w:ascii="Palatino Linotype" w:hAnsi="Palatino Linotype" w:cs="Arial"/>
          <w:sz w:val="32"/>
          <w:lang w:val="es-ES"/>
        </w:rPr>
      </w:pPr>
      <w:r w:rsidRPr="003520FC">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70CC228C" w14:textId="77777777" w:rsidR="004C522A" w:rsidRDefault="004C522A" w:rsidP="004C522A">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565A74" w14:textId="77777777" w:rsidR="004C522A" w:rsidRDefault="004C522A" w:rsidP="004C522A">
      <w:pPr>
        <w:pStyle w:val="Prrafodelista"/>
        <w:tabs>
          <w:tab w:val="left" w:pos="851"/>
        </w:tabs>
        <w:spacing w:line="360" w:lineRule="auto"/>
        <w:ind w:left="0" w:right="49"/>
        <w:jc w:val="both"/>
        <w:rPr>
          <w:rFonts w:ascii="Palatino Linotype" w:hAnsi="Palatino Linotype"/>
          <w:lang w:val="es-ES"/>
        </w:rPr>
      </w:pPr>
    </w:p>
    <w:p w14:paraId="25D90F40" w14:textId="77777777" w:rsidR="004C522A" w:rsidRPr="003520FC" w:rsidRDefault="004C522A" w:rsidP="004C522A">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3520FC">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32ACE70" w14:textId="77777777" w:rsidR="004C522A" w:rsidRPr="003520FC" w:rsidRDefault="004C522A" w:rsidP="004C522A">
      <w:pPr>
        <w:pStyle w:val="Prrafodelista"/>
        <w:spacing w:line="360" w:lineRule="auto"/>
        <w:ind w:left="0"/>
        <w:jc w:val="both"/>
        <w:rPr>
          <w:rFonts w:ascii="Palatino Linotype" w:eastAsia="Calibri" w:hAnsi="Palatino Linotype" w:cs="Arial"/>
          <w:sz w:val="24"/>
        </w:rPr>
      </w:pPr>
    </w:p>
    <w:p w14:paraId="6C3E5D66" w14:textId="77777777" w:rsidR="004C522A" w:rsidRPr="003520FC" w:rsidRDefault="004C522A" w:rsidP="004C522A">
      <w:pPr>
        <w:pStyle w:val="Prrafodelista"/>
        <w:numPr>
          <w:ilvl w:val="0"/>
          <w:numId w:val="3"/>
        </w:numPr>
        <w:spacing w:line="360" w:lineRule="auto"/>
        <w:ind w:left="0" w:firstLine="0"/>
        <w:jc w:val="both"/>
        <w:rPr>
          <w:rFonts w:ascii="Palatino Linotype" w:eastAsia="Calibri" w:hAnsi="Palatino Linotype" w:cs="Arial"/>
          <w:sz w:val="24"/>
        </w:rPr>
      </w:pPr>
      <w:r w:rsidRPr="003520FC">
        <w:rPr>
          <w:rFonts w:ascii="Palatino Linotype" w:hAnsi="Palatino Linotype"/>
          <w:color w:val="000000" w:themeColor="text1"/>
          <w:sz w:val="24"/>
        </w:rPr>
        <w:t xml:space="preserve">Resulta necesario referir que, el </w:t>
      </w:r>
      <w:r w:rsidRPr="003520FC">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520FC">
        <w:rPr>
          <w:rFonts w:ascii="Palatino Linotype" w:eastAsia="Calibri" w:hAnsi="Palatino Linotype" w:cs="Arial"/>
          <w:b/>
          <w:sz w:val="24"/>
        </w:rPr>
        <w:t>los Sujetos Obligados deberán documentar todo acto que se derive del ejercicio de sus facultades, competencias o funciones,</w:t>
      </w:r>
      <w:r w:rsidRPr="003520FC">
        <w:rPr>
          <w:rFonts w:ascii="Palatino Linotype" w:eastAsia="Calibri" w:hAnsi="Palatino Linotype" w:cs="Arial"/>
          <w:sz w:val="24"/>
        </w:rPr>
        <w:t xml:space="preserve"> considerando desde su origen la eventual publicidad y reutilización de la información que generen, posean o administren.</w:t>
      </w:r>
    </w:p>
    <w:p w14:paraId="2F921388" w14:textId="77777777" w:rsidR="004C522A" w:rsidRPr="003520FC" w:rsidRDefault="004C522A" w:rsidP="004C522A">
      <w:pPr>
        <w:pStyle w:val="Prrafodelista"/>
        <w:rPr>
          <w:rFonts w:ascii="Palatino Linotype" w:eastAsia="Calibri" w:hAnsi="Palatino Linotype" w:cs="Arial"/>
          <w:sz w:val="24"/>
        </w:rPr>
      </w:pPr>
    </w:p>
    <w:p w14:paraId="12041D74" w14:textId="77777777" w:rsidR="004C522A" w:rsidRPr="003520FC" w:rsidRDefault="004C522A" w:rsidP="004C522A">
      <w:pPr>
        <w:pStyle w:val="Prrafodelista"/>
        <w:numPr>
          <w:ilvl w:val="0"/>
          <w:numId w:val="3"/>
        </w:numPr>
        <w:spacing w:line="360" w:lineRule="auto"/>
        <w:ind w:left="0" w:firstLine="0"/>
        <w:jc w:val="both"/>
        <w:rPr>
          <w:rFonts w:ascii="Palatino Linotype" w:eastAsia="Calibri" w:hAnsi="Palatino Linotype" w:cs="Arial"/>
          <w:sz w:val="24"/>
        </w:rPr>
      </w:pPr>
      <w:r w:rsidRPr="003520FC">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42EAA4D6" w14:textId="77777777" w:rsidR="004C522A" w:rsidRDefault="004C522A" w:rsidP="004C522A">
      <w:pPr>
        <w:pStyle w:val="Prrafodelista"/>
        <w:spacing w:line="360" w:lineRule="auto"/>
        <w:rPr>
          <w:rFonts w:ascii="Palatino Linotype" w:hAnsi="Palatino Linotype" w:cs="Arial"/>
          <w:color w:val="000000"/>
        </w:rPr>
      </w:pPr>
    </w:p>
    <w:p w14:paraId="3EC27A56"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5DC11DB"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p>
    <w:p w14:paraId="26A5C584"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0973351"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p>
    <w:p w14:paraId="03988684"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0D6D3280" w14:textId="77777777" w:rsidR="004C522A" w:rsidRDefault="004C522A" w:rsidP="004C522A">
      <w:pPr>
        <w:autoSpaceDE w:val="0"/>
        <w:autoSpaceDN w:val="0"/>
        <w:adjustRightInd w:val="0"/>
        <w:ind w:left="567" w:right="567"/>
        <w:jc w:val="both"/>
        <w:rPr>
          <w:rFonts w:ascii="Palatino Linotype" w:hAnsi="Palatino Linotype" w:cs="Arial"/>
          <w:i/>
          <w:color w:val="000000"/>
          <w:sz w:val="28"/>
        </w:rPr>
      </w:pPr>
    </w:p>
    <w:p w14:paraId="313702FC"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67A5703" w14:textId="77777777" w:rsidR="004C522A" w:rsidRDefault="004C522A" w:rsidP="004C522A">
      <w:pPr>
        <w:autoSpaceDE w:val="0"/>
        <w:autoSpaceDN w:val="0"/>
        <w:adjustRightInd w:val="0"/>
        <w:ind w:left="567" w:right="567"/>
        <w:jc w:val="both"/>
        <w:rPr>
          <w:rFonts w:ascii="Palatino Linotype" w:hAnsi="Palatino Linotype" w:cs="Bookman Old Style"/>
          <w:i/>
          <w:sz w:val="22"/>
        </w:rPr>
      </w:pPr>
    </w:p>
    <w:p w14:paraId="3E68E349" w14:textId="77777777" w:rsidR="004C522A" w:rsidRDefault="004C522A" w:rsidP="004C522A">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58E42F26" w14:textId="77777777" w:rsidR="004C522A" w:rsidRDefault="004C522A" w:rsidP="004C522A">
      <w:pPr>
        <w:autoSpaceDE w:val="0"/>
        <w:autoSpaceDN w:val="0"/>
        <w:adjustRightInd w:val="0"/>
        <w:spacing w:line="360" w:lineRule="auto"/>
        <w:ind w:left="567" w:right="567"/>
        <w:jc w:val="both"/>
        <w:rPr>
          <w:rFonts w:ascii="Palatino Linotype" w:hAnsi="Palatino Linotype" w:cs="Bookman Old Style"/>
          <w:i/>
          <w:sz w:val="22"/>
        </w:rPr>
      </w:pPr>
    </w:p>
    <w:p w14:paraId="44F1B785" w14:textId="77777777" w:rsidR="004C522A" w:rsidRPr="003520FC" w:rsidRDefault="004C522A" w:rsidP="004C522A">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3520FC">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20FC">
        <w:rPr>
          <w:rStyle w:val="Refdenotaalpie"/>
          <w:rFonts w:ascii="Palatino Linotype" w:hAnsi="Palatino Linotype"/>
          <w:sz w:val="24"/>
          <w:lang w:val="es-ES"/>
        </w:rPr>
        <w:footnoteReference w:id="5"/>
      </w:r>
      <w:r w:rsidRPr="003520FC">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81A46AE" w14:textId="77777777" w:rsidR="004C522A" w:rsidRPr="003520FC" w:rsidRDefault="004C522A" w:rsidP="004C522A">
      <w:pPr>
        <w:pStyle w:val="Prrafodelista"/>
        <w:tabs>
          <w:tab w:val="left" w:pos="851"/>
        </w:tabs>
        <w:spacing w:line="360" w:lineRule="auto"/>
        <w:ind w:left="0" w:right="49"/>
        <w:jc w:val="both"/>
        <w:rPr>
          <w:rFonts w:ascii="Palatino Linotype" w:hAnsi="Palatino Linotype"/>
          <w:sz w:val="24"/>
          <w:lang w:val="es-ES"/>
        </w:rPr>
      </w:pPr>
    </w:p>
    <w:p w14:paraId="7316411F" w14:textId="77777777" w:rsidR="004C522A" w:rsidRPr="003520FC" w:rsidRDefault="004C522A" w:rsidP="004C522A">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3520FC">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7CD4024" w14:textId="77777777" w:rsidR="004C522A" w:rsidRDefault="004C522A" w:rsidP="004C522A">
      <w:pPr>
        <w:pStyle w:val="Prrafodelista"/>
        <w:spacing w:line="360" w:lineRule="auto"/>
        <w:rPr>
          <w:rFonts w:ascii="Palatino Linotype" w:hAnsi="Palatino Linotype"/>
          <w:lang w:val="es-ES"/>
        </w:rPr>
      </w:pPr>
    </w:p>
    <w:p w14:paraId="582284E9" w14:textId="77777777" w:rsidR="004C522A" w:rsidRDefault="004C522A" w:rsidP="004C522A">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F51C4B2" w14:textId="77777777" w:rsidR="004C522A" w:rsidRDefault="004C522A" w:rsidP="004C522A">
      <w:pPr>
        <w:pStyle w:val="Prrafodelista"/>
        <w:tabs>
          <w:tab w:val="left" w:pos="851"/>
        </w:tabs>
        <w:ind w:left="567" w:right="567"/>
        <w:jc w:val="both"/>
        <w:rPr>
          <w:rFonts w:ascii="Palatino Linotype" w:hAnsi="Palatino Linotype"/>
          <w:i/>
        </w:rPr>
      </w:pPr>
    </w:p>
    <w:p w14:paraId="3EF3C9A4" w14:textId="77777777" w:rsidR="004C522A" w:rsidRDefault="004C522A" w:rsidP="004C522A">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98B5E6A" w14:textId="77777777" w:rsidR="004C522A" w:rsidRDefault="004C522A" w:rsidP="004C522A">
      <w:pPr>
        <w:pStyle w:val="Prrafodelista"/>
        <w:tabs>
          <w:tab w:val="left" w:pos="851"/>
        </w:tabs>
        <w:ind w:left="567" w:right="567"/>
        <w:jc w:val="both"/>
        <w:rPr>
          <w:rFonts w:ascii="Palatino Linotype" w:hAnsi="Palatino Linotype"/>
          <w:i/>
        </w:rPr>
      </w:pPr>
    </w:p>
    <w:p w14:paraId="62B1C712" w14:textId="77777777" w:rsidR="004C522A" w:rsidRDefault="004C522A" w:rsidP="004C522A">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592EF114" w14:textId="77777777" w:rsidR="004C522A" w:rsidRDefault="004C522A" w:rsidP="004C522A">
      <w:pPr>
        <w:pStyle w:val="Prrafodelista"/>
        <w:spacing w:line="360" w:lineRule="auto"/>
        <w:rPr>
          <w:rFonts w:ascii="Palatino Linotype" w:hAnsi="Palatino Linotype"/>
          <w:lang w:val="es-ES"/>
        </w:rPr>
      </w:pPr>
    </w:p>
    <w:p w14:paraId="78E3698C" w14:textId="77777777" w:rsidR="004C522A" w:rsidRPr="003520FC" w:rsidRDefault="004C522A" w:rsidP="004C522A">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3520FC">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47552588" w14:textId="77777777" w:rsidR="004C522A" w:rsidRPr="003520FC" w:rsidRDefault="004C522A" w:rsidP="004C522A">
      <w:pPr>
        <w:tabs>
          <w:tab w:val="left" w:pos="851"/>
        </w:tabs>
        <w:spacing w:line="360" w:lineRule="auto"/>
        <w:ind w:right="49"/>
        <w:jc w:val="both"/>
        <w:rPr>
          <w:rFonts w:ascii="Palatino Linotype" w:hAnsi="Palatino Linotype"/>
          <w:sz w:val="22"/>
          <w:lang w:val="es-ES"/>
        </w:rPr>
      </w:pPr>
    </w:p>
    <w:p w14:paraId="288DAE0C" w14:textId="77777777" w:rsidR="004C522A" w:rsidRPr="003520FC" w:rsidRDefault="004C522A" w:rsidP="004C522A">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3520FC">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5E5ABB74" w14:textId="77777777" w:rsidR="004C522A" w:rsidRPr="00197E0B" w:rsidRDefault="004C522A" w:rsidP="004C522A">
      <w:pPr>
        <w:spacing w:line="360" w:lineRule="auto"/>
        <w:jc w:val="both"/>
        <w:rPr>
          <w:rFonts w:ascii="Palatino Linotype" w:hAnsi="Palatino Linotype" w:cs="Arial"/>
        </w:rPr>
      </w:pPr>
    </w:p>
    <w:p w14:paraId="59D63AB7"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0A9755B3" w14:textId="77777777" w:rsidR="004C522A" w:rsidRPr="00197E0B" w:rsidRDefault="004C522A" w:rsidP="004C522A">
      <w:pPr>
        <w:ind w:left="567" w:right="567"/>
        <w:jc w:val="both"/>
        <w:rPr>
          <w:rFonts w:ascii="Palatino Linotype" w:hAnsi="Palatino Linotype" w:cs="Arial"/>
          <w:i/>
          <w:sz w:val="22"/>
        </w:rPr>
      </w:pPr>
    </w:p>
    <w:p w14:paraId="6ABF77FC"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4E6AF515" w14:textId="77777777" w:rsidR="004C522A" w:rsidRPr="00197E0B" w:rsidRDefault="004C522A" w:rsidP="004C522A">
      <w:pPr>
        <w:ind w:left="567" w:right="567"/>
        <w:jc w:val="both"/>
        <w:rPr>
          <w:rFonts w:ascii="Palatino Linotype" w:hAnsi="Palatino Linotype" w:cs="Arial"/>
          <w:i/>
          <w:sz w:val="22"/>
        </w:rPr>
      </w:pPr>
    </w:p>
    <w:p w14:paraId="78490E1A"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25AEF5BB" w14:textId="77777777" w:rsidR="004C522A" w:rsidRPr="00197E0B" w:rsidRDefault="004C522A" w:rsidP="004C522A">
      <w:pPr>
        <w:ind w:left="567" w:right="567"/>
        <w:jc w:val="both"/>
        <w:rPr>
          <w:rFonts w:ascii="Palatino Linotype" w:hAnsi="Palatino Linotype" w:cs="Arial"/>
          <w:i/>
          <w:sz w:val="22"/>
        </w:rPr>
      </w:pPr>
    </w:p>
    <w:p w14:paraId="4415CB31"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32102DA" w14:textId="77777777" w:rsidR="004C522A" w:rsidRPr="00197E0B" w:rsidRDefault="004C522A" w:rsidP="004C522A">
      <w:pPr>
        <w:ind w:left="567" w:right="567"/>
        <w:jc w:val="both"/>
        <w:rPr>
          <w:rFonts w:ascii="Palatino Linotype" w:hAnsi="Palatino Linotype" w:cs="Arial"/>
          <w:b/>
          <w:i/>
          <w:sz w:val="22"/>
        </w:rPr>
      </w:pPr>
    </w:p>
    <w:p w14:paraId="747715D2"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78D1513" w14:textId="77777777" w:rsidR="004C522A" w:rsidRPr="00197E0B" w:rsidRDefault="004C522A" w:rsidP="004C522A">
      <w:pPr>
        <w:ind w:left="567" w:right="567"/>
        <w:jc w:val="both"/>
        <w:rPr>
          <w:rFonts w:ascii="Palatino Linotype" w:hAnsi="Palatino Linotype" w:cs="Arial"/>
          <w:i/>
          <w:sz w:val="22"/>
        </w:rPr>
      </w:pPr>
    </w:p>
    <w:p w14:paraId="1A6E3014"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10372F42" w14:textId="77777777" w:rsidR="004C522A" w:rsidRPr="00197E0B" w:rsidRDefault="004C522A" w:rsidP="004C522A">
      <w:pPr>
        <w:ind w:left="567" w:right="567"/>
        <w:jc w:val="both"/>
        <w:rPr>
          <w:rFonts w:ascii="Palatino Linotype" w:hAnsi="Palatino Linotype" w:cs="Arial"/>
          <w:i/>
          <w:sz w:val="22"/>
        </w:rPr>
      </w:pPr>
    </w:p>
    <w:p w14:paraId="301CAF19"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57762DCB" w14:textId="77777777" w:rsidR="004C522A" w:rsidRPr="00197E0B" w:rsidRDefault="004C522A" w:rsidP="004C522A">
      <w:pPr>
        <w:ind w:left="567" w:right="567"/>
        <w:jc w:val="both"/>
        <w:rPr>
          <w:rFonts w:ascii="Palatino Linotype" w:hAnsi="Palatino Linotype" w:cs="Arial"/>
          <w:i/>
          <w:sz w:val="22"/>
        </w:rPr>
      </w:pPr>
    </w:p>
    <w:p w14:paraId="6BC7AB2C"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5FE9C6F" w14:textId="77777777" w:rsidR="004C522A" w:rsidRPr="00197E0B" w:rsidRDefault="004C522A" w:rsidP="004C522A">
      <w:pPr>
        <w:ind w:left="567" w:right="567"/>
        <w:jc w:val="both"/>
        <w:rPr>
          <w:rFonts w:ascii="Palatino Linotype" w:hAnsi="Palatino Linotype" w:cs="Arial"/>
          <w:b/>
          <w:i/>
          <w:sz w:val="22"/>
        </w:rPr>
      </w:pPr>
    </w:p>
    <w:p w14:paraId="73C44C6D"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4CB4E656" w14:textId="77777777" w:rsidR="004C522A" w:rsidRPr="00197E0B" w:rsidRDefault="004C522A" w:rsidP="004C522A">
      <w:pPr>
        <w:ind w:left="567" w:right="567"/>
        <w:jc w:val="both"/>
        <w:rPr>
          <w:rFonts w:ascii="Palatino Linotype" w:hAnsi="Palatino Linotype" w:cs="Arial"/>
          <w:i/>
          <w:sz w:val="22"/>
        </w:rPr>
      </w:pPr>
    </w:p>
    <w:p w14:paraId="52F54B15"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74E364D" w14:textId="77777777" w:rsidR="004C522A" w:rsidRPr="00197E0B" w:rsidRDefault="004C522A" w:rsidP="004C522A">
      <w:pPr>
        <w:ind w:left="567" w:right="567"/>
        <w:jc w:val="both"/>
        <w:rPr>
          <w:rFonts w:ascii="Palatino Linotype" w:hAnsi="Palatino Linotype" w:cs="Arial"/>
          <w:i/>
          <w:sz w:val="22"/>
        </w:rPr>
      </w:pPr>
    </w:p>
    <w:p w14:paraId="7E86015C"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75EF1B02" w14:textId="77777777" w:rsidR="004C522A" w:rsidRPr="00197E0B" w:rsidRDefault="004C522A" w:rsidP="004C522A">
      <w:pPr>
        <w:ind w:left="567" w:right="567"/>
        <w:jc w:val="both"/>
        <w:rPr>
          <w:rFonts w:ascii="Palatino Linotype" w:hAnsi="Palatino Linotype" w:cs="Arial"/>
          <w:i/>
          <w:sz w:val="22"/>
        </w:rPr>
      </w:pPr>
    </w:p>
    <w:p w14:paraId="70EC0DD7"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ADBE386"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w:t>
      </w:r>
    </w:p>
    <w:p w14:paraId="50B44D3E"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30041AE4" w14:textId="77777777" w:rsidR="004C522A" w:rsidRPr="00197E0B" w:rsidRDefault="004C522A" w:rsidP="004C522A">
      <w:pPr>
        <w:ind w:left="567" w:right="567"/>
        <w:jc w:val="both"/>
        <w:rPr>
          <w:rFonts w:ascii="Palatino Linotype" w:hAnsi="Palatino Linotype"/>
          <w:i/>
          <w:sz w:val="22"/>
        </w:rPr>
      </w:pPr>
    </w:p>
    <w:p w14:paraId="28886EBA"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(Énfasis añadido)</w:t>
      </w:r>
    </w:p>
    <w:p w14:paraId="150C9D81" w14:textId="77777777" w:rsidR="004C522A" w:rsidRPr="00197E0B" w:rsidRDefault="004C522A" w:rsidP="004C522A">
      <w:pPr>
        <w:spacing w:line="360" w:lineRule="auto"/>
        <w:ind w:left="709" w:right="757"/>
        <w:jc w:val="both"/>
        <w:rPr>
          <w:rFonts w:ascii="Palatino Linotype" w:hAnsi="Palatino Linotype"/>
        </w:rPr>
      </w:pPr>
    </w:p>
    <w:p w14:paraId="20031FBA" w14:textId="77777777" w:rsidR="004C522A" w:rsidRPr="003520FC" w:rsidRDefault="004C522A" w:rsidP="004C522A">
      <w:pPr>
        <w:pStyle w:val="Prrafodelista"/>
        <w:numPr>
          <w:ilvl w:val="0"/>
          <w:numId w:val="2"/>
        </w:numPr>
        <w:spacing w:line="360" w:lineRule="auto"/>
        <w:ind w:left="0" w:firstLine="0"/>
        <w:jc w:val="both"/>
        <w:rPr>
          <w:rFonts w:ascii="Palatino Linotype" w:hAnsi="Palatino Linotype" w:cs="Arial"/>
          <w:sz w:val="24"/>
        </w:rPr>
      </w:pPr>
      <w:r w:rsidRPr="003520FC">
        <w:rPr>
          <w:rFonts w:ascii="Palatino Linotype" w:hAnsi="Palatino Linotype" w:cs="Arial"/>
          <w:sz w:val="24"/>
        </w:rPr>
        <w:t>Por su parte, la Constitución Política del Estado Libre y Soberano de México, en su artículo 5°, dispone en su parte conducente, lo siguiente:</w:t>
      </w:r>
    </w:p>
    <w:p w14:paraId="32E4EF73" w14:textId="77777777" w:rsidR="004C522A" w:rsidRPr="00197E0B" w:rsidRDefault="004C522A" w:rsidP="004C522A">
      <w:pPr>
        <w:spacing w:line="360" w:lineRule="auto"/>
        <w:ind w:left="709" w:right="757"/>
        <w:jc w:val="both"/>
        <w:rPr>
          <w:rFonts w:ascii="Palatino Linotype" w:hAnsi="Palatino Linotype" w:cs="Arial"/>
        </w:rPr>
      </w:pPr>
    </w:p>
    <w:p w14:paraId="13C2D031" w14:textId="77777777" w:rsidR="004C522A" w:rsidRPr="00197E0B" w:rsidRDefault="004C522A" w:rsidP="004C522A">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33B9B13B"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75D0FE92"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C31495" w14:textId="77777777" w:rsidR="004C522A" w:rsidRPr="00197E0B" w:rsidRDefault="004C522A" w:rsidP="004C522A">
      <w:pPr>
        <w:ind w:left="567" w:right="567"/>
        <w:jc w:val="both"/>
        <w:rPr>
          <w:rFonts w:ascii="Palatino Linotype" w:hAnsi="Palatino Linotype"/>
          <w:i/>
          <w:sz w:val="22"/>
        </w:rPr>
      </w:pPr>
    </w:p>
    <w:p w14:paraId="6FF9878B"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52D1E398" w14:textId="77777777" w:rsidR="004C522A" w:rsidRPr="00197E0B" w:rsidRDefault="004C522A" w:rsidP="004C522A">
      <w:pPr>
        <w:ind w:left="567" w:right="567"/>
        <w:jc w:val="both"/>
        <w:rPr>
          <w:rFonts w:ascii="Palatino Linotype" w:hAnsi="Palatino Linotype"/>
          <w:b/>
          <w:i/>
          <w:sz w:val="22"/>
        </w:rPr>
      </w:pPr>
    </w:p>
    <w:p w14:paraId="5915210C"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A1B99B" w14:textId="77777777" w:rsidR="004C522A" w:rsidRPr="00197E0B" w:rsidRDefault="004C522A" w:rsidP="004C522A">
      <w:pPr>
        <w:ind w:left="567" w:right="567"/>
        <w:jc w:val="both"/>
        <w:rPr>
          <w:rFonts w:ascii="Palatino Linotype" w:hAnsi="Palatino Linotype"/>
          <w:i/>
          <w:sz w:val="22"/>
        </w:rPr>
      </w:pPr>
    </w:p>
    <w:p w14:paraId="495A2688"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285043A" w14:textId="77777777" w:rsidR="004C522A" w:rsidRPr="00197E0B" w:rsidRDefault="004C522A" w:rsidP="004C522A">
      <w:pPr>
        <w:ind w:left="567" w:right="567"/>
        <w:jc w:val="both"/>
        <w:rPr>
          <w:rFonts w:ascii="Palatino Linotype" w:hAnsi="Palatino Linotype"/>
          <w:i/>
          <w:sz w:val="22"/>
        </w:rPr>
      </w:pPr>
    </w:p>
    <w:p w14:paraId="63FFF039"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6CAF9BA9" w14:textId="77777777" w:rsidR="004C522A" w:rsidRPr="00197E0B" w:rsidRDefault="004C522A" w:rsidP="004C522A">
      <w:pPr>
        <w:ind w:left="567" w:right="567"/>
        <w:jc w:val="both"/>
        <w:rPr>
          <w:rFonts w:ascii="Palatino Linotype" w:hAnsi="Palatino Linotype"/>
          <w:i/>
          <w:sz w:val="22"/>
        </w:rPr>
      </w:pPr>
    </w:p>
    <w:p w14:paraId="27F3A43F"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F0D67C" w14:textId="77777777" w:rsidR="004C522A" w:rsidRPr="00197E0B" w:rsidRDefault="004C522A" w:rsidP="004C522A">
      <w:pPr>
        <w:ind w:left="567" w:right="567"/>
        <w:jc w:val="both"/>
        <w:rPr>
          <w:rFonts w:ascii="Palatino Linotype" w:hAnsi="Palatino Linotype"/>
          <w:i/>
          <w:sz w:val="22"/>
        </w:rPr>
      </w:pPr>
    </w:p>
    <w:p w14:paraId="5A612577"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BE73EF0" w14:textId="77777777" w:rsidR="004C522A" w:rsidRPr="00197E0B" w:rsidRDefault="004C522A" w:rsidP="004C522A">
      <w:pPr>
        <w:ind w:left="567" w:right="567"/>
        <w:jc w:val="both"/>
        <w:rPr>
          <w:rFonts w:ascii="Palatino Linotype" w:hAnsi="Palatino Linotype"/>
          <w:b/>
          <w:i/>
          <w:sz w:val="22"/>
        </w:rPr>
      </w:pPr>
    </w:p>
    <w:p w14:paraId="51666EEE" w14:textId="77777777" w:rsidR="004C522A" w:rsidRPr="00197E0B" w:rsidRDefault="004C522A" w:rsidP="004C522A">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61BA6FF5" w14:textId="77777777" w:rsidR="004C522A" w:rsidRPr="00197E0B" w:rsidRDefault="004C522A" w:rsidP="004C522A">
      <w:pPr>
        <w:ind w:left="567" w:right="567"/>
        <w:jc w:val="both"/>
        <w:rPr>
          <w:rFonts w:ascii="Palatino Linotype" w:hAnsi="Palatino Linotype"/>
          <w:i/>
          <w:sz w:val="22"/>
        </w:rPr>
      </w:pPr>
    </w:p>
    <w:p w14:paraId="4865FF7E" w14:textId="77777777" w:rsidR="004C522A" w:rsidRPr="00197E0B" w:rsidRDefault="004C522A" w:rsidP="004C522A">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C07576C" w14:textId="77777777" w:rsidR="004C522A" w:rsidRPr="00197E0B" w:rsidRDefault="004C522A" w:rsidP="004C522A">
      <w:pPr>
        <w:ind w:left="567" w:right="567"/>
        <w:jc w:val="both"/>
        <w:rPr>
          <w:rFonts w:ascii="Palatino Linotype" w:hAnsi="Palatino Linotype"/>
          <w:sz w:val="22"/>
        </w:rPr>
      </w:pPr>
    </w:p>
    <w:p w14:paraId="10B18B20" w14:textId="77777777" w:rsidR="004C522A" w:rsidRDefault="004C522A" w:rsidP="004C522A">
      <w:pPr>
        <w:ind w:left="567" w:right="567"/>
        <w:jc w:val="both"/>
        <w:rPr>
          <w:rFonts w:ascii="Palatino Linotype" w:hAnsi="Palatino Linotype"/>
          <w:sz w:val="22"/>
        </w:rPr>
      </w:pPr>
      <w:r w:rsidRPr="00197E0B">
        <w:rPr>
          <w:rFonts w:ascii="Palatino Linotype" w:hAnsi="Palatino Linotype"/>
          <w:sz w:val="22"/>
        </w:rPr>
        <w:t>(Énfasis añadido)</w:t>
      </w:r>
    </w:p>
    <w:p w14:paraId="063309A5" w14:textId="77777777" w:rsidR="004C522A" w:rsidRPr="00197E0B" w:rsidRDefault="004C522A" w:rsidP="004C522A">
      <w:pPr>
        <w:spacing w:line="360" w:lineRule="auto"/>
        <w:ind w:left="567" w:right="567"/>
        <w:jc w:val="both"/>
        <w:rPr>
          <w:rFonts w:ascii="Palatino Linotype" w:hAnsi="Palatino Linotype"/>
          <w:sz w:val="22"/>
        </w:rPr>
      </w:pPr>
    </w:p>
    <w:p w14:paraId="6F05A933" w14:textId="77777777" w:rsidR="004C522A" w:rsidRPr="00816EA3" w:rsidRDefault="004C522A" w:rsidP="004C522A">
      <w:pPr>
        <w:pStyle w:val="Prrafodelista"/>
        <w:numPr>
          <w:ilvl w:val="0"/>
          <w:numId w:val="2"/>
        </w:numPr>
        <w:spacing w:line="360" w:lineRule="auto"/>
        <w:ind w:left="0" w:firstLine="0"/>
        <w:jc w:val="both"/>
        <w:rPr>
          <w:rFonts w:ascii="Palatino Linotype" w:hAnsi="Palatino Linotype" w:cs="Arial"/>
          <w:sz w:val="24"/>
        </w:rPr>
      </w:pPr>
      <w:r w:rsidRPr="00816EA3">
        <w:rPr>
          <w:rFonts w:ascii="Palatino Linotype" w:hAnsi="Palatino Linotype" w:cs="Arial"/>
          <w:sz w:val="24"/>
        </w:rPr>
        <w:t>Adicional, tenemos que la Ley de Transparencia y Acceso a la Información Pública del Estado de México y Municipios, prevé en su artículo 23 fracción IV, lo siguiente:</w:t>
      </w:r>
    </w:p>
    <w:p w14:paraId="4738F473" w14:textId="77777777" w:rsidR="004C522A" w:rsidRPr="00197E0B" w:rsidRDefault="004C522A" w:rsidP="004C522A">
      <w:pPr>
        <w:spacing w:line="360" w:lineRule="auto"/>
        <w:jc w:val="both"/>
        <w:rPr>
          <w:rFonts w:ascii="Palatino Linotype" w:hAnsi="Palatino Linotype" w:cs="Arial"/>
        </w:rPr>
      </w:pPr>
    </w:p>
    <w:p w14:paraId="6F06C168" w14:textId="77777777" w:rsidR="004C522A" w:rsidRPr="00C82303" w:rsidRDefault="004C522A" w:rsidP="004C522A">
      <w:pPr>
        <w:spacing w:line="360" w:lineRule="auto"/>
        <w:ind w:left="567" w:right="822"/>
        <w:jc w:val="both"/>
        <w:rPr>
          <w:rFonts w:ascii="Palatino Linotype" w:eastAsia="MS Mincho" w:hAnsi="Palatino Linotype" w:cs="Arial"/>
          <w:i/>
          <w:szCs w:val="24"/>
          <w:lang w:val="es-ES_tradnl"/>
        </w:rPr>
      </w:pPr>
      <w:r w:rsidRPr="00C82303">
        <w:rPr>
          <w:rFonts w:ascii="Palatino Linotype" w:eastAsia="MS Mincho" w:hAnsi="Palatino Linotype" w:cs="Arial"/>
          <w:b/>
          <w:i/>
          <w:szCs w:val="24"/>
          <w:lang w:val="es-ES_tradnl"/>
        </w:rPr>
        <w:t xml:space="preserve">“Artículo 23. Son sujetos obligados a transparentar y permitir el acceso a su información y </w:t>
      </w:r>
      <w:r w:rsidRPr="00C82303">
        <w:rPr>
          <w:rFonts w:ascii="Palatino Linotype" w:eastAsia="MS Mincho" w:hAnsi="Palatino Linotype"/>
          <w:b/>
          <w:i/>
          <w:szCs w:val="24"/>
          <w:lang w:val="es-ES_tradnl"/>
        </w:rPr>
        <w:t>proteger</w:t>
      </w:r>
      <w:r w:rsidRPr="00C82303">
        <w:rPr>
          <w:rFonts w:ascii="Palatino Linotype" w:eastAsia="MS Mincho" w:hAnsi="Palatino Linotype" w:cs="Arial"/>
          <w:b/>
          <w:i/>
          <w:szCs w:val="24"/>
          <w:lang w:val="es-ES_tradnl"/>
        </w:rPr>
        <w:t xml:space="preserve"> los datos personales que obren en su poder</w:t>
      </w:r>
      <w:r w:rsidRPr="00C82303">
        <w:rPr>
          <w:rFonts w:ascii="Palatino Linotype" w:eastAsia="MS Mincho" w:hAnsi="Palatino Linotype" w:cs="Arial"/>
          <w:i/>
          <w:szCs w:val="24"/>
          <w:lang w:val="es-ES_tradnl"/>
        </w:rPr>
        <w:t>:</w:t>
      </w:r>
    </w:p>
    <w:p w14:paraId="7136A69E" w14:textId="77777777" w:rsidR="004C522A" w:rsidRPr="00C82303" w:rsidRDefault="004C522A" w:rsidP="004C522A">
      <w:pPr>
        <w:spacing w:line="360" w:lineRule="auto"/>
        <w:ind w:left="567" w:right="822"/>
        <w:jc w:val="both"/>
        <w:rPr>
          <w:rFonts w:ascii="Palatino Linotype" w:eastAsia="MS Mincho" w:hAnsi="Palatino Linotype" w:cs="Arial"/>
          <w:i/>
          <w:szCs w:val="24"/>
          <w:lang w:val="es-ES_tradnl"/>
        </w:rPr>
      </w:pPr>
      <w:r w:rsidRPr="00C82303">
        <w:rPr>
          <w:rFonts w:ascii="Palatino Linotype" w:eastAsia="MS Mincho" w:hAnsi="Palatino Linotype" w:cs="Arial"/>
          <w:i/>
          <w:szCs w:val="24"/>
          <w:lang w:val="es-ES_tradnl"/>
        </w:rPr>
        <w:t>…</w:t>
      </w:r>
    </w:p>
    <w:p w14:paraId="58A2F4B5" w14:textId="77777777" w:rsidR="004C522A" w:rsidRPr="00C82303" w:rsidRDefault="004C522A" w:rsidP="004C522A">
      <w:pPr>
        <w:spacing w:line="360" w:lineRule="auto"/>
        <w:ind w:left="567" w:right="822"/>
        <w:jc w:val="both"/>
        <w:rPr>
          <w:rFonts w:ascii="Palatino Linotype" w:eastAsia="MS Mincho" w:hAnsi="Palatino Linotype" w:cs="Arial"/>
          <w:b/>
          <w:i/>
          <w:szCs w:val="24"/>
          <w:lang w:val="es-ES_tradnl"/>
        </w:rPr>
      </w:pPr>
      <w:r w:rsidRPr="00C82303">
        <w:rPr>
          <w:rFonts w:ascii="Palatino Linotype" w:eastAsia="MS Mincho" w:hAnsi="Palatino Linotype" w:cs="Arial"/>
          <w:b/>
          <w:i/>
          <w:szCs w:val="24"/>
          <w:lang w:val="es-ES_tradnl"/>
        </w:rPr>
        <w:t xml:space="preserve">IV. </w:t>
      </w:r>
      <w:r w:rsidRPr="00C82303">
        <w:rPr>
          <w:rFonts w:ascii="Palatino Linotype" w:eastAsia="MS Mincho" w:hAnsi="Palatino Linotype" w:cs="Arial"/>
          <w:b/>
          <w:i/>
          <w:szCs w:val="24"/>
          <w:u w:val="single"/>
          <w:lang w:val="es-ES_tradnl"/>
        </w:rPr>
        <w:t>Los ayuntamientos y las dependencias, organismos, órganos y entidades de la administración municipal;</w:t>
      </w:r>
    </w:p>
    <w:p w14:paraId="7E92A096" w14:textId="77777777" w:rsidR="004C522A" w:rsidRPr="00C82303" w:rsidRDefault="004C522A" w:rsidP="004C522A">
      <w:pPr>
        <w:spacing w:line="360" w:lineRule="auto"/>
        <w:ind w:left="567" w:right="822"/>
        <w:jc w:val="both"/>
        <w:rPr>
          <w:rFonts w:ascii="Palatino Linotype" w:eastAsia="MS Mincho" w:hAnsi="Palatino Linotype" w:cs="Arial"/>
          <w:b/>
          <w:i/>
          <w:szCs w:val="24"/>
          <w:lang w:val="es-ES_tradnl"/>
        </w:rPr>
      </w:pPr>
      <w:r w:rsidRPr="00C82303">
        <w:rPr>
          <w:rFonts w:ascii="Palatino Linotype" w:eastAsia="MS Mincho" w:hAnsi="Palatino Linotype" w:cs="Arial"/>
          <w:b/>
          <w:i/>
          <w:szCs w:val="24"/>
          <w:lang w:val="es-ES_tradnl"/>
        </w:rPr>
        <w:t>…</w:t>
      </w:r>
    </w:p>
    <w:p w14:paraId="5A279CB7" w14:textId="77777777" w:rsidR="004C522A" w:rsidRPr="00C82303" w:rsidRDefault="004C522A" w:rsidP="004C522A">
      <w:pPr>
        <w:spacing w:line="360" w:lineRule="auto"/>
        <w:ind w:left="567" w:right="822"/>
        <w:jc w:val="both"/>
        <w:rPr>
          <w:rFonts w:ascii="Palatino Linotype" w:eastAsia="MS Mincho" w:hAnsi="Palatino Linotype"/>
          <w:b/>
          <w:i/>
          <w:szCs w:val="24"/>
          <w:lang w:val="es-ES_tradnl"/>
        </w:rPr>
      </w:pPr>
      <w:r w:rsidRPr="00C82303">
        <w:rPr>
          <w:rFonts w:ascii="Palatino Linotype" w:eastAsia="MS Mincho" w:hAnsi="Palatino Linotype"/>
          <w:b/>
          <w:i/>
          <w:szCs w:val="24"/>
          <w:lang w:val="es-ES_tradnl"/>
        </w:rPr>
        <w:t>Los sujetos obligados deberán hacer pública toda aquella información relativa a los montos y las personas a quienes entreguen, por cualquier motivo, recursos públicos</w:t>
      </w:r>
      <w:r w:rsidRPr="00C82303">
        <w:rPr>
          <w:rFonts w:ascii="Palatino Linotype" w:eastAsia="MS Mincho" w:hAnsi="Palatino Linotype"/>
          <w:i/>
          <w:szCs w:val="24"/>
          <w:lang w:val="es-ES_tradnl"/>
        </w:rPr>
        <w:t xml:space="preserve">, </w:t>
      </w:r>
      <w:r w:rsidRPr="00C82303">
        <w:rPr>
          <w:rFonts w:ascii="Palatino Linotype" w:eastAsia="MS Mincho" w:hAnsi="Palatino Linotype"/>
          <w:b/>
          <w:i/>
          <w:szCs w:val="24"/>
          <w:lang w:val="es-ES_tradnl"/>
        </w:rPr>
        <w:t>así como</w:t>
      </w:r>
      <w:r w:rsidRPr="00C82303">
        <w:rPr>
          <w:rFonts w:ascii="Palatino Linotype" w:eastAsia="MS Mincho" w:hAnsi="Palatino Linotype"/>
          <w:i/>
          <w:szCs w:val="24"/>
          <w:lang w:val="es-ES_tradnl"/>
        </w:rPr>
        <w:t xml:space="preserve"> </w:t>
      </w:r>
      <w:r w:rsidRPr="00C82303">
        <w:rPr>
          <w:rFonts w:ascii="Palatino Linotype" w:eastAsia="MS Mincho" w:hAnsi="Palatino Linotype"/>
          <w:b/>
          <w:i/>
          <w:szCs w:val="24"/>
          <w:lang w:val="es-ES_tradnl"/>
        </w:rPr>
        <w:t>los informes que dichas personas les entreguen sobre el uso y destino de dichos recursos.</w:t>
      </w:r>
    </w:p>
    <w:p w14:paraId="3CB40CFF" w14:textId="77777777" w:rsidR="004C522A" w:rsidRPr="00C82303" w:rsidRDefault="004C522A" w:rsidP="004C522A">
      <w:pPr>
        <w:spacing w:line="360" w:lineRule="auto"/>
        <w:ind w:left="567" w:right="822"/>
        <w:jc w:val="both"/>
        <w:rPr>
          <w:rFonts w:ascii="Palatino Linotype" w:eastAsia="MS Mincho" w:hAnsi="Palatino Linotype" w:cs="Arial"/>
          <w:i/>
          <w:szCs w:val="24"/>
          <w:lang w:val="es-ES_tradnl"/>
        </w:rPr>
      </w:pPr>
      <w:r w:rsidRPr="00C82303">
        <w:rPr>
          <w:rFonts w:ascii="Palatino Linotype" w:eastAsia="MS Mincho" w:hAnsi="Palatino Linotype" w:cs="Arial"/>
          <w:b/>
          <w:i/>
          <w:szCs w:val="24"/>
          <w:lang w:val="es-ES_tradnl"/>
        </w:rPr>
        <w:t>Los servidores públicos deberán transparentar sus acciones así como garantizar y respetar el derecho de acceso a la información pública.”</w:t>
      </w:r>
    </w:p>
    <w:p w14:paraId="6263576B" w14:textId="77777777" w:rsidR="004C522A" w:rsidRPr="00C82303" w:rsidRDefault="004C522A" w:rsidP="004C522A">
      <w:pPr>
        <w:spacing w:line="360" w:lineRule="auto"/>
        <w:ind w:left="567" w:right="822"/>
        <w:jc w:val="both"/>
        <w:rPr>
          <w:rFonts w:ascii="Palatino Linotype" w:eastAsia="MS Mincho" w:hAnsi="Palatino Linotype" w:cs="Arial"/>
          <w:i/>
          <w:szCs w:val="24"/>
          <w:lang w:val="es-ES_tradnl"/>
        </w:rPr>
      </w:pPr>
      <w:r w:rsidRPr="00C82303">
        <w:rPr>
          <w:rFonts w:ascii="Palatino Linotype" w:eastAsia="MS Mincho" w:hAnsi="Palatino Linotype" w:cs="Arial"/>
          <w:i/>
          <w:szCs w:val="24"/>
          <w:lang w:val="es-ES_tradnl"/>
        </w:rPr>
        <w:t>(Énfasis añadido)</w:t>
      </w:r>
    </w:p>
    <w:p w14:paraId="181D9A56" w14:textId="77777777" w:rsidR="004C522A" w:rsidRPr="00197E0B" w:rsidRDefault="004C522A" w:rsidP="004C522A">
      <w:pPr>
        <w:spacing w:line="360" w:lineRule="auto"/>
        <w:jc w:val="both"/>
        <w:rPr>
          <w:rFonts w:ascii="Palatino Linotype" w:hAnsi="Palatino Linotype" w:cs="Arial"/>
        </w:rPr>
      </w:pPr>
    </w:p>
    <w:p w14:paraId="42B68F63" w14:textId="77777777" w:rsidR="004C522A" w:rsidRDefault="004C522A" w:rsidP="004C522A">
      <w:pPr>
        <w:pStyle w:val="Prrafodelista"/>
        <w:numPr>
          <w:ilvl w:val="0"/>
          <w:numId w:val="2"/>
        </w:numPr>
        <w:spacing w:line="360" w:lineRule="auto"/>
        <w:ind w:left="0" w:firstLine="0"/>
        <w:jc w:val="both"/>
        <w:rPr>
          <w:rFonts w:ascii="Palatino Linotype" w:hAnsi="Palatino Linotype" w:cs="Arial"/>
          <w:sz w:val="24"/>
        </w:rPr>
      </w:pPr>
      <w:r w:rsidRPr="00816EA3">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0A7A101" w14:textId="77777777" w:rsidR="004C522A" w:rsidRDefault="004C522A" w:rsidP="004C522A">
      <w:pPr>
        <w:pStyle w:val="Prrafodelista"/>
        <w:spacing w:line="360" w:lineRule="auto"/>
        <w:ind w:left="0"/>
        <w:jc w:val="both"/>
        <w:rPr>
          <w:rFonts w:ascii="Palatino Linotype" w:hAnsi="Palatino Linotype" w:cs="Arial"/>
          <w:sz w:val="24"/>
        </w:rPr>
      </w:pPr>
    </w:p>
    <w:p w14:paraId="69D88D9C" w14:textId="4F00DC3E" w:rsidR="004C522A" w:rsidRPr="00A82A4C" w:rsidRDefault="004C522A" w:rsidP="004C522A">
      <w:pPr>
        <w:pStyle w:val="Prrafodelista"/>
        <w:numPr>
          <w:ilvl w:val="0"/>
          <w:numId w:val="2"/>
        </w:numPr>
        <w:spacing w:line="360" w:lineRule="auto"/>
        <w:ind w:left="0" w:firstLine="0"/>
        <w:jc w:val="both"/>
        <w:rPr>
          <w:rFonts w:ascii="Palatino Linotype" w:hAnsi="Palatino Linotype" w:cs="Arial"/>
          <w:sz w:val="24"/>
        </w:rPr>
      </w:pPr>
      <w:r w:rsidRPr="00A82A4C">
        <w:rPr>
          <w:rFonts w:ascii="Palatino Linotype" w:hAnsi="Palatino Linotype" w:cs="Arial"/>
          <w:sz w:val="24"/>
        </w:rPr>
        <w:t>Por lo anterior, es de referir que,</w:t>
      </w:r>
      <w:r w:rsidRPr="00A82A4C">
        <w:rPr>
          <w:rFonts w:ascii="Palatino Linotype" w:hAnsi="Palatino Linotype" w:cs="Arial"/>
          <w:b/>
          <w:sz w:val="24"/>
        </w:rPr>
        <w:t xml:space="preserve"> el </w:t>
      </w:r>
      <w:r w:rsidRPr="00A82A4C">
        <w:rPr>
          <w:rFonts w:ascii="Palatino Linotype" w:hAnsi="Palatino Linotype"/>
          <w:b/>
          <w:sz w:val="24"/>
          <w:lang w:val="es-ES_tradnl"/>
        </w:rPr>
        <w:t xml:space="preserve">Ayuntamiento de </w:t>
      </w:r>
      <w:r w:rsidR="002B27FB">
        <w:rPr>
          <w:rFonts w:ascii="Palatino Linotype" w:hAnsi="Palatino Linotype"/>
          <w:b/>
          <w:sz w:val="24"/>
          <w:lang w:val="es-ES_tradnl"/>
        </w:rPr>
        <w:t>Chimalhuacán</w:t>
      </w:r>
      <w:r w:rsidRPr="00A82A4C">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7CDA8495" w14:textId="77777777" w:rsidR="004C522A" w:rsidRDefault="004C522A" w:rsidP="004C522A">
      <w:pPr>
        <w:pStyle w:val="Prrafodelista"/>
        <w:spacing w:line="360" w:lineRule="auto"/>
        <w:ind w:left="0"/>
        <w:jc w:val="both"/>
        <w:rPr>
          <w:rFonts w:ascii="Palatino Linotype" w:eastAsia="MS Mincho" w:hAnsi="Palatino Linotype"/>
          <w:sz w:val="24"/>
        </w:rPr>
      </w:pPr>
    </w:p>
    <w:p w14:paraId="59C5891B" w14:textId="77777777" w:rsidR="004C522A" w:rsidRDefault="004C522A" w:rsidP="002B27FB">
      <w:pPr>
        <w:pStyle w:val="Prrafodelista"/>
        <w:spacing w:line="360" w:lineRule="auto"/>
        <w:ind w:left="0"/>
        <w:jc w:val="both"/>
        <w:rPr>
          <w:rFonts w:ascii="Palatino Linotype" w:eastAsia="MS Mincho" w:hAnsi="Palatino Linotype"/>
          <w:sz w:val="24"/>
        </w:rPr>
      </w:pPr>
    </w:p>
    <w:p w14:paraId="12DB4424" w14:textId="0600D88E"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7AD07415" w14:textId="77777777" w:rsidR="00E7233D" w:rsidRPr="00E7233D" w:rsidRDefault="00E7233D" w:rsidP="00E7233D">
      <w:pPr>
        <w:pStyle w:val="Prrafodelista"/>
        <w:rPr>
          <w:rFonts w:ascii="Palatino Linotype" w:eastAsia="Calibri" w:hAnsi="Palatino Linotype" w:cs="Arial"/>
          <w:sz w:val="24"/>
        </w:rPr>
      </w:pPr>
    </w:p>
    <w:p w14:paraId="4BAEE878" w14:textId="77777777"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38D944CA" w14:textId="77777777" w:rsidR="00E7233D" w:rsidRDefault="00E7233D" w:rsidP="00E7233D">
      <w:pPr>
        <w:pStyle w:val="Prrafodelista"/>
        <w:spacing w:before="100" w:beforeAutospacing="1" w:after="100" w:afterAutospacing="1" w:line="360" w:lineRule="auto"/>
        <w:ind w:left="0"/>
        <w:jc w:val="both"/>
        <w:rPr>
          <w:rFonts w:ascii="Palatino Linotype" w:eastAsia="Calibri" w:hAnsi="Palatino Linotype" w:cs="Arial"/>
          <w:sz w:val="24"/>
        </w:rPr>
      </w:pPr>
    </w:p>
    <w:p w14:paraId="0363DE1A" w14:textId="375CE419" w:rsidR="00860B59" w:rsidRPr="007E3507" w:rsidRDefault="007E3507" w:rsidP="007E3507">
      <w:pPr>
        <w:pStyle w:val="Ttulo2"/>
        <w:numPr>
          <w:ilvl w:val="0"/>
          <w:numId w:val="20"/>
        </w:numPr>
        <w:rPr>
          <w:rFonts w:ascii="Palatino Linotype" w:hAnsi="Palatino Linotype"/>
          <w:b/>
          <w:color w:val="auto"/>
          <w:sz w:val="24"/>
        </w:rPr>
      </w:pPr>
      <w:bookmarkStart w:id="16" w:name="_Toc83311688"/>
      <w:r w:rsidRPr="007E3507">
        <w:rPr>
          <w:rFonts w:ascii="Palatino Linotype" w:hAnsi="Palatino Linotype"/>
          <w:b/>
          <w:color w:val="auto"/>
          <w:sz w:val="24"/>
        </w:rPr>
        <w:t xml:space="preserve">De la </w:t>
      </w:r>
      <w:r w:rsidR="00AC6394">
        <w:rPr>
          <w:rFonts w:ascii="Palatino Linotype" w:hAnsi="Palatino Linotype"/>
          <w:b/>
          <w:color w:val="auto"/>
          <w:sz w:val="24"/>
        </w:rPr>
        <w:t>información pública de oficio</w:t>
      </w:r>
      <w:r w:rsidR="009420D8">
        <w:rPr>
          <w:rFonts w:ascii="Palatino Linotype" w:hAnsi="Palatino Linotype"/>
          <w:b/>
          <w:color w:val="auto"/>
          <w:sz w:val="24"/>
        </w:rPr>
        <w:t>.</w:t>
      </w:r>
      <w:bookmarkEnd w:id="16"/>
    </w:p>
    <w:p w14:paraId="7E6437DA" w14:textId="77777777" w:rsidR="007E3507" w:rsidRPr="007E3507" w:rsidRDefault="007E3507" w:rsidP="007E3507">
      <w:pPr>
        <w:pStyle w:val="Prrafodelista"/>
        <w:rPr>
          <w:rFonts w:ascii="Palatino Linotype" w:eastAsia="Calibri" w:hAnsi="Palatino Linotype" w:cs="Arial"/>
          <w:sz w:val="24"/>
        </w:rPr>
      </w:pPr>
    </w:p>
    <w:p w14:paraId="6A2546E3" w14:textId="2E74E794" w:rsidR="009420D8" w:rsidRDefault="009420D8" w:rsidP="00920E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Debemos precisar que el Sujeto Obligado en ningún momento negó contar con la información, si no por el contrario, manifestó que se encuentra en proceso de alimentación del sistema IPOMEX, para que la ciudadanía pueda consultar la información en dicho sitio electrónico, asimismo, refirió que de manera fundada y motivada verificarán las fracciones que no les resulten aplicables por encontrarse fuera de sus atribuciones y competencias.</w:t>
      </w:r>
    </w:p>
    <w:p w14:paraId="0B3AE201" w14:textId="77777777"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p>
    <w:p w14:paraId="3FF80735" w14:textId="2BBCBEED" w:rsidR="009420D8" w:rsidRDefault="00DD04F7" w:rsidP="00920E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noProof/>
          <w:sz w:val="24"/>
          <w:lang w:eastAsia="es-MX"/>
        </w:rPr>
        <mc:AlternateContent>
          <mc:Choice Requires="wps">
            <w:drawing>
              <wp:anchor distT="0" distB="0" distL="114300" distR="114300" simplePos="0" relativeHeight="251659264" behindDoc="0" locked="0" layoutInCell="1" allowOverlap="1" wp14:anchorId="02F54153" wp14:editId="490E4175">
                <wp:simplePos x="0" y="0"/>
                <wp:positionH relativeFrom="column">
                  <wp:posOffset>35416</wp:posOffset>
                </wp:positionH>
                <wp:positionV relativeFrom="paragraph">
                  <wp:posOffset>1095158</wp:posOffset>
                </wp:positionV>
                <wp:extent cx="5555412" cy="3459193"/>
                <wp:effectExtent l="0" t="0" r="26670" b="27305"/>
                <wp:wrapNone/>
                <wp:docPr id="11" name="Conector recto 11"/>
                <wp:cNvGraphicFramePr/>
                <a:graphic xmlns:a="http://schemas.openxmlformats.org/drawingml/2006/main">
                  <a:graphicData uri="http://schemas.microsoft.com/office/word/2010/wordprocessingShape">
                    <wps:wsp>
                      <wps:cNvCnPr/>
                      <wps:spPr>
                        <a:xfrm>
                          <a:off x="0" y="0"/>
                          <a:ext cx="5555412" cy="34591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8395E"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pt,86.25pt" to="440.25pt,3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" strokecolor="#4472c4 [3204]" strokeweight=".5pt">
                <v:stroke joinstyle="miter"/>
              </v:line>
            </w:pict>
          </mc:Fallback>
        </mc:AlternateContent>
      </w:r>
      <w:r w:rsidR="009420D8">
        <w:rPr>
          <w:rFonts w:ascii="Palatino Linotype" w:eastAsia="Calibri" w:hAnsi="Palatino Linotype" w:cs="Arial"/>
          <w:sz w:val="24"/>
        </w:rPr>
        <w:t>Resultó necesario visitar el sitio electrónico IPOMEX del Sujeto Obligado para verificar que la información solicitada por el Recurrente se encontrara en los apartados del mismo, encontrándose lo siguiente:</w:t>
      </w:r>
    </w:p>
    <w:p w14:paraId="5DCC7F14" w14:textId="77777777" w:rsidR="009420D8" w:rsidRPr="00DD04F7" w:rsidRDefault="009420D8" w:rsidP="00DD04F7">
      <w:pPr>
        <w:rPr>
          <w:rFonts w:ascii="Palatino Linotype" w:eastAsia="Calibri" w:hAnsi="Palatino Linotype" w:cs="Arial"/>
          <w:sz w:val="24"/>
        </w:rPr>
      </w:pPr>
    </w:p>
    <w:p w14:paraId="0614F7B3" w14:textId="4199AB65"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r>
        <w:rPr>
          <w:noProof/>
          <w:lang w:eastAsia="es-MX"/>
        </w:rPr>
        <w:drawing>
          <wp:inline distT="0" distB="0" distL="0" distR="0" wp14:anchorId="3F5108F3" wp14:editId="26F48B21">
            <wp:extent cx="5727939" cy="597208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566" t="9079" r="7614" b="5986"/>
                    <a:stretch/>
                  </pic:blipFill>
                  <pic:spPr bwMode="auto">
                    <a:xfrm>
                      <a:off x="0" y="0"/>
                      <a:ext cx="5738625" cy="5983225"/>
                    </a:xfrm>
                    <a:prstGeom prst="rect">
                      <a:avLst/>
                    </a:prstGeom>
                    <a:ln>
                      <a:noFill/>
                    </a:ln>
                    <a:extLst>
                      <a:ext uri="{53640926-AAD7-44D8-BBD7-CCE9431645EC}">
                        <a14:shadowObscured xmlns:a14="http://schemas.microsoft.com/office/drawing/2010/main"/>
                      </a:ext>
                    </a:extLst>
                  </pic:spPr>
                </pic:pic>
              </a:graphicData>
            </a:graphic>
          </wp:inline>
        </w:drawing>
      </w:r>
    </w:p>
    <w:p w14:paraId="6629C971" w14:textId="77777777"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p>
    <w:p w14:paraId="73D94369" w14:textId="412868D7"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r>
        <w:rPr>
          <w:noProof/>
          <w:lang w:eastAsia="es-MX"/>
        </w:rPr>
        <w:drawing>
          <wp:inline distT="0" distB="0" distL="0" distR="0" wp14:anchorId="464ADAD8" wp14:editId="3A4D1745">
            <wp:extent cx="5607169" cy="594137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865" t="8012" r="7767" b="6523"/>
                    <a:stretch/>
                  </pic:blipFill>
                  <pic:spPr bwMode="auto">
                    <a:xfrm>
                      <a:off x="0" y="0"/>
                      <a:ext cx="5616770" cy="5951545"/>
                    </a:xfrm>
                    <a:prstGeom prst="rect">
                      <a:avLst/>
                    </a:prstGeom>
                    <a:ln>
                      <a:noFill/>
                    </a:ln>
                    <a:extLst>
                      <a:ext uri="{53640926-AAD7-44D8-BBD7-CCE9431645EC}">
                        <a14:shadowObscured xmlns:a14="http://schemas.microsoft.com/office/drawing/2010/main"/>
                      </a:ext>
                    </a:extLst>
                  </pic:spPr>
                </pic:pic>
              </a:graphicData>
            </a:graphic>
          </wp:inline>
        </w:drawing>
      </w:r>
    </w:p>
    <w:p w14:paraId="3D8031FB" w14:textId="77777777"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p>
    <w:p w14:paraId="67D8BD94" w14:textId="1E9C4919" w:rsidR="009420D8" w:rsidRDefault="00DD04F7" w:rsidP="009420D8">
      <w:pPr>
        <w:pStyle w:val="Prrafodelista"/>
        <w:spacing w:before="100" w:beforeAutospacing="1" w:after="100" w:afterAutospacing="1" w:line="360" w:lineRule="auto"/>
        <w:ind w:left="0"/>
        <w:jc w:val="both"/>
        <w:rPr>
          <w:rFonts w:ascii="Palatino Linotype" w:eastAsia="Calibri" w:hAnsi="Palatino Linotype" w:cs="Arial"/>
          <w:sz w:val="24"/>
        </w:rPr>
      </w:pPr>
      <w:r>
        <w:rPr>
          <w:rFonts w:ascii="Palatino Linotype" w:eastAsia="Calibri" w:hAnsi="Palatino Linotype" w:cs="Arial"/>
          <w:noProof/>
          <w:sz w:val="24"/>
          <w:lang w:eastAsia="es-MX"/>
        </w:rPr>
        <mc:AlternateContent>
          <mc:Choice Requires="wps">
            <w:drawing>
              <wp:anchor distT="0" distB="0" distL="114300" distR="114300" simplePos="0" relativeHeight="251661312" behindDoc="0" locked="0" layoutInCell="1" allowOverlap="1" wp14:anchorId="55CC41FE" wp14:editId="0DDAF18B">
                <wp:simplePos x="0" y="0"/>
                <wp:positionH relativeFrom="column">
                  <wp:posOffset>910</wp:posOffset>
                </wp:positionH>
                <wp:positionV relativeFrom="paragraph">
                  <wp:posOffset>4484514</wp:posOffset>
                </wp:positionV>
                <wp:extent cx="5624195" cy="2760453"/>
                <wp:effectExtent l="0" t="0" r="33655" b="20955"/>
                <wp:wrapNone/>
                <wp:docPr id="12" name="Conector recto 12"/>
                <wp:cNvGraphicFramePr/>
                <a:graphic xmlns:a="http://schemas.openxmlformats.org/drawingml/2006/main">
                  <a:graphicData uri="http://schemas.microsoft.com/office/word/2010/wordprocessingShape">
                    <wps:wsp>
                      <wps:cNvCnPr/>
                      <wps:spPr>
                        <a:xfrm>
                          <a:off x="0" y="0"/>
                          <a:ext cx="5624195" cy="27604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F01D8"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53.1pt" to="442.9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" strokecolor="#4472c4 [3204]" strokeweight=".5pt">
                <v:stroke joinstyle="miter"/>
              </v:line>
            </w:pict>
          </mc:Fallback>
        </mc:AlternateContent>
      </w:r>
      <w:r w:rsidR="009420D8">
        <w:rPr>
          <w:noProof/>
          <w:lang w:eastAsia="es-MX"/>
        </w:rPr>
        <w:drawing>
          <wp:inline distT="0" distB="0" distL="0" distR="0" wp14:anchorId="6BDA78F2" wp14:editId="1BCE445E">
            <wp:extent cx="5624422" cy="44033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715" t="9079" r="7620" b="27360"/>
                    <a:stretch/>
                  </pic:blipFill>
                  <pic:spPr bwMode="auto">
                    <a:xfrm>
                      <a:off x="0" y="0"/>
                      <a:ext cx="5635229" cy="4411792"/>
                    </a:xfrm>
                    <a:prstGeom prst="rect">
                      <a:avLst/>
                    </a:prstGeom>
                    <a:ln>
                      <a:noFill/>
                    </a:ln>
                    <a:extLst>
                      <a:ext uri="{53640926-AAD7-44D8-BBD7-CCE9431645EC}">
                        <a14:shadowObscured xmlns:a14="http://schemas.microsoft.com/office/drawing/2010/main"/>
                      </a:ext>
                    </a:extLst>
                  </pic:spPr>
                </pic:pic>
              </a:graphicData>
            </a:graphic>
          </wp:inline>
        </w:drawing>
      </w:r>
    </w:p>
    <w:p w14:paraId="6722BE59" w14:textId="3C22D042"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p>
    <w:p w14:paraId="4A750B6A" w14:textId="26F5ADD3"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r>
        <w:rPr>
          <w:noProof/>
          <w:lang w:eastAsia="es-MX"/>
        </w:rPr>
        <w:drawing>
          <wp:inline distT="0" distB="0" distL="0" distR="0" wp14:anchorId="3A1A43B5" wp14:editId="1B91190D">
            <wp:extent cx="5615796" cy="730402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45" t="8012" r="31655" b="4120"/>
                    <a:stretch/>
                  </pic:blipFill>
                  <pic:spPr bwMode="auto">
                    <a:xfrm>
                      <a:off x="0" y="0"/>
                      <a:ext cx="5630941" cy="7323720"/>
                    </a:xfrm>
                    <a:prstGeom prst="rect">
                      <a:avLst/>
                    </a:prstGeom>
                    <a:ln>
                      <a:noFill/>
                    </a:ln>
                    <a:extLst>
                      <a:ext uri="{53640926-AAD7-44D8-BBD7-CCE9431645EC}">
                        <a14:shadowObscured xmlns:a14="http://schemas.microsoft.com/office/drawing/2010/main"/>
                      </a:ext>
                    </a:extLst>
                  </pic:spPr>
                </pic:pic>
              </a:graphicData>
            </a:graphic>
          </wp:inline>
        </w:drawing>
      </w:r>
    </w:p>
    <w:p w14:paraId="29395798" w14:textId="4D8A0A19" w:rsidR="009420D8" w:rsidRDefault="009420D8" w:rsidP="00920E85">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Pr>
          <w:rFonts w:ascii="Palatino Linotype" w:eastAsia="Calibri" w:hAnsi="Palatino Linotype" w:cs="Arial"/>
          <w:sz w:val="24"/>
        </w:rPr>
        <w:t>De lo anterior, se advierte que la información solicitada por el particular corresponde a las fracciones contenidas en los artículos 92 y 94 de la Ley de Transparencia y Acceso a la información Pública, las cuales son las siguientes:</w:t>
      </w:r>
    </w:p>
    <w:p w14:paraId="5050F9C0" w14:textId="77777777" w:rsidR="009420D8" w:rsidRDefault="009420D8" w:rsidP="009420D8">
      <w:pPr>
        <w:pStyle w:val="Prrafodelista"/>
        <w:spacing w:before="100" w:beforeAutospacing="1" w:after="100" w:afterAutospacing="1" w:line="360" w:lineRule="auto"/>
        <w:ind w:left="0"/>
        <w:jc w:val="both"/>
        <w:rPr>
          <w:rFonts w:ascii="Palatino Linotype" w:eastAsia="Calibri" w:hAnsi="Palatino Linotype" w:cs="Arial"/>
          <w:sz w:val="24"/>
        </w:rPr>
      </w:pPr>
    </w:p>
    <w:p w14:paraId="63EE0F37" w14:textId="34513002" w:rsidR="009420D8" w:rsidRPr="00F65437" w:rsidRDefault="009420D8" w:rsidP="00F65437">
      <w:pPr>
        <w:pStyle w:val="Prrafodelista"/>
        <w:ind w:left="567" w:right="822"/>
        <w:jc w:val="center"/>
        <w:rPr>
          <w:rFonts w:ascii="Palatino Linotype" w:hAnsi="Palatino Linotype"/>
          <w:b/>
          <w:i/>
          <w:szCs w:val="22"/>
        </w:rPr>
      </w:pPr>
      <w:r w:rsidRPr="00F65437">
        <w:rPr>
          <w:rFonts w:ascii="Palatino Linotype" w:hAnsi="Palatino Linotype"/>
          <w:b/>
          <w:i/>
          <w:szCs w:val="22"/>
        </w:rPr>
        <w:t>Capítulo II</w:t>
      </w:r>
    </w:p>
    <w:p w14:paraId="7F94D9E9" w14:textId="29AB7F90" w:rsidR="009420D8" w:rsidRPr="00F65437" w:rsidRDefault="009420D8" w:rsidP="00F65437">
      <w:pPr>
        <w:pStyle w:val="Prrafodelista"/>
        <w:ind w:left="567" w:right="822"/>
        <w:jc w:val="center"/>
        <w:rPr>
          <w:rFonts w:ascii="Palatino Linotype" w:hAnsi="Palatino Linotype"/>
          <w:b/>
          <w:i/>
          <w:szCs w:val="22"/>
        </w:rPr>
      </w:pPr>
      <w:r w:rsidRPr="00F65437">
        <w:rPr>
          <w:rFonts w:ascii="Palatino Linotype" w:hAnsi="Palatino Linotype"/>
          <w:b/>
          <w:i/>
          <w:szCs w:val="22"/>
        </w:rPr>
        <w:t>De las Obligaciones de Transparencia Comunes</w:t>
      </w:r>
    </w:p>
    <w:p w14:paraId="0C09402D" w14:textId="77777777" w:rsidR="009420D8" w:rsidRPr="00F65437" w:rsidRDefault="009420D8" w:rsidP="00F65437">
      <w:pPr>
        <w:pStyle w:val="Prrafodelista"/>
        <w:ind w:left="567" w:right="822"/>
        <w:jc w:val="both"/>
        <w:rPr>
          <w:rFonts w:ascii="Palatino Linotype" w:hAnsi="Palatino Linotype"/>
          <w:i/>
          <w:szCs w:val="22"/>
        </w:rPr>
      </w:pPr>
    </w:p>
    <w:p w14:paraId="43B248A2" w14:textId="0C78A972" w:rsidR="009420D8" w:rsidRPr="00F65437" w:rsidRDefault="009420D8" w:rsidP="00F65437">
      <w:pPr>
        <w:pStyle w:val="Prrafodelista"/>
        <w:ind w:left="567" w:right="822"/>
        <w:jc w:val="both"/>
        <w:rPr>
          <w:rFonts w:ascii="Palatino Linotype" w:eastAsia="Calibri" w:hAnsi="Palatino Linotype" w:cs="Arial"/>
          <w:i/>
          <w:szCs w:val="22"/>
        </w:rPr>
      </w:pPr>
      <w:r w:rsidRPr="00F65437">
        <w:rPr>
          <w:rFonts w:ascii="Palatino Linotype" w:hAnsi="Palatino Linotype"/>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434D77" w14:textId="34B71C9C" w:rsidR="009420D8" w:rsidRPr="00F65437" w:rsidRDefault="00D85E05" w:rsidP="00F65437">
      <w:pPr>
        <w:ind w:left="567" w:right="822"/>
        <w:jc w:val="both"/>
        <w:rPr>
          <w:rFonts w:ascii="Palatino Linotype" w:eastAsia="Calibri" w:hAnsi="Palatino Linotype" w:cs="Arial"/>
          <w:i/>
          <w:sz w:val="22"/>
          <w:szCs w:val="22"/>
        </w:rPr>
      </w:pPr>
      <w:r w:rsidRPr="00F65437">
        <w:rPr>
          <w:rFonts w:ascii="Palatino Linotype" w:eastAsia="Calibri" w:hAnsi="Palatino Linotype" w:cs="Arial"/>
          <w:i/>
          <w:sz w:val="22"/>
          <w:szCs w:val="22"/>
        </w:rPr>
        <w:t>…</w:t>
      </w:r>
    </w:p>
    <w:p w14:paraId="6FD15ABF" w14:textId="60CBCF88"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VI. Los indicadores que permitan rendir cuenta de sus objetivos y resultados, así como las matrices elaboradas para tal efecto;</w:t>
      </w:r>
    </w:p>
    <w:p w14:paraId="05E58627" w14:textId="1FCE8B84"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51CB07D7" w14:textId="42459019"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1B5EFAB" w14:textId="39222E47"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IX. Los gastos de representación y viáticos, así como el objeto e informe de comisión correspondiente;</w:t>
      </w:r>
    </w:p>
    <w:p w14:paraId="6F5626BE" w14:textId="4A78AAA1"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1236C46C" w14:textId="089AF84B"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XI. Las contrataciones de servicios profesionales por honorarios, señalando los nombres de los prestadores de servicios, los servicios contratados, el monto de los honorarios y el periodo de contratación;</w:t>
      </w:r>
    </w:p>
    <w:p w14:paraId="3C3403DA" w14:textId="301C9209"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531B2DBF" w14:textId="017D3B6B"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XIII. La información en versión pública de las declaraciones patrimoniales y de intereses de los servidores públicos que así lo determinen, en los sistemas habilitados para ello, de acuerdo a la normatividad aplicable;</w:t>
      </w:r>
    </w:p>
    <w:p w14:paraId="3C5D1851" w14:textId="239270B5"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3956E394"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a) Área; </w:t>
      </w:r>
    </w:p>
    <w:p w14:paraId="2E75377D"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b) Denominación del programa; </w:t>
      </w:r>
    </w:p>
    <w:p w14:paraId="54CD0F3B"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c) Periodo de vigencia; </w:t>
      </w:r>
    </w:p>
    <w:p w14:paraId="569FA897"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d) Diseño, objetivos y alcances; </w:t>
      </w:r>
    </w:p>
    <w:p w14:paraId="7558DA88"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e) Metas físicas; </w:t>
      </w:r>
    </w:p>
    <w:p w14:paraId="4B4E85A1"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f) Población beneficiada estimada; </w:t>
      </w:r>
    </w:p>
    <w:p w14:paraId="499B1A41"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g) Monto aprobado, modificado y ejercido, así como los calendarios de su programación presupuestal; </w:t>
      </w:r>
    </w:p>
    <w:p w14:paraId="0120A886"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h) Requisitos y procedimientos de acceso; </w:t>
      </w:r>
    </w:p>
    <w:p w14:paraId="2732846B"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i) Procedimiento de queja o inconformidad ciudadana; </w:t>
      </w:r>
    </w:p>
    <w:p w14:paraId="48A99FD2"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j) Mecanismos de exigibilidad; </w:t>
      </w:r>
    </w:p>
    <w:p w14:paraId="7655CB41"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k) Mecanismos e informes de evaluación y seguimiento de recomendaciones; </w:t>
      </w:r>
    </w:p>
    <w:p w14:paraId="04A7730F"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l) Indicadores con nombre, definición, método de cálculo, unidad de medida; dimensión, frecuencia de medición, nombre de las bases de datos utilizadas para su cálculo; </w:t>
      </w:r>
    </w:p>
    <w:p w14:paraId="3A10401C" w14:textId="4A16D4A6"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m)</w:t>
      </w:r>
      <w:r w:rsidR="00FC6AED" w:rsidRPr="00F65437">
        <w:rPr>
          <w:rFonts w:ascii="Palatino Linotype" w:hAnsi="Palatino Linotype"/>
          <w:i/>
          <w:sz w:val="22"/>
          <w:szCs w:val="22"/>
        </w:rPr>
        <w:t xml:space="preserve"> </w:t>
      </w:r>
      <w:r w:rsidRPr="00F65437">
        <w:rPr>
          <w:rFonts w:ascii="Palatino Linotype" w:hAnsi="Palatino Linotype"/>
          <w:i/>
          <w:sz w:val="22"/>
          <w:szCs w:val="22"/>
        </w:rPr>
        <w:t xml:space="preserve">Formas de participación social; </w:t>
      </w:r>
    </w:p>
    <w:p w14:paraId="4C6253C6"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n) Articulación con otros programas sociales; </w:t>
      </w:r>
    </w:p>
    <w:p w14:paraId="459001DA"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ñ) Vínculo a las reglas de operación o documento equivalente; </w:t>
      </w:r>
    </w:p>
    <w:p w14:paraId="6AE0FC67" w14:textId="77777777"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o) Informes periódicos sobre la ejecución y los resultados de las evaluaciones realizadas; y </w:t>
      </w:r>
    </w:p>
    <w:p w14:paraId="43FA96C9" w14:textId="543FF7B9" w:rsidR="00D85E05" w:rsidRPr="00F65437" w:rsidRDefault="00D85E05" w:rsidP="00F65437">
      <w:pPr>
        <w:ind w:left="851" w:right="822"/>
        <w:jc w:val="both"/>
        <w:rPr>
          <w:rFonts w:ascii="Palatino Linotype" w:hAnsi="Palatino Linotype"/>
          <w:i/>
          <w:sz w:val="22"/>
          <w:szCs w:val="22"/>
        </w:rPr>
      </w:pPr>
      <w:r w:rsidRPr="00F65437">
        <w:rPr>
          <w:rFonts w:ascii="Palatino Linotype" w:hAnsi="Palatino Linotype"/>
          <w:i/>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2595D441" w14:textId="043E627A" w:rsidR="009420D8"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XV. Agenda de reuniones públicas a las que convoquen los titulares de los sujetos obligados;</w:t>
      </w:r>
    </w:p>
    <w:p w14:paraId="0FDB4698" w14:textId="385BE714"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38BCCA2D" w14:textId="65B29F98"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XVII. Dirección electrónica donde podrán recibirse las solicitudes para obtener la información, así como el registro de las solicitudes recibidas y atendidas;</w:t>
      </w:r>
    </w:p>
    <w:p w14:paraId="276D2104" w14:textId="6B3E9009"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XVIII. Las convocatorias a concursos para ocupar cargos públicos y los resultados finales de los mismos;</w:t>
      </w:r>
    </w:p>
    <w:p w14:paraId="5B211560" w14:textId="44EC9AB7"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43F8297C" w14:textId="438E5B5C"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XXII. El listado de Servidores Públicos con sanciones administrativas definitivas, especificando la causa de sanción y la disposición;</w:t>
      </w:r>
    </w:p>
    <w:p w14:paraId="4753A406" w14:textId="3CA98875"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4EE4D428" w14:textId="1A2B6B8E"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XXVI. La información relativa a la deuda pública, en términos de las disposiciones jurídicas aplicables:</w:t>
      </w:r>
    </w:p>
    <w:p w14:paraId="713DE3CB" w14:textId="498BE1BD"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XXVII. Los montos destinados a gastos relativos a todos los programas y campañas de comunicación social y publicidad oficial desglosada por tipo de medio, proveedores, número de contrato y concepto;</w:t>
      </w:r>
    </w:p>
    <w:p w14:paraId="3C17B86D" w14:textId="77777777" w:rsidR="00F65437" w:rsidRPr="00F65437" w:rsidRDefault="00F65437" w:rsidP="00F65437">
      <w:pPr>
        <w:ind w:left="567" w:right="822"/>
        <w:jc w:val="both"/>
        <w:rPr>
          <w:rFonts w:ascii="Palatino Linotype" w:hAnsi="Palatino Linotype"/>
          <w:i/>
          <w:sz w:val="22"/>
          <w:szCs w:val="22"/>
        </w:rPr>
      </w:pPr>
    </w:p>
    <w:p w14:paraId="165FE05C" w14:textId="4A0543A8"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XXVIII. Los informes de resultados de las auditorías al ejercicio presupuestal de cada sujeto obligado que se realicen y, en su caso, las aclaraciones que correspondan;</w:t>
      </w:r>
    </w:p>
    <w:p w14:paraId="47015D92" w14:textId="1E134D48"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658894D3" w14:textId="13F7F27D"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 El resultado de la dictaminación de los estados financieros;</w:t>
      </w:r>
    </w:p>
    <w:p w14:paraId="7F935742" w14:textId="19CCF860"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6761298E" w14:textId="254B85B6"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D5567F7" w14:textId="7341400D"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29432571" w14:textId="1C05F80C"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XXXIV. Las estadísticas que generen en cumplimiento de sus facultades, competencias o funciones con la mayor desagregación posible;</w:t>
      </w:r>
    </w:p>
    <w:p w14:paraId="2C09B429" w14:textId="3D0CCF6D"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w:t>
      </w:r>
    </w:p>
    <w:p w14:paraId="2F7E5FE4" w14:textId="6478E381"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XXXVII. Los convenios de coordinación, de concertación, entre otros, que suscriban con otros entes de los sectores público, social y privado;</w:t>
      </w:r>
    </w:p>
    <w:p w14:paraId="0CBCA6AE" w14:textId="1A58192D"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XXXVIII. El inventario de bienes muebles e inmuebles en posesión y propiedad;</w:t>
      </w:r>
    </w:p>
    <w:p w14:paraId="40CA8613" w14:textId="700B988E" w:rsidR="00D85E05" w:rsidRPr="00F65437" w:rsidRDefault="00D85E05" w:rsidP="00F65437">
      <w:pPr>
        <w:ind w:left="567" w:right="822"/>
        <w:jc w:val="both"/>
        <w:rPr>
          <w:rFonts w:ascii="Palatino Linotype" w:hAnsi="Palatino Linotype"/>
          <w:i/>
          <w:sz w:val="22"/>
          <w:szCs w:val="22"/>
        </w:rPr>
      </w:pPr>
      <w:r w:rsidRPr="00F65437">
        <w:rPr>
          <w:rFonts w:ascii="Palatino Linotype" w:hAnsi="Palatino Linotype"/>
          <w:i/>
          <w:sz w:val="22"/>
          <w:szCs w:val="22"/>
        </w:rPr>
        <w:t>XXXIX. Las recomendaciones emitidas por los órganos públicos del Estado mexicano u organismos internacionales garantes de los derechos humanos, así como las acciones que han llevado a cabo para su atención;</w:t>
      </w:r>
    </w:p>
    <w:p w14:paraId="145C243B" w14:textId="136586B5" w:rsidR="00061534" w:rsidRPr="00F65437" w:rsidRDefault="00061534" w:rsidP="00F65437">
      <w:pPr>
        <w:ind w:left="567" w:right="822"/>
        <w:jc w:val="both"/>
        <w:rPr>
          <w:rFonts w:ascii="Palatino Linotype" w:hAnsi="Palatino Linotype"/>
          <w:i/>
          <w:sz w:val="22"/>
          <w:szCs w:val="22"/>
        </w:rPr>
      </w:pPr>
      <w:r w:rsidRPr="00F65437">
        <w:rPr>
          <w:rFonts w:ascii="Palatino Linotype" w:hAnsi="Palatino Linotype"/>
          <w:i/>
          <w:sz w:val="22"/>
          <w:szCs w:val="22"/>
        </w:rPr>
        <w:t>XL. Las resoluciones y laudos que se emitan en procesos o procedimientos seguidos en forma de juicio;</w:t>
      </w:r>
    </w:p>
    <w:p w14:paraId="0EC9DD5D" w14:textId="03AFDC5D" w:rsidR="00D85E05"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XLI. Los mecanismos de participación ciudadana en los procesos de elaboración, implementación y evaluación de políticas públicas y toma de decisiones y demás mecanismos de participación;</w:t>
      </w:r>
    </w:p>
    <w:p w14:paraId="0CA58839" w14:textId="35C265F8"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XLII. Los programas que ofrecen, incluyendo información sobre la población, objetivo y destino, tiempos de respuesta, requisitos y formatos para acceder a los mismos;</w:t>
      </w:r>
    </w:p>
    <w:p w14:paraId="7DCE9E87" w14:textId="57F2E847"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XLIII. Las actas y resoluciones del Comité de Transparencia de los sujetos obligados;</w:t>
      </w:r>
    </w:p>
    <w:p w14:paraId="1CC5D43F" w14:textId="2E19F992"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XLIV. Todas las evaluaciones y encuestas que hagan los sujetos obligados a programas financiados con recursos públicos;</w:t>
      </w:r>
    </w:p>
    <w:p w14:paraId="358833C6" w14:textId="6BDAF3A0"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XLV. Los estudios financiados con recursos públicos;</w:t>
      </w:r>
    </w:p>
    <w:p w14:paraId="49C12082" w14:textId="36393914"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XLVI. El listado de jubilados y pensionados y el monto que reciben;</w:t>
      </w:r>
    </w:p>
    <w:p w14:paraId="4C4F8590" w14:textId="236EC9CB"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XLVII. Los ingresos recibidos por cualquier concepto señalando el nombre de los responsables de recibirlos, administrarlos y ejercerlos, indicando el destino de cada uno de ellos;</w:t>
      </w:r>
    </w:p>
    <w:p w14:paraId="6C404530" w14:textId="5E3F506D"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XLVIII. Donaciones hechas a terceros en dinero o en especie;</w:t>
      </w:r>
    </w:p>
    <w:p w14:paraId="3DFD5E88" w14:textId="6CB344AE"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XLIX. El catálogo de disposición y guía de archivo documental;</w:t>
      </w:r>
    </w:p>
    <w:p w14:paraId="345EAFF6" w14:textId="478BB9AF"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L. Las actas de sesiones ordinarias y extraordinarias, así como las opiniones y recomendaciones de los consejos consultivos;</w:t>
      </w:r>
    </w:p>
    <w:p w14:paraId="565F50E1" w14:textId="2805286A"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i/>
          <w:sz w:val="22"/>
          <w:szCs w:val="22"/>
        </w:rPr>
        <w:t>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w:t>
      </w:r>
    </w:p>
    <w:p w14:paraId="6439C14B" w14:textId="77777777" w:rsidR="00D85E05" w:rsidRPr="00F65437" w:rsidRDefault="00D85E05" w:rsidP="00F65437">
      <w:pPr>
        <w:ind w:left="567" w:right="822"/>
        <w:jc w:val="both"/>
        <w:rPr>
          <w:rFonts w:ascii="Palatino Linotype" w:hAnsi="Palatino Linotype"/>
          <w:i/>
          <w:sz w:val="22"/>
          <w:szCs w:val="22"/>
        </w:rPr>
      </w:pPr>
    </w:p>
    <w:p w14:paraId="17E8A851" w14:textId="3630C6C7" w:rsidR="00FC6AED" w:rsidRPr="00F65437" w:rsidRDefault="00FC6AED" w:rsidP="00F65437">
      <w:pPr>
        <w:ind w:left="567" w:right="822"/>
        <w:jc w:val="center"/>
        <w:rPr>
          <w:rFonts w:ascii="Palatino Linotype" w:hAnsi="Palatino Linotype"/>
          <w:b/>
          <w:i/>
          <w:sz w:val="22"/>
          <w:szCs w:val="22"/>
        </w:rPr>
      </w:pPr>
      <w:r w:rsidRPr="00F65437">
        <w:rPr>
          <w:rFonts w:ascii="Palatino Linotype" w:hAnsi="Palatino Linotype"/>
          <w:b/>
          <w:i/>
          <w:sz w:val="22"/>
          <w:szCs w:val="22"/>
        </w:rPr>
        <w:t>Capítulo III</w:t>
      </w:r>
    </w:p>
    <w:p w14:paraId="073C781B" w14:textId="0846A394" w:rsidR="00FC6AED" w:rsidRPr="00F65437" w:rsidRDefault="00FC6AED" w:rsidP="00F65437">
      <w:pPr>
        <w:ind w:left="567" w:right="822"/>
        <w:jc w:val="center"/>
        <w:rPr>
          <w:rFonts w:ascii="Palatino Linotype" w:hAnsi="Palatino Linotype"/>
          <w:b/>
          <w:i/>
          <w:sz w:val="22"/>
          <w:szCs w:val="22"/>
        </w:rPr>
      </w:pPr>
      <w:r w:rsidRPr="00F65437">
        <w:rPr>
          <w:rFonts w:ascii="Palatino Linotype" w:hAnsi="Palatino Linotype"/>
          <w:b/>
          <w:i/>
          <w:sz w:val="22"/>
          <w:szCs w:val="22"/>
        </w:rPr>
        <w:t>De las Obligaciones de Transparencia Específicas de los Sujetos Obligados</w:t>
      </w:r>
    </w:p>
    <w:p w14:paraId="4A737C58" w14:textId="77777777" w:rsidR="00FC6AED" w:rsidRPr="00F65437" w:rsidRDefault="00FC6AED" w:rsidP="00F65437">
      <w:pPr>
        <w:ind w:left="567" w:right="822"/>
        <w:jc w:val="both"/>
        <w:rPr>
          <w:rFonts w:ascii="Palatino Linotype" w:hAnsi="Palatino Linotype"/>
          <w:i/>
          <w:sz w:val="22"/>
          <w:szCs w:val="22"/>
        </w:rPr>
      </w:pPr>
      <w:r w:rsidRPr="00F65437">
        <w:rPr>
          <w:rFonts w:ascii="Palatino Linotype" w:hAnsi="Palatino Linotype"/>
          <w:b/>
          <w:i/>
          <w:sz w:val="22"/>
          <w:szCs w:val="22"/>
        </w:rPr>
        <w:t>Artículo 94.</w:t>
      </w:r>
      <w:r w:rsidRPr="00F65437">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16B93B35" w14:textId="4B760A6B" w:rsidR="00D85E05" w:rsidRPr="00F65437" w:rsidRDefault="00FC6AED" w:rsidP="00F65437">
      <w:pPr>
        <w:ind w:left="567" w:right="822"/>
        <w:jc w:val="both"/>
        <w:rPr>
          <w:rFonts w:ascii="Palatino Linotype" w:hAnsi="Palatino Linotype"/>
          <w:b/>
          <w:i/>
          <w:sz w:val="22"/>
          <w:szCs w:val="22"/>
        </w:rPr>
      </w:pPr>
      <w:r w:rsidRPr="00F65437">
        <w:rPr>
          <w:rFonts w:ascii="Palatino Linotype" w:hAnsi="Palatino Linotype"/>
          <w:b/>
          <w:i/>
          <w:sz w:val="22"/>
          <w:szCs w:val="22"/>
        </w:rPr>
        <w:t>I. En el caso del Poder Ejecutivo y los Municipios, en el ámbito de su competencia:</w:t>
      </w:r>
    </w:p>
    <w:p w14:paraId="0A7A8B88" w14:textId="3268B411" w:rsidR="00FC6AED" w:rsidRPr="00F65437" w:rsidRDefault="00FC6AED" w:rsidP="00F65437">
      <w:pPr>
        <w:ind w:left="567" w:right="822"/>
        <w:jc w:val="both"/>
        <w:rPr>
          <w:rFonts w:ascii="Palatino Linotype" w:eastAsia="Calibri" w:hAnsi="Palatino Linotype" w:cs="Arial"/>
          <w:i/>
          <w:sz w:val="22"/>
          <w:szCs w:val="22"/>
        </w:rPr>
      </w:pPr>
      <w:r w:rsidRPr="00F65437">
        <w:rPr>
          <w:rFonts w:ascii="Palatino Linotype" w:eastAsia="Calibri" w:hAnsi="Palatino Linotype" w:cs="Arial"/>
          <w:i/>
          <w:sz w:val="22"/>
          <w:szCs w:val="22"/>
        </w:rPr>
        <w:t>…</w:t>
      </w:r>
    </w:p>
    <w:p w14:paraId="75D0CD89" w14:textId="28AEFE07"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b) El presupuesto de egresos y las fórmulas de distribución de los recursos otorgados;</w:t>
      </w:r>
    </w:p>
    <w:p w14:paraId="5C542197" w14:textId="10B8CA99"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c) El listado de expropiaciones decretadas y ejecutadas que incluya, cuando menos, la fecha de expropiación, el domicilio y la causa de utilidad pública y las ocupaciones superficiales;</w:t>
      </w:r>
    </w:p>
    <w:p w14:paraId="4210B4CF" w14:textId="77777777"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7B451D62" w14:textId="77777777"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1C40FB1E" w14:textId="2585258D"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f) La información detallada que contengan los planes de desarrollo urbano, ordenamiento territorial y ecológico, los tipos y usos de suelo, licencias de uso y construcción otorgadas por los gobiernos municipales;</w:t>
      </w:r>
    </w:p>
    <w:p w14:paraId="7FFE49E4" w14:textId="14922B48"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w:t>
      </w:r>
    </w:p>
    <w:p w14:paraId="469332E3" w14:textId="620722DB"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h) 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w:t>
      </w:r>
    </w:p>
    <w:p w14:paraId="46D11043" w14:textId="1DC573FF"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w:t>
      </w:r>
    </w:p>
    <w:p w14:paraId="3AFFBD7A" w14:textId="056D2101"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i) Por conducto de la autoridad educativa de la Entidad: El calendario del ciclo escolar; directorio de escuelas públicas incorporadas al Sistema Educativo Estatal; la lista de útiles escolares básicos por nivel educativo; el Directorio de bibliotecas públicas incluyendo horarios, el domicilio, teléfonos, correo electrónico, requisitos de consulta, reglamento y sitio electrónico, en su caso;</w:t>
      </w:r>
    </w:p>
    <w:p w14:paraId="7CC02928" w14:textId="0DE62D7A"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j) En materia de protección civil el atlas estatal de riesgos, por municipio; y</w:t>
      </w:r>
    </w:p>
    <w:p w14:paraId="526B541F" w14:textId="2A5EE1B4" w:rsidR="00FC6AED"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k) La información que sea de utilidad o resulte relevante para el conocimiento y evaluación de las funciones y políticas públicas implementadas por el Poder Ejecutivo</w:t>
      </w:r>
    </w:p>
    <w:p w14:paraId="6D72F1F5" w14:textId="77777777" w:rsidR="00F65437" w:rsidRPr="00F65437" w:rsidRDefault="00F65437" w:rsidP="00F65437">
      <w:pPr>
        <w:ind w:left="851" w:right="822"/>
        <w:jc w:val="both"/>
        <w:rPr>
          <w:rFonts w:ascii="Palatino Linotype" w:hAnsi="Palatino Linotype"/>
          <w:i/>
          <w:sz w:val="22"/>
          <w:szCs w:val="22"/>
        </w:rPr>
      </w:pPr>
    </w:p>
    <w:p w14:paraId="4697D976" w14:textId="2745EA2C" w:rsidR="00FC6AED" w:rsidRDefault="00FC6AED" w:rsidP="00F65437">
      <w:pPr>
        <w:ind w:left="567" w:right="822"/>
        <w:jc w:val="both"/>
        <w:rPr>
          <w:rFonts w:ascii="Palatino Linotype" w:hAnsi="Palatino Linotype"/>
          <w:b/>
          <w:i/>
          <w:sz w:val="22"/>
          <w:szCs w:val="22"/>
        </w:rPr>
      </w:pPr>
      <w:r w:rsidRPr="00F65437">
        <w:rPr>
          <w:rFonts w:ascii="Palatino Linotype" w:hAnsi="Palatino Linotype"/>
          <w:b/>
          <w:i/>
          <w:sz w:val="22"/>
          <w:szCs w:val="22"/>
        </w:rPr>
        <w:t>II. Adicionalmente en el caso de los municipios:</w:t>
      </w:r>
    </w:p>
    <w:p w14:paraId="6DB923FC" w14:textId="77777777" w:rsidR="00F65437" w:rsidRPr="00F65437" w:rsidRDefault="00F65437" w:rsidP="00F65437">
      <w:pPr>
        <w:ind w:left="567" w:right="822"/>
        <w:jc w:val="both"/>
        <w:rPr>
          <w:rFonts w:ascii="Palatino Linotype" w:hAnsi="Palatino Linotype"/>
          <w:b/>
          <w:i/>
          <w:sz w:val="22"/>
          <w:szCs w:val="22"/>
        </w:rPr>
      </w:pPr>
    </w:p>
    <w:p w14:paraId="40356AFB" w14:textId="3EEFB645"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a) El contenido de las gacetas municipales, las cuales deberán comprender los resolutivos y acuerdos aprobados por los ayuntamientos;</w:t>
      </w:r>
    </w:p>
    <w:p w14:paraId="0D304698" w14:textId="0C942A97"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w:t>
      </w:r>
    </w:p>
    <w:p w14:paraId="2B328B78" w14:textId="486BDB79"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c) Los Participaciones y Aportaciones derivadas de la Ley de Coordinación Fiscal; y</w:t>
      </w:r>
    </w:p>
    <w:p w14:paraId="2EBF366A" w14:textId="77777777" w:rsidR="00FC6AED" w:rsidRPr="00F65437" w:rsidRDefault="00FC6AED" w:rsidP="00F65437">
      <w:pPr>
        <w:ind w:left="851" w:right="822"/>
        <w:jc w:val="both"/>
        <w:rPr>
          <w:rFonts w:ascii="Palatino Linotype" w:hAnsi="Palatino Linotype"/>
          <w:i/>
          <w:sz w:val="22"/>
          <w:szCs w:val="22"/>
        </w:rPr>
      </w:pPr>
      <w:r w:rsidRPr="00F65437">
        <w:rPr>
          <w:rFonts w:ascii="Palatino Linotype" w:hAnsi="Palatino Linotype"/>
          <w:i/>
          <w:sz w:val="22"/>
          <w:szCs w:val="22"/>
        </w:rPr>
        <w:t xml:space="preserve">d) Los recursos federales establecidos en el Título Segundo. Del Federalismo del Presupuesto de Egresos de la Federación en sus conceptos de: </w:t>
      </w:r>
    </w:p>
    <w:p w14:paraId="5EF97674" w14:textId="77777777" w:rsidR="00FC6AED" w:rsidRPr="00F65437" w:rsidRDefault="00FC6AED" w:rsidP="00F65437">
      <w:pPr>
        <w:ind w:left="1134" w:right="822"/>
        <w:jc w:val="both"/>
        <w:rPr>
          <w:rFonts w:ascii="Palatino Linotype" w:hAnsi="Palatino Linotype"/>
          <w:i/>
          <w:sz w:val="22"/>
          <w:szCs w:val="22"/>
        </w:rPr>
      </w:pPr>
      <w:r w:rsidRPr="00F65437">
        <w:rPr>
          <w:rFonts w:ascii="Palatino Linotype" w:hAnsi="Palatino Linotype"/>
          <w:i/>
          <w:sz w:val="22"/>
          <w:szCs w:val="22"/>
        </w:rPr>
        <w:t>a. Subsidios federales; y</w:t>
      </w:r>
    </w:p>
    <w:p w14:paraId="6CCF8A58" w14:textId="234231F5" w:rsidR="00FC6AED" w:rsidRPr="00F65437" w:rsidRDefault="00FC6AED" w:rsidP="00F65437">
      <w:pPr>
        <w:ind w:left="1134" w:right="822"/>
        <w:jc w:val="both"/>
        <w:rPr>
          <w:rFonts w:ascii="Palatino Linotype" w:hAnsi="Palatino Linotype"/>
          <w:i/>
          <w:sz w:val="22"/>
          <w:szCs w:val="22"/>
        </w:rPr>
      </w:pPr>
      <w:r w:rsidRPr="00F65437">
        <w:rPr>
          <w:rFonts w:ascii="Palatino Linotype" w:hAnsi="Palatino Linotype"/>
          <w:i/>
          <w:sz w:val="22"/>
          <w:szCs w:val="22"/>
        </w:rPr>
        <w:t xml:space="preserve"> b. Recursos del Ramo 23. Provisiones Salariales y Económicas.</w:t>
      </w:r>
    </w:p>
    <w:p w14:paraId="7B753CFD" w14:textId="69565722" w:rsidR="00806ABD" w:rsidRDefault="00806ABD" w:rsidP="000E7474">
      <w:pPr>
        <w:pStyle w:val="Prrafodelista"/>
        <w:spacing w:line="360" w:lineRule="auto"/>
        <w:ind w:left="0"/>
        <w:jc w:val="both"/>
        <w:rPr>
          <w:rFonts w:ascii="Palatino Linotype" w:hAnsi="Palatino Linotype"/>
          <w:sz w:val="24"/>
        </w:rPr>
      </w:pPr>
    </w:p>
    <w:p w14:paraId="5995B3DD" w14:textId="3F2482F8" w:rsidR="000E7474" w:rsidRDefault="00AC6394"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 xml:space="preserve">Los Sujetos Obligados cuentan con determinadas obligaciones de transparencia, lo cual no es otra cosa, sino que, deben dar publicidad y transparencia de los actos </w:t>
      </w:r>
      <w:r w:rsidR="00A338A8">
        <w:rPr>
          <w:rFonts w:ascii="Palatino Linotype" w:hAnsi="Palatino Linotype"/>
          <w:sz w:val="24"/>
        </w:rPr>
        <w:t>que se realizan.</w:t>
      </w:r>
      <w:r>
        <w:rPr>
          <w:rFonts w:ascii="Palatino Linotype" w:hAnsi="Palatino Linotype"/>
          <w:sz w:val="24"/>
        </w:rPr>
        <w:t xml:space="preserve"> </w:t>
      </w:r>
      <w:r w:rsidR="00A338A8">
        <w:rPr>
          <w:rFonts w:ascii="Palatino Linotype" w:hAnsi="Palatino Linotype"/>
          <w:sz w:val="24"/>
        </w:rPr>
        <w:t>L</w:t>
      </w:r>
      <w:r>
        <w:rPr>
          <w:rFonts w:ascii="Palatino Linotype" w:hAnsi="Palatino Linotype"/>
          <w:sz w:val="24"/>
        </w:rPr>
        <w:t xml:space="preserve">a publicidad de la información debe ser a través de los portales de internet, para el caso específico del Estado de México, </w:t>
      </w:r>
      <w:r w:rsidR="00A338A8">
        <w:rPr>
          <w:rFonts w:ascii="Palatino Linotype" w:hAnsi="Palatino Linotype"/>
          <w:sz w:val="24"/>
        </w:rPr>
        <w:t xml:space="preserve">se cuenta con </w:t>
      </w:r>
      <w:r>
        <w:rPr>
          <w:rFonts w:ascii="Palatino Linotype" w:hAnsi="Palatino Linotype"/>
          <w:sz w:val="24"/>
        </w:rPr>
        <w:t xml:space="preserve">el IPOMEX; ahí deben de difundir la </w:t>
      </w:r>
      <w:r>
        <w:rPr>
          <w:rFonts w:ascii="Palatino Linotype" w:hAnsi="Palatino Linotype"/>
          <w:b/>
          <w:i/>
          <w:sz w:val="24"/>
        </w:rPr>
        <w:t xml:space="preserve">información pública de oficio </w:t>
      </w:r>
      <w:r>
        <w:rPr>
          <w:rFonts w:ascii="Palatino Linotype" w:hAnsi="Palatino Linotype"/>
          <w:sz w:val="24"/>
        </w:rPr>
        <w:t>la cual debe entenderse como toda aquella información que es de interés general para todas las personas, cuyo acceso no depende de una solicitud expresa.</w:t>
      </w:r>
    </w:p>
    <w:p w14:paraId="401C6326" w14:textId="77777777" w:rsidR="00E8280C" w:rsidRDefault="00E8280C" w:rsidP="00E8280C">
      <w:pPr>
        <w:pStyle w:val="Prrafodelista"/>
        <w:spacing w:line="360" w:lineRule="auto"/>
        <w:ind w:left="0"/>
        <w:jc w:val="both"/>
        <w:rPr>
          <w:rFonts w:ascii="Palatino Linotype" w:hAnsi="Palatino Linotype"/>
          <w:sz w:val="24"/>
        </w:rPr>
      </w:pPr>
    </w:p>
    <w:p w14:paraId="3A70A2B6" w14:textId="77777777" w:rsidR="00A338A8" w:rsidRDefault="00A338A8"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Es así que, la información que solicitó el particular forma parte de las fracciones que contempla el IPOMEX del Sujeto Obligado como obligaciones de transparencia común y obligaciones de transparencia específicas</w:t>
      </w:r>
    </w:p>
    <w:p w14:paraId="54A76657" w14:textId="77777777" w:rsidR="00A338A8" w:rsidRPr="00A338A8" w:rsidRDefault="00A338A8" w:rsidP="00A338A8">
      <w:pPr>
        <w:pStyle w:val="Prrafodelista"/>
        <w:rPr>
          <w:rFonts w:ascii="Palatino Linotype" w:hAnsi="Palatino Linotype"/>
          <w:sz w:val="24"/>
        </w:rPr>
      </w:pPr>
    </w:p>
    <w:p w14:paraId="6F69005F" w14:textId="77777777" w:rsidR="00A338A8" w:rsidRPr="00A338A8" w:rsidRDefault="00A338A8" w:rsidP="00A338A8">
      <w:pPr>
        <w:pStyle w:val="Prrafodelista"/>
        <w:rPr>
          <w:rFonts w:ascii="Palatino Linotype" w:hAnsi="Palatino Linotype"/>
          <w:sz w:val="24"/>
        </w:rPr>
      </w:pPr>
    </w:p>
    <w:p w14:paraId="7EE2BE12" w14:textId="5A45BF1E" w:rsidR="00E8280C" w:rsidRDefault="00E8280C"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La Ley de Transparencia y Acceso a la Información Pública del Estado de México y Municipios contempla LII fracciones en el artículo 92 aplicables a todos los Sujetos Obligados del Estado de México y Municipios y, en el caso de los Ayuntamientos, II fracciones más, en el artículo 94, siendo estas últimas, obligaciones de transparencia específicas.</w:t>
      </w:r>
    </w:p>
    <w:p w14:paraId="074D252A" w14:textId="77777777" w:rsidR="00AC6394" w:rsidRDefault="00AC6394" w:rsidP="00AC6394">
      <w:pPr>
        <w:pStyle w:val="Prrafodelista"/>
        <w:spacing w:line="360" w:lineRule="auto"/>
        <w:ind w:left="0"/>
        <w:jc w:val="both"/>
        <w:rPr>
          <w:rFonts w:ascii="Palatino Linotype" w:hAnsi="Palatino Linotype"/>
          <w:sz w:val="24"/>
        </w:rPr>
      </w:pPr>
    </w:p>
    <w:p w14:paraId="359E87CC" w14:textId="4A779432" w:rsidR="000E7474" w:rsidRDefault="00527333"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La Ley de Transparencia en comento</w:t>
      </w:r>
      <w:r w:rsidR="00A338A8">
        <w:rPr>
          <w:rFonts w:ascii="Palatino Linotype" w:hAnsi="Palatino Linotype"/>
          <w:sz w:val="24"/>
        </w:rPr>
        <w:t>, en el Título Quinto, Capítulo I establece lo siguiente:</w:t>
      </w:r>
    </w:p>
    <w:p w14:paraId="1DCC7F58" w14:textId="77777777" w:rsidR="000E7474" w:rsidRDefault="000E7474" w:rsidP="00A338A8">
      <w:pPr>
        <w:pStyle w:val="Prrafodelista"/>
        <w:spacing w:line="360" w:lineRule="auto"/>
        <w:ind w:left="0"/>
        <w:jc w:val="both"/>
        <w:rPr>
          <w:rFonts w:ascii="Palatino Linotype" w:hAnsi="Palatino Linotype"/>
          <w:sz w:val="24"/>
        </w:rPr>
      </w:pPr>
    </w:p>
    <w:p w14:paraId="6FA838CE" w14:textId="77777777" w:rsidR="00A338A8" w:rsidRPr="00380DC9" w:rsidRDefault="00A338A8" w:rsidP="00380DC9">
      <w:pPr>
        <w:pStyle w:val="Prrafodelista"/>
        <w:ind w:left="567" w:right="822"/>
        <w:jc w:val="center"/>
        <w:rPr>
          <w:rFonts w:ascii="Palatino Linotype" w:hAnsi="Palatino Linotype"/>
          <w:b/>
          <w:i/>
        </w:rPr>
      </w:pPr>
      <w:r w:rsidRPr="00380DC9">
        <w:rPr>
          <w:rFonts w:ascii="Palatino Linotype" w:hAnsi="Palatino Linotype"/>
          <w:b/>
          <w:i/>
        </w:rPr>
        <w:t>TÍTULO QUINTO</w:t>
      </w:r>
    </w:p>
    <w:p w14:paraId="1F176851" w14:textId="2F94DC5D" w:rsidR="00A338A8" w:rsidRPr="00380DC9" w:rsidRDefault="00A338A8" w:rsidP="00380DC9">
      <w:pPr>
        <w:pStyle w:val="Prrafodelista"/>
        <w:ind w:left="567" w:right="822"/>
        <w:jc w:val="center"/>
        <w:rPr>
          <w:rFonts w:ascii="Palatino Linotype" w:hAnsi="Palatino Linotype"/>
          <w:b/>
          <w:i/>
        </w:rPr>
      </w:pPr>
      <w:r w:rsidRPr="00380DC9">
        <w:rPr>
          <w:rFonts w:ascii="Palatino Linotype" w:hAnsi="Palatino Linotype"/>
          <w:b/>
          <w:i/>
        </w:rPr>
        <w:t>DE LAS OBLIGACIONES DE TRANSPARENCIA</w:t>
      </w:r>
    </w:p>
    <w:p w14:paraId="7CD6A4D6" w14:textId="77777777" w:rsidR="00A338A8" w:rsidRPr="00380DC9" w:rsidRDefault="00A338A8" w:rsidP="00380DC9">
      <w:pPr>
        <w:pStyle w:val="Prrafodelista"/>
        <w:ind w:left="567" w:right="822"/>
        <w:jc w:val="center"/>
        <w:rPr>
          <w:rFonts w:ascii="Palatino Linotype" w:hAnsi="Palatino Linotype"/>
          <w:b/>
          <w:i/>
        </w:rPr>
      </w:pPr>
      <w:r w:rsidRPr="00380DC9">
        <w:rPr>
          <w:rFonts w:ascii="Palatino Linotype" w:hAnsi="Palatino Linotype"/>
          <w:b/>
          <w:i/>
        </w:rPr>
        <w:t xml:space="preserve">Capítulo I </w:t>
      </w:r>
    </w:p>
    <w:p w14:paraId="0343A025" w14:textId="77777777" w:rsidR="00A338A8" w:rsidRPr="00380DC9" w:rsidRDefault="00A338A8" w:rsidP="00380DC9">
      <w:pPr>
        <w:pStyle w:val="Prrafodelista"/>
        <w:ind w:left="567" w:right="822"/>
        <w:jc w:val="center"/>
        <w:rPr>
          <w:rFonts w:ascii="Palatino Linotype" w:hAnsi="Palatino Linotype"/>
          <w:b/>
          <w:i/>
        </w:rPr>
      </w:pPr>
      <w:r w:rsidRPr="00380DC9">
        <w:rPr>
          <w:rFonts w:ascii="Palatino Linotype" w:hAnsi="Palatino Linotype"/>
          <w:b/>
          <w:i/>
        </w:rPr>
        <w:t>De los Postulados para la</w:t>
      </w:r>
    </w:p>
    <w:p w14:paraId="461A830C" w14:textId="54635A0C" w:rsidR="00A338A8" w:rsidRPr="00380DC9" w:rsidRDefault="00A338A8" w:rsidP="00380DC9">
      <w:pPr>
        <w:pStyle w:val="Prrafodelista"/>
        <w:ind w:left="567" w:right="822"/>
        <w:jc w:val="center"/>
        <w:rPr>
          <w:rFonts w:ascii="Palatino Linotype" w:hAnsi="Palatino Linotype"/>
          <w:i/>
          <w:sz w:val="24"/>
        </w:rPr>
      </w:pPr>
      <w:r w:rsidRPr="00380DC9">
        <w:rPr>
          <w:rFonts w:ascii="Palatino Linotype" w:hAnsi="Palatino Linotype"/>
          <w:b/>
          <w:i/>
        </w:rPr>
        <w:t xml:space="preserve"> Publicación de la Información</w:t>
      </w:r>
    </w:p>
    <w:p w14:paraId="02224838" w14:textId="77777777" w:rsidR="00A338A8" w:rsidRPr="00380DC9" w:rsidRDefault="00A338A8" w:rsidP="00380DC9">
      <w:pPr>
        <w:pStyle w:val="Prrafodelista"/>
        <w:ind w:left="567" w:right="822"/>
        <w:jc w:val="both"/>
        <w:rPr>
          <w:rFonts w:ascii="Palatino Linotype" w:hAnsi="Palatino Linotype"/>
          <w:i/>
          <w:sz w:val="24"/>
        </w:rPr>
      </w:pPr>
    </w:p>
    <w:p w14:paraId="493E0B77" w14:textId="77777777" w:rsidR="000E7474" w:rsidRPr="00380DC9" w:rsidRDefault="000E7474" w:rsidP="00380DC9">
      <w:pPr>
        <w:pStyle w:val="Prrafodelista"/>
        <w:ind w:left="567" w:right="822"/>
        <w:jc w:val="both"/>
        <w:rPr>
          <w:rFonts w:ascii="Palatino Linotype" w:hAnsi="Palatino Linotype"/>
          <w:i/>
          <w:sz w:val="24"/>
        </w:rPr>
      </w:pPr>
    </w:p>
    <w:p w14:paraId="08E78B8C" w14:textId="77777777" w:rsidR="00A338A8" w:rsidRPr="00380DC9" w:rsidRDefault="00A338A8" w:rsidP="00380DC9">
      <w:pPr>
        <w:pStyle w:val="Prrafodelista"/>
        <w:ind w:left="567" w:right="822"/>
        <w:jc w:val="both"/>
        <w:rPr>
          <w:rFonts w:ascii="Palatino Linotype" w:hAnsi="Palatino Linotype"/>
          <w:b/>
          <w:i/>
        </w:rPr>
      </w:pPr>
      <w:r w:rsidRPr="00380DC9">
        <w:rPr>
          <w:rFonts w:ascii="Palatino Linotype" w:hAnsi="Palatino Linotype"/>
          <w:b/>
          <w:i/>
        </w:rPr>
        <w:t xml:space="preserve">Artículo 75. Es obligación de los sujetos obligados el poner a disposición de los particulares la información a que se refiere esta Ley a través de sus sitios de Internet y de la Plataforma Nacional. </w:t>
      </w:r>
    </w:p>
    <w:p w14:paraId="1D388F86" w14:textId="77777777" w:rsidR="00A338A8" w:rsidRPr="00380DC9" w:rsidRDefault="00A338A8" w:rsidP="00380DC9">
      <w:pPr>
        <w:pStyle w:val="Prrafodelista"/>
        <w:ind w:left="567" w:right="822"/>
        <w:jc w:val="both"/>
        <w:rPr>
          <w:rFonts w:ascii="Palatino Linotype" w:hAnsi="Palatino Linotype"/>
          <w:i/>
        </w:rPr>
      </w:pPr>
    </w:p>
    <w:p w14:paraId="1DE6D7B5" w14:textId="77777777" w:rsidR="00A338A8" w:rsidRPr="00380DC9" w:rsidRDefault="00A338A8" w:rsidP="00380DC9">
      <w:pPr>
        <w:pStyle w:val="Prrafodelista"/>
        <w:ind w:left="567" w:right="822"/>
        <w:jc w:val="both"/>
        <w:rPr>
          <w:rFonts w:ascii="Palatino Linotype" w:hAnsi="Palatino Linotype"/>
          <w:b/>
          <w:i/>
        </w:rPr>
      </w:pPr>
      <w:r w:rsidRPr="00380DC9">
        <w:rPr>
          <w:rFonts w:ascii="Palatino Linotype" w:hAnsi="Palatino Linotype"/>
          <w:b/>
          <w:i/>
        </w:rPr>
        <w:t xml:space="preserve">La Plataforma electrónica promoverá el uso de la información original escaneada y las versiones en datos abiertos y/o formatos editables, según corresponda, de los documentos fuente. </w:t>
      </w:r>
    </w:p>
    <w:p w14:paraId="31CD9FA0" w14:textId="77777777" w:rsidR="00A338A8" w:rsidRPr="00380DC9" w:rsidRDefault="00A338A8" w:rsidP="00380DC9">
      <w:pPr>
        <w:pStyle w:val="Prrafodelista"/>
        <w:ind w:left="567" w:right="822"/>
        <w:jc w:val="both"/>
        <w:rPr>
          <w:rFonts w:ascii="Palatino Linotype" w:hAnsi="Palatino Linotype"/>
          <w:i/>
        </w:rPr>
      </w:pPr>
    </w:p>
    <w:p w14:paraId="387180A3" w14:textId="77777777" w:rsidR="00A338A8" w:rsidRPr="00380DC9" w:rsidRDefault="00A338A8" w:rsidP="00380DC9">
      <w:pPr>
        <w:pStyle w:val="Prrafodelista"/>
        <w:ind w:left="567" w:right="822"/>
        <w:jc w:val="both"/>
        <w:rPr>
          <w:rFonts w:ascii="Palatino Linotype" w:hAnsi="Palatino Linotype"/>
          <w:b/>
          <w:i/>
        </w:rPr>
      </w:pPr>
      <w:r w:rsidRPr="00380DC9">
        <w:rPr>
          <w:rFonts w:ascii="Palatino Linotype" w:hAnsi="Palatino Linotype"/>
          <w:i/>
        </w:rPr>
        <w:t xml:space="preserve">Artículo 76.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w:t>
      </w:r>
      <w:r w:rsidRPr="00380DC9">
        <w:rPr>
          <w:rFonts w:ascii="Palatino Linotype" w:hAnsi="Palatino Linotype"/>
          <w:b/>
          <w:i/>
        </w:rPr>
        <w:t xml:space="preserve">la información sea veraz, confiable, oportuna, congruente, integral, actualizada, accesible, comprensible y verificable. </w:t>
      </w:r>
    </w:p>
    <w:p w14:paraId="1ACA2C64" w14:textId="77777777" w:rsidR="00A338A8" w:rsidRPr="00380DC9" w:rsidRDefault="00A338A8" w:rsidP="00380DC9">
      <w:pPr>
        <w:pStyle w:val="Prrafodelista"/>
        <w:ind w:left="567" w:right="822"/>
        <w:jc w:val="both"/>
        <w:rPr>
          <w:rFonts w:ascii="Palatino Linotype" w:hAnsi="Palatino Linotype"/>
          <w:i/>
        </w:rPr>
      </w:pPr>
    </w:p>
    <w:p w14:paraId="02825775" w14:textId="7560B9F0" w:rsidR="00A338A8" w:rsidRPr="00380DC9" w:rsidRDefault="00A338A8" w:rsidP="00380DC9">
      <w:pPr>
        <w:pStyle w:val="Prrafodelista"/>
        <w:ind w:left="567" w:right="822"/>
        <w:jc w:val="both"/>
        <w:rPr>
          <w:rFonts w:ascii="Palatino Linotype" w:hAnsi="Palatino Linotype"/>
          <w:b/>
          <w:i/>
          <w:sz w:val="24"/>
        </w:rPr>
      </w:pPr>
      <w:r w:rsidRPr="00380DC9">
        <w:rPr>
          <w:rFonts w:ascii="Palatino Linotype" w:hAnsi="Palatino Linotype"/>
          <w:b/>
          <w:i/>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5D61C67E" w14:textId="77777777" w:rsidR="00A338A8" w:rsidRPr="00380DC9" w:rsidRDefault="00A338A8" w:rsidP="00380DC9">
      <w:pPr>
        <w:pStyle w:val="Prrafodelista"/>
        <w:ind w:left="567" w:right="822"/>
        <w:jc w:val="both"/>
        <w:rPr>
          <w:rFonts w:ascii="Palatino Linotype" w:hAnsi="Palatino Linotype"/>
          <w:i/>
          <w:sz w:val="24"/>
        </w:rPr>
      </w:pPr>
    </w:p>
    <w:p w14:paraId="5915CA13" w14:textId="60269781" w:rsidR="00A338A8" w:rsidRPr="00380DC9" w:rsidRDefault="00A338A8" w:rsidP="00380DC9">
      <w:pPr>
        <w:pStyle w:val="Prrafodelista"/>
        <w:ind w:left="567" w:right="822"/>
        <w:jc w:val="both"/>
        <w:rPr>
          <w:rFonts w:ascii="Palatino Linotype" w:hAnsi="Palatino Linotype"/>
          <w:i/>
          <w:sz w:val="24"/>
        </w:rPr>
      </w:pPr>
      <w:r w:rsidRPr="00380DC9">
        <w:rPr>
          <w:rFonts w:ascii="Palatino Linotype" w:hAnsi="Palatino Linotype"/>
          <w:b/>
          <w:i/>
        </w:rPr>
        <w:t>Artículo 77. La información correspondiente a las obligaciones de transparencia deberá actualizarse por lo menos cada tres meses</w:t>
      </w:r>
      <w:r w:rsidRPr="00380DC9">
        <w:rPr>
          <w:rFonts w:ascii="Palatino Linotype" w:hAnsi="Palatino Linotype"/>
          <w:i/>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14:paraId="6C4AAC6B" w14:textId="298ACDD3" w:rsidR="000E7474" w:rsidRPr="00380DC9" w:rsidRDefault="00380DC9" w:rsidP="00380DC9">
      <w:pPr>
        <w:pStyle w:val="Prrafodelista"/>
        <w:ind w:left="567" w:right="822"/>
        <w:jc w:val="both"/>
        <w:rPr>
          <w:rFonts w:ascii="Palatino Linotype" w:hAnsi="Palatino Linotype"/>
          <w:i/>
          <w:sz w:val="24"/>
        </w:rPr>
      </w:pPr>
      <w:r w:rsidRPr="00380DC9">
        <w:rPr>
          <w:rFonts w:ascii="Palatino Linotype" w:hAnsi="Palatino Linotype"/>
          <w:i/>
          <w:sz w:val="24"/>
        </w:rPr>
        <w:t>…</w:t>
      </w:r>
    </w:p>
    <w:p w14:paraId="4D06D372" w14:textId="297A0094" w:rsidR="00380DC9" w:rsidRDefault="00380DC9" w:rsidP="00380DC9">
      <w:pPr>
        <w:pStyle w:val="Prrafodelista"/>
        <w:ind w:left="567" w:right="822"/>
        <w:jc w:val="both"/>
        <w:rPr>
          <w:rFonts w:ascii="Palatino Linotype" w:hAnsi="Palatino Linotype"/>
          <w:i/>
        </w:rPr>
      </w:pPr>
      <w:r w:rsidRPr="00380DC9">
        <w:rPr>
          <w:rFonts w:ascii="Palatino Linotype" w:hAnsi="Palatino Linotype"/>
          <w:b/>
          <w:i/>
        </w:rPr>
        <w:t>Artículo 79. La página de inicio de los portales de Internet de los sujetos obligados tendrá un vínculo de acceso directo al sitio donde se encuentra la información pública</w:t>
      </w:r>
      <w:r w:rsidRPr="00380DC9">
        <w:rPr>
          <w:rFonts w:ascii="Palatino Linotype" w:hAnsi="Palatino Linotype"/>
          <w:i/>
        </w:rPr>
        <w:t xml:space="preserve"> a la que se refiere este Título, el cual deberá contar con un buscador, que permitan acceder de manera sencilla a la información que en ellas se contenga.</w:t>
      </w:r>
    </w:p>
    <w:p w14:paraId="5734319C" w14:textId="77777777" w:rsidR="00527333" w:rsidRDefault="00527333" w:rsidP="00380DC9">
      <w:pPr>
        <w:pStyle w:val="Prrafodelista"/>
        <w:ind w:left="567" w:right="822"/>
        <w:jc w:val="both"/>
        <w:rPr>
          <w:rFonts w:ascii="Palatino Linotype" w:hAnsi="Palatino Linotype"/>
          <w:i/>
        </w:rPr>
      </w:pPr>
    </w:p>
    <w:p w14:paraId="687D10E9" w14:textId="4C47CFDE" w:rsidR="00527333" w:rsidRPr="00380DC9" w:rsidRDefault="00527333" w:rsidP="00380DC9">
      <w:pPr>
        <w:pStyle w:val="Prrafodelista"/>
        <w:ind w:left="567" w:right="822"/>
        <w:jc w:val="both"/>
        <w:rPr>
          <w:rFonts w:ascii="Palatino Linotype" w:hAnsi="Palatino Linotype"/>
          <w:i/>
          <w:sz w:val="24"/>
        </w:rPr>
      </w:pPr>
      <w:r>
        <w:rPr>
          <w:rFonts w:ascii="Palatino Linotype" w:hAnsi="Palatino Linotype"/>
          <w:b/>
          <w:i/>
        </w:rPr>
        <w:t>(Énfasis añadido)</w:t>
      </w:r>
    </w:p>
    <w:p w14:paraId="07C57D0F" w14:textId="77777777" w:rsidR="000E7474" w:rsidRDefault="000E7474" w:rsidP="00380DC9">
      <w:pPr>
        <w:pStyle w:val="Prrafodelista"/>
        <w:spacing w:line="360" w:lineRule="auto"/>
        <w:ind w:left="0"/>
        <w:jc w:val="both"/>
        <w:rPr>
          <w:rFonts w:ascii="Palatino Linotype" w:hAnsi="Palatino Linotype"/>
          <w:sz w:val="24"/>
        </w:rPr>
      </w:pPr>
    </w:p>
    <w:p w14:paraId="3E5B696A" w14:textId="54F19B12" w:rsidR="000E7474" w:rsidRDefault="00527333"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 xml:space="preserve">La legislación en materia contempla la obligación de publicar toda aquella información de interés para la ciudadanía a través de los portales electrónicos, incluso, refiere que en las páginas oficiales, los Sujetos Obligados deben incluir un vínculo de acceso directo al sitio donde obra la información pública de oficio, de manera enunciativa más no limitativa, al IPOMEX. Asimismo, refiere que la información debe actualizarse, por lo menos, cada tres meses y estar en total apego a los criterios y lineamientos para la publicación de la información, es decir, a los </w:t>
      </w:r>
      <w:r w:rsidRPr="00527333">
        <w:rPr>
          <w:rFonts w:ascii="Palatino Linotype" w:hAnsi="Palatino Linotype"/>
          <w:i/>
          <w:sz w:val="24"/>
        </w:rPr>
        <w:t>Lineamientos Técnicos Generales para publicación, homologación y estandarización de la información de las obligaciones establecidas en el título quinto y en la fracción IV del artículo 31 de la Ley General de Transparencia y Acceso a la Información P</w:t>
      </w:r>
      <w:r>
        <w:rPr>
          <w:rFonts w:ascii="Palatino Linotype" w:hAnsi="Palatino Linotype"/>
          <w:i/>
          <w:sz w:val="24"/>
        </w:rPr>
        <w:t>ública</w:t>
      </w:r>
      <w:r>
        <w:rPr>
          <w:rStyle w:val="Refdenotaalpie"/>
          <w:rFonts w:ascii="Palatino Linotype" w:hAnsi="Palatino Linotype"/>
          <w:i/>
          <w:sz w:val="24"/>
        </w:rPr>
        <w:footnoteReference w:id="6"/>
      </w:r>
      <w:r>
        <w:rPr>
          <w:rFonts w:ascii="Palatino Linotype" w:hAnsi="Palatino Linotype"/>
          <w:i/>
          <w:sz w:val="24"/>
        </w:rPr>
        <w:t xml:space="preserve"> </w:t>
      </w:r>
      <w:r>
        <w:rPr>
          <w:rFonts w:ascii="Palatino Linotype" w:hAnsi="Palatino Linotype"/>
          <w:sz w:val="24"/>
        </w:rPr>
        <w:t xml:space="preserve">los cuales son de observancia obligatoria para Instituto Nacional de </w:t>
      </w:r>
      <w:r w:rsidR="00C869DF">
        <w:rPr>
          <w:rFonts w:ascii="Palatino Linotype" w:hAnsi="Palatino Linotype"/>
          <w:sz w:val="24"/>
        </w:rPr>
        <w:t>Transparencia, Acceso a la Información y Protección de Datos Personales, órganos garantes y los sujetos obligados de todo el país, a efecto de definir los formatos que se usarán para publicar la información pública de oficio y asegurar que sea veraz, confiable, oportuna, congruente, integral, actualizada, accesible, comprensible y verificable, además, en su artículo quinto, sexto y séptimo establecen lo siguiente:</w:t>
      </w:r>
    </w:p>
    <w:p w14:paraId="09F43369" w14:textId="77777777" w:rsidR="00C869DF" w:rsidRDefault="00C869DF" w:rsidP="00C869DF">
      <w:pPr>
        <w:spacing w:line="360" w:lineRule="auto"/>
        <w:jc w:val="both"/>
        <w:rPr>
          <w:rFonts w:ascii="Palatino Linotype" w:hAnsi="Palatino Linotype"/>
          <w:sz w:val="24"/>
        </w:rPr>
      </w:pPr>
    </w:p>
    <w:p w14:paraId="7DB23800" w14:textId="77777777" w:rsidR="00C869DF" w:rsidRPr="00C869DF" w:rsidRDefault="00C869DF" w:rsidP="00C869DF">
      <w:pPr>
        <w:pStyle w:val="Prrafodelista"/>
        <w:spacing w:line="360" w:lineRule="auto"/>
        <w:ind w:left="567" w:right="822"/>
        <w:jc w:val="both"/>
        <w:rPr>
          <w:rFonts w:ascii="Palatino Linotype" w:hAnsi="Palatino Linotype"/>
          <w:i/>
        </w:rPr>
      </w:pPr>
      <w:r w:rsidRPr="00C869DF">
        <w:rPr>
          <w:rFonts w:ascii="Palatino Linotype" w:hAnsi="Palatino Linotype"/>
          <w:b/>
          <w:i/>
        </w:rPr>
        <w:t>Quinto.</w:t>
      </w:r>
      <w:r w:rsidRPr="00C869DF">
        <w:rPr>
          <w:rFonts w:ascii="Palatino Linotype" w:hAnsi="Palatino Linotype"/>
          <w:i/>
        </w:rPr>
        <w:t xml:space="preserve"> La información que difundan y actualicen los sujetos obligados en su sección de Internet "Transparencia", así como en la Plataforma Nacional, deberá cumplir con los atributos de calidad de la información y accesibilidad en los siguientes términos:</w:t>
      </w:r>
    </w:p>
    <w:p w14:paraId="391B6670" w14:textId="77777777" w:rsidR="00C869DF" w:rsidRPr="00C869DF" w:rsidRDefault="00C869DF" w:rsidP="00C869DF">
      <w:pPr>
        <w:pStyle w:val="Prrafodelista"/>
        <w:spacing w:line="360" w:lineRule="auto"/>
        <w:ind w:left="567" w:right="822"/>
        <w:jc w:val="both"/>
        <w:rPr>
          <w:rFonts w:ascii="Palatino Linotype" w:hAnsi="Palatino Linotype"/>
          <w:i/>
        </w:rPr>
      </w:pPr>
    </w:p>
    <w:p w14:paraId="6B35BC10"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        Calidad de la información</w:t>
      </w:r>
      <w:r w:rsidRPr="00C869DF">
        <w:rPr>
          <w:rFonts w:ascii="Palatino Linotype" w:hAnsi="Palatino Linotype"/>
          <w:i/>
        </w:rPr>
        <w:t>. La información que se ponga a disposición de cualquier interesado, como resultado de las políticas públicas en materia de transparencia, debe ser veraz, confiable, oportuna, congruente, integral, actualizada, accesible, comprensible y verificable, y</w:t>
      </w:r>
    </w:p>
    <w:p w14:paraId="077CA8CD" w14:textId="77777777" w:rsidR="00C869DF" w:rsidRPr="00C869DF" w:rsidRDefault="00C869DF" w:rsidP="00C869DF">
      <w:pPr>
        <w:pStyle w:val="Prrafodelista"/>
        <w:ind w:left="851" w:right="822"/>
        <w:jc w:val="both"/>
        <w:rPr>
          <w:rFonts w:ascii="Palatino Linotype" w:hAnsi="Palatino Linotype"/>
          <w:i/>
        </w:rPr>
      </w:pPr>
    </w:p>
    <w:p w14:paraId="54648508"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II.       Accesibilidad.</w:t>
      </w:r>
      <w:r w:rsidRPr="00C869DF">
        <w:rPr>
          <w:rFonts w:ascii="Palatino Linotype" w:hAnsi="Palatino Linotype"/>
          <w:i/>
        </w:rPr>
        <w:t xml:space="preserve"> Se deberá facilitar la consulta de la información a las personas que no tienen acceso a Internet. Se dispondrá de equipos de cómputo con acceso a Internet en las oficinas de las Unidades de Transparencia para uso de los particulares que quieran consultar la información o utilizar el sistema que para el procedimiento de acceso a la información se establezca. Adicionalmente se utilizarán medios alternativos de difusión de la información, cuando en determinadas poblaciones esto resulte de más fácil acceso y comprensión.</w:t>
      </w:r>
    </w:p>
    <w:p w14:paraId="2F506577" w14:textId="77777777" w:rsidR="00C869DF" w:rsidRPr="00C869DF" w:rsidRDefault="00C869DF" w:rsidP="00C869DF">
      <w:pPr>
        <w:pStyle w:val="Prrafodelista"/>
        <w:spacing w:line="360" w:lineRule="auto"/>
        <w:ind w:left="567" w:right="822"/>
        <w:jc w:val="both"/>
        <w:rPr>
          <w:rFonts w:ascii="Palatino Linotype" w:hAnsi="Palatino Linotype"/>
          <w:i/>
        </w:rPr>
      </w:pPr>
    </w:p>
    <w:p w14:paraId="3A514CBD" w14:textId="77777777" w:rsidR="00C869DF" w:rsidRPr="00C869DF" w:rsidRDefault="00C869DF" w:rsidP="00C869DF">
      <w:pPr>
        <w:pStyle w:val="Prrafodelista"/>
        <w:spacing w:line="360" w:lineRule="auto"/>
        <w:ind w:left="567" w:right="822"/>
        <w:jc w:val="both"/>
        <w:rPr>
          <w:rFonts w:ascii="Palatino Linotype" w:hAnsi="Palatino Linotype"/>
          <w:i/>
        </w:rPr>
      </w:pPr>
      <w:r w:rsidRPr="00C869DF">
        <w:rPr>
          <w:rFonts w:ascii="Palatino Linotype" w:hAnsi="Palatino Linotype"/>
          <w:b/>
          <w:i/>
        </w:rPr>
        <w:t>Sexto.</w:t>
      </w:r>
      <w:r w:rsidRPr="00C869DF">
        <w:rPr>
          <w:rFonts w:ascii="Palatino Linotype" w:hAnsi="Palatino Linotype"/>
          <w:i/>
        </w:rPr>
        <w:t xml:space="preserve"> Con base en los atributos de calidad de la información y accesibilidad antes referidos, y en lo dispuesto por el artículo 61 de la Ley General, se establece que la información publicada en los portales de transparencia de los sujetos obligados y en la Plataforma Nacional, deberá contar además con las siguientes características: veracidad, confiabilidad, oportunidad, congruencia, integralidad, actualidad, accesibilidad, comprensibilidad y verificabilidad, las cuales se definen a continuación:</w:t>
      </w:r>
    </w:p>
    <w:p w14:paraId="5BF9C593"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        Veracidad:</w:t>
      </w:r>
      <w:r w:rsidRPr="00C869DF">
        <w:rPr>
          <w:rFonts w:ascii="Palatino Linotype" w:hAnsi="Palatino Linotype"/>
          <w:i/>
        </w:rPr>
        <w:t xml:space="preserve"> Que es exacta y dice, refiere o manifiesta siempre la verdad respecto de lo generado, utilizado o publicitado por el sujeto obligado en ejercicio de sus funciones o atribuciones;</w:t>
      </w:r>
    </w:p>
    <w:p w14:paraId="181D8D38"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II.       Confiabilidad:</w:t>
      </w:r>
      <w:r w:rsidRPr="00C869DF">
        <w:rPr>
          <w:rFonts w:ascii="Palatino Linotype" w:hAnsi="Palatino Linotype"/>
          <w:i/>
        </w:rPr>
        <w:t xml:space="preserve"> Que es creíble, fidedigna y sin error. Que proporciona elementos y/o datos que permiten la identificación de su origen, fecha de generación, de emisión y difusión;</w:t>
      </w:r>
    </w:p>
    <w:p w14:paraId="40BF57A3"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III.      Oportunidad:</w:t>
      </w:r>
      <w:r w:rsidRPr="00C869DF">
        <w:rPr>
          <w:rFonts w:ascii="Palatino Linotype" w:hAnsi="Palatino Linotype"/>
          <w:i/>
        </w:rPr>
        <w:t xml:space="preserve"> Que se publica a tiempo para preservar su valor y utilidad para la toma de decisiones de los usuarios;</w:t>
      </w:r>
    </w:p>
    <w:p w14:paraId="0791EE32"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IV.      Congruencia:</w:t>
      </w:r>
      <w:r w:rsidRPr="00C869DF">
        <w:rPr>
          <w:rFonts w:ascii="Palatino Linotype" w:hAnsi="Palatino Linotype"/>
          <w:i/>
        </w:rPr>
        <w:t xml:space="preserve"> Que mantiene relación y coherencia con otra información generada, utilizada y/o publicada por el sujeto obligado;</w:t>
      </w:r>
    </w:p>
    <w:p w14:paraId="046BAFD0"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V.      Integralidad:</w:t>
      </w:r>
      <w:r w:rsidRPr="00C869DF">
        <w:rPr>
          <w:rFonts w:ascii="Palatino Linotype" w:hAnsi="Palatino Linotype"/>
          <w:i/>
        </w:rPr>
        <w:t xml:space="preserve"> Que proporciona todos los datos, aspectos, partes o referentes necesarios para estar completa o ser global respecto del quehacer del sujeto obligado;</w:t>
      </w:r>
    </w:p>
    <w:p w14:paraId="32446228"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VI.      Actualidad:</w:t>
      </w:r>
      <w:r w:rsidRPr="00C869DF">
        <w:rPr>
          <w:rFonts w:ascii="Palatino Linotype" w:hAnsi="Palatino Linotype"/>
          <w:i/>
        </w:rPr>
        <w:t xml:space="preserve"> Que es la última versión de la información y es resultado de la adición, modificación o generación de datos a partir de las acciones y actividades del sujeto obligado en ejercicio de sus funciones o atribuciones;</w:t>
      </w:r>
    </w:p>
    <w:p w14:paraId="047656BA"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VII.     Accesibilidad:</w:t>
      </w:r>
      <w:r w:rsidRPr="00C869DF">
        <w:rPr>
          <w:rFonts w:ascii="Palatino Linotype" w:hAnsi="Palatino Linotype"/>
          <w:i/>
        </w:rPr>
        <w:t xml:space="preserve"> Que está presentada de tal manera que todas las personas pueden consultarla, examinarla y utilizarla independientemente de sus capacidades técnicas, cognitivas o físicas;</w:t>
      </w:r>
    </w:p>
    <w:p w14:paraId="4AE9C7E8" w14:textId="77777777" w:rsidR="00C869DF" w:rsidRP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VIII.    Comprensibilidad:</w:t>
      </w:r>
      <w:r w:rsidRPr="00C869DF">
        <w:rPr>
          <w:rFonts w:ascii="Palatino Linotype" w:hAnsi="Palatino Linotype"/>
          <w:i/>
        </w:rPr>
        <w:t xml:space="preserve"> Que es sencilla, clara y entendible para cualquier persona, y</w:t>
      </w:r>
    </w:p>
    <w:p w14:paraId="05A6DAD0" w14:textId="77777777" w:rsidR="00C869DF" w:rsidRDefault="00C869DF" w:rsidP="00C869DF">
      <w:pPr>
        <w:pStyle w:val="Prrafodelista"/>
        <w:ind w:left="851" w:right="822"/>
        <w:jc w:val="both"/>
        <w:rPr>
          <w:rFonts w:ascii="Palatino Linotype" w:hAnsi="Palatino Linotype"/>
          <w:i/>
        </w:rPr>
      </w:pPr>
      <w:r w:rsidRPr="00C869DF">
        <w:rPr>
          <w:rFonts w:ascii="Palatino Linotype" w:hAnsi="Palatino Linotype"/>
          <w:b/>
          <w:i/>
        </w:rPr>
        <w:t>IX.      Verificabilidad:</w:t>
      </w:r>
      <w:r w:rsidRPr="00C869DF">
        <w:rPr>
          <w:rFonts w:ascii="Palatino Linotype" w:hAnsi="Palatino Linotype"/>
          <w:i/>
        </w:rPr>
        <w:t xml:space="preserve"> Que es posible comprobar la veracidad de la información, así como examinar el método por el cual el sujeto obligado la generó.</w:t>
      </w:r>
    </w:p>
    <w:p w14:paraId="3AFF0FA8" w14:textId="77777777" w:rsidR="00C869DF" w:rsidRPr="00C869DF" w:rsidRDefault="00C869DF" w:rsidP="00C869DF">
      <w:pPr>
        <w:pStyle w:val="Prrafodelista"/>
        <w:spacing w:line="360" w:lineRule="auto"/>
        <w:ind w:left="851" w:right="822"/>
        <w:jc w:val="both"/>
        <w:rPr>
          <w:rFonts w:ascii="Palatino Linotype" w:hAnsi="Palatino Linotype"/>
          <w:i/>
        </w:rPr>
      </w:pPr>
    </w:p>
    <w:p w14:paraId="7EC32746" w14:textId="6D2514A2" w:rsidR="000E7474" w:rsidRPr="00C869DF" w:rsidRDefault="00C869DF" w:rsidP="00C869DF">
      <w:pPr>
        <w:pStyle w:val="Prrafodelista"/>
        <w:spacing w:line="360" w:lineRule="auto"/>
        <w:ind w:left="567" w:right="822"/>
        <w:jc w:val="both"/>
        <w:rPr>
          <w:rFonts w:ascii="Palatino Linotype" w:hAnsi="Palatino Linotype"/>
          <w:i/>
        </w:rPr>
      </w:pPr>
      <w:r w:rsidRPr="00C869DF">
        <w:rPr>
          <w:rFonts w:ascii="Palatino Linotype" w:hAnsi="Palatino Linotype"/>
          <w:b/>
          <w:i/>
        </w:rPr>
        <w:t>Séptimo.</w:t>
      </w:r>
      <w:r w:rsidRPr="00C869DF">
        <w:rPr>
          <w:rFonts w:ascii="Palatino Linotype" w:hAnsi="Palatino Linotype"/>
          <w:i/>
        </w:rPr>
        <w:t xml:space="preserve"> Los sujetos obligados usarán los formatos especificados en cada rubro de información incluidos en estos Lineamientos, con el objetivo de asegurar que la organización, presentación y publicación de ésta garantice su homologación y estandarización, como lo especifican los artículos 61 y 65 de la Ley General.</w:t>
      </w:r>
    </w:p>
    <w:p w14:paraId="1FC693BB" w14:textId="77777777" w:rsidR="000E7474" w:rsidRDefault="000E7474" w:rsidP="00C869DF">
      <w:pPr>
        <w:pStyle w:val="Prrafodelista"/>
        <w:spacing w:line="360" w:lineRule="auto"/>
        <w:ind w:left="0"/>
        <w:jc w:val="both"/>
        <w:rPr>
          <w:rFonts w:ascii="Palatino Linotype" w:hAnsi="Palatino Linotype"/>
          <w:sz w:val="24"/>
        </w:rPr>
      </w:pPr>
    </w:p>
    <w:p w14:paraId="201E249C" w14:textId="365570FA" w:rsidR="000E7474" w:rsidRDefault="00C869DF"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Los Lineamientos antes citados, establecen la metodología, los estándares mínimos y los formatos que han de seguir los Sujetos Obligados para la publicación de las oblig</w:t>
      </w:r>
      <w:r w:rsidR="006E4EA2">
        <w:rPr>
          <w:rFonts w:ascii="Palatino Linotype" w:hAnsi="Palatino Linotype"/>
          <w:sz w:val="24"/>
        </w:rPr>
        <w:t>aciones de transparencia, así como los aspectos generales y específicos relativos a cada una de las fracciones de la información pública de oficio, la cual deberá cumplir con las características antes referidas.</w:t>
      </w:r>
    </w:p>
    <w:p w14:paraId="159E03F5" w14:textId="77777777" w:rsidR="006E4EA2" w:rsidRDefault="006E4EA2" w:rsidP="006E4EA2">
      <w:pPr>
        <w:pStyle w:val="Prrafodelista"/>
        <w:spacing w:line="360" w:lineRule="auto"/>
        <w:ind w:left="0"/>
        <w:jc w:val="both"/>
        <w:rPr>
          <w:rFonts w:ascii="Palatino Linotype" w:hAnsi="Palatino Linotype"/>
          <w:sz w:val="24"/>
        </w:rPr>
      </w:pPr>
    </w:p>
    <w:p w14:paraId="2C7C4450" w14:textId="0226049F" w:rsidR="006E4EA2" w:rsidRDefault="006E4EA2"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En conclusión, la información solicitada por el Recurrente es la relativa a información pública de oficio, tanto a las obligaciones comunes como obligaciones específicas, razón por la que, el Sujeto Obligado no sólo debe generar, poseer y administrar, sino que, debe de poner a disposición del público de manera permanente y actualizada de forma sencilla, precisa y entendible en los respectivos medios electrónicos, de acuerdo con sus facultades, atribuciones, funciones u objeto social, según corresponda, resultando así que la información requerida, indudablemente debe obrar en los archivos del Sujeto Obligado y debe proporcionarse.</w:t>
      </w:r>
    </w:p>
    <w:p w14:paraId="3F6F2693" w14:textId="77777777" w:rsidR="000E7474" w:rsidRDefault="000E7474" w:rsidP="006E4EA2">
      <w:pPr>
        <w:pStyle w:val="Prrafodelista"/>
        <w:spacing w:line="360" w:lineRule="auto"/>
        <w:ind w:left="0"/>
        <w:jc w:val="both"/>
        <w:rPr>
          <w:rFonts w:ascii="Palatino Linotype" w:hAnsi="Palatino Linotype"/>
          <w:sz w:val="24"/>
        </w:rPr>
      </w:pPr>
    </w:p>
    <w:p w14:paraId="5BB1ABB2" w14:textId="0BCCE3E3" w:rsidR="00806ABD" w:rsidRDefault="00806ABD" w:rsidP="00806ABD">
      <w:pPr>
        <w:pStyle w:val="Prrafodelista"/>
        <w:numPr>
          <w:ilvl w:val="0"/>
          <w:numId w:val="2"/>
        </w:numPr>
        <w:spacing w:line="360" w:lineRule="auto"/>
        <w:ind w:left="0" w:firstLine="0"/>
        <w:jc w:val="both"/>
        <w:rPr>
          <w:rFonts w:ascii="Palatino Linotype" w:hAnsi="Palatino Linotype"/>
          <w:sz w:val="24"/>
        </w:rPr>
      </w:pPr>
      <w:r w:rsidRPr="00C5509C">
        <w:rPr>
          <w:rFonts w:ascii="Palatino Linotype" w:hAnsi="Palatino Linotype"/>
          <w:sz w:val="24"/>
        </w:rPr>
        <w:t xml:space="preserve">Ahora bien, de ser caso de que la información que se ordena contenga datos personales susceptibles de clasificarse como confidenciales, el Sujeto Obligado estará a lo dispuesto en el Considerando </w:t>
      </w:r>
      <w:r w:rsidR="006E4EA2">
        <w:rPr>
          <w:rFonts w:ascii="Palatino Linotype" w:hAnsi="Palatino Linotype"/>
          <w:sz w:val="24"/>
        </w:rPr>
        <w:t>QUINTO de la presente resolución.</w:t>
      </w:r>
    </w:p>
    <w:p w14:paraId="4E4F43A8" w14:textId="77777777" w:rsidR="006E4EA2" w:rsidRPr="006E4EA2" w:rsidRDefault="006E4EA2" w:rsidP="006E4EA2">
      <w:pPr>
        <w:pStyle w:val="Prrafodelista"/>
        <w:rPr>
          <w:rFonts w:ascii="Palatino Linotype" w:hAnsi="Palatino Linotype"/>
          <w:sz w:val="24"/>
        </w:rPr>
      </w:pPr>
    </w:p>
    <w:p w14:paraId="25D3B600" w14:textId="03275CD5" w:rsidR="006E4EA2" w:rsidRPr="006E4EA2" w:rsidRDefault="006E4EA2" w:rsidP="006E4EA2">
      <w:pPr>
        <w:pStyle w:val="Ttulo2"/>
        <w:numPr>
          <w:ilvl w:val="0"/>
          <w:numId w:val="20"/>
        </w:numPr>
        <w:rPr>
          <w:rFonts w:ascii="Palatino Linotype" w:hAnsi="Palatino Linotype"/>
          <w:b/>
          <w:color w:val="auto"/>
          <w:sz w:val="24"/>
        </w:rPr>
      </w:pPr>
      <w:bookmarkStart w:id="17" w:name="_Toc83311689"/>
      <w:r w:rsidRPr="006E4EA2">
        <w:rPr>
          <w:rFonts w:ascii="Palatino Linotype" w:hAnsi="Palatino Linotype"/>
          <w:b/>
          <w:color w:val="auto"/>
          <w:sz w:val="24"/>
        </w:rPr>
        <w:t>De la aplicabilidad.</w:t>
      </w:r>
      <w:bookmarkEnd w:id="17"/>
    </w:p>
    <w:p w14:paraId="45F9EA6D" w14:textId="77777777" w:rsidR="006E4EA2" w:rsidRDefault="006E4EA2" w:rsidP="006E4EA2">
      <w:pPr>
        <w:spacing w:line="360" w:lineRule="auto"/>
        <w:jc w:val="both"/>
        <w:rPr>
          <w:rFonts w:ascii="Palatino Linotype" w:hAnsi="Palatino Linotype"/>
          <w:sz w:val="24"/>
        </w:rPr>
      </w:pPr>
    </w:p>
    <w:p w14:paraId="53D6E4F8" w14:textId="21CA2BAD" w:rsidR="00802BC0" w:rsidRDefault="00802BC0" w:rsidP="00802BC0">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 xml:space="preserve">Los </w:t>
      </w:r>
      <w:r w:rsidRPr="00802BC0">
        <w:rPr>
          <w:rFonts w:ascii="Palatino Linotype" w:hAnsi="Palatino Linotype"/>
          <w:sz w:val="24"/>
        </w:rPr>
        <w:t>Lineamientos Técnicos Generales para publicación, homologación y estandarización de la información de las obligaciones establecidas en el título quinto y en la fracción IV del artículo 31 de la Ley General de Transparencia y Acceso a la Información Pública</w:t>
      </w:r>
      <w:r>
        <w:rPr>
          <w:rFonts w:ascii="Palatino Linotype" w:hAnsi="Palatino Linotype"/>
          <w:sz w:val="24"/>
        </w:rPr>
        <w:t xml:space="preserve"> en el artículo noveno establece lo siguiente:</w:t>
      </w:r>
    </w:p>
    <w:p w14:paraId="60BF3110" w14:textId="77777777" w:rsidR="00802BC0" w:rsidRDefault="00802BC0" w:rsidP="00802BC0">
      <w:pPr>
        <w:pStyle w:val="Prrafodelista"/>
        <w:spacing w:line="360" w:lineRule="auto"/>
        <w:ind w:left="0"/>
        <w:jc w:val="both"/>
        <w:rPr>
          <w:rFonts w:ascii="Palatino Linotype" w:hAnsi="Palatino Linotype"/>
          <w:sz w:val="24"/>
        </w:rPr>
      </w:pPr>
    </w:p>
    <w:p w14:paraId="5D34B0EE" w14:textId="77777777" w:rsidR="00802BC0" w:rsidRDefault="00802BC0" w:rsidP="00802BC0">
      <w:pPr>
        <w:pStyle w:val="Prrafodelista"/>
        <w:spacing w:line="360" w:lineRule="auto"/>
        <w:ind w:left="567" w:right="822"/>
        <w:jc w:val="both"/>
        <w:rPr>
          <w:rFonts w:ascii="Palatino Linotype" w:hAnsi="Palatino Linotype"/>
          <w:i/>
        </w:rPr>
      </w:pPr>
      <w:r w:rsidRPr="00802BC0">
        <w:rPr>
          <w:rFonts w:ascii="Palatino Linotype" w:hAnsi="Palatino Linotype"/>
          <w:b/>
          <w:i/>
        </w:rPr>
        <w:t>Noveno.</w:t>
      </w:r>
      <w:r w:rsidRPr="00802BC0">
        <w:rPr>
          <w:rFonts w:ascii="Palatino Linotype" w:hAnsi="Palatino Linotype"/>
          <w:i/>
        </w:rPr>
        <w:t xml:space="preserve"> Las políticas de aplicabilidad de la información son las siguientes:</w:t>
      </w:r>
    </w:p>
    <w:p w14:paraId="5D862AD7" w14:textId="77777777" w:rsidR="00802BC0" w:rsidRPr="00802BC0" w:rsidRDefault="00802BC0" w:rsidP="00802BC0">
      <w:pPr>
        <w:pStyle w:val="Prrafodelista"/>
        <w:spacing w:line="360" w:lineRule="auto"/>
        <w:ind w:left="567" w:right="822"/>
        <w:jc w:val="both"/>
        <w:rPr>
          <w:rFonts w:ascii="Palatino Linotype" w:hAnsi="Palatino Linotype"/>
          <w:i/>
        </w:rPr>
      </w:pPr>
    </w:p>
    <w:p w14:paraId="49749066" w14:textId="31CA9F4A" w:rsidR="00802BC0" w:rsidRPr="00802BC0" w:rsidRDefault="00802BC0" w:rsidP="00802BC0">
      <w:pPr>
        <w:pStyle w:val="Prrafodelista"/>
        <w:spacing w:line="360" w:lineRule="auto"/>
        <w:ind w:left="851" w:right="822" w:hanging="284"/>
        <w:jc w:val="both"/>
        <w:rPr>
          <w:rFonts w:ascii="Palatino Linotype" w:hAnsi="Palatino Linotype"/>
          <w:i/>
        </w:rPr>
      </w:pPr>
      <w:r w:rsidRPr="00802BC0">
        <w:rPr>
          <w:rFonts w:ascii="Palatino Linotype" w:hAnsi="Palatino Linotype"/>
          <w:i/>
        </w:rPr>
        <w:t xml:space="preserve">I. Como se indica en </w:t>
      </w:r>
      <w:r w:rsidRPr="00802BC0">
        <w:rPr>
          <w:rFonts w:ascii="Palatino Linotype" w:hAnsi="Palatino Linotype"/>
          <w:b/>
          <w:i/>
        </w:rPr>
        <w:t>la Tabla de aplicabilidad</w:t>
      </w:r>
      <w:r w:rsidRPr="00802BC0">
        <w:rPr>
          <w:rFonts w:ascii="Palatino Linotype" w:hAnsi="Palatino Linotype"/>
          <w:i/>
        </w:rPr>
        <w:t xml:space="preserve"> de las Obligaciones de Transparencia Comunes genérica, incluida en estos Lineamientos, las 48 fracciones del artículo 70 </w:t>
      </w:r>
      <w:r w:rsidRPr="00802BC0">
        <w:rPr>
          <w:rFonts w:ascii="Palatino Linotype" w:hAnsi="Palatino Linotype"/>
          <w:b/>
          <w:i/>
        </w:rPr>
        <w:t>se refieren a información que todos los sujetos obligados generan</w:t>
      </w:r>
      <w:r w:rsidRPr="00802BC0">
        <w:rPr>
          <w:rFonts w:ascii="Palatino Linotype" w:hAnsi="Palatino Linotype"/>
          <w:i/>
        </w:rPr>
        <w:t xml:space="preserve">. Con fundamento en lo señalado en el último párrafo del Artículo 70 de la Ley General, </w:t>
      </w:r>
      <w:r w:rsidRPr="00802BC0">
        <w:rPr>
          <w:rFonts w:ascii="Palatino Linotype" w:hAnsi="Palatino Linotype"/>
          <w:b/>
          <w:i/>
        </w:rPr>
        <w:t>los sujetos obligados deberán informar a los organismos garantes</w:t>
      </w:r>
      <w:r w:rsidRPr="00802BC0">
        <w:rPr>
          <w:rFonts w:ascii="Palatino Linotype" w:hAnsi="Palatino Linotype"/>
          <w:i/>
        </w:rPr>
        <w:t xml:space="preserve"> </w:t>
      </w:r>
      <w:r w:rsidRPr="00802BC0">
        <w:rPr>
          <w:rFonts w:ascii="Palatino Linotype" w:hAnsi="Palatino Linotype"/>
          <w:b/>
          <w:i/>
        </w:rPr>
        <w:t>la relación</w:t>
      </w:r>
      <w:r w:rsidRPr="00802BC0">
        <w:rPr>
          <w:rFonts w:ascii="Palatino Linotype" w:hAnsi="Palatino Linotype"/>
          <w:i/>
        </w:rPr>
        <w:t xml:space="preserve"> </w:t>
      </w:r>
      <w:r w:rsidRPr="00802BC0">
        <w:rPr>
          <w:rFonts w:ascii="Palatino Linotype" w:hAnsi="Palatino Linotype"/>
          <w:b/>
          <w:i/>
        </w:rPr>
        <w:t>de fracciones que les aplican y, en su caso, de forma fundamentada y motivada, las que no le aplican.</w:t>
      </w:r>
      <w:r w:rsidRPr="00802BC0">
        <w:rPr>
          <w:rFonts w:ascii="Palatino Linotype" w:hAnsi="Palatino Linotype"/>
          <w:i/>
        </w:rPr>
        <w:t xml:space="preserve"> </w:t>
      </w:r>
      <w:r w:rsidRPr="00802BC0">
        <w:rPr>
          <w:rFonts w:ascii="Palatino Linotype" w:hAnsi="Palatino Linotype"/>
          <w:b/>
          <w:i/>
        </w:rPr>
        <w:t>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w:t>
      </w:r>
    </w:p>
    <w:p w14:paraId="4BB8D354" w14:textId="093E302B" w:rsidR="00802BC0" w:rsidRPr="00802BC0" w:rsidRDefault="00802BC0" w:rsidP="00802BC0">
      <w:pPr>
        <w:pStyle w:val="Prrafodelista"/>
        <w:spacing w:line="360" w:lineRule="auto"/>
        <w:ind w:left="851" w:right="822" w:hanging="284"/>
        <w:jc w:val="both"/>
        <w:rPr>
          <w:rFonts w:ascii="Palatino Linotype" w:hAnsi="Palatino Linotype"/>
          <w:i/>
        </w:rPr>
      </w:pPr>
      <w:r w:rsidRPr="00802BC0">
        <w:rPr>
          <w:rFonts w:ascii="Palatino Linotype" w:hAnsi="Palatino Linotype"/>
          <w:i/>
        </w:rPr>
        <w:t>II. La información derivada de las obligaciones de transparencia debe existir si se refiere a las facultades,</w:t>
      </w:r>
      <w:r>
        <w:rPr>
          <w:rFonts w:ascii="Palatino Linotype" w:hAnsi="Palatino Linotype"/>
          <w:i/>
        </w:rPr>
        <w:t xml:space="preserve"> </w:t>
      </w:r>
      <w:r w:rsidRPr="00802BC0">
        <w:rPr>
          <w:rFonts w:ascii="Palatino Linotype" w:hAnsi="Palatino Linotype"/>
          <w:i/>
        </w:rPr>
        <w:t>competencias y funciones que los ordenamientos jurídicos y administrativos otorgan a los sujetos obligados, conforme lo señalado por el artículo 19 de la Ley General; en caso de que ciertas facultades, competencias o funciones no se hayan ejercido por parte del sujeto obligado y, en consecuencia, esté imposibilitado para publicar y actualizar alguna obligación de transparencia, no deberá incluirse como un rubro o fracción que no le aplica, sino que la información que deberá publicar y actualizar consiste en la exposición de los motivos y causas de la inexistencia de dicha información, y</w:t>
      </w:r>
    </w:p>
    <w:p w14:paraId="63FA3ECC" w14:textId="6164FCFF" w:rsidR="00802BC0" w:rsidRPr="00802BC0" w:rsidRDefault="00802BC0" w:rsidP="00802BC0">
      <w:pPr>
        <w:pStyle w:val="Prrafodelista"/>
        <w:spacing w:line="360" w:lineRule="auto"/>
        <w:ind w:left="851" w:right="822" w:hanging="284"/>
        <w:jc w:val="both"/>
        <w:rPr>
          <w:rFonts w:ascii="Palatino Linotype" w:hAnsi="Palatino Linotype"/>
          <w:b/>
          <w:i/>
        </w:rPr>
      </w:pPr>
      <w:r w:rsidRPr="00802BC0">
        <w:rPr>
          <w:rFonts w:ascii="Palatino Linotype" w:hAnsi="Palatino Linotype"/>
          <w:i/>
        </w:rPr>
        <w:t>III.</w:t>
      </w:r>
      <w:r>
        <w:rPr>
          <w:rFonts w:ascii="Palatino Linotype" w:hAnsi="Palatino Linotype"/>
          <w:i/>
        </w:rPr>
        <w:t xml:space="preserve"> </w:t>
      </w:r>
      <w:r w:rsidRPr="00802BC0">
        <w:rPr>
          <w:rFonts w:ascii="Palatino Linotype" w:hAnsi="Palatino Linotype"/>
          <w:b/>
          <w:i/>
        </w:rPr>
        <w:t xml:space="preserve">Los organismos garantes publicarán en su sección de Transparencia la Tabla de aplicabilidad de las Obligaciones de Transparencia comunes y específicas de todos los sujetos obligados </w:t>
      </w:r>
      <w:r w:rsidRPr="00802BC0">
        <w:rPr>
          <w:rFonts w:ascii="Palatino Linotype" w:hAnsi="Palatino Linotype"/>
          <w:i/>
        </w:rPr>
        <w:t xml:space="preserve">que se incluyen en el padrón federal y de la Entidad Federativa que les corresponda. Por otra parte, </w:t>
      </w:r>
      <w:r w:rsidRPr="00802BC0">
        <w:rPr>
          <w:rFonts w:ascii="Palatino Linotype" w:hAnsi="Palatino Linotype"/>
          <w:b/>
          <w:i/>
        </w:rPr>
        <w:t>los sujetos obligados publicarán la Tabla de aplicabilidad de las Obligaciones de Transparencia comunes y específicas que les corresponda individualmente, la cual deberá ser verificada y aprobada por el organismo garante respectivo.</w:t>
      </w:r>
    </w:p>
    <w:p w14:paraId="124805BC" w14:textId="77777777" w:rsidR="00802BC0" w:rsidRPr="00802BC0" w:rsidRDefault="00802BC0" w:rsidP="00802BC0">
      <w:pPr>
        <w:pStyle w:val="Prrafodelista"/>
        <w:spacing w:line="360" w:lineRule="auto"/>
        <w:ind w:left="0"/>
        <w:jc w:val="both"/>
        <w:rPr>
          <w:rFonts w:ascii="Palatino Linotype" w:hAnsi="Palatino Linotype"/>
          <w:sz w:val="24"/>
        </w:rPr>
      </w:pPr>
    </w:p>
    <w:p w14:paraId="1FCD239C" w14:textId="48DC452C" w:rsidR="00FE26E6" w:rsidRDefault="00802BC0"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Se entiende como “tabla de aplicabilidad”</w:t>
      </w:r>
      <w:r w:rsidR="00FE26E6">
        <w:rPr>
          <w:rFonts w:ascii="Palatino Linotype" w:hAnsi="Palatino Linotype"/>
          <w:sz w:val="24"/>
        </w:rPr>
        <w:t xml:space="preserve"> al</w:t>
      </w:r>
      <w:r>
        <w:rPr>
          <w:rFonts w:ascii="Palatino Linotype" w:hAnsi="Palatino Linotype"/>
          <w:sz w:val="24"/>
        </w:rPr>
        <w:t xml:space="preserve"> documento en donde constan las </w:t>
      </w:r>
      <w:r w:rsidR="00FE26E6">
        <w:rPr>
          <w:rFonts w:ascii="Palatino Linotype" w:hAnsi="Palatino Linotype"/>
          <w:sz w:val="24"/>
        </w:rPr>
        <w:t xml:space="preserve">obligaciones de transparencia común y las obligaciones de transparencia especificas relativas a cada sujeto obligado. Asimismo es necesario enfatizar que, cada sujeto obligado es responsable de realizar de la correspondiente tabla de aplicabilidad señalando las fracciones que les son aplicables y, </w:t>
      </w:r>
      <w:r w:rsidR="00FE26E6" w:rsidRPr="00FE26E6">
        <w:rPr>
          <w:rFonts w:ascii="Palatino Linotype" w:hAnsi="Palatino Linotype"/>
          <w:b/>
          <w:sz w:val="24"/>
        </w:rPr>
        <w:t>de manera fundada y motivada</w:t>
      </w:r>
      <w:r w:rsidR="00FE26E6">
        <w:rPr>
          <w:rFonts w:ascii="Palatino Linotype" w:hAnsi="Palatino Linotype"/>
          <w:b/>
          <w:sz w:val="24"/>
        </w:rPr>
        <w:t>, aquellas que no les aplican, enfatizando que no se trata de información que no se haya generado en un periodo determinado, sino que, de acuerdo a sus facultades competencias y funciones otorgadas por los ordenamientos legales aplicables.</w:t>
      </w:r>
    </w:p>
    <w:p w14:paraId="5A216192" w14:textId="77777777" w:rsidR="00FE26E6" w:rsidRDefault="00FE26E6" w:rsidP="00FE26E6">
      <w:pPr>
        <w:pStyle w:val="Prrafodelista"/>
        <w:spacing w:line="360" w:lineRule="auto"/>
        <w:ind w:left="0"/>
        <w:jc w:val="both"/>
        <w:rPr>
          <w:rFonts w:ascii="Palatino Linotype" w:hAnsi="Palatino Linotype"/>
          <w:sz w:val="24"/>
        </w:rPr>
      </w:pPr>
    </w:p>
    <w:p w14:paraId="09521D8A" w14:textId="59986149" w:rsidR="00FE26E6" w:rsidRDefault="00FE26E6"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Es importante mencionar que, los Sujetos Obligados son responsables de elaborar su tabla de aplicabilidad; sin embargo, el Instituto de Transparencia, Acceso a la Información Pública y Protección de Datos Personales del Estado de México y Municipios tiene la alta responsabilidad de verificar y aprobar dicho instrumento.</w:t>
      </w:r>
    </w:p>
    <w:p w14:paraId="7F63CAA4" w14:textId="77777777" w:rsidR="00FE26E6" w:rsidRPr="00FE26E6" w:rsidRDefault="00FE26E6" w:rsidP="00FE26E6">
      <w:pPr>
        <w:pStyle w:val="Prrafodelista"/>
        <w:rPr>
          <w:rFonts w:ascii="Palatino Linotype" w:hAnsi="Palatino Linotype"/>
          <w:sz w:val="24"/>
        </w:rPr>
      </w:pPr>
    </w:p>
    <w:p w14:paraId="3F0FED16" w14:textId="500A68DB" w:rsidR="00FE26E6" w:rsidRDefault="00FE26E6"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En consecuencia, se procedió a la verificación de la tabla de aplicabilidad</w:t>
      </w:r>
      <w:r w:rsidR="00CD51DB">
        <w:rPr>
          <w:rStyle w:val="Refdenotaalpie"/>
          <w:rFonts w:ascii="Palatino Linotype" w:hAnsi="Palatino Linotype"/>
          <w:sz w:val="24"/>
        </w:rPr>
        <w:footnoteReference w:id="7"/>
      </w:r>
      <w:r>
        <w:rPr>
          <w:rFonts w:ascii="Palatino Linotype" w:hAnsi="Palatino Linotype"/>
          <w:sz w:val="24"/>
        </w:rPr>
        <w:t xml:space="preserve"> del Sujeto Obligado, la cual se localizó en la página oficial de este Órgano Garante </w:t>
      </w:r>
    </w:p>
    <w:p w14:paraId="61074DAA" w14:textId="7E85158E" w:rsidR="00FE26E6" w:rsidRPr="00FE26E6" w:rsidRDefault="00FE26E6" w:rsidP="00FE26E6">
      <w:pPr>
        <w:pStyle w:val="Prrafodelista"/>
        <w:rPr>
          <w:rFonts w:ascii="Palatino Linotype" w:hAnsi="Palatino Linotype"/>
          <w:sz w:val="24"/>
        </w:rPr>
      </w:pPr>
    </w:p>
    <w:p w14:paraId="04B23120" w14:textId="36E3815F" w:rsidR="00CD51DB" w:rsidRDefault="00CD51DB" w:rsidP="00DD04F7">
      <w:pPr>
        <w:pStyle w:val="Prrafodelista"/>
        <w:spacing w:line="360" w:lineRule="auto"/>
        <w:ind w:left="0"/>
        <w:jc w:val="center"/>
        <w:rPr>
          <w:rFonts w:ascii="Palatino Linotype" w:hAnsi="Palatino Linotype"/>
          <w:sz w:val="24"/>
        </w:rPr>
      </w:pPr>
      <w:r>
        <w:rPr>
          <w:noProof/>
          <w:lang w:eastAsia="es-MX"/>
        </w:rPr>
        <w:drawing>
          <wp:inline distT="0" distB="0" distL="0" distR="0" wp14:anchorId="50E6D90D" wp14:editId="3DF02F90">
            <wp:extent cx="4080294" cy="500139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01" t="19855" r="35692" b="6255"/>
                    <a:stretch/>
                  </pic:blipFill>
                  <pic:spPr bwMode="auto">
                    <a:xfrm>
                      <a:off x="0" y="0"/>
                      <a:ext cx="4101119" cy="5026916"/>
                    </a:xfrm>
                    <a:prstGeom prst="rect">
                      <a:avLst/>
                    </a:prstGeom>
                    <a:ln>
                      <a:noFill/>
                    </a:ln>
                    <a:extLst>
                      <a:ext uri="{53640926-AAD7-44D8-BBD7-CCE9431645EC}">
                        <a14:shadowObscured xmlns:a14="http://schemas.microsoft.com/office/drawing/2010/main"/>
                      </a:ext>
                    </a:extLst>
                  </pic:spPr>
                </pic:pic>
              </a:graphicData>
            </a:graphic>
          </wp:inline>
        </w:drawing>
      </w:r>
    </w:p>
    <w:p w14:paraId="0989DDE6" w14:textId="6C65FCD5" w:rsidR="00CD51DB" w:rsidRDefault="00CD51DB" w:rsidP="00CD51DB">
      <w:pPr>
        <w:pStyle w:val="Prrafodelista"/>
        <w:spacing w:line="360" w:lineRule="auto"/>
        <w:ind w:left="0"/>
        <w:jc w:val="both"/>
        <w:rPr>
          <w:rFonts w:ascii="Palatino Linotype" w:hAnsi="Palatino Linotype"/>
          <w:sz w:val="24"/>
        </w:rPr>
      </w:pPr>
      <w:r>
        <w:rPr>
          <w:noProof/>
          <w:lang w:eastAsia="es-MX"/>
        </w:rPr>
        <w:drawing>
          <wp:inline distT="0" distB="0" distL="0" distR="0" wp14:anchorId="1FA162C1" wp14:editId="1291517F">
            <wp:extent cx="5688280" cy="7266944"/>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96" t="16911" r="35484" b="5138"/>
                    <a:stretch/>
                  </pic:blipFill>
                  <pic:spPr bwMode="auto">
                    <a:xfrm>
                      <a:off x="0" y="0"/>
                      <a:ext cx="5697910" cy="7279247"/>
                    </a:xfrm>
                    <a:prstGeom prst="rect">
                      <a:avLst/>
                    </a:prstGeom>
                    <a:ln>
                      <a:noFill/>
                    </a:ln>
                    <a:extLst>
                      <a:ext uri="{53640926-AAD7-44D8-BBD7-CCE9431645EC}">
                        <a14:shadowObscured xmlns:a14="http://schemas.microsoft.com/office/drawing/2010/main"/>
                      </a:ext>
                    </a:extLst>
                  </pic:spPr>
                </pic:pic>
              </a:graphicData>
            </a:graphic>
          </wp:inline>
        </w:drawing>
      </w:r>
    </w:p>
    <w:p w14:paraId="1EC65960" w14:textId="7B24D0D4" w:rsidR="00CD51DB" w:rsidRDefault="00CD51DB" w:rsidP="00CD51DB">
      <w:pPr>
        <w:pStyle w:val="Prrafodelista"/>
        <w:spacing w:line="360" w:lineRule="auto"/>
        <w:ind w:left="0"/>
        <w:jc w:val="both"/>
        <w:rPr>
          <w:rFonts w:ascii="Palatino Linotype" w:hAnsi="Palatino Linotype"/>
          <w:sz w:val="24"/>
        </w:rPr>
      </w:pPr>
      <w:r>
        <w:rPr>
          <w:noProof/>
          <w:lang w:eastAsia="es-MX"/>
        </w:rPr>
        <w:drawing>
          <wp:inline distT="0" distB="0" distL="0" distR="0" wp14:anchorId="4E6C59DD" wp14:editId="44C7E615">
            <wp:extent cx="5474524" cy="5306125"/>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12" t="22425" r="35691" b="19853"/>
                    <a:stretch/>
                  </pic:blipFill>
                  <pic:spPr bwMode="auto">
                    <a:xfrm>
                      <a:off x="0" y="0"/>
                      <a:ext cx="5487135" cy="5318349"/>
                    </a:xfrm>
                    <a:prstGeom prst="rect">
                      <a:avLst/>
                    </a:prstGeom>
                    <a:ln>
                      <a:noFill/>
                    </a:ln>
                    <a:extLst>
                      <a:ext uri="{53640926-AAD7-44D8-BBD7-CCE9431645EC}">
                        <a14:shadowObscured xmlns:a14="http://schemas.microsoft.com/office/drawing/2010/main"/>
                      </a:ext>
                    </a:extLst>
                  </pic:spPr>
                </pic:pic>
              </a:graphicData>
            </a:graphic>
          </wp:inline>
        </w:drawing>
      </w:r>
    </w:p>
    <w:p w14:paraId="6BF01E6B" w14:textId="77777777" w:rsidR="00CD51DB" w:rsidRDefault="00CD51DB" w:rsidP="00CD51DB">
      <w:pPr>
        <w:pStyle w:val="Prrafodelista"/>
        <w:spacing w:line="360" w:lineRule="auto"/>
        <w:ind w:left="0"/>
        <w:jc w:val="both"/>
        <w:rPr>
          <w:rFonts w:ascii="Palatino Linotype" w:hAnsi="Palatino Linotype"/>
          <w:sz w:val="24"/>
        </w:rPr>
      </w:pPr>
    </w:p>
    <w:p w14:paraId="41B88552" w14:textId="5EDADC5F" w:rsidR="00AE79F4" w:rsidRDefault="00CD51DB"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De la anterior tabla de aplicabilidad, se aprecia que le son aplicables al Sujeto Obligado</w:t>
      </w:r>
      <w:r w:rsidR="00AE79F4">
        <w:rPr>
          <w:rFonts w:ascii="Palatino Linotype" w:hAnsi="Palatino Linotype"/>
          <w:sz w:val="24"/>
        </w:rPr>
        <w:t xml:space="preserve"> todas las fracciones del artículo 92 y 94 de la Ley de Trasparencia y Acceso a la Información Pública del Estado de México y Municipios, a excepción de las siguientes:</w:t>
      </w:r>
    </w:p>
    <w:p w14:paraId="024CFEE2" w14:textId="77777777" w:rsidR="00AE79F4" w:rsidRDefault="00AE79F4" w:rsidP="00AE79F4">
      <w:pPr>
        <w:pStyle w:val="Prrafodelista"/>
        <w:spacing w:line="360" w:lineRule="auto"/>
        <w:ind w:left="0"/>
        <w:jc w:val="both"/>
        <w:rPr>
          <w:rFonts w:ascii="Palatino Linotype" w:hAnsi="Palatino Linotype"/>
          <w:sz w:val="24"/>
        </w:rPr>
      </w:pPr>
    </w:p>
    <w:tbl>
      <w:tblPr>
        <w:tblStyle w:val="Tablaconcuadrcula"/>
        <w:tblW w:w="9067" w:type="dxa"/>
        <w:tblLook w:val="04A0" w:firstRow="1" w:lastRow="0" w:firstColumn="1" w:lastColumn="0" w:noHBand="0" w:noVBand="1"/>
      </w:tblPr>
      <w:tblGrid>
        <w:gridCol w:w="2122"/>
        <w:gridCol w:w="1137"/>
        <w:gridCol w:w="921"/>
        <w:gridCol w:w="4887"/>
      </w:tblGrid>
      <w:tr w:rsidR="00D05D43" w14:paraId="79CB5B8C" w14:textId="77777777" w:rsidTr="00D05D43">
        <w:tc>
          <w:tcPr>
            <w:tcW w:w="9067" w:type="dxa"/>
            <w:gridSpan w:val="4"/>
          </w:tcPr>
          <w:p w14:paraId="36586FF2" w14:textId="7CF786E5"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Información que no es aplicable al Sujeto Obligado</w:t>
            </w:r>
          </w:p>
        </w:tc>
      </w:tr>
      <w:tr w:rsidR="00D05D43" w14:paraId="25447FCC" w14:textId="77777777" w:rsidTr="00D05D43">
        <w:tc>
          <w:tcPr>
            <w:tcW w:w="2122" w:type="dxa"/>
          </w:tcPr>
          <w:p w14:paraId="0983F263" w14:textId="404A21DA"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Artículo de la Ley de Transparencia Local</w:t>
            </w:r>
          </w:p>
        </w:tc>
        <w:tc>
          <w:tcPr>
            <w:tcW w:w="1137" w:type="dxa"/>
          </w:tcPr>
          <w:p w14:paraId="25F6826E" w14:textId="51343B9A"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Fracción</w:t>
            </w:r>
          </w:p>
        </w:tc>
        <w:tc>
          <w:tcPr>
            <w:tcW w:w="921" w:type="dxa"/>
          </w:tcPr>
          <w:p w14:paraId="7CF66DDB" w14:textId="189D7503"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Inciso</w:t>
            </w:r>
          </w:p>
        </w:tc>
        <w:tc>
          <w:tcPr>
            <w:tcW w:w="4887" w:type="dxa"/>
          </w:tcPr>
          <w:p w14:paraId="3346269F" w14:textId="173E0703" w:rsidR="00D05D43" w:rsidRPr="00DD04F7" w:rsidRDefault="00D05D43" w:rsidP="00D05D43">
            <w:pPr>
              <w:pStyle w:val="Prrafodelista"/>
              <w:tabs>
                <w:tab w:val="left" w:pos="1608"/>
                <w:tab w:val="center" w:pos="2335"/>
              </w:tabs>
              <w:spacing w:line="360" w:lineRule="auto"/>
              <w:ind w:left="0"/>
              <w:rPr>
                <w:rFonts w:ascii="Palatino Linotype" w:hAnsi="Palatino Linotype"/>
                <w:b/>
                <w:sz w:val="18"/>
                <w:szCs w:val="20"/>
              </w:rPr>
            </w:pPr>
            <w:r w:rsidRPr="00DD04F7">
              <w:rPr>
                <w:rFonts w:ascii="Palatino Linotype" w:hAnsi="Palatino Linotype"/>
                <w:b/>
                <w:sz w:val="18"/>
                <w:szCs w:val="20"/>
              </w:rPr>
              <w:tab/>
            </w:r>
            <w:r w:rsidRPr="00DD04F7">
              <w:rPr>
                <w:rFonts w:ascii="Palatino Linotype" w:hAnsi="Palatino Linotype"/>
                <w:b/>
                <w:sz w:val="18"/>
                <w:szCs w:val="20"/>
              </w:rPr>
              <w:tab/>
              <w:t>Información</w:t>
            </w:r>
          </w:p>
        </w:tc>
      </w:tr>
      <w:tr w:rsidR="00D05D43" w14:paraId="5535F401" w14:textId="77777777" w:rsidTr="00D05D43">
        <w:tc>
          <w:tcPr>
            <w:tcW w:w="2122" w:type="dxa"/>
          </w:tcPr>
          <w:p w14:paraId="4FE78D60" w14:textId="39E8DB20"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92</w:t>
            </w:r>
          </w:p>
        </w:tc>
        <w:tc>
          <w:tcPr>
            <w:tcW w:w="1137" w:type="dxa"/>
          </w:tcPr>
          <w:p w14:paraId="012774AB" w14:textId="62F70D66"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XIII</w:t>
            </w:r>
          </w:p>
        </w:tc>
        <w:tc>
          <w:tcPr>
            <w:tcW w:w="921" w:type="dxa"/>
          </w:tcPr>
          <w:p w14:paraId="61B380F6" w14:textId="6B9EB7F9"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w:t>
            </w:r>
          </w:p>
        </w:tc>
        <w:tc>
          <w:tcPr>
            <w:tcW w:w="4887" w:type="dxa"/>
          </w:tcPr>
          <w:p w14:paraId="51340F26" w14:textId="0A57AB2D"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La información en versión pública de las declaraciones patrimoniales y de intereses de los servidores públicos que así lo determinen, en los sistemas habilitados para ello, de acuerdo a la normatividad aplicable</w:t>
            </w:r>
          </w:p>
        </w:tc>
      </w:tr>
      <w:tr w:rsidR="00D05D43" w14:paraId="0C077AC1" w14:textId="77777777" w:rsidTr="00D05D43">
        <w:tc>
          <w:tcPr>
            <w:tcW w:w="2122" w:type="dxa"/>
          </w:tcPr>
          <w:p w14:paraId="11DEA3FB" w14:textId="352B28ED"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92</w:t>
            </w:r>
          </w:p>
        </w:tc>
        <w:tc>
          <w:tcPr>
            <w:tcW w:w="1137" w:type="dxa"/>
          </w:tcPr>
          <w:p w14:paraId="254590F4" w14:textId="3AC9E569"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XXII</w:t>
            </w:r>
          </w:p>
        </w:tc>
        <w:tc>
          <w:tcPr>
            <w:tcW w:w="921" w:type="dxa"/>
          </w:tcPr>
          <w:p w14:paraId="78D6A007" w14:textId="4304BB07"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w:t>
            </w:r>
          </w:p>
        </w:tc>
        <w:tc>
          <w:tcPr>
            <w:tcW w:w="4887" w:type="dxa"/>
          </w:tcPr>
          <w:p w14:paraId="5F38404C" w14:textId="6C250C6E"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El listado de Servidores Públicos con sanciones administrativas definitivas, especificando la causa de sanción y la disposición;</w:t>
            </w:r>
          </w:p>
        </w:tc>
      </w:tr>
      <w:tr w:rsidR="00D05D43" w14:paraId="3C8FA39C" w14:textId="77777777" w:rsidTr="00D05D43">
        <w:tc>
          <w:tcPr>
            <w:tcW w:w="2122" w:type="dxa"/>
          </w:tcPr>
          <w:p w14:paraId="15FCFB1C" w14:textId="53CDDED1"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92</w:t>
            </w:r>
          </w:p>
        </w:tc>
        <w:tc>
          <w:tcPr>
            <w:tcW w:w="1137" w:type="dxa"/>
          </w:tcPr>
          <w:p w14:paraId="253A0F1B" w14:textId="4373CCCA"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XXXI</w:t>
            </w:r>
          </w:p>
        </w:tc>
        <w:tc>
          <w:tcPr>
            <w:tcW w:w="921" w:type="dxa"/>
          </w:tcPr>
          <w:p w14:paraId="3F623F8C" w14:textId="2787C0DA"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w:t>
            </w:r>
          </w:p>
        </w:tc>
        <w:tc>
          <w:tcPr>
            <w:tcW w:w="4887" w:type="dxa"/>
          </w:tcPr>
          <w:p w14:paraId="704FB2EA" w14:textId="645AD1F1"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tc>
      </w:tr>
      <w:tr w:rsidR="00D05D43" w14:paraId="1E781ACC" w14:textId="77777777" w:rsidTr="00D05D43">
        <w:tc>
          <w:tcPr>
            <w:tcW w:w="2122" w:type="dxa"/>
          </w:tcPr>
          <w:p w14:paraId="6D846106" w14:textId="1BE9E626"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92</w:t>
            </w:r>
          </w:p>
        </w:tc>
        <w:tc>
          <w:tcPr>
            <w:tcW w:w="1137" w:type="dxa"/>
          </w:tcPr>
          <w:p w14:paraId="0A8B1CB8" w14:textId="6C54379B"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XLVI</w:t>
            </w:r>
          </w:p>
        </w:tc>
        <w:tc>
          <w:tcPr>
            <w:tcW w:w="921" w:type="dxa"/>
          </w:tcPr>
          <w:p w14:paraId="15D963F0" w14:textId="1DFE45B6"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w:t>
            </w:r>
          </w:p>
        </w:tc>
        <w:tc>
          <w:tcPr>
            <w:tcW w:w="4887" w:type="dxa"/>
          </w:tcPr>
          <w:p w14:paraId="3D166045" w14:textId="76520F82"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El listado de jubilados y pensionados y el monto que reciben;</w:t>
            </w:r>
          </w:p>
        </w:tc>
      </w:tr>
      <w:tr w:rsidR="00D05D43" w14:paraId="2FB24176" w14:textId="77777777" w:rsidTr="00D05D43">
        <w:tc>
          <w:tcPr>
            <w:tcW w:w="2122" w:type="dxa"/>
          </w:tcPr>
          <w:p w14:paraId="00A8D4E3" w14:textId="772EFAB2"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92</w:t>
            </w:r>
          </w:p>
        </w:tc>
        <w:tc>
          <w:tcPr>
            <w:tcW w:w="1137" w:type="dxa"/>
          </w:tcPr>
          <w:p w14:paraId="67FBB498" w14:textId="75E62AA5"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LI</w:t>
            </w:r>
          </w:p>
        </w:tc>
        <w:tc>
          <w:tcPr>
            <w:tcW w:w="921" w:type="dxa"/>
          </w:tcPr>
          <w:p w14:paraId="3E4C2AE6" w14:textId="3EC51AC7"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w:t>
            </w:r>
          </w:p>
        </w:tc>
        <w:tc>
          <w:tcPr>
            <w:tcW w:w="4887" w:type="dxa"/>
          </w:tcPr>
          <w:p w14:paraId="3A998C90" w14:textId="78307B4F"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tc>
      </w:tr>
      <w:tr w:rsidR="00D05D43" w14:paraId="1B4A68D3" w14:textId="77777777" w:rsidTr="00D05D43">
        <w:tc>
          <w:tcPr>
            <w:tcW w:w="2122" w:type="dxa"/>
          </w:tcPr>
          <w:p w14:paraId="64861AD7" w14:textId="09B69F83"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94</w:t>
            </w:r>
          </w:p>
        </w:tc>
        <w:tc>
          <w:tcPr>
            <w:tcW w:w="1137" w:type="dxa"/>
          </w:tcPr>
          <w:p w14:paraId="07C0952F" w14:textId="689DBF35"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w:t>
            </w:r>
          </w:p>
        </w:tc>
        <w:tc>
          <w:tcPr>
            <w:tcW w:w="921" w:type="dxa"/>
          </w:tcPr>
          <w:p w14:paraId="0227CED8" w14:textId="584F1899"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c)</w:t>
            </w:r>
          </w:p>
        </w:tc>
        <w:tc>
          <w:tcPr>
            <w:tcW w:w="4887" w:type="dxa"/>
          </w:tcPr>
          <w:p w14:paraId="0557FB25" w14:textId="3851D4F5" w:rsidR="00D05D43" w:rsidRPr="00DD04F7" w:rsidRDefault="00D05D43" w:rsidP="00D05D43">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El listado de expropiaciones decretadas y ejecutadas que incluya, cuando menos, la fecha de expropiación, el domicilio y la causa de utilidad pública y las ocupaciones superficiales;</w:t>
            </w:r>
          </w:p>
        </w:tc>
      </w:tr>
      <w:tr w:rsidR="00D05D43" w14:paraId="09EB8C06" w14:textId="77777777" w:rsidTr="00D05D43">
        <w:tc>
          <w:tcPr>
            <w:tcW w:w="2122" w:type="dxa"/>
          </w:tcPr>
          <w:p w14:paraId="7CB840C8" w14:textId="3E121C30"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94</w:t>
            </w:r>
          </w:p>
        </w:tc>
        <w:tc>
          <w:tcPr>
            <w:tcW w:w="1137" w:type="dxa"/>
          </w:tcPr>
          <w:p w14:paraId="439A2F45" w14:textId="06BD3717"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w:t>
            </w:r>
          </w:p>
        </w:tc>
        <w:tc>
          <w:tcPr>
            <w:tcW w:w="921" w:type="dxa"/>
          </w:tcPr>
          <w:p w14:paraId="0D14323A" w14:textId="6D6F7A66"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h)</w:t>
            </w:r>
          </w:p>
        </w:tc>
        <w:tc>
          <w:tcPr>
            <w:tcW w:w="4887" w:type="dxa"/>
          </w:tcPr>
          <w:p w14:paraId="3A7DDF47" w14:textId="43D865C8" w:rsidR="00D05D43" w:rsidRPr="00DD04F7" w:rsidRDefault="00D05D43" w:rsidP="00DD04F7">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w:t>
            </w:r>
          </w:p>
        </w:tc>
      </w:tr>
      <w:tr w:rsidR="00D05D43" w14:paraId="2B4824C0" w14:textId="77777777" w:rsidTr="00D05D43">
        <w:tc>
          <w:tcPr>
            <w:tcW w:w="2122" w:type="dxa"/>
          </w:tcPr>
          <w:p w14:paraId="2C6784DE" w14:textId="57D02EBC"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94</w:t>
            </w:r>
          </w:p>
        </w:tc>
        <w:tc>
          <w:tcPr>
            <w:tcW w:w="1137" w:type="dxa"/>
          </w:tcPr>
          <w:p w14:paraId="1A610574" w14:textId="23F710E0"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w:t>
            </w:r>
          </w:p>
        </w:tc>
        <w:tc>
          <w:tcPr>
            <w:tcW w:w="921" w:type="dxa"/>
          </w:tcPr>
          <w:p w14:paraId="171AED96" w14:textId="4DC90223" w:rsidR="00D05D43" w:rsidRPr="00DD04F7" w:rsidRDefault="00D05D43" w:rsidP="00D05D43">
            <w:pPr>
              <w:pStyle w:val="Prrafodelista"/>
              <w:spacing w:line="360" w:lineRule="auto"/>
              <w:ind w:left="0"/>
              <w:jc w:val="center"/>
              <w:rPr>
                <w:rFonts w:ascii="Palatino Linotype" w:hAnsi="Palatino Linotype"/>
                <w:b/>
                <w:sz w:val="18"/>
                <w:szCs w:val="20"/>
              </w:rPr>
            </w:pPr>
            <w:r w:rsidRPr="00DD04F7">
              <w:rPr>
                <w:rFonts w:ascii="Palatino Linotype" w:hAnsi="Palatino Linotype"/>
                <w:b/>
                <w:sz w:val="18"/>
                <w:szCs w:val="20"/>
              </w:rPr>
              <w:t>i</w:t>
            </w:r>
          </w:p>
        </w:tc>
        <w:tc>
          <w:tcPr>
            <w:tcW w:w="4887" w:type="dxa"/>
          </w:tcPr>
          <w:p w14:paraId="7CD24FB1" w14:textId="0D72D0DD" w:rsidR="00D05D43" w:rsidRPr="00DD04F7" w:rsidRDefault="00D05D43" w:rsidP="00DD04F7">
            <w:pPr>
              <w:pStyle w:val="Prrafodelista"/>
              <w:spacing w:line="360" w:lineRule="auto"/>
              <w:ind w:left="0"/>
              <w:jc w:val="both"/>
              <w:rPr>
                <w:rFonts w:ascii="Palatino Linotype" w:hAnsi="Palatino Linotype"/>
                <w:b/>
                <w:sz w:val="16"/>
                <w:szCs w:val="20"/>
              </w:rPr>
            </w:pPr>
            <w:r w:rsidRPr="00DD04F7">
              <w:rPr>
                <w:rFonts w:ascii="Palatino Linotype" w:hAnsi="Palatino Linotype"/>
                <w:sz w:val="16"/>
                <w:szCs w:val="20"/>
              </w:rPr>
              <w:t>Por conducto de la autoridad educativa de la Entidad: El calendario del ciclo escolar; directorio de escuelas públicas incorporadas al Sistema Educativo Estatal; la lista de útiles escolares básicos por nivel educativo; el Directorio de bibliotecas públicas incluyendo horarios, el domicilio, teléfonos, correo electrónico, requisitos de consulta, reglamento y sitio electrónico, en su caso;</w:t>
            </w:r>
          </w:p>
        </w:tc>
      </w:tr>
    </w:tbl>
    <w:p w14:paraId="5BC5B7F0" w14:textId="77777777" w:rsidR="009637AA" w:rsidRDefault="009637AA" w:rsidP="00AE79F4">
      <w:pPr>
        <w:pStyle w:val="Prrafodelista"/>
        <w:spacing w:line="360" w:lineRule="auto"/>
        <w:ind w:left="0"/>
        <w:jc w:val="both"/>
        <w:rPr>
          <w:rFonts w:ascii="Palatino Linotype" w:hAnsi="Palatino Linotype"/>
          <w:sz w:val="24"/>
        </w:rPr>
      </w:pPr>
    </w:p>
    <w:p w14:paraId="6353AE48" w14:textId="5155461F" w:rsidR="00D05D43" w:rsidRDefault="00D05D43"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Es así que, de la tabla de aplicabilidad con la que cuenta este Órgano Garante, se advierte que al Sujeto Obligado no le son aplicables las fracciones anteriormente referidas por ser información que, de acuerdo a sus funciones, atribuciones y competencias, de genera, administra o posee el Sujeto Obligado.</w:t>
      </w:r>
    </w:p>
    <w:p w14:paraId="6B748492" w14:textId="77777777" w:rsidR="00FE26E6" w:rsidRPr="00FE26E6" w:rsidRDefault="00FE26E6" w:rsidP="00FE26E6">
      <w:pPr>
        <w:pStyle w:val="Prrafodelista"/>
        <w:rPr>
          <w:rFonts w:ascii="Palatino Linotype" w:hAnsi="Palatino Linotype"/>
          <w:sz w:val="24"/>
        </w:rPr>
      </w:pPr>
    </w:p>
    <w:p w14:paraId="69D23650" w14:textId="7C1608F1" w:rsidR="00802BC0" w:rsidRDefault="00D05D43"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En consecuencia, las demás fracciones que contempla el artículo 92 y el artículo 94 de la Ley de Transparencia y Acceso a la Información Pública del Estado de México y Municipios y que fueron solicitadas por el Recurrente, es información que debe obrar en los archivos del Sujeto Obligado y debe ser proporcionada.</w:t>
      </w:r>
    </w:p>
    <w:p w14:paraId="03B6D8EE" w14:textId="77777777" w:rsidR="008346B8" w:rsidRPr="008346B8" w:rsidRDefault="008346B8" w:rsidP="008346B8">
      <w:pPr>
        <w:pStyle w:val="Prrafodelista"/>
        <w:rPr>
          <w:rFonts w:ascii="Palatino Linotype" w:hAnsi="Palatino Linotype"/>
          <w:sz w:val="24"/>
        </w:rPr>
      </w:pPr>
    </w:p>
    <w:p w14:paraId="407A8430" w14:textId="49278328" w:rsidR="00802BC0" w:rsidRDefault="008346B8" w:rsidP="00806ABD">
      <w:pPr>
        <w:pStyle w:val="Prrafodelista"/>
        <w:numPr>
          <w:ilvl w:val="0"/>
          <w:numId w:val="2"/>
        </w:numPr>
        <w:spacing w:line="360" w:lineRule="auto"/>
        <w:ind w:left="0" w:firstLine="0"/>
        <w:jc w:val="both"/>
        <w:rPr>
          <w:rFonts w:ascii="Palatino Linotype" w:hAnsi="Palatino Linotype"/>
          <w:sz w:val="24"/>
        </w:rPr>
      </w:pPr>
      <w:r>
        <w:rPr>
          <w:rFonts w:ascii="Palatino Linotype" w:hAnsi="Palatino Linotype"/>
          <w:sz w:val="24"/>
        </w:rPr>
        <w:t>Si bien es cierto, el Recurrente no señaló temporalidad de la información que requiere, pero también lo es que, al ser información pública de oficio, tal y como lo señala la ley de transparencia en el artículo 77 antes citado, esta debe ser actualizada, al menos, cada tres meses. En consecuencia, el Sujeto Obligado deberá proporcionar la más actualizada con la que se cuente previo a la fecha de la solicitud, es decir, al once (11) de junio de dos mil veinte.</w:t>
      </w:r>
    </w:p>
    <w:p w14:paraId="372DF935" w14:textId="77777777" w:rsidR="00802BC0" w:rsidRDefault="00802BC0" w:rsidP="008346B8">
      <w:pPr>
        <w:pStyle w:val="Prrafodelista"/>
        <w:spacing w:line="360" w:lineRule="auto"/>
        <w:ind w:left="0"/>
        <w:jc w:val="both"/>
        <w:rPr>
          <w:rFonts w:ascii="Palatino Linotype" w:hAnsi="Palatino Linotype"/>
          <w:sz w:val="24"/>
        </w:rPr>
      </w:pPr>
    </w:p>
    <w:p w14:paraId="14D78BA9" w14:textId="195D4ED7" w:rsidR="008346B8" w:rsidRPr="008346B8" w:rsidRDefault="008346B8" w:rsidP="008346B8">
      <w:pPr>
        <w:pStyle w:val="Ttulo2"/>
        <w:numPr>
          <w:ilvl w:val="0"/>
          <w:numId w:val="20"/>
        </w:numPr>
        <w:rPr>
          <w:rFonts w:ascii="Palatino Linotype" w:hAnsi="Palatino Linotype"/>
          <w:b/>
          <w:color w:val="auto"/>
          <w:sz w:val="24"/>
        </w:rPr>
      </w:pPr>
      <w:bookmarkStart w:id="18" w:name="_Toc83311690"/>
      <w:r w:rsidRPr="008346B8">
        <w:rPr>
          <w:rFonts w:ascii="Palatino Linotype" w:hAnsi="Palatino Linotype"/>
          <w:b/>
          <w:color w:val="auto"/>
          <w:sz w:val="24"/>
        </w:rPr>
        <w:t>De la modalidad de entrega de la información</w:t>
      </w:r>
      <w:bookmarkEnd w:id="18"/>
    </w:p>
    <w:p w14:paraId="79BE42F0" w14:textId="77777777" w:rsidR="00802BC0" w:rsidRDefault="00802BC0" w:rsidP="008346B8">
      <w:pPr>
        <w:pStyle w:val="Prrafodelista"/>
        <w:spacing w:line="360" w:lineRule="auto"/>
        <w:ind w:left="0"/>
        <w:jc w:val="both"/>
        <w:rPr>
          <w:rFonts w:ascii="Palatino Linotype" w:hAnsi="Palatino Linotype"/>
          <w:sz w:val="24"/>
        </w:rPr>
      </w:pPr>
    </w:p>
    <w:p w14:paraId="10DF0816" w14:textId="77777777" w:rsidR="008346B8" w:rsidRPr="008346B8" w:rsidRDefault="008346B8" w:rsidP="008346B8">
      <w:pPr>
        <w:pStyle w:val="Prrafodelista"/>
        <w:numPr>
          <w:ilvl w:val="0"/>
          <w:numId w:val="2"/>
        </w:numPr>
        <w:spacing w:line="360" w:lineRule="auto"/>
        <w:ind w:left="0" w:firstLine="0"/>
        <w:jc w:val="both"/>
        <w:rPr>
          <w:rFonts w:ascii="Palatino Linotype" w:hAnsi="Palatino Linotype"/>
          <w:sz w:val="28"/>
        </w:rPr>
      </w:pPr>
      <w:r w:rsidRPr="008346B8">
        <w:rPr>
          <w:rFonts w:ascii="Palatino Linotype" w:hAnsi="Palatino Linotype"/>
          <w:sz w:val="24"/>
        </w:rPr>
        <w:t xml:space="preserve">Por último y no menos importante, es necesario mencionar que, el particular eligió como </w:t>
      </w:r>
      <w:r w:rsidRPr="008346B8">
        <w:rPr>
          <w:rFonts w:ascii="Palatino Linotype" w:eastAsia="MS Mincho" w:hAnsi="Palatino Linotype" w:cs="Arial"/>
          <w:sz w:val="24"/>
        </w:rPr>
        <w:t>modalidad</w:t>
      </w:r>
      <w:r w:rsidRPr="008346B8">
        <w:rPr>
          <w:rFonts w:ascii="Palatino Linotype" w:hAnsi="Palatino Linotype"/>
          <w:sz w:val="24"/>
        </w:rPr>
        <w:t xml:space="preserve"> de entrega de la información vía </w:t>
      </w:r>
      <w:r w:rsidRPr="008346B8">
        <w:rPr>
          <w:rFonts w:ascii="Palatino Linotype" w:hAnsi="Palatino Linotype"/>
          <w:b/>
          <w:sz w:val="24"/>
        </w:rPr>
        <w:t>SAIMEX</w:t>
      </w:r>
      <w:r w:rsidRPr="008346B8">
        <w:rPr>
          <w:rFonts w:ascii="Palatino Linotype" w:hAnsi="Palatino Linotype"/>
          <w:sz w:val="24"/>
        </w:rPr>
        <w:t>; sistema que tiene como propósito fundamental, proveer el ejercicio del derecho de acceso a la información pública, de forma sencilla y gratuita.</w:t>
      </w:r>
    </w:p>
    <w:p w14:paraId="5745E25F" w14:textId="77777777" w:rsidR="008346B8" w:rsidRPr="008346B8" w:rsidRDefault="008346B8" w:rsidP="008346B8">
      <w:pPr>
        <w:spacing w:line="360" w:lineRule="auto"/>
        <w:jc w:val="both"/>
        <w:rPr>
          <w:rFonts w:ascii="Palatino Linotype" w:hAnsi="Palatino Linotype"/>
          <w:sz w:val="22"/>
        </w:rPr>
      </w:pPr>
    </w:p>
    <w:p w14:paraId="2F0A4110" w14:textId="59386304" w:rsidR="008346B8" w:rsidRPr="008346B8" w:rsidRDefault="008346B8" w:rsidP="008346B8">
      <w:pPr>
        <w:pStyle w:val="Prrafodelista"/>
        <w:numPr>
          <w:ilvl w:val="0"/>
          <w:numId w:val="2"/>
        </w:numPr>
        <w:spacing w:line="360" w:lineRule="auto"/>
        <w:ind w:left="0" w:firstLine="0"/>
        <w:jc w:val="both"/>
        <w:rPr>
          <w:rFonts w:ascii="Palatino Linotype" w:hAnsi="Palatino Linotype"/>
          <w:sz w:val="24"/>
        </w:rPr>
      </w:pPr>
      <w:r w:rsidRPr="008346B8">
        <w:rPr>
          <w:rFonts w:ascii="Palatino Linotype" w:hAnsi="Palatino Linotype"/>
          <w:sz w:val="24"/>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376EC187" w14:textId="77777777" w:rsidR="008346B8" w:rsidRDefault="008346B8" w:rsidP="008346B8">
      <w:pPr>
        <w:pStyle w:val="Prrafodelista"/>
        <w:rPr>
          <w:rFonts w:ascii="Palatino Linotype" w:hAnsi="Palatino Linotype"/>
        </w:rPr>
      </w:pPr>
    </w:p>
    <w:p w14:paraId="2F033328" w14:textId="77777777" w:rsidR="008346B8" w:rsidRDefault="008346B8" w:rsidP="008346B8">
      <w:pPr>
        <w:pStyle w:val="Prrafodelista"/>
        <w:autoSpaceDE w:val="0"/>
        <w:autoSpaceDN w:val="0"/>
        <w:adjustRightInd w:val="0"/>
        <w:spacing w:after="120"/>
        <w:ind w:left="644" w:right="902"/>
        <w:jc w:val="both"/>
        <w:rPr>
          <w:rFonts w:ascii="Palatino Linotype" w:hAnsi="Palatino Linotype"/>
          <w:i/>
          <w:szCs w:val="20"/>
        </w:rPr>
      </w:pPr>
      <w:r>
        <w:rPr>
          <w:rFonts w:ascii="Palatino Linotype" w:hAnsi="Palatino Linotype"/>
          <w:b/>
          <w:i/>
          <w:szCs w:val="20"/>
        </w:rPr>
        <w:t>“Artículo 88.</w:t>
      </w:r>
      <w:r>
        <w:rPr>
          <w:rFonts w:ascii="Palatino Linotype" w:hAnsi="Palatino Linotype"/>
          <w:i/>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28CE5A94" w14:textId="77777777" w:rsidR="008346B8" w:rsidRDefault="008346B8" w:rsidP="008346B8">
      <w:pPr>
        <w:pStyle w:val="Prrafodelista"/>
        <w:autoSpaceDE w:val="0"/>
        <w:autoSpaceDN w:val="0"/>
        <w:adjustRightInd w:val="0"/>
        <w:spacing w:after="120"/>
        <w:ind w:left="644" w:right="902"/>
        <w:jc w:val="both"/>
        <w:rPr>
          <w:rFonts w:ascii="Palatino Linotype" w:hAnsi="Palatino Linotype"/>
          <w:i/>
          <w:szCs w:val="20"/>
        </w:rPr>
      </w:pPr>
    </w:p>
    <w:p w14:paraId="0F759977" w14:textId="77777777" w:rsidR="008346B8" w:rsidRPr="008346B8" w:rsidRDefault="008346B8" w:rsidP="008346B8">
      <w:pPr>
        <w:numPr>
          <w:ilvl w:val="0"/>
          <w:numId w:val="26"/>
        </w:numPr>
        <w:spacing w:line="360" w:lineRule="auto"/>
        <w:ind w:left="0" w:firstLine="0"/>
        <w:contextualSpacing/>
        <w:jc w:val="both"/>
        <w:rPr>
          <w:rFonts w:ascii="Palatino Linotype" w:hAnsi="Palatino Linotype"/>
          <w:sz w:val="32"/>
          <w:szCs w:val="24"/>
        </w:rPr>
      </w:pPr>
      <w:r w:rsidRPr="008346B8">
        <w:rPr>
          <w:rFonts w:ascii="Palatino Linotype" w:hAnsi="Palatino Linotype"/>
          <w:sz w:val="24"/>
        </w:rPr>
        <w:t>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14:paraId="2D8D1876" w14:textId="77777777" w:rsidR="008346B8" w:rsidRPr="008346B8" w:rsidRDefault="008346B8" w:rsidP="008346B8">
      <w:pPr>
        <w:spacing w:line="360" w:lineRule="auto"/>
        <w:jc w:val="both"/>
        <w:rPr>
          <w:rFonts w:ascii="Palatino Linotype" w:hAnsi="Palatino Linotype"/>
          <w:sz w:val="24"/>
        </w:rPr>
      </w:pPr>
    </w:p>
    <w:p w14:paraId="18F0437B" w14:textId="77777777" w:rsidR="008346B8" w:rsidRPr="008346B8" w:rsidRDefault="008346B8" w:rsidP="008346B8">
      <w:pPr>
        <w:numPr>
          <w:ilvl w:val="0"/>
          <w:numId w:val="26"/>
        </w:numPr>
        <w:spacing w:line="360" w:lineRule="auto"/>
        <w:ind w:left="0" w:firstLine="0"/>
        <w:contextualSpacing/>
        <w:jc w:val="both"/>
        <w:rPr>
          <w:rFonts w:ascii="Palatino Linotype" w:hAnsi="Palatino Linotype" w:cs="Arial"/>
          <w:sz w:val="24"/>
        </w:rPr>
      </w:pPr>
      <w:r w:rsidRPr="008346B8">
        <w:rPr>
          <w:rFonts w:ascii="Palatino Linotype" w:hAnsi="Palatino Linotype"/>
          <w:sz w:val="24"/>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8346B8">
        <w:rPr>
          <w:rFonts w:ascii="Palatino Linotype" w:eastAsia="Calibri" w:hAnsi="Palatino Linotype" w:cs="Arial"/>
          <w:sz w:val="24"/>
        </w:rPr>
        <w:t>adecuadamente el cambio de modalidad en la entrega de la información</w:t>
      </w:r>
      <w:r w:rsidRPr="008346B8">
        <w:rPr>
          <w:rStyle w:val="Refdenotaalpie"/>
          <w:rFonts w:ascii="Palatino Linotype" w:hAnsi="Palatino Linotype"/>
          <w:sz w:val="24"/>
        </w:rPr>
        <w:t xml:space="preserve"> </w:t>
      </w:r>
      <w:r w:rsidRPr="008346B8">
        <w:rPr>
          <w:rStyle w:val="Refdenotaalpie"/>
          <w:rFonts w:ascii="Palatino Linotype" w:hAnsi="Palatino Linotype"/>
          <w:sz w:val="24"/>
        </w:rPr>
        <w:footnoteReference w:id="8"/>
      </w:r>
      <w:r w:rsidRPr="008346B8">
        <w:rPr>
          <w:rFonts w:ascii="Palatino Linotype" w:hAnsi="Palatino Linotype"/>
          <w:sz w:val="24"/>
        </w:rPr>
        <w:t xml:space="preserve">, en términos de lo dispuesto en el artículo 16 de la Constitución Política de los Estados Unidos Mexicanos, </w:t>
      </w:r>
      <w:r w:rsidRPr="008346B8">
        <w:rPr>
          <w:rFonts w:ascii="Palatino Linotype" w:hAnsi="Palatino Linotype" w:cs="Arial"/>
          <w:sz w:val="24"/>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4598CA4" w14:textId="77777777" w:rsidR="008346B8" w:rsidRDefault="008346B8" w:rsidP="008346B8">
      <w:pPr>
        <w:pStyle w:val="Prrafodelista"/>
        <w:ind w:left="644" w:right="851"/>
        <w:jc w:val="both"/>
        <w:rPr>
          <w:rFonts w:ascii="Palatino Linotype" w:hAnsi="Palatino Linotype" w:cs="Arial"/>
          <w:b/>
          <w:bCs/>
          <w:i/>
          <w:szCs w:val="20"/>
        </w:rPr>
      </w:pPr>
    </w:p>
    <w:p w14:paraId="0A7549F2" w14:textId="77777777" w:rsidR="008346B8" w:rsidRDefault="008346B8" w:rsidP="008346B8">
      <w:pPr>
        <w:pStyle w:val="Prrafodelista"/>
        <w:ind w:left="644" w:right="851"/>
        <w:jc w:val="both"/>
        <w:rPr>
          <w:rFonts w:ascii="Palatino Linotype" w:hAnsi="Palatino Linotype" w:cs="Arial"/>
          <w:i/>
          <w:szCs w:val="20"/>
        </w:rPr>
      </w:pPr>
      <w:r>
        <w:rPr>
          <w:rFonts w:ascii="Palatino Linotype" w:hAnsi="Palatino Linotype" w:cs="Arial"/>
          <w:b/>
          <w:bCs/>
          <w:i/>
          <w:szCs w:val="20"/>
        </w:rPr>
        <w:t>“FUNDAMENTACIÓN Y MOTIVACIÓN DE LOS ACTOS ADMINISTRATIVOS</w:t>
      </w:r>
      <w:r>
        <w:rPr>
          <w:rFonts w:ascii="Palatino Linotype" w:hAnsi="Palatino Linotype" w:cs="Arial"/>
          <w:i/>
          <w:szCs w:val="20"/>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50A27EA3" w14:textId="77777777" w:rsidR="008346B8" w:rsidRDefault="008346B8" w:rsidP="008346B8">
      <w:pPr>
        <w:pStyle w:val="Prrafodelista"/>
        <w:ind w:left="644" w:right="851"/>
        <w:jc w:val="both"/>
        <w:rPr>
          <w:rFonts w:ascii="Palatino Linotype" w:hAnsi="Palatino Linotype" w:cs="Arial"/>
          <w:i/>
          <w:szCs w:val="20"/>
        </w:rPr>
      </w:pPr>
    </w:p>
    <w:p w14:paraId="04E11620" w14:textId="77777777" w:rsidR="008346B8" w:rsidRDefault="008346B8" w:rsidP="008346B8">
      <w:pPr>
        <w:pStyle w:val="Prrafodelista"/>
        <w:ind w:left="644" w:right="851"/>
        <w:jc w:val="both"/>
        <w:rPr>
          <w:rFonts w:ascii="Palatino Linotype" w:hAnsi="Palatino Linotype" w:cs="Arial"/>
          <w:i/>
          <w:szCs w:val="20"/>
        </w:rPr>
      </w:pPr>
    </w:p>
    <w:p w14:paraId="4A1A741C" w14:textId="77777777" w:rsidR="008346B8" w:rsidRPr="008346B8" w:rsidRDefault="008346B8" w:rsidP="008346B8">
      <w:pPr>
        <w:numPr>
          <w:ilvl w:val="0"/>
          <w:numId w:val="26"/>
        </w:numPr>
        <w:spacing w:line="360" w:lineRule="auto"/>
        <w:ind w:left="0" w:firstLine="0"/>
        <w:contextualSpacing/>
        <w:jc w:val="both"/>
        <w:rPr>
          <w:rFonts w:ascii="Palatino Linotype" w:eastAsia="Calibri" w:hAnsi="Palatino Linotype" w:cs="Arial"/>
          <w:sz w:val="32"/>
          <w:szCs w:val="24"/>
        </w:rPr>
      </w:pPr>
      <w:r w:rsidRPr="008346B8">
        <w:rPr>
          <w:rFonts w:ascii="Palatino Linotype" w:hAnsi="Palatino Linotype" w:cs="Arial"/>
          <w:sz w:val="24"/>
        </w:rPr>
        <w:t xml:space="preserve">Por su parte, el artículo 158 </w:t>
      </w:r>
      <w:r w:rsidRPr="008346B8">
        <w:rPr>
          <w:rFonts w:ascii="Palatino Linotype" w:eastAsia="Calibri" w:hAnsi="Palatino Linotype" w:cs="Arial"/>
          <w:sz w:val="24"/>
        </w:rPr>
        <w:t>de la Ley de Transparencia y Acceso a la Información Pública del Estado de México y Municipios, establece lo siguiente:</w:t>
      </w:r>
    </w:p>
    <w:p w14:paraId="73E52FA2" w14:textId="77777777" w:rsidR="008346B8" w:rsidRDefault="008346B8" w:rsidP="008346B8">
      <w:pPr>
        <w:spacing w:line="360" w:lineRule="auto"/>
        <w:jc w:val="both"/>
        <w:rPr>
          <w:rFonts w:ascii="Palatino Linotype" w:eastAsia="Calibri" w:hAnsi="Palatino Linotype" w:cs="Arial"/>
        </w:rPr>
      </w:pPr>
    </w:p>
    <w:p w14:paraId="3A615569" w14:textId="77777777" w:rsidR="008346B8" w:rsidRDefault="008346B8" w:rsidP="008346B8">
      <w:pPr>
        <w:pStyle w:val="Prrafodelista"/>
        <w:autoSpaceDE w:val="0"/>
        <w:autoSpaceDN w:val="0"/>
        <w:adjustRightInd w:val="0"/>
        <w:ind w:left="644" w:right="900"/>
        <w:jc w:val="both"/>
        <w:rPr>
          <w:rFonts w:ascii="Palatino Linotype" w:eastAsiaTheme="minorHAnsi" w:hAnsi="Palatino Linotype" w:cs="Arial"/>
          <w:i/>
          <w:szCs w:val="20"/>
          <w:lang w:eastAsia="en-US"/>
        </w:rPr>
      </w:pPr>
      <w:r>
        <w:rPr>
          <w:rFonts w:ascii="Palatino Linotype" w:eastAsiaTheme="minorHAnsi" w:hAnsi="Palatino Linotype" w:cs="Arial"/>
          <w:b/>
          <w:bCs/>
          <w:i/>
          <w:szCs w:val="22"/>
          <w:lang w:eastAsia="en-US"/>
        </w:rPr>
        <w:t xml:space="preserve"> </w:t>
      </w:r>
      <w:r>
        <w:rPr>
          <w:rFonts w:ascii="Palatino Linotype" w:eastAsiaTheme="minorHAnsi" w:hAnsi="Palatino Linotype" w:cs="Arial"/>
          <w:b/>
          <w:bCs/>
          <w:i/>
          <w:szCs w:val="20"/>
          <w:lang w:eastAsia="en-US"/>
        </w:rPr>
        <w:t xml:space="preserve">“Artículo 158. </w:t>
      </w:r>
      <w:r>
        <w:rPr>
          <w:rFonts w:ascii="Palatino Linotype" w:eastAsiaTheme="minorHAnsi" w:hAnsi="Palatino Linotype" w:cs="Arial"/>
          <w:i/>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Pr>
          <w:rFonts w:ascii="Palatino Linotype" w:eastAsiaTheme="minorHAnsi" w:hAnsi="Palatino Linotype" w:cs="Arial"/>
          <w:b/>
          <w:i/>
          <w:szCs w:val="20"/>
          <w:lang w:eastAsia="en-US"/>
        </w:rPr>
        <w:t>documentos cuya entrega o reproducción sobrepase las capacidades técnicas administrativas y humana</w:t>
      </w:r>
      <w:r>
        <w:rPr>
          <w:rFonts w:ascii="Palatino Linotype" w:eastAsiaTheme="minorHAnsi" w:hAnsi="Palatino Linotype" w:cs="Arial"/>
          <w:i/>
          <w:szCs w:val="20"/>
          <w:lang w:eastAsia="en-US"/>
        </w:rPr>
        <w:t>s del sujeto obligado para cumplir con la solicitud, en los plazos establecidos para dichos efectos, se podrá poner a disposición del solicitante los documentos en consulta directa, salvo la información clasificada.</w:t>
      </w:r>
    </w:p>
    <w:p w14:paraId="431664DA" w14:textId="77777777" w:rsidR="008346B8" w:rsidRDefault="008346B8" w:rsidP="008346B8">
      <w:pPr>
        <w:pStyle w:val="Prrafodelista"/>
        <w:autoSpaceDE w:val="0"/>
        <w:autoSpaceDN w:val="0"/>
        <w:adjustRightInd w:val="0"/>
        <w:spacing w:before="120"/>
        <w:ind w:left="644" w:right="902"/>
        <w:jc w:val="both"/>
        <w:rPr>
          <w:rFonts w:ascii="Palatino Linotype" w:eastAsiaTheme="minorEastAsia" w:hAnsi="Palatino Linotype" w:cstheme="minorBidi"/>
          <w:i/>
          <w:szCs w:val="20"/>
        </w:rPr>
      </w:pPr>
    </w:p>
    <w:p w14:paraId="4D27D284" w14:textId="77777777" w:rsidR="008346B8" w:rsidRDefault="008346B8" w:rsidP="008346B8">
      <w:pPr>
        <w:pStyle w:val="Prrafodelista"/>
        <w:autoSpaceDE w:val="0"/>
        <w:autoSpaceDN w:val="0"/>
        <w:adjustRightInd w:val="0"/>
        <w:spacing w:before="120"/>
        <w:ind w:left="644" w:right="902"/>
        <w:jc w:val="both"/>
        <w:rPr>
          <w:rFonts w:ascii="Palatino Linotype" w:eastAsiaTheme="minorHAnsi" w:hAnsi="Palatino Linotype" w:cs="Arial"/>
          <w:b/>
          <w:i/>
          <w:szCs w:val="20"/>
          <w:lang w:eastAsia="en-US"/>
        </w:rPr>
      </w:pPr>
      <w:r>
        <w:rPr>
          <w:rFonts w:ascii="Palatino Linotype" w:hAnsi="Palatino Linotype"/>
          <w:i/>
          <w:szCs w:val="20"/>
        </w:rPr>
        <w:t>En todo caso, se facilitará su copia simple o certificada, así como su reproducción por cualquier medio disponible en las instalaciones del sujeto obligado o que, en su caso, aporte el solicitante.</w:t>
      </w:r>
      <w:r>
        <w:rPr>
          <w:rFonts w:ascii="Palatino Linotype" w:eastAsiaTheme="minorHAnsi" w:hAnsi="Palatino Linotype" w:cs="Arial"/>
          <w:b/>
          <w:i/>
          <w:szCs w:val="20"/>
          <w:lang w:eastAsia="en-US"/>
        </w:rPr>
        <w:t>”</w:t>
      </w:r>
    </w:p>
    <w:p w14:paraId="0BC3EB32" w14:textId="77777777" w:rsidR="008346B8" w:rsidRDefault="008346B8" w:rsidP="008346B8">
      <w:pPr>
        <w:pStyle w:val="Prrafodelista"/>
        <w:autoSpaceDE w:val="0"/>
        <w:autoSpaceDN w:val="0"/>
        <w:adjustRightInd w:val="0"/>
        <w:spacing w:before="120"/>
        <w:ind w:left="644" w:right="902"/>
        <w:jc w:val="both"/>
        <w:rPr>
          <w:rFonts w:ascii="Palatino Linotype" w:eastAsiaTheme="minorHAnsi" w:hAnsi="Palatino Linotype" w:cs="Arial"/>
          <w:b/>
          <w:i/>
          <w:szCs w:val="20"/>
          <w:lang w:eastAsia="en-US"/>
        </w:rPr>
      </w:pPr>
    </w:p>
    <w:p w14:paraId="76229D73" w14:textId="77777777" w:rsidR="008346B8" w:rsidRDefault="008346B8" w:rsidP="008346B8">
      <w:pPr>
        <w:pStyle w:val="Prrafodelista"/>
        <w:autoSpaceDE w:val="0"/>
        <w:autoSpaceDN w:val="0"/>
        <w:adjustRightInd w:val="0"/>
        <w:spacing w:before="120"/>
        <w:ind w:left="644" w:right="902"/>
        <w:jc w:val="both"/>
        <w:rPr>
          <w:rFonts w:ascii="Palatino Linotype" w:eastAsia="Calibri" w:hAnsi="Palatino Linotype" w:cs="Arial"/>
          <w:b/>
          <w:i/>
          <w:szCs w:val="20"/>
        </w:rPr>
      </w:pPr>
    </w:p>
    <w:p w14:paraId="28FF3F23" w14:textId="77777777" w:rsidR="008346B8" w:rsidRPr="008346B8" w:rsidRDefault="008346B8" w:rsidP="008346B8">
      <w:pPr>
        <w:numPr>
          <w:ilvl w:val="0"/>
          <w:numId w:val="26"/>
        </w:numPr>
        <w:spacing w:line="360" w:lineRule="auto"/>
        <w:ind w:left="0" w:firstLine="0"/>
        <w:contextualSpacing/>
        <w:jc w:val="both"/>
        <w:rPr>
          <w:rFonts w:ascii="Palatino Linotype" w:eastAsiaTheme="minorEastAsia" w:hAnsi="Palatino Linotype" w:cs="Arial"/>
          <w:sz w:val="32"/>
          <w:szCs w:val="24"/>
        </w:rPr>
      </w:pPr>
      <w:r w:rsidRPr="008346B8">
        <w:rPr>
          <w:rFonts w:ascii="Palatino Linotype" w:hAnsi="Palatino Linotype" w:cs="Arial"/>
          <w:sz w:val="24"/>
        </w:rPr>
        <w:t>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6325ED04" w14:textId="77777777" w:rsidR="008346B8" w:rsidRPr="008346B8" w:rsidRDefault="008346B8" w:rsidP="008346B8">
      <w:pPr>
        <w:spacing w:line="360" w:lineRule="auto"/>
        <w:jc w:val="both"/>
        <w:rPr>
          <w:rFonts w:ascii="Palatino Linotype" w:hAnsi="Palatino Linotype" w:cs="Arial"/>
          <w:sz w:val="24"/>
        </w:rPr>
      </w:pPr>
    </w:p>
    <w:p w14:paraId="4102A159" w14:textId="77777777" w:rsidR="008346B8" w:rsidRPr="008346B8" w:rsidRDefault="008346B8" w:rsidP="008346B8">
      <w:pPr>
        <w:numPr>
          <w:ilvl w:val="0"/>
          <w:numId w:val="26"/>
        </w:numPr>
        <w:spacing w:line="360" w:lineRule="auto"/>
        <w:ind w:left="0" w:firstLine="0"/>
        <w:contextualSpacing/>
        <w:jc w:val="both"/>
        <w:rPr>
          <w:rFonts w:ascii="Palatino Linotype" w:hAnsi="Palatino Linotype" w:cs="Arial"/>
          <w:sz w:val="24"/>
        </w:rPr>
      </w:pPr>
      <w:r w:rsidRPr="008346B8">
        <w:rPr>
          <w:rFonts w:ascii="Palatino Linotype" w:hAnsi="Palatino Linotype" w:cs="Arial"/>
          <w:sz w:val="24"/>
        </w:rPr>
        <w:t xml:space="preserve">En ese contexto, los </w:t>
      </w:r>
      <w:r w:rsidRPr="008346B8">
        <w:rPr>
          <w:rFonts w:ascii="Palatino Linotype" w:hAnsi="Palatino Linotype"/>
          <w:i/>
          <w:sz w:val="24"/>
        </w:rPr>
        <w:t xml:space="preserve">Lineamientos </w:t>
      </w:r>
      <w:r w:rsidRPr="008346B8">
        <w:rPr>
          <w:rFonts w:ascii="Palatino Linotype" w:hAnsi="Palatino Linotype" w:cs="Arial"/>
          <w:i/>
          <w:sz w:val="24"/>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8346B8">
        <w:rPr>
          <w:rFonts w:ascii="Palatino Linotype" w:hAnsi="Palatino Linotype" w:cs="Arial"/>
          <w:sz w:val="24"/>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1CF4A694"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
          <w:bCs/>
          <w:i/>
          <w:noProof/>
          <w:szCs w:val="22"/>
        </w:rPr>
        <w:t>“CINCUENTA Y CUATRO.-</w:t>
      </w:r>
      <w:r>
        <w:rPr>
          <w:rFonts w:ascii="Palatino Linotype" w:hAnsi="Palatino Linotype" w:cs="Arial"/>
          <w:bCs/>
          <w:i/>
          <w:noProof/>
          <w:szCs w:val="22"/>
        </w:rPr>
        <w:t xml:space="preserve"> De acuerdo a lo dispuesto por el párrafo segundo del artículo 48 de la Ley, la información podrá ser entregada vía electrónica a través del SICOSIEM. </w:t>
      </w:r>
    </w:p>
    <w:p w14:paraId="70A74E09"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Es obligación del responsable de la Unidad de Información verificar que los archivos electrónicos que contengan la información entregada, se encuentra agregada al SICOSIEM.</w:t>
      </w:r>
    </w:p>
    <w:p w14:paraId="5D699A0A"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37476BB1"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La Dirección de Sistemas e Informática del Instituto, debe llevar un registro de incidencias en el cual se asienten todas las llamas referentes al apoyo técnico para agregar los archivos electrónicos al SICOSIEM.</w:t>
      </w:r>
    </w:p>
    <w:p w14:paraId="49FB3B05"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 xml:space="preserve">La omisión por parte del responsable de la Unidad de Información del procedimiento antes descrito presume la negativa de la entrega de la Información. </w:t>
      </w:r>
    </w:p>
    <w:p w14:paraId="461400DD"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Cuando la información no pueda ser remitida vía electrónica, se deberá fundar y motivar la resolución respectiva, explicando en todo momento las causas que impiden el envío de la información de forma electrónica.</w:t>
      </w:r>
    </w:p>
    <w:p w14:paraId="0871F428"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r>
        <w:rPr>
          <w:rFonts w:ascii="Palatino Linotype" w:hAnsi="Palatino Linotype" w:cs="Arial"/>
          <w:bCs/>
          <w:i/>
          <w:noProof/>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16B05C27" w14:textId="77777777" w:rsidR="008346B8" w:rsidRDefault="008346B8" w:rsidP="008346B8">
      <w:pPr>
        <w:pStyle w:val="Prrafodelista"/>
        <w:spacing w:before="240" w:after="240"/>
        <w:ind w:left="644" w:right="900"/>
        <w:jc w:val="both"/>
        <w:rPr>
          <w:rFonts w:ascii="Palatino Linotype" w:hAnsi="Palatino Linotype" w:cs="Arial"/>
          <w:b/>
          <w:bCs/>
          <w:i/>
          <w:noProof/>
          <w:szCs w:val="22"/>
        </w:rPr>
      </w:pPr>
      <w:r>
        <w:rPr>
          <w:rFonts w:ascii="Palatino Linotype" w:hAnsi="Palatino Linotype" w:cs="Arial"/>
          <w:bCs/>
          <w:i/>
          <w:noProof/>
          <w:szCs w:val="22"/>
        </w:rPr>
        <w:t>El formato mencionado deberá estar agregado al expediente electrónico de la solicitud de información pública, en el estatus respectivo.”.</w:t>
      </w:r>
      <w:r>
        <w:rPr>
          <w:rFonts w:ascii="Palatino Linotype" w:hAnsi="Palatino Linotype" w:cs="Arial"/>
          <w:b/>
          <w:bCs/>
          <w:i/>
          <w:noProof/>
          <w:szCs w:val="22"/>
        </w:rPr>
        <w:t>”</w:t>
      </w:r>
    </w:p>
    <w:p w14:paraId="06CC11CC" w14:textId="77777777" w:rsidR="008346B8" w:rsidRDefault="008346B8" w:rsidP="008346B8">
      <w:pPr>
        <w:pStyle w:val="Prrafodelista"/>
        <w:spacing w:before="240" w:after="240"/>
        <w:ind w:left="644" w:right="900"/>
        <w:jc w:val="both"/>
        <w:rPr>
          <w:rFonts w:ascii="Palatino Linotype" w:hAnsi="Palatino Linotype" w:cs="Arial"/>
          <w:bCs/>
          <w:i/>
          <w:noProof/>
          <w:szCs w:val="22"/>
        </w:rPr>
      </w:pPr>
    </w:p>
    <w:p w14:paraId="5DD3797A" w14:textId="77777777" w:rsidR="008346B8" w:rsidRPr="008346B8" w:rsidRDefault="008346B8" w:rsidP="008346B8">
      <w:pPr>
        <w:numPr>
          <w:ilvl w:val="0"/>
          <w:numId w:val="26"/>
        </w:numPr>
        <w:spacing w:line="360" w:lineRule="auto"/>
        <w:ind w:left="0" w:firstLine="0"/>
        <w:contextualSpacing/>
        <w:jc w:val="both"/>
        <w:rPr>
          <w:rFonts w:ascii="Palatino Linotype" w:hAnsi="Palatino Linotype" w:cstheme="minorBidi"/>
          <w:sz w:val="32"/>
          <w:szCs w:val="24"/>
        </w:rPr>
      </w:pPr>
      <w:r w:rsidRPr="008346B8">
        <w:rPr>
          <w:rFonts w:ascii="Palatino Linotype" w:hAnsi="Palatino Linotype" w:cs="Arial"/>
          <w:sz w:val="24"/>
        </w:rPr>
        <w:t xml:space="preserve">En conclusión, los Sujetos Obligados deben proporcionar la información en la modalidad solicitada por los particulares y, solo en aquellos casos que se encuentren impedidos técnica o administrativamente, deberán proporcionar otras modalidades de entrega, </w:t>
      </w:r>
      <w:r w:rsidRPr="008346B8">
        <w:rPr>
          <w:rFonts w:ascii="Palatino Linotype" w:hAnsi="Palatino Linotype"/>
          <w:sz w:val="24"/>
        </w:rPr>
        <w:t xml:space="preserve">previo aviso a este Instituto. </w:t>
      </w:r>
    </w:p>
    <w:p w14:paraId="14E82A45" w14:textId="77777777" w:rsidR="008346B8" w:rsidRPr="008346B8" w:rsidRDefault="008346B8" w:rsidP="008346B8">
      <w:pPr>
        <w:spacing w:line="360" w:lineRule="auto"/>
        <w:jc w:val="both"/>
        <w:rPr>
          <w:rFonts w:ascii="Palatino Linotype" w:hAnsi="Palatino Linotype"/>
          <w:sz w:val="24"/>
        </w:rPr>
      </w:pPr>
    </w:p>
    <w:p w14:paraId="29AA5097" w14:textId="57435C8E" w:rsidR="008346B8" w:rsidRPr="008346B8" w:rsidRDefault="008346B8" w:rsidP="008346B8">
      <w:pPr>
        <w:numPr>
          <w:ilvl w:val="0"/>
          <w:numId w:val="26"/>
        </w:numPr>
        <w:spacing w:line="360" w:lineRule="auto"/>
        <w:ind w:left="0" w:firstLine="0"/>
        <w:contextualSpacing/>
        <w:jc w:val="both"/>
        <w:rPr>
          <w:rFonts w:ascii="Palatino Linotype" w:hAnsi="Palatino Linotype" w:cs="Arial"/>
          <w:sz w:val="24"/>
        </w:rPr>
      </w:pPr>
      <w:r w:rsidRPr="008346B8">
        <w:rPr>
          <w:rFonts w:ascii="Palatino Linotype" w:hAnsi="Palatino Linotype" w:cs="Arial"/>
          <w:sz w:val="24"/>
        </w:rPr>
        <w:t xml:space="preserve">En el presente asunto en particular, se debe valorar el cúmulo de información que se está solicitando, </w:t>
      </w:r>
      <w:r>
        <w:rPr>
          <w:rFonts w:ascii="Palatino Linotype" w:hAnsi="Palatino Linotype" w:cs="Arial"/>
          <w:sz w:val="24"/>
        </w:rPr>
        <w:t>diversa información que se carga al portal IPOMEX.</w:t>
      </w:r>
      <w:r w:rsidRPr="008346B8">
        <w:rPr>
          <w:rFonts w:ascii="Palatino Linotype" w:hAnsi="Palatino Linotype" w:cs="Arial"/>
          <w:sz w:val="24"/>
        </w:rPr>
        <w:t xml:space="preserve"> A efecto de no vulnerar o restringir el derecho accionado por el particular, </w:t>
      </w:r>
      <w:r w:rsidRPr="008346B8">
        <w:rPr>
          <w:rFonts w:ascii="Palatino Linotype" w:hAnsi="Palatino Linotype" w:cs="Arial"/>
          <w:b/>
          <w:sz w:val="24"/>
        </w:rPr>
        <w:t>sólo en caso</w:t>
      </w:r>
      <w:r w:rsidRPr="008346B8">
        <w:rPr>
          <w:rFonts w:ascii="Palatino Linotype" w:hAnsi="Palatino Linotype" w:cs="Arial"/>
          <w:sz w:val="24"/>
        </w:rPr>
        <w:t xml:space="preserve"> de que el Sujeto Obligado se encuentre impedido técnicamente para privilegiar la entrega de la información en la modalidad solicitada </w:t>
      </w:r>
      <w:r w:rsidRPr="008346B8">
        <w:rPr>
          <w:rFonts w:ascii="Palatino Linotype" w:hAnsi="Palatino Linotype"/>
          <w:sz w:val="24"/>
        </w:rPr>
        <w:t xml:space="preserve">por el particular; </w:t>
      </w:r>
      <w:r>
        <w:rPr>
          <w:rFonts w:ascii="Palatino Linotype" w:hAnsi="Palatino Linotype"/>
          <w:b/>
          <w:sz w:val="24"/>
        </w:rPr>
        <w:t>acreditando justificadamente</w:t>
      </w:r>
      <w:r>
        <w:rPr>
          <w:rFonts w:ascii="Palatino Linotype" w:hAnsi="Palatino Linotype"/>
          <w:sz w:val="24"/>
        </w:rPr>
        <w:t xml:space="preserve"> el impedimento</w:t>
      </w:r>
      <w:r w:rsidRPr="008346B8">
        <w:rPr>
          <w:rFonts w:ascii="Palatino Linotype" w:hAnsi="Palatino Linotype"/>
          <w:sz w:val="24"/>
        </w:rPr>
        <w:t>, se deberá ofrecer la opción de entrega tales como: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14:paraId="010C1820" w14:textId="2654482B" w:rsidR="00CC4C0B" w:rsidRDefault="00DB2180" w:rsidP="00DB2180">
      <w:pPr>
        <w:pStyle w:val="Ttulo1"/>
        <w:rPr>
          <w:rFonts w:ascii="Palatino Linotype" w:eastAsia="Calibri" w:hAnsi="Palatino Linotype"/>
          <w:b/>
          <w:color w:val="auto"/>
          <w:sz w:val="24"/>
          <w:szCs w:val="24"/>
        </w:rPr>
      </w:pPr>
      <w:bookmarkStart w:id="19" w:name="_Toc83311691"/>
      <w:r w:rsidRPr="00624AAD">
        <w:rPr>
          <w:rFonts w:ascii="Palatino Linotype" w:eastAsia="Calibri" w:hAnsi="Palatino Linotype"/>
          <w:b/>
          <w:color w:val="auto"/>
          <w:sz w:val="24"/>
          <w:szCs w:val="24"/>
        </w:rPr>
        <w:t>QUINTO</w:t>
      </w:r>
      <w:r w:rsidR="005000AA" w:rsidRPr="00624AAD">
        <w:rPr>
          <w:rFonts w:ascii="Palatino Linotype" w:eastAsia="Calibri" w:hAnsi="Palatino Linotype"/>
          <w:b/>
          <w:color w:val="auto"/>
          <w:sz w:val="24"/>
          <w:szCs w:val="24"/>
        </w:rPr>
        <w:t xml:space="preserve">. </w:t>
      </w:r>
      <w:r w:rsidR="00CC4C0B">
        <w:rPr>
          <w:rFonts w:ascii="Palatino Linotype" w:eastAsia="Calibri" w:hAnsi="Palatino Linotype"/>
          <w:b/>
          <w:color w:val="auto"/>
          <w:sz w:val="24"/>
          <w:szCs w:val="24"/>
        </w:rPr>
        <w:t>VERSIÓN PÚBLICA.</w:t>
      </w:r>
      <w:bookmarkEnd w:id="19"/>
    </w:p>
    <w:p w14:paraId="5EDB8398" w14:textId="77777777" w:rsidR="00CC4C0B" w:rsidRDefault="00CC4C0B" w:rsidP="00CC4C0B">
      <w:pPr>
        <w:rPr>
          <w:rFonts w:eastAsia="Calibri"/>
        </w:rPr>
      </w:pPr>
    </w:p>
    <w:p w14:paraId="7285DD71" w14:textId="77777777" w:rsidR="00CC4C0B" w:rsidRDefault="00CC4C0B" w:rsidP="00C16D1C">
      <w:pPr>
        <w:pStyle w:val="Prrafodelista"/>
        <w:spacing w:line="360" w:lineRule="auto"/>
        <w:ind w:left="0"/>
        <w:rPr>
          <w:rFonts w:ascii="Palatino Linotype" w:eastAsia="Calibri" w:hAnsi="Palatino Linotype"/>
          <w:sz w:val="24"/>
        </w:rPr>
      </w:pPr>
    </w:p>
    <w:p w14:paraId="370462E1" w14:textId="77777777" w:rsidR="00806ABD" w:rsidRPr="000D77A7" w:rsidRDefault="00806ABD" w:rsidP="00806ABD">
      <w:pPr>
        <w:pStyle w:val="Ttulo1"/>
        <w:numPr>
          <w:ilvl w:val="0"/>
          <w:numId w:val="17"/>
        </w:numPr>
        <w:spacing w:before="0" w:line="360" w:lineRule="auto"/>
        <w:rPr>
          <w:rFonts w:ascii="Palatino Linotype" w:hAnsi="Palatino Linotype"/>
          <w:b/>
          <w:color w:val="000000" w:themeColor="text1"/>
          <w:sz w:val="24"/>
          <w:szCs w:val="24"/>
        </w:rPr>
      </w:pPr>
      <w:bookmarkStart w:id="20" w:name="_Toc48135362"/>
      <w:bookmarkStart w:id="21" w:name="_Toc82017070"/>
      <w:bookmarkStart w:id="22" w:name="_Toc83311692"/>
      <w:r w:rsidRPr="000D77A7">
        <w:rPr>
          <w:rFonts w:ascii="Palatino Linotype" w:hAnsi="Palatino Linotype" w:cs="Times New Roman"/>
          <w:b/>
          <w:color w:val="000000" w:themeColor="text1"/>
          <w:sz w:val="24"/>
          <w:szCs w:val="24"/>
          <w:lang w:eastAsia="es-ES_tradnl"/>
        </w:rPr>
        <w:t>Nociones generales.</w:t>
      </w:r>
      <w:bookmarkEnd w:id="20"/>
      <w:bookmarkEnd w:id="21"/>
      <w:bookmarkEnd w:id="22"/>
      <w:r w:rsidRPr="000D77A7">
        <w:rPr>
          <w:rFonts w:ascii="Palatino Linotype" w:hAnsi="Palatino Linotype" w:cs="Times New Roman"/>
          <w:b/>
          <w:color w:val="000000" w:themeColor="text1"/>
          <w:sz w:val="24"/>
          <w:szCs w:val="24"/>
          <w:lang w:eastAsia="es-ES_tradnl"/>
        </w:rPr>
        <w:t xml:space="preserve"> </w:t>
      </w:r>
    </w:p>
    <w:p w14:paraId="3E522549" w14:textId="77777777" w:rsidR="00806ABD" w:rsidRPr="000D77A7" w:rsidRDefault="00806ABD" w:rsidP="00806ABD">
      <w:pPr>
        <w:pStyle w:val="Prrafodelista"/>
        <w:tabs>
          <w:tab w:val="left" w:pos="426"/>
        </w:tabs>
        <w:spacing w:line="360" w:lineRule="auto"/>
        <w:ind w:left="0"/>
        <w:jc w:val="both"/>
        <w:rPr>
          <w:rFonts w:ascii="Palatino Linotype" w:eastAsia="MS Mincho" w:hAnsi="Palatino Linotype" w:cs="Arial"/>
          <w:color w:val="000000" w:themeColor="text1"/>
          <w:sz w:val="24"/>
        </w:rPr>
      </w:pPr>
    </w:p>
    <w:p w14:paraId="706D294C" w14:textId="77777777" w:rsidR="00806ABD" w:rsidRPr="000D77A7" w:rsidRDefault="00806ABD" w:rsidP="00806ABD">
      <w:pPr>
        <w:pStyle w:val="Prrafodelista"/>
        <w:numPr>
          <w:ilvl w:val="0"/>
          <w:numId w:val="2"/>
        </w:numPr>
        <w:spacing w:line="360" w:lineRule="auto"/>
        <w:ind w:left="0" w:right="49" w:firstLine="0"/>
        <w:jc w:val="both"/>
        <w:rPr>
          <w:rFonts w:ascii="Palatino Linotype" w:hAnsi="Palatino Linotype" w:cs="Arial"/>
          <w:color w:val="000000"/>
          <w:sz w:val="24"/>
        </w:rPr>
      </w:pPr>
      <w:r w:rsidRPr="000D77A7">
        <w:rPr>
          <w:rFonts w:ascii="Palatino Linotype" w:hAnsi="Palatino Linotype" w:cs="Arial"/>
          <w:color w:val="000000"/>
          <w:sz w:val="24"/>
        </w:rPr>
        <w:t>Debe destacarse que, debido a la naturaleza de la información solicitada</w:t>
      </w:r>
      <w:r w:rsidRPr="000D77A7">
        <w:rPr>
          <w:rFonts w:ascii="Palatino Linotype" w:hAnsi="Palatino Linotype" w:cs="Arial"/>
          <w:b/>
          <w:color w:val="000000"/>
          <w:sz w:val="24"/>
        </w:rPr>
        <w:t xml:space="preserve">, </w:t>
      </w:r>
      <w:r w:rsidRPr="000D77A7">
        <w:rPr>
          <w:rFonts w:ascii="Palatino Linotype" w:hAnsi="Palatino Linotype" w:cs="Arial"/>
          <w:color w:val="000000"/>
          <w:sz w:val="24"/>
        </w:rPr>
        <w:t xml:space="preserve">eventualmente pudiera obrar datos personales susceptibles de protegerse, el </w:t>
      </w:r>
      <w:r w:rsidRPr="000D77A7">
        <w:rPr>
          <w:rFonts w:ascii="Palatino Linotype" w:hAnsi="Palatino Linotype" w:cs="Arial"/>
          <w:b/>
          <w:bCs/>
          <w:color w:val="000000"/>
          <w:sz w:val="24"/>
        </w:rPr>
        <w:t xml:space="preserve">Sujeto Obligado </w:t>
      </w:r>
      <w:r w:rsidRPr="000D77A7">
        <w:rPr>
          <w:rFonts w:ascii="Palatino Linotype" w:hAnsi="Palatino Linotype" w:cs="Arial"/>
          <w:color w:val="000000"/>
          <w:sz w:val="24"/>
        </w:rPr>
        <w:t xml:space="preserve">deberá de hacer la adecuada versión pública, protegiendo los datos que no son susceptibles de ser proporcionados. </w:t>
      </w:r>
    </w:p>
    <w:p w14:paraId="26D64943" w14:textId="77777777" w:rsidR="00806ABD" w:rsidRPr="000D77A7" w:rsidRDefault="00806ABD" w:rsidP="00806ABD">
      <w:pPr>
        <w:pStyle w:val="Prrafodelista"/>
        <w:tabs>
          <w:tab w:val="left" w:pos="0"/>
        </w:tabs>
        <w:spacing w:line="360" w:lineRule="auto"/>
        <w:ind w:left="0" w:right="49"/>
        <w:jc w:val="both"/>
        <w:rPr>
          <w:rFonts w:ascii="Palatino Linotype" w:eastAsia="MS Mincho" w:hAnsi="Palatino Linotype"/>
          <w:sz w:val="24"/>
          <w:highlight w:val="yellow"/>
          <w:lang w:val="es-ES"/>
        </w:rPr>
      </w:pPr>
    </w:p>
    <w:p w14:paraId="05C5648A" w14:textId="77777777" w:rsidR="00806ABD" w:rsidRPr="000D77A7" w:rsidRDefault="00806ABD" w:rsidP="00806ABD">
      <w:pPr>
        <w:numPr>
          <w:ilvl w:val="0"/>
          <w:numId w:val="2"/>
        </w:numPr>
        <w:spacing w:line="360" w:lineRule="auto"/>
        <w:ind w:left="0" w:right="49" w:firstLine="0"/>
        <w:contextualSpacing/>
        <w:jc w:val="both"/>
        <w:rPr>
          <w:rFonts w:ascii="Palatino Linotype" w:hAnsi="Palatino Linotype" w:cs="Arial"/>
          <w:color w:val="000000"/>
          <w:sz w:val="24"/>
          <w:szCs w:val="24"/>
        </w:rPr>
      </w:pPr>
      <w:r w:rsidRPr="000D77A7">
        <w:rPr>
          <w:rFonts w:ascii="Palatino Linotype" w:hAnsi="Palatino Linotype" w:cs="Arial"/>
          <w:color w:val="000000"/>
          <w:sz w:val="24"/>
          <w:szCs w:val="24"/>
        </w:rPr>
        <w:t xml:space="preserve">No pasa desapercibido para este Órgano Garante que los </w:t>
      </w:r>
      <w:r w:rsidRPr="000D77A7">
        <w:rPr>
          <w:rFonts w:ascii="Palatino Linotype" w:hAnsi="Palatino Linotype" w:cs="Arial"/>
          <w:b/>
          <w:bCs/>
          <w:color w:val="000000"/>
          <w:sz w:val="24"/>
          <w:szCs w:val="24"/>
        </w:rPr>
        <w:t xml:space="preserve">Sujetos Obligados </w:t>
      </w:r>
      <w:r w:rsidRPr="000D77A7">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AEA368" w14:textId="77777777" w:rsidR="00806ABD" w:rsidRPr="000D77A7" w:rsidRDefault="00806ABD" w:rsidP="00806ABD">
      <w:pPr>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806ABD" w:rsidRPr="000D77A7" w14:paraId="7E670DF7" w14:textId="77777777" w:rsidTr="0092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BF72C5"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a) Requisitos previos.</w:t>
            </w:r>
          </w:p>
        </w:tc>
        <w:tc>
          <w:tcPr>
            <w:tcW w:w="6990" w:type="dxa"/>
            <w:hideMark/>
          </w:tcPr>
          <w:p w14:paraId="39A2CCEE"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9C91D7"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Al hacerlo tienen que precisar de qué información se trata, señalando el supuesto de clasificación (confidencialidad o reserva).</w:t>
            </w:r>
          </w:p>
          <w:p w14:paraId="5293B49B" w14:textId="77777777" w:rsidR="00806ABD" w:rsidRPr="008A44D6" w:rsidRDefault="00806ABD" w:rsidP="00920E8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8A44D6">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07846D70" w14:textId="77777777" w:rsidR="00806ABD" w:rsidRPr="008A44D6" w:rsidRDefault="00806ABD" w:rsidP="00920E8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b w:val="0"/>
                <w:bCs w:val="0"/>
                <w:color w:val="000000"/>
                <w:szCs w:val="24"/>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szCs w:val="24"/>
                <w:u w:val="single"/>
              </w:rPr>
              <w:t>no se puede hacer un acuerdo para clasificar de manera general todos los documentos de un expediente o área, sin</w:t>
            </w:r>
            <w:r w:rsidRPr="008A44D6">
              <w:rPr>
                <w:rFonts w:ascii="Palatino Linotype" w:hAnsi="Palatino Linotype" w:cs="Arial"/>
                <w:b w:val="0"/>
                <w:bCs w:val="0"/>
                <w:color w:val="000000"/>
                <w:szCs w:val="24"/>
              </w:rPr>
              <w:t xml:space="preserve"> individualizar su análisis y tampoco se puede hacer un acuerdo por cada dato que se vaya a clasificar dentro de un documento con diez datos, por ejemplo, susceptibles de ser clasificados.</w:t>
            </w:r>
          </w:p>
        </w:tc>
      </w:tr>
      <w:tr w:rsidR="00806ABD" w:rsidRPr="000D77A7" w14:paraId="0326AE05"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8FCA58"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b) Supuestos de clasificación.</w:t>
            </w:r>
          </w:p>
        </w:tc>
        <w:tc>
          <w:tcPr>
            <w:tcW w:w="6990" w:type="dxa"/>
            <w:hideMark/>
          </w:tcPr>
          <w:p w14:paraId="7152777E"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03BF21B3"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67C8C7E" w14:textId="77777777" w:rsidR="00806ABD" w:rsidRPr="008A44D6" w:rsidRDefault="00806ABD" w:rsidP="00920E8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 xml:space="preserve">El </w:t>
            </w:r>
            <w:r w:rsidRPr="008A44D6">
              <w:rPr>
                <w:rFonts w:ascii="Palatino Linotype" w:hAnsi="Palatino Linotype" w:cs="Arial"/>
                <w:b/>
                <w:color w:val="000000"/>
                <w:szCs w:val="24"/>
              </w:rPr>
              <w:t>Sujeto Obligado</w:t>
            </w:r>
            <w:r w:rsidRPr="008A44D6">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06ABD" w:rsidRPr="000D77A7" w14:paraId="454B28B4" w14:textId="77777777" w:rsidTr="00920E85">
        <w:tc>
          <w:tcPr>
            <w:cnfStyle w:val="001000000000" w:firstRow="0" w:lastRow="0" w:firstColumn="1" w:lastColumn="0" w:oddVBand="0" w:evenVBand="0" w:oddHBand="0" w:evenHBand="0" w:firstRowFirstColumn="0" w:firstRowLastColumn="0" w:lastRowFirstColumn="0" w:lastRowLastColumn="0"/>
            <w:tcW w:w="1838" w:type="dxa"/>
            <w:hideMark/>
          </w:tcPr>
          <w:p w14:paraId="7DEEAD09" w14:textId="77777777" w:rsidR="00806ABD" w:rsidRPr="008A44D6" w:rsidRDefault="00806ABD" w:rsidP="00920E85">
            <w:pPr>
              <w:spacing w:line="360" w:lineRule="auto"/>
              <w:rPr>
                <w:rFonts w:ascii="Palatino Linotype" w:hAnsi="Palatino Linotype"/>
                <w:bCs w:val="0"/>
                <w:szCs w:val="24"/>
              </w:rPr>
            </w:pPr>
            <w:r w:rsidRPr="008A44D6">
              <w:rPr>
                <w:rFonts w:ascii="Palatino Linotype" w:hAnsi="Palatino Linotype" w:cstheme="majorBidi"/>
                <w:bCs w:val="0"/>
                <w:szCs w:val="24"/>
              </w:rPr>
              <w:t>c) Formalidades para emitir el acuerdo de clasificación.</w:t>
            </w:r>
          </w:p>
        </w:tc>
        <w:tc>
          <w:tcPr>
            <w:tcW w:w="6990" w:type="dxa"/>
            <w:hideMark/>
          </w:tcPr>
          <w:p w14:paraId="48712D74"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38E99D5F" w14:textId="77777777" w:rsidR="00806ABD" w:rsidRPr="008A44D6"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Es necesario que </w:t>
            </w:r>
            <w:r w:rsidRPr="008A44D6">
              <w:rPr>
                <w:rFonts w:ascii="Palatino Linotype" w:hAnsi="Palatino Linotype" w:cs="Arial"/>
                <w:b/>
                <w:color w:val="000000"/>
                <w:szCs w:val="24"/>
                <w:u w:val="single"/>
              </w:rPr>
              <w:t>el acto reúna con los requisitos elementales</w:t>
            </w:r>
            <w:r w:rsidRPr="008A44D6">
              <w:rPr>
                <w:rFonts w:ascii="Palatino Linotype" w:hAnsi="Palatino Linotype" w:cs="Arial"/>
                <w:color w:val="000000"/>
                <w:szCs w:val="24"/>
              </w:rPr>
              <w:t>, entre ellos, que la autoridad que va a emitir el acto de autoridad sea la legalmente facultada para ello.</w:t>
            </w:r>
          </w:p>
          <w:p w14:paraId="7547245E" w14:textId="77777777" w:rsidR="00806ABD" w:rsidRPr="008A44D6" w:rsidRDefault="00806ABD" w:rsidP="00920E8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8A44D6">
              <w:rPr>
                <w:rFonts w:ascii="Palatino Linotype" w:hAnsi="Palatino Linotype" w:cs="Arial"/>
                <w:color w:val="00000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06ABD" w:rsidRPr="000D77A7" w14:paraId="406A4479" w14:textId="77777777" w:rsidTr="00920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655349" w14:textId="77777777" w:rsidR="00806ABD" w:rsidRPr="008A44D6" w:rsidRDefault="00806ABD" w:rsidP="00920E85">
            <w:pPr>
              <w:spacing w:line="360" w:lineRule="auto"/>
              <w:rPr>
                <w:rFonts w:ascii="Palatino Linotype" w:hAnsi="Palatino Linotype"/>
                <w:b w:val="0"/>
                <w:szCs w:val="24"/>
              </w:rPr>
            </w:pPr>
          </w:p>
          <w:p w14:paraId="1D3905D1" w14:textId="77777777" w:rsidR="00806ABD" w:rsidRPr="008A44D6" w:rsidRDefault="00806ABD" w:rsidP="00920E85">
            <w:pPr>
              <w:spacing w:line="360" w:lineRule="auto"/>
              <w:jc w:val="both"/>
              <w:rPr>
                <w:rFonts w:ascii="Palatino Linotype" w:hAnsi="Palatino Linotype"/>
                <w:bCs w:val="0"/>
                <w:szCs w:val="24"/>
              </w:rPr>
            </w:pPr>
            <w:r w:rsidRPr="008A44D6">
              <w:rPr>
                <w:rFonts w:ascii="Palatino Linotype" w:hAnsi="Palatino Linotype" w:cs="Arial"/>
                <w:bCs w:val="0"/>
                <w:color w:val="000000"/>
                <w:szCs w:val="24"/>
              </w:rPr>
              <w:t xml:space="preserve">d) Requisitos de fondo del acuerdo de clasificación. </w:t>
            </w:r>
          </w:p>
        </w:tc>
        <w:tc>
          <w:tcPr>
            <w:tcW w:w="6990" w:type="dxa"/>
            <w:hideMark/>
          </w:tcPr>
          <w:p w14:paraId="2FA0E4C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szCs w:val="24"/>
              </w:rPr>
              <w:t>Sujetos Obligados</w:t>
            </w:r>
            <w:r w:rsidRPr="008A44D6">
              <w:rPr>
                <w:rFonts w:ascii="Palatino Linotype" w:hAnsi="Palatino Linotype" w:cs="Arial"/>
                <w:color w:val="000000"/>
                <w:szCs w:val="24"/>
              </w:rPr>
              <w:t xml:space="preserve">, por lo que deberán fundar y motivar debidamente la clasificación. </w:t>
            </w:r>
          </w:p>
          <w:p w14:paraId="4A75E64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De lo anterior, se desprende que para una correcta </w:t>
            </w:r>
            <w:r w:rsidRPr="008A44D6">
              <w:rPr>
                <w:rFonts w:ascii="Palatino Linotype" w:hAnsi="Palatino Linotype" w:cs="Arial"/>
                <w:b/>
                <w:color w:val="000000"/>
                <w:szCs w:val="24"/>
              </w:rPr>
              <w:t>clasificación total o parcial</w:t>
            </w:r>
            <w:r w:rsidRPr="008A44D6">
              <w:rPr>
                <w:rFonts w:ascii="Palatino Linotype" w:hAnsi="Palatino Linotype" w:cs="Arial"/>
                <w:color w:val="00000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0F59C1"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FF30A8A"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En ese mismo sentido, el numeral trigésimo tercero fracción V de los Lineamientos Generales, precisa que para motivar la clasificación se deben acreditar las circunstancias de tiempo, modo y lugar.</w:t>
            </w:r>
          </w:p>
          <w:p w14:paraId="59E850A2" w14:textId="77777777" w:rsidR="00806ABD" w:rsidRPr="008A44D6" w:rsidRDefault="00806ABD" w:rsidP="00920E8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8A44D6">
              <w:rPr>
                <w:rFonts w:ascii="Palatino Linotype" w:hAnsi="Palatino Linotype" w:cs="Arial"/>
                <w:color w:val="000000"/>
                <w:szCs w:val="24"/>
              </w:rPr>
              <w:t xml:space="preserve">Ahora bien, </w:t>
            </w:r>
            <w:r w:rsidRPr="008A44D6">
              <w:rPr>
                <w:rFonts w:ascii="Palatino Linotype" w:hAnsi="Palatino Linotype" w:cs="Arial"/>
                <w:b/>
                <w:color w:val="000000"/>
                <w:szCs w:val="24"/>
                <w:u w:val="single"/>
              </w:rPr>
              <w:t>para cada caso además de fundar y motivar</w:t>
            </w:r>
            <w:r w:rsidRPr="008A44D6">
              <w:rPr>
                <w:rFonts w:ascii="Palatino Linotype" w:hAnsi="Palatino Linotype" w:cs="Arial"/>
                <w:color w:val="000000"/>
                <w:szCs w:val="24"/>
              </w:rPr>
              <w:t xml:space="preserve">, se debe identificar con claridad que datos contenidos en las documentales que son susceptibles de suprimirse, por ejemplo; </w:t>
            </w:r>
            <w:r w:rsidRPr="008A44D6">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06ABD" w:rsidRPr="00AF7502" w14:paraId="2E30042B" w14:textId="77777777" w:rsidTr="00920E85">
        <w:tc>
          <w:tcPr>
            <w:cnfStyle w:val="001000000000" w:firstRow="0" w:lastRow="0" w:firstColumn="1" w:lastColumn="0" w:oddVBand="0" w:evenVBand="0" w:oddHBand="0" w:evenHBand="0" w:firstRowFirstColumn="0" w:firstRowLastColumn="0" w:lastRowFirstColumn="0" w:lastRowLastColumn="0"/>
            <w:tcW w:w="1838" w:type="dxa"/>
          </w:tcPr>
          <w:p w14:paraId="47D1A5D5" w14:textId="77777777" w:rsidR="00806ABD" w:rsidRPr="00AF7502" w:rsidRDefault="00806ABD" w:rsidP="00920E85">
            <w:pPr>
              <w:spacing w:line="360" w:lineRule="auto"/>
              <w:ind w:right="49"/>
              <w:jc w:val="both"/>
              <w:rPr>
                <w:rFonts w:ascii="Palatino Linotype" w:hAnsi="Palatino Linotype" w:cs="Arial"/>
                <w:bCs w:val="0"/>
                <w:szCs w:val="24"/>
              </w:rPr>
            </w:pPr>
            <w:r w:rsidRPr="00AF7502">
              <w:rPr>
                <w:rFonts w:ascii="Palatino Linotype" w:eastAsia="MS Gothic" w:hAnsi="Palatino Linotype" w:cs="Times New Roman"/>
                <w:b w:val="0"/>
                <w:szCs w:val="24"/>
              </w:rPr>
              <w:t>e</w:t>
            </w:r>
            <w:r w:rsidRPr="00AF7502">
              <w:rPr>
                <w:rFonts w:ascii="Palatino Linotype" w:eastAsia="MS Gothic" w:hAnsi="Palatino Linotype" w:cs="Times New Roman"/>
                <w:bCs w:val="0"/>
                <w:szCs w:val="24"/>
              </w:rPr>
              <w:t xml:space="preserve">) Condiciones especiales de la clasificación de la información como confidencial. </w:t>
            </w:r>
          </w:p>
        </w:tc>
        <w:tc>
          <w:tcPr>
            <w:tcW w:w="6990" w:type="dxa"/>
            <w:hideMark/>
          </w:tcPr>
          <w:p w14:paraId="50D3A7FB"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62E02C96" w14:textId="77777777" w:rsidR="00806ABD" w:rsidRPr="00AF7502" w:rsidRDefault="00806ABD" w:rsidP="00920E8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AF7502">
              <w:rPr>
                <w:rFonts w:ascii="Palatino Linotype" w:hAnsi="Palatino Linotype" w:cs="Arial"/>
                <w:color w:val="00000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D1B5F9E" w14:textId="77777777" w:rsidR="00806ABD" w:rsidRPr="00AF7502" w:rsidRDefault="00806ABD" w:rsidP="00920E8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AF7502">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1CC250" w14:textId="77777777" w:rsidR="00806ABD" w:rsidRPr="00AF7502" w:rsidRDefault="00806ABD" w:rsidP="00806ABD">
      <w:pPr>
        <w:spacing w:line="360" w:lineRule="auto"/>
        <w:ind w:right="49"/>
        <w:contextualSpacing/>
        <w:jc w:val="both"/>
        <w:rPr>
          <w:rFonts w:ascii="Palatino Linotype" w:hAnsi="Palatino Linotype" w:cs="Arial"/>
          <w:color w:val="000000"/>
          <w:sz w:val="24"/>
          <w:szCs w:val="24"/>
        </w:rPr>
      </w:pPr>
    </w:p>
    <w:p w14:paraId="01571EA1" w14:textId="57A808E9" w:rsidR="00806ABD" w:rsidRPr="00AF7502" w:rsidRDefault="00806ABD" w:rsidP="00806AB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AF7502">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F73DC6" w14:textId="3009E2CD" w:rsidR="005000AA" w:rsidRPr="00624AAD" w:rsidRDefault="00CC4C0B" w:rsidP="00DB2180">
      <w:pPr>
        <w:pStyle w:val="Ttulo1"/>
        <w:rPr>
          <w:rFonts w:ascii="Palatino Linotype" w:eastAsia="Calibri" w:hAnsi="Palatino Linotype"/>
          <w:b/>
          <w:color w:val="auto"/>
          <w:sz w:val="24"/>
          <w:szCs w:val="24"/>
        </w:rPr>
      </w:pPr>
      <w:bookmarkStart w:id="23" w:name="_Toc83311693"/>
      <w:r>
        <w:rPr>
          <w:rFonts w:ascii="Palatino Linotype" w:eastAsia="Calibri" w:hAnsi="Palatino Linotype"/>
          <w:b/>
          <w:color w:val="auto"/>
          <w:sz w:val="24"/>
          <w:szCs w:val="24"/>
        </w:rPr>
        <w:t xml:space="preserve">SEXTO. </w:t>
      </w:r>
      <w:r w:rsidR="005000AA" w:rsidRPr="00624AAD">
        <w:rPr>
          <w:rFonts w:ascii="Palatino Linotype" w:eastAsia="Calibri" w:hAnsi="Palatino Linotype"/>
          <w:b/>
          <w:color w:val="auto"/>
          <w:sz w:val="24"/>
          <w:szCs w:val="24"/>
        </w:rPr>
        <w:t>DECISIÓN.</w:t>
      </w:r>
      <w:bookmarkEnd w:id="23"/>
    </w:p>
    <w:p w14:paraId="24099BD0" w14:textId="77777777" w:rsidR="005000AA" w:rsidRPr="00624AAD" w:rsidRDefault="005000AA" w:rsidP="005000AA">
      <w:pPr>
        <w:pStyle w:val="Prrafodelista"/>
        <w:rPr>
          <w:rFonts w:ascii="Palatino Linotype" w:eastAsia="Calibri" w:hAnsi="Palatino Linotype" w:cs="Arial"/>
          <w:sz w:val="24"/>
        </w:rPr>
      </w:pPr>
    </w:p>
    <w:p w14:paraId="75D31004" w14:textId="0061A35F" w:rsidR="00A42DC6" w:rsidRDefault="00A42DC6"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La información solicitada por el Recurrente corresponde a información pública de oficio que deben publicar los Sujetos Obligados en los sitios electrónicos por ser información de interés general para toda la ciudadanía. Debe ser actualizada por lo menos, cada tres meses. En consecuencia, se determinó que el Sujeto Obligado debe proporcionar los documentos solicitados. Asimismo, la respuesta entregada no satisface los requerimientos, toda vez que, la actualización de la información, de ninguna manera implica la eliminación de la información ya publicada, sino por el contrario, es más una retroalimentación y robustecimiento.</w:t>
      </w:r>
    </w:p>
    <w:p w14:paraId="378278BB" w14:textId="77777777" w:rsidR="00A42DC6" w:rsidRDefault="00A42DC6" w:rsidP="00A42DC6">
      <w:pPr>
        <w:pStyle w:val="Prrafodelista"/>
        <w:tabs>
          <w:tab w:val="left" w:pos="567"/>
        </w:tabs>
        <w:spacing w:line="360" w:lineRule="auto"/>
        <w:ind w:left="0"/>
        <w:jc w:val="both"/>
        <w:rPr>
          <w:rFonts w:ascii="Palatino Linotype" w:eastAsia="Calibri" w:hAnsi="Palatino Linotype" w:cs="Arial"/>
          <w:sz w:val="24"/>
        </w:rPr>
      </w:pPr>
    </w:p>
    <w:p w14:paraId="1002DEBF" w14:textId="429C61F6" w:rsidR="00A42DC6" w:rsidRDefault="00A42DC6"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Se indicó que, no toda la información solicitada debe ser generada, administrada y poseída por el Sujeto Obligada, esto conforme a la tabla de aplicabilidad publicada en la página oficial de este Órgano Garante. Consecuentemente, resultaron fundadas las razones o motivos de inconformidad hechos valer por el Recurrente, procediendo a REVOCAR la respuesta y ORDENAR la entrega de la información.</w:t>
      </w:r>
    </w:p>
    <w:bookmarkEnd w:id="15"/>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24" w:name="_Toc4061692"/>
      <w:bookmarkStart w:id="25" w:name="_Toc486525261"/>
      <w:bookmarkStart w:id="26" w:name="_Toc445745148"/>
      <w:bookmarkStart w:id="27" w:name="_Toc447699324"/>
      <w:bookmarkStart w:id="28" w:name="_Toc83311694"/>
      <w:r w:rsidRPr="00624AAD">
        <w:rPr>
          <w:rFonts w:ascii="Palatino Linotype" w:hAnsi="Palatino Linotype"/>
          <w:b/>
          <w:color w:val="auto"/>
          <w:sz w:val="24"/>
          <w:szCs w:val="24"/>
        </w:rPr>
        <w:t>R E S O L U T I V O S</w:t>
      </w:r>
      <w:bookmarkEnd w:id="24"/>
      <w:bookmarkEnd w:id="25"/>
      <w:bookmarkEnd w:id="26"/>
      <w:bookmarkEnd w:id="27"/>
      <w:bookmarkEnd w:id="28"/>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446E2B0D"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Resultan 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00801EE4" w:rsidRPr="00801EE4">
        <w:rPr>
          <w:rFonts w:ascii="Palatino Linotype" w:eastAsia="Calibri" w:hAnsi="Palatino Linotype" w:cs="Tahoma"/>
          <w:b/>
          <w:bCs/>
          <w:sz w:val="24"/>
          <w:szCs w:val="22"/>
          <w:lang w:eastAsia="en-US"/>
        </w:rPr>
        <w:t>03853/INFOEM/IP/RR/2021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 xml:space="preserve">en términos de los considerandos </w:t>
      </w:r>
      <w:r w:rsidRPr="000D77A7">
        <w:rPr>
          <w:rFonts w:ascii="Palatino Linotype" w:hAnsi="Palatino Linotype" w:cs="Arial"/>
          <w:b/>
          <w:bCs/>
          <w:sz w:val="24"/>
          <w:szCs w:val="24"/>
        </w:rPr>
        <w:t>CUARTO</w:t>
      </w:r>
      <w:r w:rsidRPr="000D77A7">
        <w:rPr>
          <w:rFonts w:ascii="Palatino Linotype" w:hAnsi="Palatino Linotype" w:cs="Arial"/>
          <w:bCs/>
          <w:sz w:val="24"/>
          <w:szCs w:val="24"/>
        </w:rPr>
        <w:t xml:space="preserve"> y </w:t>
      </w:r>
      <w:r w:rsidRPr="000D77A7">
        <w:rPr>
          <w:rFonts w:ascii="Palatino Linotype" w:hAnsi="Palatino Linotype" w:cs="Arial"/>
          <w:b/>
          <w:bCs/>
          <w:sz w:val="24"/>
          <w:szCs w:val="24"/>
        </w:rPr>
        <w:t xml:space="preserve">QUINTO </w:t>
      </w:r>
      <w:r w:rsidRPr="000D77A7">
        <w:rPr>
          <w:rFonts w:ascii="Palatino Linotype" w:hAnsi="Palatino Linotype" w:cs="Arial"/>
          <w:bCs/>
          <w:sz w:val="24"/>
          <w:szCs w:val="24"/>
        </w:rPr>
        <w:t>de la presente resolución.</w:t>
      </w:r>
    </w:p>
    <w:p w14:paraId="372A0DBD" w14:textId="61E7D4D2"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Pr="007043ED">
        <w:rPr>
          <w:rFonts w:ascii="Palatino Linotype" w:eastAsia="Calibri" w:hAnsi="Palatino Linotype" w:cs="Arial"/>
          <w:b/>
          <w:sz w:val="24"/>
          <w:szCs w:val="24"/>
          <w:lang w:val="es-ES"/>
        </w:rPr>
        <w:t>REVOCA</w:t>
      </w:r>
      <w:r w:rsidRPr="000D77A7">
        <w:rPr>
          <w:rFonts w:ascii="Palatino Linotype" w:eastAsia="Calibri" w:hAnsi="Palatino Linotype" w:cs="Arial"/>
          <w:sz w:val="24"/>
          <w:szCs w:val="24"/>
          <w:lang w:val="es-ES"/>
        </w:rPr>
        <w:t xml:space="preserve"> la respuesta emitida por el </w:t>
      </w:r>
      <w:r w:rsidR="00801EE4" w:rsidRPr="00801EE4">
        <w:rPr>
          <w:rFonts w:ascii="Palatino Linotype" w:eastAsia="Calibri" w:hAnsi="Palatino Linotype" w:cs="Tahoma"/>
          <w:b/>
          <w:sz w:val="24"/>
          <w:szCs w:val="22"/>
          <w:lang w:eastAsia="en-US"/>
        </w:rPr>
        <w:t>Ayuntamiento de Chimalhuacán</w:t>
      </w:r>
      <w:r w:rsidRPr="00801EE4">
        <w:rPr>
          <w:rFonts w:ascii="Palatino Linotype" w:eastAsia="Calibri" w:hAnsi="Palatino Linotype" w:cs="Arial"/>
          <w:b/>
          <w:sz w:val="28"/>
          <w:szCs w:val="24"/>
          <w:lang w:val="es-ES"/>
        </w:rPr>
        <w:t xml:space="preserve">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Pr="000D77A7">
        <w:rPr>
          <w:rFonts w:ascii="Palatino Linotype" w:hAnsi="Palatino Linotype" w:cs="Arial"/>
          <w:sz w:val="24"/>
          <w:szCs w:val="24"/>
          <w:lang w:val="es-ES"/>
        </w:rPr>
        <w:t xml:space="preserve">, de </w:t>
      </w:r>
      <w:r w:rsidR="00740C6B">
        <w:rPr>
          <w:rFonts w:ascii="Palatino Linotype" w:hAnsi="Palatino Linotype" w:cs="Arial"/>
          <w:sz w:val="24"/>
          <w:szCs w:val="24"/>
          <w:lang w:val="es-ES"/>
        </w:rPr>
        <w:t xml:space="preserve">ser el caso en versión pública, </w:t>
      </w:r>
      <w:r w:rsidRPr="000D77A7">
        <w:rPr>
          <w:rFonts w:ascii="Palatino Linotype" w:hAnsi="Palatino Linotype" w:cs="Arial"/>
          <w:sz w:val="24"/>
          <w:szCs w:val="24"/>
          <w:lang w:val="es-ES"/>
        </w:rPr>
        <w:t>l</w:t>
      </w:r>
      <w:r w:rsidR="00740C6B">
        <w:rPr>
          <w:rFonts w:ascii="Palatino Linotype" w:hAnsi="Palatino Linotype" w:cs="Arial"/>
          <w:sz w:val="24"/>
          <w:szCs w:val="24"/>
          <w:lang w:val="es-ES"/>
        </w:rPr>
        <w:t>os documentos en donde conste</w:t>
      </w:r>
      <w:r w:rsidR="00DD04F7">
        <w:rPr>
          <w:rFonts w:ascii="Palatino Linotype" w:hAnsi="Palatino Linotype" w:cs="Arial"/>
          <w:sz w:val="24"/>
          <w:szCs w:val="24"/>
          <w:lang w:val="es-ES"/>
        </w:rPr>
        <w:t xml:space="preserve"> la </w:t>
      </w:r>
      <w:r w:rsidR="00C37C09">
        <w:rPr>
          <w:rFonts w:ascii="Palatino Linotype" w:hAnsi="Palatino Linotype" w:cs="Arial"/>
          <w:sz w:val="24"/>
          <w:szCs w:val="24"/>
          <w:lang w:val="es-ES"/>
        </w:rPr>
        <w:t xml:space="preserve">siguiente </w:t>
      </w:r>
      <w:r w:rsidR="00DD04F7">
        <w:rPr>
          <w:rFonts w:ascii="Palatino Linotype" w:hAnsi="Palatino Linotype" w:cs="Arial"/>
          <w:sz w:val="24"/>
          <w:szCs w:val="24"/>
          <w:lang w:val="es-ES"/>
        </w:rPr>
        <w:t>información</w:t>
      </w:r>
      <w:r w:rsidR="00C37C09">
        <w:rPr>
          <w:rFonts w:ascii="Palatino Linotype" w:hAnsi="Palatino Linotype" w:cs="Arial"/>
          <w:sz w:val="24"/>
          <w:szCs w:val="24"/>
          <w:lang w:val="es-ES"/>
        </w:rPr>
        <w:t xml:space="preserve"> pública de oficio </w:t>
      </w:r>
      <w:r w:rsidR="00F463ED">
        <w:rPr>
          <w:rFonts w:ascii="Palatino Linotype" w:hAnsi="Palatino Linotype" w:cs="Arial"/>
          <w:sz w:val="24"/>
          <w:szCs w:val="24"/>
          <w:lang w:val="es-ES"/>
        </w:rPr>
        <w:t>vigente</w:t>
      </w:r>
      <w:r w:rsidR="00DD04F7">
        <w:rPr>
          <w:rFonts w:ascii="Palatino Linotype" w:hAnsi="Palatino Linotype" w:cs="Arial"/>
          <w:sz w:val="24"/>
          <w:szCs w:val="24"/>
          <w:lang w:val="es-ES"/>
        </w:rPr>
        <w:t xml:space="preserve"> al once (11) de junio de dos mil veintiuno</w:t>
      </w:r>
      <w:r w:rsidR="00C37C09">
        <w:rPr>
          <w:rFonts w:ascii="Palatino Linotype" w:hAnsi="Palatino Linotype" w:cs="Arial"/>
          <w:sz w:val="24"/>
          <w:szCs w:val="24"/>
          <w:lang w:val="es-ES"/>
        </w:rPr>
        <w:t>:</w:t>
      </w:r>
    </w:p>
    <w:p w14:paraId="2F7EEC7E" w14:textId="75D66957"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Matriz de Indicadores de Resultados;</w:t>
      </w:r>
    </w:p>
    <w:p w14:paraId="33436721" w14:textId="0CCE3A24"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Tabulador de sueldos y salarios;</w:t>
      </w:r>
    </w:p>
    <w:p w14:paraId="3BD83029" w14:textId="5E992D40"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Gastos por concepto de viáticos y gastos de representación;</w:t>
      </w:r>
    </w:p>
    <w:p w14:paraId="6FBC6032" w14:textId="3569D69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Contrataciones de servicios profesionales por honorarios;</w:t>
      </w:r>
    </w:p>
    <w:p w14:paraId="28C34D0F" w14:textId="7FC03C17"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Programas de subsidios, estímulos y apoyos;</w:t>
      </w:r>
    </w:p>
    <w:p w14:paraId="67700BB1" w14:textId="52DD77E9"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Agenda de reuniones;</w:t>
      </w:r>
    </w:p>
    <w:p w14:paraId="507D7DEF" w14:textId="2FED3E40"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Registro de solicitudes de acceso a la información recibidas y atendidas;</w:t>
      </w:r>
    </w:p>
    <w:p w14:paraId="79552498" w14:textId="4D7E110B"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Convocatorias a concursos para ocupar cargos públicos;</w:t>
      </w:r>
    </w:p>
    <w:p w14:paraId="5269D534" w14:textId="40A50B7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Deuda pública;</w:t>
      </w:r>
    </w:p>
    <w:p w14:paraId="4124FAA4" w14:textId="190AC6EC"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Erogación de recursos por contratación de servicios;</w:t>
      </w:r>
    </w:p>
    <w:p w14:paraId="42B03BBF" w14:textId="4E1BBC1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Utilización de los tiempos oficiales;</w:t>
      </w:r>
    </w:p>
    <w:p w14:paraId="7DF0E3E0" w14:textId="0C797FA0"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Mensaje e hipervínculo a la información relacionada con los Tiempos Oficiales;</w:t>
      </w:r>
    </w:p>
    <w:p w14:paraId="1D63123F" w14:textId="2C27BC2D"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Resultados de auditorías realizadas;</w:t>
      </w:r>
    </w:p>
    <w:p w14:paraId="7CBFB6C0" w14:textId="3CEC4BAC"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Resultados de la dictaminación de los estados financieros;</w:t>
      </w:r>
    </w:p>
    <w:p w14:paraId="61D2E8F9" w14:textId="3409BEB5"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Las concesiones, contratos, convenios, permisos, licencias o autorizaciones otorgados;</w:t>
      </w:r>
    </w:p>
    <w:p w14:paraId="734070CB" w14:textId="538C0017"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Estadísticas generadas;</w:t>
      </w:r>
    </w:p>
    <w:p w14:paraId="0A3421DF" w14:textId="30719729"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Convenios de coordinación, de concertación con el sector social o privado;</w:t>
      </w:r>
    </w:p>
    <w:p w14:paraId="0D0420E3" w14:textId="1B7E41F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Inventario de bajas practicadas a bienes muebles;</w:t>
      </w:r>
    </w:p>
    <w:p w14:paraId="726E52C5" w14:textId="15C6E4AC"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Inventario de bienes inmuebles;</w:t>
      </w:r>
    </w:p>
    <w:p w14:paraId="0D6A3326" w14:textId="6F223276"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Inventario de altas practicadas a bienes inmuebles;</w:t>
      </w:r>
    </w:p>
    <w:p w14:paraId="3E38FBB7" w14:textId="42637822"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Recomendaciones emitidas por organismos internacionales;</w:t>
      </w:r>
    </w:p>
    <w:p w14:paraId="2B1D7D30" w14:textId="63EE380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Recomendaciones emitidas por la Comisión Nacional de Derechos Humanos;</w:t>
      </w:r>
    </w:p>
    <w:p w14:paraId="25586EE2" w14:textId="358508F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Casos especiales emitidos por la CNDH u otros organismos;</w:t>
      </w:r>
    </w:p>
    <w:p w14:paraId="4CA2A2C7" w14:textId="61941583"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Resoluciones y laudos emitidos;</w:t>
      </w:r>
    </w:p>
    <w:p w14:paraId="164B7B7F" w14:textId="334CB5B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Resultado de los mecanismos de participación;</w:t>
      </w:r>
    </w:p>
    <w:p w14:paraId="68CD6A63" w14:textId="7859139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Programas que ofrecen;</w:t>
      </w:r>
    </w:p>
    <w:p w14:paraId="2B773B19" w14:textId="3A119903"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Informe de resoluciones del comité de transparencia;</w:t>
      </w:r>
    </w:p>
    <w:p w14:paraId="1822ED79" w14:textId="6BDAFCE3"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Calendario de sesiones ordinarias del comité de transparencia;</w:t>
      </w:r>
    </w:p>
    <w:p w14:paraId="0EFD0810" w14:textId="553EDCE6"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 xml:space="preserve">Evaluaciones y encuestas a programas financiados con recursos públicos; </w:t>
      </w:r>
    </w:p>
    <w:p w14:paraId="1C2AFDC5" w14:textId="4BCCF44C"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Encuestas sobre pro</w:t>
      </w:r>
      <w:r w:rsidR="00E37DA9" w:rsidRPr="00DD04F7">
        <w:rPr>
          <w:rFonts w:ascii="Palatino Linotype" w:hAnsi="Palatino Linotype"/>
          <w:b/>
          <w:i/>
          <w:sz w:val="24"/>
          <w:lang w:eastAsia="es-MX"/>
        </w:rPr>
        <w:t>gramas financiados con recursos</w:t>
      </w:r>
    </w:p>
    <w:p w14:paraId="38562BA2" w14:textId="5FE1796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Estudios fi</w:t>
      </w:r>
      <w:r w:rsidR="00740C6B" w:rsidRPr="00DD04F7">
        <w:rPr>
          <w:rFonts w:ascii="Palatino Linotype" w:hAnsi="Palatino Linotype"/>
          <w:b/>
          <w:i/>
          <w:sz w:val="24"/>
          <w:lang w:eastAsia="es-MX"/>
        </w:rPr>
        <w:t>nanciados con recursos públicos;</w:t>
      </w:r>
    </w:p>
    <w:p w14:paraId="5CD4C11D" w14:textId="66AE4D90"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 xml:space="preserve">Ingresos recibidos por cualquier </w:t>
      </w:r>
      <w:r w:rsidR="00740C6B" w:rsidRPr="00DD04F7">
        <w:rPr>
          <w:rFonts w:ascii="Palatino Linotype" w:hAnsi="Palatino Linotype"/>
          <w:b/>
          <w:i/>
          <w:sz w:val="24"/>
          <w:lang w:eastAsia="es-MX"/>
        </w:rPr>
        <w:t>concepto por el sujeto obligado;</w:t>
      </w:r>
    </w:p>
    <w:p w14:paraId="69015883" w14:textId="29870084" w:rsidR="00237BA9" w:rsidRPr="00DD04F7" w:rsidRDefault="00740C6B"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Donaciones en dinero realizadas;</w:t>
      </w:r>
    </w:p>
    <w:p w14:paraId="73AD97C4" w14:textId="6FF1E64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D</w:t>
      </w:r>
      <w:r w:rsidR="00740C6B" w:rsidRPr="00DD04F7">
        <w:rPr>
          <w:rFonts w:ascii="Palatino Linotype" w:hAnsi="Palatino Linotype"/>
          <w:b/>
          <w:i/>
          <w:sz w:val="24"/>
          <w:lang w:eastAsia="es-MX"/>
        </w:rPr>
        <w:t>onaciones en especie realizadas</w:t>
      </w:r>
    </w:p>
    <w:p w14:paraId="65A435E8" w14:textId="49C245FF"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Catálogo de disposición docum</w:t>
      </w:r>
      <w:r w:rsidR="00740C6B" w:rsidRPr="00DD04F7">
        <w:rPr>
          <w:rFonts w:ascii="Palatino Linotype" w:hAnsi="Palatino Linotype"/>
          <w:b/>
          <w:i/>
          <w:sz w:val="24"/>
          <w:lang w:eastAsia="es-MX"/>
        </w:rPr>
        <w:t>ental y guía simple de archivos;</w:t>
      </w:r>
    </w:p>
    <w:p w14:paraId="67B50149" w14:textId="35C8D02A" w:rsidR="00237BA9" w:rsidRPr="00DD04F7" w:rsidRDefault="00740C6B"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Actas del consejo consultivo;</w:t>
      </w:r>
    </w:p>
    <w:p w14:paraId="25FF3EF6" w14:textId="7D6CDA36"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Opiniones y recomen</w:t>
      </w:r>
      <w:r w:rsidR="00740C6B" w:rsidRPr="00DD04F7">
        <w:rPr>
          <w:rFonts w:ascii="Palatino Linotype" w:hAnsi="Palatino Linotype"/>
          <w:b/>
          <w:i/>
          <w:sz w:val="24"/>
          <w:lang w:eastAsia="es-MX"/>
        </w:rPr>
        <w:t>daciones del consejo consultivo;</w:t>
      </w:r>
    </w:p>
    <w:p w14:paraId="4C1F3D5B" w14:textId="562828B1" w:rsidR="00237BA9" w:rsidRPr="00DD04F7" w:rsidRDefault="00740C6B"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Presupuesto de egresos;</w:t>
      </w:r>
    </w:p>
    <w:p w14:paraId="6581ABAA" w14:textId="1E44F2ED"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 xml:space="preserve">Egresos y fórmulas </w:t>
      </w:r>
      <w:r w:rsidR="00740C6B" w:rsidRPr="00DD04F7">
        <w:rPr>
          <w:rFonts w:ascii="Palatino Linotype" w:hAnsi="Palatino Linotype"/>
          <w:b/>
          <w:i/>
          <w:sz w:val="24"/>
          <w:lang w:eastAsia="es-MX"/>
        </w:rPr>
        <w:t>de distribución de los recursos;</w:t>
      </w:r>
    </w:p>
    <w:p w14:paraId="3AA39045" w14:textId="28AB7EBC"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Hipervínculo a la</w:t>
      </w:r>
      <w:r w:rsidR="00740C6B" w:rsidRPr="00DD04F7">
        <w:rPr>
          <w:rFonts w:ascii="Palatino Linotype" w:hAnsi="Palatino Linotype"/>
          <w:b/>
          <w:i/>
          <w:sz w:val="24"/>
          <w:lang w:eastAsia="es-MX"/>
        </w:rPr>
        <w:t>s cancelaciones y condonaciones;</w:t>
      </w:r>
    </w:p>
    <w:p w14:paraId="2FE2760B" w14:textId="615E782A"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Contribuyentes que recibieron cancelación o c</w:t>
      </w:r>
      <w:r w:rsidR="00740C6B" w:rsidRPr="00DD04F7">
        <w:rPr>
          <w:rFonts w:ascii="Palatino Linotype" w:hAnsi="Palatino Linotype"/>
          <w:b/>
          <w:i/>
          <w:sz w:val="24"/>
          <w:lang w:eastAsia="es-MX"/>
        </w:rPr>
        <w:t>ondonación de créditos fiscales;</w:t>
      </w:r>
    </w:p>
    <w:p w14:paraId="1DD748B5" w14:textId="052E2587" w:rsidR="00237BA9" w:rsidRPr="00DD04F7" w:rsidRDefault="00740C6B"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Estadísticas sobre exenciones;</w:t>
      </w:r>
    </w:p>
    <w:p w14:paraId="670D10E2" w14:textId="07E76677"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Planes y/o program</w:t>
      </w:r>
      <w:r w:rsidR="00740C6B" w:rsidRPr="00DD04F7">
        <w:rPr>
          <w:rFonts w:ascii="Palatino Linotype" w:hAnsi="Palatino Linotype"/>
          <w:b/>
          <w:i/>
          <w:sz w:val="24"/>
          <w:lang w:eastAsia="es-MX"/>
        </w:rPr>
        <w:t>as de desarrollo urbano;</w:t>
      </w:r>
    </w:p>
    <w:p w14:paraId="7B4D92BA" w14:textId="2341EBE1"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Planes y progra</w:t>
      </w:r>
      <w:r w:rsidR="00740C6B" w:rsidRPr="00DD04F7">
        <w:rPr>
          <w:rFonts w:ascii="Palatino Linotype" w:hAnsi="Palatino Linotype"/>
          <w:b/>
          <w:i/>
          <w:sz w:val="24"/>
          <w:lang w:eastAsia="es-MX"/>
        </w:rPr>
        <w:t>mas de ordenamiento territorial;</w:t>
      </w:r>
    </w:p>
    <w:p w14:paraId="6A02E799" w14:textId="53EAA97A" w:rsidR="00237BA9" w:rsidRPr="00DD04F7" w:rsidRDefault="00740C6B"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Atlas de Riesgos;</w:t>
      </w:r>
    </w:p>
    <w:p w14:paraId="037B0840" w14:textId="4A329C08"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El contenido de las gacetas m</w:t>
      </w:r>
      <w:r w:rsidR="00740C6B" w:rsidRPr="00DD04F7">
        <w:rPr>
          <w:rFonts w:ascii="Palatino Linotype" w:hAnsi="Palatino Linotype"/>
          <w:b/>
          <w:i/>
          <w:sz w:val="24"/>
          <w:lang w:eastAsia="es-MX"/>
        </w:rPr>
        <w:t>unicipales;</w:t>
      </w:r>
    </w:p>
    <w:p w14:paraId="21F83A5F" w14:textId="153A3AA8"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hAnsi="Palatino Linotype"/>
          <w:b/>
          <w:i/>
          <w:sz w:val="24"/>
          <w:lang w:eastAsia="es-MX"/>
        </w:rPr>
      </w:pPr>
      <w:r w:rsidRPr="00DD04F7">
        <w:rPr>
          <w:rFonts w:ascii="Palatino Linotype" w:hAnsi="Palatino Linotype"/>
          <w:b/>
          <w:i/>
          <w:sz w:val="24"/>
          <w:lang w:eastAsia="es-MX"/>
        </w:rPr>
        <w:t>Participaciones y Aportaciones recibidas, derivadas d</w:t>
      </w:r>
      <w:r w:rsidR="00740C6B" w:rsidRPr="00DD04F7">
        <w:rPr>
          <w:rFonts w:ascii="Palatino Linotype" w:hAnsi="Palatino Linotype"/>
          <w:b/>
          <w:i/>
          <w:sz w:val="24"/>
          <w:lang w:eastAsia="es-MX"/>
        </w:rPr>
        <w:t>e la Ley de Coordinación Fiscal; y,</w:t>
      </w:r>
    </w:p>
    <w:p w14:paraId="4AE40E0D" w14:textId="4EEA7FEB" w:rsidR="00237BA9" w:rsidRPr="00DD04F7" w:rsidRDefault="00237BA9" w:rsidP="00237BA9">
      <w:pPr>
        <w:pStyle w:val="Prrafodelista"/>
        <w:numPr>
          <w:ilvl w:val="0"/>
          <w:numId w:val="28"/>
        </w:numPr>
        <w:spacing w:before="100" w:beforeAutospacing="1" w:after="100" w:afterAutospacing="1" w:line="360" w:lineRule="auto"/>
        <w:jc w:val="both"/>
        <w:rPr>
          <w:rFonts w:ascii="Palatino Linotype" w:eastAsiaTheme="minorEastAsia" w:hAnsi="Palatino Linotype" w:cs="Arial"/>
          <w:b/>
          <w:sz w:val="24"/>
          <w:lang w:val="es-ES_tradnl"/>
        </w:rPr>
      </w:pPr>
      <w:r w:rsidRPr="00DD04F7">
        <w:rPr>
          <w:rFonts w:ascii="Palatino Linotype" w:hAnsi="Palatino Linotype"/>
          <w:b/>
          <w:i/>
          <w:sz w:val="24"/>
          <w:lang w:eastAsia="es-MX"/>
        </w:rPr>
        <w:t>Recursos federales recibidos, derivados del Título Segundo. Del Federalismo del Presupue</w:t>
      </w:r>
      <w:r w:rsidR="00740C6B" w:rsidRPr="00DD04F7">
        <w:rPr>
          <w:rFonts w:ascii="Palatino Linotype" w:hAnsi="Palatino Linotype"/>
          <w:b/>
          <w:i/>
          <w:sz w:val="24"/>
          <w:lang w:eastAsia="es-MX"/>
        </w:rPr>
        <w:t>sto de Egresos de la Federación.</w:t>
      </w:r>
    </w:p>
    <w:p w14:paraId="204C1E70" w14:textId="77777777" w:rsidR="00806ABD" w:rsidRDefault="00806ABD" w:rsidP="00806ABD">
      <w:pPr>
        <w:spacing w:line="360" w:lineRule="auto"/>
        <w:jc w:val="both"/>
        <w:rPr>
          <w:rFonts w:ascii="Palatino Linotype" w:eastAsia="Calibri" w:hAnsi="Palatino Linotype" w:cs="Arial"/>
          <w:sz w:val="24"/>
          <w:szCs w:val="24"/>
        </w:rPr>
      </w:pPr>
      <w:r w:rsidRPr="000D77A7">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7158FF9" w14:textId="77777777" w:rsidR="00DD04F7" w:rsidRDefault="00DD04F7" w:rsidP="00806ABD">
      <w:pPr>
        <w:spacing w:line="360" w:lineRule="auto"/>
        <w:jc w:val="both"/>
        <w:rPr>
          <w:rFonts w:ascii="Palatino Linotype" w:eastAsia="Calibri" w:hAnsi="Palatino Linotype" w:cs="Arial"/>
          <w:sz w:val="24"/>
          <w:szCs w:val="24"/>
        </w:rPr>
      </w:pPr>
    </w:p>
    <w:p w14:paraId="489B6D8C" w14:textId="77777777" w:rsidR="00DD04F7" w:rsidRPr="00DD04F7" w:rsidRDefault="00DD04F7" w:rsidP="00A42DC6">
      <w:pPr>
        <w:shd w:val="clear" w:color="auto" w:fill="FFFFFF"/>
        <w:tabs>
          <w:tab w:val="left" w:pos="0"/>
        </w:tabs>
        <w:spacing w:before="240" w:after="150" w:line="360" w:lineRule="auto"/>
        <w:ind w:right="-28"/>
        <w:jc w:val="both"/>
        <w:rPr>
          <w:rFonts w:ascii="Palatino Linotype" w:hAnsi="Palatino Linotype"/>
          <w:sz w:val="24"/>
        </w:rPr>
      </w:pPr>
      <w:r w:rsidRPr="00DD04F7">
        <w:rPr>
          <w:rFonts w:ascii="Palatino Linotype" w:hAnsi="Palatino Linotype"/>
          <w:sz w:val="24"/>
        </w:rPr>
        <w:t>Se deberá privilegiar la entrega en la modalidad elegida por el particular; sin embargo, si se acredita un impedimento justificado para atender esa modalidad en relación directa con el formato en el que obra la información, se deberá ofrecer la opción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478D1DF3"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l </w:t>
      </w:r>
      <w:r w:rsidRPr="00806ABD">
        <w:rPr>
          <w:rFonts w:ascii="Palatino Linotype" w:hAnsi="Palatino Linotype"/>
          <w:b/>
          <w:color w:val="222222"/>
          <w:sz w:val="24"/>
          <w:szCs w:val="24"/>
          <w:lang w:val="es-ES"/>
        </w:rPr>
        <w:t>RECURRENTE</w:t>
      </w:r>
      <w:r w:rsidRPr="000D77A7">
        <w:rPr>
          <w:rFonts w:ascii="Palatino Linotype" w:hAnsi="Palatino Linotype"/>
          <w:sz w:val="24"/>
          <w:szCs w:val="24"/>
        </w:rPr>
        <w:t xml:space="preserve"> la presente resolución.</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43C9BFB0"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del </w:t>
      </w:r>
      <w:r w:rsidRPr="002A5191">
        <w:rPr>
          <w:rFonts w:ascii="Palatino Linotype" w:eastAsia="MS Mincho" w:hAnsi="Palatino Linotype"/>
          <w:b/>
          <w:sz w:val="24"/>
          <w:szCs w:val="24"/>
          <w:lang w:val="es-ES"/>
        </w:rPr>
        <w:t>RECURRENTE</w:t>
      </w:r>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w:t>
      </w:r>
      <w:r w:rsidR="002A5191" w:rsidRPr="00FC1EEB">
        <w:rPr>
          <w:rFonts w:ascii="Palatino Linotype" w:hAnsi="Palatino Linotype"/>
          <w:color w:val="000000"/>
          <w:sz w:val="24"/>
          <w:szCs w:val="24"/>
          <w:shd w:val="clear" w:color="auto" w:fill="FFFFFF"/>
        </w:rPr>
        <w:t xml:space="preserve">, en caso de que considere que la resolución le cause algún perjuicio podrá impugnarla vía </w:t>
      </w:r>
      <w:r w:rsidR="002A5191" w:rsidRPr="00FC1EEB">
        <w:rPr>
          <w:rFonts w:ascii="Palatino Linotype" w:hAnsi="Palatino Linotype"/>
          <w:color w:val="222222"/>
          <w:sz w:val="24"/>
          <w:szCs w:val="24"/>
          <w:shd w:val="clear" w:color="auto" w:fill="FFFFFF"/>
          <w:lang w:val="es-ES"/>
        </w:rPr>
        <w:t>juicio de amparo en los términos de las leyes aplicables.</w:t>
      </w:r>
    </w:p>
    <w:p w14:paraId="335C0AA3" w14:textId="07B65CC4"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D04F7">
        <w:rPr>
          <w:rFonts w:ascii="Palatino Linotype" w:hAnsi="Palatino Linotype"/>
          <w:sz w:val="24"/>
          <w:szCs w:val="24"/>
        </w:rPr>
        <w:t>TRIGÉSIMA CUARTA</w:t>
      </w:r>
      <w:r w:rsidR="00DF54E4">
        <w:rPr>
          <w:rFonts w:ascii="Palatino Linotype" w:hAnsi="Palatino Linotype"/>
          <w:sz w:val="24"/>
          <w:szCs w:val="24"/>
        </w:rPr>
        <w:t xml:space="preserve"> </w:t>
      </w:r>
      <w:r w:rsidRPr="00624AAD">
        <w:rPr>
          <w:rFonts w:ascii="Palatino Linotype" w:hAnsi="Palatino Linotype"/>
          <w:sz w:val="24"/>
          <w:szCs w:val="24"/>
        </w:rPr>
        <w:t>SESIÓN ORDINARIA CELEBRADA EL VEINTI</w:t>
      </w:r>
      <w:r w:rsidR="00DD04F7">
        <w:rPr>
          <w:rFonts w:ascii="Palatino Linotype" w:hAnsi="Palatino Linotype"/>
          <w:sz w:val="24"/>
          <w:szCs w:val="24"/>
        </w:rPr>
        <w:t>NUEVE</w:t>
      </w:r>
      <w:r w:rsidRPr="00624AAD">
        <w:rPr>
          <w:rFonts w:ascii="Palatino Linotype" w:hAnsi="Palatino Linotype"/>
          <w:sz w:val="24"/>
          <w:szCs w:val="24"/>
        </w:rPr>
        <w:t xml:space="preserve"> DE </w:t>
      </w:r>
      <w:r w:rsidR="000F58ED">
        <w:rPr>
          <w:rFonts w:ascii="Palatino Linotype" w:hAnsi="Palatino Linotype"/>
          <w:sz w:val="24"/>
          <w:szCs w:val="24"/>
        </w:rPr>
        <w:t>SEPTIEMBRE</w:t>
      </w:r>
      <w:r w:rsidRPr="00624AAD">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7"/>
      <w:headerReference w:type="default" r:id="rId18"/>
      <w:footerReference w:type="default" r:id="rId19"/>
      <w:headerReference w:type="first" r:id="rId20"/>
      <w:footerReference w:type="first" r:id="rId21"/>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2A84F" w14:textId="77777777" w:rsidR="00EC1BE2" w:rsidRDefault="00EC1BE2">
      <w:r>
        <w:separator/>
      </w:r>
    </w:p>
  </w:endnote>
  <w:endnote w:type="continuationSeparator" w:id="0">
    <w:p w14:paraId="7A8B3AD5" w14:textId="77777777" w:rsidR="00EC1BE2" w:rsidRDefault="00EC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DD04F7" w:rsidRDefault="00DD04F7">
            <w:pPr>
              <w:pStyle w:val="Piedepgina"/>
              <w:jc w:val="right"/>
            </w:pPr>
          </w:p>
          <w:p w14:paraId="1F7A191C" w14:textId="2A69F491" w:rsidR="00DD04F7" w:rsidRDefault="00DD04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978DA">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978DA">
              <w:rPr>
                <w:b/>
                <w:bCs/>
                <w:noProof/>
              </w:rPr>
              <w:t>9</w:t>
            </w:r>
            <w:r>
              <w:rPr>
                <w:b/>
                <w:bCs/>
                <w:sz w:val="24"/>
                <w:szCs w:val="24"/>
              </w:rPr>
              <w:fldChar w:fldCharType="end"/>
            </w:r>
          </w:p>
        </w:sdtContent>
      </w:sdt>
    </w:sdtContent>
  </w:sdt>
  <w:p w14:paraId="2A221972" w14:textId="77777777" w:rsidR="00DD04F7" w:rsidRDefault="00DD04F7">
    <w:pPr>
      <w:pStyle w:val="Piedepgina"/>
    </w:pPr>
  </w:p>
  <w:p w14:paraId="1D6FF208" w14:textId="77777777" w:rsidR="00DD04F7" w:rsidRDefault="00DD04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DD04F7" w:rsidRDefault="00DD04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978D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978DA">
              <w:rPr>
                <w:b/>
                <w:bCs/>
                <w:noProof/>
              </w:rPr>
              <w:t>3</w:t>
            </w:r>
            <w:r>
              <w:rPr>
                <w:b/>
                <w:bCs/>
                <w:sz w:val="24"/>
                <w:szCs w:val="24"/>
              </w:rPr>
              <w:fldChar w:fldCharType="end"/>
            </w:r>
          </w:p>
        </w:sdtContent>
      </w:sdt>
    </w:sdtContent>
  </w:sdt>
  <w:p w14:paraId="2D12AEB2" w14:textId="77777777" w:rsidR="00DD04F7" w:rsidRDefault="00DD04F7">
    <w:pPr>
      <w:pStyle w:val="Piedepgina"/>
    </w:pPr>
  </w:p>
  <w:p w14:paraId="54227169" w14:textId="77777777" w:rsidR="00DD04F7" w:rsidRDefault="00DD04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0AA5F" w14:textId="77777777" w:rsidR="00EC1BE2" w:rsidRDefault="00EC1BE2">
      <w:r>
        <w:separator/>
      </w:r>
    </w:p>
  </w:footnote>
  <w:footnote w:type="continuationSeparator" w:id="0">
    <w:p w14:paraId="02A78743" w14:textId="77777777" w:rsidR="00EC1BE2" w:rsidRDefault="00EC1BE2">
      <w:r>
        <w:continuationSeparator/>
      </w:r>
    </w:p>
  </w:footnote>
  <w:footnote w:id="1">
    <w:p w14:paraId="33BD8964" w14:textId="77777777" w:rsidR="00DD04F7" w:rsidRDefault="00DD04F7" w:rsidP="004C522A">
      <w:pPr>
        <w:pStyle w:val="Textonotapie"/>
      </w:pPr>
      <w:r>
        <w:rPr>
          <w:rStyle w:val="Refdenotaalpie"/>
        </w:rPr>
        <w:footnoteRef/>
      </w:r>
      <w:r>
        <w:t xml:space="preserve"> Convención Americana sobre Derechos Humanos. Artículo 13.</w:t>
      </w:r>
    </w:p>
  </w:footnote>
  <w:footnote w:id="2">
    <w:p w14:paraId="094C9481" w14:textId="77777777" w:rsidR="00DD04F7" w:rsidRDefault="00DD04F7" w:rsidP="004C522A">
      <w:pPr>
        <w:pStyle w:val="Textonotapie"/>
      </w:pPr>
      <w:r>
        <w:rPr>
          <w:rStyle w:val="Refdenotaalpie"/>
        </w:rPr>
        <w:footnoteRef/>
      </w:r>
      <w:r>
        <w:t xml:space="preserve"> Constitución Política de los Estados Unidos Mexicanos. Artículo sexto, sección A, fracción I.</w:t>
      </w:r>
    </w:p>
  </w:footnote>
  <w:footnote w:id="3">
    <w:p w14:paraId="59E9BDCD" w14:textId="77777777" w:rsidR="00DD04F7" w:rsidRDefault="00DD04F7" w:rsidP="004C522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723505D" w14:textId="77777777" w:rsidR="00DD04F7" w:rsidRDefault="00DD04F7" w:rsidP="004C522A">
      <w:pPr>
        <w:pStyle w:val="Textonotapie"/>
      </w:pPr>
      <w:r>
        <w:rPr>
          <w:rStyle w:val="Refdenotaalpie"/>
        </w:rPr>
        <w:footnoteRef/>
      </w:r>
      <w:r>
        <w:t xml:space="preserve"> Ibídem. Parr. 87.</w:t>
      </w:r>
    </w:p>
  </w:footnote>
  <w:footnote w:id="5">
    <w:p w14:paraId="20CEF965" w14:textId="77777777" w:rsidR="00DD04F7" w:rsidRDefault="00DD04F7" w:rsidP="004C522A">
      <w:pPr>
        <w:pStyle w:val="Textonotapie"/>
      </w:pPr>
      <w:r>
        <w:rPr>
          <w:rStyle w:val="Refdenotaalpie"/>
        </w:rPr>
        <w:footnoteRef/>
      </w:r>
      <w:r>
        <w:t xml:space="preserve"> Ley de Transparencia y Acceso a la Información Pública del Estado de México y Municipios. Artículo 9. …</w:t>
      </w:r>
    </w:p>
    <w:p w14:paraId="3F426A0A" w14:textId="77777777" w:rsidR="00DD04F7" w:rsidRDefault="00DD04F7" w:rsidP="004C522A">
      <w:pPr>
        <w:pStyle w:val="Textonotapie"/>
      </w:pPr>
      <w:r>
        <w:t>II. Eficacia: Obligación del Instituto para tutelar, de manera efectiva, el derecho de acceso a la información;</w:t>
      </w:r>
    </w:p>
    <w:p w14:paraId="71EACD02" w14:textId="77777777" w:rsidR="00DD04F7" w:rsidRDefault="00DD04F7" w:rsidP="004C522A">
      <w:pPr>
        <w:pStyle w:val="Textonotapie"/>
      </w:pPr>
      <w:r>
        <w:t xml:space="preserve">… </w:t>
      </w:r>
    </w:p>
  </w:footnote>
  <w:footnote w:id="6">
    <w:p w14:paraId="13E6DC99" w14:textId="09E5F305" w:rsidR="00DD04F7" w:rsidRDefault="00DD04F7">
      <w:pPr>
        <w:pStyle w:val="Textonotapie"/>
      </w:pPr>
      <w:r>
        <w:rPr>
          <w:rStyle w:val="Refdenotaalpie"/>
        </w:rPr>
        <w:footnoteRef/>
      </w:r>
      <w:r>
        <w:t xml:space="preserve"> Disponible para su consulta en </w:t>
      </w:r>
      <w:hyperlink r:id="rId1" w:history="1">
        <w:r w:rsidRPr="00A976BF">
          <w:rPr>
            <w:rStyle w:val="Hipervnculo"/>
          </w:rPr>
          <w:t>https://www.dof.gob.mx/nota_detalle.php?codigo=5436072&amp;fecha=04/05/2016</w:t>
        </w:r>
      </w:hyperlink>
    </w:p>
  </w:footnote>
  <w:footnote w:id="7">
    <w:p w14:paraId="61567E3C" w14:textId="014C45F0" w:rsidR="00DD04F7" w:rsidRDefault="00DD04F7" w:rsidP="00CD51DB">
      <w:pPr>
        <w:pStyle w:val="Textonotapie"/>
      </w:pPr>
      <w:r>
        <w:rPr>
          <w:rStyle w:val="Refdenotaalpie"/>
        </w:rPr>
        <w:footnoteRef/>
      </w:r>
      <w:r>
        <w:t xml:space="preserve"> Disponible para su consulta en </w:t>
      </w:r>
      <w:hyperlink r:id="rId2" w:history="1">
        <w:r w:rsidRPr="00A976BF">
          <w:rPr>
            <w:rStyle w:val="Hipervnculo"/>
          </w:rPr>
          <w:t>https://www.infoem.org.mx/es/contenido/transparencia/directorio-de-sujetos-obligados</w:t>
        </w:r>
      </w:hyperlink>
    </w:p>
  </w:footnote>
  <w:footnote w:id="8">
    <w:p w14:paraId="05E27B30" w14:textId="77777777" w:rsidR="00DD04F7" w:rsidRDefault="00DD04F7" w:rsidP="008346B8">
      <w:pPr>
        <w:pStyle w:val="Textonotapie"/>
        <w:jc w:val="both"/>
        <w:rPr>
          <w:rFonts w:ascii="Palatino Linotype" w:hAnsi="Palatino Linotype" w:cstheme="minorBidi"/>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DD04F7" w:rsidRDefault="00EC1BE2">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DD04F7" w:rsidRDefault="00DD04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DD04F7" w14:paraId="6255E3A4" w14:textId="77777777" w:rsidTr="00814079">
      <w:trPr>
        <w:trHeight w:val="1435"/>
      </w:trPr>
      <w:tc>
        <w:tcPr>
          <w:tcW w:w="1843" w:type="dxa"/>
          <w:shd w:val="clear" w:color="auto" w:fill="auto"/>
        </w:tcPr>
        <w:p w14:paraId="3E05202F" w14:textId="4A7C9DF8" w:rsidR="00DD04F7" w:rsidRDefault="00DD04F7">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DD04F7" w:rsidRDefault="00DD04F7"/>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DD04F7" w14:paraId="727F90BF" w14:textId="77777777" w:rsidTr="00483482">
            <w:trPr>
              <w:trHeight w:val="338"/>
            </w:trPr>
            <w:tc>
              <w:tcPr>
                <w:tcW w:w="2551" w:type="dxa"/>
              </w:tcPr>
              <w:p w14:paraId="23087CD5" w14:textId="77777777" w:rsidR="00DD04F7" w:rsidRDefault="00DD04F7">
                <w:pPr>
                  <w:tabs>
                    <w:tab w:val="right" w:pos="8838"/>
                  </w:tabs>
                  <w:ind w:right="-105"/>
                  <w:rPr>
                    <w:rFonts w:ascii="Palatino Linotype" w:eastAsia="Calibri" w:hAnsi="Palatino Linotype" w:cs="Tahoma"/>
                    <w:b/>
                    <w:sz w:val="22"/>
                    <w:szCs w:val="22"/>
                    <w:lang w:eastAsia="en-US"/>
                  </w:rPr>
                </w:pPr>
              </w:p>
              <w:p w14:paraId="410A3741" w14:textId="535C9D39" w:rsidR="00DD04F7" w:rsidRDefault="00DD04F7">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DD04F7" w:rsidRDefault="00DD04F7" w:rsidP="00427B6E">
                <w:pPr>
                  <w:tabs>
                    <w:tab w:val="right" w:pos="8838"/>
                  </w:tabs>
                  <w:ind w:right="-105" w:hanging="101"/>
                  <w:jc w:val="both"/>
                  <w:rPr>
                    <w:rFonts w:ascii="Palatino Linotype" w:eastAsia="Calibri" w:hAnsi="Palatino Linotype" w:cs="Tahoma"/>
                    <w:bCs/>
                    <w:sz w:val="22"/>
                    <w:szCs w:val="22"/>
                    <w:lang w:eastAsia="en-US"/>
                  </w:rPr>
                </w:pPr>
              </w:p>
              <w:p w14:paraId="3FF69A05" w14:textId="19473267" w:rsidR="00DD04F7" w:rsidRDefault="00DD04F7" w:rsidP="008E6432">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03853/INFOEM/IP/RR/2021 </w:t>
                </w:r>
              </w:p>
            </w:tc>
          </w:tr>
          <w:tr w:rsidR="00DD04F7" w14:paraId="1389436A" w14:textId="4EB800AC" w:rsidTr="00483482">
            <w:trPr>
              <w:trHeight w:val="283"/>
            </w:trPr>
            <w:tc>
              <w:tcPr>
                <w:tcW w:w="2551" w:type="dxa"/>
              </w:tcPr>
              <w:p w14:paraId="22E0F4E9" w14:textId="77777777" w:rsidR="00DD04F7" w:rsidRDefault="00DD04F7">
                <w:pPr>
                  <w:tabs>
                    <w:tab w:val="right" w:pos="8838"/>
                  </w:tabs>
                  <w:ind w:right="-105"/>
                  <w:rPr>
                    <w:rFonts w:ascii="Palatino Linotype" w:eastAsia="Calibri" w:hAnsi="Palatino Linotype" w:cs="Tahoma"/>
                    <w:b/>
                    <w:sz w:val="22"/>
                    <w:szCs w:val="22"/>
                    <w:lang w:eastAsia="en-US"/>
                  </w:rPr>
                </w:pPr>
                <w:bookmarkStart w:id="29" w:name="_Hlk33010189"/>
                <w:r>
                  <w:rPr>
                    <w:rFonts w:ascii="Palatino Linotype" w:eastAsia="Calibri" w:hAnsi="Palatino Linotype" w:cs="Tahoma"/>
                    <w:b/>
                    <w:sz w:val="22"/>
                    <w:szCs w:val="22"/>
                    <w:lang w:eastAsia="en-US"/>
                  </w:rPr>
                  <w:t>Sujeto Obligado:</w:t>
                </w:r>
              </w:p>
            </w:tc>
            <w:tc>
              <w:tcPr>
                <w:tcW w:w="4544" w:type="dxa"/>
              </w:tcPr>
              <w:p w14:paraId="2B205C7F" w14:textId="326F9730" w:rsidR="00DD04F7" w:rsidRPr="00801EE4" w:rsidRDefault="00DD04F7" w:rsidP="00806ABD">
                <w:pPr>
                  <w:tabs>
                    <w:tab w:val="left" w:pos="2834"/>
                    <w:tab w:val="right" w:pos="8838"/>
                  </w:tabs>
                  <w:ind w:left="-113" w:right="1318"/>
                  <w:jc w:val="both"/>
                  <w:rPr>
                    <w:rFonts w:ascii="Palatino Linotype" w:eastAsia="Calibri" w:hAnsi="Palatino Linotype" w:cs="Tahoma"/>
                    <w:sz w:val="22"/>
                    <w:szCs w:val="22"/>
                    <w:lang w:eastAsia="en-US"/>
                  </w:rPr>
                </w:pPr>
                <w:r w:rsidRPr="00801EE4">
                  <w:rPr>
                    <w:rFonts w:ascii="Palatino Linotype" w:eastAsia="Calibri" w:hAnsi="Palatino Linotype" w:cs="Tahoma"/>
                    <w:sz w:val="22"/>
                    <w:szCs w:val="22"/>
                    <w:lang w:eastAsia="en-US"/>
                  </w:rPr>
                  <w:t>Ayuntamiento de Chimalhuacán</w:t>
                </w:r>
              </w:p>
            </w:tc>
          </w:tr>
          <w:bookmarkEnd w:id="29"/>
          <w:tr w:rsidR="00DD04F7" w14:paraId="28CCE4E5" w14:textId="77777777" w:rsidTr="00483482">
            <w:trPr>
              <w:trHeight w:val="283"/>
            </w:trPr>
            <w:tc>
              <w:tcPr>
                <w:tcW w:w="2551" w:type="dxa"/>
              </w:tcPr>
              <w:p w14:paraId="13EBF3BB" w14:textId="77777777" w:rsidR="00DD04F7" w:rsidRDefault="00DD04F7">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DD04F7" w:rsidRDefault="00DD04F7"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DD04F7" w:rsidRDefault="00DD04F7">
          <w:pPr>
            <w:tabs>
              <w:tab w:val="right" w:pos="8838"/>
            </w:tabs>
            <w:ind w:left="-28"/>
            <w:jc w:val="both"/>
            <w:rPr>
              <w:rFonts w:ascii="Arial" w:eastAsia="Calibri" w:hAnsi="Arial" w:cs="Arial"/>
              <w:b/>
              <w:sz w:val="22"/>
              <w:szCs w:val="22"/>
              <w:lang w:eastAsia="en-US"/>
            </w:rPr>
          </w:pPr>
        </w:p>
      </w:tc>
    </w:tr>
  </w:tbl>
  <w:p w14:paraId="07EF2D29" w14:textId="1620A8B4" w:rsidR="00DD04F7" w:rsidRDefault="00EC1BE2"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DD04F7" w:rsidRDefault="00DD04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DD04F7" w14:paraId="61517A1D" w14:textId="77777777" w:rsidTr="003A6126">
      <w:trPr>
        <w:trHeight w:val="1435"/>
      </w:trPr>
      <w:tc>
        <w:tcPr>
          <w:tcW w:w="1560" w:type="dxa"/>
          <w:shd w:val="clear" w:color="auto" w:fill="auto"/>
        </w:tcPr>
        <w:p w14:paraId="4B74E846" w14:textId="1E0D62B9" w:rsidR="00DD04F7" w:rsidRDefault="00DD04F7">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DD04F7" w14:paraId="7F59E1EF" w14:textId="77777777" w:rsidTr="00483482">
            <w:trPr>
              <w:trHeight w:val="144"/>
            </w:trPr>
            <w:tc>
              <w:tcPr>
                <w:tcW w:w="2444" w:type="dxa"/>
              </w:tcPr>
              <w:p w14:paraId="5EFF942E" w14:textId="77777777" w:rsidR="00DD04F7" w:rsidRDefault="00DD04F7" w:rsidP="000D485D">
                <w:pPr>
                  <w:tabs>
                    <w:tab w:val="right" w:pos="8838"/>
                  </w:tabs>
                  <w:ind w:left="-74" w:right="-105"/>
                  <w:rPr>
                    <w:rFonts w:ascii="Palatino Linotype" w:eastAsia="Calibri" w:hAnsi="Palatino Linotype" w:cs="Tahoma"/>
                    <w:b/>
                    <w:sz w:val="22"/>
                    <w:szCs w:val="22"/>
                    <w:lang w:eastAsia="en-US"/>
                  </w:rPr>
                </w:pPr>
                <w:bookmarkStart w:id="30" w:name="_Hlk12526980"/>
                <w:r>
                  <w:rPr>
                    <w:rFonts w:ascii="Palatino Linotype" w:eastAsia="Calibri" w:hAnsi="Palatino Linotype" w:cs="Tahoma"/>
                    <w:b/>
                    <w:sz w:val="22"/>
                    <w:szCs w:val="22"/>
                    <w:lang w:eastAsia="en-US"/>
                  </w:rPr>
                  <w:t>Recurso de Revisión:</w:t>
                </w:r>
              </w:p>
            </w:tc>
            <w:tc>
              <w:tcPr>
                <w:tcW w:w="4646" w:type="dxa"/>
              </w:tcPr>
              <w:p w14:paraId="0DE47EE2" w14:textId="77AE030F" w:rsidR="00DD04F7" w:rsidRDefault="00DD04F7" w:rsidP="00801EE4">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03853/INFOEM/IP/RR/2021</w:t>
                </w:r>
              </w:p>
            </w:tc>
            <w:tc>
              <w:tcPr>
                <w:tcW w:w="3402" w:type="dxa"/>
              </w:tcPr>
              <w:p w14:paraId="11E4533C" w14:textId="3B21362A" w:rsidR="00DD04F7" w:rsidRDefault="00DD04F7">
                <w:pPr>
                  <w:tabs>
                    <w:tab w:val="right" w:pos="8838"/>
                  </w:tabs>
                  <w:ind w:left="-74" w:right="-105"/>
                  <w:jc w:val="both"/>
                  <w:rPr>
                    <w:rFonts w:ascii="Palatino Linotype" w:eastAsia="Calibri" w:hAnsi="Palatino Linotype" w:cs="Tahoma"/>
                    <w:bCs/>
                    <w:sz w:val="22"/>
                    <w:szCs w:val="22"/>
                    <w:lang w:eastAsia="en-US"/>
                  </w:rPr>
                </w:pPr>
              </w:p>
            </w:tc>
          </w:tr>
          <w:tr w:rsidR="00DD04F7" w14:paraId="3FC4FA7D" w14:textId="77777777" w:rsidTr="00483482">
            <w:trPr>
              <w:trHeight w:val="144"/>
            </w:trPr>
            <w:tc>
              <w:tcPr>
                <w:tcW w:w="2444" w:type="dxa"/>
              </w:tcPr>
              <w:p w14:paraId="363D966B" w14:textId="77777777" w:rsidR="00DD04F7" w:rsidRDefault="00DD04F7" w:rsidP="000D485D">
                <w:pPr>
                  <w:tabs>
                    <w:tab w:val="right" w:pos="8838"/>
                  </w:tabs>
                  <w:ind w:left="-74" w:right="-105"/>
                  <w:rPr>
                    <w:rFonts w:ascii="Palatino Linotype" w:eastAsia="Calibri" w:hAnsi="Palatino Linotype" w:cs="Tahoma"/>
                    <w:b/>
                    <w:sz w:val="22"/>
                    <w:szCs w:val="22"/>
                    <w:lang w:eastAsia="en-US"/>
                  </w:rPr>
                </w:pPr>
                <w:bookmarkStart w:id="31" w:name="_Hlk10641523"/>
                <w:bookmarkEnd w:id="30"/>
                <w:r>
                  <w:rPr>
                    <w:rFonts w:ascii="Palatino Linotype" w:eastAsia="Calibri" w:hAnsi="Palatino Linotype" w:cs="Tahoma"/>
                    <w:b/>
                    <w:sz w:val="22"/>
                    <w:szCs w:val="22"/>
                    <w:lang w:eastAsia="en-US"/>
                  </w:rPr>
                  <w:t>Recurrente:</w:t>
                </w:r>
              </w:p>
            </w:tc>
            <w:tc>
              <w:tcPr>
                <w:tcW w:w="4646" w:type="dxa"/>
              </w:tcPr>
              <w:p w14:paraId="73C065CD" w14:textId="5AF62900" w:rsidR="00DD04F7" w:rsidRPr="000A7E5D" w:rsidRDefault="00DD04F7"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DD04F7" w:rsidRDefault="00DD04F7" w:rsidP="003037E1">
                <w:pPr>
                  <w:tabs>
                    <w:tab w:val="left" w:pos="3122"/>
                    <w:tab w:val="right" w:pos="8838"/>
                  </w:tabs>
                  <w:ind w:right="-105"/>
                  <w:jc w:val="both"/>
                  <w:rPr>
                    <w:rFonts w:ascii="Palatino Linotype" w:eastAsia="Calibri" w:hAnsi="Palatino Linotype" w:cs="Tahoma"/>
                    <w:sz w:val="22"/>
                    <w:szCs w:val="22"/>
                    <w:lang w:eastAsia="en-US"/>
                  </w:rPr>
                </w:pPr>
              </w:p>
            </w:tc>
          </w:tr>
          <w:bookmarkEnd w:id="31"/>
          <w:tr w:rsidR="00DD04F7" w14:paraId="4D832A43" w14:textId="77777777" w:rsidTr="00483482">
            <w:trPr>
              <w:trHeight w:val="283"/>
            </w:trPr>
            <w:tc>
              <w:tcPr>
                <w:tcW w:w="2444" w:type="dxa"/>
              </w:tcPr>
              <w:p w14:paraId="02CA5CB0" w14:textId="77777777" w:rsidR="00DD04F7" w:rsidRDefault="00DD04F7"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541EB543" w:rsidR="00DD04F7" w:rsidRDefault="00DD04F7" w:rsidP="00DB2180">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Chimalhuacán</w:t>
                </w:r>
              </w:p>
            </w:tc>
            <w:tc>
              <w:tcPr>
                <w:tcW w:w="3402" w:type="dxa"/>
              </w:tcPr>
              <w:p w14:paraId="00F18B8C" w14:textId="77777777" w:rsidR="00DD04F7" w:rsidRDefault="00DD04F7">
                <w:pPr>
                  <w:tabs>
                    <w:tab w:val="left" w:pos="2834"/>
                    <w:tab w:val="right" w:pos="8838"/>
                  </w:tabs>
                  <w:ind w:left="-74" w:right="-105"/>
                  <w:jc w:val="both"/>
                  <w:rPr>
                    <w:rFonts w:ascii="Palatino Linotype" w:eastAsia="Calibri" w:hAnsi="Palatino Linotype" w:cs="Tahoma"/>
                    <w:sz w:val="22"/>
                    <w:szCs w:val="22"/>
                    <w:lang w:eastAsia="en-US"/>
                  </w:rPr>
                </w:pPr>
              </w:p>
            </w:tc>
          </w:tr>
          <w:tr w:rsidR="00DD04F7" w14:paraId="7BC74D7A" w14:textId="77777777" w:rsidTr="00483482">
            <w:trPr>
              <w:trHeight w:val="283"/>
            </w:trPr>
            <w:tc>
              <w:tcPr>
                <w:tcW w:w="2444" w:type="dxa"/>
              </w:tcPr>
              <w:p w14:paraId="3BF93338" w14:textId="77777777" w:rsidR="00DD04F7" w:rsidRDefault="00DD04F7"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DD04F7" w:rsidRPr="003037E1" w:rsidRDefault="00DD04F7"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DD04F7" w:rsidRDefault="00DD04F7">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DD04F7" w:rsidRDefault="00DD04F7">
          <w:pPr>
            <w:tabs>
              <w:tab w:val="right" w:pos="8838"/>
            </w:tabs>
            <w:ind w:left="-28"/>
            <w:jc w:val="both"/>
            <w:rPr>
              <w:rFonts w:ascii="Arial" w:eastAsia="Calibri" w:hAnsi="Arial" w:cs="Arial"/>
              <w:b/>
              <w:sz w:val="22"/>
              <w:szCs w:val="22"/>
              <w:lang w:eastAsia="en-US"/>
            </w:rPr>
          </w:pPr>
        </w:p>
      </w:tc>
    </w:tr>
  </w:tbl>
  <w:p w14:paraId="5F654A99" w14:textId="6CB7D4AE" w:rsidR="00DD04F7" w:rsidRDefault="00EC1BE2"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6F"/>
    <w:multiLevelType w:val="hybridMultilevel"/>
    <w:tmpl w:val="D662085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DE2BE5"/>
    <w:multiLevelType w:val="hybridMultilevel"/>
    <w:tmpl w:val="CBCCFE1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240234"/>
    <w:multiLevelType w:val="hybridMultilevel"/>
    <w:tmpl w:val="88DCCFB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8"/>
  </w:num>
  <w:num w:numId="7">
    <w:abstractNumId w:val="1"/>
  </w:num>
  <w:num w:numId="8">
    <w:abstractNumId w:val="9"/>
  </w:num>
  <w:num w:numId="9">
    <w:abstractNumId w:val="18"/>
  </w:num>
  <w:num w:numId="10">
    <w:abstractNumId w:val="25"/>
  </w:num>
  <w:num w:numId="11">
    <w:abstractNumId w:val="23"/>
  </w:num>
  <w:num w:numId="12">
    <w:abstractNumId w:val="20"/>
  </w:num>
  <w:num w:numId="13">
    <w:abstractNumId w:val="10"/>
  </w:num>
  <w:num w:numId="14">
    <w:abstractNumId w:val="4"/>
  </w:num>
  <w:num w:numId="15">
    <w:abstractNumId w:val="17"/>
  </w:num>
  <w:num w:numId="16">
    <w:abstractNumId w:val="16"/>
  </w:num>
  <w:num w:numId="17">
    <w:abstractNumId w:val="6"/>
  </w:num>
  <w:num w:numId="18">
    <w:abstractNumId w:val="15"/>
  </w:num>
  <w:num w:numId="19">
    <w:abstractNumId w:val="13"/>
  </w:num>
  <w:num w:numId="20">
    <w:abstractNumId w:val="2"/>
  </w:num>
  <w:num w:numId="21">
    <w:abstractNumId w:val="19"/>
  </w:num>
  <w:num w:numId="22">
    <w:abstractNumId w:val="21"/>
  </w:num>
  <w:num w:numId="23">
    <w:abstractNumId w:val="24"/>
  </w:num>
  <w:num w:numId="24">
    <w:abstractNumId w:val="14"/>
  </w:num>
  <w:num w:numId="25">
    <w:abstractNumId w:val="7"/>
  </w:num>
  <w:num w:numId="26">
    <w:abstractNumId w:val="12"/>
  </w:num>
  <w:num w:numId="27">
    <w:abstractNumId w:val="2"/>
  </w:num>
  <w:num w:numId="28">
    <w:abstractNumId w:val="22"/>
  </w:num>
  <w:num w:numId="2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EB8"/>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1534"/>
    <w:rsid w:val="00061DDE"/>
    <w:rsid w:val="000620E1"/>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474"/>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2E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BA9"/>
    <w:rsid w:val="00237C1F"/>
    <w:rsid w:val="00237D0D"/>
    <w:rsid w:val="00241116"/>
    <w:rsid w:val="002417D7"/>
    <w:rsid w:val="00242711"/>
    <w:rsid w:val="002432D8"/>
    <w:rsid w:val="002433A4"/>
    <w:rsid w:val="002435DC"/>
    <w:rsid w:val="0024366B"/>
    <w:rsid w:val="00243EAA"/>
    <w:rsid w:val="00246501"/>
    <w:rsid w:val="00247B17"/>
    <w:rsid w:val="00250389"/>
    <w:rsid w:val="00251FF7"/>
    <w:rsid w:val="00252669"/>
    <w:rsid w:val="00254209"/>
    <w:rsid w:val="00254288"/>
    <w:rsid w:val="0025469C"/>
    <w:rsid w:val="0025667F"/>
    <w:rsid w:val="002579CE"/>
    <w:rsid w:val="00260FEC"/>
    <w:rsid w:val="002613A0"/>
    <w:rsid w:val="00261DD6"/>
    <w:rsid w:val="002657E2"/>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27FB"/>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7D9"/>
    <w:rsid w:val="00310C11"/>
    <w:rsid w:val="00310FA6"/>
    <w:rsid w:val="00311D8B"/>
    <w:rsid w:val="00312456"/>
    <w:rsid w:val="0031377E"/>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0DC9"/>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55B"/>
    <w:rsid w:val="004B1796"/>
    <w:rsid w:val="004B1CC2"/>
    <w:rsid w:val="004B1DF4"/>
    <w:rsid w:val="004B372C"/>
    <w:rsid w:val="004B591D"/>
    <w:rsid w:val="004B7542"/>
    <w:rsid w:val="004B769A"/>
    <w:rsid w:val="004B7DB2"/>
    <w:rsid w:val="004C14AC"/>
    <w:rsid w:val="004C201C"/>
    <w:rsid w:val="004C3224"/>
    <w:rsid w:val="004C36E5"/>
    <w:rsid w:val="004C4ACC"/>
    <w:rsid w:val="004C522A"/>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30AC"/>
    <w:rsid w:val="005130CC"/>
    <w:rsid w:val="00514835"/>
    <w:rsid w:val="005178F8"/>
    <w:rsid w:val="00520212"/>
    <w:rsid w:val="005220BE"/>
    <w:rsid w:val="00522CC8"/>
    <w:rsid w:val="005244D0"/>
    <w:rsid w:val="005248FB"/>
    <w:rsid w:val="00526575"/>
    <w:rsid w:val="00527333"/>
    <w:rsid w:val="00531DFA"/>
    <w:rsid w:val="00532546"/>
    <w:rsid w:val="005334E8"/>
    <w:rsid w:val="00533B79"/>
    <w:rsid w:val="00533FD4"/>
    <w:rsid w:val="00534258"/>
    <w:rsid w:val="00534815"/>
    <w:rsid w:val="00536006"/>
    <w:rsid w:val="005411EA"/>
    <w:rsid w:val="00541AD6"/>
    <w:rsid w:val="00541DA7"/>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5C28"/>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13A"/>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4EA2"/>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6B"/>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80056E"/>
    <w:rsid w:val="00801457"/>
    <w:rsid w:val="00801BCE"/>
    <w:rsid w:val="00801E7D"/>
    <w:rsid w:val="00801EE4"/>
    <w:rsid w:val="00802515"/>
    <w:rsid w:val="00802BC0"/>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46B8"/>
    <w:rsid w:val="00835474"/>
    <w:rsid w:val="00836DF1"/>
    <w:rsid w:val="008373C0"/>
    <w:rsid w:val="00840AB2"/>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20D8"/>
    <w:rsid w:val="00943BCE"/>
    <w:rsid w:val="00945DBE"/>
    <w:rsid w:val="009508A0"/>
    <w:rsid w:val="00953EDC"/>
    <w:rsid w:val="00953FF0"/>
    <w:rsid w:val="00960346"/>
    <w:rsid w:val="009617D3"/>
    <w:rsid w:val="009629BE"/>
    <w:rsid w:val="00962C63"/>
    <w:rsid w:val="009637AA"/>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38A8"/>
    <w:rsid w:val="00A34223"/>
    <w:rsid w:val="00A344F1"/>
    <w:rsid w:val="00A349AA"/>
    <w:rsid w:val="00A34F11"/>
    <w:rsid w:val="00A35E2F"/>
    <w:rsid w:val="00A36013"/>
    <w:rsid w:val="00A36BE2"/>
    <w:rsid w:val="00A37891"/>
    <w:rsid w:val="00A37A88"/>
    <w:rsid w:val="00A40503"/>
    <w:rsid w:val="00A40A51"/>
    <w:rsid w:val="00A415BA"/>
    <w:rsid w:val="00A42DC6"/>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4B16"/>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6394"/>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E79F4"/>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6E69"/>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37C09"/>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9DF"/>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D049D"/>
    <w:rsid w:val="00CD1770"/>
    <w:rsid w:val="00CD3A5D"/>
    <w:rsid w:val="00CD51DB"/>
    <w:rsid w:val="00CD51ED"/>
    <w:rsid w:val="00CD5FD4"/>
    <w:rsid w:val="00CD6A36"/>
    <w:rsid w:val="00CE0A60"/>
    <w:rsid w:val="00CE0DCE"/>
    <w:rsid w:val="00CE1BC9"/>
    <w:rsid w:val="00CE321D"/>
    <w:rsid w:val="00CE33C1"/>
    <w:rsid w:val="00CE4DD6"/>
    <w:rsid w:val="00CE597A"/>
    <w:rsid w:val="00CE6763"/>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5D43"/>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1CED"/>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D52"/>
    <w:rsid w:val="00D848E9"/>
    <w:rsid w:val="00D84B17"/>
    <w:rsid w:val="00D8507D"/>
    <w:rsid w:val="00D85E05"/>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4F7"/>
    <w:rsid w:val="00DD086D"/>
    <w:rsid w:val="00DD0FEA"/>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2EEA"/>
    <w:rsid w:val="00E0499F"/>
    <w:rsid w:val="00E0682E"/>
    <w:rsid w:val="00E104F6"/>
    <w:rsid w:val="00E10748"/>
    <w:rsid w:val="00E109BD"/>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37DA9"/>
    <w:rsid w:val="00E40B85"/>
    <w:rsid w:val="00E4236F"/>
    <w:rsid w:val="00E433BE"/>
    <w:rsid w:val="00E43469"/>
    <w:rsid w:val="00E4369C"/>
    <w:rsid w:val="00E43A0F"/>
    <w:rsid w:val="00E445DA"/>
    <w:rsid w:val="00E45379"/>
    <w:rsid w:val="00E465CB"/>
    <w:rsid w:val="00E47C0D"/>
    <w:rsid w:val="00E47CB5"/>
    <w:rsid w:val="00E47D4C"/>
    <w:rsid w:val="00E50B22"/>
    <w:rsid w:val="00E51C9A"/>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33D"/>
    <w:rsid w:val="00E72967"/>
    <w:rsid w:val="00E75472"/>
    <w:rsid w:val="00E77E5E"/>
    <w:rsid w:val="00E8155D"/>
    <w:rsid w:val="00E82615"/>
    <w:rsid w:val="00E8280C"/>
    <w:rsid w:val="00E84132"/>
    <w:rsid w:val="00E84A66"/>
    <w:rsid w:val="00E84AD7"/>
    <w:rsid w:val="00E85CC0"/>
    <w:rsid w:val="00E861B4"/>
    <w:rsid w:val="00E905B8"/>
    <w:rsid w:val="00E90627"/>
    <w:rsid w:val="00E9193D"/>
    <w:rsid w:val="00E958AD"/>
    <w:rsid w:val="00E96E1A"/>
    <w:rsid w:val="00E978D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1BE2"/>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3ED"/>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43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9173A"/>
    <w:rsid w:val="00F91800"/>
    <w:rsid w:val="00F93469"/>
    <w:rsid w:val="00F93AF9"/>
    <w:rsid w:val="00F94E99"/>
    <w:rsid w:val="00F9540C"/>
    <w:rsid w:val="00F960D5"/>
    <w:rsid w:val="00F9650A"/>
    <w:rsid w:val="00F967C7"/>
    <w:rsid w:val="00F96A00"/>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AED"/>
    <w:rsid w:val="00FC6F8C"/>
    <w:rsid w:val="00FC7531"/>
    <w:rsid w:val="00FC7EAA"/>
    <w:rsid w:val="00FD05F2"/>
    <w:rsid w:val="00FD3C34"/>
    <w:rsid w:val="00FD49A2"/>
    <w:rsid w:val="00FD4FA5"/>
    <w:rsid w:val="00FD5166"/>
    <w:rsid w:val="00FD6CDE"/>
    <w:rsid w:val="00FD758C"/>
    <w:rsid w:val="00FE19D5"/>
    <w:rsid w:val="00FE26E6"/>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3787819">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59027294">
      <w:bodyDiv w:val="1"/>
      <w:marLeft w:val="0"/>
      <w:marRight w:val="0"/>
      <w:marTop w:val="0"/>
      <w:marBottom w:val="0"/>
      <w:divBdr>
        <w:top w:val="none" w:sz="0" w:space="0" w:color="auto"/>
        <w:left w:val="none" w:sz="0" w:space="0" w:color="auto"/>
        <w:bottom w:val="none" w:sz="0" w:space="0" w:color="auto"/>
        <w:right w:val="none" w:sz="0" w:space="0" w:color="auto"/>
      </w:divBdr>
      <w:divsChild>
        <w:div w:id="1454322836">
          <w:marLeft w:val="0"/>
          <w:marRight w:val="0"/>
          <w:marTop w:val="0"/>
          <w:marBottom w:val="101"/>
          <w:divBdr>
            <w:top w:val="none" w:sz="0" w:space="0" w:color="auto"/>
            <w:left w:val="none" w:sz="0" w:space="0" w:color="auto"/>
            <w:bottom w:val="none" w:sz="0" w:space="0" w:color="auto"/>
            <w:right w:val="none" w:sz="0" w:space="0" w:color="auto"/>
          </w:divBdr>
        </w:div>
        <w:div w:id="588268633">
          <w:marLeft w:val="567"/>
          <w:marRight w:val="0"/>
          <w:marTop w:val="0"/>
          <w:marBottom w:val="101"/>
          <w:divBdr>
            <w:top w:val="none" w:sz="0" w:space="0" w:color="auto"/>
            <w:left w:val="none" w:sz="0" w:space="0" w:color="auto"/>
            <w:bottom w:val="none" w:sz="0" w:space="0" w:color="auto"/>
            <w:right w:val="none" w:sz="0" w:space="0" w:color="auto"/>
          </w:divBdr>
        </w:div>
        <w:div w:id="377165365">
          <w:marLeft w:val="567"/>
          <w:marRight w:val="0"/>
          <w:marTop w:val="0"/>
          <w:marBottom w:val="101"/>
          <w:divBdr>
            <w:top w:val="none" w:sz="0" w:space="0" w:color="auto"/>
            <w:left w:val="none" w:sz="0" w:space="0" w:color="auto"/>
            <w:bottom w:val="none" w:sz="0" w:space="0" w:color="auto"/>
            <w:right w:val="none" w:sz="0" w:space="0" w:color="auto"/>
          </w:divBdr>
        </w:div>
      </w:divsChild>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11333938">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28020911">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12972993">
      <w:bodyDiv w:val="1"/>
      <w:marLeft w:val="0"/>
      <w:marRight w:val="0"/>
      <w:marTop w:val="0"/>
      <w:marBottom w:val="0"/>
      <w:divBdr>
        <w:top w:val="none" w:sz="0" w:space="0" w:color="auto"/>
        <w:left w:val="none" w:sz="0" w:space="0" w:color="auto"/>
        <w:bottom w:val="none" w:sz="0" w:space="0" w:color="auto"/>
        <w:right w:val="none" w:sz="0" w:space="0" w:color="auto"/>
      </w:divBdr>
      <w:divsChild>
        <w:div w:id="1996182219">
          <w:marLeft w:val="0"/>
          <w:marRight w:val="0"/>
          <w:marTop w:val="0"/>
          <w:marBottom w:val="101"/>
          <w:divBdr>
            <w:top w:val="none" w:sz="0" w:space="0" w:color="auto"/>
            <w:left w:val="none" w:sz="0" w:space="0" w:color="auto"/>
            <w:bottom w:val="none" w:sz="0" w:space="0" w:color="auto"/>
            <w:right w:val="none" w:sz="0" w:space="0" w:color="auto"/>
          </w:divBdr>
        </w:div>
        <w:div w:id="1148666124">
          <w:marLeft w:val="567"/>
          <w:marRight w:val="0"/>
          <w:marTop w:val="0"/>
          <w:marBottom w:val="101"/>
          <w:divBdr>
            <w:top w:val="none" w:sz="0" w:space="0" w:color="auto"/>
            <w:left w:val="none" w:sz="0" w:space="0" w:color="auto"/>
            <w:bottom w:val="none" w:sz="0" w:space="0" w:color="auto"/>
            <w:right w:val="none" w:sz="0" w:space="0" w:color="auto"/>
          </w:divBdr>
        </w:div>
        <w:div w:id="257950895">
          <w:marLeft w:val="567"/>
          <w:marRight w:val="0"/>
          <w:marTop w:val="0"/>
          <w:marBottom w:val="101"/>
          <w:divBdr>
            <w:top w:val="none" w:sz="0" w:space="0" w:color="auto"/>
            <w:left w:val="none" w:sz="0" w:space="0" w:color="auto"/>
            <w:bottom w:val="none" w:sz="0" w:space="0" w:color="auto"/>
            <w:right w:val="none" w:sz="0" w:space="0" w:color="auto"/>
          </w:divBdr>
        </w:div>
        <w:div w:id="964308689">
          <w:marLeft w:val="567"/>
          <w:marRight w:val="0"/>
          <w:marTop w:val="0"/>
          <w:marBottom w:val="101"/>
          <w:divBdr>
            <w:top w:val="none" w:sz="0" w:space="0" w:color="auto"/>
            <w:left w:val="none" w:sz="0" w:space="0" w:color="auto"/>
            <w:bottom w:val="none" w:sz="0" w:space="0" w:color="auto"/>
            <w:right w:val="none" w:sz="0" w:space="0" w:color="auto"/>
          </w:divBdr>
        </w:div>
        <w:div w:id="273295528">
          <w:marLeft w:val="567"/>
          <w:marRight w:val="0"/>
          <w:marTop w:val="0"/>
          <w:marBottom w:val="101"/>
          <w:divBdr>
            <w:top w:val="none" w:sz="0" w:space="0" w:color="auto"/>
            <w:left w:val="none" w:sz="0" w:space="0" w:color="auto"/>
            <w:bottom w:val="none" w:sz="0" w:space="0" w:color="auto"/>
            <w:right w:val="none" w:sz="0" w:space="0" w:color="auto"/>
          </w:divBdr>
        </w:div>
        <w:div w:id="1525170104">
          <w:marLeft w:val="567"/>
          <w:marRight w:val="0"/>
          <w:marTop w:val="0"/>
          <w:marBottom w:val="101"/>
          <w:divBdr>
            <w:top w:val="none" w:sz="0" w:space="0" w:color="auto"/>
            <w:left w:val="none" w:sz="0" w:space="0" w:color="auto"/>
            <w:bottom w:val="none" w:sz="0" w:space="0" w:color="auto"/>
            <w:right w:val="none" w:sz="0" w:space="0" w:color="auto"/>
          </w:divBdr>
        </w:div>
        <w:div w:id="150174901">
          <w:marLeft w:val="567"/>
          <w:marRight w:val="0"/>
          <w:marTop w:val="0"/>
          <w:marBottom w:val="76"/>
          <w:divBdr>
            <w:top w:val="none" w:sz="0" w:space="0" w:color="auto"/>
            <w:left w:val="none" w:sz="0" w:space="0" w:color="auto"/>
            <w:bottom w:val="none" w:sz="0" w:space="0" w:color="auto"/>
            <w:right w:val="none" w:sz="0" w:space="0" w:color="auto"/>
          </w:divBdr>
        </w:div>
        <w:div w:id="1410153938">
          <w:marLeft w:val="567"/>
          <w:marRight w:val="0"/>
          <w:marTop w:val="0"/>
          <w:marBottom w:val="76"/>
          <w:divBdr>
            <w:top w:val="none" w:sz="0" w:space="0" w:color="auto"/>
            <w:left w:val="none" w:sz="0" w:space="0" w:color="auto"/>
            <w:bottom w:val="none" w:sz="0" w:space="0" w:color="auto"/>
            <w:right w:val="none" w:sz="0" w:space="0" w:color="auto"/>
          </w:divBdr>
        </w:div>
        <w:div w:id="1193375459">
          <w:marLeft w:val="567"/>
          <w:marRight w:val="0"/>
          <w:marTop w:val="0"/>
          <w:marBottom w:val="76"/>
          <w:divBdr>
            <w:top w:val="none" w:sz="0" w:space="0" w:color="auto"/>
            <w:left w:val="none" w:sz="0" w:space="0" w:color="auto"/>
            <w:bottom w:val="none" w:sz="0" w:space="0" w:color="auto"/>
            <w:right w:val="none" w:sz="0" w:space="0" w:color="auto"/>
          </w:divBdr>
        </w:div>
        <w:div w:id="377172016">
          <w:marLeft w:val="567"/>
          <w:marRight w:val="0"/>
          <w:marTop w:val="0"/>
          <w:marBottom w:val="76"/>
          <w:divBdr>
            <w:top w:val="none" w:sz="0" w:space="0" w:color="auto"/>
            <w:left w:val="none" w:sz="0" w:space="0" w:color="auto"/>
            <w:bottom w:val="none" w:sz="0" w:space="0" w:color="auto"/>
            <w:right w:val="none" w:sz="0" w:space="0" w:color="auto"/>
          </w:divBdr>
        </w:div>
        <w:div w:id="1228301088">
          <w:marLeft w:val="567"/>
          <w:marRight w:val="0"/>
          <w:marTop w:val="0"/>
          <w:marBottom w:val="76"/>
          <w:divBdr>
            <w:top w:val="none" w:sz="0" w:space="0" w:color="auto"/>
            <w:left w:val="none" w:sz="0" w:space="0" w:color="auto"/>
            <w:bottom w:val="none" w:sz="0" w:space="0" w:color="auto"/>
            <w:right w:val="none" w:sz="0" w:space="0" w:color="auto"/>
          </w:divBdr>
        </w:div>
        <w:div w:id="1710498163">
          <w:marLeft w:val="0"/>
          <w:marRight w:val="0"/>
          <w:marTop w:val="0"/>
          <w:marBottom w:val="76"/>
          <w:divBdr>
            <w:top w:val="none" w:sz="0" w:space="0" w:color="auto"/>
            <w:left w:val="none" w:sz="0" w:space="0" w:color="auto"/>
            <w:bottom w:val="none" w:sz="0" w:space="0" w:color="auto"/>
            <w:right w:val="none" w:sz="0" w:space="0" w:color="auto"/>
          </w:divBdr>
        </w:div>
      </w:divsChild>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7888691">
      <w:bodyDiv w:val="1"/>
      <w:marLeft w:val="0"/>
      <w:marRight w:val="0"/>
      <w:marTop w:val="0"/>
      <w:marBottom w:val="0"/>
      <w:divBdr>
        <w:top w:val="none" w:sz="0" w:space="0" w:color="auto"/>
        <w:left w:val="none" w:sz="0" w:space="0" w:color="auto"/>
        <w:bottom w:val="none" w:sz="0" w:space="0" w:color="auto"/>
        <w:right w:val="none" w:sz="0" w:space="0" w:color="auto"/>
      </w:divBdr>
    </w:div>
    <w:div w:id="1477189557">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5242334">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8284578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64904707">
      <w:bodyDiv w:val="1"/>
      <w:marLeft w:val="0"/>
      <w:marRight w:val="0"/>
      <w:marTop w:val="0"/>
      <w:marBottom w:val="0"/>
      <w:divBdr>
        <w:top w:val="none" w:sz="0" w:space="0" w:color="auto"/>
        <w:left w:val="none" w:sz="0" w:space="0" w:color="auto"/>
        <w:bottom w:val="none" w:sz="0" w:space="0" w:color="auto"/>
        <w:right w:val="none" w:sz="0" w:space="0" w:color="auto"/>
      </w:divBdr>
      <w:divsChild>
        <w:div w:id="1428774283">
          <w:marLeft w:val="0"/>
          <w:marRight w:val="0"/>
          <w:marTop w:val="0"/>
          <w:marBottom w:val="76"/>
          <w:divBdr>
            <w:top w:val="none" w:sz="0" w:space="0" w:color="auto"/>
            <w:left w:val="none" w:sz="0" w:space="0" w:color="auto"/>
            <w:bottom w:val="none" w:sz="0" w:space="0" w:color="auto"/>
            <w:right w:val="none" w:sz="0" w:space="0" w:color="auto"/>
          </w:divBdr>
        </w:div>
        <w:div w:id="828399820">
          <w:marLeft w:val="567"/>
          <w:marRight w:val="0"/>
          <w:marTop w:val="0"/>
          <w:marBottom w:val="76"/>
          <w:divBdr>
            <w:top w:val="none" w:sz="0" w:space="0" w:color="auto"/>
            <w:left w:val="none" w:sz="0" w:space="0" w:color="auto"/>
            <w:bottom w:val="none" w:sz="0" w:space="0" w:color="auto"/>
            <w:right w:val="none" w:sz="0" w:space="0" w:color="auto"/>
          </w:divBdr>
        </w:div>
        <w:div w:id="337461080">
          <w:marLeft w:val="567"/>
          <w:marRight w:val="0"/>
          <w:marTop w:val="0"/>
          <w:marBottom w:val="101"/>
          <w:divBdr>
            <w:top w:val="none" w:sz="0" w:space="0" w:color="auto"/>
            <w:left w:val="none" w:sz="0" w:space="0" w:color="auto"/>
            <w:bottom w:val="none" w:sz="0" w:space="0" w:color="auto"/>
            <w:right w:val="none" w:sz="0" w:space="0" w:color="auto"/>
          </w:divBdr>
        </w:div>
        <w:div w:id="1008362887">
          <w:marLeft w:val="567"/>
          <w:marRight w:val="0"/>
          <w:marTop w:val="0"/>
          <w:marBottom w:val="101"/>
          <w:divBdr>
            <w:top w:val="none" w:sz="0" w:space="0" w:color="auto"/>
            <w:left w:val="none" w:sz="0" w:space="0" w:color="auto"/>
            <w:bottom w:val="none" w:sz="0" w:space="0" w:color="auto"/>
            <w:right w:val="none" w:sz="0" w:space="0" w:color="auto"/>
          </w:divBdr>
        </w:div>
        <w:div w:id="375474314">
          <w:marLeft w:val="567"/>
          <w:marRight w:val="0"/>
          <w:marTop w:val="0"/>
          <w:marBottom w:val="101"/>
          <w:divBdr>
            <w:top w:val="none" w:sz="0" w:space="0" w:color="auto"/>
            <w:left w:val="none" w:sz="0" w:space="0" w:color="auto"/>
            <w:bottom w:val="none" w:sz="0" w:space="0" w:color="auto"/>
            <w:right w:val="none" w:sz="0" w:space="0" w:color="auto"/>
          </w:divBdr>
        </w:div>
      </w:divsChild>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nfoem.org.mx/es/contenido/transparencia/directorio-de-sujetos-obligados" TargetMode="External"/><Relationship Id="rId1" Type="http://schemas.openxmlformats.org/officeDocument/2006/relationships/hyperlink" Target="https://www.dof.gob.mx/nota_detalle.php?codigo=5436072&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E5C1A3-7BA5-4D8C-9E74-B9D3D4C7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14838</Words>
  <Characters>81612</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2021-10-15T18:20:00Z</dcterms:created>
  <dcterms:modified xsi:type="dcterms:W3CDTF">2021-10-15T18:20:00Z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