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843C5" w14:textId="4837C320" w:rsidR="00442EBB" w:rsidRPr="003C2E92" w:rsidRDefault="00D31B5B">
      <w:pPr>
        <w:spacing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Resolución del Pleno del Instituto de Transparencia, Acceso a la Inf</w:t>
      </w:r>
      <w:bookmarkStart w:id="0" w:name="_GoBack"/>
      <w:bookmarkEnd w:id="0"/>
      <w:r w:rsidRPr="003C2E92">
        <w:rPr>
          <w:rFonts w:ascii="Palatino Linotype" w:eastAsia="Palatino Linotype" w:hAnsi="Palatino Linotype" w:cs="Palatino Linotype"/>
        </w:rPr>
        <w:t xml:space="preserve">ormación Pública y Protección de Datos Personales del Estado de México y Municipios, con domicilio en Metepec, Estado de México, de fecha </w:t>
      </w:r>
      <w:r w:rsidR="00B76F56" w:rsidRPr="003C2E92">
        <w:rPr>
          <w:rFonts w:ascii="Palatino Linotype" w:eastAsia="Palatino Linotype" w:hAnsi="Palatino Linotype" w:cs="Palatino Linotype"/>
        </w:rPr>
        <w:t xml:space="preserve">veintisiete de octubre de dos mil </w:t>
      </w:r>
      <w:r w:rsidR="00B76F56" w:rsidRPr="003C2E92">
        <w:rPr>
          <w:rFonts w:ascii="Palatino Linotype" w:hAnsi="Palatino Linotype" w:cs="Arial"/>
        </w:rPr>
        <w:t>veintiuno</w:t>
      </w:r>
      <w:r w:rsidRPr="003C2E92">
        <w:rPr>
          <w:rFonts w:ascii="Palatino Linotype" w:eastAsia="Palatino Linotype" w:hAnsi="Palatino Linotype" w:cs="Palatino Linotype"/>
        </w:rPr>
        <w:t>.</w:t>
      </w:r>
    </w:p>
    <w:p w14:paraId="0EAC8003" w14:textId="63A3BA25"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b/>
        </w:rPr>
        <w:t>VISTO</w:t>
      </w:r>
      <w:r w:rsidRPr="003C2E92">
        <w:rPr>
          <w:rFonts w:ascii="Palatino Linotype" w:eastAsia="Palatino Linotype" w:hAnsi="Palatino Linotype" w:cs="Palatino Linotype"/>
        </w:rPr>
        <w:t xml:space="preserve"> el expediente formado con motivo del recurso de revisión</w:t>
      </w:r>
      <w:r w:rsidRPr="003C2E92">
        <w:rPr>
          <w:rFonts w:ascii="Palatino Linotype" w:eastAsia="Palatino Linotype" w:hAnsi="Palatino Linotype" w:cs="Palatino Linotype"/>
          <w:b/>
          <w:color w:val="FF0000"/>
        </w:rPr>
        <w:t xml:space="preserve"> </w:t>
      </w:r>
      <w:r w:rsidRPr="003C2E92">
        <w:rPr>
          <w:rFonts w:ascii="Palatino Linotype" w:eastAsia="Palatino Linotype" w:hAnsi="Palatino Linotype" w:cs="Palatino Linotype"/>
          <w:b/>
        </w:rPr>
        <w:t>04587/INFOEM/IP/RR/2021</w:t>
      </w:r>
      <w:r w:rsidRPr="003C2E92">
        <w:rPr>
          <w:rFonts w:ascii="Palatino Linotype" w:eastAsia="Palatino Linotype" w:hAnsi="Palatino Linotype" w:cs="Palatino Linotype"/>
        </w:rPr>
        <w:t xml:space="preserve">, promovidos por el </w:t>
      </w:r>
      <w:r w:rsidRPr="003C2E92">
        <w:rPr>
          <w:rFonts w:ascii="Palatino Linotype" w:eastAsia="Palatino Linotype" w:hAnsi="Palatino Linotype" w:cs="Palatino Linotype"/>
          <w:b/>
        </w:rPr>
        <w:t xml:space="preserve">C. </w:t>
      </w:r>
      <w:r w:rsidR="00DC3E1C">
        <w:rPr>
          <w:rFonts w:ascii="Palatino Linotype" w:eastAsia="Palatino Linotype" w:hAnsi="Palatino Linotype" w:cs="Palatino Linotype"/>
          <w:b/>
        </w:rPr>
        <w:t xml:space="preserve">XXXXX XXXXXX </w:t>
      </w:r>
      <w:proofErr w:type="spellStart"/>
      <w:r w:rsidR="00DC3E1C">
        <w:rPr>
          <w:rFonts w:ascii="Palatino Linotype" w:eastAsia="Palatino Linotype" w:hAnsi="Palatino Linotype" w:cs="Palatino Linotype"/>
          <w:b/>
        </w:rPr>
        <w:t>XXXXXX</w:t>
      </w:r>
      <w:proofErr w:type="spellEnd"/>
      <w:r w:rsidR="00DC3E1C">
        <w:rPr>
          <w:rFonts w:ascii="Palatino Linotype" w:eastAsia="Palatino Linotype" w:hAnsi="Palatino Linotype" w:cs="Palatino Linotype"/>
          <w:b/>
        </w:rPr>
        <w:t xml:space="preserve"> XX XXX</w:t>
      </w:r>
      <w:r w:rsidRPr="003C2E92">
        <w:rPr>
          <w:rFonts w:ascii="Palatino Linotype" w:eastAsia="Palatino Linotype" w:hAnsi="Palatino Linotype" w:cs="Palatino Linotype"/>
          <w:b/>
        </w:rPr>
        <w:t xml:space="preserve">, </w:t>
      </w:r>
      <w:r w:rsidRPr="003C2E92">
        <w:rPr>
          <w:rFonts w:ascii="Palatino Linotype" w:eastAsia="Palatino Linotype" w:hAnsi="Palatino Linotype" w:cs="Palatino Linotype"/>
        </w:rPr>
        <w:t>en lo sucesivo</w:t>
      </w:r>
      <w:r w:rsidRPr="003C2E92">
        <w:rPr>
          <w:rFonts w:ascii="Palatino Linotype" w:eastAsia="Palatino Linotype" w:hAnsi="Palatino Linotype" w:cs="Palatino Linotype"/>
          <w:b/>
        </w:rPr>
        <w:t xml:space="preserve"> EL RECURRENTE</w:t>
      </w:r>
      <w:r w:rsidRPr="003C2E92">
        <w:rPr>
          <w:rFonts w:ascii="Palatino Linotype" w:eastAsia="Palatino Linotype" w:hAnsi="Palatino Linotype" w:cs="Palatino Linotype"/>
        </w:rPr>
        <w:t>, en contra de la respuesta emitida por el</w:t>
      </w:r>
      <w:r w:rsidRPr="003C2E92">
        <w:rPr>
          <w:rFonts w:ascii="Palatino Linotype" w:eastAsia="Palatino Linotype" w:hAnsi="Palatino Linotype" w:cs="Palatino Linotype"/>
          <w:b/>
          <w:color w:val="000000"/>
        </w:rPr>
        <w:t xml:space="preserve"> </w:t>
      </w:r>
      <w:r w:rsidRPr="003C2E92">
        <w:rPr>
          <w:rFonts w:ascii="Palatino Linotype" w:eastAsia="Palatino Linotype" w:hAnsi="Palatino Linotype" w:cs="Palatino Linotype"/>
          <w:b/>
        </w:rPr>
        <w:t>Instituto Hacendario del Estado de México,</w:t>
      </w:r>
      <w:r w:rsidRPr="003C2E92">
        <w:rPr>
          <w:rFonts w:ascii="Palatino Linotype" w:eastAsia="Palatino Linotype" w:hAnsi="Palatino Linotype" w:cs="Palatino Linotype"/>
        </w:rPr>
        <w:t xml:space="preserve"> en lo sucesivo </w:t>
      </w:r>
      <w:r w:rsidRPr="003C2E92">
        <w:rPr>
          <w:rFonts w:ascii="Palatino Linotype" w:eastAsia="Palatino Linotype" w:hAnsi="Palatino Linotype" w:cs="Palatino Linotype"/>
          <w:b/>
        </w:rPr>
        <w:t>EL SUJETO OBLIGADO</w:t>
      </w:r>
      <w:r w:rsidRPr="003C2E92">
        <w:rPr>
          <w:rFonts w:ascii="Palatino Linotype" w:eastAsia="Palatino Linotype" w:hAnsi="Palatino Linotype" w:cs="Palatino Linotype"/>
        </w:rPr>
        <w:t>, se procede a dictar la presente resolución, con base en lo siguiente:</w:t>
      </w:r>
    </w:p>
    <w:p w14:paraId="0AB7A359" w14:textId="77777777" w:rsidR="00442EBB" w:rsidRPr="003C2E92" w:rsidRDefault="00D31B5B">
      <w:pPr>
        <w:spacing w:line="360" w:lineRule="auto"/>
        <w:jc w:val="center"/>
        <w:rPr>
          <w:rFonts w:ascii="Palatino Linotype" w:eastAsia="Palatino Linotype" w:hAnsi="Palatino Linotype" w:cs="Palatino Linotype"/>
          <w:b/>
          <w:sz w:val="28"/>
          <w:szCs w:val="28"/>
        </w:rPr>
      </w:pPr>
      <w:r w:rsidRPr="003C2E92">
        <w:rPr>
          <w:rFonts w:ascii="Palatino Linotype" w:eastAsia="Palatino Linotype" w:hAnsi="Palatino Linotype" w:cs="Palatino Linotype"/>
          <w:b/>
          <w:sz w:val="28"/>
          <w:szCs w:val="28"/>
        </w:rPr>
        <w:t>RESULTANDO</w:t>
      </w:r>
    </w:p>
    <w:p w14:paraId="42023FE9" w14:textId="77777777" w:rsidR="00442EBB" w:rsidRPr="003C2E92" w:rsidRDefault="00D31B5B">
      <w:pPr>
        <w:spacing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b/>
          <w:color w:val="000000"/>
          <w:sz w:val="28"/>
          <w:szCs w:val="28"/>
        </w:rPr>
        <w:t xml:space="preserve">I. </w:t>
      </w:r>
      <w:r w:rsidRPr="003C2E92">
        <w:rPr>
          <w:rFonts w:ascii="Palatino Linotype" w:eastAsia="Palatino Linotype" w:hAnsi="Palatino Linotype" w:cs="Palatino Linotype"/>
        </w:rPr>
        <w:t xml:space="preserve">En fecha cuatro de agosto de dos mil veintiuno, </w:t>
      </w:r>
      <w:r w:rsidRPr="003C2E92">
        <w:rPr>
          <w:rFonts w:ascii="Palatino Linotype" w:eastAsia="Palatino Linotype" w:hAnsi="Palatino Linotype" w:cs="Palatino Linotype"/>
          <w:b/>
        </w:rPr>
        <w:t>EL RECURRENTE</w:t>
      </w:r>
      <w:r w:rsidRPr="003C2E92">
        <w:rPr>
          <w:rFonts w:ascii="Palatino Linotype" w:eastAsia="Palatino Linotype" w:hAnsi="Palatino Linotype" w:cs="Palatino Linotype"/>
        </w:rPr>
        <w:t xml:space="preserve"> presentó a través del Sistema de Acceso a la Información Mexiquense, en lo subsecuente </w:t>
      </w:r>
      <w:r w:rsidRPr="003C2E92">
        <w:rPr>
          <w:rFonts w:ascii="Palatino Linotype" w:eastAsia="Palatino Linotype" w:hAnsi="Palatino Linotype" w:cs="Palatino Linotype"/>
          <w:b/>
        </w:rPr>
        <w:t>EL SAIMEX</w:t>
      </w:r>
      <w:r w:rsidRPr="003C2E92">
        <w:rPr>
          <w:rFonts w:ascii="Palatino Linotype" w:eastAsia="Palatino Linotype" w:hAnsi="Palatino Linotype" w:cs="Palatino Linotype"/>
        </w:rPr>
        <w:t xml:space="preserve"> ante </w:t>
      </w:r>
      <w:r w:rsidRPr="003C2E92">
        <w:rPr>
          <w:rFonts w:ascii="Palatino Linotype" w:eastAsia="Palatino Linotype" w:hAnsi="Palatino Linotype" w:cs="Palatino Linotype"/>
          <w:b/>
        </w:rPr>
        <w:t>EL SUJETO OBLIGADO</w:t>
      </w:r>
      <w:r w:rsidRPr="003C2E92">
        <w:rPr>
          <w:rFonts w:ascii="Palatino Linotype" w:eastAsia="Palatino Linotype" w:hAnsi="Palatino Linotype" w:cs="Palatino Linotype"/>
        </w:rPr>
        <w:t xml:space="preserve">, la solicitud de acceso a la información pública, a la que se le asignó el número </w:t>
      </w:r>
      <w:r w:rsidRPr="003C2E92">
        <w:rPr>
          <w:rFonts w:ascii="Palatino Linotype" w:eastAsia="Palatino Linotype" w:hAnsi="Palatino Linotype" w:cs="Palatino Linotype"/>
          <w:b/>
        </w:rPr>
        <w:t xml:space="preserve">00075/IHAEM/IP/2021 </w:t>
      </w:r>
      <w:r w:rsidRPr="003C2E92">
        <w:rPr>
          <w:rFonts w:ascii="Palatino Linotype" w:eastAsia="Palatino Linotype" w:hAnsi="Palatino Linotype" w:cs="Palatino Linotype"/>
        </w:rPr>
        <w:t>mediante la cual requirió lo siguiente:</w:t>
      </w:r>
    </w:p>
    <w:p w14:paraId="6B5A986C" w14:textId="77777777" w:rsidR="00442EBB" w:rsidRPr="003C2E92" w:rsidRDefault="00D31B5B">
      <w:pPr>
        <w:tabs>
          <w:tab w:val="left" w:pos="8080"/>
        </w:tabs>
        <w:ind w:left="851" w:right="1043"/>
        <w:jc w:val="both"/>
        <w:rPr>
          <w:rFonts w:ascii="Palatino Linotype" w:eastAsia="Palatino Linotype" w:hAnsi="Palatino Linotype" w:cs="Palatino Linotype"/>
          <w:b/>
          <w:i/>
          <w:sz w:val="40"/>
          <w:szCs w:val="40"/>
        </w:rPr>
      </w:pPr>
      <w:bookmarkStart w:id="1" w:name="_heading=h.gjdgxs" w:colFirst="0" w:colLast="0"/>
      <w:bookmarkEnd w:id="1"/>
      <w:r w:rsidRPr="003C2E92">
        <w:rPr>
          <w:rFonts w:ascii="Palatino Linotype" w:eastAsia="Palatino Linotype" w:hAnsi="Palatino Linotype" w:cs="Palatino Linotype"/>
          <w:i/>
          <w:color w:val="000000"/>
          <w:sz w:val="22"/>
          <w:szCs w:val="22"/>
        </w:rPr>
        <w:t xml:space="preserve">“Se solicita </w:t>
      </w:r>
      <w:proofErr w:type="spellStart"/>
      <w:r w:rsidRPr="003C2E92">
        <w:rPr>
          <w:rFonts w:ascii="Palatino Linotype" w:eastAsia="Palatino Linotype" w:hAnsi="Palatino Linotype" w:cs="Palatino Linotype"/>
          <w:i/>
          <w:color w:val="000000"/>
          <w:sz w:val="22"/>
          <w:szCs w:val="22"/>
        </w:rPr>
        <w:t>via</w:t>
      </w:r>
      <w:proofErr w:type="spellEnd"/>
      <w:r w:rsidRPr="003C2E92">
        <w:rPr>
          <w:rFonts w:ascii="Palatino Linotype" w:eastAsia="Palatino Linotype" w:hAnsi="Palatino Linotype" w:cs="Palatino Linotype"/>
          <w:i/>
          <w:color w:val="000000"/>
          <w:sz w:val="22"/>
          <w:szCs w:val="22"/>
        </w:rPr>
        <w:t xml:space="preserve"> SAIMEX (de forma gratuita) del 2018 a la fecha las minutas o actas del </w:t>
      </w:r>
      <w:proofErr w:type="spellStart"/>
      <w:r w:rsidRPr="003C2E92">
        <w:rPr>
          <w:rFonts w:ascii="Palatino Linotype" w:eastAsia="Palatino Linotype" w:hAnsi="Palatino Linotype" w:cs="Palatino Linotype"/>
          <w:i/>
          <w:color w:val="000000"/>
          <w:sz w:val="22"/>
          <w:szCs w:val="22"/>
        </w:rPr>
        <w:t>Comite</w:t>
      </w:r>
      <w:proofErr w:type="spellEnd"/>
      <w:r w:rsidRPr="003C2E92">
        <w:rPr>
          <w:rFonts w:ascii="Palatino Linotype" w:eastAsia="Palatino Linotype" w:hAnsi="Palatino Linotype" w:cs="Palatino Linotype"/>
          <w:i/>
          <w:color w:val="000000"/>
          <w:sz w:val="22"/>
          <w:szCs w:val="22"/>
        </w:rPr>
        <w:t xml:space="preserve"> de Ética, Comité de Transparencia, Comité de Becas (incluidas el que avala las investigaciones), Comité de Adquisiciones, las del grupo que autoriza el reconocimiento hacendario, Consejo Directivo y de las Reuniones Regionales; todas con los anexos respectivos. (Sic)”</w:t>
      </w:r>
    </w:p>
    <w:p w14:paraId="0D964BB7" w14:textId="77777777" w:rsidR="00442EBB" w:rsidRPr="003C2E92" w:rsidRDefault="00442EBB">
      <w:pPr>
        <w:spacing w:line="360" w:lineRule="auto"/>
        <w:ind w:right="709"/>
        <w:jc w:val="both"/>
        <w:rPr>
          <w:rFonts w:ascii="Palatino Linotype" w:eastAsia="Palatino Linotype" w:hAnsi="Palatino Linotype" w:cs="Palatino Linotype"/>
          <w:b/>
        </w:rPr>
      </w:pPr>
    </w:p>
    <w:p w14:paraId="59E37549" w14:textId="77777777" w:rsidR="00442EBB" w:rsidRPr="003C2E92" w:rsidRDefault="00D31B5B">
      <w:pPr>
        <w:spacing w:line="360" w:lineRule="auto"/>
        <w:ind w:right="709"/>
        <w:jc w:val="both"/>
        <w:rPr>
          <w:rFonts w:ascii="Palatino Linotype" w:eastAsia="Palatino Linotype" w:hAnsi="Palatino Linotype" w:cs="Palatino Linotype"/>
        </w:rPr>
      </w:pPr>
      <w:bookmarkStart w:id="2" w:name="_heading=h.30j0zll" w:colFirst="0" w:colLast="0"/>
      <w:bookmarkEnd w:id="2"/>
      <w:r w:rsidRPr="003C2E92">
        <w:rPr>
          <w:rFonts w:ascii="Palatino Linotype" w:eastAsia="Palatino Linotype" w:hAnsi="Palatino Linotype" w:cs="Palatino Linotype"/>
          <w:b/>
        </w:rPr>
        <w:t>Modalidad de entrega:</w:t>
      </w:r>
      <w:r w:rsidRPr="003C2E92">
        <w:rPr>
          <w:rFonts w:ascii="Palatino Linotype" w:eastAsia="Palatino Linotype" w:hAnsi="Palatino Linotype" w:cs="Palatino Linotype"/>
        </w:rPr>
        <w:t xml:space="preserve"> Vía SAIMEX</w:t>
      </w:r>
    </w:p>
    <w:p w14:paraId="06174824" w14:textId="65617044" w:rsidR="00442EBB" w:rsidRPr="003C2E92" w:rsidRDefault="00D31B5B">
      <w:pPr>
        <w:spacing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b/>
          <w:sz w:val="28"/>
          <w:szCs w:val="28"/>
        </w:rPr>
        <w:t xml:space="preserve">II. </w:t>
      </w:r>
      <w:r w:rsidRPr="003C2E92">
        <w:rPr>
          <w:rFonts w:ascii="Palatino Linotype" w:eastAsia="Palatino Linotype" w:hAnsi="Palatino Linotype" w:cs="Palatino Linotype"/>
        </w:rPr>
        <w:t xml:space="preserve">Con base en el detalle de seguimiento del </w:t>
      </w:r>
      <w:r w:rsidRPr="003C2E92">
        <w:rPr>
          <w:rFonts w:ascii="Palatino Linotype" w:eastAsia="Palatino Linotype" w:hAnsi="Palatino Linotype" w:cs="Palatino Linotype"/>
          <w:b/>
        </w:rPr>
        <w:t>SAIMEX</w:t>
      </w:r>
      <w:r w:rsidRPr="003C2E92">
        <w:rPr>
          <w:rFonts w:ascii="Palatino Linotype" w:eastAsia="Palatino Linotype" w:hAnsi="Palatino Linotype" w:cs="Palatino Linotype"/>
        </w:rPr>
        <w:t xml:space="preserve">, se advierte que la Titular de la Unidad de Transparencia del </w:t>
      </w:r>
      <w:r w:rsidRPr="003C2E92">
        <w:rPr>
          <w:rFonts w:ascii="Palatino Linotype" w:eastAsia="Palatino Linotype" w:hAnsi="Palatino Linotype" w:cs="Palatino Linotype"/>
          <w:b/>
        </w:rPr>
        <w:t>SUJETO OBLIGADO</w:t>
      </w:r>
      <w:r w:rsidRPr="003C2E92">
        <w:rPr>
          <w:rFonts w:ascii="Palatino Linotype" w:eastAsia="Palatino Linotype" w:hAnsi="Palatino Linotype" w:cs="Palatino Linotype"/>
        </w:rPr>
        <w:t xml:space="preserve">, turnó la solicitud de información al Servidor Público Habilitado que estimó competente a efecto de que realizara la </w:t>
      </w:r>
      <w:r w:rsidRPr="003C2E92">
        <w:rPr>
          <w:rFonts w:ascii="Palatino Linotype" w:eastAsia="Palatino Linotype" w:hAnsi="Palatino Linotype" w:cs="Palatino Linotype"/>
        </w:rPr>
        <w:lastRenderedPageBreak/>
        <w:t xml:space="preserve">búsqueda y localización de la información, tal y como se desprende de </w:t>
      </w:r>
      <w:r w:rsidR="00913D36" w:rsidRPr="003C2E92">
        <w:rPr>
          <w:rFonts w:ascii="Palatino Linotype" w:eastAsia="Palatino Linotype" w:hAnsi="Palatino Linotype" w:cs="Palatino Linotype"/>
        </w:rPr>
        <w:t>la siguiente imagen</w:t>
      </w:r>
      <w:r w:rsidRPr="003C2E92">
        <w:rPr>
          <w:rFonts w:ascii="Palatino Linotype" w:eastAsia="Palatino Linotype" w:hAnsi="Palatino Linotype" w:cs="Palatino Linotype"/>
        </w:rPr>
        <w:t>:</w:t>
      </w:r>
    </w:p>
    <w:p w14:paraId="46373FA8" w14:textId="77777777" w:rsidR="00442EBB" w:rsidRPr="003C2E92" w:rsidRDefault="00442EBB"/>
    <w:p w14:paraId="5091DACF" w14:textId="77777777" w:rsidR="00442EBB" w:rsidRPr="003C2E92" w:rsidRDefault="00D31B5B">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3C2E92">
        <w:rPr>
          <w:rFonts w:ascii="Palatino Linotype" w:eastAsia="Palatino Linotype" w:hAnsi="Palatino Linotype" w:cs="Palatino Linotype"/>
          <w:noProof/>
          <w:color w:val="000000"/>
          <w:lang w:eastAsia="es-MX"/>
        </w:rPr>
        <w:drawing>
          <wp:inline distT="0" distB="0" distL="0" distR="0" wp14:anchorId="37A121CC" wp14:editId="3B9A638E">
            <wp:extent cx="5791835" cy="565785"/>
            <wp:effectExtent l="0" t="0" r="0" b="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791835" cy="565785"/>
                    </a:xfrm>
                    <a:prstGeom prst="rect">
                      <a:avLst/>
                    </a:prstGeom>
                    <a:ln/>
                  </pic:spPr>
                </pic:pic>
              </a:graphicData>
            </a:graphic>
          </wp:inline>
        </w:drawing>
      </w:r>
    </w:p>
    <w:p w14:paraId="06841BAF" w14:textId="77777777" w:rsidR="00442EBB" w:rsidRPr="003C2E92" w:rsidRDefault="00442EBB">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14:paraId="1526ABF1" w14:textId="77777777" w:rsidR="00442EBB" w:rsidRPr="003C2E92" w:rsidRDefault="00D31B5B">
      <w:pPr>
        <w:spacing w:line="360" w:lineRule="auto"/>
        <w:jc w:val="both"/>
      </w:pPr>
      <w:r w:rsidRPr="003C2E92">
        <w:rPr>
          <w:rFonts w:ascii="Palatino Linotype" w:eastAsia="Palatino Linotype" w:hAnsi="Palatino Linotype" w:cs="Palatino Linotype"/>
          <w:b/>
          <w:color w:val="000000"/>
          <w:sz w:val="28"/>
          <w:szCs w:val="28"/>
        </w:rPr>
        <w:t xml:space="preserve">III. </w:t>
      </w:r>
      <w:r w:rsidRPr="003C2E92">
        <w:rPr>
          <w:rFonts w:ascii="Palatino Linotype" w:eastAsia="Palatino Linotype" w:hAnsi="Palatino Linotype" w:cs="Palatino Linotype"/>
        </w:rPr>
        <w:t xml:space="preserve">De las constancias que obran en </w:t>
      </w:r>
      <w:r w:rsidRPr="003C2E92">
        <w:rPr>
          <w:rFonts w:ascii="Palatino Linotype" w:eastAsia="Palatino Linotype" w:hAnsi="Palatino Linotype" w:cs="Palatino Linotype"/>
          <w:b/>
        </w:rPr>
        <w:t>EL SAIMEX,</w:t>
      </w:r>
      <w:r w:rsidRPr="003C2E92">
        <w:rPr>
          <w:rFonts w:ascii="Palatino Linotype" w:eastAsia="Palatino Linotype" w:hAnsi="Palatino Linotype" w:cs="Palatino Linotype"/>
        </w:rPr>
        <w:t xml:space="preserve"> se advierte que en fecha veinticuatro de agosto de dos mil veintiuno, la Titular de la Unidad de Transparencia notificó la aprobación de la prórroga de siete días hábiles solicitada por el</w:t>
      </w:r>
      <w:r w:rsidRPr="003C2E92">
        <w:rPr>
          <w:rFonts w:ascii="Palatino Linotype" w:eastAsia="Palatino Linotype" w:hAnsi="Palatino Linotype" w:cs="Palatino Linotype"/>
          <w:b/>
        </w:rPr>
        <w:t xml:space="preserve"> SUJETO OBLIGADO </w:t>
      </w:r>
      <w:r w:rsidRPr="003C2E92">
        <w:rPr>
          <w:rFonts w:ascii="Palatino Linotype" w:eastAsia="Palatino Linotype" w:hAnsi="Palatino Linotype" w:cs="Palatino Linotype"/>
        </w:rPr>
        <w:t xml:space="preserve">acompañada del Acuerdo del Comité de Transparencia y el Acta de la Sesión Quincuagésima Sexta Sesión Extraordinaria, mediante la cual se aprueba la ampliación del plazo, de acuerdo con lo establecido en los artículos 49 y 163 de la Ley de Transparencia y Acceso a la Información Pública del Estado de México y Municipios </w:t>
      </w:r>
    </w:p>
    <w:p w14:paraId="079F0C34" w14:textId="77777777" w:rsidR="00442EBB" w:rsidRPr="003C2E92" w:rsidRDefault="00442EBB">
      <w:pPr>
        <w:spacing w:line="360" w:lineRule="auto"/>
        <w:jc w:val="both"/>
        <w:rPr>
          <w:rFonts w:ascii="Palatino Linotype" w:eastAsia="Palatino Linotype" w:hAnsi="Palatino Linotype" w:cs="Palatino Linotype"/>
        </w:rPr>
      </w:pPr>
    </w:p>
    <w:p w14:paraId="7BA3DD96" w14:textId="77777777" w:rsidR="00442EBB" w:rsidRPr="003C2E92" w:rsidRDefault="00D31B5B">
      <w:pPr>
        <w:spacing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b/>
          <w:color w:val="000000"/>
          <w:sz w:val="28"/>
          <w:szCs w:val="28"/>
        </w:rPr>
        <w:t xml:space="preserve">IV. </w:t>
      </w:r>
      <w:r w:rsidRPr="003C2E92">
        <w:rPr>
          <w:rFonts w:ascii="Palatino Linotype" w:eastAsia="Palatino Linotype" w:hAnsi="Palatino Linotype" w:cs="Palatino Linotype"/>
        </w:rPr>
        <w:t xml:space="preserve">Posteriormente, el tres de septiembre de dos mil veintiuno el </w:t>
      </w:r>
      <w:r w:rsidRPr="003C2E92">
        <w:rPr>
          <w:rFonts w:ascii="Palatino Linotype" w:eastAsia="Palatino Linotype" w:hAnsi="Palatino Linotype" w:cs="Palatino Linotype"/>
          <w:b/>
        </w:rPr>
        <w:t>SUJETO OBLIGADO</w:t>
      </w:r>
      <w:r w:rsidRPr="003C2E92">
        <w:rPr>
          <w:rFonts w:ascii="Palatino Linotype" w:eastAsia="Palatino Linotype" w:hAnsi="Palatino Linotype" w:cs="Palatino Linotype"/>
        </w:rPr>
        <w:t xml:space="preserve"> dio respuesta a la solicitud de información, refiriendo que con fundamento en el artículo 158 de la Ley de Transparencia y Acceso a la Información Pública del Estado de México y Municipios, la entrega de la información solicitada por </w:t>
      </w:r>
      <w:r w:rsidRPr="003C2E92">
        <w:rPr>
          <w:rFonts w:ascii="Palatino Linotype" w:eastAsia="Palatino Linotype" w:hAnsi="Palatino Linotype" w:cs="Palatino Linotype"/>
          <w:b/>
        </w:rPr>
        <w:t>EL RECURRENTE</w:t>
      </w:r>
      <w:r w:rsidRPr="003C2E92">
        <w:rPr>
          <w:rFonts w:ascii="Palatino Linotype" w:eastAsia="Palatino Linotype" w:hAnsi="Palatino Linotype" w:cs="Palatino Linotype"/>
        </w:rPr>
        <w:t xml:space="preserve">  sobrepasaba sus capacidades técnicas, administrativas y humanas; derivado de que la misma requiere realizar una serie de procedimientos como el procesamientos, análisis, estudio y verificación para evaluar si esta se encuentra en los supuestos de clasificación de reserva o confidencial, asimismo le precisó que se pondría a su disposición de manera física en las oficinas de la Unidad de Transparencia, </w:t>
      </w:r>
      <w:r w:rsidRPr="003C2E92">
        <w:rPr>
          <w:rFonts w:ascii="Palatino Linotype" w:eastAsia="Palatino Linotype" w:hAnsi="Palatino Linotype" w:cs="Palatino Linotype"/>
        </w:rPr>
        <w:lastRenderedPageBreak/>
        <w:t>indicándole el horario de atención, la ubicación, el nombre del servidor (a) público que lo atendería y el periodo de tiempo en el cual estaría disponible la información para su consulta.</w:t>
      </w:r>
    </w:p>
    <w:p w14:paraId="5878B442" w14:textId="77777777" w:rsidR="00442EBB" w:rsidRPr="003C2E92" w:rsidRDefault="00442EBB">
      <w:pPr>
        <w:spacing w:line="360" w:lineRule="auto"/>
        <w:jc w:val="both"/>
        <w:rPr>
          <w:rFonts w:ascii="Palatino Linotype" w:eastAsia="Palatino Linotype" w:hAnsi="Palatino Linotype" w:cs="Palatino Linotype"/>
        </w:rPr>
      </w:pPr>
    </w:p>
    <w:p w14:paraId="29A8300E" w14:textId="77777777" w:rsidR="00442EBB" w:rsidRPr="003C2E92" w:rsidRDefault="00D31B5B">
      <w:pPr>
        <w:spacing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Adjuntando a la misma el archivo denominado “</w:t>
      </w:r>
      <w:r w:rsidRPr="003C2E92">
        <w:rPr>
          <w:rFonts w:ascii="Palatino Linotype" w:eastAsia="Palatino Linotype" w:hAnsi="Palatino Linotype" w:cs="Palatino Linotype"/>
          <w:i/>
        </w:rPr>
        <w:t>Acta LVIII SE.pdf”</w:t>
      </w:r>
      <w:r w:rsidRPr="003C2E92">
        <w:rPr>
          <w:rFonts w:ascii="Palatino Linotype" w:eastAsia="Palatino Linotype" w:hAnsi="Palatino Linotype" w:cs="Palatino Linotype"/>
        </w:rPr>
        <w:t xml:space="preserve"> mismo que contiene el Acta de la Quincuagésima Octava Sesión del Comité de Transparencia, mediante la cual se aprueba el cambio de modalidad </w:t>
      </w:r>
    </w:p>
    <w:p w14:paraId="34484807" w14:textId="77777777" w:rsidR="00442EBB" w:rsidRPr="003C2E92" w:rsidRDefault="00442EBB">
      <w:pPr>
        <w:spacing w:line="360" w:lineRule="auto"/>
        <w:jc w:val="both"/>
        <w:rPr>
          <w:rFonts w:ascii="Palatino Linotype" w:eastAsia="Palatino Linotype" w:hAnsi="Palatino Linotype" w:cs="Palatino Linotype"/>
        </w:rPr>
      </w:pPr>
    </w:p>
    <w:p w14:paraId="53FFFE32" w14:textId="77777777" w:rsidR="00442EBB" w:rsidRPr="003C2E92" w:rsidRDefault="00D31B5B">
      <w:pPr>
        <w:spacing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b/>
          <w:color w:val="000000"/>
          <w:sz w:val="28"/>
          <w:szCs w:val="28"/>
        </w:rPr>
        <w:t xml:space="preserve">V. </w:t>
      </w:r>
      <w:r w:rsidRPr="003C2E92">
        <w:rPr>
          <w:rFonts w:ascii="Palatino Linotype" w:eastAsia="Palatino Linotype" w:hAnsi="Palatino Linotype" w:cs="Palatino Linotype"/>
        </w:rPr>
        <w:t xml:space="preserve">Inconforme con la respuesta, en fecha seis de septiembre de dos mil veintiuno </w:t>
      </w:r>
      <w:r w:rsidRPr="003C2E92">
        <w:rPr>
          <w:rFonts w:ascii="Palatino Linotype" w:eastAsia="Palatino Linotype" w:hAnsi="Palatino Linotype" w:cs="Palatino Linotype"/>
          <w:b/>
        </w:rPr>
        <w:t>EL RECURRENTE</w:t>
      </w:r>
      <w:r w:rsidRPr="003C2E92">
        <w:rPr>
          <w:rFonts w:ascii="Palatino Linotype" w:eastAsia="Palatino Linotype" w:hAnsi="Palatino Linotype" w:cs="Palatino Linotype"/>
        </w:rPr>
        <w:t xml:space="preserve"> a través del</w:t>
      </w:r>
      <w:r w:rsidRPr="003C2E92">
        <w:rPr>
          <w:rFonts w:ascii="Palatino Linotype" w:eastAsia="Palatino Linotype" w:hAnsi="Palatino Linotype" w:cs="Palatino Linotype"/>
          <w:b/>
        </w:rPr>
        <w:t xml:space="preserve"> SAIMEX, </w:t>
      </w:r>
      <w:r w:rsidRPr="003C2E92">
        <w:rPr>
          <w:rFonts w:ascii="Palatino Linotype" w:eastAsia="Palatino Linotype" w:hAnsi="Palatino Linotype" w:cs="Palatino Linotype"/>
        </w:rPr>
        <w:t>interpuso el recurso de revisión objeto del presente estudio, en el que señaló como acto impugnado, lo siguiente:</w:t>
      </w:r>
    </w:p>
    <w:p w14:paraId="1EC7B336" w14:textId="77777777" w:rsidR="00442EBB" w:rsidRPr="003C2E92" w:rsidRDefault="00D31B5B">
      <w:pPr>
        <w:spacing w:line="360" w:lineRule="auto"/>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 xml:space="preserve">“La modalidad de entrega se </w:t>
      </w:r>
      <w:proofErr w:type="spellStart"/>
      <w:r w:rsidRPr="003C2E92">
        <w:rPr>
          <w:rFonts w:ascii="Palatino Linotype" w:eastAsia="Palatino Linotype" w:hAnsi="Palatino Linotype" w:cs="Palatino Linotype"/>
          <w:i/>
          <w:sz w:val="22"/>
          <w:szCs w:val="22"/>
        </w:rPr>
        <w:t>detallo</w:t>
      </w:r>
      <w:proofErr w:type="spellEnd"/>
      <w:r w:rsidRPr="003C2E92">
        <w:rPr>
          <w:rFonts w:ascii="Palatino Linotype" w:eastAsia="Palatino Linotype" w:hAnsi="Palatino Linotype" w:cs="Palatino Linotype"/>
          <w:i/>
          <w:sz w:val="22"/>
          <w:szCs w:val="22"/>
        </w:rPr>
        <w:t xml:space="preserve"> desde la propia solicitud de información.” (Sic)</w:t>
      </w:r>
    </w:p>
    <w:p w14:paraId="6E32D96F"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Asimismo, indicó como razones o motivos de inconformidad en todos los medios de impugnación:</w:t>
      </w:r>
    </w:p>
    <w:p w14:paraId="2FCC67B8"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 xml:space="preserve">“Pretenden cambiar unilateralmente la modalidad de entrega, cuando ya </w:t>
      </w:r>
      <w:proofErr w:type="spellStart"/>
      <w:r w:rsidRPr="003C2E92">
        <w:rPr>
          <w:rFonts w:ascii="Palatino Linotype" w:eastAsia="Palatino Linotype" w:hAnsi="Palatino Linotype" w:cs="Palatino Linotype"/>
          <w:i/>
          <w:sz w:val="22"/>
          <w:szCs w:val="22"/>
        </w:rPr>
        <w:t>esta</w:t>
      </w:r>
      <w:proofErr w:type="spellEnd"/>
      <w:r w:rsidRPr="003C2E92">
        <w:rPr>
          <w:rFonts w:ascii="Palatino Linotype" w:eastAsia="Palatino Linotype" w:hAnsi="Palatino Linotype" w:cs="Palatino Linotype"/>
          <w:i/>
          <w:sz w:val="22"/>
          <w:szCs w:val="22"/>
        </w:rPr>
        <w:t xml:space="preserve"> identificada, </w:t>
      </w:r>
      <w:proofErr w:type="spellStart"/>
      <w:r w:rsidRPr="003C2E92">
        <w:rPr>
          <w:rFonts w:ascii="Palatino Linotype" w:eastAsia="Palatino Linotype" w:hAnsi="Palatino Linotype" w:cs="Palatino Linotype"/>
          <w:i/>
          <w:sz w:val="22"/>
          <w:szCs w:val="22"/>
        </w:rPr>
        <w:t>ademas</w:t>
      </w:r>
      <w:proofErr w:type="spellEnd"/>
      <w:r w:rsidRPr="003C2E92">
        <w:rPr>
          <w:rFonts w:ascii="Palatino Linotype" w:eastAsia="Palatino Linotype" w:hAnsi="Palatino Linotype" w:cs="Palatino Linotype"/>
          <w:i/>
          <w:sz w:val="22"/>
          <w:szCs w:val="22"/>
        </w:rPr>
        <w:t xml:space="preserve"> de que menciona que mediante oficios </w:t>
      </w:r>
      <w:proofErr w:type="spellStart"/>
      <w:r w:rsidRPr="003C2E92">
        <w:rPr>
          <w:rFonts w:ascii="Palatino Linotype" w:eastAsia="Palatino Linotype" w:hAnsi="Palatino Linotype" w:cs="Palatino Linotype"/>
          <w:i/>
          <w:sz w:val="22"/>
          <w:szCs w:val="22"/>
        </w:rPr>
        <w:t>numeros</w:t>
      </w:r>
      <w:proofErr w:type="spellEnd"/>
      <w:r w:rsidRPr="003C2E92">
        <w:rPr>
          <w:rFonts w:ascii="Palatino Linotype" w:eastAsia="Palatino Linotype" w:hAnsi="Palatino Linotype" w:cs="Palatino Linotype"/>
          <w:i/>
          <w:sz w:val="22"/>
          <w:szCs w:val="22"/>
        </w:rPr>
        <w:t xml:space="preserve"> tales las </w:t>
      </w:r>
      <w:proofErr w:type="spellStart"/>
      <w:r w:rsidRPr="003C2E92">
        <w:rPr>
          <w:rFonts w:ascii="Palatino Linotype" w:eastAsia="Palatino Linotype" w:hAnsi="Palatino Linotype" w:cs="Palatino Linotype"/>
          <w:i/>
          <w:sz w:val="22"/>
          <w:szCs w:val="22"/>
        </w:rPr>
        <w:t>areas</w:t>
      </w:r>
      <w:proofErr w:type="spellEnd"/>
      <w:r w:rsidRPr="003C2E92">
        <w:rPr>
          <w:rFonts w:ascii="Palatino Linotype" w:eastAsia="Palatino Linotype" w:hAnsi="Palatino Linotype" w:cs="Palatino Linotype"/>
          <w:i/>
          <w:sz w:val="22"/>
          <w:szCs w:val="22"/>
        </w:rPr>
        <w:t xml:space="preserve"> cambian, y no los adjunta en la propia respuesta, muy convenientemente. No se observa un caso excepcional para cambar la modalidad.”(Sic)</w:t>
      </w:r>
    </w:p>
    <w:p w14:paraId="4FB3C300" w14:textId="77777777" w:rsidR="00442EBB" w:rsidRPr="003C2E92" w:rsidRDefault="00D31B5B">
      <w:pPr>
        <w:pBdr>
          <w:top w:val="nil"/>
          <w:left w:val="nil"/>
          <w:bottom w:val="nil"/>
          <w:right w:val="nil"/>
          <w:between w:val="nil"/>
        </w:pBdr>
        <w:spacing w:before="280" w:after="280" w:line="360" w:lineRule="auto"/>
        <w:ind w:right="51"/>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b/>
          <w:color w:val="000000"/>
          <w:sz w:val="28"/>
          <w:szCs w:val="28"/>
        </w:rPr>
        <w:t xml:space="preserve">VI. </w:t>
      </w:r>
      <w:r w:rsidRPr="003C2E92">
        <w:rPr>
          <w:rFonts w:ascii="Palatino Linotype" w:eastAsia="Palatino Linotype" w:hAnsi="Palatino Linotype" w:cs="Palatino Linotype"/>
          <w:color w:val="000000"/>
        </w:rPr>
        <w:t xml:space="preserve">En fecha seis de septiembre de dos mil veintiuno,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3C2E92">
        <w:rPr>
          <w:rFonts w:ascii="Palatino Linotype" w:eastAsia="Palatino Linotype" w:hAnsi="Palatino Linotype" w:cs="Palatino Linotype"/>
          <w:b/>
          <w:color w:val="000000"/>
        </w:rPr>
        <w:lastRenderedPageBreak/>
        <w:t>SAIMEX</w:t>
      </w:r>
      <w:r w:rsidRPr="003C2E92">
        <w:rPr>
          <w:rFonts w:ascii="Palatino Linotype" w:eastAsia="Palatino Linotype" w:hAnsi="Palatino Linotype" w:cs="Palatino Linotype"/>
          <w:color w:val="000000"/>
        </w:rPr>
        <w:t xml:space="preserve">, a la Comisionada </w:t>
      </w:r>
      <w:r w:rsidRPr="003C2E92">
        <w:rPr>
          <w:rFonts w:ascii="Palatino Linotype" w:eastAsia="Palatino Linotype" w:hAnsi="Palatino Linotype" w:cs="Palatino Linotype"/>
          <w:b/>
          <w:color w:val="000000"/>
        </w:rPr>
        <w:t xml:space="preserve">Sharon Cristina Morales Martínez, </w:t>
      </w:r>
      <w:r w:rsidRPr="003C2E92">
        <w:rPr>
          <w:rFonts w:ascii="Palatino Linotype" w:eastAsia="Palatino Linotype" w:hAnsi="Palatino Linotype" w:cs="Palatino Linotype"/>
          <w:color w:val="000000"/>
        </w:rPr>
        <w:t xml:space="preserve">a efecto de que decretara su admisión o </w:t>
      </w:r>
      <w:proofErr w:type="spellStart"/>
      <w:r w:rsidRPr="003C2E92">
        <w:rPr>
          <w:rFonts w:ascii="Palatino Linotype" w:eastAsia="Palatino Linotype" w:hAnsi="Palatino Linotype" w:cs="Palatino Linotype"/>
          <w:color w:val="000000"/>
        </w:rPr>
        <w:t>desechamiento</w:t>
      </w:r>
      <w:proofErr w:type="spellEnd"/>
      <w:r w:rsidRPr="003C2E92">
        <w:rPr>
          <w:rFonts w:ascii="Palatino Linotype" w:eastAsia="Palatino Linotype" w:hAnsi="Palatino Linotype" w:cs="Palatino Linotype"/>
          <w:color w:val="000000"/>
        </w:rPr>
        <w:t>.</w:t>
      </w:r>
    </w:p>
    <w:p w14:paraId="3E4CC9F1" w14:textId="77777777" w:rsidR="00442EBB" w:rsidRPr="003C2E92" w:rsidRDefault="00D31B5B">
      <w:pPr>
        <w:pBdr>
          <w:top w:val="nil"/>
          <w:left w:val="nil"/>
          <w:bottom w:val="nil"/>
          <w:right w:val="nil"/>
          <w:between w:val="nil"/>
        </w:pBdr>
        <w:tabs>
          <w:tab w:val="center" w:pos="4252"/>
          <w:tab w:val="right" w:pos="8504"/>
        </w:tabs>
        <w:spacing w:before="280" w:after="28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b/>
          <w:color w:val="000000"/>
          <w:sz w:val="28"/>
          <w:szCs w:val="28"/>
        </w:rPr>
        <w:t xml:space="preserve">VII. </w:t>
      </w:r>
      <w:r w:rsidRPr="003C2E92">
        <w:rPr>
          <w:rFonts w:ascii="Palatino Linotype" w:eastAsia="Palatino Linotype" w:hAnsi="Palatino Linotype" w:cs="Palatino Linotype"/>
          <w:color w:val="000000"/>
        </w:rPr>
        <w:t xml:space="preserve">En fecha nueve de septiembre de dos mil veintiuno, atento a lo dispuesto en el artículo 185, fracciones I, II y IV, de la Ley de Transparencia y Acceso a la Información Pública del Estado de México y Municipios, se acordó la admisión a trámite del referido recurso de revisión, así como la integración del expediente respectivo, mismo que se puso a disposición de las partes, para que en el plazo máximo de siete días hábiles,  </w:t>
      </w:r>
      <w:r w:rsidRPr="003C2E92">
        <w:rPr>
          <w:rFonts w:ascii="Palatino Linotype" w:eastAsia="Palatino Linotype" w:hAnsi="Palatino Linotype" w:cs="Palatino Linotype"/>
          <w:b/>
          <w:color w:val="000000"/>
        </w:rPr>
        <w:t>EL RECURRENTE</w:t>
      </w:r>
      <w:r w:rsidRPr="003C2E92">
        <w:rPr>
          <w:rFonts w:ascii="Palatino Linotype" w:eastAsia="Palatino Linotype" w:hAnsi="Palatino Linotype" w:cs="Palatino Linotype"/>
          <w:color w:val="000000"/>
        </w:rPr>
        <w:t xml:space="preserve"> realizara manifestaciones, alegatos y ofreciera las pruebas que a su derecho conviniera y, en el caso del</w:t>
      </w:r>
      <w:r w:rsidRPr="003C2E92">
        <w:rPr>
          <w:rFonts w:ascii="Palatino Linotype" w:eastAsia="Palatino Linotype" w:hAnsi="Palatino Linotype" w:cs="Palatino Linotype"/>
          <w:b/>
          <w:color w:val="000000"/>
        </w:rPr>
        <w:t xml:space="preserve"> SUJETO OBLIGADO</w:t>
      </w:r>
      <w:r w:rsidRPr="003C2E92">
        <w:rPr>
          <w:rFonts w:ascii="Palatino Linotype" w:eastAsia="Palatino Linotype" w:hAnsi="Palatino Linotype" w:cs="Palatino Linotype"/>
          <w:color w:val="000000"/>
        </w:rPr>
        <w:t>, para que exhibiera el Informe Justificado correspondiente.</w:t>
      </w:r>
    </w:p>
    <w:p w14:paraId="22EBEE75"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b/>
          <w:color w:val="000000"/>
          <w:sz w:val="28"/>
          <w:szCs w:val="28"/>
        </w:rPr>
        <w:t xml:space="preserve">VIII. </w:t>
      </w:r>
      <w:r w:rsidRPr="003C2E92">
        <w:rPr>
          <w:rFonts w:ascii="Palatino Linotype" w:eastAsia="Palatino Linotype" w:hAnsi="Palatino Linotype" w:cs="Palatino Linotype"/>
        </w:rPr>
        <w:t xml:space="preserve">De las constancias que obran en el </w:t>
      </w:r>
      <w:r w:rsidRPr="003C2E92">
        <w:rPr>
          <w:rFonts w:ascii="Palatino Linotype" w:eastAsia="Palatino Linotype" w:hAnsi="Palatino Linotype" w:cs="Palatino Linotype"/>
          <w:b/>
        </w:rPr>
        <w:t>SAIMEX</w:t>
      </w:r>
      <w:r w:rsidRPr="003C2E92">
        <w:rPr>
          <w:rFonts w:ascii="Palatino Linotype" w:eastAsia="Palatino Linotype" w:hAnsi="Palatino Linotype" w:cs="Palatino Linotype"/>
        </w:rPr>
        <w:t xml:space="preserve">, se advierte que </w:t>
      </w:r>
      <w:r w:rsidRPr="003C2E92">
        <w:rPr>
          <w:rFonts w:ascii="Palatino Linotype" w:eastAsia="Palatino Linotype" w:hAnsi="Palatino Linotype" w:cs="Palatino Linotype"/>
          <w:b/>
        </w:rPr>
        <w:t xml:space="preserve">EL RECURRENTE </w:t>
      </w:r>
      <w:r w:rsidRPr="003C2E92">
        <w:rPr>
          <w:rFonts w:ascii="Palatino Linotype" w:eastAsia="Palatino Linotype" w:hAnsi="Palatino Linotype" w:cs="Palatino Linotype"/>
        </w:rPr>
        <w:t xml:space="preserve">no presentó manifestaciones y alegatos, ni ofreció los medios de prueba que a su derecho convinieran. </w:t>
      </w:r>
    </w:p>
    <w:p w14:paraId="5027B20E"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Por su parte, </w:t>
      </w:r>
      <w:r w:rsidRPr="003C2E92">
        <w:rPr>
          <w:rFonts w:ascii="Palatino Linotype" w:eastAsia="Palatino Linotype" w:hAnsi="Palatino Linotype" w:cs="Palatino Linotype"/>
          <w:b/>
        </w:rPr>
        <w:t>EL SUJETO OBLIGADO</w:t>
      </w:r>
      <w:r w:rsidRPr="003C2E92">
        <w:rPr>
          <w:rFonts w:ascii="Palatino Linotype" w:eastAsia="Palatino Linotype" w:hAnsi="Palatino Linotype" w:cs="Palatino Linotype"/>
        </w:rPr>
        <w:t xml:space="preserve"> en fecha veintiuno de septiembre de dos mil veintiuno, rindió el Informe Justificado correspondiente en relación a los asuntos en estudio, mediante el cual ratifica su respuesta. </w:t>
      </w:r>
    </w:p>
    <w:p w14:paraId="1DE69BBA" w14:textId="77777777" w:rsidR="00442EBB" w:rsidRPr="003C2E92" w:rsidRDefault="00D31B5B">
      <w:pPr>
        <w:spacing w:before="280" w:after="28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b/>
          <w:color w:val="000000"/>
          <w:sz w:val="28"/>
          <w:szCs w:val="28"/>
        </w:rPr>
        <w:t xml:space="preserve">IX. </w:t>
      </w:r>
      <w:r w:rsidRPr="003C2E92">
        <w:rPr>
          <w:rFonts w:ascii="Palatino Linotype" w:eastAsia="Palatino Linotype" w:hAnsi="Palatino Linotype" w:cs="Palatino Linotype"/>
        </w:rPr>
        <w:t xml:space="preserve">Una vez </w:t>
      </w:r>
      <w:r w:rsidRPr="003C2E92">
        <w:rPr>
          <w:rFonts w:ascii="Palatino Linotype" w:eastAsia="Palatino Linotype" w:hAnsi="Palatino Linotype" w:cs="Palatino Linotype"/>
          <w:color w:val="000000"/>
        </w:rPr>
        <w:t>analizado</w:t>
      </w:r>
      <w:r w:rsidRPr="003C2E92">
        <w:rPr>
          <w:rFonts w:ascii="Palatino Linotype" w:eastAsia="Palatino Linotype" w:hAnsi="Palatino Linotype" w:cs="Palatino Linotype"/>
        </w:rPr>
        <w:t xml:space="preserve"> el estado procesal que guardaban los expedientes, en fecha veinticuatro de septiembre de dos mil veintiuno, se acordó el cierre de instrucción; así como, la remisión del mismo para efectos de ser resuelto, de conformidad con lo establecido en el artículo 185, fracciones VI y VIII de la Ley de Transparencia y Acceso a la Información Pública del Estado de México y Municipios</w:t>
      </w:r>
      <w:r w:rsidRPr="003C2E92">
        <w:rPr>
          <w:rFonts w:ascii="Palatino Linotype" w:eastAsia="Palatino Linotype" w:hAnsi="Palatino Linotype" w:cs="Palatino Linotype"/>
          <w:color w:val="000000"/>
        </w:rPr>
        <w:t xml:space="preserve">; </w:t>
      </w:r>
    </w:p>
    <w:p w14:paraId="32F103D7" w14:textId="77777777" w:rsidR="00442EBB" w:rsidRPr="003C2E92" w:rsidRDefault="00D31B5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b/>
          <w:color w:val="000000"/>
          <w:sz w:val="28"/>
          <w:szCs w:val="28"/>
        </w:rPr>
        <w:lastRenderedPageBreak/>
        <w:t xml:space="preserve">X. </w:t>
      </w:r>
      <w:r w:rsidRPr="003C2E92">
        <w:rPr>
          <w:rFonts w:ascii="Palatino Linotype" w:eastAsia="Palatino Linotype" w:hAnsi="Palatino Linotype" w:cs="Palatino Linotype"/>
          <w:color w:val="000000"/>
        </w:rPr>
        <w:t>En fecha veintidós de octubre de dos mil veintiuno, se notificó el acuerdo de ampliación de plazo para resolver el presente Recurso de Revisión, previsto en el artículo 181, tercer párrafo de la Ley de Transparencia y Acceso a la Información Pública del Estado de México y Municipios; y,</w:t>
      </w:r>
    </w:p>
    <w:p w14:paraId="632D1DB4" w14:textId="77777777" w:rsidR="00442EBB" w:rsidRPr="003C2E92" w:rsidRDefault="00D31B5B">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color w:val="000000"/>
          <w:sz w:val="28"/>
          <w:szCs w:val="28"/>
        </w:rPr>
      </w:pPr>
      <w:r w:rsidRPr="003C2E92">
        <w:rPr>
          <w:rFonts w:ascii="Palatino Linotype" w:eastAsia="Palatino Linotype" w:hAnsi="Palatino Linotype" w:cs="Palatino Linotype"/>
          <w:b/>
          <w:color w:val="000000"/>
          <w:sz w:val="28"/>
          <w:szCs w:val="28"/>
        </w:rPr>
        <w:t>CONSIDERANDO</w:t>
      </w:r>
    </w:p>
    <w:p w14:paraId="54D970FC" w14:textId="77777777" w:rsidR="00442EBB" w:rsidRPr="003C2E92" w:rsidRDefault="00D31B5B">
      <w:pPr>
        <w:widowControl w:val="0"/>
        <w:pBdr>
          <w:top w:val="nil"/>
          <w:left w:val="nil"/>
          <w:bottom w:val="nil"/>
          <w:right w:val="nil"/>
          <w:between w:val="nil"/>
        </w:pBdr>
        <w:tabs>
          <w:tab w:val="left" w:pos="1701"/>
          <w:tab w:val="left" w:pos="1843"/>
        </w:tabs>
        <w:spacing w:before="280" w:after="28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b/>
          <w:color w:val="000000"/>
          <w:sz w:val="28"/>
          <w:szCs w:val="28"/>
        </w:rPr>
        <w:t>PRIMERO</w:t>
      </w:r>
      <w:r w:rsidRPr="003C2E92">
        <w:rPr>
          <w:rFonts w:ascii="Palatino Linotype" w:eastAsia="Palatino Linotype" w:hAnsi="Palatino Linotype" w:cs="Palatino Linotype"/>
          <w:b/>
          <w:color w:val="000000"/>
        </w:rPr>
        <w:t>. Competencia</w:t>
      </w:r>
      <w:r w:rsidRPr="003C2E92">
        <w:rPr>
          <w:rFonts w:ascii="Palatino Linotype" w:eastAsia="Palatino Linotype" w:hAnsi="Palatino Linotype" w:cs="Palatino Linotype"/>
          <w:color w:val="000000"/>
        </w:rPr>
        <w:t>.</w:t>
      </w:r>
      <w:r w:rsidRPr="003C2E92">
        <w:rPr>
          <w:rFonts w:ascii="Palatino Linotype" w:eastAsia="Palatino Linotype" w:hAnsi="Palatino Linotype" w:cs="Palatino Linotype"/>
          <w:b/>
          <w:color w:val="000000"/>
        </w:rPr>
        <w:t xml:space="preserve"> </w:t>
      </w:r>
      <w:r w:rsidRPr="003C2E92">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trigésimo, trigésimo primero, trigésimo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34D05148" w14:textId="77777777" w:rsidR="00442EBB" w:rsidRPr="003C2E92" w:rsidRDefault="00D31B5B">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r w:rsidRPr="003C2E92">
        <w:rPr>
          <w:rFonts w:ascii="Palatino Linotype" w:eastAsia="Palatino Linotype" w:hAnsi="Palatino Linotype" w:cs="Palatino Linotype"/>
          <w:b/>
          <w:color w:val="000000"/>
          <w:sz w:val="28"/>
          <w:szCs w:val="28"/>
        </w:rPr>
        <w:t>SEGUNDO</w:t>
      </w:r>
      <w:r w:rsidRPr="003C2E92">
        <w:rPr>
          <w:rFonts w:ascii="Palatino Linotype" w:eastAsia="Palatino Linotype" w:hAnsi="Palatino Linotype" w:cs="Palatino Linotype"/>
          <w:b/>
          <w:color w:val="000000"/>
        </w:rPr>
        <w:t xml:space="preserve">. Oportunidad. </w:t>
      </w:r>
      <w:r w:rsidRPr="003C2E92">
        <w:rPr>
          <w:rFonts w:ascii="Palatino Linotype" w:eastAsia="Palatino Linotype" w:hAnsi="Palatino Linotype" w:cs="Palatino Linotype"/>
          <w:color w:val="000000"/>
        </w:rPr>
        <w:t xml:space="preserve">El recurso de revisión fue interpuesto dentro del plazo de quince días hábiles contados a partir del día siguiente al en que </w:t>
      </w:r>
      <w:r w:rsidRPr="003C2E92">
        <w:rPr>
          <w:rFonts w:ascii="Palatino Linotype" w:eastAsia="Palatino Linotype" w:hAnsi="Palatino Linotype" w:cs="Palatino Linotype"/>
          <w:b/>
          <w:color w:val="000000"/>
        </w:rPr>
        <w:t xml:space="preserve">EL RECURRENTE </w:t>
      </w:r>
      <w:r w:rsidRPr="003C2E92">
        <w:rPr>
          <w:rFonts w:ascii="Palatino Linotype" w:eastAsia="Palatino Linotype" w:hAnsi="Palatino Linotype" w:cs="Palatino Linotype"/>
          <w:color w:val="000000"/>
        </w:rPr>
        <w:t xml:space="preserve">tuvo conocimiento de las respuestas impugnadas, tal y como lo prevé el artículo 178 de la Ley de Transparencia y Acceso a la Información Pública del Estado de México y Municipios, que establece: </w:t>
      </w:r>
    </w:p>
    <w:p w14:paraId="36CB19EA" w14:textId="77777777" w:rsidR="00442EBB" w:rsidRPr="003C2E92" w:rsidRDefault="00D31B5B">
      <w:pPr>
        <w:tabs>
          <w:tab w:val="left" w:pos="851"/>
        </w:tabs>
        <w:ind w:left="851" w:right="901"/>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lastRenderedPageBreak/>
        <w:t>“Artículo 178.</w:t>
      </w:r>
      <w:r w:rsidRPr="003C2E92">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8ADE8EC" w14:textId="77777777" w:rsidR="00442EBB" w:rsidRPr="003C2E92" w:rsidRDefault="00442EBB">
      <w:pPr>
        <w:tabs>
          <w:tab w:val="left" w:pos="851"/>
        </w:tabs>
        <w:ind w:left="851" w:right="901"/>
        <w:jc w:val="both"/>
        <w:rPr>
          <w:rFonts w:ascii="Palatino Linotype" w:eastAsia="Palatino Linotype" w:hAnsi="Palatino Linotype" w:cs="Palatino Linotype"/>
          <w:i/>
          <w:sz w:val="22"/>
          <w:szCs w:val="22"/>
        </w:rPr>
      </w:pPr>
    </w:p>
    <w:p w14:paraId="32CD6114" w14:textId="77777777" w:rsidR="00442EBB" w:rsidRPr="003C2E92" w:rsidRDefault="00D31B5B">
      <w:pPr>
        <w:tabs>
          <w:tab w:val="left" w:pos="851"/>
        </w:tabs>
        <w:ind w:left="851" w:right="901"/>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C1210B7" w14:textId="77777777" w:rsidR="00442EBB" w:rsidRPr="003C2E92" w:rsidRDefault="00442EBB">
      <w:pPr>
        <w:tabs>
          <w:tab w:val="left" w:pos="851"/>
        </w:tabs>
        <w:ind w:left="851" w:right="901"/>
        <w:jc w:val="both"/>
        <w:rPr>
          <w:rFonts w:ascii="Palatino Linotype" w:eastAsia="Palatino Linotype" w:hAnsi="Palatino Linotype" w:cs="Palatino Linotype"/>
          <w:i/>
          <w:sz w:val="22"/>
          <w:szCs w:val="22"/>
        </w:rPr>
      </w:pPr>
    </w:p>
    <w:p w14:paraId="2C17E4CB" w14:textId="77777777" w:rsidR="00442EBB" w:rsidRPr="003C2E92" w:rsidRDefault="00D31B5B">
      <w:pPr>
        <w:tabs>
          <w:tab w:val="left" w:pos="851"/>
        </w:tabs>
        <w:ind w:left="851" w:right="901"/>
        <w:jc w:val="both"/>
        <w:rPr>
          <w:rFonts w:ascii="Palatino Linotype" w:eastAsia="Palatino Linotype" w:hAnsi="Palatino Linotype" w:cs="Palatino Linotype"/>
          <w:i/>
        </w:rPr>
      </w:pPr>
      <w:r w:rsidRPr="003C2E92">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r w:rsidRPr="003C2E92">
        <w:rPr>
          <w:rFonts w:ascii="Palatino Linotype" w:eastAsia="Palatino Linotype" w:hAnsi="Palatino Linotype" w:cs="Palatino Linotype"/>
          <w:b/>
          <w:i/>
          <w:sz w:val="22"/>
          <w:szCs w:val="22"/>
        </w:rPr>
        <w:t>”</w:t>
      </w:r>
    </w:p>
    <w:p w14:paraId="2BB10EF2"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En efecto, atendiendo a que </w:t>
      </w:r>
      <w:r w:rsidRPr="003C2E92">
        <w:rPr>
          <w:rFonts w:ascii="Palatino Linotype" w:eastAsia="Palatino Linotype" w:hAnsi="Palatino Linotype" w:cs="Palatino Linotype"/>
          <w:b/>
        </w:rPr>
        <w:t>EL SUJETO OBLIGADO</w:t>
      </w:r>
      <w:r w:rsidRPr="003C2E92">
        <w:rPr>
          <w:rFonts w:ascii="Palatino Linotype" w:eastAsia="Palatino Linotype" w:hAnsi="Palatino Linotype" w:cs="Palatino Linotype"/>
        </w:rPr>
        <w:t xml:space="preserve"> notificó la respuesta a la solicitud de información pública el día </w:t>
      </w:r>
      <w:r w:rsidRPr="003C2E92">
        <w:rPr>
          <w:rFonts w:ascii="Palatino Linotype" w:eastAsia="Palatino Linotype" w:hAnsi="Palatino Linotype" w:cs="Palatino Linotype"/>
          <w:b/>
        </w:rPr>
        <w:t xml:space="preserve">tres de septiembre de dos mil veintiuno, </w:t>
      </w:r>
      <w:r w:rsidRPr="003C2E92">
        <w:rPr>
          <w:rFonts w:ascii="Palatino Linotype" w:eastAsia="Palatino Linotype" w:hAnsi="Palatino Linotype" w:cs="Palatino Linotype"/>
        </w:rPr>
        <w:t xml:space="preserve">en consecuencia, el plazo de quince días hábiles que el artículo 178 de la ley de la materia otorga al </w:t>
      </w:r>
      <w:r w:rsidRPr="003C2E92">
        <w:rPr>
          <w:rFonts w:ascii="Palatino Linotype" w:eastAsia="Palatino Linotype" w:hAnsi="Palatino Linotype" w:cs="Palatino Linotype"/>
          <w:b/>
        </w:rPr>
        <w:t>RECURRENTE</w:t>
      </w:r>
      <w:r w:rsidRPr="003C2E92">
        <w:rPr>
          <w:rFonts w:ascii="Palatino Linotype" w:eastAsia="Palatino Linotype" w:hAnsi="Palatino Linotype" w:cs="Palatino Linotype"/>
        </w:rPr>
        <w:t xml:space="preserve"> para presentar el recurso de revisión, transcurrió del</w:t>
      </w:r>
      <w:r w:rsidRPr="003C2E92">
        <w:rPr>
          <w:rFonts w:ascii="Palatino Linotype" w:eastAsia="Palatino Linotype" w:hAnsi="Palatino Linotype" w:cs="Palatino Linotype"/>
          <w:b/>
        </w:rPr>
        <w:t xml:space="preserve"> seis al veintisiete de septiembre de dos mil veintiuno</w:t>
      </w:r>
      <w:r w:rsidRPr="003C2E92">
        <w:rPr>
          <w:rFonts w:ascii="Palatino Linotype" w:eastAsia="Palatino Linotype" w:hAnsi="Palatino Linotype" w:cs="Palatino Linotype"/>
        </w:rPr>
        <w:t>, sin contemplar en el cómputo los días cuatro, cinco, once, doce, dieciocho, diecinueve, veinticinco y veintiséis de agosto de dos mil veintiuno, por corresponder a sábados y domingos, considerados como días inhábiles, en términos del artículo 3, fracción X de la Ley de Transparencia y Acceso a la Información Pública del Estado de México y Municipios.</w:t>
      </w:r>
    </w:p>
    <w:p w14:paraId="42973387"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En ese tenor, si el recurso que nos ocupa se interpuso el</w:t>
      </w:r>
      <w:r w:rsidRPr="003C2E92">
        <w:rPr>
          <w:rFonts w:ascii="Palatino Linotype" w:eastAsia="Palatino Linotype" w:hAnsi="Palatino Linotype" w:cs="Palatino Linotype"/>
          <w:b/>
        </w:rPr>
        <w:t xml:space="preserve"> seis de septiembre de dos mil veintiuno,</w:t>
      </w:r>
      <w:r w:rsidRPr="003C2E92">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3DA0A52C" w14:textId="77777777" w:rsidR="00442EBB" w:rsidRPr="003C2E92" w:rsidRDefault="00D31B5B">
      <w:pPr>
        <w:pBdr>
          <w:top w:val="nil"/>
          <w:left w:val="nil"/>
          <w:bottom w:val="nil"/>
          <w:right w:val="nil"/>
          <w:between w:val="nil"/>
        </w:pBdr>
        <w:spacing w:line="360" w:lineRule="auto"/>
        <w:jc w:val="both"/>
        <w:rPr>
          <w:rFonts w:ascii="Palatino Linotype" w:eastAsia="Palatino Linotype" w:hAnsi="Palatino Linotype" w:cs="Palatino Linotype"/>
          <w:color w:val="212121"/>
        </w:rPr>
      </w:pPr>
      <w:r w:rsidRPr="003C2E92">
        <w:rPr>
          <w:rFonts w:ascii="Palatino Linotype" w:eastAsia="Palatino Linotype" w:hAnsi="Palatino Linotype" w:cs="Palatino Linotype"/>
          <w:b/>
          <w:color w:val="000000"/>
          <w:sz w:val="28"/>
          <w:szCs w:val="28"/>
        </w:rPr>
        <w:t>CUARTO</w:t>
      </w:r>
      <w:r w:rsidRPr="003C2E92">
        <w:rPr>
          <w:rFonts w:ascii="Palatino Linotype" w:eastAsia="Palatino Linotype" w:hAnsi="Palatino Linotype" w:cs="Palatino Linotype"/>
          <w:b/>
          <w:color w:val="000000"/>
        </w:rPr>
        <w:t xml:space="preserve">. </w:t>
      </w:r>
      <w:proofErr w:type="spellStart"/>
      <w:r w:rsidRPr="003C2E92">
        <w:rPr>
          <w:rFonts w:ascii="Palatino Linotype" w:eastAsia="Palatino Linotype" w:hAnsi="Palatino Linotype" w:cs="Palatino Linotype"/>
          <w:b/>
          <w:color w:val="000000"/>
        </w:rPr>
        <w:t>Procedibilidad</w:t>
      </w:r>
      <w:proofErr w:type="spellEnd"/>
      <w:r w:rsidRPr="003C2E92">
        <w:rPr>
          <w:rFonts w:ascii="Palatino Linotype" w:eastAsia="Palatino Linotype" w:hAnsi="Palatino Linotype" w:cs="Palatino Linotype"/>
          <w:b/>
          <w:color w:val="000000"/>
        </w:rPr>
        <w:t xml:space="preserve">. </w:t>
      </w:r>
      <w:r w:rsidRPr="003C2E92">
        <w:rPr>
          <w:rFonts w:ascii="Palatino Linotype" w:eastAsia="Palatino Linotype" w:hAnsi="Palatino Linotype" w:cs="Palatino Linotype"/>
          <w:color w:val="000000"/>
        </w:rPr>
        <w:t xml:space="preserve">Del análisis efectuado, se advierte que resulta procedente la interposición del recurso y se concluye la acreditación plena de todos y cada uno de </w:t>
      </w:r>
      <w:r w:rsidRPr="003C2E92">
        <w:rPr>
          <w:rFonts w:ascii="Palatino Linotype" w:eastAsia="Palatino Linotype" w:hAnsi="Palatino Linotype" w:cs="Palatino Linotype"/>
          <w:color w:val="000000"/>
        </w:rPr>
        <w:lastRenderedPageBreak/>
        <w:t xml:space="preserve">los elementos formales exigidos por el artículo 180 de la Ley de Transparencia y Acceso a la Información Pública del Estado de México y Municipios, en atención a que fue presentado mediante el formato visible en </w:t>
      </w:r>
      <w:r w:rsidRPr="003C2E92">
        <w:rPr>
          <w:rFonts w:ascii="Palatino Linotype" w:eastAsia="Palatino Linotype" w:hAnsi="Palatino Linotype" w:cs="Palatino Linotype"/>
          <w:b/>
          <w:color w:val="000000"/>
        </w:rPr>
        <w:t>EL SAIMEX.</w:t>
      </w:r>
    </w:p>
    <w:p w14:paraId="56ED6EBC" w14:textId="77777777" w:rsidR="00442EBB" w:rsidRPr="003C2E92" w:rsidRDefault="00D31B5B">
      <w:pPr>
        <w:widowControl w:val="0"/>
        <w:spacing w:before="280" w:after="280" w:line="360" w:lineRule="auto"/>
        <w:jc w:val="both"/>
        <w:rPr>
          <w:rFonts w:ascii="Palatino Linotype" w:eastAsia="Palatino Linotype" w:hAnsi="Palatino Linotype" w:cs="Palatino Linotype"/>
          <w:color w:val="000000"/>
        </w:rPr>
      </w:pPr>
      <w:bookmarkStart w:id="3" w:name="_heading=h.1fob9te" w:colFirst="0" w:colLast="0"/>
      <w:bookmarkEnd w:id="3"/>
      <w:r w:rsidRPr="003C2E92">
        <w:rPr>
          <w:rFonts w:ascii="Palatino Linotype" w:eastAsia="Palatino Linotype" w:hAnsi="Palatino Linotype" w:cs="Palatino Linotype"/>
          <w:b/>
          <w:sz w:val="28"/>
          <w:szCs w:val="28"/>
        </w:rPr>
        <w:t>QUINTO</w:t>
      </w:r>
      <w:r w:rsidRPr="003C2E92">
        <w:rPr>
          <w:rFonts w:ascii="Palatino Linotype" w:eastAsia="Palatino Linotype" w:hAnsi="Palatino Linotype" w:cs="Palatino Linotype"/>
        </w:rPr>
        <w:t xml:space="preserve">. </w:t>
      </w:r>
      <w:r w:rsidRPr="003C2E92">
        <w:rPr>
          <w:rFonts w:ascii="Palatino Linotype" w:eastAsia="Palatino Linotype" w:hAnsi="Palatino Linotype" w:cs="Palatino Linotype"/>
          <w:b/>
        </w:rPr>
        <w:t>Estudio y resolución del recurso</w:t>
      </w:r>
      <w:r w:rsidRPr="003C2E92">
        <w:rPr>
          <w:rFonts w:ascii="Palatino Linotype" w:eastAsia="Palatino Linotype" w:hAnsi="Palatino Linotype" w:cs="Palatino Linotype"/>
          <w:b/>
          <w:color w:val="000000"/>
        </w:rPr>
        <w:t xml:space="preserve">. </w:t>
      </w:r>
      <w:r w:rsidRPr="003C2E92">
        <w:rPr>
          <w:rFonts w:ascii="Palatino Linotype" w:eastAsia="Palatino Linotype" w:hAnsi="Palatino Linotype" w:cs="Palatino Linotype"/>
          <w:color w:val="000000"/>
        </w:rPr>
        <w:t xml:space="preserve">Del estudio previo al expediente respectivo se concluye que el recurso de revisión de que se trata es procedente; toda vez, que se actualiza la hipótesis prevista en la fracción VIII del artículo 179 de la Ley de la materia, que a la letra indica: </w:t>
      </w:r>
    </w:p>
    <w:p w14:paraId="6DBE15C2" w14:textId="77777777" w:rsidR="00442EBB" w:rsidRPr="003C2E92" w:rsidRDefault="00D31B5B">
      <w:pPr>
        <w:ind w:left="850" w:right="901"/>
        <w:jc w:val="both"/>
        <w:rPr>
          <w:rFonts w:ascii="Palatino Linotype" w:eastAsia="Palatino Linotype" w:hAnsi="Palatino Linotype" w:cs="Palatino Linotype"/>
          <w:i/>
          <w:color w:val="000000"/>
          <w:sz w:val="22"/>
          <w:szCs w:val="22"/>
        </w:rPr>
      </w:pPr>
      <w:r w:rsidRPr="003C2E92">
        <w:rPr>
          <w:rFonts w:ascii="Palatino Linotype" w:eastAsia="Palatino Linotype" w:hAnsi="Palatino Linotype" w:cs="Palatino Linotype"/>
          <w:b/>
          <w:i/>
          <w:color w:val="000000"/>
          <w:sz w:val="22"/>
          <w:szCs w:val="22"/>
        </w:rPr>
        <w:t>“Artículo 179.</w:t>
      </w:r>
      <w:r w:rsidRPr="003C2E92">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 </w:t>
      </w:r>
    </w:p>
    <w:p w14:paraId="3055B029" w14:textId="77777777" w:rsidR="00442EBB" w:rsidRPr="003C2E92" w:rsidRDefault="00D31B5B">
      <w:pPr>
        <w:ind w:left="850" w:right="901"/>
        <w:jc w:val="both"/>
        <w:rPr>
          <w:rFonts w:ascii="Palatino Linotype" w:eastAsia="Palatino Linotype" w:hAnsi="Palatino Linotype" w:cs="Palatino Linotype"/>
          <w:b/>
          <w:i/>
          <w:color w:val="000000"/>
          <w:sz w:val="22"/>
          <w:szCs w:val="22"/>
        </w:rPr>
      </w:pPr>
      <w:r w:rsidRPr="003C2E92">
        <w:rPr>
          <w:rFonts w:ascii="Palatino Linotype" w:eastAsia="Palatino Linotype" w:hAnsi="Palatino Linotype" w:cs="Palatino Linotype"/>
          <w:b/>
          <w:i/>
          <w:color w:val="000000"/>
          <w:sz w:val="22"/>
          <w:szCs w:val="22"/>
        </w:rPr>
        <w:t>…</w:t>
      </w:r>
    </w:p>
    <w:p w14:paraId="6253D1F6" w14:textId="77777777" w:rsidR="00442EBB" w:rsidRPr="003C2E92" w:rsidRDefault="00D31B5B">
      <w:pPr>
        <w:ind w:left="850" w:right="901"/>
        <w:jc w:val="both"/>
        <w:rPr>
          <w:rFonts w:ascii="Palatino Linotype" w:eastAsia="Palatino Linotype" w:hAnsi="Palatino Linotype" w:cs="Palatino Linotype"/>
          <w:b/>
          <w:i/>
          <w:color w:val="000000"/>
          <w:sz w:val="22"/>
          <w:szCs w:val="22"/>
        </w:rPr>
      </w:pPr>
      <w:r w:rsidRPr="003C2E92">
        <w:rPr>
          <w:rFonts w:ascii="Palatino Linotype" w:eastAsia="Palatino Linotype" w:hAnsi="Palatino Linotype" w:cs="Palatino Linotype"/>
          <w:b/>
          <w:i/>
          <w:color w:val="000000"/>
          <w:sz w:val="22"/>
          <w:szCs w:val="22"/>
        </w:rPr>
        <w:t xml:space="preserve">VIII. La entrega o puesta a disposición de información en una modalidad o formato distinto al solicitado; </w:t>
      </w:r>
    </w:p>
    <w:p w14:paraId="44AAA5A1" w14:textId="77777777" w:rsidR="00442EBB" w:rsidRPr="003C2E92" w:rsidRDefault="00D31B5B">
      <w:pPr>
        <w:ind w:left="850" w:right="901"/>
        <w:jc w:val="both"/>
        <w:rPr>
          <w:rFonts w:ascii="Palatino Linotype" w:eastAsia="Palatino Linotype" w:hAnsi="Palatino Linotype" w:cs="Palatino Linotype"/>
          <w:b/>
          <w:i/>
          <w:color w:val="000000"/>
          <w:sz w:val="22"/>
          <w:szCs w:val="22"/>
        </w:rPr>
      </w:pPr>
      <w:r w:rsidRPr="003C2E92">
        <w:rPr>
          <w:rFonts w:ascii="Palatino Linotype" w:eastAsia="Palatino Linotype" w:hAnsi="Palatino Linotype" w:cs="Palatino Linotype"/>
          <w:b/>
          <w:i/>
          <w:color w:val="000000"/>
          <w:sz w:val="22"/>
          <w:szCs w:val="22"/>
        </w:rPr>
        <w:t>…”</w:t>
      </w:r>
    </w:p>
    <w:p w14:paraId="61A0F478" w14:textId="77777777" w:rsidR="00442EBB" w:rsidRPr="003C2E92" w:rsidRDefault="00D31B5B">
      <w:pPr>
        <w:ind w:left="850" w:right="901"/>
        <w:jc w:val="both"/>
        <w:rPr>
          <w:rFonts w:ascii="Palatino Linotype" w:eastAsia="Palatino Linotype" w:hAnsi="Palatino Linotype" w:cs="Palatino Linotype"/>
          <w:i/>
          <w:color w:val="000000"/>
          <w:sz w:val="22"/>
          <w:szCs w:val="22"/>
        </w:rPr>
      </w:pPr>
      <w:r w:rsidRPr="003C2E92">
        <w:rPr>
          <w:rFonts w:ascii="Palatino Linotype" w:eastAsia="Palatino Linotype" w:hAnsi="Palatino Linotype" w:cs="Palatino Linotype"/>
          <w:i/>
          <w:color w:val="000000"/>
          <w:sz w:val="22"/>
          <w:szCs w:val="22"/>
        </w:rPr>
        <w:t xml:space="preserve">(Énfasis añadido) </w:t>
      </w:r>
    </w:p>
    <w:p w14:paraId="76CF7768" w14:textId="77777777" w:rsidR="00442EBB" w:rsidRPr="003C2E92" w:rsidRDefault="00D31B5B">
      <w:pPr>
        <w:spacing w:before="280" w:after="28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color w:val="000000"/>
        </w:rPr>
        <w:t xml:space="preserve">El precepto legal antes citado, establece como supuesto de procedencia del recurso de revisión, cuando el </w:t>
      </w:r>
      <w:r w:rsidRPr="003C2E92">
        <w:rPr>
          <w:rFonts w:ascii="Palatino Linotype" w:eastAsia="Palatino Linotype" w:hAnsi="Palatino Linotype" w:cs="Palatino Linotype"/>
          <w:b/>
          <w:color w:val="000000"/>
        </w:rPr>
        <w:t>SUJETO OBLIGADO</w:t>
      </w:r>
      <w:r w:rsidRPr="003C2E92">
        <w:rPr>
          <w:rFonts w:ascii="Palatino Linotype" w:eastAsia="Palatino Linotype" w:hAnsi="Palatino Linotype" w:cs="Palatino Linotype"/>
          <w:color w:val="000000"/>
        </w:rPr>
        <w:t xml:space="preserve">, de manera unilateral pretende la entrega de la información solicitada en una modalidad diversa a la solicitada por el particular; tal y como, se pudo advertir de las constancias que obran en los expedientes electrónicos del </w:t>
      </w:r>
      <w:r w:rsidRPr="003C2E92">
        <w:rPr>
          <w:rFonts w:ascii="Palatino Linotype" w:eastAsia="Palatino Linotype" w:hAnsi="Palatino Linotype" w:cs="Palatino Linotype"/>
          <w:b/>
          <w:color w:val="000000"/>
        </w:rPr>
        <w:t>SAIMEX</w:t>
      </w:r>
      <w:r w:rsidRPr="003C2E92">
        <w:rPr>
          <w:rFonts w:ascii="Palatino Linotype" w:eastAsia="Palatino Linotype" w:hAnsi="Palatino Linotype" w:cs="Palatino Linotype"/>
          <w:color w:val="000000"/>
        </w:rPr>
        <w:t>.</w:t>
      </w:r>
    </w:p>
    <w:p w14:paraId="1024CC7E"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Ante tal circunstancia, es preciso recordar que </w:t>
      </w:r>
      <w:r w:rsidRPr="003C2E92">
        <w:rPr>
          <w:rFonts w:ascii="Palatino Linotype" w:eastAsia="Palatino Linotype" w:hAnsi="Palatino Linotype" w:cs="Palatino Linotype"/>
          <w:b/>
        </w:rPr>
        <w:t>EL RECURRENTE</w:t>
      </w:r>
      <w:r w:rsidRPr="003C2E92">
        <w:rPr>
          <w:rFonts w:ascii="Palatino Linotype" w:eastAsia="Palatino Linotype" w:hAnsi="Palatino Linotype" w:cs="Palatino Linotype"/>
        </w:rPr>
        <w:t xml:space="preserve"> solicitó al </w:t>
      </w:r>
      <w:r w:rsidRPr="003C2E92">
        <w:rPr>
          <w:rFonts w:ascii="Palatino Linotype" w:eastAsia="Palatino Linotype" w:hAnsi="Palatino Linotype" w:cs="Palatino Linotype"/>
          <w:b/>
        </w:rPr>
        <w:t>SUJETO OBLIGADO,</w:t>
      </w:r>
      <w:r w:rsidRPr="003C2E92">
        <w:rPr>
          <w:rFonts w:ascii="Palatino Linotype" w:eastAsia="Palatino Linotype" w:hAnsi="Palatino Linotype" w:cs="Palatino Linotype"/>
        </w:rPr>
        <w:t xml:space="preserve"> lo que a continuación se señala: </w:t>
      </w:r>
    </w:p>
    <w:p w14:paraId="6EC5AD0D" w14:textId="77777777" w:rsidR="00442EBB" w:rsidRPr="003C2E92" w:rsidRDefault="00D31B5B">
      <w:pPr>
        <w:spacing w:before="280" w:after="280"/>
        <w:ind w:left="709"/>
        <w:jc w:val="both"/>
        <w:rPr>
          <w:rFonts w:ascii="Palatino Linotype" w:eastAsia="Palatino Linotype" w:hAnsi="Palatino Linotype" w:cs="Palatino Linotype"/>
          <w:i/>
          <w:sz w:val="40"/>
          <w:szCs w:val="40"/>
        </w:rPr>
      </w:pPr>
      <w:r w:rsidRPr="003C2E92">
        <w:rPr>
          <w:rFonts w:ascii="Palatino Linotype" w:eastAsia="Palatino Linotype" w:hAnsi="Palatino Linotype" w:cs="Palatino Linotype"/>
          <w:i/>
          <w:color w:val="000000"/>
          <w:sz w:val="22"/>
          <w:szCs w:val="22"/>
        </w:rPr>
        <w:t xml:space="preserve">“Se solicita </w:t>
      </w:r>
      <w:proofErr w:type="spellStart"/>
      <w:r w:rsidRPr="003C2E92">
        <w:rPr>
          <w:rFonts w:ascii="Palatino Linotype" w:eastAsia="Palatino Linotype" w:hAnsi="Palatino Linotype" w:cs="Palatino Linotype"/>
          <w:i/>
          <w:color w:val="000000"/>
          <w:sz w:val="22"/>
          <w:szCs w:val="22"/>
        </w:rPr>
        <w:t>via</w:t>
      </w:r>
      <w:proofErr w:type="spellEnd"/>
      <w:r w:rsidRPr="003C2E92">
        <w:rPr>
          <w:rFonts w:ascii="Palatino Linotype" w:eastAsia="Palatino Linotype" w:hAnsi="Palatino Linotype" w:cs="Palatino Linotype"/>
          <w:i/>
          <w:color w:val="000000"/>
          <w:sz w:val="22"/>
          <w:szCs w:val="22"/>
        </w:rPr>
        <w:t xml:space="preserve"> SAIMEX (de forma gratuita) del 2018 a la fecha las minutas o actas del </w:t>
      </w:r>
      <w:proofErr w:type="spellStart"/>
      <w:r w:rsidRPr="003C2E92">
        <w:rPr>
          <w:rFonts w:ascii="Palatino Linotype" w:eastAsia="Palatino Linotype" w:hAnsi="Palatino Linotype" w:cs="Palatino Linotype"/>
          <w:i/>
          <w:color w:val="000000"/>
          <w:sz w:val="22"/>
          <w:szCs w:val="22"/>
        </w:rPr>
        <w:t>Comite</w:t>
      </w:r>
      <w:proofErr w:type="spellEnd"/>
      <w:r w:rsidRPr="003C2E92">
        <w:rPr>
          <w:rFonts w:ascii="Palatino Linotype" w:eastAsia="Palatino Linotype" w:hAnsi="Palatino Linotype" w:cs="Palatino Linotype"/>
          <w:i/>
          <w:color w:val="000000"/>
          <w:sz w:val="22"/>
          <w:szCs w:val="22"/>
        </w:rPr>
        <w:t xml:space="preserve"> de Ética, Comité de Transparencia, Comité de Becas (incluidas el que avala las investigaciones), </w:t>
      </w:r>
      <w:r w:rsidRPr="003C2E92">
        <w:rPr>
          <w:rFonts w:ascii="Palatino Linotype" w:eastAsia="Palatino Linotype" w:hAnsi="Palatino Linotype" w:cs="Palatino Linotype"/>
          <w:i/>
          <w:color w:val="000000"/>
          <w:sz w:val="22"/>
          <w:szCs w:val="22"/>
        </w:rPr>
        <w:lastRenderedPageBreak/>
        <w:t>Comité de Adquisiciones, las del grupo que autoriza el reconocimiento hacendario, Consejo Directivo y de las Reuniones Regionales; todas con los anexos respectivos.”(Sic)</w:t>
      </w:r>
    </w:p>
    <w:p w14:paraId="308CBD2A" w14:textId="77777777" w:rsidR="00442EBB" w:rsidRPr="003C2E92" w:rsidRDefault="00D31B5B">
      <w:pPr>
        <w:spacing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En respuesta </w:t>
      </w:r>
      <w:r w:rsidRPr="003C2E92">
        <w:rPr>
          <w:rFonts w:ascii="Palatino Linotype" w:eastAsia="Palatino Linotype" w:hAnsi="Palatino Linotype" w:cs="Palatino Linotype"/>
          <w:b/>
        </w:rPr>
        <w:t xml:space="preserve">EL SUJETO OBLIGADO </w:t>
      </w:r>
      <w:r w:rsidRPr="003C2E92">
        <w:rPr>
          <w:rFonts w:ascii="Palatino Linotype" w:eastAsia="Palatino Linotype" w:hAnsi="Palatino Linotype" w:cs="Palatino Linotype"/>
        </w:rPr>
        <w:t>informó al solicitante que debido a que la entrega de la información solicitada sobrepasaba sus capacidades técnicas, administrativas y humanas; ya que la información representa un volumen de aproximadamente 7,865 fojas y, derivado de que, es una sola persona quien controla los expedientes en cada una de las áreas la cual requiere hacer un análisis, estudio y procesamiento de la misma, le precisó que pondría a su disposición de manera física en las oficinas de la Unidad de Transparencia, indicándole el horario de atención, la ubicación, el nombre del servidor(a) público que lo atendería y el periodo de tiempo en el cual estaría disponible la información para su consulta.</w:t>
      </w:r>
    </w:p>
    <w:p w14:paraId="2241CE66" w14:textId="77777777" w:rsidR="00442EBB" w:rsidRPr="003C2E92" w:rsidRDefault="00D31B5B">
      <w:pPr>
        <w:spacing w:before="280" w:after="28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color w:val="000000"/>
        </w:rPr>
        <w:t xml:space="preserve">Inconforme con las respuestas proporcionadas </w:t>
      </w:r>
      <w:r w:rsidRPr="003C2E92">
        <w:rPr>
          <w:rFonts w:ascii="Palatino Linotype" w:eastAsia="Palatino Linotype" w:hAnsi="Palatino Linotype" w:cs="Palatino Linotype"/>
          <w:b/>
          <w:color w:val="000000"/>
        </w:rPr>
        <w:t xml:space="preserve">EL RECURRENTE </w:t>
      </w:r>
      <w:r w:rsidRPr="003C2E92">
        <w:rPr>
          <w:rFonts w:ascii="Palatino Linotype" w:eastAsia="Palatino Linotype" w:hAnsi="Palatino Linotype" w:cs="Palatino Linotype"/>
          <w:color w:val="000000"/>
        </w:rPr>
        <w:t>manifestó como razones o motivos de inconformidad lo siguiente:</w:t>
      </w:r>
    </w:p>
    <w:p w14:paraId="5197E63C" w14:textId="77777777" w:rsidR="00442EBB" w:rsidRPr="003C2E92" w:rsidRDefault="00D31B5B">
      <w:pPr>
        <w:ind w:left="709" w:right="89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 xml:space="preserve">“Pretenden cambiar unilateralmente la modalidad de entrega, cuando ya </w:t>
      </w:r>
      <w:proofErr w:type="spellStart"/>
      <w:r w:rsidRPr="003C2E92">
        <w:rPr>
          <w:rFonts w:ascii="Palatino Linotype" w:eastAsia="Palatino Linotype" w:hAnsi="Palatino Linotype" w:cs="Palatino Linotype"/>
          <w:i/>
          <w:sz w:val="22"/>
          <w:szCs w:val="22"/>
        </w:rPr>
        <w:t>esta</w:t>
      </w:r>
      <w:proofErr w:type="spellEnd"/>
      <w:r w:rsidRPr="003C2E92">
        <w:rPr>
          <w:rFonts w:ascii="Palatino Linotype" w:eastAsia="Palatino Linotype" w:hAnsi="Palatino Linotype" w:cs="Palatino Linotype"/>
          <w:i/>
          <w:sz w:val="22"/>
          <w:szCs w:val="22"/>
        </w:rPr>
        <w:t xml:space="preserve"> identificada, </w:t>
      </w:r>
      <w:proofErr w:type="spellStart"/>
      <w:r w:rsidRPr="003C2E92">
        <w:rPr>
          <w:rFonts w:ascii="Palatino Linotype" w:eastAsia="Palatino Linotype" w:hAnsi="Palatino Linotype" w:cs="Palatino Linotype"/>
          <w:i/>
          <w:sz w:val="22"/>
          <w:szCs w:val="22"/>
        </w:rPr>
        <w:t>ademas</w:t>
      </w:r>
      <w:proofErr w:type="spellEnd"/>
      <w:r w:rsidRPr="003C2E92">
        <w:rPr>
          <w:rFonts w:ascii="Palatino Linotype" w:eastAsia="Palatino Linotype" w:hAnsi="Palatino Linotype" w:cs="Palatino Linotype"/>
          <w:i/>
          <w:sz w:val="22"/>
          <w:szCs w:val="22"/>
        </w:rPr>
        <w:t xml:space="preserve"> de que menciona que mediante oficios </w:t>
      </w:r>
      <w:proofErr w:type="spellStart"/>
      <w:r w:rsidRPr="003C2E92">
        <w:rPr>
          <w:rFonts w:ascii="Palatino Linotype" w:eastAsia="Palatino Linotype" w:hAnsi="Palatino Linotype" w:cs="Palatino Linotype"/>
          <w:i/>
          <w:sz w:val="22"/>
          <w:szCs w:val="22"/>
        </w:rPr>
        <w:t>numeros</w:t>
      </w:r>
      <w:proofErr w:type="spellEnd"/>
      <w:r w:rsidRPr="003C2E92">
        <w:rPr>
          <w:rFonts w:ascii="Palatino Linotype" w:eastAsia="Palatino Linotype" w:hAnsi="Palatino Linotype" w:cs="Palatino Linotype"/>
          <w:i/>
          <w:sz w:val="22"/>
          <w:szCs w:val="22"/>
        </w:rPr>
        <w:t xml:space="preserve"> tales las </w:t>
      </w:r>
      <w:proofErr w:type="spellStart"/>
      <w:r w:rsidRPr="003C2E92">
        <w:rPr>
          <w:rFonts w:ascii="Palatino Linotype" w:eastAsia="Palatino Linotype" w:hAnsi="Palatino Linotype" w:cs="Palatino Linotype"/>
          <w:i/>
          <w:sz w:val="22"/>
          <w:szCs w:val="22"/>
        </w:rPr>
        <w:t>areas</w:t>
      </w:r>
      <w:proofErr w:type="spellEnd"/>
      <w:r w:rsidRPr="003C2E92">
        <w:rPr>
          <w:rFonts w:ascii="Palatino Linotype" w:eastAsia="Palatino Linotype" w:hAnsi="Palatino Linotype" w:cs="Palatino Linotype"/>
          <w:i/>
          <w:sz w:val="22"/>
          <w:szCs w:val="22"/>
        </w:rPr>
        <w:t xml:space="preserve"> cambian, y no los adjunta en la propia respuesta, muy convenientemente. No se observa un caso excepcional para cambar la modalidad.”</w:t>
      </w:r>
    </w:p>
    <w:p w14:paraId="4B687B11" w14:textId="77777777" w:rsidR="00442EBB" w:rsidRPr="003C2E92" w:rsidRDefault="00D31B5B">
      <w:pPr>
        <w:spacing w:before="280" w:after="28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color w:val="000000"/>
        </w:rPr>
        <w:t xml:space="preserve">Expuesto lo anterior, es importante recordar que mediante Informe Justificado </w:t>
      </w:r>
      <w:r w:rsidRPr="003C2E92">
        <w:rPr>
          <w:rFonts w:ascii="Palatino Linotype" w:eastAsia="Palatino Linotype" w:hAnsi="Palatino Linotype" w:cs="Palatino Linotype"/>
          <w:b/>
          <w:color w:val="000000"/>
        </w:rPr>
        <w:t xml:space="preserve">EL SUJETO OBLIGADO </w:t>
      </w:r>
      <w:r w:rsidRPr="003C2E92">
        <w:rPr>
          <w:rFonts w:ascii="Palatino Linotype" w:eastAsia="Palatino Linotype" w:hAnsi="Palatino Linotype" w:cs="Palatino Linotype"/>
          <w:color w:val="000000"/>
        </w:rPr>
        <w:t xml:space="preserve">ratificó su respuesta, es decir, </w:t>
      </w:r>
      <w:r w:rsidRPr="003C2E92">
        <w:rPr>
          <w:rFonts w:ascii="Palatino Linotype" w:eastAsia="Palatino Linotype" w:hAnsi="Palatino Linotype" w:cs="Palatino Linotype"/>
        </w:rPr>
        <w:t>reiteró</w:t>
      </w:r>
      <w:r w:rsidRPr="003C2E92">
        <w:rPr>
          <w:rFonts w:ascii="Palatino Linotype" w:eastAsia="Palatino Linotype" w:hAnsi="Palatino Linotype" w:cs="Palatino Linotype"/>
          <w:color w:val="000000"/>
        </w:rPr>
        <w:t xml:space="preserve"> el cambio de modalidad en la entrega de la información.</w:t>
      </w:r>
    </w:p>
    <w:p w14:paraId="02460AE7"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Asimismo se pronuncia sobre las manifestaciones del </w:t>
      </w:r>
      <w:r w:rsidRPr="003C2E92">
        <w:rPr>
          <w:rFonts w:ascii="Palatino Linotype" w:eastAsia="Palatino Linotype" w:hAnsi="Palatino Linotype" w:cs="Palatino Linotype"/>
          <w:b/>
        </w:rPr>
        <w:t>RECURRENTE</w:t>
      </w:r>
      <w:r w:rsidRPr="003C2E92">
        <w:rPr>
          <w:rFonts w:ascii="Palatino Linotype" w:eastAsia="Palatino Linotype" w:hAnsi="Palatino Linotype" w:cs="Palatino Linotype"/>
        </w:rPr>
        <w:t xml:space="preserve"> señaladas dentro de sus motivos o razones de inconformidad, pronunciamientos que si bien no </w:t>
      </w:r>
      <w:r w:rsidRPr="003C2E92">
        <w:rPr>
          <w:rFonts w:ascii="Palatino Linotype" w:eastAsia="Palatino Linotype" w:hAnsi="Palatino Linotype" w:cs="Palatino Linotype"/>
        </w:rPr>
        <w:lastRenderedPageBreak/>
        <w:t xml:space="preserve">modifican el sentido de su respuesta se insertan a continuación para efectos de procurar una máxima publicidad en el proceso: </w:t>
      </w:r>
    </w:p>
    <w:p w14:paraId="541CFD95"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noProof/>
          <w:lang w:eastAsia="es-MX"/>
        </w:rPr>
        <w:drawing>
          <wp:inline distT="114300" distB="114300" distL="114300" distR="114300" wp14:anchorId="2CEA0D43" wp14:editId="2A0B928A">
            <wp:extent cx="5791200" cy="1530985"/>
            <wp:effectExtent l="0" t="0" r="0" b="0"/>
            <wp:docPr id="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b="66859"/>
                    <a:stretch>
                      <a:fillRect/>
                    </a:stretch>
                  </pic:blipFill>
                  <pic:spPr>
                    <a:xfrm>
                      <a:off x="0" y="0"/>
                      <a:ext cx="5791200" cy="1530985"/>
                    </a:xfrm>
                    <a:prstGeom prst="rect">
                      <a:avLst/>
                    </a:prstGeom>
                    <a:ln/>
                  </pic:spPr>
                </pic:pic>
              </a:graphicData>
            </a:graphic>
          </wp:inline>
        </w:drawing>
      </w:r>
    </w:p>
    <w:p w14:paraId="773929C6"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noProof/>
          <w:lang w:eastAsia="es-MX"/>
        </w:rPr>
        <w:drawing>
          <wp:inline distT="114300" distB="114300" distL="114300" distR="114300" wp14:anchorId="190191C0" wp14:editId="6C412F84">
            <wp:extent cx="5791200" cy="3117215"/>
            <wp:effectExtent l="0" t="0" r="0" b="0"/>
            <wp:docPr id="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t="32522"/>
                    <a:stretch>
                      <a:fillRect/>
                    </a:stretch>
                  </pic:blipFill>
                  <pic:spPr>
                    <a:xfrm>
                      <a:off x="0" y="0"/>
                      <a:ext cx="5791200" cy="3117215"/>
                    </a:xfrm>
                    <a:prstGeom prst="rect">
                      <a:avLst/>
                    </a:prstGeom>
                    <a:ln/>
                  </pic:spPr>
                </pic:pic>
              </a:graphicData>
            </a:graphic>
          </wp:inline>
        </w:drawing>
      </w:r>
    </w:p>
    <w:p w14:paraId="6704904E"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color w:val="000000"/>
        </w:rPr>
        <w:t xml:space="preserve">En ese contexto, es conducente referir que de acuerdo a los procedimientos y directrices </w:t>
      </w:r>
      <w:r w:rsidRPr="003C2E92">
        <w:rPr>
          <w:rFonts w:ascii="Palatino Linotype" w:eastAsia="Palatino Linotype" w:hAnsi="Palatino Linotype" w:cs="Palatino Linotype"/>
        </w:rPr>
        <w:t>que deben seguirse para hacer accesible la información a las personas</w:t>
      </w:r>
      <w:r w:rsidRPr="003C2E92">
        <w:rPr>
          <w:rFonts w:ascii="Palatino Linotype" w:eastAsia="Palatino Linotype" w:hAnsi="Palatino Linotype" w:cs="Palatino Linotype"/>
          <w:color w:val="000000"/>
        </w:rPr>
        <w:t xml:space="preserve"> que establecen </w:t>
      </w:r>
      <w:r w:rsidRPr="003C2E92">
        <w:rPr>
          <w:rFonts w:ascii="Palatino Linotype" w:eastAsia="Palatino Linotype" w:hAnsi="Palatino Linotype" w:cs="Palatino Linotype"/>
        </w:rPr>
        <w:t xml:space="preserve">los artículos 1, 2, fracciones II, III, VII, 4, 88, 89, 92 y 152 de la Ley de Transparencia y Acceso a la Información Pública del Estado de México y Municipios, el derecho </w:t>
      </w:r>
      <w:r w:rsidRPr="003C2E92">
        <w:rPr>
          <w:rFonts w:ascii="Palatino Linotype" w:eastAsia="Palatino Linotype" w:hAnsi="Palatino Linotype" w:cs="Palatino Linotype"/>
        </w:rPr>
        <w:lastRenderedPageBreak/>
        <w:t>fundamental de acceso a la información pública se rige por los principios</w:t>
      </w:r>
      <w:r w:rsidRPr="003C2E92">
        <w:rPr>
          <w:rFonts w:ascii="Palatino Linotype" w:eastAsia="Palatino Linotype" w:hAnsi="Palatino Linotype" w:cs="Palatino Linotype"/>
          <w:vertAlign w:val="superscript"/>
        </w:rPr>
        <w:footnoteReference w:id="1"/>
      </w:r>
      <w:r w:rsidRPr="003C2E92">
        <w:rPr>
          <w:rFonts w:ascii="Palatino Linotype" w:eastAsia="Palatino Linotype" w:hAnsi="Palatino Linotype" w:cs="Palatino Linotype"/>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14:paraId="3520F872"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Con la intención de garantizar este derecho, la Ley de Transparencia y Acceso a la Información Pública del Estado de México y Municipios ha establecido como un procedimiento sencillo y expedito, la utilización de los medios electrónicos; y para ello este Instituto ha puesto a disposición de los particulares y de los Sujetos Obligados, </w:t>
      </w:r>
      <w:r w:rsidRPr="003C2E92">
        <w:rPr>
          <w:rFonts w:ascii="Palatino Linotype" w:eastAsia="Palatino Linotype" w:hAnsi="Palatino Linotype" w:cs="Palatino Linotype"/>
          <w:b/>
        </w:rPr>
        <w:t>EL</w:t>
      </w:r>
      <w:r w:rsidRPr="003C2E92">
        <w:rPr>
          <w:rFonts w:ascii="Palatino Linotype" w:eastAsia="Palatino Linotype" w:hAnsi="Palatino Linotype" w:cs="Palatino Linotype"/>
        </w:rPr>
        <w:t xml:space="preserve"> </w:t>
      </w:r>
      <w:r w:rsidRPr="003C2E92">
        <w:rPr>
          <w:rFonts w:ascii="Palatino Linotype" w:eastAsia="Palatino Linotype" w:hAnsi="Palatino Linotype" w:cs="Palatino Linotype"/>
          <w:b/>
        </w:rPr>
        <w:t>SAIMEX</w:t>
      </w:r>
      <w:r w:rsidRPr="003C2E92">
        <w:rPr>
          <w:rFonts w:ascii="Palatino Linotype" w:eastAsia="Palatino Linotype" w:hAnsi="Palatino Linotype" w:cs="Palatino Linotype"/>
        </w:rPr>
        <w:t>, para que de manera oportuna y gratuita se entregue la información pública solicitada.</w:t>
      </w:r>
    </w:p>
    <w:p w14:paraId="4CE80DC5"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Ahora bien, </w:t>
      </w:r>
      <w:r w:rsidRPr="003C2E92">
        <w:rPr>
          <w:rFonts w:ascii="Palatino Linotype" w:eastAsia="Palatino Linotype" w:hAnsi="Palatino Linotype" w:cs="Palatino Linotype"/>
          <w:b/>
        </w:rPr>
        <w:t>EL SUJETO OBLIGADO</w:t>
      </w:r>
      <w:r w:rsidRPr="003C2E92">
        <w:rPr>
          <w:rFonts w:ascii="Palatino Linotype" w:eastAsia="Palatino Linotype" w:hAnsi="Palatino Linotype" w:cs="Palatino Linotype"/>
        </w:rPr>
        <w:t xml:space="preserve"> al cambiar la modalidad de entrega de la información, del </w:t>
      </w:r>
      <w:r w:rsidRPr="003C2E92">
        <w:rPr>
          <w:rFonts w:ascii="Palatino Linotype" w:eastAsia="Palatino Linotype" w:hAnsi="Palatino Linotype" w:cs="Palatino Linotype"/>
          <w:b/>
        </w:rPr>
        <w:t>SAIMEX</w:t>
      </w:r>
      <w:r w:rsidRPr="003C2E92">
        <w:rPr>
          <w:rFonts w:ascii="Palatino Linotype" w:eastAsia="Palatino Linotype" w:hAnsi="Palatino Linotype" w:cs="Palatino Linotype"/>
        </w:rPr>
        <w:t xml:space="preserve"> a consulta directa limita el derecho de acceso a la información; máxime, que no existe una causa legalmente señalada para cambiar la modalidad elegida por el particular, pues como refirió en su respuesta únicamente señaló como impedimento el que la información correspondiente a la solicitud, representa un volumen aproximado de 7,865 fojas y derivado de que es una sola persona quien controla los expedientes de cada una de las áreas, así como el </w:t>
      </w:r>
      <w:r w:rsidRPr="003C2E92">
        <w:rPr>
          <w:rFonts w:ascii="Palatino Linotype" w:eastAsia="Palatino Linotype" w:hAnsi="Palatino Linotype" w:cs="Palatino Linotype"/>
        </w:rPr>
        <w:lastRenderedPageBreak/>
        <w:t>procesamiento de la información que se  encuentre en los supuestos de confidencial o reservada , es que se hace el cambio de modalidad en la entrega de información.</w:t>
      </w:r>
    </w:p>
    <w:p w14:paraId="7D652F08"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2DCA3866" w14:textId="77777777" w:rsidR="00442EBB" w:rsidRPr="003C2E92" w:rsidRDefault="00D31B5B">
      <w:pPr>
        <w:ind w:left="851" w:right="902"/>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“CINCUENTA Y CUATRO.-</w:t>
      </w:r>
      <w:r w:rsidRPr="003C2E92">
        <w:rPr>
          <w:rFonts w:ascii="Palatino Linotype" w:eastAsia="Palatino Linotype" w:hAnsi="Palatino Linotype" w:cs="Palatino Linotype"/>
          <w:i/>
          <w:sz w:val="22"/>
          <w:szCs w:val="22"/>
        </w:rPr>
        <w:t xml:space="preserve"> De acuerdo a lo dispuesto por el párrafo segundo del artículo 48 de la Ley, la </w:t>
      </w:r>
      <w:r w:rsidRPr="003C2E92">
        <w:rPr>
          <w:rFonts w:ascii="Palatino Linotype" w:eastAsia="Palatino Linotype" w:hAnsi="Palatino Linotype" w:cs="Palatino Linotype"/>
          <w:b/>
          <w:i/>
          <w:sz w:val="22"/>
          <w:szCs w:val="22"/>
        </w:rPr>
        <w:t>información podrá ser entregada vía electrónica a través del SICOSIEM</w:t>
      </w:r>
      <w:r w:rsidRPr="003C2E92">
        <w:rPr>
          <w:rFonts w:ascii="Palatino Linotype" w:eastAsia="Palatino Linotype" w:hAnsi="Palatino Linotype" w:cs="Palatino Linotype"/>
          <w:i/>
          <w:sz w:val="22"/>
          <w:szCs w:val="22"/>
        </w:rPr>
        <w:t xml:space="preserve">. </w:t>
      </w:r>
    </w:p>
    <w:p w14:paraId="41E26983" w14:textId="77777777" w:rsidR="00442EBB" w:rsidRPr="003C2E92" w:rsidRDefault="00D31B5B">
      <w:pPr>
        <w:ind w:left="851" w:right="902"/>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u w:val="single"/>
        </w:rPr>
        <w:t>Es obligación del responsable de la Unidad de Información verificar que los archivos electrónicos que contengan la información entregada, se encuentra agregada al SICOSIEM</w:t>
      </w:r>
      <w:r w:rsidRPr="003C2E92">
        <w:rPr>
          <w:rFonts w:ascii="Palatino Linotype" w:eastAsia="Palatino Linotype" w:hAnsi="Palatino Linotype" w:cs="Palatino Linotype"/>
          <w:i/>
          <w:sz w:val="22"/>
          <w:szCs w:val="22"/>
        </w:rPr>
        <w:t>.</w:t>
      </w:r>
    </w:p>
    <w:p w14:paraId="25F692DE" w14:textId="77777777" w:rsidR="00442EBB" w:rsidRPr="003C2E92" w:rsidRDefault="00D31B5B">
      <w:pPr>
        <w:ind w:left="851" w:right="902"/>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7F6D250A" w14:textId="77777777" w:rsidR="00442EBB" w:rsidRPr="003C2E92" w:rsidRDefault="00D31B5B">
      <w:pPr>
        <w:ind w:left="851" w:right="902"/>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La Dirección de Sistemas e Informática del Instituto, debe llevar un registro de incidencias en el cual se asienten todas las llamas referentes al apoyo técnico para agregar los archivos electrónicos al SICOSIEM.</w:t>
      </w:r>
    </w:p>
    <w:p w14:paraId="1932DB09" w14:textId="77777777" w:rsidR="00442EBB" w:rsidRPr="003C2E92" w:rsidRDefault="00D31B5B">
      <w:pPr>
        <w:ind w:left="851" w:right="902"/>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 xml:space="preserve">La omisión por parte del responsable de la Unidad de Información del procedimiento antes descrito presume la negativa de la entrega de la Información. </w:t>
      </w:r>
    </w:p>
    <w:p w14:paraId="4F09990C" w14:textId="77777777" w:rsidR="00442EBB" w:rsidRPr="003C2E92" w:rsidRDefault="00D31B5B">
      <w:pPr>
        <w:ind w:left="851" w:right="902"/>
        <w:jc w:val="both"/>
        <w:rPr>
          <w:rFonts w:ascii="Palatino Linotype" w:eastAsia="Palatino Linotype" w:hAnsi="Palatino Linotype" w:cs="Palatino Linotype"/>
          <w:b/>
          <w:i/>
          <w:sz w:val="22"/>
          <w:szCs w:val="22"/>
        </w:rPr>
      </w:pPr>
      <w:r w:rsidRPr="003C2E92">
        <w:rPr>
          <w:rFonts w:ascii="Palatino Linotype" w:eastAsia="Palatino Linotype" w:hAnsi="Palatino Linotype" w:cs="Palatino Linotype"/>
          <w:b/>
          <w:i/>
          <w:sz w:val="22"/>
          <w:szCs w:val="22"/>
          <w:u w:val="single"/>
        </w:rPr>
        <w:t>Cuando la información no pueda ser remitida vía electrónica</w:t>
      </w:r>
      <w:r w:rsidRPr="003C2E92">
        <w:rPr>
          <w:rFonts w:ascii="Palatino Linotype" w:eastAsia="Palatino Linotype" w:hAnsi="Palatino Linotype" w:cs="Palatino Linotype"/>
          <w:b/>
          <w:i/>
          <w:sz w:val="22"/>
          <w:szCs w:val="22"/>
        </w:rPr>
        <w:t xml:space="preserve">, </w:t>
      </w:r>
      <w:r w:rsidRPr="003C2E92">
        <w:rPr>
          <w:rFonts w:ascii="Palatino Linotype" w:eastAsia="Palatino Linotype" w:hAnsi="Palatino Linotype" w:cs="Palatino Linotype"/>
          <w:b/>
          <w:i/>
          <w:sz w:val="22"/>
          <w:szCs w:val="22"/>
          <w:u w:val="single"/>
        </w:rPr>
        <w:t>se deberá fundar y motivar la resolución respectiva</w:t>
      </w:r>
      <w:r w:rsidRPr="003C2E92">
        <w:rPr>
          <w:rFonts w:ascii="Palatino Linotype" w:eastAsia="Palatino Linotype" w:hAnsi="Palatino Linotype" w:cs="Palatino Linotype"/>
          <w:b/>
          <w:i/>
          <w:sz w:val="22"/>
          <w:szCs w:val="22"/>
        </w:rPr>
        <w:t>, explicando en todo momento las causas que impiden el envío de la información de forma electrónica.</w:t>
      </w:r>
    </w:p>
    <w:p w14:paraId="3E4144B7" w14:textId="77777777" w:rsidR="00442EBB" w:rsidRPr="003C2E92" w:rsidRDefault="00D31B5B">
      <w:pPr>
        <w:ind w:left="851" w:right="902"/>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 xml:space="preserve">En el supuesto de que la información sea puesta a disposición del solicitante la Unidad de Información deberá señalar en su respuesta, con toda claridad el lugar en donde se permitirá el acceso a la información, así como en los días y horas hábiles </w:t>
      </w:r>
      <w:r w:rsidRPr="003C2E92">
        <w:rPr>
          <w:rFonts w:ascii="Palatino Linotype" w:eastAsia="Palatino Linotype" w:hAnsi="Palatino Linotype" w:cs="Palatino Linotype"/>
          <w:i/>
          <w:sz w:val="22"/>
          <w:szCs w:val="22"/>
        </w:rPr>
        <w:lastRenderedPageBreak/>
        <w:t>precisadas en la resolución respectiva. En este supuesto, la disposición o entrega de la información se realizará mediante el formato de recepción de información pública.</w:t>
      </w:r>
    </w:p>
    <w:p w14:paraId="68F5F4C6" w14:textId="77777777" w:rsidR="00442EBB" w:rsidRPr="003C2E92" w:rsidRDefault="00D31B5B">
      <w:pPr>
        <w:ind w:left="851" w:right="902"/>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El formato mencionado deberá estar agregado al expediente electrónico de la solicitud de información pública, en el estatus respectivo.”</w:t>
      </w:r>
    </w:p>
    <w:p w14:paraId="3EBC3708" w14:textId="0A0CECC5" w:rsidR="00442EBB" w:rsidRPr="003C2E92" w:rsidRDefault="00D31B5B">
      <w:pPr>
        <w:ind w:left="851" w:right="902"/>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w:t>
      </w:r>
      <w:r w:rsidR="00B76F56" w:rsidRPr="003C2E92">
        <w:rPr>
          <w:rFonts w:ascii="Palatino Linotype" w:eastAsia="Palatino Linotype" w:hAnsi="Palatino Linotype" w:cs="Palatino Linotype"/>
          <w:i/>
          <w:sz w:val="22"/>
          <w:szCs w:val="22"/>
        </w:rPr>
        <w:t>Énfasis</w:t>
      </w:r>
      <w:r w:rsidRPr="003C2E92">
        <w:rPr>
          <w:rFonts w:ascii="Palatino Linotype" w:eastAsia="Palatino Linotype" w:hAnsi="Palatino Linotype" w:cs="Palatino Linotype"/>
          <w:i/>
          <w:sz w:val="22"/>
          <w:szCs w:val="22"/>
        </w:rPr>
        <w:t xml:space="preserve"> añadido).</w:t>
      </w:r>
    </w:p>
    <w:p w14:paraId="55980559"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Acorde con lo anterior, es de señalar que los Sujetos Obligados deben respetar la forma seleccionada por los particulares para la entrega de la información; por lo que, si, en este caso en comento, el solicitante eligió </w:t>
      </w:r>
      <w:r w:rsidRPr="003C2E92">
        <w:rPr>
          <w:rFonts w:ascii="Palatino Linotype" w:eastAsia="Palatino Linotype" w:hAnsi="Palatino Linotype" w:cs="Palatino Linotype"/>
          <w:b/>
        </w:rPr>
        <w:t>EL SAIMEX</w:t>
      </w:r>
      <w:r w:rsidRPr="003C2E92">
        <w:rPr>
          <w:rFonts w:ascii="Palatino Linotype" w:eastAsia="Palatino Linotype" w:hAnsi="Palatino Linotype" w:cs="Palatino Linotype"/>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14:paraId="44120032" w14:textId="77777777" w:rsidR="00442EBB" w:rsidRPr="003C2E92" w:rsidRDefault="00D31B5B">
      <w:pPr>
        <w:spacing w:before="280" w:after="280" w:line="360" w:lineRule="auto"/>
        <w:jc w:val="both"/>
        <w:rPr>
          <w:rFonts w:ascii="Palatino Linotype" w:eastAsia="Palatino Linotype" w:hAnsi="Palatino Linotype" w:cs="Palatino Linotype"/>
          <w:b/>
        </w:rPr>
      </w:pPr>
      <w:r w:rsidRPr="003C2E92">
        <w:rPr>
          <w:rFonts w:ascii="Palatino Linotype" w:eastAsia="Palatino Linotype" w:hAnsi="Palatino Linotype" w:cs="Palatino Linotype"/>
        </w:rPr>
        <w:t xml:space="preserve">En ese orden de ideas, </w:t>
      </w:r>
      <w:r w:rsidRPr="003C2E92">
        <w:rPr>
          <w:rFonts w:ascii="Palatino Linotype" w:eastAsia="Palatino Linotype" w:hAnsi="Palatino Linotype" w:cs="Palatino Linotype"/>
          <w:b/>
        </w:rPr>
        <w:t xml:space="preserve">EL SUJETO OBLIGADO </w:t>
      </w:r>
      <w:r w:rsidRPr="003C2E92">
        <w:rPr>
          <w:rFonts w:ascii="Palatino Linotype" w:eastAsia="Palatino Linotype" w:hAnsi="Palatino Linotype" w:cs="Palatino Linotype"/>
        </w:rPr>
        <w:t>debe fundar y motivar la respuesta en la que se le hará saber al solicitante las causas que impiden el envío de la información de forma electrónica; además, se impone la obligación de avisar de inmediato al Instituto, a través del correo electrónico institucional y comunicarse vía telefónica a efecto de que reciba el apoyo técnico correspondiente.</w:t>
      </w:r>
    </w:p>
    <w:p w14:paraId="019E6857"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Respecto a la fundamentación y motivación es de señalar que el máximo tribunal del país ha establecido jurisprudencia respecto a qué debe entenderse por fundamentación y motivación, en los siguientes términos:</w:t>
      </w:r>
    </w:p>
    <w:p w14:paraId="351593D8" w14:textId="77777777" w:rsidR="00442EBB" w:rsidRPr="003C2E92" w:rsidRDefault="00D31B5B">
      <w:pPr>
        <w:widowControl w:val="0"/>
        <w:tabs>
          <w:tab w:val="left" w:pos="1276"/>
        </w:tabs>
        <w:spacing w:before="240" w:after="280"/>
        <w:ind w:left="851" w:right="89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“FUNDAMENTACIÓN Y MOTIVACIÓN.</w:t>
      </w:r>
      <w:r w:rsidRPr="003C2E92">
        <w:rPr>
          <w:rFonts w:ascii="Palatino Linotype" w:eastAsia="Palatino Linotype" w:hAnsi="Palatino Linotype" w:cs="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17D58ED4"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lastRenderedPageBreak/>
        <w:t>De tal manera que, en un acto de autoridad existe una debida fundamentación cuando se cita el precepto legal aplicable al caso concreto y la correcta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76D51352" w14:textId="77777777" w:rsidR="00442EBB" w:rsidRPr="003C2E92" w:rsidRDefault="00D31B5B">
      <w:pPr>
        <w:widowControl w:val="0"/>
        <w:tabs>
          <w:tab w:val="left" w:pos="1276"/>
        </w:tabs>
        <w:spacing w:before="240" w:after="280"/>
        <w:ind w:left="851" w:right="89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w:t>
      </w:r>
      <w:r w:rsidRPr="003C2E92">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3C2E92">
        <w:rPr>
          <w:rFonts w:ascii="Palatino Linotype" w:eastAsia="Palatino Linotype" w:hAnsi="Palatino Linotype" w:cs="Palatino Linotype"/>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6753311A" w14:textId="3DC9D4DD"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w:t>
      </w:r>
      <w:r w:rsidRPr="003C2E92">
        <w:rPr>
          <w:rFonts w:ascii="Palatino Linotype" w:eastAsia="Palatino Linotype" w:hAnsi="Palatino Linotype" w:cs="Palatino Linotype"/>
        </w:rPr>
        <w:lastRenderedPageBreak/>
        <w:t xml:space="preserve">defensa; situación que pese a la entrega de las Actas del Comité de transparencia del </w:t>
      </w:r>
      <w:r w:rsidRPr="003C2E92">
        <w:rPr>
          <w:rFonts w:ascii="Palatino Linotype" w:eastAsia="Palatino Linotype" w:hAnsi="Palatino Linotype" w:cs="Palatino Linotype"/>
          <w:b/>
        </w:rPr>
        <w:t>SUJETO OBLIGADO</w:t>
      </w:r>
      <w:r w:rsidRPr="003C2E92">
        <w:rPr>
          <w:rFonts w:ascii="Palatino Linotype" w:eastAsia="Palatino Linotype" w:hAnsi="Palatino Linotype" w:cs="Palatino Linotype"/>
        </w:rPr>
        <w:t xml:space="preserve"> no ocurrió, pues únicamente se limitó a externar sus razones sin fundamento legal alguno, motivo por el cual para ésta Ponencia </w:t>
      </w:r>
      <w:proofErr w:type="spellStart"/>
      <w:r w:rsidRPr="003C2E92">
        <w:rPr>
          <w:rFonts w:ascii="Palatino Linotype" w:eastAsia="Palatino Linotype" w:hAnsi="Palatino Linotype" w:cs="Palatino Linotype"/>
        </w:rPr>
        <w:t>Resolutora</w:t>
      </w:r>
      <w:proofErr w:type="spellEnd"/>
      <w:r w:rsidRPr="003C2E92">
        <w:rPr>
          <w:rFonts w:ascii="Palatino Linotype" w:eastAsia="Palatino Linotype" w:hAnsi="Palatino Linotype" w:cs="Palatino Linotype"/>
        </w:rPr>
        <w:t xml:space="preserve"> el cambio de modalidad en la entrega de la información resulta injustificado </w:t>
      </w:r>
      <w:r w:rsidR="00B76F56" w:rsidRPr="003C2E92">
        <w:rPr>
          <w:rFonts w:ascii="Palatino Linotype" w:eastAsia="Palatino Linotype" w:hAnsi="Palatino Linotype" w:cs="Palatino Linotype"/>
        </w:rPr>
        <w:t>siendo procedente</w:t>
      </w:r>
      <w:r w:rsidRPr="003C2E92">
        <w:rPr>
          <w:rFonts w:ascii="Palatino Linotype" w:eastAsia="Palatino Linotype" w:hAnsi="Palatino Linotype" w:cs="Palatino Linotype"/>
        </w:rPr>
        <w:t xml:space="preserve"> ordenar la entrega de la información solicitada.</w:t>
      </w:r>
    </w:p>
    <w:p w14:paraId="7D8FA1DC"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Sobre ello también es importante señalar que la información solicitada por el hoy </w:t>
      </w:r>
      <w:r w:rsidRPr="003C2E92">
        <w:rPr>
          <w:rFonts w:ascii="Palatino Linotype" w:eastAsia="Palatino Linotype" w:hAnsi="Palatino Linotype" w:cs="Palatino Linotype"/>
          <w:b/>
        </w:rPr>
        <w:t xml:space="preserve">RECURRENTE </w:t>
      </w:r>
      <w:r w:rsidRPr="003C2E92">
        <w:rPr>
          <w:rFonts w:ascii="Palatino Linotype" w:eastAsia="Palatino Linotype" w:hAnsi="Palatino Linotype" w:cs="Palatino Linotype"/>
        </w:rPr>
        <w:t xml:space="preserve">en su mayoría puede ser remitida en medios electrónicos, ya que esta se encuentra en forma digital, como es el caso de las Actas del Comité de Transparencia, las cuales están dentro de las obligaciones de trasparencia comunes de los Sujetos Obligados contenidas en el artículo 92 fracción XLIII de la Ley de Transparencia y Acceso a la Información Pública del Estado de México y Municipios, misma que constriñe a los Sujetos Obligados a publicar esta información en el portal </w:t>
      </w:r>
      <w:r w:rsidRPr="003C2E92">
        <w:rPr>
          <w:rFonts w:ascii="Palatino Linotype" w:eastAsia="Palatino Linotype" w:hAnsi="Palatino Linotype" w:cs="Palatino Linotype"/>
          <w:b/>
        </w:rPr>
        <w:t xml:space="preserve">IPOMEX </w:t>
      </w:r>
      <w:r w:rsidRPr="003C2E92">
        <w:rPr>
          <w:rFonts w:ascii="Palatino Linotype" w:eastAsia="Palatino Linotype" w:hAnsi="Palatino Linotype" w:cs="Palatino Linotype"/>
        </w:rPr>
        <w:t xml:space="preserve">como se muestra en la imagen siguiente: </w:t>
      </w:r>
    </w:p>
    <w:p w14:paraId="0A4178F3"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                   </w:t>
      </w:r>
      <w:r w:rsidRPr="003C2E92">
        <w:rPr>
          <w:rFonts w:ascii="Palatino Linotype" w:eastAsia="Palatino Linotype" w:hAnsi="Palatino Linotype" w:cs="Palatino Linotype"/>
          <w:noProof/>
          <w:lang w:eastAsia="es-MX"/>
        </w:rPr>
        <w:drawing>
          <wp:inline distT="0" distB="0" distL="0" distR="0" wp14:anchorId="1BC8C0B5" wp14:editId="7F95AD00">
            <wp:extent cx="3905795" cy="1171739"/>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05795" cy="1171739"/>
                    </a:xfrm>
                    <a:prstGeom prst="rect">
                      <a:avLst/>
                    </a:prstGeom>
                    <a:ln/>
                  </pic:spPr>
                </pic:pic>
              </a:graphicData>
            </a:graphic>
          </wp:inline>
        </w:drawing>
      </w:r>
    </w:p>
    <w:p w14:paraId="0CC9B7DB" w14:textId="0BACBCF3"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Los apartados que se muestran en la imagen anterior permiten la descarga </w:t>
      </w:r>
      <w:r w:rsidR="00B76F56" w:rsidRPr="003C2E92">
        <w:rPr>
          <w:rFonts w:ascii="Palatino Linotype" w:eastAsia="Palatino Linotype" w:hAnsi="Palatino Linotype" w:cs="Palatino Linotype"/>
        </w:rPr>
        <w:t>de información referente</w:t>
      </w:r>
      <w:r w:rsidRPr="003C2E92">
        <w:rPr>
          <w:rFonts w:ascii="Palatino Linotype" w:eastAsia="Palatino Linotype" w:hAnsi="Palatino Linotype" w:cs="Palatino Linotype"/>
        </w:rPr>
        <w:t xml:space="preserve"> a las sesiones y resoluciones del Comité de Transparencia del </w:t>
      </w:r>
      <w:r w:rsidRPr="003C2E92">
        <w:rPr>
          <w:rFonts w:ascii="Palatino Linotype" w:eastAsia="Palatino Linotype" w:hAnsi="Palatino Linotype" w:cs="Palatino Linotype"/>
          <w:b/>
        </w:rPr>
        <w:t>SUJETO OBLIGADO</w:t>
      </w:r>
      <w:r w:rsidRPr="003C2E92">
        <w:rPr>
          <w:rFonts w:ascii="Palatino Linotype" w:eastAsia="Palatino Linotype" w:hAnsi="Palatino Linotype" w:cs="Palatino Linotype"/>
        </w:rPr>
        <w:t xml:space="preserve">, correspondiente a los ejercicios dos mil veinte y dos mil </w:t>
      </w:r>
      <w:r w:rsidRPr="003C2E92">
        <w:rPr>
          <w:rFonts w:ascii="Palatino Linotype" w:eastAsia="Palatino Linotype" w:hAnsi="Palatino Linotype" w:cs="Palatino Linotype"/>
        </w:rPr>
        <w:lastRenderedPageBreak/>
        <w:t xml:space="preserve">veintiuno como se puede apreciar en las imágenes que se insertan a continuación:                         </w:t>
      </w:r>
      <w:r w:rsidRPr="003C2E92">
        <w:rPr>
          <w:noProof/>
          <w:lang w:eastAsia="es-MX"/>
        </w:rPr>
        <w:drawing>
          <wp:anchor distT="0" distB="0" distL="114300" distR="114300" simplePos="0" relativeHeight="251658240" behindDoc="0" locked="0" layoutInCell="1" hidden="0" allowOverlap="1" wp14:anchorId="2C1AE39E" wp14:editId="1E9AFFBD">
            <wp:simplePos x="0" y="0"/>
            <wp:positionH relativeFrom="column">
              <wp:posOffset>1034414</wp:posOffset>
            </wp:positionH>
            <wp:positionV relativeFrom="paragraph">
              <wp:posOffset>1259205</wp:posOffset>
            </wp:positionV>
            <wp:extent cx="3429000" cy="1778635"/>
            <wp:effectExtent l="0" t="0" r="0" b="0"/>
            <wp:wrapTopAndBottom distT="0" dist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15866"/>
                    <a:stretch>
                      <a:fillRect/>
                    </a:stretch>
                  </pic:blipFill>
                  <pic:spPr>
                    <a:xfrm>
                      <a:off x="0" y="0"/>
                      <a:ext cx="3429000" cy="1778635"/>
                    </a:xfrm>
                    <a:prstGeom prst="rect">
                      <a:avLst/>
                    </a:prstGeom>
                    <a:ln/>
                  </pic:spPr>
                </pic:pic>
              </a:graphicData>
            </a:graphic>
          </wp:anchor>
        </w:drawing>
      </w:r>
    </w:p>
    <w:p w14:paraId="319EFB2A"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                                         </w:t>
      </w:r>
      <w:r w:rsidRPr="003C2E92">
        <w:rPr>
          <w:noProof/>
          <w:lang w:eastAsia="es-MX"/>
        </w:rPr>
        <w:drawing>
          <wp:anchor distT="0" distB="0" distL="114300" distR="114300" simplePos="0" relativeHeight="251659264" behindDoc="0" locked="0" layoutInCell="1" hidden="0" allowOverlap="1" wp14:anchorId="3B51B93F" wp14:editId="493C7995">
            <wp:simplePos x="0" y="0"/>
            <wp:positionH relativeFrom="column">
              <wp:posOffset>801370</wp:posOffset>
            </wp:positionH>
            <wp:positionV relativeFrom="paragraph">
              <wp:posOffset>1975485</wp:posOffset>
            </wp:positionV>
            <wp:extent cx="4314825" cy="2236016"/>
            <wp:effectExtent l="0" t="0" r="0" b="0"/>
            <wp:wrapTopAndBottom distT="0" dist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6754" b="46336"/>
                    <a:stretch>
                      <a:fillRect/>
                    </a:stretch>
                  </pic:blipFill>
                  <pic:spPr>
                    <a:xfrm>
                      <a:off x="0" y="0"/>
                      <a:ext cx="4314825" cy="2236016"/>
                    </a:xfrm>
                    <a:prstGeom prst="rect">
                      <a:avLst/>
                    </a:prstGeom>
                    <a:ln/>
                  </pic:spPr>
                </pic:pic>
              </a:graphicData>
            </a:graphic>
          </wp:anchor>
        </w:drawing>
      </w:r>
    </w:p>
    <w:p w14:paraId="3B165359" w14:textId="661CCA20"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Si bien, como se muestra en las imágenes insertas previamente, se puede acceder a esta información publicada sobre los años dos mil veinte y dos mil veintiuno, el plazo especificado por el solicitante hoy</w:t>
      </w:r>
      <w:r w:rsidRPr="003C2E92">
        <w:rPr>
          <w:rFonts w:ascii="Palatino Linotype" w:eastAsia="Palatino Linotype" w:hAnsi="Palatino Linotype" w:cs="Palatino Linotype"/>
          <w:b/>
        </w:rPr>
        <w:t xml:space="preserve"> RECURRENTE</w:t>
      </w:r>
      <w:r w:rsidRPr="003C2E92">
        <w:rPr>
          <w:rFonts w:ascii="Palatino Linotype" w:eastAsia="Palatino Linotype" w:hAnsi="Palatino Linotype" w:cs="Palatino Linotype"/>
        </w:rPr>
        <w:t xml:space="preserve"> comprende desde el uno de enero del dos mil dieciocho a la fecha de la solicitud; es decir, cuatro de agosto del dos mil veintiuno. En ese sentido, resulta necesario que </w:t>
      </w:r>
      <w:r w:rsidRPr="003C2E92">
        <w:rPr>
          <w:rFonts w:ascii="Palatino Linotype" w:eastAsia="Palatino Linotype" w:hAnsi="Palatino Linotype" w:cs="Palatino Linotype"/>
          <w:b/>
        </w:rPr>
        <w:t>EL SUJETO OBLIGADO</w:t>
      </w:r>
      <w:r w:rsidRPr="003C2E92">
        <w:rPr>
          <w:rFonts w:ascii="Palatino Linotype" w:eastAsia="Palatino Linotype" w:hAnsi="Palatino Linotype" w:cs="Palatino Linotype"/>
        </w:rPr>
        <w:t xml:space="preserve"> haga entrega de la totalidad de la información requerida por </w:t>
      </w:r>
      <w:r w:rsidRPr="003C2E92">
        <w:rPr>
          <w:rFonts w:ascii="Palatino Linotype" w:eastAsia="Palatino Linotype" w:hAnsi="Palatino Linotype" w:cs="Palatino Linotype"/>
          <w:b/>
        </w:rPr>
        <w:t>EL RECURRENTE.</w:t>
      </w:r>
      <w:r w:rsidRPr="003C2E92">
        <w:rPr>
          <w:rFonts w:ascii="Palatino Linotype" w:eastAsia="Palatino Linotype" w:hAnsi="Palatino Linotype" w:cs="Palatino Linotype"/>
        </w:rPr>
        <w:t xml:space="preserve"> </w:t>
      </w:r>
    </w:p>
    <w:p w14:paraId="6288560C" w14:textId="79831D44"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Lo mismo ocurre con las Actas del Comité Técnico de Becas solicitadas por</w:t>
      </w:r>
      <w:r w:rsidRPr="003C2E92">
        <w:rPr>
          <w:rFonts w:ascii="Palatino Linotype" w:eastAsia="Palatino Linotype" w:hAnsi="Palatino Linotype" w:cs="Palatino Linotype"/>
          <w:b/>
        </w:rPr>
        <w:t xml:space="preserve"> EL RECURRENTE</w:t>
      </w:r>
      <w:r w:rsidRPr="003C2E92">
        <w:rPr>
          <w:rFonts w:ascii="Palatino Linotype" w:eastAsia="Palatino Linotype" w:hAnsi="Palatino Linotype" w:cs="Palatino Linotype"/>
        </w:rPr>
        <w:t xml:space="preserve">, mismas que se encuentran publicadas en el apartado </w:t>
      </w:r>
      <w:r w:rsidRPr="003C2E92">
        <w:rPr>
          <w:rFonts w:ascii="Palatino Linotype" w:eastAsia="Palatino Linotype" w:hAnsi="Palatino Linotype" w:cs="Palatino Linotype"/>
          <w:i/>
        </w:rPr>
        <w:t xml:space="preserve">“Información de </w:t>
      </w:r>
      <w:r w:rsidRPr="003C2E92">
        <w:rPr>
          <w:rFonts w:ascii="Palatino Linotype" w:eastAsia="Palatino Linotype" w:hAnsi="Palatino Linotype" w:cs="Palatino Linotype"/>
          <w:i/>
        </w:rPr>
        <w:lastRenderedPageBreak/>
        <w:t>Interés Público</w:t>
      </w:r>
      <w:r w:rsidRPr="003C2E92">
        <w:rPr>
          <w:rFonts w:ascii="Palatino Linotype" w:eastAsia="Palatino Linotype" w:hAnsi="Palatino Linotype" w:cs="Palatino Linotype"/>
        </w:rPr>
        <w:t xml:space="preserve"> en dicho portal de Información Pública de Oficio Mexiquense</w:t>
      </w:r>
      <w:r w:rsidRPr="003C2E92">
        <w:rPr>
          <w:rFonts w:ascii="Palatino Linotype" w:eastAsia="Palatino Linotype" w:hAnsi="Palatino Linotype" w:cs="Palatino Linotype"/>
          <w:vertAlign w:val="superscript"/>
        </w:rPr>
        <w:footnoteReference w:id="2"/>
      </w:r>
      <w:r w:rsidRPr="003C2E92">
        <w:rPr>
          <w:rFonts w:ascii="Palatino Linotype" w:eastAsia="Palatino Linotype" w:hAnsi="Palatino Linotype" w:cs="Palatino Linotype"/>
          <w:i/>
        </w:rPr>
        <w:t>”</w:t>
      </w:r>
      <w:r w:rsidRPr="003C2E92">
        <w:rPr>
          <w:rFonts w:ascii="Palatino Linotype" w:eastAsia="Palatino Linotype" w:hAnsi="Palatino Linotype" w:cs="Palatino Linotype"/>
        </w:rPr>
        <w:t xml:space="preserve"> para los ejercicios dos mil dieciocho, dos mil diecinueve, dos mil veinte y dos mil veintiuno como se puede verificar en la captura siguiente. </w:t>
      </w:r>
    </w:p>
    <w:p w14:paraId="2359E699"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                       </w:t>
      </w:r>
      <w:r w:rsidRPr="003C2E92">
        <w:rPr>
          <w:rFonts w:ascii="Palatino Linotype" w:eastAsia="Palatino Linotype" w:hAnsi="Palatino Linotype" w:cs="Palatino Linotype"/>
          <w:noProof/>
          <w:lang w:eastAsia="es-MX"/>
        </w:rPr>
        <w:drawing>
          <wp:inline distT="0" distB="0" distL="0" distR="0" wp14:anchorId="30111ED9" wp14:editId="1BD93CE2">
            <wp:extent cx="3943900" cy="2591162"/>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943900" cy="2591162"/>
                    </a:xfrm>
                    <a:prstGeom prst="rect">
                      <a:avLst/>
                    </a:prstGeom>
                    <a:ln/>
                  </pic:spPr>
                </pic:pic>
              </a:graphicData>
            </a:graphic>
          </wp:inline>
        </w:drawing>
      </w:r>
      <w:r w:rsidRPr="003C2E92">
        <w:rPr>
          <w:rFonts w:ascii="Palatino Linotype" w:eastAsia="Palatino Linotype" w:hAnsi="Palatino Linotype" w:cs="Palatino Linotype"/>
        </w:rPr>
        <w:t xml:space="preserve"> </w:t>
      </w:r>
    </w:p>
    <w:p w14:paraId="4AF0460F"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De este apartado es posible descargar el archivo que contiene el Acta correspondiente como se puede apreciar en la captura inserta a continuación:</w:t>
      </w:r>
    </w:p>
    <w:p w14:paraId="7EBC9C6A"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lastRenderedPageBreak/>
        <w:t xml:space="preserve">             </w:t>
      </w:r>
      <w:r w:rsidRPr="003C2E92">
        <w:rPr>
          <w:rFonts w:ascii="Palatino Linotype" w:eastAsia="Palatino Linotype" w:hAnsi="Palatino Linotype" w:cs="Palatino Linotype"/>
          <w:noProof/>
          <w:lang w:eastAsia="es-MX"/>
        </w:rPr>
        <w:drawing>
          <wp:inline distT="0" distB="0" distL="0" distR="0" wp14:anchorId="7801599A" wp14:editId="66D76F4A">
            <wp:extent cx="4567352" cy="4933436"/>
            <wp:effectExtent l="0" t="0" r="0" b="0"/>
            <wp:docPr id="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4567352" cy="4933436"/>
                    </a:xfrm>
                    <a:prstGeom prst="rect">
                      <a:avLst/>
                    </a:prstGeom>
                    <a:ln/>
                  </pic:spPr>
                </pic:pic>
              </a:graphicData>
            </a:graphic>
          </wp:inline>
        </w:drawing>
      </w:r>
    </w:p>
    <w:p w14:paraId="24C98F16"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color w:val="000000"/>
        </w:rPr>
        <w:t xml:space="preserve">Por lo que respecta a la parte de la solicitud en la que el </w:t>
      </w:r>
      <w:r w:rsidRPr="003C2E92">
        <w:rPr>
          <w:rFonts w:ascii="Palatino Linotype" w:eastAsia="Palatino Linotype" w:hAnsi="Palatino Linotype" w:cs="Palatino Linotype"/>
          <w:b/>
          <w:color w:val="000000"/>
        </w:rPr>
        <w:t>RECURRENTE</w:t>
      </w:r>
      <w:r w:rsidRPr="003C2E92">
        <w:rPr>
          <w:rFonts w:ascii="Palatino Linotype" w:eastAsia="Palatino Linotype" w:hAnsi="Palatino Linotype" w:cs="Palatino Linotype"/>
          <w:color w:val="000000"/>
        </w:rPr>
        <w:t xml:space="preserve"> requiere, se resalta en la siguiente cita: </w:t>
      </w:r>
    </w:p>
    <w:p w14:paraId="63830D24" w14:textId="77777777" w:rsidR="00442EBB" w:rsidRPr="003C2E92" w:rsidRDefault="00D31B5B">
      <w:pPr>
        <w:tabs>
          <w:tab w:val="left" w:pos="8080"/>
        </w:tabs>
        <w:ind w:left="851" w:right="1043"/>
        <w:jc w:val="both"/>
        <w:rPr>
          <w:rFonts w:ascii="Palatino Linotype" w:eastAsia="Palatino Linotype" w:hAnsi="Palatino Linotype" w:cs="Palatino Linotype"/>
          <w:i/>
          <w:color w:val="000000"/>
          <w:sz w:val="22"/>
          <w:szCs w:val="22"/>
        </w:rPr>
      </w:pPr>
      <w:r w:rsidRPr="003C2E92">
        <w:rPr>
          <w:rFonts w:ascii="Palatino Linotype" w:eastAsia="Palatino Linotype" w:hAnsi="Palatino Linotype" w:cs="Palatino Linotype"/>
          <w:i/>
          <w:color w:val="000000"/>
          <w:sz w:val="22"/>
          <w:szCs w:val="22"/>
        </w:rPr>
        <w:t xml:space="preserve">“Se solicita </w:t>
      </w:r>
      <w:proofErr w:type="spellStart"/>
      <w:r w:rsidRPr="003C2E92">
        <w:rPr>
          <w:rFonts w:ascii="Palatino Linotype" w:eastAsia="Palatino Linotype" w:hAnsi="Palatino Linotype" w:cs="Palatino Linotype"/>
          <w:i/>
          <w:color w:val="000000"/>
          <w:sz w:val="22"/>
          <w:szCs w:val="22"/>
        </w:rPr>
        <w:t>via</w:t>
      </w:r>
      <w:proofErr w:type="spellEnd"/>
      <w:r w:rsidRPr="003C2E92">
        <w:rPr>
          <w:rFonts w:ascii="Palatino Linotype" w:eastAsia="Palatino Linotype" w:hAnsi="Palatino Linotype" w:cs="Palatino Linotype"/>
          <w:i/>
          <w:color w:val="000000"/>
          <w:sz w:val="22"/>
          <w:szCs w:val="22"/>
        </w:rPr>
        <w:t xml:space="preserve"> SAIMEX (de forma gratuita) del 2018 a la fecha las minutas o actas del </w:t>
      </w:r>
      <w:proofErr w:type="spellStart"/>
      <w:r w:rsidRPr="003C2E92">
        <w:rPr>
          <w:rFonts w:ascii="Palatino Linotype" w:eastAsia="Palatino Linotype" w:hAnsi="Palatino Linotype" w:cs="Palatino Linotype"/>
          <w:i/>
          <w:color w:val="000000"/>
          <w:sz w:val="22"/>
          <w:szCs w:val="22"/>
        </w:rPr>
        <w:t>Comite</w:t>
      </w:r>
      <w:proofErr w:type="spellEnd"/>
      <w:r w:rsidRPr="003C2E92">
        <w:rPr>
          <w:rFonts w:ascii="Palatino Linotype" w:eastAsia="Palatino Linotype" w:hAnsi="Palatino Linotype" w:cs="Palatino Linotype"/>
          <w:i/>
          <w:color w:val="000000"/>
          <w:sz w:val="22"/>
          <w:szCs w:val="22"/>
        </w:rPr>
        <w:t xml:space="preserve"> de Ética, Comité de Transparencia, Comité de Becas (incluidas el que avala las investigaciones), Comité de Adquisiciones, </w:t>
      </w:r>
      <w:r w:rsidRPr="003C2E92">
        <w:rPr>
          <w:rFonts w:ascii="Palatino Linotype" w:eastAsia="Palatino Linotype" w:hAnsi="Palatino Linotype" w:cs="Palatino Linotype"/>
          <w:b/>
          <w:i/>
          <w:color w:val="000000"/>
          <w:sz w:val="22"/>
          <w:szCs w:val="22"/>
        </w:rPr>
        <w:t>las del grupo que autoriza el reconocimiento hacendario</w:t>
      </w:r>
      <w:r w:rsidRPr="003C2E92">
        <w:rPr>
          <w:rFonts w:ascii="Palatino Linotype" w:eastAsia="Palatino Linotype" w:hAnsi="Palatino Linotype" w:cs="Palatino Linotype"/>
          <w:i/>
          <w:color w:val="000000"/>
          <w:sz w:val="22"/>
          <w:szCs w:val="22"/>
        </w:rPr>
        <w:t>, Consejo Directivo y de las Reuniones Regionales; todas con los anexos respectivos. (Sic)”</w:t>
      </w:r>
    </w:p>
    <w:p w14:paraId="359C093A" w14:textId="77777777" w:rsidR="00442EBB" w:rsidRPr="003C2E92" w:rsidRDefault="00442EBB">
      <w:pPr>
        <w:tabs>
          <w:tab w:val="left" w:pos="8080"/>
        </w:tabs>
        <w:ind w:left="851" w:right="1043"/>
        <w:jc w:val="both"/>
        <w:rPr>
          <w:rFonts w:ascii="Palatino Linotype" w:eastAsia="Palatino Linotype" w:hAnsi="Palatino Linotype" w:cs="Palatino Linotype"/>
          <w:i/>
          <w:color w:val="000000"/>
          <w:sz w:val="22"/>
          <w:szCs w:val="22"/>
        </w:rPr>
      </w:pPr>
    </w:p>
    <w:p w14:paraId="3E1AC62B"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color w:val="000000"/>
        </w:rPr>
        <w:lastRenderedPageBreak/>
        <w:t xml:space="preserve">De la solicitud citada se entiende que el particular se refiere a las Actas derivadas de las sesiones del Comité Dictaminador del Reconocimiento al Esfuerzo Hacendario Municipal. Mismo del cual obran Actas publicadas en el apartado de “Información de Interés Público” como se muestra en la imagen que se adjunta a continuación: </w:t>
      </w:r>
    </w:p>
    <w:p w14:paraId="24314021"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color w:val="000000"/>
        </w:rPr>
        <w:t xml:space="preserve">        </w:t>
      </w:r>
      <w:r w:rsidRPr="003C2E92">
        <w:rPr>
          <w:rFonts w:ascii="Palatino Linotype" w:eastAsia="Palatino Linotype" w:hAnsi="Palatino Linotype" w:cs="Palatino Linotype"/>
          <w:noProof/>
          <w:color w:val="000000"/>
          <w:lang w:eastAsia="es-MX"/>
        </w:rPr>
        <w:drawing>
          <wp:inline distT="0" distB="0" distL="0" distR="0" wp14:anchorId="71D55DF2" wp14:editId="2181F49E">
            <wp:extent cx="4896533" cy="2476846"/>
            <wp:effectExtent l="0" t="0" r="0" b="0"/>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4896533" cy="2476846"/>
                    </a:xfrm>
                    <a:prstGeom prst="rect">
                      <a:avLst/>
                    </a:prstGeom>
                    <a:ln/>
                  </pic:spPr>
                </pic:pic>
              </a:graphicData>
            </a:graphic>
          </wp:inline>
        </w:drawing>
      </w:r>
    </w:p>
    <w:p w14:paraId="10760A08" w14:textId="77777777"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Como se puede apreciar, la información contenida en el apartado de “Información de Interés Público” es diversa y abarca más información que no guarda relación con lo requerido en la solicitud de información materia del presente recurso, por lo que no se tiene certeza de que se encuentren la totalidad de los documentos respectivos para los años solicitados.</w:t>
      </w:r>
    </w:p>
    <w:p w14:paraId="1B6B98CB" w14:textId="55C9821E"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 En ese sentido, la intención de esta Ponencia </w:t>
      </w:r>
      <w:proofErr w:type="spellStart"/>
      <w:r w:rsidRPr="003C2E92">
        <w:rPr>
          <w:rFonts w:ascii="Palatino Linotype" w:eastAsia="Palatino Linotype" w:hAnsi="Palatino Linotype" w:cs="Palatino Linotype"/>
        </w:rPr>
        <w:t>Resolutora</w:t>
      </w:r>
      <w:proofErr w:type="spellEnd"/>
      <w:r w:rsidRPr="003C2E92">
        <w:rPr>
          <w:rFonts w:ascii="Palatino Linotype" w:eastAsia="Palatino Linotype" w:hAnsi="Palatino Linotype" w:cs="Palatino Linotype"/>
        </w:rPr>
        <w:t xml:space="preserve"> en señalar la existencia de los  documentos en formato digital, es para estudiar la improcedencia del cambio de modalidad presencial ya que esta representa el motivo de inconformidad señalado por </w:t>
      </w:r>
      <w:r w:rsidRPr="003C2E92">
        <w:rPr>
          <w:rFonts w:ascii="Palatino Linotype" w:eastAsia="Palatino Linotype" w:hAnsi="Palatino Linotype" w:cs="Palatino Linotype"/>
          <w:b/>
        </w:rPr>
        <w:t>EL RECURRENTE</w:t>
      </w:r>
      <w:r w:rsidRPr="003C2E92">
        <w:rPr>
          <w:rFonts w:ascii="Palatino Linotype" w:eastAsia="Palatino Linotype" w:hAnsi="Palatino Linotype" w:cs="Palatino Linotype"/>
        </w:rPr>
        <w:t xml:space="preserve"> y, si bien, el argumento esgrimido por </w:t>
      </w:r>
      <w:r w:rsidRPr="003C2E92">
        <w:rPr>
          <w:rFonts w:ascii="Palatino Linotype" w:eastAsia="Palatino Linotype" w:hAnsi="Palatino Linotype" w:cs="Palatino Linotype"/>
          <w:b/>
        </w:rPr>
        <w:t>EL SUJETO OBLIGADO</w:t>
      </w:r>
      <w:r w:rsidRPr="003C2E92">
        <w:rPr>
          <w:rFonts w:ascii="Palatino Linotype" w:eastAsia="Palatino Linotype" w:hAnsi="Palatino Linotype" w:cs="Palatino Linotype"/>
        </w:rPr>
        <w:t xml:space="preserve"> </w:t>
      </w:r>
      <w:r w:rsidRPr="003C2E92">
        <w:rPr>
          <w:rFonts w:ascii="Palatino Linotype" w:eastAsia="Palatino Linotype" w:hAnsi="Palatino Linotype" w:cs="Palatino Linotype"/>
        </w:rPr>
        <w:lastRenderedPageBreak/>
        <w:t xml:space="preserve">para recurrir a este cambio es que una sola persona lleva el control de la información, lo cierto es que gran parte de esta se encuentra digitalizada y disponible, aunado a que de la interpretación sistemática y armónica de los artículos 92, fracciones XLII y L, así como 93 de la Ley de Transparencia y </w:t>
      </w:r>
      <w:proofErr w:type="spellStart"/>
      <w:r w:rsidRPr="003C2E92">
        <w:rPr>
          <w:rFonts w:ascii="Palatino Linotype" w:eastAsia="Palatino Linotype" w:hAnsi="Palatino Linotype" w:cs="Palatino Linotype"/>
        </w:rPr>
        <w:t>Accesso</w:t>
      </w:r>
      <w:proofErr w:type="spellEnd"/>
      <w:r w:rsidRPr="003C2E92">
        <w:rPr>
          <w:rFonts w:ascii="Palatino Linotype" w:eastAsia="Palatino Linotype" w:hAnsi="Palatino Linotype" w:cs="Palatino Linotype"/>
        </w:rPr>
        <w:t xml:space="preserve"> a la Información Pública del Estado de México y Municipios mismos que indican lo que a continuación se señala: </w:t>
      </w:r>
    </w:p>
    <w:p w14:paraId="09D16CF4" w14:textId="77777777" w:rsidR="00442EBB" w:rsidRPr="003C2E92" w:rsidRDefault="00D31B5B">
      <w:pPr>
        <w:widowControl w:val="0"/>
        <w:tabs>
          <w:tab w:val="left" w:pos="1276"/>
        </w:tabs>
        <w:ind w:left="850" w:right="89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w:t>
      </w:r>
      <w:r w:rsidRPr="003C2E92">
        <w:rPr>
          <w:rFonts w:ascii="Palatino Linotype" w:eastAsia="Palatino Linotype" w:hAnsi="Palatino Linotype" w:cs="Palatino Linotype"/>
          <w:b/>
          <w:i/>
          <w:sz w:val="22"/>
          <w:szCs w:val="22"/>
        </w:rPr>
        <w:t>Artículo 92.</w:t>
      </w:r>
      <w:r w:rsidRPr="003C2E92">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24D91E0" w14:textId="77777777" w:rsidR="00442EBB" w:rsidRPr="003C2E92" w:rsidRDefault="00D31B5B">
      <w:pPr>
        <w:widowControl w:val="0"/>
        <w:tabs>
          <w:tab w:val="left" w:pos="1276"/>
        </w:tabs>
        <w:ind w:left="850" w:right="89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w:t>
      </w:r>
    </w:p>
    <w:p w14:paraId="34E211EC" w14:textId="77777777" w:rsidR="00442EBB" w:rsidRPr="003C2E92" w:rsidRDefault="00D31B5B">
      <w:pPr>
        <w:widowControl w:val="0"/>
        <w:tabs>
          <w:tab w:val="left" w:pos="1276"/>
        </w:tabs>
        <w:ind w:left="850" w:right="89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XLII. Los programas que ofrecen, incluyendo información sobre la población, objetivo y destino, tiempos de respuesta, requisitos y formatos para acceder a los mismos;</w:t>
      </w:r>
    </w:p>
    <w:p w14:paraId="5FD65284" w14:textId="77777777" w:rsidR="00442EBB" w:rsidRPr="003C2E92" w:rsidRDefault="00D31B5B">
      <w:pPr>
        <w:widowControl w:val="0"/>
        <w:tabs>
          <w:tab w:val="left" w:pos="1276"/>
        </w:tabs>
        <w:ind w:left="850" w:right="89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w:t>
      </w:r>
    </w:p>
    <w:p w14:paraId="3C286C3E" w14:textId="77777777" w:rsidR="00442EBB" w:rsidRPr="003C2E92" w:rsidRDefault="00D31B5B">
      <w:pPr>
        <w:widowControl w:val="0"/>
        <w:tabs>
          <w:tab w:val="left" w:pos="1276"/>
        </w:tabs>
        <w:ind w:left="850" w:right="89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L. Las actas de sesiones ordinarias y extraordinarias, así como las opiniones y recomendaciones de los consejos consultivos;</w:t>
      </w:r>
    </w:p>
    <w:p w14:paraId="75CD5BA4" w14:textId="77777777" w:rsidR="00442EBB" w:rsidRPr="003C2E92" w:rsidRDefault="00442EBB">
      <w:pPr>
        <w:widowControl w:val="0"/>
        <w:tabs>
          <w:tab w:val="left" w:pos="1276"/>
        </w:tabs>
        <w:ind w:left="850" w:right="899"/>
        <w:jc w:val="both"/>
        <w:rPr>
          <w:rFonts w:ascii="Palatino Linotype" w:eastAsia="Palatino Linotype" w:hAnsi="Palatino Linotype" w:cs="Palatino Linotype"/>
          <w:i/>
          <w:sz w:val="22"/>
          <w:szCs w:val="22"/>
        </w:rPr>
      </w:pPr>
    </w:p>
    <w:p w14:paraId="6241899A" w14:textId="77777777" w:rsidR="00442EBB" w:rsidRPr="003C2E92" w:rsidRDefault="00D31B5B">
      <w:pPr>
        <w:widowControl w:val="0"/>
        <w:tabs>
          <w:tab w:val="left" w:pos="1276"/>
        </w:tabs>
        <w:ind w:left="850" w:right="89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Artículo 93.</w:t>
      </w:r>
      <w:r w:rsidRPr="003C2E92">
        <w:rPr>
          <w:rFonts w:ascii="Palatino Linotype" w:eastAsia="Palatino Linotype" w:hAnsi="Palatino Linotype" w:cs="Palatino Linotype"/>
          <w:i/>
          <w:sz w:val="22"/>
          <w:szCs w:val="22"/>
        </w:rPr>
        <w:t xml:space="preserve"> Los sujetos obligados deberán informar al Instituto y verificar que se publiquen en la Plataforma Nacional, cuáles son los rubros que son aplicables a sus páginas de Internet, con el objeto de que éstos verifiquen y aprueben, de forma fundada y motivada, la relación de fracciones aplicables a cada sujeto obligado.”(Sic)</w:t>
      </w:r>
    </w:p>
    <w:p w14:paraId="0748CFDC" w14:textId="77777777" w:rsidR="00442EBB" w:rsidRPr="003C2E92" w:rsidRDefault="00D31B5B">
      <w:pPr>
        <w:widowControl w:val="0"/>
        <w:tabs>
          <w:tab w:val="left" w:pos="1276"/>
        </w:tabs>
        <w:ind w:left="850" w:right="89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(Énfasis añadido)</w:t>
      </w:r>
    </w:p>
    <w:p w14:paraId="0F5AE884" w14:textId="77777777" w:rsidR="00442EBB" w:rsidRPr="003C2E92" w:rsidRDefault="00442EBB">
      <w:pPr>
        <w:widowControl w:val="0"/>
        <w:tabs>
          <w:tab w:val="left" w:pos="1276"/>
        </w:tabs>
        <w:spacing w:before="240" w:after="280" w:line="360" w:lineRule="auto"/>
        <w:jc w:val="both"/>
        <w:rPr>
          <w:rFonts w:ascii="Palatino Linotype" w:eastAsia="Palatino Linotype" w:hAnsi="Palatino Linotype" w:cs="Palatino Linotype"/>
        </w:rPr>
      </w:pPr>
    </w:p>
    <w:p w14:paraId="2D96CF45" w14:textId="52218BC0" w:rsidR="00442EBB" w:rsidRPr="003C2E92" w:rsidRDefault="00D31B5B">
      <w:pPr>
        <w:widowControl w:val="0"/>
        <w:tabs>
          <w:tab w:val="left" w:pos="1276"/>
        </w:tabs>
        <w:spacing w:before="240" w:after="28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rPr>
        <w:t xml:space="preserve">Se puede concluir que la información solicitada por </w:t>
      </w:r>
      <w:r w:rsidRPr="003C2E92">
        <w:rPr>
          <w:rFonts w:ascii="Palatino Linotype" w:eastAsia="Palatino Linotype" w:hAnsi="Palatino Linotype" w:cs="Palatino Linotype"/>
          <w:b/>
        </w:rPr>
        <w:t xml:space="preserve">EL RECURRENTE </w:t>
      </w:r>
      <w:r w:rsidRPr="003C2E92">
        <w:rPr>
          <w:rFonts w:ascii="Palatino Linotype" w:eastAsia="Palatino Linotype" w:hAnsi="Palatino Linotype" w:cs="Palatino Linotype"/>
        </w:rPr>
        <w:t xml:space="preserve">debe ser puesta a disposición por mandato de ley en la plataforma digital IPOMEX destinada para tal efecto y por tanto resulta procedente ordenar la entrega de la misma en la modalidad elegida por el solicitante ahora </w:t>
      </w:r>
      <w:r w:rsidRPr="003C2E92">
        <w:rPr>
          <w:rFonts w:ascii="Palatino Linotype" w:eastAsia="Palatino Linotype" w:hAnsi="Palatino Linotype" w:cs="Palatino Linotype"/>
          <w:b/>
        </w:rPr>
        <w:t>RECURRENTE</w:t>
      </w:r>
      <w:r w:rsidR="00913D36" w:rsidRPr="003C2E92">
        <w:rPr>
          <w:rFonts w:ascii="Palatino Linotype" w:eastAsia="Palatino Linotype" w:hAnsi="Palatino Linotype" w:cs="Palatino Linotype"/>
          <w:b/>
        </w:rPr>
        <w:t xml:space="preserve"> </w:t>
      </w:r>
      <w:r w:rsidRPr="003C2E92">
        <w:rPr>
          <w:rFonts w:ascii="Palatino Linotype" w:eastAsia="Palatino Linotype" w:hAnsi="Palatino Linotype" w:cs="Palatino Linotype"/>
          <w:color w:val="000000"/>
        </w:rPr>
        <w:t xml:space="preserve">de los periodos de tiempo requeridos y realizando una minuciosa revisión de los documentos para llevar </w:t>
      </w:r>
      <w:r w:rsidRPr="003C2E92">
        <w:rPr>
          <w:rFonts w:ascii="Palatino Linotype" w:eastAsia="Palatino Linotype" w:hAnsi="Palatino Linotype" w:cs="Palatino Linotype"/>
        </w:rPr>
        <w:t>a cabo</w:t>
      </w:r>
      <w:r w:rsidRPr="003C2E92">
        <w:rPr>
          <w:rFonts w:ascii="Palatino Linotype" w:eastAsia="Palatino Linotype" w:hAnsi="Palatino Linotype" w:cs="Palatino Linotype"/>
          <w:color w:val="000000"/>
        </w:rPr>
        <w:t xml:space="preserve"> la entrega </w:t>
      </w:r>
      <w:r w:rsidRPr="003C2E92">
        <w:rPr>
          <w:rFonts w:ascii="Palatino Linotype" w:eastAsia="Palatino Linotype" w:hAnsi="Palatino Linotype" w:cs="Palatino Linotype"/>
          <w:color w:val="000000"/>
        </w:rPr>
        <w:lastRenderedPageBreak/>
        <w:t>en la correcta versión pública.</w:t>
      </w:r>
    </w:p>
    <w:p w14:paraId="0D9A5034"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En ese sentido, sólo podrán ser testados los datos que actualicen las hipótesis normativas previstas en el artículo 143 de la Ley de Transparencia y Acceso a la Información Pública del Estado de México y Municipios y deberá procederse a su clasificación mediante las formalidades de Ley, es decir, que el Comité de Transparencia del </w:t>
      </w:r>
      <w:r w:rsidRPr="003C2E92">
        <w:rPr>
          <w:rFonts w:ascii="Palatino Linotype" w:eastAsia="Palatino Linotype" w:hAnsi="Palatino Linotype" w:cs="Palatino Linotype"/>
          <w:b/>
        </w:rPr>
        <w:t>SUJETO OBLIGADO</w:t>
      </w:r>
      <w:r w:rsidRPr="003C2E92">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4038EF7"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Por ende, </w:t>
      </w:r>
      <w:r w:rsidRPr="003C2E92">
        <w:rPr>
          <w:rFonts w:ascii="Palatino Linotype" w:eastAsia="Palatino Linotype" w:hAnsi="Palatino Linotype" w:cs="Palatino Linotype"/>
          <w:b/>
        </w:rPr>
        <w:t>EL SUJETO OBLIGADO</w:t>
      </w:r>
      <w:r w:rsidRPr="003C2E92">
        <w:rPr>
          <w:rFonts w:ascii="Palatino Linotype" w:eastAsia="Palatino Linotype" w:hAnsi="Palatino Linotype" w:cs="Palatino Linotype"/>
        </w:rPr>
        <w:t xml:space="preserve"> debe testar los datos confidenciales, sin pasar por alto que la clasificación respectiva tiene que cumplirse mediante la forma y formalidades adecuadas;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3C2E92">
        <w:rPr>
          <w:rFonts w:ascii="Palatino Linotype" w:eastAsia="Palatino Linotype" w:hAnsi="Palatino Linotype" w:cs="Palatino Linotype"/>
        </w:rPr>
        <w:lastRenderedPageBreak/>
        <w:t>de la Información, así como para la elaboración de Versiones Públicas, que literalmente expresan:</w:t>
      </w:r>
    </w:p>
    <w:p w14:paraId="47907CC9" w14:textId="77777777" w:rsidR="00442EBB" w:rsidRPr="003C2E92" w:rsidRDefault="00D31B5B">
      <w:pPr>
        <w:ind w:left="709" w:right="709"/>
        <w:jc w:val="center"/>
        <w:rPr>
          <w:rFonts w:ascii="Palatino Linotype" w:eastAsia="Palatino Linotype" w:hAnsi="Palatino Linotype" w:cs="Palatino Linotype"/>
          <w:b/>
          <w:i/>
          <w:sz w:val="22"/>
          <w:szCs w:val="22"/>
        </w:rPr>
      </w:pPr>
      <w:r w:rsidRPr="003C2E92">
        <w:rPr>
          <w:rFonts w:ascii="Palatino Linotype" w:eastAsia="Palatino Linotype" w:hAnsi="Palatino Linotype" w:cs="Palatino Linotype"/>
          <w:b/>
          <w:i/>
          <w:sz w:val="22"/>
          <w:szCs w:val="22"/>
        </w:rPr>
        <w:t>Ley de Transparencia y Acceso a la Información Pública del Estado de México y Municipios</w:t>
      </w:r>
    </w:p>
    <w:p w14:paraId="0D1009F5" w14:textId="77777777" w:rsidR="00442EBB" w:rsidRPr="003C2E92" w:rsidRDefault="00D31B5B">
      <w:pPr>
        <w:tabs>
          <w:tab w:val="left" w:pos="851"/>
        </w:tabs>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w:t>
      </w:r>
      <w:r w:rsidRPr="003C2E92">
        <w:rPr>
          <w:rFonts w:ascii="Palatino Linotype" w:eastAsia="Palatino Linotype" w:hAnsi="Palatino Linotype" w:cs="Palatino Linotype"/>
          <w:b/>
          <w:i/>
          <w:sz w:val="22"/>
          <w:szCs w:val="22"/>
        </w:rPr>
        <w:t xml:space="preserve">Artículo 49. </w:t>
      </w:r>
      <w:r w:rsidRPr="003C2E92">
        <w:rPr>
          <w:rFonts w:ascii="Palatino Linotype" w:eastAsia="Palatino Linotype" w:hAnsi="Palatino Linotype" w:cs="Palatino Linotype"/>
          <w:i/>
          <w:sz w:val="22"/>
          <w:szCs w:val="22"/>
        </w:rPr>
        <w:t>Los Comités de Transparencia tendrán las siguientes atribuciones:</w:t>
      </w:r>
    </w:p>
    <w:p w14:paraId="3B5AB4CD"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VIII.</w:t>
      </w:r>
      <w:r w:rsidRPr="003C2E92">
        <w:rPr>
          <w:rFonts w:ascii="Palatino Linotype" w:eastAsia="Palatino Linotype" w:hAnsi="Palatino Linotype" w:cs="Palatino Linotype"/>
          <w:i/>
          <w:sz w:val="22"/>
          <w:szCs w:val="22"/>
        </w:rPr>
        <w:t xml:space="preserve"> Aprobar, modificar o revocar la clasificación de la información;</w:t>
      </w:r>
    </w:p>
    <w:p w14:paraId="21D6EA2D"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Artículo 132.</w:t>
      </w:r>
      <w:r w:rsidRPr="003C2E92">
        <w:rPr>
          <w:rFonts w:ascii="Palatino Linotype" w:eastAsia="Palatino Linotype" w:hAnsi="Palatino Linotype" w:cs="Palatino Linotype"/>
          <w:i/>
          <w:sz w:val="22"/>
          <w:szCs w:val="22"/>
        </w:rPr>
        <w:t xml:space="preserve"> La clasificación de la información se llevará a cabo en el momento en que:</w:t>
      </w:r>
    </w:p>
    <w:p w14:paraId="4CE281AF"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w:t>
      </w:r>
    </w:p>
    <w:p w14:paraId="2895FF67"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II.</w:t>
      </w:r>
      <w:r w:rsidRPr="003C2E92">
        <w:rPr>
          <w:rFonts w:ascii="Palatino Linotype" w:eastAsia="Palatino Linotype" w:hAnsi="Palatino Linotype" w:cs="Palatino Linotype"/>
          <w:i/>
          <w:sz w:val="22"/>
          <w:szCs w:val="22"/>
        </w:rPr>
        <w:t xml:space="preserve"> Se determine mediante resolución de autoridad competente; o</w:t>
      </w:r>
    </w:p>
    <w:p w14:paraId="1D73CA51"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III</w:t>
      </w:r>
      <w:r w:rsidRPr="003C2E92">
        <w:rPr>
          <w:rFonts w:ascii="Palatino Linotype" w:eastAsia="Palatino Linotype" w:hAnsi="Palatino Linotype" w:cs="Palatino Linotype"/>
          <w:i/>
          <w:sz w:val="22"/>
          <w:szCs w:val="22"/>
        </w:rPr>
        <w:t>. Se generen versiones públicas para dar cumplimiento a las obligaciones de transparencia previstas en esta Ley.”</w:t>
      </w:r>
    </w:p>
    <w:p w14:paraId="7E254C3B" w14:textId="77777777" w:rsidR="00442EBB" w:rsidRPr="003C2E92" w:rsidRDefault="00D31B5B">
      <w:pPr>
        <w:ind w:left="709" w:right="709"/>
        <w:jc w:val="center"/>
        <w:rPr>
          <w:rFonts w:ascii="Palatino Linotype" w:eastAsia="Palatino Linotype" w:hAnsi="Palatino Linotype" w:cs="Palatino Linotype"/>
          <w:b/>
          <w:i/>
          <w:sz w:val="22"/>
          <w:szCs w:val="22"/>
        </w:rPr>
      </w:pPr>
      <w:r w:rsidRPr="003C2E92">
        <w:rPr>
          <w:rFonts w:ascii="Palatino Linotype" w:eastAsia="Palatino Linotype" w:hAnsi="Palatino Linotype" w:cs="Palatino Linotype"/>
          <w:b/>
          <w:i/>
          <w:sz w:val="22"/>
          <w:szCs w:val="22"/>
        </w:rPr>
        <w:t>Lineamientos Generales en materia de Clasificación y Desclasificación de la Información</w:t>
      </w:r>
    </w:p>
    <w:p w14:paraId="77EA6638"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w:t>
      </w:r>
      <w:r w:rsidRPr="003C2E92">
        <w:rPr>
          <w:rFonts w:ascii="Palatino Linotype" w:eastAsia="Palatino Linotype" w:hAnsi="Palatino Linotype" w:cs="Palatino Linotype"/>
          <w:b/>
          <w:i/>
          <w:sz w:val="22"/>
          <w:szCs w:val="22"/>
        </w:rPr>
        <w:t>Segundo.-</w:t>
      </w:r>
      <w:r w:rsidRPr="003C2E92">
        <w:rPr>
          <w:rFonts w:ascii="Palatino Linotype" w:eastAsia="Palatino Linotype" w:hAnsi="Palatino Linotype" w:cs="Palatino Linotype"/>
          <w:i/>
          <w:sz w:val="22"/>
          <w:szCs w:val="22"/>
        </w:rPr>
        <w:t xml:space="preserve"> Para efectos de los presentes Lineamientos Generales, se entenderá por:</w:t>
      </w:r>
    </w:p>
    <w:p w14:paraId="76607D08"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XVIII.</w:t>
      </w:r>
      <w:r w:rsidRPr="003C2E92">
        <w:rPr>
          <w:rFonts w:ascii="Palatino Linotype" w:eastAsia="Palatino Linotype" w:hAnsi="Palatino Linotype" w:cs="Palatino Linotype"/>
          <w:i/>
          <w:sz w:val="22"/>
          <w:szCs w:val="22"/>
        </w:rPr>
        <w:t xml:space="preserve"> </w:t>
      </w:r>
      <w:r w:rsidRPr="003C2E92">
        <w:rPr>
          <w:rFonts w:ascii="Palatino Linotype" w:eastAsia="Palatino Linotype" w:hAnsi="Palatino Linotype" w:cs="Palatino Linotype"/>
          <w:b/>
          <w:i/>
          <w:sz w:val="22"/>
          <w:szCs w:val="22"/>
        </w:rPr>
        <w:t>Versión pública:</w:t>
      </w:r>
      <w:r w:rsidRPr="003C2E9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C2E92">
        <w:rPr>
          <w:rFonts w:ascii="Palatino Linotype" w:eastAsia="Palatino Linotype" w:hAnsi="Palatino Linotype" w:cs="Palatino Linotype"/>
          <w:b/>
          <w:i/>
          <w:sz w:val="22"/>
          <w:szCs w:val="22"/>
          <w:u w:val="single"/>
        </w:rPr>
        <w:t>fundando y motivando</w:t>
      </w:r>
      <w:r w:rsidRPr="003C2E92">
        <w:rPr>
          <w:rFonts w:ascii="Palatino Linotype" w:eastAsia="Palatino Linotype" w:hAnsi="Palatino Linotype" w:cs="Palatino Linotype"/>
          <w:b/>
          <w:i/>
          <w:sz w:val="22"/>
          <w:szCs w:val="22"/>
        </w:rPr>
        <w:t xml:space="preserve"> </w:t>
      </w:r>
      <w:r w:rsidRPr="003C2E92">
        <w:rPr>
          <w:rFonts w:ascii="Palatino Linotype" w:eastAsia="Palatino Linotype" w:hAnsi="Palatino Linotype" w:cs="Palatino Linotype"/>
          <w:b/>
          <w:i/>
          <w:sz w:val="22"/>
          <w:szCs w:val="22"/>
          <w:u w:val="single"/>
        </w:rPr>
        <w:t>la</w:t>
      </w:r>
      <w:r w:rsidRPr="003C2E92">
        <w:rPr>
          <w:rFonts w:ascii="Palatino Linotype" w:eastAsia="Palatino Linotype" w:hAnsi="Palatino Linotype" w:cs="Palatino Linotype"/>
          <w:i/>
          <w:sz w:val="22"/>
          <w:szCs w:val="22"/>
        </w:rPr>
        <w:t xml:space="preserve"> reserva o </w:t>
      </w:r>
      <w:r w:rsidRPr="003C2E92">
        <w:rPr>
          <w:rFonts w:ascii="Palatino Linotype" w:eastAsia="Palatino Linotype" w:hAnsi="Palatino Linotype" w:cs="Palatino Linotype"/>
          <w:b/>
          <w:i/>
          <w:sz w:val="22"/>
          <w:szCs w:val="22"/>
          <w:u w:val="single"/>
        </w:rPr>
        <w:t>confidencialidad</w:t>
      </w:r>
      <w:r w:rsidRPr="003C2E92">
        <w:rPr>
          <w:rFonts w:ascii="Palatino Linotype" w:eastAsia="Palatino Linotype" w:hAnsi="Palatino Linotype" w:cs="Palatino Linotype"/>
          <w:i/>
          <w:sz w:val="22"/>
          <w:szCs w:val="22"/>
        </w:rPr>
        <w:t>, a través de la resolución que para tal efecto emita el Comité de Transparencia.</w:t>
      </w:r>
    </w:p>
    <w:p w14:paraId="6EA9A47F"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Cuarto.</w:t>
      </w:r>
      <w:r w:rsidRPr="003C2E92">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D18A16E"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4F5FE8F"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Quinto.</w:t>
      </w:r>
      <w:r w:rsidRPr="003C2E9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C3388B1"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Sexto.</w:t>
      </w:r>
      <w:r w:rsidRPr="003C2E92">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00FD8D9"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14:paraId="3AFEE1E9"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Séptimo.</w:t>
      </w:r>
      <w:r w:rsidRPr="003C2E92">
        <w:rPr>
          <w:rFonts w:ascii="Palatino Linotype" w:eastAsia="Palatino Linotype" w:hAnsi="Palatino Linotype" w:cs="Palatino Linotype"/>
          <w:i/>
          <w:sz w:val="22"/>
          <w:szCs w:val="22"/>
        </w:rPr>
        <w:t xml:space="preserve"> La clasificación de la información se llevará a cabo en el momento en que:</w:t>
      </w:r>
    </w:p>
    <w:p w14:paraId="5F2D82C1"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I.</w:t>
      </w:r>
      <w:r w:rsidRPr="003C2E92">
        <w:rPr>
          <w:rFonts w:ascii="Palatino Linotype" w:eastAsia="Palatino Linotype" w:hAnsi="Palatino Linotype" w:cs="Palatino Linotype"/>
          <w:i/>
          <w:sz w:val="22"/>
          <w:szCs w:val="22"/>
        </w:rPr>
        <w:t xml:space="preserve"> Se reciba una solicitud de acceso a la información;</w:t>
      </w:r>
    </w:p>
    <w:p w14:paraId="6FFE2184"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II.</w:t>
      </w:r>
      <w:r w:rsidRPr="003C2E92">
        <w:rPr>
          <w:rFonts w:ascii="Palatino Linotype" w:eastAsia="Palatino Linotype" w:hAnsi="Palatino Linotype" w:cs="Palatino Linotype"/>
          <w:i/>
          <w:sz w:val="22"/>
          <w:szCs w:val="22"/>
        </w:rPr>
        <w:t xml:space="preserve"> Se determine mediante resolución de autoridad competente, o</w:t>
      </w:r>
    </w:p>
    <w:p w14:paraId="0358CB61"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III.</w:t>
      </w:r>
      <w:r w:rsidRPr="003C2E9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07EF6A0"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1C7F5F3"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Octavo.</w:t>
      </w:r>
      <w:r w:rsidRPr="003C2E9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F3329FF"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8DEDBE3"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58A67728"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5361A0B"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0791C9AD"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Noveno.</w:t>
      </w:r>
      <w:r w:rsidRPr="003C2E9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EF2B5BB"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Décimo.</w:t>
      </w:r>
      <w:r w:rsidRPr="003C2E9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032B681"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490382B"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lastRenderedPageBreak/>
        <w:t>Décimo primero.</w:t>
      </w:r>
      <w:r w:rsidRPr="003C2E9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BC7CA7F" w14:textId="77777777" w:rsidR="00442EBB" w:rsidRPr="003C2E92" w:rsidRDefault="00D31B5B">
      <w:pPr>
        <w:ind w:left="709" w:right="709"/>
        <w:jc w:val="both"/>
        <w:rPr>
          <w:rFonts w:ascii="Palatino Linotype" w:eastAsia="Palatino Linotype" w:hAnsi="Palatino Linotype" w:cs="Palatino Linotype"/>
          <w:sz w:val="22"/>
          <w:szCs w:val="22"/>
        </w:rPr>
      </w:pPr>
      <w:r w:rsidRPr="003C2E92">
        <w:rPr>
          <w:rFonts w:ascii="Palatino Linotype" w:eastAsia="Palatino Linotype" w:hAnsi="Palatino Linotype" w:cs="Palatino Linotype"/>
          <w:sz w:val="22"/>
          <w:szCs w:val="22"/>
        </w:rPr>
        <w:t>(Énfasis Añadido)</w:t>
      </w:r>
    </w:p>
    <w:p w14:paraId="1AB0542A"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Por lo tanto, es importante referir que </w:t>
      </w:r>
      <w:r w:rsidRPr="003C2E92">
        <w:rPr>
          <w:rFonts w:ascii="Palatino Linotype" w:eastAsia="Palatino Linotype" w:hAnsi="Palatino Linotype" w:cs="Palatino Linotype"/>
          <w:b/>
        </w:rPr>
        <w:t>EL SUJETO OBLIGADO</w:t>
      </w:r>
      <w:r w:rsidRPr="003C2E92">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3C2E92">
        <w:rPr>
          <w:rFonts w:ascii="Palatino Linotype" w:eastAsia="Palatino Linotype" w:hAnsi="Palatino Linotype" w:cs="Palatino Linotype"/>
          <w:b/>
        </w:rPr>
        <w:t xml:space="preserve"> </w:t>
      </w:r>
      <w:r w:rsidRPr="003C2E92">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999838E" w14:textId="77777777" w:rsidR="00442EBB" w:rsidRPr="003C2E92" w:rsidRDefault="00D31B5B">
      <w:pPr>
        <w:widowControl w:val="0"/>
        <w:spacing w:before="120" w:after="12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En ese sentido, debe observarse lo señalado en los artículos 3 fracciones IX, XXI y XXIII y 143 fracción I y penúltimo párrafo de la Ley de Transparencia y Acceso a la Información Pública del Estado de México y Municipios y 4 fracción XI de la Ley de Protección de Datos Personales en Posesión de Sujetos Obligados del Estado de México y Municipios</w:t>
      </w:r>
    </w:p>
    <w:p w14:paraId="1158D68D" w14:textId="77777777" w:rsidR="00442EBB" w:rsidRPr="003C2E92" w:rsidRDefault="00D31B5B">
      <w:pPr>
        <w:ind w:left="709" w:right="709"/>
        <w:jc w:val="center"/>
        <w:rPr>
          <w:rFonts w:ascii="Palatino Linotype" w:eastAsia="Palatino Linotype" w:hAnsi="Palatino Linotype" w:cs="Palatino Linotype"/>
          <w:b/>
          <w:i/>
          <w:sz w:val="22"/>
          <w:szCs w:val="22"/>
        </w:rPr>
      </w:pPr>
      <w:r w:rsidRPr="003C2E92">
        <w:rPr>
          <w:rFonts w:ascii="Palatino Linotype" w:eastAsia="Palatino Linotype" w:hAnsi="Palatino Linotype" w:cs="Palatino Linotype"/>
          <w:b/>
          <w:i/>
          <w:sz w:val="22"/>
          <w:szCs w:val="22"/>
        </w:rPr>
        <w:t>Ley de Transparencia y Acceso a la Información Pública del Estado de México y Municipios</w:t>
      </w:r>
    </w:p>
    <w:p w14:paraId="182B8B5C" w14:textId="77777777" w:rsidR="00442EBB" w:rsidRPr="003C2E92" w:rsidRDefault="00D31B5B">
      <w:pPr>
        <w:ind w:left="709" w:right="709"/>
        <w:jc w:val="both"/>
        <w:rPr>
          <w:rFonts w:ascii="Palatino Linotype" w:eastAsia="Palatino Linotype" w:hAnsi="Palatino Linotype" w:cs="Palatino Linotype"/>
          <w:b/>
          <w:i/>
          <w:sz w:val="22"/>
          <w:szCs w:val="22"/>
        </w:rPr>
      </w:pPr>
      <w:r w:rsidRPr="003C2E92">
        <w:rPr>
          <w:rFonts w:ascii="Palatino Linotype" w:eastAsia="Palatino Linotype" w:hAnsi="Palatino Linotype" w:cs="Palatino Linotype"/>
          <w:i/>
          <w:sz w:val="22"/>
          <w:szCs w:val="22"/>
        </w:rPr>
        <w:t>“</w:t>
      </w:r>
      <w:r w:rsidRPr="003C2E92">
        <w:rPr>
          <w:rFonts w:ascii="Palatino Linotype" w:eastAsia="Palatino Linotype" w:hAnsi="Palatino Linotype" w:cs="Palatino Linotype"/>
          <w:b/>
          <w:i/>
          <w:sz w:val="22"/>
          <w:szCs w:val="22"/>
        </w:rPr>
        <w:t xml:space="preserve">Artículo 3. </w:t>
      </w:r>
      <w:r w:rsidRPr="003C2E92">
        <w:rPr>
          <w:rFonts w:ascii="Palatino Linotype" w:eastAsia="Palatino Linotype" w:hAnsi="Palatino Linotype" w:cs="Palatino Linotype"/>
          <w:b/>
          <w:i/>
          <w:sz w:val="22"/>
          <w:szCs w:val="22"/>
          <w:u w:val="single"/>
        </w:rPr>
        <w:t>Para los efectos de la presente Ley se entenderá por</w:t>
      </w:r>
      <w:r w:rsidRPr="003C2E92">
        <w:rPr>
          <w:rFonts w:ascii="Palatino Linotype" w:eastAsia="Palatino Linotype" w:hAnsi="Palatino Linotype" w:cs="Palatino Linotype"/>
          <w:i/>
          <w:sz w:val="22"/>
          <w:szCs w:val="22"/>
        </w:rPr>
        <w:t>:</w:t>
      </w:r>
    </w:p>
    <w:p w14:paraId="598DFB5F"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lastRenderedPageBreak/>
        <w:t>…</w:t>
      </w:r>
    </w:p>
    <w:p w14:paraId="36F15922" w14:textId="77777777" w:rsidR="00442EBB" w:rsidRPr="003C2E92" w:rsidRDefault="00D31B5B">
      <w:pPr>
        <w:ind w:left="709" w:right="709"/>
        <w:jc w:val="both"/>
        <w:rPr>
          <w:rFonts w:ascii="Palatino Linotype" w:eastAsia="Palatino Linotype" w:hAnsi="Palatino Linotype" w:cs="Palatino Linotype"/>
          <w:b/>
          <w:i/>
          <w:sz w:val="22"/>
          <w:szCs w:val="22"/>
        </w:rPr>
      </w:pPr>
      <w:r w:rsidRPr="003C2E92">
        <w:rPr>
          <w:rFonts w:ascii="Palatino Linotype" w:eastAsia="Palatino Linotype" w:hAnsi="Palatino Linotype" w:cs="Palatino Linotype"/>
          <w:b/>
          <w:i/>
          <w:sz w:val="22"/>
          <w:szCs w:val="22"/>
        </w:rPr>
        <w:t>IX.</w:t>
      </w:r>
      <w:r w:rsidRPr="003C2E92">
        <w:rPr>
          <w:rFonts w:ascii="Palatino Linotype" w:eastAsia="Palatino Linotype" w:hAnsi="Palatino Linotype" w:cs="Palatino Linotype"/>
          <w:b/>
          <w:i/>
          <w:sz w:val="22"/>
          <w:szCs w:val="22"/>
        </w:rPr>
        <w:tab/>
        <w:t xml:space="preserve">Datos personales: </w:t>
      </w:r>
      <w:r w:rsidRPr="003C2E92">
        <w:rPr>
          <w:rFonts w:ascii="Palatino Linotype" w:eastAsia="Palatino Linotype" w:hAnsi="Palatino Linotype" w:cs="Palatino Linotype"/>
          <w:b/>
          <w:i/>
          <w:sz w:val="22"/>
          <w:szCs w:val="22"/>
          <w:u w:val="single"/>
        </w:rPr>
        <w:t>La información concerniente a una persona, identificada o identificable</w:t>
      </w:r>
      <w:r w:rsidRPr="003C2E92">
        <w:rPr>
          <w:rFonts w:ascii="Palatino Linotype" w:eastAsia="Palatino Linotype" w:hAnsi="Palatino Linotype" w:cs="Palatino Linotype"/>
          <w:b/>
          <w:i/>
          <w:sz w:val="22"/>
          <w:szCs w:val="22"/>
        </w:rPr>
        <w:t xml:space="preserve"> </w:t>
      </w:r>
      <w:r w:rsidRPr="003C2E92">
        <w:rPr>
          <w:rFonts w:ascii="Palatino Linotype" w:eastAsia="Palatino Linotype" w:hAnsi="Palatino Linotype" w:cs="Palatino Linotype"/>
          <w:i/>
          <w:sz w:val="22"/>
          <w:szCs w:val="22"/>
        </w:rPr>
        <w:t>según lo dispuesto por la Ley de Protección de Datos Personales del Estado de México;</w:t>
      </w:r>
    </w:p>
    <w:p w14:paraId="63F53D39"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w:t>
      </w:r>
    </w:p>
    <w:p w14:paraId="523AA5AC"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XXI.</w:t>
      </w:r>
      <w:r w:rsidRPr="003C2E92">
        <w:rPr>
          <w:rFonts w:ascii="Palatino Linotype" w:eastAsia="Palatino Linotype" w:hAnsi="Palatino Linotype" w:cs="Palatino Linotype"/>
          <w:i/>
          <w:sz w:val="22"/>
          <w:szCs w:val="22"/>
        </w:rPr>
        <w:tab/>
      </w:r>
      <w:r w:rsidRPr="003C2E92">
        <w:rPr>
          <w:rFonts w:ascii="Palatino Linotype" w:eastAsia="Palatino Linotype" w:hAnsi="Palatino Linotype" w:cs="Palatino Linotype"/>
          <w:b/>
          <w:i/>
          <w:sz w:val="22"/>
          <w:szCs w:val="22"/>
          <w:u w:val="single"/>
        </w:rPr>
        <w:t>Información confidencial</w:t>
      </w:r>
      <w:r w:rsidRPr="003C2E92">
        <w:rPr>
          <w:rFonts w:ascii="Palatino Linotype" w:eastAsia="Palatino Linotype" w:hAnsi="Palatino Linotype" w:cs="Palatino Linotype"/>
          <w:i/>
          <w:sz w:val="22"/>
          <w:szCs w:val="22"/>
        </w:rPr>
        <w:t xml:space="preserve">: </w:t>
      </w:r>
      <w:r w:rsidRPr="003C2E92">
        <w:rPr>
          <w:rFonts w:ascii="Palatino Linotype" w:eastAsia="Palatino Linotype" w:hAnsi="Palatino Linotype" w:cs="Palatino Linotype"/>
          <w:b/>
          <w:i/>
          <w:sz w:val="22"/>
          <w:szCs w:val="22"/>
          <w:u w:val="single"/>
        </w:rPr>
        <w:t>Se considera como información confidencial</w:t>
      </w:r>
      <w:r w:rsidRPr="003C2E92">
        <w:rPr>
          <w:rFonts w:ascii="Palatino Linotype" w:eastAsia="Palatino Linotype" w:hAnsi="Palatino Linotype" w:cs="Palatino Linotype"/>
          <w:i/>
          <w:sz w:val="22"/>
          <w:szCs w:val="22"/>
        </w:rPr>
        <w:t xml:space="preserve"> los secretos bancario, fiduciario, industrial, comercial, fiscal, bursátil y postal, </w:t>
      </w:r>
      <w:r w:rsidRPr="003C2E92">
        <w:rPr>
          <w:rFonts w:ascii="Palatino Linotype" w:eastAsia="Palatino Linotype" w:hAnsi="Palatino Linotype" w:cs="Palatino Linotype"/>
          <w:b/>
          <w:i/>
          <w:sz w:val="22"/>
          <w:szCs w:val="22"/>
          <w:u w:val="single"/>
        </w:rPr>
        <w:t>cuya titularidad corresponda a particulares</w:t>
      </w:r>
      <w:r w:rsidRPr="003C2E92">
        <w:rPr>
          <w:rFonts w:ascii="Palatino Linotype" w:eastAsia="Palatino Linotype" w:hAnsi="Palatino Linotype" w:cs="Palatino Linotype"/>
          <w:i/>
          <w:sz w:val="22"/>
          <w:szCs w:val="22"/>
        </w:rPr>
        <w:t xml:space="preserve">, sujetos de derecho internacional o a sujetos obligados </w:t>
      </w:r>
      <w:r w:rsidRPr="003C2E92">
        <w:rPr>
          <w:rFonts w:ascii="Palatino Linotype" w:eastAsia="Palatino Linotype" w:hAnsi="Palatino Linotype" w:cs="Palatino Linotype"/>
          <w:b/>
          <w:i/>
          <w:sz w:val="22"/>
          <w:szCs w:val="22"/>
          <w:u w:val="single"/>
        </w:rPr>
        <w:t>cuando no involucren el ejercicio de recursos públicos</w:t>
      </w:r>
      <w:r w:rsidRPr="003C2E92">
        <w:rPr>
          <w:rFonts w:ascii="Palatino Linotype" w:eastAsia="Palatino Linotype" w:hAnsi="Palatino Linotype" w:cs="Palatino Linotype"/>
          <w:i/>
          <w:sz w:val="22"/>
          <w:szCs w:val="22"/>
        </w:rPr>
        <w:t>;</w:t>
      </w:r>
    </w:p>
    <w:p w14:paraId="2EF29BE4"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w:t>
      </w:r>
    </w:p>
    <w:p w14:paraId="2C533C97"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XXIII. Información privada</w:t>
      </w:r>
      <w:r w:rsidRPr="003C2E92">
        <w:rPr>
          <w:rFonts w:ascii="Palatino Linotype" w:eastAsia="Palatino Linotype" w:hAnsi="Palatino Linotype" w:cs="Palatino Linotype"/>
          <w:i/>
          <w:sz w:val="22"/>
          <w:szCs w:val="22"/>
        </w:rPr>
        <w:t xml:space="preserve">: </w:t>
      </w:r>
      <w:r w:rsidRPr="003C2E92">
        <w:rPr>
          <w:rFonts w:ascii="Palatino Linotype" w:eastAsia="Palatino Linotype" w:hAnsi="Palatino Linotype" w:cs="Palatino Linotype"/>
          <w:b/>
          <w:i/>
          <w:sz w:val="22"/>
          <w:szCs w:val="22"/>
          <w:u w:val="single"/>
        </w:rPr>
        <w:t>La contenida en documentos públicos</w:t>
      </w:r>
      <w:r w:rsidRPr="003C2E92">
        <w:rPr>
          <w:rFonts w:ascii="Palatino Linotype" w:eastAsia="Palatino Linotype" w:hAnsi="Palatino Linotype" w:cs="Palatino Linotype"/>
          <w:i/>
          <w:sz w:val="22"/>
          <w:szCs w:val="22"/>
        </w:rPr>
        <w:t xml:space="preserve"> o privados </w:t>
      </w:r>
      <w:r w:rsidRPr="003C2E92">
        <w:rPr>
          <w:rFonts w:ascii="Palatino Linotype" w:eastAsia="Palatino Linotype" w:hAnsi="Palatino Linotype" w:cs="Palatino Linotype"/>
          <w:b/>
          <w:i/>
          <w:sz w:val="22"/>
          <w:szCs w:val="22"/>
          <w:u w:val="single"/>
        </w:rPr>
        <w:t>que refiera a la vida privada y/o los datos personales</w:t>
      </w:r>
      <w:r w:rsidRPr="003C2E92">
        <w:rPr>
          <w:rFonts w:ascii="Palatino Linotype" w:eastAsia="Palatino Linotype" w:hAnsi="Palatino Linotype" w:cs="Palatino Linotype"/>
          <w:i/>
          <w:sz w:val="22"/>
          <w:szCs w:val="22"/>
        </w:rPr>
        <w:t xml:space="preserve">, </w:t>
      </w:r>
      <w:r w:rsidRPr="003C2E92">
        <w:rPr>
          <w:rFonts w:ascii="Palatino Linotype" w:eastAsia="Palatino Linotype" w:hAnsi="Palatino Linotype" w:cs="Palatino Linotype"/>
          <w:b/>
          <w:i/>
          <w:sz w:val="22"/>
          <w:szCs w:val="22"/>
          <w:u w:val="single"/>
        </w:rPr>
        <w:t>que no son de acceso público</w:t>
      </w:r>
      <w:r w:rsidRPr="003C2E92">
        <w:rPr>
          <w:rFonts w:ascii="Palatino Linotype" w:eastAsia="Palatino Linotype" w:hAnsi="Palatino Linotype" w:cs="Palatino Linotype"/>
          <w:i/>
          <w:sz w:val="22"/>
          <w:szCs w:val="22"/>
        </w:rPr>
        <w:t>;</w:t>
      </w:r>
    </w:p>
    <w:p w14:paraId="104840A1"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Artículo 143</w:t>
      </w:r>
      <w:r w:rsidRPr="003C2E92">
        <w:rPr>
          <w:rFonts w:ascii="Palatino Linotype" w:eastAsia="Palatino Linotype" w:hAnsi="Palatino Linotype" w:cs="Palatino Linotype"/>
          <w:i/>
          <w:sz w:val="22"/>
          <w:szCs w:val="22"/>
        </w:rPr>
        <w:t xml:space="preserve">. </w:t>
      </w:r>
      <w:r w:rsidRPr="003C2E92">
        <w:rPr>
          <w:rFonts w:ascii="Palatino Linotype" w:eastAsia="Palatino Linotype" w:hAnsi="Palatino Linotype" w:cs="Palatino Linotype"/>
          <w:b/>
          <w:i/>
          <w:sz w:val="22"/>
          <w:szCs w:val="22"/>
          <w:u w:val="single"/>
        </w:rPr>
        <w:t>Para los efectos de esta Ley se considera información confidencial</w:t>
      </w:r>
      <w:r w:rsidRPr="003C2E92">
        <w:rPr>
          <w:rFonts w:ascii="Palatino Linotype" w:eastAsia="Palatino Linotype" w:hAnsi="Palatino Linotype" w:cs="Palatino Linotype"/>
          <w:i/>
          <w:sz w:val="22"/>
          <w:szCs w:val="22"/>
        </w:rPr>
        <w:t xml:space="preserve">, la clasificada como tal, </w:t>
      </w:r>
      <w:r w:rsidRPr="003C2E92">
        <w:rPr>
          <w:rFonts w:ascii="Palatino Linotype" w:eastAsia="Palatino Linotype" w:hAnsi="Palatino Linotype" w:cs="Palatino Linotype"/>
          <w:b/>
          <w:i/>
          <w:sz w:val="22"/>
          <w:szCs w:val="22"/>
          <w:u w:val="single"/>
        </w:rPr>
        <w:t>de manera permanente, por su naturaleza, cuando</w:t>
      </w:r>
      <w:r w:rsidRPr="003C2E92">
        <w:rPr>
          <w:rFonts w:ascii="Palatino Linotype" w:eastAsia="Palatino Linotype" w:hAnsi="Palatino Linotype" w:cs="Palatino Linotype"/>
          <w:i/>
          <w:sz w:val="22"/>
          <w:szCs w:val="22"/>
        </w:rPr>
        <w:t xml:space="preserve">: </w:t>
      </w:r>
    </w:p>
    <w:p w14:paraId="3EE416D0"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 xml:space="preserve">I. </w:t>
      </w:r>
      <w:r w:rsidRPr="003C2E92">
        <w:rPr>
          <w:rFonts w:ascii="Palatino Linotype" w:eastAsia="Palatino Linotype" w:hAnsi="Palatino Linotype" w:cs="Palatino Linotype"/>
          <w:b/>
          <w:i/>
          <w:sz w:val="22"/>
          <w:szCs w:val="22"/>
          <w:u w:val="single"/>
        </w:rPr>
        <w:t>Se refiera a la información privada</w:t>
      </w:r>
      <w:r w:rsidRPr="003C2E92">
        <w:rPr>
          <w:rFonts w:ascii="Palatino Linotype" w:eastAsia="Palatino Linotype" w:hAnsi="Palatino Linotype" w:cs="Palatino Linotype"/>
          <w:i/>
          <w:sz w:val="22"/>
          <w:szCs w:val="22"/>
        </w:rPr>
        <w:t xml:space="preserve"> y los datos personales c</w:t>
      </w:r>
      <w:r w:rsidRPr="003C2E92">
        <w:rPr>
          <w:rFonts w:ascii="Palatino Linotype" w:eastAsia="Palatino Linotype" w:hAnsi="Palatino Linotype" w:cs="Palatino Linotype"/>
          <w:b/>
          <w:i/>
          <w:sz w:val="22"/>
          <w:szCs w:val="22"/>
          <w:u w:val="single"/>
        </w:rPr>
        <w:t xml:space="preserve">oncernientes a una persona física </w:t>
      </w:r>
      <w:r w:rsidRPr="003C2E92">
        <w:rPr>
          <w:rFonts w:ascii="Palatino Linotype" w:eastAsia="Palatino Linotype" w:hAnsi="Palatino Linotype" w:cs="Palatino Linotype"/>
          <w:i/>
          <w:sz w:val="22"/>
          <w:szCs w:val="22"/>
        </w:rPr>
        <w:t xml:space="preserve">o </w:t>
      </w:r>
      <w:proofErr w:type="gramStart"/>
      <w:r w:rsidRPr="003C2E92">
        <w:rPr>
          <w:rFonts w:ascii="Palatino Linotype" w:eastAsia="Palatino Linotype" w:hAnsi="Palatino Linotype" w:cs="Palatino Linotype"/>
          <w:i/>
          <w:sz w:val="22"/>
          <w:szCs w:val="22"/>
        </w:rPr>
        <w:t>jurídico</w:t>
      </w:r>
      <w:proofErr w:type="gramEnd"/>
      <w:r w:rsidRPr="003C2E92">
        <w:rPr>
          <w:rFonts w:ascii="Palatino Linotype" w:eastAsia="Palatino Linotype" w:hAnsi="Palatino Linotype" w:cs="Palatino Linotype"/>
          <w:i/>
          <w:sz w:val="22"/>
          <w:szCs w:val="22"/>
        </w:rPr>
        <w:t xml:space="preserve"> colectiva </w:t>
      </w:r>
      <w:r w:rsidRPr="003C2E92">
        <w:rPr>
          <w:rFonts w:ascii="Palatino Linotype" w:eastAsia="Palatino Linotype" w:hAnsi="Palatino Linotype" w:cs="Palatino Linotype"/>
          <w:b/>
          <w:i/>
          <w:sz w:val="22"/>
          <w:szCs w:val="22"/>
          <w:u w:val="single"/>
        </w:rPr>
        <w:t>identificada o identificable</w:t>
      </w:r>
      <w:r w:rsidRPr="003C2E92">
        <w:rPr>
          <w:rFonts w:ascii="Palatino Linotype" w:eastAsia="Palatino Linotype" w:hAnsi="Palatino Linotype" w:cs="Palatino Linotype"/>
          <w:i/>
          <w:sz w:val="22"/>
          <w:szCs w:val="22"/>
        </w:rPr>
        <w:t xml:space="preserve">; </w:t>
      </w:r>
    </w:p>
    <w:p w14:paraId="4F4BF77D"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II</w:t>
      </w:r>
      <w:proofErr w:type="gramStart"/>
      <w:r w:rsidRPr="003C2E92">
        <w:rPr>
          <w:rFonts w:ascii="Palatino Linotype" w:eastAsia="Palatino Linotype" w:hAnsi="Palatino Linotype" w:cs="Palatino Linotype"/>
          <w:i/>
          <w:sz w:val="22"/>
          <w:szCs w:val="22"/>
        </w:rPr>
        <w:t>. …</w:t>
      </w:r>
      <w:proofErr w:type="gramEnd"/>
      <w:r w:rsidRPr="003C2E92">
        <w:rPr>
          <w:rFonts w:ascii="Palatino Linotype" w:eastAsia="Palatino Linotype" w:hAnsi="Palatino Linotype" w:cs="Palatino Linotype"/>
          <w:i/>
          <w:sz w:val="22"/>
          <w:szCs w:val="22"/>
        </w:rPr>
        <w:t xml:space="preserve"> </w:t>
      </w:r>
    </w:p>
    <w:p w14:paraId="30624CA7"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III</w:t>
      </w:r>
      <w:proofErr w:type="gramStart"/>
      <w:r w:rsidRPr="003C2E92">
        <w:rPr>
          <w:rFonts w:ascii="Palatino Linotype" w:eastAsia="Palatino Linotype" w:hAnsi="Palatino Linotype" w:cs="Palatino Linotype"/>
          <w:i/>
          <w:sz w:val="22"/>
          <w:szCs w:val="22"/>
        </w:rPr>
        <w:t>. …</w:t>
      </w:r>
      <w:proofErr w:type="gramEnd"/>
      <w:r w:rsidRPr="003C2E92">
        <w:rPr>
          <w:rFonts w:ascii="Palatino Linotype" w:eastAsia="Palatino Linotype" w:hAnsi="Palatino Linotype" w:cs="Palatino Linotype"/>
          <w:i/>
          <w:sz w:val="22"/>
          <w:szCs w:val="22"/>
        </w:rPr>
        <w:t xml:space="preserve"> </w:t>
      </w:r>
    </w:p>
    <w:p w14:paraId="46237F21"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u w:val="single"/>
        </w:rPr>
        <w:t>La información confidencial</w:t>
      </w:r>
      <w:r w:rsidRPr="003C2E92">
        <w:rPr>
          <w:rFonts w:ascii="Palatino Linotype" w:eastAsia="Palatino Linotype" w:hAnsi="Palatino Linotype" w:cs="Palatino Linotype"/>
          <w:i/>
          <w:sz w:val="22"/>
          <w:szCs w:val="22"/>
        </w:rPr>
        <w:t xml:space="preserve"> no estará sujeta a temporalidad alguna y </w:t>
      </w:r>
      <w:r w:rsidRPr="003C2E92">
        <w:rPr>
          <w:rFonts w:ascii="Palatino Linotype" w:eastAsia="Palatino Linotype" w:hAnsi="Palatino Linotype" w:cs="Palatino Linotype"/>
          <w:b/>
          <w:i/>
          <w:sz w:val="22"/>
          <w:szCs w:val="22"/>
          <w:u w:val="single"/>
        </w:rPr>
        <w:t>sólo podrán tener acceso a ella los titulares de la misma, sus representantes y los servidores públicos facultados para ello</w:t>
      </w:r>
      <w:r w:rsidRPr="003C2E92">
        <w:rPr>
          <w:rFonts w:ascii="Palatino Linotype" w:eastAsia="Palatino Linotype" w:hAnsi="Palatino Linotype" w:cs="Palatino Linotype"/>
          <w:i/>
          <w:sz w:val="22"/>
          <w:szCs w:val="22"/>
        </w:rPr>
        <w:t xml:space="preserve">. </w:t>
      </w:r>
    </w:p>
    <w:p w14:paraId="5AD0F45F"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D3BC31F" w14:textId="77777777" w:rsidR="00442EBB" w:rsidRPr="003C2E92" w:rsidRDefault="00D31B5B">
      <w:pPr>
        <w:ind w:left="709" w:right="709"/>
        <w:jc w:val="center"/>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Ley de Protección de Datos Personales en Posesión de Sujetos Obligados del Estado de México y Municipios</w:t>
      </w:r>
    </w:p>
    <w:p w14:paraId="18B9313D"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w:t>
      </w:r>
      <w:r w:rsidRPr="003C2E92">
        <w:rPr>
          <w:rFonts w:ascii="Palatino Linotype" w:eastAsia="Palatino Linotype" w:hAnsi="Palatino Linotype" w:cs="Palatino Linotype"/>
          <w:b/>
          <w:i/>
          <w:sz w:val="22"/>
          <w:szCs w:val="22"/>
        </w:rPr>
        <w:t>Artículo 4</w:t>
      </w:r>
      <w:r w:rsidRPr="003C2E92">
        <w:rPr>
          <w:rFonts w:ascii="Palatino Linotype" w:eastAsia="Palatino Linotype" w:hAnsi="Palatino Linotype" w:cs="Palatino Linotype"/>
          <w:i/>
          <w:sz w:val="22"/>
          <w:szCs w:val="22"/>
        </w:rPr>
        <w:t xml:space="preserve">.- </w:t>
      </w:r>
      <w:r w:rsidRPr="003C2E92">
        <w:rPr>
          <w:rFonts w:ascii="Palatino Linotype" w:eastAsia="Palatino Linotype" w:hAnsi="Palatino Linotype" w:cs="Palatino Linotype"/>
          <w:b/>
          <w:i/>
          <w:sz w:val="22"/>
          <w:szCs w:val="22"/>
          <w:u w:val="single"/>
        </w:rPr>
        <w:t>Para los efectos de esta Ley se entenderá por</w:t>
      </w:r>
      <w:r w:rsidRPr="003C2E92">
        <w:rPr>
          <w:rFonts w:ascii="Palatino Linotype" w:eastAsia="Palatino Linotype" w:hAnsi="Palatino Linotype" w:cs="Palatino Linotype"/>
          <w:i/>
          <w:sz w:val="22"/>
          <w:szCs w:val="22"/>
        </w:rPr>
        <w:t>:</w:t>
      </w:r>
    </w:p>
    <w:p w14:paraId="13A2B4C0"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i/>
          <w:sz w:val="22"/>
          <w:szCs w:val="22"/>
        </w:rPr>
        <w:t>…</w:t>
      </w:r>
    </w:p>
    <w:p w14:paraId="63FCD714" w14:textId="77777777" w:rsidR="00442EBB" w:rsidRPr="003C2E92" w:rsidRDefault="00D31B5B">
      <w:pPr>
        <w:ind w:left="709" w:right="709"/>
        <w:jc w:val="both"/>
        <w:rPr>
          <w:rFonts w:ascii="Palatino Linotype" w:eastAsia="Palatino Linotype" w:hAnsi="Palatino Linotype" w:cs="Palatino Linotype"/>
          <w:i/>
          <w:sz w:val="22"/>
          <w:szCs w:val="22"/>
        </w:rPr>
      </w:pPr>
      <w:r w:rsidRPr="003C2E92">
        <w:rPr>
          <w:rFonts w:ascii="Palatino Linotype" w:eastAsia="Palatino Linotype" w:hAnsi="Palatino Linotype" w:cs="Palatino Linotype"/>
          <w:b/>
          <w:i/>
          <w:sz w:val="22"/>
          <w:szCs w:val="22"/>
        </w:rPr>
        <w:t xml:space="preserve">XI. </w:t>
      </w:r>
      <w:r w:rsidRPr="003C2E92">
        <w:rPr>
          <w:rFonts w:ascii="Palatino Linotype" w:eastAsia="Palatino Linotype" w:hAnsi="Palatino Linotype" w:cs="Palatino Linotype"/>
          <w:b/>
          <w:i/>
          <w:sz w:val="22"/>
          <w:szCs w:val="22"/>
          <w:u w:val="single"/>
        </w:rPr>
        <w:t>Datos personales</w:t>
      </w:r>
      <w:r w:rsidRPr="003C2E92">
        <w:rPr>
          <w:rFonts w:ascii="Palatino Linotype" w:eastAsia="Palatino Linotype" w:hAnsi="Palatino Linotype" w:cs="Palatino Linotype"/>
          <w:i/>
          <w:sz w:val="22"/>
          <w:szCs w:val="22"/>
        </w:rPr>
        <w:t xml:space="preserve">: a </w:t>
      </w:r>
      <w:r w:rsidRPr="003C2E92">
        <w:rPr>
          <w:rFonts w:ascii="Palatino Linotype" w:eastAsia="Palatino Linotype" w:hAnsi="Palatino Linotype" w:cs="Palatino Linotype"/>
          <w:b/>
          <w:i/>
          <w:sz w:val="22"/>
          <w:szCs w:val="22"/>
          <w:u w:val="single"/>
        </w:rPr>
        <w:t>la información concerniente a una persona física o jurídica colectiva identificada o identificable</w:t>
      </w:r>
      <w:r w:rsidRPr="003C2E92">
        <w:rPr>
          <w:rFonts w:ascii="Palatino Linotype" w:eastAsia="Palatino Linotype" w:hAnsi="Palatino Linotype" w:cs="Palatino Linotype"/>
          <w:i/>
          <w:sz w:val="22"/>
          <w:szCs w:val="22"/>
        </w:rPr>
        <w:t xml:space="preserve">, establecida en cualquier formato o modalidad, y que esté almacenada en los sistemas y bases de datos, </w:t>
      </w:r>
      <w:r w:rsidRPr="003C2E92">
        <w:rPr>
          <w:rFonts w:ascii="Palatino Linotype" w:eastAsia="Palatino Linotype" w:hAnsi="Palatino Linotype" w:cs="Palatino Linotype"/>
          <w:b/>
          <w:i/>
          <w:sz w:val="22"/>
          <w:szCs w:val="22"/>
          <w:u w:val="single"/>
        </w:rPr>
        <w:t>se considerará que una persona es identificable cuando su identidad pueda determinarse directa o indirectamente</w:t>
      </w:r>
      <w:r w:rsidRPr="003C2E92">
        <w:rPr>
          <w:rFonts w:ascii="Palatino Linotype" w:eastAsia="Palatino Linotype" w:hAnsi="Palatino Linotype" w:cs="Palatino Linotype"/>
          <w:i/>
          <w:sz w:val="22"/>
          <w:szCs w:val="22"/>
        </w:rPr>
        <w:t xml:space="preserve"> a través de cualquier documento informativo físico o electrónico.”</w:t>
      </w:r>
    </w:p>
    <w:p w14:paraId="75D41658" w14:textId="77777777" w:rsidR="00442EBB" w:rsidRPr="003C2E92" w:rsidRDefault="00D31B5B">
      <w:pPr>
        <w:ind w:left="709" w:right="709"/>
        <w:jc w:val="both"/>
        <w:rPr>
          <w:rFonts w:ascii="Palatino Linotype" w:eastAsia="Palatino Linotype" w:hAnsi="Palatino Linotype" w:cs="Palatino Linotype"/>
          <w:sz w:val="22"/>
          <w:szCs w:val="22"/>
        </w:rPr>
      </w:pPr>
      <w:r w:rsidRPr="003C2E92">
        <w:rPr>
          <w:rFonts w:ascii="Palatino Linotype" w:eastAsia="Palatino Linotype" w:hAnsi="Palatino Linotype" w:cs="Palatino Linotype"/>
          <w:sz w:val="22"/>
          <w:szCs w:val="22"/>
        </w:rPr>
        <w:t>(Énfasis añadido)</w:t>
      </w:r>
    </w:p>
    <w:p w14:paraId="646A2660" w14:textId="77777777" w:rsidR="00442EBB" w:rsidRPr="003C2E92" w:rsidRDefault="00D31B5B">
      <w:pPr>
        <w:widowControl w:val="0"/>
        <w:pBdr>
          <w:top w:val="nil"/>
          <w:left w:val="nil"/>
          <w:bottom w:val="nil"/>
          <w:right w:val="nil"/>
          <w:between w:val="nil"/>
        </w:pBdr>
        <w:spacing w:before="200" w:after="20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color w:val="000000"/>
        </w:rPr>
        <w:t xml:space="preserve">De una interpretación armónica y sistemática de dichos preceptos jurídicos, podemos advertir que la información privada es aquella contenida en documentos de orden </w:t>
      </w:r>
      <w:r w:rsidRPr="003C2E92">
        <w:rPr>
          <w:rFonts w:ascii="Palatino Linotype" w:eastAsia="Palatino Linotype" w:hAnsi="Palatino Linotype" w:cs="Palatino Linotype"/>
          <w:color w:val="000000"/>
        </w:rPr>
        <w:lastRenderedPageBreak/>
        <w:t xml:space="preserve">público que se refiera o contenga, a su vez, datos personales, los cuales no serán de acceso público. En ese mismo sentido, los datos personales son aquellos que conciernen a una persona, ya sea física o jurídica colectiva, que </w:t>
      </w:r>
      <w:r w:rsidRPr="003C2E92">
        <w:rPr>
          <w:rFonts w:ascii="Palatino Linotype" w:eastAsia="Palatino Linotype" w:hAnsi="Palatino Linotype" w:cs="Palatino Linotype"/>
          <w:b/>
          <w:color w:val="000000"/>
          <w:u w:val="single"/>
        </w:rPr>
        <w:t>la hacen identificada o identificable</w:t>
      </w:r>
      <w:r w:rsidRPr="003C2E92">
        <w:rPr>
          <w:rFonts w:ascii="Palatino Linotype" w:eastAsia="Palatino Linotype" w:hAnsi="Palatino Linotype" w:cs="Palatino Linotype"/>
          <w:color w:val="000000"/>
        </w:rPr>
        <w:t>; lo anterior, siempre que no involucren el ejercicio de recursos públicos.</w:t>
      </w:r>
    </w:p>
    <w:p w14:paraId="574F2D2E" w14:textId="77777777" w:rsidR="00442EBB" w:rsidRPr="003C2E92" w:rsidRDefault="00D31B5B">
      <w:pPr>
        <w:widowControl w:val="0"/>
        <w:pBdr>
          <w:top w:val="nil"/>
          <w:left w:val="nil"/>
          <w:bottom w:val="nil"/>
          <w:right w:val="nil"/>
          <w:between w:val="nil"/>
        </w:pBdr>
        <w:spacing w:before="200" w:after="20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color w:val="000000"/>
        </w:rPr>
        <w:t xml:space="preserve">Por último, no se omite señalar que </w:t>
      </w:r>
      <w:r w:rsidRPr="003C2E92">
        <w:rPr>
          <w:rFonts w:ascii="Palatino Linotype" w:eastAsia="Palatino Linotype" w:hAnsi="Palatino Linotype" w:cs="Palatino Linotype"/>
          <w:b/>
          <w:color w:val="000000"/>
        </w:rPr>
        <w:t>EL RECURRENTE</w:t>
      </w:r>
      <w:r w:rsidRPr="003C2E92">
        <w:rPr>
          <w:rFonts w:ascii="Palatino Linotype" w:eastAsia="Palatino Linotype" w:hAnsi="Palatino Linotype" w:cs="Palatino Linotype"/>
          <w:color w:val="000000"/>
        </w:rPr>
        <w:t xml:space="preserve"> dentro de sus motivos o razones de inconformidad manifestó lo que a continuación se transcribe:</w:t>
      </w:r>
    </w:p>
    <w:p w14:paraId="138524AA" w14:textId="77777777" w:rsidR="00442EBB" w:rsidRPr="003C2E92" w:rsidRDefault="00D31B5B">
      <w:pPr>
        <w:widowControl w:val="0"/>
        <w:pBdr>
          <w:top w:val="nil"/>
          <w:left w:val="nil"/>
          <w:bottom w:val="nil"/>
          <w:right w:val="nil"/>
          <w:between w:val="nil"/>
        </w:pBdr>
        <w:ind w:left="851" w:right="902"/>
        <w:jc w:val="both"/>
        <w:rPr>
          <w:rFonts w:ascii="Palatino Linotype" w:eastAsia="Palatino Linotype" w:hAnsi="Palatino Linotype" w:cs="Palatino Linotype"/>
          <w:color w:val="000000"/>
          <w:sz w:val="22"/>
          <w:szCs w:val="22"/>
        </w:rPr>
      </w:pPr>
      <w:r w:rsidRPr="003C2E92">
        <w:rPr>
          <w:rFonts w:ascii="Palatino Linotype" w:eastAsia="Palatino Linotype" w:hAnsi="Palatino Linotype" w:cs="Palatino Linotype"/>
          <w:i/>
          <w:color w:val="000000"/>
          <w:sz w:val="22"/>
          <w:szCs w:val="22"/>
        </w:rPr>
        <w:t xml:space="preserve">“Pretenden cambiar unilateralmente la modalidad de entrega, cuando ya </w:t>
      </w:r>
      <w:proofErr w:type="spellStart"/>
      <w:r w:rsidRPr="003C2E92">
        <w:rPr>
          <w:rFonts w:ascii="Palatino Linotype" w:eastAsia="Palatino Linotype" w:hAnsi="Palatino Linotype" w:cs="Palatino Linotype"/>
          <w:i/>
          <w:color w:val="000000"/>
          <w:sz w:val="22"/>
          <w:szCs w:val="22"/>
        </w:rPr>
        <w:t>esta</w:t>
      </w:r>
      <w:proofErr w:type="spellEnd"/>
      <w:r w:rsidRPr="003C2E92">
        <w:rPr>
          <w:rFonts w:ascii="Palatino Linotype" w:eastAsia="Palatino Linotype" w:hAnsi="Palatino Linotype" w:cs="Palatino Linotype"/>
          <w:i/>
          <w:color w:val="000000"/>
          <w:sz w:val="22"/>
          <w:szCs w:val="22"/>
        </w:rPr>
        <w:t xml:space="preserve"> identificada, </w:t>
      </w:r>
      <w:proofErr w:type="spellStart"/>
      <w:r w:rsidRPr="003C2E92">
        <w:rPr>
          <w:rFonts w:ascii="Palatino Linotype" w:eastAsia="Palatino Linotype" w:hAnsi="Palatino Linotype" w:cs="Palatino Linotype"/>
          <w:b/>
          <w:i/>
          <w:color w:val="000000"/>
          <w:sz w:val="22"/>
          <w:szCs w:val="22"/>
        </w:rPr>
        <w:t>ademas</w:t>
      </w:r>
      <w:proofErr w:type="spellEnd"/>
      <w:r w:rsidRPr="003C2E92">
        <w:rPr>
          <w:rFonts w:ascii="Palatino Linotype" w:eastAsia="Palatino Linotype" w:hAnsi="Palatino Linotype" w:cs="Palatino Linotype"/>
          <w:b/>
          <w:i/>
          <w:color w:val="000000"/>
          <w:sz w:val="22"/>
          <w:szCs w:val="22"/>
        </w:rPr>
        <w:t xml:space="preserve"> de que menciona que mediante oficios </w:t>
      </w:r>
      <w:proofErr w:type="spellStart"/>
      <w:r w:rsidRPr="003C2E92">
        <w:rPr>
          <w:rFonts w:ascii="Palatino Linotype" w:eastAsia="Palatino Linotype" w:hAnsi="Palatino Linotype" w:cs="Palatino Linotype"/>
          <w:b/>
          <w:i/>
          <w:color w:val="000000"/>
          <w:sz w:val="22"/>
          <w:szCs w:val="22"/>
        </w:rPr>
        <w:t>numeros</w:t>
      </w:r>
      <w:proofErr w:type="spellEnd"/>
      <w:r w:rsidRPr="003C2E92">
        <w:rPr>
          <w:rFonts w:ascii="Palatino Linotype" w:eastAsia="Palatino Linotype" w:hAnsi="Palatino Linotype" w:cs="Palatino Linotype"/>
          <w:b/>
          <w:i/>
          <w:color w:val="000000"/>
          <w:sz w:val="22"/>
          <w:szCs w:val="22"/>
        </w:rPr>
        <w:t xml:space="preserve"> tales las </w:t>
      </w:r>
      <w:proofErr w:type="spellStart"/>
      <w:r w:rsidRPr="003C2E92">
        <w:rPr>
          <w:rFonts w:ascii="Palatino Linotype" w:eastAsia="Palatino Linotype" w:hAnsi="Palatino Linotype" w:cs="Palatino Linotype"/>
          <w:b/>
          <w:i/>
          <w:color w:val="000000"/>
          <w:sz w:val="22"/>
          <w:szCs w:val="22"/>
        </w:rPr>
        <w:t>areas</w:t>
      </w:r>
      <w:proofErr w:type="spellEnd"/>
      <w:r w:rsidRPr="003C2E92">
        <w:rPr>
          <w:rFonts w:ascii="Palatino Linotype" w:eastAsia="Palatino Linotype" w:hAnsi="Palatino Linotype" w:cs="Palatino Linotype"/>
          <w:b/>
          <w:i/>
          <w:color w:val="000000"/>
          <w:sz w:val="22"/>
          <w:szCs w:val="22"/>
        </w:rPr>
        <w:t xml:space="preserve"> cambian, y no los adjunta en la propia respuesta, muy convenientemente.</w:t>
      </w:r>
      <w:r w:rsidRPr="003C2E92">
        <w:rPr>
          <w:rFonts w:ascii="Palatino Linotype" w:eastAsia="Palatino Linotype" w:hAnsi="Palatino Linotype" w:cs="Palatino Linotype"/>
          <w:i/>
          <w:color w:val="000000"/>
          <w:sz w:val="22"/>
          <w:szCs w:val="22"/>
        </w:rPr>
        <w:t xml:space="preserve"> No se observa un caso excepcional para cambar la modalidad</w:t>
      </w:r>
      <w:r w:rsidRPr="003C2E92">
        <w:rPr>
          <w:rFonts w:ascii="Palatino Linotype" w:eastAsia="Palatino Linotype" w:hAnsi="Palatino Linotype" w:cs="Palatino Linotype"/>
          <w:color w:val="000000"/>
          <w:sz w:val="22"/>
          <w:szCs w:val="22"/>
        </w:rPr>
        <w:t>.”(Sic)</w:t>
      </w:r>
    </w:p>
    <w:p w14:paraId="75DC5742" w14:textId="77777777" w:rsidR="00442EBB" w:rsidRPr="003C2E92" w:rsidRDefault="00D31B5B">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3C2E92">
        <w:rPr>
          <w:rFonts w:ascii="Palatino Linotype" w:eastAsia="Palatino Linotype" w:hAnsi="Palatino Linotype" w:cs="Palatino Linotype"/>
          <w:i/>
          <w:color w:val="000000"/>
          <w:sz w:val="22"/>
          <w:szCs w:val="22"/>
        </w:rPr>
        <w:t>(Énfasis añadido)</w:t>
      </w:r>
    </w:p>
    <w:p w14:paraId="210C8673" w14:textId="77777777" w:rsidR="00442EBB" w:rsidRPr="003C2E92" w:rsidRDefault="00442EBB">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788EACD6" w14:textId="0ED0D59A" w:rsidR="00442EBB" w:rsidRPr="003C2E92" w:rsidRDefault="00D31B5B">
      <w:pPr>
        <w:widowControl w:val="0"/>
        <w:pBdr>
          <w:top w:val="nil"/>
          <w:left w:val="nil"/>
          <w:bottom w:val="nil"/>
          <w:right w:val="nil"/>
          <w:between w:val="nil"/>
        </w:pBdr>
        <w:spacing w:line="360" w:lineRule="auto"/>
        <w:ind w:right="51"/>
        <w:jc w:val="both"/>
        <w:rPr>
          <w:rFonts w:ascii="Palatino Linotype" w:eastAsia="Palatino Linotype" w:hAnsi="Palatino Linotype" w:cs="Palatino Linotype"/>
          <w:color w:val="000000"/>
          <w:sz w:val="22"/>
          <w:szCs w:val="22"/>
        </w:rPr>
      </w:pPr>
      <w:r w:rsidRPr="003C2E92">
        <w:rPr>
          <w:rFonts w:ascii="Palatino Linotype" w:eastAsia="Palatino Linotype" w:hAnsi="Palatino Linotype" w:cs="Palatino Linotype"/>
          <w:color w:val="000000"/>
        </w:rPr>
        <w:t xml:space="preserve">De la parte resaltada en la cita anterior se puede apreciar que </w:t>
      </w:r>
      <w:r w:rsidRPr="003C2E92">
        <w:rPr>
          <w:rFonts w:ascii="Palatino Linotype" w:eastAsia="Palatino Linotype" w:hAnsi="Palatino Linotype" w:cs="Palatino Linotype"/>
          <w:b/>
          <w:color w:val="000000"/>
        </w:rPr>
        <w:t>EL RECURRENTE</w:t>
      </w:r>
      <w:r w:rsidRPr="003C2E92">
        <w:rPr>
          <w:rFonts w:ascii="Palatino Linotype" w:eastAsia="Palatino Linotype" w:hAnsi="Palatino Linotype" w:cs="Palatino Linotype"/>
          <w:color w:val="000000"/>
        </w:rPr>
        <w:t xml:space="preserve"> se inconforma de que no le fueron remitidos los oficios en los que se solicita el cambio de modalidad por parte de las diferentes áreas del </w:t>
      </w:r>
      <w:r w:rsidRPr="003C2E92">
        <w:rPr>
          <w:rFonts w:ascii="Palatino Linotype" w:eastAsia="Palatino Linotype" w:hAnsi="Palatino Linotype" w:cs="Palatino Linotype"/>
          <w:b/>
          <w:color w:val="000000"/>
        </w:rPr>
        <w:t>SUEJTO OBLIGADO</w:t>
      </w:r>
      <w:r w:rsidRPr="003C2E92">
        <w:rPr>
          <w:rFonts w:ascii="Palatino Linotype" w:eastAsia="Palatino Linotype" w:hAnsi="Palatino Linotype" w:cs="Palatino Linotype"/>
          <w:color w:val="000000"/>
        </w:rPr>
        <w:t xml:space="preserve">, por lo que si bien no se puso a la vista en razón de que el cambio de modalidad persiste y como ya fue sustentado a lo largo de este estudio, dicho cambio resultó improcedente; esta Ponencia </w:t>
      </w:r>
      <w:proofErr w:type="spellStart"/>
      <w:r w:rsidRPr="003C2E92">
        <w:rPr>
          <w:rFonts w:ascii="Palatino Linotype" w:eastAsia="Palatino Linotype" w:hAnsi="Palatino Linotype" w:cs="Palatino Linotype"/>
          <w:color w:val="000000"/>
        </w:rPr>
        <w:t>Resolutora</w:t>
      </w:r>
      <w:proofErr w:type="spellEnd"/>
      <w:r w:rsidRPr="003C2E92">
        <w:rPr>
          <w:rFonts w:ascii="Palatino Linotype" w:eastAsia="Palatino Linotype" w:hAnsi="Palatino Linotype" w:cs="Palatino Linotype"/>
          <w:color w:val="000000"/>
        </w:rPr>
        <w:t xml:space="preserve">, considera importante señalar al particular que a través del Informe Justificado el </w:t>
      </w:r>
      <w:r w:rsidRPr="003C2E92">
        <w:rPr>
          <w:rFonts w:ascii="Palatino Linotype" w:eastAsia="Palatino Linotype" w:hAnsi="Palatino Linotype" w:cs="Palatino Linotype"/>
          <w:b/>
          <w:color w:val="000000"/>
        </w:rPr>
        <w:t>SUJETO OBLIGADO</w:t>
      </w:r>
      <w:r w:rsidRPr="003C2E92">
        <w:rPr>
          <w:rFonts w:ascii="Palatino Linotype" w:eastAsia="Palatino Linotype" w:hAnsi="Palatino Linotype" w:cs="Palatino Linotype"/>
          <w:color w:val="000000"/>
        </w:rPr>
        <w:t xml:space="preserve"> hizo entrega de los oficios referidos en respuesta y sobre los cuales versa su inconformidad, mismos que se insertan a continuación en su parte medular: </w:t>
      </w:r>
    </w:p>
    <w:p w14:paraId="14897D63" w14:textId="1C0FC946" w:rsidR="00442EBB" w:rsidRPr="003C2E92" w:rsidRDefault="00442EBB">
      <w:pPr>
        <w:spacing w:before="120" w:after="120" w:line="360" w:lineRule="auto"/>
        <w:jc w:val="both"/>
        <w:rPr>
          <w:rFonts w:ascii="Palatino Linotype" w:eastAsia="Palatino Linotype" w:hAnsi="Palatino Linotype" w:cs="Palatino Linotype"/>
        </w:rPr>
      </w:pPr>
    </w:p>
    <w:p w14:paraId="799C0B50" w14:textId="20A19805" w:rsidR="00442EBB" w:rsidRPr="003C2E92" w:rsidRDefault="00442EBB">
      <w:pPr>
        <w:spacing w:before="120" w:after="120" w:line="360" w:lineRule="auto"/>
        <w:jc w:val="both"/>
        <w:rPr>
          <w:rFonts w:ascii="Palatino Linotype" w:eastAsia="Palatino Linotype" w:hAnsi="Palatino Linotype" w:cs="Palatino Linotype"/>
        </w:rPr>
      </w:pPr>
    </w:p>
    <w:p w14:paraId="726AFFC9" w14:textId="629BEBA7" w:rsidR="00442EBB" w:rsidRPr="003C2E92" w:rsidRDefault="00442EBB">
      <w:pPr>
        <w:spacing w:before="120" w:after="120" w:line="360" w:lineRule="auto"/>
        <w:jc w:val="both"/>
        <w:rPr>
          <w:rFonts w:ascii="Palatino Linotype" w:eastAsia="Palatino Linotype" w:hAnsi="Palatino Linotype" w:cs="Palatino Linotype"/>
        </w:rPr>
      </w:pPr>
    </w:p>
    <w:p w14:paraId="0DE3A873" w14:textId="2A5C3FDB" w:rsidR="00442EBB" w:rsidRPr="003C2E92" w:rsidRDefault="00D31B5B">
      <w:pPr>
        <w:spacing w:before="120" w:after="120" w:line="360" w:lineRule="auto"/>
        <w:jc w:val="both"/>
        <w:rPr>
          <w:rFonts w:ascii="Palatino Linotype" w:eastAsia="Palatino Linotype" w:hAnsi="Palatino Linotype" w:cs="Palatino Linotype"/>
        </w:rPr>
      </w:pPr>
      <w:r w:rsidRPr="003C2E92">
        <w:rPr>
          <w:noProof/>
          <w:lang w:eastAsia="es-MX"/>
        </w:rPr>
        <w:lastRenderedPageBreak/>
        <w:drawing>
          <wp:anchor distT="0" distB="0" distL="114300" distR="114300" simplePos="0" relativeHeight="251661312" behindDoc="0" locked="0" layoutInCell="1" hidden="0" allowOverlap="1" wp14:anchorId="19367AE2" wp14:editId="3ABF8571">
            <wp:simplePos x="0" y="0"/>
            <wp:positionH relativeFrom="column">
              <wp:posOffset>884237</wp:posOffset>
            </wp:positionH>
            <wp:positionV relativeFrom="paragraph">
              <wp:posOffset>3633273</wp:posOffset>
            </wp:positionV>
            <wp:extent cx="4023360" cy="2335530"/>
            <wp:effectExtent l="0" t="0" r="0" b="0"/>
            <wp:wrapTopAndBottom distT="0" dist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023360" cy="2335530"/>
                    </a:xfrm>
                    <a:prstGeom prst="rect">
                      <a:avLst/>
                    </a:prstGeom>
                    <a:ln/>
                  </pic:spPr>
                </pic:pic>
              </a:graphicData>
            </a:graphic>
          </wp:anchor>
        </w:drawing>
      </w:r>
      <w:r w:rsidRPr="003C2E92">
        <w:rPr>
          <w:noProof/>
          <w:lang w:eastAsia="es-MX"/>
        </w:rPr>
        <w:drawing>
          <wp:anchor distT="0" distB="0" distL="114300" distR="114300" simplePos="0" relativeHeight="251662336" behindDoc="0" locked="0" layoutInCell="1" hidden="0" allowOverlap="1" wp14:anchorId="7228AB5F" wp14:editId="50906590">
            <wp:simplePos x="0" y="0"/>
            <wp:positionH relativeFrom="column">
              <wp:posOffset>1065274</wp:posOffset>
            </wp:positionH>
            <wp:positionV relativeFrom="paragraph">
              <wp:posOffset>5976679</wp:posOffset>
            </wp:positionV>
            <wp:extent cx="3688080" cy="1035685"/>
            <wp:effectExtent l="0" t="0" r="0" b="0"/>
            <wp:wrapTopAndBottom distT="0" dist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688080" cy="1035685"/>
                    </a:xfrm>
                    <a:prstGeom prst="rect">
                      <a:avLst/>
                    </a:prstGeom>
                    <a:ln/>
                  </pic:spPr>
                </pic:pic>
              </a:graphicData>
            </a:graphic>
          </wp:anchor>
        </w:drawing>
      </w:r>
    </w:p>
    <w:p w14:paraId="71C202F0" w14:textId="300A735A" w:rsidR="00442EBB" w:rsidRPr="003C2E92" w:rsidRDefault="00913D36">
      <w:pPr>
        <w:spacing w:before="120" w:after="120" w:line="360" w:lineRule="auto"/>
        <w:jc w:val="both"/>
        <w:rPr>
          <w:rFonts w:ascii="Palatino Linotype" w:eastAsia="Palatino Linotype" w:hAnsi="Palatino Linotype" w:cs="Palatino Linotype"/>
        </w:rPr>
      </w:pPr>
      <w:r w:rsidRPr="003C2E92">
        <w:rPr>
          <w:noProof/>
          <w:lang w:eastAsia="es-MX"/>
        </w:rPr>
        <w:drawing>
          <wp:anchor distT="114300" distB="114300" distL="114300" distR="114300" simplePos="0" relativeHeight="251660288" behindDoc="0" locked="0" layoutInCell="1" hidden="0" allowOverlap="1" wp14:anchorId="119213DD" wp14:editId="0D731042">
            <wp:simplePos x="0" y="0"/>
            <wp:positionH relativeFrom="column">
              <wp:posOffset>415290</wp:posOffset>
            </wp:positionH>
            <wp:positionV relativeFrom="paragraph">
              <wp:posOffset>10160</wp:posOffset>
            </wp:positionV>
            <wp:extent cx="4610100" cy="1514475"/>
            <wp:effectExtent l="0" t="0" r="0" b="9525"/>
            <wp:wrapNone/>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4610100" cy="1514475"/>
                    </a:xfrm>
                    <a:prstGeom prst="rect">
                      <a:avLst/>
                    </a:prstGeom>
                    <a:ln/>
                  </pic:spPr>
                </pic:pic>
              </a:graphicData>
            </a:graphic>
            <wp14:sizeRelH relativeFrom="margin">
              <wp14:pctWidth>0</wp14:pctWidth>
            </wp14:sizeRelH>
            <wp14:sizeRelV relativeFrom="margin">
              <wp14:pctHeight>0</wp14:pctHeight>
            </wp14:sizeRelV>
          </wp:anchor>
        </w:drawing>
      </w:r>
    </w:p>
    <w:p w14:paraId="3AF7B61C" w14:textId="13D0822B" w:rsidR="00442EBB" w:rsidRPr="003C2E92" w:rsidRDefault="00442EBB">
      <w:pPr>
        <w:spacing w:before="120" w:after="120" w:line="360" w:lineRule="auto"/>
        <w:jc w:val="both"/>
        <w:rPr>
          <w:rFonts w:ascii="Palatino Linotype" w:eastAsia="Palatino Linotype" w:hAnsi="Palatino Linotype" w:cs="Palatino Linotype"/>
        </w:rPr>
      </w:pPr>
    </w:p>
    <w:p w14:paraId="4C123300" w14:textId="77777777" w:rsidR="00442EBB" w:rsidRPr="003C2E92" w:rsidRDefault="00442EBB">
      <w:pPr>
        <w:spacing w:before="120" w:after="120" w:line="360" w:lineRule="auto"/>
        <w:jc w:val="both"/>
        <w:rPr>
          <w:rFonts w:ascii="Palatino Linotype" w:eastAsia="Palatino Linotype" w:hAnsi="Palatino Linotype" w:cs="Palatino Linotype"/>
        </w:rPr>
      </w:pPr>
    </w:p>
    <w:p w14:paraId="713B773D" w14:textId="0252378C" w:rsidR="00442EBB" w:rsidRPr="003C2E92" w:rsidRDefault="00442EBB">
      <w:pPr>
        <w:spacing w:before="120" w:after="120" w:line="360" w:lineRule="auto"/>
        <w:jc w:val="both"/>
        <w:rPr>
          <w:rFonts w:ascii="Palatino Linotype" w:eastAsia="Palatino Linotype" w:hAnsi="Palatino Linotype" w:cs="Palatino Linotype"/>
        </w:rPr>
      </w:pPr>
    </w:p>
    <w:p w14:paraId="115A631D" w14:textId="2729A36B" w:rsidR="00442EBB" w:rsidRPr="003C2E92" w:rsidRDefault="00913D36">
      <w:pPr>
        <w:spacing w:before="120" w:after="120" w:line="360" w:lineRule="auto"/>
        <w:jc w:val="both"/>
        <w:rPr>
          <w:rFonts w:ascii="Palatino Linotype" w:eastAsia="Palatino Linotype" w:hAnsi="Palatino Linotype" w:cs="Palatino Linotype"/>
        </w:rPr>
      </w:pPr>
      <w:r w:rsidRPr="003C2E92">
        <w:rPr>
          <w:noProof/>
          <w:lang w:eastAsia="es-MX"/>
        </w:rPr>
        <w:drawing>
          <wp:anchor distT="114300" distB="114300" distL="114300" distR="114300" simplePos="0" relativeHeight="251663360" behindDoc="0" locked="0" layoutInCell="1" hidden="0" allowOverlap="1" wp14:anchorId="37A1A12A" wp14:editId="056E3A8F">
            <wp:simplePos x="0" y="0"/>
            <wp:positionH relativeFrom="column">
              <wp:posOffset>1005840</wp:posOffset>
            </wp:positionH>
            <wp:positionV relativeFrom="paragraph">
              <wp:posOffset>338455</wp:posOffset>
            </wp:positionV>
            <wp:extent cx="3724275" cy="1024890"/>
            <wp:effectExtent l="0" t="0" r="9525" b="3810"/>
            <wp:wrapNone/>
            <wp:docPr id="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3724275" cy="1024890"/>
                    </a:xfrm>
                    <a:prstGeom prst="rect">
                      <a:avLst/>
                    </a:prstGeom>
                    <a:ln/>
                  </pic:spPr>
                </pic:pic>
              </a:graphicData>
            </a:graphic>
            <wp14:sizeRelH relativeFrom="margin">
              <wp14:pctWidth>0</wp14:pctWidth>
            </wp14:sizeRelH>
            <wp14:sizeRelV relativeFrom="margin">
              <wp14:pctHeight>0</wp14:pctHeight>
            </wp14:sizeRelV>
          </wp:anchor>
        </w:drawing>
      </w:r>
    </w:p>
    <w:p w14:paraId="5398FE11" w14:textId="0086013E" w:rsidR="00442EBB" w:rsidRPr="003C2E92" w:rsidRDefault="00442EBB">
      <w:pPr>
        <w:spacing w:before="120" w:after="120" w:line="360" w:lineRule="auto"/>
        <w:jc w:val="both"/>
        <w:rPr>
          <w:rFonts w:ascii="Palatino Linotype" w:eastAsia="Palatino Linotype" w:hAnsi="Palatino Linotype" w:cs="Palatino Linotype"/>
        </w:rPr>
      </w:pPr>
    </w:p>
    <w:p w14:paraId="2F57A44C" w14:textId="524527C8" w:rsidR="00442EBB" w:rsidRPr="003C2E92" w:rsidRDefault="00442EBB">
      <w:pPr>
        <w:spacing w:before="120" w:after="120" w:line="360" w:lineRule="auto"/>
        <w:jc w:val="both"/>
        <w:rPr>
          <w:rFonts w:ascii="Palatino Linotype" w:eastAsia="Palatino Linotype" w:hAnsi="Palatino Linotype" w:cs="Palatino Linotype"/>
        </w:rPr>
      </w:pPr>
    </w:p>
    <w:p w14:paraId="5046D472" w14:textId="2E3D9AEF" w:rsidR="00442EBB" w:rsidRPr="003C2E92" w:rsidRDefault="00D31B5B">
      <w:pPr>
        <w:spacing w:before="120" w:after="12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noProof/>
          <w:lang w:eastAsia="es-MX"/>
        </w:rPr>
        <w:lastRenderedPageBreak/>
        <mc:AlternateContent>
          <mc:Choice Requires="wpg">
            <w:drawing>
              <wp:inline distT="114300" distB="114300" distL="114300" distR="114300" wp14:anchorId="5E8722AD" wp14:editId="014A34FF">
                <wp:extent cx="5977071" cy="1983423"/>
                <wp:effectExtent l="0" t="0" r="0" b="0"/>
                <wp:docPr id="27" name="Conector recto de flecha 27"/>
                <wp:cNvGraphicFramePr/>
                <a:graphic xmlns:a="http://schemas.openxmlformats.org/drawingml/2006/main">
                  <a:graphicData uri="http://schemas.microsoft.com/office/word/2010/wordprocessingShape">
                    <wps:wsp>
                      <wps:cNvCnPr/>
                      <wps:spPr>
                        <a:xfrm>
                          <a:off x="499950" y="803825"/>
                          <a:ext cx="6185700" cy="203910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77071" cy="1983423"/>
                <wp:effectExtent b="0" l="0" r="0" t="0"/>
                <wp:docPr id="27" name="image25.png"/>
                <a:graphic>
                  <a:graphicData uri="http://schemas.openxmlformats.org/drawingml/2006/picture">
                    <pic:pic>
                      <pic:nvPicPr>
                        <pic:cNvPr id="0" name="image25.png"/>
                        <pic:cNvPicPr preferRelativeResize="0"/>
                      </pic:nvPicPr>
                      <pic:blipFill>
                        <a:blip r:embed="rId21"/>
                        <a:srcRect/>
                        <a:stretch>
                          <a:fillRect/>
                        </a:stretch>
                      </pic:blipFill>
                      <pic:spPr>
                        <a:xfrm>
                          <a:off x="0" y="0"/>
                          <a:ext cx="5977071" cy="1983423"/>
                        </a:xfrm>
                        <a:prstGeom prst="rect"/>
                        <a:ln/>
                      </pic:spPr>
                    </pic:pic>
                  </a:graphicData>
                </a:graphic>
              </wp:inline>
            </w:drawing>
          </mc:Fallback>
        </mc:AlternateContent>
      </w:r>
      <w:r w:rsidRPr="003C2E92">
        <w:rPr>
          <w:noProof/>
          <w:lang w:eastAsia="es-MX"/>
        </w:rPr>
        <w:drawing>
          <wp:anchor distT="114300" distB="114300" distL="114300" distR="114300" simplePos="0" relativeHeight="251665408" behindDoc="0" locked="0" layoutInCell="1" hidden="0" allowOverlap="1" wp14:anchorId="16DFCE91" wp14:editId="23043F6F">
            <wp:simplePos x="0" y="0"/>
            <wp:positionH relativeFrom="column">
              <wp:posOffset>333375</wp:posOffset>
            </wp:positionH>
            <wp:positionV relativeFrom="paragraph">
              <wp:posOffset>152400</wp:posOffset>
            </wp:positionV>
            <wp:extent cx="5599748" cy="1572656"/>
            <wp:effectExtent l="0" t="0" r="0" b="0"/>
            <wp:wrapTopAndBottom distT="114300" distB="11430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599748" cy="1572656"/>
                    </a:xfrm>
                    <a:prstGeom prst="rect">
                      <a:avLst/>
                    </a:prstGeom>
                    <a:ln/>
                  </pic:spPr>
                </pic:pic>
              </a:graphicData>
            </a:graphic>
          </wp:anchor>
        </w:drawing>
      </w:r>
      <w:r w:rsidRPr="003C2E92">
        <w:rPr>
          <w:noProof/>
          <w:lang w:eastAsia="es-MX"/>
        </w:rPr>
        <w:drawing>
          <wp:anchor distT="114300" distB="114300" distL="114300" distR="114300" simplePos="0" relativeHeight="251666432" behindDoc="0" locked="0" layoutInCell="1" hidden="0" allowOverlap="1" wp14:anchorId="7502517C" wp14:editId="74FD0787">
            <wp:simplePos x="0" y="0"/>
            <wp:positionH relativeFrom="column">
              <wp:posOffset>695325</wp:posOffset>
            </wp:positionH>
            <wp:positionV relativeFrom="paragraph">
              <wp:posOffset>1724025</wp:posOffset>
            </wp:positionV>
            <wp:extent cx="4875742" cy="3088323"/>
            <wp:effectExtent l="0" t="0" r="0" b="0"/>
            <wp:wrapTopAndBottom distT="114300" distB="114300"/>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4875742" cy="3088323"/>
                    </a:xfrm>
                    <a:prstGeom prst="rect">
                      <a:avLst/>
                    </a:prstGeom>
                    <a:ln/>
                  </pic:spPr>
                </pic:pic>
              </a:graphicData>
            </a:graphic>
          </wp:anchor>
        </w:drawing>
      </w:r>
    </w:p>
    <w:p w14:paraId="4850F547" w14:textId="393E5E65" w:rsidR="00442EBB" w:rsidRPr="003C2E92" w:rsidRDefault="00D31B5B">
      <w:pPr>
        <w:spacing w:before="120" w:after="120" w:line="360" w:lineRule="auto"/>
        <w:jc w:val="both"/>
        <w:rPr>
          <w:rFonts w:ascii="Palatino Linotype" w:eastAsia="Palatino Linotype" w:hAnsi="Palatino Linotype" w:cs="Palatino Linotype"/>
        </w:rPr>
      </w:pPr>
      <w:r w:rsidRPr="003C2E92">
        <w:rPr>
          <w:noProof/>
          <w:lang w:eastAsia="es-MX"/>
        </w:rPr>
        <w:lastRenderedPageBreak/>
        <w:drawing>
          <wp:anchor distT="114300" distB="114300" distL="114300" distR="114300" simplePos="0" relativeHeight="251667456" behindDoc="0" locked="0" layoutInCell="1" hidden="0" allowOverlap="1" wp14:anchorId="2A16C9D8" wp14:editId="4641A3BD">
            <wp:simplePos x="0" y="0"/>
            <wp:positionH relativeFrom="column">
              <wp:posOffset>1104900</wp:posOffset>
            </wp:positionH>
            <wp:positionV relativeFrom="paragraph">
              <wp:posOffset>6162675</wp:posOffset>
            </wp:positionV>
            <wp:extent cx="3807015" cy="1162050"/>
            <wp:effectExtent l="0" t="0" r="0" b="0"/>
            <wp:wrapTopAndBottom distT="114300" distB="114300"/>
            <wp:docPr id="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3807015" cy="1162050"/>
                    </a:xfrm>
                    <a:prstGeom prst="rect">
                      <a:avLst/>
                    </a:prstGeom>
                    <a:ln/>
                  </pic:spPr>
                </pic:pic>
              </a:graphicData>
            </a:graphic>
          </wp:anchor>
        </w:drawing>
      </w:r>
      <w:r w:rsidRPr="003C2E92">
        <w:rPr>
          <w:noProof/>
          <w:lang w:eastAsia="es-MX"/>
        </w:rPr>
        <w:drawing>
          <wp:anchor distT="114300" distB="114300" distL="114300" distR="114300" simplePos="0" relativeHeight="251668480" behindDoc="0" locked="0" layoutInCell="1" hidden="0" allowOverlap="1" wp14:anchorId="034A71F7" wp14:editId="39232353">
            <wp:simplePos x="0" y="0"/>
            <wp:positionH relativeFrom="column">
              <wp:posOffset>814387</wp:posOffset>
            </wp:positionH>
            <wp:positionV relativeFrom="paragraph">
              <wp:posOffset>2667000</wp:posOffset>
            </wp:positionV>
            <wp:extent cx="4296728" cy="1166053"/>
            <wp:effectExtent l="0" t="0" r="0" b="0"/>
            <wp:wrapTopAndBottom distT="114300" distB="11430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4296728" cy="1166053"/>
                    </a:xfrm>
                    <a:prstGeom prst="rect">
                      <a:avLst/>
                    </a:prstGeom>
                    <a:ln/>
                  </pic:spPr>
                </pic:pic>
              </a:graphicData>
            </a:graphic>
          </wp:anchor>
        </w:drawing>
      </w:r>
      <w:r w:rsidRPr="003C2E92">
        <w:rPr>
          <w:noProof/>
          <w:lang w:eastAsia="es-MX"/>
        </w:rPr>
        <w:drawing>
          <wp:anchor distT="114300" distB="114300" distL="114300" distR="114300" simplePos="0" relativeHeight="251669504" behindDoc="0" locked="0" layoutInCell="1" hidden="0" allowOverlap="1" wp14:anchorId="3784330D" wp14:editId="65A73B35">
            <wp:simplePos x="0" y="0"/>
            <wp:positionH relativeFrom="column">
              <wp:posOffset>619125</wp:posOffset>
            </wp:positionH>
            <wp:positionV relativeFrom="paragraph">
              <wp:posOffset>114300</wp:posOffset>
            </wp:positionV>
            <wp:extent cx="4687253" cy="1116850"/>
            <wp:effectExtent l="0" t="0" r="0" b="0"/>
            <wp:wrapTopAndBottom distT="114300" distB="11430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4687253" cy="1116850"/>
                    </a:xfrm>
                    <a:prstGeom prst="rect">
                      <a:avLst/>
                    </a:prstGeom>
                    <a:ln/>
                  </pic:spPr>
                </pic:pic>
              </a:graphicData>
            </a:graphic>
          </wp:anchor>
        </w:drawing>
      </w:r>
      <w:r w:rsidRPr="003C2E92">
        <w:rPr>
          <w:noProof/>
          <w:lang w:eastAsia="es-MX"/>
        </w:rPr>
        <w:drawing>
          <wp:anchor distT="114300" distB="114300" distL="114300" distR="114300" simplePos="0" relativeHeight="251670528" behindDoc="0" locked="0" layoutInCell="1" hidden="0" allowOverlap="1" wp14:anchorId="5B975704" wp14:editId="57F20A78">
            <wp:simplePos x="0" y="0"/>
            <wp:positionH relativeFrom="column">
              <wp:posOffset>638175</wp:posOffset>
            </wp:positionH>
            <wp:positionV relativeFrom="paragraph">
              <wp:posOffset>3962400</wp:posOffset>
            </wp:positionV>
            <wp:extent cx="4648200" cy="1162050"/>
            <wp:effectExtent l="0" t="0" r="0" b="0"/>
            <wp:wrapTopAndBottom distT="114300" distB="11430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4648200" cy="1162050"/>
                    </a:xfrm>
                    <a:prstGeom prst="rect">
                      <a:avLst/>
                    </a:prstGeom>
                    <a:ln/>
                  </pic:spPr>
                </pic:pic>
              </a:graphicData>
            </a:graphic>
          </wp:anchor>
        </w:drawing>
      </w:r>
      <w:r w:rsidRPr="003C2E92">
        <w:rPr>
          <w:noProof/>
          <w:lang w:eastAsia="es-MX"/>
        </w:rPr>
        <w:drawing>
          <wp:anchor distT="114300" distB="114300" distL="114300" distR="114300" simplePos="0" relativeHeight="251671552" behindDoc="0" locked="0" layoutInCell="1" hidden="0" allowOverlap="1" wp14:anchorId="7B888B83" wp14:editId="405D0C56">
            <wp:simplePos x="0" y="0"/>
            <wp:positionH relativeFrom="column">
              <wp:posOffset>390525</wp:posOffset>
            </wp:positionH>
            <wp:positionV relativeFrom="paragraph">
              <wp:posOffset>1085850</wp:posOffset>
            </wp:positionV>
            <wp:extent cx="5140683" cy="1583373"/>
            <wp:effectExtent l="0" t="0" r="0" b="0"/>
            <wp:wrapTopAndBottom distT="114300" distB="11430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140683" cy="1583373"/>
                    </a:xfrm>
                    <a:prstGeom prst="rect">
                      <a:avLst/>
                    </a:prstGeom>
                    <a:ln/>
                  </pic:spPr>
                </pic:pic>
              </a:graphicData>
            </a:graphic>
          </wp:anchor>
        </w:drawing>
      </w:r>
      <w:r w:rsidRPr="003C2E92">
        <w:rPr>
          <w:noProof/>
          <w:lang w:eastAsia="es-MX"/>
        </w:rPr>
        <w:drawing>
          <wp:anchor distT="114300" distB="114300" distL="114300" distR="114300" simplePos="0" relativeHeight="251672576" behindDoc="0" locked="0" layoutInCell="1" hidden="0" allowOverlap="1" wp14:anchorId="4CAF20E0" wp14:editId="758CFED9">
            <wp:simplePos x="0" y="0"/>
            <wp:positionH relativeFrom="column">
              <wp:posOffset>495300</wp:posOffset>
            </wp:positionH>
            <wp:positionV relativeFrom="paragraph">
              <wp:posOffset>5172075</wp:posOffset>
            </wp:positionV>
            <wp:extent cx="4932575" cy="990600"/>
            <wp:effectExtent l="0" t="0" r="0" b="0"/>
            <wp:wrapTopAndBottom distT="114300" distB="11430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4932575" cy="990600"/>
                    </a:xfrm>
                    <a:prstGeom prst="rect">
                      <a:avLst/>
                    </a:prstGeom>
                    <a:ln/>
                  </pic:spPr>
                </pic:pic>
              </a:graphicData>
            </a:graphic>
          </wp:anchor>
        </w:drawing>
      </w:r>
    </w:p>
    <w:p w14:paraId="64DE72CB" w14:textId="77777777" w:rsidR="00442EBB" w:rsidRPr="003C2E92" w:rsidRDefault="00D31B5B">
      <w:pPr>
        <w:spacing w:before="120" w:after="120" w:line="360" w:lineRule="auto"/>
        <w:jc w:val="both"/>
        <w:rPr>
          <w:rFonts w:ascii="Palatino Linotype" w:eastAsia="Palatino Linotype" w:hAnsi="Palatino Linotype" w:cs="Palatino Linotype"/>
        </w:rPr>
      </w:pPr>
      <w:r w:rsidRPr="003C2E92">
        <w:rPr>
          <w:noProof/>
          <w:lang w:eastAsia="es-MX"/>
        </w:rPr>
        <w:lastRenderedPageBreak/>
        <w:drawing>
          <wp:anchor distT="114300" distB="114300" distL="114300" distR="114300" simplePos="0" relativeHeight="251673600" behindDoc="0" locked="0" layoutInCell="1" hidden="0" allowOverlap="1" wp14:anchorId="3D19C3FE" wp14:editId="2080B62D">
            <wp:simplePos x="0" y="0"/>
            <wp:positionH relativeFrom="column">
              <wp:posOffset>576580</wp:posOffset>
            </wp:positionH>
            <wp:positionV relativeFrom="paragraph">
              <wp:posOffset>2886075</wp:posOffset>
            </wp:positionV>
            <wp:extent cx="4638675" cy="1408783"/>
            <wp:effectExtent l="0" t="0" r="0" b="0"/>
            <wp:wrapTopAndBottom distT="114300" distB="11430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4638675" cy="1408783"/>
                    </a:xfrm>
                    <a:prstGeom prst="rect">
                      <a:avLst/>
                    </a:prstGeom>
                    <a:ln/>
                  </pic:spPr>
                </pic:pic>
              </a:graphicData>
            </a:graphic>
          </wp:anchor>
        </w:drawing>
      </w:r>
      <w:r w:rsidRPr="003C2E92">
        <w:rPr>
          <w:noProof/>
          <w:lang w:eastAsia="es-MX"/>
        </w:rPr>
        <w:drawing>
          <wp:anchor distT="114300" distB="114300" distL="114300" distR="114300" simplePos="0" relativeHeight="251674624" behindDoc="0" locked="0" layoutInCell="1" hidden="0" allowOverlap="1" wp14:anchorId="04D99A18" wp14:editId="2AF9319C">
            <wp:simplePos x="0" y="0"/>
            <wp:positionH relativeFrom="column">
              <wp:posOffset>519430</wp:posOffset>
            </wp:positionH>
            <wp:positionV relativeFrom="paragraph">
              <wp:posOffset>133350</wp:posOffset>
            </wp:positionV>
            <wp:extent cx="4752023" cy="1336506"/>
            <wp:effectExtent l="0" t="0" r="0" b="0"/>
            <wp:wrapTopAndBottom distT="114300" distB="11430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4752023" cy="1336506"/>
                    </a:xfrm>
                    <a:prstGeom prst="rect">
                      <a:avLst/>
                    </a:prstGeom>
                    <a:ln/>
                  </pic:spPr>
                </pic:pic>
              </a:graphicData>
            </a:graphic>
          </wp:anchor>
        </w:drawing>
      </w:r>
      <w:r w:rsidRPr="003C2E92">
        <w:rPr>
          <w:noProof/>
          <w:lang w:eastAsia="es-MX"/>
        </w:rPr>
        <w:drawing>
          <wp:anchor distT="114300" distB="114300" distL="114300" distR="114300" simplePos="0" relativeHeight="251675648" behindDoc="0" locked="0" layoutInCell="1" hidden="0" allowOverlap="1" wp14:anchorId="34F0EB90" wp14:editId="1989CE81">
            <wp:simplePos x="0" y="0"/>
            <wp:positionH relativeFrom="column">
              <wp:posOffset>638175</wp:posOffset>
            </wp:positionH>
            <wp:positionV relativeFrom="paragraph">
              <wp:posOffset>1609725</wp:posOffset>
            </wp:positionV>
            <wp:extent cx="4637723" cy="1136547"/>
            <wp:effectExtent l="0" t="0" r="0" b="0"/>
            <wp:wrapTopAndBottom distT="114300" distB="11430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4637723" cy="1136547"/>
                    </a:xfrm>
                    <a:prstGeom prst="rect">
                      <a:avLst/>
                    </a:prstGeom>
                    <a:ln/>
                  </pic:spPr>
                </pic:pic>
              </a:graphicData>
            </a:graphic>
          </wp:anchor>
        </w:drawing>
      </w:r>
    </w:p>
    <w:p w14:paraId="44E6B2F5" w14:textId="77777777" w:rsidR="00442EBB" w:rsidRPr="003C2E92" w:rsidRDefault="00D31B5B">
      <w:pPr>
        <w:spacing w:before="120" w:after="12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 xml:space="preserve">De las imágenes insertadas, es posible apreciar que las diferentes áreas del </w:t>
      </w:r>
      <w:r w:rsidRPr="003C2E92">
        <w:rPr>
          <w:rFonts w:ascii="Palatino Linotype" w:eastAsia="Palatino Linotype" w:hAnsi="Palatino Linotype" w:cs="Palatino Linotype"/>
          <w:b/>
        </w:rPr>
        <w:t>SUJETO OBLIGADO</w:t>
      </w:r>
      <w:r w:rsidRPr="003C2E92">
        <w:rPr>
          <w:rFonts w:ascii="Palatino Linotype" w:eastAsia="Palatino Linotype" w:hAnsi="Palatino Linotype" w:cs="Palatino Linotype"/>
        </w:rPr>
        <w:t xml:space="preserve"> manifestaron ser poseedoras de la información y solicitaron mediante los oficios referidos tanto en su respuesta como en Informe Justificado el cambio de modalidad, mismos que al no modificar la respuesta no fueron puestos a la vista del </w:t>
      </w:r>
      <w:r w:rsidRPr="003C2E92">
        <w:rPr>
          <w:rFonts w:ascii="Palatino Linotype" w:eastAsia="Palatino Linotype" w:hAnsi="Palatino Linotype" w:cs="Palatino Linotype"/>
          <w:b/>
        </w:rPr>
        <w:t>RECURRENTE</w:t>
      </w:r>
      <w:r w:rsidRPr="003C2E92">
        <w:rPr>
          <w:rFonts w:ascii="Palatino Linotype" w:eastAsia="Palatino Linotype" w:hAnsi="Palatino Linotype" w:cs="Palatino Linotype"/>
        </w:rPr>
        <w:t xml:space="preserve"> pero en aras de privilegiar el principio de máxima publicidad se hacen de su conocimiento. </w:t>
      </w:r>
    </w:p>
    <w:p w14:paraId="616C3958" w14:textId="3B64A6AA" w:rsidR="00442EBB" w:rsidRPr="003C2E92" w:rsidRDefault="00D31B5B">
      <w:pPr>
        <w:spacing w:before="120" w:after="120" w:line="360" w:lineRule="auto"/>
        <w:jc w:val="both"/>
        <w:rPr>
          <w:rFonts w:ascii="Palatino Linotype" w:eastAsia="Palatino Linotype" w:hAnsi="Palatino Linotype" w:cs="Palatino Linotype"/>
          <w:b/>
          <w:color w:val="000000"/>
        </w:rPr>
      </w:pPr>
      <w:r w:rsidRPr="003C2E92">
        <w:rPr>
          <w:rFonts w:ascii="Palatino Linotype" w:eastAsia="Palatino Linotype" w:hAnsi="Palatino Linotype" w:cs="Palatino Linotype"/>
        </w:rPr>
        <w:t xml:space="preserve">Llegado a </w:t>
      </w:r>
      <w:r w:rsidR="00B76F56" w:rsidRPr="003C2E92">
        <w:rPr>
          <w:rFonts w:ascii="Palatino Linotype" w:eastAsia="Palatino Linotype" w:hAnsi="Palatino Linotype" w:cs="Palatino Linotype"/>
        </w:rPr>
        <w:t>este punto</w:t>
      </w:r>
      <w:r w:rsidRPr="003C2E92">
        <w:rPr>
          <w:rFonts w:ascii="Palatino Linotype" w:eastAsia="Palatino Linotype" w:hAnsi="Palatino Linotype" w:cs="Palatino Linotype"/>
        </w:rPr>
        <w:t xml:space="preserve">, y en atención a las consideraciones expuestas a lo largo del presente estudio, esta Ponencia </w:t>
      </w:r>
      <w:proofErr w:type="spellStart"/>
      <w:r w:rsidRPr="003C2E92">
        <w:rPr>
          <w:rFonts w:ascii="Palatino Linotype" w:eastAsia="Palatino Linotype" w:hAnsi="Palatino Linotype" w:cs="Palatino Linotype"/>
        </w:rPr>
        <w:t>Resolutora</w:t>
      </w:r>
      <w:proofErr w:type="spellEnd"/>
      <w:r w:rsidRPr="003C2E92">
        <w:rPr>
          <w:rFonts w:ascii="Palatino Linotype" w:eastAsia="Palatino Linotype" w:hAnsi="Palatino Linotype" w:cs="Palatino Linotype"/>
        </w:rPr>
        <w:t xml:space="preserve">, en términos del artículo 186 fracción III de </w:t>
      </w:r>
      <w:r w:rsidRPr="003C2E92">
        <w:rPr>
          <w:rFonts w:ascii="Palatino Linotype" w:eastAsia="Palatino Linotype" w:hAnsi="Palatino Linotype" w:cs="Palatino Linotype"/>
        </w:rPr>
        <w:lastRenderedPageBreak/>
        <w:t xml:space="preserve">la Ley de Transparencia y Acceso a la Información Pública del Estado de México y Municipios, determina </w:t>
      </w:r>
      <w:r w:rsidRPr="003C2E92">
        <w:rPr>
          <w:rFonts w:ascii="Palatino Linotype" w:eastAsia="Palatino Linotype" w:hAnsi="Palatino Linotype" w:cs="Palatino Linotype"/>
          <w:b/>
        </w:rPr>
        <w:t xml:space="preserve">REVOCAR </w:t>
      </w:r>
      <w:r w:rsidRPr="003C2E92">
        <w:rPr>
          <w:rFonts w:ascii="Palatino Linotype" w:eastAsia="Palatino Linotype" w:hAnsi="Palatino Linotype" w:cs="Palatino Linotype"/>
        </w:rPr>
        <w:t xml:space="preserve">la respuesta del </w:t>
      </w:r>
      <w:r w:rsidRPr="003C2E92">
        <w:rPr>
          <w:rFonts w:ascii="Palatino Linotype" w:eastAsia="Palatino Linotype" w:hAnsi="Palatino Linotype" w:cs="Palatino Linotype"/>
          <w:b/>
        </w:rPr>
        <w:t>SUJETO OBLIGADO</w:t>
      </w:r>
      <w:r w:rsidRPr="003C2E92">
        <w:rPr>
          <w:rFonts w:ascii="Palatino Linotype" w:eastAsia="Palatino Linotype" w:hAnsi="Palatino Linotype" w:cs="Palatino Linotype"/>
        </w:rPr>
        <w:t xml:space="preserve">, y ordenar la entrega al </w:t>
      </w:r>
      <w:r w:rsidRPr="003C2E92">
        <w:rPr>
          <w:rFonts w:ascii="Palatino Linotype" w:eastAsia="Palatino Linotype" w:hAnsi="Palatino Linotype" w:cs="Palatino Linotype"/>
          <w:b/>
        </w:rPr>
        <w:t>RECURRENTE</w:t>
      </w:r>
      <w:r w:rsidRPr="003C2E92">
        <w:rPr>
          <w:rFonts w:ascii="Palatino Linotype" w:eastAsia="Palatino Linotype" w:hAnsi="Palatino Linotype" w:cs="Palatino Linotype"/>
        </w:rPr>
        <w:t xml:space="preserve"> de la información que ha quedado precisada en el presente Considerando de Estudio.</w:t>
      </w:r>
    </w:p>
    <w:p w14:paraId="0FE0C4BB"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3CE7F2A8" w14:textId="77777777" w:rsidR="00442EBB" w:rsidRPr="003C2E92" w:rsidRDefault="00D31B5B">
      <w:pPr>
        <w:spacing w:before="280" w:after="280" w:line="360" w:lineRule="auto"/>
        <w:jc w:val="center"/>
        <w:rPr>
          <w:rFonts w:ascii="Palatino Linotype" w:eastAsia="Palatino Linotype" w:hAnsi="Palatino Linotype" w:cs="Palatino Linotype"/>
          <w:b/>
          <w:sz w:val="28"/>
          <w:szCs w:val="28"/>
        </w:rPr>
      </w:pPr>
      <w:r w:rsidRPr="003C2E92">
        <w:rPr>
          <w:rFonts w:ascii="Palatino Linotype" w:eastAsia="Palatino Linotype" w:hAnsi="Palatino Linotype" w:cs="Palatino Linotype"/>
          <w:b/>
          <w:sz w:val="28"/>
          <w:szCs w:val="28"/>
        </w:rPr>
        <w:t>R E S U E L V E</w:t>
      </w:r>
    </w:p>
    <w:p w14:paraId="2954DDC4"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b/>
          <w:sz w:val="28"/>
          <w:szCs w:val="28"/>
        </w:rPr>
        <w:t>PRIMERO.</w:t>
      </w:r>
      <w:r w:rsidRPr="003C2E92">
        <w:rPr>
          <w:rFonts w:ascii="Palatino Linotype" w:eastAsia="Palatino Linotype" w:hAnsi="Palatino Linotype" w:cs="Palatino Linotype"/>
        </w:rPr>
        <w:t xml:space="preserve"> Resultan </w:t>
      </w:r>
      <w:r w:rsidRPr="003C2E92">
        <w:rPr>
          <w:rFonts w:ascii="Palatino Linotype" w:eastAsia="Palatino Linotype" w:hAnsi="Palatino Linotype" w:cs="Palatino Linotype"/>
          <w:b/>
        </w:rPr>
        <w:t>fundadas</w:t>
      </w:r>
      <w:r w:rsidRPr="003C2E92">
        <w:rPr>
          <w:rFonts w:ascii="Palatino Linotype" w:eastAsia="Palatino Linotype" w:hAnsi="Palatino Linotype" w:cs="Palatino Linotype"/>
        </w:rPr>
        <w:t xml:space="preserve"> las razones o motivos de inconformidad planteadas por </w:t>
      </w:r>
      <w:r w:rsidRPr="003C2E92">
        <w:rPr>
          <w:rFonts w:ascii="Palatino Linotype" w:eastAsia="Palatino Linotype" w:hAnsi="Palatino Linotype" w:cs="Palatino Linotype"/>
          <w:b/>
        </w:rPr>
        <w:t>EL RECURRENTE</w:t>
      </w:r>
      <w:r w:rsidRPr="003C2E92">
        <w:rPr>
          <w:rFonts w:ascii="Palatino Linotype" w:eastAsia="Palatino Linotype" w:hAnsi="Palatino Linotype" w:cs="Palatino Linotype"/>
        </w:rPr>
        <w:t xml:space="preserve">, en términos del Considerando </w:t>
      </w:r>
      <w:r w:rsidRPr="003C2E92">
        <w:rPr>
          <w:rFonts w:ascii="Palatino Linotype" w:eastAsia="Palatino Linotype" w:hAnsi="Palatino Linotype" w:cs="Palatino Linotype"/>
          <w:b/>
        </w:rPr>
        <w:t>QUINTO</w:t>
      </w:r>
      <w:r w:rsidRPr="003C2E92">
        <w:rPr>
          <w:rFonts w:ascii="Palatino Linotype" w:eastAsia="Palatino Linotype" w:hAnsi="Palatino Linotype" w:cs="Palatino Linotype"/>
        </w:rPr>
        <w:t xml:space="preserve"> de la presente resolución.</w:t>
      </w:r>
    </w:p>
    <w:p w14:paraId="37CC6DAA" w14:textId="372A480E" w:rsidR="00442EBB" w:rsidRPr="003C2E92" w:rsidRDefault="00D31B5B">
      <w:pPr>
        <w:spacing w:before="280" w:after="280"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b/>
          <w:sz w:val="28"/>
          <w:szCs w:val="28"/>
        </w:rPr>
        <w:t>SEGUNDO</w:t>
      </w:r>
      <w:r w:rsidRPr="003C2E92">
        <w:rPr>
          <w:rFonts w:ascii="Palatino Linotype" w:eastAsia="Palatino Linotype" w:hAnsi="Palatino Linotype" w:cs="Palatino Linotype"/>
          <w:sz w:val="28"/>
          <w:szCs w:val="28"/>
        </w:rPr>
        <w:t>.</w:t>
      </w:r>
      <w:r w:rsidRPr="003C2E92">
        <w:rPr>
          <w:rFonts w:ascii="Palatino Linotype" w:eastAsia="Palatino Linotype" w:hAnsi="Palatino Linotype" w:cs="Palatino Linotype"/>
        </w:rPr>
        <w:t xml:space="preserve"> </w:t>
      </w:r>
      <w:r w:rsidRPr="003C2E92">
        <w:rPr>
          <w:rFonts w:ascii="Palatino Linotype" w:eastAsia="Palatino Linotype" w:hAnsi="Palatino Linotype" w:cs="Palatino Linotype"/>
          <w:color w:val="000000"/>
        </w:rPr>
        <w:t xml:space="preserve">Se </w:t>
      </w:r>
      <w:r w:rsidRPr="003C2E92">
        <w:rPr>
          <w:rFonts w:ascii="Palatino Linotype" w:eastAsia="Palatino Linotype" w:hAnsi="Palatino Linotype" w:cs="Palatino Linotype"/>
          <w:b/>
          <w:color w:val="000000"/>
        </w:rPr>
        <w:t xml:space="preserve">REVOCA </w:t>
      </w:r>
      <w:r w:rsidRPr="003C2E92">
        <w:rPr>
          <w:rFonts w:ascii="Palatino Linotype" w:eastAsia="Palatino Linotype" w:hAnsi="Palatino Linotype" w:cs="Palatino Linotype"/>
          <w:color w:val="000000"/>
        </w:rPr>
        <w:t xml:space="preserve">la respuesta proporcionada por </w:t>
      </w:r>
      <w:r w:rsidRPr="003C2E92">
        <w:rPr>
          <w:rFonts w:ascii="Palatino Linotype" w:eastAsia="Palatino Linotype" w:hAnsi="Palatino Linotype" w:cs="Palatino Linotype"/>
          <w:b/>
          <w:color w:val="000000"/>
        </w:rPr>
        <w:t xml:space="preserve">EL SUJETO OBLIGADO </w:t>
      </w:r>
      <w:r w:rsidRPr="003C2E92">
        <w:rPr>
          <w:rFonts w:ascii="Palatino Linotype" w:eastAsia="Palatino Linotype" w:hAnsi="Palatino Linotype" w:cs="Palatino Linotype"/>
          <w:color w:val="000000"/>
        </w:rPr>
        <w:t xml:space="preserve">y se </w:t>
      </w:r>
      <w:r w:rsidRPr="003C2E92">
        <w:rPr>
          <w:rFonts w:ascii="Palatino Linotype" w:eastAsia="Palatino Linotype" w:hAnsi="Palatino Linotype" w:cs="Palatino Linotype"/>
          <w:b/>
          <w:color w:val="000000"/>
        </w:rPr>
        <w:t xml:space="preserve">ordena </w:t>
      </w:r>
      <w:r w:rsidRPr="003C2E92">
        <w:rPr>
          <w:rFonts w:ascii="Palatino Linotype" w:eastAsia="Palatino Linotype" w:hAnsi="Palatino Linotype" w:cs="Palatino Linotype"/>
          <w:color w:val="000000"/>
        </w:rPr>
        <w:t xml:space="preserve">atienda la solicitud de información que dio origen al recurso de revisión </w:t>
      </w:r>
      <w:r w:rsidRPr="003C2E92">
        <w:rPr>
          <w:rFonts w:ascii="Palatino Linotype" w:eastAsia="Palatino Linotype" w:hAnsi="Palatino Linotype" w:cs="Palatino Linotype"/>
          <w:b/>
        </w:rPr>
        <w:t xml:space="preserve">04587/INFOEM/IP/RR/2021, </w:t>
      </w:r>
      <w:r w:rsidRPr="003C2E92">
        <w:rPr>
          <w:rFonts w:ascii="Palatino Linotype" w:eastAsia="Palatino Linotype" w:hAnsi="Palatino Linotype" w:cs="Palatino Linotype"/>
          <w:color w:val="000000"/>
        </w:rPr>
        <w:t xml:space="preserve">en términos del Considerando </w:t>
      </w:r>
      <w:r w:rsidRPr="003C2E92">
        <w:rPr>
          <w:rFonts w:ascii="Palatino Linotype" w:eastAsia="Palatino Linotype" w:hAnsi="Palatino Linotype" w:cs="Palatino Linotype"/>
          <w:b/>
          <w:color w:val="000000"/>
        </w:rPr>
        <w:t>QUINTO</w:t>
      </w:r>
      <w:r w:rsidRPr="003C2E92">
        <w:rPr>
          <w:rFonts w:ascii="Palatino Linotype" w:eastAsia="Palatino Linotype" w:hAnsi="Palatino Linotype" w:cs="Palatino Linotype"/>
          <w:color w:val="000000"/>
        </w:rPr>
        <w:t xml:space="preserve"> de la presente resolución, haciendo entrega en </w:t>
      </w:r>
      <w:r w:rsidRPr="003C2E92">
        <w:rPr>
          <w:rFonts w:ascii="Palatino Linotype" w:eastAsia="Palatino Linotype" w:hAnsi="Palatino Linotype" w:cs="Palatino Linotype"/>
          <w:b/>
          <w:color w:val="000000"/>
        </w:rPr>
        <w:t xml:space="preserve">versión pública </w:t>
      </w:r>
      <w:r w:rsidRPr="003C2E92">
        <w:rPr>
          <w:rFonts w:ascii="Palatino Linotype" w:eastAsia="Palatino Linotype" w:hAnsi="Palatino Linotype" w:cs="Palatino Linotype"/>
          <w:color w:val="000000"/>
        </w:rPr>
        <w:t xml:space="preserve">de lo siguiente: </w:t>
      </w:r>
    </w:p>
    <w:p w14:paraId="3897D4D8" w14:textId="77777777" w:rsidR="00442EBB" w:rsidRPr="003C2E92" w:rsidRDefault="00D31B5B">
      <w:pPr>
        <w:pBdr>
          <w:top w:val="nil"/>
          <w:left w:val="nil"/>
          <w:bottom w:val="nil"/>
          <w:right w:val="nil"/>
          <w:between w:val="nil"/>
        </w:pBdr>
        <w:ind w:left="720" w:right="899"/>
        <w:jc w:val="both"/>
        <w:rPr>
          <w:rFonts w:ascii="Palatino Linotype" w:eastAsia="Palatino Linotype" w:hAnsi="Palatino Linotype" w:cs="Palatino Linotype"/>
          <w:i/>
          <w:color w:val="000000"/>
          <w:sz w:val="22"/>
          <w:szCs w:val="22"/>
        </w:rPr>
      </w:pPr>
      <w:r w:rsidRPr="003C2E92">
        <w:rPr>
          <w:rFonts w:ascii="Palatino Linotype" w:eastAsia="Palatino Linotype" w:hAnsi="Palatino Linotype" w:cs="Palatino Linotype"/>
          <w:i/>
          <w:color w:val="000000"/>
          <w:sz w:val="22"/>
          <w:szCs w:val="22"/>
        </w:rPr>
        <w:t xml:space="preserve">“Las Actas del Comité de Ética, Comité de Transparencia, Comité de Becas, Comité de Adquisiciones,  Comité Dictaminador del Reconocimiento al Esfuerzo Hacendario Municipal, Consejo Directivo y Reuniones Regionales del primero de enero del dos mil dieciocho al cuatro de agosto del dos mil veintiuno con sus anexos </w:t>
      </w:r>
    </w:p>
    <w:p w14:paraId="33CD4440" w14:textId="77777777" w:rsidR="00442EBB" w:rsidRPr="003C2E92" w:rsidRDefault="00D31B5B">
      <w:pPr>
        <w:pBdr>
          <w:top w:val="nil"/>
          <w:left w:val="nil"/>
          <w:bottom w:val="nil"/>
          <w:right w:val="nil"/>
          <w:between w:val="nil"/>
        </w:pBdr>
        <w:spacing w:before="120" w:after="120" w:line="276" w:lineRule="auto"/>
        <w:ind w:left="720" w:right="709"/>
        <w:jc w:val="both"/>
        <w:rPr>
          <w:rFonts w:ascii="Palatino Linotype" w:eastAsia="Palatino Linotype" w:hAnsi="Palatino Linotype" w:cs="Palatino Linotype"/>
          <w:i/>
          <w:color w:val="000000"/>
          <w:sz w:val="22"/>
          <w:szCs w:val="22"/>
        </w:rPr>
      </w:pPr>
      <w:bookmarkStart w:id="4" w:name="_heading=h.3znysh7" w:colFirst="0" w:colLast="0"/>
      <w:bookmarkEnd w:id="4"/>
      <w:r w:rsidRPr="003C2E92">
        <w:rPr>
          <w:rFonts w:ascii="Palatino Linotype" w:eastAsia="Palatino Linotype" w:hAnsi="Palatino Linotype" w:cs="Palatino Linotype"/>
          <w:i/>
          <w:color w:val="000000"/>
          <w:sz w:val="22"/>
          <w:szCs w:val="22"/>
        </w:rPr>
        <w:lastRenderedPageBreak/>
        <w:t xml:space="preserve">Debiendo notificar al </w:t>
      </w:r>
      <w:r w:rsidRPr="003C2E92">
        <w:rPr>
          <w:rFonts w:ascii="Palatino Linotype" w:eastAsia="Palatino Linotype" w:hAnsi="Palatino Linotype" w:cs="Palatino Linotype"/>
          <w:b/>
          <w:i/>
          <w:color w:val="000000"/>
          <w:sz w:val="22"/>
          <w:szCs w:val="22"/>
        </w:rPr>
        <w:t>RECURRENTE</w:t>
      </w:r>
      <w:r w:rsidRPr="003C2E92">
        <w:rPr>
          <w:rFonts w:ascii="Palatino Linotype" w:eastAsia="Palatino Linotype" w:hAnsi="Palatino Linotype" w:cs="Palatino Linotype"/>
          <w:i/>
          <w:color w:val="000000"/>
          <w:sz w:val="22"/>
          <w:szCs w:val="22"/>
        </w:rPr>
        <w:t xml:space="preserve"> el Acuerdo de clasificación de la información que emita el Comité de Transparencia con motivo de la versión pública</w:t>
      </w:r>
      <w:proofErr w:type="gramStart"/>
      <w:r w:rsidRPr="003C2E92">
        <w:rPr>
          <w:rFonts w:ascii="Palatino Linotype" w:eastAsia="Palatino Linotype" w:hAnsi="Palatino Linotype" w:cs="Palatino Linotype"/>
          <w:i/>
          <w:color w:val="000000"/>
          <w:sz w:val="22"/>
          <w:szCs w:val="22"/>
        </w:rPr>
        <w:t>..”</w:t>
      </w:r>
      <w:proofErr w:type="gramEnd"/>
    </w:p>
    <w:p w14:paraId="64C026A9" w14:textId="77777777" w:rsidR="00442EBB" w:rsidRPr="003C2E92" w:rsidRDefault="00D31B5B">
      <w:pPr>
        <w:spacing w:before="280" w:after="280" w:line="360" w:lineRule="auto"/>
        <w:jc w:val="both"/>
        <w:rPr>
          <w:rFonts w:ascii="Palatino Linotype" w:eastAsia="Palatino Linotype" w:hAnsi="Palatino Linotype" w:cs="Palatino Linotype"/>
        </w:rPr>
      </w:pPr>
      <w:r w:rsidRPr="003C2E92">
        <w:rPr>
          <w:rFonts w:ascii="Palatino Linotype" w:eastAsia="Palatino Linotype" w:hAnsi="Palatino Linotype" w:cs="Palatino Linotype"/>
          <w:b/>
          <w:color w:val="000000"/>
          <w:sz w:val="28"/>
          <w:szCs w:val="28"/>
        </w:rPr>
        <w:t>TERCERO</w:t>
      </w:r>
      <w:r w:rsidRPr="003C2E92">
        <w:rPr>
          <w:rFonts w:ascii="Palatino Linotype" w:eastAsia="Palatino Linotype" w:hAnsi="Palatino Linotype" w:cs="Palatino Linotype"/>
          <w:color w:val="000000"/>
          <w:sz w:val="28"/>
          <w:szCs w:val="28"/>
        </w:rPr>
        <w:t>.</w:t>
      </w:r>
      <w:r w:rsidRPr="003C2E92">
        <w:rPr>
          <w:rFonts w:ascii="Palatino Linotype" w:eastAsia="Palatino Linotype" w:hAnsi="Palatino Linotype" w:cs="Palatino Linotype"/>
          <w:color w:val="000000"/>
        </w:rPr>
        <w:t xml:space="preserve"> </w:t>
      </w:r>
      <w:r w:rsidRPr="003C2E92">
        <w:rPr>
          <w:rFonts w:ascii="Palatino Linotype" w:eastAsia="Palatino Linotype" w:hAnsi="Palatino Linotype" w:cs="Palatino Linotype"/>
          <w:b/>
          <w:color w:val="000000"/>
        </w:rPr>
        <w:t>Notifíquese</w:t>
      </w:r>
      <w:r w:rsidRPr="003C2E92">
        <w:rPr>
          <w:rFonts w:ascii="Palatino Linotype" w:eastAsia="Palatino Linotype" w:hAnsi="Palatino Linotype" w:cs="Palatino Linotype"/>
          <w:color w:val="000000"/>
        </w:rPr>
        <w:t xml:space="preserve"> </w:t>
      </w:r>
      <w:r w:rsidRPr="003C2E92">
        <w:rPr>
          <w:rFonts w:ascii="Palatino Linotype" w:eastAsia="Palatino Linotype" w:hAnsi="Palatino Linotype" w:cs="Palatino Linotype"/>
        </w:rPr>
        <w:t>al Titular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A981250" w14:textId="77777777" w:rsidR="00442EBB" w:rsidRPr="003C2E92" w:rsidRDefault="00D31B5B">
      <w:pPr>
        <w:spacing w:before="280" w:after="280" w:line="360" w:lineRule="auto"/>
        <w:ind w:right="51"/>
        <w:jc w:val="both"/>
        <w:rPr>
          <w:rFonts w:ascii="Palatino Linotype" w:eastAsia="Palatino Linotype" w:hAnsi="Palatino Linotype" w:cs="Palatino Linotype"/>
          <w:b/>
          <w:color w:val="000000"/>
        </w:rPr>
      </w:pPr>
      <w:r w:rsidRPr="003C2E92">
        <w:rPr>
          <w:rFonts w:ascii="Palatino Linotype" w:eastAsia="Palatino Linotype" w:hAnsi="Palatino Linotype" w:cs="Palatino Linotype"/>
          <w:b/>
          <w:color w:val="000000"/>
          <w:sz w:val="28"/>
          <w:szCs w:val="28"/>
        </w:rPr>
        <w:t>CUARTO.</w:t>
      </w:r>
      <w:r w:rsidRPr="003C2E92">
        <w:rPr>
          <w:rFonts w:ascii="Palatino Linotype" w:eastAsia="Palatino Linotype" w:hAnsi="Palatino Linotype" w:cs="Palatino Linotype"/>
          <w:b/>
          <w:color w:val="000000"/>
        </w:rPr>
        <w:t> Notifíquese</w:t>
      </w:r>
      <w:r w:rsidRPr="003C2E92">
        <w:rPr>
          <w:rFonts w:ascii="Palatino Linotype" w:eastAsia="Palatino Linotype" w:hAnsi="Palatino Linotype" w:cs="Palatino Linotype"/>
          <w:color w:val="000000"/>
        </w:rPr>
        <w:t xml:space="preserve"> al </w:t>
      </w:r>
      <w:r w:rsidRPr="003C2E92">
        <w:rPr>
          <w:rFonts w:ascii="Palatino Linotype" w:eastAsia="Palatino Linotype" w:hAnsi="Palatino Linotype" w:cs="Palatino Linotype"/>
          <w:b/>
          <w:color w:val="000000"/>
        </w:rPr>
        <w:t>RECURRENTE</w:t>
      </w:r>
      <w:r w:rsidRPr="003C2E92">
        <w:rPr>
          <w:rFonts w:ascii="Palatino Linotype" w:eastAsia="Palatino Linotype" w:hAnsi="Palatino Linotype" w:cs="Palatino Linotype"/>
          <w:color w:val="000000"/>
        </w:rPr>
        <w:t xml:space="preserve"> la presente resolución.</w:t>
      </w:r>
    </w:p>
    <w:p w14:paraId="770356A2" w14:textId="77777777" w:rsidR="00442EBB" w:rsidRPr="003C2E92" w:rsidRDefault="00D31B5B">
      <w:pPr>
        <w:spacing w:before="280" w:after="280" w:line="360" w:lineRule="auto"/>
        <w:ind w:right="51"/>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b/>
          <w:color w:val="000000"/>
          <w:sz w:val="28"/>
          <w:szCs w:val="28"/>
        </w:rPr>
        <w:t>QUINTO.</w:t>
      </w:r>
      <w:r w:rsidRPr="003C2E92">
        <w:rPr>
          <w:rFonts w:ascii="Palatino Linotype" w:eastAsia="Palatino Linotype" w:hAnsi="Palatino Linotype" w:cs="Palatino Linotype"/>
          <w:color w:val="000000"/>
        </w:rPr>
        <w:t xml:space="preserve"> </w:t>
      </w:r>
      <w:r w:rsidRPr="003C2E92">
        <w:rPr>
          <w:rFonts w:ascii="Palatino Linotype" w:eastAsia="Palatino Linotype" w:hAnsi="Palatino Linotype" w:cs="Palatino Linotype"/>
          <w:b/>
          <w:color w:val="000000"/>
        </w:rPr>
        <w:t>Hágase del conocimiento</w:t>
      </w:r>
      <w:r w:rsidRPr="003C2E92">
        <w:rPr>
          <w:rFonts w:ascii="Palatino Linotype" w:eastAsia="Palatino Linotype" w:hAnsi="Palatino Linotype" w:cs="Palatino Linotype"/>
          <w:color w:val="000000"/>
        </w:rPr>
        <w:t xml:space="preserve"> al </w:t>
      </w:r>
      <w:r w:rsidRPr="003C2E92">
        <w:rPr>
          <w:rFonts w:ascii="Palatino Linotype" w:eastAsia="Palatino Linotype" w:hAnsi="Palatino Linotype" w:cs="Palatino Linotype"/>
          <w:b/>
          <w:color w:val="000000"/>
        </w:rPr>
        <w:t>RECURRENTE</w:t>
      </w:r>
      <w:r w:rsidRPr="003C2E92">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61F814E" w14:textId="77777777" w:rsidR="00442EBB" w:rsidRPr="003C2E92" w:rsidRDefault="00D31B5B">
      <w:pPr>
        <w:spacing w:before="280" w:after="280" w:line="360" w:lineRule="auto"/>
        <w:ind w:right="51"/>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b/>
          <w:color w:val="000000"/>
          <w:sz w:val="28"/>
          <w:szCs w:val="28"/>
        </w:rPr>
        <w:t>SEXTO</w:t>
      </w:r>
      <w:r w:rsidRPr="003C2E92">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w:t>
      </w:r>
      <w:r w:rsidRPr="003C2E92">
        <w:rPr>
          <w:rFonts w:ascii="Palatino Linotype" w:eastAsia="Palatino Linotype" w:hAnsi="Palatino Linotype" w:cs="Palatino Linotype"/>
          <w:b/>
          <w:color w:val="000000"/>
        </w:rPr>
        <w:t>EL SUJETO OBLIGADO</w:t>
      </w:r>
      <w:r w:rsidRPr="003C2E92">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11B0824D" w14:textId="26E940F1" w:rsidR="00442EBB" w:rsidRPr="003C2E92" w:rsidRDefault="00D31B5B">
      <w:pPr>
        <w:spacing w:line="360" w:lineRule="auto"/>
        <w:jc w:val="both"/>
        <w:rPr>
          <w:rFonts w:ascii="Palatino Linotype" w:eastAsia="Palatino Linotype" w:hAnsi="Palatino Linotype" w:cs="Palatino Linotype"/>
          <w:color w:val="000000"/>
        </w:rPr>
      </w:pPr>
      <w:r w:rsidRPr="003C2E92">
        <w:rPr>
          <w:rFonts w:ascii="Palatino Linotype" w:eastAsia="Palatino Linotype" w:hAnsi="Palatino Linotype" w:cs="Palatino Linotype"/>
          <w:color w:val="000000"/>
        </w:rPr>
        <w:t xml:space="preserve">ASÍ LO RESUELVE, POR </w:t>
      </w:r>
      <w:r w:rsidRPr="003C2E92">
        <w:rPr>
          <w:rFonts w:ascii="Palatino Linotype" w:eastAsia="Palatino Linotype" w:hAnsi="Palatino Linotype" w:cs="Palatino Linotype"/>
        </w:rPr>
        <w:t xml:space="preserve">UNANIMIDAD </w:t>
      </w:r>
      <w:r w:rsidRPr="003C2E92">
        <w:rPr>
          <w:rFonts w:ascii="Palatino Linotype" w:eastAsia="Palatino Linotype" w:hAnsi="Palatino Linotype" w:cs="Palatino Linotype"/>
          <w:color w:val="000000"/>
        </w:rPr>
        <w:t xml:space="preserve">DE VOTOS EL PLENO DEL INSTITUTO DE TRANSPARENCIA, ACCESO A LA INFORMACIÓN PÚBLICA Y PROTECCIÓN DE DATOS PERSONALES DEL ESTADO DE MÉXICO Y MUNICIPIOS, CONFORMADO POR LOS COMISIONADOS JOSÉ MARTÍNEZ VILCHIS; MARÍA </w:t>
      </w:r>
      <w:r w:rsidRPr="003C2E92">
        <w:rPr>
          <w:rFonts w:ascii="Palatino Linotype" w:eastAsia="Palatino Linotype" w:hAnsi="Palatino Linotype" w:cs="Palatino Linotype"/>
          <w:color w:val="000000"/>
        </w:rPr>
        <w:lastRenderedPageBreak/>
        <w:t xml:space="preserve">DEL ROSARIO MEJÍA AYALA; SHARON CRISTINA MORALES MARTÍNEZ; LUIS GUSTAVO PARRA NORIEGA Y GUADALUPE RAMÍREZ PEÑA; EN LA TRIGÉSIMA OCTAVA SESIÓN ORDINARIA CELEBRADA </w:t>
      </w:r>
      <w:proofErr w:type="gramStart"/>
      <w:r w:rsidRPr="003C2E92">
        <w:rPr>
          <w:rFonts w:ascii="Palatino Linotype" w:eastAsia="Palatino Linotype" w:hAnsi="Palatino Linotype" w:cs="Palatino Linotype"/>
          <w:color w:val="000000"/>
        </w:rPr>
        <w:t>EL ,</w:t>
      </w:r>
      <w:proofErr w:type="gramEnd"/>
      <w:r w:rsidRPr="003C2E92">
        <w:rPr>
          <w:rFonts w:ascii="Palatino Linotype" w:eastAsia="Palatino Linotype" w:hAnsi="Palatino Linotype" w:cs="Palatino Linotype"/>
          <w:color w:val="000000"/>
        </w:rPr>
        <w:t xml:space="preserve"> ANTE EL SECRETARIO TÉCNICO DEL PLENO, ALEXIS TAPIA RAMÍREZ.</w:t>
      </w:r>
    </w:p>
    <w:p w14:paraId="3B838C34" w14:textId="77777777" w:rsidR="00442EBB" w:rsidRDefault="00D31B5B">
      <w:pPr>
        <w:jc w:val="both"/>
        <w:rPr>
          <w:rFonts w:ascii="Palatino Linotype" w:eastAsia="Palatino Linotype" w:hAnsi="Palatino Linotype" w:cs="Palatino Linotype"/>
          <w:color w:val="000000"/>
          <w:sz w:val="20"/>
          <w:szCs w:val="20"/>
        </w:rPr>
      </w:pPr>
      <w:r w:rsidRPr="003C2E92">
        <w:rPr>
          <w:rFonts w:ascii="Palatino Linotype" w:eastAsia="Palatino Linotype" w:hAnsi="Palatino Linotype" w:cs="Palatino Linotype"/>
          <w:color w:val="000000"/>
          <w:sz w:val="20"/>
          <w:szCs w:val="20"/>
        </w:rPr>
        <w:t>SCMM/BLA/DEMF/AMV/PMRE</w:t>
      </w:r>
    </w:p>
    <w:p w14:paraId="40A684A0" w14:textId="77777777" w:rsidR="00442EBB" w:rsidRDefault="00D31B5B">
      <w:pPr>
        <w:rPr>
          <w:rFonts w:ascii="Palatino Linotype" w:eastAsia="Palatino Linotype" w:hAnsi="Palatino Linotype" w:cs="Palatino Linotype"/>
          <w:color w:val="000000"/>
          <w:sz w:val="20"/>
          <w:szCs w:val="20"/>
        </w:rPr>
      </w:pPr>
      <w:r>
        <w:br w:type="page"/>
      </w:r>
    </w:p>
    <w:p w14:paraId="4F3AD0E1" w14:textId="77777777" w:rsidR="00442EBB" w:rsidRDefault="00442EBB">
      <w:pPr>
        <w:jc w:val="both"/>
      </w:pPr>
    </w:p>
    <w:p w14:paraId="1E6C3104" w14:textId="77777777" w:rsidR="00442EBB" w:rsidRDefault="00442EBB"/>
    <w:sectPr w:rsidR="00442EBB">
      <w:headerReference w:type="default" r:id="rId33"/>
      <w:footerReference w:type="default" r:id="rId34"/>
      <w:headerReference w:type="first" r:id="rId35"/>
      <w:footerReference w:type="first" r:id="rId3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E3352" w14:textId="77777777" w:rsidR="00AE5944" w:rsidRDefault="00AE5944">
      <w:r>
        <w:separator/>
      </w:r>
    </w:p>
  </w:endnote>
  <w:endnote w:type="continuationSeparator" w:id="0">
    <w:p w14:paraId="3E2F8898" w14:textId="77777777" w:rsidR="00AE5944" w:rsidRDefault="00AE5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7F870" w14:textId="77777777" w:rsidR="00442EBB" w:rsidRDefault="00D31B5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C3E1C">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C3E1C">
      <w:rPr>
        <w:rFonts w:ascii="Palatino Linotype" w:eastAsia="Palatino Linotype" w:hAnsi="Palatino Linotype" w:cs="Palatino Linotype"/>
        <w:noProof/>
        <w:color w:val="000000"/>
        <w:sz w:val="22"/>
        <w:szCs w:val="22"/>
      </w:rPr>
      <w:t>33</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13FF7" w14:textId="77777777" w:rsidR="00442EBB" w:rsidRDefault="00D31B5B">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C3E1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C3E1C">
      <w:rPr>
        <w:rFonts w:ascii="Palatino Linotype" w:eastAsia="Palatino Linotype" w:hAnsi="Palatino Linotype" w:cs="Palatino Linotype"/>
        <w:noProof/>
        <w:color w:val="000000"/>
        <w:sz w:val="22"/>
        <w:szCs w:val="22"/>
      </w:rPr>
      <w:t>33</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5BE37" w14:textId="77777777" w:rsidR="00AE5944" w:rsidRDefault="00AE5944">
      <w:r>
        <w:separator/>
      </w:r>
    </w:p>
  </w:footnote>
  <w:footnote w:type="continuationSeparator" w:id="0">
    <w:p w14:paraId="15CA1B80" w14:textId="77777777" w:rsidR="00AE5944" w:rsidRDefault="00AE5944">
      <w:r>
        <w:continuationSeparator/>
      </w:r>
    </w:p>
  </w:footnote>
  <w:footnote w:id="1">
    <w:p w14:paraId="7F945318" w14:textId="77777777" w:rsidR="00442EBB" w:rsidRDefault="00D31B5B">
      <w:pPr>
        <w:ind w:right="902"/>
        <w:rPr>
          <w:rFonts w:ascii="Palatino Linotype" w:eastAsia="Palatino Linotype" w:hAnsi="Palatino Linotype" w:cs="Palatino Linotype"/>
          <w:b/>
          <w:i/>
          <w:sz w:val="16"/>
          <w:szCs w:val="16"/>
        </w:rPr>
      </w:pPr>
      <w:r>
        <w:rPr>
          <w:vertAlign w:val="superscript"/>
        </w:rPr>
        <w:footnoteRef/>
      </w:r>
      <w:r>
        <w:rPr>
          <w:sz w:val="16"/>
          <w:szCs w:val="16"/>
        </w:rPr>
        <w:t xml:space="preserve"> </w:t>
      </w:r>
      <w:r>
        <w:rPr>
          <w:rFonts w:ascii="Palatino Linotype" w:eastAsia="Palatino Linotype" w:hAnsi="Palatino Linotype" w:cs="Palatino Linotype"/>
          <w:b/>
          <w:i/>
          <w:sz w:val="16"/>
          <w:szCs w:val="16"/>
        </w:rPr>
        <w:t xml:space="preserve">“Artículo 9. </w:t>
      </w:r>
      <w:r>
        <w:rPr>
          <w:rFonts w:ascii="Palatino Linotype" w:eastAsia="Palatino Linotype" w:hAnsi="Palatino Linotype" w:cs="Palatino Linotype"/>
          <w:i/>
          <w:sz w:val="16"/>
          <w:szCs w:val="16"/>
        </w:rPr>
        <w:t>El Instituto deberá regir su funcionamiento de acuerdo a los siguientes principios:</w:t>
      </w:r>
    </w:p>
    <w:p w14:paraId="7844B341" w14:textId="77777777" w:rsidR="00442EBB" w:rsidRDefault="00D31B5B">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b/>
          <w:i/>
          <w:color w:val="000000"/>
          <w:sz w:val="16"/>
          <w:szCs w:val="16"/>
        </w:rPr>
        <w:t>…</w:t>
      </w:r>
      <w:r>
        <w:rPr>
          <w:rFonts w:ascii="Palatino Linotype" w:eastAsia="Palatino Linotype" w:hAnsi="Palatino Linotype" w:cs="Palatino Linotype"/>
          <w:i/>
          <w:color w:val="000000"/>
          <w:sz w:val="16"/>
          <w:szCs w:val="16"/>
        </w:rPr>
        <w:t xml:space="preserve"> </w:t>
      </w:r>
    </w:p>
    <w:p w14:paraId="7E9DC869" w14:textId="77777777" w:rsidR="00442EBB" w:rsidRDefault="00D31B5B">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b/>
          <w:i/>
          <w:color w:val="000000"/>
          <w:sz w:val="16"/>
          <w:szCs w:val="16"/>
        </w:rPr>
        <w:t>III.- Gratuidad:</w:t>
      </w:r>
      <w:r>
        <w:rPr>
          <w:rFonts w:ascii="Palatino Linotype" w:eastAsia="Palatino Linotype" w:hAnsi="Palatino Linotype" w:cs="Palatino Linotype"/>
          <w:i/>
          <w:color w:val="000000"/>
          <w:sz w:val="16"/>
          <w:szCs w:val="16"/>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061E5178" w14:textId="77777777" w:rsidR="00442EBB" w:rsidRDefault="00D31B5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w:t>
      </w:r>
      <w:r>
        <w:rPr>
          <w:rFonts w:ascii="Palatino Linotype" w:eastAsia="Palatino Linotype" w:hAnsi="Palatino Linotype" w:cs="Palatino Linotype"/>
          <w:b/>
          <w:i/>
          <w:color w:val="000000"/>
          <w:sz w:val="16"/>
          <w:szCs w:val="16"/>
        </w:rPr>
        <w:t>”</w:t>
      </w:r>
    </w:p>
  </w:footnote>
  <w:footnote w:id="2">
    <w:p w14:paraId="54281CAB" w14:textId="77777777" w:rsidR="00442EBB" w:rsidRDefault="00D31B5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IPOMEX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DC904" w14:textId="77777777" w:rsidR="00442EBB" w:rsidRDefault="00442EB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0"/>
      <w:tblW w:w="9356" w:type="dxa"/>
      <w:tblInd w:w="-142" w:type="dxa"/>
      <w:tblLayout w:type="fixed"/>
      <w:tblLook w:val="0400" w:firstRow="0" w:lastRow="0" w:firstColumn="0" w:lastColumn="0" w:noHBand="0" w:noVBand="1"/>
    </w:tblPr>
    <w:tblGrid>
      <w:gridCol w:w="3544"/>
      <w:gridCol w:w="2552"/>
      <w:gridCol w:w="3260"/>
    </w:tblGrid>
    <w:tr w:rsidR="00442EBB" w14:paraId="2C593EF2" w14:textId="77777777">
      <w:tc>
        <w:tcPr>
          <w:tcW w:w="3544" w:type="dxa"/>
          <w:vMerge w:val="restart"/>
        </w:tcPr>
        <w:p w14:paraId="72358AB9" w14:textId="77777777" w:rsidR="00442EBB" w:rsidRDefault="00D31B5B">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39F1172D" wp14:editId="7112F009">
                <wp:extent cx="1692162" cy="852673"/>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0B17C71B" w14:textId="77777777" w:rsidR="00442EBB" w:rsidRDefault="00D31B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shd w:val="clear" w:color="auto" w:fill="auto"/>
          <w:vAlign w:val="center"/>
        </w:tcPr>
        <w:p w14:paraId="2A3E1FDE" w14:textId="77777777" w:rsidR="00442EBB" w:rsidRDefault="00D31B5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04587/INFOEM/IP/RR/2021 </w:t>
          </w:r>
        </w:p>
      </w:tc>
    </w:tr>
    <w:tr w:rsidR="00442EBB" w14:paraId="02025BA5" w14:textId="77777777">
      <w:tc>
        <w:tcPr>
          <w:tcW w:w="3544" w:type="dxa"/>
          <w:vMerge/>
        </w:tcPr>
        <w:p w14:paraId="76D0A5B3" w14:textId="77777777" w:rsidR="00442EBB" w:rsidRDefault="00442EB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D71B16C" w14:textId="77777777" w:rsidR="00442EBB" w:rsidRDefault="00D31B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shd w:val="clear" w:color="auto" w:fill="auto"/>
          <w:vAlign w:val="center"/>
        </w:tcPr>
        <w:p w14:paraId="4DB05D91" w14:textId="77777777" w:rsidR="00442EBB" w:rsidRDefault="00D31B5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Instituto Hacendario del Estado de México </w:t>
          </w:r>
        </w:p>
      </w:tc>
    </w:tr>
    <w:tr w:rsidR="00442EBB" w14:paraId="68203389" w14:textId="77777777">
      <w:trPr>
        <w:trHeight w:val="228"/>
      </w:trPr>
      <w:tc>
        <w:tcPr>
          <w:tcW w:w="3544" w:type="dxa"/>
          <w:vMerge/>
        </w:tcPr>
        <w:p w14:paraId="2F8285DC" w14:textId="77777777" w:rsidR="00442EBB" w:rsidRDefault="00442EB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D561640" w14:textId="77777777" w:rsidR="00442EBB" w:rsidRDefault="00D31B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0" w:type="dxa"/>
          <w:shd w:val="clear" w:color="auto" w:fill="auto"/>
        </w:tcPr>
        <w:p w14:paraId="2AA0711D" w14:textId="77777777" w:rsidR="00442EBB" w:rsidRDefault="00D31B5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3665EBFB" w14:textId="77777777" w:rsidR="00442EBB" w:rsidRDefault="00442EB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99567" w14:textId="77777777" w:rsidR="00442EBB" w:rsidRDefault="00442EBB">
    <w:pPr>
      <w:rPr>
        <w:rFonts w:ascii="Palatino Linotype" w:eastAsia="Palatino Linotype" w:hAnsi="Palatino Linotype" w:cs="Palatino Linotype"/>
        <w:sz w:val="28"/>
        <w:szCs w:val="28"/>
      </w:rPr>
    </w:pPr>
  </w:p>
  <w:tbl>
    <w:tblPr>
      <w:tblStyle w:val="a"/>
      <w:tblW w:w="9356" w:type="dxa"/>
      <w:tblInd w:w="-142" w:type="dxa"/>
      <w:tblLayout w:type="fixed"/>
      <w:tblLook w:val="0400" w:firstRow="0" w:lastRow="0" w:firstColumn="0" w:lastColumn="0" w:noHBand="0" w:noVBand="1"/>
    </w:tblPr>
    <w:tblGrid>
      <w:gridCol w:w="3544"/>
      <w:gridCol w:w="2552"/>
      <w:gridCol w:w="3260"/>
    </w:tblGrid>
    <w:tr w:rsidR="00442EBB" w14:paraId="3BC29940" w14:textId="77777777">
      <w:tc>
        <w:tcPr>
          <w:tcW w:w="3544" w:type="dxa"/>
          <w:vMerge w:val="restart"/>
          <w:shd w:val="clear" w:color="auto" w:fill="auto"/>
        </w:tcPr>
        <w:p w14:paraId="5D1573FF" w14:textId="77777777" w:rsidR="00442EBB" w:rsidRDefault="00D31B5B">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7E8F8F8A" wp14:editId="64828E27">
                <wp:extent cx="1850728" cy="932574"/>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50728" cy="932574"/>
                        </a:xfrm>
                        <a:prstGeom prst="rect">
                          <a:avLst/>
                        </a:prstGeom>
                        <a:ln/>
                      </pic:spPr>
                    </pic:pic>
                  </a:graphicData>
                </a:graphic>
              </wp:inline>
            </w:drawing>
          </w:r>
        </w:p>
      </w:tc>
      <w:tc>
        <w:tcPr>
          <w:tcW w:w="2552" w:type="dxa"/>
          <w:shd w:val="clear" w:color="auto" w:fill="auto"/>
        </w:tcPr>
        <w:p w14:paraId="1B0FE6D7" w14:textId="77777777" w:rsidR="00442EBB" w:rsidRDefault="00D31B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shd w:val="clear" w:color="auto" w:fill="auto"/>
          <w:vAlign w:val="center"/>
        </w:tcPr>
        <w:p w14:paraId="4C177A7B" w14:textId="77777777" w:rsidR="00442EBB" w:rsidRDefault="00D31B5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04587/INFOEM/IP/RR/2021 </w:t>
          </w:r>
        </w:p>
      </w:tc>
    </w:tr>
    <w:tr w:rsidR="00442EBB" w14:paraId="697212D3" w14:textId="77777777">
      <w:tc>
        <w:tcPr>
          <w:tcW w:w="3544" w:type="dxa"/>
          <w:vMerge/>
          <w:shd w:val="clear" w:color="auto" w:fill="auto"/>
        </w:tcPr>
        <w:p w14:paraId="337DFA8D" w14:textId="77777777" w:rsidR="00442EBB" w:rsidRDefault="00442EB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301C5F3" w14:textId="77777777" w:rsidR="00442EBB" w:rsidRDefault="00D31B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0" w:type="dxa"/>
          <w:shd w:val="clear" w:color="auto" w:fill="auto"/>
          <w:vAlign w:val="center"/>
        </w:tcPr>
        <w:p w14:paraId="76139CC4" w14:textId="48A10BC7" w:rsidR="00442EBB" w:rsidRDefault="00DC3E1C">
          <w:pPr>
            <w:jc w:val="both"/>
            <w:rPr>
              <w:rFonts w:ascii="Palatino Linotype" w:eastAsia="Palatino Linotype" w:hAnsi="Palatino Linotype" w:cs="Palatino Linotype"/>
              <w:b/>
              <w:sz w:val="22"/>
              <w:szCs w:val="22"/>
            </w:rPr>
          </w:pPr>
          <w:r w:rsidRPr="00DC3E1C">
            <w:rPr>
              <w:rFonts w:ascii="Palatino Linotype" w:eastAsia="Palatino Linotype" w:hAnsi="Palatino Linotype" w:cs="Palatino Linotype"/>
              <w:b/>
              <w:sz w:val="22"/>
              <w:szCs w:val="22"/>
            </w:rPr>
            <w:t xml:space="preserve">XXXXX XXXXXX </w:t>
          </w:r>
          <w:proofErr w:type="spellStart"/>
          <w:r w:rsidRPr="00DC3E1C">
            <w:rPr>
              <w:rFonts w:ascii="Palatino Linotype" w:eastAsia="Palatino Linotype" w:hAnsi="Palatino Linotype" w:cs="Palatino Linotype"/>
              <w:b/>
              <w:sz w:val="22"/>
              <w:szCs w:val="22"/>
            </w:rPr>
            <w:t>XXXXXX</w:t>
          </w:r>
          <w:proofErr w:type="spellEnd"/>
          <w:r w:rsidRPr="00DC3E1C">
            <w:rPr>
              <w:rFonts w:ascii="Palatino Linotype" w:eastAsia="Palatino Linotype" w:hAnsi="Palatino Linotype" w:cs="Palatino Linotype"/>
              <w:b/>
              <w:sz w:val="22"/>
              <w:szCs w:val="22"/>
            </w:rPr>
            <w:t xml:space="preserve"> XX XXX</w:t>
          </w:r>
        </w:p>
      </w:tc>
    </w:tr>
    <w:tr w:rsidR="00442EBB" w14:paraId="020A3E97" w14:textId="77777777">
      <w:trPr>
        <w:trHeight w:val="228"/>
      </w:trPr>
      <w:tc>
        <w:tcPr>
          <w:tcW w:w="3544" w:type="dxa"/>
          <w:vMerge/>
          <w:shd w:val="clear" w:color="auto" w:fill="auto"/>
        </w:tcPr>
        <w:p w14:paraId="584910BA" w14:textId="77777777" w:rsidR="00442EBB" w:rsidRDefault="00442EB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61394E1" w14:textId="77777777" w:rsidR="00442EBB" w:rsidRDefault="00D31B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shd w:val="clear" w:color="auto" w:fill="auto"/>
          <w:vAlign w:val="center"/>
        </w:tcPr>
        <w:p w14:paraId="38431F08" w14:textId="77777777" w:rsidR="00442EBB" w:rsidRDefault="00D31B5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Hacendario del Estado de México</w:t>
          </w:r>
        </w:p>
      </w:tc>
    </w:tr>
    <w:tr w:rsidR="00442EBB" w14:paraId="45C7136E" w14:textId="77777777">
      <w:trPr>
        <w:trHeight w:val="228"/>
      </w:trPr>
      <w:tc>
        <w:tcPr>
          <w:tcW w:w="3544" w:type="dxa"/>
          <w:shd w:val="clear" w:color="auto" w:fill="auto"/>
        </w:tcPr>
        <w:p w14:paraId="5E0FE1AC" w14:textId="77777777" w:rsidR="00442EBB" w:rsidRDefault="00442EBB">
          <w:pPr>
            <w:rPr>
              <w:rFonts w:ascii="Palatino Linotype" w:eastAsia="Palatino Linotype" w:hAnsi="Palatino Linotype" w:cs="Palatino Linotype"/>
              <w:b/>
              <w:sz w:val="22"/>
              <w:szCs w:val="22"/>
            </w:rPr>
          </w:pPr>
        </w:p>
      </w:tc>
      <w:tc>
        <w:tcPr>
          <w:tcW w:w="2552" w:type="dxa"/>
          <w:shd w:val="clear" w:color="auto" w:fill="auto"/>
        </w:tcPr>
        <w:p w14:paraId="225173E2" w14:textId="77777777" w:rsidR="00442EBB" w:rsidRDefault="00D31B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0" w:type="dxa"/>
          <w:shd w:val="clear" w:color="auto" w:fill="auto"/>
        </w:tcPr>
        <w:p w14:paraId="29D75AE7" w14:textId="77777777" w:rsidR="00442EBB" w:rsidRDefault="00D31B5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01412FB1" w14:textId="77777777" w:rsidR="00442EBB" w:rsidRDefault="00442EBB">
    <w:pPr>
      <w:rPr>
        <w:rFonts w:ascii="Palatino Linotype" w:eastAsia="Palatino Linotype" w:hAnsi="Palatino Linotype" w:cs="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EBB"/>
    <w:rsid w:val="00150CA2"/>
    <w:rsid w:val="003C2E92"/>
    <w:rsid w:val="00442EBB"/>
    <w:rsid w:val="00913D36"/>
    <w:rsid w:val="00AE5944"/>
    <w:rsid w:val="00B76F56"/>
    <w:rsid w:val="00C30396"/>
    <w:rsid w:val="00D31B5B"/>
    <w:rsid w:val="00DC3E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C5992"/>
  <w15:docId w15:val="{65C72BFA-6A59-45D2-BE7A-C909E826C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5D8"/>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7715D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7715D8"/>
    <w:rPr>
      <w:rFonts w:eastAsiaTheme="minorEastAsia"/>
      <w:sz w:val="24"/>
      <w:szCs w:val="24"/>
      <w:lang w:val="es-ES_tradnl" w:eastAsia="es-ES"/>
    </w:rPr>
  </w:style>
  <w:style w:type="paragraph" w:styleId="Piedepgina">
    <w:name w:val="footer"/>
    <w:basedOn w:val="Normal"/>
    <w:link w:val="PiedepginaCar"/>
    <w:uiPriority w:val="99"/>
    <w:unhideWhenUsed/>
    <w:rsid w:val="007715D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715D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715D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715D8"/>
    <w:rPr>
      <w:rFonts w:ascii="Times New Roman" w:eastAsia="Times New Roman" w:hAnsi="Times New Roman" w:cs="Times New Roman"/>
      <w:sz w:val="24"/>
      <w:szCs w:val="24"/>
      <w:lang w:eastAsia="es-ES"/>
    </w:rPr>
  </w:style>
  <w:style w:type="paragraph" w:customStyle="1" w:styleId="Default">
    <w:name w:val="Default"/>
    <w:rsid w:val="007715D8"/>
    <w:pPr>
      <w:autoSpaceDE w:val="0"/>
      <w:autoSpaceDN w:val="0"/>
      <w:adjustRightInd w:val="0"/>
    </w:pPr>
    <w:rPr>
      <w:rFonts w:ascii="Arial" w:hAnsi="Arial" w:cs="Arial"/>
      <w:color w:val="00000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715D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715D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7715D8"/>
    <w:rPr>
      <w:vertAlign w:val="superscript"/>
    </w:rPr>
  </w:style>
  <w:style w:type="table" w:styleId="Tablaconcuadrcula">
    <w:name w:val="Table Grid"/>
    <w:basedOn w:val="Tablanormal"/>
    <w:uiPriority w:val="59"/>
    <w:rsid w:val="00771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rsid w:val="007715D8"/>
    <w:rPr>
      <w:rFonts w:asciiTheme="minorHAnsi" w:eastAsia="Cambria" w:hAnsiTheme="minorHAnsi" w:cstheme="minorBidi"/>
      <w:sz w:val="20"/>
      <w:szCs w:val="20"/>
      <w:lang w:eastAsia="en-US"/>
    </w:rPr>
  </w:style>
  <w:style w:type="character" w:styleId="Hipervnculo">
    <w:name w:val="Hyperlink"/>
    <w:basedOn w:val="Fuentedeprrafopredeter"/>
    <w:uiPriority w:val="99"/>
    <w:unhideWhenUsed/>
    <w:rsid w:val="007715D8"/>
    <w:rPr>
      <w:color w:val="0563C1" w:themeColor="hyperlink"/>
      <w:u w:val="single"/>
    </w:rPr>
  </w:style>
  <w:style w:type="paragraph" w:styleId="Textodeglobo">
    <w:name w:val="Balloon Text"/>
    <w:basedOn w:val="Normal"/>
    <w:link w:val="TextodegloboCar"/>
    <w:uiPriority w:val="99"/>
    <w:semiHidden/>
    <w:unhideWhenUsed/>
    <w:rsid w:val="003A5CF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CF6"/>
    <w:rPr>
      <w:rFonts w:ascii="Segoe UI" w:eastAsia="Times New Roman" w:hAnsi="Segoe UI" w:cs="Segoe UI"/>
      <w:sz w:val="18"/>
      <w:szCs w:val="18"/>
      <w:lang w:eastAsia="es-ES"/>
    </w:rPr>
  </w:style>
  <w:style w:type="paragraph" w:styleId="NormalWeb">
    <w:name w:val="Normal (Web)"/>
    <w:basedOn w:val="Normal"/>
    <w:uiPriority w:val="99"/>
    <w:semiHidden/>
    <w:unhideWhenUsed/>
    <w:rsid w:val="00A16BB7"/>
    <w:pPr>
      <w:spacing w:before="100" w:beforeAutospacing="1" w:after="100" w:afterAutospacing="1"/>
    </w:pPr>
    <w:rPr>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2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xcmc0YDsCGpJqv6E2mwgLNtgzA==">AMUW2mVSNkQGsYc/NCs+tO6f3yCq6zTGQVTslYu0Qz3L+GAvqjXDX1ezG6oQ0GD5iO8ZkiU23b0y1WVCO1HlZhKPqaEfwzD07HjicS03Q2SiWf1tE7OdGttenOODavT29gUiwiWds//tp9QUyp7Vz/deuuC5s3TDKAeCRG2PCq69koTq58kOlO4=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33</Pages>
  <Words>6591</Words>
  <Characters>36255</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PONENCIA EAY</cp:lastModifiedBy>
  <cp:revision>5</cp:revision>
  <dcterms:created xsi:type="dcterms:W3CDTF">2021-10-19T18:43:00Z</dcterms:created>
  <dcterms:modified xsi:type="dcterms:W3CDTF">2021-11-05T23:20:00Z</dcterms:modified>
</cp:coreProperties>
</file>