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5F5EB53" w:rsidR="00BF3214" w:rsidRPr="00616A54"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616A5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616A54">
        <w:rPr>
          <w:rFonts w:ascii="Palatino Linotype" w:eastAsia="Times New Roman" w:hAnsi="Palatino Linotype" w:cs="Arial"/>
          <w:color w:val="000000"/>
          <w:sz w:val="24"/>
          <w:szCs w:val="24"/>
          <w:lang w:eastAsia="es-MX"/>
        </w:rPr>
        <w:t xml:space="preserve">Estado de </w:t>
      </w:r>
      <w:r w:rsidRPr="00616A54">
        <w:rPr>
          <w:rFonts w:ascii="Palatino Linotype" w:eastAsia="Times New Roman" w:hAnsi="Palatino Linotype" w:cs="Arial"/>
          <w:color w:val="000000"/>
          <w:sz w:val="24"/>
          <w:szCs w:val="24"/>
          <w:lang w:eastAsia="es-MX"/>
        </w:rPr>
        <w:t xml:space="preserve">México, a </w:t>
      </w:r>
      <w:r w:rsidR="00643E1A" w:rsidRPr="00616A54">
        <w:rPr>
          <w:rFonts w:ascii="Palatino Linotype" w:eastAsia="Times New Roman" w:hAnsi="Palatino Linotype" w:cs="Arial"/>
          <w:color w:val="000000"/>
          <w:sz w:val="24"/>
          <w:szCs w:val="24"/>
          <w:lang w:eastAsia="es-MX"/>
        </w:rPr>
        <w:t>once de agosto</w:t>
      </w:r>
      <w:r w:rsidR="00D071F2" w:rsidRPr="00616A54">
        <w:rPr>
          <w:rFonts w:ascii="Palatino Linotype" w:eastAsia="Times New Roman" w:hAnsi="Palatino Linotype" w:cs="Arial"/>
          <w:color w:val="000000"/>
          <w:sz w:val="24"/>
          <w:szCs w:val="24"/>
          <w:lang w:eastAsia="es-MX"/>
        </w:rPr>
        <w:t xml:space="preserve"> </w:t>
      </w:r>
      <w:r w:rsidRPr="00616A54">
        <w:rPr>
          <w:rFonts w:ascii="Palatino Linotype" w:eastAsia="Times New Roman" w:hAnsi="Palatino Linotype" w:cs="Arial"/>
          <w:color w:val="000000"/>
          <w:sz w:val="24"/>
          <w:szCs w:val="24"/>
          <w:lang w:eastAsia="es-MX"/>
        </w:rPr>
        <w:t xml:space="preserve">dos mil </w:t>
      </w:r>
      <w:r w:rsidR="00C67C23" w:rsidRPr="00616A54">
        <w:rPr>
          <w:rFonts w:ascii="Palatino Linotype" w:eastAsia="Times New Roman" w:hAnsi="Palatino Linotype" w:cs="Arial"/>
          <w:color w:val="000000"/>
          <w:sz w:val="24"/>
          <w:szCs w:val="24"/>
          <w:lang w:eastAsia="es-MX"/>
        </w:rPr>
        <w:t>veintiuno</w:t>
      </w:r>
      <w:r w:rsidRPr="00616A54">
        <w:rPr>
          <w:rFonts w:ascii="Palatino Linotype" w:eastAsia="Times New Roman" w:hAnsi="Palatino Linotype" w:cs="Arial"/>
          <w:color w:val="000000"/>
          <w:sz w:val="24"/>
          <w:szCs w:val="24"/>
          <w:lang w:eastAsia="es-MX"/>
        </w:rPr>
        <w:t>.</w:t>
      </w:r>
    </w:p>
    <w:p w14:paraId="1C07CFE0" w14:textId="77777777" w:rsidR="009D066D" w:rsidRPr="00616A54"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A0226F9" w:rsidR="00BF3214" w:rsidRPr="00616A54" w:rsidRDefault="00BF3214" w:rsidP="00AD2A55">
      <w:pPr>
        <w:tabs>
          <w:tab w:val="left" w:pos="1701"/>
        </w:tabs>
        <w:spacing w:after="0" w:line="360" w:lineRule="auto"/>
        <w:jc w:val="both"/>
        <w:rPr>
          <w:rFonts w:ascii="Palatino Linotype" w:hAnsi="Palatino Linotype" w:cs="Arial"/>
          <w:b/>
          <w:sz w:val="24"/>
          <w:szCs w:val="24"/>
        </w:rPr>
      </w:pPr>
      <w:r w:rsidRPr="00616A54">
        <w:rPr>
          <w:rFonts w:ascii="Palatino Linotype" w:hAnsi="Palatino Linotype" w:cs="Arial"/>
          <w:b/>
          <w:sz w:val="24"/>
          <w:szCs w:val="24"/>
        </w:rPr>
        <w:t>VISTO</w:t>
      </w:r>
      <w:r w:rsidRPr="00616A54">
        <w:rPr>
          <w:rFonts w:ascii="Palatino Linotype" w:hAnsi="Palatino Linotype" w:cs="Arial"/>
          <w:sz w:val="24"/>
          <w:szCs w:val="24"/>
        </w:rPr>
        <w:t xml:space="preserve"> el expediente electrónico formado con motivo del recurso de revisión número </w:t>
      </w:r>
      <w:r w:rsidR="00551CD8" w:rsidRPr="00616A54">
        <w:rPr>
          <w:rFonts w:ascii="Palatino Linotype" w:hAnsi="Palatino Linotype" w:cs="Arial"/>
          <w:b/>
          <w:sz w:val="24"/>
          <w:szCs w:val="24"/>
        </w:rPr>
        <w:t>0</w:t>
      </w:r>
      <w:r w:rsidR="00CD2CA4" w:rsidRPr="00616A54">
        <w:rPr>
          <w:rFonts w:ascii="Palatino Linotype" w:hAnsi="Palatino Linotype" w:cs="Arial"/>
          <w:b/>
          <w:bCs/>
          <w:sz w:val="24"/>
          <w:szCs w:val="24"/>
          <w:lang w:eastAsia="es-MX"/>
        </w:rPr>
        <w:t>2155</w:t>
      </w:r>
      <w:r w:rsidR="0044569F" w:rsidRPr="00616A54">
        <w:rPr>
          <w:rFonts w:ascii="Palatino Linotype" w:hAnsi="Palatino Linotype" w:cs="Arial"/>
          <w:b/>
          <w:bCs/>
          <w:sz w:val="24"/>
          <w:szCs w:val="24"/>
          <w:lang w:eastAsia="es-MX"/>
        </w:rPr>
        <w:t>/INFOEM/IP/RR/20</w:t>
      </w:r>
      <w:r w:rsidR="00377E49" w:rsidRPr="00616A54">
        <w:rPr>
          <w:rFonts w:ascii="Palatino Linotype" w:hAnsi="Palatino Linotype" w:cs="Arial"/>
          <w:b/>
          <w:bCs/>
          <w:sz w:val="24"/>
          <w:szCs w:val="24"/>
          <w:lang w:eastAsia="es-MX"/>
        </w:rPr>
        <w:t>21</w:t>
      </w:r>
      <w:r w:rsidRPr="00616A54">
        <w:rPr>
          <w:rFonts w:ascii="Palatino Linotype" w:hAnsi="Palatino Linotype" w:cs="Arial"/>
          <w:sz w:val="24"/>
          <w:szCs w:val="24"/>
        </w:rPr>
        <w:t xml:space="preserve">, interpuesto por </w:t>
      </w:r>
      <w:r w:rsidR="00377E49" w:rsidRPr="00616A54">
        <w:rPr>
          <w:rFonts w:ascii="Palatino Linotype" w:hAnsi="Palatino Linotype" w:cs="Arial"/>
          <w:sz w:val="24"/>
          <w:szCs w:val="24"/>
        </w:rPr>
        <w:t>el</w:t>
      </w:r>
      <w:r w:rsidR="008447B3" w:rsidRPr="00616A54">
        <w:rPr>
          <w:rFonts w:ascii="Palatino Linotype" w:hAnsi="Palatino Linotype" w:cs="Arial"/>
          <w:sz w:val="24"/>
          <w:szCs w:val="24"/>
        </w:rPr>
        <w:t xml:space="preserve"> </w:t>
      </w:r>
      <w:r w:rsidR="00331AD7" w:rsidRPr="00616A54">
        <w:rPr>
          <w:rFonts w:ascii="Palatino Linotype" w:hAnsi="Palatino Linotype" w:cs="Arial"/>
          <w:b/>
          <w:sz w:val="24"/>
          <w:szCs w:val="24"/>
        </w:rPr>
        <w:t>C.</w:t>
      </w:r>
      <w:r w:rsidR="00F006D9" w:rsidRPr="00616A54">
        <w:rPr>
          <w:rFonts w:ascii="Palatino Linotype" w:hAnsi="Palatino Linotype" w:cs="Arial"/>
          <w:b/>
          <w:sz w:val="24"/>
          <w:szCs w:val="24"/>
        </w:rPr>
        <w:t xml:space="preserve"> </w:t>
      </w:r>
      <w:r w:rsidR="008E3C74">
        <w:rPr>
          <w:rFonts w:ascii="Palatino Linotype" w:hAnsi="Palatino Linotype" w:cs="Arial"/>
          <w:b/>
          <w:sz w:val="24"/>
          <w:szCs w:val="24"/>
        </w:rPr>
        <w:t>xxxxxxxxxxxxxxxxxx</w:t>
      </w:r>
      <w:bookmarkStart w:id="0" w:name="_GoBack"/>
      <w:bookmarkEnd w:id="0"/>
      <w:r w:rsidR="007052CB" w:rsidRPr="00616A54">
        <w:rPr>
          <w:rFonts w:ascii="Palatino Linotype" w:hAnsi="Palatino Linotype" w:cs="Arial"/>
          <w:sz w:val="24"/>
          <w:szCs w:val="24"/>
        </w:rPr>
        <w:t xml:space="preserve">, </w:t>
      </w:r>
      <w:r w:rsidRPr="00616A54">
        <w:rPr>
          <w:rFonts w:ascii="Palatino Linotype" w:hAnsi="Palatino Linotype" w:cs="Arial"/>
          <w:sz w:val="24"/>
          <w:szCs w:val="24"/>
        </w:rPr>
        <w:t>en</w:t>
      </w:r>
      <w:r w:rsidR="00173A17" w:rsidRPr="00616A54">
        <w:rPr>
          <w:rFonts w:ascii="Palatino Linotype" w:hAnsi="Palatino Linotype" w:cs="Arial"/>
          <w:sz w:val="24"/>
          <w:szCs w:val="24"/>
        </w:rPr>
        <w:t xml:space="preserve"> </w:t>
      </w:r>
      <w:r w:rsidRPr="00616A54">
        <w:rPr>
          <w:rFonts w:ascii="Palatino Linotype" w:hAnsi="Palatino Linotype" w:cs="Arial"/>
          <w:sz w:val="24"/>
          <w:szCs w:val="24"/>
        </w:rPr>
        <w:t xml:space="preserve">lo </w:t>
      </w:r>
      <w:r w:rsidR="00B75470" w:rsidRPr="00616A54">
        <w:rPr>
          <w:rFonts w:ascii="Palatino Linotype" w:hAnsi="Palatino Linotype" w:cs="Arial"/>
          <w:sz w:val="24"/>
          <w:szCs w:val="24"/>
        </w:rPr>
        <w:t>s</w:t>
      </w:r>
      <w:r w:rsidR="00F60B1C" w:rsidRPr="00616A54">
        <w:rPr>
          <w:rFonts w:ascii="Palatino Linotype" w:hAnsi="Palatino Linotype" w:cs="Arial"/>
          <w:sz w:val="24"/>
          <w:szCs w:val="24"/>
        </w:rPr>
        <w:t xml:space="preserve">ucesivo </w:t>
      </w:r>
      <w:r w:rsidR="00377E49" w:rsidRPr="00616A54">
        <w:rPr>
          <w:rFonts w:ascii="Palatino Linotype" w:hAnsi="Palatino Linotype" w:cs="Arial"/>
          <w:sz w:val="24"/>
          <w:szCs w:val="24"/>
        </w:rPr>
        <w:t>el</w:t>
      </w:r>
      <w:r w:rsidR="00440B5C" w:rsidRPr="00616A54">
        <w:rPr>
          <w:rFonts w:ascii="Palatino Linotype" w:hAnsi="Palatino Linotype" w:cs="Arial"/>
          <w:b/>
          <w:sz w:val="24"/>
          <w:szCs w:val="24"/>
        </w:rPr>
        <w:t xml:space="preserve"> Recurrente</w:t>
      </w:r>
      <w:r w:rsidRPr="00616A54">
        <w:rPr>
          <w:rFonts w:ascii="Palatino Linotype" w:hAnsi="Palatino Linotype" w:cs="Arial"/>
          <w:sz w:val="24"/>
          <w:szCs w:val="24"/>
        </w:rPr>
        <w:t>,</w:t>
      </w:r>
      <w:r w:rsidR="00163D26" w:rsidRPr="00616A54">
        <w:rPr>
          <w:rFonts w:ascii="Palatino Linotype" w:hAnsi="Palatino Linotype" w:cs="Arial"/>
          <w:sz w:val="24"/>
          <w:szCs w:val="24"/>
        </w:rPr>
        <w:t xml:space="preserve"> en contra de la</w:t>
      </w:r>
      <w:r w:rsidR="0059317F" w:rsidRPr="00616A54">
        <w:rPr>
          <w:rFonts w:ascii="Palatino Linotype" w:hAnsi="Palatino Linotype" w:cs="Arial"/>
          <w:sz w:val="24"/>
          <w:szCs w:val="24"/>
        </w:rPr>
        <w:t xml:space="preserve"> respuesta</w:t>
      </w:r>
      <w:r w:rsidRPr="00616A54">
        <w:rPr>
          <w:rFonts w:ascii="Palatino Linotype" w:hAnsi="Palatino Linotype" w:cs="Arial"/>
          <w:sz w:val="24"/>
          <w:szCs w:val="24"/>
        </w:rPr>
        <w:t xml:space="preserve"> de</w:t>
      </w:r>
      <w:r w:rsidR="003D23D7" w:rsidRPr="00616A54">
        <w:rPr>
          <w:rFonts w:ascii="Palatino Linotype" w:hAnsi="Palatino Linotype" w:cs="Arial"/>
          <w:sz w:val="24"/>
          <w:szCs w:val="24"/>
        </w:rPr>
        <w:t xml:space="preserve">l </w:t>
      </w:r>
      <w:r w:rsidR="00377E49" w:rsidRPr="00616A54">
        <w:rPr>
          <w:rFonts w:ascii="Palatino Linotype" w:hAnsi="Palatino Linotype" w:cs="Arial"/>
          <w:b/>
          <w:sz w:val="24"/>
          <w:szCs w:val="24"/>
        </w:rPr>
        <w:t xml:space="preserve">Ayuntamiento de </w:t>
      </w:r>
      <w:r w:rsidR="00CD2CA4" w:rsidRPr="00616A54">
        <w:rPr>
          <w:rFonts w:ascii="Palatino Linotype" w:hAnsi="Palatino Linotype" w:cs="Arial"/>
          <w:b/>
          <w:sz w:val="24"/>
          <w:szCs w:val="24"/>
        </w:rPr>
        <w:t>Santo Tomas</w:t>
      </w:r>
      <w:r w:rsidR="007052CB" w:rsidRPr="00616A54">
        <w:rPr>
          <w:rFonts w:ascii="Palatino Linotype" w:hAnsi="Palatino Linotype" w:cs="Arial"/>
          <w:sz w:val="24"/>
          <w:szCs w:val="24"/>
        </w:rPr>
        <w:t>,</w:t>
      </w:r>
      <w:r w:rsidR="000B2630" w:rsidRPr="00616A54">
        <w:rPr>
          <w:rFonts w:ascii="Palatino Linotype" w:hAnsi="Palatino Linotype" w:cs="Arial"/>
          <w:b/>
          <w:sz w:val="24"/>
          <w:szCs w:val="24"/>
        </w:rPr>
        <w:t xml:space="preserve"> </w:t>
      </w:r>
      <w:r w:rsidRPr="00616A54">
        <w:rPr>
          <w:rFonts w:ascii="Palatino Linotype" w:hAnsi="Palatino Linotype" w:cs="Arial"/>
          <w:sz w:val="24"/>
          <w:szCs w:val="24"/>
        </w:rPr>
        <w:t>en lo subsecuente</w:t>
      </w:r>
      <w:r w:rsidR="007763F3" w:rsidRPr="00616A54">
        <w:rPr>
          <w:rFonts w:ascii="Palatino Linotype" w:hAnsi="Palatino Linotype" w:cs="Arial"/>
          <w:b/>
          <w:sz w:val="24"/>
          <w:szCs w:val="24"/>
        </w:rPr>
        <w:t xml:space="preserve"> E</w:t>
      </w:r>
      <w:r w:rsidRPr="00616A54">
        <w:rPr>
          <w:rFonts w:ascii="Palatino Linotype" w:hAnsi="Palatino Linotype" w:cs="Arial"/>
          <w:b/>
          <w:sz w:val="24"/>
          <w:szCs w:val="24"/>
        </w:rPr>
        <w:t xml:space="preserve">l Sujeto Obligado, </w:t>
      </w:r>
      <w:r w:rsidRPr="00616A54">
        <w:rPr>
          <w:rFonts w:ascii="Palatino Linotype" w:hAnsi="Palatino Linotype" w:cs="Arial"/>
          <w:sz w:val="24"/>
          <w:szCs w:val="24"/>
        </w:rPr>
        <w:t>se procede a dictar la presente resolución.</w:t>
      </w:r>
    </w:p>
    <w:p w14:paraId="138C6F64" w14:textId="77777777" w:rsidR="00081DAC" w:rsidRPr="00616A54"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16A54" w:rsidRDefault="00BF3214" w:rsidP="00AD2A55">
      <w:pPr>
        <w:spacing w:after="0" w:line="360" w:lineRule="auto"/>
        <w:jc w:val="center"/>
        <w:rPr>
          <w:rFonts w:ascii="Palatino Linotype" w:hAnsi="Palatino Linotype" w:cs="Arial"/>
          <w:b/>
          <w:sz w:val="28"/>
          <w:szCs w:val="24"/>
        </w:rPr>
      </w:pPr>
      <w:r w:rsidRPr="00616A54">
        <w:rPr>
          <w:rFonts w:ascii="Palatino Linotype" w:hAnsi="Palatino Linotype" w:cs="Arial"/>
          <w:b/>
          <w:sz w:val="28"/>
          <w:szCs w:val="24"/>
        </w:rPr>
        <w:t>A N T E C E D E N T E S</w:t>
      </w:r>
    </w:p>
    <w:p w14:paraId="6A86D231" w14:textId="77777777" w:rsidR="00081DAC" w:rsidRPr="00616A54" w:rsidRDefault="00081DAC" w:rsidP="00AD2A55">
      <w:pPr>
        <w:spacing w:after="0" w:line="360" w:lineRule="auto"/>
        <w:jc w:val="center"/>
        <w:rPr>
          <w:rFonts w:ascii="Palatino Linotype" w:hAnsi="Palatino Linotype" w:cs="Arial"/>
          <w:b/>
          <w:sz w:val="24"/>
          <w:szCs w:val="24"/>
        </w:rPr>
      </w:pPr>
    </w:p>
    <w:p w14:paraId="513A9A0F" w14:textId="77777777" w:rsidR="00EE326A" w:rsidRPr="00616A54" w:rsidRDefault="00BF3214" w:rsidP="00AD2A55">
      <w:pPr>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t>PRIMERO.</w:t>
      </w:r>
      <w:r w:rsidR="00EE326A" w:rsidRPr="00616A54">
        <w:rPr>
          <w:rFonts w:ascii="Palatino Linotype" w:hAnsi="Palatino Linotype" w:cs="Arial"/>
          <w:b/>
          <w:sz w:val="28"/>
          <w:szCs w:val="24"/>
        </w:rPr>
        <w:t xml:space="preserve"> De la solicitud de información.</w:t>
      </w:r>
    </w:p>
    <w:p w14:paraId="210FA440" w14:textId="6C16BA3D" w:rsidR="00081DAC" w:rsidRPr="00616A54" w:rsidRDefault="00F006D9" w:rsidP="00056B94">
      <w:pPr>
        <w:spacing w:after="0" w:line="360" w:lineRule="auto"/>
        <w:jc w:val="both"/>
        <w:rPr>
          <w:rFonts w:ascii="Palatino Linotype" w:hAnsi="Palatino Linotype" w:cs="Arial"/>
          <w:sz w:val="24"/>
        </w:rPr>
      </w:pPr>
      <w:r w:rsidRPr="00616A54">
        <w:rPr>
          <w:rFonts w:ascii="Palatino Linotype" w:hAnsi="Palatino Linotype" w:cs="Arial"/>
          <w:sz w:val="24"/>
        </w:rPr>
        <w:t xml:space="preserve">En fecha </w:t>
      </w:r>
      <w:r w:rsidR="00CD2CA4" w:rsidRPr="00616A54">
        <w:rPr>
          <w:rFonts w:ascii="Palatino Linotype" w:hAnsi="Palatino Linotype" w:cs="Arial"/>
          <w:sz w:val="24"/>
        </w:rPr>
        <w:t>doce</w:t>
      </w:r>
      <w:r w:rsidR="00C41B4F" w:rsidRPr="00616A54">
        <w:rPr>
          <w:rFonts w:ascii="Palatino Linotype" w:hAnsi="Palatino Linotype" w:cs="Arial"/>
          <w:sz w:val="24"/>
        </w:rPr>
        <w:t xml:space="preserve"> de marzo</w:t>
      </w:r>
      <w:r w:rsidR="00377E49" w:rsidRPr="00616A54">
        <w:rPr>
          <w:rFonts w:ascii="Palatino Linotype" w:hAnsi="Palatino Linotype" w:cs="Arial"/>
          <w:sz w:val="24"/>
        </w:rPr>
        <w:t xml:space="preserve"> de dos mil veintiuno</w:t>
      </w:r>
      <w:r w:rsidRPr="00616A54">
        <w:rPr>
          <w:rFonts w:ascii="Palatino Linotype" w:hAnsi="Palatino Linotype" w:cs="Arial"/>
          <w:sz w:val="24"/>
        </w:rPr>
        <w:t xml:space="preserve">, </w:t>
      </w:r>
      <w:r w:rsidR="00377E49" w:rsidRPr="00616A54">
        <w:rPr>
          <w:rFonts w:ascii="Palatino Linotype" w:hAnsi="Palatino Linotype" w:cs="Arial"/>
          <w:sz w:val="24"/>
        </w:rPr>
        <w:t>el</w:t>
      </w:r>
      <w:r w:rsidRPr="00616A54">
        <w:rPr>
          <w:rFonts w:ascii="Palatino Linotype" w:hAnsi="Palatino Linotype" w:cs="Arial"/>
          <w:sz w:val="24"/>
        </w:rPr>
        <w:t xml:space="preserve"> </w:t>
      </w:r>
      <w:r w:rsidRPr="00616A54">
        <w:rPr>
          <w:rFonts w:ascii="Palatino Linotype" w:hAnsi="Palatino Linotype" w:cs="Arial"/>
          <w:b/>
          <w:sz w:val="24"/>
        </w:rPr>
        <w:t>Recurrente</w:t>
      </w:r>
      <w:r w:rsidR="00BF3C45" w:rsidRPr="00616A54">
        <w:rPr>
          <w:rFonts w:ascii="Palatino Linotype" w:hAnsi="Palatino Linotype" w:cs="Arial"/>
          <w:sz w:val="24"/>
        </w:rPr>
        <w:t xml:space="preserve">, presentó a través </w:t>
      </w:r>
      <w:r w:rsidR="00CD2CA4" w:rsidRPr="00616A54">
        <w:rPr>
          <w:rFonts w:ascii="Palatino Linotype" w:hAnsi="Palatino Linotype" w:cs="Arial"/>
          <w:sz w:val="24"/>
        </w:rPr>
        <w:t>del</w:t>
      </w:r>
      <w:r w:rsidR="00C41B4F" w:rsidRPr="00616A54">
        <w:rPr>
          <w:rFonts w:ascii="Palatino Linotype" w:hAnsi="Palatino Linotype" w:cs="Arial"/>
          <w:sz w:val="24"/>
        </w:rPr>
        <w:t xml:space="preserve"> </w:t>
      </w:r>
      <w:r w:rsidRPr="00616A54">
        <w:rPr>
          <w:rFonts w:ascii="Palatino Linotype" w:hAnsi="Palatino Linotype" w:cs="Arial"/>
          <w:sz w:val="24"/>
        </w:rPr>
        <w:t>Sistema de Acce</w:t>
      </w:r>
      <w:r w:rsidR="00BF3C45" w:rsidRPr="00616A54">
        <w:rPr>
          <w:rFonts w:ascii="Palatino Linotype" w:hAnsi="Palatino Linotype" w:cs="Arial"/>
          <w:sz w:val="24"/>
        </w:rPr>
        <w:t xml:space="preserve">so a la Información Mexiquense </w:t>
      </w:r>
      <w:r w:rsidR="00BF3C45" w:rsidRPr="00616A54">
        <w:rPr>
          <w:rFonts w:ascii="Palatino Linotype" w:hAnsi="Palatino Linotype" w:cs="Arial"/>
          <w:b/>
          <w:sz w:val="24"/>
        </w:rPr>
        <w:t>(</w:t>
      </w:r>
      <w:r w:rsidRPr="00616A54">
        <w:rPr>
          <w:rFonts w:ascii="Palatino Linotype" w:hAnsi="Palatino Linotype" w:cs="Arial"/>
          <w:b/>
          <w:sz w:val="24"/>
        </w:rPr>
        <w:t>SAIMEX</w:t>
      </w:r>
      <w:r w:rsidR="00BF3C45" w:rsidRPr="00616A54">
        <w:rPr>
          <w:rFonts w:ascii="Palatino Linotype" w:hAnsi="Palatino Linotype" w:cs="Arial"/>
          <w:b/>
          <w:sz w:val="24"/>
        </w:rPr>
        <w:t>),</w:t>
      </w:r>
      <w:r w:rsidRPr="00616A54">
        <w:rPr>
          <w:rFonts w:ascii="Palatino Linotype" w:hAnsi="Palatino Linotype" w:cs="Arial"/>
          <w:sz w:val="24"/>
        </w:rPr>
        <w:t xml:space="preserve"> ante el </w:t>
      </w:r>
      <w:r w:rsidRPr="00616A54">
        <w:rPr>
          <w:rFonts w:ascii="Palatino Linotype" w:hAnsi="Palatino Linotype" w:cs="Arial"/>
          <w:b/>
          <w:sz w:val="24"/>
        </w:rPr>
        <w:t>Sujeto Obligado</w:t>
      </w:r>
      <w:r w:rsidRPr="00616A54">
        <w:rPr>
          <w:rFonts w:ascii="Palatino Linotype" w:hAnsi="Palatino Linotype" w:cs="Arial"/>
          <w:sz w:val="24"/>
        </w:rPr>
        <w:t xml:space="preserve">, </w:t>
      </w:r>
      <w:proofErr w:type="gramStart"/>
      <w:r w:rsidRPr="00616A54">
        <w:rPr>
          <w:rFonts w:ascii="Palatino Linotype" w:hAnsi="Palatino Linotype" w:cs="Arial"/>
          <w:sz w:val="24"/>
        </w:rPr>
        <w:t>la</w:t>
      </w:r>
      <w:proofErr w:type="gramEnd"/>
      <w:r w:rsidRPr="00616A54">
        <w:rPr>
          <w:rFonts w:ascii="Palatino Linotype" w:hAnsi="Palatino Linotype" w:cs="Arial"/>
          <w:sz w:val="24"/>
        </w:rPr>
        <w:t xml:space="preserve"> solicitud de acceso a la información pública, a la que se le</w:t>
      </w:r>
      <w:r w:rsidR="003B2A77" w:rsidRPr="00616A54">
        <w:rPr>
          <w:rFonts w:ascii="Palatino Linotype" w:hAnsi="Palatino Linotype" w:cs="Arial"/>
          <w:sz w:val="24"/>
        </w:rPr>
        <w:t xml:space="preserve"> asignó el número de expediente </w:t>
      </w:r>
      <w:r w:rsidR="00CD2CA4" w:rsidRPr="00616A54">
        <w:rPr>
          <w:rFonts w:ascii="Palatino Linotype" w:hAnsi="Palatino Linotype" w:cs="Arial"/>
          <w:b/>
          <w:sz w:val="24"/>
        </w:rPr>
        <w:t>00019/SANTOTOM/IP/2021</w:t>
      </w:r>
      <w:r w:rsidRPr="00616A54">
        <w:rPr>
          <w:rFonts w:ascii="Palatino Linotype" w:hAnsi="Palatino Linotype" w:cs="Arial"/>
          <w:sz w:val="24"/>
        </w:rPr>
        <w:t>, mediante la cual solicitó lo siguiente:</w:t>
      </w:r>
    </w:p>
    <w:p w14:paraId="03B7852A" w14:textId="77777777" w:rsidR="00056B94" w:rsidRPr="00616A54" w:rsidRDefault="00056B94" w:rsidP="00377E49">
      <w:pPr>
        <w:pStyle w:val="Sinespaciado"/>
        <w:rPr>
          <w:sz w:val="14"/>
        </w:rPr>
      </w:pPr>
    </w:p>
    <w:p w14:paraId="7DF4A496" w14:textId="77777777" w:rsidR="003B2A77" w:rsidRPr="00616A54" w:rsidRDefault="003B2A77" w:rsidP="00377E49">
      <w:pPr>
        <w:pStyle w:val="Sinespaciado"/>
        <w:rPr>
          <w:sz w:val="6"/>
        </w:rPr>
      </w:pPr>
    </w:p>
    <w:p w14:paraId="76D99508" w14:textId="31AF8BED" w:rsidR="00582883" w:rsidRPr="00616A54" w:rsidRDefault="00BF3214" w:rsidP="00C41B4F">
      <w:pPr>
        <w:spacing w:after="0" w:line="276" w:lineRule="auto"/>
        <w:ind w:left="567" w:right="567"/>
        <w:jc w:val="both"/>
        <w:rPr>
          <w:rFonts w:ascii="Palatino Linotype" w:eastAsia="Times New Roman" w:hAnsi="Palatino Linotype" w:cs="Times New Roman"/>
          <w:i/>
          <w:lang w:eastAsia="es-MX"/>
        </w:rPr>
      </w:pPr>
      <w:r w:rsidRPr="00616A54">
        <w:rPr>
          <w:rFonts w:ascii="Palatino Linotype" w:eastAsia="Times New Roman" w:hAnsi="Palatino Linotype" w:cs="Times New Roman"/>
          <w:i/>
          <w:lang w:eastAsia="es-ES"/>
        </w:rPr>
        <w:t>“</w:t>
      </w:r>
      <w:r w:rsidR="00CD2CA4" w:rsidRPr="00616A54">
        <w:rPr>
          <w:rFonts w:ascii="Palatino Linotype" w:eastAsia="Times New Roman" w:hAnsi="Palatino Linotype" w:cs="Times New Roman"/>
          <w:i/>
          <w:lang w:eastAsia="es-MX"/>
        </w:rPr>
        <w:t>Deseo se realice una búsqueda exhaustiva y razonable en todas las áreas que pudieran contar con la siguiente información, ya que quiero conocer lo siguiente: 1. Los expedientes de adquisiciones por excepción a la Licitación Pública que se hayan realizado durante los ejercicios 2017, 2018, 2019 y 2020. 2. En versión pública los expedientes que fueron resueltos en materia de autorización de pensiones durante los ejercicios 2018, 2019 y 2020. 3. Cuáles son las acciones de control y evaluación que se han realizado en materia de pensiones y cuáles han sido sus resultados y, en su caso, las sanciones que se han impuesto, correspondientes a los ejercicios 2018, 2019 y 2020.</w:t>
      </w:r>
      <w:r w:rsidRPr="00616A54">
        <w:rPr>
          <w:rFonts w:ascii="Palatino Linotype" w:eastAsia="Times New Roman" w:hAnsi="Palatino Linotype" w:cs="Times New Roman"/>
          <w:i/>
          <w:lang w:eastAsia="es-ES"/>
        </w:rPr>
        <w:t>”</w:t>
      </w:r>
      <w:r w:rsidRPr="00616A54">
        <w:rPr>
          <w:rFonts w:ascii="Palatino Linotype" w:eastAsia="Times New Roman" w:hAnsi="Palatino Linotype" w:cs="Times New Roman"/>
          <w:i/>
          <w:lang w:val="es-ES_tradnl" w:eastAsia="es-ES"/>
        </w:rPr>
        <w:t xml:space="preserve"> </w:t>
      </w:r>
      <w:r w:rsidR="00EA51DC" w:rsidRPr="00616A54">
        <w:rPr>
          <w:rFonts w:ascii="Palatino Linotype" w:eastAsia="Times New Roman" w:hAnsi="Palatino Linotype" w:cs="Times New Roman"/>
          <w:i/>
          <w:lang w:val="es-ES_tradnl" w:eastAsia="es-ES"/>
        </w:rPr>
        <w:t>(Sic).</w:t>
      </w:r>
    </w:p>
    <w:p w14:paraId="57398EBC" w14:textId="77777777" w:rsidR="003B2A77" w:rsidRPr="00616A54" w:rsidRDefault="003B2A77" w:rsidP="00377E49">
      <w:pPr>
        <w:tabs>
          <w:tab w:val="left" w:pos="5647"/>
        </w:tabs>
        <w:spacing w:after="0" w:line="360" w:lineRule="auto"/>
        <w:ind w:right="850"/>
        <w:jc w:val="both"/>
        <w:rPr>
          <w:rFonts w:ascii="Palatino Linotype" w:eastAsia="Times New Roman" w:hAnsi="Palatino Linotype" w:cs="Times New Roman"/>
          <w:b/>
          <w:sz w:val="6"/>
          <w:szCs w:val="24"/>
          <w:lang w:val="es-ES_tradnl" w:eastAsia="es-ES"/>
        </w:rPr>
      </w:pPr>
    </w:p>
    <w:p w14:paraId="5625A9EC" w14:textId="77777777" w:rsidR="003B2A77" w:rsidRPr="00616A54" w:rsidRDefault="003B2A77" w:rsidP="00377E49">
      <w:pPr>
        <w:tabs>
          <w:tab w:val="left" w:pos="5647"/>
        </w:tabs>
        <w:spacing w:after="0" w:line="360" w:lineRule="auto"/>
        <w:ind w:right="850"/>
        <w:jc w:val="both"/>
        <w:rPr>
          <w:rFonts w:ascii="Palatino Linotype" w:eastAsia="Times New Roman" w:hAnsi="Palatino Linotype" w:cs="Times New Roman"/>
          <w:b/>
          <w:sz w:val="12"/>
          <w:szCs w:val="24"/>
          <w:lang w:val="es-ES_tradnl" w:eastAsia="es-ES"/>
        </w:rPr>
      </w:pPr>
    </w:p>
    <w:p w14:paraId="00E6B45A" w14:textId="556E6166" w:rsidR="00765064" w:rsidRPr="00616A54" w:rsidRDefault="00BB6A72" w:rsidP="00C41B4F">
      <w:pPr>
        <w:tabs>
          <w:tab w:val="left" w:pos="5647"/>
        </w:tabs>
        <w:spacing w:after="0" w:line="360" w:lineRule="auto"/>
        <w:ind w:right="850"/>
        <w:jc w:val="both"/>
        <w:rPr>
          <w:rFonts w:ascii="Palatino Linotype" w:hAnsi="Palatino Linotype"/>
          <w:color w:val="000000"/>
          <w:sz w:val="24"/>
          <w:szCs w:val="24"/>
        </w:rPr>
      </w:pPr>
      <w:r w:rsidRPr="00616A54">
        <w:rPr>
          <w:rFonts w:ascii="Palatino Linotype" w:eastAsia="Times New Roman" w:hAnsi="Palatino Linotype" w:cs="Times New Roman"/>
          <w:b/>
          <w:sz w:val="24"/>
          <w:szCs w:val="24"/>
          <w:lang w:val="es-ES_tradnl" w:eastAsia="es-ES"/>
        </w:rPr>
        <w:t>MODALIDAD DE ENTREGA:</w:t>
      </w:r>
      <w:r w:rsidRPr="00616A54">
        <w:rPr>
          <w:rFonts w:ascii="Palatino Linotype" w:eastAsia="Times New Roman" w:hAnsi="Palatino Linotype" w:cs="Times New Roman"/>
          <w:sz w:val="24"/>
          <w:szCs w:val="24"/>
          <w:lang w:val="es-ES_tradnl" w:eastAsia="es-ES"/>
        </w:rPr>
        <w:t xml:space="preserve"> </w:t>
      </w:r>
      <w:r w:rsidR="007763F3" w:rsidRPr="00616A54">
        <w:rPr>
          <w:rFonts w:ascii="Palatino Linotype" w:hAnsi="Palatino Linotype"/>
          <w:color w:val="000000"/>
          <w:sz w:val="24"/>
          <w:szCs w:val="24"/>
        </w:rPr>
        <w:t>A</w:t>
      </w:r>
      <w:r w:rsidR="00745404" w:rsidRPr="00616A54">
        <w:rPr>
          <w:rFonts w:ascii="Palatino Linotype" w:hAnsi="Palatino Linotype"/>
          <w:color w:val="000000"/>
          <w:sz w:val="24"/>
          <w:szCs w:val="24"/>
        </w:rPr>
        <w:t xml:space="preserve"> través de</w:t>
      </w:r>
      <w:r w:rsidR="00BF3C45" w:rsidRPr="00616A54">
        <w:rPr>
          <w:rFonts w:ascii="Palatino Linotype" w:hAnsi="Palatino Linotype"/>
          <w:color w:val="000000"/>
          <w:sz w:val="24"/>
          <w:szCs w:val="24"/>
        </w:rPr>
        <w:t>l</w:t>
      </w:r>
      <w:r w:rsidR="00745404" w:rsidRPr="00616A54">
        <w:rPr>
          <w:rFonts w:ascii="Palatino Linotype" w:hAnsi="Palatino Linotype"/>
          <w:color w:val="000000"/>
          <w:sz w:val="24"/>
          <w:szCs w:val="24"/>
        </w:rPr>
        <w:t xml:space="preserve"> </w:t>
      </w:r>
      <w:r w:rsidR="00BF3C45" w:rsidRPr="00616A54">
        <w:rPr>
          <w:rFonts w:ascii="Palatino Linotype" w:hAnsi="Palatino Linotype"/>
          <w:b/>
          <w:color w:val="000000"/>
          <w:sz w:val="24"/>
          <w:szCs w:val="24"/>
        </w:rPr>
        <w:t>SAIMEX</w:t>
      </w:r>
      <w:r w:rsidR="00745404" w:rsidRPr="00616A54">
        <w:rPr>
          <w:rFonts w:ascii="Palatino Linotype" w:hAnsi="Palatino Linotype"/>
          <w:color w:val="000000"/>
          <w:sz w:val="24"/>
          <w:szCs w:val="24"/>
        </w:rPr>
        <w:t>.</w:t>
      </w:r>
    </w:p>
    <w:p w14:paraId="3E1DF9D8" w14:textId="460F77C2" w:rsidR="00B407EE" w:rsidRPr="00616A54" w:rsidRDefault="00C41B4F" w:rsidP="00AD2A55">
      <w:pPr>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lastRenderedPageBreak/>
        <w:t>SEGUND</w:t>
      </w:r>
      <w:r w:rsidR="00CC50CE" w:rsidRPr="00616A54">
        <w:rPr>
          <w:rFonts w:ascii="Palatino Linotype" w:hAnsi="Palatino Linotype" w:cs="Arial"/>
          <w:b/>
          <w:sz w:val="28"/>
          <w:szCs w:val="24"/>
        </w:rPr>
        <w:t>O</w:t>
      </w:r>
      <w:r w:rsidR="00BF3214" w:rsidRPr="00616A54">
        <w:rPr>
          <w:rFonts w:ascii="Palatino Linotype" w:hAnsi="Palatino Linotype" w:cs="Arial"/>
          <w:b/>
          <w:sz w:val="28"/>
          <w:szCs w:val="24"/>
        </w:rPr>
        <w:t xml:space="preserve">. </w:t>
      </w:r>
      <w:r w:rsidR="00B407EE" w:rsidRPr="00616A54">
        <w:rPr>
          <w:rFonts w:ascii="Palatino Linotype" w:hAnsi="Palatino Linotype" w:cs="Arial"/>
          <w:b/>
          <w:sz w:val="28"/>
          <w:szCs w:val="24"/>
        </w:rPr>
        <w:t xml:space="preserve">De la respuesta del </w:t>
      </w:r>
      <w:r w:rsidR="00CC50CE" w:rsidRPr="00616A54">
        <w:rPr>
          <w:rFonts w:ascii="Palatino Linotype" w:hAnsi="Palatino Linotype" w:cs="Arial"/>
          <w:b/>
          <w:sz w:val="28"/>
          <w:szCs w:val="24"/>
        </w:rPr>
        <w:t>Sujeto Obligado</w:t>
      </w:r>
      <w:r w:rsidR="00B407EE" w:rsidRPr="00616A54">
        <w:rPr>
          <w:rFonts w:ascii="Palatino Linotype" w:hAnsi="Palatino Linotype" w:cs="Arial"/>
          <w:b/>
          <w:sz w:val="28"/>
          <w:szCs w:val="24"/>
        </w:rPr>
        <w:t xml:space="preserve">. </w:t>
      </w:r>
    </w:p>
    <w:p w14:paraId="1F069689" w14:textId="23D1A3AC" w:rsidR="0078453F" w:rsidRPr="00616A54" w:rsidRDefault="0027181F" w:rsidP="00AD2A55">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De las constancias que obran en el sistema SAIMEX, se advierte que </w:t>
      </w:r>
      <w:r w:rsidR="00E579DB" w:rsidRPr="00616A54">
        <w:rPr>
          <w:rFonts w:ascii="Palatino Linotype" w:hAnsi="Palatino Linotype" w:cs="Arial"/>
          <w:sz w:val="24"/>
          <w:szCs w:val="24"/>
        </w:rPr>
        <w:t xml:space="preserve">en fecha </w:t>
      </w:r>
      <w:r w:rsidR="00CD2CA4" w:rsidRPr="00616A54">
        <w:rPr>
          <w:rFonts w:ascii="Palatino Linotype" w:hAnsi="Palatino Linotype" w:cs="Arial"/>
          <w:sz w:val="24"/>
          <w:szCs w:val="24"/>
        </w:rPr>
        <w:t>trece</w:t>
      </w:r>
      <w:r w:rsidR="00C41B4F" w:rsidRPr="00616A54">
        <w:rPr>
          <w:rFonts w:ascii="Palatino Linotype" w:hAnsi="Palatino Linotype" w:cs="Arial"/>
          <w:sz w:val="24"/>
          <w:szCs w:val="24"/>
        </w:rPr>
        <w:t xml:space="preserve"> de abril</w:t>
      </w:r>
      <w:r w:rsidR="00E14662" w:rsidRPr="00616A54">
        <w:rPr>
          <w:rFonts w:ascii="Palatino Linotype" w:hAnsi="Palatino Linotype" w:cs="Arial"/>
          <w:sz w:val="24"/>
          <w:szCs w:val="24"/>
        </w:rPr>
        <w:t xml:space="preserve"> </w:t>
      </w:r>
      <w:r w:rsidR="00CD7D01" w:rsidRPr="00616A54">
        <w:rPr>
          <w:rFonts w:ascii="Palatino Linotype" w:hAnsi="Palatino Linotype" w:cs="Arial"/>
          <w:sz w:val="24"/>
          <w:szCs w:val="24"/>
        </w:rPr>
        <w:t xml:space="preserve">de dos mil </w:t>
      </w:r>
      <w:r w:rsidR="00377E49" w:rsidRPr="00616A54">
        <w:rPr>
          <w:rFonts w:ascii="Palatino Linotype" w:hAnsi="Palatino Linotype" w:cs="Arial"/>
          <w:sz w:val="24"/>
          <w:szCs w:val="24"/>
        </w:rPr>
        <w:t>veintiuno</w:t>
      </w:r>
      <w:r w:rsidR="00DA3233" w:rsidRPr="00616A54">
        <w:rPr>
          <w:rFonts w:ascii="Palatino Linotype" w:hAnsi="Palatino Linotype" w:cs="Arial"/>
          <w:sz w:val="24"/>
          <w:szCs w:val="24"/>
        </w:rPr>
        <w:t xml:space="preserve">, </w:t>
      </w:r>
      <w:r w:rsidR="00CC50CE" w:rsidRPr="00616A54">
        <w:rPr>
          <w:rFonts w:ascii="Palatino Linotype" w:hAnsi="Palatino Linotype" w:cs="Arial"/>
          <w:b/>
          <w:sz w:val="24"/>
          <w:szCs w:val="24"/>
        </w:rPr>
        <w:t xml:space="preserve">El </w:t>
      </w:r>
      <w:r w:rsidRPr="00616A54">
        <w:rPr>
          <w:rFonts w:ascii="Palatino Linotype" w:hAnsi="Palatino Linotype" w:cs="Arial"/>
          <w:b/>
          <w:sz w:val="24"/>
          <w:szCs w:val="24"/>
        </w:rPr>
        <w:t>Sujeto Obligado</w:t>
      </w:r>
      <w:r w:rsidRPr="00616A54">
        <w:rPr>
          <w:rFonts w:ascii="Palatino Linotype" w:hAnsi="Palatino Linotype" w:cs="Arial"/>
          <w:sz w:val="24"/>
          <w:szCs w:val="24"/>
        </w:rPr>
        <w:t xml:space="preserve"> </w:t>
      </w:r>
      <w:r w:rsidR="00253D9D" w:rsidRPr="00616A54">
        <w:rPr>
          <w:rFonts w:ascii="Palatino Linotype" w:hAnsi="Palatino Linotype" w:cs="Arial"/>
          <w:sz w:val="24"/>
          <w:szCs w:val="24"/>
        </w:rPr>
        <w:t>e</w:t>
      </w:r>
      <w:r w:rsidRPr="00616A54">
        <w:rPr>
          <w:rFonts w:ascii="Palatino Linotype" w:hAnsi="Palatino Linotype" w:cs="Arial"/>
          <w:sz w:val="24"/>
          <w:szCs w:val="24"/>
        </w:rPr>
        <w:t xml:space="preserve">mitió </w:t>
      </w:r>
      <w:r w:rsidR="00CC50CE" w:rsidRPr="00616A54">
        <w:rPr>
          <w:rFonts w:ascii="Palatino Linotype" w:hAnsi="Palatino Linotype" w:cs="Arial"/>
          <w:sz w:val="24"/>
          <w:szCs w:val="24"/>
        </w:rPr>
        <w:t xml:space="preserve">la </w:t>
      </w:r>
      <w:r w:rsidRPr="00616A54">
        <w:rPr>
          <w:rFonts w:ascii="Palatino Linotype" w:hAnsi="Palatino Linotype" w:cs="Arial"/>
          <w:sz w:val="24"/>
          <w:szCs w:val="24"/>
        </w:rPr>
        <w:t xml:space="preserve">respuesta </w:t>
      </w:r>
      <w:r w:rsidR="00253D9D" w:rsidRPr="00616A54">
        <w:rPr>
          <w:rFonts w:ascii="Palatino Linotype" w:hAnsi="Palatino Linotype" w:cs="Arial"/>
          <w:sz w:val="24"/>
          <w:szCs w:val="24"/>
        </w:rPr>
        <w:t xml:space="preserve">en los siguientes </w:t>
      </w:r>
      <w:r w:rsidR="004B184A" w:rsidRPr="00616A54">
        <w:rPr>
          <w:rFonts w:ascii="Palatino Linotype" w:hAnsi="Palatino Linotype" w:cs="Arial"/>
          <w:sz w:val="24"/>
          <w:szCs w:val="24"/>
        </w:rPr>
        <w:t>términos</w:t>
      </w:r>
      <w:r w:rsidR="00253D9D" w:rsidRPr="00616A54">
        <w:rPr>
          <w:rFonts w:ascii="Palatino Linotype" w:hAnsi="Palatino Linotype" w:cs="Arial"/>
          <w:sz w:val="24"/>
          <w:szCs w:val="24"/>
        </w:rPr>
        <w:t>:</w:t>
      </w:r>
    </w:p>
    <w:p w14:paraId="5AC9BFB0" w14:textId="77777777" w:rsidR="00AD2A55" w:rsidRPr="00616A54" w:rsidRDefault="00AD2A55" w:rsidP="00AD2A55">
      <w:pPr>
        <w:spacing w:after="0" w:line="360" w:lineRule="auto"/>
        <w:jc w:val="both"/>
        <w:rPr>
          <w:rFonts w:ascii="Palatino Linotype" w:hAnsi="Palatino Linotype" w:cs="Arial"/>
          <w:sz w:val="10"/>
          <w:szCs w:val="24"/>
        </w:rPr>
      </w:pPr>
    </w:p>
    <w:p w14:paraId="7221935E" w14:textId="77777777" w:rsidR="00CD2CA4" w:rsidRPr="00616A54" w:rsidRDefault="00CC50CE" w:rsidP="00CD2CA4">
      <w:pPr>
        <w:spacing w:after="0" w:line="240" w:lineRule="auto"/>
        <w:ind w:left="567" w:right="567"/>
        <w:jc w:val="both"/>
        <w:rPr>
          <w:rFonts w:ascii="Palatino Linotype" w:eastAsia="Times New Roman" w:hAnsi="Palatino Linotype" w:cs="Times New Roman"/>
          <w:i/>
          <w:lang w:eastAsia="es-MX"/>
        </w:rPr>
      </w:pPr>
      <w:r w:rsidRPr="00616A54">
        <w:rPr>
          <w:rFonts w:ascii="Palatino Linotype" w:eastAsia="Times New Roman" w:hAnsi="Palatino Linotype" w:cs="Times New Roman"/>
          <w:i/>
          <w:lang w:eastAsia="es-MX"/>
        </w:rPr>
        <w:t>“</w:t>
      </w:r>
      <w:r w:rsidR="00CD2CA4" w:rsidRPr="00616A54">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C8610D" w14:textId="77777777" w:rsidR="00CD2CA4" w:rsidRPr="00616A54" w:rsidRDefault="00CD2CA4" w:rsidP="00CD2CA4">
      <w:pPr>
        <w:spacing w:after="0" w:line="240" w:lineRule="auto"/>
        <w:ind w:left="567" w:right="567"/>
        <w:jc w:val="both"/>
        <w:rPr>
          <w:rFonts w:ascii="Palatino Linotype" w:eastAsia="Times New Roman" w:hAnsi="Palatino Linotype" w:cs="Times New Roman"/>
          <w:i/>
          <w:lang w:eastAsia="es-MX"/>
        </w:rPr>
      </w:pPr>
    </w:p>
    <w:p w14:paraId="0D1F739D" w14:textId="77777777" w:rsidR="00CD2CA4" w:rsidRPr="00616A54" w:rsidRDefault="00CD2CA4" w:rsidP="00CD2CA4">
      <w:pPr>
        <w:spacing w:after="0" w:line="240" w:lineRule="auto"/>
        <w:ind w:left="567" w:right="567"/>
        <w:jc w:val="both"/>
        <w:rPr>
          <w:rFonts w:ascii="Palatino Linotype" w:eastAsia="Times New Roman" w:hAnsi="Palatino Linotype" w:cs="Times New Roman"/>
          <w:i/>
          <w:lang w:eastAsia="es-MX"/>
        </w:rPr>
      </w:pPr>
      <w:r w:rsidRPr="00616A54">
        <w:rPr>
          <w:rFonts w:ascii="Palatino Linotype" w:eastAsia="Times New Roman" w:hAnsi="Palatino Linotype" w:cs="Times New Roman"/>
          <w:i/>
          <w:lang w:eastAsia="es-MX"/>
        </w:rPr>
        <w:t>“2021 Año de la Consumación de la Independencia y la Grandeza de México” Santo Tomás, Estado de México 13 de Abril del 2021 NÚM. DE FOLIO DE SOLICITUD: 00019/SANTOTOM/IP/2021 PETICIONARIO: C. SOLICITANTE DE INFORMACIÓN SUJETO OBLIGADO: 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w:t>
      </w:r>
    </w:p>
    <w:p w14:paraId="6C400CA2" w14:textId="77777777" w:rsidR="00CD2CA4" w:rsidRPr="00616A54" w:rsidRDefault="00CD2CA4" w:rsidP="00CD2CA4">
      <w:pPr>
        <w:spacing w:after="0" w:line="240" w:lineRule="auto"/>
        <w:ind w:left="567" w:right="567"/>
        <w:jc w:val="both"/>
        <w:rPr>
          <w:rFonts w:ascii="Palatino Linotype" w:eastAsia="Times New Roman" w:hAnsi="Palatino Linotype" w:cs="Times New Roman"/>
          <w:i/>
          <w:lang w:eastAsia="es-MX"/>
        </w:rPr>
      </w:pPr>
    </w:p>
    <w:p w14:paraId="0AA313CC" w14:textId="77777777" w:rsidR="00CD2CA4" w:rsidRPr="00616A54" w:rsidRDefault="00CD2CA4" w:rsidP="00CD2CA4">
      <w:pPr>
        <w:spacing w:after="0" w:line="240" w:lineRule="auto"/>
        <w:ind w:left="567" w:right="567"/>
        <w:jc w:val="both"/>
        <w:rPr>
          <w:rFonts w:ascii="Palatino Linotype" w:eastAsia="Times New Roman" w:hAnsi="Palatino Linotype" w:cs="Times New Roman"/>
          <w:i/>
          <w:lang w:eastAsia="es-MX"/>
        </w:rPr>
      </w:pPr>
      <w:r w:rsidRPr="00616A54">
        <w:rPr>
          <w:rFonts w:ascii="Palatino Linotype" w:eastAsia="Times New Roman" w:hAnsi="Palatino Linotype" w:cs="Times New Roman"/>
          <w:i/>
          <w:lang w:eastAsia="es-MX"/>
        </w:rPr>
        <w:t>ATENTAMENTE</w:t>
      </w:r>
    </w:p>
    <w:p w14:paraId="027A5F24" w14:textId="2D3B30B5" w:rsidR="00BF3C45" w:rsidRPr="00616A54" w:rsidRDefault="00CD2CA4" w:rsidP="00CD2CA4">
      <w:pPr>
        <w:spacing w:after="0" w:line="240" w:lineRule="auto"/>
        <w:ind w:left="567" w:right="567"/>
        <w:jc w:val="both"/>
        <w:rPr>
          <w:rFonts w:ascii="Palatino Linotype" w:eastAsia="Times New Roman" w:hAnsi="Palatino Linotype" w:cs="Times New Roman"/>
          <w:i/>
          <w:lang w:eastAsia="es-MX"/>
        </w:rPr>
      </w:pPr>
      <w:r w:rsidRPr="00616A54">
        <w:rPr>
          <w:rFonts w:ascii="Palatino Linotype" w:eastAsia="Times New Roman" w:hAnsi="Palatino Linotype" w:cs="Times New Roman"/>
          <w:i/>
          <w:lang w:eastAsia="es-MX"/>
        </w:rPr>
        <w:t>ING. NICOLAS FERNANDO CALVARIO ORTEGA</w:t>
      </w:r>
      <w:r w:rsidR="00CC50CE" w:rsidRPr="00616A54">
        <w:rPr>
          <w:rFonts w:ascii="Palatino Linotype" w:eastAsia="Times New Roman" w:hAnsi="Palatino Linotype" w:cs="Times New Roman"/>
          <w:i/>
          <w:lang w:eastAsia="es-MX"/>
        </w:rPr>
        <w:t>” (Sic).</w:t>
      </w:r>
    </w:p>
    <w:p w14:paraId="040F7466" w14:textId="77777777" w:rsidR="00765064" w:rsidRPr="00616A54" w:rsidRDefault="00765064" w:rsidP="00765064">
      <w:pPr>
        <w:spacing w:after="0" w:line="240" w:lineRule="auto"/>
        <w:ind w:right="567"/>
        <w:jc w:val="both"/>
        <w:rPr>
          <w:rFonts w:ascii="Palatino Linotype" w:eastAsia="Times New Roman" w:hAnsi="Palatino Linotype" w:cs="Times New Roman"/>
          <w:i/>
          <w:lang w:eastAsia="es-MX"/>
        </w:rPr>
      </w:pPr>
    </w:p>
    <w:p w14:paraId="5FF11BE2" w14:textId="64E09ACF" w:rsidR="00765064" w:rsidRPr="00616A54" w:rsidRDefault="00765064" w:rsidP="00CD2CA4">
      <w:pPr>
        <w:pStyle w:val="Prrafodelista"/>
        <w:numPr>
          <w:ilvl w:val="0"/>
          <w:numId w:val="24"/>
        </w:numPr>
        <w:ind w:right="567"/>
        <w:jc w:val="both"/>
        <w:rPr>
          <w:rFonts w:ascii="Palatino Linotype" w:hAnsi="Palatino Linotype"/>
          <w:lang w:eastAsia="es-MX"/>
        </w:rPr>
      </w:pPr>
      <w:r w:rsidRPr="00616A54">
        <w:rPr>
          <w:rFonts w:ascii="Palatino Linotype" w:hAnsi="Palatino Linotype"/>
          <w:lang w:eastAsia="es-MX"/>
        </w:rPr>
        <w:t xml:space="preserve">Adjuntando a dicha respuesta, el archivo electrónico denominado </w:t>
      </w:r>
      <w:r w:rsidRPr="00616A54">
        <w:rPr>
          <w:rFonts w:ascii="Palatino Linotype" w:hAnsi="Palatino Linotype"/>
          <w:i/>
          <w:lang w:eastAsia="es-MX"/>
        </w:rPr>
        <w:t>“</w:t>
      </w:r>
      <w:r w:rsidR="00CD2CA4" w:rsidRPr="00616A54">
        <w:rPr>
          <w:rFonts w:ascii="Palatino Linotype" w:hAnsi="Palatino Linotype"/>
          <w:i/>
          <w:lang w:eastAsia="es-MX"/>
        </w:rPr>
        <w:t>RESPUESTA 00019.pdf</w:t>
      </w:r>
      <w:r w:rsidRPr="00616A54">
        <w:rPr>
          <w:rFonts w:ascii="Palatino Linotype" w:hAnsi="Palatino Linotype"/>
          <w:i/>
          <w:lang w:eastAsia="es-MX"/>
        </w:rPr>
        <w:t>”</w:t>
      </w:r>
      <w:r w:rsidRPr="00616A54">
        <w:rPr>
          <w:rFonts w:ascii="Palatino Linotype" w:hAnsi="Palatino Linotype"/>
          <w:lang w:eastAsia="es-MX"/>
        </w:rPr>
        <w:t>; el cual, por economía procesal no se inserta, sin embrago, será motivo de estudio en el Considerando correspondiente.</w:t>
      </w:r>
    </w:p>
    <w:p w14:paraId="13B0CDAE" w14:textId="77777777" w:rsidR="00377E49" w:rsidRPr="00616A54" w:rsidRDefault="00377E49" w:rsidP="00377E49">
      <w:pPr>
        <w:pStyle w:val="Sinespaciado"/>
      </w:pPr>
    </w:p>
    <w:p w14:paraId="3549DEEB" w14:textId="77777777" w:rsidR="00C41B4F" w:rsidRPr="00616A54" w:rsidRDefault="00C41B4F" w:rsidP="00377E49">
      <w:pPr>
        <w:pStyle w:val="Sinespaciado"/>
        <w:rPr>
          <w:sz w:val="18"/>
        </w:rPr>
      </w:pPr>
    </w:p>
    <w:p w14:paraId="59285F40" w14:textId="44C9B245" w:rsidR="00BD12EB" w:rsidRPr="00616A54" w:rsidRDefault="00C41B4F" w:rsidP="00AD2A55">
      <w:pPr>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t>TERCER</w:t>
      </w:r>
      <w:r w:rsidR="0037012F" w:rsidRPr="00616A54">
        <w:rPr>
          <w:rFonts w:ascii="Palatino Linotype" w:hAnsi="Palatino Linotype" w:cs="Arial"/>
          <w:b/>
          <w:sz w:val="28"/>
          <w:szCs w:val="24"/>
        </w:rPr>
        <w:t>O</w:t>
      </w:r>
      <w:r w:rsidR="005353D8" w:rsidRPr="00616A54">
        <w:rPr>
          <w:rFonts w:ascii="Palatino Linotype" w:hAnsi="Palatino Linotype" w:cs="Arial"/>
          <w:b/>
          <w:sz w:val="28"/>
          <w:szCs w:val="24"/>
        </w:rPr>
        <w:t xml:space="preserve">. </w:t>
      </w:r>
      <w:r w:rsidR="00BD12EB" w:rsidRPr="00616A54">
        <w:rPr>
          <w:rFonts w:ascii="Palatino Linotype" w:hAnsi="Palatino Linotype" w:cs="Arial"/>
          <w:b/>
          <w:sz w:val="28"/>
          <w:szCs w:val="24"/>
        </w:rPr>
        <w:t>Del recurso de revisión.</w:t>
      </w:r>
    </w:p>
    <w:p w14:paraId="7ABB3B05" w14:textId="79C5FAAF" w:rsidR="00BD12EB" w:rsidRPr="00616A54" w:rsidRDefault="00BD12EB" w:rsidP="00AD2A55">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Inconforme con la respuesta por parte del </w:t>
      </w:r>
      <w:r w:rsidRPr="00616A54">
        <w:rPr>
          <w:rFonts w:ascii="Palatino Linotype" w:hAnsi="Palatino Linotype" w:cs="Arial"/>
          <w:b/>
          <w:sz w:val="24"/>
          <w:szCs w:val="24"/>
        </w:rPr>
        <w:t>Sujeto Obligado</w:t>
      </w:r>
      <w:r w:rsidR="008B6600" w:rsidRPr="00616A54">
        <w:rPr>
          <w:rFonts w:ascii="Palatino Linotype" w:hAnsi="Palatino Linotype" w:cs="Arial"/>
          <w:sz w:val="24"/>
          <w:szCs w:val="24"/>
        </w:rPr>
        <w:t xml:space="preserve">, </w:t>
      </w:r>
      <w:r w:rsidR="00377E49" w:rsidRPr="00616A54">
        <w:rPr>
          <w:rFonts w:ascii="Palatino Linotype" w:hAnsi="Palatino Linotype" w:cs="Arial"/>
          <w:sz w:val="24"/>
          <w:szCs w:val="24"/>
        </w:rPr>
        <w:t>el</w:t>
      </w:r>
      <w:r w:rsidRPr="00616A54">
        <w:rPr>
          <w:rFonts w:ascii="Palatino Linotype" w:hAnsi="Palatino Linotype" w:cs="Arial"/>
          <w:sz w:val="24"/>
          <w:szCs w:val="24"/>
        </w:rPr>
        <w:t xml:space="preserve"> ahora </w:t>
      </w:r>
      <w:r w:rsidRPr="00616A54">
        <w:rPr>
          <w:rFonts w:ascii="Palatino Linotype" w:hAnsi="Palatino Linotype" w:cs="Arial"/>
          <w:b/>
          <w:sz w:val="24"/>
          <w:szCs w:val="24"/>
        </w:rPr>
        <w:t>Recurrente</w:t>
      </w:r>
      <w:r w:rsidRPr="00616A54">
        <w:rPr>
          <w:rFonts w:ascii="Palatino Linotype" w:hAnsi="Palatino Linotype" w:cs="Arial"/>
          <w:sz w:val="24"/>
          <w:szCs w:val="24"/>
        </w:rPr>
        <w:t xml:space="preserve"> </w:t>
      </w:r>
      <w:r w:rsidR="0037012F" w:rsidRPr="00616A54">
        <w:rPr>
          <w:rFonts w:ascii="Palatino Linotype" w:hAnsi="Palatino Linotype" w:cs="Arial"/>
          <w:sz w:val="24"/>
          <w:szCs w:val="24"/>
        </w:rPr>
        <w:t xml:space="preserve">interpuso el presente recurso de revisión </w:t>
      </w:r>
      <w:r w:rsidRPr="00616A54">
        <w:rPr>
          <w:rFonts w:ascii="Palatino Linotype" w:hAnsi="Palatino Linotype" w:cs="Arial"/>
          <w:sz w:val="24"/>
          <w:szCs w:val="24"/>
        </w:rPr>
        <w:t xml:space="preserve">en fecha </w:t>
      </w:r>
      <w:r w:rsidR="00CD2CA4" w:rsidRPr="00616A54">
        <w:rPr>
          <w:rFonts w:ascii="Palatino Linotype" w:hAnsi="Palatino Linotype" w:cs="Arial"/>
          <w:sz w:val="24"/>
          <w:szCs w:val="24"/>
        </w:rPr>
        <w:t>veintiuno</w:t>
      </w:r>
      <w:r w:rsidR="003A74E8" w:rsidRPr="00616A54">
        <w:rPr>
          <w:rFonts w:ascii="Palatino Linotype" w:hAnsi="Palatino Linotype" w:cs="Arial"/>
          <w:sz w:val="24"/>
          <w:szCs w:val="24"/>
        </w:rPr>
        <w:t xml:space="preserve"> de abril</w:t>
      </w:r>
      <w:r w:rsidR="0037012F" w:rsidRPr="00616A54">
        <w:rPr>
          <w:rFonts w:ascii="Palatino Linotype" w:hAnsi="Palatino Linotype" w:cs="Arial"/>
          <w:sz w:val="24"/>
          <w:szCs w:val="24"/>
        </w:rPr>
        <w:t xml:space="preserve"> de dos mil </w:t>
      </w:r>
      <w:r w:rsidR="00377E49" w:rsidRPr="00616A54">
        <w:rPr>
          <w:rFonts w:ascii="Palatino Linotype" w:hAnsi="Palatino Linotype" w:cs="Arial"/>
          <w:sz w:val="24"/>
          <w:szCs w:val="24"/>
        </w:rPr>
        <w:t>veintiuno</w:t>
      </w:r>
      <w:r w:rsidRPr="00616A54">
        <w:rPr>
          <w:rFonts w:ascii="Palatino Linotype" w:hAnsi="Palatino Linotype" w:cs="Arial"/>
          <w:sz w:val="24"/>
          <w:szCs w:val="24"/>
        </w:rPr>
        <w:t>, el cual fue registrado</w:t>
      </w:r>
      <w:r w:rsidRPr="00616A54">
        <w:rPr>
          <w:rFonts w:ascii="Palatino Linotype" w:hAnsi="Palatino Linotype" w:cs="Arial"/>
          <w:b/>
          <w:sz w:val="24"/>
          <w:szCs w:val="24"/>
        </w:rPr>
        <w:t xml:space="preserve"> </w:t>
      </w:r>
      <w:r w:rsidRPr="00616A54">
        <w:rPr>
          <w:rFonts w:ascii="Palatino Linotype" w:hAnsi="Palatino Linotype" w:cs="Arial"/>
          <w:sz w:val="24"/>
          <w:szCs w:val="24"/>
        </w:rPr>
        <w:t xml:space="preserve">en el sistema electrónico con el expediente número </w:t>
      </w:r>
      <w:r w:rsidRPr="00616A54">
        <w:rPr>
          <w:rFonts w:ascii="Palatino Linotype" w:hAnsi="Palatino Linotype" w:cs="Arial"/>
          <w:b/>
          <w:bCs/>
          <w:sz w:val="24"/>
          <w:szCs w:val="24"/>
          <w:lang w:eastAsia="es-MX"/>
        </w:rPr>
        <w:t>0</w:t>
      </w:r>
      <w:r w:rsidR="00CD2CA4" w:rsidRPr="00616A54">
        <w:rPr>
          <w:rFonts w:ascii="Palatino Linotype" w:hAnsi="Palatino Linotype" w:cs="Arial"/>
          <w:b/>
          <w:bCs/>
          <w:sz w:val="24"/>
          <w:szCs w:val="24"/>
          <w:lang w:eastAsia="es-MX"/>
        </w:rPr>
        <w:t>2155</w:t>
      </w:r>
      <w:r w:rsidRPr="00616A54">
        <w:rPr>
          <w:rFonts w:ascii="Palatino Linotype" w:hAnsi="Palatino Linotype" w:cs="Arial"/>
          <w:b/>
          <w:bCs/>
          <w:sz w:val="24"/>
          <w:szCs w:val="24"/>
          <w:lang w:eastAsia="es-MX"/>
        </w:rPr>
        <w:t>/INFOEM/IP/RR/20</w:t>
      </w:r>
      <w:r w:rsidR="00E14662" w:rsidRPr="00616A54">
        <w:rPr>
          <w:rFonts w:ascii="Palatino Linotype" w:hAnsi="Palatino Linotype" w:cs="Arial"/>
          <w:b/>
          <w:bCs/>
          <w:sz w:val="24"/>
          <w:szCs w:val="24"/>
          <w:lang w:eastAsia="es-MX"/>
        </w:rPr>
        <w:t>2</w:t>
      </w:r>
      <w:r w:rsidR="00377E49" w:rsidRPr="00616A54">
        <w:rPr>
          <w:rFonts w:ascii="Palatino Linotype" w:hAnsi="Palatino Linotype" w:cs="Arial"/>
          <w:b/>
          <w:bCs/>
          <w:sz w:val="24"/>
          <w:szCs w:val="24"/>
          <w:lang w:eastAsia="es-MX"/>
        </w:rPr>
        <w:t>1</w:t>
      </w:r>
      <w:r w:rsidR="00CD2CA4" w:rsidRPr="00616A54">
        <w:rPr>
          <w:rFonts w:ascii="Palatino Linotype" w:hAnsi="Palatino Linotype" w:cs="Arial"/>
          <w:sz w:val="24"/>
          <w:szCs w:val="24"/>
        </w:rPr>
        <w:t xml:space="preserve">; </w:t>
      </w:r>
      <w:r w:rsidRPr="00616A54">
        <w:rPr>
          <w:rFonts w:ascii="Palatino Linotype" w:hAnsi="Palatino Linotype" w:cs="Arial"/>
          <w:sz w:val="24"/>
          <w:szCs w:val="24"/>
        </w:rPr>
        <w:t>en el cual</w:t>
      </w:r>
      <w:r w:rsidR="00CD2CA4" w:rsidRPr="00616A54">
        <w:rPr>
          <w:rFonts w:ascii="Palatino Linotype" w:hAnsi="Palatino Linotype" w:cs="Arial"/>
          <w:sz w:val="24"/>
          <w:szCs w:val="24"/>
        </w:rPr>
        <w:t>,</w:t>
      </w:r>
      <w:r w:rsidRPr="00616A54">
        <w:rPr>
          <w:rFonts w:ascii="Palatino Linotype" w:hAnsi="Palatino Linotype" w:cs="Arial"/>
          <w:sz w:val="24"/>
          <w:szCs w:val="24"/>
        </w:rPr>
        <w:t xml:space="preserve"> aduce las siguientes manifestaciones:</w:t>
      </w:r>
    </w:p>
    <w:p w14:paraId="6AFE8853" w14:textId="77777777" w:rsidR="00464149" w:rsidRPr="00616A54" w:rsidRDefault="00464149" w:rsidP="00EE0E9E">
      <w:pPr>
        <w:pStyle w:val="Sinespaciado"/>
      </w:pPr>
    </w:p>
    <w:p w14:paraId="0EEE0CE1" w14:textId="77777777" w:rsidR="00F31AB0" w:rsidRPr="00616A54" w:rsidRDefault="00F31AB0" w:rsidP="00E14662">
      <w:pPr>
        <w:pStyle w:val="Sinespaciado"/>
        <w:rPr>
          <w:sz w:val="10"/>
        </w:rPr>
      </w:pPr>
    </w:p>
    <w:p w14:paraId="7BD42008" w14:textId="12343FAE" w:rsidR="00BD12EB" w:rsidRPr="00616A54" w:rsidRDefault="00BD12EB" w:rsidP="00B42581">
      <w:pPr>
        <w:pStyle w:val="Prrafodelista"/>
        <w:numPr>
          <w:ilvl w:val="0"/>
          <w:numId w:val="1"/>
        </w:numPr>
        <w:jc w:val="both"/>
        <w:rPr>
          <w:rFonts w:ascii="Palatino Linotype" w:hAnsi="Palatino Linotype" w:cs="Arial"/>
          <w:b/>
        </w:rPr>
      </w:pPr>
      <w:r w:rsidRPr="00616A54">
        <w:rPr>
          <w:rFonts w:ascii="Palatino Linotype" w:hAnsi="Palatino Linotype" w:cs="Arial"/>
          <w:b/>
        </w:rPr>
        <w:lastRenderedPageBreak/>
        <w:t>Acto Impugnado:</w:t>
      </w:r>
    </w:p>
    <w:p w14:paraId="0EC988A2" w14:textId="6CB39867" w:rsidR="00BF3C45" w:rsidRPr="00616A54" w:rsidRDefault="00BD12EB" w:rsidP="00377E49">
      <w:pPr>
        <w:spacing w:line="240" w:lineRule="auto"/>
        <w:ind w:left="851"/>
        <w:jc w:val="both"/>
        <w:rPr>
          <w:rFonts w:ascii="Palatino Linotype" w:hAnsi="Palatino Linotype"/>
          <w:i/>
          <w:color w:val="000000"/>
        </w:rPr>
      </w:pPr>
      <w:r w:rsidRPr="00616A54">
        <w:rPr>
          <w:rFonts w:ascii="Palatino Linotype" w:hAnsi="Palatino Linotype"/>
          <w:i/>
          <w:color w:val="000000"/>
        </w:rPr>
        <w:t>“</w:t>
      </w:r>
      <w:r w:rsidR="00CD2CA4" w:rsidRPr="00616A54">
        <w:rPr>
          <w:rFonts w:ascii="Palatino Linotype" w:eastAsia="Times New Roman" w:hAnsi="Palatino Linotype" w:cs="Times New Roman"/>
          <w:i/>
          <w:lang w:eastAsia="es-MX"/>
        </w:rPr>
        <w:t>No se entregó la totalidad de la información solicitada</w:t>
      </w:r>
      <w:r w:rsidRPr="00616A54">
        <w:rPr>
          <w:rFonts w:ascii="Palatino Linotype" w:hAnsi="Palatino Linotype"/>
          <w:i/>
          <w:color w:val="000000"/>
        </w:rPr>
        <w:t>”</w:t>
      </w:r>
      <w:r w:rsidR="00E14662" w:rsidRPr="00616A54">
        <w:rPr>
          <w:rFonts w:ascii="Palatino Linotype" w:hAnsi="Palatino Linotype"/>
          <w:i/>
          <w:color w:val="000000"/>
        </w:rPr>
        <w:t xml:space="preserve"> </w:t>
      </w:r>
      <w:r w:rsidRPr="00616A54">
        <w:rPr>
          <w:rFonts w:ascii="Palatino Linotype" w:hAnsi="Palatino Linotype"/>
          <w:i/>
          <w:color w:val="000000"/>
        </w:rPr>
        <w:t>(Sic).</w:t>
      </w:r>
    </w:p>
    <w:p w14:paraId="5591D3F4" w14:textId="77777777" w:rsidR="00552085" w:rsidRPr="00616A54" w:rsidRDefault="00552085" w:rsidP="00377E49">
      <w:pPr>
        <w:spacing w:line="240" w:lineRule="auto"/>
        <w:ind w:left="851"/>
        <w:jc w:val="both"/>
        <w:rPr>
          <w:rFonts w:ascii="Palatino Linotype" w:eastAsia="Times New Roman" w:hAnsi="Palatino Linotype" w:cs="Times New Roman"/>
          <w:i/>
          <w:sz w:val="16"/>
          <w:lang w:eastAsia="es-MX"/>
        </w:rPr>
      </w:pPr>
    </w:p>
    <w:p w14:paraId="5DD7AFE8" w14:textId="74BA433D" w:rsidR="00BD12EB" w:rsidRPr="00616A54" w:rsidRDefault="00BD12EB" w:rsidP="00B42581">
      <w:pPr>
        <w:pStyle w:val="Prrafodelista"/>
        <w:numPr>
          <w:ilvl w:val="0"/>
          <w:numId w:val="1"/>
        </w:numPr>
        <w:jc w:val="both"/>
        <w:rPr>
          <w:rFonts w:ascii="Palatino Linotype" w:hAnsi="Palatino Linotype" w:cs="Arial"/>
        </w:rPr>
      </w:pPr>
      <w:r w:rsidRPr="00616A54">
        <w:rPr>
          <w:rFonts w:ascii="Palatino Linotype" w:hAnsi="Palatino Linotype" w:cs="Arial"/>
          <w:b/>
        </w:rPr>
        <w:t>Razones o Motivos de Inconformidad</w:t>
      </w:r>
      <w:r w:rsidRPr="00616A54">
        <w:rPr>
          <w:rFonts w:ascii="Palatino Linotype" w:hAnsi="Palatino Linotype" w:cs="Arial"/>
        </w:rPr>
        <w:t xml:space="preserve">: </w:t>
      </w:r>
    </w:p>
    <w:p w14:paraId="07C20AEC" w14:textId="7945BCBF" w:rsidR="00525913" w:rsidRPr="00616A54"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616A54">
        <w:rPr>
          <w:rFonts w:ascii="Palatino Linotype" w:hAnsi="Palatino Linotype" w:cs="Arial"/>
          <w:i/>
        </w:rPr>
        <w:t>“</w:t>
      </w:r>
      <w:r w:rsidR="00CD2CA4" w:rsidRPr="00616A54">
        <w:rPr>
          <w:rFonts w:ascii="Palatino Linotype" w:hAnsi="Palatino Linotype"/>
          <w:i/>
          <w:color w:val="000000"/>
        </w:rPr>
        <w:t>No se entregó la totalidad de la información solicitada</w:t>
      </w:r>
      <w:r w:rsidR="008B6600" w:rsidRPr="00616A54">
        <w:rPr>
          <w:rFonts w:ascii="Palatino Linotype" w:hAnsi="Palatino Linotype"/>
          <w:i/>
          <w:color w:val="000000"/>
        </w:rPr>
        <w:t>” (S</w:t>
      </w:r>
      <w:r w:rsidRPr="00616A54">
        <w:rPr>
          <w:rFonts w:ascii="Palatino Linotype" w:hAnsi="Palatino Linotype"/>
          <w:i/>
          <w:color w:val="000000"/>
        </w:rPr>
        <w:t>ic)</w:t>
      </w:r>
    </w:p>
    <w:p w14:paraId="4836AF07" w14:textId="77777777" w:rsidR="007666D6" w:rsidRPr="00616A54" w:rsidRDefault="007666D6" w:rsidP="007666D6">
      <w:pPr>
        <w:pStyle w:val="Sinespaciado"/>
      </w:pPr>
    </w:p>
    <w:p w14:paraId="74E56D9E" w14:textId="77777777" w:rsidR="007666D6" w:rsidRPr="00616A54" w:rsidRDefault="007666D6" w:rsidP="003A74E8">
      <w:pPr>
        <w:pStyle w:val="Sinespaciado"/>
        <w:ind w:left="720"/>
      </w:pPr>
    </w:p>
    <w:p w14:paraId="3A29AB1E" w14:textId="5FFF7AD1" w:rsidR="00DE5FCB" w:rsidRPr="00616A54" w:rsidRDefault="00C41B4F" w:rsidP="00AD2A55">
      <w:pPr>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t>CUAR</w:t>
      </w:r>
      <w:r w:rsidR="0037641A" w:rsidRPr="00616A54">
        <w:rPr>
          <w:rFonts w:ascii="Palatino Linotype" w:hAnsi="Palatino Linotype" w:cs="Arial"/>
          <w:b/>
          <w:sz w:val="28"/>
          <w:szCs w:val="24"/>
        </w:rPr>
        <w:t>T</w:t>
      </w:r>
      <w:r w:rsidR="00BF3214" w:rsidRPr="00616A54">
        <w:rPr>
          <w:rFonts w:ascii="Palatino Linotype" w:hAnsi="Palatino Linotype" w:cs="Arial"/>
          <w:b/>
          <w:sz w:val="28"/>
          <w:szCs w:val="24"/>
        </w:rPr>
        <w:t xml:space="preserve">O. </w:t>
      </w:r>
      <w:r w:rsidR="00DE5FCB" w:rsidRPr="00616A54">
        <w:rPr>
          <w:rFonts w:ascii="Palatino Linotype" w:hAnsi="Palatino Linotype" w:cs="Arial"/>
          <w:b/>
          <w:sz w:val="28"/>
          <w:szCs w:val="24"/>
        </w:rPr>
        <w:t>Del turno del recurso de revisión.</w:t>
      </w:r>
    </w:p>
    <w:p w14:paraId="11CEEC8A" w14:textId="1AB3ACB2" w:rsidR="0006665C" w:rsidRPr="00616A54" w:rsidRDefault="00DE5FCB" w:rsidP="0006665C">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Medio de impugnación que le fue turnado a la Comisionada </w:t>
      </w:r>
      <w:r w:rsidRPr="00616A54">
        <w:rPr>
          <w:rFonts w:ascii="Palatino Linotype" w:hAnsi="Palatino Linotype" w:cs="Arial"/>
          <w:b/>
          <w:sz w:val="24"/>
          <w:szCs w:val="24"/>
        </w:rPr>
        <w:t>Zulema Martínez Sánchez</w:t>
      </w:r>
      <w:r w:rsidRPr="00616A54">
        <w:rPr>
          <w:rFonts w:ascii="Palatino Linotype" w:hAnsi="Palatino Linotype" w:cs="Arial"/>
          <w:sz w:val="24"/>
          <w:szCs w:val="24"/>
        </w:rPr>
        <w:t>, por medio del sistema electrónico, en términos del arábigo 185</w:t>
      </w:r>
      <w:r w:rsidR="0006665C" w:rsidRPr="00616A54">
        <w:rPr>
          <w:rFonts w:ascii="Palatino Linotype" w:hAnsi="Palatino Linotype" w:cs="Arial"/>
          <w:sz w:val="24"/>
          <w:szCs w:val="24"/>
        </w:rPr>
        <w:t>,</w:t>
      </w:r>
      <w:r w:rsidRPr="00616A54">
        <w:rPr>
          <w:rFonts w:ascii="Palatino Linotype" w:hAnsi="Palatino Linotype" w:cs="Arial"/>
          <w:sz w:val="24"/>
          <w:szCs w:val="24"/>
        </w:rPr>
        <w:t xml:space="preserve"> fracción I</w:t>
      </w:r>
      <w:r w:rsidR="0006665C" w:rsidRPr="00616A54">
        <w:rPr>
          <w:rFonts w:ascii="Palatino Linotype" w:hAnsi="Palatino Linotype" w:cs="Arial"/>
          <w:sz w:val="24"/>
          <w:szCs w:val="24"/>
        </w:rPr>
        <w:t>,</w:t>
      </w:r>
      <w:r w:rsidRPr="00616A54">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CD2CA4" w:rsidRPr="00616A54">
        <w:rPr>
          <w:rFonts w:ascii="Palatino Linotype" w:hAnsi="Palatino Linotype" w:cs="Arial"/>
          <w:sz w:val="24"/>
          <w:szCs w:val="24"/>
        </w:rPr>
        <w:t>tres de mayo</w:t>
      </w:r>
      <w:r w:rsidR="001C16ED" w:rsidRPr="00616A54">
        <w:rPr>
          <w:rFonts w:ascii="Palatino Linotype" w:hAnsi="Palatino Linotype" w:cs="Arial"/>
          <w:sz w:val="24"/>
          <w:szCs w:val="24"/>
        </w:rPr>
        <w:t xml:space="preserve"> </w:t>
      </w:r>
      <w:r w:rsidR="008B6600" w:rsidRPr="00616A54">
        <w:rPr>
          <w:rFonts w:ascii="Palatino Linotype" w:hAnsi="Palatino Linotype" w:cs="Arial"/>
          <w:sz w:val="24"/>
          <w:szCs w:val="24"/>
        </w:rPr>
        <w:t>del</w:t>
      </w:r>
      <w:r w:rsidRPr="00616A54">
        <w:rPr>
          <w:rFonts w:ascii="Palatino Linotype" w:hAnsi="Palatino Linotype" w:cs="Arial"/>
          <w:sz w:val="24"/>
          <w:szCs w:val="24"/>
        </w:rPr>
        <w:t xml:space="preserve"> </w:t>
      </w:r>
      <w:r w:rsidR="008B6600" w:rsidRPr="00616A54">
        <w:rPr>
          <w:rFonts w:ascii="Palatino Linotype" w:hAnsi="Palatino Linotype" w:cs="Arial"/>
          <w:sz w:val="24"/>
          <w:szCs w:val="24"/>
        </w:rPr>
        <w:t xml:space="preserve">año </w:t>
      </w:r>
      <w:r w:rsidR="00923613" w:rsidRPr="00616A54">
        <w:rPr>
          <w:rFonts w:ascii="Palatino Linotype" w:hAnsi="Palatino Linotype" w:cs="Arial"/>
          <w:sz w:val="24"/>
          <w:szCs w:val="24"/>
        </w:rPr>
        <w:t xml:space="preserve">dos </w:t>
      </w:r>
      <w:r w:rsidR="00EA5381" w:rsidRPr="00616A54">
        <w:rPr>
          <w:rFonts w:ascii="Palatino Linotype" w:hAnsi="Palatino Linotype" w:cs="Arial"/>
          <w:sz w:val="24"/>
          <w:szCs w:val="24"/>
        </w:rPr>
        <w:t>mil veintiuno</w:t>
      </w:r>
      <w:r w:rsidRPr="00616A54">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616A54" w:rsidRDefault="00E41DE5" w:rsidP="00F31AB0">
      <w:pPr>
        <w:rPr>
          <w:sz w:val="24"/>
        </w:rPr>
      </w:pPr>
    </w:p>
    <w:p w14:paraId="665015D4" w14:textId="75AEF79F" w:rsidR="00BC106F" w:rsidRPr="00616A54" w:rsidRDefault="00C41B4F" w:rsidP="00AD2A55">
      <w:pPr>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t>QUIN</w:t>
      </w:r>
      <w:r w:rsidR="0037641A" w:rsidRPr="00616A54">
        <w:rPr>
          <w:rFonts w:ascii="Palatino Linotype" w:hAnsi="Palatino Linotype" w:cs="Arial"/>
          <w:b/>
          <w:sz w:val="28"/>
          <w:szCs w:val="24"/>
        </w:rPr>
        <w:t>T</w:t>
      </w:r>
      <w:r w:rsidR="007D0B6C" w:rsidRPr="00616A54">
        <w:rPr>
          <w:rFonts w:ascii="Palatino Linotype" w:hAnsi="Palatino Linotype" w:cs="Arial"/>
          <w:b/>
          <w:sz w:val="28"/>
          <w:szCs w:val="24"/>
        </w:rPr>
        <w:t>O</w:t>
      </w:r>
      <w:r w:rsidR="00BF3214" w:rsidRPr="00616A54">
        <w:rPr>
          <w:rFonts w:ascii="Palatino Linotype" w:hAnsi="Palatino Linotype" w:cs="Arial"/>
          <w:b/>
          <w:sz w:val="28"/>
          <w:szCs w:val="24"/>
        </w:rPr>
        <w:t xml:space="preserve">. </w:t>
      </w:r>
      <w:r w:rsidR="00BC106F" w:rsidRPr="00616A54">
        <w:rPr>
          <w:rFonts w:ascii="Palatino Linotype" w:hAnsi="Palatino Linotype" w:cs="Arial"/>
          <w:b/>
          <w:sz w:val="28"/>
          <w:szCs w:val="24"/>
        </w:rPr>
        <w:t>De la etapa de manifestaciones y/o alegatos.</w:t>
      </w:r>
    </w:p>
    <w:p w14:paraId="6DBE78A6" w14:textId="6D2D7499" w:rsidR="00552085" w:rsidRPr="00616A54" w:rsidRDefault="00BC106F" w:rsidP="00CD2CA4">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Así, una vez transcurrido el término legal referido se destaca que</w:t>
      </w:r>
      <w:r w:rsidR="00CD2CA4" w:rsidRPr="00616A54">
        <w:rPr>
          <w:rFonts w:ascii="Palatino Linotype" w:hAnsi="Palatino Linotype" w:cs="Arial"/>
          <w:sz w:val="24"/>
          <w:szCs w:val="24"/>
        </w:rPr>
        <w:t xml:space="preserve"> en fecha once de junio de dos mil veintiuno,</w:t>
      </w:r>
      <w:r w:rsidR="0037641A" w:rsidRPr="00616A54">
        <w:rPr>
          <w:rFonts w:ascii="Palatino Linotype" w:hAnsi="Palatino Linotype" w:cs="Arial"/>
          <w:sz w:val="24"/>
          <w:szCs w:val="24"/>
        </w:rPr>
        <w:t xml:space="preserve"> </w:t>
      </w:r>
      <w:r w:rsidR="008B6600" w:rsidRPr="00616A54">
        <w:rPr>
          <w:rFonts w:ascii="Palatino Linotype" w:hAnsi="Palatino Linotype" w:cs="Arial"/>
          <w:b/>
          <w:sz w:val="24"/>
          <w:szCs w:val="24"/>
        </w:rPr>
        <w:t xml:space="preserve">El </w:t>
      </w:r>
      <w:r w:rsidR="009B3F97" w:rsidRPr="00616A54">
        <w:rPr>
          <w:rFonts w:ascii="Palatino Linotype" w:hAnsi="Palatino Linotype" w:cs="Arial"/>
          <w:b/>
          <w:sz w:val="24"/>
          <w:szCs w:val="24"/>
        </w:rPr>
        <w:t>Sujeto Obligado</w:t>
      </w:r>
      <w:r w:rsidRPr="00616A54">
        <w:rPr>
          <w:rFonts w:ascii="Palatino Linotype" w:hAnsi="Palatino Linotype" w:cs="Arial"/>
          <w:sz w:val="24"/>
          <w:szCs w:val="24"/>
        </w:rPr>
        <w:t xml:space="preserve"> </w:t>
      </w:r>
      <w:r w:rsidR="00CD2CA4" w:rsidRPr="00616A54">
        <w:rPr>
          <w:rFonts w:ascii="Palatino Linotype" w:hAnsi="Palatino Linotype" w:cs="Arial"/>
          <w:sz w:val="24"/>
          <w:szCs w:val="24"/>
        </w:rPr>
        <w:t>remitió</w:t>
      </w:r>
      <w:r w:rsidR="0006665C" w:rsidRPr="00616A54">
        <w:rPr>
          <w:rFonts w:ascii="Palatino Linotype" w:hAnsi="Palatino Linotype" w:cs="Arial"/>
          <w:sz w:val="24"/>
          <w:szCs w:val="24"/>
        </w:rPr>
        <w:t xml:space="preserve"> su Informe Justificado</w:t>
      </w:r>
      <w:r w:rsidR="00CD2CA4" w:rsidRPr="00616A54">
        <w:rPr>
          <w:rFonts w:ascii="Palatino Linotype" w:hAnsi="Palatino Linotype" w:cs="Arial"/>
          <w:sz w:val="24"/>
          <w:szCs w:val="24"/>
        </w:rPr>
        <w:t>, mediante el archivo electrónico denominado “</w:t>
      </w:r>
      <w:r w:rsidR="00CD2CA4" w:rsidRPr="00616A54">
        <w:rPr>
          <w:rFonts w:ascii="Palatino Linotype" w:hAnsi="Palatino Linotype" w:cs="Arial"/>
          <w:i/>
          <w:sz w:val="24"/>
          <w:szCs w:val="24"/>
        </w:rPr>
        <w:tab/>
        <w:t>RECURSO DE REVISIÓN 02155.pdf”</w:t>
      </w:r>
      <w:r w:rsidR="00CD2CA4" w:rsidRPr="00616A54">
        <w:rPr>
          <w:rFonts w:ascii="Palatino Linotype" w:hAnsi="Palatino Linotype" w:cs="Arial"/>
          <w:sz w:val="24"/>
          <w:szCs w:val="24"/>
        </w:rPr>
        <w:t>;</w:t>
      </w:r>
      <w:r w:rsidR="0006665C" w:rsidRPr="00616A54">
        <w:rPr>
          <w:rFonts w:ascii="Palatino Linotype" w:hAnsi="Palatino Linotype" w:cs="Arial"/>
          <w:sz w:val="24"/>
          <w:szCs w:val="24"/>
        </w:rPr>
        <w:t xml:space="preserve"> p</w:t>
      </w:r>
      <w:r w:rsidR="007E0AAA" w:rsidRPr="00616A54">
        <w:rPr>
          <w:rFonts w:ascii="Palatino Linotype" w:hAnsi="Palatino Linotype" w:cs="Arial"/>
          <w:sz w:val="24"/>
          <w:szCs w:val="24"/>
        </w:rPr>
        <w:t xml:space="preserve">or </w:t>
      </w:r>
      <w:r w:rsidR="0037641A" w:rsidRPr="00616A54">
        <w:rPr>
          <w:rFonts w:ascii="Palatino Linotype" w:hAnsi="Palatino Linotype" w:cs="Arial"/>
          <w:sz w:val="24"/>
          <w:szCs w:val="24"/>
        </w:rPr>
        <w:t xml:space="preserve">su parte </w:t>
      </w:r>
      <w:r w:rsidR="00EA5381" w:rsidRPr="00616A54">
        <w:rPr>
          <w:rFonts w:ascii="Palatino Linotype" w:hAnsi="Palatino Linotype" w:cs="Arial"/>
          <w:sz w:val="24"/>
          <w:szCs w:val="24"/>
        </w:rPr>
        <w:t>el</w:t>
      </w:r>
      <w:r w:rsidR="007E0AAA" w:rsidRPr="00616A54">
        <w:rPr>
          <w:rFonts w:ascii="Palatino Linotype" w:hAnsi="Palatino Linotype" w:cs="Arial"/>
          <w:sz w:val="24"/>
          <w:szCs w:val="24"/>
        </w:rPr>
        <w:t xml:space="preserve"> </w:t>
      </w:r>
      <w:r w:rsidR="007E0AAA" w:rsidRPr="00616A54">
        <w:rPr>
          <w:rFonts w:ascii="Palatino Linotype" w:hAnsi="Palatino Linotype" w:cs="Arial"/>
          <w:b/>
          <w:sz w:val="24"/>
          <w:szCs w:val="24"/>
        </w:rPr>
        <w:t>Recurrente</w:t>
      </w:r>
      <w:r w:rsidR="00631855" w:rsidRPr="00616A54">
        <w:rPr>
          <w:rFonts w:ascii="Palatino Linotype" w:hAnsi="Palatino Linotype" w:cs="Arial"/>
          <w:sz w:val="24"/>
          <w:szCs w:val="24"/>
        </w:rPr>
        <w:t>,</w:t>
      </w:r>
      <w:r w:rsidR="007E0AAA" w:rsidRPr="00616A54">
        <w:rPr>
          <w:rFonts w:ascii="Palatino Linotype" w:hAnsi="Palatino Linotype" w:cs="Arial"/>
          <w:sz w:val="24"/>
          <w:szCs w:val="24"/>
        </w:rPr>
        <w:t xml:space="preserve"> </w:t>
      </w:r>
      <w:r w:rsidR="00CD2CA4" w:rsidRPr="00616A54">
        <w:rPr>
          <w:rFonts w:ascii="Palatino Linotype" w:hAnsi="Palatino Linotype" w:cs="Arial"/>
          <w:sz w:val="24"/>
          <w:szCs w:val="24"/>
        </w:rPr>
        <w:t>no</w:t>
      </w:r>
      <w:r w:rsidR="00BF3C45" w:rsidRPr="00616A54">
        <w:rPr>
          <w:rFonts w:ascii="Palatino Linotype" w:hAnsi="Palatino Linotype" w:cs="Arial"/>
          <w:sz w:val="24"/>
          <w:szCs w:val="24"/>
        </w:rPr>
        <w:t xml:space="preserve"> remitió alegatos, pruebas o manifestaciones</w:t>
      </w:r>
      <w:r w:rsidR="008E433F" w:rsidRPr="00616A54">
        <w:rPr>
          <w:rFonts w:ascii="Palatino Linotype" w:hAnsi="Palatino Linotype" w:cs="Arial"/>
          <w:sz w:val="24"/>
          <w:szCs w:val="24"/>
        </w:rPr>
        <w:t xml:space="preserve">, </w:t>
      </w:r>
      <w:r w:rsidR="00F422BB" w:rsidRPr="00616A54">
        <w:rPr>
          <w:rFonts w:ascii="Palatino Linotype" w:hAnsi="Palatino Linotype" w:cs="Arial"/>
          <w:sz w:val="24"/>
          <w:szCs w:val="24"/>
        </w:rPr>
        <w:t xml:space="preserve">lo anterior </w:t>
      </w:r>
      <w:r w:rsidR="0006665C" w:rsidRPr="00616A54">
        <w:rPr>
          <w:rFonts w:ascii="Palatino Linotype" w:hAnsi="Palatino Linotype" w:cs="Arial"/>
          <w:sz w:val="24"/>
          <w:szCs w:val="24"/>
        </w:rPr>
        <w:t>de conformidad con la siguiente imagen:</w:t>
      </w:r>
    </w:p>
    <w:p w14:paraId="727966F0" w14:textId="2BBD41C6" w:rsidR="008F19D1" w:rsidRPr="00616A54" w:rsidRDefault="00CD2CA4" w:rsidP="00BF3C45">
      <w:pPr>
        <w:spacing w:after="0" w:line="360" w:lineRule="auto"/>
        <w:jc w:val="both"/>
        <w:rPr>
          <w:rFonts w:ascii="Palatino Linotype" w:hAnsi="Palatino Linotype" w:cs="Arial"/>
          <w:sz w:val="24"/>
          <w:szCs w:val="24"/>
        </w:rPr>
      </w:pPr>
      <w:r w:rsidRPr="00616A54">
        <w:rPr>
          <w:rFonts w:ascii="Palatino Linotype" w:hAnsi="Palatino Linotype" w:cs="Arial"/>
          <w:noProof/>
          <w:sz w:val="24"/>
          <w:szCs w:val="24"/>
          <w:lang w:eastAsia="es-MX"/>
        </w:rPr>
        <w:drawing>
          <wp:inline distT="0" distB="0" distL="0" distR="0" wp14:anchorId="37C4F016" wp14:editId="5C225254">
            <wp:extent cx="5753677" cy="17810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7909" cy="1804071"/>
                    </a:xfrm>
                    <a:prstGeom prst="rect">
                      <a:avLst/>
                    </a:prstGeom>
                    <a:noFill/>
                    <a:ln>
                      <a:noFill/>
                    </a:ln>
                  </pic:spPr>
                </pic:pic>
              </a:graphicData>
            </a:graphic>
          </wp:inline>
        </w:drawing>
      </w:r>
    </w:p>
    <w:p w14:paraId="26577AAA" w14:textId="7EE7C1EA" w:rsidR="00BC106F" w:rsidRPr="00616A54" w:rsidRDefault="00C41B4F" w:rsidP="00AD2A55">
      <w:pPr>
        <w:tabs>
          <w:tab w:val="left" w:pos="3206"/>
        </w:tabs>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lastRenderedPageBreak/>
        <w:t>SEXT</w:t>
      </w:r>
      <w:r w:rsidR="00765064" w:rsidRPr="00616A54">
        <w:rPr>
          <w:rFonts w:ascii="Palatino Linotype" w:hAnsi="Palatino Linotype" w:cs="Arial"/>
          <w:b/>
          <w:sz w:val="28"/>
          <w:szCs w:val="24"/>
        </w:rPr>
        <w:t>O</w:t>
      </w:r>
      <w:r w:rsidR="0006665C" w:rsidRPr="00616A54">
        <w:rPr>
          <w:rFonts w:ascii="Palatino Linotype" w:hAnsi="Palatino Linotype" w:cs="Arial"/>
          <w:b/>
          <w:sz w:val="28"/>
          <w:szCs w:val="24"/>
        </w:rPr>
        <w:t>.</w:t>
      </w:r>
      <w:r w:rsidR="008B6600" w:rsidRPr="00616A54">
        <w:rPr>
          <w:rFonts w:ascii="Palatino Linotype" w:hAnsi="Palatino Linotype" w:cs="Arial"/>
          <w:b/>
          <w:sz w:val="28"/>
          <w:szCs w:val="24"/>
        </w:rPr>
        <w:t xml:space="preserve"> </w:t>
      </w:r>
      <w:r w:rsidR="00BC106F" w:rsidRPr="00616A54">
        <w:rPr>
          <w:rFonts w:ascii="Palatino Linotype" w:hAnsi="Palatino Linotype" w:cs="Arial"/>
          <w:b/>
          <w:sz w:val="28"/>
          <w:szCs w:val="24"/>
        </w:rPr>
        <w:t>Del cierre de instrucción.</w:t>
      </w:r>
      <w:r w:rsidR="00BC106F" w:rsidRPr="00616A54">
        <w:rPr>
          <w:rFonts w:ascii="Palatino Linotype" w:hAnsi="Palatino Linotype" w:cs="Arial"/>
          <w:b/>
          <w:sz w:val="28"/>
          <w:szCs w:val="24"/>
        </w:rPr>
        <w:tab/>
      </w:r>
    </w:p>
    <w:p w14:paraId="12F33C9D" w14:textId="4768676E" w:rsidR="00027ADB" w:rsidRPr="00616A54" w:rsidRDefault="00BC106F" w:rsidP="00AD2A55">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Así, una vez transcurr</w:t>
      </w:r>
      <w:r w:rsidR="00631855" w:rsidRPr="00616A54">
        <w:rPr>
          <w:rFonts w:ascii="Palatino Linotype" w:hAnsi="Palatino Linotype" w:cs="Arial"/>
          <w:sz w:val="24"/>
          <w:szCs w:val="24"/>
        </w:rPr>
        <w:t>ido el término legal, se decretó</w:t>
      </w:r>
      <w:r w:rsidRPr="00616A54">
        <w:rPr>
          <w:rFonts w:ascii="Palatino Linotype" w:hAnsi="Palatino Linotype" w:cs="Arial"/>
          <w:sz w:val="24"/>
          <w:szCs w:val="24"/>
        </w:rPr>
        <w:t xml:space="preserve"> el cierre de instrucción en fecha </w:t>
      </w:r>
      <w:r w:rsidR="00E955CF" w:rsidRPr="00616A54">
        <w:rPr>
          <w:rFonts w:ascii="Palatino Linotype" w:hAnsi="Palatino Linotype" w:cs="Arial"/>
          <w:sz w:val="24"/>
          <w:szCs w:val="24"/>
        </w:rPr>
        <w:t>quince de julio</w:t>
      </w:r>
      <w:r w:rsidR="00923613" w:rsidRPr="00616A54">
        <w:rPr>
          <w:rFonts w:ascii="Palatino Linotype" w:hAnsi="Palatino Linotype" w:cs="Arial"/>
          <w:sz w:val="24"/>
          <w:szCs w:val="24"/>
        </w:rPr>
        <w:t xml:space="preserve"> </w:t>
      </w:r>
      <w:r w:rsidR="0037641A" w:rsidRPr="00616A54">
        <w:rPr>
          <w:rFonts w:ascii="Palatino Linotype" w:hAnsi="Palatino Linotype" w:cs="Arial"/>
          <w:sz w:val="24"/>
          <w:szCs w:val="24"/>
        </w:rPr>
        <w:t>de</w:t>
      </w:r>
      <w:r w:rsidR="00923613" w:rsidRPr="00616A54">
        <w:rPr>
          <w:rFonts w:ascii="Palatino Linotype" w:hAnsi="Palatino Linotype" w:cs="Arial"/>
          <w:sz w:val="24"/>
          <w:szCs w:val="24"/>
        </w:rPr>
        <w:t>l año en curso</w:t>
      </w:r>
      <w:r w:rsidRPr="00616A54">
        <w:rPr>
          <w:rFonts w:ascii="Palatino Linotype" w:hAnsi="Palatino Linotype" w:cs="Arial"/>
          <w:sz w:val="24"/>
          <w:szCs w:val="24"/>
        </w:rPr>
        <w:t>, en términos del artículo 185</w:t>
      </w:r>
      <w:r w:rsidR="00027ADB" w:rsidRPr="00616A54">
        <w:rPr>
          <w:rFonts w:ascii="Palatino Linotype" w:hAnsi="Palatino Linotype" w:cs="Arial"/>
          <w:sz w:val="24"/>
          <w:szCs w:val="24"/>
        </w:rPr>
        <w:t>,</w:t>
      </w:r>
      <w:r w:rsidRPr="00616A54">
        <w:rPr>
          <w:rFonts w:ascii="Palatino Linotype" w:hAnsi="Palatino Linotype" w:cs="Arial"/>
          <w:sz w:val="24"/>
          <w:szCs w:val="24"/>
        </w:rPr>
        <w:t xml:space="preserve"> Fracción VI</w:t>
      </w:r>
      <w:r w:rsidR="00027ADB" w:rsidRPr="00616A54">
        <w:rPr>
          <w:rFonts w:ascii="Palatino Linotype" w:hAnsi="Palatino Linotype" w:cs="Arial"/>
          <w:sz w:val="24"/>
          <w:szCs w:val="24"/>
        </w:rPr>
        <w:t>,</w:t>
      </w:r>
      <w:r w:rsidRPr="00616A54">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616A54">
        <w:rPr>
          <w:rFonts w:ascii="Palatino Linotype" w:hAnsi="Palatino Linotype" w:cs="Arial"/>
          <w:sz w:val="24"/>
          <w:szCs w:val="24"/>
        </w:rPr>
        <w:t>solución definitiva del asunto.</w:t>
      </w:r>
    </w:p>
    <w:p w14:paraId="2251017C" w14:textId="77777777" w:rsidR="00E955CF" w:rsidRPr="00616A54" w:rsidRDefault="00E955CF" w:rsidP="00AD2A55">
      <w:pPr>
        <w:spacing w:after="0" w:line="360" w:lineRule="auto"/>
        <w:jc w:val="both"/>
        <w:rPr>
          <w:rFonts w:ascii="Palatino Linotype" w:hAnsi="Palatino Linotype" w:cs="Arial"/>
          <w:sz w:val="24"/>
          <w:szCs w:val="24"/>
        </w:rPr>
      </w:pPr>
    </w:p>
    <w:p w14:paraId="1BFA2F86" w14:textId="0E6A193F" w:rsidR="00E955CF" w:rsidRPr="00616A54" w:rsidRDefault="00E955CF" w:rsidP="00E955CF">
      <w:pPr>
        <w:pStyle w:val="Sinespaciado"/>
        <w:spacing w:line="360" w:lineRule="auto"/>
        <w:rPr>
          <w:rFonts w:ascii="Palatino Linotype" w:hAnsi="Palatino Linotype"/>
          <w:b/>
          <w:sz w:val="28"/>
          <w:szCs w:val="26"/>
        </w:rPr>
      </w:pPr>
      <w:r w:rsidRPr="00616A54">
        <w:rPr>
          <w:rFonts w:ascii="Palatino Linotype" w:hAnsi="Palatino Linotype"/>
          <w:b/>
          <w:sz w:val="28"/>
          <w:szCs w:val="26"/>
        </w:rPr>
        <w:t>SÉPTIMO. De la ampliación del término para resolver.</w:t>
      </w:r>
    </w:p>
    <w:p w14:paraId="67FDD768" w14:textId="2F469645" w:rsidR="00E955CF" w:rsidRPr="00616A54" w:rsidRDefault="00E955CF" w:rsidP="00E955CF">
      <w:pPr>
        <w:pStyle w:val="Sinespaciado"/>
        <w:spacing w:line="360" w:lineRule="auto"/>
        <w:jc w:val="both"/>
        <w:rPr>
          <w:rFonts w:ascii="Palatino Linotype" w:hAnsi="Palatino Linotype"/>
        </w:rPr>
      </w:pPr>
      <w:r w:rsidRPr="00616A54">
        <w:rPr>
          <w:rFonts w:ascii="Palatino Linotype" w:hAnsi="Palatino Linotype"/>
        </w:rPr>
        <w:t>En fecha nueve de julio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54D37CC5" w14:textId="77777777" w:rsidR="00774EBB" w:rsidRPr="00616A54" w:rsidRDefault="00774EBB" w:rsidP="00AD2A55">
      <w:pPr>
        <w:spacing w:after="0" w:line="360" w:lineRule="auto"/>
        <w:jc w:val="both"/>
        <w:rPr>
          <w:rFonts w:ascii="Palatino Linotype" w:hAnsi="Palatino Linotype" w:cs="Arial"/>
          <w:sz w:val="24"/>
          <w:szCs w:val="24"/>
        </w:rPr>
      </w:pPr>
    </w:p>
    <w:p w14:paraId="6AE9A437" w14:textId="77777777" w:rsidR="00BF3214" w:rsidRPr="00616A54" w:rsidRDefault="00BF3214" w:rsidP="00AD2A55">
      <w:pPr>
        <w:spacing w:after="0" w:line="360" w:lineRule="auto"/>
        <w:jc w:val="center"/>
        <w:rPr>
          <w:rFonts w:ascii="Palatino Linotype" w:hAnsi="Palatino Linotype" w:cs="Arial"/>
          <w:b/>
          <w:sz w:val="28"/>
          <w:szCs w:val="24"/>
        </w:rPr>
      </w:pPr>
      <w:r w:rsidRPr="00616A54">
        <w:rPr>
          <w:rFonts w:ascii="Palatino Linotype" w:hAnsi="Palatino Linotype" w:cs="Arial"/>
          <w:b/>
          <w:sz w:val="28"/>
          <w:szCs w:val="24"/>
        </w:rPr>
        <w:t xml:space="preserve">C O N S I D E R A N D O </w:t>
      </w:r>
    </w:p>
    <w:p w14:paraId="204DC932" w14:textId="77777777" w:rsidR="00983EFD" w:rsidRPr="00616A54" w:rsidRDefault="00983EFD" w:rsidP="00AD2A55">
      <w:pPr>
        <w:spacing w:after="0" w:line="360" w:lineRule="auto"/>
        <w:jc w:val="center"/>
        <w:rPr>
          <w:rFonts w:ascii="Palatino Linotype" w:hAnsi="Palatino Linotype" w:cs="Arial"/>
          <w:b/>
          <w:sz w:val="14"/>
          <w:szCs w:val="24"/>
        </w:rPr>
      </w:pPr>
    </w:p>
    <w:p w14:paraId="632C3657" w14:textId="77777777" w:rsidR="00EE326A" w:rsidRPr="00616A54" w:rsidRDefault="00BF3214" w:rsidP="00AD2A55">
      <w:pPr>
        <w:spacing w:after="0" w:line="360" w:lineRule="auto"/>
        <w:jc w:val="both"/>
        <w:rPr>
          <w:rFonts w:ascii="Palatino Linotype" w:hAnsi="Palatino Linotype" w:cs="Arial"/>
          <w:sz w:val="28"/>
          <w:szCs w:val="24"/>
        </w:rPr>
      </w:pPr>
      <w:r w:rsidRPr="00616A54">
        <w:rPr>
          <w:rFonts w:ascii="Palatino Linotype" w:hAnsi="Palatino Linotype" w:cs="Arial"/>
          <w:b/>
          <w:sz w:val="28"/>
          <w:szCs w:val="24"/>
        </w:rPr>
        <w:t xml:space="preserve">PRIMERO. </w:t>
      </w:r>
      <w:r w:rsidR="00EE326A" w:rsidRPr="00616A54">
        <w:rPr>
          <w:rFonts w:ascii="Palatino Linotype" w:hAnsi="Palatino Linotype" w:cs="Arial"/>
          <w:b/>
          <w:sz w:val="28"/>
          <w:szCs w:val="24"/>
        </w:rPr>
        <w:t>De la c</w:t>
      </w:r>
      <w:r w:rsidRPr="00616A54">
        <w:rPr>
          <w:rFonts w:ascii="Palatino Linotype" w:hAnsi="Palatino Linotype" w:cs="Arial"/>
          <w:b/>
          <w:sz w:val="28"/>
          <w:szCs w:val="24"/>
        </w:rPr>
        <w:t>ompetencia</w:t>
      </w:r>
      <w:r w:rsidRPr="00616A54">
        <w:rPr>
          <w:rFonts w:ascii="Palatino Linotype" w:hAnsi="Palatino Linotype" w:cs="Arial"/>
          <w:sz w:val="28"/>
          <w:szCs w:val="24"/>
        </w:rPr>
        <w:t>.</w:t>
      </w:r>
    </w:p>
    <w:p w14:paraId="452D164B" w14:textId="49893FFA" w:rsidR="00923613" w:rsidRPr="00616A54" w:rsidRDefault="00923613" w:rsidP="00923613">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616A54" w:rsidRDefault="00923613" w:rsidP="00923613">
      <w:pPr>
        <w:spacing w:after="0" w:line="360" w:lineRule="auto"/>
        <w:jc w:val="both"/>
        <w:rPr>
          <w:rFonts w:ascii="Palatino Linotype" w:hAnsi="Palatino Linotype" w:cs="Arial"/>
          <w:sz w:val="24"/>
          <w:szCs w:val="24"/>
        </w:rPr>
      </w:pPr>
    </w:p>
    <w:p w14:paraId="3FA1EF44" w14:textId="78FDD35E" w:rsidR="00EE0E9E" w:rsidRPr="00616A54" w:rsidRDefault="00923613" w:rsidP="00923613">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A2B868" w14:textId="77777777" w:rsidR="00923613" w:rsidRPr="00616A54" w:rsidRDefault="00923613" w:rsidP="00923613">
      <w:pPr>
        <w:spacing w:after="0" w:line="360" w:lineRule="auto"/>
        <w:jc w:val="both"/>
        <w:rPr>
          <w:rFonts w:ascii="Palatino Linotype" w:hAnsi="Palatino Linotype" w:cs="Arial"/>
          <w:sz w:val="24"/>
          <w:szCs w:val="24"/>
        </w:rPr>
      </w:pPr>
    </w:p>
    <w:p w14:paraId="7CB52BFD" w14:textId="484F8512" w:rsidR="00EE326A" w:rsidRPr="00616A54" w:rsidRDefault="00BF3214" w:rsidP="00AD2A55">
      <w:pPr>
        <w:autoSpaceDE w:val="0"/>
        <w:autoSpaceDN w:val="0"/>
        <w:adjustRightInd w:val="0"/>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t xml:space="preserve">SEGUNDO. </w:t>
      </w:r>
      <w:r w:rsidR="00EE326A" w:rsidRPr="00616A54">
        <w:rPr>
          <w:rFonts w:ascii="Palatino Linotype" w:hAnsi="Palatino Linotype" w:cs="Arial"/>
          <w:b/>
          <w:sz w:val="28"/>
          <w:szCs w:val="24"/>
        </w:rPr>
        <w:t>De los a</w:t>
      </w:r>
      <w:r w:rsidR="00A17DC4" w:rsidRPr="00616A54">
        <w:rPr>
          <w:rFonts w:ascii="Palatino Linotype" w:hAnsi="Palatino Linotype" w:cs="Arial"/>
          <w:b/>
          <w:sz w:val="28"/>
          <w:szCs w:val="24"/>
        </w:rPr>
        <w:t xml:space="preserve">lcances del Recurso de Revisión. </w:t>
      </w:r>
    </w:p>
    <w:p w14:paraId="720A0BA4" w14:textId="41FFA4DE" w:rsidR="007666D6" w:rsidRPr="00616A54" w:rsidRDefault="00A17DC4" w:rsidP="00E955CF">
      <w:pPr>
        <w:autoSpaceDE w:val="0"/>
        <w:autoSpaceDN w:val="0"/>
        <w:adjustRightInd w:val="0"/>
        <w:spacing w:after="0" w:line="360" w:lineRule="auto"/>
        <w:jc w:val="both"/>
        <w:rPr>
          <w:rFonts w:ascii="Palatino Linotype" w:hAnsi="Palatino Linotype" w:cs="Arial"/>
          <w:sz w:val="24"/>
          <w:szCs w:val="24"/>
        </w:rPr>
      </w:pPr>
      <w:r w:rsidRPr="00616A54">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7649D49" w14:textId="77777777" w:rsidR="00E955CF" w:rsidRPr="00616A54" w:rsidRDefault="00E955CF" w:rsidP="00E955CF">
      <w:pPr>
        <w:autoSpaceDE w:val="0"/>
        <w:autoSpaceDN w:val="0"/>
        <w:adjustRightInd w:val="0"/>
        <w:spacing w:after="0" w:line="360" w:lineRule="auto"/>
        <w:jc w:val="both"/>
        <w:rPr>
          <w:rFonts w:ascii="Palatino Linotype" w:hAnsi="Palatino Linotype" w:cs="Arial"/>
          <w:sz w:val="24"/>
          <w:szCs w:val="24"/>
        </w:rPr>
      </w:pPr>
    </w:p>
    <w:p w14:paraId="6E6D7D83" w14:textId="2FB8B97D" w:rsidR="00EE326A" w:rsidRPr="00616A54" w:rsidRDefault="00F422BB" w:rsidP="00AD2A55">
      <w:pPr>
        <w:autoSpaceDE w:val="0"/>
        <w:autoSpaceDN w:val="0"/>
        <w:adjustRightInd w:val="0"/>
        <w:spacing w:after="0" w:line="360" w:lineRule="auto"/>
        <w:jc w:val="both"/>
        <w:rPr>
          <w:rFonts w:ascii="Palatino Linotype" w:hAnsi="Palatino Linotype" w:cs="Arial"/>
          <w:b/>
          <w:sz w:val="28"/>
          <w:szCs w:val="24"/>
        </w:rPr>
      </w:pPr>
      <w:r w:rsidRPr="00616A54">
        <w:rPr>
          <w:rFonts w:ascii="Palatino Linotype" w:hAnsi="Palatino Linotype" w:cs="Arial"/>
          <w:b/>
          <w:sz w:val="28"/>
          <w:szCs w:val="24"/>
        </w:rPr>
        <w:t>TERCER</w:t>
      </w:r>
      <w:r w:rsidR="00A17DC4" w:rsidRPr="00616A54">
        <w:rPr>
          <w:rFonts w:ascii="Palatino Linotype" w:hAnsi="Palatino Linotype" w:cs="Arial"/>
          <w:b/>
          <w:sz w:val="28"/>
          <w:szCs w:val="24"/>
        </w:rPr>
        <w:t xml:space="preserve">O. </w:t>
      </w:r>
      <w:r w:rsidR="00EE326A" w:rsidRPr="00616A54">
        <w:rPr>
          <w:rFonts w:ascii="Palatino Linotype" w:hAnsi="Palatino Linotype" w:cs="Arial"/>
          <w:b/>
          <w:sz w:val="28"/>
          <w:szCs w:val="24"/>
        </w:rPr>
        <w:t>Del e</w:t>
      </w:r>
      <w:r w:rsidR="003E076B" w:rsidRPr="00616A54">
        <w:rPr>
          <w:rFonts w:ascii="Palatino Linotype" w:hAnsi="Palatino Linotype" w:cs="Arial"/>
          <w:b/>
          <w:sz w:val="28"/>
          <w:szCs w:val="24"/>
        </w:rPr>
        <w:t xml:space="preserve">studio de las causas de improcedencia. </w:t>
      </w:r>
    </w:p>
    <w:p w14:paraId="7974FB0E" w14:textId="77777777" w:rsidR="003F6292" w:rsidRPr="00616A54" w:rsidRDefault="003F6292" w:rsidP="00AD2A55">
      <w:pPr>
        <w:autoSpaceDE w:val="0"/>
        <w:autoSpaceDN w:val="0"/>
        <w:adjustRightInd w:val="0"/>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616A54">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616A54"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616A54" w:rsidRDefault="003F6292" w:rsidP="00AD2A55">
      <w:pPr>
        <w:spacing w:after="0" w:line="240" w:lineRule="auto"/>
        <w:ind w:left="851" w:right="851"/>
        <w:jc w:val="both"/>
        <w:rPr>
          <w:rFonts w:ascii="Palatino Linotype" w:hAnsi="Palatino Linotype"/>
          <w:b/>
          <w:bCs/>
          <w:i/>
          <w:lang w:eastAsia="es-MX"/>
        </w:rPr>
      </w:pPr>
      <w:r w:rsidRPr="00616A5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616A54"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616A54">
        <w:rPr>
          <w:rFonts w:ascii="Palatino Linotype" w:hAnsi="Palatino Linotype"/>
          <w:i/>
          <w:sz w:val="22"/>
          <w:szCs w:val="22"/>
        </w:rPr>
        <w:t>Del examen de compatibilidad de los artículos</w:t>
      </w:r>
      <w:r w:rsidRPr="00616A54">
        <w:rPr>
          <w:rStyle w:val="apple-converted-space"/>
          <w:rFonts w:ascii="Palatino Linotype" w:hAnsi="Palatino Linotype"/>
          <w:i/>
          <w:sz w:val="22"/>
          <w:szCs w:val="22"/>
        </w:rPr>
        <w:t> </w:t>
      </w:r>
      <w:hyperlink r:id="rId9" w:history="1">
        <w:r w:rsidRPr="00616A54">
          <w:rPr>
            <w:rStyle w:val="Hipervnculo"/>
            <w:rFonts w:ascii="Palatino Linotype" w:eastAsia="Calibri" w:hAnsi="Palatino Linotype"/>
            <w:i/>
            <w:sz w:val="22"/>
            <w:szCs w:val="22"/>
          </w:rPr>
          <w:t>73 y 74 de la Ley de Amparo</w:t>
        </w:r>
      </w:hyperlink>
      <w:r w:rsidRPr="00616A54">
        <w:rPr>
          <w:rStyle w:val="apple-converted-space"/>
          <w:rFonts w:ascii="Palatino Linotype" w:hAnsi="Palatino Linotype"/>
          <w:i/>
          <w:sz w:val="22"/>
          <w:szCs w:val="22"/>
        </w:rPr>
        <w:t> </w:t>
      </w:r>
      <w:r w:rsidRPr="00616A54">
        <w:rPr>
          <w:rFonts w:ascii="Palatino Linotype" w:hAnsi="Palatino Linotype"/>
          <w:i/>
          <w:sz w:val="22"/>
          <w:szCs w:val="22"/>
        </w:rPr>
        <w:t>con el artículo</w:t>
      </w:r>
      <w:r w:rsidRPr="00616A54">
        <w:rPr>
          <w:rStyle w:val="apple-converted-space"/>
          <w:rFonts w:ascii="Palatino Linotype" w:hAnsi="Palatino Linotype"/>
          <w:i/>
          <w:sz w:val="22"/>
          <w:szCs w:val="22"/>
        </w:rPr>
        <w:t> </w:t>
      </w:r>
      <w:hyperlink r:id="rId10" w:history="1">
        <w:r w:rsidRPr="00616A54">
          <w:rPr>
            <w:rStyle w:val="Hipervnculo"/>
            <w:rFonts w:ascii="Palatino Linotype" w:eastAsia="Calibri" w:hAnsi="Palatino Linotype"/>
            <w:i/>
            <w:sz w:val="22"/>
            <w:szCs w:val="22"/>
          </w:rPr>
          <w:t>25.1 de la Convención Americana sobre Derechos Humanos</w:t>
        </w:r>
      </w:hyperlink>
      <w:r w:rsidRPr="00616A54">
        <w:rPr>
          <w:rStyle w:val="apple-converted-space"/>
          <w:rFonts w:ascii="Palatino Linotype" w:hAnsi="Palatino Linotype"/>
          <w:i/>
          <w:sz w:val="22"/>
          <w:szCs w:val="22"/>
        </w:rPr>
        <w:t> </w:t>
      </w:r>
      <w:r w:rsidRPr="00616A5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6A5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6A54">
        <w:rPr>
          <w:rFonts w:ascii="Palatino Linotype" w:hAnsi="Palatino Linotype"/>
          <w:i/>
          <w:sz w:val="22"/>
          <w:szCs w:val="22"/>
        </w:rPr>
        <w:t>concesoria</w:t>
      </w:r>
      <w:proofErr w:type="spellEnd"/>
      <w:r w:rsidRPr="00616A5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616A54"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616A54" w:rsidRDefault="003F6292" w:rsidP="006022C6">
      <w:pPr>
        <w:autoSpaceDE w:val="0"/>
        <w:autoSpaceDN w:val="0"/>
        <w:adjustRightInd w:val="0"/>
        <w:spacing w:after="0" w:line="360" w:lineRule="auto"/>
        <w:jc w:val="both"/>
        <w:rPr>
          <w:rFonts w:ascii="Palatino Linotype" w:hAnsi="Palatino Linotype" w:cs="Arial"/>
          <w:sz w:val="24"/>
          <w:szCs w:val="24"/>
        </w:rPr>
      </w:pPr>
      <w:r w:rsidRPr="00616A54">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616A54" w:rsidRDefault="00854A42" w:rsidP="00854A42">
      <w:pPr>
        <w:pStyle w:val="Sinespaciado"/>
      </w:pPr>
    </w:p>
    <w:p w14:paraId="07FDDE45" w14:textId="77777777"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w:t>
      </w:r>
      <w:r w:rsidRPr="00616A54">
        <w:rPr>
          <w:rFonts w:ascii="Palatino Linotype" w:hAnsi="Palatino Linotype" w:cs="Arial"/>
          <w:b/>
          <w:i/>
          <w:sz w:val="22"/>
          <w:szCs w:val="22"/>
        </w:rPr>
        <w:t>Artículo 191.</w:t>
      </w:r>
      <w:r w:rsidRPr="00616A54">
        <w:rPr>
          <w:rFonts w:ascii="Palatino Linotype" w:hAnsi="Palatino Linotype" w:cs="Arial"/>
          <w:i/>
          <w:sz w:val="22"/>
          <w:szCs w:val="22"/>
        </w:rPr>
        <w:t xml:space="preserve"> El recurso será desechado por improcedente cuando:  </w:t>
      </w:r>
    </w:p>
    <w:p w14:paraId="3144C1A1" w14:textId="77777777"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 xml:space="preserve">III. No actualice alguno de los supuestos previstos en la presente Ley;  </w:t>
      </w:r>
    </w:p>
    <w:p w14:paraId="6CF9B48B" w14:textId="794E8808"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IV. No se haya desahogado la prevención en los términos es</w:t>
      </w:r>
      <w:r w:rsidR="00D8612D" w:rsidRPr="00616A54">
        <w:rPr>
          <w:rFonts w:ascii="Palatino Linotype" w:hAnsi="Palatino Linotype" w:cs="Arial"/>
          <w:i/>
          <w:sz w:val="22"/>
          <w:szCs w:val="22"/>
        </w:rPr>
        <w:t>tablecidos en la presente Ley;</w:t>
      </w:r>
    </w:p>
    <w:p w14:paraId="42902D4F" w14:textId="77777777"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 xml:space="preserve">V. Se impugne la veracidad de la información proporcionada;  </w:t>
      </w:r>
    </w:p>
    <w:p w14:paraId="3027106F" w14:textId="77777777"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 xml:space="preserve">VI. Se trate de una consulta, o trámite en específico; y  </w:t>
      </w:r>
    </w:p>
    <w:p w14:paraId="65AE38E8" w14:textId="77777777" w:rsidR="003F6292" w:rsidRPr="00616A54" w:rsidRDefault="003F6292" w:rsidP="00AD2A55">
      <w:pPr>
        <w:pStyle w:val="Prrafodelista"/>
        <w:autoSpaceDE w:val="0"/>
        <w:autoSpaceDN w:val="0"/>
        <w:adjustRightInd w:val="0"/>
        <w:ind w:right="850"/>
        <w:jc w:val="both"/>
        <w:rPr>
          <w:rFonts w:ascii="Palatino Linotype" w:hAnsi="Palatino Linotype" w:cs="Arial"/>
          <w:i/>
          <w:sz w:val="22"/>
          <w:szCs w:val="22"/>
        </w:rPr>
      </w:pPr>
      <w:r w:rsidRPr="00616A54">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616A54"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616A54" w:rsidRDefault="006D5AA8" w:rsidP="00AD2A55">
      <w:pPr>
        <w:autoSpaceDE w:val="0"/>
        <w:autoSpaceDN w:val="0"/>
        <w:adjustRightInd w:val="0"/>
        <w:spacing w:after="0" w:line="360" w:lineRule="auto"/>
        <w:jc w:val="both"/>
        <w:rPr>
          <w:rFonts w:ascii="Palatino Linotype" w:hAnsi="Palatino Linotype" w:cs="Arial"/>
          <w:sz w:val="24"/>
          <w:szCs w:val="24"/>
        </w:rPr>
      </w:pPr>
      <w:r w:rsidRPr="00616A5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616A5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616A54">
        <w:rPr>
          <w:rFonts w:ascii="Palatino Linotype" w:hAnsi="Palatino Linotype" w:cs="Arial"/>
        </w:rPr>
        <w:t xml:space="preserve">Así las cosas, al no existir causas de improcedencia invocadas por las partes ni advertidas de oficio por este Resolutor, se </w:t>
      </w:r>
      <w:proofErr w:type="gramStart"/>
      <w:r w:rsidRPr="00616A54">
        <w:rPr>
          <w:rFonts w:ascii="Palatino Linotype" w:hAnsi="Palatino Linotype" w:cs="Arial"/>
        </w:rPr>
        <w:t>procede</w:t>
      </w:r>
      <w:proofErr w:type="gramEnd"/>
      <w:r w:rsidRPr="00616A54">
        <w:rPr>
          <w:rFonts w:ascii="Palatino Linotype" w:hAnsi="Palatino Linotype" w:cs="Arial"/>
        </w:rPr>
        <w:t xml:space="preserve"> al análisis del fondo de los asuntos en los siguientes términos.</w:t>
      </w:r>
    </w:p>
    <w:p w14:paraId="00A4CD37" w14:textId="77777777" w:rsidR="00552085" w:rsidRPr="00616A54" w:rsidRDefault="00552085"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616A54"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616A54">
        <w:rPr>
          <w:rFonts w:ascii="Palatino Linotype" w:hAnsi="Palatino Linotype" w:cs="Arial"/>
          <w:b/>
          <w:sz w:val="28"/>
        </w:rPr>
        <w:t>CUAR</w:t>
      </w:r>
      <w:r w:rsidR="00BF3214" w:rsidRPr="00616A54">
        <w:rPr>
          <w:rFonts w:ascii="Palatino Linotype" w:hAnsi="Palatino Linotype" w:cs="Arial"/>
          <w:b/>
          <w:sz w:val="28"/>
        </w:rPr>
        <w:t xml:space="preserve">TO. </w:t>
      </w:r>
      <w:r w:rsidR="006571D2" w:rsidRPr="00616A54">
        <w:rPr>
          <w:rFonts w:ascii="Palatino Linotype" w:hAnsi="Palatino Linotype" w:cs="Arial"/>
          <w:b/>
          <w:sz w:val="28"/>
        </w:rPr>
        <w:t>Del e</w:t>
      </w:r>
      <w:r w:rsidR="00BF3214" w:rsidRPr="00616A54">
        <w:rPr>
          <w:rFonts w:ascii="Palatino Linotype" w:hAnsi="Palatino Linotype" w:cs="Arial"/>
          <w:b/>
          <w:sz w:val="28"/>
        </w:rPr>
        <w:t xml:space="preserve">studio </w:t>
      </w:r>
      <w:r w:rsidR="008958C8" w:rsidRPr="00616A54">
        <w:rPr>
          <w:rFonts w:ascii="Palatino Linotype" w:hAnsi="Palatino Linotype" w:cs="Arial"/>
          <w:b/>
          <w:sz w:val="28"/>
        </w:rPr>
        <w:t>y resolución del asunto</w:t>
      </w:r>
      <w:r w:rsidR="00BF3214" w:rsidRPr="00616A54">
        <w:rPr>
          <w:rFonts w:ascii="Palatino Linotype" w:hAnsi="Palatino Linotype" w:cs="Arial"/>
          <w:b/>
          <w:sz w:val="28"/>
        </w:rPr>
        <w:t>.</w:t>
      </w:r>
      <w:r w:rsidR="00BF3214" w:rsidRPr="00616A54">
        <w:rPr>
          <w:rFonts w:ascii="Palatino Linotype" w:hAnsi="Palatino Linotype" w:cs="Arial"/>
          <w:sz w:val="28"/>
        </w:rPr>
        <w:t xml:space="preserve"> </w:t>
      </w:r>
    </w:p>
    <w:p w14:paraId="12DC0934" w14:textId="272F9141" w:rsidR="00201EF1" w:rsidRPr="00616A54" w:rsidRDefault="00BF3214" w:rsidP="00AD2A55">
      <w:pPr>
        <w:autoSpaceDE w:val="0"/>
        <w:autoSpaceDN w:val="0"/>
        <w:adjustRightInd w:val="0"/>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616A54">
        <w:rPr>
          <w:rFonts w:ascii="Palatino Linotype" w:hAnsi="Palatino Linotype" w:cs="Arial"/>
          <w:sz w:val="24"/>
          <w:szCs w:val="24"/>
        </w:rPr>
        <w:lastRenderedPageBreak/>
        <w:t>internacionales en los que el Estado Mexicano sea parte, en concordancia con el artículo 8</w:t>
      </w:r>
      <w:r w:rsidR="00027ADB" w:rsidRPr="00616A54">
        <w:rPr>
          <w:rFonts w:ascii="Palatino Linotype" w:hAnsi="Palatino Linotype" w:cs="Arial"/>
          <w:sz w:val="24"/>
          <w:szCs w:val="24"/>
        </w:rPr>
        <w:t>,</w:t>
      </w:r>
      <w:r w:rsidRPr="00616A54">
        <w:rPr>
          <w:rFonts w:ascii="Palatino Linotype" w:hAnsi="Palatino Linotype" w:cs="Arial"/>
          <w:sz w:val="24"/>
          <w:szCs w:val="24"/>
        </w:rPr>
        <w:t xml:space="preserve"> de la Ley de Transparencia local.</w:t>
      </w:r>
    </w:p>
    <w:p w14:paraId="66E41F96" w14:textId="77777777" w:rsidR="00F422BB" w:rsidRPr="00616A54" w:rsidRDefault="00F422BB" w:rsidP="00AD2A55">
      <w:pPr>
        <w:autoSpaceDE w:val="0"/>
        <w:autoSpaceDN w:val="0"/>
        <w:adjustRightInd w:val="0"/>
        <w:spacing w:after="0" w:line="360" w:lineRule="auto"/>
        <w:jc w:val="both"/>
        <w:rPr>
          <w:rFonts w:ascii="Palatino Linotype" w:hAnsi="Palatino Linotype" w:cs="Arial"/>
          <w:sz w:val="24"/>
          <w:szCs w:val="24"/>
        </w:rPr>
      </w:pPr>
    </w:p>
    <w:p w14:paraId="712D908C" w14:textId="39F2BBAF" w:rsidR="00EE0E9E" w:rsidRPr="00616A54" w:rsidRDefault="00130EAD" w:rsidP="00AD2A55">
      <w:pPr>
        <w:spacing w:after="0" w:line="360" w:lineRule="auto"/>
        <w:ind w:right="141"/>
        <w:jc w:val="both"/>
        <w:rPr>
          <w:rFonts w:ascii="Palatino Linotype" w:hAnsi="Palatino Linotype"/>
          <w:sz w:val="24"/>
          <w:szCs w:val="24"/>
          <w:lang w:eastAsia="es-MX"/>
        </w:rPr>
      </w:pPr>
      <w:r w:rsidRPr="00616A54">
        <w:rPr>
          <w:rFonts w:ascii="Palatino Linotype" w:hAnsi="Palatino Linotype"/>
          <w:sz w:val="24"/>
          <w:szCs w:val="24"/>
          <w:lang w:eastAsia="es-MX"/>
        </w:rPr>
        <w:t>En este sentido nuestro estudio versará en determinar si la información remitida mediante</w:t>
      </w:r>
      <w:r w:rsidR="00C46D78" w:rsidRPr="00616A54">
        <w:rPr>
          <w:rFonts w:ascii="Palatino Linotype" w:hAnsi="Palatino Linotype"/>
          <w:sz w:val="24"/>
          <w:szCs w:val="24"/>
          <w:lang w:eastAsia="es-MX"/>
        </w:rPr>
        <w:t xml:space="preserve"> respuesta</w:t>
      </w:r>
      <w:r w:rsidRPr="00616A54">
        <w:rPr>
          <w:rFonts w:ascii="Palatino Linotype" w:hAnsi="Palatino Linotype"/>
          <w:sz w:val="24"/>
          <w:szCs w:val="24"/>
          <w:lang w:eastAsia="es-MX"/>
        </w:rPr>
        <w:t xml:space="preserve">, colma el derecho de acceso a la información solicitado por </w:t>
      </w:r>
      <w:r w:rsidR="00F97F4C" w:rsidRPr="00616A54">
        <w:rPr>
          <w:rFonts w:ascii="Palatino Linotype" w:hAnsi="Palatino Linotype"/>
          <w:sz w:val="24"/>
          <w:szCs w:val="24"/>
          <w:lang w:eastAsia="es-MX"/>
        </w:rPr>
        <w:t>la</w:t>
      </w:r>
      <w:r w:rsidR="00F97F4C" w:rsidRPr="00616A54">
        <w:rPr>
          <w:rFonts w:ascii="Palatino Linotype" w:hAnsi="Palatino Linotype"/>
          <w:b/>
          <w:sz w:val="24"/>
          <w:szCs w:val="24"/>
          <w:lang w:eastAsia="es-MX"/>
        </w:rPr>
        <w:t xml:space="preserve"> </w:t>
      </w:r>
      <w:r w:rsidR="00F97F4C" w:rsidRPr="00616A54">
        <w:rPr>
          <w:rFonts w:ascii="Palatino Linotype" w:hAnsi="Palatino Linotype"/>
          <w:sz w:val="24"/>
          <w:szCs w:val="24"/>
          <w:lang w:eastAsia="es-MX"/>
        </w:rPr>
        <w:t>parte</w:t>
      </w:r>
      <w:r w:rsidR="00552085" w:rsidRPr="00616A54">
        <w:rPr>
          <w:rFonts w:ascii="Palatino Linotype" w:hAnsi="Palatino Linotype"/>
          <w:b/>
          <w:sz w:val="24"/>
          <w:szCs w:val="24"/>
          <w:lang w:eastAsia="es-MX"/>
        </w:rPr>
        <w:t xml:space="preserve"> </w:t>
      </w:r>
      <w:r w:rsidRPr="00616A54">
        <w:rPr>
          <w:rFonts w:ascii="Palatino Linotype" w:hAnsi="Palatino Linotype"/>
          <w:b/>
          <w:sz w:val="24"/>
          <w:szCs w:val="24"/>
          <w:lang w:eastAsia="es-MX"/>
        </w:rPr>
        <w:t>Recurrente</w:t>
      </w:r>
      <w:r w:rsidRPr="00616A54">
        <w:rPr>
          <w:rFonts w:ascii="Palatino Linotype" w:hAnsi="Palatino Linotype"/>
          <w:sz w:val="24"/>
          <w:szCs w:val="24"/>
          <w:lang w:eastAsia="es-MX"/>
        </w:rPr>
        <w:t xml:space="preserve">, para ello analizaremos </w:t>
      </w:r>
      <w:r w:rsidR="00DB0383" w:rsidRPr="00616A54">
        <w:rPr>
          <w:rFonts w:ascii="Palatino Linotype" w:hAnsi="Palatino Linotype"/>
          <w:sz w:val="24"/>
          <w:szCs w:val="24"/>
          <w:lang w:eastAsia="es-MX"/>
        </w:rPr>
        <w:t>lo</w:t>
      </w:r>
      <w:r w:rsidR="00105201" w:rsidRPr="00616A54">
        <w:rPr>
          <w:rFonts w:ascii="Palatino Linotype" w:hAnsi="Palatino Linotype"/>
          <w:sz w:val="24"/>
          <w:szCs w:val="24"/>
          <w:lang w:eastAsia="es-MX"/>
        </w:rPr>
        <w:t xml:space="preserve"> solicitado y </w:t>
      </w:r>
      <w:r w:rsidRPr="00616A54">
        <w:rPr>
          <w:rFonts w:ascii="Palatino Linotype" w:hAnsi="Palatino Linotype"/>
          <w:sz w:val="24"/>
          <w:szCs w:val="24"/>
          <w:lang w:eastAsia="es-MX"/>
        </w:rPr>
        <w:t>la información proporcionada.</w:t>
      </w:r>
    </w:p>
    <w:p w14:paraId="3016EAF6" w14:textId="77777777" w:rsidR="00E955CF" w:rsidRPr="00616A54" w:rsidRDefault="00E955CF" w:rsidP="00AD2A55">
      <w:pPr>
        <w:spacing w:after="0" w:line="360" w:lineRule="auto"/>
        <w:ind w:right="141"/>
        <w:jc w:val="both"/>
        <w:rPr>
          <w:rFonts w:ascii="Palatino Linotype" w:hAnsi="Palatino Linotype"/>
          <w:sz w:val="24"/>
          <w:szCs w:val="24"/>
          <w:lang w:eastAsia="es-MX"/>
        </w:rPr>
      </w:pPr>
    </w:p>
    <w:p w14:paraId="24B6CE29" w14:textId="288D11DB" w:rsidR="00B47428" w:rsidRPr="00616A54" w:rsidRDefault="00552085" w:rsidP="00B47428">
      <w:pPr>
        <w:spacing w:after="0" w:line="360" w:lineRule="auto"/>
        <w:ind w:right="141"/>
        <w:jc w:val="both"/>
        <w:rPr>
          <w:rFonts w:ascii="Palatino Linotype" w:hAnsi="Palatino Linotype"/>
          <w:b/>
          <w:sz w:val="24"/>
          <w:lang w:eastAsia="es-MX"/>
        </w:rPr>
      </w:pPr>
      <w:r w:rsidRPr="00616A54">
        <w:rPr>
          <w:rFonts w:ascii="Palatino Linotype" w:hAnsi="Palatino Linotype"/>
          <w:b/>
          <w:sz w:val="24"/>
          <w:lang w:eastAsia="es-MX"/>
        </w:rPr>
        <w:t>REQUERIMIENTO</w:t>
      </w:r>
      <w:r w:rsidR="007666D6" w:rsidRPr="00616A54">
        <w:rPr>
          <w:rFonts w:ascii="Palatino Linotype" w:hAnsi="Palatino Linotype"/>
          <w:b/>
          <w:sz w:val="24"/>
          <w:lang w:eastAsia="es-MX"/>
        </w:rPr>
        <w:t xml:space="preserve">. </w:t>
      </w:r>
    </w:p>
    <w:p w14:paraId="46F2BC99" w14:textId="764FE625" w:rsidR="00B47428" w:rsidRPr="00616A54" w:rsidRDefault="00B47428" w:rsidP="00B47428">
      <w:pPr>
        <w:spacing w:after="0" w:line="360" w:lineRule="auto"/>
        <w:ind w:right="141"/>
        <w:jc w:val="both"/>
        <w:rPr>
          <w:rFonts w:ascii="Palatino Linotype" w:hAnsi="Palatino Linotype"/>
          <w:sz w:val="24"/>
          <w:lang w:eastAsia="es-MX"/>
        </w:rPr>
      </w:pPr>
      <w:r w:rsidRPr="00616A54">
        <w:rPr>
          <w:rFonts w:ascii="Palatino Linotype" w:hAnsi="Palatino Linotype"/>
          <w:sz w:val="24"/>
          <w:lang w:eastAsia="es-MX"/>
        </w:rPr>
        <w:t xml:space="preserve">1. Los expedientes de adquisiciones por excepción a la Licitación Pública que se hayan realizado durante los ejercicios 2017, 2018, 2019 y 2020. </w:t>
      </w:r>
    </w:p>
    <w:p w14:paraId="76524D85" w14:textId="77777777" w:rsidR="00B47428" w:rsidRPr="00616A54" w:rsidRDefault="00B47428" w:rsidP="00B47428">
      <w:pPr>
        <w:spacing w:after="0" w:line="360" w:lineRule="auto"/>
        <w:ind w:right="141"/>
        <w:jc w:val="both"/>
        <w:rPr>
          <w:rFonts w:ascii="Palatino Linotype" w:hAnsi="Palatino Linotype"/>
          <w:sz w:val="24"/>
          <w:lang w:eastAsia="es-MX"/>
        </w:rPr>
      </w:pPr>
    </w:p>
    <w:p w14:paraId="61381D94" w14:textId="77777777" w:rsidR="00B47428" w:rsidRPr="00616A54" w:rsidRDefault="00B47428" w:rsidP="00B47428">
      <w:pPr>
        <w:spacing w:after="0" w:line="360" w:lineRule="auto"/>
        <w:ind w:right="141"/>
        <w:jc w:val="both"/>
        <w:rPr>
          <w:rFonts w:ascii="Palatino Linotype" w:hAnsi="Palatino Linotype"/>
          <w:sz w:val="24"/>
          <w:lang w:eastAsia="es-MX"/>
        </w:rPr>
      </w:pPr>
      <w:r w:rsidRPr="00616A54">
        <w:rPr>
          <w:rFonts w:ascii="Palatino Linotype" w:hAnsi="Palatino Linotype"/>
          <w:sz w:val="24"/>
          <w:lang w:eastAsia="es-MX"/>
        </w:rPr>
        <w:t xml:space="preserve">2. En versión pública los expedientes que fueron resueltos en materia de autorización de pensiones durante los ejercicios 2018, 2019 y 2020. </w:t>
      </w:r>
    </w:p>
    <w:p w14:paraId="1133E6E7" w14:textId="77777777" w:rsidR="00B47428" w:rsidRPr="00616A54" w:rsidRDefault="00B47428" w:rsidP="00B47428">
      <w:pPr>
        <w:spacing w:after="0" w:line="360" w:lineRule="auto"/>
        <w:ind w:right="141"/>
        <w:jc w:val="both"/>
        <w:rPr>
          <w:rFonts w:ascii="Palatino Linotype" w:hAnsi="Palatino Linotype"/>
          <w:sz w:val="24"/>
          <w:lang w:eastAsia="es-MX"/>
        </w:rPr>
      </w:pPr>
    </w:p>
    <w:p w14:paraId="066D7B55" w14:textId="40D39CD1" w:rsidR="007666D6" w:rsidRPr="00616A54" w:rsidRDefault="00B47428" w:rsidP="00B47428">
      <w:pPr>
        <w:spacing w:after="0" w:line="360" w:lineRule="auto"/>
        <w:ind w:right="141"/>
        <w:jc w:val="both"/>
        <w:rPr>
          <w:rFonts w:ascii="Palatino Linotype" w:hAnsi="Palatino Linotype"/>
          <w:lang w:eastAsia="es-MX"/>
        </w:rPr>
      </w:pPr>
      <w:r w:rsidRPr="00616A54">
        <w:rPr>
          <w:rFonts w:ascii="Palatino Linotype" w:hAnsi="Palatino Linotype"/>
          <w:sz w:val="24"/>
          <w:lang w:eastAsia="es-MX"/>
        </w:rPr>
        <w:t>3. Cuáles son las acciones de control y evaluación que se han realizado en materia de pensiones y cuáles han sido sus resultados y, en su caso, las sanciones</w:t>
      </w:r>
      <w:r w:rsidRPr="00616A54">
        <w:rPr>
          <w:rFonts w:ascii="Palatino Linotype" w:hAnsi="Palatino Linotype"/>
          <w:b/>
          <w:sz w:val="24"/>
          <w:lang w:eastAsia="es-MX"/>
        </w:rPr>
        <w:t xml:space="preserve"> </w:t>
      </w:r>
      <w:r w:rsidRPr="00616A54">
        <w:rPr>
          <w:rFonts w:ascii="Palatino Linotype" w:hAnsi="Palatino Linotype"/>
          <w:sz w:val="24"/>
          <w:lang w:eastAsia="es-MX"/>
        </w:rPr>
        <w:t>que se han impuesto, correspondientes a los ejercicios 2018, 2019 y 2020.</w:t>
      </w:r>
    </w:p>
    <w:p w14:paraId="709A1F1D" w14:textId="77777777" w:rsidR="00EA5381" w:rsidRPr="00616A54" w:rsidRDefault="00EA5381" w:rsidP="003B67BE">
      <w:pPr>
        <w:spacing w:after="0" w:line="360" w:lineRule="auto"/>
        <w:ind w:right="141"/>
        <w:jc w:val="both"/>
        <w:rPr>
          <w:rFonts w:ascii="Palatino Linotype" w:hAnsi="Palatino Linotype"/>
          <w:sz w:val="24"/>
          <w:szCs w:val="24"/>
          <w:lang w:eastAsia="es-MX"/>
        </w:rPr>
      </w:pPr>
    </w:p>
    <w:p w14:paraId="6DB36B5A" w14:textId="0E162302" w:rsidR="003B67BE" w:rsidRPr="00616A54" w:rsidRDefault="00055744" w:rsidP="007666D6">
      <w:pPr>
        <w:spacing w:after="0" w:line="360" w:lineRule="auto"/>
        <w:ind w:right="141"/>
        <w:jc w:val="both"/>
        <w:rPr>
          <w:rFonts w:ascii="Palatino Linotype" w:hAnsi="Palatino Linotype"/>
          <w:sz w:val="24"/>
          <w:szCs w:val="24"/>
          <w:lang w:eastAsia="es-MX"/>
        </w:rPr>
      </w:pPr>
      <w:r w:rsidRPr="00616A54">
        <w:rPr>
          <w:rFonts w:ascii="Palatino Linotype" w:hAnsi="Palatino Linotype"/>
          <w:sz w:val="24"/>
          <w:szCs w:val="24"/>
          <w:lang w:eastAsia="es-MX"/>
        </w:rPr>
        <w:t>Atento</w:t>
      </w:r>
      <w:r w:rsidR="000C0F46" w:rsidRPr="00616A54">
        <w:rPr>
          <w:rFonts w:ascii="Palatino Linotype" w:hAnsi="Palatino Linotype"/>
          <w:sz w:val="24"/>
          <w:szCs w:val="24"/>
          <w:lang w:eastAsia="es-MX"/>
        </w:rPr>
        <w:t xml:space="preserve"> a la solicitud de información </w:t>
      </w:r>
      <w:r w:rsidR="00920BD4" w:rsidRPr="00616A54">
        <w:rPr>
          <w:rFonts w:ascii="Palatino Linotype" w:hAnsi="Palatino Linotype"/>
          <w:b/>
          <w:sz w:val="24"/>
          <w:szCs w:val="24"/>
          <w:lang w:eastAsia="es-MX"/>
        </w:rPr>
        <w:t xml:space="preserve">El </w:t>
      </w:r>
      <w:r w:rsidRPr="00616A54">
        <w:rPr>
          <w:rFonts w:ascii="Palatino Linotype" w:hAnsi="Palatino Linotype"/>
          <w:b/>
          <w:sz w:val="24"/>
          <w:szCs w:val="24"/>
          <w:lang w:eastAsia="es-MX"/>
        </w:rPr>
        <w:t>Sujeto Obligado</w:t>
      </w:r>
      <w:r w:rsidRPr="00616A54">
        <w:rPr>
          <w:rFonts w:ascii="Palatino Linotype" w:hAnsi="Palatino Linotype"/>
          <w:sz w:val="24"/>
          <w:szCs w:val="24"/>
          <w:lang w:eastAsia="es-MX"/>
        </w:rPr>
        <w:t xml:space="preserve">, emitió su respuesta en donde manifestó </w:t>
      </w:r>
      <w:r w:rsidR="0037641A" w:rsidRPr="00616A54">
        <w:rPr>
          <w:rFonts w:ascii="Palatino Linotype" w:hAnsi="Palatino Linotype"/>
          <w:sz w:val="24"/>
          <w:szCs w:val="24"/>
          <w:lang w:eastAsia="es-MX"/>
        </w:rPr>
        <w:t>lo siguiente:</w:t>
      </w:r>
    </w:p>
    <w:p w14:paraId="7CE14266" w14:textId="77777777" w:rsidR="00B47428" w:rsidRPr="00616A54" w:rsidRDefault="00B47428" w:rsidP="007666D6">
      <w:pPr>
        <w:spacing w:after="0" w:line="360" w:lineRule="auto"/>
        <w:ind w:right="141"/>
        <w:jc w:val="both"/>
        <w:rPr>
          <w:rFonts w:ascii="Palatino Linotype" w:hAnsi="Palatino Linotype"/>
          <w:sz w:val="24"/>
          <w:szCs w:val="24"/>
          <w:lang w:eastAsia="es-MX"/>
        </w:rPr>
      </w:pPr>
    </w:p>
    <w:p w14:paraId="4504E12C" w14:textId="684C38DF" w:rsidR="00B47428" w:rsidRPr="00616A54" w:rsidRDefault="00B47428" w:rsidP="00B47428">
      <w:pPr>
        <w:spacing w:after="0" w:line="360" w:lineRule="auto"/>
        <w:ind w:right="141"/>
        <w:jc w:val="both"/>
        <w:rPr>
          <w:rFonts w:ascii="Palatino Linotype" w:hAnsi="Palatino Linotype"/>
          <w:sz w:val="24"/>
          <w:szCs w:val="24"/>
          <w:lang w:eastAsia="es-MX"/>
        </w:rPr>
      </w:pPr>
      <w:r w:rsidRPr="00616A54">
        <w:rPr>
          <w:rFonts w:ascii="Palatino Linotype" w:hAnsi="Palatino Linotype"/>
          <w:b/>
          <w:sz w:val="24"/>
          <w:lang w:eastAsia="es-MX"/>
        </w:rPr>
        <w:t>Respuesta:</w:t>
      </w:r>
      <w:r w:rsidRPr="00616A54">
        <w:rPr>
          <w:rFonts w:ascii="Palatino Linotype" w:hAnsi="Palatino Linotype"/>
          <w:sz w:val="24"/>
          <w:szCs w:val="24"/>
          <w:lang w:eastAsia="es-MX"/>
        </w:rPr>
        <w:t xml:space="preserve"> Al respecto al punto 1, me permito informar que derivada de la particularidad de la información que solicita, y debido a la contingencia sanitaria ocasionada por el virus SARA-CoV2 (COVID-19), las diversas áreas que integran el </w:t>
      </w:r>
      <w:r w:rsidRPr="00616A54">
        <w:rPr>
          <w:rFonts w:ascii="Palatino Linotype" w:hAnsi="Palatino Linotype"/>
          <w:sz w:val="24"/>
          <w:szCs w:val="24"/>
          <w:lang w:eastAsia="es-MX"/>
        </w:rPr>
        <w:lastRenderedPageBreak/>
        <w:t xml:space="preserve">Ayuntamiento, incluida la Tesorería Municipal, se encuentra operando con un 20% del personal total; por lo que, la capacidad operativa de esta área, se encuentra limitada, ya que carece actualmente de capacidad técnica, administrativa y por la austeridad, control y baja presupuestal, </w:t>
      </w:r>
      <w:r w:rsidRPr="00616A54">
        <w:rPr>
          <w:rFonts w:ascii="Palatino Linotype" w:hAnsi="Palatino Linotype"/>
          <w:b/>
          <w:sz w:val="24"/>
          <w:szCs w:val="24"/>
          <w:u w:val="single"/>
          <w:lang w:eastAsia="es-MX"/>
        </w:rPr>
        <w:t>le solicito de manera personal y respetuosa que por única ocasión esta área administrativa pone a disposición, la información que solicita “In Situ” mediante consulta directa, la cual está disponible a partir del 12 de abril de 2021 y que deberá de dirigirse y presentarse a las oficinas que ocupa la Tesorería Municipal en Av. Morelos No. 1 Nuevo Santo Tomás de los Plátanos, Santo Tomás, México C.P. 51110 presentando el acuse a la solicitud Ingresada al Sistema SAIMEX</w:t>
      </w:r>
      <w:r w:rsidRPr="00616A54">
        <w:rPr>
          <w:rFonts w:ascii="Palatino Linotype" w:hAnsi="Palatino Linotype"/>
          <w:sz w:val="24"/>
          <w:szCs w:val="24"/>
          <w:lang w:eastAsia="es-MX"/>
        </w:rPr>
        <w:t>.</w:t>
      </w:r>
    </w:p>
    <w:p w14:paraId="3C999E02" w14:textId="77777777" w:rsidR="00B47428" w:rsidRPr="00616A54" w:rsidRDefault="00B47428" w:rsidP="00B47428">
      <w:pPr>
        <w:spacing w:after="0" w:line="360" w:lineRule="auto"/>
        <w:ind w:right="141"/>
        <w:jc w:val="both"/>
        <w:rPr>
          <w:rFonts w:ascii="Palatino Linotype" w:hAnsi="Palatino Linotype"/>
          <w:sz w:val="24"/>
          <w:szCs w:val="24"/>
          <w:lang w:eastAsia="es-MX"/>
        </w:rPr>
      </w:pPr>
    </w:p>
    <w:p w14:paraId="49C32F19" w14:textId="2670487D" w:rsidR="00B47428" w:rsidRPr="00616A54" w:rsidRDefault="00B47428" w:rsidP="00B47428">
      <w:pPr>
        <w:spacing w:after="0" w:line="360" w:lineRule="auto"/>
        <w:ind w:right="141"/>
        <w:jc w:val="both"/>
        <w:rPr>
          <w:rFonts w:ascii="Palatino Linotype" w:hAnsi="Palatino Linotype"/>
          <w:sz w:val="24"/>
          <w:szCs w:val="24"/>
          <w:lang w:eastAsia="es-MX"/>
        </w:rPr>
      </w:pPr>
      <w:r w:rsidRPr="00616A54">
        <w:rPr>
          <w:rFonts w:ascii="Palatino Linotype" w:hAnsi="Palatino Linotype"/>
          <w:b/>
          <w:sz w:val="24"/>
          <w:szCs w:val="24"/>
          <w:u w:val="single"/>
          <w:lang w:eastAsia="es-MX"/>
        </w:rPr>
        <w:t>En el mismo sentido le informo referente al punto 2 y 3, el ayuntamiento no está facultado para dar solución a las pensiones por lo cual no cuenta con los expedientes solicitados</w:t>
      </w:r>
      <w:r w:rsidRPr="00616A54">
        <w:rPr>
          <w:rFonts w:ascii="Palatino Linotype" w:hAnsi="Palatino Linotype"/>
          <w:sz w:val="24"/>
          <w:szCs w:val="24"/>
          <w:lang w:eastAsia="es-MX"/>
        </w:rPr>
        <w:t>.</w:t>
      </w:r>
    </w:p>
    <w:p w14:paraId="353A78E6" w14:textId="70A037AD" w:rsidR="00077E21" w:rsidRPr="00616A54" w:rsidRDefault="007666D6" w:rsidP="00077E21">
      <w:pPr>
        <w:rPr>
          <w:rFonts w:ascii="Century Gothic" w:hAnsi="Century Gothic"/>
        </w:rPr>
      </w:pPr>
      <w:r w:rsidRPr="00616A54">
        <w:rPr>
          <w:rFonts w:ascii="Century Gothic" w:hAnsi="Century Gothic"/>
        </w:rPr>
        <w:t xml:space="preserve"> </w:t>
      </w:r>
    </w:p>
    <w:p w14:paraId="3E1A6D26" w14:textId="6CC329F1" w:rsidR="00077E21" w:rsidRPr="00616A54" w:rsidRDefault="00D8612D" w:rsidP="00492A91">
      <w:pPr>
        <w:spacing w:after="0" w:line="360" w:lineRule="auto"/>
        <w:ind w:right="141"/>
        <w:jc w:val="both"/>
        <w:rPr>
          <w:rFonts w:ascii="Palatino Linotype" w:hAnsi="Palatino Linotype" w:cs="Arial"/>
          <w:bCs/>
          <w:sz w:val="24"/>
          <w:szCs w:val="24"/>
        </w:rPr>
      </w:pPr>
      <w:r w:rsidRPr="00616A54">
        <w:rPr>
          <w:rFonts w:ascii="Palatino Linotype" w:hAnsi="Palatino Linotype" w:cs="Arial"/>
          <w:bCs/>
          <w:sz w:val="24"/>
          <w:szCs w:val="24"/>
        </w:rPr>
        <w:t xml:space="preserve">Es así que derivado de la respuesta emitida por </w:t>
      </w:r>
      <w:r w:rsidRPr="00616A54">
        <w:rPr>
          <w:rFonts w:ascii="Palatino Linotype" w:hAnsi="Palatino Linotype" w:cs="Arial"/>
          <w:b/>
          <w:bCs/>
          <w:sz w:val="24"/>
          <w:szCs w:val="24"/>
        </w:rPr>
        <w:t>El Sujeto Obligado</w:t>
      </w:r>
      <w:r w:rsidRPr="00616A54">
        <w:rPr>
          <w:rFonts w:ascii="Palatino Linotype" w:hAnsi="Palatino Linotype" w:cs="Arial"/>
          <w:bCs/>
          <w:sz w:val="24"/>
          <w:szCs w:val="24"/>
        </w:rPr>
        <w:t xml:space="preserve">, </w:t>
      </w:r>
      <w:r w:rsidR="00EA5381" w:rsidRPr="00616A54">
        <w:rPr>
          <w:rFonts w:ascii="Palatino Linotype" w:hAnsi="Palatino Linotype" w:cs="Arial"/>
          <w:b/>
          <w:bCs/>
          <w:sz w:val="24"/>
          <w:szCs w:val="24"/>
        </w:rPr>
        <w:t>El</w:t>
      </w:r>
      <w:r w:rsidRPr="00616A54">
        <w:rPr>
          <w:rFonts w:ascii="Palatino Linotype" w:hAnsi="Palatino Linotype" w:cs="Arial"/>
          <w:b/>
          <w:bCs/>
          <w:sz w:val="24"/>
          <w:szCs w:val="24"/>
        </w:rPr>
        <w:t xml:space="preserve"> Recurrente</w:t>
      </w:r>
      <w:r w:rsidRPr="00616A54">
        <w:rPr>
          <w:rFonts w:ascii="Palatino Linotype" w:hAnsi="Palatino Linotype" w:cs="Arial"/>
          <w:bCs/>
          <w:sz w:val="24"/>
          <w:szCs w:val="24"/>
        </w:rPr>
        <w:t xml:space="preserve">, interpuso el presente recurso de revisión, señalando sustancialmente como </w:t>
      </w:r>
      <w:r w:rsidR="00077E21" w:rsidRPr="00616A54">
        <w:rPr>
          <w:rFonts w:ascii="Palatino Linotype" w:hAnsi="Palatino Linotype" w:cs="Arial"/>
          <w:bCs/>
          <w:sz w:val="24"/>
          <w:szCs w:val="24"/>
        </w:rPr>
        <w:t>sus</w:t>
      </w:r>
      <w:r w:rsidRPr="00616A54">
        <w:rPr>
          <w:rFonts w:ascii="Palatino Linotype" w:hAnsi="Palatino Linotype" w:cs="Arial"/>
          <w:bCs/>
          <w:sz w:val="24"/>
          <w:szCs w:val="24"/>
        </w:rPr>
        <w:t xml:space="preserve"> razones o motivos de inconformidad</w:t>
      </w:r>
      <w:r w:rsidR="00077E21" w:rsidRPr="00616A54">
        <w:rPr>
          <w:rFonts w:ascii="Palatino Linotype" w:hAnsi="Palatino Linotype" w:cs="Arial"/>
          <w:bCs/>
          <w:sz w:val="24"/>
          <w:szCs w:val="24"/>
        </w:rPr>
        <w:t>, lo siguiente:</w:t>
      </w:r>
    </w:p>
    <w:p w14:paraId="72151EA3" w14:textId="77777777" w:rsidR="00077E21" w:rsidRPr="00616A54" w:rsidRDefault="00077E21" w:rsidP="00077E21">
      <w:pPr>
        <w:pStyle w:val="Sinespaciado"/>
      </w:pPr>
    </w:p>
    <w:p w14:paraId="523E4E4C" w14:textId="2CEFBAB1" w:rsidR="008100D5" w:rsidRPr="00616A54" w:rsidRDefault="00D8612D" w:rsidP="00B47428">
      <w:pPr>
        <w:spacing w:after="0" w:line="276" w:lineRule="auto"/>
        <w:ind w:left="567" w:right="567"/>
        <w:jc w:val="both"/>
        <w:rPr>
          <w:rFonts w:ascii="Palatino Linotype" w:hAnsi="Palatino Linotype" w:cs="Arial"/>
          <w:bCs/>
          <w:i/>
          <w:sz w:val="24"/>
          <w:szCs w:val="24"/>
        </w:rPr>
      </w:pPr>
      <w:r w:rsidRPr="00616A54">
        <w:rPr>
          <w:rFonts w:ascii="Palatino Linotype" w:hAnsi="Palatino Linotype" w:cs="Arial"/>
          <w:bCs/>
          <w:i/>
          <w:sz w:val="24"/>
          <w:szCs w:val="24"/>
        </w:rPr>
        <w:t>“</w:t>
      </w:r>
      <w:r w:rsidR="00B47428" w:rsidRPr="00616A54">
        <w:rPr>
          <w:rFonts w:ascii="Palatino Linotype" w:hAnsi="Palatino Linotype" w:cs="Arial"/>
          <w:bCs/>
          <w:i/>
          <w:sz w:val="24"/>
          <w:szCs w:val="24"/>
        </w:rPr>
        <w:t>No se entregó la totalidad de la información solicitada”.</w:t>
      </w:r>
      <w:r w:rsidR="008100D5" w:rsidRPr="00616A54">
        <w:rPr>
          <w:rFonts w:ascii="Palatino Linotype" w:hAnsi="Palatino Linotype" w:cs="Arial"/>
          <w:bCs/>
          <w:i/>
          <w:sz w:val="24"/>
          <w:szCs w:val="24"/>
        </w:rPr>
        <w:t xml:space="preserve"> </w:t>
      </w:r>
    </w:p>
    <w:p w14:paraId="03D9E315" w14:textId="77777777" w:rsidR="00B47428" w:rsidRPr="00616A54" w:rsidRDefault="00B47428" w:rsidP="00B47428">
      <w:pPr>
        <w:spacing w:after="0" w:line="276" w:lineRule="auto"/>
        <w:ind w:left="567" w:right="567"/>
        <w:jc w:val="both"/>
        <w:rPr>
          <w:rFonts w:ascii="Palatino Linotype" w:hAnsi="Palatino Linotype" w:cs="Arial"/>
          <w:bCs/>
          <w:i/>
          <w:sz w:val="24"/>
          <w:szCs w:val="24"/>
        </w:rPr>
      </w:pPr>
    </w:p>
    <w:p w14:paraId="110D654D" w14:textId="766BE889" w:rsidR="00B47428" w:rsidRPr="00616A54" w:rsidRDefault="00B47428" w:rsidP="00D7263F">
      <w:pPr>
        <w:spacing w:after="0" w:line="360" w:lineRule="auto"/>
        <w:ind w:right="141"/>
        <w:jc w:val="both"/>
        <w:rPr>
          <w:rFonts w:ascii="Palatino Linotype" w:hAnsi="Palatino Linotype" w:cs="Arial"/>
          <w:bCs/>
          <w:sz w:val="24"/>
          <w:szCs w:val="24"/>
        </w:rPr>
      </w:pPr>
      <w:r w:rsidRPr="00616A54">
        <w:rPr>
          <w:rFonts w:ascii="Palatino Linotype" w:hAnsi="Palatino Linotype" w:cs="Arial"/>
          <w:bCs/>
          <w:sz w:val="24"/>
          <w:szCs w:val="24"/>
        </w:rPr>
        <w:t xml:space="preserve">Asimismo, el </w:t>
      </w:r>
      <w:r w:rsidRPr="00616A54">
        <w:rPr>
          <w:rFonts w:ascii="Palatino Linotype" w:hAnsi="Palatino Linotype" w:cs="Arial"/>
          <w:b/>
          <w:bCs/>
          <w:sz w:val="24"/>
          <w:szCs w:val="24"/>
        </w:rPr>
        <w:t>Sujeto Obligado</w:t>
      </w:r>
      <w:r w:rsidRPr="00616A54">
        <w:rPr>
          <w:rFonts w:ascii="Palatino Linotype" w:hAnsi="Palatino Linotype" w:cs="Arial"/>
          <w:bCs/>
          <w:sz w:val="24"/>
          <w:szCs w:val="24"/>
        </w:rPr>
        <w:t xml:space="preserve"> mediante el respectivo Informe Justificado, ratificó su respuesta primigenia. </w:t>
      </w:r>
    </w:p>
    <w:p w14:paraId="24C4CCC0" w14:textId="77777777" w:rsidR="00B47428" w:rsidRPr="00616A54" w:rsidRDefault="00B47428" w:rsidP="00D7263F">
      <w:pPr>
        <w:spacing w:after="0" w:line="360" w:lineRule="auto"/>
        <w:ind w:right="141"/>
        <w:jc w:val="both"/>
        <w:rPr>
          <w:rFonts w:ascii="Palatino Linotype" w:hAnsi="Palatino Linotype" w:cs="Arial"/>
          <w:bCs/>
          <w:sz w:val="24"/>
          <w:szCs w:val="24"/>
        </w:rPr>
      </w:pPr>
    </w:p>
    <w:p w14:paraId="33662ED6" w14:textId="41C72CC5" w:rsidR="00D7263F" w:rsidRPr="00616A54" w:rsidRDefault="00B47428" w:rsidP="00D7263F">
      <w:pPr>
        <w:spacing w:after="0" w:line="360" w:lineRule="auto"/>
        <w:ind w:right="141"/>
        <w:jc w:val="both"/>
        <w:rPr>
          <w:rFonts w:ascii="Palatino Linotype" w:hAnsi="Palatino Linotype" w:cs="Arial"/>
          <w:bCs/>
          <w:sz w:val="24"/>
          <w:szCs w:val="24"/>
        </w:rPr>
      </w:pPr>
      <w:r w:rsidRPr="00616A54">
        <w:rPr>
          <w:rFonts w:ascii="Palatino Linotype" w:hAnsi="Palatino Linotype" w:cs="Arial"/>
          <w:bCs/>
          <w:sz w:val="24"/>
          <w:szCs w:val="24"/>
        </w:rPr>
        <w:lastRenderedPageBreak/>
        <w:t>P</w:t>
      </w:r>
      <w:r w:rsidR="00E152EE" w:rsidRPr="00616A54">
        <w:rPr>
          <w:rFonts w:ascii="Palatino Linotype" w:hAnsi="Palatino Linotype" w:cs="Arial"/>
          <w:sz w:val="24"/>
          <w:szCs w:val="24"/>
          <w:lang w:eastAsia="es-MX"/>
        </w:rPr>
        <w:t xml:space="preserve">or lo que </w:t>
      </w:r>
      <w:r w:rsidR="00F81548" w:rsidRPr="00616A54">
        <w:rPr>
          <w:rFonts w:ascii="Palatino Linotype" w:hAnsi="Palatino Linotype" w:cs="Arial"/>
          <w:bCs/>
          <w:sz w:val="24"/>
          <w:szCs w:val="24"/>
        </w:rPr>
        <w:t xml:space="preserve">es importante señalar que </w:t>
      </w:r>
      <w:r w:rsidR="00473DCA" w:rsidRPr="00616A54">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616A54" w:rsidRDefault="00D7263F" w:rsidP="00D7263F">
      <w:pPr>
        <w:spacing w:after="0" w:line="360" w:lineRule="auto"/>
        <w:ind w:right="141"/>
        <w:jc w:val="both"/>
        <w:rPr>
          <w:rFonts w:ascii="Palatino Linotype" w:hAnsi="Palatino Linotype" w:cs="Arial"/>
          <w:sz w:val="24"/>
        </w:rPr>
      </w:pPr>
    </w:p>
    <w:p w14:paraId="40911986" w14:textId="77777777" w:rsidR="00473DCA" w:rsidRPr="00616A54" w:rsidRDefault="00473DCA" w:rsidP="00473DCA">
      <w:pPr>
        <w:ind w:left="567" w:right="567"/>
        <w:jc w:val="both"/>
        <w:rPr>
          <w:rFonts w:ascii="Palatino Linotype" w:hAnsi="Palatino Linotype" w:cs="Arial"/>
          <w:i/>
          <w:color w:val="000000"/>
        </w:rPr>
      </w:pPr>
      <w:r w:rsidRPr="00616A54">
        <w:rPr>
          <w:rFonts w:ascii="Palatino Linotype" w:hAnsi="Palatino Linotype" w:cs="Arial"/>
          <w:i/>
        </w:rPr>
        <w:t>“</w:t>
      </w:r>
      <w:r w:rsidRPr="00616A54">
        <w:rPr>
          <w:rFonts w:ascii="Palatino Linotype" w:hAnsi="Palatino Linotype" w:cs="Arial"/>
          <w:b/>
          <w:i/>
          <w:color w:val="000000"/>
        </w:rPr>
        <w:t xml:space="preserve">Artículo 4. </w:t>
      </w:r>
      <w:r w:rsidRPr="00616A54">
        <w:rPr>
          <w:rFonts w:ascii="Palatino Linotype" w:hAnsi="Palatino Linotype" w:cs="Arial"/>
          <w:i/>
          <w:color w:val="000000"/>
        </w:rPr>
        <w:t xml:space="preserve">… </w:t>
      </w:r>
    </w:p>
    <w:p w14:paraId="25C4C35A" w14:textId="77777777" w:rsidR="003B67BE" w:rsidRPr="00616A54" w:rsidRDefault="00473DCA" w:rsidP="003B67BE">
      <w:pPr>
        <w:spacing w:after="0"/>
        <w:ind w:left="567" w:right="567"/>
        <w:jc w:val="both"/>
        <w:rPr>
          <w:rFonts w:ascii="Palatino Linotype" w:hAnsi="Palatino Linotype" w:cs="Arial"/>
          <w:i/>
          <w:color w:val="000000"/>
        </w:rPr>
      </w:pPr>
      <w:r w:rsidRPr="00616A54">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w:t>
      </w:r>
      <w:r w:rsidR="003B67BE" w:rsidRPr="00616A54">
        <w:rPr>
          <w:rFonts w:ascii="Palatino Linotype" w:hAnsi="Palatino Linotype" w:cs="Arial"/>
          <w:i/>
          <w:color w:val="000000"/>
        </w:rPr>
        <w:t>cesarias previstas por esta Ley.</w:t>
      </w:r>
    </w:p>
    <w:p w14:paraId="4F8B10FB" w14:textId="41D365B6" w:rsidR="00473DCA" w:rsidRPr="00616A54" w:rsidRDefault="003B67BE" w:rsidP="003B67BE">
      <w:pPr>
        <w:spacing w:after="0"/>
        <w:ind w:left="567" w:right="567"/>
        <w:jc w:val="both"/>
        <w:rPr>
          <w:rFonts w:ascii="Palatino Linotype" w:hAnsi="Palatino Linotype" w:cs="Arial"/>
          <w:i/>
          <w:color w:val="000000"/>
        </w:rPr>
      </w:pPr>
      <w:r w:rsidRPr="00616A54">
        <w:rPr>
          <w:rFonts w:ascii="Palatino Linotype" w:hAnsi="Palatino Linotype" w:cs="Arial"/>
          <w:i/>
          <w:color w:val="000000"/>
        </w:rPr>
        <w:t>(</w:t>
      </w:r>
      <w:r w:rsidR="00473DCA" w:rsidRPr="00616A54">
        <w:rPr>
          <w:rFonts w:ascii="Palatino Linotype" w:hAnsi="Palatino Linotype" w:cs="Arial"/>
          <w:i/>
        </w:rPr>
        <w:t>...)”</w:t>
      </w:r>
    </w:p>
    <w:p w14:paraId="25175D47" w14:textId="77777777" w:rsidR="00473DCA" w:rsidRPr="00616A54" w:rsidRDefault="00473DCA" w:rsidP="00473DCA">
      <w:pPr>
        <w:ind w:left="851" w:right="902"/>
        <w:jc w:val="both"/>
        <w:rPr>
          <w:rFonts w:ascii="Palatino Linotype" w:hAnsi="Palatino Linotype" w:cs="Arial"/>
          <w:sz w:val="14"/>
        </w:rPr>
      </w:pPr>
    </w:p>
    <w:p w14:paraId="0C623C72" w14:textId="77777777" w:rsidR="00473DCA" w:rsidRPr="00616A54" w:rsidRDefault="00473DCA" w:rsidP="00473DCA">
      <w:pPr>
        <w:spacing w:line="360" w:lineRule="auto"/>
        <w:jc w:val="both"/>
        <w:rPr>
          <w:rFonts w:ascii="Palatino Linotype" w:hAnsi="Palatino Linotype" w:cs="Arial"/>
          <w:i/>
          <w:sz w:val="24"/>
        </w:rPr>
      </w:pPr>
      <w:r w:rsidRPr="00616A5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616A54" w:rsidRDefault="00473DCA" w:rsidP="00473DCA">
      <w:pPr>
        <w:spacing w:line="360" w:lineRule="auto"/>
        <w:ind w:right="425"/>
        <w:jc w:val="both"/>
        <w:rPr>
          <w:rFonts w:ascii="Palatino Linotype" w:hAnsi="Palatino Linotype" w:cs="Arial"/>
          <w:b/>
          <w:i/>
          <w:sz w:val="12"/>
        </w:rPr>
      </w:pPr>
    </w:p>
    <w:p w14:paraId="64995AF0" w14:textId="77777777" w:rsidR="00473DCA" w:rsidRPr="00616A54" w:rsidRDefault="00473DCA" w:rsidP="00473DCA">
      <w:pPr>
        <w:spacing w:line="360" w:lineRule="auto"/>
        <w:jc w:val="both"/>
        <w:rPr>
          <w:rFonts w:ascii="Palatino Linotype" w:hAnsi="Palatino Linotype" w:cs="Arial"/>
          <w:sz w:val="24"/>
        </w:rPr>
      </w:pPr>
      <w:r w:rsidRPr="00616A5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616A54" w:rsidRDefault="00D7263F" w:rsidP="00D7263F">
      <w:pPr>
        <w:pStyle w:val="Sinespaciado"/>
      </w:pPr>
    </w:p>
    <w:p w14:paraId="6A429130" w14:textId="77777777" w:rsidR="00473DCA" w:rsidRPr="00616A54" w:rsidRDefault="00473DCA" w:rsidP="00473DCA">
      <w:pPr>
        <w:ind w:left="567" w:right="567"/>
        <w:jc w:val="both"/>
        <w:rPr>
          <w:rFonts w:ascii="Palatino Linotype" w:hAnsi="Palatino Linotype" w:cs="Arial"/>
          <w:i/>
        </w:rPr>
      </w:pPr>
      <w:r w:rsidRPr="00616A54">
        <w:rPr>
          <w:rFonts w:ascii="Palatino Linotype" w:hAnsi="Palatino Linotype" w:cs="Arial"/>
          <w:i/>
        </w:rPr>
        <w:t>“</w:t>
      </w:r>
      <w:r w:rsidRPr="00616A54">
        <w:rPr>
          <w:rFonts w:ascii="Palatino Linotype" w:hAnsi="Palatino Linotype" w:cs="Arial"/>
          <w:b/>
          <w:i/>
          <w:color w:val="000000"/>
        </w:rPr>
        <w:t>Artículo 12.</w:t>
      </w:r>
      <w:r w:rsidRPr="00616A5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616A54" w:rsidRDefault="00473DCA" w:rsidP="00473DCA">
      <w:pPr>
        <w:ind w:left="567" w:right="567"/>
        <w:jc w:val="both"/>
        <w:rPr>
          <w:rFonts w:ascii="Palatino Linotype" w:hAnsi="Palatino Linotype" w:cs="Arial"/>
          <w:i/>
          <w:color w:val="000000"/>
          <w:sz w:val="2"/>
        </w:rPr>
      </w:pPr>
    </w:p>
    <w:p w14:paraId="2DFEC5B5" w14:textId="77777777" w:rsidR="00473DCA" w:rsidRPr="00616A54" w:rsidRDefault="00473DCA" w:rsidP="00473DCA">
      <w:pPr>
        <w:ind w:left="567" w:right="567"/>
        <w:jc w:val="both"/>
        <w:rPr>
          <w:rFonts w:ascii="Palatino Linotype" w:hAnsi="Palatino Linotype" w:cs="Arial"/>
          <w:i/>
        </w:rPr>
      </w:pPr>
      <w:r w:rsidRPr="00616A54">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16A54">
        <w:rPr>
          <w:rFonts w:ascii="Palatino Linotype" w:hAnsi="Palatino Linotype" w:cs="Arial"/>
          <w:i/>
        </w:rPr>
        <w:t>”</w:t>
      </w:r>
    </w:p>
    <w:p w14:paraId="21F37910" w14:textId="77777777" w:rsidR="00473DCA" w:rsidRPr="00616A54" w:rsidRDefault="00473DCA" w:rsidP="00473DCA">
      <w:pPr>
        <w:ind w:left="567" w:right="567"/>
        <w:jc w:val="both"/>
        <w:rPr>
          <w:rFonts w:ascii="Palatino Linotype" w:hAnsi="Palatino Linotype" w:cs="Arial"/>
          <w:i/>
        </w:rPr>
      </w:pPr>
    </w:p>
    <w:p w14:paraId="14781928" w14:textId="77777777" w:rsidR="00473DCA" w:rsidRPr="00616A54" w:rsidRDefault="00473DCA" w:rsidP="00473DCA">
      <w:pPr>
        <w:spacing w:line="360" w:lineRule="auto"/>
        <w:jc w:val="both"/>
        <w:rPr>
          <w:rFonts w:ascii="Palatino Linotype" w:hAnsi="Palatino Linotype" w:cs="Arial"/>
          <w:color w:val="000000"/>
          <w:sz w:val="24"/>
        </w:rPr>
      </w:pPr>
      <w:r w:rsidRPr="00616A5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616A54">
        <w:rPr>
          <w:rFonts w:ascii="Palatino Linotype" w:hAnsi="Palatino Linotype" w:cs="Arial"/>
          <w:b/>
          <w:color w:val="000000"/>
          <w:sz w:val="24"/>
        </w:rPr>
        <w:t xml:space="preserve"> </w:t>
      </w:r>
      <w:r w:rsidRPr="00616A5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616A54">
        <w:rPr>
          <w:rFonts w:ascii="Palatino Linotype" w:hAnsi="Palatino Linotype" w:cs="Arial"/>
          <w:i/>
          <w:color w:val="000000"/>
          <w:sz w:val="24"/>
        </w:rPr>
        <w:t>ad hoc</w:t>
      </w:r>
      <w:r w:rsidRPr="00616A54">
        <w:rPr>
          <w:rFonts w:ascii="Palatino Linotype" w:hAnsi="Palatino Linotype" w:cs="Arial"/>
          <w:color w:val="000000"/>
          <w:sz w:val="24"/>
        </w:rPr>
        <w:t>, para satisfacer el derecho de acceso a la información pública.</w:t>
      </w:r>
    </w:p>
    <w:p w14:paraId="5E69CBCD" w14:textId="77777777" w:rsidR="00473DCA" w:rsidRPr="00616A54" w:rsidRDefault="00473DCA" w:rsidP="00473DCA">
      <w:pPr>
        <w:spacing w:line="360" w:lineRule="auto"/>
        <w:jc w:val="both"/>
        <w:rPr>
          <w:rFonts w:ascii="Palatino Linotype" w:hAnsi="Palatino Linotype" w:cs="Arial"/>
          <w:color w:val="000000"/>
          <w:sz w:val="4"/>
        </w:rPr>
      </w:pPr>
    </w:p>
    <w:p w14:paraId="1BBC6120" w14:textId="77777777" w:rsidR="00473DCA" w:rsidRPr="00616A54" w:rsidRDefault="00473DCA" w:rsidP="00473DCA">
      <w:pPr>
        <w:spacing w:line="360" w:lineRule="auto"/>
        <w:jc w:val="both"/>
        <w:rPr>
          <w:rFonts w:ascii="Palatino Linotype" w:hAnsi="Palatino Linotype"/>
          <w:b/>
          <w:bCs/>
          <w:color w:val="000000"/>
          <w:sz w:val="24"/>
        </w:rPr>
      </w:pPr>
      <w:r w:rsidRPr="00616A54">
        <w:rPr>
          <w:rFonts w:ascii="Palatino Linotype" w:hAnsi="Palatino Linotype" w:cs="Arial"/>
          <w:color w:val="000000"/>
          <w:sz w:val="24"/>
        </w:rPr>
        <w:t xml:space="preserve">Como apoyo a lo anterior, es aplicable el Criterio 03-17, emitido por </w:t>
      </w:r>
      <w:r w:rsidRPr="00616A54">
        <w:rPr>
          <w:rFonts w:ascii="Palatino Linotype" w:eastAsia="Arial Unicode MS" w:hAnsi="Palatino Linotype" w:cs="Arial"/>
          <w:color w:val="000000"/>
          <w:sz w:val="24"/>
        </w:rPr>
        <w:t>el Instituto Nacional de Transparencia, Acceso a la Información y Protección de Datos Personales,</w:t>
      </w:r>
      <w:r w:rsidRPr="00616A54">
        <w:rPr>
          <w:rFonts w:ascii="Palatino Linotype" w:hAnsi="Palatino Linotype"/>
          <w:bCs/>
          <w:color w:val="000000"/>
          <w:sz w:val="24"/>
        </w:rPr>
        <w:t xml:space="preserve"> que dice:</w:t>
      </w:r>
      <w:r w:rsidRPr="00616A54">
        <w:rPr>
          <w:rFonts w:ascii="Palatino Linotype" w:hAnsi="Palatino Linotype"/>
          <w:b/>
          <w:bCs/>
          <w:color w:val="000000"/>
          <w:sz w:val="24"/>
        </w:rPr>
        <w:t xml:space="preserve"> </w:t>
      </w:r>
    </w:p>
    <w:p w14:paraId="24E6C073" w14:textId="77777777" w:rsidR="00473DCA" w:rsidRPr="00616A54" w:rsidRDefault="00473DCA" w:rsidP="00473DCA">
      <w:pPr>
        <w:ind w:left="851" w:right="850"/>
        <w:jc w:val="both"/>
        <w:rPr>
          <w:rFonts w:ascii="Palatino Linotype" w:hAnsi="Palatino Linotype" w:cs="Arial"/>
          <w:color w:val="000000"/>
          <w:sz w:val="2"/>
        </w:rPr>
      </w:pPr>
    </w:p>
    <w:p w14:paraId="4371BB9E" w14:textId="77777777" w:rsidR="00473DCA" w:rsidRPr="00616A54" w:rsidRDefault="00473DCA" w:rsidP="00473DCA">
      <w:pPr>
        <w:ind w:left="567" w:right="567"/>
        <w:jc w:val="both"/>
        <w:rPr>
          <w:rFonts w:ascii="Palatino Linotype" w:hAnsi="Palatino Linotype" w:cs="Arial"/>
          <w:i/>
          <w:color w:val="000000"/>
        </w:rPr>
      </w:pPr>
      <w:r w:rsidRPr="00616A54">
        <w:rPr>
          <w:rFonts w:ascii="Palatino Linotype" w:hAnsi="Palatino Linotype" w:cs="Arial"/>
          <w:i/>
          <w:color w:val="000000"/>
        </w:rPr>
        <w:t>“</w:t>
      </w:r>
      <w:r w:rsidRPr="00616A54">
        <w:rPr>
          <w:rFonts w:ascii="Palatino Linotype" w:hAnsi="Palatino Linotype" w:cs="Arial"/>
          <w:b/>
          <w:i/>
          <w:color w:val="000000"/>
        </w:rPr>
        <w:t>No existe obligación de elaborar documentos ad hoc para atender las solicitudes de acceso a la información.</w:t>
      </w:r>
      <w:r w:rsidRPr="00616A5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616A54" w:rsidRDefault="00473DCA" w:rsidP="00473DCA">
      <w:pPr>
        <w:ind w:left="567" w:right="567"/>
        <w:jc w:val="both"/>
        <w:rPr>
          <w:rFonts w:ascii="Palatino Linotype" w:hAnsi="Palatino Linotype" w:cs="Arial"/>
          <w:i/>
          <w:color w:val="000000"/>
          <w:sz w:val="2"/>
        </w:rPr>
      </w:pPr>
    </w:p>
    <w:p w14:paraId="525B63DE" w14:textId="77777777" w:rsidR="00473DCA" w:rsidRPr="00616A54" w:rsidRDefault="00473DCA" w:rsidP="00473DCA">
      <w:pPr>
        <w:spacing w:after="0"/>
        <w:ind w:left="567" w:right="567"/>
        <w:jc w:val="both"/>
        <w:rPr>
          <w:rFonts w:ascii="Palatino Linotype" w:hAnsi="Palatino Linotype" w:cs="Arial"/>
          <w:i/>
          <w:color w:val="000000"/>
          <w:sz w:val="20"/>
        </w:rPr>
      </w:pPr>
      <w:r w:rsidRPr="00616A54">
        <w:rPr>
          <w:rFonts w:ascii="Palatino Linotype" w:hAnsi="Palatino Linotype" w:cs="Arial"/>
          <w:i/>
          <w:color w:val="000000"/>
          <w:sz w:val="20"/>
        </w:rPr>
        <w:t xml:space="preserve">Resoluciones: </w:t>
      </w:r>
    </w:p>
    <w:p w14:paraId="1713217B" w14:textId="77777777" w:rsidR="00473DCA" w:rsidRPr="00616A54" w:rsidRDefault="00473DCA" w:rsidP="00473DCA">
      <w:pPr>
        <w:spacing w:after="0"/>
        <w:ind w:left="567" w:right="567"/>
        <w:jc w:val="both"/>
        <w:rPr>
          <w:rFonts w:ascii="Palatino Linotype" w:hAnsi="Palatino Linotype" w:cs="Arial"/>
          <w:i/>
          <w:color w:val="000000"/>
          <w:sz w:val="20"/>
        </w:rPr>
      </w:pPr>
      <w:r w:rsidRPr="00616A54">
        <w:rPr>
          <w:rFonts w:ascii="Palatino Linotype" w:hAnsi="Palatino Linotype" w:cs="Arial"/>
          <w:i/>
          <w:color w:val="000000"/>
          <w:sz w:val="20"/>
        </w:rPr>
        <w:sym w:font="Symbol" w:char="F0B7"/>
      </w:r>
      <w:r w:rsidRPr="00616A54">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616A54" w:rsidRDefault="00473DCA" w:rsidP="00473DCA">
      <w:pPr>
        <w:spacing w:after="0"/>
        <w:ind w:left="567" w:right="567"/>
        <w:jc w:val="both"/>
        <w:rPr>
          <w:rFonts w:ascii="Palatino Linotype" w:hAnsi="Palatino Linotype" w:cs="Arial"/>
          <w:i/>
          <w:color w:val="000000"/>
          <w:sz w:val="20"/>
        </w:rPr>
      </w:pPr>
      <w:r w:rsidRPr="00616A54">
        <w:rPr>
          <w:rFonts w:ascii="Palatino Linotype" w:hAnsi="Palatino Linotype" w:cs="Arial"/>
          <w:i/>
          <w:color w:val="000000"/>
          <w:sz w:val="20"/>
        </w:rPr>
        <w:lastRenderedPageBreak/>
        <w:sym w:font="Symbol" w:char="F0B7"/>
      </w:r>
      <w:r w:rsidRPr="00616A54">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616A54" w:rsidRDefault="00473DCA" w:rsidP="00473DCA">
      <w:pPr>
        <w:spacing w:after="0"/>
        <w:ind w:left="567" w:right="567"/>
        <w:jc w:val="both"/>
        <w:rPr>
          <w:rFonts w:ascii="Palatino Linotype" w:hAnsi="Palatino Linotype" w:cs="Arial"/>
          <w:i/>
          <w:color w:val="000000"/>
          <w:sz w:val="20"/>
        </w:rPr>
      </w:pPr>
      <w:r w:rsidRPr="00616A54">
        <w:rPr>
          <w:rFonts w:ascii="Palatino Linotype" w:hAnsi="Palatino Linotype" w:cs="Arial"/>
          <w:i/>
          <w:color w:val="000000"/>
          <w:sz w:val="20"/>
        </w:rPr>
        <w:sym w:font="Symbol" w:char="F0B7"/>
      </w:r>
      <w:r w:rsidRPr="00616A54">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616A54" w:rsidRDefault="00473DCA" w:rsidP="00473DCA">
      <w:pPr>
        <w:jc w:val="both"/>
        <w:rPr>
          <w:rFonts w:ascii="Palatino Linotype" w:hAnsi="Palatino Linotype" w:cs="Arial"/>
          <w:sz w:val="16"/>
        </w:rPr>
      </w:pPr>
    </w:p>
    <w:p w14:paraId="227AADA4" w14:textId="5C9B1C45" w:rsidR="00473DCA" w:rsidRPr="00616A54" w:rsidRDefault="00473DCA" w:rsidP="003750DC">
      <w:pPr>
        <w:spacing w:after="0" w:line="360" w:lineRule="auto"/>
        <w:jc w:val="both"/>
        <w:rPr>
          <w:rFonts w:ascii="Palatino Linotype" w:hAnsi="Palatino Linotype" w:cs="Arial"/>
          <w:color w:val="000000" w:themeColor="text1"/>
          <w:sz w:val="24"/>
        </w:rPr>
      </w:pPr>
      <w:r w:rsidRPr="00616A5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616A54">
        <w:rPr>
          <w:rFonts w:ascii="Palatino Linotype" w:hAnsi="Palatino Linotype" w:cs="Arial"/>
          <w:sz w:val="24"/>
        </w:rPr>
        <w:t>generen</w:t>
      </w:r>
      <w:r w:rsidRPr="00616A5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C5564B" w14:textId="77777777" w:rsidR="003750DC" w:rsidRPr="00616A54" w:rsidRDefault="003750DC" w:rsidP="003750DC">
      <w:pPr>
        <w:spacing w:after="0" w:line="360" w:lineRule="auto"/>
        <w:jc w:val="both"/>
        <w:rPr>
          <w:rFonts w:ascii="Palatino Linotype" w:hAnsi="Palatino Linotype" w:cs="Arial"/>
          <w:sz w:val="24"/>
        </w:rPr>
      </w:pPr>
    </w:p>
    <w:p w14:paraId="5923B805" w14:textId="77777777" w:rsidR="00261A32" w:rsidRPr="00616A54" w:rsidRDefault="00473DCA" w:rsidP="003750DC">
      <w:pPr>
        <w:spacing w:after="0" w:line="360" w:lineRule="auto"/>
        <w:jc w:val="both"/>
        <w:rPr>
          <w:rFonts w:ascii="Palatino Linotype" w:hAnsi="Palatino Linotype" w:cs="Arial"/>
          <w:sz w:val="24"/>
        </w:rPr>
      </w:pPr>
      <w:r w:rsidRPr="00616A54">
        <w:rPr>
          <w:rFonts w:ascii="Palatino Linotype" w:hAnsi="Palatino Linotype" w:cs="Arial"/>
          <w:sz w:val="24"/>
        </w:rPr>
        <w:t xml:space="preserve">Expuesto lo anterior, se procede al análisis de la totalidad de las constancias que integran el expediente electrónico del </w:t>
      </w:r>
      <w:r w:rsidRPr="00616A54">
        <w:rPr>
          <w:rFonts w:ascii="Palatino Linotype" w:hAnsi="Palatino Linotype" w:cs="Arial"/>
          <w:b/>
          <w:sz w:val="24"/>
        </w:rPr>
        <w:t>SAIMEX</w:t>
      </w:r>
      <w:r w:rsidRPr="00616A54">
        <w:rPr>
          <w:rFonts w:ascii="Palatino Linotype" w:hAnsi="Palatino Linotype" w:cs="Arial"/>
          <w:sz w:val="24"/>
        </w:rPr>
        <w:t xml:space="preserve">, a efecto de determinar si con la información remitida por </w:t>
      </w:r>
      <w:r w:rsidRPr="00616A54">
        <w:rPr>
          <w:rFonts w:ascii="Palatino Linotype" w:hAnsi="Palatino Linotype" w:cs="Arial"/>
          <w:b/>
          <w:sz w:val="24"/>
        </w:rPr>
        <w:t>El Sujeto Obligado</w:t>
      </w:r>
      <w:r w:rsidRPr="00616A54">
        <w:rPr>
          <w:rFonts w:ascii="Palatino Linotype" w:hAnsi="Palatino Linotype" w:cs="Arial"/>
          <w:sz w:val="24"/>
        </w:rPr>
        <w:t xml:space="preserve"> a través de su respuesta se colma </w:t>
      </w:r>
      <w:r w:rsidR="00261A32" w:rsidRPr="00616A54">
        <w:rPr>
          <w:rFonts w:ascii="Palatino Linotype" w:hAnsi="Palatino Linotype" w:cs="Arial"/>
          <w:sz w:val="24"/>
        </w:rPr>
        <w:t>lo requerido en dicha solicitud.</w:t>
      </w:r>
      <w:r w:rsidRPr="00616A54">
        <w:rPr>
          <w:rFonts w:ascii="Palatino Linotype" w:hAnsi="Palatino Linotype" w:cs="Arial"/>
          <w:sz w:val="24"/>
        </w:rPr>
        <w:t xml:space="preserve"> </w:t>
      </w:r>
    </w:p>
    <w:p w14:paraId="1EEDCE0B" w14:textId="77777777" w:rsidR="00B87511" w:rsidRPr="00616A54" w:rsidRDefault="00B87511" w:rsidP="003750DC">
      <w:pPr>
        <w:spacing w:after="0" w:line="360" w:lineRule="auto"/>
        <w:jc w:val="both"/>
        <w:rPr>
          <w:rFonts w:ascii="Palatino Linotype" w:hAnsi="Palatino Linotype" w:cs="Arial"/>
          <w:sz w:val="24"/>
        </w:rPr>
      </w:pPr>
    </w:p>
    <w:p w14:paraId="1E35312A" w14:textId="77777777" w:rsidR="00B87511" w:rsidRPr="00616A54" w:rsidRDefault="00B87511" w:rsidP="00B87511">
      <w:pPr>
        <w:spacing w:after="0" w:line="360" w:lineRule="auto"/>
        <w:jc w:val="both"/>
        <w:rPr>
          <w:rFonts w:ascii="Palatino Linotype" w:hAnsi="Palatino Linotype" w:cs="Arial"/>
          <w:sz w:val="24"/>
          <w:szCs w:val="24"/>
          <w:lang w:eastAsia="es-MX"/>
        </w:rPr>
      </w:pPr>
      <w:r w:rsidRPr="00616A54">
        <w:rPr>
          <w:rFonts w:ascii="Palatino Linotype" w:hAnsi="Palatino Linotype" w:cs="Arial"/>
          <w:sz w:val="24"/>
          <w:szCs w:val="24"/>
          <w:lang w:eastAsia="es-MX"/>
        </w:rPr>
        <w:t xml:space="preserve">Ahora bien, de la lectura de las razones o motivos de inconformidad se desprende que </w:t>
      </w:r>
      <w:r w:rsidRPr="00616A54">
        <w:rPr>
          <w:rFonts w:ascii="Palatino Linotype" w:hAnsi="Palatino Linotype" w:cs="Arial"/>
          <w:b/>
          <w:sz w:val="24"/>
          <w:szCs w:val="24"/>
          <w:lang w:eastAsia="es-MX"/>
        </w:rPr>
        <w:t>El Recurrente</w:t>
      </w:r>
      <w:r w:rsidRPr="00616A54">
        <w:rPr>
          <w:rFonts w:ascii="Palatino Linotype" w:hAnsi="Palatino Linotype" w:cs="Arial"/>
          <w:sz w:val="24"/>
          <w:szCs w:val="24"/>
          <w:lang w:eastAsia="es-MX"/>
        </w:rPr>
        <w:t xml:space="preserve"> se manifiesta que no se hace entrega de la información y que </w:t>
      </w:r>
      <w:r w:rsidRPr="00616A54">
        <w:rPr>
          <w:rFonts w:ascii="Palatino Linotype" w:hAnsi="Palatino Linotype" w:cs="Arial"/>
          <w:b/>
          <w:sz w:val="24"/>
          <w:szCs w:val="24"/>
          <w:lang w:eastAsia="es-MX"/>
        </w:rPr>
        <w:t>El Sujeto Obligado</w:t>
      </w:r>
      <w:r w:rsidRPr="00616A54">
        <w:rPr>
          <w:rFonts w:ascii="Palatino Linotype" w:hAnsi="Palatino Linotype" w:cs="Arial"/>
          <w:sz w:val="24"/>
          <w:szCs w:val="24"/>
          <w:lang w:eastAsia="es-MX"/>
        </w:rPr>
        <w:t xml:space="preserve"> pretende hacerlo bajo otro esquema que no corresponde al solicitado.</w:t>
      </w:r>
    </w:p>
    <w:p w14:paraId="79ABD1BA" w14:textId="77777777" w:rsidR="00B87511" w:rsidRPr="00616A54" w:rsidRDefault="00B87511" w:rsidP="00B87511">
      <w:pPr>
        <w:spacing w:after="0" w:line="360" w:lineRule="auto"/>
        <w:jc w:val="both"/>
        <w:rPr>
          <w:rFonts w:ascii="Palatino Linotype" w:hAnsi="Palatino Linotype" w:cs="Arial"/>
          <w:sz w:val="24"/>
          <w:szCs w:val="24"/>
          <w:lang w:eastAsia="es-MX"/>
        </w:rPr>
      </w:pPr>
    </w:p>
    <w:p w14:paraId="4F99B29F" w14:textId="78DE687B" w:rsidR="00B87511" w:rsidRPr="00616A54" w:rsidRDefault="00B87511" w:rsidP="00B87511">
      <w:pPr>
        <w:spacing w:after="0" w:line="360" w:lineRule="auto"/>
        <w:jc w:val="both"/>
        <w:rPr>
          <w:rFonts w:ascii="Palatino Linotype" w:hAnsi="Palatino Linotype" w:cs="Arial"/>
          <w:sz w:val="24"/>
          <w:szCs w:val="24"/>
          <w:lang w:eastAsia="es-MX"/>
        </w:rPr>
      </w:pPr>
      <w:r w:rsidRPr="00616A54">
        <w:rPr>
          <w:rFonts w:ascii="Palatino Linotype" w:hAnsi="Palatino Linotype" w:cs="Arial"/>
          <w:sz w:val="24"/>
          <w:szCs w:val="24"/>
          <w:lang w:eastAsia="es-MX"/>
        </w:rPr>
        <w:t xml:space="preserve">No obstante, como ya ha quedado establecido, </w:t>
      </w:r>
      <w:r w:rsidRPr="00616A54">
        <w:rPr>
          <w:rFonts w:ascii="Palatino Linotype" w:hAnsi="Palatino Linotype" w:cs="Arial"/>
          <w:b/>
          <w:sz w:val="24"/>
          <w:szCs w:val="24"/>
          <w:lang w:eastAsia="es-MX"/>
        </w:rPr>
        <w:t>El Recurrente</w:t>
      </w:r>
      <w:r w:rsidRPr="00616A54">
        <w:rPr>
          <w:rFonts w:ascii="Palatino Linotype" w:hAnsi="Palatino Linotype" w:cs="Arial"/>
          <w:sz w:val="24"/>
          <w:szCs w:val="24"/>
          <w:lang w:eastAsia="es-MX"/>
        </w:rPr>
        <w:t xml:space="preserve"> se inconforma ante la pretensión del </w:t>
      </w:r>
      <w:r w:rsidRPr="00616A54">
        <w:rPr>
          <w:rFonts w:ascii="Palatino Linotype" w:hAnsi="Palatino Linotype" w:cs="Arial"/>
          <w:b/>
          <w:sz w:val="24"/>
          <w:szCs w:val="24"/>
          <w:lang w:eastAsia="es-MX"/>
        </w:rPr>
        <w:t>Sujeto Obligado</w:t>
      </w:r>
      <w:r w:rsidRPr="00616A54">
        <w:rPr>
          <w:rFonts w:ascii="Palatino Linotype" w:hAnsi="Palatino Linotype" w:cs="Arial"/>
          <w:sz w:val="24"/>
          <w:szCs w:val="24"/>
          <w:lang w:eastAsia="es-MX"/>
        </w:rPr>
        <w:t xml:space="preserve"> al cambio de modalidad, por considerar que la información otorgada por </w:t>
      </w:r>
      <w:r w:rsidRPr="00616A54">
        <w:rPr>
          <w:rFonts w:ascii="Palatino Linotype" w:hAnsi="Palatino Linotype" w:cs="Arial"/>
          <w:b/>
          <w:sz w:val="24"/>
          <w:szCs w:val="24"/>
          <w:lang w:eastAsia="es-MX"/>
        </w:rPr>
        <w:t>El Sujeto Obligado</w:t>
      </w:r>
      <w:r w:rsidRPr="00616A54">
        <w:rPr>
          <w:rFonts w:ascii="Palatino Linotype" w:hAnsi="Palatino Linotype" w:cs="Arial"/>
          <w:sz w:val="24"/>
          <w:szCs w:val="24"/>
          <w:lang w:eastAsia="es-MX"/>
        </w:rPr>
        <w:t xml:space="preserve"> es omisa a la solicitud que corresponden los datos presentados en dicha respuesta. </w:t>
      </w:r>
    </w:p>
    <w:p w14:paraId="566666E3" w14:textId="77777777" w:rsidR="00B87511" w:rsidRPr="00616A54" w:rsidRDefault="00B87511" w:rsidP="00B87511">
      <w:pPr>
        <w:pStyle w:val="Sinespaciado"/>
        <w:rPr>
          <w:sz w:val="14"/>
        </w:rPr>
      </w:pPr>
    </w:p>
    <w:p w14:paraId="3185E63C" w14:textId="77777777" w:rsidR="00B87511" w:rsidRPr="00616A54" w:rsidRDefault="00B87511" w:rsidP="00B87511">
      <w:pPr>
        <w:tabs>
          <w:tab w:val="left" w:pos="8647"/>
        </w:tabs>
        <w:spacing w:after="0" w:line="360" w:lineRule="auto"/>
        <w:jc w:val="both"/>
        <w:rPr>
          <w:rFonts w:ascii="Palatino Linotype" w:hAnsi="Palatino Linotype"/>
          <w:sz w:val="24"/>
          <w:szCs w:val="24"/>
        </w:rPr>
      </w:pPr>
      <w:r w:rsidRPr="00616A54">
        <w:rPr>
          <w:rFonts w:ascii="Palatino Linotype" w:hAnsi="Palatino Linotype" w:cs="Arial"/>
          <w:sz w:val="24"/>
          <w:szCs w:val="24"/>
        </w:rPr>
        <w:t xml:space="preserve">Es de precisar que se obvia el análisis de la competencia por parte del </w:t>
      </w:r>
      <w:r w:rsidRPr="00616A54">
        <w:rPr>
          <w:rFonts w:ascii="Palatino Linotype" w:hAnsi="Palatino Linotype" w:cs="Arial"/>
          <w:b/>
          <w:sz w:val="24"/>
          <w:szCs w:val="24"/>
        </w:rPr>
        <w:t>Sujeto Obligado</w:t>
      </w:r>
      <w:r w:rsidRPr="00616A54">
        <w:rPr>
          <w:rFonts w:ascii="Palatino Linotype" w:hAnsi="Palatino Linotype" w:cs="Arial"/>
          <w:sz w:val="24"/>
          <w:szCs w:val="24"/>
        </w:rPr>
        <w:t xml:space="preserve">, para generar, administrar o poseer la información solicitada, dado que éste ha asumido </w:t>
      </w:r>
      <w:r w:rsidRPr="00616A54">
        <w:rPr>
          <w:rFonts w:ascii="Palatino Linotype" w:hAnsi="Palatino Linotype" w:cs="Arial"/>
          <w:sz w:val="24"/>
          <w:szCs w:val="24"/>
        </w:rPr>
        <w:lastRenderedPageBreak/>
        <w:t xml:space="preserve">la misma, en razón de que en su respuesta manifiesta entregar la información, por lo tanto, el hecho de que </w:t>
      </w:r>
      <w:r w:rsidRPr="00616A54">
        <w:rPr>
          <w:rFonts w:ascii="Palatino Linotype" w:hAnsi="Palatino Linotype" w:cs="Arial"/>
          <w:b/>
          <w:sz w:val="24"/>
          <w:szCs w:val="24"/>
        </w:rPr>
        <w:t>El</w:t>
      </w:r>
      <w:r w:rsidRPr="00616A54">
        <w:rPr>
          <w:rFonts w:ascii="Palatino Linotype" w:hAnsi="Palatino Linotype" w:cs="Arial"/>
          <w:sz w:val="24"/>
          <w:szCs w:val="24"/>
        </w:rPr>
        <w:t xml:space="preserve"> </w:t>
      </w:r>
      <w:r w:rsidRPr="00616A54">
        <w:rPr>
          <w:rFonts w:ascii="Palatino Linotype" w:hAnsi="Palatino Linotype" w:cs="Arial"/>
          <w:b/>
          <w:sz w:val="24"/>
          <w:szCs w:val="24"/>
        </w:rPr>
        <w:t>Sujeto Obligado</w:t>
      </w:r>
      <w:r w:rsidRPr="00616A54">
        <w:rPr>
          <w:rFonts w:ascii="Palatino Linotype" w:hAnsi="Palatino Linotype" w:cs="Arial"/>
          <w:sz w:val="24"/>
          <w:szCs w:val="24"/>
        </w:rPr>
        <w:t xml:space="preserve"> haya intentado dar respuesta al </w:t>
      </w:r>
      <w:r w:rsidRPr="00616A54">
        <w:rPr>
          <w:rFonts w:ascii="Palatino Linotype" w:hAnsi="Palatino Linotype" w:cs="Arial"/>
          <w:b/>
          <w:sz w:val="24"/>
          <w:szCs w:val="24"/>
        </w:rPr>
        <w:t>Recurrente</w:t>
      </w:r>
      <w:r w:rsidRPr="00616A54">
        <w:rPr>
          <w:rFonts w:ascii="Palatino Linotype" w:hAnsi="Palatino Linotype" w:cs="Arial"/>
          <w:sz w:val="24"/>
          <w:szCs w:val="24"/>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16A54">
        <w:rPr>
          <w:rFonts w:ascii="Palatino Linotype" w:hAnsi="Palatino Linotype"/>
          <w:sz w:val="24"/>
          <w:szCs w:val="24"/>
        </w:rPr>
        <w:t xml:space="preserve">, ya que se insiste que la información pública solicitada, ya fue asumida por </w:t>
      </w:r>
      <w:r w:rsidRPr="00616A54">
        <w:rPr>
          <w:rFonts w:ascii="Palatino Linotype" w:hAnsi="Palatino Linotype"/>
          <w:b/>
          <w:sz w:val="24"/>
          <w:szCs w:val="24"/>
        </w:rPr>
        <w:t>El Sujeto Obligado</w:t>
      </w:r>
      <w:r w:rsidRPr="00616A54">
        <w:rPr>
          <w:rFonts w:ascii="Palatino Linotype" w:hAnsi="Palatino Linotype"/>
          <w:sz w:val="24"/>
          <w:szCs w:val="24"/>
        </w:rPr>
        <w:t>.</w:t>
      </w:r>
    </w:p>
    <w:p w14:paraId="12D379EB" w14:textId="77777777" w:rsidR="00B87511" w:rsidRPr="00616A54" w:rsidRDefault="00B87511" w:rsidP="00B87511">
      <w:pPr>
        <w:spacing w:after="0" w:line="360" w:lineRule="auto"/>
        <w:contextualSpacing/>
        <w:jc w:val="both"/>
        <w:rPr>
          <w:rFonts w:ascii="Palatino Linotype" w:eastAsia="Times New Roman" w:hAnsi="Palatino Linotype" w:cs="Times New Roman"/>
          <w:sz w:val="24"/>
          <w:szCs w:val="24"/>
          <w:lang w:val="es-ES_tradnl" w:eastAsia="es-ES"/>
        </w:rPr>
      </w:pPr>
    </w:p>
    <w:p w14:paraId="4F8C68B3" w14:textId="7AC72114" w:rsidR="00B87511" w:rsidRPr="00616A54" w:rsidRDefault="00B87511" w:rsidP="00B87511">
      <w:pPr>
        <w:spacing w:after="0" w:line="360" w:lineRule="auto"/>
        <w:contextualSpacing/>
        <w:jc w:val="both"/>
        <w:rPr>
          <w:rFonts w:ascii="Palatino Linotype" w:eastAsia="Times New Roman" w:hAnsi="Palatino Linotype" w:cs="Times New Roman"/>
          <w:sz w:val="24"/>
          <w:szCs w:val="24"/>
          <w:lang w:val="es-ES_tradnl" w:eastAsia="es-ES"/>
        </w:rPr>
      </w:pPr>
      <w:r w:rsidRPr="00616A54">
        <w:rPr>
          <w:rFonts w:ascii="Palatino Linotype" w:eastAsia="Times New Roman" w:hAnsi="Palatino Linotype" w:cs="Times New Roman"/>
          <w:sz w:val="24"/>
          <w:szCs w:val="24"/>
          <w:lang w:val="es-ES_tradnl" w:eastAsia="es-ES"/>
        </w:rPr>
        <w:t xml:space="preserve">En el caso concreto que nos ocupa analizar, es de destacar que la información fue requerida a través del </w:t>
      </w:r>
      <w:r w:rsidRPr="00616A54">
        <w:rPr>
          <w:rFonts w:ascii="Palatino Linotype" w:eastAsia="Times New Roman" w:hAnsi="Palatino Linotype" w:cs="Times New Roman"/>
          <w:b/>
          <w:sz w:val="24"/>
          <w:szCs w:val="24"/>
          <w:lang w:val="es-ES_tradnl" w:eastAsia="es-ES"/>
        </w:rPr>
        <w:t>SAIMEX</w:t>
      </w:r>
      <w:r w:rsidRPr="00616A54">
        <w:rPr>
          <w:rFonts w:ascii="Palatino Linotype" w:eastAsia="Times New Roman" w:hAnsi="Palatino Linotype" w:cs="Times New Roman"/>
          <w:sz w:val="24"/>
          <w:szCs w:val="24"/>
          <w:lang w:val="es-ES_tradnl" w:eastAsia="es-ES"/>
        </w:rPr>
        <w:t xml:space="preserve">; sin embargo, </w:t>
      </w:r>
      <w:r w:rsidRPr="00616A54">
        <w:rPr>
          <w:rFonts w:ascii="Palatino Linotype" w:eastAsia="Times New Roman" w:hAnsi="Palatino Linotype" w:cs="Times New Roman"/>
          <w:b/>
          <w:sz w:val="24"/>
          <w:szCs w:val="24"/>
          <w:lang w:val="es-ES_tradnl" w:eastAsia="es-ES"/>
        </w:rPr>
        <w:t xml:space="preserve">El Sujeto Obligado </w:t>
      </w:r>
      <w:r w:rsidRPr="00616A54">
        <w:rPr>
          <w:rFonts w:ascii="Palatino Linotype" w:eastAsia="Times New Roman" w:hAnsi="Palatino Linotype" w:cs="Times New Roman"/>
          <w:sz w:val="24"/>
          <w:szCs w:val="24"/>
          <w:lang w:val="es-ES_tradnl" w:eastAsia="es-ES"/>
        </w:rPr>
        <w:t>en respuesta al planteamiento formulado informó que se ponía a disposición del peticionario en la modalidad de “</w:t>
      </w:r>
      <w:r w:rsidRPr="00616A54">
        <w:rPr>
          <w:rFonts w:ascii="Palatino Linotype" w:eastAsia="Times New Roman" w:hAnsi="Palatino Linotype" w:cs="Times New Roman"/>
          <w:i/>
          <w:sz w:val="24"/>
          <w:szCs w:val="24"/>
          <w:lang w:val="es-ES_tradnl" w:eastAsia="es-ES"/>
        </w:rPr>
        <w:t>Consulta Directa</w:t>
      </w:r>
      <w:r w:rsidRPr="00616A54">
        <w:rPr>
          <w:rFonts w:ascii="Palatino Linotype" w:eastAsia="Times New Roman" w:hAnsi="Palatino Linotype" w:cs="Times New Roman"/>
          <w:sz w:val="24"/>
          <w:szCs w:val="24"/>
          <w:lang w:val="es-ES_tradnl" w:eastAsia="es-ES"/>
        </w:rPr>
        <w:t xml:space="preserve">”, indicando que se pone a disposición la información a partir del 12 de abril de 2021 y que deberá de dirigirse y presentarse a las oficinas que ocupa la Tesorería Municipal en Av. Morelos No. 1 Nuevo Santo Tomás de los Plátanos, Santo Tomás, México C.P. 51110, presentando el acuse a la solicitud Ingresada al Sistema SAIMEX; por el que </w:t>
      </w:r>
      <w:r w:rsidRPr="00616A54">
        <w:rPr>
          <w:rFonts w:ascii="Palatino Linotype" w:eastAsia="Times New Roman" w:hAnsi="Palatino Linotype" w:cs="Times New Roman"/>
          <w:b/>
          <w:sz w:val="24"/>
          <w:szCs w:val="24"/>
          <w:lang w:val="es-ES_tradnl" w:eastAsia="es-ES"/>
        </w:rPr>
        <w:t xml:space="preserve">El Recurrente </w:t>
      </w:r>
      <w:r w:rsidRPr="00616A54">
        <w:rPr>
          <w:rFonts w:ascii="Palatino Linotype" w:eastAsia="Times New Roman" w:hAnsi="Palatino Linotype" w:cs="Times New Roman"/>
          <w:sz w:val="24"/>
          <w:szCs w:val="24"/>
          <w:lang w:val="es-ES_tradnl" w:eastAsia="es-ES"/>
        </w:rPr>
        <w:t>se inconformó refiriendo la violación y transgresión a su anonimato.</w:t>
      </w:r>
    </w:p>
    <w:p w14:paraId="444CF6C6" w14:textId="77777777" w:rsidR="00B87511" w:rsidRPr="00616A54" w:rsidRDefault="00B87511" w:rsidP="00B87511">
      <w:pPr>
        <w:spacing w:after="0" w:line="360" w:lineRule="auto"/>
        <w:contextualSpacing/>
        <w:jc w:val="both"/>
        <w:rPr>
          <w:rFonts w:ascii="Palatino Linotype" w:eastAsia="Times New Roman" w:hAnsi="Palatino Linotype" w:cs="Times New Roman"/>
          <w:sz w:val="24"/>
          <w:szCs w:val="24"/>
          <w:lang w:val="es-ES_tradnl" w:eastAsia="es-ES"/>
        </w:rPr>
      </w:pPr>
    </w:p>
    <w:p w14:paraId="734F14D3" w14:textId="2EEF699F" w:rsidR="00B87511" w:rsidRPr="00616A54" w:rsidRDefault="00B87511" w:rsidP="00B87511">
      <w:pPr>
        <w:spacing w:before="240" w:after="240" w:line="360" w:lineRule="auto"/>
        <w:contextualSpacing/>
        <w:jc w:val="both"/>
        <w:rPr>
          <w:rFonts w:ascii="Palatino Linotype" w:eastAsia="MS Mincho" w:hAnsi="Palatino Linotype" w:cs="Arial"/>
          <w:sz w:val="24"/>
          <w:szCs w:val="23"/>
          <w:lang w:val="es-ES_tradnl" w:eastAsia="es-ES"/>
        </w:rPr>
      </w:pPr>
      <w:r w:rsidRPr="00616A54">
        <w:rPr>
          <w:rFonts w:ascii="Palatino Linotype" w:eastAsia="Times New Roman" w:hAnsi="Palatino Linotype" w:cs="Times New Roman"/>
          <w:sz w:val="24"/>
          <w:szCs w:val="24"/>
          <w:lang w:val="es-ES_tradnl" w:eastAsia="es-ES"/>
        </w:rPr>
        <w:t xml:space="preserve">Por lo tanto, derivado de lo señalado en la interposición del recurso de revisión la actuación del </w:t>
      </w:r>
      <w:r w:rsidRPr="00616A54">
        <w:rPr>
          <w:rFonts w:ascii="Palatino Linotype" w:eastAsia="Times New Roman" w:hAnsi="Palatino Linotype" w:cs="Times New Roman"/>
          <w:b/>
          <w:sz w:val="24"/>
          <w:szCs w:val="24"/>
          <w:lang w:val="es-ES_tradnl" w:eastAsia="es-ES"/>
        </w:rPr>
        <w:t xml:space="preserve">Sujeto Obligado </w:t>
      </w:r>
      <w:r w:rsidRPr="00616A54">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p>
    <w:p w14:paraId="3BDECA94" w14:textId="77777777" w:rsidR="00B87511" w:rsidRPr="00616A54" w:rsidRDefault="00B87511" w:rsidP="00B87511">
      <w:pPr>
        <w:tabs>
          <w:tab w:val="left" w:pos="709"/>
        </w:tabs>
        <w:spacing w:line="360" w:lineRule="auto"/>
        <w:jc w:val="both"/>
        <w:rPr>
          <w:rFonts w:ascii="Palatino Linotype" w:hAnsi="Palatino Linotype" w:cs="Arial"/>
          <w:sz w:val="24"/>
          <w:szCs w:val="24"/>
        </w:rPr>
      </w:pPr>
      <w:r w:rsidRPr="00616A54">
        <w:rPr>
          <w:rFonts w:ascii="Palatino Linotype" w:hAnsi="Palatino Linotype" w:cs="Arial"/>
          <w:sz w:val="24"/>
          <w:szCs w:val="24"/>
        </w:rPr>
        <w:lastRenderedPageBreak/>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D0E6734" w14:textId="77777777" w:rsidR="00B87511" w:rsidRPr="00616A54" w:rsidRDefault="00B87511" w:rsidP="00B87511">
      <w:pPr>
        <w:pStyle w:val="Sinespaciado"/>
        <w:rPr>
          <w:sz w:val="14"/>
        </w:rPr>
      </w:pPr>
    </w:p>
    <w:p w14:paraId="5C9A351E" w14:textId="77777777" w:rsidR="00B87511" w:rsidRPr="00616A54" w:rsidRDefault="00B87511" w:rsidP="00B87511">
      <w:pPr>
        <w:tabs>
          <w:tab w:val="left" w:pos="709"/>
        </w:tabs>
        <w:spacing w:line="276" w:lineRule="auto"/>
        <w:ind w:left="567" w:right="567"/>
        <w:jc w:val="both"/>
        <w:rPr>
          <w:rFonts w:ascii="Palatino Linotype" w:hAnsi="Palatino Linotype" w:cs="Arial"/>
          <w:i/>
          <w:szCs w:val="24"/>
        </w:rPr>
      </w:pPr>
      <w:r w:rsidRPr="00616A54">
        <w:rPr>
          <w:rFonts w:ascii="Palatino Linotype" w:hAnsi="Palatino Linotype" w:cs="Arial"/>
          <w:b/>
          <w:i/>
          <w:szCs w:val="24"/>
        </w:rPr>
        <w:t>“Artículo 164.</w:t>
      </w:r>
      <w:r w:rsidRPr="00616A54">
        <w:rPr>
          <w:rFonts w:ascii="Palatino Linotype" w:hAnsi="Palatino Linotype" w:cs="Arial"/>
          <w:i/>
          <w:szCs w:val="24"/>
        </w:rPr>
        <w:t xml:space="preserve"> </w:t>
      </w:r>
      <w:r w:rsidRPr="00616A54">
        <w:rPr>
          <w:rFonts w:ascii="Palatino Linotype" w:hAnsi="Palatino Linotype" w:cs="Arial"/>
          <w:b/>
          <w:i/>
          <w:szCs w:val="24"/>
          <w:u w:val="single"/>
        </w:rPr>
        <w:t>El acceso se dará en la modalidad de entrega y, en su caso, de envío elegidos por el solicitante.</w:t>
      </w:r>
      <w:r w:rsidRPr="00616A54">
        <w:rPr>
          <w:rFonts w:ascii="Palatino Linotype" w:hAnsi="Palatino Linotype" w:cs="Arial"/>
          <w:i/>
          <w:szCs w:val="24"/>
        </w:rPr>
        <w:t xml:space="preserve"> Cuando la información no pueda entregarse o enviarse en la modalidad solicitada, el sujeto obligado deberá ofrecer otra u otras modalidades de entrega. </w:t>
      </w:r>
    </w:p>
    <w:p w14:paraId="22F4AA39" w14:textId="77777777" w:rsidR="00B87511" w:rsidRPr="00616A54" w:rsidRDefault="00B87511" w:rsidP="00B87511">
      <w:pPr>
        <w:tabs>
          <w:tab w:val="left" w:pos="709"/>
        </w:tabs>
        <w:spacing w:line="276" w:lineRule="auto"/>
        <w:ind w:left="567" w:right="567"/>
        <w:jc w:val="both"/>
        <w:rPr>
          <w:rFonts w:ascii="Palatino Linotype" w:hAnsi="Palatino Linotype" w:cs="Arial"/>
          <w:i/>
          <w:szCs w:val="24"/>
        </w:rPr>
      </w:pPr>
      <w:r w:rsidRPr="00616A54">
        <w:rPr>
          <w:rFonts w:ascii="Palatino Linotype" w:hAnsi="Palatino Linotype" w:cs="Arial"/>
          <w:b/>
          <w:i/>
          <w:szCs w:val="24"/>
          <w:u w:val="single"/>
        </w:rPr>
        <w:t>En cualquier caso, se deberá fundar y motivar la necesidad de ofrecer otras modalidades.</w:t>
      </w:r>
      <w:r w:rsidRPr="00616A54">
        <w:rPr>
          <w:rFonts w:ascii="Palatino Linotype" w:hAnsi="Palatino Linotype" w:cs="Arial"/>
          <w:i/>
          <w:szCs w:val="24"/>
        </w:rPr>
        <w:t>”</w:t>
      </w:r>
    </w:p>
    <w:p w14:paraId="1F331CE2" w14:textId="77777777" w:rsidR="00B87511" w:rsidRPr="00616A54" w:rsidRDefault="00B87511" w:rsidP="00B87511">
      <w:pPr>
        <w:tabs>
          <w:tab w:val="left" w:pos="709"/>
        </w:tabs>
        <w:spacing w:line="360" w:lineRule="auto"/>
        <w:jc w:val="right"/>
        <w:rPr>
          <w:rFonts w:ascii="Palatino Linotype" w:hAnsi="Palatino Linotype" w:cs="Arial"/>
          <w:b/>
          <w:i/>
          <w:sz w:val="18"/>
          <w:szCs w:val="24"/>
        </w:rPr>
      </w:pPr>
      <w:r w:rsidRPr="00616A54">
        <w:rPr>
          <w:rFonts w:ascii="Palatino Linotype" w:hAnsi="Palatino Linotype" w:cs="Arial"/>
          <w:b/>
          <w:i/>
          <w:sz w:val="18"/>
          <w:szCs w:val="24"/>
        </w:rPr>
        <w:t xml:space="preserve">[Énfasis añadido] </w:t>
      </w:r>
    </w:p>
    <w:p w14:paraId="06E7CB38" w14:textId="77777777" w:rsidR="00B87511" w:rsidRPr="00616A54" w:rsidRDefault="00B87511" w:rsidP="00B87511">
      <w:pPr>
        <w:spacing w:before="240" w:after="240" w:line="360" w:lineRule="auto"/>
        <w:contextualSpacing/>
        <w:jc w:val="both"/>
        <w:rPr>
          <w:rFonts w:ascii="Palatino Linotype" w:hAnsi="Palatino Linotype"/>
          <w:b/>
          <w:sz w:val="24"/>
        </w:rPr>
      </w:pPr>
      <w:r w:rsidRPr="00616A54">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616A54">
        <w:rPr>
          <w:rFonts w:ascii="Palatino Linotype" w:hAnsi="Palatino Linotype"/>
          <w:b/>
          <w:sz w:val="24"/>
        </w:rPr>
        <w:t xml:space="preserve">El Sujeto Obligado </w:t>
      </w:r>
      <w:r w:rsidRPr="00616A54">
        <w:rPr>
          <w:rFonts w:ascii="Palatino Linotype" w:hAnsi="Palatino Linotype"/>
          <w:sz w:val="24"/>
        </w:rPr>
        <w:t xml:space="preserve">podrá garantizar la entrega a través de cualquier otro medio, siempre y cuando funde y motive la razón para hacerlo. </w:t>
      </w:r>
    </w:p>
    <w:p w14:paraId="056BD0E7" w14:textId="77777777" w:rsidR="00B87511" w:rsidRPr="00616A54" w:rsidRDefault="00B87511" w:rsidP="00B87511">
      <w:pPr>
        <w:spacing w:before="240" w:after="240" w:line="360" w:lineRule="auto"/>
        <w:contextualSpacing/>
        <w:jc w:val="both"/>
        <w:rPr>
          <w:rFonts w:ascii="Palatino Linotype" w:eastAsia="Times New Roman" w:hAnsi="Palatino Linotype" w:cs="Times New Roman"/>
          <w:b/>
          <w:sz w:val="24"/>
          <w:szCs w:val="24"/>
          <w:lang w:val="es-ES" w:eastAsia="es-ES"/>
        </w:rPr>
      </w:pPr>
    </w:p>
    <w:p w14:paraId="1439F22E" w14:textId="77777777" w:rsidR="00B87511" w:rsidRPr="00616A54" w:rsidRDefault="00B87511" w:rsidP="00B87511">
      <w:pPr>
        <w:spacing w:before="240" w:after="240" w:line="360" w:lineRule="auto"/>
        <w:contextualSpacing/>
        <w:jc w:val="both"/>
        <w:rPr>
          <w:rFonts w:ascii="Palatino Linotype" w:hAnsi="Palatino Linotype"/>
          <w:sz w:val="24"/>
        </w:rPr>
      </w:pPr>
      <w:r w:rsidRPr="00616A54">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E0C9466" w14:textId="77777777" w:rsidR="00B87511" w:rsidRPr="00616A54" w:rsidRDefault="00B87511" w:rsidP="00B87511">
      <w:pPr>
        <w:spacing w:before="240" w:after="240" w:line="360" w:lineRule="auto"/>
        <w:contextualSpacing/>
        <w:jc w:val="both"/>
        <w:rPr>
          <w:rFonts w:ascii="Palatino Linotype" w:eastAsia="Times New Roman" w:hAnsi="Palatino Linotype" w:cs="Times New Roman"/>
          <w:sz w:val="24"/>
          <w:szCs w:val="24"/>
          <w:lang w:val="es-ES" w:eastAsia="es-ES"/>
        </w:rPr>
      </w:pPr>
    </w:p>
    <w:p w14:paraId="13A5BDB0" w14:textId="2E092E1B" w:rsidR="00B87511" w:rsidRPr="00616A54" w:rsidRDefault="00B87511" w:rsidP="00B87511">
      <w:pPr>
        <w:spacing w:before="240" w:after="240" w:line="360" w:lineRule="auto"/>
        <w:contextualSpacing/>
        <w:jc w:val="both"/>
        <w:rPr>
          <w:rFonts w:ascii="Palatino Linotype" w:hAnsi="Palatino Linotype" w:cs="Arial"/>
          <w:color w:val="222222"/>
          <w:sz w:val="24"/>
          <w:lang w:eastAsia="es-MX"/>
        </w:rPr>
      </w:pPr>
      <w:r w:rsidRPr="00616A54">
        <w:rPr>
          <w:rFonts w:ascii="Palatino Linotype" w:hAnsi="Palatino Linotype" w:cs="Arial"/>
          <w:color w:val="222222"/>
          <w:sz w:val="24"/>
          <w:lang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616A54">
        <w:rPr>
          <w:rFonts w:ascii="Palatino Linotype" w:hAnsi="Palatino Linotype" w:cs="Arial"/>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6A54">
        <w:rPr>
          <w:sz w:val="24"/>
          <w:szCs w:val="24"/>
          <w:vertAlign w:val="superscript"/>
        </w:rPr>
        <w:footnoteReference w:id="1"/>
      </w:r>
    </w:p>
    <w:p w14:paraId="586AB7FE" w14:textId="77777777" w:rsidR="00B87511" w:rsidRPr="00616A54" w:rsidRDefault="00B87511" w:rsidP="00B87511">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12167D0" w14:textId="77777777" w:rsidR="00B87511" w:rsidRPr="00616A54" w:rsidRDefault="00B87511" w:rsidP="00B87511">
      <w:pPr>
        <w:spacing w:before="240" w:after="240" w:line="360" w:lineRule="auto"/>
        <w:contextualSpacing/>
        <w:jc w:val="both"/>
        <w:rPr>
          <w:rFonts w:ascii="Palatino Linotype" w:hAnsi="Palatino Linotype" w:cs="Arial"/>
          <w:color w:val="222222"/>
          <w:sz w:val="24"/>
          <w:lang w:eastAsia="es-MX"/>
        </w:rPr>
      </w:pPr>
      <w:r w:rsidRPr="00616A54">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4998568D" w14:textId="77777777" w:rsidR="00B87511" w:rsidRPr="00616A54" w:rsidRDefault="00B87511" w:rsidP="00B87511">
      <w:pPr>
        <w:pStyle w:val="Sinespaciado"/>
        <w:rPr>
          <w:sz w:val="12"/>
          <w:lang w:eastAsia="es-MX"/>
        </w:rPr>
      </w:pPr>
    </w:p>
    <w:p w14:paraId="743D3DB4" w14:textId="77777777" w:rsidR="00B87511" w:rsidRPr="00616A54" w:rsidRDefault="00B87511" w:rsidP="00B87511">
      <w:pPr>
        <w:spacing w:line="240" w:lineRule="auto"/>
        <w:ind w:left="851" w:right="618"/>
        <w:contextualSpacing/>
        <w:jc w:val="both"/>
        <w:rPr>
          <w:rFonts w:ascii="Palatino Linotype" w:hAnsi="Palatino Linotype" w:cs="Arial"/>
          <w:i/>
          <w:color w:val="000000"/>
        </w:rPr>
      </w:pPr>
      <w:r w:rsidRPr="00616A54">
        <w:rPr>
          <w:rFonts w:ascii="Palatino Linotype" w:hAnsi="Palatino Linotype" w:cs="Arial"/>
          <w:b/>
          <w:i/>
          <w:color w:val="000000"/>
        </w:rPr>
        <w:t>FUNDAMENTACIÓN Y MOTIVACIÓN.</w:t>
      </w:r>
      <w:r w:rsidRPr="00616A54">
        <w:rPr>
          <w:rFonts w:ascii="Palatino Linotype" w:hAnsi="Palatino Linotype" w:cs="Arial"/>
          <w:i/>
          <w:color w:val="000000"/>
        </w:rPr>
        <w:t xml:space="preserve"> La </w:t>
      </w:r>
      <w:r w:rsidRPr="00616A5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16A54">
        <w:rPr>
          <w:rFonts w:ascii="Palatino Linotype" w:hAnsi="Palatino Linotype" w:cs="Arial"/>
          <w:i/>
          <w:color w:val="000000"/>
        </w:rPr>
        <w:t>.</w:t>
      </w:r>
    </w:p>
    <w:p w14:paraId="6C752477" w14:textId="77777777" w:rsidR="00B87511" w:rsidRPr="00616A54" w:rsidRDefault="00B87511" w:rsidP="00B87511">
      <w:pPr>
        <w:spacing w:line="360" w:lineRule="auto"/>
        <w:ind w:right="618"/>
        <w:contextualSpacing/>
        <w:jc w:val="both"/>
        <w:rPr>
          <w:rFonts w:ascii="Palatino Linotype" w:hAnsi="Palatino Linotype" w:cs="Arial"/>
          <w:i/>
          <w:color w:val="000000"/>
        </w:rPr>
      </w:pPr>
    </w:p>
    <w:p w14:paraId="6504CFA8"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r w:rsidRPr="00616A54">
        <w:rPr>
          <w:rFonts w:ascii="Palatino Linotype" w:hAnsi="Palatino Linotype" w:cs="Arial"/>
          <w:b/>
          <w:i/>
          <w:color w:val="000000"/>
        </w:rPr>
        <w:t>SEGUNDO TRIBUNAL COLEGIADO DEL SEXTO CIRCUITO</w:t>
      </w:r>
      <w:r w:rsidRPr="00616A54">
        <w:rPr>
          <w:rFonts w:ascii="Palatino Linotype" w:hAnsi="Palatino Linotype" w:cs="Arial"/>
          <w:i/>
          <w:color w:val="000000"/>
        </w:rPr>
        <w:t>.</w:t>
      </w:r>
    </w:p>
    <w:p w14:paraId="049F4590"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r w:rsidRPr="00616A5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D3C5D82"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p>
    <w:p w14:paraId="3FDC26E8"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r w:rsidRPr="00616A54">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616A54">
        <w:rPr>
          <w:rFonts w:ascii="Palatino Linotype" w:hAnsi="Palatino Linotype" w:cs="Arial"/>
          <w:i/>
          <w:color w:val="000000"/>
        </w:rPr>
        <w:t>Esponda</w:t>
      </w:r>
      <w:proofErr w:type="spellEnd"/>
      <w:r w:rsidRPr="00616A54">
        <w:rPr>
          <w:rFonts w:ascii="Palatino Linotype" w:hAnsi="Palatino Linotype" w:cs="Arial"/>
          <w:i/>
          <w:color w:val="000000"/>
        </w:rPr>
        <w:t xml:space="preserve"> Rincón.</w:t>
      </w:r>
    </w:p>
    <w:p w14:paraId="7BCD74A9"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p>
    <w:p w14:paraId="14016432"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r w:rsidRPr="00616A54">
        <w:rPr>
          <w:rFonts w:ascii="Palatino Linotype" w:hAnsi="Palatino Linotype" w:cs="Arial"/>
          <w:i/>
          <w:color w:val="000000"/>
        </w:rPr>
        <w:t xml:space="preserve">Amparo en revisión 333/88. </w:t>
      </w:r>
      <w:proofErr w:type="spellStart"/>
      <w:r w:rsidRPr="00616A54">
        <w:rPr>
          <w:rFonts w:ascii="Palatino Linotype" w:hAnsi="Palatino Linotype" w:cs="Arial"/>
          <w:i/>
          <w:color w:val="000000"/>
        </w:rPr>
        <w:t>Adilia</w:t>
      </w:r>
      <w:proofErr w:type="spellEnd"/>
      <w:r w:rsidRPr="00616A54">
        <w:rPr>
          <w:rFonts w:ascii="Palatino Linotype" w:hAnsi="Palatino Linotype" w:cs="Arial"/>
          <w:i/>
          <w:color w:val="000000"/>
        </w:rPr>
        <w:t xml:space="preserve"> Romero. 26 de octubre de 1988. Unanimidad de votos. Ponente: Arnoldo Nájera Virgen. Secretario: Enrique Crispín Campos Ramírez.</w:t>
      </w:r>
    </w:p>
    <w:p w14:paraId="146D7BC1"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p>
    <w:p w14:paraId="47314752"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r w:rsidRPr="00616A5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616A54">
        <w:rPr>
          <w:rFonts w:ascii="Palatino Linotype" w:hAnsi="Palatino Linotype" w:cs="Arial"/>
          <w:i/>
          <w:color w:val="000000"/>
        </w:rPr>
        <w:t>Goyzueta</w:t>
      </w:r>
      <w:proofErr w:type="spellEnd"/>
      <w:r w:rsidRPr="00616A54">
        <w:rPr>
          <w:rFonts w:ascii="Palatino Linotype" w:hAnsi="Palatino Linotype" w:cs="Arial"/>
          <w:i/>
          <w:color w:val="000000"/>
        </w:rPr>
        <w:t>. Secretario: Gonzalo Carrera Molina.</w:t>
      </w:r>
    </w:p>
    <w:p w14:paraId="4889F512"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p>
    <w:p w14:paraId="6F8B9D09" w14:textId="77777777" w:rsidR="00B87511" w:rsidRPr="00616A54" w:rsidRDefault="00B87511" w:rsidP="00B87511">
      <w:pPr>
        <w:spacing w:after="0" w:line="240" w:lineRule="auto"/>
        <w:ind w:left="851" w:right="618"/>
        <w:contextualSpacing/>
        <w:jc w:val="both"/>
        <w:rPr>
          <w:rFonts w:ascii="Palatino Linotype" w:hAnsi="Palatino Linotype" w:cs="Arial"/>
          <w:i/>
          <w:color w:val="000000"/>
        </w:rPr>
      </w:pPr>
      <w:r w:rsidRPr="00616A5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616A54">
        <w:rPr>
          <w:rFonts w:ascii="Palatino Linotype" w:hAnsi="Palatino Linotype" w:cs="Arial"/>
          <w:i/>
          <w:color w:val="000000"/>
        </w:rPr>
        <w:t>Baigts</w:t>
      </w:r>
      <w:proofErr w:type="spellEnd"/>
      <w:r w:rsidRPr="00616A54">
        <w:rPr>
          <w:rFonts w:ascii="Palatino Linotype" w:hAnsi="Palatino Linotype" w:cs="Arial"/>
          <w:i/>
          <w:color w:val="000000"/>
        </w:rPr>
        <w:t xml:space="preserve"> Muñoz.</w:t>
      </w:r>
    </w:p>
    <w:p w14:paraId="5A1458E1" w14:textId="77777777" w:rsidR="00B87511" w:rsidRPr="00616A54" w:rsidRDefault="00B87511" w:rsidP="00B87511">
      <w:pPr>
        <w:spacing w:before="240" w:after="240" w:line="240" w:lineRule="auto"/>
        <w:contextualSpacing/>
        <w:jc w:val="both"/>
        <w:rPr>
          <w:rFonts w:ascii="Palatino Linotype" w:hAnsi="Palatino Linotype" w:cs="Arial"/>
          <w:color w:val="222222"/>
          <w:lang w:eastAsia="es-MX"/>
        </w:rPr>
      </w:pPr>
    </w:p>
    <w:p w14:paraId="4E9E20BE" w14:textId="732FC264" w:rsidR="00B87511" w:rsidRPr="00616A54" w:rsidRDefault="00B87511" w:rsidP="00B87511">
      <w:pPr>
        <w:spacing w:after="0" w:line="360" w:lineRule="auto"/>
        <w:contextualSpacing/>
        <w:jc w:val="both"/>
        <w:rPr>
          <w:rFonts w:ascii="Palatino Linotype" w:hAnsi="Palatino Linotype" w:cs="Arial"/>
          <w:color w:val="222222"/>
          <w:sz w:val="24"/>
          <w:lang w:eastAsia="es-MX"/>
        </w:rPr>
      </w:pPr>
      <w:r w:rsidRPr="00616A54">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71C74E0" w14:textId="77777777" w:rsidR="00B87511" w:rsidRPr="00616A54" w:rsidRDefault="00B87511" w:rsidP="00B87511">
      <w:pPr>
        <w:spacing w:after="0" w:line="360" w:lineRule="auto"/>
        <w:contextualSpacing/>
        <w:jc w:val="both"/>
        <w:rPr>
          <w:rFonts w:ascii="Palatino Linotype" w:hAnsi="Palatino Linotype" w:cs="Arial"/>
          <w:color w:val="222222"/>
          <w:sz w:val="24"/>
          <w:lang w:eastAsia="es-MX"/>
        </w:rPr>
      </w:pPr>
    </w:p>
    <w:p w14:paraId="75180374" w14:textId="31B3BEF9" w:rsidR="00B87511" w:rsidRPr="00616A54" w:rsidRDefault="00B87511" w:rsidP="00B87511">
      <w:pPr>
        <w:spacing w:after="0" w:line="360" w:lineRule="auto"/>
        <w:contextualSpacing/>
        <w:jc w:val="both"/>
        <w:rPr>
          <w:rFonts w:ascii="Palatino Linotype" w:hAnsi="Palatino Linotype" w:cs="Arial"/>
          <w:color w:val="222222"/>
          <w:sz w:val="24"/>
          <w:lang w:eastAsia="es-MX"/>
        </w:rPr>
      </w:pPr>
      <w:r w:rsidRPr="00616A54">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F225550" w14:textId="77777777" w:rsidR="00B87511" w:rsidRPr="00616A54" w:rsidRDefault="00B87511" w:rsidP="00B87511">
      <w:pPr>
        <w:spacing w:after="0" w:line="360" w:lineRule="auto"/>
        <w:contextualSpacing/>
        <w:jc w:val="both"/>
        <w:rPr>
          <w:rFonts w:ascii="Palatino Linotype" w:hAnsi="Palatino Linotype"/>
          <w:sz w:val="24"/>
          <w:szCs w:val="24"/>
        </w:rPr>
      </w:pPr>
    </w:p>
    <w:p w14:paraId="35495E5F" w14:textId="77777777" w:rsidR="00B87511" w:rsidRPr="00616A54" w:rsidRDefault="00B87511" w:rsidP="00B87511">
      <w:pPr>
        <w:spacing w:after="0" w:line="360" w:lineRule="auto"/>
        <w:contextualSpacing/>
        <w:jc w:val="both"/>
        <w:rPr>
          <w:rFonts w:ascii="Palatino Linotype" w:hAnsi="Palatino Linotype"/>
          <w:b/>
          <w:sz w:val="24"/>
          <w:szCs w:val="24"/>
        </w:rPr>
      </w:pPr>
      <w:r w:rsidRPr="00616A54">
        <w:rPr>
          <w:rFonts w:ascii="Palatino Linotype" w:hAnsi="Palatino Linotype"/>
          <w:sz w:val="24"/>
          <w:szCs w:val="24"/>
        </w:rPr>
        <w:t xml:space="preserve">En este sentido, de las constancias que obran en el presente recurso de revisión, se advierte que el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57A3E32B" w14:textId="33CF1E2D" w:rsidR="00B87511" w:rsidRPr="00616A54" w:rsidRDefault="00B87511" w:rsidP="00B87511">
      <w:pPr>
        <w:spacing w:after="0" w:line="360" w:lineRule="auto"/>
        <w:contextualSpacing/>
        <w:jc w:val="both"/>
        <w:rPr>
          <w:rFonts w:ascii="Palatino Linotype" w:eastAsia="Times New Roman" w:hAnsi="Palatino Linotype" w:cs="Times New Roman"/>
          <w:sz w:val="24"/>
          <w:szCs w:val="24"/>
          <w:lang w:val="es-ES_tradnl" w:eastAsia="es-ES"/>
        </w:rPr>
      </w:pPr>
      <w:r w:rsidRPr="00616A54">
        <w:rPr>
          <w:rFonts w:ascii="Palatino Linotype" w:hAnsi="Palatino Linotype" w:cs="Arial"/>
          <w:noProof/>
          <w:sz w:val="24"/>
          <w:szCs w:val="24"/>
          <w:lang w:eastAsia="es-MX"/>
        </w:rPr>
        <w:lastRenderedPageBreak/>
        <mc:AlternateContent>
          <mc:Choice Requires="wps">
            <w:drawing>
              <wp:anchor distT="0" distB="0" distL="114300" distR="114300" simplePos="0" relativeHeight="251661312" behindDoc="0" locked="0" layoutInCell="1" allowOverlap="1" wp14:anchorId="02FF7E5C" wp14:editId="4438C83D">
                <wp:simplePos x="0" y="0"/>
                <wp:positionH relativeFrom="column">
                  <wp:posOffset>-158391</wp:posOffset>
                </wp:positionH>
                <wp:positionV relativeFrom="paragraph">
                  <wp:posOffset>1008545</wp:posOffset>
                </wp:positionV>
                <wp:extent cx="1677725" cy="540164"/>
                <wp:effectExtent l="19050" t="19050" r="17780" b="12700"/>
                <wp:wrapNone/>
                <wp:docPr id="27" name="Elipse 27"/>
                <wp:cNvGraphicFramePr/>
                <a:graphic xmlns:a="http://schemas.openxmlformats.org/drawingml/2006/main">
                  <a:graphicData uri="http://schemas.microsoft.com/office/word/2010/wordprocessingShape">
                    <wps:wsp>
                      <wps:cNvSpPr/>
                      <wps:spPr>
                        <a:xfrm>
                          <a:off x="0" y="0"/>
                          <a:ext cx="1677725" cy="54016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E4767C" id="Elipse 27" o:spid="_x0000_s1026" style="position:absolute;margin-left:-12.45pt;margin-top:79.4pt;width:132.1pt;height:4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etnQIAAJEFAAAOAAAAZHJzL2Uyb0RvYy54bWysVFFv2yAQfp+0/4B4X21nSdNZdaqoXaZJ&#10;VVu1nfpMMCSWMMeAxMl+/Q6w3air9jAtDw5wd9/xfdzd5dWhVWQvrGtAV7Q4yykRmkPd6E1Ffzyv&#10;Pl1Q4jzTNVOgRUWPwtGrxccPl50pxQS2oGphCYJoV3amolvvTZlljm9Fy9wZGKHRKMG2zOPWbrLa&#10;sg7RW5VN8vw868DWxgIXzuHpTTLSRcSXUnB/L6UTnqiK4t18/Nr4XYdvtrhk5cYys214fw32D7do&#10;WaMx6Qh1wzwjO9v8AdU23IID6c84tBlI2XAROSCbIn/D5mnLjIhcUBxnRpnc/4Pld/sHS5q6opM5&#10;JZq1+EZfVWOcIHiA6nTGlej0ZB5sv3O4DFQP0rbhH0mQQ1T0OCoqDp5wPCzO5/P5ZEYJR9tsmhfn&#10;0wCavUYb6/w3AS0Ji4oKFZNHLdn+1vnkPXiFfBpWjVJ4zkqlSVfRzxdFnscIB6qpgzUYnd2sr5Ul&#10;e4Zvv1rl+Otzn7jhTZTGCwWaiVhc+aMSKcGjkCgPUpmkDKEwxQjLOBfaF8m0ZbVI2WanyYaISFtp&#10;BAzIEm85YvcAg2cCGbCTAr1/CBWxrsfgnvrfgseImBm0H4PbRoN9j5lCVn3m5D+IlKQJKq2hPmLx&#10;WEhd5QxfNfiIt8z5B2axjbDhcDT4e/xIBfhS0K8o2YL99d558MfqRislHbZlRd3PHbOCEvVdY91/&#10;KabT0MdxM53NJ7ixp5b1qUXv2mvA1y9wCBkel8Hfq2EpLbQvOEGWISuamOaYu6Lc22Fz7dO4wBnE&#10;xXIZ3bB3DfO3+snwAB5UDRX6fHhh1vSV7LEH7mBoYVa+qebkGyI1LHceZBNL/VXXXm/s+1g4/YwK&#10;g+V0H71eJ+niNwAAAP//AwBQSwMEFAAGAAgAAAAhAEulZdvfAAAACwEAAA8AAABkcnMvZG93bnJl&#10;di54bWxMj81OwzAQhO9IvIO1SNxap3FBTRqn4kcIwa2FA8et7SaBeB3FbhvenuUEtx3Np9mZajP5&#10;XpzcGLtAGhbzDIQjE2xHjYb3t6fZCkRMSBb7QE7Dt4uwqS8vKixtONPWnXapERxCsUQNbUpDKWU0&#10;rfMY52FwxN4hjB4Ty7GRdsQzh/te5ll2Kz12xB9aHNxD68zX7ug12A/z/Fhs85f2U6lXkxaI3T1q&#10;fX013a1BJDelPxh+63N1qLnTPhzJRtFrmOXLglE2bla8gYlcFQrEno+lKkDWlfy/of4BAAD//wMA&#10;UEsBAi0AFAAGAAgAAAAhALaDOJL+AAAA4QEAABMAAAAAAAAAAAAAAAAAAAAAAFtDb250ZW50X1R5&#10;cGVzXS54bWxQSwECLQAUAAYACAAAACEAOP0h/9YAAACUAQAACwAAAAAAAAAAAAAAAAAvAQAAX3Jl&#10;bHMvLnJlbHNQSwECLQAUAAYACAAAACEAiPWnrZ0CAACRBQAADgAAAAAAAAAAAAAAAAAuAgAAZHJz&#10;L2Uyb0RvYy54bWxQSwECLQAUAAYACAAAACEAS6Vl298AAAALAQAADwAAAAAAAAAAAAAAAAD3BAAA&#10;ZHJzL2Rvd25yZXYueG1sUEsFBgAAAAAEAAQA8wAAAAMGAAAAAA==&#10;" filled="f" strokecolor="red" strokeweight="3pt">
                <v:stroke joinstyle="miter"/>
              </v:oval>
            </w:pict>
          </mc:Fallback>
        </mc:AlternateContent>
      </w:r>
      <w:r w:rsidRPr="00616A54">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F3D9FED" wp14:editId="2BC5634A">
                <wp:simplePos x="0" y="0"/>
                <wp:positionH relativeFrom="column">
                  <wp:posOffset>-39122</wp:posOffset>
                </wp:positionH>
                <wp:positionV relativeFrom="paragraph">
                  <wp:posOffset>-48978</wp:posOffset>
                </wp:positionV>
                <wp:extent cx="4460682" cy="365760"/>
                <wp:effectExtent l="19050" t="19050" r="16510" b="15240"/>
                <wp:wrapNone/>
                <wp:docPr id="28" name="Rectángulo 28"/>
                <wp:cNvGraphicFramePr/>
                <a:graphic xmlns:a="http://schemas.openxmlformats.org/drawingml/2006/main">
                  <a:graphicData uri="http://schemas.microsoft.com/office/word/2010/wordprocessingShape">
                    <wps:wsp>
                      <wps:cNvSpPr/>
                      <wps:spPr>
                        <a:xfrm>
                          <a:off x="0" y="0"/>
                          <a:ext cx="4460682" cy="3657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3549D" id="Rectángulo 28" o:spid="_x0000_s1026" style="position:absolute;margin-left:-3.1pt;margin-top:-3.85pt;width:351.2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wwpAIAAJMFAAAOAAAAZHJzL2Uyb0RvYy54bWysVM1OGzEQvlfqO1i+l92kIdCIDYpAqSoh&#10;QEDF2fHayUpejzt2sknfps/SF2Ps/SGiqIeqOWw8nplvPN/8XFzua8N2Cn0FtuCjk5wzZSWUlV0X&#10;/PvT8tM5Zz4IWwoDVhX8oDy/nH/8cNG4mRrDBkypkBGI9bPGFXwTgptlmZcbVQt/Ak5ZUmrAWgQS&#10;cZ2VKBpCr002zvNp1gCWDkEq7+n2ulXyecLXWslwp7VXgZmC09tC+mL6ruI3m1+I2RqF21Sye4b4&#10;h1fUorIUdIC6FkGwLVZ/QNWVRPCgw4mEOgOtK6lSDpTNKH+TzeNGOJVyIXK8G2jy/w9W3u7ukVVl&#10;wcdUKStqqtEDsfb7l11vDTC6JYoa52dk+ejusZM8HWO+e411/KdM2D7RehhoVfvAJF1OJtN8ej7m&#10;TJLu8/T0bJp4z169HfrwVUHN4qHgSA9IbIrdjQ8UkUx7kxjMwrIyJpXOWNYQ6Pkoz5OHB1OVURvt&#10;PK5XVwbZTlD1l8ucfjEbQjsyI8lYuow5tlmlUzgYFTGMfVCaCKI8xm2E2JpqgBVSKhtGrWojStVG&#10;Oz0O1nuk0AkwImt65YDdAfSWLUiP3b65s4+uKnX24Nyl/jfnwSNFBhsG57qygO9lZiirLnJr35PU&#10;UhNZWkF5oPZBaOfKO7msqII3wod7gTRINHK0HMIdfbQBqhR0J842gD/fu4/21N+k5ayhwSy4/7EV&#10;qDgz3yx1/pfRZBInOQmT07MxCXisWR1r7La+Aqr+iNaQk+kY7YPpjxqhfqYdsohRSSWspNgFlwF7&#10;4Sq0C4O2kFSLRTKj6XUi3NhHJyN4ZDV26NP+WaDr2jjQANxCP8Ri9qabW9voaWGxDaCr1OqvvHZ8&#10;0+Snxum2VFwtx3Kyet2l8xcAAAD//wMAUEsDBBQABgAIAAAAIQAoAVeX3gAAAAgBAAAPAAAAZHJz&#10;L2Rvd25yZXYueG1sTI9BT4NAEIXvJv6HzZh4a5diA4IsjTFRozfRptcpuwKBnSXstuC/dzzZ08vk&#10;vbz3TbFb7CDOZvKdIwWbdQTCUO10R42Cr8/n1T0IH5A0Do6Mgh/jYVdeXxWYazfThzlXoRFcQj5H&#10;BW0IYy6lr1tj0a/daIi9bzdZDHxOjdQTzlxuBxlHUSItdsQLLY7mqTV1X52sgrc5HrpDg++vVV/t&#10;e7d92aSZVer2Znl8ABHMEv7D8IfP6FAy09GdSHsxKFglMSdZ0xQE+0mW3IE4KthmGciykJcPlL8A&#10;AAD//wMAUEsBAi0AFAAGAAgAAAAhALaDOJL+AAAA4QEAABMAAAAAAAAAAAAAAAAAAAAAAFtDb250&#10;ZW50X1R5cGVzXS54bWxQSwECLQAUAAYACAAAACEAOP0h/9YAAACUAQAACwAAAAAAAAAAAAAAAAAv&#10;AQAAX3JlbHMvLnJlbHNQSwECLQAUAAYACAAAACEAlbx8MKQCAACTBQAADgAAAAAAAAAAAAAAAAAu&#10;AgAAZHJzL2Uyb0RvYy54bWxQSwECLQAUAAYACAAAACEAKAFXl94AAAAIAQAADwAAAAAAAAAAAAAA&#10;AAD+BAAAZHJzL2Rvd25yZXYueG1sUEsFBgAAAAAEAAQA8wAAAAkGAAAAAA==&#10;" filled="f" strokecolor="red" strokeweight="3pt"/>
            </w:pict>
          </mc:Fallback>
        </mc:AlternateContent>
      </w:r>
      <w:r w:rsidRPr="00616A54">
        <w:rPr>
          <w:rFonts w:ascii="Palatino Linotype" w:eastAsia="Times New Roman" w:hAnsi="Palatino Linotype" w:cs="Times New Roman"/>
          <w:noProof/>
          <w:sz w:val="24"/>
          <w:szCs w:val="24"/>
          <w:lang w:eastAsia="es-MX"/>
        </w:rPr>
        <w:drawing>
          <wp:inline distT="0" distB="0" distL="0" distR="0" wp14:anchorId="33598ACB" wp14:editId="581D9A15">
            <wp:extent cx="5756910" cy="1701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1701800"/>
                    </a:xfrm>
                    <a:prstGeom prst="rect">
                      <a:avLst/>
                    </a:prstGeom>
                    <a:noFill/>
                    <a:ln>
                      <a:noFill/>
                    </a:ln>
                  </pic:spPr>
                </pic:pic>
              </a:graphicData>
            </a:graphic>
          </wp:inline>
        </w:drawing>
      </w:r>
    </w:p>
    <w:p w14:paraId="24063BE9" w14:textId="77777777" w:rsidR="00B87511" w:rsidRPr="00616A54" w:rsidRDefault="00B87511" w:rsidP="00B87511">
      <w:pPr>
        <w:pStyle w:val="Sinespaciado"/>
      </w:pPr>
    </w:p>
    <w:p w14:paraId="4AA3307E"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Es por tal virtud que si el hoy </w:t>
      </w:r>
      <w:r w:rsidRPr="00616A54">
        <w:rPr>
          <w:rFonts w:ascii="Palatino Linotype" w:hAnsi="Palatino Linotype" w:cs="Arial"/>
          <w:b/>
          <w:sz w:val="24"/>
          <w:szCs w:val="24"/>
        </w:rPr>
        <w:t>Recurrente</w:t>
      </w:r>
      <w:r w:rsidRPr="00616A54">
        <w:rPr>
          <w:rFonts w:ascii="Palatino Linotype" w:hAnsi="Palatino Linotype" w:cs="Arial"/>
          <w:sz w:val="24"/>
          <w:szCs w:val="24"/>
        </w:rPr>
        <w:t xml:space="preserve"> solicitó la información vía </w:t>
      </w:r>
      <w:r w:rsidRPr="00616A54">
        <w:rPr>
          <w:rFonts w:ascii="Palatino Linotype" w:hAnsi="Palatino Linotype" w:cs="Arial"/>
          <w:b/>
          <w:sz w:val="24"/>
          <w:szCs w:val="24"/>
        </w:rPr>
        <w:t>SAIMEX</w:t>
      </w:r>
      <w:r w:rsidRPr="00616A54">
        <w:rPr>
          <w:rFonts w:ascii="Palatino Linotype" w:hAnsi="Palatino Linotype" w:cs="Arial"/>
          <w:sz w:val="24"/>
          <w:szCs w:val="24"/>
        </w:rPr>
        <w:t xml:space="preserve">, </w:t>
      </w:r>
      <w:r w:rsidRPr="00616A54">
        <w:rPr>
          <w:rFonts w:ascii="Palatino Linotype" w:hAnsi="Palatino Linotype" w:cs="Arial"/>
          <w:b/>
          <w:sz w:val="24"/>
          <w:szCs w:val="24"/>
        </w:rPr>
        <w:t>El Sujeto Obligado</w:t>
      </w:r>
      <w:r w:rsidRPr="00616A54">
        <w:rPr>
          <w:rFonts w:ascii="Palatino Linotype" w:hAnsi="Palatino Linotype" w:cs="Arial"/>
          <w:sz w:val="24"/>
          <w:szCs w:val="24"/>
        </w:rPr>
        <w:t xml:space="preserve"> puede contar entre sus archivos con el o los documentos a través de los cuales puede colmarse el derecho de acceso a la información del solicitante.</w:t>
      </w:r>
    </w:p>
    <w:p w14:paraId="1062932F"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p>
    <w:p w14:paraId="31C194A3"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r w:rsidRPr="00616A54">
        <w:rPr>
          <w:rFonts w:ascii="Palatino Linotype" w:hAnsi="Palatino Linotype"/>
          <w:sz w:val="24"/>
        </w:rPr>
        <w:t xml:space="preserve">De las consideraciones señaladas se advierte que </w:t>
      </w:r>
      <w:r w:rsidRPr="00616A54">
        <w:rPr>
          <w:rFonts w:ascii="Palatino Linotype" w:hAnsi="Palatino Linotype"/>
          <w:b/>
          <w:sz w:val="24"/>
        </w:rPr>
        <w:t>El Sujeto Obligado</w:t>
      </w:r>
      <w:r w:rsidRPr="00616A54">
        <w:rPr>
          <w:rFonts w:ascii="Palatino Linotype" w:hAnsi="Palatino Linotype"/>
          <w:sz w:val="24"/>
        </w:rPr>
        <w:t xml:space="preserve">, no justifica en ningún momento de forma fundada y motiva su cambio de modalidad de entrega de la información de vía SAIMEX a consulta directa. </w:t>
      </w:r>
    </w:p>
    <w:p w14:paraId="63711747"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p>
    <w:p w14:paraId="2E9C1B80"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616A54">
        <w:rPr>
          <w:rFonts w:ascii="Palatino Linotype" w:hAnsi="Palatino Linotype" w:cs="Arial"/>
          <w:b/>
          <w:sz w:val="24"/>
          <w:szCs w:val="24"/>
        </w:rPr>
        <w:t>Sujeto Obligado</w:t>
      </w:r>
      <w:r w:rsidRPr="00616A54">
        <w:rPr>
          <w:rFonts w:ascii="Palatino Linotype" w:hAnsi="Palatino Linotype" w:cs="Arial"/>
          <w:sz w:val="24"/>
          <w:szCs w:val="24"/>
        </w:rPr>
        <w:t xml:space="preserve"> de generar, poseer o administrarla, es decir, de tener conocimiento de lo requerido.</w:t>
      </w:r>
    </w:p>
    <w:p w14:paraId="341C79E6"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p>
    <w:p w14:paraId="37FCA29F"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r w:rsidRPr="00616A54">
        <w:rPr>
          <w:rFonts w:ascii="Palatino Linotype" w:hAnsi="Palatino Linotype"/>
          <w:sz w:val="24"/>
        </w:rPr>
        <w:t xml:space="preserve">Por consiguiente, tanto la modalidad de entrega como la forma de envío de la información se </w:t>
      </w:r>
      <w:proofErr w:type="gramStart"/>
      <w:r w:rsidRPr="00616A54">
        <w:rPr>
          <w:rFonts w:ascii="Palatino Linotype" w:hAnsi="Palatino Linotype"/>
          <w:sz w:val="24"/>
        </w:rPr>
        <w:t>hará</w:t>
      </w:r>
      <w:proofErr w:type="gramEnd"/>
      <w:r w:rsidRPr="00616A54">
        <w:rPr>
          <w:rFonts w:ascii="Palatino Linotype" w:hAnsi="Palatino Linotype"/>
          <w:sz w:val="24"/>
        </w:rPr>
        <w:t xml:space="preserve"> preferentemente como haya señalado el requirente. En los casos en que esto no sea posible, </w:t>
      </w:r>
      <w:r w:rsidRPr="00616A54">
        <w:rPr>
          <w:rFonts w:ascii="Palatino Linotype" w:hAnsi="Palatino Linotype"/>
          <w:b/>
          <w:sz w:val="24"/>
        </w:rPr>
        <w:t xml:space="preserve">El Sujeto Obligado </w:t>
      </w:r>
      <w:r w:rsidRPr="00616A54">
        <w:rPr>
          <w:rFonts w:ascii="Palatino Linotype" w:hAnsi="Palatino Linotype"/>
          <w:sz w:val="24"/>
        </w:rPr>
        <w:t xml:space="preserve">podrá garantizar la entrega a través de cualquier otro medio, siempre y cuando funde y motive la razón para hacerlo. La </w:t>
      </w:r>
      <w:r w:rsidRPr="00616A54">
        <w:rPr>
          <w:rFonts w:ascii="Palatino Linotype" w:hAnsi="Palatino Linotype"/>
          <w:sz w:val="24"/>
        </w:rPr>
        <w:lastRenderedPageBreak/>
        <w:t xml:space="preserve">necesidad de fundar y motivar es imperante en todos los actos que emite cualquier autoridad. </w:t>
      </w:r>
    </w:p>
    <w:p w14:paraId="4144E32B" w14:textId="77777777" w:rsidR="00B87511" w:rsidRPr="00616A54" w:rsidRDefault="00B87511" w:rsidP="00B87511">
      <w:pPr>
        <w:tabs>
          <w:tab w:val="left" w:pos="709"/>
        </w:tabs>
        <w:spacing w:after="0" w:line="360" w:lineRule="auto"/>
        <w:jc w:val="both"/>
        <w:rPr>
          <w:rFonts w:ascii="Palatino Linotype" w:hAnsi="Palatino Linotype" w:cs="Arial"/>
          <w:sz w:val="24"/>
          <w:szCs w:val="24"/>
        </w:rPr>
      </w:pPr>
    </w:p>
    <w:p w14:paraId="1840A04E" w14:textId="71F78F64" w:rsidR="00B87511" w:rsidRPr="00616A54" w:rsidRDefault="00B87511" w:rsidP="00B87511">
      <w:pPr>
        <w:tabs>
          <w:tab w:val="left" w:pos="709"/>
        </w:tabs>
        <w:spacing w:after="0" w:line="360" w:lineRule="auto"/>
        <w:jc w:val="both"/>
        <w:rPr>
          <w:rFonts w:ascii="Palatino Linotype" w:hAnsi="Palatino Linotype" w:cs="Arial"/>
          <w:sz w:val="24"/>
          <w:szCs w:val="24"/>
        </w:rPr>
      </w:pPr>
      <w:r w:rsidRPr="00616A54">
        <w:rPr>
          <w:rFonts w:ascii="Palatino Linotype" w:hAnsi="Palatino Linotype"/>
          <w:sz w:val="24"/>
        </w:rPr>
        <w:t xml:space="preserve">Por lo que el cambio de modalidad que pretendió hacer </w:t>
      </w:r>
      <w:r w:rsidRPr="00616A54">
        <w:rPr>
          <w:rFonts w:ascii="Palatino Linotype" w:hAnsi="Palatino Linotype"/>
          <w:b/>
          <w:sz w:val="24"/>
        </w:rPr>
        <w:t>El Sujeto Obligado</w:t>
      </w:r>
      <w:r w:rsidRPr="00616A54">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025288B0" w14:textId="77777777" w:rsidR="00B87511" w:rsidRPr="00616A54" w:rsidRDefault="00B87511" w:rsidP="00B87511">
      <w:pPr>
        <w:pStyle w:val="Sinespaciado"/>
        <w:rPr>
          <w:sz w:val="2"/>
        </w:rPr>
      </w:pPr>
    </w:p>
    <w:p w14:paraId="33526BD4" w14:textId="77777777" w:rsidR="00B87511" w:rsidRPr="00616A54" w:rsidRDefault="00B87511" w:rsidP="00B87511">
      <w:pPr>
        <w:spacing w:before="240" w:after="0" w:line="240" w:lineRule="auto"/>
        <w:ind w:left="567" w:right="709"/>
        <w:jc w:val="both"/>
        <w:rPr>
          <w:rFonts w:ascii="Palatino Linotype" w:hAnsi="Palatino Linotype"/>
          <w:i/>
        </w:rPr>
      </w:pPr>
      <w:r w:rsidRPr="00616A54">
        <w:rPr>
          <w:rFonts w:ascii="Palatino Linotype" w:hAnsi="Palatino Linotype"/>
          <w:i/>
        </w:rPr>
        <w:t>“</w:t>
      </w:r>
      <w:r w:rsidRPr="00616A54">
        <w:rPr>
          <w:rFonts w:ascii="Palatino Linotype" w:hAnsi="Palatino Linotype"/>
          <w:b/>
          <w:i/>
        </w:rPr>
        <w:t>Artículo 158.</w:t>
      </w:r>
      <w:r w:rsidRPr="00616A54">
        <w:rPr>
          <w:rFonts w:ascii="Palatino Linotype" w:hAnsi="Palatino Linotype"/>
          <w:i/>
        </w:rPr>
        <w:t xml:space="preserve"> De manera excepcional, cuando </w:t>
      </w:r>
      <w:r w:rsidRPr="00616A54">
        <w:rPr>
          <w:rFonts w:ascii="Palatino Linotype" w:hAnsi="Palatino Linotype"/>
          <w:b/>
          <w:i/>
          <w:u w:val="single"/>
        </w:rPr>
        <w:t>de forma fundada y motivada</w:t>
      </w:r>
      <w:r w:rsidRPr="00616A5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616A54">
        <w:rPr>
          <w:rFonts w:ascii="Palatino Linotype" w:hAnsi="Palatino Linotype"/>
          <w:b/>
          <w:i/>
          <w:u w:val="single"/>
        </w:rPr>
        <w:t>las capacidades técnicas administrativas</w:t>
      </w:r>
      <w:r w:rsidRPr="00616A54">
        <w:rPr>
          <w:rFonts w:ascii="Palatino Linotype" w:hAnsi="Palatino Linotype"/>
          <w:i/>
        </w:rPr>
        <w:t xml:space="preserve"> </w:t>
      </w:r>
      <w:r w:rsidRPr="00616A54">
        <w:rPr>
          <w:rFonts w:ascii="Palatino Linotype" w:hAnsi="Palatino Linotype"/>
          <w:b/>
          <w:i/>
          <w:u w:val="single"/>
        </w:rPr>
        <w:t>y humanas del sujeto obligado</w:t>
      </w:r>
      <w:r w:rsidRPr="00616A54">
        <w:rPr>
          <w:rFonts w:ascii="Palatino Linotype" w:hAnsi="Palatino Linotype"/>
          <w:i/>
        </w:rPr>
        <w:t xml:space="preserve"> para cumplir con la solicitud, en los plazos establecidos para dichos efectos, se podrá poner a disposición del solicitante los documentos en </w:t>
      </w:r>
      <w:r w:rsidRPr="00616A54">
        <w:rPr>
          <w:rFonts w:ascii="Palatino Linotype" w:hAnsi="Palatino Linotype"/>
          <w:b/>
          <w:i/>
        </w:rPr>
        <w:t>consulta directa,</w:t>
      </w:r>
      <w:r w:rsidRPr="00616A54">
        <w:rPr>
          <w:rFonts w:ascii="Palatino Linotype" w:hAnsi="Palatino Linotype"/>
          <w:i/>
        </w:rPr>
        <w:t xml:space="preserve"> salvo la información clasificada.</w:t>
      </w:r>
    </w:p>
    <w:p w14:paraId="7BFF7E14" w14:textId="77777777" w:rsidR="00B87511" w:rsidRPr="00616A54" w:rsidRDefault="00B87511" w:rsidP="00B87511">
      <w:pPr>
        <w:spacing w:before="240" w:after="0" w:line="240" w:lineRule="auto"/>
        <w:ind w:left="567" w:right="709"/>
        <w:jc w:val="both"/>
        <w:rPr>
          <w:rFonts w:ascii="Palatino Linotype" w:hAnsi="Palatino Linotype"/>
          <w:i/>
        </w:rPr>
      </w:pPr>
      <w:r w:rsidRPr="00616A5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1394C2D9" w14:textId="77777777" w:rsidR="00B87511" w:rsidRPr="00616A54" w:rsidRDefault="00B87511" w:rsidP="00B87511">
      <w:pPr>
        <w:pStyle w:val="Sinespaciado"/>
        <w:rPr>
          <w:sz w:val="4"/>
        </w:rPr>
      </w:pPr>
    </w:p>
    <w:p w14:paraId="0ACBBB92" w14:textId="77777777" w:rsidR="00B87511" w:rsidRPr="00616A54" w:rsidRDefault="00B87511" w:rsidP="00B87511">
      <w:pPr>
        <w:pStyle w:val="Sinespaciado"/>
      </w:pPr>
    </w:p>
    <w:p w14:paraId="3FE5903C" w14:textId="44959893" w:rsidR="00B30BB2" w:rsidRPr="00616A54" w:rsidRDefault="00B87511" w:rsidP="00B87511">
      <w:pPr>
        <w:spacing w:after="0" w:line="360" w:lineRule="auto"/>
        <w:jc w:val="both"/>
        <w:rPr>
          <w:rFonts w:ascii="Palatino Linotype" w:hAnsi="Palatino Linotype"/>
          <w:sz w:val="24"/>
          <w:szCs w:val="24"/>
        </w:rPr>
      </w:pPr>
      <w:r w:rsidRPr="00616A54">
        <w:rPr>
          <w:rFonts w:ascii="Palatino Linotype" w:hAnsi="Palatino Linotype"/>
          <w:sz w:val="24"/>
          <w:szCs w:val="24"/>
        </w:rPr>
        <w:t xml:space="preserve">De lo anterior se desprende que </w:t>
      </w:r>
      <w:r w:rsidRPr="00616A54">
        <w:rPr>
          <w:rFonts w:ascii="Palatino Linotype" w:hAnsi="Palatino Linotype"/>
          <w:b/>
          <w:sz w:val="24"/>
          <w:szCs w:val="24"/>
        </w:rPr>
        <w:t>El Sujeto Obligado</w:t>
      </w:r>
      <w:r w:rsidRPr="00616A54">
        <w:rPr>
          <w:rFonts w:ascii="Palatino Linotype" w:hAnsi="Palatino Linotype"/>
          <w:sz w:val="24"/>
          <w:szCs w:val="24"/>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 es procedente ordenar la entrega </w:t>
      </w:r>
      <w:r w:rsidR="00081DE2" w:rsidRPr="00616A54">
        <w:rPr>
          <w:rFonts w:ascii="Palatino Linotype" w:hAnsi="Palatino Linotype"/>
          <w:sz w:val="24"/>
          <w:szCs w:val="24"/>
        </w:rPr>
        <w:t>de los expedientes de adquisiciones por excepción a la Licitación Pública que se hayan realizado durante los ejercicios 2017, 2018, 2019 y 2020.</w:t>
      </w:r>
    </w:p>
    <w:p w14:paraId="3D9D32BB" w14:textId="140FFC74" w:rsidR="00081DE2" w:rsidRPr="00616A54" w:rsidRDefault="00081DE2" w:rsidP="00081DE2">
      <w:pPr>
        <w:spacing w:after="0" w:line="360" w:lineRule="auto"/>
        <w:jc w:val="both"/>
        <w:rPr>
          <w:rFonts w:ascii="Palatino Linotype" w:hAnsi="Palatino Linotype" w:cs="Arial"/>
          <w:sz w:val="24"/>
          <w:szCs w:val="24"/>
        </w:rPr>
      </w:pPr>
      <w:r w:rsidRPr="00616A54">
        <w:rPr>
          <w:rFonts w:ascii="Palatino Linotype" w:hAnsi="Palatino Linotype"/>
          <w:sz w:val="24"/>
          <w:szCs w:val="24"/>
        </w:rPr>
        <w:lastRenderedPageBreak/>
        <w:t xml:space="preserve">No obstante lo anterior, en relación a los puntos señalados con los numerales dos y tres en la solicitud de información, mediante los cuales se requieren los </w:t>
      </w:r>
      <w:r w:rsidRPr="00616A54">
        <w:rPr>
          <w:rFonts w:ascii="Palatino Linotype" w:hAnsi="Palatino Linotype" w:cs="Arial"/>
          <w:sz w:val="24"/>
          <w:szCs w:val="24"/>
        </w:rPr>
        <w:t>expedientes, en versión pública, que fueron resueltos en materia de autorización de pensiones durante los ejercicios 2018, 2019 y 2020; y las acciones de control y evaluación que se han realizado en materia de pensiones, sus resultados, y, en su caso, las sanciones que se han impuesto, correspondientes a los ejercicios 2018, 2019 y 2020.</w:t>
      </w:r>
    </w:p>
    <w:p w14:paraId="5EA49974" w14:textId="77777777" w:rsidR="00081DE2" w:rsidRPr="00616A54" w:rsidRDefault="00081DE2" w:rsidP="00081DE2">
      <w:pPr>
        <w:spacing w:after="0" w:line="360" w:lineRule="auto"/>
        <w:jc w:val="both"/>
        <w:rPr>
          <w:rFonts w:ascii="Palatino Linotype" w:hAnsi="Palatino Linotype" w:cs="Arial"/>
        </w:rPr>
      </w:pPr>
    </w:p>
    <w:p w14:paraId="52AFFC96" w14:textId="6B9FE3DC" w:rsidR="00081DE2" w:rsidRPr="00616A54" w:rsidRDefault="00081DE2" w:rsidP="00081DE2">
      <w:pPr>
        <w:spacing w:after="0" w:line="360" w:lineRule="auto"/>
        <w:jc w:val="both"/>
        <w:rPr>
          <w:rFonts w:ascii="Palatino Linotype" w:hAnsi="Palatino Linotype" w:cs="Arial"/>
          <w:sz w:val="24"/>
        </w:rPr>
      </w:pPr>
      <w:r w:rsidRPr="00616A54">
        <w:rPr>
          <w:rFonts w:ascii="Palatino Linotype" w:hAnsi="Palatino Linotype" w:cs="Arial"/>
          <w:sz w:val="24"/>
        </w:rPr>
        <w:t xml:space="preserve">El </w:t>
      </w:r>
      <w:r w:rsidRPr="00616A54">
        <w:rPr>
          <w:rFonts w:ascii="Palatino Linotype" w:hAnsi="Palatino Linotype" w:cs="Arial"/>
          <w:b/>
          <w:sz w:val="24"/>
        </w:rPr>
        <w:t>Sujeto Obligado</w:t>
      </w:r>
      <w:r w:rsidRPr="00616A54">
        <w:rPr>
          <w:rFonts w:ascii="Palatino Linotype" w:hAnsi="Palatino Linotype" w:cs="Arial"/>
          <w:sz w:val="24"/>
        </w:rPr>
        <w:t xml:space="preserve">, señaló que la materia de los mismos </w:t>
      </w:r>
      <w:r w:rsidRPr="00616A54">
        <w:rPr>
          <w:rFonts w:ascii="Palatino Linotype" w:hAnsi="Palatino Linotype" w:cs="Arial"/>
          <w:bCs/>
          <w:sz w:val="24"/>
          <w:szCs w:val="28"/>
        </w:rPr>
        <w:t xml:space="preserve">no correspondía con las atribuciones legales que tiene conferidas dicha área a su cargo, por lo que en los archivos de egresos no existe antecedente alguno de pensión autorizada en los ejercicios 2018, 2019 y 2020, y en efecto, </w:t>
      </w:r>
      <w:r w:rsidRPr="00616A54">
        <w:rPr>
          <w:rFonts w:ascii="Palatino Linotype" w:hAnsi="Palatino Linotype" w:cs="Arial"/>
          <w:sz w:val="24"/>
        </w:rPr>
        <w:t>dicha información no es generada por el Sujeto Obligado, toda vez que los artículos 20, de la Ley de Seguridad Social para los Servidores Públicos del Estado de México y Municipios y 3, 4, 5 y 11 del Manual de Operación del Comité de Pensiones del H. Consejo Directivo del Instituto de Seguridad Social del Estado de México y Municipios, que señalan lo siguiente:</w:t>
      </w:r>
    </w:p>
    <w:p w14:paraId="3F4119C1" w14:textId="77777777" w:rsidR="00081DE2" w:rsidRPr="00616A54" w:rsidRDefault="00081DE2" w:rsidP="00081DE2">
      <w:pPr>
        <w:pStyle w:val="Sinespaciado"/>
      </w:pPr>
    </w:p>
    <w:p w14:paraId="4479D95D" w14:textId="77777777" w:rsidR="00081DE2" w:rsidRPr="00616A54" w:rsidRDefault="00081DE2" w:rsidP="00081DE2">
      <w:pPr>
        <w:tabs>
          <w:tab w:val="left" w:pos="7938"/>
        </w:tabs>
        <w:spacing w:after="0" w:line="276" w:lineRule="auto"/>
        <w:ind w:left="851" w:right="900"/>
        <w:jc w:val="both"/>
        <w:rPr>
          <w:rFonts w:ascii="Palatino Linotype" w:eastAsia="Batang" w:hAnsi="Palatino Linotype" w:cs="Tahoma"/>
          <w:bCs/>
          <w:i/>
        </w:rPr>
      </w:pPr>
      <w:r w:rsidRPr="00616A54">
        <w:rPr>
          <w:rFonts w:ascii="Palatino Linotype" w:eastAsia="Batang" w:hAnsi="Palatino Linotype" w:cs="Tahoma"/>
          <w:b/>
          <w:bCs/>
          <w:i/>
        </w:rPr>
        <w:t>“ARTÍCULO 20</w:t>
      </w:r>
      <w:r w:rsidRPr="00616A54">
        <w:rPr>
          <w:rFonts w:ascii="Palatino Linotype" w:eastAsia="Batang" w:hAnsi="Palatino Linotype" w:cs="Tahoma"/>
          <w:bCs/>
          <w:i/>
        </w:rPr>
        <w:t xml:space="preserve">.- </w:t>
      </w:r>
      <w:r w:rsidRPr="00616A54">
        <w:rPr>
          <w:rFonts w:ascii="Palatino Linotype" w:eastAsia="Batang" w:hAnsi="Palatino Linotype" w:cs="Tahoma"/>
          <w:b/>
          <w:bCs/>
          <w:i/>
        </w:rPr>
        <w:t>Son atribuciones del Consejo Directivo:</w:t>
      </w:r>
    </w:p>
    <w:p w14:paraId="11949A95"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 Cumplir y hacer cumplir las disposiciones de esta ley y sus reglamentos;</w:t>
      </w:r>
    </w:p>
    <w:p w14:paraId="0CFAF8C9"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II. Proponer al Titular del Poder Ejecutivo del Estado los proyectos de reformas y adiciones a la presente ley;</w:t>
      </w:r>
    </w:p>
    <w:p w14:paraId="1326E268"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III. Aprobar las bases para la celebración de convenios que el Instituto requiera para el cumplimiento de sus objetivos;</w:t>
      </w:r>
    </w:p>
    <w:p w14:paraId="55C869C6"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
          <w:bCs/>
          <w:i/>
        </w:rPr>
      </w:pPr>
      <w:r w:rsidRPr="00616A54">
        <w:rPr>
          <w:rFonts w:ascii="Palatino Linotype" w:eastAsia="Batang" w:hAnsi="Palatino Linotype" w:cs="Tahoma"/>
          <w:b/>
          <w:bCs/>
          <w:i/>
        </w:rPr>
        <w:t>IV. Aprobar las bases generales para conceder, negar, suspender, modificar y revocar las pensiones en los términos de esta ley y sus disposiciones reglamentarias, así como para otorgar los créditos que ésta prevé;</w:t>
      </w:r>
    </w:p>
    <w:p w14:paraId="048EC167"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
          <w:bCs/>
          <w:i/>
        </w:rPr>
      </w:pPr>
      <w:r w:rsidRPr="00616A54">
        <w:rPr>
          <w:rFonts w:ascii="Palatino Linotype" w:eastAsia="Batang" w:hAnsi="Palatino Linotype" w:cs="Tahoma"/>
          <w:b/>
          <w:bCs/>
          <w:i/>
        </w:rPr>
        <w:lastRenderedPageBreak/>
        <w:t>V. Autorizar, supervisar, controlar y evaluar las actividades del Instituto; para tal efecto, conocerá y, en su caso, aprobará los programas correspondientes;</w:t>
      </w:r>
    </w:p>
    <w:p w14:paraId="739E322E"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VI. Aprobar los reglamentos internos del Instituto, los cuales deberán ser elaborados con la participación de los interesados;</w:t>
      </w:r>
    </w:p>
    <w:p w14:paraId="16F7FD88"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VII. Elaborar y aprobar el catálogo de riesgos profesionales y de trabajo;</w:t>
      </w:r>
    </w:p>
    <w:p w14:paraId="42C616C2"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
          <w:bCs/>
          <w:i/>
        </w:rPr>
      </w:pPr>
      <w:r w:rsidRPr="00616A54">
        <w:rPr>
          <w:rFonts w:ascii="Palatino Linotype" w:eastAsia="Batang" w:hAnsi="Palatino Linotype" w:cs="Tahoma"/>
          <w:b/>
          <w:bCs/>
          <w:i/>
        </w:rPr>
        <w:t>VIII. Aprobar las disposiciones administrativas de observancia general, así como la integración de los comités o comisiones necesarios para el mejor cumplimiento de sus funciones;</w:t>
      </w:r>
    </w:p>
    <w:p w14:paraId="4463EDD6"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
          <w:bCs/>
          <w:i/>
        </w:rPr>
        <w:t>IX. Aprobar la estructura orgánica del Instituto, la creación de unidades desconcentradas y vigilar el desarrollo de programas de modernización administrativa y de sistemas de información, y en general de medidas convenientes para el mejor funcionamiento, a propuesta del Director General</w:t>
      </w:r>
      <w:r w:rsidRPr="00616A54">
        <w:rPr>
          <w:rFonts w:ascii="Palatino Linotype" w:eastAsia="Batang" w:hAnsi="Palatino Linotype" w:cs="Tahoma"/>
          <w:bCs/>
          <w:i/>
        </w:rPr>
        <w:t>;</w:t>
      </w:r>
    </w:p>
    <w:p w14:paraId="48A81105"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 Nombrar y remover a los servidores públicos del segundo y tercer nivel jerárquico de la estructura orgánica, a propuesta del Director General del Instituto;</w:t>
      </w:r>
    </w:p>
    <w:p w14:paraId="72A1C454"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XI. Conferir y otorgar poderes generales o especiales y delegar facultades en el Director General y en otros servidores públicos del Instituto;</w:t>
      </w:r>
    </w:p>
    <w:p w14:paraId="42F5D0B6"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XII. Administrar el patrimonio del Instituto y autorizar sus inversiones, así como la constitución de los fondos necesarios para dar soporte financiero a las prestaciones que le corresponde otorgar, y vigilar el comportamiento de las reservas financieras;</w:t>
      </w:r>
    </w:p>
    <w:p w14:paraId="6B54BC3E"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XIII. Determinar anualmente el porcentaje de cuotas y aportaciones para otras prestaciones señaladas en el Título IV y aportaciones para riesgos de trabajo;</w:t>
      </w:r>
    </w:p>
    <w:p w14:paraId="2CC68678"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XIV. Determinar en caso de aportaciones extraordinarias, el monto de éstas y el periodo de vigencia;</w:t>
      </w:r>
    </w:p>
    <w:p w14:paraId="57216B74"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XV. Aprobar los proyectos de los presupuestos anuales de ingresos y de egresos;</w:t>
      </w:r>
    </w:p>
    <w:p w14:paraId="38243462"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XVI. Revisar y, en su caso, aprobar los estados financieros, establecer los periodos de presentación, así como los informes generales o especiales y, en su caso, ordenar su publicación;</w:t>
      </w:r>
    </w:p>
    <w:p w14:paraId="5FFA5503"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lastRenderedPageBreak/>
        <w:t>XVII. Adquirir y enajenar bienes muebles e inmuebles para el cumplimiento de sus objetivos;</w:t>
      </w:r>
    </w:p>
    <w:p w14:paraId="219C43E3"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 xml:space="preserve"> XVIII. Las demás que le confieren esta ley y sus disposiciones reglamentarias.</w:t>
      </w:r>
    </w:p>
    <w:p w14:paraId="02E50F3F" w14:textId="77777777" w:rsidR="00081DE2" w:rsidRPr="00616A54" w:rsidRDefault="00081DE2" w:rsidP="00081DE2">
      <w:pPr>
        <w:tabs>
          <w:tab w:val="left" w:pos="7938"/>
        </w:tabs>
        <w:spacing w:after="120" w:line="276" w:lineRule="auto"/>
        <w:ind w:left="851" w:right="900"/>
        <w:jc w:val="both"/>
        <w:rPr>
          <w:rFonts w:ascii="Palatino Linotype" w:eastAsia="Batang" w:hAnsi="Palatino Linotype" w:cs="Tahoma"/>
          <w:b/>
          <w:bCs/>
          <w:i/>
        </w:rPr>
      </w:pPr>
      <w:r w:rsidRPr="00616A54">
        <w:rPr>
          <w:rFonts w:ascii="Palatino Linotype" w:eastAsia="Batang" w:hAnsi="Palatino Linotype" w:cs="Tahoma"/>
          <w:b/>
          <w:bCs/>
          <w:i/>
        </w:rPr>
        <w:t>Artículo 3.- El Comité de Pensiones tendrá por objeto resolver las solicitudes para el otorgamiento de las prestaciones en materia de pensiones a los derechohabientes del Instituto, previstas en la ley, siempre y cuando acrediten reunir los requisitos establecidos en las disposiciones legales y reglamentarias correspondientes.</w:t>
      </w:r>
    </w:p>
    <w:p w14:paraId="288684B5" w14:textId="77777777" w:rsidR="00081DE2" w:rsidRPr="00616A54" w:rsidRDefault="00081DE2" w:rsidP="00081DE2">
      <w:pPr>
        <w:tabs>
          <w:tab w:val="left" w:pos="7938"/>
        </w:tabs>
        <w:spacing w:after="120" w:line="276" w:lineRule="auto"/>
        <w:ind w:left="851" w:right="900"/>
        <w:jc w:val="both"/>
        <w:rPr>
          <w:rFonts w:ascii="Palatino Linotype" w:eastAsia="Batang" w:hAnsi="Palatino Linotype" w:cs="Tahoma"/>
          <w:bCs/>
          <w:i/>
        </w:rPr>
      </w:pPr>
    </w:p>
    <w:p w14:paraId="4B9DDCA9" w14:textId="77777777" w:rsidR="00081DE2" w:rsidRPr="00616A54" w:rsidRDefault="00081DE2" w:rsidP="00081DE2">
      <w:pPr>
        <w:tabs>
          <w:tab w:val="left" w:pos="7938"/>
        </w:tabs>
        <w:spacing w:after="120" w:line="276" w:lineRule="auto"/>
        <w:ind w:left="851" w:right="900"/>
        <w:jc w:val="both"/>
        <w:rPr>
          <w:rFonts w:ascii="Palatino Linotype" w:eastAsia="Batang" w:hAnsi="Palatino Linotype" w:cs="Tahoma"/>
          <w:b/>
          <w:bCs/>
          <w:i/>
        </w:rPr>
      </w:pPr>
      <w:r w:rsidRPr="00616A54">
        <w:rPr>
          <w:rFonts w:ascii="Palatino Linotype" w:eastAsia="Batang" w:hAnsi="Palatino Linotype" w:cs="Tahoma"/>
          <w:b/>
          <w:bCs/>
          <w:i/>
        </w:rPr>
        <w:t>Artículo 4.- El Comité de Pensiones es un órgano auxiliar del H. Consejo Directivo del Instituto con facultades decisorias para analizar y resolver sobre la procedencia o improcedencia de las solicitudes de pensiones, así como del estímulo por permanencia de los servidores públicos.</w:t>
      </w:r>
    </w:p>
    <w:p w14:paraId="02272620" w14:textId="77777777" w:rsidR="00081DE2" w:rsidRPr="00616A54" w:rsidRDefault="00081DE2" w:rsidP="00081DE2">
      <w:pPr>
        <w:tabs>
          <w:tab w:val="left" w:pos="7938"/>
        </w:tabs>
        <w:spacing w:after="120" w:line="276" w:lineRule="auto"/>
        <w:ind w:left="851" w:right="900"/>
        <w:jc w:val="both"/>
        <w:rPr>
          <w:rFonts w:ascii="Palatino Linotype" w:eastAsia="Batang" w:hAnsi="Palatino Linotype" w:cs="Tahoma"/>
          <w:bCs/>
          <w:i/>
        </w:rPr>
      </w:pPr>
      <w:r w:rsidRPr="00616A54">
        <w:rPr>
          <w:rFonts w:ascii="Palatino Linotype" w:eastAsia="Batang" w:hAnsi="Palatino Linotype" w:cs="Tahoma"/>
          <w:b/>
          <w:bCs/>
          <w:i/>
        </w:rPr>
        <w:t>Artículo 5</w:t>
      </w:r>
      <w:r w:rsidRPr="00616A54">
        <w:rPr>
          <w:rFonts w:ascii="Palatino Linotype" w:eastAsia="Batang" w:hAnsi="Palatino Linotype" w:cs="Tahoma"/>
          <w:bCs/>
          <w:i/>
        </w:rPr>
        <w:t>.- El Comité de Pensiones estará integrado por:</w:t>
      </w:r>
    </w:p>
    <w:p w14:paraId="32EE4E3A"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 Un Presidente, que será el Director de Seguridad Social;</w:t>
      </w:r>
    </w:p>
    <w:p w14:paraId="7B3BCE2D"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II. Un Secretario Técnico, que será el Jefe del Departamento de Pensiones: y</w:t>
      </w:r>
    </w:p>
    <w:p w14:paraId="406193A7"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III. Nueve vocales que serán:</w:t>
      </w:r>
    </w:p>
    <w:p w14:paraId="7A6A3885"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a) Un representante del Sindicato Único de Trabajadores de los Poderes, Municipios e Instituciones Descentralizadas del Estado de México;</w:t>
      </w:r>
    </w:p>
    <w:p w14:paraId="580731C3"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b) Un representante del Sindicato de Maestros al Servicio del Estado de México;</w:t>
      </w:r>
    </w:p>
    <w:p w14:paraId="270CF1F7"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c) Un representante de los Sindicatos Universitarios del Estado de México;</w:t>
      </w:r>
    </w:p>
    <w:p w14:paraId="36AB4854"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d) Un representante de la Agrupación Mayoritaria de Jubilados y Pensionados del Instituto;</w:t>
      </w:r>
    </w:p>
    <w:p w14:paraId="64028FD0"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e) Un representante de la Dirección de Atención al Derechohabiente;</w:t>
      </w:r>
    </w:p>
    <w:p w14:paraId="5153FB79"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f) Un representante de la Subdirección de Administración del Sistema para el Retiro;</w:t>
      </w:r>
    </w:p>
    <w:p w14:paraId="1DE333CA"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g) Un representante de la Subdirección de Relaciones Institucionales;</w:t>
      </w:r>
    </w:p>
    <w:p w14:paraId="30469643"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t>h) Un representante de la Unidad de Contraloría Interna; y</w:t>
      </w:r>
    </w:p>
    <w:p w14:paraId="1EFF65ED" w14:textId="77777777" w:rsidR="00081DE2" w:rsidRPr="00616A54" w:rsidRDefault="00081DE2" w:rsidP="00081DE2">
      <w:pPr>
        <w:tabs>
          <w:tab w:val="left" w:pos="7938"/>
        </w:tabs>
        <w:spacing w:after="120" w:line="276" w:lineRule="auto"/>
        <w:ind w:left="1418" w:right="900"/>
        <w:jc w:val="both"/>
        <w:rPr>
          <w:rFonts w:ascii="Palatino Linotype" w:eastAsia="Batang" w:hAnsi="Palatino Linotype" w:cs="Tahoma"/>
          <w:bCs/>
          <w:i/>
        </w:rPr>
      </w:pPr>
      <w:r w:rsidRPr="00616A54">
        <w:rPr>
          <w:rFonts w:ascii="Palatino Linotype" w:eastAsia="Batang" w:hAnsi="Palatino Linotype" w:cs="Tahoma"/>
          <w:bCs/>
          <w:i/>
        </w:rPr>
        <w:lastRenderedPageBreak/>
        <w:t>i) Un representante de la Unidad Jurídica y Consultiva.</w:t>
      </w:r>
    </w:p>
    <w:p w14:paraId="46F609EB" w14:textId="77777777" w:rsidR="00081DE2" w:rsidRPr="00616A54" w:rsidRDefault="00081DE2" w:rsidP="00081DE2">
      <w:pPr>
        <w:tabs>
          <w:tab w:val="left" w:pos="7938"/>
        </w:tabs>
        <w:spacing w:after="120" w:line="276" w:lineRule="auto"/>
        <w:ind w:left="851" w:right="900"/>
        <w:jc w:val="both"/>
        <w:rPr>
          <w:rFonts w:ascii="Palatino Linotype" w:eastAsia="Batang" w:hAnsi="Palatino Linotype" w:cs="Tahoma"/>
          <w:bCs/>
          <w:i/>
        </w:rPr>
      </w:pPr>
      <w:r w:rsidRPr="00616A54">
        <w:rPr>
          <w:rFonts w:ascii="Palatino Linotype" w:eastAsia="Batang" w:hAnsi="Palatino Linotype" w:cs="Tahoma"/>
          <w:bCs/>
          <w:i/>
        </w:rPr>
        <w:t>Por cada uno de los integrantes del Comité de Pensiones, se nombrará un suplente a excepción del Presidente y del Secretario Técnico.</w:t>
      </w:r>
    </w:p>
    <w:p w14:paraId="67E74786" w14:textId="77777777" w:rsidR="00081DE2" w:rsidRPr="00616A54" w:rsidRDefault="00081DE2" w:rsidP="00081DE2">
      <w:pPr>
        <w:tabs>
          <w:tab w:val="left" w:pos="7938"/>
        </w:tabs>
        <w:spacing w:after="120" w:line="276" w:lineRule="auto"/>
        <w:ind w:left="851" w:right="900"/>
        <w:jc w:val="both"/>
        <w:rPr>
          <w:rFonts w:ascii="Palatino Linotype" w:eastAsia="Batang" w:hAnsi="Palatino Linotype" w:cs="Tahoma"/>
          <w:bCs/>
          <w:i/>
        </w:rPr>
      </w:pPr>
      <w:r w:rsidRPr="00616A54">
        <w:rPr>
          <w:rFonts w:ascii="Palatino Linotype" w:eastAsia="Batang" w:hAnsi="Palatino Linotype" w:cs="Tahoma"/>
          <w:bCs/>
          <w:i/>
        </w:rPr>
        <w:t>Los integrantes del Comité de Pensiones tendrán derecho a voz y voto, con excepción del Secretario Técnico y de los Representantes de las Unidades de Contraloría Interna y Jurídica y Consultiva, quienes sólo contarán con voz.</w:t>
      </w:r>
    </w:p>
    <w:p w14:paraId="2EAFC0A3" w14:textId="77777777" w:rsidR="00081DE2" w:rsidRPr="00616A54" w:rsidRDefault="00081DE2" w:rsidP="00081DE2">
      <w:pPr>
        <w:tabs>
          <w:tab w:val="left" w:pos="7938"/>
        </w:tabs>
        <w:spacing w:after="120" w:line="276" w:lineRule="auto"/>
        <w:ind w:left="851" w:right="900"/>
        <w:jc w:val="both"/>
        <w:rPr>
          <w:rFonts w:ascii="Palatino Linotype" w:eastAsia="Batang" w:hAnsi="Palatino Linotype" w:cs="Tahoma"/>
          <w:b/>
          <w:bCs/>
          <w:i/>
        </w:rPr>
      </w:pPr>
      <w:r w:rsidRPr="00616A54">
        <w:rPr>
          <w:rFonts w:ascii="Palatino Linotype" w:eastAsia="Batang" w:hAnsi="Palatino Linotype" w:cs="Tahoma"/>
          <w:bCs/>
          <w:i/>
        </w:rPr>
        <w:t xml:space="preserve"> </w:t>
      </w:r>
      <w:r w:rsidRPr="00616A54">
        <w:rPr>
          <w:rFonts w:ascii="Palatino Linotype" w:eastAsia="Batang" w:hAnsi="Palatino Linotype" w:cs="Tahoma"/>
          <w:b/>
          <w:bCs/>
          <w:i/>
        </w:rPr>
        <w:t>Artículo 11.- El Comité de Pensiones tendrá las siguientes funciones y atribuciones:</w:t>
      </w:r>
    </w:p>
    <w:p w14:paraId="277E08B4"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
          <w:bCs/>
          <w:i/>
        </w:rPr>
      </w:pPr>
      <w:r w:rsidRPr="00616A54">
        <w:rPr>
          <w:rFonts w:ascii="Palatino Linotype" w:eastAsia="Batang" w:hAnsi="Palatino Linotype" w:cs="Tahoma"/>
          <w:b/>
          <w:bCs/>
          <w:i/>
        </w:rPr>
        <w:t>I. Analizar y dictaminar las solicitudes de pensión o del estímulo por permanencia;</w:t>
      </w:r>
    </w:p>
    <w:p w14:paraId="2920B2EA"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II. Conceder, negar, modificar o suspender las pensiones y el estímulo por permanencia en términos de las disposiciones legales, reglamentarias y otras determinaciones aprobadas por el H. Consejo Directivo del Instituto;</w:t>
      </w:r>
    </w:p>
    <w:p w14:paraId="667C8675"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III. Expedir o modificar su Manual de Operación y ordenar su publicación en el periódico oficial "Gaceta de Gobierno", por conducto de su Presidente;</w:t>
      </w:r>
    </w:p>
    <w:p w14:paraId="523F3355"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IV. Resolver los recursos administrativos de inconformidad que se presenten en contra de sus dictámenes o resoluciones;</w:t>
      </w:r>
    </w:p>
    <w:p w14:paraId="5DA1353E"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V. Proporcionar la información que le sea solicitada por las áreas competentes del Instituto;</w:t>
      </w:r>
    </w:p>
    <w:p w14:paraId="0C8484E9"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VI. Requerir a los servidores públicos o pensionados la información, documentación o cualquier otro elemento necesario, para determinar sobre la procedencia o improcedencia de la solicitud de pensión o de estímulo por permanencia;</w:t>
      </w:r>
    </w:p>
    <w:p w14:paraId="52EB9C03"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VII. Verificar en cualquier momento la autenticidad de los documentos que integran el expediente de la pensión o estímulo por permanencia solicitado;</w:t>
      </w:r>
    </w:p>
    <w:p w14:paraId="33CCEFDD"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VIII. Aprobar o modificar los formatos o instrumentos legales que sean necesarios en el trámite de pensión o de estímulo por permanencia;</w:t>
      </w:r>
    </w:p>
    <w:p w14:paraId="581AC3C8"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
          <w:bCs/>
        </w:rPr>
      </w:pPr>
      <w:r w:rsidRPr="00616A54">
        <w:rPr>
          <w:rFonts w:ascii="Palatino Linotype" w:eastAsia="Batang" w:hAnsi="Palatino Linotype" w:cs="Tahoma"/>
          <w:b/>
          <w:bCs/>
        </w:rPr>
        <w:t>IX. Acordar las medidas administrativas necesarias para el mejor cumplimiento de sus funciones; y</w:t>
      </w:r>
    </w:p>
    <w:p w14:paraId="15D5A8F9" w14:textId="77777777" w:rsidR="00081DE2" w:rsidRPr="00616A54" w:rsidRDefault="00081DE2" w:rsidP="00081DE2">
      <w:pPr>
        <w:tabs>
          <w:tab w:val="left" w:pos="7938"/>
        </w:tabs>
        <w:spacing w:after="120" w:line="276" w:lineRule="auto"/>
        <w:ind w:left="1134" w:right="900"/>
        <w:jc w:val="both"/>
        <w:rPr>
          <w:rFonts w:ascii="Palatino Linotype" w:eastAsia="Batang" w:hAnsi="Palatino Linotype" w:cs="Tahoma"/>
          <w:bCs/>
          <w:i/>
        </w:rPr>
      </w:pPr>
      <w:r w:rsidRPr="00616A54">
        <w:rPr>
          <w:rFonts w:ascii="Palatino Linotype" w:eastAsia="Batang" w:hAnsi="Palatino Linotype" w:cs="Tahoma"/>
          <w:bCs/>
          <w:i/>
        </w:rPr>
        <w:t>X. Las demás que le señale la Ley, el Reglamento, el presente Manual de Operación y otras disposiciones reglamentarias.</w:t>
      </w:r>
    </w:p>
    <w:p w14:paraId="40C01FB7" w14:textId="7A052CDA" w:rsidR="00081DE2" w:rsidRPr="00616A54" w:rsidRDefault="00081DE2" w:rsidP="00081DE2">
      <w:pPr>
        <w:spacing w:after="0" w:line="360" w:lineRule="auto"/>
        <w:jc w:val="both"/>
        <w:rPr>
          <w:rFonts w:ascii="Palatino Linotype" w:hAnsi="Palatino Linotype"/>
          <w:sz w:val="24"/>
          <w:szCs w:val="24"/>
        </w:rPr>
      </w:pPr>
      <w:r w:rsidRPr="00616A54">
        <w:rPr>
          <w:rFonts w:ascii="Palatino Linotype" w:eastAsia="Batang" w:hAnsi="Palatino Linotype" w:cs="Tahoma"/>
          <w:bCs/>
          <w:sz w:val="24"/>
        </w:rPr>
        <w:lastRenderedPageBreak/>
        <w:t>De lo anterior, puede apreciarse que la competencia para</w:t>
      </w:r>
      <w:r w:rsidRPr="00616A54">
        <w:rPr>
          <w:sz w:val="24"/>
        </w:rPr>
        <w:t xml:space="preserve"> </w:t>
      </w:r>
      <w:r w:rsidRPr="00616A54">
        <w:rPr>
          <w:rFonts w:ascii="Palatino Linotype" w:eastAsia="Batang" w:hAnsi="Palatino Linotype" w:cs="Tahoma"/>
          <w:bCs/>
          <w:sz w:val="24"/>
        </w:rPr>
        <w:t xml:space="preserve">resolver las solicitudes para el otorgamiento de las prestaciones en materia de pensiones, es el </w:t>
      </w:r>
      <w:r w:rsidRPr="00616A54">
        <w:rPr>
          <w:rFonts w:ascii="Palatino Linotype" w:eastAsia="Batang" w:hAnsi="Palatino Linotype" w:cs="Tahoma"/>
          <w:b/>
          <w:sz w:val="24"/>
        </w:rPr>
        <w:t>Comité de Pensiones del H. Consejo Directivo del Instituto de Seguridad Social del Estado de México y Municipios</w:t>
      </w:r>
      <w:r w:rsidRPr="00616A54">
        <w:rPr>
          <w:rFonts w:ascii="Palatino Linotype" w:eastAsia="Batang" w:hAnsi="Palatino Linotype" w:cs="Tahoma"/>
          <w:bCs/>
          <w:sz w:val="24"/>
        </w:rPr>
        <w:t xml:space="preserve">; así mismo, de la revisión al marco normativo que obliga al Ayuntamiento de Santo Tomas, no se localizó normatividad alguna que le otorgue atribuciones para el otorgamiento de pensiones. </w:t>
      </w:r>
      <w:r w:rsidRPr="00616A54">
        <w:rPr>
          <w:rFonts w:ascii="Palatino Linotype" w:hAnsi="Palatino Linotype"/>
          <w:sz w:val="24"/>
        </w:rPr>
        <w:t xml:space="preserve">En este tenor, se tiene que en el presente asunto existe una evidente incompetencia por parte del </w:t>
      </w:r>
      <w:r w:rsidRPr="00616A54">
        <w:rPr>
          <w:rFonts w:ascii="Palatino Linotype" w:hAnsi="Palatino Linotype"/>
          <w:b/>
          <w:sz w:val="24"/>
        </w:rPr>
        <w:t>Sujeto Obligado</w:t>
      </w:r>
      <w:r w:rsidRPr="00616A54">
        <w:rPr>
          <w:rFonts w:ascii="Palatino Linotype" w:hAnsi="Palatino Linotype"/>
          <w:sz w:val="24"/>
        </w:rPr>
        <w:t xml:space="preserve"> para satisfacer lo solicitado, lo anterior es así, toda vez en el caso particular, otro sujeto obligado es quien genera, administra o posee los documentos en donde consta la información materia de la solicitud, por lo que este Órgano Garante se encuentra </w:t>
      </w:r>
      <w:r w:rsidRPr="00616A54">
        <w:rPr>
          <w:rFonts w:ascii="Palatino Linotype" w:hAnsi="Palatino Linotype"/>
          <w:sz w:val="24"/>
          <w:szCs w:val="24"/>
        </w:rPr>
        <w:t>imposibilitado para ordenar la entrega de la misma.</w:t>
      </w:r>
    </w:p>
    <w:p w14:paraId="6ECFDB35" w14:textId="77777777" w:rsidR="00081DE2" w:rsidRPr="00616A54" w:rsidRDefault="00081DE2" w:rsidP="00081DE2">
      <w:pPr>
        <w:spacing w:after="0" w:line="360" w:lineRule="auto"/>
        <w:jc w:val="both"/>
        <w:rPr>
          <w:rFonts w:ascii="Palatino Linotype" w:hAnsi="Palatino Linotype"/>
          <w:sz w:val="24"/>
          <w:szCs w:val="24"/>
        </w:rPr>
      </w:pPr>
    </w:p>
    <w:p w14:paraId="321C8B11" w14:textId="77777777" w:rsidR="00081DE2" w:rsidRPr="00616A54" w:rsidRDefault="00081DE2" w:rsidP="00081DE2">
      <w:pPr>
        <w:spacing w:after="0" w:line="360" w:lineRule="auto"/>
        <w:jc w:val="both"/>
        <w:rPr>
          <w:rFonts w:ascii="Palatino Linotype" w:hAnsi="Palatino Linotype" w:cs="Arial"/>
          <w:sz w:val="24"/>
          <w:szCs w:val="24"/>
        </w:rPr>
      </w:pPr>
      <w:r w:rsidRPr="00616A54">
        <w:rPr>
          <w:rFonts w:ascii="Palatino Linotype" w:hAnsi="Palatino Linotype"/>
          <w:sz w:val="24"/>
          <w:szCs w:val="24"/>
        </w:rPr>
        <w:t xml:space="preserve">Así, en virtud de que la incompetencia declarada por el </w:t>
      </w:r>
      <w:r w:rsidRPr="00616A54">
        <w:rPr>
          <w:rFonts w:ascii="Palatino Linotype" w:hAnsi="Palatino Linotype"/>
          <w:b/>
          <w:sz w:val="24"/>
          <w:szCs w:val="24"/>
        </w:rPr>
        <w:t>Sujeto Obligado</w:t>
      </w:r>
      <w:r w:rsidRPr="00616A54">
        <w:rPr>
          <w:rFonts w:ascii="Palatino Linotype" w:hAnsi="Palatino Linotype"/>
          <w:sz w:val="24"/>
          <w:szCs w:val="24"/>
        </w:rPr>
        <w:t xml:space="preserve"> </w:t>
      </w:r>
      <w:r w:rsidRPr="00616A54">
        <w:rPr>
          <w:rFonts w:ascii="Palatino Linotype" w:eastAsia="Calibri" w:hAnsi="Palatino Linotype" w:cs="Arial"/>
          <w:sz w:val="24"/>
          <w:szCs w:val="24"/>
        </w:rPr>
        <w:t xml:space="preserve">no se encontró ajustada al contenido del artículo 167 de la </w:t>
      </w:r>
      <w:r w:rsidRPr="00616A54">
        <w:rPr>
          <w:rFonts w:ascii="Palatino Linotype" w:eastAsia="Calibri" w:hAnsi="Palatino Linotype" w:cs="Arial"/>
          <w:iCs/>
          <w:sz w:val="24"/>
          <w:szCs w:val="24"/>
        </w:rPr>
        <w:t>Ley de Transparencia y Acceso a la Información Pública del Estado de México y Municipios</w:t>
      </w:r>
      <w:r w:rsidRPr="00616A54">
        <w:rPr>
          <w:rFonts w:ascii="Palatino Linotype" w:eastAsia="Calibri" w:hAnsi="Palatino Linotype" w:cs="Arial"/>
          <w:sz w:val="24"/>
          <w:szCs w:val="24"/>
        </w:rPr>
        <w:t xml:space="preserve">, el cual establece que cuando las unidades de transparencia determinen la notoria incompetencia por parte de los sujetos obligados, dentro del ámbito de aplicación, para atender la solicitud de acceso a la </w:t>
      </w:r>
      <w:r w:rsidRPr="00616A54">
        <w:rPr>
          <w:rFonts w:ascii="Palatino Linotype" w:hAnsi="Palatino Linotype" w:cs="Arial"/>
          <w:sz w:val="24"/>
          <w:szCs w:val="24"/>
        </w:rPr>
        <w:t xml:space="preserve">información, </w:t>
      </w:r>
      <w:r w:rsidRPr="00616A54">
        <w:rPr>
          <w:rFonts w:ascii="Palatino Linotype" w:hAnsi="Palatino Linotype" w:cs="Arial"/>
          <w:b/>
          <w:sz w:val="24"/>
          <w:szCs w:val="24"/>
        </w:rPr>
        <w:t>deberán comunicarlo al solicitante</w:t>
      </w:r>
      <w:r w:rsidRPr="00616A54">
        <w:rPr>
          <w:rFonts w:ascii="Palatino Linotype" w:hAnsi="Palatino Linotype" w:cs="Arial"/>
          <w:sz w:val="24"/>
          <w:szCs w:val="24"/>
        </w:rPr>
        <w:t xml:space="preserve">, </w:t>
      </w:r>
      <w:r w:rsidRPr="00616A54">
        <w:rPr>
          <w:rFonts w:ascii="Palatino Linotype" w:hAnsi="Palatino Linotype" w:cs="Arial"/>
          <w:b/>
          <w:sz w:val="24"/>
          <w:szCs w:val="24"/>
        </w:rPr>
        <w:t>dentro de los tres días hábiles posteriores a la recepción de la solicitud</w:t>
      </w:r>
      <w:r w:rsidRPr="00616A54">
        <w:rPr>
          <w:rFonts w:ascii="Palatino Linotype" w:hAnsi="Palatino Linotype" w:cs="Arial"/>
          <w:sz w:val="24"/>
          <w:szCs w:val="24"/>
        </w:rPr>
        <w:t xml:space="preserve"> y, en su caso orientar al solicitante, el o los sujetos obligados competentes. Situación que se insiste no fue prevista por el Sujeto Obligado, ya que en el caso concreto no se pronunció al respecto, sino hasta el décimo cuarto día hábil posterior en el que tuvo conocimiento de la solicitud.</w:t>
      </w:r>
    </w:p>
    <w:p w14:paraId="3719790A" w14:textId="77777777" w:rsidR="00081DE2" w:rsidRPr="00616A54" w:rsidRDefault="00081DE2" w:rsidP="00081DE2">
      <w:pPr>
        <w:spacing w:after="0" w:line="360" w:lineRule="auto"/>
        <w:jc w:val="both"/>
        <w:rPr>
          <w:rFonts w:ascii="Palatino Linotype" w:eastAsia="Calibri" w:hAnsi="Palatino Linotype" w:cs="Arial"/>
          <w:sz w:val="24"/>
          <w:szCs w:val="24"/>
        </w:rPr>
      </w:pPr>
    </w:p>
    <w:p w14:paraId="0C0FD881" w14:textId="67C0D68F" w:rsidR="00081DE2" w:rsidRPr="00616A54" w:rsidRDefault="00081DE2" w:rsidP="00081DE2">
      <w:pPr>
        <w:spacing w:after="0" w:line="360" w:lineRule="auto"/>
        <w:jc w:val="both"/>
        <w:rPr>
          <w:rFonts w:ascii="Palatino Linotype" w:eastAsia="Calibri" w:hAnsi="Palatino Linotype" w:cs="Arial"/>
          <w:sz w:val="24"/>
          <w:szCs w:val="24"/>
        </w:rPr>
      </w:pPr>
      <w:r w:rsidRPr="00616A54">
        <w:rPr>
          <w:rFonts w:ascii="Palatino Linotype" w:eastAsia="Calibri" w:hAnsi="Palatino Linotype" w:cs="Arial"/>
          <w:sz w:val="24"/>
          <w:szCs w:val="24"/>
        </w:rPr>
        <w:t xml:space="preserve">En consecuencia, </w:t>
      </w:r>
      <w:r w:rsidRPr="00616A54">
        <w:rPr>
          <w:rFonts w:ascii="Palatino Linotype" w:hAnsi="Palatino Linotype"/>
          <w:sz w:val="24"/>
          <w:szCs w:val="24"/>
        </w:rPr>
        <w:t xml:space="preserve">tiene aplicación </w:t>
      </w:r>
      <w:r w:rsidRPr="00616A54">
        <w:rPr>
          <w:rFonts w:ascii="Palatino Linotype" w:eastAsia="Calibri" w:hAnsi="Palatino Linotype" w:cs="Arial"/>
          <w:sz w:val="24"/>
          <w:szCs w:val="24"/>
        </w:rPr>
        <w:t xml:space="preserve">el contenido del artículo 49, fracción II, de la Ley de Transparencia y Acceso a la Información Pública del Estado de México y Municipios, </w:t>
      </w:r>
      <w:r w:rsidRPr="00616A54">
        <w:rPr>
          <w:rFonts w:ascii="Palatino Linotype" w:eastAsia="Calibri" w:hAnsi="Palatino Linotype" w:cs="Arial"/>
          <w:sz w:val="24"/>
          <w:szCs w:val="24"/>
        </w:rPr>
        <w:lastRenderedPageBreak/>
        <w:t>para efectos de que sea declarada por parte del Comité de Transparencia la incompetencia a la que se hace referencia en la respuesta proporcionada, mismo que en su parte conducente señala lo siguiente:</w:t>
      </w:r>
    </w:p>
    <w:p w14:paraId="6BF421CF" w14:textId="77777777" w:rsidR="00081DE2" w:rsidRPr="00616A54" w:rsidRDefault="00081DE2" w:rsidP="00081DE2">
      <w:pPr>
        <w:pStyle w:val="Sinespaciado"/>
        <w:rPr>
          <w:rFonts w:eastAsia="Calibri"/>
        </w:rPr>
      </w:pPr>
    </w:p>
    <w:p w14:paraId="56F191B9" w14:textId="77777777" w:rsidR="00081DE2" w:rsidRPr="00616A54" w:rsidRDefault="00081DE2" w:rsidP="00081DE2">
      <w:pPr>
        <w:autoSpaceDE w:val="0"/>
        <w:autoSpaceDN w:val="0"/>
        <w:adjustRightInd w:val="0"/>
        <w:spacing w:after="0" w:line="276" w:lineRule="auto"/>
        <w:ind w:left="851" w:right="899"/>
        <w:jc w:val="both"/>
        <w:rPr>
          <w:rFonts w:ascii="Palatino Linotype" w:hAnsi="Palatino Linotype" w:cs="Arial"/>
          <w:i/>
        </w:rPr>
      </w:pPr>
      <w:r w:rsidRPr="00616A54">
        <w:rPr>
          <w:rFonts w:ascii="Palatino Linotype" w:hAnsi="Palatino Linotype" w:cs="Arial"/>
          <w:b/>
          <w:bCs/>
          <w:i/>
        </w:rPr>
        <w:t xml:space="preserve">“Artículo 49. </w:t>
      </w:r>
      <w:r w:rsidRPr="00616A54">
        <w:rPr>
          <w:rFonts w:ascii="Palatino Linotype" w:hAnsi="Palatino Linotype" w:cs="Arial"/>
          <w:i/>
        </w:rPr>
        <w:t>Los Comités de Transparencia tendrán las siguientes atribuciones:</w:t>
      </w:r>
    </w:p>
    <w:p w14:paraId="0C703D47" w14:textId="01376807" w:rsidR="00081DE2" w:rsidRPr="00616A54" w:rsidRDefault="00081DE2" w:rsidP="00081DE2">
      <w:pPr>
        <w:autoSpaceDE w:val="0"/>
        <w:autoSpaceDN w:val="0"/>
        <w:adjustRightInd w:val="0"/>
        <w:spacing w:after="0" w:line="276" w:lineRule="auto"/>
        <w:ind w:left="851" w:right="899"/>
        <w:jc w:val="both"/>
        <w:rPr>
          <w:rFonts w:ascii="Palatino Linotype" w:hAnsi="Palatino Linotype" w:cs="Arial"/>
          <w:b/>
          <w:bCs/>
          <w:i/>
        </w:rPr>
      </w:pPr>
      <w:r w:rsidRPr="00616A54">
        <w:rPr>
          <w:rFonts w:ascii="Palatino Linotype" w:hAnsi="Palatino Linotype" w:cs="Arial"/>
          <w:b/>
          <w:bCs/>
          <w:i/>
        </w:rPr>
        <w:t>…</w:t>
      </w:r>
    </w:p>
    <w:p w14:paraId="48EB82D1" w14:textId="77777777" w:rsidR="00081DE2" w:rsidRPr="00616A54" w:rsidRDefault="00081DE2" w:rsidP="00081DE2">
      <w:pPr>
        <w:autoSpaceDE w:val="0"/>
        <w:autoSpaceDN w:val="0"/>
        <w:adjustRightInd w:val="0"/>
        <w:spacing w:after="0" w:line="276" w:lineRule="auto"/>
        <w:ind w:left="851" w:right="899"/>
        <w:jc w:val="both"/>
        <w:rPr>
          <w:rFonts w:ascii="Palatino Linotype" w:hAnsi="Palatino Linotype" w:cs="Arial"/>
          <w:i/>
        </w:rPr>
      </w:pPr>
      <w:r w:rsidRPr="00616A54">
        <w:rPr>
          <w:rFonts w:ascii="Palatino Linotype" w:hAnsi="Palatino Linotype" w:cs="Arial"/>
          <w:b/>
          <w:bCs/>
          <w:i/>
        </w:rPr>
        <w:t xml:space="preserve">II. </w:t>
      </w:r>
      <w:r w:rsidRPr="00616A54">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616A54">
        <w:rPr>
          <w:rFonts w:ascii="Palatino Linotype" w:hAnsi="Palatino Linotype" w:cs="Arial"/>
          <w:b/>
          <w:i/>
        </w:rPr>
        <w:t>o de incompetencia realicen los titulares de las áreas de los sujetos obligados</w:t>
      </w:r>
      <w:r w:rsidRPr="00616A54">
        <w:rPr>
          <w:rFonts w:ascii="Palatino Linotype" w:hAnsi="Palatino Linotype" w:cs="Arial"/>
          <w:i/>
        </w:rPr>
        <w:t>;</w:t>
      </w:r>
    </w:p>
    <w:p w14:paraId="0E066458" w14:textId="77777777" w:rsidR="00081DE2" w:rsidRPr="00616A54" w:rsidRDefault="00081DE2" w:rsidP="00081DE2">
      <w:pPr>
        <w:autoSpaceDE w:val="0"/>
        <w:autoSpaceDN w:val="0"/>
        <w:adjustRightInd w:val="0"/>
        <w:spacing w:after="0" w:line="276" w:lineRule="auto"/>
        <w:ind w:left="851" w:right="899"/>
        <w:jc w:val="both"/>
        <w:rPr>
          <w:rFonts w:ascii="Palatino Linotype" w:hAnsi="Palatino Linotype" w:cs="Arial"/>
          <w:i/>
        </w:rPr>
      </w:pPr>
      <w:r w:rsidRPr="00616A54">
        <w:rPr>
          <w:rFonts w:ascii="Palatino Linotype" w:hAnsi="Palatino Linotype" w:cs="Arial"/>
          <w:bCs/>
          <w:i/>
        </w:rPr>
        <w:t>…</w:t>
      </w:r>
      <w:r w:rsidRPr="00616A54">
        <w:rPr>
          <w:rFonts w:ascii="Palatino Linotype" w:hAnsi="Palatino Linotype" w:cs="Arial"/>
          <w:i/>
        </w:rPr>
        <w:t>”</w:t>
      </w:r>
    </w:p>
    <w:p w14:paraId="26444456" w14:textId="77777777" w:rsidR="00081DE2" w:rsidRPr="00616A54" w:rsidRDefault="00081DE2" w:rsidP="00081DE2">
      <w:pPr>
        <w:spacing w:before="240" w:after="0" w:line="360" w:lineRule="auto"/>
        <w:jc w:val="both"/>
        <w:rPr>
          <w:rFonts w:ascii="Palatino Linotype" w:hAnsi="Palatino Linotype"/>
          <w:sz w:val="24"/>
        </w:rPr>
      </w:pPr>
      <w:r w:rsidRPr="00616A54">
        <w:rPr>
          <w:rFonts w:ascii="Palatino Linotype" w:eastAsia="Calibri" w:hAnsi="Palatino Linotype" w:cs="Arial"/>
          <w:sz w:val="24"/>
        </w:rPr>
        <w:t>Es de lo expuesto que el Comité de Transparencia debe confirmar la incompetencia que en el presente asunto encuadra en el supuesto de la Ley, p</w:t>
      </w:r>
      <w:r w:rsidRPr="00616A54">
        <w:rPr>
          <w:rFonts w:ascii="Palatino Linotype" w:hAnsi="Palatino Linotype"/>
          <w:sz w:val="24"/>
        </w:rPr>
        <w:t>or tanto, es que resulta dable ordenar al sujeto obligado haga entrega del acuerdo de incompetencia debidamente fundado y motivado, toda vez que dicha declaración no se ha presentado dentro de los primeros tres días hábiles a los que se refiere la Ley de la materia.</w:t>
      </w:r>
    </w:p>
    <w:p w14:paraId="4F6C792F" w14:textId="77777777" w:rsidR="00081DE2" w:rsidRPr="00616A54" w:rsidRDefault="00081DE2" w:rsidP="00081DE2">
      <w:pPr>
        <w:tabs>
          <w:tab w:val="left" w:pos="709"/>
        </w:tabs>
        <w:spacing w:after="0" w:line="360" w:lineRule="auto"/>
        <w:ind w:right="51"/>
        <w:jc w:val="both"/>
        <w:rPr>
          <w:rFonts w:ascii="Palatino Linotype" w:hAnsi="Palatino Linotype" w:cs="Arial"/>
          <w:sz w:val="24"/>
        </w:rPr>
      </w:pPr>
    </w:p>
    <w:p w14:paraId="23FE4BD8" w14:textId="77777777" w:rsidR="00081DE2" w:rsidRPr="00616A54" w:rsidRDefault="00081DE2" w:rsidP="00081DE2">
      <w:pPr>
        <w:tabs>
          <w:tab w:val="left" w:pos="709"/>
        </w:tabs>
        <w:spacing w:after="0" w:line="360" w:lineRule="auto"/>
        <w:ind w:right="51"/>
        <w:jc w:val="both"/>
        <w:rPr>
          <w:rFonts w:ascii="Palatino Linotype" w:hAnsi="Palatino Linotype"/>
          <w:sz w:val="24"/>
          <w:lang w:eastAsia="es-MX"/>
        </w:rPr>
      </w:pPr>
      <w:r w:rsidRPr="00616A54">
        <w:rPr>
          <w:rFonts w:ascii="Palatino Linotype" w:hAnsi="Palatino Linotype" w:cs="Arial"/>
          <w:sz w:val="24"/>
        </w:rPr>
        <w:t>Requisitos que deben estar acompañados de la debida fundamentación y motivación, cobrado aplicación lo que señala la jurisprudencia de la novena</w:t>
      </w:r>
      <w:r w:rsidRPr="00616A54">
        <w:rPr>
          <w:rFonts w:ascii="Palatino Linotype" w:hAnsi="Palatino Linotype"/>
          <w:sz w:val="24"/>
          <w:lang w:eastAsia="es-MX"/>
        </w:rPr>
        <w:t xml:space="preserve"> época visible en el Semanario Judicial de la Federación y su Gaceta. Instancia: Tribunales Colegiados de Circuito. Tesis I.4o.A.J/43 (9a.) bajo el número de registro 175082 cuyo rubro y texto esgrime:</w:t>
      </w:r>
    </w:p>
    <w:p w14:paraId="6DB06493" w14:textId="77777777" w:rsidR="00081DE2" w:rsidRPr="00616A54" w:rsidRDefault="00081DE2" w:rsidP="00081DE2">
      <w:pPr>
        <w:spacing w:before="120" w:after="120"/>
        <w:ind w:left="851" w:right="851"/>
        <w:jc w:val="both"/>
        <w:rPr>
          <w:rFonts w:ascii="Palatino Linotype" w:hAnsi="Palatino Linotype"/>
          <w:b/>
          <w:bCs/>
          <w:i/>
          <w:lang w:eastAsia="es-MX"/>
        </w:rPr>
      </w:pPr>
      <w:r w:rsidRPr="00616A54">
        <w:rPr>
          <w:rFonts w:ascii="Palatino Linotype" w:hAnsi="Palatino Linotype"/>
          <w:b/>
          <w:bCs/>
          <w:i/>
          <w:lang w:eastAsia="es-MX"/>
        </w:rPr>
        <w:t>“FUNDAMENTACIÓN Y MOTIVACIÓN. EL ASPECTO FORMAL DE LA GARANTÍA Y SU FINALIDAD SE TRADUCEN EN EXPLICAR, JUSTIFICAR, POSIBILITAR LA DEFENSA Y COMUNICAR LA DECISIÓN.</w:t>
      </w:r>
    </w:p>
    <w:p w14:paraId="230F43B4" w14:textId="77777777" w:rsidR="00081DE2" w:rsidRPr="00616A54" w:rsidRDefault="00081DE2" w:rsidP="00081DE2">
      <w:pPr>
        <w:spacing w:before="120" w:after="120"/>
        <w:ind w:left="851" w:right="851"/>
        <w:jc w:val="both"/>
        <w:rPr>
          <w:rFonts w:ascii="Palatino Linotype" w:hAnsi="Palatino Linotype"/>
          <w:i/>
          <w:lang w:eastAsia="es-MX"/>
        </w:rPr>
      </w:pPr>
      <w:r w:rsidRPr="00616A54">
        <w:rPr>
          <w:rFonts w:ascii="Palatino Linotype" w:hAnsi="Palatino Linotype"/>
          <w:i/>
          <w:lang w:eastAsia="es-MX"/>
        </w:rPr>
        <w:t>El contenido formal de la garantía de legalidad prevista en el artículo </w:t>
      </w:r>
      <w:hyperlink r:id="rId12" w:history="1">
        <w:r w:rsidRPr="00616A54">
          <w:rPr>
            <w:rFonts w:ascii="Palatino Linotype" w:hAnsi="Palatino Linotype"/>
            <w:i/>
            <w:lang w:eastAsia="es-MX"/>
          </w:rPr>
          <w:t>16 constitucional</w:t>
        </w:r>
      </w:hyperlink>
      <w:r w:rsidRPr="00616A54">
        <w:rPr>
          <w:rFonts w:ascii="Palatino Linotype" w:hAnsi="Palatino Linotype"/>
          <w:i/>
          <w:lang w:eastAsia="es-MX"/>
        </w:rPr>
        <w:t xml:space="preserve"> relativa a la fundamentación y motivación tiene como propósito </w:t>
      </w:r>
      <w:r w:rsidRPr="00616A54">
        <w:rPr>
          <w:rFonts w:ascii="Palatino Linotype" w:hAnsi="Palatino Linotype"/>
          <w:i/>
          <w:lang w:eastAsia="es-MX"/>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7F54FA2" w14:textId="459E72BD" w:rsidR="007321BF" w:rsidRPr="00616A54" w:rsidRDefault="00081DE2" w:rsidP="00081DE2">
      <w:pPr>
        <w:spacing w:before="240" w:after="240" w:line="360" w:lineRule="auto"/>
        <w:jc w:val="both"/>
        <w:rPr>
          <w:rFonts w:ascii="Palatino Linotype" w:hAnsi="Palatino Linotype" w:cs="Arial"/>
          <w:sz w:val="24"/>
        </w:rPr>
      </w:pPr>
      <w:r w:rsidRPr="00616A54">
        <w:rPr>
          <w:rFonts w:ascii="Palatino Linotype" w:hAnsi="Palatino Linotype"/>
          <w:sz w:val="24"/>
        </w:rPr>
        <w:t xml:space="preserve">En tales circunstancias, se dejan a salvo los derechos de la hoy parte recurrente, para que en caso de considerar conveniente a sus intereses conocer o acceder a dicha información, </w:t>
      </w:r>
      <w:r w:rsidRPr="00616A54">
        <w:rPr>
          <w:rFonts w:ascii="Palatino Linotype" w:hAnsi="Palatino Linotype" w:cs="Arial"/>
          <w:sz w:val="24"/>
        </w:rPr>
        <w:t xml:space="preserve">pueda formular una nueva solicitud ante el </w:t>
      </w:r>
      <w:r w:rsidRPr="00616A54">
        <w:rPr>
          <w:rFonts w:ascii="Palatino Linotype" w:hAnsi="Palatino Linotype" w:cs="Arial"/>
          <w:b/>
          <w:sz w:val="24"/>
        </w:rPr>
        <w:t>Sujeto Obligado</w:t>
      </w:r>
      <w:r w:rsidRPr="00616A54">
        <w:rPr>
          <w:rFonts w:ascii="Palatino Linotype" w:hAnsi="Palatino Linotype" w:cs="Arial"/>
          <w:sz w:val="24"/>
        </w:rPr>
        <w:t xml:space="preserve"> competente.</w:t>
      </w:r>
    </w:p>
    <w:p w14:paraId="48FCF050" w14:textId="77777777" w:rsidR="007321BF" w:rsidRPr="00616A54" w:rsidRDefault="007321BF" w:rsidP="007321BF">
      <w:pPr>
        <w:pStyle w:val="Prrafodelista"/>
        <w:numPr>
          <w:ilvl w:val="0"/>
          <w:numId w:val="23"/>
        </w:numPr>
        <w:tabs>
          <w:tab w:val="left" w:pos="709"/>
        </w:tabs>
        <w:spacing w:line="360" w:lineRule="auto"/>
        <w:jc w:val="both"/>
        <w:rPr>
          <w:rFonts w:ascii="Palatino Linotype" w:hAnsi="Palatino Linotype" w:cs="Arial"/>
          <w:b/>
          <w:i/>
          <w:sz w:val="28"/>
        </w:rPr>
      </w:pPr>
      <w:r w:rsidRPr="00616A54">
        <w:rPr>
          <w:rFonts w:ascii="Palatino Linotype" w:hAnsi="Palatino Linotype" w:cs="Arial"/>
          <w:b/>
          <w:i/>
          <w:sz w:val="28"/>
        </w:rPr>
        <w:t>De la versión pública</w:t>
      </w:r>
    </w:p>
    <w:p w14:paraId="3FC17215" w14:textId="0148E417" w:rsidR="007321BF" w:rsidRPr="00616A54" w:rsidRDefault="007321BF" w:rsidP="007321B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16A54">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B425383" w14:textId="77777777" w:rsidR="007321BF" w:rsidRPr="00616A54" w:rsidRDefault="007321BF" w:rsidP="007321BF">
      <w:pPr>
        <w:spacing w:after="0" w:line="360" w:lineRule="auto"/>
        <w:jc w:val="both"/>
        <w:rPr>
          <w:rFonts w:ascii="Palatino Linotype" w:hAnsi="Palatino Linotype" w:cs="Arial"/>
          <w:sz w:val="24"/>
          <w:szCs w:val="24"/>
        </w:rPr>
      </w:pPr>
      <w:r w:rsidRPr="00616A54">
        <w:rPr>
          <w:rFonts w:ascii="Palatino Linotype" w:hAnsi="Palatino Linotype" w:cs="Arial"/>
          <w:sz w:val="24"/>
          <w:szCs w:val="24"/>
        </w:rPr>
        <w:t xml:space="preserve">Para tales efectos se deberá observar lo dispuesto por los artículos 3 fracciones IX, XX, XXI y XLV, 91, 132 fracciones II y III, y 143 </w:t>
      </w:r>
      <w:proofErr w:type="gramStart"/>
      <w:r w:rsidRPr="00616A54">
        <w:rPr>
          <w:rFonts w:ascii="Palatino Linotype" w:hAnsi="Palatino Linotype" w:cs="Arial"/>
          <w:sz w:val="24"/>
          <w:szCs w:val="24"/>
        </w:rPr>
        <w:t>fracción</w:t>
      </w:r>
      <w:proofErr w:type="gramEnd"/>
      <w:r w:rsidRPr="00616A54">
        <w:rPr>
          <w:rFonts w:ascii="Palatino Linotype" w:hAnsi="Palatino Linotype" w:cs="Arial"/>
          <w:sz w:val="24"/>
          <w:szCs w:val="24"/>
        </w:rPr>
        <w:t xml:space="preserve"> I de la Ley de Transparencia y Acceso a la Información Pública del Estado de México y Municipios que establecen:</w:t>
      </w:r>
    </w:p>
    <w:p w14:paraId="3A8AB829" w14:textId="77777777" w:rsidR="007321BF" w:rsidRPr="00616A54" w:rsidRDefault="007321BF" w:rsidP="007321BF">
      <w:pPr>
        <w:spacing w:after="0" w:line="360" w:lineRule="auto"/>
        <w:jc w:val="both"/>
        <w:rPr>
          <w:rFonts w:ascii="Palatino Linotype" w:hAnsi="Palatino Linotype" w:cs="Arial"/>
          <w:sz w:val="24"/>
          <w:szCs w:val="24"/>
        </w:rPr>
      </w:pPr>
    </w:p>
    <w:p w14:paraId="76C7C233"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Artículo 3.</w:t>
      </w:r>
      <w:r w:rsidRPr="00616A54">
        <w:rPr>
          <w:rFonts w:ascii="Palatino Linotype" w:hAnsi="Palatino Linotype" w:cs="Arial"/>
          <w:i/>
          <w:szCs w:val="24"/>
        </w:rPr>
        <w:t xml:space="preserve"> Para los efectos de la presente Ley se entenderá por:</w:t>
      </w:r>
    </w:p>
    <w:p w14:paraId="68721F67"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i/>
          <w:szCs w:val="24"/>
        </w:rPr>
        <w:t>[…]</w:t>
      </w:r>
    </w:p>
    <w:p w14:paraId="7D2B9C70" w14:textId="77777777" w:rsidR="007321BF" w:rsidRPr="00616A54" w:rsidRDefault="007321BF" w:rsidP="007321BF">
      <w:pPr>
        <w:spacing w:after="0" w:line="240" w:lineRule="auto"/>
        <w:ind w:left="851" w:right="851"/>
        <w:jc w:val="both"/>
        <w:rPr>
          <w:rFonts w:ascii="Palatino Linotype" w:hAnsi="Palatino Linotype" w:cs="Arial"/>
          <w:i/>
          <w:szCs w:val="24"/>
        </w:rPr>
      </w:pPr>
    </w:p>
    <w:p w14:paraId="0D1D75B8"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IX. Datos personales:</w:t>
      </w:r>
      <w:r w:rsidRPr="00616A54">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E39BF3A"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XX. Información clasificada:</w:t>
      </w:r>
      <w:r w:rsidRPr="00616A54">
        <w:rPr>
          <w:rFonts w:ascii="Palatino Linotype" w:hAnsi="Palatino Linotype" w:cs="Arial"/>
          <w:i/>
          <w:szCs w:val="24"/>
        </w:rPr>
        <w:t xml:space="preserve"> Aquella considerada por la presente Ley como reservada o confidencial;</w:t>
      </w:r>
    </w:p>
    <w:p w14:paraId="4869F46E"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XXI. Información confidencial:</w:t>
      </w:r>
      <w:r w:rsidRPr="00616A54">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D2EA11"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XLV. Versión pública:</w:t>
      </w:r>
      <w:r w:rsidRPr="00616A54">
        <w:rPr>
          <w:rFonts w:ascii="Palatino Linotype" w:hAnsi="Palatino Linotype" w:cs="Arial"/>
          <w:i/>
          <w:szCs w:val="24"/>
        </w:rPr>
        <w:t xml:space="preserve"> Documento en el que se elimine, suprime o borra la información clasificada como reservada o confidencial para permitir su acceso.</w:t>
      </w:r>
    </w:p>
    <w:p w14:paraId="6D6A5A4D"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i/>
          <w:szCs w:val="24"/>
        </w:rPr>
        <w:t>[…]</w:t>
      </w:r>
    </w:p>
    <w:p w14:paraId="24172ACB"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Artículo 91.</w:t>
      </w:r>
      <w:r w:rsidRPr="00616A54">
        <w:rPr>
          <w:rFonts w:ascii="Palatino Linotype" w:hAnsi="Palatino Linotype" w:cs="Arial"/>
          <w:i/>
          <w:szCs w:val="24"/>
        </w:rPr>
        <w:t xml:space="preserve"> El acceso a la información pública será restringido excepcionalmente, cuando ésta sea clasificada como reservada o confidencial.</w:t>
      </w:r>
    </w:p>
    <w:p w14:paraId="27D17A1A" w14:textId="77777777" w:rsidR="007321BF" w:rsidRPr="00616A54" w:rsidRDefault="007321BF" w:rsidP="007321BF">
      <w:pPr>
        <w:spacing w:after="0" w:line="240" w:lineRule="auto"/>
        <w:ind w:left="851" w:right="851"/>
        <w:jc w:val="both"/>
        <w:rPr>
          <w:rFonts w:ascii="Palatino Linotype" w:hAnsi="Palatino Linotype" w:cs="Arial"/>
          <w:i/>
          <w:szCs w:val="24"/>
        </w:rPr>
      </w:pPr>
    </w:p>
    <w:p w14:paraId="2A45EE72"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Artículo 132.</w:t>
      </w:r>
      <w:r w:rsidRPr="00616A54">
        <w:rPr>
          <w:rFonts w:ascii="Palatino Linotype" w:hAnsi="Palatino Linotype" w:cs="Arial"/>
          <w:i/>
          <w:szCs w:val="24"/>
        </w:rPr>
        <w:t xml:space="preserve"> </w:t>
      </w:r>
      <w:r w:rsidRPr="00616A54">
        <w:rPr>
          <w:rFonts w:ascii="Palatino Linotype" w:hAnsi="Palatino Linotype" w:cs="Arial"/>
          <w:i/>
          <w:szCs w:val="24"/>
          <w:u w:val="single"/>
        </w:rPr>
        <w:t>La clasificación de la información se llevará a cabo en el momento en que</w:t>
      </w:r>
      <w:r w:rsidRPr="00616A54">
        <w:rPr>
          <w:rFonts w:ascii="Palatino Linotype" w:hAnsi="Palatino Linotype" w:cs="Arial"/>
          <w:i/>
          <w:szCs w:val="24"/>
        </w:rPr>
        <w:t>:</w:t>
      </w:r>
    </w:p>
    <w:p w14:paraId="57D94B54"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I.</w:t>
      </w:r>
      <w:r w:rsidRPr="00616A54">
        <w:rPr>
          <w:rFonts w:ascii="Palatino Linotype" w:hAnsi="Palatino Linotype" w:cs="Arial"/>
          <w:i/>
          <w:szCs w:val="24"/>
        </w:rPr>
        <w:t xml:space="preserve"> Se reciba una solicitud de acceso a la información;</w:t>
      </w:r>
    </w:p>
    <w:p w14:paraId="462BAD08" w14:textId="77777777" w:rsidR="007321BF" w:rsidRPr="00616A54" w:rsidRDefault="007321BF" w:rsidP="007321BF">
      <w:pPr>
        <w:spacing w:after="0" w:line="240" w:lineRule="auto"/>
        <w:ind w:left="851" w:right="851"/>
        <w:jc w:val="both"/>
        <w:rPr>
          <w:rFonts w:ascii="Palatino Linotype" w:hAnsi="Palatino Linotype" w:cs="Arial"/>
          <w:i/>
          <w:szCs w:val="24"/>
          <w:u w:val="single"/>
        </w:rPr>
      </w:pPr>
      <w:r w:rsidRPr="00616A54">
        <w:rPr>
          <w:rFonts w:ascii="Palatino Linotype" w:hAnsi="Palatino Linotype" w:cs="Arial"/>
          <w:b/>
          <w:i/>
          <w:szCs w:val="24"/>
        </w:rPr>
        <w:t>II.</w:t>
      </w:r>
      <w:r w:rsidRPr="00616A54">
        <w:rPr>
          <w:rFonts w:ascii="Palatino Linotype" w:hAnsi="Palatino Linotype" w:cs="Arial"/>
          <w:i/>
          <w:szCs w:val="24"/>
        </w:rPr>
        <w:t xml:space="preserve"> </w:t>
      </w:r>
      <w:r w:rsidRPr="00616A54">
        <w:rPr>
          <w:rFonts w:ascii="Palatino Linotype" w:hAnsi="Palatino Linotype" w:cs="Arial"/>
          <w:i/>
          <w:szCs w:val="24"/>
          <w:u w:val="single"/>
        </w:rPr>
        <w:t>Se determine mediante resolución de autoridad competente; o</w:t>
      </w:r>
    </w:p>
    <w:p w14:paraId="1499EBBE" w14:textId="77777777" w:rsidR="007321BF" w:rsidRPr="00616A54" w:rsidRDefault="007321BF" w:rsidP="007321BF">
      <w:pPr>
        <w:spacing w:after="0" w:line="240" w:lineRule="auto"/>
        <w:ind w:left="851" w:right="851"/>
        <w:jc w:val="both"/>
        <w:rPr>
          <w:rFonts w:ascii="Palatino Linotype" w:hAnsi="Palatino Linotype" w:cs="Arial"/>
          <w:i/>
          <w:szCs w:val="24"/>
          <w:u w:val="single"/>
        </w:rPr>
      </w:pPr>
      <w:r w:rsidRPr="00616A54">
        <w:rPr>
          <w:rFonts w:ascii="Palatino Linotype" w:hAnsi="Palatino Linotype" w:cs="Arial"/>
          <w:b/>
          <w:i/>
          <w:szCs w:val="24"/>
        </w:rPr>
        <w:t>III.</w:t>
      </w:r>
      <w:r w:rsidRPr="00616A54">
        <w:rPr>
          <w:rFonts w:ascii="Palatino Linotype" w:hAnsi="Palatino Linotype" w:cs="Arial"/>
          <w:i/>
          <w:szCs w:val="24"/>
        </w:rPr>
        <w:t xml:space="preserve"> </w:t>
      </w:r>
      <w:r w:rsidRPr="00616A54">
        <w:rPr>
          <w:rFonts w:ascii="Palatino Linotype" w:hAnsi="Palatino Linotype" w:cs="Arial"/>
          <w:i/>
          <w:szCs w:val="24"/>
          <w:u w:val="single"/>
        </w:rPr>
        <w:t>Se generen versiones públicas para dar cumplimiento a las obligaciones de transparencia previstas en esta Ley.</w:t>
      </w:r>
    </w:p>
    <w:p w14:paraId="6FF597B6"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i/>
          <w:szCs w:val="24"/>
        </w:rPr>
        <w:t>[…]</w:t>
      </w:r>
    </w:p>
    <w:p w14:paraId="3BCA0A18" w14:textId="77777777" w:rsidR="007321BF" w:rsidRPr="00616A54" w:rsidRDefault="007321BF" w:rsidP="007321BF">
      <w:pPr>
        <w:spacing w:after="0" w:line="240" w:lineRule="auto"/>
        <w:ind w:left="851" w:right="851"/>
        <w:jc w:val="both"/>
        <w:rPr>
          <w:rFonts w:ascii="Palatino Linotype" w:hAnsi="Palatino Linotype" w:cs="Arial"/>
          <w:i/>
          <w:szCs w:val="24"/>
        </w:rPr>
      </w:pPr>
    </w:p>
    <w:p w14:paraId="50F200A0"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Artículo 143.</w:t>
      </w:r>
      <w:r w:rsidRPr="00616A54">
        <w:rPr>
          <w:rFonts w:ascii="Palatino Linotype" w:hAnsi="Palatino Linotype" w:cs="Arial"/>
          <w:i/>
          <w:szCs w:val="24"/>
        </w:rPr>
        <w:t xml:space="preserve"> </w:t>
      </w:r>
      <w:r w:rsidRPr="00616A54">
        <w:rPr>
          <w:rFonts w:ascii="Palatino Linotype" w:hAnsi="Palatino Linotype" w:cs="Arial"/>
          <w:i/>
          <w:szCs w:val="24"/>
          <w:u w:val="single"/>
        </w:rPr>
        <w:t>Para los efectos de esta Ley se considera información confidencial, la clasificada como tal, de manera permanente, por su naturaleza, cuando</w:t>
      </w:r>
      <w:r w:rsidRPr="00616A54">
        <w:rPr>
          <w:rFonts w:ascii="Palatino Linotype" w:hAnsi="Palatino Linotype" w:cs="Arial"/>
          <w:i/>
          <w:szCs w:val="24"/>
        </w:rPr>
        <w:t>:</w:t>
      </w:r>
    </w:p>
    <w:p w14:paraId="6F0EE605"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I.</w:t>
      </w:r>
      <w:r w:rsidRPr="00616A54">
        <w:rPr>
          <w:rFonts w:ascii="Palatino Linotype" w:hAnsi="Palatino Linotype" w:cs="Arial"/>
          <w:i/>
          <w:szCs w:val="24"/>
        </w:rPr>
        <w:t xml:space="preserve"> </w:t>
      </w:r>
      <w:r w:rsidRPr="00616A54">
        <w:rPr>
          <w:rFonts w:ascii="Palatino Linotype" w:hAnsi="Palatino Linotype" w:cs="Arial"/>
          <w:i/>
          <w:szCs w:val="24"/>
          <w:u w:val="single"/>
        </w:rPr>
        <w:t xml:space="preserve">Se refiera a la información privada y los datos personales concernientes a una persona física o </w:t>
      </w:r>
      <w:proofErr w:type="gramStart"/>
      <w:r w:rsidRPr="00616A54">
        <w:rPr>
          <w:rFonts w:ascii="Palatino Linotype" w:hAnsi="Palatino Linotype" w:cs="Arial"/>
          <w:i/>
          <w:szCs w:val="24"/>
          <w:u w:val="single"/>
        </w:rPr>
        <w:t>jurídico</w:t>
      </w:r>
      <w:proofErr w:type="gramEnd"/>
      <w:r w:rsidRPr="00616A54">
        <w:rPr>
          <w:rFonts w:ascii="Palatino Linotype" w:hAnsi="Palatino Linotype" w:cs="Arial"/>
          <w:i/>
          <w:szCs w:val="24"/>
          <w:u w:val="single"/>
        </w:rPr>
        <w:t xml:space="preserve"> colectiva identificada o identificable</w:t>
      </w:r>
      <w:r w:rsidRPr="00616A54">
        <w:rPr>
          <w:rFonts w:ascii="Palatino Linotype" w:hAnsi="Palatino Linotype" w:cs="Arial"/>
          <w:i/>
          <w:szCs w:val="24"/>
        </w:rPr>
        <w:t>;</w:t>
      </w:r>
    </w:p>
    <w:p w14:paraId="299B3D3D" w14:textId="77777777" w:rsidR="007321BF" w:rsidRPr="00616A54" w:rsidRDefault="007321BF" w:rsidP="007321BF">
      <w:pPr>
        <w:spacing w:after="0" w:line="240" w:lineRule="auto"/>
        <w:ind w:left="851" w:right="851"/>
        <w:jc w:val="both"/>
        <w:rPr>
          <w:rFonts w:ascii="Palatino Linotype" w:hAnsi="Palatino Linotype" w:cs="Arial"/>
          <w:i/>
          <w:szCs w:val="24"/>
          <w:u w:val="single"/>
        </w:rPr>
      </w:pPr>
      <w:r w:rsidRPr="00616A54">
        <w:rPr>
          <w:rFonts w:ascii="Palatino Linotype" w:hAnsi="Palatino Linotype" w:cs="Arial"/>
          <w:b/>
          <w:i/>
          <w:szCs w:val="24"/>
        </w:rPr>
        <w:t>II.</w:t>
      </w:r>
      <w:r w:rsidRPr="00616A54">
        <w:rPr>
          <w:rFonts w:ascii="Palatino Linotype" w:hAnsi="Palatino Linotype" w:cs="Arial"/>
          <w:i/>
          <w:szCs w:val="24"/>
        </w:rPr>
        <w:t xml:space="preserve"> </w:t>
      </w:r>
      <w:r w:rsidRPr="00616A54">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3890488"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b/>
          <w:i/>
          <w:szCs w:val="24"/>
        </w:rPr>
        <w:t>III.</w:t>
      </w:r>
      <w:r w:rsidRPr="00616A54">
        <w:rPr>
          <w:rFonts w:ascii="Palatino Linotype" w:hAnsi="Palatino Linotype" w:cs="Arial"/>
          <w:i/>
          <w:szCs w:val="24"/>
        </w:rPr>
        <w:t xml:space="preserve"> La que presenten los particulares a los sujetos obligados, de conformidad con lo dispuesto por las leyes o los tratados internacionales.</w:t>
      </w:r>
    </w:p>
    <w:p w14:paraId="7A7FB829"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10C8E62C" w14:textId="77777777" w:rsidR="007321BF" w:rsidRPr="00616A54" w:rsidRDefault="007321BF" w:rsidP="007321BF">
      <w:pPr>
        <w:spacing w:after="0" w:line="240" w:lineRule="auto"/>
        <w:ind w:left="851" w:right="851"/>
        <w:jc w:val="both"/>
        <w:rPr>
          <w:rFonts w:ascii="Palatino Linotype" w:hAnsi="Palatino Linotype" w:cs="Arial"/>
          <w:i/>
          <w:szCs w:val="24"/>
        </w:rPr>
      </w:pPr>
      <w:r w:rsidRPr="00616A54">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0632E168" w14:textId="77777777" w:rsidR="007321BF" w:rsidRPr="00616A54" w:rsidRDefault="007321BF" w:rsidP="007321BF">
      <w:pPr>
        <w:spacing w:after="0" w:line="360" w:lineRule="auto"/>
        <w:ind w:left="851" w:right="851"/>
        <w:jc w:val="both"/>
        <w:rPr>
          <w:rFonts w:ascii="Palatino Linotype" w:hAnsi="Palatino Linotype" w:cs="Arial"/>
          <w:i/>
          <w:szCs w:val="24"/>
        </w:rPr>
      </w:pPr>
    </w:p>
    <w:p w14:paraId="17913B10" w14:textId="77777777" w:rsidR="009E547B" w:rsidRPr="00616A54" w:rsidRDefault="009E547B" w:rsidP="009E547B">
      <w:pPr>
        <w:spacing w:after="0" w:line="360" w:lineRule="auto"/>
        <w:jc w:val="both"/>
        <w:rPr>
          <w:rFonts w:ascii="Palatino Linotype" w:eastAsiaTheme="minorEastAsia" w:hAnsi="Palatino Linotype" w:cs="Arial"/>
          <w:b/>
          <w:i/>
          <w:sz w:val="24"/>
          <w:szCs w:val="24"/>
          <w:lang w:val="es-ES_tradnl"/>
        </w:rPr>
      </w:pPr>
      <w:r w:rsidRPr="00616A54">
        <w:rPr>
          <w:rFonts w:ascii="Palatino Linotype" w:hAnsi="Palatino Linotype" w:cs="Arial"/>
          <w:sz w:val="24"/>
          <w:szCs w:val="24"/>
        </w:rPr>
        <w:lastRenderedPageBreak/>
        <w:t xml:space="preserve">Por cuanto hace a las </w:t>
      </w:r>
      <w:r w:rsidRPr="00616A54">
        <w:rPr>
          <w:rFonts w:ascii="Palatino Linotype" w:hAnsi="Palatino Linotype" w:cs="Arial"/>
          <w:b/>
          <w:sz w:val="24"/>
          <w:szCs w:val="24"/>
        </w:rPr>
        <w:t xml:space="preserve">cuentas bancarias y </w:t>
      </w:r>
      <w:proofErr w:type="spellStart"/>
      <w:r w:rsidRPr="00616A54">
        <w:rPr>
          <w:rFonts w:ascii="Palatino Linotype" w:hAnsi="Palatino Linotype" w:cs="Arial"/>
          <w:b/>
          <w:sz w:val="24"/>
          <w:szCs w:val="24"/>
        </w:rPr>
        <w:t>clabes</w:t>
      </w:r>
      <w:proofErr w:type="spellEnd"/>
      <w:r w:rsidRPr="00616A54">
        <w:rPr>
          <w:rFonts w:ascii="Palatino Linotype" w:hAnsi="Palatino Linotype" w:cs="Arial"/>
          <w:b/>
          <w:sz w:val="24"/>
          <w:szCs w:val="24"/>
        </w:rPr>
        <w:t xml:space="preserve"> interbancarias</w:t>
      </w:r>
      <w:r w:rsidRPr="00616A54">
        <w:rPr>
          <w:rFonts w:ascii="Palatino Linotype" w:hAnsi="Palatino Linotype" w:cs="Arial"/>
          <w:sz w:val="24"/>
          <w:szCs w:val="24"/>
        </w:rPr>
        <w:t xml:space="preserve">, es de precisar que dicha información es información confidencial únicamente por lo que concierne a los particulares, no así del </w:t>
      </w:r>
      <w:r w:rsidRPr="00616A54">
        <w:rPr>
          <w:rFonts w:ascii="Palatino Linotype" w:hAnsi="Palatino Linotype" w:cs="Arial"/>
          <w:b/>
          <w:sz w:val="24"/>
          <w:szCs w:val="24"/>
        </w:rPr>
        <w:t xml:space="preserve">SUJETO OBLIGADO, </w:t>
      </w:r>
      <w:r w:rsidRPr="00616A54">
        <w:rPr>
          <w:rFonts w:ascii="Palatino Linotype" w:hAnsi="Palatino Linotype" w:cs="Arial"/>
          <w:sz w:val="24"/>
          <w:szCs w:val="24"/>
        </w:rPr>
        <w:t>toda vez que su publicidad abona a la transparencia y a la rendición de cuentas.</w:t>
      </w:r>
    </w:p>
    <w:p w14:paraId="3993A3F0" w14:textId="77777777" w:rsidR="009E547B" w:rsidRPr="00616A54" w:rsidRDefault="009E547B" w:rsidP="009E547B">
      <w:pPr>
        <w:spacing w:before="240" w:after="0" w:line="360" w:lineRule="auto"/>
        <w:jc w:val="both"/>
        <w:rPr>
          <w:rFonts w:ascii="Palatino Linotype" w:eastAsia="Calibri" w:hAnsi="Palatino Linotype"/>
          <w:sz w:val="24"/>
        </w:rPr>
      </w:pPr>
      <w:r w:rsidRPr="00616A54">
        <w:rPr>
          <w:rFonts w:ascii="Palatino Linotype" w:eastAsia="Calibri" w:hAnsi="Palatino Linotype"/>
          <w:sz w:val="24"/>
        </w:rPr>
        <w:t xml:space="preserve">En este sentido, es importante precisar que, de acuerdo al </w:t>
      </w:r>
      <w:r w:rsidRPr="00616A54">
        <w:rPr>
          <w:rFonts w:ascii="Palatino Linotype" w:eastAsia="Calibri" w:hAnsi="Palatino Linotype"/>
          <w:b/>
          <w:sz w:val="24"/>
        </w:rPr>
        <w:t>criterio 11/17</w:t>
      </w:r>
      <w:r w:rsidRPr="00616A54">
        <w:rPr>
          <w:rFonts w:ascii="Palatino Linotype" w:eastAsia="Calibri" w:hAnsi="Palatino Linotype"/>
          <w:sz w:val="24"/>
        </w:rPr>
        <w:t xml:space="preserve"> emitido por el INAI, las cuentas bancarias y/o </w:t>
      </w:r>
      <w:proofErr w:type="spellStart"/>
      <w:r w:rsidRPr="00616A54">
        <w:rPr>
          <w:rFonts w:ascii="Palatino Linotype" w:eastAsia="Calibri" w:hAnsi="Palatino Linotype"/>
          <w:sz w:val="24"/>
        </w:rPr>
        <w:t>clabes</w:t>
      </w:r>
      <w:proofErr w:type="spellEnd"/>
      <w:r w:rsidRPr="00616A54">
        <w:rPr>
          <w:rFonts w:ascii="Palatino Linotype" w:eastAsia="Calibri" w:hAnsi="Palatino Linotype"/>
          <w:sz w:val="24"/>
        </w:rPr>
        <w:t xml:space="preserve"> interbancarias de los Sujetos Obligados es información de carácter público. </w:t>
      </w:r>
    </w:p>
    <w:p w14:paraId="700500D5" w14:textId="77777777" w:rsidR="009E547B" w:rsidRPr="00616A54" w:rsidRDefault="009E547B" w:rsidP="009E547B">
      <w:pPr>
        <w:pStyle w:val="Sinespaciado"/>
        <w:rPr>
          <w:rFonts w:eastAsia="Calibri"/>
        </w:rPr>
      </w:pPr>
    </w:p>
    <w:p w14:paraId="0AFDD2A2" w14:textId="77777777" w:rsidR="009E547B" w:rsidRPr="00616A54" w:rsidRDefault="009E547B" w:rsidP="009E547B">
      <w:pPr>
        <w:tabs>
          <w:tab w:val="left" w:pos="8222"/>
        </w:tabs>
        <w:spacing w:line="240" w:lineRule="auto"/>
        <w:ind w:left="851" w:right="902"/>
        <w:jc w:val="center"/>
        <w:rPr>
          <w:rFonts w:ascii="Palatino Linotype" w:hAnsi="Palatino Linotype" w:cs="Arial"/>
          <w:b/>
          <w:color w:val="000000"/>
        </w:rPr>
      </w:pPr>
      <w:r w:rsidRPr="00616A54">
        <w:rPr>
          <w:rFonts w:ascii="Palatino Linotype" w:hAnsi="Palatino Linotype" w:cs="Arial"/>
          <w:color w:val="000000"/>
        </w:rPr>
        <w:t>“</w:t>
      </w:r>
      <w:r w:rsidRPr="00616A54">
        <w:rPr>
          <w:rFonts w:ascii="Palatino Linotype" w:hAnsi="Palatino Linotype" w:cs="Arial"/>
          <w:b/>
          <w:color w:val="000000"/>
        </w:rPr>
        <w:t>Criterio 11/17</w:t>
      </w:r>
    </w:p>
    <w:p w14:paraId="46865004" w14:textId="77777777" w:rsidR="009E547B" w:rsidRPr="00616A54" w:rsidRDefault="009E547B" w:rsidP="009E547B">
      <w:pPr>
        <w:tabs>
          <w:tab w:val="left" w:pos="8222"/>
        </w:tabs>
        <w:spacing w:line="240" w:lineRule="auto"/>
        <w:ind w:left="851" w:right="902"/>
        <w:jc w:val="both"/>
        <w:rPr>
          <w:rFonts w:ascii="Palatino Linotype" w:hAnsi="Palatino Linotype"/>
          <w:i/>
        </w:rPr>
      </w:pPr>
      <w:r w:rsidRPr="00616A54">
        <w:rPr>
          <w:rFonts w:ascii="Palatino Linotype" w:hAnsi="Palatino Linotype"/>
          <w:b/>
          <w:i/>
        </w:rPr>
        <w:t>Cuentas bancarias y/o CLABE interbancaria de sujetos obligados que reciben y/o transfieren recursos públicos, son información pública.</w:t>
      </w:r>
      <w:r w:rsidRPr="00616A54">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9B88804" w14:textId="77777777" w:rsidR="009E547B" w:rsidRPr="00616A54" w:rsidRDefault="009E547B" w:rsidP="009E547B">
      <w:pPr>
        <w:tabs>
          <w:tab w:val="left" w:pos="8222"/>
        </w:tabs>
        <w:spacing w:after="0" w:line="240" w:lineRule="auto"/>
        <w:ind w:left="851" w:right="902"/>
        <w:jc w:val="both"/>
        <w:rPr>
          <w:rFonts w:ascii="Palatino Linotype" w:hAnsi="Palatino Linotype"/>
          <w:i/>
        </w:rPr>
      </w:pPr>
      <w:r w:rsidRPr="00616A54">
        <w:rPr>
          <w:rFonts w:ascii="Palatino Linotype" w:hAnsi="Palatino Linotype"/>
          <w:i/>
        </w:rPr>
        <w:t xml:space="preserve">Resoluciones: </w:t>
      </w:r>
    </w:p>
    <w:p w14:paraId="2746BDC6" w14:textId="77777777" w:rsidR="009E547B" w:rsidRPr="00616A54" w:rsidRDefault="009E547B" w:rsidP="009E547B">
      <w:pPr>
        <w:tabs>
          <w:tab w:val="left" w:pos="8222"/>
        </w:tabs>
        <w:spacing w:after="0" w:line="240" w:lineRule="auto"/>
        <w:ind w:left="851" w:right="902"/>
        <w:jc w:val="both"/>
        <w:rPr>
          <w:rFonts w:ascii="Palatino Linotype" w:hAnsi="Palatino Linotype"/>
          <w:i/>
        </w:rPr>
      </w:pPr>
      <w:r w:rsidRPr="00616A54">
        <w:rPr>
          <w:rFonts w:ascii="Palatino Linotype" w:hAnsi="Palatino Linotype"/>
          <w:i/>
        </w:rPr>
        <w:sym w:font="Symbol" w:char="F0B7"/>
      </w:r>
      <w:r w:rsidRPr="00616A54">
        <w:rPr>
          <w:rFonts w:ascii="Palatino Linotype" w:hAnsi="Palatino Linotype"/>
          <w:i/>
        </w:rPr>
        <w:t xml:space="preserve"> RRA 0448/16. NOTIMEX, Agencia de Noticias del Estado Mexicano. 24 de agosto de 2016. Por unanimidad. Comisionado Ponente Joel Salas Suárez.</w:t>
      </w:r>
    </w:p>
    <w:p w14:paraId="5FEB10DF" w14:textId="77777777" w:rsidR="009E547B" w:rsidRPr="00616A54" w:rsidRDefault="009E547B" w:rsidP="009E547B">
      <w:pPr>
        <w:tabs>
          <w:tab w:val="left" w:pos="8222"/>
        </w:tabs>
        <w:spacing w:after="0" w:line="240" w:lineRule="auto"/>
        <w:ind w:left="851" w:right="902"/>
        <w:jc w:val="both"/>
        <w:rPr>
          <w:rFonts w:ascii="Palatino Linotype" w:hAnsi="Palatino Linotype"/>
          <w:i/>
        </w:rPr>
      </w:pPr>
      <w:r w:rsidRPr="00616A54">
        <w:rPr>
          <w:rFonts w:ascii="Palatino Linotype" w:hAnsi="Palatino Linotype"/>
          <w:i/>
        </w:rPr>
        <w:sym w:font="Symbol" w:char="F0B7"/>
      </w:r>
      <w:r w:rsidRPr="00616A54">
        <w:rPr>
          <w:rFonts w:ascii="Palatino Linotype" w:hAnsi="Palatino Linotype"/>
          <w:i/>
        </w:rPr>
        <w:t xml:space="preserve"> RRA 2787/16. Colegio de Postgraduados. 01 de noviembre de 2016. Por unanimidad. Comisionado Ponente Francisco Javier Acuña Llamas.</w:t>
      </w:r>
    </w:p>
    <w:p w14:paraId="57F320D7" w14:textId="77777777" w:rsidR="009E547B" w:rsidRPr="00616A54" w:rsidRDefault="009E547B" w:rsidP="009E547B">
      <w:pPr>
        <w:tabs>
          <w:tab w:val="left" w:pos="8222"/>
        </w:tabs>
        <w:spacing w:after="0" w:line="240" w:lineRule="auto"/>
        <w:ind w:left="851" w:right="902"/>
        <w:jc w:val="both"/>
        <w:rPr>
          <w:rFonts w:ascii="Palatino Linotype" w:hAnsi="Palatino Linotype"/>
          <w:i/>
        </w:rPr>
      </w:pPr>
      <w:r w:rsidRPr="00616A54">
        <w:rPr>
          <w:rFonts w:ascii="Palatino Linotype" w:hAnsi="Palatino Linotype"/>
          <w:i/>
        </w:rPr>
        <w:sym w:font="Symbol" w:char="F0B7"/>
      </w:r>
      <w:r w:rsidRPr="00616A54">
        <w:rPr>
          <w:rFonts w:ascii="Palatino Linotype" w:hAnsi="Palatino Linotype"/>
          <w:i/>
        </w:rPr>
        <w:t xml:space="preserve"> RRA 4756/16. Instituto Mexicano del Seguro Social. 08 de febrero de 2017. Por unanimidad. Comisionado Ponente Oscar Mauricio Guerra Ford.” </w:t>
      </w:r>
      <w:r w:rsidRPr="00616A54">
        <w:rPr>
          <w:rFonts w:ascii="Palatino Linotype" w:hAnsi="Palatino Linotype"/>
        </w:rPr>
        <w:t>(</w:t>
      </w:r>
      <w:r w:rsidRPr="00616A54">
        <w:rPr>
          <w:rFonts w:ascii="Palatino Linotype" w:hAnsi="Palatino Linotype"/>
          <w:i/>
        </w:rPr>
        <w:t>Sic</w:t>
      </w:r>
      <w:r w:rsidRPr="00616A54">
        <w:rPr>
          <w:rFonts w:ascii="Palatino Linotype" w:hAnsi="Palatino Linotype"/>
        </w:rPr>
        <w:t>)</w:t>
      </w:r>
    </w:p>
    <w:p w14:paraId="253FAC2D" w14:textId="77777777" w:rsidR="009E547B" w:rsidRPr="00616A54" w:rsidRDefault="009E547B" w:rsidP="009E547B">
      <w:pPr>
        <w:pStyle w:val="Sinespaciado"/>
        <w:rPr>
          <w:lang w:val="es-ES_tradnl"/>
        </w:rPr>
      </w:pPr>
    </w:p>
    <w:p w14:paraId="16BD0C8C" w14:textId="77777777" w:rsidR="009E547B" w:rsidRPr="00616A54" w:rsidRDefault="009E547B" w:rsidP="009E547B">
      <w:pPr>
        <w:spacing w:before="240" w:after="240" w:line="360" w:lineRule="auto"/>
        <w:ind w:right="49"/>
        <w:jc w:val="both"/>
        <w:rPr>
          <w:rFonts w:ascii="Palatino Linotype" w:hAnsi="Palatino Linotype" w:cs="Arial"/>
          <w:sz w:val="24"/>
          <w:lang w:val="es-ES_tradnl"/>
        </w:rPr>
      </w:pPr>
      <w:r w:rsidRPr="00616A54">
        <w:rPr>
          <w:rFonts w:ascii="Palatino Linotype" w:hAnsi="Palatino Linotype" w:cs="Arial"/>
          <w:sz w:val="24"/>
          <w:lang w:val="es-ES_tradnl"/>
        </w:rPr>
        <w:t xml:space="preserve">Caso contrario a los particulares, como lo refiere el </w:t>
      </w:r>
      <w:r w:rsidRPr="00616A54">
        <w:rPr>
          <w:rFonts w:ascii="Palatino Linotype" w:eastAsia="Calibri" w:hAnsi="Palatino Linotype"/>
          <w:b/>
          <w:sz w:val="24"/>
        </w:rPr>
        <w:t>criterio 10/17</w:t>
      </w:r>
      <w:r w:rsidRPr="00616A54">
        <w:rPr>
          <w:rFonts w:ascii="Palatino Linotype" w:eastAsia="Calibri" w:hAnsi="Palatino Linotype"/>
          <w:sz w:val="24"/>
        </w:rPr>
        <w:t xml:space="preserve"> emitido por el INAI, que es del tenor literal siguiente:</w:t>
      </w:r>
    </w:p>
    <w:p w14:paraId="6D97144C" w14:textId="77777777" w:rsidR="009E547B" w:rsidRPr="00616A54" w:rsidRDefault="009E547B" w:rsidP="009E547B">
      <w:pPr>
        <w:spacing w:after="0"/>
        <w:ind w:left="851" w:right="902"/>
        <w:jc w:val="both"/>
        <w:rPr>
          <w:rFonts w:ascii="Palatino Linotype" w:hAnsi="Palatino Linotype" w:cs="Arial"/>
          <w:i/>
          <w:lang w:val="es-ES_tradnl"/>
        </w:rPr>
      </w:pPr>
      <w:r w:rsidRPr="00616A54">
        <w:rPr>
          <w:rFonts w:ascii="Palatino Linotype" w:hAnsi="Palatino Linotype" w:cs="Arial"/>
          <w:b/>
          <w:i/>
          <w:lang w:val="es-ES_tradnl"/>
        </w:rPr>
        <w:t>Cuentas bancarias y/o CLABE interbancaria de personas físicas y morales privadas. El número de cuenta bancaria y/o CLABE interbancaria de particulares es información confidencial</w:t>
      </w:r>
      <w:r w:rsidRPr="00616A54">
        <w:rPr>
          <w:rFonts w:ascii="Palatino Linotype" w:hAnsi="Palatino Linotype" w:cs="Arial"/>
          <w:i/>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w:t>
      </w:r>
      <w:r w:rsidRPr="00616A54">
        <w:rPr>
          <w:rFonts w:ascii="Palatino Linotype" w:hAnsi="Palatino Linotype" w:cs="Arial"/>
          <w:i/>
          <w:lang w:val="es-ES_tradnl"/>
        </w:rPr>
        <w:lastRenderedPageBreak/>
        <w:t xml:space="preserve">constituye información clasificada con fundamento en los artículos 116 de la Ley General de Transparencia y Acceso a la Información Pública y 113 de la Ley Federal de Transparencia y Acceso a la Información Pública. </w:t>
      </w:r>
    </w:p>
    <w:p w14:paraId="57F2A5B6" w14:textId="77777777" w:rsidR="009E547B" w:rsidRPr="00616A54" w:rsidRDefault="009E547B" w:rsidP="009E547B">
      <w:pPr>
        <w:spacing w:after="0"/>
        <w:ind w:left="851" w:right="902"/>
        <w:jc w:val="both"/>
        <w:rPr>
          <w:rFonts w:ascii="Palatino Linotype" w:hAnsi="Palatino Linotype" w:cs="Arial"/>
          <w:i/>
          <w:lang w:val="es-ES_tradnl"/>
        </w:rPr>
      </w:pPr>
    </w:p>
    <w:p w14:paraId="12CC2BEF" w14:textId="77777777" w:rsidR="009E547B" w:rsidRPr="00616A54" w:rsidRDefault="009E547B" w:rsidP="009E547B">
      <w:pPr>
        <w:spacing w:after="0"/>
        <w:ind w:left="851" w:right="902"/>
        <w:jc w:val="both"/>
        <w:rPr>
          <w:rFonts w:ascii="Palatino Linotype" w:hAnsi="Palatino Linotype" w:cs="Arial"/>
          <w:i/>
          <w:lang w:val="es-ES_tradnl"/>
        </w:rPr>
      </w:pPr>
      <w:r w:rsidRPr="00616A54">
        <w:rPr>
          <w:rFonts w:ascii="Palatino Linotype" w:hAnsi="Palatino Linotype" w:cs="Arial"/>
          <w:i/>
          <w:lang w:val="es-ES_tradnl"/>
        </w:rPr>
        <w:t xml:space="preserve">Resoluciones:  </w:t>
      </w:r>
    </w:p>
    <w:p w14:paraId="3DBE2A1E" w14:textId="77777777" w:rsidR="009E547B" w:rsidRPr="00616A54" w:rsidRDefault="009E547B" w:rsidP="009E547B">
      <w:pPr>
        <w:spacing w:after="0"/>
        <w:ind w:left="851" w:right="902"/>
        <w:jc w:val="both"/>
        <w:rPr>
          <w:rFonts w:ascii="Palatino Linotype" w:hAnsi="Palatino Linotype" w:cs="Arial"/>
          <w:i/>
          <w:lang w:val="es-ES_tradnl"/>
        </w:rPr>
      </w:pPr>
      <w:r w:rsidRPr="00616A54">
        <w:rPr>
          <w:rFonts w:ascii="Palatino Linotype" w:hAnsi="Palatino Linotype" w:cs="Arial"/>
          <w:i/>
          <w:lang w:val="es-ES_tradnl"/>
        </w:rPr>
        <w:t>RRA 1276/16 Grupo Aeroportuario de la Ciudad de México. S.A. de C.V. 01 de noviembre de 2016. Por unanimidad. Comisionada Ponente Areli Cano Guadiana.</w:t>
      </w:r>
    </w:p>
    <w:p w14:paraId="4362A6E0" w14:textId="77777777" w:rsidR="009E547B" w:rsidRPr="00616A54" w:rsidRDefault="009E547B" w:rsidP="009E547B">
      <w:pPr>
        <w:spacing w:after="0"/>
        <w:ind w:left="851" w:right="902"/>
        <w:jc w:val="both"/>
        <w:rPr>
          <w:rFonts w:ascii="Palatino Linotype" w:hAnsi="Palatino Linotype" w:cs="Arial"/>
          <w:i/>
          <w:lang w:val="es-ES_tradnl"/>
        </w:rPr>
      </w:pPr>
      <w:r w:rsidRPr="00616A54">
        <w:rPr>
          <w:rFonts w:ascii="Palatino Linotype" w:hAnsi="Palatino Linotype" w:cs="Arial"/>
          <w:i/>
          <w:lang w:val="es-ES_tradnl"/>
        </w:rPr>
        <w:t xml:space="preserve">RRA 3527/16 Servicio de Administración Tributaria. 07 de diciembre de 2016. Por unanimidad. Comisionada Ponente Ximena Puente de la Mora.  </w:t>
      </w:r>
      <w:r w:rsidRPr="00616A54">
        <w:rPr>
          <w:rFonts w:ascii="Palatino Linotype" w:hAnsi="Palatino Linotype" w:cs="Arial"/>
          <w:i/>
          <w:lang w:val="es-ES_tradnl"/>
        </w:rPr>
        <w:t xml:space="preserve"> </w:t>
      </w:r>
    </w:p>
    <w:p w14:paraId="3AA8C162" w14:textId="77777777" w:rsidR="009E547B" w:rsidRPr="00616A54" w:rsidRDefault="009E547B" w:rsidP="009E547B">
      <w:pPr>
        <w:spacing w:after="0"/>
        <w:ind w:left="851" w:right="902"/>
        <w:jc w:val="both"/>
        <w:rPr>
          <w:rFonts w:ascii="Palatino Linotype" w:hAnsi="Palatino Linotype" w:cs="Arial"/>
          <w:i/>
          <w:lang w:val="es-ES_tradnl"/>
        </w:rPr>
      </w:pPr>
      <w:r w:rsidRPr="00616A54">
        <w:rPr>
          <w:rFonts w:ascii="Palatino Linotype" w:hAnsi="Palatino Linotype" w:cs="Arial"/>
          <w:i/>
          <w:lang w:val="es-ES_tradnl"/>
        </w:rPr>
        <w:t>RRA 4404/16 Partido del Trabajo. 01 de febrero de 2017. Por unanimidad. Comisionado Ponente Francisco Acuña Llamas.</w:t>
      </w:r>
    </w:p>
    <w:p w14:paraId="352640D0" w14:textId="77777777" w:rsidR="009E547B" w:rsidRPr="00616A54" w:rsidRDefault="009E547B" w:rsidP="007321BF">
      <w:pPr>
        <w:spacing w:after="0" w:line="360" w:lineRule="auto"/>
        <w:jc w:val="both"/>
        <w:rPr>
          <w:rFonts w:ascii="Palatino Linotype" w:hAnsi="Palatino Linotype"/>
          <w:sz w:val="24"/>
        </w:rPr>
      </w:pPr>
    </w:p>
    <w:p w14:paraId="68FE07D4" w14:textId="77777777" w:rsidR="007321BF" w:rsidRPr="00616A54" w:rsidRDefault="007321BF" w:rsidP="007321BF">
      <w:pPr>
        <w:spacing w:after="0" w:line="360" w:lineRule="auto"/>
        <w:jc w:val="both"/>
        <w:rPr>
          <w:rFonts w:ascii="Palatino Linotype" w:hAnsi="Palatino Linotype"/>
          <w:sz w:val="24"/>
        </w:rPr>
      </w:pPr>
      <w:r w:rsidRPr="00616A54">
        <w:rPr>
          <w:rFonts w:ascii="Palatino Linotype" w:hAnsi="Palatino Linotype"/>
          <w:sz w:val="24"/>
        </w:rPr>
        <w:t xml:space="preserve">Igualmente, los </w:t>
      </w:r>
      <w:r w:rsidRPr="00616A54">
        <w:rPr>
          <w:rFonts w:ascii="Palatino Linotype" w:hAnsi="Palatino Linotype"/>
          <w:i/>
          <w:sz w:val="24"/>
        </w:rPr>
        <w:t>Lineamientos Generales en Materia de Clasificación y Desclasificación de la Información, así como para la elaboración de Versiones Públicas</w:t>
      </w:r>
      <w:r w:rsidRPr="00616A54">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7F40EE" w14:textId="77777777" w:rsidR="007321BF" w:rsidRPr="00616A54" w:rsidRDefault="007321BF" w:rsidP="007321BF">
      <w:pPr>
        <w:spacing w:after="0" w:line="360" w:lineRule="auto"/>
        <w:ind w:left="851" w:right="851"/>
        <w:jc w:val="both"/>
        <w:rPr>
          <w:rFonts w:ascii="Palatino Linotype" w:hAnsi="Palatino Linotype"/>
          <w:sz w:val="24"/>
        </w:rPr>
      </w:pPr>
    </w:p>
    <w:p w14:paraId="50EAE066" w14:textId="77777777" w:rsidR="007321BF" w:rsidRPr="00616A54" w:rsidRDefault="007321BF" w:rsidP="007321BF">
      <w:pPr>
        <w:spacing w:after="0" w:line="360" w:lineRule="auto"/>
        <w:jc w:val="both"/>
        <w:rPr>
          <w:rFonts w:ascii="Palatino Linotype" w:hAnsi="Palatino Linotype" w:cs="Arial"/>
          <w:sz w:val="24"/>
          <w:szCs w:val="24"/>
          <w:lang w:eastAsia="es-CO"/>
        </w:rPr>
      </w:pPr>
      <w:r w:rsidRPr="00616A54">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16A54">
        <w:rPr>
          <w:rFonts w:ascii="Palatino Linotype" w:hAnsi="Palatino Linotype" w:cs="Arial"/>
          <w:b/>
          <w:sz w:val="24"/>
          <w:szCs w:val="24"/>
          <w:lang w:eastAsia="es-CO"/>
        </w:rPr>
        <w:t>Sujeto Obligado</w:t>
      </w:r>
      <w:r w:rsidRPr="00616A54">
        <w:rPr>
          <w:rFonts w:ascii="Palatino Linotype" w:hAnsi="Palatino Linotype" w:cs="Arial"/>
          <w:sz w:val="24"/>
          <w:szCs w:val="24"/>
          <w:lang w:eastAsia="es-CO"/>
        </w:rPr>
        <w:t xml:space="preserve"> a testar, suprimir o eliminar datos de dicho soporte documental, ya que de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616A54">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14:paraId="2D4731D3" w14:textId="77777777" w:rsidR="00F32A94" w:rsidRPr="00616A54" w:rsidRDefault="00F32A94" w:rsidP="00F32A94">
      <w:pPr>
        <w:spacing w:after="0" w:line="360" w:lineRule="auto"/>
        <w:ind w:right="-93"/>
        <w:jc w:val="both"/>
        <w:rPr>
          <w:rFonts w:ascii="Palatino Linotype" w:eastAsia="Calibri" w:hAnsi="Palatino Linotype" w:cs="Tahoma"/>
          <w:bCs/>
          <w:szCs w:val="24"/>
        </w:rPr>
      </w:pPr>
    </w:p>
    <w:p w14:paraId="1E4F16DE" w14:textId="55B66B0D" w:rsidR="00047D12" w:rsidRPr="00616A54" w:rsidRDefault="00047D12" w:rsidP="00047D12">
      <w:pPr>
        <w:spacing w:after="0" w:line="360" w:lineRule="auto"/>
        <w:jc w:val="both"/>
        <w:rPr>
          <w:rFonts w:ascii="Palatino Linotype" w:hAnsi="Palatino Linotype"/>
          <w:sz w:val="24"/>
          <w:szCs w:val="24"/>
        </w:rPr>
      </w:pPr>
      <w:r w:rsidRPr="00616A54">
        <w:rPr>
          <w:rFonts w:ascii="Palatino Linotype" w:hAnsi="Palatino Linotype" w:cs="Arial"/>
          <w:sz w:val="24"/>
          <w:szCs w:val="24"/>
          <w:lang w:eastAsia="es-MX"/>
        </w:rPr>
        <w:t>Final</w:t>
      </w:r>
      <w:r w:rsidRPr="00616A54">
        <w:rPr>
          <w:rFonts w:ascii="Palatino Linotype" w:hAnsi="Palatino Linotype"/>
          <w:sz w:val="24"/>
          <w:szCs w:val="24"/>
        </w:rPr>
        <w:t xml:space="preserve">mente y en mérito de lo expuesto en líneas anteriores, resultan fundados los motivos de inconformidad vertidos por </w:t>
      </w:r>
      <w:r w:rsidR="007321BF" w:rsidRPr="00616A54">
        <w:rPr>
          <w:rFonts w:ascii="Palatino Linotype" w:hAnsi="Palatino Linotype"/>
          <w:b/>
          <w:sz w:val="24"/>
          <w:szCs w:val="24"/>
        </w:rPr>
        <w:t>El</w:t>
      </w:r>
      <w:r w:rsidRPr="00616A54">
        <w:rPr>
          <w:rFonts w:ascii="Palatino Linotype" w:hAnsi="Palatino Linotype"/>
          <w:b/>
          <w:sz w:val="24"/>
          <w:szCs w:val="24"/>
        </w:rPr>
        <w:t xml:space="preserve"> Recurrente</w:t>
      </w:r>
      <w:r w:rsidRPr="00616A54">
        <w:rPr>
          <w:rFonts w:ascii="Palatino Linotype" w:hAnsi="Palatino Linotype"/>
          <w:sz w:val="24"/>
          <w:szCs w:val="24"/>
        </w:rPr>
        <w:t xml:space="preserve">, por ello con fundamento en la </w:t>
      </w:r>
      <w:r w:rsidR="000E40A5" w:rsidRPr="00616A54">
        <w:rPr>
          <w:rFonts w:ascii="Palatino Linotype" w:hAnsi="Palatino Linotype"/>
          <w:i/>
          <w:sz w:val="24"/>
          <w:szCs w:val="24"/>
        </w:rPr>
        <w:t>primer</w:t>
      </w:r>
      <w:r w:rsidR="00C9020A" w:rsidRPr="00616A54">
        <w:rPr>
          <w:rFonts w:ascii="Palatino Linotype" w:hAnsi="Palatino Linotype"/>
          <w:i/>
          <w:sz w:val="24"/>
          <w:szCs w:val="24"/>
        </w:rPr>
        <w:t>a</w:t>
      </w:r>
      <w:r w:rsidRPr="00616A54">
        <w:rPr>
          <w:rFonts w:ascii="Palatino Linotype" w:hAnsi="Palatino Linotype"/>
          <w:i/>
          <w:sz w:val="24"/>
          <w:szCs w:val="24"/>
        </w:rPr>
        <w:t xml:space="preserve"> hipótesis</w:t>
      </w:r>
      <w:r w:rsidRPr="00616A54">
        <w:rPr>
          <w:rFonts w:ascii="Palatino Linotype" w:hAnsi="Palatino Linotype"/>
          <w:sz w:val="24"/>
          <w:szCs w:val="24"/>
        </w:rPr>
        <w:t xml:space="preserve"> del artículo 186, fracción III, de la Ley de Transparencia y Acceso a la Información Pública del Estado de México y Municipios, se </w:t>
      </w:r>
      <w:r w:rsidR="000E40A5" w:rsidRPr="00616A54">
        <w:rPr>
          <w:rFonts w:ascii="Palatino Linotype" w:hAnsi="Palatino Linotype"/>
          <w:b/>
          <w:sz w:val="24"/>
          <w:szCs w:val="24"/>
        </w:rPr>
        <w:t>REVO</w:t>
      </w:r>
      <w:r w:rsidR="00C9020A" w:rsidRPr="00616A54">
        <w:rPr>
          <w:rFonts w:ascii="Palatino Linotype" w:hAnsi="Palatino Linotype"/>
          <w:b/>
          <w:sz w:val="24"/>
          <w:szCs w:val="24"/>
        </w:rPr>
        <w:t>CA</w:t>
      </w:r>
      <w:r w:rsidRPr="00616A54">
        <w:rPr>
          <w:rFonts w:ascii="Palatino Linotype" w:hAnsi="Palatino Linotype"/>
          <w:b/>
          <w:sz w:val="24"/>
          <w:szCs w:val="24"/>
        </w:rPr>
        <w:t xml:space="preserve"> </w:t>
      </w:r>
      <w:r w:rsidRPr="00616A54">
        <w:rPr>
          <w:rFonts w:ascii="Palatino Linotype" w:hAnsi="Palatino Linotype"/>
          <w:sz w:val="24"/>
          <w:szCs w:val="24"/>
        </w:rPr>
        <w:t xml:space="preserve">la respuesta </w:t>
      </w:r>
      <w:r w:rsidR="00081DE2" w:rsidRPr="00616A54">
        <w:rPr>
          <w:rFonts w:ascii="Palatino Linotype" w:hAnsi="Palatino Linotype"/>
          <w:sz w:val="24"/>
          <w:szCs w:val="24"/>
        </w:rPr>
        <w:t xml:space="preserve">a la solicitud de información </w:t>
      </w:r>
      <w:r w:rsidR="00081DE2" w:rsidRPr="00616A54">
        <w:rPr>
          <w:rFonts w:ascii="Palatino Linotype" w:hAnsi="Palatino Linotype" w:cs="Arial"/>
          <w:b/>
          <w:sz w:val="24"/>
          <w:szCs w:val="24"/>
        </w:rPr>
        <w:t>00019/SANTOTOM/IP/2021</w:t>
      </w:r>
      <w:r w:rsidRPr="00616A54">
        <w:rPr>
          <w:rFonts w:ascii="Palatino Linotype" w:hAnsi="Palatino Linotype" w:cs="Arial"/>
          <w:sz w:val="24"/>
          <w:szCs w:val="24"/>
        </w:rPr>
        <w:t xml:space="preserve">, </w:t>
      </w:r>
      <w:r w:rsidRPr="00616A54">
        <w:rPr>
          <w:rFonts w:ascii="Palatino Linotype" w:hAnsi="Palatino Linotype"/>
          <w:sz w:val="24"/>
          <w:szCs w:val="24"/>
        </w:rPr>
        <w:t>que ha sido materia del presente fallo.</w:t>
      </w:r>
    </w:p>
    <w:p w14:paraId="1040AA24" w14:textId="77777777" w:rsidR="0024635B" w:rsidRPr="00616A54" w:rsidRDefault="0024635B" w:rsidP="0024635B">
      <w:pPr>
        <w:spacing w:after="0" w:line="360" w:lineRule="auto"/>
        <w:jc w:val="both"/>
        <w:rPr>
          <w:rFonts w:ascii="Palatino Linotype" w:hAnsi="Palatino Linotype" w:cs="Arial"/>
          <w:b/>
          <w:bCs/>
          <w:color w:val="333333"/>
          <w:sz w:val="20"/>
          <w:szCs w:val="24"/>
        </w:rPr>
      </w:pPr>
    </w:p>
    <w:p w14:paraId="305C2440" w14:textId="290FED3B" w:rsidR="007321BF" w:rsidRPr="00616A54" w:rsidRDefault="0024635B" w:rsidP="0024635B">
      <w:pPr>
        <w:spacing w:after="0" w:line="360" w:lineRule="auto"/>
        <w:jc w:val="both"/>
        <w:rPr>
          <w:rFonts w:ascii="Palatino Linotype" w:hAnsi="Palatino Linotype"/>
          <w:sz w:val="24"/>
          <w:szCs w:val="24"/>
        </w:rPr>
      </w:pPr>
      <w:r w:rsidRPr="00616A54">
        <w:rPr>
          <w:rFonts w:ascii="Palatino Linotype" w:hAnsi="Palatino Linotype"/>
          <w:sz w:val="24"/>
          <w:szCs w:val="24"/>
        </w:rPr>
        <w:t xml:space="preserve">Por lo antes expuesto y fundado. </w:t>
      </w:r>
    </w:p>
    <w:p w14:paraId="34DE4DE9" w14:textId="77777777" w:rsidR="00D05EB9" w:rsidRPr="00616A54" w:rsidRDefault="00D05EB9" w:rsidP="0024635B">
      <w:pPr>
        <w:spacing w:after="0" w:line="360" w:lineRule="auto"/>
        <w:jc w:val="both"/>
        <w:rPr>
          <w:rFonts w:ascii="Palatino Linotype" w:hAnsi="Palatino Linotype"/>
          <w:sz w:val="20"/>
          <w:szCs w:val="24"/>
        </w:rPr>
      </w:pPr>
    </w:p>
    <w:p w14:paraId="6CDAD4B8" w14:textId="77777777" w:rsidR="0024635B" w:rsidRPr="00616A54" w:rsidRDefault="0024635B" w:rsidP="0024635B">
      <w:pPr>
        <w:spacing w:after="0" w:line="360" w:lineRule="auto"/>
        <w:jc w:val="center"/>
        <w:rPr>
          <w:rFonts w:ascii="Palatino Linotype" w:eastAsia="Times New Roman" w:hAnsi="Palatino Linotype"/>
          <w:b/>
          <w:bCs/>
          <w:spacing w:val="60"/>
          <w:sz w:val="28"/>
          <w:szCs w:val="24"/>
          <w:lang w:val="es-ES_tradnl"/>
        </w:rPr>
      </w:pPr>
      <w:r w:rsidRPr="00616A54">
        <w:rPr>
          <w:rFonts w:ascii="Palatino Linotype" w:eastAsia="Times New Roman" w:hAnsi="Palatino Linotype"/>
          <w:b/>
          <w:bCs/>
          <w:spacing w:val="60"/>
          <w:sz w:val="28"/>
          <w:szCs w:val="24"/>
          <w:lang w:val="es-ES_tradnl"/>
        </w:rPr>
        <w:t>SE    RESUELVE</w:t>
      </w:r>
    </w:p>
    <w:p w14:paraId="221F928D" w14:textId="77777777" w:rsidR="0024635B" w:rsidRPr="00616A54" w:rsidRDefault="0024635B" w:rsidP="00F537EC">
      <w:pPr>
        <w:pStyle w:val="Sinespaciado"/>
        <w:rPr>
          <w:rFonts w:ascii="Palatino Linotype" w:hAnsi="Palatino Linotype"/>
          <w:lang w:val="es-ES_tradnl"/>
        </w:rPr>
      </w:pPr>
    </w:p>
    <w:p w14:paraId="6D1117D3" w14:textId="1A769E4F" w:rsidR="000F327A" w:rsidRPr="00616A54"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616A54">
        <w:rPr>
          <w:rFonts w:ascii="Palatino Linotype" w:hAnsi="Palatino Linotype" w:cs="Arial"/>
          <w:b/>
          <w:sz w:val="28"/>
          <w:szCs w:val="28"/>
          <w:lang w:val="es-ES_tradnl"/>
        </w:rPr>
        <w:t>PRIMERO.</w:t>
      </w:r>
      <w:r w:rsidRPr="00616A54">
        <w:rPr>
          <w:rFonts w:ascii="Palatino Linotype" w:hAnsi="Palatino Linotype" w:cs="Arial"/>
          <w:sz w:val="24"/>
          <w:szCs w:val="24"/>
          <w:lang w:val="es-ES_tradnl"/>
        </w:rPr>
        <w:t xml:space="preserve"> </w:t>
      </w:r>
      <w:r w:rsidRPr="00616A54">
        <w:rPr>
          <w:rFonts w:ascii="Palatino Linotype" w:hAnsi="Palatino Linotype" w:cs="Arial"/>
          <w:sz w:val="24"/>
          <w:szCs w:val="24"/>
        </w:rPr>
        <w:t>Se</w:t>
      </w:r>
      <w:r w:rsidRPr="00616A54">
        <w:rPr>
          <w:rFonts w:ascii="Palatino Linotype" w:hAnsi="Palatino Linotype" w:cs="Arial"/>
          <w:b/>
          <w:sz w:val="24"/>
          <w:szCs w:val="24"/>
        </w:rPr>
        <w:t xml:space="preserve"> </w:t>
      </w:r>
      <w:r w:rsidR="000E40A5" w:rsidRPr="00616A54">
        <w:rPr>
          <w:rFonts w:ascii="Palatino Linotype" w:hAnsi="Palatino Linotype" w:cs="Arial"/>
          <w:b/>
          <w:sz w:val="24"/>
          <w:szCs w:val="24"/>
        </w:rPr>
        <w:t>REVO</w:t>
      </w:r>
      <w:r w:rsidR="00C9020A" w:rsidRPr="00616A54">
        <w:rPr>
          <w:rFonts w:ascii="Palatino Linotype" w:hAnsi="Palatino Linotype" w:cs="Arial"/>
          <w:b/>
          <w:sz w:val="24"/>
          <w:szCs w:val="24"/>
        </w:rPr>
        <w:t>CA</w:t>
      </w:r>
      <w:r w:rsidRPr="00616A54">
        <w:rPr>
          <w:rFonts w:ascii="Palatino Linotype" w:hAnsi="Palatino Linotype" w:cs="Arial"/>
          <w:b/>
          <w:sz w:val="24"/>
          <w:szCs w:val="24"/>
        </w:rPr>
        <w:t xml:space="preserve"> </w:t>
      </w:r>
      <w:r w:rsidR="00570BDD" w:rsidRPr="00616A54">
        <w:rPr>
          <w:rFonts w:ascii="Palatino Linotype" w:eastAsia="Arial Unicode MS" w:hAnsi="Palatino Linotype" w:cs="Arial"/>
          <w:sz w:val="24"/>
          <w:szCs w:val="24"/>
        </w:rPr>
        <w:t xml:space="preserve">la respuesta entregada por </w:t>
      </w:r>
      <w:r w:rsidR="00570BDD" w:rsidRPr="00616A54">
        <w:rPr>
          <w:rFonts w:ascii="Palatino Linotype" w:eastAsia="Arial Unicode MS" w:hAnsi="Palatino Linotype" w:cs="Arial"/>
          <w:b/>
          <w:sz w:val="24"/>
          <w:szCs w:val="24"/>
        </w:rPr>
        <w:t xml:space="preserve">El Sujeto Obligado </w:t>
      </w:r>
      <w:r w:rsidR="00570BDD" w:rsidRPr="00616A54">
        <w:rPr>
          <w:rFonts w:ascii="Palatino Linotype" w:eastAsia="Arial Unicode MS" w:hAnsi="Palatino Linotype" w:cs="Arial"/>
          <w:sz w:val="24"/>
          <w:szCs w:val="24"/>
        </w:rPr>
        <w:t xml:space="preserve">a la solicitud de información número </w:t>
      </w:r>
      <w:r w:rsidR="00081DE2" w:rsidRPr="00616A54">
        <w:rPr>
          <w:rFonts w:ascii="Palatino Linotype" w:hAnsi="Palatino Linotype" w:cs="Arial"/>
          <w:b/>
          <w:sz w:val="24"/>
          <w:szCs w:val="24"/>
        </w:rPr>
        <w:t>00019/SANTOTOM/IP/2021</w:t>
      </w:r>
      <w:r w:rsidRPr="00616A54">
        <w:rPr>
          <w:rFonts w:ascii="Palatino Linotype" w:hAnsi="Palatino Linotype" w:cs="Arial"/>
          <w:sz w:val="24"/>
          <w:szCs w:val="24"/>
        </w:rPr>
        <w:t xml:space="preserve">, por resultar fundados los motivos de inconformidad vertidos por </w:t>
      </w:r>
      <w:r w:rsidR="007321BF" w:rsidRPr="00616A54">
        <w:rPr>
          <w:rFonts w:ascii="Palatino Linotype" w:hAnsi="Palatino Linotype" w:cs="Arial"/>
          <w:b/>
          <w:sz w:val="24"/>
          <w:szCs w:val="24"/>
        </w:rPr>
        <w:t>El</w:t>
      </w:r>
      <w:r w:rsidR="007757C1" w:rsidRPr="00616A54">
        <w:rPr>
          <w:rFonts w:ascii="Palatino Linotype" w:hAnsi="Palatino Linotype" w:cs="Arial"/>
          <w:b/>
          <w:sz w:val="24"/>
          <w:szCs w:val="24"/>
        </w:rPr>
        <w:t xml:space="preserve"> </w:t>
      </w:r>
      <w:r w:rsidRPr="00616A54">
        <w:rPr>
          <w:rFonts w:ascii="Palatino Linotype" w:hAnsi="Palatino Linotype" w:cs="Arial"/>
          <w:b/>
          <w:sz w:val="24"/>
          <w:szCs w:val="24"/>
        </w:rPr>
        <w:t>Recurrente</w:t>
      </w:r>
      <w:r w:rsidRPr="00616A54">
        <w:rPr>
          <w:rFonts w:ascii="Palatino Linotype" w:hAnsi="Palatino Linotype" w:cs="Arial"/>
          <w:sz w:val="24"/>
          <w:szCs w:val="24"/>
        </w:rPr>
        <w:t xml:space="preserve">, en términos del Considerando </w:t>
      </w:r>
      <w:r w:rsidR="00331BA5" w:rsidRPr="00616A54">
        <w:rPr>
          <w:rFonts w:ascii="Palatino Linotype" w:hAnsi="Palatino Linotype" w:cs="Arial"/>
          <w:b/>
          <w:sz w:val="24"/>
          <w:szCs w:val="24"/>
        </w:rPr>
        <w:t>CUAR</w:t>
      </w:r>
      <w:r w:rsidR="00B807B0" w:rsidRPr="00616A54">
        <w:rPr>
          <w:rFonts w:ascii="Palatino Linotype" w:hAnsi="Palatino Linotype" w:cs="Arial"/>
          <w:b/>
          <w:sz w:val="24"/>
          <w:szCs w:val="24"/>
        </w:rPr>
        <w:t>TO</w:t>
      </w:r>
      <w:r w:rsidRPr="00616A54">
        <w:rPr>
          <w:rFonts w:ascii="Palatino Linotype" w:hAnsi="Palatino Linotype" w:cs="Arial"/>
          <w:sz w:val="24"/>
          <w:szCs w:val="24"/>
        </w:rPr>
        <w:t xml:space="preserve"> de ésta resolución.</w:t>
      </w:r>
    </w:p>
    <w:p w14:paraId="015A2E09" w14:textId="77777777" w:rsidR="000F327A" w:rsidRPr="00616A54"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233280AA" w14:textId="2BA37ACE" w:rsidR="00D05EB9" w:rsidRPr="00616A54" w:rsidRDefault="00535AED" w:rsidP="00D05EB9">
      <w:pPr>
        <w:spacing w:after="0" w:line="360" w:lineRule="auto"/>
        <w:ind w:right="-93"/>
        <w:jc w:val="both"/>
        <w:rPr>
          <w:rFonts w:ascii="Palatino Linotype" w:eastAsia="Calibri" w:hAnsi="Palatino Linotype" w:cs="Tahoma"/>
          <w:bCs/>
          <w:sz w:val="24"/>
          <w:szCs w:val="24"/>
        </w:rPr>
      </w:pPr>
      <w:r w:rsidRPr="00616A54">
        <w:rPr>
          <w:rFonts w:ascii="Palatino Linotype" w:hAnsi="Palatino Linotype" w:cs="Arial"/>
          <w:b/>
          <w:sz w:val="28"/>
          <w:szCs w:val="28"/>
        </w:rPr>
        <w:t>SEGUNDO.</w:t>
      </w:r>
      <w:r w:rsidRPr="00616A54">
        <w:rPr>
          <w:rFonts w:ascii="Palatino Linotype" w:hAnsi="Palatino Linotype" w:cs="Arial"/>
          <w:sz w:val="24"/>
          <w:szCs w:val="24"/>
        </w:rPr>
        <w:t xml:space="preserve"> Se </w:t>
      </w:r>
      <w:r w:rsidR="006A5AC2" w:rsidRPr="00616A54">
        <w:rPr>
          <w:rFonts w:ascii="Palatino Linotype" w:hAnsi="Palatino Linotype" w:cs="Arial"/>
          <w:b/>
          <w:sz w:val="24"/>
          <w:szCs w:val="24"/>
        </w:rPr>
        <w:t>ORDENA</w:t>
      </w:r>
      <w:r w:rsidRPr="00616A54">
        <w:rPr>
          <w:rFonts w:ascii="Palatino Linotype" w:hAnsi="Palatino Linotype" w:cs="Arial"/>
          <w:sz w:val="24"/>
          <w:szCs w:val="24"/>
        </w:rPr>
        <w:t xml:space="preserve"> al </w:t>
      </w:r>
      <w:r w:rsidRPr="00616A54">
        <w:rPr>
          <w:rFonts w:ascii="Palatino Linotype" w:hAnsi="Palatino Linotype" w:cs="Arial"/>
          <w:b/>
          <w:sz w:val="24"/>
          <w:szCs w:val="24"/>
        </w:rPr>
        <w:t>Sujeto Obligado</w:t>
      </w:r>
      <w:r w:rsidRPr="00616A54">
        <w:rPr>
          <w:rFonts w:ascii="Palatino Linotype" w:hAnsi="Palatino Linotype" w:cs="Arial"/>
          <w:sz w:val="24"/>
          <w:szCs w:val="24"/>
        </w:rPr>
        <w:t xml:space="preserve"> haga entrega a</w:t>
      </w:r>
      <w:r w:rsidR="007321BF" w:rsidRPr="00616A54">
        <w:rPr>
          <w:rFonts w:ascii="Palatino Linotype" w:hAnsi="Palatino Linotype" w:cs="Arial"/>
          <w:sz w:val="24"/>
          <w:szCs w:val="24"/>
        </w:rPr>
        <w:t>l</w:t>
      </w:r>
      <w:r w:rsidR="00EE0091" w:rsidRPr="00616A54">
        <w:rPr>
          <w:rFonts w:ascii="Palatino Linotype" w:hAnsi="Palatino Linotype" w:cs="Arial"/>
          <w:sz w:val="24"/>
          <w:szCs w:val="24"/>
        </w:rPr>
        <w:t xml:space="preserve"> </w:t>
      </w:r>
      <w:r w:rsidRPr="00616A54">
        <w:rPr>
          <w:rFonts w:ascii="Palatino Linotype" w:hAnsi="Palatino Linotype" w:cs="Arial"/>
          <w:b/>
          <w:sz w:val="24"/>
          <w:szCs w:val="24"/>
        </w:rPr>
        <w:t>Recurrente</w:t>
      </w:r>
      <w:r w:rsidR="0073412A" w:rsidRPr="00616A54">
        <w:rPr>
          <w:rFonts w:ascii="Palatino Linotype" w:hAnsi="Palatino Linotype" w:cs="Arial"/>
          <w:b/>
          <w:sz w:val="24"/>
          <w:szCs w:val="24"/>
        </w:rPr>
        <w:t xml:space="preserve"> </w:t>
      </w:r>
      <w:r w:rsidR="0073412A" w:rsidRPr="00616A54">
        <w:rPr>
          <w:rFonts w:ascii="Palatino Linotype" w:hAnsi="Palatino Linotype" w:cs="Arial"/>
          <w:sz w:val="24"/>
          <w:szCs w:val="24"/>
        </w:rPr>
        <w:t>en</w:t>
      </w:r>
      <w:r w:rsidR="00F8683F" w:rsidRPr="00616A54">
        <w:rPr>
          <w:rFonts w:ascii="Palatino Linotype" w:hAnsi="Palatino Linotype" w:cs="Arial"/>
          <w:sz w:val="24"/>
          <w:szCs w:val="24"/>
        </w:rPr>
        <w:t xml:space="preserve"> </w:t>
      </w:r>
      <w:r w:rsidR="0073412A" w:rsidRPr="00616A54">
        <w:rPr>
          <w:rFonts w:ascii="Palatino Linotype" w:hAnsi="Palatino Linotype" w:cs="Arial"/>
          <w:sz w:val="24"/>
          <w:szCs w:val="24"/>
        </w:rPr>
        <w:t xml:space="preserve">términos del Considerando </w:t>
      </w:r>
      <w:r w:rsidR="0073412A" w:rsidRPr="00616A54">
        <w:rPr>
          <w:rFonts w:ascii="Palatino Linotype" w:hAnsi="Palatino Linotype" w:cs="Arial"/>
          <w:b/>
          <w:sz w:val="24"/>
          <w:szCs w:val="24"/>
        </w:rPr>
        <w:t xml:space="preserve">CUARTO </w:t>
      </w:r>
      <w:r w:rsidR="00C53C8A" w:rsidRPr="00616A54">
        <w:rPr>
          <w:rFonts w:ascii="Palatino Linotype" w:hAnsi="Palatino Linotype" w:cs="Arial"/>
          <w:sz w:val="24"/>
          <w:szCs w:val="24"/>
        </w:rPr>
        <w:t xml:space="preserve">de esta resolución, </w:t>
      </w:r>
      <w:r w:rsidR="0073412A" w:rsidRPr="00616A54">
        <w:rPr>
          <w:rFonts w:ascii="Palatino Linotype" w:hAnsi="Palatino Linotype" w:cs="Arial"/>
          <w:sz w:val="24"/>
          <w:szCs w:val="24"/>
        </w:rPr>
        <w:t xml:space="preserve">a través del </w:t>
      </w:r>
      <w:r w:rsidR="0073412A" w:rsidRPr="00616A54">
        <w:rPr>
          <w:rFonts w:ascii="Palatino Linotype" w:hAnsi="Palatino Linotype" w:cs="Arial"/>
          <w:b/>
          <w:sz w:val="24"/>
          <w:szCs w:val="24"/>
        </w:rPr>
        <w:t>SAIMEX</w:t>
      </w:r>
      <w:r w:rsidR="00081DE2" w:rsidRPr="00616A54">
        <w:rPr>
          <w:rFonts w:ascii="Palatino Linotype" w:hAnsi="Palatino Linotype" w:cs="Arial"/>
          <w:sz w:val="24"/>
          <w:szCs w:val="24"/>
        </w:rPr>
        <w:t>,</w:t>
      </w:r>
      <w:r w:rsidR="00081DE2" w:rsidRPr="00616A54">
        <w:rPr>
          <w:rFonts w:ascii="Palatino Linotype" w:hAnsi="Palatino Linotype" w:cs="Arial"/>
          <w:b/>
          <w:sz w:val="24"/>
          <w:szCs w:val="24"/>
        </w:rPr>
        <w:t xml:space="preserve"> </w:t>
      </w:r>
      <w:r w:rsidR="00D05EB9" w:rsidRPr="00616A54">
        <w:rPr>
          <w:rFonts w:ascii="Palatino Linotype" w:hAnsi="Palatino Linotype"/>
          <w:sz w:val="24"/>
          <w:lang w:eastAsia="es-MX"/>
        </w:rPr>
        <w:t>de lo siguiente:</w:t>
      </w:r>
    </w:p>
    <w:p w14:paraId="637EB207" w14:textId="77777777" w:rsidR="00D05EB9" w:rsidRPr="00616A54" w:rsidRDefault="00D05EB9" w:rsidP="00D05EB9">
      <w:pPr>
        <w:spacing w:after="0" w:line="360" w:lineRule="auto"/>
        <w:ind w:right="141"/>
        <w:jc w:val="both"/>
        <w:rPr>
          <w:rFonts w:ascii="Palatino Linotype" w:hAnsi="Palatino Linotype"/>
          <w:sz w:val="16"/>
          <w:lang w:eastAsia="es-MX"/>
        </w:rPr>
      </w:pPr>
    </w:p>
    <w:p w14:paraId="5B4D9ADC" w14:textId="4EA917AB" w:rsidR="00081DE2" w:rsidRPr="00616A54" w:rsidRDefault="00081DE2" w:rsidP="00081DE2">
      <w:pPr>
        <w:pStyle w:val="Prrafodelista"/>
        <w:numPr>
          <w:ilvl w:val="0"/>
          <w:numId w:val="29"/>
        </w:numPr>
        <w:tabs>
          <w:tab w:val="left" w:pos="709"/>
        </w:tabs>
        <w:spacing w:line="360" w:lineRule="auto"/>
        <w:contextualSpacing/>
        <w:jc w:val="both"/>
        <w:rPr>
          <w:rFonts w:ascii="Palatino Linotype" w:hAnsi="Palatino Linotype"/>
        </w:rPr>
      </w:pPr>
      <w:r w:rsidRPr="00616A54">
        <w:rPr>
          <w:rFonts w:ascii="Palatino Linotype" w:hAnsi="Palatino Linotype"/>
        </w:rPr>
        <w:lastRenderedPageBreak/>
        <w:t xml:space="preserve">De ser procedente en versión pública, los expedientes de adquisiciones por excepción a la Licitación Pública que se hayan realizado durante los ejercicios fiscales 2017, 2018, 2019 y 2020. </w:t>
      </w:r>
    </w:p>
    <w:p w14:paraId="44E8EE68" w14:textId="77777777" w:rsidR="00081DE2" w:rsidRPr="00616A54" w:rsidRDefault="00081DE2" w:rsidP="00081DE2">
      <w:pPr>
        <w:pStyle w:val="Prrafodelista"/>
        <w:ind w:left="720" w:right="283"/>
        <w:jc w:val="both"/>
        <w:rPr>
          <w:rFonts w:ascii="Palatino Linotype" w:hAnsi="Palatino Linotype" w:cs="Arial"/>
          <w:i/>
          <w:sz w:val="22"/>
        </w:rPr>
      </w:pPr>
    </w:p>
    <w:p w14:paraId="30D71ADC" w14:textId="77777777" w:rsidR="00081DE2" w:rsidRPr="00616A54" w:rsidRDefault="00081DE2" w:rsidP="00081DE2">
      <w:pPr>
        <w:pStyle w:val="Prrafodelista"/>
        <w:ind w:left="720" w:right="283"/>
        <w:jc w:val="both"/>
        <w:rPr>
          <w:rFonts w:ascii="Palatino Linotype" w:hAnsi="Palatino Linotype" w:cs="Arial"/>
          <w:i/>
          <w:sz w:val="22"/>
        </w:rPr>
      </w:pPr>
      <w:r w:rsidRPr="00616A54">
        <w:rPr>
          <w:rFonts w:ascii="Palatino Linotype" w:hAnsi="Palatino Linotype" w:cs="Arial"/>
          <w:i/>
          <w:sz w:val="22"/>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9E77DF0" w14:textId="77777777" w:rsidR="00081DE2" w:rsidRPr="00616A54" w:rsidRDefault="00081DE2" w:rsidP="00081DE2">
      <w:pPr>
        <w:pStyle w:val="Prrafodelista"/>
        <w:tabs>
          <w:tab w:val="left" w:pos="709"/>
        </w:tabs>
        <w:spacing w:line="360" w:lineRule="auto"/>
        <w:ind w:left="720"/>
        <w:contextualSpacing/>
        <w:jc w:val="both"/>
        <w:rPr>
          <w:rFonts w:ascii="Palatino Linotype" w:hAnsi="Palatino Linotype"/>
        </w:rPr>
      </w:pPr>
    </w:p>
    <w:p w14:paraId="3A203DBA" w14:textId="77777777" w:rsidR="00081DE2" w:rsidRPr="00616A54" w:rsidRDefault="00081DE2" w:rsidP="00081DE2">
      <w:pPr>
        <w:pStyle w:val="Prrafodelista"/>
        <w:numPr>
          <w:ilvl w:val="0"/>
          <w:numId w:val="29"/>
        </w:numPr>
        <w:tabs>
          <w:tab w:val="left" w:pos="709"/>
        </w:tabs>
        <w:spacing w:line="360" w:lineRule="auto"/>
        <w:contextualSpacing/>
        <w:jc w:val="both"/>
        <w:rPr>
          <w:rFonts w:ascii="Palatino Linotype" w:hAnsi="Palatino Linotype"/>
        </w:rPr>
      </w:pPr>
      <w:r w:rsidRPr="00616A54">
        <w:rPr>
          <w:rFonts w:ascii="Palatino Linotype" w:hAnsi="Palatino Linotype" w:cs="Arial"/>
        </w:rPr>
        <w:t xml:space="preserve">Acuerdo que emita el Comité de Transparencia en el que confirme la declaratoria de incompetencia del </w:t>
      </w:r>
      <w:r w:rsidRPr="00616A54">
        <w:rPr>
          <w:rFonts w:ascii="Palatino Linotype" w:hAnsi="Palatino Linotype" w:cs="Arial"/>
          <w:b/>
        </w:rPr>
        <w:t xml:space="preserve">Sujeto Obligado </w:t>
      </w:r>
      <w:r w:rsidRPr="00616A54">
        <w:rPr>
          <w:rFonts w:ascii="Palatino Linotype" w:hAnsi="Palatino Linotype"/>
        </w:rPr>
        <w:t>respecto de la información en materia de pensiones</w:t>
      </w:r>
      <w:r w:rsidRPr="00616A54">
        <w:rPr>
          <w:rFonts w:ascii="Palatino Linotype" w:eastAsia="Batang" w:hAnsi="Palatino Linotype" w:cs="Tahoma"/>
          <w:bCs/>
        </w:rPr>
        <w:t>.</w:t>
      </w:r>
    </w:p>
    <w:p w14:paraId="0F8E7EE8" w14:textId="77777777" w:rsidR="002029E6" w:rsidRPr="00616A54" w:rsidRDefault="002029E6" w:rsidP="002029E6">
      <w:pPr>
        <w:pStyle w:val="Sinespaciado"/>
        <w:rPr>
          <w:rFonts w:ascii="Palatino Linotype" w:hAnsi="Palatino Linotype" w:cs="Arial"/>
          <w:i/>
          <w:sz w:val="22"/>
          <w:lang w:val="es-ES"/>
        </w:rPr>
      </w:pPr>
    </w:p>
    <w:p w14:paraId="261A0E3C" w14:textId="77777777" w:rsidR="00D05EB9" w:rsidRPr="00616A54" w:rsidRDefault="00D05EB9" w:rsidP="002029E6">
      <w:pPr>
        <w:pStyle w:val="Sinespaciado"/>
        <w:rPr>
          <w:sz w:val="20"/>
        </w:rPr>
      </w:pPr>
    </w:p>
    <w:p w14:paraId="193BA87A" w14:textId="2571799D" w:rsidR="002029E6" w:rsidRPr="00616A54" w:rsidRDefault="00535AED" w:rsidP="00D82216">
      <w:pPr>
        <w:autoSpaceDE w:val="0"/>
        <w:autoSpaceDN w:val="0"/>
        <w:adjustRightInd w:val="0"/>
        <w:spacing w:after="0" w:line="360" w:lineRule="auto"/>
        <w:ind w:right="49"/>
        <w:jc w:val="both"/>
        <w:rPr>
          <w:rFonts w:ascii="Palatino Linotype" w:hAnsi="Palatino Linotype" w:cs="Arial"/>
          <w:sz w:val="24"/>
          <w:szCs w:val="28"/>
          <w:lang w:val="es-ES_tradnl"/>
        </w:rPr>
      </w:pPr>
      <w:r w:rsidRPr="00616A54">
        <w:rPr>
          <w:rFonts w:ascii="Palatino Linotype" w:hAnsi="Palatino Linotype" w:cs="Arial"/>
          <w:b/>
          <w:sz w:val="28"/>
          <w:szCs w:val="28"/>
          <w:lang w:val="es-ES_tradnl"/>
        </w:rPr>
        <w:t xml:space="preserve">TERCERO. </w:t>
      </w:r>
      <w:r w:rsidR="00E63D29" w:rsidRPr="00616A54">
        <w:rPr>
          <w:rFonts w:ascii="Palatino Linotype" w:hAnsi="Palatino Linotype" w:cs="Arial"/>
          <w:b/>
          <w:sz w:val="24"/>
          <w:szCs w:val="28"/>
          <w:lang w:val="es-ES_tradnl"/>
        </w:rPr>
        <w:t>NOTIFÍQUESE</w:t>
      </w:r>
      <w:r w:rsidR="006A5AC2" w:rsidRPr="00616A54">
        <w:rPr>
          <w:rFonts w:ascii="Palatino Linotype" w:hAnsi="Palatino Linotype" w:cs="Arial"/>
          <w:b/>
          <w:sz w:val="28"/>
          <w:szCs w:val="28"/>
          <w:lang w:val="es-ES_tradnl"/>
        </w:rPr>
        <w:t xml:space="preserve"> </w:t>
      </w:r>
      <w:r w:rsidR="006A5AC2" w:rsidRPr="00616A54">
        <w:rPr>
          <w:rFonts w:ascii="Palatino Linotype" w:hAnsi="Palatino Linotype" w:cs="Arial"/>
          <w:sz w:val="24"/>
          <w:szCs w:val="28"/>
          <w:lang w:val="es-ES_tradnl"/>
        </w:rPr>
        <w:t xml:space="preserve">la presente resolución </w:t>
      </w:r>
      <w:r w:rsidRPr="00616A54">
        <w:rPr>
          <w:rFonts w:ascii="Palatino Linotype" w:hAnsi="Palatino Linotype" w:cs="Arial"/>
          <w:sz w:val="24"/>
          <w:szCs w:val="28"/>
          <w:lang w:val="es-ES_tradnl"/>
        </w:rPr>
        <w:t>al Titular de la Unidad de Transparencia del Sujeto Obligado, para que conforme al artículo 186</w:t>
      </w:r>
      <w:r w:rsidR="000F327A" w:rsidRPr="00616A54">
        <w:rPr>
          <w:rFonts w:ascii="Palatino Linotype" w:hAnsi="Palatino Linotype" w:cs="Arial"/>
          <w:sz w:val="24"/>
          <w:szCs w:val="28"/>
          <w:lang w:val="es-ES_tradnl"/>
        </w:rPr>
        <w:t>,</w:t>
      </w:r>
      <w:r w:rsidRPr="00616A54">
        <w:rPr>
          <w:rFonts w:ascii="Palatino Linotype" w:hAnsi="Palatino Linotype" w:cs="Arial"/>
          <w:sz w:val="24"/>
          <w:szCs w:val="28"/>
          <w:lang w:val="es-ES_tradnl"/>
        </w:rPr>
        <w:t xml:space="preserve"> último párrafo, 189</w:t>
      </w:r>
      <w:r w:rsidR="00F537EC" w:rsidRPr="00616A54">
        <w:rPr>
          <w:rFonts w:ascii="Palatino Linotype" w:hAnsi="Palatino Linotype" w:cs="Arial"/>
          <w:sz w:val="24"/>
          <w:szCs w:val="28"/>
          <w:lang w:val="es-ES_tradnl"/>
        </w:rPr>
        <w:t>,</w:t>
      </w:r>
      <w:r w:rsidRPr="00616A54">
        <w:rPr>
          <w:rFonts w:ascii="Palatino Linotype" w:hAnsi="Palatino Linotype" w:cs="Arial"/>
          <w:sz w:val="24"/>
          <w:szCs w:val="28"/>
          <w:lang w:val="es-ES_tradnl"/>
        </w:rPr>
        <w:t xml:space="preserve"> segundo párrafo y 194</w:t>
      </w:r>
      <w:r w:rsidR="00B807B0" w:rsidRPr="00616A54">
        <w:rPr>
          <w:rFonts w:ascii="Palatino Linotype" w:hAnsi="Palatino Linotype" w:cs="Arial"/>
          <w:sz w:val="24"/>
          <w:szCs w:val="28"/>
          <w:lang w:val="es-ES_tradnl"/>
        </w:rPr>
        <w:t>,</w:t>
      </w:r>
      <w:r w:rsidRPr="00616A54">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616A54">
        <w:rPr>
          <w:rFonts w:ascii="Palatino Linotype" w:hAnsi="Palatino Linotype" w:cs="Arial"/>
          <w:sz w:val="24"/>
          <w:szCs w:val="28"/>
          <w:lang w:val="es-ES_tradnl"/>
        </w:rPr>
        <w:t xml:space="preserve"> la presente</w:t>
      </w:r>
      <w:r w:rsidRPr="00616A54">
        <w:rPr>
          <w:rFonts w:ascii="Palatino Linotype" w:hAnsi="Palatino Linotype" w:cs="Arial"/>
          <w:sz w:val="24"/>
          <w:szCs w:val="28"/>
          <w:lang w:val="es-ES_tradnl"/>
        </w:rPr>
        <w:t>.</w:t>
      </w:r>
    </w:p>
    <w:p w14:paraId="370ED25D" w14:textId="77777777" w:rsidR="00081DE2" w:rsidRPr="00616A54" w:rsidRDefault="00081DE2" w:rsidP="00923613">
      <w:pPr>
        <w:spacing w:after="0" w:line="360" w:lineRule="auto"/>
        <w:jc w:val="both"/>
        <w:rPr>
          <w:rFonts w:ascii="Palatino Linotype" w:hAnsi="Palatino Linotype" w:cs="Arial"/>
          <w:b/>
          <w:bCs/>
          <w:sz w:val="28"/>
          <w:szCs w:val="28"/>
        </w:rPr>
      </w:pPr>
    </w:p>
    <w:p w14:paraId="46C2646A" w14:textId="77777777" w:rsidR="00923613" w:rsidRPr="00616A54" w:rsidRDefault="00923613" w:rsidP="00923613">
      <w:pPr>
        <w:spacing w:after="0" w:line="360" w:lineRule="auto"/>
        <w:jc w:val="both"/>
        <w:rPr>
          <w:rFonts w:ascii="Palatino Linotype" w:hAnsi="Palatino Linotype" w:cs="Arial"/>
          <w:bCs/>
          <w:sz w:val="24"/>
          <w:szCs w:val="28"/>
        </w:rPr>
      </w:pPr>
      <w:r w:rsidRPr="00616A54">
        <w:rPr>
          <w:rFonts w:ascii="Palatino Linotype" w:hAnsi="Palatino Linotype" w:cs="Arial"/>
          <w:b/>
          <w:bCs/>
          <w:sz w:val="28"/>
          <w:szCs w:val="28"/>
        </w:rPr>
        <w:t>CUARTO.</w:t>
      </w:r>
      <w:r w:rsidRPr="00616A54">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616A54">
        <w:rPr>
          <w:rFonts w:ascii="Palatino Linotype" w:hAnsi="Palatino Linotype" w:cs="Arial"/>
          <w:b/>
          <w:bCs/>
          <w:sz w:val="24"/>
          <w:szCs w:val="28"/>
        </w:rPr>
        <w:t>Sujeto Obligado</w:t>
      </w:r>
      <w:r w:rsidRPr="00616A54">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616A54"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1E85F9BA" w14:textId="52AC6D09" w:rsidR="00FB3C51" w:rsidRPr="00616A54"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616A54">
        <w:rPr>
          <w:rFonts w:ascii="Palatino Linotype" w:hAnsi="Palatino Linotype" w:cs="Arial"/>
          <w:b/>
          <w:sz w:val="28"/>
          <w:szCs w:val="28"/>
        </w:rPr>
        <w:lastRenderedPageBreak/>
        <w:t>QUIN</w:t>
      </w:r>
      <w:r w:rsidR="00535AED" w:rsidRPr="00616A54">
        <w:rPr>
          <w:rFonts w:ascii="Palatino Linotype" w:hAnsi="Palatino Linotype" w:cs="Arial"/>
          <w:b/>
          <w:sz w:val="28"/>
          <w:szCs w:val="28"/>
        </w:rPr>
        <w:t>TO.</w:t>
      </w:r>
      <w:r w:rsidR="00535AED" w:rsidRPr="00616A54">
        <w:rPr>
          <w:rFonts w:ascii="Palatino Linotype" w:hAnsi="Palatino Linotype" w:cs="Arial"/>
          <w:b/>
          <w:sz w:val="24"/>
          <w:szCs w:val="24"/>
        </w:rPr>
        <w:t xml:space="preserve"> </w:t>
      </w:r>
      <w:r w:rsidR="00E63D29" w:rsidRPr="00616A54">
        <w:rPr>
          <w:rFonts w:ascii="Palatino Linotype" w:hAnsi="Palatino Linotype" w:cs="Arial"/>
          <w:b/>
          <w:sz w:val="24"/>
          <w:szCs w:val="24"/>
        </w:rPr>
        <w:t>NOTIFÍQUESE</w:t>
      </w:r>
      <w:r w:rsidR="00535AED" w:rsidRPr="00616A54">
        <w:rPr>
          <w:rFonts w:ascii="Palatino Linotype" w:hAnsi="Palatino Linotype" w:cs="Arial"/>
          <w:sz w:val="24"/>
          <w:szCs w:val="24"/>
        </w:rPr>
        <w:t xml:space="preserve"> a</w:t>
      </w:r>
      <w:r w:rsidR="002029E6" w:rsidRPr="00616A54">
        <w:rPr>
          <w:rFonts w:ascii="Palatino Linotype" w:hAnsi="Palatino Linotype" w:cs="Arial"/>
          <w:sz w:val="24"/>
          <w:szCs w:val="24"/>
        </w:rPr>
        <w:t>l</w:t>
      </w:r>
      <w:r w:rsidR="00A00BBC" w:rsidRPr="00616A54">
        <w:rPr>
          <w:rFonts w:ascii="Palatino Linotype" w:hAnsi="Palatino Linotype" w:cs="Arial"/>
          <w:sz w:val="24"/>
          <w:szCs w:val="24"/>
        </w:rPr>
        <w:t xml:space="preserve"> </w:t>
      </w:r>
      <w:r w:rsidR="00535AED" w:rsidRPr="00616A54">
        <w:rPr>
          <w:rFonts w:ascii="Palatino Linotype" w:hAnsi="Palatino Linotype" w:cs="Arial"/>
          <w:b/>
          <w:sz w:val="24"/>
          <w:szCs w:val="24"/>
        </w:rPr>
        <w:t>Recurrente</w:t>
      </w:r>
      <w:r w:rsidR="00535AED" w:rsidRPr="00616A54">
        <w:rPr>
          <w:rFonts w:ascii="Palatino Linotype" w:hAnsi="Palatino Linotype" w:cs="Arial"/>
          <w:sz w:val="24"/>
          <w:szCs w:val="24"/>
        </w:rPr>
        <w:t xml:space="preserve"> la presente resolución</w:t>
      </w:r>
      <w:r w:rsidR="00451584" w:rsidRPr="00616A54">
        <w:rPr>
          <w:rFonts w:ascii="Palatino Linotype" w:hAnsi="Palatino Linotype" w:cs="Arial"/>
          <w:sz w:val="24"/>
          <w:szCs w:val="24"/>
        </w:rPr>
        <w:t>,</w:t>
      </w:r>
      <w:r w:rsidR="002029E6" w:rsidRPr="00616A54">
        <w:rPr>
          <w:rFonts w:ascii="Palatino Linotype" w:hAnsi="Palatino Linotype" w:cs="Arial"/>
          <w:sz w:val="24"/>
          <w:szCs w:val="24"/>
        </w:rPr>
        <w:t xml:space="preserve"> </w:t>
      </w:r>
      <w:r w:rsidR="00451584" w:rsidRPr="00616A54">
        <w:rPr>
          <w:rFonts w:ascii="Palatino Linotype" w:hAnsi="Palatino Linotype" w:cs="Arial"/>
          <w:sz w:val="24"/>
          <w:szCs w:val="24"/>
        </w:rPr>
        <w:t xml:space="preserve">a través del </w:t>
      </w:r>
      <w:r w:rsidR="00C53C8A" w:rsidRPr="00616A54">
        <w:rPr>
          <w:rFonts w:ascii="Palatino Linotype" w:hAnsi="Palatino Linotype" w:cs="Arial"/>
          <w:b/>
          <w:sz w:val="24"/>
          <w:szCs w:val="24"/>
        </w:rPr>
        <w:t xml:space="preserve">SAIMEX </w:t>
      </w:r>
      <w:r w:rsidR="00535AED" w:rsidRPr="00616A54">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w:t>
      </w:r>
      <w:r w:rsidR="00B807B0" w:rsidRPr="00616A54">
        <w:rPr>
          <w:rFonts w:ascii="Palatino Linotype" w:hAnsi="Palatino Linotype" w:cs="Arial"/>
          <w:sz w:val="24"/>
          <w:szCs w:val="24"/>
        </w:rPr>
        <w:t>,</w:t>
      </w:r>
      <w:r w:rsidR="00535AED" w:rsidRPr="00616A54">
        <w:rPr>
          <w:rFonts w:ascii="Palatino Linotype" w:hAnsi="Palatino Linotype" w:cs="Arial"/>
          <w:sz w:val="24"/>
          <w:szCs w:val="24"/>
        </w:rPr>
        <w:t xml:space="preserve"> de la Ley de Transparencia y Acceso a la Información Pública del Estado de México y Municipios.</w:t>
      </w:r>
    </w:p>
    <w:p w14:paraId="14F654D0" w14:textId="77777777" w:rsidR="002029E6" w:rsidRPr="00616A54" w:rsidRDefault="002029E6" w:rsidP="0073412A">
      <w:pPr>
        <w:spacing w:after="0" w:line="360" w:lineRule="auto"/>
        <w:jc w:val="both"/>
        <w:rPr>
          <w:rFonts w:ascii="Palatino Linotype" w:hAnsi="Palatino Linotype" w:cs="Arial"/>
          <w:sz w:val="24"/>
          <w:szCs w:val="24"/>
        </w:rPr>
      </w:pPr>
    </w:p>
    <w:p w14:paraId="7A8DCEB4" w14:textId="3BD85D0B" w:rsidR="00B65E05" w:rsidRPr="001C7462" w:rsidRDefault="00D23D94" w:rsidP="0073412A">
      <w:pPr>
        <w:spacing w:after="0" w:line="360" w:lineRule="auto"/>
        <w:jc w:val="both"/>
        <w:rPr>
          <w:rFonts w:ascii="Palatino Linotype" w:hAnsi="Palatino Linotype"/>
          <w:sz w:val="24"/>
          <w:szCs w:val="24"/>
        </w:rPr>
      </w:pPr>
      <w:r w:rsidRPr="00F26C04">
        <w:rPr>
          <w:rFonts w:ascii="Palatino Linotype" w:hAnsi="Palatino Linotype" w:cs="Tahoma"/>
          <w:sz w:val="24"/>
          <w:szCs w:val="24"/>
          <w:lang w:eastAsia="es-MX"/>
        </w:rPr>
        <w:t>ASÍ</w:t>
      </w:r>
      <w:r>
        <w:rPr>
          <w:rFonts w:ascii="Palatino Linotype" w:hAnsi="Palatino Linotype" w:cs="Tahoma"/>
          <w:sz w:val="24"/>
          <w:szCs w:val="24"/>
          <w:lang w:eastAsia="es-MX"/>
        </w:rPr>
        <w:t xml:space="preserve"> LO ACORDÓ</w:t>
      </w:r>
      <w:r w:rsidR="002E4C91" w:rsidRPr="00616A54">
        <w:rPr>
          <w:rFonts w:ascii="Palatino Linotype" w:hAnsi="Palatino Linotype" w:cs="Arial"/>
          <w:sz w:val="24"/>
          <w:szCs w:val="24"/>
        </w:rPr>
        <w:t>, POR UNANIMIDAD DE VOTOS, EL PLENO DEL</w:t>
      </w:r>
      <w:r w:rsidR="002E4C91" w:rsidRPr="00616A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2E4C91" w:rsidRPr="00616A54">
        <w:rPr>
          <w:rFonts w:ascii="Palatino Linotype" w:hAnsi="Palatino Linotype" w:cs="Arial"/>
          <w:sz w:val="24"/>
          <w:szCs w:val="24"/>
        </w:rPr>
        <w:t>, CONFORMADO POR LOS COMISIONADOS ZULEMA MARTÍNEZ SÁNCHEZ, EVA ABAID YAPUR</w:t>
      </w:r>
      <w:r w:rsidR="00616A54">
        <w:rPr>
          <w:rFonts w:ascii="Palatino Linotype" w:hAnsi="Palatino Linotype" w:cs="Arial"/>
          <w:sz w:val="24"/>
          <w:szCs w:val="24"/>
        </w:rPr>
        <w:t xml:space="preserve"> Y</w:t>
      </w:r>
      <w:r w:rsidR="002E4C91" w:rsidRPr="00616A54">
        <w:rPr>
          <w:rFonts w:ascii="Palatino Linotype" w:hAnsi="Palatino Linotype" w:cs="Arial"/>
          <w:sz w:val="24"/>
          <w:szCs w:val="24"/>
        </w:rPr>
        <w:t xml:space="preserve"> JAVIER MARTÍNEZ CRUZ, EN LA </w:t>
      </w:r>
      <w:r w:rsidR="00643E1A" w:rsidRPr="00616A54">
        <w:rPr>
          <w:rFonts w:ascii="Palatino Linotype" w:hAnsi="Palatino Linotype" w:cs="Arial"/>
          <w:sz w:val="24"/>
          <w:szCs w:val="24"/>
        </w:rPr>
        <w:t>VIGÉSIMA SÉPTIMA</w:t>
      </w:r>
      <w:r w:rsidR="002E4C91" w:rsidRPr="00616A54">
        <w:rPr>
          <w:rFonts w:ascii="Palatino Linotype" w:hAnsi="Palatino Linotype" w:cs="Arial"/>
          <w:sz w:val="24"/>
          <w:szCs w:val="24"/>
        </w:rPr>
        <w:t xml:space="preserve"> SESIÓN ORDINARIA CELEBRADA EL </w:t>
      </w:r>
      <w:r w:rsidR="00643E1A" w:rsidRPr="00616A54">
        <w:rPr>
          <w:rFonts w:ascii="Palatino Linotype" w:eastAsia="Times New Roman" w:hAnsi="Palatino Linotype" w:cs="Arial"/>
          <w:color w:val="000000"/>
          <w:sz w:val="24"/>
          <w:szCs w:val="24"/>
          <w:lang w:eastAsia="es-MX"/>
        </w:rPr>
        <w:t>ONCE DE AGOSTO</w:t>
      </w:r>
      <w:r w:rsidR="002E4C91" w:rsidRPr="00616A54">
        <w:rPr>
          <w:rFonts w:ascii="Palatino Linotype" w:eastAsia="Times New Roman" w:hAnsi="Palatino Linotype" w:cs="Arial"/>
          <w:color w:val="000000"/>
          <w:sz w:val="24"/>
          <w:szCs w:val="24"/>
          <w:lang w:eastAsia="es-MX"/>
        </w:rPr>
        <w:t xml:space="preserve"> DE</w:t>
      </w:r>
      <w:r w:rsidR="002E4C91" w:rsidRPr="00616A54">
        <w:rPr>
          <w:rFonts w:ascii="Palatino Linotype" w:hAnsi="Palatino Linotype" w:cs="Arial"/>
          <w:sz w:val="24"/>
          <w:szCs w:val="24"/>
        </w:rPr>
        <w:t xml:space="preserve"> DOS MIL </w:t>
      </w:r>
      <w:r w:rsidR="00C67C23" w:rsidRPr="00616A54">
        <w:rPr>
          <w:rFonts w:ascii="Palatino Linotype" w:hAnsi="Palatino Linotype" w:cs="Arial"/>
          <w:sz w:val="24"/>
          <w:szCs w:val="24"/>
        </w:rPr>
        <w:t>VEINTIUNO</w:t>
      </w:r>
      <w:r w:rsidR="002E4C91" w:rsidRPr="00616A54">
        <w:rPr>
          <w:rFonts w:ascii="Palatino Linotype" w:hAnsi="Palatino Linotype" w:cs="Arial"/>
          <w:sz w:val="24"/>
          <w:szCs w:val="24"/>
        </w:rPr>
        <w:t>,</w:t>
      </w:r>
      <w:r w:rsidR="002029E6" w:rsidRPr="00616A54">
        <w:rPr>
          <w:rFonts w:ascii="Palatino Linotype" w:hAnsi="Palatino Linotype" w:cs="Arial"/>
          <w:sz w:val="24"/>
          <w:szCs w:val="24"/>
        </w:rPr>
        <w:t xml:space="preserve"> ANTE</w:t>
      </w:r>
      <w:r w:rsidR="002E4C91" w:rsidRPr="00616A54">
        <w:rPr>
          <w:rFonts w:ascii="Palatino Linotype" w:hAnsi="Palatino Linotype" w:cs="Arial"/>
          <w:sz w:val="24"/>
          <w:szCs w:val="24"/>
        </w:rPr>
        <w:t xml:space="preserve"> </w:t>
      </w:r>
      <w:r w:rsidR="002029E6" w:rsidRPr="00616A54">
        <w:rPr>
          <w:rFonts w:ascii="Palatino Linotype" w:hAnsi="Palatino Linotype" w:cs="Arial"/>
          <w:sz w:val="24"/>
          <w:szCs w:val="24"/>
        </w:rPr>
        <w:t>EL SECRETARIO TÉCNICO DEL PLENO, ALEXIS TAPIA RAMÍREZ.</w:t>
      </w:r>
      <w:r w:rsidR="00D82216" w:rsidRPr="00616A54">
        <w:rPr>
          <w:rFonts w:ascii="Palatino Linotype" w:hAnsi="Palatino Linotype" w:cs="Arial"/>
          <w:sz w:val="24"/>
          <w:szCs w:val="24"/>
        </w:rPr>
        <w:t>--------------------------------------------------------------------------------------------------------------------------------------------------------------------------------------------------------------------------------------------------------------------------------------------------------------------------------------------------------------------------------------------------------------</w:t>
      </w:r>
      <w:r w:rsidR="00081DE2" w:rsidRPr="00616A54">
        <w:rPr>
          <w:rFonts w:ascii="Palatino Linotype" w:hAnsi="Palatino Linotype" w:cs="Arial"/>
          <w:sz w:val="24"/>
          <w:szCs w:val="24"/>
        </w:rPr>
        <w:t>----------------------------------------------------------------------------------------------------------------------------------------------------------------------------------------------------------------------------------------------------------------------------------------------------------------------------------------------------------------------------------------------------------------------------------------------------------------------------------------------------------------------------------------------------------------------------------------------------------------------------------------------------------------------------------------------------------------------------------------------------------------------------------------------------------------------------------------------------------------------------------------------------------------------------------------</w:t>
      </w:r>
      <w:r w:rsidR="00616A54">
        <w:rPr>
          <w:rFonts w:ascii="Palatino Linotype" w:hAnsi="Palatino Linotype" w:cs="Arial"/>
          <w:sz w:val="24"/>
          <w:szCs w:val="24"/>
        </w:rPr>
        <w:t>---------------------------------------</w:t>
      </w:r>
      <w:r>
        <w:rPr>
          <w:rFonts w:ascii="Palatino Linotype" w:hAnsi="Palatino Linotype" w:cs="Arial"/>
          <w:sz w:val="24"/>
          <w:szCs w:val="24"/>
        </w:rPr>
        <w:t>---------------------------------------</w:t>
      </w:r>
    </w:p>
    <w:p w14:paraId="06585CC3" w14:textId="77777777" w:rsidR="00F537EC" w:rsidRPr="001C7462" w:rsidRDefault="00F537EC" w:rsidP="00AD2A55">
      <w:pPr>
        <w:spacing w:after="0" w:line="360" w:lineRule="auto"/>
        <w:jc w:val="both"/>
        <w:rPr>
          <w:rFonts w:ascii="Palatino Linotype" w:hAnsi="Palatino Linotype"/>
          <w:sz w:val="28"/>
          <w:szCs w:val="24"/>
        </w:rPr>
      </w:pPr>
    </w:p>
    <w:p w14:paraId="35509F6A" w14:textId="77777777" w:rsidR="00F84E71" w:rsidRPr="001C7462" w:rsidRDefault="00F84E71" w:rsidP="00AD2A55">
      <w:pPr>
        <w:spacing w:after="0" w:line="360" w:lineRule="auto"/>
        <w:jc w:val="both"/>
        <w:rPr>
          <w:rFonts w:ascii="Palatino Linotype" w:hAnsi="Palatino Linotype"/>
          <w:sz w:val="24"/>
          <w:szCs w:val="24"/>
        </w:rPr>
      </w:pPr>
    </w:p>
    <w:p w14:paraId="118AFAF7" w14:textId="2C5E4447" w:rsidR="00C70171" w:rsidRPr="006A5AC2" w:rsidRDefault="00C70171" w:rsidP="002029E6">
      <w:pPr>
        <w:spacing w:after="0" w:line="360" w:lineRule="auto"/>
        <w:jc w:val="both"/>
        <w:rPr>
          <w:rFonts w:ascii="Palatino Linotype" w:hAnsi="Palatino Linotype"/>
          <w:sz w:val="14"/>
          <w:szCs w:val="20"/>
        </w:rPr>
      </w:pPr>
    </w:p>
    <w:sectPr w:rsidR="00C70171" w:rsidRPr="006A5AC2"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BAB09" w14:textId="77777777" w:rsidR="00043C60" w:rsidRDefault="00043C60" w:rsidP="00BF3214">
      <w:pPr>
        <w:spacing w:after="0" w:line="240" w:lineRule="auto"/>
      </w:pPr>
      <w:r>
        <w:separator/>
      </w:r>
    </w:p>
  </w:endnote>
  <w:endnote w:type="continuationSeparator" w:id="0">
    <w:p w14:paraId="6C1EAFEA" w14:textId="77777777" w:rsidR="00043C60" w:rsidRDefault="00043C6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B46B8" w:rsidRPr="002D6DD8" w:rsidRDefault="004B46B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3C74">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3C74">
              <w:rPr>
                <w:rFonts w:ascii="Palatino Linotype" w:hAnsi="Palatino Linotype"/>
                <w:bCs/>
                <w:noProof/>
                <w:sz w:val="20"/>
              </w:rPr>
              <w:t>32</w:t>
            </w:r>
            <w:r>
              <w:rPr>
                <w:rFonts w:ascii="Palatino Linotype" w:hAnsi="Palatino Linotype"/>
                <w:bCs/>
                <w:noProof/>
                <w:sz w:val="20"/>
              </w:rPr>
              <w:fldChar w:fldCharType="end"/>
            </w:r>
          </w:p>
        </w:sdtContent>
      </w:sdt>
    </w:sdtContent>
  </w:sdt>
  <w:p w14:paraId="1002C619" w14:textId="77777777" w:rsidR="004B46B8" w:rsidRDefault="004B46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B46B8" w:rsidRPr="000B69FA" w:rsidRDefault="004B46B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3C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3C74">
      <w:rPr>
        <w:rFonts w:ascii="Palatino Linotype" w:hAnsi="Palatino Linotype"/>
        <w:bCs/>
        <w:noProof/>
        <w:sz w:val="20"/>
      </w:rPr>
      <w:t>32</w:t>
    </w:r>
    <w:r>
      <w:rPr>
        <w:rFonts w:ascii="Palatino Linotype" w:hAnsi="Palatino Linotype"/>
        <w:bCs/>
        <w:noProof/>
        <w:sz w:val="20"/>
      </w:rPr>
      <w:fldChar w:fldCharType="end"/>
    </w:r>
  </w:p>
  <w:p w14:paraId="1DC90981" w14:textId="77777777" w:rsidR="004B46B8" w:rsidRDefault="004B46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51616" w14:textId="77777777" w:rsidR="00043C60" w:rsidRDefault="00043C60" w:rsidP="00BF3214">
      <w:pPr>
        <w:spacing w:after="0" w:line="240" w:lineRule="auto"/>
      </w:pPr>
      <w:r>
        <w:separator/>
      </w:r>
    </w:p>
  </w:footnote>
  <w:footnote w:type="continuationSeparator" w:id="0">
    <w:p w14:paraId="23D3E71F" w14:textId="77777777" w:rsidR="00043C60" w:rsidRDefault="00043C60" w:rsidP="00BF3214">
      <w:pPr>
        <w:spacing w:after="0" w:line="240" w:lineRule="auto"/>
      </w:pPr>
      <w:r>
        <w:continuationSeparator/>
      </w:r>
    </w:p>
  </w:footnote>
  <w:footnote w:id="1">
    <w:p w14:paraId="5AB62546" w14:textId="77777777" w:rsidR="00B87511" w:rsidRPr="00034B44" w:rsidRDefault="00B87511" w:rsidP="00B8751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5E40" w14:textId="4F3D4597" w:rsidR="00747957" w:rsidRDefault="00043C60">
    <w:pPr>
      <w:pStyle w:val="Encabezado"/>
    </w:pPr>
    <w:r>
      <w:rPr>
        <w:noProof/>
        <w:lang w:val="es-MX" w:eastAsia="es-MX"/>
      </w:rPr>
      <w:pict w14:anchorId="7CA39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1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B46B8" w14:paraId="35E5EC0A" w14:textId="77777777" w:rsidTr="00793820">
      <w:trPr>
        <w:trHeight w:val="227"/>
      </w:trPr>
      <w:tc>
        <w:tcPr>
          <w:tcW w:w="5671" w:type="dxa"/>
          <w:hideMark/>
        </w:tcPr>
        <w:p w14:paraId="7BC472F9" w14:textId="77777777" w:rsidR="004B46B8" w:rsidRDefault="004B46B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226E0614" w:rsidR="004B46B8" w:rsidRPr="001665AE" w:rsidRDefault="004B46B8" w:rsidP="00643E1A">
          <w:pPr>
            <w:spacing w:after="120" w:line="256" w:lineRule="auto"/>
            <w:ind w:left="-486" w:right="214" w:firstLine="1585"/>
            <w:jc w:val="right"/>
            <w:rPr>
              <w:rFonts w:ascii="Palatino Linotype" w:hAnsi="Palatino Linotype" w:cs="Arial"/>
              <w:szCs w:val="20"/>
            </w:rPr>
          </w:pPr>
          <w:r w:rsidRPr="001665AE">
            <w:rPr>
              <w:rFonts w:ascii="Palatino Linotype" w:hAnsi="Palatino Linotype" w:cs="Arial"/>
              <w:bCs/>
              <w:lang w:eastAsia="es-MX"/>
            </w:rPr>
            <w:t>0</w:t>
          </w:r>
          <w:r w:rsidR="00643E1A">
            <w:rPr>
              <w:rFonts w:ascii="Palatino Linotype" w:hAnsi="Palatino Linotype" w:cs="Arial"/>
              <w:bCs/>
              <w:lang w:eastAsia="es-MX"/>
            </w:rPr>
            <w:t>2155</w:t>
          </w:r>
          <w:r w:rsidRPr="001665AE">
            <w:rPr>
              <w:rFonts w:ascii="Palatino Linotype" w:hAnsi="Palatino Linotype" w:cs="Arial"/>
              <w:bCs/>
              <w:lang w:eastAsia="es-MX"/>
            </w:rPr>
            <w:t>/INFOEM/IP/RR/202</w:t>
          </w:r>
          <w:r w:rsidR="00377E49" w:rsidRPr="001665AE">
            <w:rPr>
              <w:rFonts w:ascii="Palatino Linotype" w:hAnsi="Palatino Linotype" w:cs="Arial"/>
              <w:bCs/>
              <w:lang w:eastAsia="es-MX"/>
            </w:rPr>
            <w:t>1</w:t>
          </w:r>
        </w:p>
      </w:tc>
    </w:tr>
    <w:tr w:rsidR="004B46B8" w14:paraId="0482DFAC" w14:textId="77777777" w:rsidTr="00793820">
      <w:trPr>
        <w:trHeight w:val="242"/>
      </w:trPr>
      <w:tc>
        <w:tcPr>
          <w:tcW w:w="5671" w:type="dxa"/>
          <w:hideMark/>
        </w:tcPr>
        <w:p w14:paraId="509D07E9" w14:textId="77777777" w:rsidR="004B46B8" w:rsidRDefault="004B46B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1F43172" w:rsidR="004B46B8" w:rsidRPr="001665AE" w:rsidRDefault="00AD18B6" w:rsidP="00F107D3">
          <w:pPr>
            <w:spacing w:after="120" w:line="256" w:lineRule="auto"/>
            <w:ind w:left="-486" w:right="214" w:firstLine="284"/>
            <w:jc w:val="right"/>
            <w:rPr>
              <w:rFonts w:ascii="Palatino Linotype" w:hAnsi="Palatino Linotype" w:cs="Arial"/>
              <w:szCs w:val="20"/>
            </w:rPr>
          </w:pPr>
          <w:r w:rsidRPr="001665AE">
            <w:rPr>
              <w:rFonts w:ascii="Palatino Linotype" w:hAnsi="Palatino Linotype" w:cs="Arial"/>
              <w:szCs w:val="20"/>
            </w:rPr>
            <w:t xml:space="preserve">Ayuntamiento de </w:t>
          </w:r>
          <w:r w:rsidR="00643E1A" w:rsidRPr="00643E1A">
            <w:rPr>
              <w:rFonts w:ascii="Palatino Linotype" w:hAnsi="Palatino Linotype" w:cs="Arial"/>
              <w:szCs w:val="20"/>
            </w:rPr>
            <w:t>Santo Tomas</w:t>
          </w:r>
        </w:p>
      </w:tc>
    </w:tr>
    <w:tr w:rsidR="004B46B8" w14:paraId="7B7E63F5" w14:textId="77777777" w:rsidTr="00793820">
      <w:trPr>
        <w:trHeight w:val="342"/>
      </w:trPr>
      <w:tc>
        <w:tcPr>
          <w:tcW w:w="5671" w:type="dxa"/>
          <w:hideMark/>
        </w:tcPr>
        <w:p w14:paraId="2BCB7A44" w14:textId="77777777" w:rsidR="004B46B8" w:rsidRDefault="004B46B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B46B8" w:rsidRPr="001665AE" w:rsidRDefault="004B46B8" w:rsidP="000E4D1D">
          <w:pPr>
            <w:spacing w:after="120" w:line="256" w:lineRule="auto"/>
            <w:ind w:left="-486" w:right="214" w:firstLine="567"/>
            <w:jc w:val="right"/>
            <w:rPr>
              <w:rFonts w:ascii="Palatino Linotype" w:hAnsi="Palatino Linotype" w:cs="Arial"/>
              <w:szCs w:val="20"/>
            </w:rPr>
          </w:pPr>
          <w:r w:rsidRPr="001665AE">
            <w:rPr>
              <w:rFonts w:ascii="Palatino Linotype" w:hAnsi="Palatino Linotype" w:cs="Arial"/>
              <w:szCs w:val="20"/>
            </w:rPr>
            <w:t>Zulema Martínez Sánchez</w:t>
          </w:r>
        </w:p>
      </w:tc>
    </w:tr>
  </w:tbl>
  <w:p w14:paraId="7BDE043F" w14:textId="2C189BF9" w:rsidR="004B46B8" w:rsidRDefault="00043C60" w:rsidP="00B935D1">
    <w:pPr>
      <w:pStyle w:val="Encabezado"/>
      <w:tabs>
        <w:tab w:val="clear" w:pos="4419"/>
        <w:tab w:val="clear" w:pos="8838"/>
        <w:tab w:val="left" w:pos="6005"/>
      </w:tabs>
    </w:pPr>
    <w:r>
      <w:rPr>
        <w:noProof/>
        <w:lang w:val="es-MX" w:eastAsia="es-MX"/>
      </w:rPr>
      <w:pict w14:anchorId="47245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18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4B46B8">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B46B8" w14:paraId="25A37BB4" w14:textId="77777777" w:rsidTr="0041408B">
      <w:trPr>
        <w:trHeight w:val="227"/>
      </w:trPr>
      <w:tc>
        <w:tcPr>
          <w:tcW w:w="5671" w:type="dxa"/>
          <w:hideMark/>
        </w:tcPr>
        <w:p w14:paraId="3B7407D3" w14:textId="77777777" w:rsidR="004B46B8" w:rsidRDefault="004B46B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E7B00BE" w:rsidR="004B46B8" w:rsidRDefault="004B46B8" w:rsidP="00643E1A">
          <w:pPr>
            <w:spacing w:after="120" w:line="240" w:lineRule="auto"/>
            <w:ind w:left="-486" w:right="214" w:firstLine="1585"/>
            <w:jc w:val="right"/>
            <w:rPr>
              <w:rFonts w:ascii="Palatino Linotype" w:hAnsi="Palatino Linotype" w:cs="Arial"/>
              <w:szCs w:val="20"/>
            </w:rPr>
          </w:pPr>
          <w:r w:rsidRPr="001665AE">
            <w:rPr>
              <w:rFonts w:ascii="Palatino Linotype" w:hAnsi="Palatino Linotype" w:cs="Arial"/>
              <w:bCs/>
              <w:lang w:eastAsia="es-MX"/>
            </w:rPr>
            <w:t>0</w:t>
          </w:r>
          <w:r w:rsidR="00643E1A">
            <w:rPr>
              <w:rFonts w:ascii="Palatino Linotype" w:hAnsi="Palatino Linotype" w:cs="Arial"/>
              <w:bCs/>
              <w:lang w:eastAsia="es-MX"/>
            </w:rPr>
            <w:t>2155</w:t>
          </w:r>
          <w:r w:rsidRPr="001665AE">
            <w:rPr>
              <w:rFonts w:ascii="Palatino Linotype" w:hAnsi="Palatino Linotype" w:cs="Arial"/>
              <w:bCs/>
              <w:lang w:eastAsia="es-MX"/>
            </w:rPr>
            <w:t>/INFOEM/IP/RR/202</w:t>
          </w:r>
          <w:r w:rsidR="00AD18B6" w:rsidRPr="001665AE">
            <w:rPr>
              <w:rFonts w:ascii="Palatino Linotype" w:hAnsi="Palatino Linotype" w:cs="Arial"/>
              <w:bCs/>
              <w:lang w:eastAsia="es-MX"/>
            </w:rPr>
            <w:t>1</w:t>
          </w:r>
        </w:p>
      </w:tc>
    </w:tr>
    <w:tr w:rsidR="004B46B8" w14:paraId="480BC2A1" w14:textId="77777777" w:rsidTr="0041408B">
      <w:trPr>
        <w:trHeight w:val="242"/>
      </w:trPr>
      <w:tc>
        <w:tcPr>
          <w:tcW w:w="5671" w:type="dxa"/>
          <w:hideMark/>
        </w:tcPr>
        <w:p w14:paraId="0BCD7858" w14:textId="77777777" w:rsidR="004B46B8" w:rsidRDefault="004B46B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7E0727DB" w:rsidR="004B46B8" w:rsidRDefault="00AD18B6" w:rsidP="00F107D3">
          <w:pPr>
            <w:spacing w:after="120" w:line="240" w:lineRule="auto"/>
            <w:ind w:left="-486" w:right="214" w:firstLine="284"/>
            <w:jc w:val="right"/>
            <w:rPr>
              <w:rFonts w:ascii="Palatino Linotype" w:hAnsi="Palatino Linotype" w:cs="Arial"/>
              <w:szCs w:val="20"/>
            </w:rPr>
          </w:pPr>
          <w:r w:rsidRPr="00AD18B6">
            <w:rPr>
              <w:rFonts w:ascii="Palatino Linotype" w:hAnsi="Palatino Linotype" w:cs="Arial"/>
              <w:szCs w:val="20"/>
            </w:rPr>
            <w:t xml:space="preserve">Ayuntamiento de </w:t>
          </w:r>
          <w:r w:rsidR="00643E1A" w:rsidRPr="00643E1A">
            <w:rPr>
              <w:rFonts w:ascii="Palatino Linotype" w:hAnsi="Palatino Linotype" w:cs="Arial"/>
              <w:szCs w:val="20"/>
            </w:rPr>
            <w:t>Santo Tomas</w:t>
          </w:r>
        </w:p>
      </w:tc>
    </w:tr>
    <w:tr w:rsidR="004B46B8" w14:paraId="60A059F9" w14:textId="77777777" w:rsidTr="009754A4">
      <w:trPr>
        <w:trHeight w:val="342"/>
      </w:trPr>
      <w:tc>
        <w:tcPr>
          <w:tcW w:w="5671" w:type="dxa"/>
        </w:tcPr>
        <w:p w14:paraId="063683FE" w14:textId="77777777" w:rsidR="004B46B8" w:rsidRDefault="004B46B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6B5C9FD6" w:rsidR="004B46B8" w:rsidRPr="003D23D7" w:rsidRDefault="008E3C74"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4B46B8" w14:paraId="7854C9FF" w14:textId="77777777" w:rsidTr="0041408B">
      <w:trPr>
        <w:trHeight w:val="342"/>
      </w:trPr>
      <w:tc>
        <w:tcPr>
          <w:tcW w:w="5671" w:type="dxa"/>
        </w:tcPr>
        <w:p w14:paraId="02A89BC6" w14:textId="77777777" w:rsidR="004B46B8" w:rsidRDefault="004B46B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B46B8" w:rsidRDefault="004B46B8"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48F93A3E" w:rsidR="004B46B8" w:rsidRDefault="00043C60">
    <w:pPr>
      <w:pStyle w:val="Encabezado"/>
    </w:pPr>
    <w:r>
      <w:rPr>
        <w:noProof/>
        <w:lang w:val="es-MX" w:eastAsia="es-MX"/>
      </w:rPr>
      <w:pict w14:anchorId="1C3C4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18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65B"/>
    <w:multiLevelType w:val="hybridMultilevel"/>
    <w:tmpl w:val="CAA6E3CE"/>
    <w:lvl w:ilvl="0" w:tplc="DD26896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BF790F"/>
    <w:multiLevelType w:val="hybridMultilevel"/>
    <w:tmpl w:val="5C104B44"/>
    <w:lvl w:ilvl="0" w:tplc="D7F2DC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871CDB"/>
    <w:multiLevelType w:val="hybridMultilevel"/>
    <w:tmpl w:val="CAA6E3CE"/>
    <w:lvl w:ilvl="0" w:tplc="DD26896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F8598D"/>
    <w:multiLevelType w:val="hybridMultilevel"/>
    <w:tmpl w:val="EC5AB764"/>
    <w:lvl w:ilvl="0" w:tplc="D47E8D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6E652E"/>
    <w:multiLevelType w:val="hybridMultilevel"/>
    <w:tmpl w:val="8E5AA0E8"/>
    <w:lvl w:ilvl="0" w:tplc="76F27E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271532"/>
    <w:multiLevelType w:val="hybridMultilevel"/>
    <w:tmpl w:val="CAA6E3CE"/>
    <w:lvl w:ilvl="0" w:tplc="DD26896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E87251"/>
    <w:multiLevelType w:val="hybridMultilevel"/>
    <w:tmpl w:val="DC7C14F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6"/>
  </w:num>
  <w:num w:numId="2">
    <w:abstractNumId w:val="7"/>
  </w:num>
  <w:num w:numId="3">
    <w:abstractNumId w:val="19"/>
  </w:num>
  <w:num w:numId="4">
    <w:abstractNumId w:val="20"/>
  </w:num>
  <w:num w:numId="5">
    <w:abstractNumId w:val="4"/>
  </w:num>
  <w:num w:numId="6">
    <w:abstractNumId w:val="10"/>
  </w:num>
  <w:num w:numId="7">
    <w:abstractNumId w:val="24"/>
  </w:num>
  <w:num w:numId="8">
    <w:abstractNumId w:val="21"/>
  </w:num>
  <w:num w:numId="9">
    <w:abstractNumId w:val="28"/>
  </w:num>
  <w:num w:numId="10">
    <w:abstractNumId w:val="25"/>
  </w:num>
  <w:num w:numId="11">
    <w:abstractNumId w:val="18"/>
  </w:num>
  <w:num w:numId="12">
    <w:abstractNumId w:val="8"/>
  </w:num>
  <w:num w:numId="13">
    <w:abstractNumId w:val="11"/>
  </w:num>
  <w:num w:numId="14">
    <w:abstractNumId w:val="2"/>
  </w:num>
  <w:num w:numId="15">
    <w:abstractNumId w:val="1"/>
  </w:num>
  <w:num w:numId="16">
    <w:abstractNumId w:val="13"/>
  </w:num>
  <w:num w:numId="17">
    <w:abstractNumId w:val="14"/>
  </w:num>
  <w:num w:numId="18">
    <w:abstractNumId w:val="6"/>
  </w:num>
  <w:num w:numId="19">
    <w:abstractNumId w:val="22"/>
  </w:num>
  <w:num w:numId="20">
    <w:abstractNumId w:val="23"/>
  </w:num>
  <w:num w:numId="21">
    <w:abstractNumId w:val="5"/>
  </w:num>
  <w:num w:numId="22">
    <w:abstractNumId w:val="9"/>
  </w:num>
  <w:num w:numId="23">
    <w:abstractNumId w:val="3"/>
  </w:num>
  <w:num w:numId="24">
    <w:abstractNumId w:val="27"/>
  </w:num>
  <w:num w:numId="25">
    <w:abstractNumId w:val="15"/>
  </w:num>
  <w:num w:numId="26">
    <w:abstractNumId w:val="12"/>
  </w:num>
  <w:num w:numId="27">
    <w:abstractNumId w:val="0"/>
  </w:num>
  <w:num w:numId="28">
    <w:abstractNumId w:val="17"/>
  </w:num>
  <w:num w:numId="2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3C60"/>
    <w:rsid w:val="00044369"/>
    <w:rsid w:val="0004462C"/>
    <w:rsid w:val="00044D45"/>
    <w:rsid w:val="00044DDE"/>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3BB0"/>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1DE2"/>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6CB"/>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0A5"/>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5AE"/>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29E6"/>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57B"/>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8E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3907"/>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77E49"/>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4E8"/>
    <w:rsid w:val="003A7C4B"/>
    <w:rsid w:val="003B0D81"/>
    <w:rsid w:val="003B12C8"/>
    <w:rsid w:val="003B2A77"/>
    <w:rsid w:val="003B2B9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5BE0"/>
    <w:rsid w:val="0041774D"/>
    <w:rsid w:val="004202D3"/>
    <w:rsid w:val="004213A9"/>
    <w:rsid w:val="00423A08"/>
    <w:rsid w:val="00424469"/>
    <w:rsid w:val="00424EB5"/>
    <w:rsid w:val="00425499"/>
    <w:rsid w:val="00425555"/>
    <w:rsid w:val="004256A6"/>
    <w:rsid w:val="00425880"/>
    <w:rsid w:val="00426B4D"/>
    <w:rsid w:val="00426D09"/>
    <w:rsid w:val="004278B6"/>
    <w:rsid w:val="00427B47"/>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584"/>
    <w:rsid w:val="0045166D"/>
    <w:rsid w:val="0045187B"/>
    <w:rsid w:val="004519E9"/>
    <w:rsid w:val="0045294C"/>
    <w:rsid w:val="00452F61"/>
    <w:rsid w:val="00453786"/>
    <w:rsid w:val="004538E6"/>
    <w:rsid w:val="00454560"/>
    <w:rsid w:val="004547AB"/>
    <w:rsid w:val="004568B2"/>
    <w:rsid w:val="00457643"/>
    <w:rsid w:val="00461361"/>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55E"/>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2085"/>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36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A31"/>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6A5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3E1A"/>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4CBA"/>
    <w:rsid w:val="00725D4D"/>
    <w:rsid w:val="007264B3"/>
    <w:rsid w:val="007271FA"/>
    <w:rsid w:val="0073033E"/>
    <w:rsid w:val="00730A30"/>
    <w:rsid w:val="00731B59"/>
    <w:rsid w:val="00731C61"/>
    <w:rsid w:val="007321BF"/>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47957"/>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65064"/>
    <w:rsid w:val="007666D6"/>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0C2D"/>
    <w:rsid w:val="007E21F7"/>
    <w:rsid w:val="007E3EBB"/>
    <w:rsid w:val="007E643B"/>
    <w:rsid w:val="007E6999"/>
    <w:rsid w:val="007E6A14"/>
    <w:rsid w:val="007E6CF2"/>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0D5"/>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3C74"/>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6FAF"/>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433C"/>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389C"/>
    <w:rsid w:val="009253A2"/>
    <w:rsid w:val="009254DE"/>
    <w:rsid w:val="009271D3"/>
    <w:rsid w:val="009275EB"/>
    <w:rsid w:val="00927A11"/>
    <w:rsid w:val="0093039D"/>
    <w:rsid w:val="00930E82"/>
    <w:rsid w:val="00931653"/>
    <w:rsid w:val="00931B3E"/>
    <w:rsid w:val="00931EB8"/>
    <w:rsid w:val="00932061"/>
    <w:rsid w:val="0093246C"/>
    <w:rsid w:val="00932FA6"/>
    <w:rsid w:val="00933255"/>
    <w:rsid w:val="00933A32"/>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438"/>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22B"/>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E547B"/>
    <w:rsid w:val="009F0920"/>
    <w:rsid w:val="009F0D2E"/>
    <w:rsid w:val="009F2D46"/>
    <w:rsid w:val="009F3F85"/>
    <w:rsid w:val="009F5648"/>
    <w:rsid w:val="009F5C70"/>
    <w:rsid w:val="009F60B0"/>
    <w:rsid w:val="009F6F65"/>
    <w:rsid w:val="009F7067"/>
    <w:rsid w:val="00A00432"/>
    <w:rsid w:val="00A00BBC"/>
    <w:rsid w:val="00A02747"/>
    <w:rsid w:val="00A0314F"/>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2D8A"/>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18B6"/>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96C"/>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428"/>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511"/>
    <w:rsid w:val="00B87ECB"/>
    <w:rsid w:val="00B90166"/>
    <w:rsid w:val="00B915E6"/>
    <w:rsid w:val="00B929A1"/>
    <w:rsid w:val="00B932C1"/>
    <w:rsid w:val="00B935D1"/>
    <w:rsid w:val="00B93C55"/>
    <w:rsid w:val="00B95E74"/>
    <w:rsid w:val="00B9608B"/>
    <w:rsid w:val="00B961D5"/>
    <w:rsid w:val="00B96AAA"/>
    <w:rsid w:val="00B9749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B4F"/>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3C8A"/>
    <w:rsid w:val="00C548F2"/>
    <w:rsid w:val="00C571D8"/>
    <w:rsid w:val="00C57B47"/>
    <w:rsid w:val="00C60106"/>
    <w:rsid w:val="00C6011C"/>
    <w:rsid w:val="00C6101F"/>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632"/>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2CA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5EB9"/>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3D94"/>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6CB"/>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216"/>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52EE"/>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0FB"/>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2C9C"/>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55CF"/>
    <w:rsid w:val="00E96B6B"/>
    <w:rsid w:val="00EA0086"/>
    <w:rsid w:val="00EA1694"/>
    <w:rsid w:val="00EA2013"/>
    <w:rsid w:val="00EA23F7"/>
    <w:rsid w:val="00EA2842"/>
    <w:rsid w:val="00EA317D"/>
    <w:rsid w:val="00EA51DC"/>
    <w:rsid w:val="00EA5381"/>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7D3"/>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667D5"/>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9A3A-3E02-4DF1-B575-FDBE48AD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32</Pages>
  <Words>8289</Words>
  <Characters>45595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cp:lastPrinted>2019-08-08T15:54:00Z</cp:lastPrinted>
  <dcterms:created xsi:type="dcterms:W3CDTF">2021-07-13T18:58:00Z</dcterms:created>
  <dcterms:modified xsi:type="dcterms:W3CDTF">2021-08-20T04:12:00Z</dcterms:modified>
</cp:coreProperties>
</file>