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7D63696" w:rsidR="00662C69"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C967DD">
        <w:rPr>
          <w:rFonts w:ascii="Palatino Linotype" w:hAnsi="Palatino Linotype"/>
          <w:color w:val="000000" w:themeColor="text1"/>
        </w:rPr>
        <w:t>dieciocho (18) de noviembre</w:t>
      </w:r>
      <w:r w:rsidR="002D1AA7">
        <w:rPr>
          <w:rFonts w:ascii="Palatino Linotype" w:hAnsi="Palatino Linotype"/>
          <w:color w:val="000000" w:themeColor="text1"/>
        </w:rPr>
        <w:t xml:space="preserve"> de dos mil veintiuno</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733BEA00"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C967DD">
        <w:rPr>
          <w:rFonts w:ascii="Palatino Linotype" w:hAnsi="Palatino Linotype"/>
          <w:b/>
          <w:bCs/>
          <w:color w:val="000000" w:themeColor="text1"/>
        </w:rPr>
        <w:t>04548/INFOEM/IP/RR/2021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E92215">
        <w:rPr>
          <w:rFonts w:ascii="Palatino Linotype" w:eastAsia="Times New Roman" w:hAnsi="Palatino Linotype" w:cs="Times New Roman"/>
          <w:color w:val="000000" w:themeColor="text1"/>
        </w:rPr>
        <w:t>un usuario del Sistema de Acceso a la Información Mexiquense (SAIMEX) quien no señaló su nombre, seudónimo o carácter para ser identificado, por lo que en lo sucesivo será reconocido como 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C967DD">
        <w:rPr>
          <w:rFonts w:ascii="Palatino Linotype" w:eastAsia="Times New Roman" w:hAnsi="Palatino Linotype" w:cs="Arial"/>
          <w:b/>
          <w:color w:val="000000" w:themeColor="text1"/>
        </w:rPr>
        <w:t>Ayuntamiento de Teoloyucan</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77F45709"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A85CB7">
        <w:rPr>
          <w:b/>
          <w:color w:val="000000" w:themeColor="text1"/>
        </w:rPr>
        <w:t>A</w:t>
      </w:r>
      <w:r w:rsidR="00C967DD">
        <w:rPr>
          <w:b/>
          <w:color w:val="000000" w:themeColor="text1"/>
        </w:rPr>
        <w:t xml:space="preserve"> </w:t>
      </w:r>
      <w:r w:rsidRPr="00A85CB7">
        <w:rPr>
          <w:b/>
          <w:color w:val="000000" w:themeColor="text1"/>
        </w:rPr>
        <w:t>N</w:t>
      </w:r>
      <w:r w:rsidR="00C967DD">
        <w:rPr>
          <w:b/>
          <w:color w:val="000000" w:themeColor="text1"/>
        </w:rPr>
        <w:t xml:space="preserve"> </w:t>
      </w:r>
      <w:r w:rsidRPr="00A85CB7">
        <w:rPr>
          <w:b/>
          <w:color w:val="000000" w:themeColor="text1"/>
        </w:rPr>
        <w:t>T</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C</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D</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N</w:t>
      </w:r>
      <w:r w:rsidR="00C967DD">
        <w:rPr>
          <w:b/>
          <w:color w:val="000000" w:themeColor="text1"/>
        </w:rPr>
        <w:t xml:space="preserve"> </w:t>
      </w:r>
      <w:r w:rsidRPr="00A85CB7">
        <w:rPr>
          <w:b/>
          <w:color w:val="000000" w:themeColor="text1"/>
        </w:rPr>
        <w:t>T</w:t>
      </w:r>
      <w:r w:rsidR="00C967DD">
        <w:rPr>
          <w:b/>
          <w:color w:val="000000" w:themeColor="text1"/>
        </w:rPr>
        <w:t xml:space="preserve"> </w:t>
      </w:r>
      <w:r w:rsidRPr="00A85CB7">
        <w:rPr>
          <w:b/>
          <w:color w:val="000000" w:themeColor="text1"/>
        </w:rPr>
        <w:t>E</w:t>
      </w:r>
      <w:r w:rsidR="00C967DD">
        <w:rPr>
          <w:b/>
          <w:color w:val="000000" w:themeColor="text1"/>
        </w:rPr>
        <w:t xml:space="preserve"> </w:t>
      </w:r>
      <w:r w:rsidRPr="00A85CB7">
        <w:rPr>
          <w:b/>
          <w:color w:val="000000" w:themeColor="text1"/>
        </w:rPr>
        <w:t>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BC63E87"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C967DD">
        <w:rPr>
          <w:rFonts w:ascii="Palatino Linotype" w:eastAsia="Calibri" w:hAnsi="Palatino Linotype" w:cs="Arial"/>
          <w:color w:val="000000" w:themeColor="text1"/>
          <w:lang w:val="es-ES"/>
        </w:rPr>
        <w:t>dieciséis (16</w:t>
      </w:r>
      <w:r w:rsidR="004724EC">
        <w:rPr>
          <w:rFonts w:ascii="Palatino Linotype" w:eastAsia="Calibri" w:hAnsi="Palatino Linotype" w:cs="Arial"/>
          <w:color w:val="000000" w:themeColor="text1"/>
          <w:lang w:val="es-ES"/>
        </w:rPr>
        <w:t>) de agosto</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 xml:space="preserve">del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127E68">
        <w:rPr>
          <w:rFonts w:ascii="Palatino Linotype" w:eastAsia="Calibri" w:hAnsi="Palatino Linotype" w:cs="Arial"/>
          <w:bCs/>
          <w:i/>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C967DD">
        <w:rPr>
          <w:rFonts w:ascii="Palatino Linotype" w:hAnsi="Palatino Linotype"/>
          <w:b/>
          <w:bCs/>
          <w:color w:val="000000" w:themeColor="text1"/>
        </w:rPr>
        <w:t>00424/TEOLOYU/IP/2021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C9A720A"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C967DD" w:rsidRPr="00C967DD">
        <w:rPr>
          <w:rFonts w:ascii="Palatino Linotype" w:hAnsi="Palatino Linotype"/>
          <w:i/>
          <w:iCs/>
          <w:color w:val="000000" w:themeColor="text1"/>
          <w:sz w:val="22"/>
          <w:szCs w:val="22"/>
        </w:rPr>
        <w:t>solicito saber que hiso la presidenta gabriela con el dinero que le dieron para la campaña, que por sierto PERDIO</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BD524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9EDD176"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lastRenderedPageBreak/>
        <w:t xml:space="preserve">El </w:t>
      </w:r>
      <w:r w:rsidR="00C967DD">
        <w:rPr>
          <w:rFonts w:ascii="Palatino Linotype" w:eastAsia="MS Mincho" w:hAnsi="Palatino Linotype" w:cs="Times New Roman"/>
          <w:color w:val="000000" w:themeColor="text1"/>
        </w:rPr>
        <w:t>veinte (20) de agosto</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w:t>
      </w:r>
      <w:r w:rsidR="004724EC">
        <w:rPr>
          <w:rFonts w:ascii="Palatino Linotype" w:hAnsi="Palatino Linotype"/>
          <w:color w:val="000000" w:themeColor="text1"/>
          <w:szCs w:val="14"/>
        </w:rPr>
        <w:t>manifestó su incompetencia para poseer, generar o administrar la información</w:t>
      </w:r>
      <w:r w:rsidR="005F1362" w:rsidRPr="00022D89">
        <w:rPr>
          <w:rFonts w:ascii="Palatino Linotype" w:hAnsi="Palatino Linotype"/>
          <w:color w:val="000000" w:themeColor="text1"/>
          <w:szCs w:val="14"/>
        </w:rPr>
        <w:t xml:space="preserve">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10330207" w14:textId="77777777" w:rsidR="00C967DD" w:rsidRPr="00C967DD" w:rsidRDefault="005F1362"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C967DD" w:rsidRPr="00C967DD">
        <w:rPr>
          <w:rFonts w:ascii="Palatino Linotype" w:hAnsi="Palatino Linotype"/>
          <w:i/>
          <w:noProof/>
          <w:color w:val="000000" w:themeColor="text1"/>
          <w:sz w:val="22"/>
          <w:szCs w:val="22"/>
          <w:lang w:val="es-MX" w:eastAsia="es-MX"/>
        </w:rPr>
        <w:t>Con fundamento en el articulo 155 de la Ley de Transparencia y Acceso a la Información Pública del Estado de México y Municipios, se le hace de su conocimiento que no se da curso a la solicitud de información citada al rubro, en virtud de lo siguiente:</w:t>
      </w:r>
    </w:p>
    <w:p w14:paraId="1D5508B4" w14:textId="77777777" w:rsid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FE1845D" w14:textId="77777777" w:rsidR="00C967DD" w:rsidRP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967DD">
        <w:rPr>
          <w:rFonts w:ascii="Palatino Linotype" w:hAnsi="Palatino Linotype"/>
          <w:i/>
          <w:noProof/>
          <w:color w:val="000000" w:themeColor="text1"/>
          <w:sz w:val="22"/>
          <w:szCs w:val="22"/>
          <w:lang w:val="es-MX" w:eastAsia="es-MX"/>
        </w:rPr>
        <w:t>SE ENVÍA OFICIO Y ACTA</w:t>
      </w:r>
    </w:p>
    <w:p w14:paraId="623BA8B8" w14:textId="77777777" w:rsid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99F91A4" w14:textId="77777777" w:rsidR="00C967DD" w:rsidRP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967DD">
        <w:rPr>
          <w:rFonts w:ascii="Palatino Linotype" w:hAnsi="Palatino Linotype"/>
          <w:i/>
          <w:noProof/>
          <w:color w:val="000000" w:themeColor="text1"/>
          <w:sz w:val="22"/>
          <w:szCs w:val="22"/>
          <w:lang w:val="es-MX" w:eastAsia="es-MX"/>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25C4980D" w14:textId="77777777" w:rsid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9A320B6" w14:textId="77777777" w:rsidR="00C967DD" w:rsidRPr="00C967DD" w:rsidRDefault="00C967DD" w:rsidP="00C967D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967DD">
        <w:rPr>
          <w:rFonts w:ascii="Palatino Linotype" w:hAnsi="Palatino Linotype"/>
          <w:i/>
          <w:noProof/>
          <w:color w:val="000000" w:themeColor="text1"/>
          <w:sz w:val="22"/>
          <w:szCs w:val="22"/>
          <w:lang w:val="es-MX" w:eastAsia="es-MX"/>
        </w:rPr>
        <w:t>ATENTAMENTE</w:t>
      </w:r>
    </w:p>
    <w:p w14:paraId="35A36DE0" w14:textId="622AC1AE" w:rsidR="0039142B" w:rsidRPr="009A593A" w:rsidRDefault="00C967DD" w:rsidP="00C967D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967DD">
        <w:rPr>
          <w:rFonts w:ascii="Palatino Linotype" w:hAnsi="Palatino Linotype"/>
          <w:i/>
          <w:noProof/>
          <w:color w:val="000000" w:themeColor="text1"/>
          <w:sz w:val="22"/>
          <w:szCs w:val="22"/>
          <w:lang w:val="es-MX" w:eastAsia="es-MX"/>
        </w:rPr>
        <w:t>c. Brenda Anaya Beltran</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57DC5328"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w:t>
      </w:r>
      <w:r w:rsidR="004724EC">
        <w:rPr>
          <w:rFonts w:ascii="Palatino Linotype" w:hAnsi="Palatino Linotype"/>
          <w:color w:val="000000" w:themeColor="text1"/>
          <w:szCs w:val="22"/>
        </w:rPr>
        <w:t>incompetencia</w:t>
      </w:r>
      <w:r>
        <w:rPr>
          <w:rFonts w:ascii="Palatino Linotype" w:hAnsi="Palatino Linotype"/>
          <w:color w:val="000000" w:themeColor="text1"/>
          <w:szCs w:val="22"/>
        </w:rPr>
        <w:t xml:space="preserve">,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C967DD">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C967DD">
        <w:rPr>
          <w:rFonts w:ascii="Palatino Linotype" w:hAnsi="Palatino Linotype"/>
          <w:color w:val="000000" w:themeColor="text1"/>
          <w:szCs w:val="22"/>
        </w:rPr>
        <w:t>s</w:t>
      </w:r>
      <w:r>
        <w:rPr>
          <w:rFonts w:ascii="Palatino Linotype" w:hAnsi="Palatino Linotype"/>
          <w:color w:val="000000" w:themeColor="text1"/>
          <w:szCs w:val="22"/>
        </w:rPr>
        <w:t xml:space="preserve"> que se describe</w:t>
      </w:r>
      <w:r w:rsidR="00C967DD">
        <w:rPr>
          <w:rFonts w:ascii="Palatino Linotype" w:hAnsi="Palatino Linotype"/>
          <w:color w:val="000000" w:themeColor="text1"/>
          <w:szCs w:val="22"/>
        </w:rPr>
        <w:t>n</w:t>
      </w:r>
      <w:r>
        <w:rPr>
          <w:rFonts w:ascii="Palatino Linotype" w:hAnsi="Palatino Linotype"/>
          <w:color w:val="000000" w:themeColor="text1"/>
          <w:szCs w:val="22"/>
        </w:rPr>
        <w:t xml:space="preserve"> a continuación:</w:t>
      </w:r>
    </w:p>
    <w:p w14:paraId="11423777" w14:textId="207E30A0" w:rsidR="00F96460" w:rsidRDefault="006B31E7" w:rsidP="00335793">
      <w:pPr>
        <w:pStyle w:val="Prrafodelista"/>
        <w:numPr>
          <w:ilvl w:val="0"/>
          <w:numId w:val="39"/>
        </w:numPr>
        <w:spacing w:line="360" w:lineRule="auto"/>
        <w:ind w:left="993"/>
        <w:contextualSpacing w:val="0"/>
        <w:jc w:val="both"/>
        <w:rPr>
          <w:rFonts w:ascii="Palatino Linotype" w:hAnsi="Palatino Linotype" w:cs="Arial"/>
        </w:rPr>
      </w:pPr>
      <w:r w:rsidRPr="00C967DD">
        <w:rPr>
          <w:rFonts w:ascii="Palatino Linotype" w:hAnsi="Palatino Linotype" w:cs="Arial"/>
          <w:b/>
          <w:i/>
        </w:rPr>
        <w:t>“</w:t>
      </w:r>
      <w:r w:rsidR="00C967DD" w:rsidRPr="00C967DD">
        <w:rPr>
          <w:rFonts w:ascii="Palatino Linotype" w:hAnsi="Palatino Linotype" w:cs="Arial"/>
          <w:b/>
          <w:i/>
        </w:rPr>
        <w:t>Oficio de Respuesta 424</w:t>
      </w:r>
      <w:r w:rsidRPr="00C967DD">
        <w:rPr>
          <w:rFonts w:ascii="Palatino Linotype" w:hAnsi="Palatino Linotype" w:cs="Arial"/>
          <w:b/>
          <w:i/>
        </w:rPr>
        <w:t>.pdf”</w:t>
      </w:r>
      <w:r w:rsidRPr="00C967DD">
        <w:rPr>
          <w:rFonts w:ascii="Palatino Linotype" w:hAnsi="Palatino Linotype" w:cs="Arial"/>
        </w:rPr>
        <w:t xml:space="preserve">: Documento </w:t>
      </w:r>
      <w:r w:rsidR="00C967DD">
        <w:rPr>
          <w:rFonts w:ascii="Palatino Linotype" w:hAnsi="Palatino Linotype" w:cs="Arial"/>
        </w:rPr>
        <w:t xml:space="preserve">de dos fojas consistente en el oficio número PMT/UTAIP/739/2021, de diecinueve (19) de agosto de dos mil veintiuno, signado por la Encargada de Despacho de la Unidad de Transparencia del </w:t>
      </w:r>
      <w:r w:rsidR="00C967DD">
        <w:rPr>
          <w:rFonts w:ascii="Palatino Linotype" w:hAnsi="Palatino Linotype" w:cs="Arial"/>
          <w:b/>
        </w:rPr>
        <w:t>SUJETO OBLIGADO</w:t>
      </w:r>
      <w:r w:rsidR="00C967DD">
        <w:rPr>
          <w:rFonts w:ascii="Palatino Linotype" w:hAnsi="Palatino Linotype" w:cs="Arial"/>
        </w:rPr>
        <w:t xml:space="preserve">, por el que orienta al entonces </w:t>
      </w:r>
      <w:r w:rsidR="00C967DD">
        <w:rPr>
          <w:rFonts w:ascii="Palatino Linotype" w:hAnsi="Palatino Linotype" w:cs="Arial"/>
          <w:b/>
        </w:rPr>
        <w:t>SOLICITANTE</w:t>
      </w:r>
      <w:r w:rsidR="00C967DD">
        <w:rPr>
          <w:rFonts w:ascii="Palatino Linotype" w:hAnsi="Palatino Linotype" w:cs="Arial"/>
        </w:rPr>
        <w:t xml:space="preserve"> a dirigir su solicitud de información al Instituto Electoral del Estado de México.</w:t>
      </w:r>
    </w:p>
    <w:p w14:paraId="40D90D7F" w14:textId="54B17C88" w:rsidR="00C967DD" w:rsidRPr="00C967DD" w:rsidRDefault="00C967DD" w:rsidP="00335793">
      <w:pPr>
        <w:pStyle w:val="Prrafodelista"/>
        <w:numPr>
          <w:ilvl w:val="0"/>
          <w:numId w:val="39"/>
        </w:numPr>
        <w:spacing w:line="360" w:lineRule="auto"/>
        <w:ind w:left="993"/>
        <w:contextualSpacing w:val="0"/>
        <w:jc w:val="both"/>
        <w:rPr>
          <w:rFonts w:ascii="Palatino Linotype" w:hAnsi="Palatino Linotype" w:cs="Arial"/>
        </w:rPr>
      </w:pPr>
      <w:r>
        <w:rPr>
          <w:rFonts w:ascii="Palatino Linotype" w:hAnsi="Palatino Linotype" w:cs="Arial"/>
          <w:b/>
          <w:i/>
        </w:rPr>
        <w:t>“Acta de Incompetencia 424.pdf”</w:t>
      </w:r>
      <w:r>
        <w:rPr>
          <w:rFonts w:ascii="Palatino Linotype" w:hAnsi="Palatino Linotype" w:cs="Arial"/>
        </w:rPr>
        <w:t xml:space="preserve">: Documento de tres fojas consistente en el Acta número CT/UTAIP/ASE-65/2021, de diecinueve (19) de agosto de dos mil veintiuno, emitido por el Comité de Transparencia del </w:t>
      </w:r>
      <w:r>
        <w:rPr>
          <w:rFonts w:ascii="Palatino Linotype" w:hAnsi="Palatino Linotype" w:cs="Arial"/>
          <w:b/>
        </w:rPr>
        <w:t xml:space="preserve">SUJETO </w:t>
      </w:r>
      <w:r>
        <w:rPr>
          <w:rFonts w:ascii="Palatino Linotype" w:hAnsi="Palatino Linotype" w:cs="Arial"/>
          <w:b/>
        </w:rPr>
        <w:lastRenderedPageBreak/>
        <w:t>OBLIGADO</w:t>
      </w:r>
      <w:r>
        <w:rPr>
          <w:rFonts w:ascii="Palatino Linotype" w:hAnsi="Palatino Linotype" w:cs="Arial"/>
        </w:rPr>
        <w:t xml:space="preserve"> por el que confirma la declaratoria de incompetencia del Ayuntamiento de Teoloyucan para poseer, generar o administrar la información requerida en la solicitud </w:t>
      </w:r>
      <w:r>
        <w:rPr>
          <w:rFonts w:ascii="Palatino Linotype" w:hAnsi="Palatino Linotype" w:cs="Arial"/>
          <w:b/>
        </w:rPr>
        <w:t>00424/TEOLOYU/IP/2021</w:t>
      </w:r>
      <w:r>
        <w:rPr>
          <w:rFonts w:ascii="Palatino Linotype" w:hAnsi="Palatino Linotype" w:cs="Arial"/>
        </w:rPr>
        <w:t>.</w:t>
      </w:r>
    </w:p>
    <w:p w14:paraId="3CDD0E7E" w14:textId="77777777" w:rsidR="00C967DD" w:rsidRPr="00C967DD" w:rsidRDefault="00C967DD" w:rsidP="00C967D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3AAE0C1F"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C967DD">
        <w:rPr>
          <w:rFonts w:ascii="Palatino Linotype" w:eastAsia="Times New Roman" w:hAnsi="Palatino Linotype" w:cs="Arial"/>
          <w:color w:val="000000" w:themeColor="text1"/>
          <w:lang w:val="es-ES"/>
        </w:rPr>
        <w:t>seis (06) de septiembre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C967DD">
        <w:rPr>
          <w:rFonts w:ascii="Palatino Linotype" w:eastAsia="Calibri" w:hAnsi="Palatino Linotype" w:cs="Arial"/>
          <w:b/>
          <w:color w:val="000000" w:themeColor="text1"/>
          <w:lang w:val="es-ES"/>
        </w:rPr>
        <w:t>04548/INFOEM/IP/RR/2021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5F26C3A" w:rsidR="00E34622" w:rsidRPr="00A85CB7" w:rsidRDefault="00E34622" w:rsidP="00011B1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011B17" w:rsidRPr="00011B17">
        <w:rPr>
          <w:rFonts w:ascii="Palatino Linotype" w:eastAsia="Times New Roman" w:hAnsi="Palatino Linotype" w:cs="Arial"/>
          <w:i/>
          <w:color w:val="000000" w:themeColor="text1"/>
          <w:lang w:val="es-ES"/>
        </w:rPr>
        <w:t>respuesta, le estoy haciendo una pregunta a la presidenta municipal y la persona incompetente la señora de transparencia brenda anaya me manda un acta de incompetencia, esto es dolo y no se si tenga encuenta la constitucion politica o no sepa de lo que le hablo, ya que a todas luces se ve su ignorancia de los temas de transparencia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3DB7D043" w:rsidR="00E34622" w:rsidRPr="00A85CB7"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011B17" w:rsidRPr="00011B17">
        <w:rPr>
          <w:rFonts w:ascii="Palatino Linotype" w:hAnsi="Palatino Linotype"/>
          <w:i/>
          <w:iCs/>
          <w:color w:val="000000"/>
        </w:rPr>
        <w:t>la presidenta municipal no da la informacion o la señora de transparencia brenda anaya no sabe del tema y me da una acta de incompetencia cuando mi solicitud es clara y presisa para la presidenta municipal de teoloyucvan</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DD25F33"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Comisionada </w:t>
      </w:r>
      <w:r w:rsidR="00D12402">
        <w:rPr>
          <w:rFonts w:ascii="Palatino Linotype" w:eastAsia="Times New Roman" w:hAnsi="Palatino Linotype" w:cs="Arial"/>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CBD89A4"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lastRenderedPageBreak/>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011B17">
        <w:rPr>
          <w:rFonts w:ascii="Palatino Linotype" w:eastAsia="Calibri" w:hAnsi="Palatino Linotype" w:cs="Arial"/>
          <w:color w:val="000000" w:themeColor="text1"/>
          <w:lang w:val="es-ES"/>
        </w:rPr>
        <w:t>ocho (08) de septiembre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4C0DA99F" w:rsidR="001E4152" w:rsidRPr="00894767"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011B17">
        <w:rPr>
          <w:rFonts w:ascii="Palatino Linotype" w:eastAsia="Calibri" w:hAnsi="Palatino Linotype" w:cs="Arial"/>
          <w:color w:val="000000" w:themeColor="text1"/>
          <w:lang w:val="es-ES"/>
        </w:rPr>
        <w:t>trece (13</w:t>
      </w:r>
      <w:r w:rsidR="005C450C">
        <w:rPr>
          <w:rFonts w:ascii="Palatino Linotype" w:eastAsia="Calibri" w:hAnsi="Palatino Linotype" w:cs="Arial"/>
          <w:color w:val="000000" w:themeColor="text1"/>
          <w:lang w:val="es-ES"/>
        </w:rPr>
        <w:t>) de septiembre</w:t>
      </w:r>
      <w:r w:rsidRPr="0096234B">
        <w:rPr>
          <w:rFonts w:ascii="Palatino Linotype" w:eastAsia="Calibri" w:hAnsi="Palatino Linotype" w:cs="Arial"/>
          <w:color w:val="000000" w:themeColor="text1"/>
          <w:lang w:val="es-ES"/>
        </w:rPr>
        <w:t xml:space="preserve"> de dos mil veintiuno, el </w:t>
      </w:r>
      <w:r w:rsidRPr="0096234B">
        <w:rPr>
          <w:rFonts w:ascii="Palatino Linotype" w:eastAsia="Calibri" w:hAnsi="Palatino Linotype" w:cs="Arial"/>
          <w:b/>
          <w:bCs/>
          <w:color w:val="000000" w:themeColor="text1"/>
          <w:lang w:val="es-ES"/>
        </w:rPr>
        <w:t>SUJETO OBLIGADO</w:t>
      </w:r>
      <w:r w:rsidRPr="0096234B">
        <w:rPr>
          <w:rFonts w:ascii="Palatino Linotype" w:eastAsia="Calibri" w:hAnsi="Palatino Linotype" w:cs="Arial"/>
          <w:color w:val="000000" w:themeColor="text1"/>
          <w:lang w:val="es-ES"/>
        </w:rPr>
        <w:t xml:space="preserve"> presentó su Informe Justificado mediante </w:t>
      </w:r>
      <w:r w:rsidR="00894767">
        <w:rPr>
          <w:rFonts w:ascii="Palatino Linotype" w:eastAsia="Calibri" w:hAnsi="Palatino Linotype" w:cs="Arial"/>
          <w:color w:val="000000" w:themeColor="text1"/>
          <w:lang w:val="es-ES"/>
        </w:rPr>
        <w:t>los</w:t>
      </w:r>
      <w:r w:rsidRPr="0096234B">
        <w:rPr>
          <w:rFonts w:ascii="Palatino Linotype" w:eastAsia="Calibri" w:hAnsi="Palatino Linotype" w:cs="Arial"/>
          <w:color w:val="000000" w:themeColor="text1"/>
          <w:lang w:val="es-ES"/>
        </w:rPr>
        <w:t xml:space="preserve"> archivo</w:t>
      </w:r>
      <w:r w:rsidR="00894767">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electrónic</w:t>
      </w:r>
      <w:r w:rsidR="00894767">
        <w:rPr>
          <w:rFonts w:ascii="Palatino Linotype" w:eastAsia="Calibri" w:hAnsi="Palatino Linotype" w:cs="Arial"/>
          <w:color w:val="000000" w:themeColor="text1"/>
          <w:lang w:val="es-ES"/>
        </w:rPr>
        <w:t>os</w:t>
      </w:r>
      <w:r w:rsidRPr="0096234B">
        <w:rPr>
          <w:rFonts w:ascii="Palatino Linotype" w:eastAsia="Calibri" w:hAnsi="Palatino Linotype" w:cs="Arial"/>
          <w:color w:val="000000" w:themeColor="text1"/>
          <w:lang w:val="es-ES"/>
        </w:rPr>
        <w:t xml:space="preserve"> descrito</w:t>
      </w:r>
      <w:r w:rsidR="00894767">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a continuación:</w:t>
      </w:r>
    </w:p>
    <w:p w14:paraId="2BB113A1" w14:textId="19530C0B" w:rsidR="00011B17" w:rsidRDefault="00011B17" w:rsidP="00011B17">
      <w:pPr>
        <w:pStyle w:val="Prrafodelista"/>
        <w:numPr>
          <w:ilvl w:val="1"/>
          <w:numId w:val="40"/>
        </w:numPr>
        <w:tabs>
          <w:tab w:val="left" w:pos="426"/>
        </w:tabs>
        <w:spacing w:line="360" w:lineRule="auto"/>
        <w:ind w:left="1134"/>
        <w:jc w:val="both"/>
        <w:rPr>
          <w:rFonts w:ascii="Palatino Linotype" w:hAnsi="Palatino Linotype"/>
          <w:color w:val="000000" w:themeColor="text1"/>
        </w:rPr>
      </w:pPr>
      <w:r>
        <w:rPr>
          <w:rFonts w:ascii="Palatino Linotype" w:hAnsi="Palatino Linotype"/>
          <w:b/>
          <w:i/>
          <w:color w:val="000000" w:themeColor="text1"/>
        </w:rPr>
        <w:t>“INFORME 424.pdf”</w:t>
      </w:r>
      <w:r>
        <w:rPr>
          <w:rFonts w:ascii="Palatino Linotype" w:hAnsi="Palatino Linotype"/>
          <w:color w:val="000000" w:themeColor="text1"/>
        </w:rPr>
        <w:t>: Documento de cuatro fojas</w:t>
      </w:r>
      <w:r w:rsidR="00F84865">
        <w:rPr>
          <w:rFonts w:ascii="Palatino Linotype" w:hAnsi="Palatino Linotype"/>
          <w:color w:val="000000" w:themeColor="text1"/>
        </w:rPr>
        <w:t xml:space="preserve"> consistente en el oficio PMT/UTAIP/918/2021, suscrito por la Encargada de Despacho de la Unidad de Transparencia del </w:t>
      </w:r>
      <w:r w:rsidR="00F84865">
        <w:rPr>
          <w:rFonts w:ascii="Palatino Linotype" w:hAnsi="Palatino Linotype"/>
          <w:b/>
          <w:color w:val="000000" w:themeColor="text1"/>
        </w:rPr>
        <w:t>SUJETO OBLIGADO</w:t>
      </w:r>
      <w:r w:rsidR="00F84865">
        <w:rPr>
          <w:rFonts w:ascii="Palatino Linotype" w:hAnsi="Palatino Linotype"/>
          <w:color w:val="000000" w:themeColor="text1"/>
        </w:rPr>
        <w:t>, por medio del cual, informa que el Comité de Transparencia declaró la incompetencia del ayuntamiento para poseer, generar o administrar la información solicitada, en su Sexagésima Sexta Sesión Ordinaria, y orienta al particular a dirigir su solicitud al Instituto Electoral del Estado de México.</w:t>
      </w:r>
    </w:p>
    <w:p w14:paraId="60D43B32" w14:textId="28577387" w:rsidR="00894767" w:rsidRPr="00894767" w:rsidRDefault="00894767" w:rsidP="00774AB3">
      <w:pPr>
        <w:pStyle w:val="Prrafodelista"/>
        <w:numPr>
          <w:ilvl w:val="1"/>
          <w:numId w:val="40"/>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011B17">
        <w:rPr>
          <w:rFonts w:ascii="Palatino Linotype" w:eastAsia="Calibri" w:hAnsi="Palatino Linotype" w:cs="Arial"/>
          <w:b/>
          <w:i/>
          <w:color w:val="000000" w:themeColor="text1"/>
          <w:lang w:val="es-ES"/>
        </w:rPr>
        <w:t>85 EXT</w:t>
      </w:r>
      <w:r w:rsidRPr="00894767">
        <w:rPr>
          <w:rFonts w:ascii="Palatino Linotype" w:eastAsia="Calibri" w:hAnsi="Palatino Linotype" w:cs="Arial"/>
          <w:b/>
          <w:i/>
          <w:color w:val="000000" w:themeColor="text1"/>
          <w:lang w:val="es-ES"/>
        </w:rPr>
        <w:t>.pdf</w:t>
      </w:r>
      <w:r>
        <w:rPr>
          <w:rFonts w:ascii="Palatino Linotype" w:eastAsia="Calibri" w:hAnsi="Palatino Linotype" w:cs="Arial"/>
          <w:b/>
          <w:i/>
          <w:color w:val="000000" w:themeColor="text1"/>
          <w:lang w:val="es-ES"/>
        </w:rPr>
        <w:t>”</w:t>
      </w:r>
      <w:r>
        <w:rPr>
          <w:rFonts w:ascii="Palatino Linotype" w:eastAsia="Calibri" w:hAnsi="Palatino Linotype" w:cs="Arial"/>
          <w:color w:val="000000" w:themeColor="text1"/>
          <w:lang w:val="es-ES"/>
        </w:rPr>
        <w:t xml:space="preserve">: Documento </w:t>
      </w:r>
      <w:r w:rsidR="00E56DBA">
        <w:rPr>
          <w:rFonts w:ascii="Palatino Linotype" w:eastAsia="Calibri" w:hAnsi="Palatino Linotype" w:cs="Arial"/>
          <w:color w:val="000000" w:themeColor="text1"/>
          <w:lang w:val="es-ES"/>
        </w:rPr>
        <w:t xml:space="preserve">de </w:t>
      </w:r>
      <w:r w:rsidR="00F84865">
        <w:rPr>
          <w:rFonts w:ascii="Palatino Linotype" w:eastAsia="Calibri" w:hAnsi="Palatino Linotype" w:cs="Arial"/>
          <w:color w:val="000000" w:themeColor="text1"/>
          <w:lang w:val="es-ES"/>
        </w:rPr>
        <w:t xml:space="preserve">cuatro fojas consistente en el Acta de la Octogésima Quinta Sesión Extraordinaria de Cabildo del </w:t>
      </w:r>
      <w:r w:rsidR="00F84865">
        <w:rPr>
          <w:rFonts w:ascii="Palatino Linotype" w:eastAsia="Calibri" w:hAnsi="Palatino Linotype" w:cs="Arial"/>
          <w:b/>
          <w:color w:val="000000" w:themeColor="text1"/>
          <w:lang w:val="es-ES"/>
        </w:rPr>
        <w:t>SUJETO OBLIGADO</w:t>
      </w:r>
      <w:r w:rsidR="00F84865">
        <w:rPr>
          <w:rFonts w:ascii="Palatino Linotype" w:eastAsia="Calibri" w:hAnsi="Palatino Linotype" w:cs="Arial"/>
          <w:color w:val="000000" w:themeColor="text1"/>
          <w:lang w:val="es-ES"/>
        </w:rPr>
        <w:t xml:space="preserve">, celebrada el diecinueve (19) de abril de dos mil veintiuno, </w:t>
      </w:r>
      <w:r w:rsidR="00F84865">
        <w:rPr>
          <w:rFonts w:ascii="Palatino Linotype" w:eastAsia="Calibri" w:hAnsi="Palatino Linotype" w:cs="Arial"/>
          <w:color w:val="000000" w:themeColor="text1"/>
          <w:lang w:val="es-ES"/>
        </w:rPr>
        <w:lastRenderedPageBreak/>
        <w:t>dentro de la cual, como punto quinto de su Orden del Día, se aprobaron las licencias temporales de diversos servidores públicos.</w:t>
      </w:r>
    </w:p>
    <w:p w14:paraId="523FC70D" w14:textId="77777777" w:rsidR="001E4152" w:rsidRPr="003D792A" w:rsidRDefault="001E4152" w:rsidP="003D792A">
      <w:pPr>
        <w:pStyle w:val="Prrafodelista"/>
        <w:tabs>
          <w:tab w:val="left" w:pos="426"/>
        </w:tabs>
        <w:spacing w:line="360" w:lineRule="auto"/>
        <w:ind w:left="0"/>
        <w:jc w:val="both"/>
        <w:rPr>
          <w:rFonts w:ascii="Palatino Linotype" w:hAnsi="Palatino Linotype"/>
          <w:color w:val="000000" w:themeColor="text1"/>
        </w:rPr>
      </w:pPr>
    </w:p>
    <w:p w14:paraId="23BE587A" w14:textId="3DF7C388" w:rsidR="0096234B" w:rsidRDefault="0096234B"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Del </w:t>
      </w:r>
      <w:r w:rsidRPr="0096234B">
        <w:rPr>
          <w:rFonts w:ascii="Palatino Linotype" w:hAnsi="Palatino Linotype"/>
          <w:color w:val="000000" w:themeColor="text1"/>
          <w:lang w:val="es-ES"/>
        </w:rPr>
        <w:t xml:space="preserve">análisis </w:t>
      </w:r>
      <w:r w:rsidRPr="0096234B">
        <w:rPr>
          <w:rFonts w:ascii="Palatino Linotype" w:hAnsi="Palatino Linotype"/>
          <w:color w:val="000000" w:themeColor="text1"/>
        </w:rPr>
        <w:t>realizado a</w:t>
      </w:r>
      <w:r w:rsidR="00774AB3">
        <w:rPr>
          <w:rFonts w:ascii="Palatino Linotype" w:hAnsi="Palatino Linotype"/>
          <w:color w:val="000000" w:themeColor="text1"/>
        </w:rPr>
        <w:t xml:space="preserve"> </w:t>
      </w:r>
      <w:r w:rsidRPr="0096234B">
        <w:rPr>
          <w:rFonts w:ascii="Palatino Linotype" w:hAnsi="Palatino Linotype"/>
          <w:color w:val="000000" w:themeColor="text1"/>
        </w:rPr>
        <w:t>l</w:t>
      </w:r>
      <w:r w:rsidR="00774AB3">
        <w:rPr>
          <w:rFonts w:ascii="Palatino Linotype" w:hAnsi="Palatino Linotype"/>
          <w:color w:val="000000" w:themeColor="text1"/>
        </w:rPr>
        <w:t>os</w:t>
      </w:r>
      <w:r w:rsidRPr="0096234B">
        <w:rPr>
          <w:rFonts w:ascii="Palatino Linotype" w:hAnsi="Palatino Linotype"/>
          <w:color w:val="000000" w:themeColor="text1"/>
        </w:rPr>
        <w:t xml:space="preserve"> archivo</w:t>
      </w:r>
      <w:r w:rsidR="00774AB3">
        <w:rPr>
          <w:rFonts w:ascii="Palatino Linotype" w:hAnsi="Palatino Linotype"/>
          <w:color w:val="000000" w:themeColor="text1"/>
        </w:rPr>
        <w:t>s</w:t>
      </w:r>
      <w:r w:rsidRPr="0096234B">
        <w:rPr>
          <w:rFonts w:ascii="Palatino Linotype" w:hAnsi="Palatino Linotype"/>
          <w:color w:val="000000" w:themeColor="text1"/>
        </w:rPr>
        <w:t xml:space="preserve"> remitido</w:t>
      </w:r>
      <w:r w:rsidR="00774AB3">
        <w:rPr>
          <w:rFonts w:ascii="Palatino Linotype" w:hAnsi="Palatino Linotype"/>
          <w:color w:val="000000" w:themeColor="text1"/>
        </w:rPr>
        <w:t>s</w:t>
      </w:r>
      <w:r w:rsidRPr="0096234B">
        <w:rPr>
          <w:rFonts w:ascii="Palatino Linotype" w:hAnsi="Palatino Linotype"/>
          <w:color w:val="000000" w:themeColor="text1"/>
        </w:rPr>
        <w:t xml:space="preserve"> por el </w:t>
      </w:r>
      <w:r w:rsidRPr="0096234B">
        <w:rPr>
          <w:rFonts w:ascii="Palatino Linotype" w:hAnsi="Palatino Linotype"/>
          <w:b/>
          <w:bCs/>
          <w:color w:val="000000" w:themeColor="text1"/>
        </w:rPr>
        <w:t>SUJETO OBLIGADO</w:t>
      </w:r>
      <w:r w:rsidRPr="0096234B">
        <w:rPr>
          <w:rFonts w:ascii="Palatino Linotype" w:hAnsi="Palatino Linotype"/>
          <w:color w:val="000000" w:themeColor="text1"/>
        </w:rPr>
        <w:t xml:space="preserve"> en el apartado de </w:t>
      </w:r>
      <w:r w:rsidRPr="0096234B">
        <w:rPr>
          <w:rFonts w:ascii="Palatino Linotype" w:hAnsi="Palatino Linotype"/>
          <w:i/>
          <w:iCs/>
          <w:color w:val="000000" w:themeColor="text1"/>
        </w:rPr>
        <w:t>Manifestaciones</w:t>
      </w:r>
      <w:r w:rsidRPr="0096234B">
        <w:rPr>
          <w:rFonts w:ascii="Palatino Linotype" w:hAnsi="Palatino Linotype"/>
          <w:color w:val="000000" w:themeColor="text1"/>
        </w:rPr>
        <w:t xml:space="preserve"> del </w:t>
      </w:r>
      <w:r w:rsidRPr="0096234B">
        <w:rPr>
          <w:rFonts w:ascii="Palatino Linotype" w:hAnsi="Palatino Linotype"/>
          <w:b/>
          <w:bCs/>
          <w:color w:val="000000" w:themeColor="text1"/>
        </w:rPr>
        <w:t>SAIMEX</w:t>
      </w:r>
      <w:r w:rsidRPr="0096234B">
        <w:rPr>
          <w:rFonts w:ascii="Palatino Linotype" w:hAnsi="Palatino Linotype"/>
          <w:color w:val="000000" w:themeColor="text1"/>
        </w:rPr>
        <w:t>, la Ponen</w:t>
      </w:r>
      <w:r w:rsidR="00774AB3">
        <w:rPr>
          <w:rFonts w:ascii="Palatino Linotype" w:hAnsi="Palatino Linotype"/>
          <w:color w:val="000000" w:themeColor="text1"/>
        </w:rPr>
        <w:t>cia Resolutora concluyó que éstos</w:t>
      </w:r>
      <w:r w:rsidRPr="0096234B">
        <w:rPr>
          <w:rFonts w:ascii="Palatino Linotype" w:hAnsi="Palatino Linotype"/>
          <w:color w:val="000000" w:themeColor="text1"/>
        </w:rPr>
        <w:t xml:space="preserve"> contenía</w:t>
      </w:r>
      <w:r w:rsidR="00774AB3">
        <w:rPr>
          <w:rFonts w:ascii="Palatino Linotype" w:hAnsi="Palatino Linotype"/>
          <w:color w:val="000000" w:themeColor="text1"/>
        </w:rPr>
        <w:t>n</w:t>
      </w:r>
      <w:r w:rsidRPr="0096234B">
        <w:rPr>
          <w:rFonts w:ascii="Palatino Linotype" w:hAnsi="Palatino Linotype"/>
          <w:color w:val="000000" w:themeColor="text1"/>
        </w:rPr>
        <w:t xml:space="preserve"> información </w:t>
      </w:r>
      <w:r w:rsidRPr="00F84865">
        <w:rPr>
          <w:rFonts w:ascii="Palatino Linotype" w:hAnsi="Palatino Linotype"/>
          <w:color w:val="000000" w:themeColor="text1"/>
        </w:rPr>
        <w:t xml:space="preserve">novedosa y de probable interés para el </w:t>
      </w:r>
      <w:r w:rsidRPr="00F84865">
        <w:rPr>
          <w:rFonts w:ascii="Palatino Linotype" w:hAnsi="Palatino Linotype"/>
          <w:b/>
          <w:bCs/>
          <w:color w:val="000000" w:themeColor="text1"/>
        </w:rPr>
        <w:t>RECURRENTE</w:t>
      </w:r>
      <w:r w:rsidRPr="00F84865">
        <w:rPr>
          <w:rFonts w:ascii="Palatino Linotype" w:hAnsi="Palatino Linotype"/>
          <w:color w:val="000000" w:themeColor="text1"/>
        </w:rPr>
        <w:t>, por lo que fue</w:t>
      </w:r>
      <w:r w:rsidR="00774AB3" w:rsidRPr="00F84865">
        <w:rPr>
          <w:rFonts w:ascii="Palatino Linotype" w:hAnsi="Palatino Linotype"/>
          <w:color w:val="000000" w:themeColor="text1"/>
        </w:rPr>
        <w:t>ron</w:t>
      </w:r>
      <w:r w:rsidRPr="00F84865">
        <w:rPr>
          <w:rFonts w:ascii="Palatino Linotype" w:hAnsi="Palatino Linotype"/>
          <w:color w:val="000000" w:themeColor="text1"/>
        </w:rPr>
        <w:t xml:space="preserve"> puesto</w:t>
      </w:r>
      <w:r w:rsidR="00774AB3" w:rsidRPr="00F84865">
        <w:rPr>
          <w:rFonts w:ascii="Palatino Linotype" w:hAnsi="Palatino Linotype"/>
          <w:color w:val="000000" w:themeColor="text1"/>
        </w:rPr>
        <w:t>s</w:t>
      </w:r>
      <w:r w:rsidRPr="00F84865">
        <w:rPr>
          <w:rFonts w:ascii="Palatino Linotype" w:hAnsi="Palatino Linotype"/>
          <w:color w:val="000000" w:themeColor="text1"/>
        </w:rPr>
        <w:t xml:space="preserve"> a la vista del particular el </w:t>
      </w:r>
      <w:r w:rsidR="00F84865">
        <w:rPr>
          <w:rFonts w:ascii="Palatino Linotype" w:hAnsi="Palatino Linotype"/>
          <w:color w:val="000000" w:themeColor="text1"/>
        </w:rPr>
        <w:t>doce (12) de octubre</w:t>
      </w:r>
      <w:r w:rsidRPr="00F84865">
        <w:rPr>
          <w:rFonts w:ascii="Palatino Linotype" w:hAnsi="Palatino Linotype"/>
          <w:color w:val="000000" w:themeColor="text1"/>
        </w:rPr>
        <w:t xml:space="preserve"> de dos mil veintiuno, concediéndole un plazo de tres</w:t>
      </w:r>
      <w:r w:rsidRPr="0096234B">
        <w:rPr>
          <w:rFonts w:ascii="Palatino Linotype" w:hAnsi="Palatino Linotype"/>
          <w:color w:val="000000" w:themeColor="text1"/>
        </w:rPr>
        <w:t xml:space="preserve"> (03) días para que manifestara lo que a su derecho conviniera, de conformidad con el artículo 185, fracción III, de la Ley de Transparencia y Acceso a la Información Pública del Estado de México y Municipios</w:t>
      </w:r>
      <w:r w:rsidR="00774AB3">
        <w:rPr>
          <w:rFonts w:ascii="Palatino Linotype" w:hAnsi="Palatino Linotype"/>
          <w:color w:val="000000" w:themeColor="text1"/>
        </w:rPr>
        <w:t xml:space="preserve">; no obstante, </w:t>
      </w:r>
      <w:r w:rsidR="00F84865">
        <w:rPr>
          <w:rFonts w:ascii="Palatino Linotype" w:hAnsi="Palatino Linotype"/>
          <w:color w:val="000000" w:themeColor="text1"/>
        </w:rPr>
        <w:t xml:space="preserve">se hace constar que </w:t>
      </w:r>
      <w:r w:rsidR="00774AB3">
        <w:rPr>
          <w:rFonts w:ascii="Palatino Linotype" w:hAnsi="Palatino Linotype"/>
          <w:color w:val="000000" w:themeColor="text1"/>
        </w:rPr>
        <w:t>el particular no ejerció su derecho de réplica sobre los nuevos contenidos.</w:t>
      </w:r>
    </w:p>
    <w:p w14:paraId="4CFAEB9B" w14:textId="77777777" w:rsidR="005C450C"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3001AA57" w14:textId="29A3FFA5" w:rsidR="008965EF" w:rsidRPr="00F84865"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F84865">
        <w:rPr>
          <w:rFonts w:ascii="Palatino Linotype" w:eastAsia="Calibri" w:hAnsi="Palatino Linotype" w:cs="Arial"/>
          <w:color w:val="000000" w:themeColor="text1"/>
          <w:lang w:val="es-ES"/>
        </w:rPr>
        <w:t>El</w:t>
      </w:r>
      <w:bookmarkStart w:id="4" w:name="_Toc461555889"/>
      <w:bookmarkStart w:id="5" w:name="_Toc466371858"/>
      <w:r w:rsidR="00B855AA" w:rsidRPr="00F84865">
        <w:rPr>
          <w:rFonts w:ascii="Palatino Linotype" w:eastAsia="Calibri" w:hAnsi="Palatino Linotype" w:cs="Arial"/>
          <w:color w:val="000000" w:themeColor="text1"/>
          <w:lang w:val="es-ES"/>
        </w:rPr>
        <w:t xml:space="preserve"> </w:t>
      </w:r>
      <w:r w:rsidR="00F84865" w:rsidRPr="00F84865">
        <w:rPr>
          <w:rFonts w:ascii="Palatino Linotype" w:eastAsia="Calibri" w:hAnsi="Palatino Linotype" w:cs="Arial"/>
          <w:color w:val="000000" w:themeColor="text1"/>
          <w:lang w:val="es-ES"/>
        </w:rPr>
        <w:t>tres (03) de noviembre</w:t>
      </w:r>
      <w:r w:rsidR="009917E9" w:rsidRPr="00F84865">
        <w:rPr>
          <w:rFonts w:ascii="Palatino Linotype" w:eastAsia="Calibri" w:hAnsi="Palatino Linotype" w:cs="Arial"/>
          <w:color w:val="000000" w:themeColor="text1"/>
          <w:lang w:val="es-ES"/>
        </w:rPr>
        <w:t xml:space="preserve"> de dos mil veintiuno</w:t>
      </w:r>
      <w:r w:rsidR="00AD6AC5" w:rsidRPr="00F84865">
        <w:rPr>
          <w:rFonts w:ascii="Palatino Linotype" w:hAnsi="Palatino Linotype" w:cs="Arial"/>
          <w:color w:val="000000" w:themeColor="text1"/>
        </w:rPr>
        <w:t xml:space="preserve">, </w:t>
      </w:r>
      <w:r w:rsidR="0096234B" w:rsidRPr="00F84865">
        <w:rPr>
          <w:rFonts w:ascii="Palatino Linotype" w:hAnsi="Palatino Linotype" w:cs="Arial"/>
          <w:color w:val="000000" w:themeColor="text1"/>
        </w:rPr>
        <w:t xml:space="preserve">la </w:t>
      </w:r>
      <w:r w:rsidR="00AD6AC5" w:rsidRPr="00F84865">
        <w:rPr>
          <w:rFonts w:ascii="Palatino Linotype" w:hAnsi="Palatino Linotype" w:cs="Arial"/>
          <w:color w:val="000000" w:themeColor="text1"/>
        </w:rPr>
        <w:t>Comisionad</w:t>
      </w:r>
      <w:r w:rsidR="0096234B" w:rsidRPr="00F84865">
        <w:rPr>
          <w:rFonts w:ascii="Palatino Linotype" w:hAnsi="Palatino Linotype" w:cs="Arial"/>
          <w:color w:val="000000" w:themeColor="text1"/>
        </w:rPr>
        <w:t>a</w:t>
      </w:r>
      <w:r w:rsidR="00AD6AC5" w:rsidRPr="00F84865">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84865" w:rsidRPr="00F84865">
        <w:rPr>
          <w:rFonts w:ascii="Palatino Linotype" w:hAnsi="Palatino Linotype" w:cs="Arial"/>
          <w:color w:val="000000" w:themeColor="text1"/>
        </w:rPr>
        <w:t xml:space="preserve">; y, en misma fecha, </w:t>
      </w:r>
      <w:r w:rsidR="003522BF" w:rsidRPr="00F8486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F84865">
        <w:rPr>
          <w:rFonts w:ascii="Palatino Linotype" w:hAnsi="Palatino Linotype" w:cs="Arial"/>
          <w:bCs/>
          <w:color w:val="000000" w:themeColor="text1"/>
          <w:lang w:val="es-ES"/>
        </w:rPr>
        <w:t xml:space="preserve"> </w:t>
      </w:r>
      <w:r w:rsidR="003522BF" w:rsidRPr="00F84865">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139313B8" w14:textId="164343CD" w:rsidR="00F84865" w:rsidRDefault="00F84865" w:rsidP="00F84865">
      <w:pPr>
        <w:pStyle w:val="Prrafodelista"/>
        <w:tabs>
          <w:tab w:val="left" w:pos="426"/>
        </w:tabs>
        <w:spacing w:line="360" w:lineRule="auto"/>
        <w:ind w:left="0"/>
        <w:jc w:val="both"/>
        <w:rPr>
          <w:rFonts w:ascii="Palatino Linotype" w:hAnsi="Palatino Linotype" w:cs="Arial"/>
          <w:color w:val="000000" w:themeColor="text1"/>
          <w:lang w:val="es-ES"/>
        </w:rPr>
      </w:pPr>
      <w:r>
        <w:rPr>
          <w:rFonts w:ascii="Palatino Linotype" w:hAnsi="Palatino Linotype" w:cs="Arial"/>
          <w:noProof/>
          <w:color w:val="000000" w:themeColor="text1"/>
          <w:lang w:eastAsia="es-MX"/>
        </w:rPr>
        <mc:AlternateContent>
          <mc:Choice Requires="wps">
            <w:drawing>
              <wp:anchor distT="0" distB="0" distL="114300" distR="114300" simplePos="0" relativeHeight="251659264" behindDoc="0" locked="0" layoutInCell="1" allowOverlap="1" wp14:anchorId="2D8CDED3" wp14:editId="152978D6">
                <wp:simplePos x="0" y="0"/>
                <wp:positionH relativeFrom="margin">
                  <wp:align>right</wp:align>
                </wp:positionH>
                <wp:positionV relativeFrom="paragraph">
                  <wp:posOffset>50026</wp:posOffset>
                </wp:positionV>
                <wp:extent cx="5510254" cy="1279635"/>
                <wp:effectExtent l="38100" t="38100" r="71755" b="92075"/>
                <wp:wrapNone/>
                <wp:docPr id="3" name="Conector recto 3"/>
                <wp:cNvGraphicFramePr/>
                <a:graphic xmlns:a="http://schemas.openxmlformats.org/drawingml/2006/main">
                  <a:graphicData uri="http://schemas.microsoft.com/office/word/2010/wordprocessingShape">
                    <wps:wsp>
                      <wps:cNvCnPr/>
                      <wps:spPr>
                        <a:xfrm flipV="1">
                          <a:off x="0" y="0"/>
                          <a:ext cx="5510254" cy="127963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77D2A"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pt,3.95pt" to="816.6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1OygEAANQDAAAOAAAAZHJzL2Uyb0RvYy54bWysU8mO1DAQvSPxD5bvtJM0PUDU6Tn0CC4I&#10;Wmx3j2N3LLypbDrpv6fsZMKI7YC4OF5evar3qrK/nawhFwlRe9fRelNRIp3wvXbnjn7+9PrZS0pi&#10;4q7nxjvZ0auM9Pbw9Ml+DK1s/OBNL4EgiYvtGDo6pBRaxqIYpOVx44N0+Kg8WJ7wCGfWAx+R3RrW&#10;VNUNGz30AbyQMeLt3fxID4VfKSnSe6WiTMR0FGtLZYWy3ueVHfa8PQMPgxZLGfwfqrBcO0y6Ut3x&#10;xMk30L9QWS3AR6/SRnjLvFJayKIB1dTVT2o+DjzIogXNiWG1Kf4/WvHucgKi+45uKXHcYouO2CiR&#10;PBDIH7LNHo0htgg9uhMspxhOkAVPCixRRocv2P5iAYoiU3H4ujosp0QEXu52ddXsnlMi8K1uXry6&#10;2e4yP5uJMmGAmN5Ib0nedNRoly3gLb+8jWmGPkDytXFkLFRVaSbLlc61lV26GjnDPkiFOrGGptCV&#10;CZNHA+TCcTb6r/VSh3GIzCFKG7MGVX8PWrA5TJapWwNnT/6YbUWXjN6lNdBq5+F3WdP0UKqa8Wjf&#10;I615e+/7a+lUecDRKQ4vY55n8/G5hP/4GQ/fAQAA//8DAFBLAwQUAAYACAAAACEAI0h8B9sAAAAG&#10;AQAADwAAAGRycy9kb3ducmV2LnhtbEyPwU7DMBBE70j8g7VI3KhNhZo0xKkqBEeEaEvPTrwkaeN1&#10;FDtN+vcsJziOZnb2Tb6ZXScuOITWk4bHhQKBVHnbUq3hsH97SEGEaMiazhNquGKATXF7k5vM+ok+&#10;8bKLteASCpnR0MTYZ1KGqkFnwsL3SOx9+8GZyHKopR3MxOWuk0ulVtKZlvhDY3p8abA670bHGOqU&#10;vvtjud9eD8fxQyX0On2R1vd38/YZRMQ5/oXhF59voGCm0o9kg+g08JCoIVmDYDNdJbyj1LBU6yeQ&#10;RS7/4xc/AAAA//8DAFBLAQItABQABgAIAAAAIQC2gziS/gAAAOEBAAATAAAAAAAAAAAAAAAAAAAA&#10;AABbQ29udGVudF9UeXBlc10ueG1sUEsBAi0AFAAGAAgAAAAhADj9If/WAAAAlAEAAAsAAAAAAAAA&#10;AAAAAAAALwEAAF9yZWxzLy5yZWxzUEsBAi0AFAAGAAgAAAAhAPeQnU7KAQAA1AMAAA4AAAAAAAAA&#10;AAAAAAAALgIAAGRycy9lMm9Eb2MueG1sUEsBAi0AFAAGAAgAAAAhACNIfAfbAAAABgEAAA8AAAAA&#10;AAAAAAAAAAAAJAQAAGRycy9kb3ducmV2LnhtbFBLBQYAAAAABAAEAPMAAAAsBQAAAAA=&#10;" strokecolor="black [3200]" strokeweight="1pt">
                <v:shadow on="t" color="black" opacity="24903f" origin=",.5" offset="0,.55556mm"/>
                <w10:wrap anchorx="margin"/>
              </v:line>
            </w:pict>
          </mc:Fallback>
        </mc:AlternateContent>
      </w:r>
    </w:p>
    <w:p w14:paraId="41DE3BF2" w14:textId="77777777" w:rsidR="00F84865" w:rsidRPr="00F84865" w:rsidRDefault="00F84865" w:rsidP="00F84865">
      <w:pPr>
        <w:pStyle w:val="Prrafodelista"/>
        <w:tabs>
          <w:tab w:val="left" w:pos="426"/>
        </w:tabs>
        <w:spacing w:line="360" w:lineRule="auto"/>
        <w:ind w:left="0"/>
        <w:jc w:val="both"/>
        <w:rPr>
          <w:rFonts w:ascii="Palatino Linotype" w:hAnsi="Palatino Linotype"/>
          <w:color w:val="000000" w:themeColor="text1"/>
        </w:rPr>
      </w:pP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6" w:name="_Toc87456485"/>
      <w:r w:rsidRPr="00A85CB7">
        <w:rPr>
          <w:b/>
          <w:color w:val="000000" w:themeColor="text1"/>
        </w:rPr>
        <w:lastRenderedPageBreak/>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30D641C" w14:textId="77777777" w:rsidR="00F84865" w:rsidRPr="00751061" w:rsidRDefault="00F84865"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63E5A495" w14:textId="34E45FB1"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F84865">
        <w:rPr>
          <w:rFonts w:ascii="Palatino Linotype" w:eastAsia="Calibri" w:hAnsi="Palatino Linotype" w:cs="Arial"/>
          <w:color w:val="000000" w:themeColor="text1"/>
        </w:rPr>
        <w:t>veinte (20) de agosto</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6E65C0">
        <w:rPr>
          <w:rFonts w:ascii="Palatino Linotype" w:eastAsia="Calibri" w:hAnsi="Palatino Linotype" w:cs="Arial"/>
          <w:color w:val="000000" w:themeColor="text1"/>
        </w:rPr>
        <w:t>veintitrés (23</w:t>
      </w:r>
      <w:r w:rsidR="00774AB3">
        <w:rPr>
          <w:rFonts w:ascii="Palatino Linotype" w:eastAsia="Calibri" w:hAnsi="Palatino Linotype" w:cs="Arial"/>
          <w:color w:val="000000" w:themeColor="text1"/>
        </w:rPr>
        <w:t xml:space="preserve">) de agosto al </w:t>
      </w:r>
      <w:r w:rsidR="006E65C0">
        <w:rPr>
          <w:rFonts w:ascii="Palatino Linotype" w:eastAsia="Calibri" w:hAnsi="Palatino Linotype" w:cs="Arial"/>
          <w:color w:val="000000" w:themeColor="text1"/>
        </w:rPr>
        <w:t>diez (10</w:t>
      </w:r>
      <w:r w:rsidR="00774AB3">
        <w:rPr>
          <w:rFonts w:ascii="Palatino Linotype" w:eastAsia="Calibri" w:hAnsi="Palatino Linotype" w:cs="Arial"/>
          <w:color w:val="000000" w:themeColor="text1"/>
        </w:rPr>
        <w:t>) de septiembre</w:t>
      </w:r>
      <w:r w:rsidR="00740BA4">
        <w:rPr>
          <w:rFonts w:ascii="Palatino Linotype" w:eastAsia="Calibri" w:hAnsi="Palatino Linotype" w:cs="Arial"/>
          <w:color w:val="000000" w:themeColor="text1"/>
        </w:rPr>
        <w:t xml:space="preserve"> de dos mil veintiuno</w:t>
      </w:r>
      <w:r w:rsidR="00740BA4" w:rsidRPr="00740BA4">
        <w:rPr>
          <w:rFonts w:ascii="Palatino Linotype" w:eastAsia="Calibri" w:hAnsi="Palatino Linotype" w:cs="Arial"/>
          <w:color w:val="000000" w:themeColor="text1"/>
        </w:rPr>
        <w:t xml:space="preserve">, sin contemplar en el cómputo los días </w:t>
      </w:r>
      <w:r w:rsidR="00774AB3">
        <w:rPr>
          <w:rFonts w:ascii="Palatino Linotype" w:eastAsia="Calibri" w:hAnsi="Palatino Linotype" w:cs="Arial"/>
          <w:color w:val="000000" w:themeColor="text1"/>
        </w:rPr>
        <w:t>veintiuno (21),</w:t>
      </w:r>
      <w:r w:rsidR="008570EB">
        <w:rPr>
          <w:rFonts w:ascii="Palatino Linotype" w:eastAsia="Calibri" w:hAnsi="Palatino Linotype" w:cs="Arial"/>
          <w:color w:val="000000" w:themeColor="text1"/>
        </w:rPr>
        <w:t xml:space="preserve"> veintidós (22)</w:t>
      </w:r>
      <w:r w:rsidR="00774AB3">
        <w:rPr>
          <w:rFonts w:ascii="Palatino Linotype" w:eastAsia="Calibri" w:hAnsi="Palatino Linotype" w:cs="Arial"/>
          <w:color w:val="000000" w:themeColor="text1"/>
        </w:rPr>
        <w:t>, veintiocho (28) y veintinueve (29) de agosto</w:t>
      </w:r>
      <w:r w:rsidR="006E65C0">
        <w:rPr>
          <w:rFonts w:ascii="Palatino Linotype" w:eastAsia="Calibri" w:hAnsi="Palatino Linotype" w:cs="Arial"/>
          <w:color w:val="000000" w:themeColor="text1"/>
        </w:rPr>
        <w:t xml:space="preserve">, así como el cuatro (04) y cinco (05) </w:t>
      </w:r>
      <w:r w:rsidR="006E65C0">
        <w:rPr>
          <w:rFonts w:ascii="Palatino Linotype" w:eastAsia="Calibri" w:hAnsi="Palatino Linotype" w:cs="Arial"/>
          <w:color w:val="000000" w:themeColor="text1"/>
        </w:rPr>
        <w:lastRenderedPageBreak/>
        <w:t>de septiembre</w:t>
      </w:r>
      <w:r w:rsidR="008570EB">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por corresponder a sábados</w:t>
      </w:r>
      <w:r w:rsidR="0008465D">
        <w:rPr>
          <w:rFonts w:ascii="Palatino Linotype" w:eastAsia="Calibri" w:hAnsi="Palatino Linotype" w:cs="Arial"/>
          <w:color w:val="000000" w:themeColor="text1"/>
        </w:rPr>
        <w:t xml:space="preserve"> y</w:t>
      </w:r>
      <w:r w:rsidR="00740BA4" w:rsidRPr="00740BA4">
        <w:rPr>
          <w:rFonts w:ascii="Palatino Linotype" w:eastAsia="Calibri" w:hAnsi="Palatino Linotype" w:cs="Arial"/>
          <w:color w:val="000000" w:themeColor="text1"/>
        </w:rPr>
        <w:t xml:space="preserve"> domingos en términos del artículo 3 fracción X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5019CB75" w:rsidR="00740BA4" w:rsidRPr="00774AB3"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6E65C0">
        <w:rPr>
          <w:rFonts w:ascii="Palatino Linotype" w:hAnsi="Palatino Linotype"/>
          <w:color w:val="000000" w:themeColor="text1"/>
        </w:rPr>
        <w:t xml:space="preserve">seis (06) de septiembre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B2F168" w14:textId="1CA3BBBF"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6B31E7">
        <w:rPr>
          <w:rFonts w:ascii="Palatino Linotype" w:hAnsi="Palatino Linotype" w:cs="Arial"/>
          <w:color w:val="000000" w:themeColor="text1"/>
          <w:lang w:val="es-ES"/>
        </w:rPr>
        <w:t xml:space="preserve">otro lado, de la revisión al expediente electrónico contenido en el sistema </w:t>
      </w:r>
      <w:r w:rsidRPr="006B31E7">
        <w:rPr>
          <w:rFonts w:ascii="Palatino Linotype" w:hAnsi="Palatino Linotype" w:cs="Arial"/>
          <w:b/>
          <w:color w:val="000000" w:themeColor="text1"/>
          <w:lang w:val="es-ES"/>
        </w:rPr>
        <w:t>SAIMEX,</w:t>
      </w:r>
      <w:r w:rsidRPr="006B31E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6B31E7">
        <w:rPr>
          <w:rFonts w:ascii="Palatino Linotype" w:hAnsi="Palatino Linotype" w:cs="Arial"/>
          <w:b/>
          <w:color w:val="000000" w:themeColor="text1"/>
          <w:lang w:val="es-ES"/>
        </w:rPr>
        <w:t>no señaló ningún nombre, seudónimo o carácter para ser identificado</w:t>
      </w:r>
      <w:r w:rsidRPr="006B31E7">
        <w:rPr>
          <w:rFonts w:ascii="Palatino Linotype" w:hAnsi="Palatino Linotype" w:cs="Arial"/>
          <w:color w:val="000000" w:themeColor="text1"/>
          <w:lang w:val="es-ES"/>
        </w:rPr>
        <w:t xml:space="preserve">; sin embargo, es importante señalar que </w:t>
      </w:r>
      <w:r w:rsidRPr="006B31E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54381B4"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2741" w14:textId="51A5ADFE"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6B31E7">
        <w:rPr>
          <w:rFonts w:ascii="Palatino Linotype" w:hAnsi="Palatino Linotype" w:cs="Arial"/>
          <w:color w:val="000000" w:themeColor="text1"/>
          <w:lang w:val="es-ES"/>
        </w:rPr>
        <w:t xml:space="preserve">es así, ya que de conformidad con los artículos 6, apartado A, fracciones III y IV de la </w:t>
      </w:r>
      <w:r w:rsidRPr="006B31E7">
        <w:rPr>
          <w:rFonts w:ascii="Palatino Linotype" w:hAnsi="Palatino Linotype" w:cs="Arial"/>
          <w:b/>
          <w:color w:val="000000" w:themeColor="text1"/>
          <w:lang w:val="es-ES"/>
        </w:rPr>
        <w:t>Constitución Política de los Estados Unidos Mexicanos</w:t>
      </w:r>
      <w:r w:rsidRPr="006B31E7">
        <w:rPr>
          <w:rFonts w:ascii="Palatino Linotype" w:hAnsi="Palatino Linotype" w:cs="Arial"/>
          <w:color w:val="000000" w:themeColor="text1"/>
          <w:lang w:val="es-ES"/>
        </w:rPr>
        <w:t xml:space="preserve">; 5, párrafos vigésimo segundo, vigésimo tercero y vigésimo cuarto, fracciones III, IV y V, de la </w:t>
      </w:r>
      <w:r w:rsidRPr="006B31E7">
        <w:rPr>
          <w:rFonts w:ascii="Palatino Linotype" w:hAnsi="Palatino Linotype" w:cs="Arial"/>
          <w:b/>
          <w:color w:val="000000" w:themeColor="text1"/>
          <w:lang w:val="es-ES"/>
        </w:rPr>
        <w:t>Constitución Política del Estado Libre y Soberano de México</w:t>
      </w:r>
      <w:r w:rsidRPr="006B31E7">
        <w:rPr>
          <w:rFonts w:ascii="Palatino Linotype" w:hAnsi="Palatino Linotype" w:cs="Arial"/>
          <w:color w:val="000000" w:themeColor="text1"/>
          <w:lang w:val="es-ES"/>
        </w:rPr>
        <w:t xml:space="preserve">, se establece que toda persona, sin necesidad de acreditar interés alguno o justificar su utilización, tendrá </w:t>
      </w:r>
      <w:r w:rsidRPr="006B31E7">
        <w:rPr>
          <w:rFonts w:ascii="Palatino Linotype" w:hAnsi="Palatino Linotype" w:cs="Arial"/>
          <w:color w:val="000000" w:themeColor="text1"/>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D391CF"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79A480" w14:textId="3D6523B9"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8D8D9D"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F83678" w14:textId="530BDC20"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57E8A97"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011FBA9" w14:textId="64AA7D6D"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97926E"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0C5B9A" w14:textId="292171A5" w:rsidR="00774AB3" w:rsidRPr="00774AB3"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lastRenderedPageBreak/>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2C36B6F4"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740A685D" w14:textId="77777777" w:rsidR="002630E4" w:rsidRPr="00103662"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3"/>
      <w:bookmarkEnd w:id="14"/>
      <w:bookmarkEnd w:id="15"/>
    </w:p>
    <w:p w14:paraId="4231B8D5" w14:textId="77777777" w:rsidR="00540208" w:rsidRPr="00A85CB7" w:rsidRDefault="00540208" w:rsidP="00B31E90">
      <w:pPr>
        <w:rPr>
          <w:rFonts w:ascii="Palatino Linotype" w:hAnsi="Palatino Linotype"/>
          <w:color w:val="000000" w:themeColor="text1"/>
          <w:lang w:eastAsia="en-US"/>
        </w:rPr>
      </w:pPr>
    </w:p>
    <w:bookmarkEnd w:id="16"/>
    <w:bookmarkEnd w:id="17"/>
    <w:p w14:paraId="26137E4C" w14:textId="57D5A830" w:rsidR="0056788F" w:rsidRPr="00CA0640" w:rsidRDefault="001C20E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requirió </w:t>
      </w:r>
      <w:r w:rsidR="00080B7D">
        <w:rPr>
          <w:rFonts w:ascii="Palatino Linotype" w:hAnsi="Palatino Linotype" w:cs="Arial"/>
          <w:color w:val="000000" w:themeColor="text1"/>
        </w:rPr>
        <w:t xml:space="preserve">saber qué hizo la Presidenta Municipal con el </w:t>
      </w:r>
      <w:r w:rsidR="00111418">
        <w:rPr>
          <w:rFonts w:ascii="Palatino Linotype" w:hAnsi="Palatino Linotype" w:cs="Arial"/>
          <w:color w:val="000000" w:themeColor="text1"/>
        </w:rPr>
        <w:t>dinero</w:t>
      </w:r>
      <w:r w:rsidR="00080B7D">
        <w:rPr>
          <w:rFonts w:ascii="Palatino Linotype" w:hAnsi="Palatino Linotype" w:cs="Arial"/>
          <w:color w:val="000000" w:themeColor="text1"/>
        </w:rPr>
        <w:t xml:space="preserve"> que se le proporcionó para su campaña electoral</w:t>
      </w:r>
      <w:r w:rsidR="007E64B6">
        <w:rPr>
          <w:rFonts w:ascii="Palatino Linotype" w:hAnsi="Palatino Linotype" w:cs="Arial"/>
          <w:color w:val="000000" w:themeColor="text1"/>
        </w:rPr>
        <w:t>.</w:t>
      </w:r>
      <w:r w:rsidR="00910076">
        <w:rPr>
          <w:rFonts w:ascii="Palatino Linotype" w:hAnsi="Palatino Linotype" w:cs="Arial"/>
          <w:color w:val="000000" w:themeColor="text1"/>
        </w:rPr>
        <w:t xml:space="preserve"> El </w:t>
      </w:r>
      <w:r w:rsidR="00910076">
        <w:rPr>
          <w:rFonts w:ascii="Palatino Linotype" w:hAnsi="Palatino Linotype" w:cs="Arial"/>
          <w:b/>
          <w:bCs/>
          <w:color w:val="000000" w:themeColor="text1"/>
        </w:rPr>
        <w:t>SUJETO OBLIGADO</w:t>
      </w:r>
      <w:r w:rsidR="00910076">
        <w:rPr>
          <w:rFonts w:ascii="Palatino Linotype" w:hAnsi="Palatino Linotype" w:cs="Arial"/>
          <w:color w:val="000000" w:themeColor="text1"/>
        </w:rPr>
        <w:t xml:space="preserve"> </w:t>
      </w:r>
      <w:r w:rsidR="007758D3">
        <w:rPr>
          <w:rFonts w:ascii="Palatino Linotype" w:hAnsi="Palatino Linotype" w:cs="Arial"/>
          <w:color w:val="000000" w:themeColor="text1"/>
        </w:rPr>
        <w:t>manifestó su incompetencia para poseer, generar o administrar la información y orientó al partic</w:t>
      </w:r>
      <w:r w:rsidR="00080B7D">
        <w:rPr>
          <w:rFonts w:ascii="Palatino Linotype" w:hAnsi="Palatino Linotype" w:cs="Arial"/>
          <w:color w:val="000000" w:themeColor="text1"/>
        </w:rPr>
        <w:t xml:space="preserve">ular a presentar su solicitud al Instituto Electoral del </w:t>
      </w:r>
      <w:r w:rsidR="007758D3">
        <w:rPr>
          <w:rFonts w:ascii="Palatino Linotype" w:hAnsi="Palatino Linotype" w:cs="Arial"/>
          <w:color w:val="000000" w:themeColor="text1"/>
        </w:rPr>
        <w:t>Estado de México</w:t>
      </w:r>
      <w:r w:rsidR="007E64B6">
        <w:rPr>
          <w:rFonts w:ascii="Palatino Linotype" w:hAnsi="Palatino Linotype" w:cs="Arial"/>
          <w:color w:val="000000" w:themeColor="text1"/>
        </w:rPr>
        <w:t>.</w:t>
      </w:r>
      <w:r w:rsidR="007758D3">
        <w:rPr>
          <w:rFonts w:ascii="Palatino Linotype" w:hAnsi="Palatino Linotype" w:cs="Arial"/>
          <w:color w:val="000000" w:themeColor="text1"/>
        </w:rPr>
        <w:t xml:space="preserve"> </w:t>
      </w:r>
      <w:r w:rsidR="00080B7D">
        <w:rPr>
          <w:rFonts w:ascii="Palatino Linotype" w:hAnsi="Palatino Linotype" w:cs="Arial"/>
          <w:color w:val="000000" w:themeColor="text1"/>
        </w:rPr>
        <w:t xml:space="preserve">El </w:t>
      </w:r>
      <w:r w:rsidR="007758D3">
        <w:rPr>
          <w:rFonts w:ascii="Palatino Linotype" w:hAnsi="Palatino Linotype" w:cs="Arial"/>
          <w:color w:val="000000" w:themeColor="text1"/>
        </w:rPr>
        <w:t xml:space="preserve">particular impugnó la respuesta del </w:t>
      </w:r>
      <w:r w:rsidR="007758D3">
        <w:rPr>
          <w:rFonts w:ascii="Palatino Linotype" w:hAnsi="Palatino Linotype" w:cs="Arial"/>
          <w:b/>
          <w:color w:val="000000" w:themeColor="text1"/>
        </w:rPr>
        <w:t>SUJETO OBLIGADO</w:t>
      </w:r>
      <w:r w:rsidR="007758D3">
        <w:rPr>
          <w:rFonts w:ascii="Palatino Linotype" w:hAnsi="Palatino Linotype" w:cs="Arial"/>
          <w:color w:val="000000" w:themeColor="text1"/>
        </w:rPr>
        <w:t xml:space="preserve"> mediante recurso de revisión</w:t>
      </w:r>
      <w:r w:rsidR="00080B7D">
        <w:rPr>
          <w:rFonts w:ascii="Palatino Linotype" w:hAnsi="Palatino Linotype" w:cs="Arial"/>
          <w:color w:val="000000" w:themeColor="text1"/>
        </w:rPr>
        <w:t>,</w:t>
      </w:r>
      <w:r w:rsidR="007758D3">
        <w:rPr>
          <w:rFonts w:ascii="Palatino Linotype" w:hAnsi="Palatino Linotype" w:cs="Arial"/>
          <w:color w:val="000000" w:themeColor="text1"/>
        </w:rPr>
        <w:t xml:space="preserve"> en el que señaló por agravios, </w:t>
      </w:r>
      <w:r w:rsidR="00080B7D">
        <w:rPr>
          <w:rFonts w:ascii="Palatino Linotype" w:hAnsi="Palatino Linotype" w:cs="Arial"/>
          <w:color w:val="000000" w:themeColor="text1"/>
        </w:rPr>
        <w:t>la manifestación de incompetencia</w:t>
      </w:r>
      <w:r w:rsidR="007758D3">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20BB87E"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2E160F" w:rsidRPr="0056788F">
        <w:rPr>
          <w:rFonts w:ascii="Palatino Linotype" w:hAnsi="Palatino Linotype" w:cs="Arial"/>
          <w:color w:val="000000" w:themeColor="text1"/>
        </w:rPr>
        <w:t xml:space="preserve">esta Ponencia Resolutora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 xml:space="preserve">sugieren que la respuesta </w:t>
      </w:r>
      <w:r w:rsidR="002E160F" w:rsidRPr="0056788F">
        <w:rPr>
          <w:rFonts w:ascii="Palatino Linotype" w:hAnsi="Palatino Linotype" w:cs="Arial"/>
          <w:color w:val="000000" w:themeColor="text1"/>
        </w:rPr>
        <w:lastRenderedPageBreak/>
        <w:t>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B855AA" w:rsidRPr="0056788F">
        <w:rPr>
          <w:rFonts w:ascii="Palatino Linotype" w:hAnsi="Palatino Linotype" w:cs="Arial"/>
          <w:color w:val="000000" w:themeColor="text1"/>
        </w:rPr>
        <w:t xml:space="preserve"> no cumplió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B855AA" w:rsidRPr="0056788F">
        <w:rPr>
          <w:rFonts w:ascii="Palatino Linotype" w:hAnsi="Palatino Linotype" w:cs="Arial"/>
          <w:color w:val="000000" w:themeColor="text1"/>
        </w:rPr>
        <w:t xml:space="preserve"> </w:t>
      </w:r>
      <w:r w:rsidR="007758D3">
        <w:rPr>
          <w:rFonts w:ascii="Palatino Linotype" w:hAnsi="Palatino Linotype" w:cs="Arial"/>
          <w:b/>
          <w:bCs/>
          <w:color w:val="000000" w:themeColor="text1"/>
        </w:rPr>
        <w:t>confiable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6B17C50"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7758D3">
        <w:rPr>
          <w:rFonts w:ascii="Palatino Linotype" w:hAnsi="Palatino Linotype" w:cs="Arial"/>
          <w:color w:val="000000" w:themeColor="text1"/>
          <w:szCs w:val="23"/>
        </w:rPr>
        <w:t>I</w:t>
      </w:r>
      <w:r w:rsidR="008F7752">
        <w:rPr>
          <w:rFonts w:ascii="Palatino Linotype" w:hAnsi="Palatino Linotype" w:cs="Arial"/>
          <w:color w:val="000000" w:themeColor="text1"/>
          <w:szCs w:val="23"/>
        </w:rPr>
        <w:t>V</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4FBBFC6E" w:rsidR="008F7752" w:rsidRPr="008F7752" w:rsidRDefault="007758D3"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sidR="008F7752">
        <w:rPr>
          <w:rFonts w:ascii="Palatino Linotype" w:hAnsi="Palatino Linotype"/>
          <w:b/>
          <w:bCs/>
          <w:i/>
          <w:color w:val="000000" w:themeColor="text1"/>
          <w:sz w:val="22"/>
        </w:rPr>
        <w:t>V.</w:t>
      </w:r>
      <w:r w:rsidR="008F7752">
        <w:rPr>
          <w:rFonts w:ascii="Palatino Linotype" w:hAnsi="Palatino Linotype"/>
          <w:i/>
          <w:color w:val="000000" w:themeColor="text1"/>
          <w:sz w:val="22"/>
        </w:rPr>
        <w:t xml:space="preserve"> La </w:t>
      </w:r>
      <w:r>
        <w:rPr>
          <w:rFonts w:ascii="Palatino Linotype" w:hAnsi="Palatino Linotype"/>
          <w:i/>
          <w:color w:val="000000" w:themeColor="text1"/>
          <w:sz w:val="22"/>
        </w:rPr>
        <w:t>declaración de incompetencia por el sujeto obligado</w:t>
      </w:r>
      <w:r w:rsidR="008F7752" w:rsidRPr="008F7752">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Pr="009F1566" w:rsidRDefault="009F1566" w:rsidP="00F96156">
      <w:pPr>
        <w:pStyle w:val="Ttulo2"/>
        <w:tabs>
          <w:tab w:val="left" w:pos="426"/>
        </w:tabs>
        <w:rPr>
          <w:rFonts w:ascii="Palatino Linotype" w:hAnsi="Palatino Linotype" w:cs="Arial"/>
          <w:b/>
          <w:color w:val="FF0000"/>
          <w:sz w:val="24"/>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3" w:name="_Toc8745648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3"/>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DA2D9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Pr>
          <w:rFonts w:ascii="Palatino Linotype" w:hAnsi="Palatino Linotype"/>
          <w:b/>
          <w:bCs/>
          <w:color w:val="000000" w:themeColor="text1"/>
        </w:rPr>
        <w:t xml:space="preserve">I. De la </w:t>
      </w:r>
      <w:r w:rsidR="00167813">
        <w:rPr>
          <w:rFonts w:ascii="Palatino Linotype" w:hAnsi="Palatino Linotype"/>
          <w:b/>
          <w:bCs/>
          <w:color w:val="000000" w:themeColor="text1"/>
        </w:rPr>
        <w:t>atención</w:t>
      </w:r>
      <w:r w:rsidR="00D00269">
        <w:rPr>
          <w:rFonts w:ascii="Palatino Linotype" w:hAnsi="Palatino Linotype"/>
          <w:b/>
          <w:bCs/>
          <w:color w:val="000000" w:themeColor="text1"/>
        </w:rPr>
        <w:t xml:space="preserve"> a la solicitud de información</w:t>
      </w:r>
      <w:r>
        <w:rPr>
          <w:rFonts w:ascii="Palatino Linotype" w:hAnsi="Palatino Linotype"/>
          <w:b/>
          <w:bCs/>
          <w:color w:val="000000" w:themeColor="text1"/>
        </w:rPr>
        <w:t>.</w:t>
      </w:r>
      <w:bookmarkEnd w:id="26"/>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9D23E2C" w14:textId="3685C868" w:rsidR="007B12AA" w:rsidRPr="007B12AA" w:rsidRDefault="00910076" w:rsidP="007B12A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Pr>
          <w:rFonts w:ascii="Palatino Linotype" w:hAnsi="Palatino Linotype"/>
        </w:rPr>
        <w:t>vez expuesto lo anterior</w:t>
      </w:r>
      <w:r w:rsidRPr="0053687A">
        <w:rPr>
          <w:rFonts w:ascii="Palatino Linotype" w:hAnsi="Palatino Linotype"/>
        </w:rPr>
        <w:t xml:space="preserve">, </w:t>
      </w:r>
      <w:r>
        <w:rPr>
          <w:rFonts w:ascii="Palatino Linotype" w:hAnsi="Palatino Linotype"/>
        </w:rPr>
        <w:t xml:space="preserve">de la lectura a la solicitud de información </w:t>
      </w:r>
      <w:r w:rsidR="00C967DD">
        <w:rPr>
          <w:rFonts w:ascii="Palatino Linotype" w:hAnsi="Palatino Linotype"/>
          <w:b/>
          <w:bCs/>
        </w:rPr>
        <w:t>00424/TEOLOYU/IP/2021</w:t>
      </w:r>
      <w:r>
        <w:rPr>
          <w:rFonts w:ascii="Palatino Linotype" w:hAnsi="Palatino Linotype"/>
        </w:rPr>
        <w:t xml:space="preserve">, y como fuera señalado en el </w:t>
      </w:r>
      <w:r>
        <w:rPr>
          <w:rFonts w:ascii="Palatino Linotype" w:hAnsi="Palatino Linotype"/>
          <w:i/>
          <w:iCs/>
        </w:rPr>
        <w:t>Planteamiento de la Litis</w:t>
      </w:r>
      <w:r>
        <w:rPr>
          <w:rFonts w:ascii="Palatino Linotype" w:hAnsi="Palatino Linotype"/>
        </w:rPr>
        <w:t xml:space="preserve"> de esta resolución, se advierte que el </w:t>
      </w:r>
      <w:r w:rsidR="00EB3F5C">
        <w:rPr>
          <w:rFonts w:ascii="Palatino Linotype" w:hAnsi="Palatino Linotype"/>
        </w:rPr>
        <w:t xml:space="preserve">entonces </w:t>
      </w:r>
      <w:r w:rsidR="00EB3F5C">
        <w:rPr>
          <w:rFonts w:ascii="Palatino Linotype" w:hAnsi="Palatino Linotype"/>
          <w:b/>
        </w:rPr>
        <w:t>SOLICITANTE</w:t>
      </w:r>
      <w:r w:rsidR="00EB3F5C">
        <w:rPr>
          <w:rFonts w:ascii="Palatino Linotype" w:hAnsi="Palatino Linotype"/>
        </w:rPr>
        <w:t xml:space="preserve"> requirió</w:t>
      </w:r>
      <w:r w:rsidR="00B8225B">
        <w:rPr>
          <w:rFonts w:ascii="Palatino Linotype" w:hAnsi="Palatino Linotype"/>
        </w:rPr>
        <w:t>,</w:t>
      </w:r>
      <w:r>
        <w:rPr>
          <w:rFonts w:ascii="Palatino Linotype" w:hAnsi="Palatino Linotype"/>
        </w:rPr>
        <w:t xml:space="preserve"> </w:t>
      </w:r>
      <w:r w:rsidR="00B8225B">
        <w:rPr>
          <w:rFonts w:ascii="Palatino Linotype" w:hAnsi="Palatino Linotype"/>
        </w:rPr>
        <w:t xml:space="preserve">al </w:t>
      </w:r>
      <w:r w:rsidR="00C967DD">
        <w:rPr>
          <w:rFonts w:ascii="Palatino Linotype" w:hAnsi="Palatino Linotype"/>
        </w:rPr>
        <w:lastRenderedPageBreak/>
        <w:t>Ayuntamiento de Teoloyucan</w:t>
      </w:r>
      <w:r w:rsidR="00B8225B">
        <w:rPr>
          <w:rFonts w:ascii="Palatino Linotype" w:hAnsi="Palatino Linotype"/>
        </w:rPr>
        <w:t>,</w:t>
      </w:r>
      <w:r>
        <w:rPr>
          <w:rFonts w:ascii="Palatino Linotype" w:hAnsi="Palatino Linotype"/>
        </w:rPr>
        <w:t xml:space="preserve"> </w:t>
      </w:r>
      <w:r w:rsidR="007B12AA">
        <w:rPr>
          <w:rFonts w:ascii="Palatino Linotype" w:hAnsi="Palatino Linotype"/>
          <w:i/>
        </w:rPr>
        <w:t>“</w:t>
      </w:r>
      <w:r w:rsidR="007B12AA" w:rsidRPr="007B12AA">
        <w:rPr>
          <w:rFonts w:ascii="Palatino Linotype" w:hAnsi="Palatino Linotype"/>
          <w:i/>
        </w:rPr>
        <w:t xml:space="preserve">saber </w:t>
      </w:r>
      <w:r w:rsidR="007B12AA" w:rsidRPr="007B12AA">
        <w:rPr>
          <w:rFonts w:ascii="Palatino Linotype" w:hAnsi="Palatino Linotype"/>
        </w:rPr>
        <w:t>qu</w:t>
      </w:r>
      <w:r w:rsidR="007B12AA">
        <w:rPr>
          <w:rFonts w:ascii="Palatino Linotype" w:hAnsi="Palatino Linotype"/>
        </w:rPr>
        <w:t>[é]</w:t>
      </w:r>
      <w:r w:rsidR="007B12AA" w:rsidRPr="007B12AA">
        <w:rPr>
          <w:rFonts w:ascii="Palatino Linotype" w:hAnsi="Palatino Linotype"/>
          <w:i/>
        </w:rPr>
        <w:t xml:space="preserve"> </w:t>
      </w:r>
      <w:r w:rsidR="007B12AA" w:rsidRPr="007B12AA">
        <w:rPr>
          <w:rFonts w:ascii="Palatino Linotype" w:hAnsi="Palatino Linotype"/>
        </w:rPr>
        <w:t>hi</w:t>
      </w:r>
      <w:r w:rsidR="007B12AA">
        <w:rPr>
          <w:rFonts w:ascii="Palatino Linotype" w:hAnsi="Palatino Linotype"/>
        </w:rPr>
        <w:t>[z]</w:t>
      </w:r>
      <w:r w:rsidR="007B12AA" w:rsidRPr="007B12AA">
        <w:rPr>
          <w:rFonts w:ascii="Palatino Linotype" w:hAnsi="Palatino Linotype"/>
        </w:rPr>
        <w:t>o</w:t>
      </w:r>
      <w:r w:rsidR="007B12AA">
        <w:rPr>
          <w:rFonts w:ascii="Palatino Linotype" w:hAnsi="Palatino Linotype"/>
          <w:i/>
        </w:rPr>
        <w:t xml:space="preserve"> la </w:t>
      </w:r>
      <w:r w:rsidR="007B12AA">
        <w:rPr>
          <w:rFonts w:ascii="Palatino Linotype" w:hAnsi="Palatino Linotype"/>
        </w:rPr>
        <w:t>[P]</w:t>
      </w:r>
      <w:r w:rsidR="007B12AA">
        <w:rPr>
          <w:rFonts w:ascii="Palatino Linotype" w:hAnsi="Palatino Linotype"/>
          <w:i/>
        </w:rPr>
        <w:t xml:space="preserve">residenta </w:t>
      </w:r>
      <w:r w:rsidR="007B12AA">
        <w:rPr>
          <w:rFonts w:ascii="Palatino Linotype" w:hAnsi="Palatino Linotype"/>
        </w:rPr>
        <w:t>[G]</w:t>
      </w:r>
      <w:r w:rsidR="007B12AA" w:rsidRPr="007B12AA">
        <w:rPr>
          <w:rFonts w:ascii="Palatino Linotype" w:hAnsi="Palatino Linotype"/>
          <w:i/>
        </w:rPr>
        <w:t>abriela</w:t>
      </w:r>
      <w:r w:rsidR="007B12AA">
        <w:rPr>
          <w:rFonts w:ascii="Palatino Linotype" w:hAnsi="Palatino Linotype"/>
          <w:i/>
        </w:rPr>
        <w:t xml:space="preserve"> </w:t>
      </w:r>
      <w:r w:rsidR="007B12AA">
        <w:rPr>
          <w:rFonts w:ascii="Palatino Linotype" w:hAnsi="Palatino Linotype"/>
        </w:rPr>
        <w:t>[Contreras Villegas]</w:t>
      </w:r>
      <w:r w:rsidR="007B12AA" w:rsidRPr="007B12AA">
        <w:rPr>
          <w:rFonts w:ascii="Palatino Linotype" w:hAnsi="Palatino Linotype"/>
          <w:i/>
        </w:rPr>
        <w:t xml:space="preserve"> con el dinero que le dieron para la campaña</w:t>
      </w:r>
      <w:r w:rsidR="007B12AA">
        <w:rPr>
          <w:rFonts w:ascii="Palatino Linotype" w:hAnsi="Palatino Linotype"/>
          <w:i/>
        </w:rPr>
        <w:t>”</w:t>
      </w:r>
      <w:r w:rsidR="007B12AA">
        <w:rPr>
          <w:rFonts w:ascii="Palatino Linotype" w:hAnsi="Palatino Linotype"/>
        </w:rPr>
        <w:t>.</w:t>
      </w:r>
    </w:p>
    <w:p w14:paraId="15771B33" w14:textId="01A7F3A2" w:rsidR="00B8225B" w:rsidRPr="007B12AA" w:rsidRDefault="007B12AA" w:rsidP="007B12AA">
      <w:pPr>
        <w:pStyle w:val="Prrafodelista"/>
        <w:tabs>
          <w:tab w:val="left" w:pos="426"/>
        </w:tabs>
        <w:spacing w:before="240" w:after="240" w:line="360" w:lineRule="auto"/>
        <w:ind w:left="0" w:right="51"/>
        <w:jc w:val="both"/>
        <w:rPr>
          <w:rFonts w:ascii="Palatino Linotype" w:hAnsi="Palatino Linotype"/>
          <w:color w:val="000000" w:themeColor="text1"/>
        </w:rPr>
      </w:pPr>
      <w:r w:rsidRPr="007B12AA">
        <w:rPr>
          <w:rFonts w:ascii="Palatino Linotype" w:hAnsi="Palatino Linotype"/>
          <w:color w:val="000000" w:themeColor="text1"/>
        </w:rPr>
        <w:t xml:space="preserve"> </w:t>
      </w:r>
    </w:p>
    <w:p w14:paraId="2D403DA4" w14:textId="4997A810"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794C2B">
        <w:rPr>
          <w:rFonts w:ascii="Palatino Linotype" w:hAnsi="Palatino Linotype"/>
          <w:color w:val="000000" w:themeColor="text1"/>
        </w:rPr>
        <w:t xml:space="preserve">respuesta a la solicitud de información, </w:t>
      </w:r>
      <w:r w:rsidR="00EB3F5C">
        <w:rPr>
          <w:rFonts w:ascii="Palatino Linotype" w:hAnsi="Palatino Linotype"/>
          <w:color w:val="000000" w:themeColor="text1"/>
        </w:rPr>
        <w:t xml:space="preserve">el </w:t>
      </w:r>
      <w:r w:rsidR="00EB3F5C">
        <w:rPr>
          <w:rFonts w:ascii="Palatino Linotype" w:hAnsi="Palatino Linotype"/>
          <w:b/>
          <w:color w:val="000000" w:themeColor="text1"/>
        </w:rPr>
        <w:t>SUJETO OBLIGADO</w:t>
      </w:r>
      <w:r w:rsidR="00C871C7">
        <w:rPr>
          <w:rFonts w:ascii="Palatino Linotype" w:hAnsi="Palatino Linotype"/>
          <w:color w:val="000000" w:themeColor="text1"/>
        </w:rPr>
        <w:t xml:space="preserve"> </w:t>
      </w:r>
      <w:r w:rsidRPr="00794C2B">
        <w:rPr>
          <w:rFonts w:ascii="Palatino Linotype" w:hAnsi="Palatino Linotype"/>
          <w:color w:val="000000" w:themeColor="text1"/>
        </w:rPr>
        <w:t xml:space="preserve">informó al entonces </w:t>
      </w:r>
      <w:r w:rsidRPr="00794C2B">
        <w:rPr>
          <w:rFonts w:ascii="Palatino Linotype" w:hAnsi="Palatino Linotype"/>
          <w:b/>
          <w:bCs/>
          <w:color w:val="000000" w:themeColor="text1"/>
        </w:rPr>
        <w:t>SOLICITANTE,</w:t>
      </w:r>
      <w:r w:rsidRPr="00794C2B">
        <w:rPr>
          <w:rFonts w:ascii="Palatino Linotype" w:hAnsi="Palatino Linotype"/>
          <w:color w:val="000000" w:themeColor="text1"/>
        </w:rPr>
        <w:t xml:space="preserve"> a través del oficio</w:t>
      </w:r>
      <w:r w:rsidR="00C871C7">
        <w:rPr>
          <w:rFonts w:ascii="Palatino Linotype" w:hAnsi="Palatino Linotype"/>
          <w:color w:val="000000" w:themeColor="text1"/>
        </w:rPr>
        <w:t xml:space="preserve"> número </w:t>
      </w:r>
      <w:r w:rsidR="0089651A">
        <w:rPr>
          <w:rFonts w:ascii="Palatino Linotype" w:hAnsi="Palatino Linotype"/>
          <w:color w:val="000000" w:themeColor="text1"/>
        </w:rPr>
        <w:t>PMT/UTAIP/739/2021, de diecinueve (19) de agosto</w:t>
      </w:r>
      <w:r w:rsidRPr="00794C2B">
        <w:rPr>
          <w:rFonts w:ascii="Palatino Linotype" w:hAnsi="Palatino Linotype"/>
          <w:color w:val="000000" w:themeColor="text1"/>
        </w:rPr>
        <w:t xml:space="preserve"> de dos mil veintiuno, lo siguiente:</w:t>
      </w:r>
    </w:p>
    <w:p w14:paraId="34B541A5" w14:textId="77777777" w:rsidR="00100C6D" w:rsidRDefault="00100C6D"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33555575" w14:textId="21025AAD" w:rsidR="0089651A" w:rsidRPr="0089651A" w:rsidRDefault="0089651A" w:rsidP="0089651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Pr>
          <w:rFonts w:ascii="Palatino Linotype" w:hAnsi="Palatino Linotype"/>
          <w:b/>
          <w:i/>
          <w:color w:val="000000" w:themeColor="text1"/>
          <w:sz w:val="22"/>
        </w:rPr>
        <w:t>Orientación…</w:t>
      </w:r>
    </w:p>
    <w:p w14:paraId="0D139949" w14:textId="7F307B33" w:rsidR="00EB3F5C" w:rsidRPr="00EB3F5C" w:rsidRDefault="0089651A" w:rsidP="00EB3F5C">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Le informo que la autoridad competente para proporcionar la solicitud de Información le corresponde al Instituto Electoral del Estado de México (…)</w:t>
      </w:r>
      <w:r w:rsidR="00EB3F5C">
        <w:rPr>
          <w:rFonts w:ascii="Palatino Linotype" w:hAnsi="Palatino Linotype"/>
          <w:i/>
          <w:color w:val="000000" w:themeColor="text1"/>
          <w:sz w:val="22"/>
        </w:rPr>
        <w:t>”</w:t>
      </w:r>
      <w:r w:rsidR="00EB3F5C">
        <w:rPr>
          <w:rFonts w:ascii="Palatino Linotype" w:hAnsi="Palatino Linotype"/>
          <w:color w:val="000000" w:themeColor="text1"/>
          <w:sz w:val="22"/>
        </w:rPr>
        <w:t xml:space="preserve"> (Sic)</w:t>
      </w:r>
    </w:p>
    <w:p w14:paraId="6BBC322F" w14:textId="77777777" w:rsidR="00EB3F5C" w:rsidRDefault="00EB3F5C"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01F33DC8" w14:textId="7A167FBB" w:rsidR="0089651A" w:rsidRDefault="0089651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Adjunto al oficio anterior, el </w:t>
      </w:r>
      <w:r>
        <w:rPr>
          <w:rFonts w:ascii="Palatino Linotype" w:hAnsi="Palatino Linotype"/>
          <w:b/>
          <w:color w:val="000000" w:themeColor="text1"/>
        </w:rPr>
        <w:t>SUJETO OBLIGADO</w:t>
      </w:r>
      <w:r>
        <w:rPr>
          <w:rFonts w:ascii="Palatino Linotype" w:hAnsi="Palatino Linotype"/>
          <w:color w:val="000000" w:themeColor="text1"/>
        </w:rPr>
        <w:t xml:space="preserve"> presentó el Acta del Comité de Transparencia identificada con el número CT/UTAIP/ASE-65/2021, de diecinueve (19) de agosto de dos mil veintiuno, mediante la cual, se confirma la incompetencia del Ayuntamiento de Teoloyucan para poseer, generar o administrar la información; la cual será materia de análisis más adelante.</w:t>
      </w:r>
    </w:p>
    <w:p w14:paraId="6BA5E77A" w14:textId="77777777" w:rsidR="0089651A" w:rsidRDefault="0089651A" w:rsidP="0089651A">
      <w:pPr>
        <w:pStyle w:val="Prrafodelista"/>
        <w:tabs>
          <w:tab w:val="left" w:pos="426"/>
        </w:tabs>
        <w:spacing w:before="240" w:after="240" w:line="360" w:lineRule="auto"/>
        <w:ind w:left="0" w:right="51"/>
        <w:jc w:val="both"/>
        <w:rPr>
          <w:rFonts w:ascii="Palatino Linotype" w:hAnsi="Palatino Linotype"/>
          <w:color w:val="000000" w:themeColor="text1"/>
        </w:rPr>
      </w:pPr>
    </w:p>
    <w:p w14:paraId="186A75AA" w14:textId="4C2F168E" w:rsidR="00100C6D" w:rsidRDefault="00100C6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EB3F5C">
        <w:rPr>
          <w:rFonts w:ascii="Palatino Linotype" w:hAnsi="Palatino Linotype"/>
          <w:color w:val="000000" w:themeColor="text1"/>
        </w:rPr>
        <w:t xml:space="preserve">erivado de lo anterior, el </w:t>
      </w:r>
      <w:r w:rsidR="00EB3F5C">
        <w:rPr>
          <w:rFonts w:ascii="Palatino Linotype" w:hAnsi="Palatino Linotype"/>
          <w:b/>
          <w:color w:val="000000" w:themeColor="text1"/>
        </w:rPr>
        <w:t>RECURRENTE</w:t>
      </w:r>
      <w:r w:rsidR="00EB3F5C">
        <w:rPr>
          <w:rFonts w:ascii="Palatino Linotype" w:hAnsi="Palatino Linotype"/>
          <w:color w:val="000000" w:themeColor="text1"/>
        </w:rPr>
        <w:t xml:space="preserve"> promovió el recurso de revisión con número al rubro indicado en contra de la respuesta del </w:t>
      </w:r>
      <w:r w:rsidR="00EB3F5C">
        <w:rPr>
          <w:rFonts w:ascii="Palatino Linotype" w:hAnsi="Palatino Linotype"/>
          <w:b/>
          <w:color w:val="000000" w:themeColor="text1"/>
        </w:rPr>
        <w:t>SUJETO OBLIGADO</w:t>
      </w:r>
      <w:r w:rsidR="00EB3F5C">
        <w:rPr>
          <w:rFonts w:ascii="Palatino Linotype" w:hAnsi="Palatino Linotype"/>
          <w:color w:val="000000" w:themeColor="text1"/>
        </w:rPr>
        <w:t xml:space="preserve"> y, en el que señaló por agravios,</w:t>
      </w:r>
      <w:r w:rsidR="0089651A">
        <w:rPr>
          <w:rFonts w:ascii="Palatino Linotype" w:hAnsi="Palatino Linotype"/>
          <w:color w:val="000000" w:themeColor="text1"/>
        </w:rPr>
        <w:t xml:space="preserve"> esencialmente,</w:t>
      </w:r>
      <w:r w:rsidR="00EB3F5C">
        <w:rPr>
          <w:rFonts w:ascii="Palatino Linotype" w:hAnsi="Palatino Linotype"/>
          <w:color w:val="000000" w:themeColor="text1"/>
        </w:rPr>
        <w:t xml:space="preserve"> lo siguiente:</w:t>
      </w:r>
    </w:p>
    <w:p w14:paraId="2B0854FB" w14:textId="4CABC0BC" w:rsidR="00EB3F5C" w:rsidRDefault="0089651A" w:rsidP="00EB3F5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Que dirigió una pregunta a la Presidenta Municipal; y</w:t>
      </w:r>
    </w:p>
    <w:p w14:paraId="740DB74C" w14:textId="7E03830D" w:rsidR="0089651A" w:rsidRDefault="0089651A" w:rsidP="00EB3F5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Que no se le </w:t>
      </w:r>
      <w:r w:rsidR="0009663D">
        <w:rPr>
          <w:rFonts w:ascii="Palatino Linotype" w:hAnsi="Palatino Linotype"/>
          <w:color w:val="000000" w:themeColor="text1"/>
        </w:rPr>
        <w:t>dio</w:t>
      </w:r>
      <w:r>
        <w:rPr>
          <w:rFonts w:ascii="Palatino Linotype" w:hAnsi="Palatino Linotype"/>
          <w:color w:val="000000" w:themeColor="text1"/>
        </w:rPr>
        <w:t xml:space="preserve"> la información.</w:t>
      </w:r>
    </w:p>
    <w:p w14:paraId="74C0DB4E" w14:textId="77777777" w:rsidR="000B750B" w:rsidRDefault="000B750B" w:rsidP="000B750B">
      <w:pPr>
        <w:pStyle w:val="Prrafodelista"/>
        <w:tabs>
          <w:tab w:val="left" w:pos="426"/>
        </w:tabs>
        <w:spacing w:before="240" w:after="240" w:line="360" w:lineRule="auto"/>
        <w:ind w:left="0" w:right="51"/>
        <w:jc w:val="both"/>
        <w:rPr>
          <w:rFonts w:ascii="Palatino Linotype" w:hAnsi="Palatino Linotype"/>
          <w:color w:val="000000" w:themeColor="text1"/>
        </w:rPr>
      </w:pPr>
    </w:p>
    <w:p w14:paraId="2FD5157E" w14:textId="69C18059" w:rsidR="003076B1" w:rsidRDefault="003076B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Posteriormente, el </w:t>
      </w:r>
      <w:r>
        <w:rPr>
          <w:rFonts w:ascii="Palatino Linotype" w:hAnsi="Palatino Linotype"/>
          <w:b/>
          <w:color w:val="000000" w:themeColor="text1"/>
        </w:rPr>
        <w:t>SUJETO OBLIGADO</w:t>
      </w:r>
      <w:r>
        <w:rPr>
          <w:rFonts w:ascii="Palatino Linotype" w:hAnsi="Palatino Linotype"/>
          <w:color w:val="000000" w:themeColor="text1"/>
        </w:rPr>
        <w:t xml:space="preserve"> presentó su informe justificado en el apartado de </w:t>
      </w:r>
      <w:r>
        <w:rPr>
          <w:rFonts w:ascii="Palatino Linotype" w:hAnsi="Palatino Linotype"/>
          <w:i/>
          <w:color w:val="000000" w:themeColor="text1"/>
        </w:rPr>
        <w:t>Manifestaciones</w:t>
      </w:r>
      <w:r w:rsidR="0009663D">
        <w:rPr>
          <w:rFonts w:ascii="Palatino Linotype" w:hAnsi="Palatino Linotype"/>
          <w:color w:val="000000" w:themeColor="text1"/>
        </w:rPr>
        <w:t xml:space="preserve"> del SAIMEX,</w:t>
      </w:r>
      <w:r>
        <w:rPr>
          <w:rFonts w:ascii="Palatino Linotype" w:hAnsi="Palatino Linotype"/>
          <w:color w:val="000000" w:themeColor="text1"/>
        </w:rPr>
        <w:t xml:space="preserve"> </w:t>
      </w:r>
      <w:r w:rsidR="0089651A">
        <w:rPr>
          <w:rFonts w:ascii="Palatino Linotype" w:hAnsi="Palatino Linotype"/>
          <w:color w:val="000000" w:themeColor="text1"/>
        </w:rPr>
        <w:t>por medio d</w:t>
      </w:r>
      <w:r>
        <w:rPr>
          <w:rFonts w:ascii="Palatino Linotype" w:hAnsi="Palatino Linotype"/>
          <w:color w:val="000000" w:themeColor="text1"/>
        </w:rPr>
        <w:t xml:space="preserve">el cual, esencialmente, ratifica </w:t>
      </w:r>
      <w:r>
        <w:rPr>
          <w:rFonts w:ascii="Palatino Linotype" w:hAnsi="Palatino Linotype"/>
          <w:color w:val="000000" w:themeColor="text1"/>
        </w:rPr>
        <w:lastRenderedPageBreak/>
        <w:t xml:space="preserve">su respuesta inicial, y acompaña </w:t>
      </w:r>
      <w:r w:rsidR="0089651A">
        <w:rPr>
          <w:rFonts w:ascii="Palatino Linotype" w:hAnsi="Palatino Linotype"/>
          <w:color w:val="000000" w:themeColor="text1"/>
        </w:rPr>
        <w:t>con el Acta de la Octogésima Quinta Sesión Extraordinaria de Cabildo, celebrada el diecinueve (19) de abril de dos mil veintiuno, en la que se autorizó la licencia temporal a partir del veintiocho (28) de abril de dos mil veintiuno y hasta por 60 días naturales, de la Presidenta Municipal y otros servidores públicos.</w:t>
      </w:r>
    </w:p>
    <w:p w14:paraId="702E3841"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60E1DD3E" w14:textId="12A40B81" w:rsidR="007820F2" w:rsidRDefault="007820F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razón de lo anterior, y toda vez </w:t>
      </w:r>
      <w:r w:rsidRPr="00140206">
        <w:rPr>
          <w:rFonts w:ascii="Palatino Linotype" w:hAnsi="Palatino Linotype"/>
          <w:color w:val="000000" w:themeColor="text1"/>
        </w:rPr>
        <w:t xml:space="preserve">que el </w:t>
      </w:r>
      <w:r w:rsidRPr="00140206">
        <w:rPr>
          <w:rFonts w:ascii="Palatino Linotype" w:hAnsi="Palatino Linotype"/>
          <w:b/>
          <w:color w:val="000000" w:themeColor="text1"/>
        </w:rPr>
        <w:t>SUJETO OBLIGADO</w:t>
      </w:r>
      <w:r>
        <w:rPr>
          <w:rFonts w:ascii="Palatino Linotype" w:hAnsi="Palatino Linotype"/>
          <w:color w:val="000000" w:themeColor="text1"/>
        </w:rPr>
        <w:t xml:space="preserve"> señaló a</w:t>
      </w:r>
      <w:r w:rsidRPr="00140206">
        <w:rPr>
          <w:rFonts w:ascii="Palatino Linotype" w:hAnsi="Palatino Linotype"/>
          <w:color w:val="000000" w:themeColor="text1"/>
        </w:rPr>
        <w:t xml:space="preserve">l </w:t>
      </w:r>
      <w:r>
        <w:rPr>
          <w:rFonts w:ascii="Palatino Linotype" w:hAnsi="Palatino Linotype"/>
          <w:b/>
          <w:color w:val="000000" w:themeColor="text1"/>
        </w:rPr>
        <w:t>Instituto Electoral del Estado de México</w:t>
      </w:r>
      <w:r w:rsidRPr="00140206">
        <w:rPr>
          <w:rFonts w:ascii="Palatino Linotype" w:hAnsi="Palatino Linotype"/>
          <w:color w:val="000000" w:themeColor="text1"/>
        </w:rPr>
        <w:t xml:space="preserve"> como el ente público competente para poseer, generar y admin</w:t>
      </w:r>
      <w:r>
        <w:rPr>
          <w:rFonts w:ascii="Palatino Linotype" w:hAnsi="Palatino Linotype"/>
          <w:color w:val="000000" w:themeColor="text1"/>
        </w:rPr>
        <w:t>istrar la información,</w:t>
      </w:r>
      <w:r w:rsidRPr="00140206">
        <w:rPr>
          <w:rFonts w:ascii="Palatino Linotype" w:hAnsi="Palatino Linotype"/>
          <w:color w:val="000000" w:themeColor="text1"/>
        </w:rPr>
        <w:t xml:space="preserve"> el estudio del presente asuntó versará en analizar el marco legal que recubre a la información solicitada, para posteriormente analizar la esfera de competencia del </w:t>
      </w:r>
      <w:r w:rsidRPr="00140206">
        <w:rPr>
          <w:rFonts w:ascii="Palatino Linotype" w:hAnsi="Palatino Linotype"/>
          <w:b/>
          <w:color w:val="000000" w:themeColor="text1"/>
        </w:rPr>
        <w:t>SUJETO OBLIGADO</w:t>
      </w:r>
      <w:r w:rsidRPr="00140206">
        <w:rPr>
          <w:rFonts w:ascii="Palatino Linotype" w:hAnsi="Palatino Linotype"/>
          <w:color w:val="000000" w:themeColor="text1"/>
        </w:rPr>
        <w:t xml:space="preserve"> para poseerla, generarla y/o administrarla.</w:t>
      </w:r>
    </w:p>
    <w:p w14:paraId="2ACA06ED"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E231DA7" w14:textId="01EF7D47" w:rsidR="007820F2" w:rsidRPr="007820F2"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7" w:name="_Toc87456491"/>
      <w:r>
        <w:rPr>
          <w:rFonts w:ascii="Palatino Linotype" w:hAnsi="Palatino Linotype"/>
          <w:b/>
          <w:color w:val="000000" w:themeColor="text1"/>
        </w:rPr>
        <w:t>II. Del Ayuntamiento de Teoloyucan.</w:t>
      </w:r>
      <w:bookmarkEnd w:id="27"/>
    </w:p>
    <w:p w14:paraId="1435567A"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BD337F0"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artículo 115 de la Constitución Política de los Estados Unidos Mexicanos, en su fracción II, establece que los </w:t>
      </w:r>
      <w:r w:rsidRPr="0009663D">
        <w:rPr>
          <w:rFonts w:ascii="Palatino Linotype" w:hAnsi="Palatino Linotype"/>
          <w:color w:val="000000" w:themeColor="text1"/>
        </w:rPr>
        <w:t xml:space="preserve">municipios estarán investidos de personalidad jurídica y manejarán su patrimonio </w:t>
      </w:r>
      <w:r>
        <w:rPr>
          <w:rFonts w:ascii="Palatino Linotype" w:hAnsi="Palatino Linotype"/>
          <w:color w:val="000000" w:themeColor="text1"/>
        </w:rPr>
        <w:t xml:space="preserve">conforme a la ley; derivado de lo anterior, </w:t>
      </w:r>
      <w:r w:rsidRPr="0009663D">
        <w:rPr>
          <w:rFonts w:ascii="Palatino Linotype" w:hAnsi="Palatino Linotype"/>
          <w:color w:val="000000" w:themeColor="text1"/>
        </w:rPr>
        <w:t xml:space="preserve">tendrán facultades para aprobar, de acuerdo con las leyes en materia municipal, los bandos de policía y gobierno, los reglamentos, circulares y disposiciones administrativas de observancia general dentro de sus respectivas jurisdicciones, que organicen </w:t>
      </w:r>
      <w:r w:rsidRPr="00335793">
        <w:rPr>
          <w:rFonts w:ascii="Palatino Linotype" w:hAnsi="Palatino Linotype"/>
          <w:b/>
          <w:color w:val="000000" w:themeColor="text1"/>
        </w:rPr>
        <w:t>la administración pública municipal, regulen las materias, procedimientos, funciones y servicios públicos de su competencia y aseguren la participación ciudadana y vecinal</w:t>
      </w:r>
      <w:r w:rsidRPr="0009663D">
        <w:rPr>
          <w:rFonts w:ascii="Palatino Linotype" w:hAnsi="Palatino Linotype"/>
          <w:color w:val="000000" w:themeColor="text1"/>
        </w:rPr>
        <w:t>.</w:t>
      </w:r>
    </w:p>
    <w:p w14:paraId="6115BD44"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1A0AB3B2"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la fracción III del artículo constitucional en estudio, señala que los municipios, también, tendrán a su cargo las funciones y servicios públicos siguientes:</w:t>
      </w:r>
    </w:p>
    <w:p w14:paraId="279C6CE9"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Agua </w:t>
      </w:r>
      <w:r w:rsidRPr="00335793">
        <w:rPr>
          <w:rFonts w:ascii="Palatino Linotype" w:hAnsi="Palatino Linotype"/>
          <w:color w:val="000000" w:themeColor="text1"/>
        </w:rPr>
        <w:t>potable, drenaje, alcantarillado, tratamiento y disposición de sus aguas residuales;</w:t>
      </w:r>
    </w:p>
    <w:p w14:paraId="370AF7CB"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Alumbrado público;</w:t>
      </w:r>
    </w:p>
    <w:p w14:paraId="3AD0F5B9"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Limpia, recolección, traslado, tratamiento y disposición final de residuos;</w:t>
      </w:r>
    </w:p>
    <w:p w14:paraId="7D6F7EEA"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Mercados y centrales de abasto</w:t>
      </w:r>
      <w:r>
        <w:rPr>
          <w:rFonts w:ascii="Palatino Linotype" w:hAnsi="Palatino Linotype"/>
          <w:color w:val="000000" w:themeColor="text1"/>
        </w:rPr>
        <w:t>;</w:t>
      </w:r>
      <w:r w:rsidRPr="00335793">
        <w:rPr>
          <w:rFonts w:ascii="Palatino Linotype" w:hAnsi="Palatino Linotype"/>
          <w:color w:val="000000" w:themeColor="text1"/>
        </w:rPr>
        <w:t xml:space="preserve"> </w:t>
      </w:r>
    </w:p>
    <w:p w14:paraId="3964C680"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Panteones.</w:t>
      </w:r>
    </w:p>
    <w:p w14:paraId="6A200120"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Rastro</w:t>
      </w:r>
      <w:r>
        <w:rPr>
          <w:rFonts w:ascii="Palatino Linotype" w:hAnsi="Palatino Linotype"/>
          <w:color w:val="000000" w:themeColor="text1"/>
        </w:rPr>
        <w:t>;</w:t>
      </w:r>
      <w:r w:rsidRPr="00335793">
        <w:rPr>
          <w:rFonts w:ascii="Palatino Linotype" w:hAnsi="Palatino Linotype"/>
          <w:color w:val="000000" w:themeColor="text1"/>
        </w:rPr>
        <w:t xml:space="preserve"> </w:t>
      </w:r>
    </w:p>
    <w:p w14:paraId="68D826A7"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Calles, parques y jardines y su equipamiento;</w:t>
      </w:r>
    </w:p>
    <w:p w14:paraId="474FC270"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 xml:space="preserve">Seguridad pública, en </w:t>
      </w:r>
      <w:r>
        <w:rPr>
          <w:rFonts w:ascii="Palatino Linotype" w:hAnsi="Palatino Linotype"/>
          <w:color w:val="000000" w:themeColor="text1"/>
        </w:rPr>
        <w:t>los términos del artículo 21 constitucional</w:t>
      </w:r>
      <w:r w:rsidRPr="00335793">
        <w:rPr>
          <w:rFonts w:ascii="Palatino Linotype" w:hAnsi="Palatino Linotype"/>
          <w:color w:val="000000" w:themeColor="text1"/>
        </w:rPr>
        <w:t xml:space="preserve">, policía preventiva municipal y tránsito; </w:t>
      </w:r>
      <w:r>
        <w:rPr>
          <w:rFonts w:ascii="Palatino Linotype" w:hAnsi="Palatino Linotype"/>
          <w:color w:val="000000" w:themeColor="text1"/>
        </w:rPr>
        <w:t>y</w:t>
      </w:r>
    </w:p>
    <w:p w14:paraId="59E3207F"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Los demás que las Legislaturas locales determinen según las condiciones territoriales y</w:t>
      </w:r>
      <w:r>
        <w:rPr>
          <w:rFonts w:ascii="Palatino Linotype" w:hAnsi="Palatino Linotype"/>
          <w:color w:val="000000" w:themeColor="text1"/>
        </w:rPr>
        <w:t xml:space="preserve"> socio-económicas de los Municipios, así como su capacidad administrativa y financiera.</w:t>
      </w:r>
    </w:p>
    <w:p w14:paraId="796291DB"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55828A13"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la fracción V del numeral 115 constitucional establece que los municipios, </w:t>
      </w:r>
      <w:r w:rsidRPr="00335793">
        <w:rPr>
          <w:rFonts w:ascii="Palatino Linotype" w:hAnsi="Palatino Linotype"/>
          <w:color w:val="000000" w:themeColor="text1"/>
        </w:rPr>
        <w:t xml:space="preserve">en </w:t>
      </w:r>
      <w:r>
        <w:rPr>
          <w:rFonts w:ascii="Palatino Linotype" w:hAnsi="Palatino Linotype"/>
          <w:color w:val="000000" w:themeColor="text1"/>
        </w:rPr>
        <w:t>l</w:t>
      </w:r>
      <w:r w:rsidRPr="00335793">
        <w:rPr>
          <w:rFonts w:ascii="Palatino Linotype" w:hAnsi="Palatino Linotype"/>
          <w:color w:val="000000" w:themeColor="text1"/>
        </w:rPr>
        <w:t>os términos de las leyes federales y Estatales relativas, estarán facultados para:</w:t>
      </w:r>
    </w:p>
    <w:p w14:paraId="0BF7DD23"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Formular, </w:t>
      </w:r>
      <w:r w:rsidRPr="00335793">
        <w:rPr>
          <w:rFonts w:ascii="Palatino Linotype" w:hAnsi="Palatino Linotype"/>
          <w:color w:val="000000" w:themeColor="text1"/>
        </w:rPr>
        <w:t xml:space="preserve">aprobar y administrar la zonificación y planes de desarrollo urbano municipal, así como los planes en materia de movilidad y seguridad vial; </w:t>
      </w:r>
    </w:p>
    <w:p w14:paraId="3EEB4036"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lastRenderedPageBreak/>
        <w:t xml:space="preserve">Participar en la creación y administración de sus reservas territoriales; </w:t>
      </w:r>
    </w:p>
    <w:p w14:paraId="620B2FCE"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14:paraId="6235EA05"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Autorizar, </w:t>
      </w:r>
      <w:r w:rsidRPr="00335793">
        <w:rPr>
          <w:rFonts w:ascii="Palatino Linotype" w:hAnsi="Palatino Linotype"/>
          <w:color w:val="000000" w:themeColor="text1"/>
        </w:rPr>
        <w:t xml:space="preserve">controlar y vigilar la utilización del suelo, en el ámbito de su competencia, en sus jurisdicciones territoriales; </w:t>
      </w:r>
    </w:p>
    <w:p w14:paraId="495FA924"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 xml:space="preserve">Intervenir en la regularización de la tenencia de la tierra urbana; </w:t>
      </w:r>
    </w:p>
    <w:p w14:paraId="75E8B66C"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 xml:space="preserve">Otorgar licencias y permisos para construcciones; </w:t>
      </w:r>
    </w:p>
    <w:p w14:paraId="7BAB4019"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 xml:space="preserve">Participar en la creación y administración de zonas de reservas ecológicas y en la elaboración y aplicación de programas de ordenamiento en esta materia; </w:t>
      </w:r>
    </w:p>
    <w:p w14:paraId="73C6EA74"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Intervenir en la formulación y aplicación de programas de transporte público de pasajeros cuando aquellos a</w:t>
      </w:r>
      <w:r>
        <w:rPr>
          <w:rFonts w:ascii="Palatino Linotype" w:hAnsi="Palatino Linotype"/>
          <w:color w:val="000000" w:themeColor="text1"/>
        </w:rPr>
        <w:t>fecten su ámbito territorial; y</w:t>
      </w:r>
    </w:p>
    <w:p w14:paraId="311D4938" w14:textId="77777777" w:rsidR="007820F2" w:rsidRDefault="007820F2" w:rsidP="007820F2">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35793">
        <w:rPr>
          <w:rFonts w:ascii="Palatino Linotype" w:hAnsi="Palatino Linotype"/>
          <w:color w:val="000000" w:themeColor="text1"/>
        </w:rPr>
        <w:t>Celebrar convenios para la administración y custodia de las zonas federales.</w:t>
      </w:r>
    </w:p>
    <w:p w14:paraId="4B8EC488"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3F16716B"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a lo anterior, el artículo 15 de la Ley Orgánica Municipal del Estado de México señala que cada </w:t>
      </w:r>
      <w:r w:rsidRPr="000F6BFE">
        <w:rPr>
          <w:rFonts w:ascii="Palatino Linotype" w:hAnsi="Palatino Linotype"/>
          <w:color w:val="000000" w:themeColor="text1"/>
        </w:rPr>
        <w:t>municipio será gobernado por un ayuntamiento de elección popular directa y no habrá ninguna autoridad intermedia entre éste y el Gobierno del Estado.</w:t>
      </w:r>
    </w:p>
    <w:p w14:paraId="5B09F1CF"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78E672B"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podemos determinar que, por mandato constitucional, los ayuntamientos se encargarán de gobernar y administrar los municipios donde éstos </w:t>
      </w:r>
      <w:r>
        <w:rPr>
          <w:rFonts w:ascii="Palatino Linotype" w:hAnsi="Palatino Linotype"/>
          <w:color w:val="000000" w:themeColor="text1"/>
        </w:rPr>
        <w:lastRenderedPageBreak/>
        <w:t>se establezcan, a través de la implementación y seguimiento de leyes, reglamentos, normas, decretos y procedimientos que regulen los servicios y actividades encomendadas por las leyes aplicables, como son el artículo 115 constitucional y la Ley Orgánica Municipal del Estado de México.</w:t>
      </w:r>
    </w:p>
    <w:p w14:paraId="1D18B5B7"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57FFDFD5" w14:textId="0F35B530" w:rsidR="007820F2" w:rsidRPr="001A2C62" w:rsidRDefault="00F94AEA"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7456492"/>
      <w:r>
        <w:rPr>
          <w:rFonts w:ascii="Palatino Linotype" w:hAnsi="Palatino Linotype"/>
          <w:b/>
          <w:color w:val="000000" w:themeColor="text1"/>
        </w:rPr>
        <w:t>III</w:t>
      </w:r>
      <w:r w:rsidR="007820F2">
        <w:rPr>
          <w:rFonts w:ascii="Palatino Linotype" w:hAnsi="Palatino Linotype"/>
          <w:b/>
          <w:color w:val="000000" w:themeColor="text1"/>
        </w:rPr>
        <w:t>. Del Instituto Electoral del Estado de México.</w:t>
      </w:r>
      <w:bookmarkEnd w:id="28"/>
    </w:p>
    <w:p w14:paraId="0E3ACA9E"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007BD9E2"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artículo 41 de la </w:t>
      </w:r>
      <w:r>
        <w:rPr>
          <w:rFonts w:ascii="Palatino Linotype" w:hAnsi="Palatino Linotype"/>
          <w:i/>
          <w:color w:val="000000" w:themeColor="text1"/>
        </w:rPr>
        <w:t>Magna Carta</w:t>
      </w:r>
      <w:r>
        <w:rPr>
          <w:rFonts w:ascii="Palatino Linotype" w:hAnsi="Palatino Linotype"/>
          <w:color w:val="000000" w:themeColor="text1"/>
        </w:rPr>
        <w:t xml:space="preserve"> establece que para la renovación de </w:t>
      </w:r>
      <w:r w:rsidRPr="00A40951">
        <w:rPr>
          <w:rFonts w:ascii="Palatino Linotype" w:hAnsi="Palatino Linotype"/>
          <w:color w:val="000000" w:themeColor="text1"/>
        </w:rPr>
        <w:t xml:space="preserve">los poderes Legislativo y Ejecutivo se realizará mediante elecciones libres, auténticas y periódicas, conforme a </w:t>
      </w:r>
      <w:r>
        <w:rPr>
          <w:rFonts w:ascii="Palatino Linotype" w:hAnsi="Palatino Linotype"/>
          <w:color w:val="000000" w:themeColor="text1"/>
        </w:rPr>
        <w:t>diversas bases, en las que destaca la que se enuncia a continuación:</w:t>
      </w:r>
    </w:p>
    <w:p w14:paraId="2A625558"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1970EB30" w14:textId="77777777" w:rsidR="007820F2" w:rsidRPr="00A40951"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A40951">
        <w:rPr>
          <w:rFonts w:ascii="Palatino Linotype" w:hAnsi="Palatino Linotype"/>
          <w:i/>
          <w:sz w:val="22"/>
        </w:rPr>
        <w:t>(…)</w:t>
      </w:r>
    </w:p>
    <w:p w14:paraId="1BFB43BA" w14:textId="77777777" w:rsidR="007820F2" w:rsidRDefault="007820F2" w:rsidP="007820F2">
      <w:pPr>
        <w:pStyle w:val="Prrafodelista"/>
        <w:tabs>
          <w:tab w:val="left" w:pos="426"/>
        </w:tabs>
        <w:spacing w:before="240" w:after="240" w:line="276" w:lineRule="auto"/>
        <w:ind w:left="567" w:right="567"/>
        <w:jc w:val="both"/>
        <w:rPr>
          <w:rFonts w:ascii="Palatino Linotype" w:hAnsi="Palatino Linotype"/>
          <w:sz w:val="22"/>
        </w:rPr>
      </w:pPr>
      <w:r w:rsidRPr="00A40951">
        <w:rPr>
          <w:rFonts w:ascii="Palatino Linotype" w:hAnsi="Palatino Linotype"/>
          <w:b/>
          <w:i/>
          <w:sz w:val="22"/>
        </w:rPr>
        <w:t>II. La ley</w:t>
      </w:r>
      <w:r w:rsidRPr="00A40951">
        <w:rPr>
          <w:rFonts w:ascii="Palatino Linotype" w:hAnsi="Palatino Linotype"/>
          <w:i/>
          <w:sz w:val="22"/>
        </w:rPr>
        <w:t xml:space="preserve"> garantizará que los partidos políticos nacionales cuenten de manera equitativa con elementos para llevar a cabo sus actividades y </w:t>
      </w:r>
      <w:r w:rsidRPr="00A40951">
        <w:rPr>
          <w:rFonts w:ascii="Palatino Linotype" w:hAnsi="Palatino Linotype"/>
          <w:b/>
          <w:i/>
          <w:sz w:val="22"/>
        </w:rPr>
        <w:t>señalará las reglas a que se sujetará el financiamiento de los propios partidos y sus campañas electorales</w:t>
      </w:r>
      <w:r w:rsidRPr="00A40951">
        <w:rPr>
          <w:rFonts w:ascii="Palatino Linotype" w:hAnsi="Palatino Linotype"/>
          <w:i/>
          <w:sz w:val="22"/>
        </w:rPr>
        <w:t>, debiendo garantizar que los recursos públicos prevalezcan sobre los de origen privado. (…)</w:t>
      </w:r>
    </w:p>
    <w:p w14:paraId="11620A02" w14:textId="77777777" w:rsidR="007820F2" w:rsidRPr="00A40951" w:rsidRDefault="007820F2" w:rsidP="007820F2">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(Sic)</w:t>
      </w:r>
    </w:p>
    <w:p w14:paraId="792698DF"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58C396AA"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mandato constitucional anterior, es reiterado en el artículo 12 de la Constitución Política del Estado Libre y Soberano de México, el cual reconoce a los partidos políticos como </w:t>
      </w:r>
      <w:r w:rsidRPr="00A40951">
        <w:rPr>
          <w:rFonts w:ascii="Palatino Linotype" w:hAnsi="Palatino Linotype"/>
          <w:color w:val="000000" w:themeColor="text1"/>
        </w:rPr>
        <w:t xml:space="preserve">entidades de interés público con personalidad jurídica y patrimonio propio, </w:t>
      </w:r>
      <w:r w:rsidRPr="00A40951">
        <w:rPr>
          <w:rFonts w:ascii="Palatino Linotype" w:hAnsi="Palatino Linotype"/>
          <w:b/>
          <w:color w:val="000000" w:themeColor="text1"/>
        </w:rPr>
        <w:t>con registro ante el Instituto Nacional Electoral y el Instituto Electoral del Estado de México</w:t>
      </w:r>
      <w:r w:rsidRPr="00A40951">
        <w:rPr>
          <w:rFonts w:ascii="Palatino Linotype" w:hAnsi="Palatino Linotype"/>
          <w:color w:val="000000" w:themeColor="text1"/>
        </w:rPr>
        <w:t xml:space="preserve">, </w:t>
      </w:r>
      <w:r>
        <w:rPr>
          <w:rFonts w:ascii="Palatino Linotype" w:hAnsi="Palatino Linotype"/>
          <w:color w:val="000000" w:themeColor="text1"/>
        </w:rPr>
        <w:t xml:space="preserve">y que </w:t>
      </w:r>
      <w:r w:rsidRPr="00A40951">
        <w:rPr>
          <w:rFonts w:ascii="Palatino Linotype" w:hAnsi="Palatino Linotype"/>
          <w:color w:val="000000" w:themeColor="text1"/>
        </w:rPr>
        <w:t>tienen como fin promover la participación del pueblo en la vida democrática,</w:t>
      </w:r>
      <w:r>
        <w:rPr>
          <w:rFonts w:ascii="Palatino Linotype" w:hAnsi="Palatino Linotype"/>
          <w:color w:val="000000" w:themeColor="text1"/>
        </w:rPr>
        <w:t xml:space="preserve"> </w:t>
      </w:r>
      <w:r w:rsidRPr="00A40951">
        <w:rPr>
          <w:rFonts w:ascii="Palatino Linotype" w:hAnsi="Palatino Linotype"/>
          <w:color w:val="000000" w:themeColor="text1"/>
        </w:rPr>
        <w:t xml:space="preserve">fomentar el principio de paridad de género, contribuir a la integración de los órganos de representación política y como </w:t>
      </w:r>
      <w:r w:rsidRPr="00A40951">
        <w:rPr>
          <w:rFonts w:ascii="Palatino Linotype" w:hAnsi="Palatino Linotype"/>
          <w:color w:val="000000" w:themeColor="text1"/>
        </w:rPr>
        <w:lastRenderedPageBreak/>
        <w:t xml:space="preserve">organizaciones de ciudadanas y ciudadanos, facilitarles el acceso al ejercicio del poder público, de acuerdo con los programas, principios e ideas que postulan y mediante el sufragio universal, libre, secreto y directo, así como las reglas para garantizar la paridad de género en las candidaturas a Diputaciones Locales e </w:t>
      </w:r>
      <w:r w:rsidRPr="00A40951">
        <w:rPr>
          <w:rFonts w:ascii="Palatino Linotype" w:hAnsi="Palatino Linotype"/>
          <w:b/>
          <w:color w:val="000000" w:themeColor="text1"/>
        </w:rPr>
        <w:t>integrantes de los Ayuntamientos, y a los demás cargos de elección popular</w:t>
      </w:r>
      <w:r w:rsidRPr="00A40951">
        <w:rPr>
          <w:rFonts w:ascii="Palatino Linotype" w:hAnsi="Palatino Linotype"/>
          <w:color w:val="000000" w:themeColor="text1"/>
        </w:rPr>
        <w:t xml:space="preserve">, así como contribuir a la erradicación de la violencia política en razón de género. </w:t>
      </w:r>
      <w:r>
        <w:rPr>
          <w:rFonts w:ascii="Palatino Linotype" w:hAnsi="Palatino Linotype"/>
          <w:color w:val="000000" w:themeColor="text1"/>
        </w:rPr>
        <w:t xml:space="preserve">Más adelante, se reitera que la </w:t>
      </w:r>
      <w:r w:rsidRPr="00A40951">
        <w:rPr>
          <w:rFonts w:ascii="Palatino Linotype" w:hAnsi="Palatino Linotype"/>
          <w:color w:val="000000" w:themeColor="text1"/>
        </w:rPr>
        <w:t>a ley garantizará que los partidos políticos cuenten de manera equitativa con elementos par</w:t>
      </w:r>
      <w:r>
        <w:rPr>
          <w:rFonts w:ascii="Palatino Linotype" w:hAnsi="Palatino Linotype"/>
          <w:color w:val="000000" w:themeColor="text1"/>
        </w:rPr>
        <w:t>a llevar a cabo sus actividades; asimismo, se esta</w:t>
      </w:r>
      <w:r w:rsidRPr="00A40951">
        <w:rPr>
          <w:rFonts w:ascii="Palatino Linotype" w:hAnsi="Palatino Linotype"/>
          <w:color w:val="000000" w:themeColor="text1"/>
        </w:rPr>
        <w:t>blecerá</w:t>
      </w:r>
      <w:r>
        <w:rPr>
          <w:rFonts w:ascii="Palatino Linotype" w:hAnsi="Palatino Linotype"/>
          <w:color w:val="000000" w:themeColor="text1"/>
        </w:rPr>
        <w:t>n</w:t>
      </w:r>
      <w:r w:rsidRPr="00A40951">
        <w:rPr>
          <w:rFonts w:ascii="Palatino Linotype" w:hAnsi="Palatino Linotype"/>
          <w:color w:val="000000" w:themeColor="text1"/>
        </w:rPr>
        <w:t xml:space="preserve"> las reglas a las que se sujetará el </w:t>
      </w:r>
      <w:r w:rsidRPr="00A40951">
        <w:rPr>
          <w:rFonts w:ascii="Palatino Linotype" w:hAnsi="Palatino Linotype"/>
          <w:b/>
          <w:color w:val="000000" w:themeColor="text1"/>
        </w:rPr>
        <w:t>financiamiento tanto público como privado de los partidos políticos</w:t>
      </w:r>
      <w:r w:rsidRPr="00A40951">
        <w:rPr>
          <w:rFonts w:ascii="Palatino Linotype" w:hAnsi="Palatino Linotype"/>
          <w:color w:val="000000" w:themeColor="text1"/>
        </w:rPr>
        <w:t>.</w:t>
      </w:r>
    </w:p>
    <w:p w14:paraId="6277CC5A"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8E7754F"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bien, el </w:t>
      </w:r>
      <w:r w:rsidRPr="006F40FD">
        <w:rPr>
          <w:rFonts w:ascii="Palatino Linotype" w:hAnsi="Palatino Linotype"/>
          <w:color w:val="000000" w:themeColor="text1"/>
        </w:rPr>
        <w:t xml:space="preserve">Instituto </w:t>
      </w:r>
      <w:r>
        <w:rPr>
          <w:rFonts w:ascii="Palatino Linotype" w:hAnsi="Palatino Linotype"/>
          <w:color w:val="000000" w:themeColor="text1"/>
        </w:rPr>
        <w:t xml:space="preserve">Electoral del Estado de México </w:t>
      </w:r>
      <w:r w:rsidRPr="006F40FD">
        <w:rPr>
          <w:rFonts w:ascii="Palatino Linotype" w:hAnsi="Palatino Linotype"/>
          <w:color w:val="000000" w:themeColor="text1"/>
        </w:rPr>
        <w:t xml:space="preserve">es el organismo público dotado de personalidad jurídica y patrimonio propio, autónomo en su funcionamiento e independiente en sus decisiones, </w:t>
      </w:r>
      <w:r w:rsidRPr="00A40951">
        <w:rPr>
          <w:rFonts w:ascii="Palatino Linotype" w:hAnsi="Palatino Linotype"/>
          <w:b/>
          <w:color w:val="000000" w:themeColor="text1"/>
        </w:rPr>
        <w:t>responsable de la organización, desarrollo y vigilancia de los procesos electorales</w:t>
      </w:r>
      <w:r>
        <w:rPr>
          <w:rFonts w:ascii="Palatino Linotype" w:hAnsi="Palatino Linotype"/>
          <w:color w:val="000000" w:themeColor="text1"/>
        </w:rPr>
        <w:t xml:space="preserve">; </w:t>
      </w:r>
      <w:r w:rsidRPr="006F40FD">
        <w:rPr>
          <w:rFonts w:ascii="Palatino Linotype" w:hAnsi="Palatino Linotype"/>
          <w:color w:val="000000" w:themeColor="text1"/>
        </w:rPr>
        <w:t>es</w:t>
      </w:r>
      <w:r>
        <w:rPr>
          <w:rFonts w:ascii="Palatino Linotype" w:hAnsi="Palatino Linotype"/>
          <w:color w:val="000000" w:themeColor="text1"/>
        </w:rPr>
        <w:t xml:space="preserve"> una</w:t>
      </w:r>
      <w:r w:rsidRPr="006F40FD">
        <w:rPr>
          <w:rFonts w:ascii="Palatino Linotype" w:hAnsi="Palatino Linotype"/>
          <w:color w:val="000000" w:themeColor="text1"/>
        </w:rPr>
        <w:t xml:space="preserve"> autoridad electoral de carácter permanente,</w:t>
      </w:r>
      <w:r>
        <w:rPr>
          <w:rFonts w:ascii="Palatino Linotype" w:hAnsi="Palatino Linotype"/>
          <w:color w:val="000000" w:themeColor="text1"/>
        </w:rPr>
        <w:t xml:space="preserve"> y profesional en su desempeño, la cual </w:t>
      </w:r>
      <w:r w:rsidRPr="006F40FD">
        <w:rPr>
          <w:rFonts w:ascii="Palatino Linotype" w:hAnsi="Palatino Linotype"/>
          <w:color w:val="000000" w:themeColor="text1"/>
        </w:rPr>
        <w:t>se regirá por los principios de certeza, imparcialidad, independencia, legalidad, máxima publicidad, objetividad y paridad</w:t>
      </w:r>
      <w:r>
        <w:rPr>
          <w:rStyle w:val="Refdenotaalpie"/>
          <w:rFonts w:ascii="Palatino Linotype" w:hAnsi="Palatino Linotype"/>
          <w:color w:val="000000" w:themeColor="text1"/>
        </w:rPr>
        <w:footnoteReference w:id="1"/>
      </w:r>
      <w:r w:rsidRPr="006F40FD">
        <w:rPr>
          <w:rFonts w:ascii="Palatino Linotype" w:hAnsi="Palatino Linotype"/>
          <w:color w:val="000000" w:themeColor="text1"/>
        </w:rPr>
        <w:t xml:space="preserve">. </w:t>
      </w:r>
    </w:p>
    <w:p w14:paraId="528C1EA8"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6480ED65" w14:textId="77777777" w:rsidR="007820F2" w:rsidRPr="0044066C"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conformidad con lo dispuesto por el artículo 168 del Código Electoral del Estado de México, el Instituto Electoral Estatal tendrá, entre sus atribuciones, las siguientes:</w:t>
      </w:r>
    </w:p>
    <w:p w14:paraId="412017C7"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073D1034"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i/>
          <w:color w:val="000000" w:themeColor="text1"/>
          <w:sz w:val="22"/>
        </w:rPr>
        <w:lastRenderedPageBreak/>
        <w:t>“</w:t>
      </w:r>
      <w:r w:rsidRPr="0044066C">
        <w:rPr>
          <w:rFonts w:ascii="Palatino Linotype" w:hAnsi="Palatino Linotype"/>
          <w:b/>
          <w:i/>
          <w:sz w:val="22"/>
        </w:rPr>
        <w:t>I.</w:t>
      </w:r>
      <w:r w:rsidRPr="0044066C">
        <w:rPr>
          <w:rFonts w:ascii="Palatino Linotype" w:hAnsi="Palatino Linotype"/>
          <w:i/>
          <w:sz w:val="22"/>
        </w:rPr>
        <w:t xml:space="preserve"> Aplicar las disposiciones generales, lineamientos, criterios y formatos que en ejercicio de sus facultades le confiere la Constitución Federal, la Ley General de Instituciones y Procedimientos Electorales, la Constitución Local y la normativa aplicable.</w:t>
      </w:r>
    </w:p>
    <w:p w14:paraId="4CA34560"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i/>
          <w:sz w:val="22"/>
        </w:rPr>
        <w:t>(…)</w:t>
      </w:r>
    </w:p>
    <w:p w14:paraId="2EA94D57"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b/>
          <w:i/>
          <w:sz w:val="22"/>
        </w:rPr>
      </w:pPr>
      <w:r w:rsidRPr="0044066C">
        <w:rPr>
          <w:rFonts w:ascii="Palatino Linotype" w:hAnsi="Palatino Linotype"/>
          <w:b/>
          <w:i/>
          <w:sz w:val="22"/>
        </w:rPr>
        <w:t>III. Garantizar la ministración oportuna del financiamiento público a que tienen derechos los partidos políticos y los candidatos independientes.</w:t>
      </w:r>
    </w:p>
    <w:p w14:paraId="3008D7CD"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i/>
          <w:sz w:val="22"/>
        </w:rPr>
        <w:t>(…)</w:t>
      </w:r>
    </w:p>
    <w:p w14:paraId="5E4B9B1A"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b/>
          <w:i/>
          <w:sz w:val="22"/>
        </w:rPr>
        <w:t>VI.</w:t>
      </w:r>
      <w:r w:rsidRPr="0044066C">
        <w:rPr>
          <w:rFonts w:ascii="Palatino Linotype" w:hAnsi="Palatino Linotype"/>
          <w:i/>
          <w:sz w:val="22"/>
        </w:rPr>
        <w:t xml:space="preserve"> Llevar a cabo las actividades necesarias para la preparación de la jornada electoral.</w:t>
      </w:r>
    </w:p>
    <w:p w14:paraId="158A272A"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i/>
          <w:sz w:val="22"/>
        </w:rPr>
        <w:t>(…)</w:t>
      </w:r>
    </w:p>
    <w:p w14:paraId="700D2D41"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b/>
          <w:i/>
          <w:sz w:val="22"/>
        </w:rPr>
        <w:t>VIII.</w:t>
      </w:r>
      <w:r w:rsidRPr="0044066C">
        <w:rPr>
          <w:rFonts w:ascii="Palatino Linotype" w:hAnsi="Palatino Linotype"/>
          <w:i/>
          <w:sz w:val="22"/>
        </w:rPr>
        <w:t xml:space="preserve"> Efectuar el escrutinio y cómputo total de la elección para diputados, integrantes de los ayuntamientos, con base en los resultados consignados en las actas de cómputos distritales y municipales. </w:t>
      </w:r>
    </w:p>
    <w:p w14:paraId="448DFCE4"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b/>
          <w:i/>
          <w:sz w:val="22"/>
        </w:rPr>
        <w:t>IX.</w:t>
      </w:r>
      <w:r w:rsidRPr="0044066C">
        <w:rPr>
          <w:rFonts w:ascii="Palatino Linotype" w:hAnsi="Palatino Linotype"/>
          <w:i/>
          <w:sz w:val="22"/>
        </w:rPr>
        <w:t xml:space="preserve"> 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 </w:t>
      </w:r>
    </w:p>
    <w:p w14:paraId="162B8E6C"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44066C">
        <w:rPr>
          <w:rFonts w:ascii="Palatino Linotype" w:hAnsi="Palatino Linotype"/>
          <w:b/>
          <w:i/>
          <w:sz w:val="22"/>
        </w:rPr>
        <w:t>X.</w:t>
      </w:r>
      <w:r w:rsidRPr="0044066C">
        <w:rPr>
          <w:rFonts w:ascii="Palatino Linotype" w:hAnsi="Palatino Linotype"/>
          <w:i/>
          <w:sz w:val="22"/>
        </w:rPr>
        <w:t xml:space="preserve"> Efectuar el escrutinio y cómputo de la elección del titular del Poder Ejecutivo.</w:t>
      </w:r>
    </w:p>
    <w:p w14:paraId="200385AD" w14:textId="77777777" w:rsidR="007820F2" w:rsidRDefault="007820F2" w:rsidP="007820F2">
      <w:pPr>
        <w:pStyle w:val="Prrafodelista"/>
        <w:tabs>
          <w:tab w:val="left" w:pos="426"/>
        </w:tabs>
        <w:spacing w:before="240" w:after="240" w:line="276" w:lineRule="auto"/>
        <w:ind w:left="567" w:right="567"/>
        <w:jc w:val="both"/>
        <w:rPr>
          <w:rFonts w:ascii="Palatino Linotype" w:hAnsi="Palatino Linotype"/>
          <w:sz w:val="22"/>
        </w:rPr>
      </w:pPr>
      <w:r w:rsidRPr="0044066C">
        <w:rPr>
          <w:rFonts w:ascii="Palatino Linotype" w:hAnsi="Palatino Linotype"/>
          <w:i/>
          <w:sz w:val="22"/>
        </w:rPr>
        <w:t>(…)”</w:t>
      </w:r>
    </w:p>
    <w:p w14:paraId="422BF96A" w14:textId="77777777" w:rsidR="007820F2" w:rsidRPr="0044066C" w:rsidRDefault="007820F2" w:rsidP="007820F2">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(Énfasis añadido)</w:t>
      </w:r>
    </w:p>
    <w:p w14:paraId="2C0C40DC"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6D20FA3B"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tal manera que, por mandato constitucional, la autoridad encargada de la organización, realización y vigilancia de los procesos electorales en el Estado de México, es el Instituto Electoral del Estado de México, mismo que en seguimiento de su objeto, también se encargará de garantizar la ministración oportuna del financiamiento público al que tienen derecho los partidos políticos, así como las y los candidatos independientes.</w:t>
      </w:r>
    </w:p>
    <w:p w14:paraId="252CA01F"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3C079450" w14:textId="77777777" w:rsidR="007820F2" w:rsidRDefault="007820F2" w:rsidP="007820F2">
      <w:pPr>
        <w:pStyle w:val="Prrafodelista"/>
        <w:numPr>
          <w:ilvl w:val="0"/>
          <w:numId w:val="1"/>
        </w:numPr>
        <w:tabs>
          <w:tab w:val="left" w:pos="426"/>
        </w:tabs>
        <w:spacing w:before="240" w:after="240" w:line="360" w:lineRule="auto"/>
        <w:ind w:right="51"/>
        <w:jc w:val="both"/>
      </w:pPr>
      <w:r>
        <w:rPr>
          <w:rFonts w:ascii="Palatino Linotype" w:hAnsi="Palatino Linotype"/>
          <w:color w:val="000000" w:themeColor="text1"/>
        </w:rPr>
        <w:t xml:space="preserve">Así las cosas, resulta conveniente señalar que el Código Electoral del Estado de México, en su artículo 65, establece que los partidos políticos gozarán </w:t>
      </w:r>
      <w:r w:rsidRPr="00186F78">
        <w:rPr>
          <w:rFonts w:ascii="Palatino Linotype" w:hAnsi="Palatino Linotype"/>
          <w:color w:val="000000" w:themeColor="text1"/>
        </w:rPr>
        <w:t xml:space="preserve">de </w:t>
      </w:r>
      <w:r w:rsidRPr="00186F78">
        <w:rPr>
          <w:rFonts w:ascii="Palatino Linotype" w:hAnsi="Palatino Linotype"/>
          <w:b/>
          <w:color w:val="000000" w:themeColor="text1"/>
        </w:rPr>
        <w:t xml:space="preserve">financiamiento público para </w:t>
      </w:r>
      <w:r w:rsidRPr="00186F78">
        <w:rPr>
          <w:rFonts w:ascii="Palatino Linotype" w:hAnsi="Palatino Linotype"/>
          <w:color w:val="000000" w:themeColor="text1"/>
        </w:rPr>
        <w:t xml:space="preserve">el ejercicio de sus actividades ordinarias y para </w:t>
      </w:r>
      <w:r w:rsidRPr="00186F78">
        <w:rPr>
          <w:rFonts w:ascii="Palatino Linotype" w:hAnsi="Palatino Linotype"/>
          <w:b/>
          <w:color w:val="000000" w:themeColor="text1"/>
        </w:rPr>
        <w:t xml:space="preserve">su </w:t>
      </w:r>
      <w:r w:rsidRPr="00186F78">
        <w:rPr>
          <w:rFonts w:ascii="Palatino Linotype" w:hAnsi="Palatino Linotype"/>
          <w:b/>
          <w:color w:val="000000" w:themeColor="text1"/>
        </w:rPr>
        <w:lastRenderedPageBreak/>
        <w:t>participación en las precampañas y campañas electorales de Gobernador, diputados y ayuntamientos del Estado</w:t>
      </w:r>
      <w:r w:rsidRPr="00186F78">
        <w:rPr>
          <w:rFonts w:ascii="Palatino Linotype" w:hAnsi="Palatino Linotype"/>
          <w:color w:val="000000" w:themeColor="text1"/>
        </w:rPr>
        <w:t>. Tendrán derecho a esta prerrogativa los partidos que obtengan por lo menos el 3% de la votación válida emitida en la última elección de Gobernador o de diputados por el principio de mayoría relativa.</w:t>
      </w:r>
    </w:p>
    <w:p w14:paraId="09D18CBE" w14:textId="77777777" w:rsidR="007820F2" w:rsidRDefault="007820F2" w:rsidP="007820F2">
      <w:pPr>
        <w:pStyle w:val="Prrafodelista"/>
        <w:tabs>
          <w:tab w:val="left" w:pos="426"/>
        </w:tabs>
        <w:spacing w:before="240" w:after="240" w:line="360" w:lineRule="auto"/>
        <w:ind w:left="0" w:right="51"/>
        <w:jc w:val="both"/>
      </w:pPr>
    </w:p>
    <w:p w14:paraId="47111A08"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Al respecto, el Reglamento Interno del Instituto Electoral del Estado de México, en su artículo 12, establece que la adscripción de las áreas del organismo electoral será la siguiente:</w:t>
      </w:r>
    </w:p>
    <w:p w14:paraId="762089E8"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595783CA" w14:textId="77777777" w:rsidR="007820F2"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DE5C78">
        <w:rPr>
          <w:rFonts w:ascii="Palatino Linotype" w:hAnsi="Palatino Linotype"/>
          <w:b/>
          <w:i/>
          <w:sz w:val="22"/>
        </w:rPr>
        <w:t>I.</w:t>
      </w:r>
      <w:r w:rsidRPr="00DE5C78">
        <w:rPr>
          <w:rFonts w:ascii="Palatino Linotype" w:hAnsi="Palatino Linotype"/>
          <w:i/>
          <w:sz w:val="22"/>
        </w:rPr>
        <w:t xml:space="preserve"> Al Consejo General: </w:t>
      </w:r>
    </w:p>
    <w:p w14:paraId="0D67B5A0"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a)</w:t>
      </w:r>
      <w:r w:rsidRPr="00DE5C78">
        <w:rPr>
          <w:rFonts w:ascii="Palatino Linotype" w:hAnsi="Palatino Linotype"/>
          <w:i/>
          <w:sz w:val="22"/>
        </w:rPr>
        <w:t xml:space="preserve"> La Contraloría General; </w:t>
      </w:r>
    </w:p>
    <w:p w14:paraId="5EAF7B69" w14:textId="77777777" w:rsidR="007820F2" w:rsidRPr="00DE5C78" w:rsidRDefault="007820F2" w:rsidP="007820F2">
      <w:pPr>
        <w:pStyle w:val="Prrafodelista"/>
        <w:tabs>
          <w:tab w:val="left" w:pos="426"/>
        </w:tabs>
        <w:spacing w:before="240" w:after="240" w:line="276" w:lineRule="auto"/>
        <w:ind w:left="851" w:right="567"/>
        <w:jc w:val="both"/>
        <w:rPr>
          <w:rFonts w:ascii="Palatino Linotype" w:hAnsi="Palatino Linotype"/>
          <w:b/>
          <w:i/>
          <w:sz w:val="22"/>
        </w:rPr>
      </w:pPr>
      <w:r w:rsidRPr="00DE5C78">
        <w:rPr>
          <w:rFonts w:ascii="Palatino Linotype" w:hAnsi="Palatino Linotype"/>
          <w:b/>
          <w:i/>
          <w:sz w:val="22"/>
        </w:rPr>
        <w:t xml:space="preserve">b) La Unidad Técnica de Fiscalización; </w:t>
      </w:r>
    </w:p>
    <w:p w14:paraId="0D1E6582"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c)</w:t>
      </w:r>
      <w:r w:rsidRPr="00DE5C78">
        <w:rPr>
          <w:rFonts w:ascii="Palatino Linotype" w:hAnsi="Palatino Linotype"/>
          <w:i/>
          <w:sz w:val="22"/>
        </w:rPr>
        <w:t xml:space="preserve"> La Unidad de Comunicación Social; y </w:t>
      </w:r>
    </w:p>
    <w:p w14:paraId="6228D117"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d)</w:t>
      </w:r>
      <w:r w:rsidRPr="00DE5C78">
        <w:rPr>
          <w:rFonts w:ascii="Palatino Linotype" w:hAnsi="Palatino Linotype"/>
          <w:i/>
          <w:sz w:val="22"/>
        </w:rPr>
        <w:t xml:space="preserve"> El Centro de Formación y Documentación Electoral. </w:t>
      </w:r>
    </w:p>
    <w:p w14:paraId="52EA4748" w14:textId="77777777" w:rsidR="007820F2" w:rsidRDefault="007820F2" w:rsidP="007820F2">
      <w:pPr>
        <w:pStyle w:val="Prrafodelista"/>
        <w:tabs>
          <w:tab w:val="left" w:pos="426"/>
        </w:tabs>
        <w:spacing w:before="240" w:after="240" w:line="276" w:lineRule="auto"/>
        <w:ind w:left="567" w:right="567"/>
        <w:jc w:val="both"/>
        <w:rPr>
          <w:rFonts w:ascii="Palatino Linotype" w:hAnsi="Palatino Linotype"/>
          <w:i/>
          <w:sz w:val="22"/>
        </w:rPr>
      </w:pPr>
      <w:r w:rsidRPr="00DE5C78">
        <w:rPr>
          <w:rFonts w:ascii="Palatino Linotype" w:hAnsi="Palatino Linotype"/>
          <w:b/>
          <w:i/>
          <w:sz w:val="22"/>
        </w:rPr>
        <w:t>II.</w:t>
      </w:r>
      <w:r w:rsidRPr="00DE5C78">
        <w:rPr>
          <w:rFonts w:ascii="Palatino Linotype" w:hAnsi="Palatino Linotype"/>
          <w:i/>
          <w:sz w:val="22"/>
        </w:rPr>
        <w:t xml:space="preserve"> A la Secretaría Ejecutiva: </w:t>
      </w:r>
    </w:p>
    <w:p w14:paraId="00BD6C87"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a)</w:t>
      </w:r>
      <w:r w:rsidRPr="00DE5C78">
        <w:rPr>
          <w:rFonts w:ascii="Palatino Linotype" w:hAnsi="Palatino Linotype"/>
          <w:i/>
          <w:sz w:val="22"/>
        </w:rPr>
        <w:t xml:space="preserve"> La Dirección Jurídico Consultiva; </w:t>
      </w:r>
    </w:p>
    <w:p w14:paraId="7DF92293"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b)</w:t>
      </w:r>
      <w:r w:rsidRPr="00DE5C78">
        <w:rPr>
          <w:rFonts w:ascii="Palatino Linotype" w:hAnsi="Palatino Linotype"/>
          <w:i/>
          <w:sz w:val="22"/>
        </w:rPr>
        <w:t xml:space="preserve"> La Dirección de Organización; </w:t>
      </w:r>
    </w:p>
    <w:p w14:paraId="59B04FB2"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c)</w:t>
      </w:r>
      <w:r w:rsidRPr="00DE5C78">
        <w:rPr>
          <w:rFonts w:ascii="Palatino Linotype" w:hAnsi="Palatino Linotype"/>
          <w:i/>
          <w:sz w:val="22"/>
        </w:rPr>
        <w:t xml:space="preserve"> La Dirección de Participación Ciudadana; </w:t>
      </w:r>
    </w:p>
    <w:p w14:paraId="5BEE536D"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d)</w:t>
      </w:r>
      <w:r w:rsidRPr="00DE5C78">
        <w:rPr>
          <w:rFonts w:ascii="Palatino Linotype" w:hAnsi="Palatino Linotype"/>
          <w:i/>
          <w:sz w:val="22"/>
        </w:rPr>
        <w:t xml:space="preserve"> La Dirección de Partidos Políticos; </w:t>
      </w:r>
    </w:p>
    <w:p w14:paraId="61036EC9"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e)</w:t>
      </w:r>
      <w:r w:rsidRPr="00DE5C78">
        <w:rPr>
          <w:rFonts w:ascii="Palatino Linotype" w:hAnsi="Palatino Linotype"/>
          <w:i/>
          <w:sz w:val="22"/>
        </w:rPr>
        <w:t xml:space="preserve"> La Dirección de Administración; </w:t>
      </w:r>
    </w:p>
    <w:p w14:paraId="5BBE0E54"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f)</w:t>
      </w:r>
      <w:r w:rsidRPr="00DE5C78">
        <w:rPr>
          <w:rFonts w:ascii="Palatino Linotype" w:hAnsi="Palatino Linotype"/>
          <w:i/>
          <w:sz w:val="22"/>
        </w:rPr>
        <w:t xml:space="preserve"> La Unidad Técnica para la Administración de Personal Electoral; </w:t>
      </w:r>
    </w:p>
    <w:p w14:paraId="25388947"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g)</w:t>
      </w:r>
      <w:r w:rsidRPr="00DE5C78">
        <w:rPr>
          <w:rFonts w:ascii="Palatino Linotype" w:hAnsi="Palatino Linotype"/>
          <w:i/>
          <w:sz w:val="22"/>
        </w:rPr>
        <w:t xml:space="preserve"> La Unidad de Informática y Estadística; y </w:t>
      </w:r>
    </w:p>
    <w:p w14:paraId="04F73DB1" w14:textId="77777777" w:rsidR="007820F2" w:rsidRDefault="007820F2" w:rsidP="007820F2">
      <w:pPr>
        <w:pStyle w:val="Prrafodelista"/>
        <w:tabs>
          <w:tab w:val="left" w:pos="426"/>
        </w:tabs>
        <w:spacing w:before="240" w:after="240" w:line="276" w:lineRule="auto"/>
        <w:ind w:left="851" w:right="567"/>
        <w:jc w:val="both"/>
        <w:rPr>
          <w:rFonts w:ascii="Palatino Linotype" w:hAnsi="Palatino Linotype"/>
          <w:i/>
          <w:sz w:val="22"/>
        </w:rPr>
      </w:pPr>
      <w:r w:rsidRPr="00DE5C78">
        <w:rPr>
          <w:rFonts w:ascii="Palatino Linotype" w:hAnsi="Palatino Linotype"/>
          <w:b/>
          <w:i/>
          <w:sz w:val="22"/>
        </w:rPr>
        <w:t>h)</w:t>
      </w:r>
      <w:r w:rsidRPr="00DE5C78">
        <w:rPr>
          <w:rFonts w:ascii="Palatino Linotype" w:hAnsi="Palatino Linotype"/>
          <w:i/>
          <w:sz w:val="22"/>
        </w:rPr>
        <w:t xml:space="preserve"> La Unidad de Transparencia.</w:t>
      </w:r>
      <w:r>
        <w:rPr>
          <w:rFonts w:ascii="Palatino Linotype" w:hAnsi="Palatino Linotype"/>
          <w:i/>
          <w:sz w:val="22"/>
        </w:rPr>
        <w:t>”</w:t>
      </w:r>
    </w:p>
    <w:p w14:paraId="1C065B10" w14:textId="77777777" w:rsidR="007820F2" w:rsidRPr="00DE5C78" w:rsidRDefault="007820F2" w:rsidP="007820F2">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DE5C78">
        <w:rPr>
          <w:rFonts w:ascii="Palatino Linotype" w:hAnsi="Palatino Linotype"/>
          <w:sz w:val="22"/>
        </w:rPr>
        <w:t>(Énfasis añadido)</w:t>
      </w:r>
    </w:p>
    <w:p w14:paraId="3AE02B49"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44E96B62" w14:textId="77777777"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para el presente asunto la Unidad Técnica de Fiscalización, la cual será </w:t>
      </w:r>
      <w:r w:rsidRPr="00DE5C78">
        <w:rPr>
          <w:rFonts w:ascii="Palatino Linotype" w:hAnsi="Palatino Linotype"/>
          <w:b/>
          <w:color w:val="000000" w:themeColor="text1"/>
        </w:rPr>
        <w:t xml:space="preserve">el órgano encargado de la coordinación con el Instituto Nacional Electora en esta materia; en caso de delegación, la recepción y revisión integral de los informes que presenten los partidos políticos respecto del origen, </w:t>
      </w:r>
      <w:r w:rsidRPr="00DE5C78">
        <w:rPr>
          <w:rFonts w:ascii="Palatino Linotype" w:hAnsi="Palatino Linotype"/>
          <w:b/>
          <w:color w:val="000000" w:themeColor="text1"/>
        </w:rPr>
        <w:lastRenderedPageBreak/>
        <w:t>monto, destino y aplicación de los recursos que reciban por cualquier tipo de financiamiento</w:t>
      </w:r>
      <w:r w:rsidRPr="00DE5C78">
        <w:rPr>
          <w:rFonts w:ascii="Palatino Linotype" w:hAnsi="Palatino Linotype"/>
          <w:color w:val="000000" w:themeColor="text1"/>
        </w:rPr>
        <w:t xml:space="preserve">, así como de cualquier otra facultad que sea otorgada por el Consejo General del Instituto </w:t>
      </w:r>
      <w:r>
        <w:rPr>
          <w:rFonts w:ascii="Palatino Linotype" w:hAnsi="Palatino Linotype"/>
          <w:color w:val="000000" w:themeColor="text1"/>
        </w:rPr>
        <w:t>Electoral Estatal o Nacional</w:t>
      </w:r>
      <w:r>
        <w:rPr>
          <w:rStyle w:val="Refdenotaalpie"/>
          <w:rFonts w:ascii="Palatino Linotype" w:hAnsi="Palatino Linotype"/>
          <w:color w:val="000000" w:themeColor="text1"/>
        </w:rPr>
        <w:footnoteReference w:id="2"/>
      </w:r>
      <w:r w:rsidRPr="00DE5C78">
        <w:rPr>
          <w:rFonts w:ascii="Palatino Linotype" w:hAnsi="Palatino Linotype"/>
          <w:color w:val="000000" w:themeColor="text1"/>
        </w:rPr>
        <w:t>.</w:t>
      </w:r>
    </w:p>
    <w:p w14:paraId="5C321181" w14:textId="77777777" w:rsidR="001A7A87" w:rsidRDefault="001A7A87" w:rsidP="001A7A87">
      <w:pPr>
        <w:pStyle w:val="Prrafodelista"/>
        <w:tabs>
          <w:tab w:val="left" w:pos="426"/>
        </w:tabs>
        <w:spacing w:before="240" w:after="240" w:line="360" w:lineRule="auto"/>
        <w:ind w:left="0" w:right="51"/>
        <w:jc w:val="both"/>
        <w:rPr>
          <w:rFonts w:ascii="Palatino Linotype" w:hAnsi="Palatino Linotype"/>
          <w:color w:val="000000" w:themeColor="text1"/>
        </w:rPr>
      </w:pPr>
    </w:p>
    <w:p w14:paraId="64DF24F9" w14:textId="1824FF62" w:rsidR="001A7A87" w:rsidRPr="001A7A87" w:rsidRDefault="001A7A87" w:rsidP="001A7A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lo anterior, podemos concluir que las facultades y atribuciones de los ayuntamientos no se relacionan con el financiamiento otorgado a partidos políticos para particular en actividades de campañas electorales, pues la fiscalización de estos recursos le compete al Instituto Nacional Electoral y al Instituto Electoral del Estado de México, a través de su Unidad Técnica de Fiscalización. Por ello, se dejan a salvo los derechos del </w:t>
      </w:r>
      <w:r>
        <w:rPr>
          <w:rFonts w:ascii="Palatino Linotype" w:hAnsi="Palatino Linotype"/>
          <w:b/>
          <w:color w:val="000000" w:themeColor="text1"/>
        </w:rPr>
        <w:t>RECURRENTE</w:t>
      </w:r>
      <w:r>
        <w:rPr>
          <w:rFonts w:ascii="Palatino Linotype" w:hAnsi="Palatino Linotype"/>
          <w:color w:val="000000" w:themeColor="text1"/>
        </w:rPr>
        <w:t xml:space="preserve"> para que, de considerarlo conveniente a sus intereses, formule su solicitud de información al </w:t>
      </w:r>
      <w:r>
        <w:rPr>
          <w:rFonts w:ascii="Palatino Linotype" w:hAnsi="Palatino Linotype"/>
          <w:b/>
          <w:color w:val="000000" w:themeColor="text1"/>
        </w:rPr>
        <w:t>Instituto Electoral del Estado de México</w:t>
      </w:r>
      <w:r>
        <w:rPr>
          <w:rFonts w:ascii="Palatino Linotype" w:hAnsi="Palatino Linotype"/>
          <w:color w:val="000000" w:themeColor="text1"/>
        </w:rPr>
        <w:t>.</w:t>
      </w:r>
    </w:p>
    <w:p w14:paraId="49C95C9A" w14:textId="77777777" w:rsidR="007820F2"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4CF25D28" w14:textId="5E35F99A" w:rsidR="007820F2"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001A7A87">
        <w:rPr>
          <w:rFonts w:ascii="Palatino Linotype" w:hAnsi="Palatino Linotype"/>
          <w:color w:val="000000" w:themeColor="text1"/>
        </w:rPr>
        <w:t>consecuencia</w:t>
      </w:r>
      <w:r>
        <w:rPr>
          <w:rFonts w:ascii="Palatino Linotype" w:hAnsi="Palatino Linotype"/>
          <w:color w:val="000000" w:themeColor="text1"/>
        </w:rPr>
        <w:t xml:space="preserve">, por cuanto hace al agravio señalado por el </w:t>
      </w:r>
      <w:r>
        <w:rPr>
          <w:rFonts w:ascii="Palatino Linotype" w:hAnsi="Palatino Linotype"/>
          <w:b/>
          <w:color w:val="000000" w:themeColor="text1"/>
        </w:rPr>
        <w:t>RECURRENTE</w:t>
      </w:r>
      <w:r>
        <w:rPr>
          <w:rFonts w:ascii="Palatino Linotype" w:hAnsi="Palatino Linotype"/>
          <w:color w:val="000000" w:themeColor="text1"/>
        </w:rPr>
        <w:t xml:space="preserve"> por el que manifestó que no se le entre</w:t>
      </w:r>
      <w:r w:rsidR="001A7A87">
        <w:rPr>
          <w:rFonts w:ascii="Palatino Linotype" w:hAnsi="Palatino Linotype"/>
          <w:color w:val="000000" w:themeColor="text1"/>
        </w:rPr>
        <w:t>gó la información solicitada deb</w:t>
      </w:r>
      <w:r>
        <w:rPr>
          <w:rFonts w:ascii="Palatino Linotype" w:hAnsi="Palatino Linotype"/>
          <w:color w:val="000000" w:themeColor="text1"/>
        </w:rPr>
        <w:t xml:space="preserve">e determinarse por </w:t>
      </w:r>
      <w:r>
        <w:rPr>
          <w:rFonts w:ascii="Palatino Linotype" w:hAnsi="Palatino Linotype"/>
          <w:b/>
          <w:color w:val="000000" w:themeColor="text1"/>
        </w:rPr>
        <w:t>infundado</w:t>
      </w:r>
      <w:r>
        <w:rPr>
          <w:rFonts w:ascii="Palatino Linotype" w:hAnsi="Palatino Linotype"/>
          <w:color w:val="000000" w:themeColor="text1"/>
        </w:rPr>
        <w:t xml:space="preserve">, toda vez que, como se ha demostrado en el presente estudio, el Sujeto Obligado competente para poseer, generar y administrar la información relacionada con el ejercicio del presupuesto autorizado para campaña electoral </w:t>
      </w:r>
      <w:r>
        <w:rPr>
          <w:rFonts w:ascii="Palatino Linotype" w:hAnsi="Palatino Linotype"/>
          <w:b/>
          <w:color w:val="000000" w:themeColor="text1"/>
        </w:rPr>
        <w:t>no es el Ayuntamiento de Teoloyucan, sino el Instituto Electoral del Estado de México</w:t>
      </w:r>
      <w:r>
        <w:rPr>
          <w:rFonts w:ascii="Palatino Linotype" w:hAnsi="Palatino Linotype"/>
          <w:color w:val="000000" w:themeColor="text1"/>
        </w:rPr>
        <w:t>.</w:t>
      </w:r>
    </w:p>
    <w:p w14:paraId="3C317AA4" w14:textId="77777777" w:rsidR="00112F09" w:rsidRDefault="00112F09" w:rsidP="00112F09">
      <w:pPr>
        <w:pStyle w:val="Prrafodelista"/>
        <w:tabs>
          <w:tab w:val="left" w:pos="426"/>
        </w:tabs>
        <w:spacing w:before="240" w:after="240" w:line="360" w:lineRule="auto"/>
        <w:ind w:left="0" w:right="51"/>
        <w:jc w:val="both"/>
        <w:rPr>
          <w:rFonts w:ascii="Palatino Linotype" w:hAnsi="Palatino Linotype"/>
          <w:color w:val="000000" w:themeColor="text1"/>
        </w:rPr>
      </w:pPr>
    </w:p>
    <w:p w14:paraId="58225AEF" w14:textId="7762BC40" w:rsidR="00167813" w:rsidRPr="00167813" w:rsidRDefault="00F94AEA"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9" w:name="_Toc87456493"/>
      <w:r>
        <w:rPr>
          <w:rFonts w:ascii="Palatino Linotype" w:hAnsi="Palatino Linotype"/>
          <w:b/>
          <w:color w:val="000000" w:themeColor="text1"/>
        </w:rPr>
        <w:t>IV</w:t>
      </w:r>
      <w:r w:rsidR="00167813">
        <w:rPr>
          <w:rFonts w:ascii="Palatino Linotype" w:hAnsi="Palatino Linotype"/>
          <w:b/>
          <w:color w:val="000000" w:themeColor="text1"/>
        </w:rPr>
        <w:t>. De la manifestación de incompetencia.</w:t>
      </w:r>
      <w:bookmarkEnd w:id="29"/>
    </w:p>
    <w:p w14:paraId="3907625C"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1C0FD0E0" w14:textId="77777777" w:rsidR="00167813" w:rsidRPr="00167813" w:rsidRDefault="0016781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w:t>
      </w:r>
      <w:r w:rsidRPr="00167813">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DE914C6"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31585232" w14:textId="38ECC9B0" w:rsidR="00167813"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3"/>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4"/>
      </w:r>
      <w:r w:rsidRPr="00956116">
        <w:rPr>
          <w:rFonts w:ascii="Palatino Linotype" w:hAnsi="Palatino Linotype" w:cs="Arial"/>
        </w:rPr>
        <w:t>.</w:t>
      </w:r>
    </w:p>
    <w:p w14:paraId="2D7F940D"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174C5313" w14:textId="4B741743" w:rsidR="00167813" w:rsidRPr="00167813"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AAEC837" w14:textId="77777777" w:rsidR="00167813" w:rsidRPr="007B2587" w:rsidRDefault="00167813" w:rsidP="00167813">
      <w:pPr>
        <w:pStyle w:val="Prrafodelista"/>
        <w:numPr>
          <w:ilvl w:val="1"/>
          <w:numId w:val="41"/>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Recibir, </w:t>
      </w:r>
      <w:r w:rsidRPr="007B2587">
        <w:rPr>
          <w:rFonts w:ascii="Palatino Linotype" w:hAnsi="Palatino Linotype" w:cs="Arial"/>
          <w:color w:val="000000" w:themeColor="text1"/>
        </w:rPr>
        <w:t>tramitar y dar respuesta a las solicitudes de acceso a la información;</w:t>
      </w:r>
    </w:p>
    <w:p w14:paraId="3E43AF43" w14:textId="77777777" w:rsidR="00167813" w:rsidRPr="007B2587" w:rsidRDefault="00167813" w:rsidP="00167813">
      <w:pPr>
        <w:pStyle w:val="Prrafodelista"/>
        <w:numPr>
          <w:ilvl w:val="1"/>
          <w:numId w:val="41"/>
        </w:numPr>
        <w:tabs>
          <w:tab w:val="left" w:pos="426"/>
        </w:tabs>
        <w:spacing w:before="240" w:after="240" w:line="360" w:lineRule="auto"/>
        <w:ind w:left="1134"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trámites internos necesarios para la atención de las solicitudes de acceso a la información; </w:t>
      </w:r>
    </w:p>
    <w:p w14:paraId="45A7698B" w14:textId="77777777" w:rsidR="00167813" w:rsidRPr="007B2587" w:rsidRDefault="00167813" w:rsidP="00167813">
      <w:pPr>
        <w:pStyle w:val="Prrafodelista"/>
        <w:numPr>
          <w:ilvl w:val="1"/>
          <w:numId w:val="41"/>
        </w:numPr>
        <w:tabs>
          <w:tab w:val="left" w:pos="426"/>
        </w:tabs>
        <w:spacing w:before="240" w:after="240" w:line="360" w:lineRule="auto"/>
        <w:ind w:left="1134"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3FAD31B1" w14:textId="08035D63" w:rsidR="00167813" w:rsidRDefault="00167813" w:rsidP="00167813">
      <w:pPr>
        <w:pStyle w:val="Prrafodelista"/>
        <w:numPr>
          <w:ilvl w:val="1"/>
          <w:numId w:val="4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Efectuar las notificaciones a los solicitantes.</w:t>
      </w:r>
    </w:p>
    <w:p w14:paraId="125F8DCB"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4EDD2BFF" w14:textId="15D8FA03" w:rsidR="00167813" w:rsidRPr="00167813"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5"/>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6"/>
      </w:r>
      <w:r>
        <w:rPr>
          <w:rFonts w:ascii="Palatino Linotype" w:hAnsi="Palatino Linotype" w:cs="Arial"/>
          <w:color w:val="000000" w:themeColor="text1"/>
        </w:rPr>
        <w:t>:</w:t>
      </w:r>
    </w:p>
    <w:p w14:paraId="3DA21767" w14:textId="77777777" w:rsidR="00167813" w:rsidRPr="00A44BE6" w:rsidRDefault="00167813" w:rsidP="00167813">
      <w:pPr>
        <w:pStyle w:val="Prrafodelista"/>
        <w:numPr>
          <w:ilvl w:val="1"/>
          <w:numId w:val="42"/>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Localizar </w:t>
      </w:r>
      <w:r w:rsidRPr="00A44BE6">
        <w:rPr>
          <w:rFonts w:ascii="Palatino Linotype" w:hAnsi="Palatino Linotype" w:cs="Arial"/>
          <w:color w:val="000000" w:themeColor="text1"/>
        </w:rPr>
        <w:t>la información que le solicite la Unidad de Transparencia; y</w:t>
      </w:r>
    </w:p>
    <w:p w14:paraId="55DB6560" w14:textId="0E6890EE" w:rsidR="00167813" w:rsidRDefault="00167813" w:rsidP="00167813">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A44BE6">
        <w:rPr>
          <w:rFonts w:ascii="Palatino Linotype" w:hAnsi="Palatino Linotype" w:cs="Arial"/>
          <w:color w:val="000000" w:themeColor="text1"/>
        </w:rPr>
        <w:t>Proporcionar la información que obre en los archivos y que le sea solicitada por la Unidad de Transparencia.</w:t>
      </w:r>
    </w:p>
    <w:p w14:paraId="76CF5AC4"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5C8E14AD" w14:textId="30AA8475" w:rsidR="00167813"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BDA0FFC"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3A81DF1B" w14:textId="0FF29B62" w:rsidR="00167813" w:rsidRDefault="0016781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Así, en los párrafos que anteceden, se logra exponer </w:t>
      </w:r>
      <w:r>
        <w:rPr>
          <w:rFonts w:ascii="Palatino Linotype" w:hAnsi="Palatino Linotype"/>
          <w:i/>
          <w:color w:val="000000" w:themeColor="text1"/>
        </w:rPr>
        <w:t>grosso modo</w:t>
      </w:r>
      <w:r>
        <w:rPr>
          <w:rFonts w:ascii="Palatino Linotype" w:hAnsi="Palatino Linotype"/>
          <w:color w:val="000000" w:themeColor="text1"/>
        </w:rPr>
        <w:t xml:space="preserve"> el procedimiento de atención a las solicitudes de información, así como a las autoridades que participan en su sustanciación; sin embargo, este proceso se simplifica en casos relacionados con incompetencia para poseer, generar o administrar lo solicitado</w:t>
      </w:r>
      <w:r w:rsidR="00FD0B5A">
        <w:rPr>
          <w:rFonts w:ascii="Palatino Linotype" w:hAnsi="Palatino Linotype"/>
          <w:color w:val="000000" w:themeColor="text1"/>
        </w:rPr>
        <w:t xml:space="preserve"> pues, de conformidad con lo dispuesto por el numeral 167 de la Ley de Transparencia y Acceso a la Información Pública del Estado de México y Municipios, cuando </w:t>
      </w:r>
      <w:r w:rsidR="00FD0B5A" w:rsidRPr="00FD0B5A">
        <w:rPr>
          <w:rFonts w:ascii="Palatino Linotype" w:hAnsi="Palatino Linotype"/>
          <w:color w:val="000000" w:themeColor="text1"/>
        </w:rPr>
        <w:t xml:space="preserve">las unidades de transparencia determinen la notoria incompetencia por parte de los sujetos obligados, dentro del ámbito de aplicación, para atender la solicitud de acceso a la información, deberán comunicarlo al solicitante, dentro de los </w:t>
      </w:r>
      <w:r w:rsidR="00FD0B5A" w:rsidRPr="00FD0B5A">
        <w:rPr>
          <w:rFonts w:ascii="Palatino Linotype" w:hAnsi="Palatino Linotype"/>
          <w:b/>
          <w:color w:val="000000" w:themeColor="text1"/>
        </w:rPr>
        <w:t>tres días hábiles posteriores</w:t>
      </w:r>
      <w:r w:rsidR="00FD0B5A" w:rsidRPr="00FD0B5A">
        <w:rPr>
          <w:rFonts w:ascii="Palatino Linotype" w:hAnsi="Palatino Linotype"/>
          <w:color w:val="000000" w:themeColor="text1"/>
        </w:rPr>
        <w:t xml:space="preserve"> a la recepción de la solicitud y, en su caso</w:t>
      </w:r>
      <w:r w:rsidR="0009663D">
        <w:rPr>
          <w:rFonts w:ascii="Palatino Linotype" w:hAnsi="Palatino Linotype"/>
          <w:color w:val="000000" w:themeColor="text1"/>
        </w:rPr>
        <w:t>,</w:t>
      </w:r>
      <w:r w:rsidR="00FD0B5A" w:rsidRPr="00FD0B5A">
        <w:rPr>
          <w:rFonts w:ascii="Palatino Linotype" w:hAnsi="Palatino Linotype"/>
          <w:color w:val="000000" w:themeColor="text1"/>
        </w:rPr>
        <w:t xml:space="preserve"> </w:t>
      </w:r>
      <w:r w:rsidR="00FD0B5A" w:rsidRPr="00FD0B5A">
        <w:rPr>
          <w:rFonts w:ascii="Palatino Linotype" w:hAnsi="Palatino Linotype"/>
          <w:b/>
          <w:color w:val="000000" w:themeColor="text1"/>
        </w:rPr>
        <w:t>orientar</w:t>
      </w:r>
      <w:r w:rsidR="0009663D">
        <w:rPr>
          <w:rFonts w:ascii="Palatino Linotype" w:hAnsi="Palatino Linotype"/>
          <w:color w:val="000000" w:themeColor="text1"/>
        </w:rPr>
        <w:t xml:space="preserve"> al solicitante d</w:t>
      </w:r>
      <w:r w:rsidR="00FD0B5A" w:rsidRPr="00FD0B5A">
        <w:rPr>
          <w:rFonts w:ascii="Palatino Linotype" w:hAnsi="Palatino Linotype"/>
          <w:color w:val="000000" w:themeColor="text1"/>
        </w:rPr>
        <w:t>el o los sujetos obligados competentes.</w:t>
      </w:r>
    </w:p>
    <w:p w14:paraId="47A3F6E9"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214A235D" w14:textId="3D09B365" w:rsidR="00167813" w:rsidRDefault="00FD0B5A"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el presente asunto, como fuera aterrizado en el apartado de </w:t>
      </w:r>
      <w:r>
        <w:rPr>
          <w:rFonts w:ascii="Palatino Linotype" w:hAnsi="Palatino Linotype"/>
          <w:i/>
          <w:color w:val="000000" w:themeColor="text1"/>
        </w:rPr>
        <w:t>Antecedentes</w:t>
      </w:r>
      <w:r>
        <w:rPr>
          <w:rFonts w:ascii="Palatino Linotype" w:hAnsi="Palatino Linotype"/>
          <w:color w:val="000000" w:themeColor="text1"/>
        </w:rPr>
        <w:t xml:space="preserve"> de esta resolución, de las constancias que obran en el expediente digital en el SAIMEX, se observa que el </w:t>
      </w:r>
      <w:r>
        <w:rPr>
          <w:rFonts w:ascii="Palatino Linotype" w:hAnsi="Palatino Linotype"/>
          <w:b/>
          <w:color w:val="000000" w:themeColor="text1"/>
        </w:rPr>
        <w:t>RECURRENTE</w:t>
      </w:r>
      <w:r>
        <w:rPr>
          <w:rFonts w:ascii="Palatino Linotype" w:hAnsi="Palatino Linotype"/>
          <w:color w:val="000000" w:themeColor="text1"/>
        </w:rPr>
        <w:t xml:space="preserve"> presentó su solicitud de información el </w:t>
      </w:r>
      <w:r w:rsidR="005A094D">
        <w:rPr>
          <w:rFonts w:ascii="Palatino Linotype" w:hAnsi="Palatino Linotype"/>
          <w:color w:val="000000" w:themeColor="text1"/>
        </w:rPr>
        <w:t>dieciséis (16</w:t>
      </w:r>
      <w:r>
        <w:rPr>
          <w:rFonts w:ascii="Palatino Linotype" w:hAnsi="Palatino Linotype"/>
          <w:color w:val="000000" w:themeColor="text1"/>
        </w:rPr>
        <w:t xml:space="preserve">) de agosto de dos mil veintiuno, mientras que el </w:t>
      </w:r>
      <w:r>
        <w:rPr>
          <w:rFonts w:ascii="Palatino Linotype" w:hAnsi="Palatino Linotype"/>
          <w:b/>
          <w:color w:val="000000" w:themeColor="text1"/>
        </w:rPr>
        <w:t>SUJETO OBLIGADO</w:t>
      </w:r>
      <w:r>
        <w:rPr>
          <w:rFonts w:ascii="Palatino Linotype" w:hAnsi="Palatino Linotype"/>
          <w:color w:val="000000" w:themeColor="text1"/>
        </w:rPr>
        <w:t xml:space="preserve"> manifestó su incompetencia el </w:t>
      </w:r>
      <w:r w:rsidR="0009663D">
        <w:rPr>
          <w:rFonts w:ascii="Palatino Linotype" w:hAnsi="Palatino Linotype"/>
          <w:color w:val="000000" w:themeColor="text1"/>
        </w:rPr>
        <w:t>veinte (20</w:t>
      </w:r>
      <w:r>
        <w:rPr>
          <w:rFonts w:ascii="Palatino Linotype" w:hAnsi="Palatino Linotype"/>
          <w:color w:val="000000" w:themeColor="text1"/>
        </w:rPr>
        <w:t xml:space="preserve">) de agosto de dos mil veintiuno, esto es al </w:t>
      </w:r>
      <w:r w:rsidR="0009663D">
        <w:rPr>
          <w:rFonts w:ascii="Palatino Linotype" w:hAnsi="Palatino Linotype"/>
          <w:b/>
          <w:color w:val="000000" w:themeColor="text1"/>
        </w:rPr>
        <w:t>cuarto</w:t>
      </w:r>
      <w:r>
        <w:rPr>
          <w:rFonts w:ascii="Palatino Linotype" w:hAnsi="Palatino Linotype"/>
          <w:b/>
          <w:color w:val="000000" w:themeColor="text1"/>
        </w:rPr>
        <w:t xml:space="preserve"> día hábil</w:t>
      </w:r>
      <w:r>
        <w:rPr>
          <w:rFonts w:ascii="Palatino Linotype" w:hAnsi="Palatino Linotype"/>
          <w:color w:val="000000" w:themeColor="text1"/>
        </w:rPr>
        <w:t xml:space="preserve"> posterior a la presentación de la solicitud. Luego entonces, esta Ponencia Resolutora concluye que </w:t>
      </w:r>
      <w:r w:rsidR="0009663D">
        <w:rPr>
          <w:rFonts w:ascii="Palatino Linotype" w:hAnsi="Palatino Linotype"/>
          <w:color w:val="000000" w:themeColor="text1"/>
        </w:rPr>
        <w:t>el</w:t>
      </w:r>
      <w:r>
        <w:rPr>
          <w:rFonts w:ascii="Palatino Linotype" w:hAnsi="Palatino Linotype"/>
          <w:color w:val="000000" w:themeColor="text1"/>
        </w:rPr>
        <w:t xml:space="preserve"> </w:t>
      </w:r>
      <w:r w:rsidR="00C967DD">
        <w:rPr>
          <w:rFonts w:ascii="Palatino Linotype" w:hAnsi="Palatino Linotype"/>
          <w:color w:val="000000" w:themeColor="text1"/>
        </w:rPr>
        <w:t>Ayuntamiento de Teoloyucan</w:t>
      </w:r>
      <w:r w:rsidR="00140206">
        <w:rPr>
          <w:rFonts w:ascii="Palatino Linotype" w:hAnsi="Palatino Linotype"/>
          <w:color w:val="000000" w:themeColor="text1"/>
        </w:rPr>
        <w:t xml:space="preserve"> realizó su manifestación de incompetencia </w:t>
      </w:r>
      <w:r w:rsidR="0009663D" w:rsidRPr="001A7A87">
        <w:rPr>
          <w:rFonts w:ascii="Palatino Linotype" w:hAnsi="Palatino Linotype"/>
          <w:b/>
          <w:color w:val="000000" w:themeColor="text1"/>
        </w:rPr>
        <w:t>un día excedido</w:t>
      </w:r>
      <w:r w:rsidR="00140206" w:rsidRPr="001A7A87">
        <w:rPr>
          <w:rFonts w:ascii="Palatino Linotype" w:hAnsi="Palatino Linotype"/>
          <w:b/>
          <w:color w:val="000000" w:themeColor="text1"/>
        </w:rPr>
        <w:t xml:space="preserve"> del plazo</w:t>
      </w:r>
      <w:r w:rsidR="00140206">
        <w:rPr>
          <w:rFonts w:ascii="Palatino Linotype" w:hAnsi="Palatino Linotype"/>
          <w:color w:val="000000" w:themeColor="text1"/>
        </w:rPr>
        <w:t xml:space="preserve"> previsto por </w:t>
      </w:r>
      <w:r w:rsidR="0009663D">
        <w:rPr>
          <w:rFonts w:ascii="Palatino Linotype" w:hAnsi="Palatino Linotype"/>
          <w:color w:val="000000" w:themeColor="text1"/>
        </w:rPr>
        <w:t xml:space="preserve">el artículo 167 de </w:t>
      </w:r>
      <w:r w:rsidR="00140206">
        <w:rPr>
          <w:rFonts w:ascii="Palatino Linotype" w:hAnsi="Palatino Linotype"/>
          <w:color w:val="000000" w:themeColor="text1"/>
        </w:rPr>
        <w:t>la Ley de la materia.</w:t>
      </w:r>
    </w:p>
    <w:p w14:paraId="02A9D6ED" w14:textId="77777777" w:rsidR="00001265" w:rsidRDefault="00001265" w:rsidP="00001265">
      <w:pPr>
        <w:pStyle w:val="Prrafodelista"/>
        <w:tabs>
          <w:tab w:val="left" w:pos="426"/>
        </w:tabs>
        <w:spacing w:before="240" w:after="240" w:line="360" w:lineRule="auto"/>
        <w:ind w:left="0" w:right="51"/>
        <w:jc w:val="both"/>
        <w:rPr>
          <w:rFonts w:ascii="Palatino Linotype" w:hAnsi="Palatino Linotype"/>
          <w:color w:val="000000" w:themeColor="text1"/>
        </w:rPr>
      </w:pPr>
    </w:p>
    <w:p w14:paraId="2E7A9EEE" w14:textId="53523710" w:rsidR="00001265" w:rsidRDefault="00001265"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es ocioso mencionar que, en los casos en que los Sujetos Obligados omiten </w:t>
      </w:r>
      <w:r>
        <w:rPr>
          <w:rFonts w:ascii="Palatino Linotype" w:hAnsi="Palatino Linotype"/>
        </w:rPr>
        <w:t xml:space="preserve">manifestar su incompetencia para poseer, generar o administrar la información </w:t>
      </w:r>
      <w:r>
        <w:rPr>
          <w:rFonts w:ascii="Palatino Linotype" w:hAnsi="Palatino Linotype"/>
        </w:rPr>
        <w:lastRenderedPageBreak/>
        <w:t>solicitada en su momento procesal oportuno, este Órgano Garante suele ordenar</w:t>
      </w:r>
      <w:r w:rsidR="001A7A87">
        <w:rPr>
          <w:rFonts w:ascii="Palatino Linotype" w:hAnsi="Palatino Linotype"/>
        </w:rPr>
        <w:t>, como una forma de resarcir en cierto espectro el derecho de acceso a la información de los particulares,</w:t>
      </w:r>
      <w:r>
        <w:rPr>
          <w:rFonts w:ascii="Palatino Linotype" w:hAnsi="Palatino Linotype"/>
        </w:rPr>
        <w:t xml:space="preserve"> que se entregue el Acuerdo del Comité de Transparencia en el que se funden y motiven las razones de la incompetencia en términos del artículo 49, fracciones I y II de la Ley de Transparencia y Acceso a la Información Pública del Estado de México y Municipios, que a la letra señala:</w:t>
      </w:r>
    </w:p>
    <w:p w14:paraId="48A6F1C0" w14:textId="77777777" w:rsidR="00001265" w:rsidRDefault="00001265" w:rsidP="00001265">
      <w:pPr>
        <w:pStyle w:val="Prrafodelista"/>
        <w:tabs>
          <w:tab w:val="left" w:pos="426"/>
        </w:tabs>
        <w:spacing w:before="240" w:line="360" w:lineRule="auto"/>
        <w:ind w:left="0" w:right="51"/>
        <w:jc w:val="both"/>
        <w:rPr>
          <w:rFonts w:ascii="Palatino Linotype" w:hAnsi="Palatino Linotype"/>
          <w:color w:val="000000" w:themeColor="text1"/>
        </w:rPr>
      </w:pPr>
    </w:p>
    <w:p w14:paraId="5D6543C3" w14:textId="77777777" w:rsidR="00001265" w:rsidRDefault="00001265" w:rsidP="00001265">
      <w:pPr>
        <w:pStyle w:val="Sinespaciado"/>
        <w:spacing w:line="276" w:lineRule="auto"/>
        <w:ind w:left="567" w:right="567"/>
        <w:jc w:val="both"/>
        <w:rPr>
          <w:rFonts w:ascii="Palatino Linotype" w:hAnsi="Palatino Linotype"/>
          <w:i/>
          <w:sz w:val="22"/>
        </w:rPr>
      </w:pPr>
      <w:r>
        <w:rPr>
          <w:rFonts w:ascii="Palatino Linotype" w:hAnsi="Palatino Linotype"/>
          <w:i/>
          <w:sz w:val="22"/>
        </w:rPr>
        <w:t>“</w:t>
      </w:r>
      <w:r w:rsidRPr="00853DC6">
        <w:rPr>
          <w:rFonts w:ascii="Palatino Linotype" w:hAnsi="Palatino Linotype"/>
          <w:b/>
          <w:i/>
          <w:sz w:val="22"/>
        </w:rPr>
        <w:t>Artículo 49.</w:t>
      </w:r>
      <w:r w:rsidRPr="00853DC6">
        <w:rPr>
          <w:rFonts w:ascii="Palatino Linotype" w:hAnsi="Palatino Linotype"/>
          <w:i/>
          <w:sz w:val="22"/>
        </w:rPr>
        <w:t xml:space="preserve"> Los Comités de Transparencia tendrán las siguientes atribuciones: </w:t>
      </w:r>
    </w:p>
    <w:p w14:paraId="10E567A9" w14:textId="77777777" w:rsidR="00001265" w:rsidRDefault="00001265" w:rsidP="00001265">
      <w:pPr>
        <w:pStyle w:val="Sinespaciado"/>
        <w:spacing w:line="276" w:lineRule="auto"/>
        <w:ind w:left="567" w:right="567"/>
        <w:jc w:val="both"/>
        <w:rPr>
          <w:rFonts w:ascii="Palatino Linotype" w:hAnsi="Palatino Linotype"/>
          <w:i/>
          <w:sz w:val="22"/>
        </w:rPr>
      </w:pPr>
      <w:r w:rsidRPr="001F5541">
        <w:rPr>
          <w:rFonts w:ascii="Palatino Linotype" w:hAnsi="Palatino Linotype"/>
          <w:b/>
          <w:bCs/>
          <w:i/>
          <w:sz w:val="22"/>
        </w:rPr>
        <w:t>I.</w:t>
      </w:r>
      <w:r w:rsidRPr="00853DC6">
        <w:rPr>
          <w:rFonts w:ascii="Palatino Linotype" w:hAnsi="Palatino Linotype"/>
          <w:i/>
          <w:sz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4BC66D60" w14:textId="77777777" w:rsidR="00001265" w:rsidRDefault="00001265" w:rsidP="00001265">
      <w:pPr>
        <w:pStyle w:val="Sinespaciado"/>
        <w:spacing w:line="276" w:lineRule="auto"/>
        <w:ind w:left="567" w:right="567"/>
        <w:jc w:val="both"/>
        <w:rPr>
          <w:rFonts w:ascii="Palatino Linotype" w:hAnsi="Palatino Linotype"/>
          <w:i/>
          <w:sz w:val="22"/>
        </w:rPr>
      </w:pPr>
      <w:r w:rsidRPr="00D7159D">
        <w:rPr>
          <w:rFonts w:ascii="Palatino Linotype" w:hAnsi="Palatino Linotype"/>
          <w:b/>
          <w:i/>
          <w:sz w:val="22"/>
        </w:rPr>
        <w:t>II.</w:t>
      </w:r>
      <w:r w:rsidRPr="00853DC6">
        <w:rPr>
          <w:rFonts w:ascii="Palatino Linotype" w:hAnsi="Palatino Linotype"/>
          <w:i/>
          <w:sz w:val="22"/>
        </w:rPr>
        <w:t xml:space="preserve"> </w:t>
      </w:r>
      <w:r w:rsidRPr="00853DC6">
        <w:rPr>
          <w:rFonts w:ascii="Palatino Linotype" w:hAnsi="Palatino Linotype"/>
          <w:b/>
          <w:i/>
          <w:sz w:val="22"/>
        </w:rPr>
        <w:t>Confirmar, modificar o revocar las determinaciones que en materia de</w:t>
      </w:r>
      <w:r w:rsidRPr="00853DC6">
        <w:rPr>
          <w:rFonts w:ascii="Palatino Linotype" w:hAnsi="Palatino Linotype"/>
          <w:i/>
          <w:sz w:val="22"/>
        </w:rPr>
        <w:t xml:space="preserve"> ampliación del plazo de respuesta, clasificación de la información y declaración de inexistencia o de </w:t>
      </w:r>
      <w:r w:rsidRPr="00853DC6">
        <w:rPr>
          <w:rFonts w:ascii="Palatino Linotype" w:hAnsi="Palatino Linotype"/>
          <w:b/>
          <w:i/>
          <w:sz w:val="22"/>
        </w:rPr>
        <w:t>incompetencia realicen los titulares de las áreas de los sujetos obligados;</w:t>
      </w:r>
    </w:p>
    <w:p w14:paraId="165ED172" w14:textId="77777777" w:rsidR="00001265" w:rsidRDefault="00001265" w:rsidP="00001265">
      <w:pPr>
        <w:pStyle w:val="Sinespaciado"/>
        <w:spacing w:line="276" w:lineRule="auto"/>
        <w:ind w:left="567" w:right="567"/>
        <w:jc w:val="both"/>
        <w:rPr>
          <w:rFonts w:ascii="Palatino Linotype" w:hAnsi="Palatino Linotype"/>
          <w:i/>
          <w:sz w:val="22"/>
        </w:rPr>
      </w:pPr>
      <w:r>
        <w:rPr>
          <w:rFonts w:ascii="Palatino Linotype" w:hAnsi="Palatino Linotype"/>
          <w:i/>
          <w:sz w:val="22"/>
        </w:rPr>
        <w:t>(…)”</w:t>
      </w:r>
    </w:p>
    <w:p w14:paraId="4E95C686" w14:textId="77777777" w:rsidR="00001265" w:rsidRDefault="00001265" w:rsidP="00001265">
      <w:pPr>
        <w:pStyle w:val="Sinespaciado"/>
        <w:spacing w:line="276" w:lineRule="auto"/>
        <w:ind w:left="567" w:right="567"/>
        <w:jc w:val="both"/>
        <w:rPr>
          <w:rFonts w:ascii="Palatino Linotype" w:hAnsi="Palatino Linotype"/>
        </w:rPr>
      </w:pPr>
      <w:r>
        <w:rPr>
          <w:rFonts w:ascii="Palatino Linotype" w:hAnsi="Palatino Linotype"/>
          <w:sz w:val="22"/>
        </w:rPr>
        <w:t>(Énfasis añadido)</w:t>
      </w:r>
    </w:p>
    <w:p w14:paraId="0CD3F067" w14:textId="77777777" w:rsidR="00001265" w:rsidRDefault="00001265" w:rsidP="00001265">
      <w:pPr>
        <w:pStyle w:val="Prrafodelista"/>
        <w:tabs>
          <w:tab w:val="left" w:pos="426"/>
        </w:tabs>
        <w:spacing w:before="240" w:after="240" w:line="360" w:lineRule="auto"/>
        <w:ind w:left="0" w:right="51"/>
        <w:jc w:val="both"/>
        <w:rPr>
          <w:rFonts w:ascii="Palatino Linotype" w:hAnsi="Palatino Linotype"/>
          <w:color w:val="000000" w:themeColor="text1"/>
        </w:rPr>
      </w:pPr>
    </w:p>
    <w:p w14:paraId="798F30D3" w14:textId="0CEEB7B5" w:rsidR="001A7A87" w:rsidRDefault="00001265" w:rsidP="001A7A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Empero, en el presente asunto, y como fuera señalado en el apartado de </w:t>
      </w:r>
      <w:r>
        <w:rPr>
          <w:rFonts w:ascii="Palatino Linotype" w:hAnsi="Palatino Linotype"/>
          <w:i/>
          <w:color w:val="000000" w:themeColor="text1"/>
        </w:rPr>
        <w:t>Antecedentes</w:t>
      </w:r>
      <w:r>
        <w:rPr>
          <w:rFonts w:ascii="Palatino Linotype" w:hAnsi="Palatino Linotype"/>
          <w:color w:val="000000" w:themeColor="text1"/>
        </w:rPr>
        <w:t xml:space="preserve">, el </w:t>
      </w:r>
      <w:r>
        <w:rPr>
          <w:rFonts w:ascii="Palatino Linotype" w:hAnsi="Palatino Linotype"/>
          <w:b/>
          <w:color w:val="000000" w:themeColor="text1"/>
        </w:rPr>
        <w:t>SUJETO OBLIGADO</w:t>
      </w:r>
      <w:r>
        <w:rPr>
          <w:rFonts w:ascii="Palatino Linotype" w:hAnsi="Palatino Linotype"/>
          <w:color w:val="000000" w:themeColor="text1"/>
        </w:rPr>
        <w:t xml:space="preserve"> acompañ</w:t>
      </w:r>
      <w:r w:rsidR="007820F2">
        <w:rPr>
          <w:rFonts w:ascii="Palatino Linotype" w:hAnsi="Palatino Linotype"/>
          <w:color w:val="000000" w:themeColor="text1"/>
        </w:rPr>
        <w:t>ó su respuesta con el Acta del Comité de Transparencia número CT/UTAIP/ASE-65/2021, de diecinueve (19) de agosto de dos mil veintiuno, mediante la cual, se confirma la incompetencia del Ayuntamiento de Teoloyucan para poseer, generar o administrar la información</w:t>
      </w:r>
      <w:r w:rsidR="001A7A87">
        <w:rPr>
          <w:rFonts w:ascii="Palatino Linotype" w:hAnsi="Palatino Linotype"/>
          <w:color w:val="000000" w:themeColor="text1"/>
        </w:rPr>
        <w:t>. Se adjunta el documento de mérito a continuación para efectos referenciativos:</w:t>
      </w:r>
    </w:p>
    <w:p w14:paraId="06B8CEBF" w14:textId="77777777" w:rsidR="001A7A87" w:rsidRDefault="001A7A87" w:rsidP="001A7A87">
      <w:pPr>
        <w:pStyle w:val="Prrafodelista"/>
        <w:tabs>
          <w:tab w:val="left" w:pos="426"/>
        </w:tabs>
        <w:spacing w:before="240" w:after="240" w:line="360" w:lineRule="auto"/>
        <w:ind w:left="0" w:right="51"/>
        <w:jc w:val="both"/>
        <w:rPr>
          <w:rFonts w:ascii="Palatino Linotype" w:hAnsi="Palatino Linotype"/>
          <w:color w:val="000000" w:themeColor="text1"/>
        </w:rPr>
      </w:pPr>
    </w:p>
    <w:p w14:paraId="3D0A574C" w14:textId="071F8A2E" w:rsidR="001A7A87" w:rsidRDefault="001A7A87" w:rsidP="001A7A87">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2C287B4B" wp14:editId="5274CFF2">
            <wp:extent cx="4760230" cy="7245350"/>
            <wp:effectExtent l="57150" t="57150" r="116840" b="107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965" cy="72510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5A4B35" w14:textId="2F2BB967" w:rsidR="001A7A87" w:rsidRDefault="001A7A87" w:rsidP="001A7A87">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6B12E9D8" wp14:editId="34019BEE">
            <wp:extent cx="4697946" cy="7321550"/>
            <wp:effectExtent l="57150" t="57150" r="121920" b="107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415" cy="73347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C7B7CD" w14:textId="2A4E8233" w:rsidR="001A7A87" w:rsidRDefault="001A7A87" w:rsidP="001A7A87">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418CC460" wp14:editId="2F309643">
            <wp:extent cx="4737100" cy="7351277"/>
            <wp:effectExtent l="57150" t="57150" r="120650" b="1168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1415" cy="73579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C3CF75" w14:textId="77777777" w:rsidR="001A7A87" w:rsidRDefault="001A7A87" w:rsidP="001A7A87">
      <w:pPr>
        <w:pStyle w:val="Prrafodelista"/>
        <w:tabs>
          <w:tab w:val="left" w:pos="426"/>
        </w:tabs>
        <w:spacing w:before="240" w:after="240" w:line="360" w:lineRule="auto"/>
        <w:ind w:left="0" w:right="51"/>
        <w:jc w:val="both"/>
        <w:rPr>
          <w:rFonts w:ascii="Palatino Linotype" w:hAnsi="Palatino Linotype"/>
          <w:color w:val="000000" w:themeColor="text1"/>
        </w:rPr>
      </w:pPr>
    </w:p>
    <w:p w14:paraId="05560AB9" w14:textId="0B7490C2" w:rsidR="00332BCD" w:rsidRPr="00332BCD" w:rsidRDefault="00332BCD" w:rsidP="00332B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lo anterior, conviene recordar que el </w:t>
      </w:r>
      <w:r w:rsidRPr="00332BCD">
        <w:rPr>
          <w:rFonts w:ascii="Palatino Linotype" w:hAnsi="Palatino Linotype"/>
          <w:color w:val="000000" w:themeColor="text1"/>
        </w:rPr>
        <w:t>Comité de Transparencia será la autoridad máxima al interior del sujeto obligado en materia del derecho de acceso a la información</w:t>
      </w:r>
      <w:r>
        <w:rPr>
          <w:rStyle w:val="Refdenotaalpie"/>
          <w:rFonts w:ascii="Palatino Linotype" w:hAnsi="Palatino Linotype"/>
          <w:color w:val="000000" w:themeColor="text1"/>
        </w:rPr>
        <w:footnoteReference w:id="7"/>
      </w:r>
      <w:r>
        <w:rPr>
          <w:rFonts w:ascii="Palatino Linotype" w:hAnsi="Palatino Linotype"/>
          <w:color w:val="000000" w:themeColor="text1"/>
        </w:rPr>
        <w:t xml:space="preserve">; el cual, será un órgano </w:t>
      </w:r>
      <w:r w:rsidRPr="00332BCD">
        <w:rPr>
          <w:rFonts w:ascii="Palatino Linotype" w:hAnsi="Palatino Linotype"/>
          <w:color w:val="000000" w:themeColor="text1"/>
        </w:rPr>
        <w:t>colegiado e integrado por lo menos por tres miembros, debiendo de ser siempre un número impar</w:t>
      </w:r>
      <w:r>
        <w:rPr>
          <w:rStyle w:val="Refdenotaalpie"/>
          <w:rFonts w:ascii="Palatino Linotype" w:hAnsi="Palatino Linotype"/>
          <w:color w:val="000000" w:themeColor="text1"/>
        </w:rPr>
        <w:footnoteReference w:id="8"/>
      </w:r>
      <w:r>
        <w:rPr>
          <w:rFonts w:ascii="Palatino Linotype" w:hAnsi="Palatino Linotype"/>
          <w:color w:val="000000" w:themeColor="text1"/>
        </w:rPr>
        <w:t>.</w:t>
      </w:r>
    </w:p>
    <w:p w14:paraId="43DEE2DF" w14:textId="77777777" w:rsidR="00001265" w:rsidRDefault="00001265" w:rsidP="00001265">
      <w:pPr>
        <w:pStyle w:val="Prrafodelista"/>
        <w:tabs>
          <w:tab w:val="left" w:pos="426"/>
        </w:tabs>
        <w:spacing w:before="240" w:after="240" w:line="360" w:lineRule="auto"/>
        <w:ind w:left="0" w:right="51"/>
        <w:jc w:val="both"/>
        <w:rPr>
          <w:rFonts w:ascii="Palatino Linotype" w:hAnsi="Palatino Linotype"/>
          <w:color w:val="000000" w:themeColor="text1"/>
        </w:rPr>
      </w:pPr>
    </w:p>
    <w:p w14:paraId="7173A32E" w14:textId="355328E5" w:rsidR="00332BCD" w:rsidRDefault="00332BCD" w:rsidP="00332B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conformidad con lo dispuesto por el artículo 46 de la Ley de Transparencia y Acceso a la Información Pública del Estado de México y Municipios, el Comité de Transparencia se integrará de la siguiente forma:</w:t>
      </w:r>
    </w:p>
    <w:p w14:paraId="760132F1" w14:textId="77777777" w:rsidR="00332BCD" w:rsidRDefault="00332BCD" w:rsidP="00332BCD">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El </w:t>
      </w:r>
      <w:r w:rsidRPr="00332BCD">
        <w:rPr>
          <w:rFonts w:ascii="Palatino Linotype" w:hAnsi="Palatino Linotype"/>
          <w:color w:val="000000" w:themeColor="text1"/>
        </w:rPr>
        <w:t xml:space="preserve">titular de la unidad de transparencia; </w:t>
      </w:r>
    </w:p>
    <w:p w14:paraId="1FB97C55" w14:textId="77777777" w:rsidR="00332BCD" w:rsidRDefault="00332BCD" w:rsidP="00332BCD">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332BCD">
        <w:rPr>
          <w:rFonts w:ascii="Palatino Linotype" w:hAnsi="Palatino Linotype"/>
          <w:color w:val="000000" w:themeColor="text1"/>
        </w:rPr>
        <w:t xml:space="preserve">El responsable del área coordinadora de archivos o equivalente; y </w:t>
      </w:r>
    </w:p>
    <w:p w14:paraId="5254AB16" w14:textId="1BE5090D" w:rsidR="00332BCD" w:rsidRPr="00332BCD" w:rsidRDefault="00332BCD" w:rsidP="00332BCD">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332BCD">
        <w:rPr>
          <w:rFonts w:ascii="Palatino Linotype" w:hAnsi="Palatino Linotype"/>
          <w:color w:val="000000" w:themeColor="text1"/>
        </w:rPr>
        <w:t>El titular del órgano de control interno o equivalente.</w:t>
      </w:r>
    </w:p>
    <w:p w14:paraId="7844239B" w14:textId="77777777" w:rsidR="00167813" w:rsidRDefault="00167813" w:rsidP="00167813">
      <w:pPr>
        <w:pStyle w:val="Prrafodelista"/>
        <w:tabs>
          <w:tab w:val="left" w:pos="426"/>
        </w:tabs>
        <w:spacing w:before="240" w:after="240" w:line="360" w:lineRule="auto"/>
        <w:ind w:left="0" w:right="51"/>
        <w:jc w:val="both"/>
        <w:rPr>
          <w:rFonts w:ascii="Palatino Linotype" w:hAnsi="Palatino Linotype"/>
          <w:color w:val="000000" w:themeColor="text1"/>
        </w:rPr>
      </w:pPr>
    </w:p>
    <w:p w14:paraId="4D527A9B" w14:textId="63117637" w:rsidR="005B13E4" w:rsidRDefault="00332BCD" w:rsidP="00C0328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32BCD">
        <w:rPr>
          <w:rFonts w:ascii="Palatino Linotype" w:hAnsi="Palatino Linotype"/>
          <w:color w:val="000000" w:themeColor="text1"/>
        </w:rPr>
        <w:t xml:space="preserve">Así, del análisis realizado al Acta del Comité de Transparencia presentado por el </w:t>
      </w:r>
      <w:r w:rsidRPr="00332BCD">
        <w:rPr>
          <w:rFonts w:ascii="Palatino Linotype" w:hAnsi="Palatino Linotype"/>
          <w:b/>
          <w:color w:val="000000" w:themeColor="text1"/>
        </w:rPr>
        <w:t>SUJETO OBLIGADO</w:t>
      </w:r>
      <w:r w:rsidRPr="00332BCD">
        <w:rPr>
          <w:rFonts w:ascii="Palatino Linotype" w:hAnsi="Palatino Linotype"/>
          <w:color w:val="000000" w:themeColor="text1"/>
        </w:rPr>
        <w:t xml:space="preserve"> en respuesta a la solicitud de información, se aprecia que </w:t>
      </w:r>
      <w:r>
        <w:rPr>
          <w:rFonts w:ascii="Palatino Linotype" w:hAnsi="Palatino Linotype"/>
          <w:color w:val="000000" w:themeColor="text1"/>
        </w:rPr>
        <w:t xml:space="preserve">éste se encuentra debidamente conformado por la Presidenta y Encargada de Despacho de la Unidad de Transparencia; la Encargada de Despacho de la Contraloría; y, el Secretario del Ayuntamiento, quien también funge como Responsable del Archivo Municipal. Luego entonces, toda vez que el Comité de Transparencia del Ayuntamiento de Teoloyucan ya manifestó su incompetencia para poseer, generar o administrar la información solicitada y, por otro lado, la Unidad de Transparencia orientó al </w:t>
      </w:r>
      <w:r>
        <w:rPr>
          <w:rFonts w:ascii="Palatino Linotype" w:hAnsi="Palatino Linotype"/>
          <w:b/>
          <w:color w:val="000000" w:themeColor="text1"/>
        </w:rPr>
        <w:t>RECURRENTE</w:t>
      </w:r>
      <w:r>
        <w:rPr>
          <w:rFonts w:ascii="Palatino Linotype" w:hAnsi="Palatino Linotype"/>
          <w:color w:val="000000" w:themeColor="text1"/>
        </w:rPr>
        <w:t xml:space="preserve"> a dirigir su solicitud al Sujeto </w:t>
      </w:r>
      <w:r>
        <w:rPr>
          <w:rFonts w:ascii="Palatino Linotype" w:hAnsi="Palatino Linotype"/>
          <w:color w:val="000000" w:themeColor="text1"/>
        </w:rPr>
        <w:lastRenderedPageBreak/>
        <w:t xml:space="preserve">Obligado competente para atender los requerimientos, esta Ponencia Resolutora </w:t>
      </w:r>
      <w:r w:rsidR="00F94AEA">
        <w:rPr>
          <w:rFonts w:ascii="Palatino Linotype" w:hAnsi="Palatino Linotype"/>
          <w:color w:val="000000" w:themeColor="text1"/>
        </w:rPr>
        <w:t xml:space="preserve">determina conforme a derecho </w:t>
      </w:r>
      <w:r w:rsidR="00F94AEA">
        <w:rPr>
          <w:rFonts w:ascii="Palatino Linotype" w:hAnsi="Palatino Linotype"/>
          <w:b/>
          <w:color w:val="000000" w:themeColor="text1"/>
        </w:rPr>
        <w:t>confirmar</w:t>
      </w:r>
      <w:r w:rsidR="00F94AEA">
        <w:rPr>
          <w:rFonts w:ascii="Palatino Linotype" w:hAnsi="Palatino Linotype"/>
          <w:color w:val="000000" w:themeColor="text1"/>
        </w:rPr>
        <w:t xml:space="preserve"> la respuesta a la solicitud de información </w:t>
      </w:r>
      <w:r w:rsidR="00F94AEA">
        <w:rPr>
          <w:rFonts w:ascii="Palatino Linotype" w:hAnsi="Palatino Linotype"/>
          <w:b/>
          <w:color w:val="000000" w:themeColor="text1"/>
        </w:rPr>
        <w:t>00424/TEOLOYU/IP/2021</w:t>
      </w:r>
      <w:r w:rsidR="00F94AEA">
        <w:rPr>
          <w:rFonts w:ascii="Palatino Linotype" w:hAnsi="Palatino Linotype"/>
          <w:color w:val="000000" w:themeColor="text1"/>
        </w:rPr>
        <w:t>.</w:t>
      </w:r>
    </w:p>
    <w:p w14:paraId="2B9F8B03" w14:textId="77777777" w:rsidR="00332BCD" w:rsidRPr="00332BCD" w:rsidRDefault="00332BCD" w:rsidP="00332BCD">
      <w:pPr>
        <w:pStyle w:val="Prrafodelista"/>
        <w:tabs>
          <w:tab w:val="left" w:pos="426"/>
        </w:tabs>
        <w:spacing w:before="240" w:after="240" w:line="360" w:lineRule="auto"/>
        <w:ind w:left="0" w:right="51"/>
        <w:jc w:val="both"/>
        <w:rPr>
          <w:rFonts w:ascii="Palatino Linotype" w:hAnsi="Palatino Linotype"/>
          <w:color w:val="000000" w:themeColor="text1"/>
        </w:rPr>
      </w:pPr>
    </w:p>
    <w:p w14:paraId="1B7FF4A3" w14:textId="3D92FF96" w:rsidR="003076B1" w:rsidRPr="003076B1" w:rsidRDefault="005B13E4" w:rsidP="003076B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30" w:name="_Toc87456494"/>
      <w:r>
        <w:rPr>
          <w:rFonts w:ascii="Palatino Linotype" w:hAnsi="Palatino Linotype"/>
          <w:b/>
          <w:color w:val="000000" w:themeColor="text1"/>
        </w:rPr>
        <w:t>V</w:t>
      </w:r>
      <w:r w:rsidR="003076B1">
        <w:rPr>
          <w:rFonts w:ascii="Palatino Linotype" w:hAnsi="Palatino Linotype"/>
          <w:b/>
          <w:color w:val="000000" w:themeColor="text1"/>
        </w:rPr>
        <w:t xml:space="preserve">. </w:t>
      </w:r>
      <w:r w:rsidR="00216B8B">
        <w:rPr>
          <w:rFonts w:ascii="Palatino Linotype" w:hAnsi="Palatino Linotype"/>
          <w:b/>
          <w:color w:val="000000" w:themeColor="text1"/>
        </w:rPr>
        <w:t>De</w:t>
      </w:r>
      <w:r w:rsidR="00087CFE">
        <w:rPr>
          <w:rFonts w:ascii="Palatino Linotype" w:hAnsi="Palatino Linotype"/>
          <w:b/>
          <w:color w:val="000000" w:themeColor="text1"/>
        </w:rPr>
        <w:t>l</w:t>
      </w:r>
      <w:r w:rsidR="00216B8B">
        <w:rPr>
          <w:rFonts w:ascii="Palatino Linotype" w:hAnsi="Palatino Linotype"/>
          <w:b/>
          <w:color w:val="000000" w:themeColor="text1"/>
        </w:rPr>
        <w:t xml:space="preserve"> derecho de petición</w:t>
      </w:r>
      <w:r w:rsidR="003076B1">
        <w:rPr>
          <w:rFonts w:ascii="Palatino Linotype" w:hAnsi="Palatino Linotype"/>
          <w:b/>
          <w:color w:val="000000" w:themeColor="text1"/>
        </w:rPr>
        <w:t>.</w:t>
      </w:r>
      <w:bookmarkEnd w:id="30"/>
    </w:p>
    <w:p w14:paraId="16D8CF1C" w14:textId="77777777" w:rsidR="003076B1" w:rsidRDefault="003076B1" w:rsidP="000B750B">
      <w:pPr>
        <w:pStyle w:val="Prrafodelista"/>
        <w:tabs>
          <w:tab w:val="left" w:pos="426"/>
        </w:tabs>
        <w:spacing w:before="240" w:after="240" w:line="360" w:lineRule="auto"/>
        <w:ind w:left="0" w:right="51"/>
        <w:jc w:val="both"/>
        <w:rPr>
          <w:rFonts w:ascii="Palatino Linotype" w:hAnsi="Palatino Linotype"/>
          <w:color w:val="000000" w:themeColor="text1"/>
        </w:rPr>
      </w:pPr>
    </w:p>
    <w:p w14:paraId="1B0C35AD" w14:textId="679504CE" w:rsidR="00CA7A78" w:rsidRDefault="00E7041F"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por cuando hace al agravio expresado por el </w:t>
      </w:r>
      <w:r>
        <w:rPr>
          <w:rFonts w:ascii="Palatino Linotype" w:hAnsi="Palatino Linotype"/>
          <w:b/>
          <w:color w:val="000000" w:themeColor="text1"/>
        </w:rPr>
        <w:t>RECURRENTE</w:t>
      </w:r>
      <w:r>
        <w:rPr>
          <w:rFonts w:ascii="Palatino Linotype" w:hAnsi="Palatino Linotype"/>
          <w:color w:val="000000" w:themeColor="text1"/>
        </w:rPr>
        <w:t xml:space="preserve"> en el que señaló que había hecho una pregunta directa a la Presidenta Municipal, </w:t>
      </w:r>
      <w:r w:rsidR="00F94AEA">
        <w:rPr>
          <w:rFonts w:ascii="Palatino Linotype" w:hAnsi="Palatino Linotype"/>
          <w:color w:val="000000" w:themeColor="text1"/>
        </w:rPr>
        <w:t>se</w:t>
      </w:r>
      <w:r w:rsidRPr="00E7041F">
        <w:rPr>
          <w:rFonts w:ascii="Palatino Linotype" w:hAnsi="Palatino Linotype"/>
          <w:color w:val="000000" w:themeColor="text1"/>
          <w:lang w:val="es-ES_tradnl"/>
        </w:rPr>
        <w:t xml:space="preserve"> advierte que </w:t>
      </w:r>
      <w:r>
        <w:rPr>
          <w:rFonts w:ascii="Palatino Linotype" w:hAnsi="Palatino Linotype"/>
          <w:color w:val="000000" w:themeColor="text1"/>
          <w:lang w:val="es-ES_tradnl"/>
        </w:rPr>
        <w:t xml:space="preserve">dicho planteamiento </w:t>
      </w:r>
      <w:r w:rsidRPr="00E7041F">
        <w:rPr>
          <w:rFonts w:ascii="Palatino Linotype" w:hAnsi="Palatino Linotype"/>
          <w:color w:val="000000" w:themeColor="text1"/>
          <w:lang w:val="es-ES_tradnl"/>
        </w:rPr>
        <w:t xml:space="preserve">no constituye un derecho de acceso a la información pública, sino más bien un </w:t>
      </w:r>
      <w:r w:rsidRPr="00E7041F">
        <w:rPr>
          <w:rFonts w:ascii="Palatino Linotype" w:hAnsi="Palatino Linotype"/>
          <w:b/>
          <w:bCs/>
          <w:color w:val="000000" w:themeColor="text1"/>
          <w:lang w:val="es-ES_tradnl"/>
        </w:rPr>
        <w:t>derecho de petición</w:t>
      </w:r>
      <w:r w:rsidRPr="00E7041F">
        <w:rPr>
          <w:rFonts w:ascii="Palatino Linotype" w:hAnsi="Palatino Linotype"/>
          <w:color w:val="000000" w:themeColor="text1"/>
          <w:lang w:val="es-ES_tradnl"/>
        </w:rPr>
        <w:t>, debido a que se tratan de interrogantes que no se colman con la entrega de documentos</w:t>
      </w:r>
      <w:r>
        <w:rPr>
          <w:rFonts w:ascii="Palatino Linotype" w:hAnsi="Palatino Linotype"/>
          <w:color w:val="000000" w:themeColor="text1"/>
          <w:lang w:val="es-ES_tradnl"/>
        </w:rPr>
        <w:t xml:space="preserve"> generados, poseídos o administrados por el Ayuntamiento de Teoloyucan</w:t>
      </w:r>
      <w:r w:rsidR="00087CFE">
        <w:rPr>
          <w:rFonts w:ascii="Palatino Linotype" w:hAnsi="Palatino Linotype"/>
          <w:color w:val="000000" w:themeColor="text1"/>
          <w:lang w:val="es-ES_tradnl"/>
        </w:rPr>
        <w:t>,</w:t>
      </w:r>
      <w:r>
        <w:rPr>
          <w:rFonts w:ascii="Palatino Linotype" w:hAnsi="Palatino Linotype"/>
          <w:color w:val="000000" w:themeColor="text1"/>
          <w:lang w:val="es-ES_tradnl"/>
        </w:rPr>
        <w:t xml:space="preserve"> </w:t>
      </w:r>
      <w:r w:rsidR="006B0F92">
        <w:rPr>
          <w:rFonts w:ascii="Palatino Linotype" w:hAnsi="Palatino Linotype"/>
          <w:color w:val="000000" w:themeColor="text1"/>
          <w:lang w:val="es-ES_tradnl"/>
        </w:rPr>
        <w:t>toda vez</w:t>
      </w:r>
      <w:r>
        <w:rPr>
          <w:rFonts w:ascii="Palatino Linotype" w:hAnsi="Palatino Linotype"/>
          <w:color w:val="000000" w:themeColor="text1"/>
          <w:lang w:val="es-ES_tradnl"/>
        </w:rPr>
        <w:t xml:space="preserve"> que el particular pretende que la Presidenta Municipal </w:t>
      </w:r>
      <w:r w:rsidR="00087CFE">
        <w:rPr>
          <w:rFonts w:ascii="Palatino Linotype" w:hAnsi="Palatino Linotype"/>
          <w:color w:val="000000" w:themeColor="text1"/>
          <w:lang w:val="es-ES_tradnl"/>
        </w:rPr>
        <w:t>exhiba</w:t>
      </w:r>
      <w:r>
        <w:rPr>
          <w:rFonts w:ascii="Palatino Linotype" w:hAnsi="Palatino Linotype"/>
          <w:color w:val="000000" w:themeColor="text1"/>
          <w:lang w:val="es-ES_tradnl"/>
        </w:rPr>
        <w:t xml:space="preserve"> una serie de documentos que</w:t>
      </w:r>
      <w:r w:rsidR="006B0F92">
        <w:rPr>
          <w:rFonts w:ascii="Palatino Linotype" w:hAnsi="Palatino Linotype"/>
          <w:color w:val="000000" w:themeColor="text1"/>
          <w:lang w:val="es-ES_tradnl"/>
        </w:rPr>
        <w:t>,</w:t>
      </w:r>
      <w:r>
        <w:rPr>
          <w:rFonts w:ascii="Palatino Linotype" w:hAnsi="Palatino Linotype"/>
          <w:color w:val="000000" w:themeColor="text1"/>
          <w:lang w:val="es-ES_tradnl"/>
        </w:rPr>
        <w:t xml:space="preserve"> en su calidad de </w:t>
      </w:r>
      <w:r w:rsidR="00087CFE">
        <w:rPr>
          <w:rFonts w:ascii="Palatino Linotype" w:hAnsi="Palatino Linotype"/>
          <w:color w:val="000000" w:themeColor="text1"/>
          <w:lang w:val="es-ES_tradnl"/>
        </w:rPr>
        <w:t xml:space="preserve">candidata dentro de las elecciones municipales sucedidas en el dos mil veintiuno, debió presentar ante el </w:t>
      </w:r>
      <w:r w:rsidR="006B0F92">
        <w:rPr>
          <w:rFonts w:ascii="Palatino Linotype" w:hAnsi="Palatino Linotype"/>
          <w:color w:val="000000" w:themeColor="text1"/>
          <w:lang w:val="es-ES_tradnl"/>
        </w:rPr>
        <w:t>Instituto Electoral del Estado de México</w:t>
      </w:r>
      <w:r w:rsidR="00087CFE">
        <w:rPr>
          <w:rFonts w:ascii="Palatino Linotype" w:hAnsi="Palatino Linotype"/>
          <w:color w:val="000000" w:themeColor="text1"/>
          <w:lang w:val="es-ES_tradnl"/>
        </w:rPr>
        <w:t>;</w:t>
      </w:r>
      <w:r w:rsidRPr="00E7041F">
        <w:rPr>
          <w:rFonts w:ascii="Palatino Linotype" w:hAnsi="Palatino Linotype"/>
          <w:color w:val="000000" w:themeColor="text1"/>
          <w:lang w:val="es-ES_tradnl"/>
        </w:rPr>
        <w:t xml:space="preserve"> situación que conlleva a afirmar que se está en presencia del ejercicio del derecho enunciado.</w:t>
      </w:r>
    </w:p>
    <w:p w14:paraId="5D248F8A"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09150375" w14:textId="3B5B4436"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sidRPr="007E38AB">
        <w:rPr>
          <w:rFonts w:ascii="Palatino Linotype" w:hAnsi="Palatino Linotype" w:cs="Arial"/>
          <w:color w:val="000000" w:themeColor="text1"/>
        </w:rPr>
        <w:t>ese contexto, es importante dejar en claro lo que debe entenderse por derecho de petición y por derecho de acceso a la información pública</w:t>
      </w:r>
      <w:r>
        <w:rPr>
          <w:rFonts w:ascii="Palatino Linotype" w:hAnsi="Palatino Linotype" w:cs="Arial"/>
          <w:color w:val="000000" w:themeColor="text1"/>
        </w:rPr>
        <w:t xml:space="preserve">. Por lo que </w:t>
      </w:r>
      <w:r w:rsidRPr="009D7050">
        <w:rPr>
          <w:rFonts w:ascii="Palatino Linotype" w:eastAsia="MS Mincho" w:hAnsi="Palatino Linotype" w:cs="Arial"/>
        </w:rPr>
        <w:t>respecta a la definición de Derecho de Petición, el Maestro Ignacio Burgoa Orihuela refiere</w:t>
      </w:r>
      <w:r>
        <w:rPr>
          <w:rFonts w:ascii="Palatino Linotype" w:eastAsia="MS Mincho" w:hAnsi="Palatino Linotype" w:cs="Arial"/>
        </w:rPr>
        <w:t xml:space="preserve"> que:</w:t>
      </w:r>
    </w:p>
    <w:p w14:paraId="5EA3786C"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F182D2D" w14:textId="77777777" w:rsidR="00087CFE" w:rsidRPr="007E38AB" w:rsidRDefault="00087CFE" w:rsidP="00087CFE">
      <w:pPr>
        <w:pStyle w:val="Prrafodelista"/>
        <w:tabs>
          <w:tab w:val="left" w:pos="426"/>
        </w:tabs>
        <w:spacing w:before="240" w:after="240" w:line="276" w:lineRule="auto"/>
        <w:ind w:left="567" w:right="567"/>
        <w:jc w:val="both"/>
        <w:rPr>
          <w:rFonts w:ascii="Palatino Linotype" w:hAnsi="Palatino Linotype"/>
          <w:i/>
          <w:color w:val="000000" w:themeColor="text1"/>
          <w:sz w:val="22"/>
          <w:szCs w:val="22"/>
        </w:rPr>
      </w:pPr>
      <w:r w:rsidRPr="007E38AB">
        <w:rPr>
          <w:rFonts w:ascii="Palatino Linotype" w:hAnsi="Palatino Linotype"/>
          <w:b/>
          <w:color w:val="000000" w:themeColor="text1"/>
          <w:sz w:val="22"/>
          <w:szCs w:val="22"/>
        </w:rPr>
        <w:t>“</w:t>
      </w:r>
      <w:r w:rsidRPr="007E38AB">
        <w:rPr>
          <w:rFonts w:ascii="Palatino Linotype" w:hAnsi="Palatino Linotype"/>
          <w:color w:val="000000" w:themeColor="text1"/>
          <w:sz w:val="22"/>
          <w:szCs w:val="22"/>
        </w:rPr>
        <w:t>…</w:t>
      </w:r>
      <w:r w:rsidRPr="007E38AB">
        <w:rPr>
          <w:rFonts w:ascii="Palatino Linotype" w:hAnsi="Palatino Linotype"/>
          <w:i/>
          <w:color w:val="000000" w:themeColor="text1"/>
          <w:sz w:val="22"/>
          <w:szCs w:val="22"/>
        </w:rPr>
        <w:t xml:space="preserve">es un Derecho Público subjetivo individual de la Garantía Respectiva Consagrada en el Artículo 8 de la Ley Fundamental. En tal virtud, la persona tiene la facultad de </w:t>
      </w:r>
      <w:r w:rsidRPr="007E38AB">
        <w:rPr>
          <w:rFonts w:ascii="Palatino Linotype" w:hAnsi="Palatino Linotype"/>
          <w:i/>
          <w:color w:val="000000" w:themeColor="text1"/>
          <w:sz w:val="22"/>
          <w:szCs w:val="22"/>
        </w:rPr>
        <w:lastRenderedPageBreak/>
        <w:t>acudir a cualquier autoridad, formulando una solicitud o instancia escrito de cualquier índole, la cual adopta, específicamente, el carácter de simple petición administrativa, acción o recurso, etc.</w:t>
      </w:r>
      <w:r w:rsidRPr="007E38AB">
        <w:rPr>
          <w:rFonts w:ascii="Palatino Linotype" w:hAnsi="Palatino Linotype"/>
          <w:b/>
          <w:i/>
          <w:color w:val="000000" w:themeColor="text1"/>
          <w:sz w:val="22"/>
          <w:szCs w:val="22"/>
        </w:rPr>
        <w:t>“</w:t>
      </w:r>
    </w:p>
    <w:p w14:paraId="45A9E7AF" w14:textId="77777777" w:rsidR="00087CFE" w:rsidRDefault="00087CFE"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44B19DBE" w14:textId="00F277D9"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color w:val="000000" w:themeColor="text1"/>
        </w:rPr>
        <w:t xml:space="preserve">su parte, </w:t>
      </w:r>
      <w:r w:rsidRPr="009D7050">
        <w:rPr>
          <w:rFonts w:ascii="Palatino Linotype" w:eastAsia="MS Mincho" w:hAnsi="Palatino Linotype" w:cs="Arial"/>
        </w:rPr>
        <w:t>David Cienfuegos Salgado, concibe al derecho de petición como</w:t>
      </w:r>
      <w:r>
        <w:rPr>
          <w:rFonts w:ascii="Palatino Linotype" w:eastAsia="MS Mincho" w:hAnsi="Palatino Linotype" w:cs="Arial"/>
        </w:rPr>
        <w:t xml:space="preserve"> “</w:t>
      </w:r>
      <w:r>
        <w:rPr>
          <w:rFonts w:ascii="Palatino Linotype" w:eastAsia="MS Mincho" w:hAnsi="Palatino Linotype" w:cs="Arial"/>
          <w:i/>
          <w:iCs/>
        </w:rPr>
        <w:t>el derecho de toda persona a ser escuchado por quienes ejercen el poder público”.</w:t>
      </w:r>
    </w:p>
    <w:p w14:paraId="404FB887"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FCC1C59" w14:textId="1D282CCD"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Pr>
          <w:rFonts w:ascii="Palatino Linotype" w:hAnsi="Palatino Linotype" w:cs="Arial"/>
          <w:color w:val="000000" w:themeColor="text1"/>
        </w:rPr>
        <w:t xml:space="preserve">esas consideraciones, </w:t>
      </w:r>
      <w:r w:rsidRPr="007E38AB">
        <w:rPr>
          <w:rFonts w:ascii="Palatino Linotype" w:hAnsi="Palatino Linotype" w:cs="Arial"/>
          <w:color w:val="000000" w:themeColor="text1"/>
        </w:rPr>
        <w:t xml:space="preserve">para diferenciar el derecho de petición al derecho de acceso a la información, resulta </w:t>
      </w:r>
      <w:r>
        <w:rPr>
          <w:rFonts w:ascii="Palatino Linotype" w:hAnsi="Palatino Linotype" w:cs="Arial"/>
          <w:color w:val="000000" w:themeColor="text1"/>
        </w:rPr>
        <w:t>esencial</w:t>
      </w:r>
      <w:r w:rsidRPr="007E38AB">
        <w:rPr>
          <w:rFonts w:ascii="Palatino Linotype" w:hAnsi="Palatino Linotype" w:cs="Arial"/>
          <w:color w:val="000000" w:themeColor="text1"/>
        </w:rPr>
        <w:t xml:space="preserve"> señalar que José Guadalupe Robles, conceptualiza el derecho a la información como:</w:t>
      </w:r>
    </w:p>
    <w:p w14:paraId="4D66DF18"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3BA5C5F2" w14:textId="77777777" w:rsidR="00087CFE" w:rsidRPr="007E38AB" w:rsidRDefault="00087CFE" w:rsidP="00087CFE">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7E38AB">
        <w:rPr>
          <w:rFonts w:ascii="Palatino Linotype" w:hAnsi="Palatino Linotype"/>
          <w:b/>
          <w:i/>
          <w:color w:val="000000" w:themeColor="text1"/>
          <w:sz w:val="22"/>
          <w:szCs w:val="22"/>
        </w:rPr>
        <w:t>“</w:t>
      </w:r>
      <w:r w:rsidRPr="007E38AB">
        <w:rPr>
          <w:rFonts w:ascii="Palatino Linotype" w:hAnsi="Palatino Linotype"/>
          <w:i/>
          <w:color w:val="000000" w:themeColor="text1"/>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E38AB">
        <w:rPr>
          <w:rFonts w:ascii="Palatino Linotype" w:hAnsi="Palatino Linotype"/>
          <w:b/>
          <w:i/>
          <w:color w:val="000000" w:themeColor="text1"/>
          <w:sz w:val="22"/>
          <w:szCs w:val="22"/>
        </w:rPr>
        <w:t>”</w:t>
      </w:r>
      <w:r w:rsidRPr="007E38AB">
        <w:rPr>
          <w:rFonts w:ascii="Palatino Linotype" w:hAnsi="Palatino Linotype"/>
          <w:i/>
          <w:color w:val="000000" w:themeColor="text1"/>
          <w:sz w:val="22"/>
          <w:szCs w:val="22"/>
        </w:rPr>
        <w:t xml:space="preserve"> </w:t>
      </w:r>
    </w:p>
    <w:p w14:paraId="5157B37A" w14:textId="77777777" w:rsidR="00087CFE" w:rsidRDefault="00087CFE"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409897F0" w14:textId="66170348"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w:t>
      </w:r>
      <w:r w:rsidRPr="009D7050">
        <w:rPr>
          <w:rFonts w:ascii="Palatino Linotype" w:eastAsia="MS Mincho" w:hAnsi="Palatino Linotype" w:cs="Arial"/>
        </w:rPr>
        <w:t xml:space="preserve">bien, el derecho </w:t>
      </w:r>
      <w:r w:rsidRPr="009D7050">
        <w:rPr>
          <w:rFonts w:ascii="Palatino Linotype" w:eastAsia="MS Mincho" w:hAnsi="Palatino Linotype" w:cs="Times New Roman"/>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7E898391"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CE93750" w14:textId="335EBF3F"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9D7050">
        <w:rPr>
          <w:rFonts w:ascii="Palatino Linotype" w:eastAsia="MS Mincho" w:hAnsi="Palatino Linotype" w:cs="Arial"/>
        </w:rPr>
        <w:t>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7C89486F"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75FE2962" w14:textId="3FAA2E8B"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Pr="009D7050">
        <w:rPr>
          <w:rFonts w:ascii="Palatino Linotype" w:eastAsia="MS Mincho" w:hAnsi="Palatino Linotype" w:cs="Arial"/>
        </w:rPr>
        <w:t>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39ACC6C8"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38190894" w14:textId="6601D3D2"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9D7050">
        <w:rPr>
          <w:rFonts w:ascii="Palatino Linotype" w:eastAsia="MS Mincho" w:hAnsi="Palatino Linotype" w:cs="Arial"/>
        </w:rPr>
        <w:t>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3452B542"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0FEAFBC" w14:textId="564A896E"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D7050">
        <w:rPr>
          <w:rFonts w:ascii="Palatino Linotype" w:eastAsia="MS Mincho" w:hAnsi="Palatino Linotype" w:cs="Arial"/>
        </w:rPr>
        <w:t xml:space="preserve">ello, la Ley de la materia otorga la calidad de documento a los expedientes, reportes, estudios, actas, resoluciones, oficios, correspondencia, acuerdos, directivas, directrices, circulares, contratos, convenios, instructivos, notas, </w:t>
      </w:r>
      <w:r w:rsidRPr="009D7050">
        <w:rPr>
          <w:rFonts w:ascii="Palatino Linotype" w:eastAsia="MS Mincho" w:hAnsi="Palatino Linotype" w:cs="Arial"/>
        </w:rPr>
        <w:lastRenderedPageBreak/>
        <w:t>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4006D35"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0BDE3C3E" w14:textId="3C65C1F7"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9D7050">
        <w:rPr>
          <w:rFonts w:ascii="Palatino Linotype" w:eastAsia="MS Mincho" w:hAnsi="Palatino Linotype" w:cs="Arial"/>
        </w:rPr>
        <w:t>otro lado, así como la Constitución y la Ley de la materia otorgan a los particulares el derecho de acceder a los documentos generados o en posesión de las autoridades; también lo es que la obligación de proporcionar información no comprende el procesamiento de esta, ni el presentarla conforme al interés del solicitante ya que no estarán constreñidos a generarla, resumirla, efectuar cálculos o practicar investigaciones.</w:t>
      </w:r>
    </w:p>
    <w:p w14:paraId="7F6A67FC"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23B0EA9E" w14:textId="195D7924"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Corolario </w:t>
      </w:r>
      <w:r w:rsidRPr="009D7050">
        <w:rPr>
          <w:rFonts w:ascii="Palatino Linotype" w:eastAsia="MS Mincho" w:hAnsi="Palatino Linotype" w:cs="Arial"/>
          <w:lang w:eastAsia="es-MX"/>
        </w:rPr>
        <w:t>a lo anterior, el doctrinario Ernesto Villanueva Villanueva define al derecho de acceso a la información como:</w:t>
      </w:r>
    </w:p>
    <w:p w14:paraId="302437AB"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3DC44CE" w14:textId="77777777" w:rsidR="00087CFE" w:rsidRPr="007E38AB" w:rsidRDefault="00087CFE" w:rsidP="00087CFE">
      <w:pPr>
        <w:spacing w:line="276" w:lineRule="auto"/>
        <w:ind w:left="567" w:right="567"/>
        <w:contextualSpacing/>
        <w:jc w:val="both"/>
        <w:rPr>
          <w:rFonts w:ascii="Palatino Linotype" w:eastAsia="MS Mincho" w:hAnsi="Palatino Linotype" w:cs="Arial"/>
          <w:i/>
          <w:sz w:val="22"/>
          <w:szCs w:val="22"/>
          <w:lang w:eastAsia="es-MX"/>
        </w:rPr>
      </w:pPr>
      <w:r w:rsidRPr="007E38AB">
        <w:rPr>
          <w:rFonts w:ascii="Palatino Linotype" w:eastAsia="MS Mincho" w:hAnsi="Palatino Linotype" w:cs="Arial"/>
          <w:b/>
          <w:i/>
          <w:sz w:val="22"/>
          <w:szCs w:val="22"/>
          <w:lang w:eastAsia="es-MX"/>
        </w:rPr>
        <w:t>“</w:t>
      </w:r>
      <w:r w:rsidRPr="007E38AB">
        <w:rPr>
          <w:rFonts w:ascii="Palatino Linotype" w:eastAsia="MS Mincho"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E38AB">
        <w:rPr>
          <w:rFonts w:ascii="Palatino Linotype" w:eastAsia="MS Mincho" w:hAnsi="Palatino Linotype" w:cs="Arial"/>
          <w:b/>
          <w:i/>
          <w:sz w:val="22"/>
          <w:szCs w:val="22"/>
          <w:lang w:eastAsia="es-MX"/>
        </w:rPr>
        <w:t>”</w:t>
      </w:r>
      <w:r w:rsidRPr="007E38AB">
        <w:rPr>
          <w:rFonts w:ascii="Palatino Linotype" w:eastAsia="MS Mincho" w:hAnsi="Palatino Linotype" w:cs="Arial"/>
          <w:i/>
          <w:sz w:val="22"/>
          <w:szCs w:val="22"/>
          <w:vertAlign w:val="superscript"/>
          <w:lang w:eastAsia="es-MX"/>
        </w:rPr>
        <w:t xml:space="preserve"> </w:t>
      </w:r>
      <w:r w:rsidRPr="007E38AB">
        <w:rPr>
          <w:rFonts w:ascii="Palatino Linotype" w:eastAsia="MS Mincho" w:hAnsi="Palatino Linotype" w:cs="Arial"/>
          <w:i/>
          <w:sz w:val="22"/>
          <w:szCs w:val="22"/>
          <w:lang w:eastAsia="es-MX"/>
        </w:rPr>
        <w:t xml:space="preserve">(sic) </w:t>
      </w:r>
    </w:p>
    <w:p w14:paraId="545CADFD" w14:textId="77777777" w:rsidR="00087CFE" w:rsidRDefault="00087CFE"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2C0B6EA" w14:textId="7FDF396D"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podemos </w:t>
      </w:r>
      <w:r w:rsidRPr="007E38AB">
        <w:rPr>
          <w:rFonts w:ascii="Palatino Linotype" w:hAnsi="Palatino Linotype"/>
          <w:color w:val="000000" w:themeColor="text1"/>
        </w:rPr>
        <w:t xml:space="preserve">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w:t>
      </w:r>
      <w:r w:rsidRPr="007E38AB">
        <w:rPr>
          <w:rFonts w:ascii="Palatino Linotype" w:hAnsi="Palatino Linotype"/>
          <w:color w:val="000000" w:themeColor="text1"/>
        </w:rPr>
        <w:lastRenderedPageBreak/>
        <w:t xml:space="preserve">que en el </w:t>
      </w:r>
      <w:r w:rsidRPr="007E38AB">
        <w:rPr>
          <w:rFonts w:ascii="Palatino Linotype" w:hAnsi="Palatino Linotype"/>
          <w:bCs/>
          <w:color w:val="000000" w:themeColor="text1"/>
        </w:rPr>
        <w:t xml:space="preserve">segundo supuesto </w:t>
      </w:r>
      <w:r w:rsidRPr="007E38AB">
        <w:rPr>
          <w:rFonts w:ascii="Palatino Linotype" w:hAnsi="Palatino Linotype"/>
          <w:b/>
          <w:bCs/>
          <w:color w:val="000000" w:themeColor="text1"/>
          <w:u w:val="single"/>
        </w:rPr>
        <w:t>la solicitud de acceso a la información pública se encamina primordialmente a</w:t>
      </w:r>
      <w:r w:rsidRPr="007E38AB">
        <w:rPr>
          <w:rFonts w:ascii="Palatino Linotype" w:hAnsi="Palatino Linotype"/>
          <w:b/>
          <w:color w:val="000000" w:themeColor="text1"/>
          <w:u w:val="single"/>
        </w:rPr>
        <w:t xml:space="preserve"> permitir el acceso a datos, registros y todo tipo de información pública que conste en documentos, sea generada o se encuentre en posesión de la autoridad</w:t>
      </w:r>
      <w:r>
        <w:rPr>
          <w:rFonts w:ascii="Palatino Linotype" w:hAnsi="Palatino Linotype"/>
          <w:bCs/>
          <w:color w:val="000000" w:themeColor="text1"/>
        </w:rPr>
        <w:t>.</w:t>
      </w:r>
    </w:p>
    <w:p w14:paraId="78785E2E"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35AB2A1C" w14:textId="26CFEC52" w:rsidR="00216B8B" w:rsidRDefault="00087CFE"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Arial"/>
        </w:rPr>
        <w:t xml:space="preserve">el presente asunto, el particular exige al Ayuntamiento de Teoloyucan que su solicitud sea atendida por la C. Gabriela Contreras Villegas, pero no en su carácter de Presidenta Municipal, sino como candidata presidenciable en la campaña electoral llevada a cabo en el Municipio de Teoloyucan, en el dos mil veintiuno; por lo </w:t>
      </w:r>
      <w:r w:rsidR="00F94AEA">
        <w:rPr>
          <w:rFonts w:ascii="Palatino Linotype" w:eastAsia="MS Mincho" w:hAnsi="Palatino Linotype" w:cs="Arial"/>
        </w:rPr>
        <w:t>tanto, se insiste,</w:t>
      </w:r>
      <w:r w:rsidRPr="009D7050">
        <w:rPr>
          <w:rFonts w:ascii="Palatino Linotype" w:eastAsia="MS Mincho" w:hAnsi="Palatino Linotype" w:cs="Arial"/>
        </w:rPr>
        <w:t xml:space="preserve"> no hay una solicitud expresa de obtener un documento específico o que requiera el acceso a información pública</w:t>
      </w:r>
      <w:r>
        <w:rPr>
          <w:rFonts w:ascii="Palatino Linotype" w:eastAsia="MS Mincho" w:hAnsi="Palatino Linotype" w:cs="Arial"/>
        </w:rPr>
        <w:t xml:space="preserve"> generada, poseída o administrada por el </w:t>
      </w:r>
      <w:r>
        <w:rPr>
          <w:rFonts w:ascii="Palatino Linotype" w:eastAsia="MS Mincho" w:hAnsi="Palatino Linotype" w:cs="Arial"/>
          <w:b/>
        </w:rPr>
        <w:t>SUJETO OBLIGADO</w:t>
      </w:r>
      <w:r>
        <w:rPr>
          <w:rFonts w:ascii="Palatino Linotype" w:eastAsia="MS Mincho" w:hAnsi="Palatino Linotype" w:cs="Arial"/>
        </w:rPr>
        <w:t xml:space="preserve"> en ejercicio de sus facul</w:t>
      </w:r>
      <w:r w:rsidR="00F94AEA">
        <w:rPr>
          <w:rFonts w:ascii="Palatino Linotype" w:eastAsia="MS Mincho" w:hAnsi="Palatino Linotype" w:cs="Arial"/>
        </w:rPr>
        <w:t>tades, competencias o funciones;</w:t>
      </w:r>
      <w:r>
        <w:rPr>
          <w:rFonts w:ascii="Palatino Linotype" w:eastAsia="MS Mincho" w:hAnsi="Palatino Linotype" w:cs="Arial"/>
        </w:rPr>
        <w:t xml:space="preserve"> ya que el ente competente para contar con la información que requiere es el </w:t>
      </w:r>
      <w:r>
        <w:rPr>
          <w:rFonts w:ascii="Palatino Linotype" w:eastAsia="MS Mincho" w:hAnsi="Palatino Linotype" w:cs="Arial"/>
          <w:b/>
        </w:rPr>
        <w:t>Instituto Electoral del Estado de México</w:t>
      </w:r>
      <w:r>
        <w:rPr>
          <w:rFonts w:ascii="Palatino Linotype" w:eastAsia="MS Mincho" w:hAnsi="Palatino Linotype" w:cs="Arial"/>
        </w:rPr>
        <w:t xml:space="preserve">; por ello, </w:t>
      </w:r>
      <w:r w:rsidRPr="009D7050">
        <w:rPr>
          <w:rFonts w:ascii="Palatino Linotype" w:eastAsia="MS Mincho" w:hAnsi="Palatino Linotype" w:cs="Arial"/>
        </w:rPr>
        <w:t xml:space="preserve">este Órgano Garante del derecho de acceso a la información pública no se encuentra facultado para ordenar al </w:t>
      </w:r>
      <w:r w:rsidRPr="009D7050">
        <w:rPr>
          <w:rFonts w:ascii="Palatino Linotype" w:eastAsia="MS Mincho" w:hAnsi="Palatino Linotype" w:cs="Arial"/>
          <w:b/>
        </w:rPr>
        <w:t xml:space="preserve">SUJETO OBLIGADO </w:t>
      </w:r>
      <w:r w:rsidRPr="009D7050">
        <w:rPr>
          <w:rFonts w:ascii="Palatino Linotype" w:eastAsia="MS Mincho" w:hAnsi="Palatino Linotype" w:cs="Arial"/>
        </w:rPr>
        <w:t>a realizar acciones respecto de cuestionamientos a manera de petición.</w:t>
      </w:r>
    </w:p>
    <w:p w14:paraId="3CC1FA5B"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4B63EEDD" w14:textId="288B6E18" w:rsidR="00087CFE" w:rsidRPr="00087CFE" w:rsidRDefault="00087CFE" w:rsidP="00087CF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5"/>
      <w:r>
        <w:rPr>
          <w:rFonts w:ascii="Palatino Linotype" w:hAnsi="Palatino Linotype"/>
          <w:b/>
          <w:color w:val="000000" w:themeColor="text1"/>
        </w:rPr>
        <w:t>VI. De las manifestaciones subjetivas inmersas en el recurso de revisión.</w:t>
      </w:r>
      <w:bookmarkEnd w:id="31"/>
    </w:p>
    <w:p w14:paraId="53CF782A" w14:textId="77777777" w:rsidR="00087CFE" w:rsidRDefault="00087CFE"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64409132" w14:textId="177401BD" w:rsidR="00216B8B" w:rsidRDefault="00F94AEA"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Finalmente, resulta</w:t>
      </w:r>
      <w:r w:rsidR="006646C6">
        <w:rPr>
          <w:rFonts w:ascii="Palatino Linotype" w:hAnsi="Palatino Linotype"/>
          <w:color w:val="000000" w:themeColor="text1"/>
        </w:rPr>
        <w:t xml:space="preserve"> imperativo </w:t>
      </w:r>
      <w:r w:rsidR="006646C6" w:rsidRPr="00103662">
        <w:rPr>
          <w:rFonts w:ascii="Palatino Linotype" w:hAnsi="Palatino Linotype"/>
        </w:rPr>
        <w:t xml:space="preserve">manifestar que tanto el derecho de acceso a la información pública y el derecho de petición consagrados respectivamente en los artículos 6° y 8° de la Constitución Política de los Estados Unidos Mexicanos, derechos fundamentales ubicados en el capítulo de los derechos de seguridad </w:t>
      </w:r>
      <w:r w:rsidR="006646C6" w:rsidRPr="00103662">
        <w:rPr>
          <w:rFonts w:ascii="Palatino Linotype" w:hAnsi="Palatino Linotype"/>
        </w:rPr>
        <w:lastRenderedPageBreak/>
        <w:t>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14:paraId="78AE4168"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3A1DF6AA" w14:textId="2EBDCDB3" w:rsidR="00216B8B"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Pr>
          <w:rFonts w:ascii="Palatino Linotype" w:hAnsi="Palatino Linotype" w:cs="Arial"/>
        </w:rPr>
        <w:t xml:space="preserve">las cosas, </w:t>
      </w:r>
      <w:r w:rsidRPr="006D0309">
        <w:rPr>
          <w:rFonts w:ascii="Palatino Linotype" w:hAnsi="Palatino Linotype" w:cs="Arial"/>
        </w:rPr>
        <w:t>es de precisar que si bien es cierto</w:t>
      </w:r>
      <w:r>
        <w:rPr>
          <w:rFonts w:ascii="Palatino Linotype" w:hAnsi="Palatino Linotype" w:cs="Arial"/>
        </w:rPr>
        <w:t>,</w:t>
      </w:r>
      <w:r w:rsidRPr="006D0309">
        <w:rPr>
          <w:rFonts w:ascii="Palatino Linotype" w:hAnsi="Palatino Linotype" w:cs="Arial"/>
        </w:rPr>
        <w:t xml:space="preserve"> el artículo 6° de la Constitución Política de los Estados Unidos Mexicanos no contempla como requisito para el ejercicio del derecho de acceso a la información pública formular la solicitud de manera pacífica y respetuosa como lo advierte el artículo 8 constitucional</w:t>
      </w:r>
      <w:r>
        <w:rPr>
          <w:rFonts w:ascii="Palatino Linotype" w:hAnsi="Palatino Linotype" w:cs="Arial"/>
        </w:rPr>
        <w:t>,</w:t>
      </w:r>
      <w:r w:rsidRPr="006D0309">
        <w:rPr>
          <w:rFonts w:ascii="Palatino Linotype" w:hAnsi="Palatino Linotype" w:cs="Arial"/>
        </w:rPr>
        <w:t xml:space="preserve"> es importante destacar que ambos</w:t>
      </w:r>
      <w:r>
        <w:rPr>
          <w:rFonts w:ascii="Palatino Linotype" w:hAnsi="Palatino Linotype" w:cs="Arial"/>
        </w:rPr>
        <w:t>,</w:t>
      </w:r>
      <w:r w:rsidRPr="006D0309">
        <w:rPr>
          <w:rFonts w:ascii="Palatino Linotype" w:hAnsi="Palatino Linotype" w:cs="Arial"/>
        </w:rPr>
        <w:t xml:space="preserve"> por tratarse de derechos fundamentales encaminados a proteger la seguridad jurídica de los gobernados, deben regirse por los principios de respeto y en forma pacífica.</w:t>
      </w:r>
    </w:p>
    <w:p w14:paraId="50103681" w14:textId="77777777" w:rsidR="00216B8B"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07C356B1" w14:textId="6E301FB2" w:rsidR="00216B8B"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sz w:val="22"/>
          <w:szCs w:val="18"/>
        </w:rPr>
        <w:t xml:space="preserve">lo </w:t>
      </w:r>
      <w:r>
        <w:rPr>
          <w:rFonts w:ascii="Palatino Linotype" w:hAnsi="Palatino Linotype" w:cs="Arial"/>
          <w:szCs w:val="23"/>
        </w:rPr>
        <w:t xml:space="preserve">anterior, </w:t>
      </w:r>
      <w:r w:rsidRPr="006D0309">
        <w:rPr>
          <w:rFonts w:ascii="Palatino Linotype" w:hAnsi="Palatino Linotype" w:cs="Arial"/>
        </w:rPr>
        <w:t>el derecho de acceso a la información pública</w:t>
      </w:r>
      <w:r>
        <w:rPr>
          <w:rFonts w:ascii="Palatino Linotype" w:hAnsi="Palatino Linotype" w:cs="Arial"/>
        </w:rPr>
        <w:t>,</w:t>
      </w:r>
      <w:r w:rsidRPr="006D0309">
        <w:rPr>
          <w:rFonts w:ascii="Palatino Linotype" w:hAnsi="Palatino Linotype" w:cs="Arial"/>
        </w:rPr>
        <w:t xml:space="preserve"> la solicitud </w:t>
      </w:r>
      <w:r>
        <w:rPr>
          <w:rFonts w:ascii="Palatino Linotype" w:hAnsi="Palatino Linotype" w:cs="Arial"/>
        </w:rPr>
        <w:t xml:space="preserve">y en su caso, la impugnación, </w:t>
      </w:r>
      <w:r w:rsidRPr="006D0309">
        <w:rPr>
          <w:rFonts w:ascii="Palatino Linotype" w:hAnsi="Palatino Linotype" w:cs="Arial"/>
        </w:rPr>
        <w:t>debe</w:t>
      </w:r>
      <w:r>
        <w:rPr>
          <w:rFonts w:ascii="Palatino Linotype" w:hAnsi="Palatino Linotype" w:cs="Arial"/>
        </w:rPr>
        <w:t>n</w:t>
      </w:r>
      <w:r w:rsidRPr="006D0309">
        <w:rPr>
          <w:rFonts w:ascii="Palatino Linotype" w:hAnsi="Palatino Linotype" w:cs="Arial"/>
        </w:rPr>
        <w:t xml:space="preserve"> ejercerse de manera pacífica y respetuosa, absteniéndose </w:t>
      </w:r>
      <w:r>
        <w:rPr>
          <w:rFonts w:ascii="Palatino Linotype" w:hAnsi="Palatino Linotype" w:cs="Arial"/>
        </w:rPr>
        <w:t>la</w:t>
      </w:r>
      <w:r w:rsidRPr="006D0309">
        <w:rPr>
          <w:rFonts w:ascii="Palatino Linotype" w:hAnsi="Palatino Linotype" w:cs="Arial"/>
        </w:rPr>
        <w:t xml:space="preserve"> solicitante de proferir ofensas o recurrir a la vio</w:t>
      </w:r>
      <w:r>
        <w:rPr>
          <w:rFonts w:ascii="Palatino Linotype" w:hAnsi="Palatino Linotype" w:cs="Arial"/>
        </w:rPr>
        <w:t>lencia o amenazas para intimidar</w:t>
      </w:r>
      <w:r w:rsidRPr="006D0309">
        <w:rPr>
          <w:rFonts w:ascii="Palatino Linotype" w:hAnsi="Palatino Linotype" w:cs="Arial"/>
        </w:rPr>
        <w:t xml:space="preserve"> a la autoridad.</w:t>
      </w:r>
    </w:p>
    <w:p w14:paraId="2BD13A68" w14:textId="77777777" w:rsidR="00087CFE" w:rsidRDefault="00087CFE"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080B5E12" w14:textId="4B5350BE" w:rsidR="00087CFE"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hAnsi="Palatino Linotype" w:cs="Arial"/>
        </w:rPr>
        <w:t>esa tesitura, sirve de apoyo la Tesis Aislada emitida por el Tercer Tribunal en materia Civil del Primer Circuito, misma que se anexa a continuación:</w:t>
      </w:r>
    </w:p>
    <w:p w14:paraId="14BA794E" w14:textId="77777777" w:rsidR="00087CFE" w:rsidRDefault="00087CFE"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0F68529C" w14:textId="77777777" w:rsidR="006646C6" w:rsidRPr="004F7606" w:rsidRDefault="006646C6" w:rsidP="006646C6">
      <w:pPr>
        <w:pStyle w:val="Sinespaciado"/>
        <w:spacing w:line="276" w:lineRule="auto"/>
        <w:ind w:left="567" w:right="567"/>
        <w:jc w:val="both"/>
        <w:rPr>
          <w:rFonts w:ascii="Palatino Linotype" w:hAnsi="Palatino Linotype"/>
          <w:i/>
          <w:sz w:val="22"/>
        </w:rPr>
      </w:pPr>
      <w:r w:rsidRPr="004F7606">
        <w:rPr>
          <w:rFonts w:ascii="Palatino Linotype" w:hAnsi="Palatino Linotype"/>
          <w:b/>
          <w:i/>
          <w:sz w:val="22"/>
        </w:rPr>
        <w:lastRenderedPageBreak/>
        <w:t>DERECHO A LA INFORMACIÓN. NO DEBE REBASAR LOS LÍMITES PREVISTOS POR LOS ARTÍCULOS 6o., 7o. Y 24 CONSTITUCIONALES.</w:t>
      </w:r>
      <w:r>
        <w:rPr>
          <w:rFonts w:ascii="Palatino Linotype" w:hAnsi="Palatino Linotype"/>
          <w:b/>
          <w:i/>
          <w:sz w:val="22"/>
        </w:rPr>
        <w:t xml:space="preserve"> “</w:t>
      </w:r>
      <w:r w:rsidRPr="004F7606">
        <w:rPr>
          <w:rFonts w:ascii="Palatino Linotype" w:hAnsi="Palatino Linotype"/>
          <w:i/>
          <w:sz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w:t>
      </w:r>
      <w:r w:rsidRPr="004F7606">
        <w:rPr>
          <w:rFonts w:ascii="Palatino Linotype" w:hAnsi="Palatino Linotype"/>
          <w:i/>
          <w:sz w:val="22"/>
        </w:rPr>
        <w:lastRenderedPageBreak/>
        <w:t xml:space="preserve">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w:t>
      </w:r>
      <w:r w:rsidRPr="004F7606">
        <w:rPr>
          <w:rFonts w:ascii="Palatino Linotype" w:hAnsi="Palatino Linotype"/>
          <w:i/>
          <w:sz w:val="22"/>
        </w:rPr>
        <w:lastRenderedPageBreak/>
        <w:t>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Pr>
          <w:rFonts w:ascii="Palatino Linotype" w:hAnsi="Palatino Linotype"/>
          <w:i/>
          <w:sz w:val="22"/>
        </w:rPr>
        <w:t>”</w:t>
      </w:r>
    </w:p>
    <w:p w14:paraId="737FF6D0" w14:textId="77777777" w:rsidR="006646C6" w:rsidRDefault="006646C6"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372499BA" w14:textId="015A11A7" w:rsidR="00087CFE"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Times New Roman" w:hAnsi="Palatino Linotype" w:cs="Arial"/>
          <w:lang w:val="es-ES" w:eastAsia="es-MX"/>
        </w:rPr>
        <w:t xml:space="preserve">el presente </w:t>
      </w:r>
      <w:r>
        <w:rPr>
          <w:rFonts w:ascii="Palatino Linotype" w:hAnsi="Palatino Linotype" w:cs="Arial"/>
          <w:szCs w:val="23"/>
        </w:rPr>
        <w:t xml:space="preserve">asunto, </w:t>
      </w:r>
      <w:r w:rsidR="00F94AEA">
        <w:rPr>
          <w:rFonts w:ascii="Palatino Linotype" w:hAnsi="Palatino Linotype" w:cs="Arial"/>
          <w:szCs w:val="23"/>
        </w:rPr>
        <w:t>se</w:t>
      </w:r>
      <w:r>
        <w:rPr>
          <w:rFonts w:ascii="Palatino Linotype" w:hAnsi="Palatino Linotype" w:cs="Arial"/>
          <w:szCs w:val="23"/>
        </w:rPr>
        <w:t xml:space="preserve"> advierte que el </w:t>
      </w:r>
      <w:r>
        <w:rPr>
          <w:rFonts w:ascii="Palatino Linotype" w:hAnsi="Palatino Linotype" w:cs="Arial"/>
          <w:i/>
          <w:iCs/>
          <w:szCs w:val="23"/>
        </w:rPr>
        <w:t>Acto Impugnado</w:t>
      </w:r>
      <w:r>
        <w:rPr>
          <w:rFonts w:ascii="Palatino Linotype" w:hAnsi="Palatino Linotype" w:cs="Arial"/>
          <w:szCs w:val="23"/>
        </w:rPr>
        <w:t xml:space="preserve"> </w:t>
      </w:r>
      <w:r w:rsidR="00001265">
        <w:rPr>
          <w:rFonts w:ascii="Palatino Linotype" w:hAnsi="Palatino Linotype" w:cs="Arial"/>
          <w:szCs w:val="23"/>
        </w:rPr>
        <w:t xml:space="preserve">y las </w:t>
      </w:r>
      <w:r w:rsidR="00001265">
        <w:rPr>
          <w:rFonts w:ascii="Palatino Linotype" w:hAnsi="Palatino Linotype" w:cs="Arial"/>
          <w:i/>
          <w:szCs w:val="23"/>
        </w:rPr>
        <w:t>Razones o motivos de la inconformidad</w:t>
      </w:r>
      <w:r w:rsidR="00001265">
        <w:rPr>
          <w:rFonts w:ascii="Palatino Linotype" w:hAnsi="Palatino Linotype" w:cs="Arial"/>
          <w:szCs w:val="23"/>
        </w:rPr>
        <w:t xml:space="preserve"> </w:t>
      </w:r>
      <w:r>
        <w:rPr>
          <w:rFonts w:ascii="Palatino Linotype" w:hAnsi="Palatino Linotype" w:cs="Arial"/>
          <w:szCs w:val="23"/>
        </w:rPr>
        <w:t>señalado</w:t>
      </w:r>
      <w:r w:rsidR="00001265">
        <w:rPr>
          <w:rFonts w:ascii="Palatino Linotype" w:hAnsi="Palatino Linotype" w:cs="Arial"/>
          <w:szCs w:val="23"/>
        </w:rPr>
        <w:t>s</w:t>
      </w:r>
      <w:r>
        <w:rPr>
          <w:rFonts w:ascii="Palatino Linotype" w:hAnsi="Palatino Linotype" w:cs="Arial"/>
          <w:szCs w:val="23"/>
        </w:rPr>
        <w:t xml:space="preserve"> en el recurso de revisión fue</w:t>
      </w:r>
      <w:r w:rsidR="00001265">
        <w:rPr>
          <w:rFonts w:ascii="Palatino Linotype" w:hAnsi="Palatino Linotype" w:cs="Arial"/>
          <w:szCs w:val="23"/>
        </w:rPr>
        <w:t>ron</w:t>
      </w:r>
      <w:r>
        <w:rPr>
          <w:rFonts w:ascii="Palatino Linotype" w:hAnsi="Palatino Linotype" w:cs="Arial"/>
          <w:szCs w:val="23"/>
        </w:rPr>
        <w:t xml:space="preserve"> manifestado</w:t>
      </w:r>
      <w:r w:rsidR="00001265">
        <w:rPr>
          <w:rFonts w:ascii="Palatino Linotype" w:hAnsi="Palatino Linotype" w:cs="Arial"/>
          <w:szCs w:val="23"/>
        </w:rPr>
        <w:t>s</w:t>
      </w:r>
      <w:r>
        <w:rPr>
          <w:rFonts w:ascii="Palatino Linotype" w:hAnsi="Palatino Linotype" w:cs="Arial"/>
          <w:szCs w:val="23"/>
        </w:rPr>
        <w:t xml:space="preserve"> de manera ofensiva e irrespetuosa al referir lo siguiente:</w:t>
      </w:r>
    </w:p>
    <w:p w14:paraId="50CC70CA" w14:textId="77777777" w:rsidR="00087CFE" w:rsidRDefault="00087CFE"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0AA694CC" w14:textId="7FBA6B36" w:rsidR="00001265" w:rsidRPr="00F94AEA" w:rsidRDefault="00001265" w:rsidP="006646C6">
      <w:pPr>
        <w:pStyle w:val="Prrafodelista"/>
        <w:tabs>
          <w:tab w:val="left" w:pos="426"/>
        </w:tabs>
        <w:spacing w:line="276" w:lineRule="auto"/>
        <w:ind w:left="567" w:right="567"/>
        <w:jc w:val="both"/>
        <w:rPr>
          <w:rFonts w:ascii="Palatino Linotype" w:hAnsi="Palatino Linotype"/>
          <w:b/>
          <w:iCs/>
          <w:color w:val="000000" w:themeColor="text1"/>
          <w:sz w:val="22"/>
          <w:szCs w:val="22"/>
        </w:rPr>
      </w:pPr>
      <w:r w:rsidRPr="00F94AEA">
        <w:rPr>
          <w:rFonts w:ascii="Palatino Linotype" w:hAnsi="Palatino Linotype"/>
          <w:b/>
          <w:iCs/>
          <w:color w:val="000000" w:themeColor="text1"/>
          <w:sz w:val="22"/>
          <w:szCs w:val="22"/>
        </w:rPr>
        <w:t>Acto impugnado:</w:t>
      </w:r>
    </w:p>
    <w:p w14:paraId="7D25B52A" w14:textId="437F32EE" w:rsidR="006646C6" w:rsidRPr="00001265" w:rsidRDefault="006646C6" w:rsidP="006646C6">
      <w:pPr>
        <w:pStyle w:val="Prrafodelista"/>
        <w:tabs>
          <w:tab w:val="left" w:pos="426"/>
        </w:tabs>
        <w:spacing w:line="276" w:lineRule="auto"/>
        <w:ind w:left="567" w:right="567"/>
        <w:jc w:val="both"/>
        <w:rPr>
          <w:rFonts w:ascii="Palatino Linotype" w:hAnsi="Palatino Linotype"/>
          <w:color w:val="000000" w:themeColor="text1"/>
          <w:sz w:val="22"/>
          <w:szCs w:val="22"/>
        </w:rPr>
      </w:pPr>
      <w:r w:rsidRPr="00001265">
        <w:rPr>
          <w:rFonts w:ascii="Palatino Linotype" w:hAnsi="Palatino Linotype"/>
          <w:i/>
          <w:iCs/>
          <w:color w:val="000000" w:themeColor="text1"/>
          <w:sz w:val="22"/>
          <w:szCs w:val="22"/>
        </w:rPr>
        <w:t>“</w:t>
      </w:r>
      <w:r w:rsidR="00001265" w:rsidRPr="00001265">
        <w:rPr>
          <w:rFonts w:ascii="Palatino Linotype" w:hAnsi="Palatino Linotype"/>
          <w:bCs/>
          <w:i/>
          <w:iCs/>
          <w:color w:val="000000" w:themeColor="text1"/>
          <w:sz w:val="22"/>
          <w:szCs w:val="22"/>
        </w:rPr>
        <w:t xml:space="preserve">respuesta, le estoy haciendo una pregunta a la presidenta municipal y </w:t>
      </w:r>
      <w:r w:rsidR="00001265" w:rsidRPr="00001265">
        <w:rPr>
          <w:rFonts w:ascii="Palatino Linotype" w:hAnsi="Palatino Linotype"/>
          <w:b/>
          <w:bCs/>
          <w:i/>
          <w:iCs/>
          <w:color w:val="000000" w:themeColor="text1"/>
          <w:sz w:val="22"/>
          <w:szCs w:val="22"/>
        </w:rPr>
        <w:t>la persona incompetente la señora de transparencia brenda anaya me manda un acta de incompetencia</w:t>
      </w:r>
      <w:r w:rsidR="00001265" w:rsidRPr="00001265">
        <w:rPr>
          <w:rFonts w:ascii="Palatino Linotype" w:hAnsi="Palatino Linotype"/>
          <w:bCs/>
          <w:i/>
          <w:iCs/>
          <w:color w:val="000000" w:themeColor="text1"/>
          <w:sz w:val="22"/>
          <w:szCs w:val="22"/>
        </w:rPr>
        <w:t xml:space="preserve">, esto es dolo y no se si tenga encuenta la constitucion politica o no sepa de lo que le hablo, ya que </w:t>
      </w:r>
      <w:r w:rsidR="00001265" w:rsidRPr="00001265">
        <w:rPr>
          <w:rFonts w:ascii="Palatino Linotype" w:hAnsi="Palatino Linotype"/>
          <w:b/>
          <w:bCs/>
          <w:i/>
          <w:iCs/>
          <w:color w:val="000000" w:themeColor="text1"/>
          <w:sz w:val="22"/>
          <w:szCs w:val="22"/>
        </w:rPr>
        <w:t>a todas luces se ve su ignorancia de los temas de transparencia</w:t>
      </w:r>
      <w:r w:rsidRPr="00001265">
        <w:rPr>
          <w:rFonts w:ascii="Palatino Linotype" w:hAnsi="Palatino Linotype"/>
          <w:i/>
          <w:iCs/>
          <w:color w:val="000000" w:themeColor="text1"/>
          <w:sz w:val="22"/>
          <w:szCs w:val="22"/>
        </w:rPr>
        <w:t>”</w:t>
      </w:r>
      <w:r w:rsidRPr="00001265">
        <w:rPr>
          <w:rFonts w:ascii="Palatino Linotype" w:hAnsi="Palatino Linotype"/>
          <w:color w:val="000000" w:themeColor="text1"/>
          <w:sz w:val="22"/>
          <w:szCs w:val="22"/>
        </w:rPr>
        <w:t xml:space="preserve"> (Sic.)</w:t>
      </w:r>
    </w:p>
    <w:p w14:paraId="462DC5AB" w14:textId="77777777" w:rsidR="00001265" w:rsidRDefault="00001265" w:rsidP="006646C6">
      <w:pPr>
        <w:pStyle w:val="Prrafodelista"/>
        <w:tabs>
          <w:tab w:val="left" w:pos="426"/>
        </w:tabs>
        <w:spacing w:line="276" w:lineRule="auto"/>
        <w:ind w:left="567" w:right="567"/>
        <w:jc w:val="both"/>
        <w:rPr>
          <w:rFonts w:ascii="Palatino Linotype" w:hAnsi="Palatino Linotype"/>
          <w:color w:val="000000" w:themeColor="text1"/>
          <w:sz w:val="22"/>
          <w:szCs w:val="22"/>
        </w:rPr>
      </w:pPr>
    </w:p>
    <w:p w14:paraId="0B8587EF" w14:textId="7193804E" w:rsidR="00001265" w:rsidRPr="00F94AEA" w:rsidRDefault="00001265" w:rsidP="00001265">
      <w:pPr>
        <w:pStyle w:val="Prrafodelista"/>
        <w:tabs>
          <w:tab w:val="left" w:pos="426"/>
        </w:tabs>
        <w:spacing w:line="276" w:lineRule="auto"/>
        <w:ind w:left="567" w:right="567"/>
        <w:jc w:val="both"/>
        <w:rPr>
          <w:rFonts w:ascii="Palatino Linotype" w:hAnsi="Palatino Linotype"/>
          <w:b/>
          <w:iCs/>
          <w:color w:val="000000" w:themeColor="text1"/>
          <w:sz w:val="22"/>
          <w:szCs w:val="22"/>
        </w:rPr>
      </w:pPr>
      <w:r w:rsidRPr="00F94AEA">
        <w:rPr>
          <w:rFonts w:ascii="Palatino Linotype" w:hAnsi="Palatino Linotype"/>
          <w:b/>
          <w:iCs/>
          <w:color w:val="000000" w:themeColor="text1"/>
          <w:sz w:val="22"/>
          <w:szCs w:val="22"/>
        </w:rPr>
        <w:t>Razones o motivos de la inconformidad:</w:t>
      </w:r>
    </w:p>
    <w:p w14:paraId="1CBC8F61" w14:textId="2A10D092" w:rsidR="00001265" w:rsidRPr="00103662" w:rsidRDefault="00001265" w:rsidP="00001265">
      <w:pPr>
        <w:pStyle w:val="Prrafodelista"/>
        <w:tabs>
          <w:tab w:val="left" w:pos="426"/>
        </w:tabs>
        <w:spacing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w:t>
      </w:r>
      <w:r w:rsidRPr="00001265">
        <w:rPr>
          <w:rFonts w:ascii="Palatino Linotype" w:hAnsi="Palatino Linotype"/>
          <w:bCs/>
          <w:i/>
          <w:iCs/>
          <w:color w:val="000000" w:themeColor="text1"/>
          <w:sz w:val="22"/>
          <w:szCs w:val="22"/>
        </w:rPr>
        <w:t xml:space="preserve">la presidenta municipal no da la informacion o </w:t>
      </w:r>
      <w:r w:rsidRPr="00001265">
        <w:rPr>
          <w:rFonts w:ascii="Palatino Linotype" w:hAnsi="Palatino Linotype"/>
          <w:b/>
          <w:bCs/>
          <w:i/>
          <w:iCs/>
          <w:color w:val="000000" w:themeColor="text1"/>
          <w:sz w:val="22"/>
          <w:szCs w:val="22"/>
        </w:rPr>
        <w:t>la señora de transparencia brenda anaya no sabe del tema</w:t>
      </w:r>
      <w:r w:rsidRPr="00001265">
        <w:rPr>
          <w:rFonts w:ascii="Palatino Linotype" w:hAnsi="Palatino Linotype"/>
          <w:bCs/>
          <w:i/>
          <w:iCs/>
          <w:color w:val="000000" w:themeColor="text1"/>
          <w:sz w:val="22"/>
          <w:szCs w:val="22"/>
        </w:rPr>
        <w:t xml:space="preserve"> y me da una acta de incompetencia cuando mi solicitud es clara y presisa para la presidenta municipal de teoloyucvan</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74F1AAB3" w14:textId="77777777" w:rsidR="006646C6" w:rsidRDefault="006646C6"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78FA2E90" w14:textId="4C95983F" w:rsidR="00087CFE"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rPr>
        <w:t xml:space="preserve">lo que en el caso concreto que nos ocupa, la forma en que se planteó el </w:t>
      </w:r>
      <w:r w:rsidR="00001265">
        <w:rPr>
          <w:rFonts w:ascii="Palatino Linotype" w:hAnsi="Palatino Linotype" w:cs="Arial"/>
        </w:rPr>
        <w:t xml:space="preserve">recurso de revisión </w:t>
      </w:r>
      <w:r w:rsidR="00001265">
        <w:rPr>
          <w:rFonts w:ascii="Palatino Linotype" w:hAnsi="Palatino Linotype" w:cs="Arial"/>
          <w:b/>
        </w:rPr>
        <w:t>04548/INFOEM/IP/RR/2021,</w:t>
      </w:r>
      <w:r>
        <w:rPr>
          <w:rFonts w:ascii="Palatino Linotype" w:hAnsi="Palatino Linotype" w:cs="Arial"/>
        </w:rPr>
        <w:t xml:space="preserve"> es evidente que no se redactó con respeto a los servidores públicos del </w:t>
      </w:r>
      <w:r>
        <w:rPr>
          <w:rFonts w:ascii="Palatino Linotype" w:hAnsi="Palatino Linotype" w:cs="Arial"/>
          <w:szCs w:val="23"/>
        </w:rPr>
        <w:t xml:space="preserve">Ayuntamiento de </w:t>
      </w:r>
      <w:r w:rsidR="00001265">
        <w:rPr>
          <w:rFonts w:ascii="Palatino Linotype" w:hAnsi="Palatino Linotype" w:cs="Arial"/>
          <w:szCs w:val="23"/>
        </w:rPr>
        <w:t>Teoloyucan;</w:t>
      </w:r>
      <w:r>
        <w:rPr>
          <w:rFonts w:ascii="Palatino Linotype" w:hAnsi="Palatino Linotype" w:cs="Arial"/>
          <w:szCs w:val="23"/>
        </w:rPr>
        <w:t xml:space="preserve"> </w:t>
      </w:r>
      <w:r>
        <w:rPr>
          <w:rFonts w:ascii="Palatino Linotype" w:hAnsi="Palatino Linotype" w:cs="Arial"/>
        </w:rPr>
        <w:t>razón por la cual</w:t>
      </w:r>
      <w:r w:rsidR="00001265">
        <w:rPr>
          <w:rFonts w:ascii="Palatino Linotype" w:hAnsi="Palatino Linotype" w:cs="Arial"/>
        </w:rPr>
        <w:t>,</w:t>
      </w:r>
      <w:r>
        <w:rPr>
          <w:rFonts w:ascii="Palatino Linotype" w:hAnsi="Palatino Linotype" w:cs="Arial"/>
        </w:rPr>
        <w:t xml:space="preserve"> es </w:t>
      </w:r>
      <w:r w:rsidRPr="006D0309">
        <w:rPr>
          <w:rFonts w:ascii="Palatino Linotype" w:hAnsi="Palatino Linotype"/>
          <w:lang w:eastAsia="en-US"/>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w:t>
      </w:r>
      <w:r>
        <w:rPr>
          <w:rFonts w:ascii="Palatino Linotype" w:hAnsi="Palatino Linotype"/>
          <w:lang w:eastAsia="en-US"/>
        </w:rPr>
        <w:t>,</w:t>
      </w:r>
      <w:r w:rsidRPr="006D0309">
        <w:rPr>
          <w:rFonts w:ascii="Palatino Linotype" w:hAnsi="Palatino Linotype"/>
          <w:lang w:eastAsia="en-US"/>
        </w:rPr>
        <w:t xml:space="preserve"> en el ejercicio del derecho de </w:t>
      </w:r>
      <w:r w:rsidR="00001265">
        <w:rPr>
          <w:rFonts w:ascii="Palatino Linotype" w:hAnsi="Palatino Linotype"/>
          <w:lang w:eastAsia="en-US"/>
        </w:rPr>
        <w:t xml:space="preserve">acceso a la </w:t>
      </w:r>
      <w:r w:rsidR="00001265">
        <w:rPr>
          <w:rFonts w:ascii="Palatino Linotype" w:hAnsi="Palatino Linotype"/>
          <w:lang w:eastAsia="en-US"/>
        </w:rPr>
        <w:lastRenderedPageBreak/>
        <w:t>información</w:t>
      </w:r>
      <w:r w:rsidRPr="006D0309">
        <w:rPr>
          <w:rFonts w:ascii="Palatino Linotype" w:hAnsi="Palatino Linotype"/>
          <w:lang w:eastAsia="en-US"/>
        </w:rPr>
        <w:t>, dirijan los escritos o solicitudes a la autoridad dentro de un margen de respeto, tal como lo dispon</w:t>
      </w:r>
      <w:r w:rsidR="00001265">
        <w:rPr>
          <w:rFonts w:ascii="Palatino Linotype" w:hAnsi="Palatino Linotype"/>
          <w:lang w:eastAsia="en-US"/>
        </w:rPr>
        <w:t>e el artículo 8° constitucional</w:t>
      </w:r>
      <w:r w:rsidRPr="006D0309">
        <w:rPr>
          <w:rFonts w:ascii="Palatino Linotype" w:hAnsi="Palatino Linotype"/>
          <w:lang w:eastAsia="en-US"/>
        </w:rPr>
        <w:t xml:space="preserve"> que</w:t>
      </w:r>
      <w:r w:rsidR="00001265">
        <w:rPr>
          <w:rFonts w:ascii="Palatino Linotype" w:hAnsi="Palatino Linotype"/>
          <w:lang w:eastAsia="en-US"/>
        </w:rPr>
        <w:t>,</w:t>
      </w:r>
      <w:r w:rsidRPr="006D0309">
        <w:rPr>
          <w:rFonts w:ascii="Palatino Linotype" w:hAnsi="Palatino Linotype"/>
          <w:lang w:eastAsia="en-US"/>
        </w:rPr>
        <w:t xml:space="preserve"> por afinidad</w:t>
      </w:r>
      <w:r w:rsidR="00001265">
        <w:rPr>
          <w:rFonts w:ascii="Palatino Linotype" w:hAnsi="Palatino Linotype"/>
          <w:lang w:eastAsia="en-US"/>
        </w:rPr>
        <w:t>,</w:t>
      </w:r>
      <w:r w:rsidRPr="006D0309">
        <w:rPr>
          <w:rFonts w:ascii="Palatino Linotype" w:hAnsi="Palatino Linotype"/>
          <w:lang w:eastAsia="en-US"/>
        </w:rPr>
        <w:t xml:space="preserve"> es aplicable para el ejercicio de </w:t>
      </w:r>
      <w:r w:rsidR="00001265">
        <w:rPr>
          <w:rFonts w:ascii="Palatino Linotype" w:hAnsi="Palatino Linotype"/>
          <w:lang w:eastAsia="en-US"/>
        </w:rPr>
        <w:t>este derecho</w:t>
      </w:r>
      <w:r w:rsidRPr="006D0309">
        <w:rPr>
          <w:rFonts w:ascii="Palatino Linotype" w:hAnsi="Palatino Linotype"/>
          <w:lang w:eastAsia="en-US"/>
        </w:rPr>
        <w:t xml:space="preserve">, </w:t>
      </w:r>
      <w:r w:rsidRPr="00001265">
        <w:rPr>
          <w:rFonts w:ascii="Palatino Linotype" w:hAnsi="Palatino Linotype"/>
          <w:b/>
          <w:lang w:eastAsia="en-US"/>
        </w:rPr>
        <w:t>debiéndose redactar de manera pacífica y respetuosa las solicitudes de información sin necesidad alguna de proferir injurias hacia las autoridades</w:t>
      </w:r>
      <w:r w:rsidRPr="006D0309">
        <w:rPr>
          <w:rFonts w:ascii="Palatino Linotype" w:hAnsi="Palatino Linotype"/>
          <w:lang w:eastAsia="en-US"/>
        </w:rPr>
        <w:t>.</w:t>
      </w:r>
    </w:p>
    <w:p w14:paraId="4E0FCBD9" w14:textId="77777777" w:rsidR="00087CFE" w:rsidRDefault="00087CFE"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69242317" w14:textId="4C6C02FE" w:rsidR="00087CFE"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Sustenta </w:t>
      </w:r>
      <w:r>
        <w:rPr>
          <w:rFonts w:ascii="Palatino Linotype" w:hAnsi="Palatino Linotype"/>
          <w:lang w:eastAsia="en-US"/>
        </w:rPr>
        <w:t>lo anterior la Jurisprudencia 2003302 emitida por la Suprema Corte de Justicia de la Nación, la cual refiere lo siguiente:</w:t>
      </w:r>
    </w:p>
    <w:p w14:paraId="4F0C3533" w14:textId="77777777" w:rsidR="00087CFE" w:rsidRDefault="00087CFE"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4F00F65C" w14:textId="77777777" w:rsidR="006646C6" w:rsidRPr="0097379E" w:rsidRDefault="006646C6" w:rsidP="006646C6">
      <w:pPr>
        <w:pStyle w:val="Sinespaciado"/>
        <w:spacing w:line="276" w:lineRule="auto"/>
        <w:ind w:left="567" w:right="567"/>
        <w:jc w:val="both"/>
        <w:rPr>
          <w:rFonts w:ascii="Palatino Linotype" w:hAnsi="Palatino Linotype"/>
          <w:i/>
          <w:sz w:val="22"/>
          <w:lang w:val="es-MX"/>
        </w:rPr>
      </w:pPr>
      <w:r w:rsidRPr="00001265">
        <w:rPr>
          <w:rFonts w:ascii="Palatino Linotype" w:hAnsi="Palatino Linotype"/>
          <w:b/>
          <w:i/>
          <w:sz w:val="22"/>
          <w:lang w:val="es-MX"/>
        </w:rPr>
        <w:t>LIBERTAD DE EXPRESIÓN. LA CONSTITUCIÓN NO RECONOCE EL DERECHO AL INSULTO</w:t>
      </w:r>
      <w:r w:rsidRPr="0097379E">
        <w:rPr>
          <w:rFonts w:ascii="Palatino Linotype" w:hAnsi="Palatino Linotype"/>
          <w:b/>
          <w:i/>
          <w:sz w:val="22"/>
          <w:lang w:val="es-MX"/>
        </w:rPr>
        <w:t>.</w:t>
      </w:r>
      <w:r>
        <w:rPr>
          <w:rFonts w:ascii="Palatino Linotype" w:hAnsi="Palatino Linotype"/>
          <w:b/>
          <w:i/>
          <w:sz w:val="22"/>
          <w:lang w:val="es-MX"/>
        </w:rPr>
        <w:t xml:space="preserve"> “</w:t>
      </w:r>
      <w:r w:rsidRPr="0097379E">
        <w:rPr>
          <w:rFonts w:ascii="Palatino Linotype" w:hAnsi="Palatino Linotype"/>
          <w:i/>
          <w:sz w:val="22"/>
          <w:lang w:val="es-MX"/>
        </w:rPr>
        <w:t xml:space="preserve">Si bien es cierto que cualquier individuo que participe en un debate público de interés general debe abstenerse de exceder ciertos límites, como el respeto a la reputación y a los derechos de terceros, también lo es que está permitido recurrir a cierta dosis de exageración, incluso de provocación, es decir, puede ser un tanto desmedido en sus declaraciones, y es precisamente en las expresiones que puedan ofender, chocar, perturbar, molestar, inquietar o disgustar donde la libertad de expresión resulta más valiosa.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En este sentido,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Consecuentemente, el derecho al honor prevalece cuando la libertad de expresión utiliza frases y expresiones que están excluidas de protección constitucional, es decir, cuando sean absolutamente vejatorias, entendiendo como tales las que sean: a) ofensivas u oprobiosas, según el contexto; y, b) impertinentes para expresar opiniones o informaciones, según tengan o </w:t>
      </w:r>
      <w:r w:rsidRPr="0097379E">
        <w:rPr>
          <w:rFonts w:ascii="Palatino Linotype" w:hAnsi="Palatino Linotype"/>
          <w:i/>
          <w:sz w:val="22"/>
          <w:lang w:val="es-MX"/>
        </w:rPr>
        <w:lastRenderedPageBreak/>
        <w:t>no relación con lo manifestado. Respecto del citado contexto, su importancia estriba en que la situación política o social de un Estado y las circunstancias concurrentes a la publicación de la nota pueden disminuir la significación ofensiva y aumentar el grado de tolerancia.</w:t>
      </w:r>
      <w:r>
        <w:rPr>
          <w:rFonts w:ascii="Palatino Linotype" w:hAnsi="Palatino Linotype"/>
          <w:i/>
          <w:sz w:val="22"/>
          <w:lang w:val="es-MX"/>
        </w:rPr>
        <w:t>”</w:t>
      </w:r>
    </w:p>
    <w:p w14:paraId="4A681D9E" w14:textId="77777777" w:rsidR="006646C6" w:rsidRDefault="006646C6" w:rsidP="00087CFE">
      <w:pPr>
        <w:pStyle w:val="Prrafodelista"/>
        <w:tabs>
          <w:tab w:val="left" w:pos="426"/>
        </w:tabs>
        <w:spacing w:before="240" w:after="240" w:line="360" w:lineRule="auto"/>
        <w:ind w:left="0" w:right="51"/>
        <w:jc w:val="both"/>
        <w:rPr>
          <w:rFonts w:ascii="Palatino Linotype" w:hAnsi="Palatino Linotype"/>
          <w:color w:val="000000" w:themeColor="text1"/>
        </w:rPr>
      </w:pPr>
    </w:p>
    <w:p w14:paraId="1F760C48" w14:textId="5DDA2F2E" w:rsidR="00087CFE" w:rsidRDefault="006646C6" w:rsidP="00216B8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hAnsi="Palatino Linotype"/>
          <w:lang w:val="es-ES"/>
        </w:rPr>
        <w:t xml:space="preserve">atención de lo anterior, </w:t>
      </w:r>
      <w:r w:rsidR="00F94AEA">
        <w:rPr>
          <w:rFonts w:ascii="Palatino Linotype" w:hAnsi="Palatino Linotype"/>
          <w:lang w:val="es-ES"/>
        </w:rPr>
        <w:t>este Órgano Garante</w:t>
      </w:r>
      <w:r>
        <w:rPr>
          <w:rFonts w:ascii="Palatino Linotype" w:hAnsi="Palatino Linotype"/>
          <w:lang w:val="es-ES"/>
        </w:rPr>
        <w:t xml:space="preserve"> exhorta atentamente al </w:t>
      </w:r>
      <w:r>
        <w:rPr>
          <w:rFonts w:ascii="Palatino Linotype" w:hAnsi="Palatino Linotype"/>
          <w:b/>
          <w:bCs/>
          <w:lang w:val="es-ES"/>
        </w:rPr>
        <w:t>RECURRENTE</w:t>
      </w:r>
      <w:r>
        <w:rPr>
          <w:rFonts w:ascii="Palatino Linotype" w:hAnsi="Palatino Linotype"/>
          <w:lang w:val="es-ES"/>
        </w:rPr>
        <w:t xml:space="preserve"> a que en futuras solicitudes de acceso a la información y, de ser el caso, recursos de revisión, se conduzca con respeto y decoro, pues la proliferación de ofensas en contra de servidores públicos en nada abonan en el ejercicio de transparencia y acceso a la información pública; al contrario, entorpecen la identificación de la información que precisa y, para el caso de este instituto, del acto impugnado y agravios contenidos en el recurso de revisión.</w:t>
      </w:r>
    </w:p>
    <w:p w14:paraId="1907D94B" w14:textId="77777777" w:rsidR="00216B8B" w:rsidRPr="009D1378" w:rsidRDefault="00216B8B" w:rsidP="00216B8B">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58E9B24F" w:rsidR="00953B03" w:rsidRPr="00953B03" w:rsidRDefault="00100C6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2" w:name="_Toc87456496"/>
      <w:r>
        <w:rPr>
          <w:rFonts w:ascii="Palatino Linotype" w:hAnsi="Palatino Linotype"/>
          <w:b/>
          <w:bCs/>
          <w:color w:val="000000" w:themeColor="text1"/>
        </w:rPr>
        <w:t>QUINTO</w:t>
      </w:r>
      <w:r w:rsidR="00953B03" w:rsidRPr="00953B03">
        <w:rPr>
          <w:rFonts w:ascii="Palatino Linotype" w:hAnsi="Palatino Linotype"/>
          <w:b/>
          <w:bCs/>
          <w:color w:val="000000" w:themeColor="text1"/>
        </w:rPr>
        <w:t>. Decisión</w:t>
      </w:r>
      <w:bookmarkEnd w:id="32"/>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1749C451" w:rsidR="00953B03" w:rsidRPr="00EF75DE" w:rsidRDefault="00892AB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w:t>
      </w:r>
      <w:r w:rsidRPr="00F94AEA">
        <w:rPr>
          <w:rFonts w:ascii="Palatino Linotype" w:hAnsi="Palatino Linotype"/>
          <w:color w:val="000000" w:themeColor="text1"/>
        </w:rPr>
        <w:t>de</w:t>
      </w:r>
      <w:r w:rsidR="00477710" w:rsidRPr="00F94AEA">
        <w:rPr>
          <w:rFonts w:ascii="Palatino Linotype" w:hAnsi="Palatino Linotype"/>
          <w:color w:val="000000" w:themeColor="text1"/>
        </w:rPr>
        <w:t xml:space="preserve"> analizar el marco legal </w:t>
      </w:r>
      <w:r w:rsidR="00F94AEA">
        <w:rPr>
          <w:rFonts w:ascii="Palatino Linotype" w:hAnsi="Palatino Linotype"/>
          <w:color w:val="000000" w:themeColor="text1"/>
        </w:rPr>
        <w:t xml:space="preserve"> que recubre a la información solicitada</w:t>
      </w:r>
      <w:r w:rsidR="00477710" w:rsidRPr="00F94AEA">
        <w:rPr>
          <w:rFonts w:ascii="Palatino Linotype" w:hAnsi="Palatino Linotype"/>
          <w:color w:val="000000" w:themeColor="text1"/>
        </w:rPr>
        <w:t xml:space="preserve">, </w:t>
      </w:r>
      <w:r w:rsidR="009A2D33" w:rsidRPr="00F94AEA">
        <w:rPr>
          <w:rFonts w:ascii="Palatino Linotype" w:hAnsi="Palatino Linotype"/>
          <w:color w:val="000000" w:themeColor="text1"/>
        </w:rPr>
        <w:t xml:space="preserve">se determinó que, como fuera señalado por el </w:t>
      </w:r>
      <w:r w:rsidR="009A2D33" w:rsidRPr="00F94AEA">
        <w:rPr>
          <w:rFonts w:ascii="Palatino Linotype" w:hAnsi="Palatino Linotype"/>
          <w:b/>
          <w:color w:val="000000" w:themeColor="text1"/>
        </w:rPr>
        <w:t>SUJETO OBLIGADO</w:t>
      </w:r>
      <w:r w:rsidR="009A2D33" w:rsidRPr="00F94AEA">
        <w:rPr>
          <w:rFonts w:ascii="Palatino Linotype" w:hAnsi="Palatino Linotype"/>
          <w:color w:val="000000" w:themeColor="text1"/>
        </w:rPr>
        <w:t xml:space="preserve"> en el momento procesal oportuno, la competencia para poseer, generar y administrar la información</w:t>
      </w:r>
      <w:r w:rsidR="00F94AEA">
        <w:rPr>
          <w:rFonts w:ascii="Palatino Linotype" w:hAnsi="Palatino Linotype"/>
          <w:color w:val="000000" w:themeColor="text1"/>
        </w:rPr>
        <w:t xml:space="preserve"> relacionada con saber qué hizo la Presidenta Municipal con el financiamiento autorizado para participar en las campañas electorales municipales</w:t>
      </w:r>
      <w:r w:rsidR="009A2D33">
        <w:rPr>
          <w:rFonts w:ascii="Palatino Linotype" w:hAnsi="Palatino Linotype"/>
          <w:color w:val="000000" w:themeColor="text1"/>
        </w:rPr>
        <w:t xml:space="preserve"> </w:t>
      </w:r>
      <w:r w:rsidR="00F94AEA">
        <w:rPr>
          <w:rFonts w:ascii="Palatino Linotype" w:hAnsi="Palatino Linotype"/>
          <w:color w:val="000000" w:themeColor="text1"/>
        </w:rPr>
        <w:t xml:space="preserve">le concernía al </w:t>
      </w:r>
      <w:r w:rsidR="00F94AEA">
        <w:rPr>
          <w:rFonts w:ascii="Palatino Linotype" w:hAnsi="Palatino Linotype"/>
          <w:b/>
          <w:color w:val="000000" w:themeColor="text1"/>
        </w:rPr>
        <w:t>Instituto Electoral del Estado de México y Municipios</w:t>
      </w:r>
      <w:r w:rsidR="00F94AEA">
        <w:rPr>
          <w:rFonts w:ascii="Palatino Linotype" w:hAnsi="Palatino Linotype"/>
          <w:color w:val="000000" w:themeColor="text1"/>
        </w:rPr>
        <w:t>, y no al Ayuntamiento de Teoloyucan</w:t>
      </w:r>
      <w:r w:rsidR="00115F2B">
        <w:rPr>
          <w:rFonts w:ascii="Palatino Linotype" w:hAnsi="Palatino Linotype"/>
          <w:color w:val="000000" w:themeColor="text1"/>
        </w:rPr>
        <w:t>.</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D94538B"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00115F2B">
        <w:rPr>
          <w:rFonts w:ascii="Palatino Linotype" w:eastAsia="MS Mincho" w:hAnsi="Palatino Linotype" w:cstheme="majorBidi"/>
          <w:lang w:val="es-ES"/>
        </w:rPr>
        <w:t>in</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lastRenderedPageBreak/>
        <w:t>RECURRENTE</w:t>
      </w:r>
      <w:r w:rsidRPr="0028241C">
        <w:rPr>
          <w:rFonts w:ascii="Palatino Linotype" w:eastAsia="MS Mincho" w:hAnsi="Palatino Linotype" w:cstheme="majorBidi"/>
          <w:lang w:val="es-ES"/>
        </w:rPr>
        <w:t xml:space="preserve"> dentro del recurso de revisión </w:t>
      </w:r>
      <w:r w:rsidR="00C967DD">
        <w:rPr>
          <w:rFonts w:ascii="Palatino Linotype" w:eastAsia="MS Mincho" w:hAnsi="Palatino Linotype" w:cstheme="majorBidi"/>
          <w:b/>
          <w:bCs/>
          <w:lang w:val="es-ES"/>
        </w:rPr>
        <w:t>04548/INFOEM/IP/RR/2021</w:t>
      </w:r>
      <w:r w:rsidRPr="0028241C">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00115F2B">
        <w:rPr>
          <w:rFonts w:ascii="Palatino Linotype" w:eastAsia="MS Mincho" w:hAnsi="Palatino Linotype" w:cstheme="majorBidi"/>
          <w:b/>
          <w:lang w:val="es-ES"/>
        </w:rPr>
        <w:t>CONFIRMA</w:t>
      </w:r>
      <w:r w:rsidRPr="0028241C">
        <w:rPr>
          <w:rFonts w:ascii="Palatino Linotype" w:eastAsia="MS Mincho" w:hAnsi="Palatino Linotype" w:cstheme="majorBidi"/>
          <w:lang w:val="es-ES"/>
        </w:rPr>
        <w:t xml:space="preserve"> la respuesta a la solicitud de información número </w:t>
      </w:r>
      <w:r w:rsidR="00C967DD">
        <w:rPr>
          <w:rFonts w:ascii="Palatino Linotype" w:eastAsia="MS Mincho" w:hAnsi="Palatino Linotype" w:cstheme="majorBidi"/>
          <w:b/>
          <w:lang w:val="es-ES"/>
        </w:rPr>
        <w:t>00424/TEOLOYU/IP/2021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33" w:name="_Toc495427547"/>
      <w:bookmarkStart w:id="34" w:name="_Toc497905366"/>
      <w:bookmarkStart w:id="35" w:name="_Toc87456497"/>
      <w:r w:rsidRPr="008C6062">
        <w:rPr>
          <w:b/>
          <w:color w:val="000000" w:themeColor="text1"/>
          <w:szCs w:val="24"/>
        </w:rPr>
        <w:lastRenderedPageBreak/>
        <w:t>R E S O L U T I V O S</w:t>
      </w:r>
      <w:bookmarkEnd w:id="24"/>
      <w:bookmarkEnd w:id="25"/>
      <w:bookmarkEnd w:id="33"/>
      <w:bookmarkEnd w:id="34"/>
      <w:bookmarkEnd w:id="35"/>
    </w:p>
    <w:p w14:paraId="67A78F7D" w14:textId="02DA928A"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sidR="00115F2B">
        <w:rPr>
          <w:rFonts w:ascii="Palatino Linotype" w:eastAsia="Times New Roman" w:hAnsi="Palatino Linotype" w:cs="Arial"/>
        </w:rPr>
        <w:t>in</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C967DD">
        <w:rPr>
          <w:rFonts w:ascii="Palatino Linotype" w:eastAsia="Times New Roman" w:hAnsi="Palatino Linotype" w:cs="Times New Roman"/>
          <w:b/>
        </w:rPr>
        <w:t>04548/INFOEM/IP/RR/2021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del</w:t>
      </w:r>
      <w:r w:rsidRPr="001607E7">
        <w:rPr>
          <w:rFonts w:ascii="Palatino Linotype" w:eastAsia="Times New Roman" w:hAnsi="Palatino Linotype" w:cs="Times New Roman"/>
          <w:b/>
          <w:bCs/>
        </w:rPr>
        <w:t xml:space="preserve"> Considerando</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115F2B" w:rsidRPr="00115F2B">
        <w:rPr>
          <w:rFonts w:ascii="Palatino Linotype" w:eastAsia="Times New Roman" w:hAnsi="Palatino Linotype" w:cs="Times New Roman"/>
        </w:rPr>
        <w:t>d</w:t>
      </w:r>
      <w:r w:rsidRPr="00115F2B">
        <w:rPr>
          <w:rFonts w:ascii="Palatino Linotype" w:eastAsia="Times New Roman" w:hAnsi="Palatino Linotype" w:cs="Times New Roman"/>
        </w:rPr>
        <w:t>e la pre</w:t>
      </w:r>
      <w:r w:rsidRPr="001607E7">
        <w:rPr>
          <w:rFonts w:ascii="Palatino Linotype" w:eastAsia="Times New Roman" w:hAnsi="Palatino Linotype" w:cs="Times New Roman"/>
        </w:rPr>
        <w:t>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19C3E213" w14:textId="7615FCF8" w:rsidR="00CA0640" w:rsidRDefault="00CA0640" w:rsidP="00115F2B">
      <w:pPr>
        <w:spacing w:line="360" w:lineRule="auto"/>
        <w:contextualSpacing/>
        <w:jc w:val="both"/>
        <w:rPr>
          <w:rFonts w:ascii="Palatino Linotype" w:eastAsia="Calibri" w:hAnsi="Palatino Linotype" w:cs="Arial"/>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115F2B">
        <w:rPr>
          <w:rFonts w:ascii="Palatino Linotype" w:eastAsia="Calibri" w:hAnsi="Palatino Linotype" w:cs="Arial"/>
          <w:b/>
          <w:lang w:val="es-ES"/>
        </w:rPr>
        <w:t>CONFIRMA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 xml:space="preserve">emitida por </w:t>
      </w:r>
      <w:r w:rsidR="00F94AEA">
        <w:rPr>
          <w:rFonts w:ascii="Palatino Linotype" w:eastAsia="Calibri" w:hAnsi="Palatino Linotype" w:cs="Arial"/>
          <w:lang w:val="es-ES"/>
        </w:rPr>
        <w:t>el</w:t>
      </w:r>
      <w:r w:rsidRPr="00D92794">
        <w:rPr>
          <w:rFonts w:ascii="Palatino Linotype" w:eastAsia="Calibri" w:hAnsi="Palatino Linotype" w:cs="Arial"/>
          <w:lang w:val="es-ES"/>
        </w:rPr>
        <w:t xml:space="preserve"> </w:t>
      </w:r>
      <w:r w:rsidR="00C967DD">
        <w:rPr>
          <w:rFonts w:ascii="Palatino Linotype" w:eastAsia="Calibri" w:hAnsi="Palatino Linotype" w:cs="Arial"/>
          <w:b/>
        </w:rPr>
        <w:t>Ayuntamiento de Teoloyucan</w:t>
      </w:r>
      <w:r>
        <w:rPr>
          <w:rFonts w:ascii="Palatino Linotype" w:eastAsia="Calibri" w:hAnsi="Palatino Linotype" w:cs="Arial"/>
          <w:bCs/>
        </w:rPr>
        <w:t xml:space="preserve"> a la solicitud </w:t>
      </w:r>
      <w:r w:rsidR="00C967DD">
        <w:rPr>
          <w:rFonts w:ascii="Palatino Linotype" w:eastAsia="Calibri" w:hAnsi="Palatino Linotype" w:cs="Arial"/>
          <w:b/>
        </w:rPr>
        <w:t>00424/TEOLOYU/IP/2021</w:t>
      </w:r>
      <w:bookmarkStart w:id="36" w:name="_Toc460947013"/>
      <w:r w:rsidR="00115F2B" w:rsidRPr="00115F2B">
        <w:rPr>
          <w:rFonts w:ascii="Palatino Linotype" w:eastAsia="Calibri" w:hAnsi="Palatino Linotype" w:cs="Arial"/>
        </w:rPr>
        <w:t>.</w:t>
      </w:r>
    </w:p>
    <w:p w14:paraId="0AC4C062" w14:textId="77777777" w:rsidR="00CA0640" w:rsidRDefault="00CA0640" w:rsidP="00CA0640">
      <w:pPr>
        <w:tabs>
          <w:tab w:val="left" w:pos="993"/>
        </w:tabs>
        <w:spacing w:line="360" w:lineRule="auto"/>
        <w:ind w:right="567"/>
        <w:jc w:val="both"/>
        <w:rPr>
          <w:rFonts w:ascii="Palatino Linotype" w:eastAsia="Calibri" w:hAnsi="Palatino Linotype" w:cs="Arial"/>
        </w:rPr>
      </w:pPr>
    </w:p>
    <w:p w14:paraId="362E096D" w14:textId="0022E62F" w:rsidR="00115F2B" w:rsidRPr="0091734D"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w:t>
      </w:r>
      <w:bookmarkEnd w:id="36"/>
      <w:r w:rsidR="00F94AEA">
        <w:rPr>
          <w:rFonts w:ascii="Palatino Linotype" w:eastAsia="Palatino Linotype" w:hAnsi="Palatino Linotype" w:cs="Palatino Linotype"/>
          <w:b/>
        </w:rPr>
        <w:t>Notifíquese</w:t>
      </w:r>
      <w:r w:rsidR="00115F2B" w:rsidRPr="0091734D">
        <w:rPr>
          <w:rFonts w:ascii="Palatino Linotype" w:eastAsia="Palatino Linotype" w:hAnsi="Palatino Linotype" w:cs="Palatino Linotype"/>
          <w:b/>
        </w:rPr>
        <w:t xml:space="preserve">, </w:t>
      </w:r>
      <w:r w:rsidR="00115F2B" w:rsidRPr="0091734D">
        <w:rPr>
          <w:rFonts w:ascii="Palatino Linotype" w:eastAsia="Palatino Linotype" w:hAnsi="Palatino Linotype" w:cs="Palatino Linotype"/>
        </w:rPr>
        <w:t>vía Sistema de Acceso a la Información Mexiquense (SAIMEX), la presente resolución a</w:t>
      </w:r>
      <w:r w:rsidR="00115F2B">
        <w:rPr>
          <w:rFonts w:ascii="Palatino Linotype" w:eastAsia="Palatino Linotype" w:hAnsi="Palatino Linotype" w:cs="Palatino Linotype"/>
        </w:rPr>
        <w:t xml:space="preserve"> </w:t>
      </w:r>
      <w:r w:rsidR="00115F2B" w:rsidRPr="0091734D">
        <w:rPr>
          <w:rFonts w:ascii="Palatino Linotype" w:eastAsia="Palatino Linotype" w:hAnsi="Palatino Linotype" w:cs="Palatino Linotype"/>
        </w:rPr>
        <w:t>l</w:t>
      </w:r>
      <w:r w:rsidR="00115F2B">
        <w:rPr>
          <w:rFonts w:ascii="Palatino Linotype" w:eastAsia="Palatino Linotype" w:hAnsi="Palatino Linotype" w:cs="Palatino Linotype"/>
        </w:rPr>
        <w:t>a</w:t>
      </w:r>
      <w:r w:rsidR="00115F2B" w:rsidRPr="0091734D">
        <w:rPr>
          <w:rFonts w:ascii="Palatino Linotype" w:eastAsia="Palatino Linotype" w:hAnsi="Palatino Linotype" w:cs="Palatino Linotype"/>
        </w:rPr>
        <w:t xml:space="preserve"> Titular de la Unidad de Transparencia del </w:t>
      </w:r>
      <w:r w:rsidR="00115F2B" w:rsidRPr="0091734D">
        <w:rPr>
          <w:rFonts w:ascii="Palatino Linotype" w:eastAsia="Palatino Linotype" w:hAnsi="Palatino Linotype" w:cs="Palatino Linotype"/>
          <w:b/>
        </w:rPr>
        <w:t>SUJETO OBLIGADO.</w:t>
      </w:r>
    </w:p>
    <w:p w14:paraId="1F2C60E2" w14:textId="77777777" w:rsidR="00115F2B" w:rsidRPr="0091734D"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0A579CD6" w:rsidR="00115F2B" w:rsidRPr="00B06FF1" w:rsidRDefault="00115F2B" w:rsidP="00115F2B">
      <w:pPr>
        <w:shd w:val="clear" w:color="auto" w:fill="FFFFFF"/>
        <w:spacing w:line="360" w:lineRule="auto"/>
        <w:jc w:val="both"/>
        <w:rPr>
          <w:rFonts w:ascii="Palatino Linotype" w:hAnsi="Palatino Linotype"/>
        </w:rPr>
      </w:pPr>
      <w:r w:rsidRPr="00115F2B">
        <w:rPr>
          <w:rFonts w:ascii="Palatino Linotype" w:eastAsia="Times New Roman" w:hAnsi="Palatino Linotype" w:cs="Arial"/>
          <w:b/>
          <w:sz w:val="28"/>
        </w:rPr>
        <w:t>CUARTO</w:t>
      </w:r>
      <w:r w:rsidRPr="0091734D">
        <w:rPr>
          <w:rFonts w:ascii="Palatino Linotype" w:eastAsia="Times New Roman" w:hAnsi="Palatino Linotype" w:cs="Arial"/>
          <w:b/>
        </w:rPr>
        <w:t xml:space="preserve">. </w:t>
      </w:r>
      <w:r w:rsidRPr="0091734D">
        <w:rPr>
          <w:rFonts w:ascii="Palatino Linotype" w:eastAsia="Times New Roman" w:hAnsi="Palatino Linotype" w:cs="Times New Roman"/>
          <w:b/>
          <w:bCs/>
          <w:color w:val="222222"/>
          <w:lang w:val="es-ES"/>
        </w:rPr>
        <w:t>Notifíquese a</w:t>
      </w:r>
      <w:r>
        <w:rPr>
          <w:rFonts w:ascii="Palatino Linotype" w:eastAsia="Times New Roman" w:hAnsi="Palatino Linotype" w:cs="Times New Roman"/>
          <w:b/>
          <w:bCs/>
          <w:color w:val="222222"/>
          <w:lang w:val="es-ES"/>
        </w:rPr>
        <w:t>l</w:t>
      </w:r>
      <w:r w:rsidRPr="0091734D">
        <w:rPr>
          <w:rFonts w:ascii="Palatino Linotype" w:hAnsi="Palatino Linotype"/>
          <w:b/>
        </w:rPr>
        <w:t xml:space="preserve"> </w:t>
      </w:r>
      <w:r>
        <w:rPr>
          <w:rFonts w:ascii="Palatino Linotype" w:hAnsi="Palatino Linotype"/>
          <w:b/>
        </w:rPr>
        <w:t>RECURRENTE</w:t>
      </w:r>
      <w:r w:rsidR="00F94AEA">
        <w:rPr>
          <w:rFonts w:ascii="Palatino Linotype" w:hAnsi="Palatino Linotype"/>
        </w:rPr>
        <w:t xml:space="preserve"> la presente resolución, </w:t>
      </w:r>
      <w:r w:rsidR="00F94AEA" w:rsidRPr="0091734D">
        <w:rPr>
          <w:rFonts w:ascii="Palatino Linotype" w:eastAsia="Palatino Linotype" w:hAnsi="Palatino Linotype" w:cs="Palatino Linotype"/>
        </w:rPr>
        <w:t>vía Sistema de Acceso a la Información Mexiquense (SAIMEX)</w:t>
      </w:r>
      <w:r w:rsidR="00F94AEA">
        <w:rPr>
          <w:rFonts w:ascii="Palatino Linotype" w:eastAsia="Palatino Linotype" w:hAnsi="Palatino Linotype" w:cs="Palatino Linotype"/>
        </w:rPr>
        <w:t>.</w:t>
      </w:r>
    </w:p>
    <w:p w14:paraId="4378B359" w14:textId="77777777" w:rsidR="00115F2B" w:rsidRPr="00B06FF1" w:rsidRDefault="00115F2B" w:rsidP="00115F2B">
      <w:pPr>
        <w:shd w:val="clear" w:color="auto" w:fill="FFFFFF"/>
        <w:spacing w:line="360" w:lineRule="auto"/>
        <w:jc w:val="both"/>
        <w:rPr>
          <w:rFonts w:ascii="Palatino Linotype" w:hAnsi="Palatino Linotype"/>
        </w:rPr>
      </w:pPr>
    </w:p>
    <w:p w14:paraId="08853CDF" w14:textId="591D5A9E" w:rsidR="00115F2B" w:rsidRDefault="00115F2B" w:rsidP="00115F2B">
      <w:pPr>
        <w:spacing w:line="360" w:lineRule="auto"/>
        <w:jc w:val="both"/>
        <w:rPr>
          <w:rFonts w:ascii="Palatino Linotype" w:eastAsia="MS Mincho" w:hAnsi="Palatino Linotype" w:cs="Times New Roman"/>
          <w:lang w:val="es-ES"/>
        </w:rPr>
      </w:pPr>
      <w:r w:rsidRPr="00115F2B">
        <w:rPr>
          <w:rFonts w:ascii="Palatino Linotype" w:eastAsia="MS Mincho" w:hAnsi="Palatino Linotype" w:cs="Times New Roman"/>
          <w:b/>
          <w:sz w:val="28"/>
        </w:rPr>
        <w:t>QUINTO</w:t>
      </w:r>
      <w:r w:rsidRPr="00B06FF1">
        <w:rPr>
          <w:rFonts w:ascii="Palatino Linotype" w:eastAsia="MS Mincho" w:hAnsi="Palatino Linotype" w:cs="Times New Roman"/>
          <w:b/>
        </w:rPr>
        <w:t>.</w:t>
      </w:r>
      <w:r w:rsidRPr="00B06FF1">
        <w:rPr>
          <w:rFonts w:ascii="Palatino Linotype" w:eastAsia="MS Mincho" w:hAnsi="Palatino Linotype" w:cs="Times New Roman"/>
        </w:rPr>
        <w:t xml:space="preserve"> </w:t>
      </w:r>
      <w:r w:rsidRPr="00B06FF1">
        <w:rPr>
          <w:rFonts w:ascii="Palatino Linotype" w:eastAsia="MS Mincho" w:hAnsi="Palatino Linotype" w:cs="Times New Roman"/>
          <w:lang w:val="es-ES"/>
        </w:rPr>
        <w:t>Se hace del conocimiento de</w:t>
      </w:r>
      <w:r>
        <w:rPr>
          <w:rFonts w:ascii="Palatino Linotype" w:eastAsia="MS Mincho" w:hAnsi="Palatino Linotype" w:cs="Times New Roman"/>
          <w:lang w:val="es-ES"/>
        </w:rPr>
        <w:t xml:space="preserve">l </w:t>
      </w:r>
      <w:r>
        <w:rPr>
          <w:rFonts w:ascii="Palatino Linotype" w:eastAsia="MS Mincho" w:hAnsi="Palatino Linotype" w:cs="Times New Roman"/>
          <w:b/>
          <w:lang w:val="es-ES"/>
        </w:rPr>
        <w:t>RECURRENTE</w:t>
      </w:r>
      <w:r w:rsidRPr="00B06FF1">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 xml:space="preserve">lgún perjuicio podrá impugnarla </w:t>
      </w:r>
      <w:r w:rsidRPr="00B06FF1">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w:t>
      </w:r>
      <w:r w:rsidRPr="00B06FF1">
        <w:rPr>
          <w:rFonts w:ascii="Palatino Linotype" w:eastAsia="MS Mincho" w:hAnsi="Palatino Linotype" w:cs="Times New Roman"/>
          <w:lang w:val="es-ES"/>
        </w:rPr>
        <w:t>en los términos de las leyes aplicables.</w:t>
      </w:r>
    </w:p>
    <w:p w14:paraId="1E2CA3C7" w14:textId="2434ACC3" w:rsidR="00CA0640" w:rsidRDefault="00CA0640" w:rsidP="00115F2B">
      <w:pPr>
        <w:spacing w:line="360" w:lineRule="auto"/>
        <w:jc w:val="both"/>
        <w:rPr>
          <w:rFonts w:ascii="Palatino Linotype" w:eastAsia="MS Mincho" w:hAnsi="Palatino Linotype" w:cs="Times New Roman"/>
          <w:color w:val="000000"/>
          <w:lang w:val="es-ES"/>
        </w:rPr>
      </w:pP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326A712A" w14:textId="7729275A" w:rsidR="00895335" w:rsidRDefault="00025266" w:rsidP="00025266">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RESUELVE, </w:t>
      </w:r>
      <w:r w:rsidRPr="003A6080">
        <w:rPr>
          <w:rFonts w:ascii="Palatino Linotype" w:hAnsi="Palatino Linotype"/>
          <w:color w:val="000000" w:themeColor="text1"/>
        </w:rPr>
        <w:t>POR UNANIMIDAD</w:t>
      </w:r>
      <w:r w:rsidRPr="00575D39">
        <w:rPr>
          <w:rFonts w:ascii="Palatino Linotype" w:hAnsi="Palatino Linotype"/>
          <w:color w:val="000000" w:themeColor="text1"/>
        </w:rPr>
        <w:t xml:space="preserve"> DE</w:t>
      </w:r>
      <w:r w:rsidRPr="002D6F4B">
        <w:rPr>
          <w:rFonts w:ascii="Palatino Linotype" w:hAnsi="Palatino Linotype"/>
          <w:color w:val="000000" w:themeColor="text1"/>
        </w:rPr>
        <w:t xml:space="preserve"> VOTOS, EL PLENO DEL INSTITUTO DE TRANSPARENCIA, ACCESO A LA INFORMACIÓN PÚBLICA Y </w:t>
      </w:r>
      <w:r w:rsidRPr="002D6F4B">
        <w:rPr>
          <w:rFonts w:ascii="Palatino Linotype" w:hAnsi="Palatino Linotype"/>
          <w:color w:val="000000" w:themeColor="text1"/>
        </w:rPr>
        <w:lastRenderedPageBreak/>
        <w:t xml:space="preserve">PROTECCIÓN DE DATOS PERSONALES DEL ESTADO DE MÉXICO Y MUNICIPIOS, CONFORMADO POR LOS </w:t>
      </w:r>
      <w:r>
        <w:rPr>
          <w:rFonts w:ascii="Palatino Linotype" w:hAnsi="Palatino Linotype"/>
          <w:color w:val="000000" w:themeColor="text1"/>
        </w:rPr>
        <w:t xml:space="preserve">COMISIONADOS </w:t>
      </w:r>
      <w:r w:rsidR="00A24131">
        <w:rPr>
          <w:rFonts w:ascii="Palatino Linotype" w:hAnsi="Palatino Linotype"/>
          <w:color w:val="000000" w:themeColor="text1"/>
        </w:rPr>
        <w:t xml:space="preserve">JOSÉ MARTÍNEZ VILCHIS, MARÍA DEL ROSARIO MEJÍA AYALA, </w:t>
      </w:r>
      <w:r w:rsidR="003A6080">
        <w:rPr>
          <w:rFonts w:ascii="Palatino Linotype" w:hAnsi="Palatino Linotype"/>
          <w:color w:val="000000" w:themeColor="text1"/>
        </w:rPr>
        <w:t xml:space="preserve">SHARON CRISTINA MORALES </w:t>
      </w:r>
      <w:r w:rsidR="00A24131">
        <w:rPr>
          <w:rFonts w:ascii="Palatino Linotype" w:hAnsi="Palatino Linotype"/>
          <w:color w:val="000000" w:themeColor="text1"/>
        </w:rPr>
        <w:t>MARTÍNEZ, LUIS GUSTAVO PARRA NORIEGA Y GUADALUPE RAMÍREZ PEÑA</w:t>
      </w:r>
      <w:r w:rsidRPr="002D6F4B">
        <w:rPr>
          <w:rFonts w:ascii="Palatino Linotype" w:hAnsi="Palatino Linotype"/>
          <w:color w:val="000000" w:themeColor="text1"/>
        </w:rPr>
        <w:t xml:space="preserve">; </w:t>
      </w:r>
      <w:r w:rsidRPr="003A6080">
        <w:rPr>
          <w:rFonts w:ascii="Palatino Linotype" w:hAnsi="Palatino Linotype"/>
          <w:color w:val="000000" w:themeColor="text1"/>
        </w:rPr>
        <w:t xml:space="preserve">EN LA </w:t>
      </w:r>
      <w:r w:rsidR="00F94AEA">
        <w:rPr>
          <w:rFonts w:ascii="Palatino Linotype" w:hAnsi="Palatino Linotype"/>
          <w:color w:val="000000" w:themeColor="text1"/>
        </w:rPr>
        <w:t>CUADRAGÉSIMA PRIMERA</w:t>
      </w:r>
      <w:r w:rsidRPr="003A6080">
        <w:rPr>
          <w:rFonts w:ascii="Palatino Linotype" w:hAnsi="Palatino Linotype"/>
          <w:color w:val="000000" w:themeColor="text1"/>
        </w:rPr>
        <w:t xml:space="preserve"> SESIÓN ORDINARIA CELEBRADA EL </w:t>
      </w:r>
      <w:r w:rsidR="00F94AEA">
        <w:rPr>
          <w:rFonts w:ascii="Palatino Linotype" w:hAnsi="Palatino Linotype"/>
          <w:color w:val="000000" w:themeColor="text1"/>
        </w:rPr>
        <w:t>DIECIOCHO (18) DE NOVIEMBRE</w:t>
      </w:r>
      <w:r w:rsidR="00A24131" w:rsidRPr="003A6080">
        <w:rPr>
          <w:rFonts w:ascii="Palatino Linotype" w:hAnsi="Palatino Linotype"/>
          <w:color w:val="000000" w:themeColor="text1"/>
        </w:rPr>
        <w:t xml:space="preserve"> </w:t>
      </w:r>
      <w:r w:rsidR="0072445A" w:rsidRPr="003A6080">
        <w:rPr>
          <w:rFonts w:ascii="Palatino Linotype" w:hAnsi="Palatino Linotype"/>
          <w:color w:val="000000" w:themeColor="text1"/>
        </w:rPr>
        <w:t>DE DOS MIL VEINTIUNO</w:t>
      </w:r>
      <w:r w:rsidRPr="002D6F4B">
        <w:rPr>
          <w:rFonts w:ascii="Palatino Linotype" w:hAnsi="Palatino Linotype"/>
          <w:color w:val="000000" w:themeColor="text1"/>
        </w:rPr>
        <w:t xml:space="preserve">, ANTE </w:t>
      </w:r>
      <w:r>
        <w:rPr>
          <w:rFonts w:ascii="Palatino Linotype" w:hAnsi="Palatino Linotype"/>
          <w:color w:val="000000" w:themeColor="text1"/>
        </w:rPr>
        <w:t>EL SECRETARIO TÉCNICO</w:t>
      </w:r>
      <w:r w:rsidRPr="002D6F4B">
        <w:rPr>
          <w:rFonts w:ascii="Palatino Linotype" w:hAnsi="Palatino Linotype"/>
          <w:color w:val="000000" w:themeColor="text1"/>
        </w:rPr>
        <w:t xml:space="preserve"> DEL PLENO </w:t>
      </w:r>
      <w:r>
        <w:rPr>
          <w:rFonts w:ascii="Palatino Linotype" w:hAnsi="Palatino Linotype"/>
          <w:color w:val="000000" w:themeColor="text1"/>
        </w:rPr>
        <w:t>ALEXIS TAPIA RAMÍREZ</w:t>
      </w:r>
      <w:r w:rsidRPr="002D6F4B">
        <w:rPr>
          <w:rFonts w:ascii="Palatino Linotype" w:hAnsi="Palatino Linotype"/>
          <w:color w:val="000000" w:themeColor="text1"/>
        </w:rPr>
        <w:t>.</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FBEF6" w14:textId="77777777" w:rsidR="007D2922" w:rsidRDefault="007D2922" w:rsidP="00587366">
      <w:r>
        <w:separator/>
      </w:r>
    </w:p>
  </w:endnote>
  <w:endnote w:type="continuationSeparator" w:id="0">
    <w:p w14:paraId="6090A7FD" w14:textId="77777777" w:rsidR="007D2922" w:rsidRDefault="007D292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646C6" w:rsidRPr="00883450" w:rsidRDefault="006646C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2395B">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2395B">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47B193F0" w:rsidR="006646C6" w:rsidRDefault="006646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6646C6" w:rsidRPr="00883450" w:rsidRDefault="006646C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2395B" w:rsidRPr="0092395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2395B" w:rsidRPr="0092395B">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0A9A2B26" w:rsidR="006646C6" w:rsidRPr="00883450" w:rsidRDefault="006646C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E7AC0" w14:textId="77777777" w:rsidR="007D2922" w:rsidRDefault="007D2922" w:rsidP="00587366">
      <w:r>
        <w:separator/>
      </w:r>
    </w:p>
  </w:footnote>
  <w:footnote w:type="continuationSeparator" w:id="0">
    <w:p w14:paraId="7B56B1C2" w14:textId="77777777" w:rsidR="007D2922" w:rsidRDefault="007D2922" w:rsidP="00587366">
      <w:r>
        <w:continuationSeparator/>
      </w:r>
    </w:p>
  </w:footnote>
  <w:footnote w:id="1">
    <w:p w14:paraId="08EC9FE0" w14:textId="77777777" w:rsidR="007820F2" w:rsidRDefault="007820F2" w:rsidP="007820F2">
      <w:pPr>
        <w:pStyle w:val="Textonotapie"/>
      </w:pPr>
      <w:r>
        <w:rPr>
          <w:rStyle w:val="Refdenotaalpie"/>
        </w:rPr>
        <w:footnoteRef/>
      </w:r>
      <w:r>
        <w:t xml:space="preserve"> Artículo 168, Código Electoral del Estado de México.</w:t>
      </w:r>
    </w:p>
  </w:footnote>
  <w:footnote w:id="2">
    <w:p w14:paraId="78BE0DC4" w14:textId="77777777" w:rsidR="007820F2" w:rsidRDefault="007820F2" w:rsidP="007820F2">
      <w:pPr>
        <w:pStyle w:val="Textonotapie"/>
      </w:pPr>
      <w:r>
        <w:rPr>
          <w:rStyle w:val="Refdenotaalpie"/>
        </w:rPr>
        <w:footnoteRef/>
      </w:r>
      <w:r>
        <w:t xml:space="preserve"> Artículo 44, Reglamento Interno del Instituto Electoral del Estado de México.</w:t>
      </w:r>
    </w:p>
  </w:footnote>
  <w:footnote w:id="3">
    <w:p w14:paraId="6F022E24" w14:textId="77777777" w:rsidR="006646C6" w:rsidRDefault="006646C6" w:rsidP="00167813">
      <w:pPr>
        <w:pStyle w:val="Textonotapie"/>
      </w:pPr>
      <w:r>
        <w:rPr>
          <w:rStyle w:val="Refdenotaalpie"/>
        </w:rPr>
        <w:footnoteRef/>
      </w:r>
      <w:r>
        <w:t xml:space="preserve"> Artículo 50, Ley de Transparencia y Acceso a la Información Pública del Estado de México y Municipios.</w:t>
      </w:r>
    </w:p>
  </w:footnote>
  <w:footnote w:id="4">
    <w:p w14:paraId="41B106AD" w14:textId="77777777" w:rsidR="006646C6" w:rsidRDefault="006646C6" w:rsidP="00167813">
      <w:pPr>
        <w:pStyle w:val="Textonotapie"/>
      </w:pPr>
      <w:r>
        <w:rPr>
          <w:rStyle w:val="Refdenotaalpie"/>
        </w:rPr>
        <w:footnoteRef/>
      </w:r>
      <w:r>
        <w:t xml:space="preserve"> Artículo 51, Ídem.</w:t>
      </w:r>
    </w:p>
  </w:footnote>
  <w:footnote w:id="5">
    <w:p w14:paraId="3FFC1437" w14:textId="77777777" w:rsidR="006646C6" w:rsidRDefault="006646C6" w:rsidP="00167813">
      <w:pPr>
        <w:pStyle w:val="Textonotapie"/>
      </w:pPr>
      <w:r>
        <w:rPr>
          <w:rStyle w:val="Refdenotaalpie"/>
        </w:rPr>
        <w:footnoteRef/>
      </w:r>
      <w:r>
        <w:t xml:space="preserve"> Artículo 58, Ley de Transparencia y Acceso a la Información Pública del Estado de México y Municipios.</w:t>
      </w:r>
    </w:p>
  </w:footnote>
  <w:footnote w:id="6">
    <w:p w14:paraId="44A054A0" w14:textId="77777777" w:rsidR="006646C6" w:rsidRDefault="006646C6" w:rsidP="00167813">
      <w:pPr>
        <w:pStyle w:val="Textonotapie"/>
      </w:pPr>
      <w:r>
        <w:rPr>
          <w:rStyle w:val="Refdenotaalpie"/>
        </w:rPr>
        <w:footnoteRef/>
      </w:r>
      <w:r>
        <w:t xml:space="preserve"> Artículo 59, Ídem.</w:t>
      </w:r>
    </w:p>
  </w:footnote>
  <w:footnote w:id="7">
    <w:p w14:paraId="75C03AD0" w14:textId="6CF5EDB5" w:rsidR="00332BCD" w:rsidRDefault="00332BCD">
      <w:pPr>
        <w:pStyle w:val="Textonotapie"/>
      </w:pPr>
      <w:r>
        <w:rPr>
          <w:rStyle w:val="Refdenotaalpie"/>
        </w:rPr>
        <w:footnoteRef/>
      </w:r>
      <w:r>
        <w:t xml:space="preserve"> Artículo 47, Ley de Transparencia y Acceso a la Información Pública del Estado de México y Municipios.</w:t>
      </w:r>
    </w:p>
  </w:footnote>
  <w:footnote w:id="8">
    <w:p w14:paraId="1B59EDF8" w14:textId="240E49CA" w:rsidR="00332BCD" w:rsidRDefault="00332BCD">
      <w:pPr>
        <w:pStyle w:val="Textonotapie"/>
      </w:pPr>
      <w:r>
        <w:rPr>
          <w:rStyle w:val="Refdenotaalpie"/>
        </w:rPr>
        <w:footnoteRef/>
      </w:r>
      <w:r>
        <w:t xml:space="preserve"> Artículo 45,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6646C6" w:rsidRDefault="006646C6"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646C6" w:rsidRDefault="006646C6">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646C6" w:rsidRPr="00025127" w14:paraId="07F2896E" w14:textId="77777777" w:rsidTr="00FA0F09">
      <w:trPr>
        <w:trHeight w:val="138"/>
        <w:jc w:val="right"/>
      </w:trPr>
      <w:tc>
        <w:tcPr>
          <w:tcW w:w="3260" w:type="dxa"/>
          <w:vAlign w:val="center"/>
        </w:tcPr>
        <w:p w14:paraId="4A5B1974" w14:textId="3B2AB4E0" w:rsidR="006646C6" w:rsidRPr="00025127" w:rsidRDefault="006646C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373BFDF" w:rsidR="006646C6" w:rsidRPr="00025127" w:rsidRDefault="006646C6" w:rsidP="005F1362">
          <w:pPr>
            <w:pStyle w:val="Encabezado"/>
            <w:jc w:val="both"/>
            <w:rPr>
              <w:rFonts w:ascii="Palatino Linotype" w:hAnsi="Palatino Linotype"/>
              <w:b/>
              <w:sz w:val="22"/>
              <w:szCs w:val="22"/>
            </w:rPr>
          </w:pPr>
          <w:r>
            <w:rPr>
              <w:rFonts w:ascii="Palatino Linotype" w:hAnsi="Palatino Linotype"/>
              <w:b/>
              <w:sz w:val="22"/>
              <w:szCs w:val="22"/>
            </w:rPr>
            <w:t>04548</w:t>
          </w:r>
          <w:r w:rsidRPr="00025127">
            <w:rPr>
              <w:rFonts w:ascii="Palatino Linotype" w:hAnsi="Palatino Linotype"/>
              <w:b/>
              <w:sz w:val="22"/>
              <w:szCs w:val="22"/>
            </w:rPr>
            <w:t>/INFOEM/IP/RR/</w:t>
          </w:r>
          <w:r>
            <w:rPr>
              <w:rFonts w:ascii="Palatino Linotype" w:hAnsi="Palatino Linotype"/>
              <w:b/>
              <w:sz w:val="22"/>
              <w:szCs w:val="22"/>
            </w:rPr>
            <w:t>2021</w:t>
          </w:r>
        </w:p>
      </w:tc>
    </w:tr>
    <w:tr w:rsidR="006646C6" w:rsidRPr="00025127" w14:paraId="1B5D8690" w14:textId="77777777" w:rsidTr="00FA0F09">
      <w:trPr>
        <w:trHeight w:val="233"/>
        <w:jc w:val="right"/>
      </w:trPr>
      <w:tc>
        <w:tcPr>
          <w:tcW w:w="3260" w:type="dxa"/>
          <w:vAlign w:val="center"/>
        </w:tcPr>
        <w:p w14:paraId="3903F2C6" w14:textId="22D569F8" w:rsidR="006646C6" w:rsidRPr="00025127" w:rsidRDefault="006646C6"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45BC670" w:rsidR="006646C6" w:rsidRPr="00025127" w:rsidRDefault="006646C6" w:rsidP="00E92215">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6646C6" w:rsidRPr="00025127" w14:paraId="095EB01B" w14:textId="77777777" w:rsidTr="00FA0F09">
      <w:trPr>
        <w:trHeight w:val="321"/>
        <w:jc w:val="right"/>
      </w:trPr>
      <w:tc>
        <w:tcPr>
          <w:tcW w:w="3260" w:type="dxa"/>
          <w:vAlign w:val="center"/>
        </w:tcPr>
        <w:p w14:paraId="6E000A51" w14:textId="05E1861A" w:rsidR="006646C6" w:rsidRPr="00025127" w:rsidRDefault="006646C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646C6" w:rsidRPr="00025127" w:rsidRDefault="006646C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646C6" w:rsidRDefault="006646C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6646C6" w:rsidRDefault="0092395B"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6646C6">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646C6" w:rsidRPr="00025127" w14:paraId="0A3256F2" w14:textId="77777777" w:rsidTr="006E6B65">
      <w:trPr>
        <w:trHeight w:val="138"/>
        <w:jc w:val="right"/>
      </w:trPr>
      <w:tc>
        <w:tcPr>
          <w:tcW w:w="3261" w:type="dxa"/>
          <w:vAlign w:val="center"/>
        </w:tcPr>
        <w:p w14:paraId="3D80769D" w14:textId="316F11F8" w:rsidR="006646C6" w:rsidRPr="00025127" w:rsidRDefault="006646C6"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663892D" w:rsidR="006646C6" w:rsidRPr="00025127" w:rsidRDefault="006646C6" w:rsidP="005F1362">
          <w:pPr>
            <w:pStyle w:val="Encabezado"/>
            <w:rPr>
              <w:rFonts w:ascii="Palatino Linotype" w:hAnsi="Palatino Linotype"/>
              <w:b/>
              <w:sz w:val="22"/>
              <w:szCs w:val="22"/>
            </w:rPr>
          </w:pPr>
          <w:r>
            <w:rPr>
              <w:rFonts w:ascii="Palatino Linotype" w:hAnsi="Palatino Linotype"/>
              <w:b/>
              <w:sz w:val="22"/>
              <w:szCs w:val="22"/>
            </w:rPr>
            <w:t>04548</w:t>
          </w:r>
          <w:r w:rsidRPr="00025127">
            <w:rPr>
              <w:rFonts w:ascii="Palatino Linotype" w:hAnsi="Palatino Linotype"/>
              <w:b/>
              <w:sz w:val="22"/>
              <w:szCs w:val="22"/>
            </w:rPr>
            <w:t>/INFOEM/IP/RR/</w:t>
          </w:r>
          <w:r>
            <w:rPr>
              <w:rFonts w:ascii="Palatino Linotype" w:hAnsi="Palatino Linotype"/>
              <w:b/>
              <w:sz w:val="22"/>
              <w:szCs w:val="22"/>
            </w:rPr>
            <w:t>2021</w:t>
          </w:r>
        </w:p>
      </w:tc>
    </w:tr>
    <w:tr w:rsidR="006646C6" w:rsidRPr="00025127" w14:paraId="128C8B3C" w14:textId="77777777" w:rsidTr="006E6B65">
      <w:trPr>
        <w:trHeight w:val="233"/>
        <w:jc w:val="right"/>
      </w:trPr>
      <w:tc>
        <w:tcPr>
          <w:tcW w:w="3261" w:type="dxa"/>
          <w:vAlign w:val="center"/>
        </w:tcPr>
        <w:p w14:paraId="483E3371" w14:textId="66B1BC74" w:rsidR="006646C6" w:rsidRPr="00025127" w:rsidRDefault="006646C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E19B749" w:rsidR="006646C6" w:rsidRPr="00025127" w:rsidRDefault="006646C6" w:rsidP="0058757A">
          <w:pPr>
            <w:pStyle w:val="Encabezado"/>
            <w:rPr>
              <w:rFonts w:ascii="Palatino Linotype" w:hAnsi="Palatino Linotype"/>
              <w:b/>
              <w:sz w:val="22"/>
              <w:szCs w:val="22"/>
            </w:rPr>
          </w:pPr>
          <w:r>
            <w:rPr>
              <w:rFonts w:ascii="Palatino Linotype" w:hAnsi="Palatino Linotype"/>
              <w:b/>
              <w:sz w:val="22"/>
              <w:szCs w:val="22"/>
            </w:rPr>
            <w:t>RECURRENTE</w:t>
          </w:r>
        </w:p>
      </w:tc>
    </w:tr>
    <w:tr w:rsidR="006646C6" w:rsidRPr="00025127" w14:paraId="41BE0704" w14:textId="77777777" w:rsidTr="006E6B65">
      <w:trPr>
        <w:trHeight w:val="321"/>
        <w:jc w:val="right"/>
      </w:trPr>
      <w:tc>
        <w:tcPr>
          <w:tcW w:w="3261" w:type="dxa"/>
          <w:vAlign w:val="center"/>
        </w:tcPr>
        <w:p w14:paraId="34C64148" w14:textId="10C6C8A9" w:rsidR="006646C6" w:rsidRPr="00025127" w:rsidRDefault="006646C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85EA870" w:rsidR="006646C6" w:rsidRPr="00025127" w:rsidRDefault="006646C6" w:rsidP="00AD2718">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6646C6" w:rsidRPr="00025127" w14:paraId="0C8B6193" w14:textId="77777777" w:rsidTr="006E6B65">
      <w:trPr>
        <w:trHeight w:val="321"/>
        <w:jc w:val="right"/>
      </w:trPr>
      <w:tc>
        <w:tcPr>
          <w:tcW w:w="3261" w:type="dxa"/>
          <w:vAlign w:val="center"/>
        </w:tcPr>
        <w:p w14:paraId="321FFAFF" w14:textId="0E8C2CE7" w:rsidR="006646C6" w:rsidRPr="00025127" w:rsidRDefault="006646C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646C6" w:rsidRPr="00025127" w:rsidRDefault="006646C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646C6" w:rsidRDefault="006646C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A5668E"/>
    <w:multiLevelType w:val="hybridMultilevel"/>
    <w:tmpl w:val="589AA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A3A4C"/>
    <w:multiLevelType w:val="hybridMultilevel"/>
    <w:tmpl w:val="B1360F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6FDE01E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443A66"/>
    <w:multiLevelType w:val="hybridMultilevel"/>
    <w:tmpl w:val="3B22023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634B80"/>
    <w:multiLevelType w:val="hybridMultilevel"/>
    <w:tmpl w:val="586458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AB11B8"/>
    <w:multiLevelType w:val="hybridMultilevel"/>
    <w:tmpl w:val="C0D4FF8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C93FDE"/>
    <w:multiLevelType w:val="hybridMultilevel"/>
    <w:tmpl w:val="B9F212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9021F9"/>
    <w:multiLevelType w:val="hybridMultilevel"/>
    <w:tmpl w:val="0ECAB8A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B37318"/>
    <w:multiLevelType w:val="hybridMultilevel"/>
    <w:tmpl w:val="6818BC5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463AB3"/>
    <w:multiLevelType w:val="hybridMultilevel"/>
    <w:tmpl w:val="5B60E3B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5"/>
  </w:num>
  <w:num w:numId="3">
    <w:abstractNumId w:val="40"/>
  </w:num>
  <w:num w:numId="4">
    <w:abstractNumId w:val="21"/>
  </w:num>
  <w:num w:numId="5">
    <w:abstractNumId w:val="35"/>
  </w:num>
  <w:num w:numId="6">
    <w:abstractNumId w:val="30"/>
  </w:num>
  <w:num w:numId="7">
    <w:abstractNumId w:val="38"/>
  </w:num>
  <w:num w:numId="8">
    <w:abstractNumId w:val="6"/>
  </w:num>
  <w:num w:numId="9">
    <w:abstractNumId w:val="9"/>
  </w:num>
  <w:num w:numId="10">
    <w:abstractNumId w:val="13"/>
  </w:num>
  <w:num w:numId="11">
    <w:abstractNumId w:val="39"/>
  </w:num>
  <w:num w:numId="12">
    <w:abstractNumId w:val="34"/>
  </w:num>
  <w:num w:numId="13">
    <w:abstractNumId w:val="28"/>
  </w:num>
  <w:num w:numId="14">
    <w:abstractNumId w:val="16"/>
  </w:num>
  <w:num w:numId="15">
    <w:abstractNumId w:val="17"/>
  </w:num>
  <w:num w:numId="16">
    <w:abstractNumId w:val="0"/>
  </w:num>
  <w:num w:numId="17">
    <w:abstractNumId w:val="23"/>
  </w:num>
  <w:num w:numId="18">
    <w:abstractNumId w:val="2"/>
  </w:num>
  <w:num w:numId="19">
    <w:abstractNumId w:val="26"/>
  </w:num>
  <w:num w:numId="20">
    <w:abstractNumId w:val="43"/>
  </w:num>
  <w:num w:numId="21">
    <w:abstractNumId w:val="32"/>
  </w:num>
  <w:num w:numId="22">
    <w:abstractNumId w:val="14"/>
  </w:num>
  <w:num w:numId="23">
    <w:abstractNumId w:val="10"/>
  </w:num>
  <w:num w:numId="24">
    <w:abstractNumId w:val="5"/>
  </w:num>
  <w:num w:numId="25">
    <w:abstractNumId w:val="20"/>
  </w:num>
  <w:num w:numId="26">
    <w:abstractNumId w:val="27"/>
  </w:num>
  <w:num w:numId="27">
    <w:abstractNumId w:val="7"/>
  </w:num>
  <w:num w:numId="28">
    <w:abstractNumId w:val="15"/>
  </w:num>
  <w:num w:numId="29">
    <w:abstractNumId w:val="24"/>
  </w:num>
  <w:num w:numId="30">
    <w:abstractNumId w:val="42"/>
  </w:num>
  <w:num w:numId="31">
    <w:abstractNumId w:val="3"/>
  </w:num>
  <w:num w:numId="32">
    <w:abstractNumId w:val="36"/>
  </w:num>
  <w:num w:numId="33">
    <w:abstractNumId w:val="1"/>
  </w:num>
  <w:num w:numId="34">
    <w:abstractNumId w:val="37"/>
  </w:num>
  <w:num w:numId="35">
    <w:abstractNumId w:val="4"/>
  </w:num>
  <w:num w:numId="36">
    <w:abstractNumId w:val="44"/>
  </w:num>
  <w:num w:numId="37">
    <w:abstractNumId w:val="29"/>
  </w:num>
  <w:num w:numId="38">
    <w:abstractNumId w:val="8"/>
  </w:num>
  <w:num w:numId="39">
    <w:abstractNumId w:val="19"/>
  </w:num>
  <w:num w:numId="40">
    <w:abstractNumId w:val="11"/>
  </w:num>
  <w:num w:numId="41">
    <w:abstractNumId w:val="31"/>
  </w:num>
  <w:num w:numId="42">
    <w:abstractNumId w:val="33"/>
  </w:num>
  <w:num w:numId="43">
    <w:abstractNumId w:val="18"/>
  </w:num>
  <w:num w:numId="44">
    <w:abstractNumId w:val="41"/>
  </w:num>
  <w:num w:numId="4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292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395B"/>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2612"/>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48C5"/>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9D3A5-95A4-465C-8E4C-2636C131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8808</Words>
  <Characters>48447</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2019-12-11T01:19:00Z</cp:lastPrinted>
  <dcterms:created xsi:type="dcterms:W3CDTF">2021-12-03T00:36:00Z</dcterms:created>
  <dcterms:modified xsi:type="dcterms:W3CDTF">2021-12-03T00:36:00Z</dcterms:modified>
</cp:coreProperties>
</file>