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F55505" w:rsidRDefault="00DA7E2F" w:rsidP="00F55505">
          <w:pPr>
            <w:pStyle w:val="TtulodeTDC"/>
            <w:spacing w:before="0" w:line="276" w:lineRule="auto"/>
            <w:ind w:right="333"/>
            <w:jc w:val="both"/>
            <w:rPr>
              <w:b/>
              <w:bCs/>
              <w:color w:val="000000" w:themeColor="text1"/>
              <w:szCs w:val="24"/>
            </w:rPr>
          </w:pPr>
        </w:p>
        <w:p w14:paraId="6EE128F0" w14:textId="77777777" w:rsidR="00F55505" w:rsidRPr="00F55505" w:rsidRDefault="00DA7E2F" w:rsidP="009A3A8C">
          <w:pPr>
            <w:pStyle w:val="TDC1"/>
            <w:rPr>
              <w:noProof/>
              <w:sz w:val="22"/>
              <w:szCs w:val="22"/>
              <w:lang w:val="es-MX" w:eastAsia="es-MX"/>
            </w:rPr>
          </w:pPr>
          <w:r w:rsidRPr="00F55505">
            <w:rPr>
              <w:bCs/>
              <w:color w:val="000000" w:themeColor="text1"/>
            </w:rPr>
            <w:fldChar w:fldCharType="begin"/>
          </w:r>
          <w:r w:rsidRPr="00F55505">
            <w:rPr>
              <w:bCs/>
              <w:color w:val="000000" w:themeColor="text1"/>
            </w:rPr>
            <w:instrText xml:space="preserve"> TOC \o "1-3" \h \z \u </w:instrText>
          </w:r>
          <w:r w:rsidRPr="00F55505">
            <w:rPr>
              <w:bCs/>
              <w:color w:val="000000" w:themeColor="text1"/>
            </w:rPr>
            <w:fldChar w:fldCharType="separate"/>
          </w:r>
          <w:hyperlink w:anchor="_Toc83316002" w:history="1">
            <w:r w:rsidR="00F55505" w:rsidRPr="00F55505">
              <w:rPr>
                <w:rStyle w:val="Hipervnculo"/>
                <w:rFonts w:ascii="Palatino Linotype" w:hAnsi="Palatino Linotype"/>
                <w:b/>
                <w:noProof/>
              </w:rPr>
              <w:t>ANTECEDENTES</w:t>
            </w:r>
            <w:r w:rsidR="00F55505" w:rsidRPr="00F55505">
              <w:rPr>
                <w:noProof/>
                <w:webHidden/>
              </w:rPr>
              <w:tab/>
            </w:r>
            <w:r w:rsidR="00F55505" w:rsidRPr="00F55505">
              <w:rPr>
                <w:noProof/>
                <w:webHidden/>
              </w:rPr>
              <w:fldChar w:fldCharType="begin"/>
            </w:r>
            <w:r w:rsidR="00F55505" w:rsidRPr="00F55505">
              <w:rPr>
                <w:noProof/>
                <w:webHidden/>
              </w:rPr>
              <w:instrText xml:space="preserve"> PAGEREF _Toc83316002 \h </w:instrText>
            </w:r>
            <w:r w:rsidR="00F55505" w:rsidRPr="00F55505">
              <w:rPr>
                <w:noProof/>
                <w:webHidden/>
              </w:rPr>
            </w:r>
            <w:r w:rsidR="00F55505" w:rsidRPr="00F55505">
              <w:rPr>
                <w:noProof/>
                <w:webHidden/>
              </w:rPr>
              <w:fldChar w:fldCharType="separate"/>
            </w:r>
            <w:r w:rsidR="007253AA">
              <w:rPr>
                <w:noProof/>
                <w:webHidden/>
              </w:rPr>
              <w:t>2</w:t>
            </w:r>
            <w:r w:rsidR="00F55505" w:rsidRPr="00F55505">
              <w:rPr>
                <w:noProof/>
                <w:webHidden/>
              </w:rPr>
              <w:fldChar w:fldCharType="end"/>
            </w:r>
          </w:hyperlink>
        </w:p>
        <w:p w14:paraId="4EEC6CF5" w14:textId="77777777" w:rsidR="00F55505" w:rsidRPr="00F55505" w:rsidRDefault="00443F31" w:rsidP="009A3A8C">
          <w:pPr>
            <w:pStyle w:val="TDC1"/>
            <w:rPr>
              <w:noProof/>
              <w:sz w:val="22"/>
              <w:szCs w:val="22"/>
              <w:lang w:val="es-MX" w:eastAsia="es-MX"/>
            </w:rPr>
          </w:pPr>
          <w:hyperlink w:anchor="_Toc83316003" w:history="1">
            <w:r w:rsidR="00F55505" w:rsidRPr="00F55505">
              <w:rPr>
                <w:rStyle w:val="Hipervnculo"/>
                <w:rFonts w:ascii="Palatino Linotype" w:hAnsi="Palatino Linotype"/>
                <w:b/>
                <w:noProof/>
              </w:rPr>
              <w:t>CONSIDERANDO</w:t>
            </w:r>
            <w:r w:rsidR="00F55505" w:rsidRPr="00F55505">
              <w:rPr>
                <w:noProof/>
                <w:webHidden/>
              </w:rPr>
              <w:tab/>
            </w:r>
            <w:r w:rsidR="00F55505" w:rsidRPr="00F55505">
              <w:rPr>
                <w:noProof/>
                <w:webHidden/>
              </w:rPr>
              <w:fldChar w:fldCharType="begin"/>
            </w:r>
            <w:r w:rsidR="00F55505" w:rsidRPr="00F55505">
              <w:rPr>
                <w:noProof/>
                <w:webHidden/>
              </w:rPr>
              <w:instrText xml:space="preserve"> PAGEREF _Toc83316003 \h </w:instrText>
            </w:r>
            <w:r w:rsidR="00F55505" w:rsidRPr="00F55505">
              <w:rPr>
                <w:noProof/>
                <w:webHidden/>
              </w:rPr>
            </w:r>
            <w:r w:rsidR="00F55505" w:rsidRPr="00F55505">
              <w:rPr>
                <w:noProof/>
                <w:webHidden/>
              </w:rPr>
              <w:fldChar w:fldCharType="separate"/>
            </w:r>
            <w:r w:rsidR="007253AA">
              <w:rPr>
                <w:noProof/>
                <w:webHidden/>
              </w:rPr>
              <w:t>6</w:t>
            </w:r>
            <w:r w:rsidR="00F55505" w:rsidRPr="00F55505">
              <w:rPr>
                <w:noProof/>
                <w:webHidden/>
              </w:rPr>
              <w:fldChar w:fldCharType="end"/>
            </w:r>
          </w:hyperlink>
        </w:p>
        <w:p w14:paraId="5F1CD0E3" w14:textId="77777777" w:rsidR="00F55505" w:rsidRPr="00F55505" w:rsidRDefault="00443F31" w:rsidP="00F55505">
          <w:pPr>
            <w:pStyle w:val="TDC2"/>
            <w:spacing w:line="276" w:lineRule="auto"/>
            <w:rPr>
              <w:rFonts w:ascii="Palatino Linotype" w:hAnsi="Palatino Linotype"/>
              <w:b/>
              <w:noProof/>
              <w:sz w:val="22"/>
              <w:szCs w:val="22"/>
              <w:lang w:val="es-MX" w:eastAsia="es-MX"/>
            </w:rPr>
          </w:pPr>
          <w:hyperlink w:anchor="_Toc83316004" w:history="1">
            <w:r w:rsidR="00F55505" w:rsidRPr="00F55505">
              <w:rPr>
                <w:rStyle w:val="Hipervnculo"/>
                <w:rFonts w:ascii="Palatino Linotype" w:hAnsi="Palatino Linotype"/>
                <w:b/>
                <w:noProof/>
              </w:rPr>
              <w:t>PRIMERO. De la competencia</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_Toc83316004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6</w:t>
            </w:r>
            <w:r w:rsidR="00F55505" w:rsidRPr="00F55505">
              <w:rPr>
                <w:rFonts w:ascii="Palatino Linotype" w:hAnsi="Palatino Linotype"/>
                <w:b/>
                <w:noProof/>
                <w:webHidden/>
              </w:rPr>
              <w:fldChar w:fldCharType="end"/>
            </w:r>
          </w:hyperlink>
        </w:p>
        <w:p w14:paraId="6F868528" w14:textId="77777777" w:rsidR="00F55505" w:rsidRPr="00F55505" w:rsidRDefault="00443F31" w:rsidP="00F55505">
          <w:pPr>
            <w:pStyle w:val="TDC2"/>
            <w:spacing w:line="276" w:lineRule="auto"/>
            <w:rPr>
              <w:rFonts w:ascii="Palatino Linotype" w:hAnsi="Palatino Linotype"/>
              <w:b/>
              <w:noProof/>
              <w:sz w:val="22"/>
              <w:szCs w:val="22"/>
              <w:lang w:val="es-MX" w:eastAsia="es-MX"/>
            </w:rPr>
          </w:pPr>
          <w:hyperlink w:anchor="_Toc83316005" w:history="1">
            <w:r w:rsidR="00F55505" w:rsidRPr="00F55505">
              <w:rPr>
                <w:rStyle w:val="Hipervnculo"/>
                <w:rFonts w:ascii="Palatino Linotype" w:hAnsi="Palatino Linotype"/>
                <w:b/>
                <w:noProof/>
              </w:rPr>
              <w:t>SEGUNDO. De la oportunidad y procedencia.</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_Toc83316005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7</w:t>
            </w:r>
            <w:r w:rsidR="00F55505" w:rsidRPr="00F55505">
              <w:rPr>
                <w:rFonts w:ascii="Palatino Linotype" w:hAnsi="Palatino Linotype"/>
                <w:b/>
                <w:noProof/>
                <w:webHidden/>
              </w:rPr>
              <w:fldChar w:fldCharType="end"/>
            </w:r>
          </w:hyperlink>
        </w:p>
        <w:p w14:paraId="16AF3091" w14:textId="77777777" w:rsidR="00F55505" w:rsidRPr="00F55505" w:rsidRDefault="00443F31" w:rsidP="00F55505">
          <w:pPr>
            <w:pStyle w:val="TDC2"/>
            <w:spacing w:line="276" w:lineRule="auto"/>
            <w:rPr>
              <w:rFonts w:ascii="Palatino Linotype" w:hAnsi="Palatino Linotype"/>
              <w:b/>
              <w:noProof/>
              <w:sz w:val="22"/>
              <w:szCs w:val="22"/>
              <w:lang w:val="es-MX" w:eastAsia="es-MX"/>
            </w:rPr>
          </w:pPr>
          <w:hyperlink w:anchor="_Toc83316006" w:history="1">
            <w:r w:rsidR="00F55505" w:rsidRPr="00F55505">
              <w:rPr>
                <w:rStyle w:val="Hipervnculo"/>
                <w:rFonts w:ascii="Palatino Linotype" w:hAnsi="Palatino Linotype"/>
                <w:b/>
                <w:noProof/>
              </w:rPr>
              <w:t xml:space="preserve">TERCERO. Del planteamiento de la </w:t>
            </w:r>
            <w:r w:rsidR="00F55505" w:rsidRPr="00F55505">
              <w:rPr>
                <w:rStyle w:val="Hipervnculo"/>
                <w:rFonts w:ascii="Palatino Linotype" w:hAnsi="Palatino Linotype"/>
                <w:b/>
                <w:i/>
                <w:noProof/>
              </w:rPr>
              <w:t>Litis</w:t>
            </w:r>
            <w:r w:rsidR="00F55505" w:rsidRPr="00F55505">
              <w:rPr>
                <w:rStyle w:val="Hipervnculo"/>
                <w:rFonts w:ascii="Palatino Linotype" w:hAnsi="Palatino Linotype"/>
                <w:b/>
                <w:noProof/>
              </w:rPr>
              <w:t>.</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_Toc83316006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10</w:t>
            </w:r>
            <w:r w:rsidR="00F55505" w:rsidRPr="00F55505">
              <w:rPr>
                <w:rFonts w:ascii="Palatino Linotype" w:hAnsi="Palatino Linotype"/>
                <w:b/>
                <w:noProof/>
                <w:webHidden/>
              </w:rPr>
              <w:fldChar w:fldCharType="end"/>
            </w:r>
          </w:hyperlink>
        </w:p>
        <w:p w14:paraId="59E6E6D8" w14:textId="77777777" w:rsidR="00F55505" w:rsidRPr="00F55505" w:rsidRDefault="00443F31" w:rsidP="00F55505">
          <w:pPr>
            <w:pStyle w:val="TDC2"/>
            <w:spacing w:line="276" w:lineRule="auto"/>
            <w:rPr>
              <w:rFonts w:ascii="Palatino Linotype" w:hAnsi="Palatino Linotype"/>
              <w:b/>
              <w:noProof/>
              <w:sz w:val="22"/>
              <w:szCs w:val="22"/>
              <w:lang w:val="es-MX" w:eastAsia="es-MX"/>
            </w:rPr>
          </w:pPr>
          <w:hyperlink w:anchor="_Toc83316007" w:history="1">
            <w:r w:rsidR="00F55505" w:rsidRPr="00F55505">
              <w:rPr>
                <w:rStyle w:val="Hipervnculo"/>
                <w:rFonts w:ascii="Palatino Linotype" w:hAnsi="Palatino Linotype" w:cs="Arial"/>
                <w:b/>
                <w:noProof/>
              </w:rPr>
              <w:t>CUARTO. Estudio y Resolución del asunto.</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_Toc83316007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11</w:t>
            </w:r>
            <w:r w:rsidR="00F55505" w:rsidRPr="00F55505">
              <w:rPr>
                <w:rFonts w:ascii="Palatino Linotype" w:hAnsi="Palatino Linotype"/>
                <w:b/>
                <w:noProof/>
                <w:webHidden/>
              </w:rPr>
              <w:fldChar w:fldCharType="end"/>
            </w:r>
          </w:hyperlink>
        </w:p>
        <w:p w14:paraId="0A32C0D7" w14:textId="77777777" w:rsidR="00F55505" w:rsidRPr="00F55505" w:rsidRDefault="00443F31" w:rsidP="00F55505">
          <w:pPr>
            <w:pStyle w:val="TDC3"/>
            <w:tabs>
              <w:tab w:val="right" w:leader="dot" w:pos="8828"/>
            </w:tabs>
            <w:spacing w:line="276" w:lineRule="auto"/>
            <w:rPr>
              <w:rFonts w:ascii="Palatino Linotype" w:hAnsi="Palatino Linotype"/>
              <w:b/>
              <w:noProof/>
              <w:sz w:val="22"/>
              <w:szCs w:val="22"/>
              <w:lang w:val="es-MX" w:eastAsia="es-MX"/>
            </w:rPr>
          </w:pPr>
          <w:hyperlink w:anchor="_Toc83316008" w:history="1">
            <w:r w:rsidR="00F55505" w:rsidRPr="00F55505">
              <w:rPr>
                <w:rStyle w:val="Hipervnculo"/>
                <w:rFonts w:ascii="Palatino Linotype" w:hAnsi="Palatino Linotype"/>
                <w:b/>
                <w:bCs/>
                <w:noProof/>
              </w:rPr>
              <w:t>I. Del deber de las autoridades de promover, respetar, proteger y garantizar el derecho de acceso a la información pública.</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_Toc83316008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11</w:t>
            </w:r>
            <w:r w:rsidR="00F55505" w:rsidRPr="00F55505">
              <w:rPr>
                <w:rFonts w:ascii="Palatino Linotype" w:hAnsi="Palatino Linotype"/>
                <w:b/>
                <w:noProof/>
                <w:webHidden/>
              </w:rPr>
              <w:fldChar w:fldCharType="end"/>
            </w:r>
          </w:hyperlink>
        </w:p>
        <w:p w14:paraId="581CBFD0" w14:textId="77777777" w:rsidR="00F55505" w:rsidRPr="00F55505" w:rsidRDefault="00443F31" w:rsidP="00F55505">
          <w:pPr>
            <w:pStyle w:val="TDC3"/>
            <w:tabs>
              <w:tab w:val="right" w:leader="dot" w:pos="8828"/>
            </w:tabs>
            <w:spacing w:line="276" w:lineRule="auto"/>
            <w:rPr>
              <w:rFonts w:ascii="Palatino Linotype" w:hAnsi="Palatino Linotype"/>
              <w:b/>
              <w:noProof/>
              <w:sz w:val="22"/>
              <w:szCs w:val="22"/>
              <w:lang w:val="es-MX" w:eastAsia="es-MX"/>
            </w:rPr>
          </w:pPr>
          <w:hyperlink w:anchor="_Toc83316009" w:history="1">
            <w:r w:rsidR="00F55505" w:rsidRPr="00F55505">
              <w:rPr>
                <w:rStyle w:val="Hipervnculo"/>
                <w:rFonts w:ascii="Palatino Linotype" w:hAnsi="Palatino Linotype"/>
                <w:b/>
                <w:bCs/>
                <w:noProof/>
              </w:rPr>
              <w:t>II. De la respuesta a la solicitud de información.</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_Toc83316009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13</w:t>
            </w:r>
            <w:r w:rsidR="00F55505" w:rsidRPr="00F55505">
              <w:rPr>
                <w:rFonts w:ascii="Palatino Linotype" w:hAnsi="Palatino Linotype"/>
                <w:b/>
                <w:noProof/>
                <w:webHidden/>
              </w:rPr>
              <w:fldChar w:fldCharType="end"/>
            </w:r>
          </w:hyperlink>
        </w:p>
        <w:p w14:paraId="61F761E2" w14:textId="77777777" w:rsidR="00F55505" w:rsidRPr="00F55505" w:rsidRDefault="00443F31" w:rsidP="00F55505">
          <w:pPr>
            <w:pStyle w:val="TDC3"/>
            <w:tabs>
              <w:tab w:val="right" w:leader="dot" w:pos="8828"/>
            </w:tabs>
            <w:spacing w:line="276" w:lineRule="auto"/>
            <w:rPr>
              <w:rFonts w:ascii="Palatino Linotype" w:hAnsi="Palatino Linotype"/>
              <w:b/>
              <w:noProof/>
              <w:sz w:val="22"/>
              <w:szCs w:val="22"/>
              <w:lang w:val="es-MX" w:eastAsia="es-MX"/>
            </w:rPr>
          </w:pPr>
          <w:hyperlink w:anchor="_Toc83316010" w:history="1">
            <w:r w:rsidR="00F55505" w:rsidRPr="00F55505">
              <w:rPr>
                <w:rStyle w:val="Hipervnculo"/>
                <w:rFonts w:ascii="Palatino Linotype" w:hAnsi="Palatino Linotype"/>
                <w:b/>
                <w:bCs/>
                <w:noProof/>
              </w:rPr>
              <w:t>III. De la Comisión de Conciliación y Arbitraje Médico.</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_Toc83316010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21</w:t>
            </w:r>
            <w:r w:rsidR="00F55505" w:rsidRPr="00F55505">
              <w:rPr>
                <w:rFonts w:ascii="Palatino Linotype" w:hAnsi="Palatino Linotype"/>
                <w:b/>
                <w:noProof/>
                <w:webHidden/>
              </w:rPr>
              <w:fldChar w:fldCharType="end"/>
            </w:r>
          </w:hyperlink>
        </w:p>
        <w:p w14:paraId="6A72F457" w14:textId="77777777" w:rsidR="00F55505" w:rsidRPr="00F55505" w:rsidRDefault="00443F31" w:rsidP="00F55505">
          <w:pPr>
            <w:pStyle w:val="TDC3"/>
            <w:tabs>
              <w:tab w:val="right" w:leader="dot" w:pos="8828"/>
            </w:tabs>
            <w:spacing w:line="276" w:lineRule="auto"/>
            <w:rPr>
              <w:rFonts w:ascii="Palatino Linotype" w:hAnsi="Palatino Linotype"/>
              <w:b/>
              <w:noProof/>
              <w:sz w:val="22"/>
              <w:szCs w:val="22"/>
              <w:lang w:val="es-MX" w:eastAsia="es-MX"/>
            </w:rPr>
          </w:pPr>
          <w:hyperlink w:anchor="_Toc83316011" w:history="1">
            <w:r w:rsidR="00F55505" w:rsidRPr="00F55505">
              <w:rPr>
                <w:rStyle w:val="Hipervnculo"/>
                <w:rFonts w:ascii="Palatino Linotype" w:hAnsi="Palatino Linotype"/>
                <w:b/>
                <w:noProof/>
              </w:rPr>
              <w:t>IV. Del cambio de la modalidad de entrega de la información.</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_Toc83316011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26</w:t>
            </w:r>
            <w:r w:rsidR="00F55505" w:rsidRPr="00F55505">
              <w:rPr>
                <w:rFonts w:ascii="Palatino Linotype" w:hAnsi="Palatino Linotype"/>
                <w:b/>
                <w:noProof/>
                <w:webHidden/>
              </w:rPr>
              <w:fldChar w:fldCharType="end"/>
            </w:r>
          </w:hyperlink>
        </w:p>
        <w:p w14:paraId="57149442" w14:textId="77777777" w:rsidR="00F55505" w:rsidRPr="00F55505" w:rsidRDefault="00443F31" w:rsidP="00F55505">
          <w:pPr>
            <w:pStyle w:val="TDC2"/>
            <w:spacing w:line="276" w:lineRule="auto"/>
            <w:rPr>
              <w:rFonts w:ascii="Palatino Linotype" w:hAnsi="Palatino Linotype"/>
              <w:b/>
              <w:noProof/>
              <w:sz w:val="22"/>
              <w:szCs w:val="22"/>
              <w:lang w:val="es-MX" w:eastAsia="es-MX"/>
            </w:rPr>
          </w:pPr>
          <w:hyperlink w:anchor="_Toc83316012" w:history="1">
            <w:r w:rsidR="00F55505" w:rsidRPr="00F55505">
              <w:rPr>
                <w:rStyle w:val="Hipervnculo"/>
                <w:rFonts w:ascii="Palatino Linotype" w:hAnsi="Palatino Linotype"/>
                <w:b/>
                <w:noProof/>
              </w:rPr>
              <w:t>QUINTO. De la versión pública.</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_Toc83316012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30</w:t>
            </w:r>
            <w:r w:rsidR="00F55505" w:rsidRPr="00F55505">
              <w:rPr>
                <w:rFonts w:ascii="Palatino Linotype" w:hAnsi="Palatino Linotype"/>
                <w:b/>
                <w:noProof/>
                <w:webHidden/>
              </w:rPr>
              <w:fldChar w:fldCharType="end"/>
            </w:r>
          </w:hyperlink>
        </w:p>
        <w:p w14:paraId="4B887BF9" w14:textId="77777777" w:rsidR="00F55505" w:rsidRPr="00F55505" w:rsidRDefault="00443F31" w:rsidP="00F55505">
          <w:pPr>
            <w:pStyle w:val="TDC3"/>
            <w:tabs>
              <w:tab w:val="right" w:leader="dot" w:pos="8828"/>
            </w:tabs>
            <w:spacing w:line="276" w:lineRule="auto"/>
            <w:rPr>
              <w:rFonts w:ascii="Palatino Linotype" w:hAnsi="Palatino Linotype"/>
              <w:b/>
              <w:noProof/>
              <w:sz w:val="22"/>
              <w:szCs w:val="22"/>
              <w:lang w:val="es-MX" w:eastAsia="es-MX"/>
            </w:rPr>
          </w:pPr>
          <w:hyperlink w:anchor="_Toc83316013" w:history="1">
            <w:r w:rsidR="00F55505" w:rsidRPr="00F55505">
              <w:rPr>
                <w:rStyle w:val="Hipervnculo"/>
                <w:rFonts w:ascii="Palatino Linotype" w:hAnsi="Palatino Linotype"/>
                <w:b/>
                <w:noProof/>
              </w:rPr>
              <w:t>I. Requisitos previos.</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_Toc83316013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31</w:t>
            </w:r>
            <w:r w:rsidR="00F55505" w:rsidRPr="00F55505">
              <w:rPr>
                <w:rFonts w:ascii="Palatino Linotype" w:hAnsi="Palatino Linotype"/>
                <w:b/>
                <w:noProof/>
                <w:webHidden/>
              </w:rPr>
              <w:fldChar w:fldCharType="end"/>
            </w:r>
          </w:hyperlink>
        </w:p>
        <w:p w14:paraId="4E08CAAF" w14:textId="77777777" w:rsidR="00F55505" w:rsidRPr="00F55505" w:rsidRDefault="00443F31" w:rsidP="00F55505">
          <w:pPr>
            <w:pStyle w:val="TDC3"/>
            <w:tabs>
              <w:tab w:val="right" w:leader="dot" w:pos="8828"/>
            </w:tabs>
            <w:spacing w:line="276" w:lineRule="auto"/>
            <w:rPr>
              <w:rFonts w:ascii="Palatino Linotype" w:hAnsi="Palatino Linotype"/>
              <w:b/>
              <w:noProof/>
              <w:sz w:val="22"/>
              <w:szCs w:val="22"/>
              <w:lang w:val="es-MX" w:eastAsia="es-MX"/>
            </w:rPr>
          </w:pPr>
          <w:hyperlink w:anchor="_Toc83316014" w:history="1">
            <w:r w:rsidR="00F55505" w:rsidRPr="00F55505">
              <w:rPr>
                <w:rStyle w:val="Hipervnculo"/>
                <w:rFonts w:ascii="Palatino Linotype" w:hAnsi="Palatino Linotype"/>
                <w:b/>
                <w:noProof/>
              </w:rPr>
              <w:t>II. Supuestos de clasificación.</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_Toc83316014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32</w:t>
            </w:r>
            <w:r w:rsidR="00F55505" w:rsidRPr="00F55505">
              <w:rPr>
                <w:rFonts w:ascii="Palatino Linotype" w:hAnsi="Palatino Linotype"/>
                <w:b/>
                <w:noProof/>
                <w:webHidden/>
              </w:rPr>
              <w:fldChar w:fldCharType="end"/>
            </w:r>
          </w:hyperlink>
        </w:p>
        <w:p w14:paraId="42548380" w14:textId="77777777" w:rsidR="00F55505" w:rsidRPr="00F55505" w:rsidRDefault="00443F31" w:rsidP="00F55505">
          <w:pPr>
            <w:pStyle w:val="TDC3"/>
            <w:tabs>
              <w:tab w:val="right" w:leader="dot" w:pos="8828"/>
            </w:tabs>
            <w:spacing w:line="276" w:lineRule="auto"/>
            <w:rPr>
              <w:rFonts w:ascii="Palatino Linotype" w:hAnsi="Palatino Linotype"/>
              <w:b/>
              <w:noProof/>
              <w:sz w:val="22"/>
              <w:szCs w:val="22"/>
              <w:lang w:val="es-MX" w:eastAsia="es-MX"/>
            </w:rPr>
          </w:pPr>
          <w:hyperlink w:anchor="_Toc83316015" w:history="1">
            <w:r w:rsidR="00F55505" w:rsidRPr="00F55505">
              <w:rPr>
                <w:rStyle w:val="Hipervnculo"/>
                <w:rFonts w:ascii="Palatino Linotype" w:hAnsi="Palatino Linotype"/>
                <w:b/>
                <w:noProof/>
              </w:rPr>
              <w:t>III. La intervención del Comité de Transparencia.</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_Toc83316015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35</w:t>
            </w:r>
            <w:r w:rsidR="00F55505" w:rsidRPr="00F55505">
              <w:rPr>
                <w:rFonts w:ascii="Palatino Linotype" w:hAnsi="Palatino Linotype"/>
                <w:b/>
                <w:noProof/>
                <w:webHidden/>
              </w:rPr>
              <w:fldChar w:fldCharType="end"/>
            </w:r>
          </w:hyperlink>
        </w:p>
        <w:p w14:paraId="3F459CDE" w14:textId="77777777" w:rsidR="00F55505" w:rsidRPr="00F55505" w:rsidRDefault="00443F31" w:rsidP="00F55505">
          <w:pPr>
            <w:pStyle w:val="TDC2"/>
            <w:spacing w:line="276" w:lineRule="auto"/>
            <w:rPr>
              <w:rFonts w:ascii="Palatino Linotype" w:hAnsi="Palatino Linotype"/>
              <w:b/>
              <w:noProof/>
              <w:sz w:val="22"/>
              <w:szCs w:val="22"/>
              <w:lang w:val="es-MX" w:eastAsia="es-MX"/>
            </w:rPr>
          </w:pPr>
          <w:hyperlink w:anchor="_Toc83316016" w:history="1">
            <w:r w:rsidR="00F55505" w:rsidRPr="00F55505">
              <w:rPr>
                <w:rStyle w:val="Hipervnculo"/>
                <w:rFonts w:ascii="Palatino Linotype" w:hAnsi="Palatino Linotype"/>
                <w:b/>
                <w:bCs/>
                <w:noProof/>
              </w:rPr>
              <w:t>SEXTO. Decisión</w:t>
            </w:r>
            <w:r w:rsidR="00F55505" w:rsidRPr="00F55505">
              <w:rPr>
                <w:rFonts w:ascii="Palatino Linotype" w:hAnsi="Palatino Linotype"/>
                <w:b/>
                <w:noProof/>
                <w:webHidden/>
              </w:rPr>
              <w:tab/>
            </w:r>
            <w:r w:rsidR="00F55505" w:rsidRPr="00F55505">
              <w:rPr>
                <w:rFonts w:ascii="Palatino Linotype" w:hAnsi="Palatino Linotype"/>
                <w:b/>
                <w:noProof/>
                <w:webHidden/>
              </w:rPr>
              <w:fldChar w:fldCharType="begin"/>
            </w:r>
            <w:r w:rsidR="00F55505" w:rsidRPr="00F55505">
              <w:rPr>
                <w:rFonts w:ascii="Palatino Linotype" w:hAnsi="Palatino Linotype"/>
                <w:b/>
                <w:noProof/>
                <w:webHidden/>
              </w:rPr>
              <w:instrText xml:space="preserve"> PAGEREF _Toc83316016 \h </w:instrText>
            </w:r>
            <w:r w:rsidR="00F55505" w:rsidRPr="00F55505">
              <w:rPr>
                <w:rFonts w:ascii="Palatino Linotype" w:hAnsi="Palatino Linotype"/>
                <w:b/>
                <w:noProof/>
                <w:webHidden/>
              </w:rPr>
            </w:r>
            <w:r w:rsidR="00F55505" w:rsidRPr="00F55505">
              <w:rPr>
                <w:rFonts w:ascii="Palatino Linotype" w:hAnsi="Palatino Linotype"/>
                <w:b/>
                <w:noProof/>
                <w:webHidden/>
              </w:rPr>
              <w:fldChar w:fldCharType="separate"/>
            </w:r>
            <w:r w:rsidR="007253AA">
              <w:rPr>
                <w:rFonts w:ascii="Palatino Linotype" w:hAnsi="Palatino Linotype"/>
                <w:b/>
                <w:noProof/>
                <w:webHidden/>
              </w:rPr>
              <w:t>39</w:t>
            </w:r>
            <w:r w:rsidR="00F55505" w:rsidRPr="00F55505">
              <w:rPr>
                <w:rFonts w:ascii="Palatino Linotype" w:hAnsi="Palatino Linotype"/>
                <w:b/>
                <w:noProof/>
                <w:webHidden/>
              </w:rPr>
              <w:fldChar w:fldCharType="end"/>
            </w:r>
          </w:hyperlink>
        </w:p>
        <w:p w14:paraId="6C9FC28B" w14:textId="77777777" w:rsidR="00F55505" w:rsidRPr="00F55505" w:rsidRDefault="00443F31" w:rsidP="009A3A8C">
          <w:pPr>
            <w:pStyle w:val="TDC1"/>
            <w:rPr>
              <w:noProof/>
              <w:sz w:val="22"/>
              <w:szCs w:val="22"/>
              <w:lang w:val="es-MX" w:eastAsia="es-MX"/>
            </w:rPr>
          </w:pPr>
          <w:hyperlink w:anchor="_Toc83316017" w:history="1">
            <w:r w:rsidR="00F55505" w:rsidRPr="00F55505">
              <w:rPr>
                <w:rStyle w:val="Hipervnculo"/>
                <w:rFonts w:ascii="Palatino Linotype" w:hAnsi="Palatino Linotype"/>
                <w:b/>
                <w:noProof/>
              </w:rPr>
              <w:t>R E S O L U T I V O S</w:t>
            </w:r>
            <w:r w:rsidR="00F55505" w:rsidRPr="00F55505">
              <w:rPr>
                <w:noProof/>
                <w:webHidden/>
              </w:rPr>
              <w:tab/>
            </w:r>
            <w:r w:rsidR="00F55505" w:rsidRPr="00F55505">
              <w:rPr>
                <w:noProof/>
                <w:webHidden/>
              </w:rPr>
              <w:fldChar w:fldCharType="begin"/>
            </w:r>
            <w:r w:rsidR="00F55505" w:rsidRPr="00F55505">
              <w:rPr>
                <w:noProof/>
                <w:webHidden/>
              </w:rPr>
              <w:instrText xml:space="preserve"> PAGEREF _Toc83316017 \h </w:instrText>
            </w:r>
            <w:r w:rsidR="00F55505" w:rsidRPr="00F55505">
              <w:rPr>
                <w:noProof/>
                <w:webHidden/>
              </w:rPr>
            </w:r>
            <w:r w:rsidR="00F55505" w:rsidRPr="00F55505">
              <w:rPr>
                <w:noProof/>
                <w:webHidden/>
              </w:rPr>
              <w:fldChar w:fldCharType="separate"/>
            </w:r>
            <w:r w:rsidR="007253AA">
              <w:rPr>
                <w:noProof/>
                <w:webHidden/>
              </w:rPr>
              <w:t>41</w:t>
            </w:r>
            <w:r w:rsidR="00F55505" w:rsidRPr="00F55505">
              <w:rPr>
                <w:noProof/>
                <w:webHidden/>
              </w:rPr>
              <w:fldChar w:fldCharType="end"/>
            </w:r>
          </w:hyperlink>
        </w:p>
        <w:p w14:paraId="07A9A973" w14:textId="74C65F17" w:rsidR="00DA7E2F" w:rsidRPr="00F55505" w:rsidRDefault="00DA7E2F" w:rsidP="00F55505">
          <w:pPr>
            <w:tabs>
              <w:tab w:val="left" w:pos="2350"/>
            </w:tabs>
            <w:spacing w:line="276" w:lineRule="auto"/>
            <w:ind w:right="333"/>
            <w:jc w:val="both"/>
            <w:rPr>
              <w:rFonts w:ascii="Palatino Linotype" w:hAnsi="Palatino Linotype"/>
              <w:b/>
              <w:bCs/>
              <w:color w:val="000000" w:themeColor="text1"/>
            </w:rPr>
          </w:pPr>
          <w:r w:rsidRPr="00F55505">
            <w:rPr>
              <w:rFonts w:ascii="Palatino Linotype" w:hAnsi="Palatino Linotype"/>
              <w:b/>
              <w:bCs/>
              <w:color w:val="000000" w:themeColor="text1"/>
              <w:lang w:val="es-ES"/>
            </w:rPr>
            <w:fldChar w:fldCharType="end"/>
          </w:r>
        </w:p>
      </w:sdtContent>
    </w:sdt>
    <w:p w14:paraId="2E5B8ECF" w14:textId="77777777" w:rsidR="0018484F" w:rsidRDefault="0018484F">
      <w:pPr>
        <w:rPr>
          <w:rFonts w:ascii="Palatino Linotype" w:hAnsi="Palatino Linotype"/>
          <w:color w:val="000000" w:themeColor="text1"/>
        </w:rPr>
      </w:pPr>
      <w:r>
        <w:rPr>
          <w:rFonts w:ascii="Palatino Linotype" w:hAnsi="Palatino Linotype"/>
          <w:color w:val="000000" w:themeColor="text1"/>
        </w:rPr>
        <w:br w:type="page"/>
      </w:r>
    </w:p>
    <w:p w14:paraId="73F7F940" w14:textId="40014F48"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D4A82">
        <w:rPr>
          <w:rFonts w:ascii="Palatino Linotype" w:hAnsi="Palatino Linotype"/>
          <w:color w:val="000000" w:themeColor="text1"/>
          <w:lang w:val="es-MX"/>
        </w:rPr>
        <w:t>veintinueve (29</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34EBBEAF"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E936B9">
        <w:rPr>
          <w:rFonts w:ascii="Palatino Linotype" w:hAnsi="Palatino Linotype"/>
          <w:b/>
          <w:bCs/>
          <w:color w:val="000000" w:themeColor="text1"/>
        </w:rPr>
        <w:t>03843/INFOEM/IP/RR/2021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CD4A82">
        <w:rPr>
          <w:rFonts w:ascii="Palatino Linotype" w:eastAsia="Times New Roman" w:hAnsi="Palatino Linotype" w:cs="Times New Roman"/>
          <w:color w:val="000000" w:themeColor="text1"/>
          <w:lang w:val="es-MX"/>
        </w:rPr>
        <w:t>un usuario del Sistema de Acceso a la Información Mexiquense (SAIMEX) quien no señaló su nombre, seudónimo o carácter para ser identificado</w:t>
      </w:r>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w:t>
      </w:r>
      <w:r w:rsidR="00CD4A82">
        <w:rPr>
          <w:rFonts w:ascii="Palatino Linotype" w:eastAsia="Times New Roman" w:hAnsi="Palatino Linotype" w:cs="Times New Roman"/>
          <w:color w:val="000000" w:themeColor="text1"/>
          <w:lang w:val="es-MX"/>
        </w:rPr>
        <w:t>por lo que en lo sucesivo será reconocido como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CD4A82">
        <w:rPr>
          <w:rFonts w:ascii="Palatino Linotype" w:eastAsia="Times New Roman" w:hAnsi="Palatino Linotype" w:cs="Arial"/>
          <w:b/>
          <w:color w:val="000000" w:themeColor="text1"/>
        </w:rPr>
        <w:t>Comisión de Conciliación y Arbitraje Médico del Estado de México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3316002"/>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805601B"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E936B9">
        <w:rPr>
          <w:rFonts w:ascii="Palatino Linotype" w:eastAsia="Calibri" w:hAnsi="Palatino Linotype" w:cs="Arial"/>
          <w:color w:val="000000" w:themeColor="text1"/>
          <w:lang w:val="es-ES"/>
        </w:rPr>
        <w:t>ocho (08</w:t>
      </w:r>
      <w:r w:rsidR="0023280C">
        <w:rPr>
          <w:rFonts w:ascii="Palatino Linotype" w:eastAsia="Calibri" w:hAnsi="Palatino Linotype" w:cs="Arial"/>
          <w:color w:val="000000" w:themeColor="text1"/>
          <w:lang w:val="es-ES"/>
        </w:rPr>
        <w:t>)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E936B9">
        <w:rPr>
          <w:rFonts w:ascii="Palatino Linotype" w:hAnsi="Palatino Linotype"/>
          <w:color w:val="000000" w:themeColor="text1"/>
        </w:rPr>
        <w:t>se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23280C">
        <w:rPr>
          <w:rFonts w:ascii="Palatino Linotype" w:eastAsia="Calibri" w:hAnsi="Palatino Linotype" w:cs="Arial"/>
          <w:color w:val="000000" w:themeColor="text1"/>
          <w:lang w:val="es-ES"/>
        </w:rPr>
        <w:t>SAIMEX</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E936B9">
        <w:rPr>
          <w:rFonts w:ascii="Palatino Linotype" w:hAnsi="Palatino Linotype"/>
          <w:b/>
          <w:bCs/>
          <w:color w:val="000000" w:themeColor="text1"/>
        </w:rPr>
        <w:t>00125/CAMEM/IP/2021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w:t>
      </w:r>
      <w:r w:rsidR="00E936B9">
        <w:rPr>
          <w:rFonts w:ascii="Palatino Linotype" w:eastAsia="Calibri" w:hAnsi="Palatino Linotype" w:cs="Arial"/>
          <w:color w:val="000000" w:themeColor="text1"/>
          <w:lang w:val="es-ES"/>
        </w:rPr>
        <w:t xml:space="preserve">se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C988F0A"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E936B9" w:rsidRPr="00E936B9">
        <w:rPr>
          <w:rFonts w:ascii="Palatino Linotype" w:hAnsi="Palatino Linotype"/>
          <w:i/>
          <w:iCs/>
          <w:color w:val="000000" w:themeColor="text1"/>
          <w:sz w:val="22"/>
          <w:szCs w:val="22"/>
        </w:rPr>
        <w:t>Quiero que me envíen copia de todas las pólizas de seguro de los vehículos adscritos a la CCAMEM. Quiero que me envíen completo el proceso de licitación para adjudicar los seguros para la flotilla vehicular de la CCAMEM. Quiero copia de la póliza de egresos del pago de los seguros de la flotilla vehicular del CCAMEM. QUIERO QUE ME ENVÍEN COPIA DE CADA PÓLIZA DE SEGURO DE LA FLOTILLA VEHICULAR DE LA CCAMEM GRACIAS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AE374B7"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23280C">
        <w:rPr>
          <w:rFonts w:ascii="Palatino Linotype" w:eastAsia="MS Mincho" w:hAnsi="Palatino Linotype" w:cs="Times New Roman"/>
          <w:color w:val="000000" w:themeColor="text1"/>
        </w:rPr>
        <w:t>veintiocho (28) de junio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5E47812" w14:textId="77777777" w:rsidR="00E936B9" w:rsidRPr="00E936B9" w:rsidRDefault="005F1362" w:rsidP="00E936B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E936B9" w:rsidRPr="00E936B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FDBB02" w14:textId="77777777" w:rsidR="00E936B9" w:rsidRDefault="00E936B9" w:rsidP="00E936B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8DF0175" w14:textId="77777777" w:rsidR="00E936B9" w:rsidRPr="00E936B9" w:rsidRDefault="00E936B9" w:rsidP="00E936B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936B9">
        <w:rPr>
          <w:rFonts w:ascii="Palatino Linotype" w:hAnsi="Palatino Linotype"/>
          <w:i/>
          <w:noProof/>
          <w:color w:val="000000" w:themeColor="text1"/>
          <w:sz w:val="22"/>
          <w:szCs w:val="22"/>
          <w:lang w:val="es-MX" w:eastAsia="es-MX"/>
        </w:rPr>
        <w:t xml:space="preserve">En atención a la Solicitud de Información con folio 00125/CAMEM/IP/2021, mediante la cual se requiere a la letra “Quiero que me envíen copia de todas las pólizas de seguros de los vehículos adscritos a la CCAMEM. Quiero que me envíen completo el proceso de licitación para adjudicar los seguros para la flotilla vehicular de la CCAMEM. Quiero copia de la póliza de egresos del pago de los seguros de la flotilla vehicular del CCAMEM. QUIERO QUE ME ENVÍEN COPIA DE CADA PÓLIZA DE SEGURO DE LA FLOTILLA VEHICULAR DE LA CCAMEM GRACIAS.”, me permito hacer entrega y conocimiento de la siguiente documentación: 1.- En cuanto a la copia de todas las pólizas de seguros y de la póliza de egresos del pago de los seguros de la flotilla vehicular del CCAMEM: al respecto se informa que, derivado del volumen de la información pedida,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2.- En relación al proceso de licitación para adjudicar los seguros para la flotilla vehicular de la CCAMEM, me permito informarle que dicho procedimiento adquisitivo se llevó a cabo por parte del Gobierno del Estado de México a través de la Dirección General de Recursos Materiales, mediante la Licitación Pública Nacional Presencial, por tal motivo dicha documentación se encuentra resguardada por dicha Dependencia. Lo anterior, con fundamento en los Artículos 12 y 24 en ambos últimos párrafos, de la Ley de Transparencia y Acceso a la Información Pública del </w:t>
      </w:r>
      <w:r w:rsidRPr="00E936B9">
        <w:rPr>
          <w:rFonts w:ascii="Palatino Linotype" w:hAnsi="Palatino Linotype"/>
          <w:i/>
          <w:noProof/>
          <w:color w:val="000000" w:themeColor="text1"/>
          <w:sz w:val="22"/>
          <w:szCs w:val="22"/>
          <w:lang w:val="es-MX" w:eastAsia="es-MX"/>
        </w:rPr>
        <w:lastRenderedPageBreak/>
        <w:t>Estado de México y Municipios, y que a la letra dicen: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14:paraId="59FBFEF0" w14:textId="77777777" w:rsidR="00E936B9" w:rsidRDefault="00E936B9" w:rsidP="00E936B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E47EB2E" w14:textId="77777777" w:rsidR="00E936B9" w:rsidRPr="00E936B9" w:rsidRDefault="00E936B9" w:rsidP="00E936B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936B9">
        <w:rPr>
          <w:rFonts w:ascii="Palatino Linotype" w:hAnsi="Palatino Linotype"/>
          <w:i/>
          <w:noProof/>
          <w:color w:val="000000" w:themeColor="text1"/>
          <w:sz w:val="22"/>
          <w:szCs w:val="22"/>
          <w:lang w:val="es-MX" w:eastAsia="es-MX"/>
        </w:rPr>
        <w:t>ATENTAMENTE</w:t>
      </w:r>
    </w:p>
    <w:p w14:paraId="35A36DE0" w14:textId="4815F8FC" w:rsidR="0039142B" w:rsidRPr="009A593A" w:rsidRDefault="00E936B9" w:rsidP="00E936B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936B9">
        <w:rPr>
          <w:rFonts w:ascii="Palatino Linotype" w:hAnsi="Palatino Linotype"/>
          <w:i/>
          <w:noProof/>
          <w:color w:val="000000" w:themeColor="text1"/>
          <w:sz w:val="22"/>
          <w:szCs w:val="22"/>
          <w:lang w:val="es-MX" w:eastAsia="es-MX"/>
        </w:rPr>
        <w:t>LCA EDUARDO GONZAGA PALMA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5F6DB2AE" w:rsidR="0097210F" w:rsidRDefault="0097210F" w:rsidP="009A593A">
      <w:pPr>
        <w:pStyle w:val="Sinespaciado"/>
        <w:ind w:right="567"/>
        <w:jc w:val="both"/>
        <w:rPr>
          <w:rFonts w:ascii="Palatino Linotype" w:hAnsi="Palatino Linotype"/>
          <w:noProof/>
          <w:color w:val="000000" w:themeColor="text1"/>
          <w:lang w:val="es-MX" w:eastAsia="es-MX"/>
        </w:rPr>
      </w:pPr>
    </w:p>
    <w:p w14:paraId="0E6CAA63" w14:textId="77777777" w:rsidR="00E13B5F" w:rsidRPr="00A85CB7" w:rsidRDefault="00E13B5F" w:rsidP="009A593A">
      <w:pPr>
        <w:pStyle w:val="Sinespaciado"/>
        <w:ind w:right="567"/>
        <w:jc w:val="both"/>
        <w:rPr>
          <w:rFonts w:ascii="Palatino Linotype" w:hAnsi="Palatino Linotype"/>
          <w:noProof/>
          <w:color w:val="000000" w:themeColor="text1"/>
          <w:lang w:val="es-MX" w:eastAsia="es-MX"/>
        </w:rPr>
      </w:pPr>
    </w:p>
    <w:p w14:paraId="272B63B3" w14:textId="1E9E9345"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23280C">
        <w:rPr>
          <w:rFonts w:ascii="Palatino Linotype" w:eastAsia="Times New Roman" w:hAnsi="Palatino Linotype" w:cs="Arial"/>
          <w:color w:val="000000" w:themeColor="text1"/>
          <w:lang w:val="es-ES"/>
        </w:rPr>
        <w:t>dos (02)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E936B9">
        <w:rPr>
          <w:rFonts w:ascii="Palatino Linotype" w:eastAsia="Calibri" w:hAnsi="Palatino Linotype" w:cs="Arial"/>
          <w:b/>
          <w:color w:val="000000" w:themeColor="text1"/>
          <w:lang w:val="es-ES"/>
        </w:rPr>
        <w:t>03843/INFOEM/IP/RR/2021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B75EB2C" w:rsidR="00E34622" w:rsidRPr="00A85CB7" w:rsidRDefault="00E34622" w:rsidP="007441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E936B9" w:rsidRPr="00E936B9">
        <w:rPr>
          <w:rFonts w:ascii="Palatino Linotype" w:hAnsi="Palatino Linotype"/>
          <w:i/>
          <w:iCs/>
          <w:color w:val="000000"/>
        </w:rPr>
        <w:t>No entrega las pólizas, dizque que por el "volumen de información", si no tienen una flotilla de más de 10 autos.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7323D74" w:rsidR="00E34622" w:rsidRPr="00A85CB7" w:rsidRDefault="00E34622" w:rsidP="007441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E936B9" w:rsidRPr="00E936B9">
        <w:rPr>
          <w:rFonts w:ascii="Palatino Linotype" w:hAnsi="Palatino Linotype"/>
          <w:i/>
          <w:iCs/>
          <w:color w:val="000000"/>
        </w:rPr>
        <w:t>No entrega las pólizas, dizque que por el "volumen de información", si no tienen una flotilla de más de 10 autos.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7D50B8CC"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lastRenderedPageBreak/>
        <w:t xml:space="preserve">se turnó </w:t>
      </w:r>
      <w:r w:rsidR="00744109">
        <w:rPr>
          <w:rFonts w:ascii="Palatino Linotype" w:eastAsia="Times New Roman" w:hAnsi="Palatino Linotype" w:cs="Arial"/>
          <w:bCs/>
          <w:color w:val="000000" w:themeColor="text1"/>
          <w:lang w:val="es-ES"/>
        </w:rPr>
        <w:t>a</w:t>
      </w:r>
      <w:r w:rsidR="0023280C">
        <w:rPr>
          <w:rFonts w:ascii="Palatino Linotype" w:eastAsia="Times New Roman" w:hAnsi="Palatino Linotype" w:cs="Arial"/>
          <w:bCs/>
          <w:color w:val="000000" w:themeColor="text1"/>
          <w:lang w:val="es-ES"/>
        </w:rPr>
        <w:t xml:space="preserve"> </w:t>
      </w:r>
      <w:r w:rsidR="00744109">
        <w:rPr>
          <w:rFonts w:ascii="Palatino Linotype" w:eastAsia="Times New Roman" w:hAnsi="Palatino Linotype" w:cs="Arial"/>
          <w:bCs/>
          <w:color w:val="000000" w:themeColor="text1"/>
          <w:lang w:val="es-ES"/>
        </w:rPr>
        <w:t>l</w:t>
      </w:r>
      <w:r w:rsidR="0023280C">
        <w:rPr>
          <w:rFonts w:ascii="Palatino Linotype" w:eastAsia="Times New Roman" w:hAnsi="Palatino Linotype" w:cs="Arial"/>
          <w:bCs/>
          <w:color w:val="000000" w:themeColor="text1"/>
          <w:lang w:val="es-ES"/>
        </w:rPr>
        <w:t>a entonces</w:t>
      </w:r>
      <w:r w:rsidR="00744109">
        <w:rPr>
          <w:rFonts w:ascii="Palatino Linotype" w:eastAsia="Times New Roman" w:hAnsi="Palatino Linotype" w:cs="Arial"/>
          <w:bCs/>
          <w:color w:val="000000" w:themeColor="text1"/>
          <w:lang w:val="es-ES"/>
        </w:rPr>
        <w:t xml:space="preserve"> Comisionad</w:t>
      </w:r>
      <w:r w:rsidR="0023280C">
        <w:rPr>
          <w:rFonts w:ascii="Palatino Linotype" w:eastAsia="Times New Roman" w:hAnsi="Palatino Linotype" w:cs="Arial"/>
          <w:bCs/>
          <w:color w:val="000000" w:themeColor="text1"/>
          <w:lang w:val="es-ES"/>
        </w:rPr>
        <w:t>a</w:t>
      </w:r>
      <w:r w:rsidR="00744109">
        <w:rPr>
          <w:rFonts w:ascii="Palatino Linotype" w:eastAsia="Times New Roman" w:hAnsi="Palatino Linotype" w:cs="Arial"/>
          <w:bCs/>
          <w:color w:val="000000" w:themeColor="text1"/>
          <w:lang w:val="es-ES"/>
        </w:rPr>
        <w:t xml:space="preserve"> </w:t>
      </w:r>
      <w:r w:rsidR="0023280C">
        <w:rPr>
          <w:rFonts w:ascii="Palatino Linotype" w:eastAsia="Times New Roman" w:hAnsi="Palatino Linotype" w:cs="Arial"/>
          <w:bCs/>
          <w:color w:val="000000" w:themeColor="text1"/>
          <w:lang w:val="es-ES"/>
        </w:rPr>
        <w:t>Zulema Martínez Sánchez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5D70D51" w:rsidR="007446C2" w:rsidRPr="00A85CB7" w:rsidRDefault="0023280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744109">
        <w:rPr>
          <w:rFonts w:ascii="Palatino Linotype" w:eastAsia="Times New Roman" w:hAnsi="Palatino Linotype" w:cs="Arial"/>
          <w:color w:val="000000" w:themeColor="text1"/>
          <w:lang w:val="es-ES"/>
        </w:rPr>
        <w:t xml:space="preserve"> entonces Comisionad</w:t>
      </w:r>
      <w:r>
        <w:rPr>
          <w:rFonts w:ascii="Palatino Linotype" w:eastAsia="Times New Roman"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D249A6">
        <w:rPr>
          <w:rFonts w:ascii="Palatino Linotype" w:eastAsia="Calibri" w:hAnsi="Palatino Linotype" w:cs="Arial"/>
          <w:color w:val="000000" w:themeColor="text1"/>
          <w:lang w:val="es-ES"/>
        </w:rPr>
        <w:t>cinco (05</w:t>
      </w:r>
      <w:r w:rsidR="00744109">
        <w:rPr>
          <w:rFonts w:ascii="Palatino Linotype" w:eastAsia="Calibri" w:hAnsi="Palatino Linotype" w:cs="Arial"/>
          <w:color w:val="000000" w:themeColor="text1"/>
          <w:lang w:val="es-ES"/>
        </w:rPr>
        <w:t>)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23B9A259" w:rsidR="008965EF" w:rsidRPr="003D792A" w:rsidRDefault="001E4152"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De</w:t>
      </w:r>
      <w:r w:rsidR="003D792A">
        <w:rPr>
          <w:rFonts w:ascii="Palatino Linotype" w:eastAsia="Calibri" w:hAnsi="Palatino Linotype" w:cs="Arial"/>
          <w:color w:val="000000" w:themeColor="text1"/>
          <w:lang w:val="es-ES"/>
        </w:rPr>
        <w:t xml:space="preserve"> </w:t>
      </w:r>
      <w:r w:rsidRPr="001E4152">
        <w:rPr>
          <w:rFonts w:ascii="Palatino Linotype" w:eastAsia="Calibri" w:hAnsi="Palatino Linotype" w:cs="Arial"/>
          <w:color w:val="000000" w:themeColor="text1"/>
          <w:lang w:val="es-ES"/>
        </w:rPr>
        <w:t xml:space="preserve">las </w:t>
      </w:r>
      <w:r w:rsidRPr="001E4152">
        <w:rPr>
          <w:rFonts w:ascii="Palatino Linotype" w:eastAsia="Calibri" w:hAnsi="Palatino Linotype" w:cs="Arial"/>
          <w:color w:val="000000" w:themeColor="text1"/>
        </w:rPr>
        <w:t xml:space="preserve">constancias que obran en el expediente digital del recurso de revisión que hoy se resuelve, se aprecia que el </w:t>
      </w:r>
      <w:r w:rsidRPr="001E4152">
        <w:rPr>
          <w:rFonts w:ascii="Palatino Linotype" w:eastAsia="Calibri" w:hAnsi="Palatino Linotype" w:cs="Arial"/>
          <w:b/>
          <w:color w:val="000000" w:themeColor="text1"/>
        </w:rPr>
        <w:t xml:space="preserve">SUJETO OBLIGADO </w:t>
      </w:r>
      <w:r w:rsidRPr="001E4152">
        <w:rPr>
          <w:rFonts w:ascii="Palatino Linotype" w:eastAsia="Calibri" w:hAnsi="Palatino Linotype" w:cs="Arial"/>
          <w:color w:val="000000" w:themeColor="text1"/>
        </w:rPr>
        <w:t xml:space="preserve">no rindió informe justificado para manifestar lo que a su derecho conviniera; por su parte, el </w:t>
      </w:r>
      <w:r w:rsidRPr="001E4152">
        <w:rPr>
          <w:rFonts w:ascii="Palatino Linotype" w:eastAsia="Calibri" w:hAnsi="Palatino Linotype" w:cs="Arial"/>
          <w:b/>
          <w:color w:val="000000" w:themeColor="text1"/>
        </w:rPr>
        <w:t xml:space="preserve">RECURRENTE </w:t>
      </w:r>
      <w:r w:rsidRPr="001E4152">
        <w:rPr>
          <w:rFonts w:ascii="Palatino Linotype" w:eastAsia="Calibri" w:hAnsi="Palatino Linotype" w:cs="Arial"/>
          <w:color w:val="000000" w:themeColor="text1"/>
        </w:rPr>
        <w:t xml:space="preserve">no presentó alegatos ni ofreció medios de prueba. Se adjunta captura del apartado de </w:t>
      </w:r>
      <w:r w:rsidRPr="001E4152">
        <w:rPr>
          <w:rFonts w:ascii="Palatino Linotype" w:eastAsia="Calibri" w:hAnsi="Palatino Linotype" w:cs="Arial"/>
          <w:i/>
          <w:iCs/>
          <w:color w:val="000000" w:themeColor="text1"/>
        </w:rPr>
        <w:t>Manifestaciones</w:t>
      </w:r>
      <w:r w:rsidRPr="001E4152">
        <w:rPr>
          <w:rFonts w:ascii="Palatino Linotype" w:eastAsia="Calibri" w:hAnsi="Palatino Linotype" w:cs="Arial"/>
          <w:color w:val="000000" w:themeColor="text1"/>
        </w:rPr>
        <w:t xml:space="preserve"> del </w:t>
      </w:r>
      <w:r w:rsidRPr="001E4152">
        <w:rPr>
          <w:rFonts w:ascii="Palatino Linotype" w:eastAsia="Calibri" w:hAnsi="Palatino Linotype" w:cs="Arial"/>
          <w:i/>
          <w:iCs/>
          <w:color w:val="000000" w:themeColor="text1"/>
        </w:rPr>
        <w:t>SAIMEX</w:t>
      </w:r>
      <w:r w:rsidRPr="001E4152">
        <w:rPr>
          <w:rFonts w:ascii="Palatino Linotype" w:eastAsia="Calibri" w:hAnsi="Palatino Linotype" w:cs="Arial"/>
          <w:color w:val="000000" w:themeColor="text1"/>
        </w:rPr>
        <w:t xml:space="preserve"> del expediente como mera referencia:</w:t>
      </w:r>
    </w:p>
    <w:p w14:paraId="1270080F" w14:textId="1B3EF022" w:rsidR="001E4152" w:rsidRDefault="00D249A6" w:rsidP="001E4152">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4A466F97" wp14:editId="588EF708">
            <wp:extent cx="4857750" cy="1187814"/>
            <wp:effectExtent l="57150" t="57150" r="114300" b="107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1521" cy="120096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7FB95849" w14:textId="725DB9D6" w:rsidR="00F2567E" w:rsidRPr="0023280C"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lastRenderedPageBreak/>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D249A6">
        <w:rPr>
          <w:rFonts w:ascii="Palatino Linotype" w:eastAsia="Calibri" w:hAnsi="Palatino Linotype" w:cs="Arial"/>
          <w:color w:val="000000" w:themeColor="text1"/>
          <w:lang w:val="es-ES"/>
        </w:rPr>
        <w:t>diecinueve (19</w:t>
      </w:r>
      <w:r w:rsidR="00E65FD0">
        <w:rPr>
          <w:rFonts w:ascii="Palatino Linotype" w:eastAsia="Calibri" w:hAnsi="Palatino Linotype" w:cs="Arial"/>
          <w:color w:val="000000" w:themeColor="text1"/>
          <w:lang w:val="es-ES"/>
        </w:rPr>
        <w:t>)</w:t>
      </w:r>
      <w:r w:rsidR="008F7752">
        <w:rPr>
          <w:rFonts w:ascii="Palatino Linotype" w:eastAsia="Calibri" w:hAnsi="Palatino Linotype" w:cs="Arial"/>
          <w:color w:val="000000" w:themeColor="text1"/>
          <w:lang w:val="es-ES"/>
        </w:rPr>
        <w:t xml:space="preserve">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7F0DA6">
        <w:rPr>
          <w:rFonts w:ascii="Palatino Linotype" w:hAnsi="Palatino Linotype" w:cs="Arial"/>
          <w:color w:val="000000" w:themeColor="text1"/>
        </w:rPr>
        <w:t xml:space="preserve">la </w:t>
      </w:r>
      <w:r w:rsidR="0023280C">
        <w:rPr>
          <w:rFonts w:ascii="Palatino Linotype" w:hAnsi="Palatino Linotype" w:cs="Arial"/>
          <w:color w:val="000000" w:themeColor="text1"/>
        </w:rPr>
        <w:t xml:space="preserve">entonces </w:t>
      </w:r>
      <w:r w:rsidR="00AD6AC5" w:rsidRPr="00A85CB7">
        <w:rPr>
          <w:rFonts w:ascii="Palatino Linotype" w:hAnsi="Palatino Linotype" w:cs="Arial"/>
          <w:color w:val="000000" w:themeColor="text1"/>
        </w:rPr>
        <w:t>Comisionad</w:t>
      </w:r>
      <w:r w:rsidR="007F0DA6">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1F9FB151" w14:textId="77777777" w:rsidR="0023280C" w:rsidRPr="0023280C" w:rsidRDefault="0023280C" w:rsidP="0023280C">
      <w:pPr>
        <w:pStyle w:val="Prrafodelista"/>
        <w:tabs>
          <w:tab w:val="left" w:pos="426"/>
        </w:tabs>
        <w:spacing w:line="360" w:lineRule="auto"/>
        <w:ind w:left="0"/>
        <w:jc w:val="both"/>
        <w:rPr>
          <w:rFonts w:ascii="Palatino Linotype" w:hAnsi="Palatino Linotype"/>
          <w:color w:val="000000" w:themeColor="text1"/>
        </w:rPr>
      </w:pPr>
    </w:p>
    <w:p w14:paraId="74918823" w14:textId="01A62645" w:rsidR="0023280C" w:rsidRPr="0023280C" w:rsidRDefault="00D249A6" w:rsidP="0023280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Posteriormente, el</w:t>
      </w:r>
      <w:r w:rsidR="0023280C">
        <w:rPr>
          <w:rFonts w:ascii="Palatino Linotype" w:hAnsi="Palatino Linotype" w:cs="Arial"/>
          <w:color w:val="000000" w:themeColor="text1"/>
        </w:rPr>
        <w:t xml:space="preserve"> veintitrés (23) de agosto de dos mil veintiuno, en la Segunda Sesión Extraordinaria, el Pleno de este Órgano Garante aprobó el returno del recurso </w:t>
      </w:r>
      <w:r w:rsidR="00E936B9">
        <w:rPr>
          <w:rFonts w:ascii="Palatino Linotype" w:hAnsi="Palatino Linotype" w:cs="Arial"/>
          <w:b/>
          <w:bCs/>
          <w:color w:val="000000" w:themeColor="text1"/>
        </w:rPr>
        <w:t>03843/INFOEM/IP/RR/2021</w:t>
      </w:r>
      <w:r w:rsidR="0023280C">
        <w:rPr>
          <w:rFonts w:ascii="Palatino Linotype" w:hAnsi="Palatino Linotype" w:cs="Arial"/>
          <w:color w:val="000000" w:themeColor="text1"/>
        </w:rPr>
        <w:t xml:space="preserve"> a la Ponencia de la Comisionada María del Rosario Mejía Ayala.</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136C4D6A" w:rsidR="008965EF" w:rsidRPr="005C3B63"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w:t>
      </w:r>
      <w:r w:rsidRPr="003522BF">
        <w:rPr>
          <w:rFonts w:ascii="Palatino Linotype" w:hAnsi="Palatino Linotype" w:cs="Arial"/>
          <w:color w:val="000000" w:themeColor="text1"/>
        </w:rPr>
        <w:t xml:space="preserve">el </w:t>
      </w:r>
      <w:r w:rsidR="0023280C">
        <w:rPr>
          <w:rFonts w:ascii="Palatino Linotype" w:hAnsi="Palatino Linotype" w:cs="Arial"/>
          <w:color w:val="000000" w:themeColor="text1"/>
        </w:rPr>
        <w:t>veintiuno (21</w:t>
      </w:r>
      <w:r w:rsidR="00E65FD0">
        <w:rPr>
          <w:rFonts w:ascii="Palatino Linotype" w:hAnsi="Palatino Linotype" w:cs="Arial"/>
          <w:color w:val="000000" w:themeColor="text1"/>
        </w:rPr>
        <w:t xml:space="preserve">) de </w:t>
      </w:r>
      <w:r w:rsidR="0023280C">
        <w:rPr>
          <w:rFonts w:ascii="Palatino Linotype" w:hAnsi="Palatino Linotype" w:cs="Arial"/>
          <w:color w:val="000000" w:themeColor="text1"/>
        </w:rPr>
        <w:t>septiembre</w:t>
      </w:r>
      <w:r>
        <w:rPr>
          <w:rFonts w:ascii="Palatino Linotype" w:hAnsi="Palatino Linotype" w:cs="Arial"/>
          <w:color w:val="000000" w:themeColor="text1"/>
        </w:rPr>
        <w:t xml:space="preserve">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Pr>
          <w:rFonts w:ascii="Palatino Linotype" w:hAnsi="Palatino Linotype" w:cs="Arial"/>
          <w:color w:val="000000" w:themeColor="text1"/>
          <w:lang w:val="es-ES"/>
        </w:rPr>
        <w:t>,</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3316003"/>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3316004"/>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w:t>
      </w:r>
      <w:r w:rsidRPr="00A85CB7">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3316005"/>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val="es-MX" w:eastAsia="en-US"/>
        </w:rPr>
      </w:pPr>
    </w:p>
    <w:p w14:paraId="63E5A495" w14:textId="31267D9C"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E135B7">
        <w:rPr>
          <w:rFonts w:ascii="Palatino Linotype" w:eastAsia="Calibri" w:hAnsi="Palatino Linotype" w:cs="Arial"/>
          <w:color w:val="000000" w:themeColor="text1"/>
        </w:rPr>
        <w:t>veintiocho (28) de junio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E135B7">
        <w:rPr>
          <w:rFonts w:ascii="Palatino Linotype" w:eastAsia="Calibri" w:hAnsi="Palatino Linotype" w:cs="Arial"/>
          <w:color w:val="000000" w:themeColor="text1"/>
        </w:rPr>
        <w:t xml:space="preserve">veintinueve (29) de junio al dos (02) de agosto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sin contemplar en el cómputo </w:t>
      </w:r>
      <w:r w:rsidR="00E135B7">
        <w:rPr>
          <w:rFonts w:ascii="Palatino Linotype" w:eastAsia="Calibri" w:hAnsi="Palatino Linotype" w:cs="Arial"/>
          <w:color w:val="000000" w:themeColor="text1"/>
        </w:rPr>
        <w:t xml:space="preserve">los días tres (03), cuatro (04), diez (10), once (11), y </w:t>
      </w:r>
      <w:r w:rsidR="007F0DA6">
        <w:rPr>
          <w:rFonts w:ascii="Palatino Linotype" w:eastAsia="Calibri" w:hAnsi="Palatino Linotype" w:cs="Arial"/>
          <w:color w:val="000000" w:themeColor="text1"/>
        </w:rPr>
        <w:t>del diecisiete (17) al treinta y uno (31) de julio, así como el uno (01)</w:t>
      </w:r>
      <w:r w:rsidR="00E135B7">
        <w:rPr>
          <w:rFonts w:ascii="Palatino Linotype" w:eastAsia="Calibri" w:hAnsi="Palatino Linotype" w:cs="Arial"/>
          <w:color w:val="000000" w:themeColor="text1"/>
        </w:rPr>
        <w:t xml:space="preserve"> </w:t>
      </w:r>
      <w:r w:rsidR="007F0DA6">
        <w:rPr>
          <w:rFonts w:ascii="Palatino Linotype" w:eastAsia="Calibri" w:hAnsi="Palatino Linotype" w:cs="Arial"/>
          <w:color w:val="000000" w:themeColor="text1"/>
        </w:rPr>
        <w:t xml:space="preserve">de agosto de dos mil veintiuno </w:t>
      </w:r>
      <w:r w:rsidR="00740BA4" w:rsidRPr="00740BA4">
        <w:rPr>
          <w:rFonts w:ascii="Palatino Linotype" w:eastAsia="Calibri" w:hAnsi="Palatino Linotype" w:cs="Arial"/>
          <w:color w:val="000000" w:themeColor="text1"/>
        </w:rPr>
        <w:t>por corresponder a sábados</w:t>
      </w:r>
      <w:r w:rsidR="007F0DA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7F0DA6">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EFA5083" w14:textId="536D6D05"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entonces, </w:t>
      </w:r>
      <w:r w:rsidRPr="00A85CB7">
        <w:rPr>
          <w:rFonts w:ascii="Palatino Linotype" w:hAnsi="Palatino Linotype"/>
          <w:color w:val="000000" w:themeColor="text1"/>
        </w:rPr>
        <w:t xml:space="preserve">si el presente recurso de revisión fue interpuesto el </w:t>
      </w:r>
      <w:r>
        <w:rPr>
          <w:rFonts w:ascii="Palatino Linotype" w:hAnsi="Palatino Linotype"/>
          <w:color w:val="000000" w:themeColor="text1"/>
        </w:rPr>
        <w:t xml:space="preserve">dos (02) 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765CB79E"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E2AC66" w14:textId="081BD16C"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lastRenderedPageBreak/>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no señaló ningún nombre, seudónimo o carácter para ser identificado</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DFD253A"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DFC674D" w14:textId="110DC7C7"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38A1396"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84074CD" w14:textId="21E163C0"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F43C60">
        <w:rPr>
          <w:rFonts w:ascii="Palatino Linotype" w:eastAsia="Times New Roman" w:hAnsi="Palatino Linotype" w:cs="Arial"/>
          <w:color w:val="000000" w:themeColor="text1"/>
          <w:lang w:val="es-ES" w:eastAsia="es-MX"/>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31E4272"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072CEBB" w14:textId="6F18FB3F"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AE81143"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8BEB9F3" w14:textId="3D449B78"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3EB2F4C"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A55BFC5" w14:textId="6989C2CF"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0826F78"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2718CD86"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Consecuencia </w:t>
      </w:r>
      <w:r w:rsidRPr="00A85CB7">
        <w:rPr>
          <w:rFonts w:ascii="Palatino Linotype" w:eastAsia="Calibri" w:hAnsi="Palatino Linotype" w:cs="Arial"/>
          <w:color w:val="000000" w:themeColor="text1"/>
        </w:rPr>
        <w:t xml:space="preserve">de lo anterior, esta Ponencia Resolutora advierte que el escrito contiene las formalidades previstas por el artículo 180 último párrafo de la Ley de Transparencia y Acceso a la Información Pública del Estado de México y </w:t>
      </w:r>
      <w:r w:rsidRPr="00A85CB7">
        <w:rPr>
          <w:rFonts w:ascii="Palatino Linotype" w:eastAsia="Calibri" w:hAnsi="Palatino Linotype" w:cs="Arial"/>
          <w:color w:val="000000" w:themeColor="text1"/>
        </w:rPr>
        <w:lastRenderedPageBreak/>
        <w:t>Municipios, por lo que es procedente que este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3316006"/>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val="es-MX" w:eastAsia="en-US"/>
        </w:rPr>
      </w:pPr>
    </w:p>
    <w:bookmarkEnd w:id="15"/>
    <w:bookmarkEnd w:id="16"/>
    <w:p w14:paraId="572ECC39" w14:textId="77777777" w:rsidR="005B7B54" w:rsidRDefault="005B7B54" w:rsidP="002630D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B7B54">
        <w:rPr>
          <w:rFonts w:ascii="Palatino Linotype" w:hAnsi="Palatino Linotype" w:cs="Arial"/>
          <w:color w:val="000000" w:themeColor="text1"/>
        </w:rPr>
        <w:t xml:space="preserve">Del parque vehicular, se requirió acceder a la siguiente información: </w:t>
      </w:r>
      <w:r w:rsidRPr="00C065BD">
        <w:rPr>
          <w:rFonts w:ascii="Palatino Linotype" w:hAnsi="Palatino Linotype" w:cs="Arial"/>
          <w:i/>
          <w:color w:val="000000" w:themeColor="text1"/>
        </w:rPr>
        <w:t>a)</w:t>
      </w:r>
      <w:r w:rsidRPr="005B7B54">
        <w:rPr>
          <w:rFonts w:ascii="Palatino Linotype" w:hAnsi="Palatino Linotype" w:cs="Arial"/>
          <w:color w:val="000000" w:themeColor="text1"/>
        </w:rPr>
        <w:t xml:space="preserve"> pólizas de seguro; </w:t>
      </w:r>
      <w:r w:rsidRPr="00C065BD">
        <w:rPr>
          <w:rFonts w:ascii="Palatino Linotype" w:hAnsi="Palatino Linotype" w:cs="Arial"/>
          <w:i/>
          <w:color w:val="000000" w:themeColor="text1"/>
        </w:rPr>
        <w:t>b)</w:t>
      </w:r>
      <w:r w:rsidRPr="005B7B54">
        <w:rPr>
          <w:rFonts w:ascii="Palatino Linotype" w:hAnsi="Palatino Linotype" w:cs="Arial"/>
          <w:color w:val="000000" w:themeColor="text1"/>
        </w:rPr>
        <w:t xml:space="preserve"> proceso de licitación por el que se adquirieron los seguros; y, </w:t>
      </w:r>
      <w:r w:rsidRPr="00C065BD">
        <w:rPr>
          <w:rFonts w:ascii="Palatino Linotype" w:hAnsi="Palatino Linotype" w:cs="Arial"/>
          <w:i/>
          <w:color w:val="000000" w:themeColor="text1"/>
        </w:rPr>
        <w:t>c)</w:t>
      </w:r>
      <w:r w:rsidRPr="005B7B54">
        <w:rPr>
          <w:rFonts w:ascii="Palatino Linotype" w:hAnsi="Palatino Linotype" w:cs="Arial"/>
          <w:color w:val="000000" w:themeColor="text1"/>
        </w:rPr>
        <w:t xml:space="preserve"> póliza de egresos del pago de los seguros</w:t>
      </w:r>
      <w:r w:rsidR="00826F38" w:rsidRPr="005B7B54">
        <w:rPr>
          <w:rFonts w:ascii="Palatino Linotype" w:hAnsi="Palatino Linotype" w:cs="Arial"/>
          <w:color w:val="000000" w:themeColor="text1"/>
        </w:rPr>
        <w:t xml:space="preserve">. </w:t>
      </w:r>
      <w:r w:rsidRPr="005B7B54">
        <w:rPr>
          <w:rFonts w:ascii="Palatino Linotype" w:hAnsi="Palatino Linotype" w:cs="Arial"/>
          <w:color w:val="000000" w:themeColor="text1"/>
        </w:rPr>
        <w:t xml:space="preserve">En su respuesta, el </w:t>
      </w:r>
      <w:r w:rsidRPr="005B7B54">
        <w:rPr>
          <w:rFonts w:ascii="Palatino Linotype" w:hAnsi="Palatino Linotype" w:cs="Arial"/>
          <w:b/>
          <w:color w:val="000000" w:themeColor="text1"/>
        </w:rPr>
        <w:t>SUJETO OBLIGADO</w:t>
      </w:r>
      <w:r w:rsidRPr="005B7B54">
        <w:rPr>
          <w:rFonts w:ascii="Palatino Linotype" w:hAnsi="Palatino Linotype" w:cs="Arial"/>
          <w:color w:val="000000" w:themeColor="text1"/>
        </w:rPr>
        <w:t xml:space="preserve"> cambió la modalidad de entrega de la información referente a las pólizas de seguro, así como la póliza de egresos del pago de los seguros del parque vehicular; por otro lado, respecto al proceso de licitación, informó que éste lo había llevado a cabo el Gobierno del Estado de México, a través de la Dirección General de Recurso Materiales.</w:t>
      </w:r>
      <w:r>
        <w:rPr>
          <w:rFonts w:ascii="Palatino Linotype" w:hAnsi="Palatino Linotype" w:cs="Arial"/>
          <w:color w:val="000000" w:themeColor="text1"/>
        </w:rPr>
        <w:t xml:space="preserve"> </w:t>
      </w:r>
      <w:r w:rsidR="00826F38" w:rsidRPr="005B7B54">
        <w:rPr>
          <w:rFonts w:ascii="Palatino Linotype" w:hAnsi="Palatino Linotype" w:cs="Arial"/>
          <w:color w:val="000000" w:themeColor="text1"/>
        </w:rPr>
        <w:t xml:space="preserve">El particular impugnó </w:t>
      </w:r>
      <w:r w:rsidR="006A2EFB" w:rsidRPr="005B7B54">
        <w:rPr>
          <w:rFonts w:ascii="Palatino Linotype" w:hAnsi="Palatino Linotype" w:cs="Arial"/>
          <w:color w:val="000000" w:themeColor="text1"/>
        </w:rPr>
        <w:t>la respuesta</w:t>
      </w:r>
      <w:r w:rsidR="00826F38" w:rsidRPr="005B7B54">
        <w:rPr>
          <w:rFonts w:ascii="Palatino Linotype" w:hAnsi="Palatino Linotype" w:cs="Arial"/>
          <w:color w:val="000000" w:themeColor="text1"/>
        </w:rPr>
        <w:t xml:space="preserve"> mediante recurso de revisión, </w:t>
      </w:r>
      <w:r w:rsidR="006A2EFB" w:rsidRPr="005B7B54">
        <w:rPr>
          <w:rFonts w:ascii="Palatino Linotype" w:hAnsi="Palatino Linotype" w:cs="Arial"/>
          <w:color w:val="000000" w:themeColor="text1"/>
        </w:rPr>
        <w:t>en el que señaló</w:t>
      </w:r>
      <w:r w:rsidRPr="005B7B54">
        <w:rPr>
          <w:rFonts w:ascii="Palatino Linotype" w:hAnsi="Palatino Linotype" w:cs="Arial"/>
          <w:color w:val="000000" w:themeColor="text1"/>
        </w:rPr>
        <w:t xml:space="preserve"> por agravios, esencialmente, el cambio de la modalidad de entrega de la información</w:t>
      </w:r>
      <w:r w:rsidR="00C51671" w:rsidRPr="005B7B54">
        <w:rPr>
          <w:rFonts w:ascii="Palatino Linotype" w:hAnsi="Palatino Linotype" w:cs="Arial"/>
          <w:color w:val="000000" w:themeColor="text1"/>
        </w:rPr>
        <w:t>.</w:t>
      </w:r>
      <w:r w:rsidR="0056788F" w:rsidRPr="005B7B54">
        <w:rPr>
          <w:rFonts w:ascii="Palatino Linotype" w:hAnsi="Palatino Linotype" w:cs="Arial"/>
          <w:color w:val="000000" w:themeColor="text1"/>
        </w:rPr>
        <w:t xml:space="preserve"> </w:t>
      </w:r>
    </w:p>
    <w:p w14:paraId="5364092B" w14:textId="77777777" w:rsidR="005B7B54" w:rsidRDefault="005B7B54" w:rsidP="005B7B54">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DDAEFF5" w:rsidR="001A032D" w:rsidRPr="005B7B54" w:rsidRDefault="001A032D" w:rsidP="002630D1">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B7B54">
        <w:rPr>
          <w:rFonts w:ascii="Palatino Linotype" w:hAnsi="Palatino Linotype" w:cs="Arial"/>
          <w:color w:val="000000" w:themeColor="text1"/>
        </w:rPr>
        <w:t xml:space="preserve">En ese sentido, </w:t>
      </w:r>
      <w:r w:rsidR="002E160F" w:rsidRPr="005B7B54">
        <w:rPr>
          <w:rFonts w:ascii="Palatino Linotype" w:hAnsi="Palatino Linotype" w:cs="Arial"/>
          <w:color w:val="000000" w:themeColor="text1"/>
        </w:rPr>
        <w:t xml:space="preserve">esta Ponencia Resolutora advierte que las razones o motivos de inconformidad manifestados por el </w:t>
      </w:r>
      <w:r w:rsidRPr="005B7B54">
        <w:rPr>
          <w:rFonts w:ascii="Palatino Linotype" w:hAnsi="Palatino Linotype" w:cs="Arial"/>
          <w:b/>
          <w:bCs/>
          <w:color w:val="000000" w:themeColor="text1"/>
        </w:rPr>
        <w:t>RECURRENTE</w:t>
      </w:r>
      <w:r w:rsidRPr="005B7B54">
        <w:rPr>
          <w:rFonts w:ascii="Palatino Linotype" w:hAnsi="Palatino Linotype" w:cs="Arial"/>
          <w:color w:val="000000" w:themeColor="text1"/>
        </w:rPr>
        <w:t xml:space="preserve"> </w:t>
      </w:r>
      <w:r w:rsidR="002E160F" w:rsidRPr="005B7B54">
        <w:rPr>
          <w:rFonts w:ascii="Palatino Linotype" w:hAnsi="Palatino Linotype" w:cs="Arial"/>
          <w:color w:val="000000" w:themeColor="text1"/>
        </w:rPr>
        <w:t>sugieren que la respuesta proporcionada</w:t>
      </w:r>
      <w:r w:rsidR="00B855AA" w:rsidRPr="005B7B54">
        <w:rPr>
          <w:rFonts w:ascii="Palatino Linotype" w:hAnsi="Palatino Linotype" w:cs="Arial"/>
          <w:color w:val="000000" w:themeColor="text1"/>
        </w:rPr>
        <w:t xml:space="preserve"> por el </w:t>
      </w:r>
      <w:r w:rsidR="00B855AA" w:rsidRPr="005B7B54">
        <w:rPr>
          <w:rFonts w:ascii="Palatino Linotype" w:hAnsi="Palatino Linotype" w:cs="Arial"/>
          <w:b/>
          <w:bCs/>
          <w:color w:val="000000" w:themeColor="text1"/>
        </w:rPr>
        <w:t>SUJETO OBLIGADO</w:t>
      </w:r>
      <w:r w:rsidR="00B855AA" w:rsidRPr="005B7B54">
        <w:rPr>
          <w:rFonts w:ascii="Palatino Linotype" w:hAnsi="Palatino Linotype" w:cs="Arial"/>
          <w:color w:val="000000" w:themeColor="text1"/>
        </w:rPr>
        <w:t xml:space="preserve"> no cumplió con </w:t>
      </w:r>
      <w:r w:rsidR="005B7B54">
        <w:rPr>
          <w:rFonts w:ascii="Palatino Linotype" w:hAnsi="Palatino Linotype" w:cs="Arial"/>
          <w:color w:val="000000" w:themeColor="text1"/>
        </w:rPr>
        <w:t>el</w:t>
      </w:r>
      <w:r w:rsidR="00B855AA" w:rsidRPr="005B7B54">
        <w:rPr>
          <w:rFonts w:ascii="Palatino Linotype" w:hAnsi="Palatino Linotype" w:cs="Arial"/>
          <w:color w:val="000000" w:themeColor="text1"/>
        </w:rPr>
        <w:t xml:space="preserve"> principio </w:t>
      </w:r>
      <w:r w:rsidR="005B7B54">
        <w:rPr>
          <w:rFonts w:ascii="Palatino Linotype" w:hAnsi="Palatino Linotype" w:cs="Arial"/>
          <w:color w:val="000000" w:themeColor="text1"/>
        </w:rPr>
        <w:t>establecido</w:t>
      </w:r>
      <w:r w:rsidR="00B855AA" w:rsidRPr="005B7B54">
        <w:rPr>
          <w:rFonts w:ascii="Palatino Linotype" w:hAnsi="Palatino Linotype" w:cs="Arial"/>
          <w:color w:val="000000" w:themeColor="text1"/>
        </w:rPr>
        <w:t xml:space="preserve"> en el artículo 11 de la Ley de Transparencia y Acceso a la Información Pública del Estado de México y Municipios, </w:t>
      </w:r>
      <w:r w:rsidR="005B7B54">
        <w:rPr>
          <w:rFonts w:ascii="Palatino Linotype" w:hAnsi="Palatino Linotype" w:cs="Arial"/>
          <w:color w:val="000000" w:themeColor="text1"/>
        </w:rPr>
        <w:t>el</w:t>
      </w:r>
      <w:r w:rsidR="00B855AA" w:rsidRPr="005B7B54">
        <w:rPr>
          <w:rFonts w:ascii="Palatino Linotype" w:hAnsi="Palatino Linotype" w:cs="Arial"/>
          <w:color w:val="000000" w:themeColor="text1"/>
        </w:rPr>
        <w:t xml:space="preserve"> </w:t>
      </w:r>
      <w:r w:rsidR="005B7B54">
        <w:rPr>
          <w:rFonts w:ascii="Palatino Linotype" w:hAnsi="Palatino Linotype" w:cs="Arial"/>
          <w:color w:val="000000" w:themeColor="text1"/>
        </w:rPr>
        <w:t>cual</w:t>
      </w:r>
      <w:r w:rsidR="00B855AA" w:rsidRPr="005B7B54">
        <w:rPr>
          <w:rFonts w:ascii="Palatino Linotype" w:hAnsi="Palatino Linotype" w:cs="Arial"/>
          <w:color w:val="000000" w:themeColor="text1"/>
        </w:rPr>
        <w:t xml:space="preserve"> señala que en la generación, publicación y entrega de información se deberá garantizar que ésta </w:t>
      </w:r>
      <w:r w:rsidR="00C51671" w:rsidRPr="005B7B54">
        <w:rPr>
          <w:rFonts w:ascii="Palatino Linotype" w:hAnsi="Palatino Linotype" w:cs="Arial"/>
          <w:color w:val="000000" w:themeColor="text1"/>
        </w:rPr>
        <w:t>sea</w:t>
      </w:r>
      <w:r w:rsidR="00B855AA" w:rsidRPr="005B7B54">
        <w:rPr>
          <w:rFonts w:ascii="Palatino Linotype" w:hAnsi="Palatino Linotype" w:cs="Arial"/>
          <w:color w:val="000000" w:themeColor="text1"/>
        </w:rPr>
        <w:t xml:space="preserve"> </w:t>
      </w:r>
      <w:r w:rsidR="005B7B54">
        <w:rPr>
          <w:rFonts w:ascii="Palatino Linotype" w:hAnsi="Palatino Linotype" w:cs="Arial"/>
          <w:b/>
          <w:bCs/>
          <w:color w:val="000000" w:themeColor="text1"/>
        </w:rPr>
        <w:t>accesible</w:t>
      </w:r>
      <w:r w:rsidR="00B855AA" w:rsidRPr="005B7B54">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8D339AF" w:rsidR="00AD76A1" w:rsidRPr="004C2E3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lastRenderedPageBreak/>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661B0B">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661B0B">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661B0B">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w:t>
      </w:r>
      <w:r w:rsidR="00661B0B">
        <w:rPr>
          <w:rFonts w:ascii="Palatino Linotype" w:hAnsi="Palatino Linotype" w:cs="Arial"/>
          <w:color w:val="000000" w:themeColor="text1"/>
          <w:szCs w:val="23"/>
        </w:rPr>
        <w:t>los</w:t>
      </w:r>
      <w:r w:rsidR="00E66A80" w:rsidRPr="00A85CB7">
        <w:rPr>
          <w:rFonts w:ascii="Palatino Linotype" w:hAnsi="Palatino Linotype" w:cs="Arial"/>
          <w:color w:val="000000" w:themeColor="text1"/>
          <w:szCs w:val="23"/>
        </w:rPr>
        <w:t xml:space="preserve"> artículo</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179</w:t>
      </w:r>
      <w:r w:rsidR="00661B0B">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661B0B">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661B0B">
        <w:rPr>
          <w:rFonts w:ascii="Palatino Linotype" w:hAnsi="Palatino Linotype" w:cs="Arial"/>
          <w:color w:val="000000" w:themeColor="text1"/>
          <w:szCs w:val="23"/>
        </w:rPr>
        <w:t xml:space="preserve"> y </w:t>
      </w:r>
      <w:r w:rsidR="005B7B54">
        <w:rPr>
          <w:rFonts w:ascii="Palatino Linotype" w:hAnsi="Palatino Linotype" w:cs="Arial"/>
          <w:color w:val="000000" w:themeColor="text1"/>
          <w:szCs w:val="23"/>
        </w:rPr>
        <w:t>VIII</w:t>
      </w:r>
      <w:r w:rsidR="0071556C">
        <w:rPr>
          <w:rFonts w:ascii="Palatino Linotype" w:hAnsi="Palatino Linotype" w:cs="Arial"/>
          <w:color w:val="000000" w:themeColor="text1"/>
          <w:szCs w:val="23"/>
        </w:rPr>
        <w:t>,</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E334B1C" w14:textId="77777777" w:rsidR="004C2E3D" w:rsidRPr="00A85CB7" w:rsidRDefault="004C2E3D" w:rsidP="004C2E3D">
      <w:pPr>
        <w:pStyle w:val="Prrafodelista"/>
        <w:tabs>
          <w:tab w:val="left" w:pos="426"/>
        </w:tabs>
        <w:spacing w:line="360" w:lineRule="auto"/>
        <w:ind w:left="0" w:right="49"/>
        <w:jc w:val="both"/>
        <w:rPr>
          <w:rFonts w:ascii="Palatino Linotype" w:hAnsi="Palatino Linotype" w:cs="Arial"/>
          <w:color w:val="000000" w:themeColor="text1"/>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6DF10AC9" w14:textId="77777777" w:rsidR="00661B0B" w:rsidRDefault="00515DEC" w:rsidP="00E9097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BACB5B3" w14:textId="2C68E578" w:rsidR="00661B0B" w:rsidRDefault="005B7B54"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sidR="0071556C">
        <w:rPr>
          <w:rFonts w:ascii="Palatino Linotype" w:hAnsi="Palatino Linotype"/>
          <w:b/>
          <w:i/>
          <w:color w:val="000000" w:themeColor="text1"/>
          <w:sz w:val="22"/>
        </w:rPr>
        <w:t>III</w:t>
      </w:r>
      <w:r w:rsidR="00661B0B">
        <w:rPr>
          <w:rFonts w:ascii="Palatino Linotype" w:hAnsi="Palatino Linotype"/>
          <w:b/>
          <w:i/>
          <w:color w:val="000000" w:themeColor="text1"/>
          <w:sz w:val="22"/>
        </w:rPr>
        <w:t>.</w:t>
      </w:r>
      <w:r w:rsidR="00661B0B">
        <w:rPr>
          <w:rFonts w:ascii="Palatino Linotype" w:hAnsi="Palatino Linotype"/>
          <w:i/>
          <w:color w:val="000000" w:themeColor="text1"/>
          <w:sz w:val="22"/>
        </w:rPr>
        <w:t xml:space="preserve"> </w:t>
      </w:r>
      <w:r w:rsidRPr="005B7B54">
        <w:rPr>
          <w:rFonts w:ascii="Palatino Linotype" w:hAnsi="Palatino Linotype"/>
          <w:i/>
          <w:color w:val="000000" w:themeColor="text1"/>
          <w:sz w:val="22"/>
        </w:rPr>
        <w:t>La notificación, entrega o puesta a disposición de información en una modalidad o formato distinto al solicitado;</w:t>
      </w:r>
    </w:p>
    <w:p w14:paraId="4FCA9B3F" w14:textId="3239768D" w:rsidR="00515DEC" w:rsidRPr="00A85CB7" w:rsidRDefault="00661B0B"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3316007"/>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102A60">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3316008"/>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5"/>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w:t>
      </w:r>
      <w:r w:rsidRPr="00DA2D95">
        <w:rPr>
          <w:rFonts w:ascii="Palatino Linotype" w:hAnsi="Palatino Linotype"/>
          <w:bCs/>
          <w:color w:val="000000" w:themeColor="text1"/>
        </w:rPr>
        <w:lastRenderedPageBreak/>
        <w:t xml:space="preserve">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w:t>
      </w:r>
      <w:r w:rsidR="00DA2D95" w:rsidRPr="00DA2D95">
        <w:rPr>
          <w:rFonts w:ascii="Palatino Linotype" w:hAnsi="Palatino Linotype"/>
          <w:i/>
          <w:color w:val="000000" w:themeColor="text1"/>
          <w:lang w:val="es-MX"/>
        </w:rPr>
        <w:lastRenderedPageBreak/>
        <w:t>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4418AE0"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661B0B" w:rsidRPr="0055159A">
        <w:rPr>
          <w:rFonts w:ascii="Palatino Linotype" w:hAnsi="Palatino Linotype"/>
          <w:color w:val="000000" w:themeColor="text1"/>
          <w:lang w:val="es-MX"/>
        </w:rPr>
        <w:t>Sujetos Obligados</w:t>
      </w:r>
      <w:r w:rsidR="0055159A" w:rsidRPr="0055159A">
        <w:rPr>
          <w:rFonts w:ascii="Palatino Linotype" w:hAnsi="Palatino Linotype"/>
          <w:color w:val="000000" w:themeColor="text1"/>
          <w:lang w:val="es-MX"/>
        </w:rPr>
        <w:t>;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5F06C02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3316009"/>
      <w:r>
        <w:rPr>
          <w:rFonts w:ascii="Palatino Linotype" w:hAnsi="Palatino Linotype"/>
          <w:b/>
          <w:bCs/>
          <w:color w:val="000000" w:themeColor="text1"/>
        </w:rPr>
        <w:t>II. De la</w:t>
      </w:r>
      <w:r w:rsidR="00A44BE6">
        <w:rPr>
          <w:rFonts w:ascii="Palatino Linotype" w:hAnsi="Palatino Linotype"/>
          <w:b/>
          <w:bCs/>
          <w:color w:val="000000" w:themeColor="text1"/>
        </w:rPr>
        <w:t xml:space="preserve"> respuesta a la solicitud de información</w:t>
      </w:r>
      <w:r>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F34FA8F" w14:textId="654B5B3B" w:rsidR="00C24FF3" w:rsidRDefault="00D00269"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00A44BE6">
        <w:rPr>
          <w:rFonts w:ascii="Palatino Linotype" w:hAnsi="Palatino Linotype"/>
          <w:color w:val="000000" w:themeColor="text1"/>
        </w:rPr>
        <w:t xml:space="preserve">Ley </w:t>
      </w:r>
      <w:r w:rsidR="00A44BE6"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3FB16E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4547CBB" w14:textId="5A4E768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5"/>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6"/>
      </w:r>
      <w:r w:rsidRPr="00956116">
        <w:rPr>
          <w:rFonts w:ascii="Palatino Linotype" w:hAnsi="Palatino Linotype" w:cs="Arial"/>
        </w:rPr>
        <w:t>.</w:t>
      </w:r>
    </w:p>
    <w:p w14:paraId="13F5648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D2D3547" w14:textId="0F1B59B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6002DBF"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A44BE6">
        <w:rPr>
          <w:rFonts w:ascii="Palatino Linotype" w:hAnsi="Palatino Linotype" w:cs="Arial"/>
          <w:color w:val="000000" w:themeColor="text1"/>
        </w:rPr>
        <w:t>tramitar y dar respuesta a las solicitudes de acceso a la información;</w:t>
      </w:r>
    </w:p>
    <w:p w14:paraId="7FE7FC0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Realizar, con efectividad, los trámites internos necesarios para la atención de las solicitudes de acceso a la información; </w:t>
      </w:r>
    </w:p>
    <w:p w14:paraId="01BCC4A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Entregar, en su caso, a los particulares la información solicitada; y </w:t>
      </w:r>
    </w:p>
    <w:p w14:paraId="274DDA56" w14:textId="41D11D59" w:rsid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3733489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394421E" w14:textId="66FBD95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3FDEF2FD" w14:textId="77777777" w:rsidR="00A44BE6" w:rsidRP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66CE247D" w14:textId="671CBB63" w:rsid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D5D6A1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7F82B25" w14:textId="4ED62E9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C9F03C1"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31B0F59" w14:textId="5CA17B37"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Expuesto </w:t>
      </w:r>
      <w:r>
        <w:rPr>
          <w:rFonts w:ascii="Palatino Linotype" w:hAnsi="Palatino Linotype" w:cs="Arial"/>
          <w:color w:val="000000" w:themeColor="text1"/>
        </w:rPr>
        <w:t xml:space="preserve">lo anterior, </w:t>
      </w:r>
      <w:r w:rsidR="00C065BD">
        <w:rPr>
          <w:rFonts w:ascii="Palatino Linotype" w:hAnsi="Palatino Linotype" w:cs="Arial"/>
          <w:color w:val="000000" w:themeColor="text1"/>
        </w:rPr>
        <w:t>no es ocioso</w:t>
      </w:r>
      <w:r w:rsidR="006F428C">
        <w:rPr>
          <w:rFonts w:ascii="Palatino Linotype" w:hAnsi="Palatino Linotype" w:cs="Arial"/>
          <w:color w:val="000000" w:themeColor="text1"/>
        </w:rPr>
        <w:t xml:space="preserve"> reiterar</w:t>
      </w:r>
      <w:r>
        <w:rPr>
          <w:rFonts w:ascii="Palatino Linotype" w:hAnsi="Palatino Linotype" w:cs="Arial"/>
          <w:color w:val="000000" w:themeColor="text1"/>
        </w:rPr>
        <w:t xml:space="preserve"> que el particular presentó a</w:t>
      </w:r>
      <w:r w:rsidR="006F428C">
        <w:rPr>
          <w:rFonts w:ascii="Palatino Linotype" w:hAnsi="Palatino Linotype" w:cs="Arial"/>
          <w:color w:val="000000" w:themeColor="text1"/>
        </w:rPr>
        <w:t xml:space="preserve"> </w:t>
      </w:r>
      <w:r>
        <w:rPr>
          <w:rFonts w:ascii="Palatino Linotype" w:hAnsi="Palatino Linotype" w:cs="Arial"/>
          <w:color w:val="000000" w:themeColor="text1"/>
        </w:rPr>
        <w:t>l</w:t>
      </w:r>
      <w:r w:rsidR="006F428C">
        <w:rPr>
          <w:rFonts w:ascii="Palatino Linotype" w:hAnsi="Palatino Linotype" w:cs="Arial"/>
          <w:color w:val="000000" w:themeColor="text1"/>
        </w:rPr>
        <w:t>a</w:t>
      </w:r>
      <w:r>
        <w:rPr>
          <w:rFonts w:ascii="Palatino Linotype" w:hAnsi="Palatino Linotype" w:cs="Arial"/>
          <w:color w:val="000000" w:themeColor="text1"/>
        </w:rPr>
        <w:t xml:space="preserve"> </w:t>
      </w:r>
      <w:r w:rsidR="00CD4A82">
        <w:rPr>
          <w:rFonts w:ascii="Palatino Linotype" w:hAnsi="Palatino Linotype" w:cs="Arial"/>
          <w:color w:val="000000" w:themeColor="text1"/>
        </w:rPr>
        <w:t>Comisión de Conciliación y Arbitraje Médico del Estado de México</w:t>
      </w:r>
      <w:r>
        <w:rPr>
          <w:rFonts w:ascii="Palatino Linotype" w:hAnsi="Palatino Linotype" w:cs="Arial"/>
          <w:color w:val="000000" w:themeColor="text1"/>
        </w:rPr>
        <w:t xml:space="preserve">, el </w:t>
      </w:r>
      <w:r w:rsidR="006F428C">
        <w:rPr>
          <w:rFonts w:ascii="Palatino Linotype" w:hAnsi="Palatino Linotype" w:cs="Arial"/>
          <w:color w:val="000000" w:themeColor="text1"/>
        </w:rPr>
        <w:t>siete (07</w:t>
      </w:r>
      <w:r w:rsidR="004C2E3D">
        <w:rPr>
          <w:rFonts w:ascii="Palatino Linotype" w:hAnsi="Palatino Linotype" w:cs="Arial"/>
          <w:color w:val="000000" w:themeColor="text1"/>
        </w:rPr>
        <w:t>)</w:t>
      </w:r>
      <w:r>
        <w:rPr>
          <w:rFonts w:ascii="Palatino Linotype" w:hAnsi="Palatino Linotype" w:cs="Arial"/>
          <w:color w:val="000000" w:themeColor="text1"/>
        </w:rPr>
        <w:t xml:space="preserve"> de junio de dos mil veintiuno, la solicitud de información </w:t>
      </w:r>
      <w:r w:rsidR="00E936B9">
        <w:rPr>
          <w:rFonts w:ascii="Palatino Linotype" w:hAnsi="Palatino Linotype" w:cs="Arial"/>
          <w:b/>
          <w:bCs/>
          <w:color w:val="000000" w:themeColor="text1"/>
        </w:rPr>
        <w:t>00125/CAMEM/IP/2021</w:t>
      </w:r>
      <w:r>
        <w:rPr>
          <w:rFonts w:ascii="Palatino Linotype" w:hAnsi="Palatino Linotype" w:cs="Arial"/>
          <w:color w:val="000000" w:themeColor="text1"/>
        </w:rPr>
        <w:t xml:space="preserve"> a través de la cual, requirió</w:t>
      </w:r>
      <w:r w:rsidR="00EA10F0">
        <w:rPr>
          <w:rFonts w:ascii="Palatino Linotype" w:hAnsi="Palatino Linotype" w:cs="Arial"/>
          <w:color w:val="000000" w:themeColor="text1"/>
        </w:rPr>
        <w:t>, del parque vehicular,</w:t>
      </w:r>
      <w:r>
        <w:rPr>
          <w:rFonts w:ascii="Palatino Linotype" w:hAnsi="Palatino Linotype" w:cs="Arial"/>
          <w:color w:val="000000" w:themeColor="text1"/>
        </w:rPr>
        <w:t xml:space="preserve"> lo siguiente:</w:t>
      </w:r>
    </w:p>
    <w:p w14:paraId="4A2379DB" w14:textId="77777777" w:rsidR="00EA10F0" w:rsidRPr="00EA10F0" w:rsidRDefault="00EA10F0"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P</w:t>
      </w:r>
      <w:r w:rsidRPr="005B7B54">
        <w:rPr>
          <w:rFonts w:ascii="Palatino Linotype" w:hAnsi="Palatino Linotype" w:cs="Arial"/>
          <w:color w:val="000000" w:themeColor="text1"/>
        </w:rPr>
        <w:t xml:space="preserve">ólizas de seguro; </w:t>
      </w:r>
    </w:p>
    <w:p w14:paraId="0F817B35" w14:textId="77777777" w:rsidR="00EA10F0" w:rsidRPr="00EA10F0" w:rsidRDefault="00EA10F0"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P</w:t>
      </w:r>
      <w:r w:rsidRPr="005B7B54">
        <w:rPr>
          <w:rFonts w:ascii="Palatino Linotype" w:hAnsi="Palatino Linotype" w:cs="Arial"/>
          <w:color w:val="000000" w:themeColor="text1"/>
        </w:rPr>
        <w:t xml:space="preserve">roceso de licitación por el que se adquirieron los seguros; </w:t>
      </w:r>
      <w:r>
        <w:rPr>
          <w:rFonts w:ascii="Palatino Linotype" w:hAnsi="Palatino Linotype" w:cs="Arial"/>
          <w:color w:val="000000" w:themeColor="text1"/>
        </w:rPr>
        <w:t>y</w:t>
      </w:r>
    </w:p>
    <w:p w14:paraId="07805CEE" w14:textId="66FA335A" w:rsidR="00A44BE6" w:rsidRDefault="00EA10F0"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P</w:t>
      </w:r>
      <w:r w:rsidRPr="005B7B54">
        <w:rPr>
          <w:rFonts w:ascii="Palatino Linotype" w:hAnsi="Palatino Linotype" w:cs="Arial"/>
          <w:color w:val="000000" w:themeColor="text1"/>
        </w:rPr>
        <w:t>óliza de egresos del pago de los seguros</w:t>
      </w:r>
      <w:r w:rsidR="006F428C">
        <w:rPr>
          <w:rFonts w:ascii="Palatino Linotype" w:hAnsi="Palatino Linotype" w:cs="Arial"/>
          <w:color w:val="000000" w:themeColor="text1"/>
        </w:rPr>
        <w:t>.</w:t>
      </w:r>
    </w:p>
    <w:p w14:paraId="327C4A10"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FB93C29" w14:textId="3F50C525" w:rsidR="00A44BE6" w:rsidRPr="00661B0B" w:rsidRDefault="00A44BE6" w:rsidP="00661B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w:t>
      </w:r>
      <w:r>
        <w:rPr>
          <w:rFonts w:ascii="Palatino Linotype" w:hAnsi="Palatino Linotype" w:cs="Arial"/>
          <w:bCs/>
          <w:iCs/>
          <w:color w:val="000000" w:themeColor="text1"/>
          <w:lang w:val="es-ES"/>
        </w:rPr>
        <w:t>parte</w:t>
      </w:r>
      <w:r w:rsidRPr="00685C89">
        <w:rPr>
          <w:rFonts w:ascii="Palatino Linotype" w:hAnsi="Palatino Linotype" w:cs="Arial"/>
          <w:bCs/>
          <w:iCs/>
          <w:color w:val="000000" w:themeColor="text1"/>
          <w:lang w:val="es-ES"/>
        </w:rPr>
        <w:t xml:space="preserve">, </w:t>
      </w:r>
      <w:r w:rsidR="00661B0B">
        <w:rPr>
          <w:rFonts w:ascii="Palatino Linotype" w:hAnsi="Palatino Linotype"/>
          <w:color w:val="000000" w:themeColor="text1"/>
        </w:rPr>
        <w:t xml:space="preserve">de las constancias que obran dentro del expediente digital en el SAIMEX, dentro del apartado de </w:t>
      </w:r>
      <w:r w:rsidR="00661B0B">
        <w:rPr>
          <w:rFonts w:ascii="Palatino Linotype" w:hAnsi="Palatino Linotype"/>
          <w:i/>
          <w:color w:val="000000" w:themeColor="text1"/>
        </w:rPr>
        <w:t>Requerimientos</w:t>
      </w:r>
      <w:r w:rsidR="00661B0B">
        <w:rPr>
          <w:rFonts w:ascii="Palatino Linotype" w:hAnsi="Palatino Linotype"/>
          <w:color w:val="000000" w:themeColor="text1"/>
        </w:rPr>
        <w:t>, se advierte que la Unidad de Transparencia turnó la solicitud de información al Servidor Públic</w:t>
      </w:r>
      <w:r w:rsidR="006F428C">
        <w:rPr>
          <w:rFonts w:ascii="Palatino Linotype" w:hAnsi="Palatino Linotype"/>
          <w:color w:val="000000" w:themeColor="text1"/>
        </w:rPr>
        <w:t>o</w:t>
      </w:r>
      <w:r w:rsidR="00661B0B">
        <w:rPr>
          <w:rFonts w:ascii="Palatino Linotype" w:hAnsi="Palatino Linotype"/>
          <w:color w:val="000000" w:themeColor="text1"/>
        </w:rPr>
        <w:t xml:space="preserve"> Habilitad</w:t>
      </w:r>
      <w:r w:rsidR="006F428C">
        <w:rPr>
          <w:rFonts w:ascii="Palatino Linotype" w:hAnsi="Palatino Linotype"/>
          <w:color w:val="000000" w:themeColor="text1"/>
        </w:rPr>
        <w:t>o</w:t>
      </w:r>
      <w:r w:rsidR="00661B0B">
        <w:rPr>
          <w:rFonts w:ascii="Palatino Linotype" w:hAnsi="Palatino Linotype"/>
          <w:color w:val="000000" w:themeColor="text1"/>
        </w:rPr>
        <w:t xml:space="preserve"> </w:t>
      </w:r>
      <w:r w:rsidR="00661B0B">
        <w:rPr>
          <w:rFonts w:ascii="Palatino Linotype" w:hAnsi="Palatino Linotype"/>
          <w:i/>
          <w:color w:val="000000" w:themeColor="text1"/>
        </w:rPr>
        <w:t xml:space="preserve">Lic. </w:t>
      </w:r>
      <w:r w:rsidR="006F428C">
        <w:rPr>
          <w:rFonts w:ascii="Palatino Linotype" w:hAnsi="Palatino Linotype"/>
          <w:i/>
          <w:color w:val="000000" w:themeColor="text1"/>
        </w:rPr>
        <w:t xml:space="preserve">Luis </w:t>
      </w:r>
      <w:proofErr w:type="spellStart"/>
      <w:r w:rsidR="006F428C">
        <w:rPr>
          <w:rFonts w:ascii="Palatino Linotype" w:hAnsi="Palatino Linotype"/>
          <w:i/>
          <w:color w:val="000000" w:themeColor="text1"/>
        </w:rPr>
        <w:t>Nazareth</w:t>
      </w:r>
      <w:proofErr w:type="spellEnd"/>
      <w:r w:rsidR="006F428C">
        <w:rPr>
          <w:rFonts w:ascii="Palatino Linotype" w:hAnsi="Palatino Linotype"/>
          <w:i/>
          <w:color w:val="000000" w:themeColor="text1"/>
        </w:rPr>
        <w:t xml:space="preserve"> Carmona Méndez</w:t>
      </w:r>
      <w:r w:rsidR="00661B0B">
        <w:rPr>
          <w:rFonts w:ascii="Palatino Linotype" w:hAnsi="Palatino Linotype"/>
          <w:color w:val="000000" w:themeColor="text1"/>
        </w:rPr>
        <w:t>, para su atención</w:t>
      </w:r>
      <w:r w:rsidR="00210BAB">
        <w:rPr>
          <w:rFonts w:ascii="Palatino Linotype" w:hAnsi="Palatino Linotype"/>
          <w:color w:val="000000" w:themeColor="text1"/>
        </w:rPr>
        <w:t xml:space="preserve">, y quien de acuerdo con </w:t>
      </w:r>
      <w:r w:rsidR="006F428C">
        <w:rPr>
          <w:rFonts w:ascii="Palatino Linotype" w:hAnsi="Palatino Linotype"/>
          <w:color w:val="000000" w:themeColor="text1"/>
        </w:rPr>
        <w:t xml:space="preserve">el Directorio de todos los servidores públicos del </w:t>
      </w:r>
      <w:r w:rsidR="006F428C">
        <w:rPr>
          <w:rFonts w:ascii="Palatino Linotype" w:hAnsi="Palatino Linotype"/>
          <w:b/>
          <w:color w:val="000000" w:themeColor="text1"/>
        </w:rPr>
        <w:t>SUJETO OBLIGADO</w:t>
      </w:r>
      <w:r w:rsidR="006F428C">
        <w:rPr>
          <w:rStyle w:val="Refdenotaalpie"/>
          <w:rFonts w:ascii="Palatino Linotype" w:hAnsi="Palatino Linotype"/>
          <w:b/>
          <w:color w:val="000000" w:themeColor="text1"/>
        </w:rPr>
        <w:footnoteReference w:id="9"/>
      </w:r>
      <w:r w:rsidR="00210BAB">
        <w:rPr>
          <w:rFonts w:ascii="Palatino Linotype" w:hAnsi="Palatino Linotype"/>
          <w:color w:val="000000" w:themeColor="text1"/>
        </w:rPr>
        <w:t xml:space="preserve">, ostenta el cargo de </w:t>
      </w:r>
      <w:r w:rsidR="00E91D00" w:rsidRPr="001C0AFD">
        <w:rPr>
          <w:rFonts w:ascii="Palatino Linotype" w:hAnsi="Palatino Linotype"/>
          <w:b/>
          <w:color w:val="000000" w:themeColor="text1"/>
        </w:rPr>
        <w:t>Jefe de la Unidad de Apoyo Administrativo</w:t>
      </w:r>
      <w:r w:rsidR="00210BAB">
        <w:rPr>
          <w:rFonts w:ascii="Palatino Linotype" w:hAnsi="Palatino Linotype"/>
          <w:color w:val="000000" w:themeColor="text1"/>
        </w:rPr>
        <w:t>.</w:t>
      </w:r>
    </w:p>
    <w:p w14:paraId="1A1609D1"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26CFA89" w14:textId="4698C4B1" w:rsidR="00E90973" w:rsidRDefault="00210BA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como</w:t>
      </w:r>
      <w:r w:rsidR="00A44BE6" w:rsidRPr="005071C0">
        <w:rPr>
          <w:rFonts w:ascii="Palatino Linotype" w:eastAsia="MS Mincho" w:hAnsi="Palatino Linotype"/>
          <w:bCs/>
        </w:rPr>
        <w:t xml:space="preserve"> fuera referido en el apartado de </w:t>
      </w:r>
      <w:r w:rsidR="00A44BE6" w:rsidRPr="005071C0">
        <w:rPr>
          <w:rFonts w:ascii="Palatino Linotype" w:eastAsia="MS Mincho" w:hAnsi="Palatino Linotype"/>
          <w:bCs/>
          <w:i/>
          <w:iCs/>
        </w:rPr>
        <w:t>Antecedentes</w:t>
      </w:r>
      <w:r w:rsidR="00A44BE6" w:rsidRPr="005071C0">
        <w:rPr>
          <w:rFonts w:ascii="Palatino Linotype" w:eastAsia="MS Mincho" w:hAnsi="Palatino Linotype"/>
          <w:bCs/>
        </w:rPr>
        <w:t xml:space="preserve"> de la presente resolución, el </w:t>
      </w:r>
      <w:r w:rsidR="00A44BE6" w:rsidRPr="005071C0">
        <w:rPr>
          <w:rFonts w:ascii="Palatino Linotype" w:eastAsia="MS Mincho" w:hAnsi="Palatino Linotype"/>
          <w:b/>
          <w:bCs/>
        </w:rPr>
        <w:t>SUJETO OBLIGADO</w:t>
      </w:r>
      <w:r w:rsidR="001C0AFD">
        <w:rPr>
          <w:rFonts w:ascii="Palatino Linotype" w:eastAsia="MS Mincho" w:hAnsi="Palatino Linotype"/>
          <w:bCs/>
        </w:rPr>
        <w:t xml:space="preserve"> presentó su respuesta </w:t>
      </w:r>
      <w:r>
        <w:rPr>
          <w:rFonts w:ascii="Palatino Linotype" w:eastAsia="MS Mincho" w:hAnsi="Palatino Linotype"/>
          <w:bCs/>
        </w:rPr>
        <w:t xml:space="preserve">a </w:t>
      </w:r>
      <w:r w:rsidR="00A44BE6" w:rsidRPr="005071C0">
        <w:rPr>
          <w:rFonts w:ascii="Palatino Linotype" w:eastAsia="MS Mincho" w:hAnsi="Palatino Linotype"/>
          <w:bCs/>
        </w:rPr>
        <w:t xml:space="preserve">través </w:t>
      </w:r>
      <w:r>
        <w:rPr>
          <w:rFonts w:ascii="Palatino Linotype" w:eastAsia="MS Mincho" w:hAnsi="Palatino Linotype"/>
          <w:bCs/>
        </w:rPr>
        <w:t xml:space="preserve">del siguiente </w:t>
      </w:r>
      <w:r w:rsidR="00E91D00">
        <w:rPr>
          <w:rFonts w:ascii="Palatino Linotype" w:eastAsia="MS Mincho" w:hAnsi="Palatino Linotype"/>
          <w:bCs/>
        </w:rPr>
        <w:t>pronunciamiento</w:t>
      </w:r>
      <w:r w:rsidR="00A44BE6" w:rsidRPr="005071C0">
        <w:rPr>
          <w:rFonts w:ascii="Palatino Linotype" w:eastAsia="MS Mincho" w:hAnsi="Palatino Linotype"/>
          <w:bCs/>
        </w:rPr>
        <w:t>:</w:t>
      </w:r>
    </w:p>
    <w:p w14:paraId="04A9F420" w14:textId="18A7F2FC" w:rsidR="00E90973" w:rsidRDefault="00E90973" w:rsidP="00E91D00">
      <w:pPr>
        <w:pStyle w:val="Prrafodelista"/>
        <w:tabs>
          <w:tab w:val="left" w:pos="426"/>
        </w:tabs>
        <w:spacing w:before="240" w:line="360" w:lineRule="auto"/>
        <w:ind w:left="0" w:right="51"/>
        <w:rPr>
          <w:rFonts w:ascii="Palatino Linotype" w:hAnsi="Palatino Linotype"/>
          <w:color w:val="000000" w:themeColor="text1"/>
        </w:rPr>
      </w:pPr>
    </w:p>
    <w:p w14:paraId="7E217F84" w14:textId="752572E0" w:rsidR="00E91D00" w:rsidRPr="00E91D00" w:rsidRDefault="00E91D00" w:rsidP="00E91D00">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1C0AFD" w:rsidRPr="001C0AFD">
        <w:rPr>
          <w:rFonts w:ascii="Palatino Linotype" w:hAnsi="Palatino Linotype"/>
          <w:i/>
          <w:color w:val="000000" w:themeColor="text1"/>
          <w:sz w:val="22"/>
        </w:rPr>
        <w:t xml:space="preserve">En atención a la Solicitud de Información con folio 00125/CAMEM/IP/2021, mediante la cual se requiere a la letra “Quiero que me envíen copia de todas las pólizas de seguros de los vehículos adscritos a la CCAMEM. Quiero que me envíen completo el proceso de licitación para adjudicar los seguros para la flotilla vehicular de la CCAMEM. Quiero copia de la póliza de egresos del pago de los seguros de la flotilla vehicular del CCAMEM. QUIERO QUE ME ENVÍEN COPIA DE CADA PÓLIZA DE SEGURO DE LA FLOTILLA VEHICULAR DE LA CCAMEM GRACIAS.”, me permito hacer entrega y conocimiento de la siguiente documentación: 1.- En cuanto a la copia de todas las pólizas de seguros y de la póliza de egresos del pago de los seguros de la flotilla vehicular del CCAMEM: al respecto se informa que, derivado del volumen de la información pedida,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w:t>
      </w:r>
      <w:r w:rsidR="001C0AFD" w:rsidRPr="001C0AFD">
        <w:rPr>
          <w:rFonts w:ascii="Palatino Linotype" w:hAnsi="Palatino Linotype"/>
          <w:i/>
          <w:color w:val="000000" w:themeColor="text1"/>
          <w:sz w:val="22"/>
        </w:rPr>
        <w:lastRenderedPageBreak/>
        <w:t>que establece lo siguiente: 2.- En relación al proceso de licitación para adjudicar los seguros para la flotilla vehicular de la CCAMEM, me permito informarle que dicho procedimiento adquisitivo se llevó a cabo por parte del Gobierno del Estado de México a través de la Dirección General de Recursos Materiales, mediante la Licitación Pública Nacional Presencial, por tal motivo dicha documentación se encuentra resguardada por dicha Dependencia. Lo anterior, con fundamento en los Artículos 12 y 24 en ambos últimos párrafos, de la Ley de Transparencia y Acceso a la Información Pública del Estado de México y Municipios, y que a la letra dicen: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r>
        <w:rPr>
          <w:rFonts w:ascii="Palatino Linotype" w:hAnsi="Palatino Linotype"/>
          <w:i/>
          <w:color w:val="000000" w:themeColor="text1"/>
          <w:sz w:val="22"/>
        </w:rPr>
        <w:t>”</w:t>
      </w:r>
    </w:p>
    <w:p w14:paraId="7CFCC5B3"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40BA3EF" w14:textId="031451A4" w:rsidR="00E90973" w:rsidRDefault="001C0AFD"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expuesto </w:t>
      </w:r>
      <w:r w:rsidRPr="00794C2B">
        <w:rPr>
          <w:rFonts w:ascii="Palatino Linotype" w:hAnsi="Palatino Linotype"/>
          <w:color w:val="000000" w:themeColor="text1"/>
        </w:rPr>
        <w:t>y</w:t>
      </w:r>
      <w:r>
        <w:rPr>
          <w:rFonts w:ascii="Palatino Linotype" w:hAnsi="Palatino Linotype"/>
          <w:color w:val="000000" w:themeColor="text1"/>
        </w:rPr>
        <w:t>,</w:t>
      </w:r>
      <w:r w:rsidRPr="00794C2B">
        <w:rPr>
          <w:rFonts w:ascii="Palatino Linotype" w:hAnsi="Palatino Linotype"/>
          <w:color w:val="000000" w:themeColor="text1"/>
        </w:rPr>
        <w:t xml:space="preserve"> para mejor proveer, podemos </w:t>
      </w:r>
      <w:r w:rsidRPr="00794C2B">
        <w:rPr>
          <w:rFonts w:ascii="Palatino Linotype" w:hAnsi="Palatino Linotype"/>
          <w:color w:val="000000" w:themeColor="text1"/>
          <w:lang w:val="es-ES"/>
        </w:rPr>
        <w:t>elaborar un cuadro comparativo que refleje la relación entre los puntos requeridos en la solicitud con la información entregada en la respuesta de</w:t>
      </w:r>
      <w:r>
        <w:rPr>
          <w:rFonts w:ascii="Palatino Linotype" w:hAnsi="Palatino Linotype"/>
          <w:color w:val="000000" w:themeColor="text1"/>
          <w:lang w:val="es-ES"/>
        </w:rPr>
        <w:t xml:space="preserve"> </w:t>
      </w:r>
      <w:r w:rsidRPr="00794C2B">
        <w:rPr>
          <w:rFonts w:ascii="Palatino Linotype" w:hAnsi="Palatino Linotype"/>
          <w:color w:val="000000" w:themeColor="text1"/>
          <w:lang w:val="es-ES"/>
        </w:rPr>
        <w:t>l</w:t>
      </w:r>
      <w:r>
        <w:rPr>
          <w:rFonts w:ascii="Palatino Linotype" w:hAnsi="Palatino Linotype"/>
          <w:color w:val="000000" w:themeColor="text1"/>
          <w:lang w:val="es-ES"/>
        </w:rPr>
        <w:t>a</w:t>
      </w:r>
      <w:r w:rsidRPr="00794C2B">
        <w:rPr>
          <w:rFonts w:ascii="Palatino Linotype" w:hAnsi="Palatino Linotype"/>
          <w:color w:val="000000" w:themeColor="text1"/>
          <w:lang w:val="es-ES"/>
        </w:rPr>
        <w:t xml:space="preserve"> </w:t>
      </w:r>
      <w:r>
        <w:rPr>
          <w:rFonts w:ascii="Palatino Linotype" w:hAnsi="Palatino Linotype"/>
          <w:color w:val="000000" w:themeColor="text1"/>
          <w:lang w:val="es-ES"/>
        </w:rPr>
        <w:t>Comisión de Conciliación y Arbitraje Médico del Estado de México y Municipios</w:t>
      </w:r>
      <w:r w:rsidRPr="00794C2B">
        <w:rPr>
          <w:rFonts w:ascii="Palatino Linotype" w:hAnsi="Palatino Linotype"/>
          <w:color w:val="000000" w:themeColor="text1"/>
          <w:vertAlign w:val="superscript"/>
          <w:lang w:val="es-ES"/>
        </w:rPr>
        <w:footnoteReference w:id="10"/>
      </w:r>
      <w:r w:rsidRPr="00794C2B">
        <w:rPr>
          <w:rFonts w:ascii="Palatino Linotype" w:hAnsi="Palatino Linotype"/>
          <w:color w:val="000000" w:themeColor="text1"/>
          <w:lang w:val="es-ES"/>
        </w:rPr>
        <w:t>, mismo que se inserta a continuación:</w:t>
      </w:r>
    </w:p>
    <w:p w14:paraId="35B286F3" w14:textId="6739BBBB" w:rsidR="00E90973" w:rsidRDefault="002630D1" w:rsidP="00E90973">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2CE3EEFE" wp14:editId="70FF349B">
                <wp:simplePos x="0" y="0"/>
                <wp:positionH relativeFrom="margin">
                  <wp:align>right</wp:align>
                </wp:positionH>
                <wp:positionV relativeFrom="paragraph">
                  <wp:posOffset>50478</wp:posOffset>
                </wp:positionV>
                <wp:extent cx="5506872" cy="1944654"/>
                <wp:effectExtent l="38100" t="38100" r="74930" b="93980"/>
                <wp:wrapNone/>
                <wp:docPr id="4" name="Conector recto 4"/>
                <wp:cNvGraphicFramePr/>
                <a:graphic xmlns:a="http://schemas.openxmlformats.org/drawingml/2006/main">
                  <a:graphicData uri="http://schemas.microsoft.com/office/word/2010/wordprocessingShape">
                    <wps:wsp>
                      <wps:cNvCnPr/>
                      <wps:spPr>
                        <a:xfrm flipV="1">
                          <a:off x="0" y="0"/>
                          <a:ext cx="5506872" cy="1944654"/>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3A943" id="Conector recto 4"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3.95pt" to="816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" strokecolor="black [3200]" strokeweight="1pt">
                <v:shadow on="t" color="black" opacity="24903f" origin=",.5" offset="0,.55556mm"/>
                <w10:wrap anchorx="margin"/>
              </v:line>
            </w:pict>
          </mc:Fallback>
        </mc:AlternateContent>
      </w:r>
    </w:p>
    <w:p w14:paraId="79D12918" w14:textId="77777777" w:rsidR="002630D1" w:rsidRDefault="002630D1"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8227201" w14:textId="77777777" w:rsidR="002630D1" w:rsidRDefault="002630D1"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C7C8CF9" w14:textId="77777777" w:rsidR="002630D1" w:rsidRDefault="002630D1"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2138E28F" w14:textId="77777777" w:rsidR="002630D1" w:rsidRDefault="002630D1"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41C6C615" w14:textId="77777777" w:rsidR="002630D1" w:rsidRDefault="002630D1" w:rsidP="00E90973">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555"/>
        <w:gridCol w:w="2126"/>
        <w:gridCol w:w="5147"/>
      </w:tblGrid>
      <w:tr w:rsidR="001C0AFD" w:rsidRPr="002630D1" w14:paraId="30D6163B" w14:textId="77777777" w:rsidTr="002630D1">
        <w:tc>
          <w:tcPr>
            <w:tcW w:w="3681" w:type="dxa"/>
            <w:gridSpan w:val="2"/>
            <w:shd w:val="clear" w:color="auto" w:fill="D9D9D9" w:themeFill="background1" w:themeFillShade="D9"/>
          </w:tcPr>
          <w:p w14:paraId="18DEC8B9" w14:textId="77777777" w:rsidR="001C0AFD" w:rsidRPr="002630D1" w:rsidRDefault="001C0AFD" w:rsidP="002630D1">
            <w:pPr>
              <w:autoSpaceDE w:val="0"/>
              <w:autoSpaceDN w:val="0"/>
              <w:adjustRightInd w:val="0"/>
              <w:jc w:val="center"/>
              <w:rPr>
                <w:rFonts w:ascii="Palatino Linotype" w:eastAsia="Times New Roman" w:hAnsi="Palatino Linotype" w:cs="Arial"/>
                <w:b/>
                <w:bCs/>
                <w:sz w:val="20"/>
                <w:szCs w:val="22"/>
              </w:rPr>
            </w:pPr>
            <w:r w:rsidRPr="002630D1">
              <w:rPr>
                <w:rFonts w:ascii="Palatino Linotype" w:eastAsia="Times New Roman" w:hAnsi="Palatino Linotype" w:cs="Arial"/>
                <w:b/>
                <w:bCs/>
                <w:sz w:val="20"/>
                <w:szCs w:val="22"/>
              </w:rPr>
              <w:t>SOLICITUD</w:t>
            </w:r>
          </w:p>
        </w:tc>
        <w:tc>
          <w:tcPr>
            <w:tcW w:w="5147" w:type="dxa"/>
            <w:shd w:val="clear" w:color="auto" w:fill="D9D9D9" w:themeFill="background1" w:themeFillShade="D9"/>
          </w:tcPr>
          <w:p w14:paraId="35C710A3" w14:textId="77777777" w:rsidR="001C0AFD" w:rsidRPr="002630D1" w:rsidRDefault="001C0AFD" w:rsidP="002630D1">
            <w:pPr>
              <w:autoSpaceDE w:val="0"/>
              <w:autoSpaceDN w:val="0"/>
              <w:adjustRightInd w:val="0"/>
              <w:jc w:val="center"/>
              <w:rPr>
                <w:rFonts w:ascii="Palatino Linotype" w:eastAsia="Times New Roman" w:hAnsi="Palatino Linotype" w:cs="Arial"/>
                <w:b/>
                <w:bCs/>
                <w:sz w:val="20"/>
                <w:szCs w:val="22"/>
              </w:rPr>
            </w:pPr>
            <w:r w:rsidRPr="002630D1">
              <w:rPr>
                <w:rFonts w:ascii="Palatino Linotype" w:eastAsia="Times New Roman" w:hAnsi="Palatino Linotype" w:cs="Arial"/>
                <w:b/>
                <w:bCs/>
                <w:sz w:val="20"/>
                <w:szCs w:val="22"/>
              </w:rPr>
              <w:t>RESPUESTA</w:t>
            </w:r>
          </w:p>
        </w:tc>
      </w:tr>
      <w:tr w:rsidR="002630D1" w:rsidRPr="002630D1" w14:paraId="123A8226" w14:textId="77777777" w:rsidTr="002630D1">
        <w:trPr>
          <w:trHeight w:val="530"/>
        </w:trPr>
        <w:tc>
          <w:tcPr>
            <w:tcW w:w="1555" w:type="dxa"/>
            <w:vMerge w:val="restart"/>
          </w:tcPr>
          <w:p w14:paraId="201FA72F" w14:textId="1F6C2687" w:rsidR="002630D1" w:rsidRPr="002630D1" w:rsidRDefault="002630D1" w:rsidP="002630D1">
            <w:pPr>
              <w:autoSpaceDE w:val="0"/>
              <w:autoSpaceDN w:val="0"/>
              <w:adjustRightInd w:val="0"/>
              <w:rPr>
                <w:rFonts w:ascii="Palatino Linotype" w:eastAsia="Times New Roman" w:hAnsi="Palatino Linotype" w:cs="Arial"/>
                <w:sz w:val="20"/>
                <w:szCs w:val="22"/>
              </w:rPr>
            </w:pPr>
            <w:r w:rsidRPr="002630D1">
              <w:rPr>
                <w:rFonts w:ascii="Palatino Linotype" w:eastAsia="Times New Roman" w:hAnsi="Palatino Linotype" w:cs="Arial"/>
                <w:sz w:val="20"/>
                <w:szCs w:val="22"/>
              </w:rPr>
              <w:t xml:space="preserve">Del parque vehicular de la Comisión de Conciliación y Arbitraje Médico del Estado de México y Municipios: </w:t>
            </w:r>
          </w:p>
        </w:tc>
        <w:tc>
          <w:tcPr>
            <w:tcW w:w="2126" w:type="dxa"/>
          </w:tcPr>
          <w:p w14:paraId="27ADB0D7" w14:textId="0C6F5B14" w:rsidR="002630D1" w:rsidRPr="002630D1" w:rsidRDefault="002630D1" w:rsidP="002630D1">
            <w:pPr>
              <w:rPr>
                <w:rFonts w:ascii="Palatino Linotype" w:eastAsia="Times New Roman" w:hAnsi="Palatino Linotype" w:cs="Arial"/>
                <w:sz w:val="20"/>
                <w:szCs w:val="22"/>
              </w:rPr>
            </w:pPr>
            <w:r w:rsidRPr="002630D1">
              <w:rPr>
                <w:rFonts w:ascii="Palatino Linotype" w:eastAsia="Times New Roman" w:hAnsi="Palatino Linotype" w:cs="Arial"/>
                <w:sz w:val="20"/>
                <w:szCs w:val="22"/>
              </w:rPr>
              <w:t xml:space="preserve">Proceso de licitación por el que se adquirieron los seguros; y, </w:t>
            </w:r>
          </w:p>
        </w:tc>
        <w:tc>
          <w:tcPr>
            <w:tcW w:w="5147" w:type="dxa"/>
          </w:tcPr>
          <w:p w14:paraId="10A12CA5" w14:textId="2705C8B6" w:rsidR="002630D1" w:rsidRPr="002630D1" w:rsidRDefault="002630D1" w:rsidP="002630D1">
            <w:pPr>
              <w:autoSpaceDE w:val="0"/>
              <w:autoSpaceDN w:val="0"/>
              <w:adjustRightInd w:val="0"/>
              <w:jc w:val="both"/>
              <w:rPr>
                <w:rFonts w:ascii="Palatino Linotype" w:eastAsia="Times New Roman" w:hAnsi="Palatino Linotype" w:cs="Arial"/>
                <w:sz w:val="20"/>
                <w:szCs w:val="22"/>
              </w:rPr>
            </w:pPr>
            <w:r>
              <w:rPr>
                <w:rFonts w:ascii="Palatino Linotype" w:eastAsia="Times New Roman" w:hAnsi="Palatino Linotype" w:cs="Arial"/>
                <w:sz w:val="20"/>
                <w:szCs w:val="22"/>
              </w:rPr>
              <w:t xml:space="preserve">Informó que el </w:t>
            </w:r>
            <w:r w:rsidRPr="002630D1">
              <w:rPr>
                <w:rFonts w:ascii="Palatino Linotype" w:eastAsia="Times New Roman" w:hAnsi="Palatino Linotype" w:cs="Arial"/>
                <w:sz w:val="20"/>
                <w:szCs w:val="22"/>
              </w:rPr>
              <w:t>procedimiento adquisitivo se llevó a cabo por parte del Gobierno del Estado de México</w:t>
            </w:r>
            <w:r>
              <w:rPr>
                <w:rFonts w:ascii="Palatino Linotype" w:eastAsia="Times New Roman" w:hAnsi="Palatino Linotype" w:cs="Arial"/>
                <w:sz w:val="20"/>
                <w:szCs w:val="22"/>
              </w:rPr>
              <w:t>,</w:t>
            </w:r>
            <w:r w:rsidRPr="002630D1">
              <w:rPr>
                <w:rFonts w:ascii="Palatino Linotype" w:eastAsia="Times New Roman" w:hAnsi="Palatino Linotype" w:cs="Arial"/>
                <w:sz w:val="20"/>
                <w:szCs w:val="22"/>
              </w:rPr>
              <w:t xml:space="preserve"> a través de la Dirección General de Recursos Materiales, mediante Licitac</w:t>
            </w:r>
            <w:r>
              <w:rPr>
                <w:rFonts w:ascii="Palatino Linotype" w:eastAsia="Times New Roman" w:hAnsi="Palatino Linotype" w:cs="Arial"/>
                <w:sz w:val="20"/>
                <w:szCs w:val="22"/>
              </w:rPr>
              <w:t>ión Pública Nacional Presencial;</w:t>
            </w:r>
            <w:r w:rsidRPr="002630D1">
              <w:rPr>
                <w:rFonts w:ascii="Palatino Linotype" w:eastAsia="Times New Roman" w:hAnsi="Palatino Linotype" w:cs="Arial"/>
                <w:sz w:val="20"/>
                <w:szCs w:val="22"/>
              </w:rPr>
              <w:t xml:space="preserve"> por tal motivo</w:t>
            </w:r>
            <w:r>
              <w:rPr>
                <w:rFonts w:ascii="Palatino Linotype" w:eastAsia="Times New Roman" w:hAnsi="Palatino Linotype" w:cs="Arial"/>
                <w:sz w:val="20"/>
                <w:szCs w:val="22"/>
              </w:rPr>
              <w:t>, no contaba con la información.</w:t>
            </w:r>
          </w:p>
        </w:tc>
      </w:tr>
      <w:tr w:rsidR="002630D1" w:rsidRPr="002630D1" w14:paraId="78A40BD2" w14:textId="77777777" w:rsidTr="002630D1">
        <w:trPr>
          <w:trHeight w:val="835"/>
        </w:trPr>
        <w:tc>
          <w:tcPr>
            <w:tcW w:w="1555" w:type="dxa"/>
            <w:vMerge/>
          </w:tcPr>
          <w:p w14:paraId="699F94DD" w14:textId="77777777" w:rsidR="002630D1" w:rsidRPr="002630D1" w:rsidRDefault="002630D1" w:rsidP="002630D1">
            <w:pPr>
              <w:autoSpaceDE w:val="0"/>
              <w:autoSpaceDN w:val="0"/>
              <w:adjustRightInd w:val="0"/>
              <w:jc w:val="center"/>
              <w:rPr>
                <w:rFonts w:ascii="Palatino Linotype" w:eastAsia="Times New Roman" w:hAnsi="Palatino Linotype" w:cs="Arial"/>
                <w:sz w:val="20"/>
                <w:szCs w:val="22"/>
              </w:rPr>
            </w:pPr>
          </w:p>
        </w:tc>
        <w:tc>
          <w:tcPr>
            <w:tcW w:w="2126" w:type="dxa"/>
          </w:tcPr>
          <w:p w14:paraId="2A1ED0CE" w14:textId="75A5D720" w:rsidR="002630D1" w:rsidRPr="002630D1" w:rsidRDefault="002630D1" w:rsidP="002630D1">
            <w:pPr>
              <w:autoSpaceDE w:val="0"/>
              <w:autoSpaceDN w:val="0"/>
              <w:adjustRightInd w:val="0"/>
              <w:jc w:val="center"/>
              <w:rPr>
                <w:rFonts w:ascii="Palatino Linotype" w:eastAsia="Times New Roman" w:hAnsi="Palatino Linotype" w:cs="Arial"/>
                <w:sz w:val="20"/>
                <w:szCs w:val="22"/>
              </w:rPr>
            </w:pPr>
            <w:r w:rsidRPr="002630D1">
              <w:rPr>
                <w:rFonts w:ascii="Palatino Linotype" w:eastAsia="Times New Roman" w:hAnsi="Palatino Linotype" w:cs="Arial"/>
                <w:sz w:val="20"/>
                <w:szCs w:val="22"/>
              </w:rPr>
              <w:t>Pólizas de seguro.</w:t>
            </w:r>
          </w:p>
        </w:tc>
        <w:tc>
          <w:tcPr>
            <w:tcW w:w="5147" w:type="dxa"/>
            <w:vMerge w:val="restart"/>
          </w:tcPr>
          <w:p w14:paraId="7B3D459A" w14:textId="4E1FDB6B" w:rsidR="002630D1" w:rsidRPr="002630D1" w:rsidRDefault="002630D1" w:rsidP="002630D1">
            <w:pPr>
              <w:autoSpaceDE w:val="0"/>
              <w:autoSpaceDN w:val="0"/>
              <w:adjustRightInd w:val="0"/>
              <w:jc w:val="both"/>
              <w:rPr>
                <w:rFonts w:ascii="Palatino Linotype" w:eastAsia="Times New Roman" w:hAnsi="Palatino Linotype" w:cs="Arial"/>
                <w:sz w:val="20"/>
                <w:szCs w:val="22"/>
              </w:rPr>
            </w:pPr>
            <w:r>
              <w:rPr>
                <w:rFonts w:ascii="Palatino Linotype" w:eastAsia="Times New Roman" w:hAnsi="Palatino Linotype" w:cs="Arial"/>
                <w:sz w:val="20"/>
                <w:szCs w:val="22"/>
              </w:rPr>
              <w:t xml:space="preserve">El </w:t>
            </w:r>
            <w:r>
              <w:rPr>
                <w:rFonts w:ascii="Palatino Linotype" w:eastAsia="Times New Roman" w:hAnsi="Palatino Linotype" w:cs="Arial"/>
                <w:b/>
                <w:sz w:val="20"/>
                <w:szCs w:val="22"/>
              </w:rPr>
              <w:t>SUJETO OBLIGADO</w:t>
            </w:r>
            <w:r>
              <w:rPr>
                <w:rFonts w:ascii="Palatino Linotype" w:eastAsia="Times New Roman" w:hAnsi="Palatino Linotype" w:cs="Arial"/>
                <w:sz w:val="20"/>
                <w:szCs w:val="22"/>
              </w:rPr>
              <w:t xml:space="preserve"> cambió la modalidad de entrega de la información a Consulta Directa en las instalaciones de la Comisión de Conciliación y Arbitraje Médico del Estado de México derivado, a su dicho, del volumen de la información solicitada.</w:t>
            </w:r>
          </w:p>
        </w:tc>
      </w:tr>
      <w:tr w:rsidR="002630D1" w:rsidRPr="002630D1" w14:paraId="223F4C19" w14:textId="77777777" w:rsidTr="002630D1">
        <w:trPr>
          <w:trHeight w:val="604"/>
        </w:trPr>
        <w:tc>
          <w:tcPr>
            <w:tcW w:w="1555" w:type="dxa"/>
            <w:vMerge/>
          </w:tcPr>
          <w:p w14:paraId="48666043" w14:textId="77777777" w:rsidR="002630D1" w:rsidRPr="002630D1" w:rsidRDefault="002630D1" w:rsidP="002630D1">
            <w:pPr>
              <w:autoSpaceDE w:val="0"/>
              <w:autoSpaceDN w:val="0"/>
              <w:adjustRightInd w:val="0"/>
              <w:jc w:val="center"/>
              <w:rPr>
                <w:rFonts w:ascii="Palatino Linotype" w:eastAsia="Times New Roman" w:hAnsi="Palatino Linotype" w:cs="Arial"/>
                <w:sz w:val="20"/>
                <w:szCs w:val="22"/>
              </w:rPr>
            </w:pPr>
          </w:p>
        </w:tc>
        <w:tc>
          <w:tcPr>
            <w:tcW w:w="2126" w:type="dxa"/>
          </w:tcPr>
          <w:p w14:paraId="1A87D69D" w14:textId="17B772CF" w:rsidR="002630D1" w:rsidRPr="002630D1" w:rsidRDefault="002630D1" w:rsidP="002630D1">
            <w:pPr>
              <w:autoSpaceDE w:val="0"/>
              <w:autoSpaceDN w:val="0"/>
              <w:adjustRightInd w:val="0"/>
              <w:jc w:val="center"/>
              <w:rPr>
                <w:rFonts w:ascii="Palatino Linotype" w:eastAsia="Times New Roman" w:hAnsi="Palatino Linotype" w:cs="Arial"/>
                <w:sz w:val="20"/>
                <w:szCs w:val="22"/>
              </w:rPr>
            </w:pPr>
            <w:r w:rsidRPr="002630D1">
              <w:rPr>
                <w:rFonts w:ascii="Palatino Linotype" w:eastAsia="Times New Roman" w:hAnsi="Palatino Linotype" w:cs="Arial"/>
                <w:sz w:val="20"/>
                <w:szCs w:val="22"/>
              </w:rPr>
              <w:t>Póliza de egresos del pago de los seguros</w:t>
            </w:r>
          </w:p>
        </w:tc>
        <w:tc>
          <w:tcPr>
            <w:tcW w:w="5147" w:type="dxa"/>
            <w:vMerge/>
          </w:tcPr>
          <w:p w14:paraId="68410A91" w14:textId="0BB968E4" w:rsidR="002630D1" w:rsidRPr="002630D1" w:rsidRDefault="002630D1" w:rsidP="002630D1">
            <w:pPr>
              <w:autoSpaceDE w:val="0"/>
              <w:autoSpaceDN w:val="0"/>
              <w:adjustRightInd w:val="0"/>
              <w:jc w:val="both"/>
              <w:rPr>
                <w:rFonts w:ascii="Palatino Linotype" w:eastAsia="Times New Roman" w:hAnsi="Palatino Linotype" w:cs="Arial"/>
                <w:sz w:val="20"/>
                <w:szCs w:val="22"/>
              </w:rPr>
            </w:pPr>
          </w:p>
        </w:tc>
      </w:tr>
    </w:tbl>
    <w:p w14:paraId="5B377F80" w14:textId="77777777" w:rsidR="001C0AFD" w:rsidRDefault="001C0AFD"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7316A11" w14:textId="2154F538" w:rsidR="002630D1" w:rsidRDefault="002630D1"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lo anterior, y </w:t>
      </w:r>
      <w:r w:rsidRPr="002630D1">
        <w:rPr>
          <w:rFonts w:ascii="Palatino Linotype" w:hAnsi="Palatino Linotype"/>
          <w:color w:val="000000" w:themeColor="text1"/>
        </w:rPr>
        <w:t xml:space="preserve">como fuera expuesto en el apartado de </w:t>
      </w:r>
      <w:r w:rsidRPr="002630D1">
        <w:rPr>
          <w:rFonts w:ascii="Palatino Linotype" w:hAnsi="Palatino Linotype"/>
          <w:i/>
          <w:iCs/>
          <w:color w:val="000000" w:themeColor="text1"/>
        </w:rPr>
        <w:t>Antecedentes</w:t>
      </w:r>
      <w:r w:rsidRPr="002630D1">
        <w:rPr>
          <w:rFonts w:ascii="Palatino Linotype" w:hAnsi="Palatino Linotype"/>
          <w:color w:val="000000" w:themeColor="text1"/>
        </w:rPr>
        <w:t xml:space="preserve"> del presente escrito, el </w:t>
      </w:r>
      <w:r>
        <w:rPr>
          <w:rFonts w:ascii="Palatino Linotype" w:hAnsi="Palatino Linotype"/>
          <w:color w:val="000000" w:themeColor="text1"/>
        </w:rPr>
        <w:t>dos (02) de agosto</w:t>
      </w:r>
      <w:r w:rsidRPr="002630D1">
        <w:rPr>
          <w:rFonts w:ascii="Palatino Linotype" w:hAnsi="Palatino Linotype"/>
          <w:color w:val="000000" w:themeColor="text1"/>
        </w:rPr>
        <w:t xml:space="preserve"> de dos mil veintiuno, el particular </w:t>
      </w:r>
      <w:r>
        <w:rPr>
          <w:rFonts w:ascii="Palatino Linotype" w:hAnsi="Palatino Linotype"/>
          <w:color w:val="000000" w:themeColor="text1"/>
        </w:rPr>
        <w:t xml:space="preserve">impugnó la respuesta proporcionada por el </w:t>
      </w:r>
      <w:r>
        <w:rPr>
          <w:rFonts w:ascii="Palatino Linotype" w:hAnsi="Palatino Linotype"/>
          <w:b/>
          <w:color w:val="000000" w:themeColor="text1"/>
        </w:rPr>
        <w:t>SUJETO OBLIGADO</w:t>
      </w:r>
      <w:r>
        <w:rPr>
          <w:rFonts w:ascii="Palatino Linotype" w:hAnsi="Palatino Linotype"/>
          <w:color w:val="000000" w:themeColor="text1"/>
        </w:rPr>
        <w:t xml:space="preserve"> mediante el recurso de revisión </w:t>
      </w:r>
      <w:r>
        <w:rPr>
          <w:rFonts w:ascii="Palatino Linotype" w:hAnsi="Palatino Linotype"/>
          <w:b/>
          <w:color w:val="000000" w:themeColor="text1"/>
        </w:rPr>
        <w:t>03843/INFOEM/IP/RR/2021</w:t>
      </w:r>
      <w:r w:rsidRPr="002630D1">
        <w:rPr>
          <w:rFonts w:ascii="Palatino Linotype" w:hAnsi="Palatino Linotype"/>
          <w:color w:val="000000" w:themeColor="text1"/>
        </w:rPr>
        <w:t xml:space="preserve">, dentro del cual </w:t>
      </w:r>
      <w:r w:rsidR="00853AB6">
        <w:rPr>
          <w:rFonts w:ascii="Palatino Linotype" w:hAnsi="Palatino Linotype"/>
          <w:color w:val="000000" w:themeColor="text1"/>
        </w:rPr>
        <w:t xml:space="preserve">señaló como </w:t>
      </w:r>
      <w:r w:rsidR="00853AB6">
        <w:rPr>
          <w:rFonts w:ascii="Palatino Linotype" w:hAnsi="Palatino Linotype"/>
          <w:i/>
          <w:color w:val="000000" w:themeColor="text1"/>
        </w:rPr>
        <w:t>Acto impugnado</w:t>
      </w:r>
      <w:r w:rsidR="00853AB6">
        <w:rPr>
          <w:rFonts w:ascii="Palatino Linotype" w:hAnsi="Palatino Linotype"/>
          <w:color w:val="000000" w:themeColor="text1"/>
        </w:rPr>
        <w:t xml:space="preserve"> y </w:t>
      </w:r>
      <w:r w:rsidR="00853AB6">
        <w:rPr>
          <w:rFonts w:ascii="Palatino Linotype" w:hAnsi="Palatino Linotype"/>
          <w:i/>
          <w:color w:val="000000" w:themeColor="text1"/>
        </w:rPr>
        <w:t>Razones o motivos de la inconformidad</w:t>
      </w:r>
      <w:r w:rsidR="00853AB6">
        <w:rPr>
          <w:rFonts w:ascii="Palatino Linotype" w:hAnsi="Palatino Linotype"/>
          <w:color w:val="000000" w:themeColor="text1"/>
        </w:rPr>
        <w:t xml:space="preserve"> lo siguiente</w:t>
      </w:r>
      <w:r w:rsidRPr="002630D1">
        <w:rPr>
          <w:rFonts w:ascii="Palatino Linotype" w:hAnsi="Palatino Linotype"/>
          <w:color w:val="000000" w:themeColor="text1"/>
        </w:rPr>
        <w:t>:</w:t>
      </w:r>
    </w:p>
    <w:p w14:paraId="4F414C96" w14:textId="77777777" w:rsidR="002630D1" w:rsidRDefault="002630D1" w:rsidP="002630D1">
      <w:pPr>
        <w:pStyle w:val="Prrafodelista"/>
        <w:tabs>
          <w:tab w:val="left" w:pos="426"/>
        </w:tabs>
        <w:spacing w:before="240" w:after="240" w:line="360" w:lineRule="auto"/>
        <w:ind w:left="0" w:right="51"/>
        <w:jc w:val="both"/>
        <w:rPr>
          <w:rFonts w:ascii="Palatino Linotype" w:hAnsi="Palatino Linotype"/>
          <w:color w:val="000000" w:themeColor="text1"/>
        </w:rPr>
      </w:pPr>
    </w:p>
    <w:p w14:paraId="5350348B" w14:textId="1B9A97C8" w:rsidR="00853AB6" w:rsidRPr="00853AB6" w:rsidRDefault="00853AB6" w:rsidP="00853AB6">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r w:rsidRPr="00853AB6">
        <w:rPr>
          <w:rFonts w:ascii="Palatino Linotype" w:hAnsi="Palatino Linotype"/>
          <w:i/>
          <w:color w:val="000000" w:themeColor="text1"/>
          <w:sz w:val="22"/>
        </w:rPr>
        <w:t>No entrega las pólizas, dizque que por el "volumen de información", si no tienen una flotilla de más de 10 autos.</w:t>
      </w:r>
      <w:r>
        <w:rPr>
          <w:rFonts w:ascii="Palatino Linotype" w:hAnsi="Palatino Linotype"/>
          <w:i/>
          <w:color w:val="000000" w:themeColor="text1"/>
          <w:sz w:val="22"/>
        </w:rPr>
        <w:t>”</w:t>
      </w:r>
      <w:r>
        <w:rPr>
          <w:rFonts w:ascii="Palatino Linotype" w:hAnsi="Palatino Linotype"/>
          <w:color w:val="000000" w:themeColor="text1"/>
          <w:sz w:val="22"/>
        </w:rPr>
        <w:t xml:space="preserve"> (Sic)</w:t>
      </w:r>
    </w:p>
    <w:p w14:paraId="46FC921C" w14:textId="77777777" w:rsidR="00853AB6" w:rsidRDefault="00853AB6" w:rsidP="002630D1">
      <w:pPr>
        <w:pStyle w:val="Prrafodelista"/>
        <w:tabs>
          <w:tab w:val="left" w:pos="426"/>
        </w:tabs>
        <w:spacing w:before="240" w:after="240" w:line="360" w:lineRule="auto"/>
        <w:ind w:left="0" w:right="51"/>
        <w:jc w:val="both"/>
        <w:rPr>
          <w:rFonts w:ascii="Palatino Linotype" w:hAnsi="Palatino Linotype"/>
          <w:color w:val="000000" w:themeColor="text1"/>
        </w:rPr>
      </w:pPr>
    </w:p>
    <w:p w14:paraId="215601ED" w14:textId="5763226F" w:rsidR="002630D1" w:rsidRDefault="00853AB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Times New Roman" w:hAnsi="Palatino Linotype" w:cs="Arial"/>
        </w:rPr>
        <w:t xml:space="preserve">lo anterior se coligue que el </w:t>
      </w:r>
      <w:r>
        <w:rPr>
          <w:rFonts w:ascii="Palatino Linotype" w:eastAsia="Times New Roman" w:hAnsi="Palatino Linotype" w:cs="Arial"/>
          <w:b/>
          <w:bCs/>
        </w:rPr>
        <w:t>RECURRENTE</w:t>
      </w:r>
      <w:r>
        <w:rPr>
          <w:rFonts w:ascii="Palatino Linotype" w:eastAsia="Times New Roman" w:hAnsi="Palatino Linotype" w:cs="Arial"/>
        </w:rPr>
        <w:t xml:space="preserve"> está parcialmente conforme con la respuesta emitida por el </w:t>
      </w:r>
      <w:r>
        <w:rPr>
          <w:rFonts w:ascii="Palatino Linotype" w:eastAsia="Times New Roman" w:hAnsi="Palatino Linotype" w:cs="Arial"/>
          <w:b/>
          <w:bCs/>
        </w:rPr>
        <w:t>SUJETO OBLIGADO</w:t>
      </w:r>
      <w:r>
        <w:rPr>
          <w:rFonts w:ascii="Palatino Linotype" w:eastAsia="Times New Roman" w:hAnsi="Palatino Linotype" w:cs="Arial"/>
        </w:rPr>
        <w:t>, ya que solamente se manifestó inconforme con la justificación del cambio de modalidad de entrega de la información; empero, no se pronunció sobre la incompetencia para poseer, generar o administrar la información relacionada con el procedimiento de adquisición de los seguros del parque vehicular.</w:t>
      </w:r>
    </w:p>
    <w:p w14:paraId="172406D0" w14:textId="77777777" w:rsidR="002630D1" w:rsidRDefault="002630D1" w:rsidP="002630D1">
      <w:pPr>
        <w:pStyle w:val="Prrafodelista"/>
        <w:tabs>
          <w:tab w:val="left" w:pos="426"/>
        </w:tabs>
        <w:spacing w:before="240" w:after="240" w:line="360" w:lineRule="auto"/>
        <w:ind w:left="0" w:right="51"/>
        <w:jc w:val="both"/>
        <w:rPr>
          <w:rFonts w:ascii="Palatino Linotype" w:hAnsi="Palatino Linotype"/>
          <w:color w:val="000000" w:themeColor="text1"/>
        </w:rPr>
      </w:pPr>
    </w:p>
    <w:p w14:paraId="7B94AF8B" w14:textId="5CCCE5CF" w:rsidR="002630D1" w:rsidRDefault="00853AB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Consecuencia </w:t>
      </w:r>
      <w:r>
        <w:rPr>
          <w:rFonts w:ascii="Palatino Linotype" w:eastAsia="Times New Roman" w:hAnsi="Palatino Linotype" w:cs="Arial"/>
        </w:rPr>
        <w:t xml:space="preserve">de lo anterior, la respuesta otorgada por el </w:t>
      </w:r>
      <w:r>
        <w:rPr>
          <w:rFonts w:ascii="Palatino Linotype" w:eastAsia="Times New Roman" w:hAnsi="Palatino Linotype" w:cs="Arial"/>
          <w:b/>
          <w:bCs/>
        </w:rPr>
        <w:t>SUJETO OBLIGADO</w:t>
      </w:r>
      <w:r>
        <w:rPr>
          <w:rFonts w:ascii="Palatino Linotype" w:eastAsia="Times New Roman" w:hAnsi="Palatino Linotype" w:cs="Arial"/>
        </w:rPr>
        <w:t xml:space="preserve"> en relación con el procedimiento de adquisición de los seguros del parque vehicular debe entenderse como consentida por el </w:t>
      </w:r>
      <w:r>
        <w:rPr>
          <w:rFonts w:ascii="Palatino Linotype" w:eastAsia="Times New Roman" w:hAnsi="Palatino Linotype" w:cs="Arial"/>
          <w:b/>
          <w:bCs/>
        </w:rPr>
        <w:t>RECURRENTE</w:t>
      </w:r>
      <w:r>
        <w:rPr>
          <w:rFonts w:ascii="Palatino Linotype" w:eastAsia="Times New Roman" w:hAnsi="Palatino Linotype" w:cs="Arial"/>
        </w:rPr>
        <w:t xml:space="preserve">. Ello es así, </w:t>
      </w:r>
      <w:r w:rsidRPr="00B72019">
        <w:rPr>
          <w:rFonts w:ascii="Palatino Linotype" w:eastAsia="Times New Roman" w:hAnsi="Palatino Linotype" w:cs="Arial"/>
        </w:rPr>
        <w:t>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C2617C0" w14:textId="77777777" w:rsidR="002630D1" w:rsidRDefault="002630D1" w:rsidP="00853AB6">
      <w:pPr>
        <w:pStyle w:val="Prrafodelista"/>
        <w:tabs>
          <w:tab w:val="left" w:pos="426"/>
        </w:tabs>
        <w:spacing w:before="240" w:line="360" w:lineRule="auto"/>
        <w:ind w:left="0" w:right="51"/>
        <w:jc w:val="both"/>
        <w:rPr>
          <w:rFonts w:ascii="Palatino Linotype" w:hAnsi="Palatino Linotype"/>
          <w:color w:val="000000" w:themeColor="text1"/>
        </w:rPr>
      </w:pPr>
    </w:p>
    <w:p w14:paraId="3791E04A" w14:textId="77777777" w:rsidR="00853AB6" w:rsidRPr="00794C2B" w:rsidRDefault="00853AB6" w:rsidP="00853AB6">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REVISIÓN EN AMPARO. LOS RESOLUTIVOS NO COMBATIDOS DEBEN DECLARARSE FIRMES</w:t>
      </w:r>
      <w:r w:rsidRPr="00794C2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AC7766" w14:textId="77777777" w:rsidR="00853AB6" w:rsidRDefault="00853AB6" w:rsidP="002630D1">
      <w:pPr>
        <w:pStyle w:val="Prrafodelista"/>
        <w:tabs>
          <w:tab w:val="left" w:pos="426"/>
        </w:tabs>
        <w:spacing w:before="240" w:after="240" w:line="360" w:lineRule="auto"/>
        <w:ind w:left="0" w:right="51"/>
        <w:jc w:val="both"/>
        <w:rPr>
          <w:rFonts w:ascii="Palatino Linotype" w:hAnsi="Palatino Linotype"/>
          <w:color w:val="000000" w:themeColor="text1"/>
        </w:rPr>
      </w:pPr>
    </w:p>
    <w:p w14:paraId="0C3B786F" w14:textId="77777777" w:rsidR="00853AB6" w:rsidRPr="00853AB6" w:rsidRDefault="00853AB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w:t>
      </w:r>
      <w:r w:rsidRPr="00B72019">
        <w:rPr>
          <w:rFonts w:ascii="Palatino Linotype" w:eastAsia="Times New Roman" w:hAnsi="Palatino Linotype" w:cs="Arial"/>
        </w:rPr>
        <w:t xml:space="preserve">la parte de la solicitud sobre la que no se expresó inconformidad, debe declararse consentida por el hoy </w:t>
      </w:r>
      <w:r w:rsidRPr="00B72019">
        <w:rPr>
          <w:rFonts w:ascii="Palatino Linotype" w:eastAsia="Times New Roman" w:hAnsi="Palatino Linotype" w:cs="Arial"/>
          <w:b/>
        </w:rPr>
        <w:t>RECURRENTE</w:t>
      </w:r>
      <w:r w:rsidRPr="00B72019">
        <w:rPr>
          <w:rFonts w:ascii="Palatino Linotype" w:eastAsia="Times New Roman" w:hAnsi="Palatino Linotype" w:cs="Arial"/>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eastAsia="Times New Roman" w:hAnsi="Palatino Linotype" w:cs="Arial"/>
        </w:rPr>
        <w:t>particular</w:t>
      </w:r>
      <w:r w:rsidRPr="00B72019">
        <w:rPr>
          <w:rFonts w:ascii="Palatino Linotype" w:eastAsia="Times New Roman" w:hAnsi="Palatino Linotype" w:cs="Arial"/>
        </w:rPr>
        <w:t xml:space="preserve"> ante la falta de impugnación eficaz. </w:t>
      </w:r>
    </w:p>
    <w:p w14:paraId="5B4FF0E9" w14:textId="77777777" w:rsidR="00853AB6" w:rsidRPr="00853AB6" w:rsidRDefault="00853AB6" w:rsidP="00853AB6">
      <w:pPr>
        <w:pStyle w:val="Prrafodelista"/>
        <w:tabs>
          <w:tab w:val="left" w:pos="426"/>
        </w:tabs>
        <w:spacing w:before="240" w:after="240" w:line="360" w:lineRule="auto"/>
        <w:ind w:left="0" w:right="51"/>
        <w:jc w:val="both"/>
        <w:rPr>
          <w:rFonts w:ascii="Palatino Linotype" w:hAnsi="Palatino Linotype"/>
          <w:color w:val="000000" w:themeColor="text1"/>
        </w:rPr>
      </w:pPr>
    </w:p>
    <w:p w14:paraId="5ADFA414" w14:textId="6087F85D" w:rsidR="002630D1" w:rsidRDefault="00853AB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72019">
        <w:rPr>
          <w:rFonts w:ascii="Palatino Linotype" w:eastAsia="Times New Roman" w:hAnsi="Palatino Linotype" w:cs="Arial"/>
        </w:rPr>
        <w:lastRenderedPageBreak/>
        <w:t>Sirve de sustento a lo anterior, por analogía, la tesis jurisprudencial número VI.3o.C. J/60, publicada en el Semanario Judicial de la Federación y su Gaceta bajo el número de registro 176,608 que a la letra dice:</w:t>
      </w:r>
    </w:p>
    <w:p w14:paraId="3C6A17D0" w14:textId="77777777" w:rsidR="002630D1" w:rsidRDefault="002630D1" w:rsidP="00853AB6">
      <w:pPr>
        <w:pStyle w:val="Prrafodelista"/>
        <w:tabs>
          <w:tab w:val="left" w:pos="426"/>
        </w:tabs>
        <w:spacing w:before="240" w:line="360" w:lineRule="auto"/>
        <w:ind w:left="0" w:right="51"/>
        <w:jc w:val="both"/>
        <w:rPr>
          <w:rFonts w:ascii="Palatino Linotype" w:hAnsi="Palatino Linotype"/>
          <w:color w:val="000000" w:themeColor="text1"/>
        </w:rPr>
      </w:pPr>
    </w:p>
    <w:p w14:paraId="314129DA" w14:textId="77777777" w:rsidR="00853AB6" w:rsidRPr="00794C2B" w:rsidRDefault="00853AB6" w:rsidP="00853AB6">
      <w:pPr>
        <w:spacing w:line="276" w:lineRule="auto"/>
        <w:ind w:left="567" w:right="567"/>
        <w:jc w:val="both"/>
        <w:rPr>
          <w:rFonts w:ascii="Palatino Linotype" w:hAnsi="Palatino Linotype" w:cs="Arial"/>
          <w:i/>
          <w:sz w:val="22"/>
          <w:szCs w:val="22"/>
          <w:lang w:eastAsia="es-MX"/>
        </w:rPr>
      </w:pPr>
      <w:r w:rsidRPr="00794C2B">
        <w:rPr>
          <w:rFonts w:ascii="Palatino Linotype" w:hAnsi="Palatino Linotype" w:cs="Arial"/>
          <w:b/>
          <w:i/>
          <w:sz w:val="22"/>
          <w:szCs w:val="22"/>
          <w:lang w:eastAsia="es-MX"/>
        </w:rPr>
        <w:t>ACTOS CONSENTIDOS. SON LOS QUE NO SE IMPUGNAN MEDIANTE EL RECURSO IDÓNEO</w:t>
      </w:r>
      <w:r w:rsidRPr="00794C2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061F73" w14:textId="77777777" w:rsidR="00853AB6" w:rsidRDefault="00853AB6" w:rsidP="002630D1">
      <w:pPr>
        <w:pStyle w:val="Prrafodelista"/>
        <w:tabs>
          <w:tab w:val="left" w:pos="426"/>
        </w:tabs>
        <w:spacing w:before="240" w:after="240" w:line="360" w:lineRule="auto"/>
        <w:ind w:left="0" w:right="51"/>
        <w:jc w:val="both"/>
        <w:rPr>
          <w:rFonts w:ascii="Palatino Linotype" w:hAnsi="Palatino Linotype"/>
          <w:color w:val="000000" w:themeColor="text1"/>
        </w:rPr>
      </w:pPr>
    </w:p>
    <w:p w14:paraId="2C3C4D69" w14:textId="02086AFB" w:rsidR="00CD07F8" w:rsidRDefault="00CD07F8"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Pr="00CD07F8">
        <w:rPr>
          <w:rFonts w:ascii="Palatino Linotype" w:hAnsi="Palatino Linotype"/>
          <w:color w:val="000000" w:themeColor="text1"/>
        </w:rPr>
        <w:t xml:space="preserve">toda vez que el </w:t>
      </w:r>
      <w:r w:rsidRPr="00CD07F8">
        <w:rPr>
          <w:rFonts w:ascii="Palatino Linotype" w:hAnsi="Palatino Linotype"/>
          <w:b/>
          <w:color w:val="000000" w:themeColor="text1"/>
        </w:rPr>
        <w:t>SUJETO OBLIGADO</w:t>
      </w:r>
      <w:r w:rsidRPr="00CD07F8">
        <w:rPr>
          <w:rFonts w:ascii="Palatino Linotype" w:hAnsi="Palatino Linotype"/>
          <w:color w:val="000000" w:themeColor="text1"/>
        </w:rPr>
        <w:t xml:space="preserve"> se pronunció respecto de la</w:t>
      </w:r>
      <w:r>
        <w:rPr>
          <w:rFonts w:ascii="Palatino Linotype" w:hAnsi="Palatino Linotype"/>
          <w:color w:val="000000" w:themeColor="text1"/>
        </w:rPr>
        <w:t xml:space="preserve"> información concerniente a las pólizas de seguro del parque vehicular, así como de la póliza de egresos del pago de estos seguros</w:t>
      </w:r>
      <w:r w:rsidRPr="00CD07F8">
        <w:rPr>
          <w:rFonts w:ascii="Palatino Linotype" w:hAnsi="Palatino Linotype"/>
          <w:color w:val="000000" w:themeColor="text1"/>
        </w:rPr>
        <w:t xml:space="preserve">, resultaría conveniente obviar el análisis de competencia del </w:t>
      </w:r>
      <w:r w:rsidRPr="00CD07F8">
        <w:rPr>
          <w:rFonts w:ascii="Palatino Linotype" w:hAnsi="Palatino Linotype"/>
          <w:b/>
          <w:color w:val="000000" w:themeColor="text1"/>
        </w:rPr>
        <w:t>SUJETO OBLIGADO</w:t>
      </w:r>
      <w:r w:rsidRPr="00CD07F8">
        <w:rPr>
          <w:rFonts w:ascii="Palatino Linotype" w:hAnsi="Palatino Linotype"/>
          <w:color w:val="000000" w:themeColor="text1"/>
        </w:rPr>
        <w:t xml:space="preserve"> para generar, administrar o poseer la misma, dado que éste asumió la competencia mediante su respuesta a la solicitud de información.</w:t>
      </w:r>
    </w:p>
    <w:p w14:paraId="32EF17AE" w14:textId="77777777" w:rsidR="00CD07F8" w:rsidRDefault="00CD07F8" w:rsidP="00CD07F8">
      <w:pPr>
        <w:pStyle w:val="Prrafodelista"/>
        <w:tabs>
          <w:tab w:val="left" w:pos="426"/>
        </w:tabs>
        <w:spacing w:before="240" w:after="240" w:line="360" w:lineRule="auto"/>
        <w:ind w:left="0" w:right="51"/>
        <w:jc w:val="both"/>
        <w:rPr>
          <w:rFonts w:ascii="Palatino Linotype" w:hAnsi="Palatino Linotype"/>
          <w:color w:val="000000" w:themeColor="text1"/>
        </w:rPr>
      </w:pPr>
    </w:p>
    <w:p w14:paraId="207288B1" w14:textId="107D98DA" w:rsidR="00CD07F8" w:rsidRDefault="00CD07F8"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54282F">
        <w:rPr>
          <w:rFonts w:ascii="Palatino Linotype" w:eastAsia="MS Mincho" w:hAnsi="Palatino Linotype" w:cs="Times New Roman"/>
        </w:rPr>
        <w:t xml:space="preserve">anterior encuentra lógica toda vez que el estudio de la naturaleza jurídica de la información pública solicitada tiene por objeto determinar si ésta la genera, posee o administra el </w:t>
      </w:r>
      <w:r w:rsidRPr="0054282F">
        <w:rPr>
          <w:rFonts w:ascii="Palatino Linotype" w:eastAsia="MS Mincho" w:hAnsi="Palatino Linotype" w:cs="Times New Roman"/>
          <w:b/>
        </w:rPr>
        <w:t>SUJETO OBLIGADO</w:t>
      </w:r>
      <w:r w:rsidRPr="0054282F">
        <w:rPr>
          <w:rFonts w:ascii="Palatino Linotype" w:eastAsia="MS Mincho" w:hAnsi="Palatino Linotype" w:cs="Times New Roman"/>
        </w:rPr>
        <w:t xml:space="preserve">; empero, en aquellos casos en que éste la asume, implica </w:t>
      </w:r>
      <w:r w:rsidRPr="0054282F">
        <w:rPr>
          <w:rFonts w:ascii="Palatino Linotype" w:eastAsia="MS Mincho" w:hAnsi="Palatino Linotype" w:cs="Times New Roman"/>
          <w:i/>
        </w:rPr>
        <w:t>de facto</w:t>
      </w:r>
      <w:r w:rsidRPr="0054282F">
        <w:rPr>
          <w:rFonts w:ascii="Palatino Linotype" w:eastAsia="MS Mincho" w:hAnsi="Palatino Linotype" w:cs="Times New Roman"/>
        </w:rPr>
        <w:t xml:space="preserve"> que la genera, posee o administra. Por consiguiente, a nada práctico nos conduciría su estudio, ya que, se insiste, la información pública solicitada, consistente en </w:t>
      </w:r>
      <w:r>
        <w:rPr>
          <w:rFonts w:ascii="Palatino Linotype" w:hAnsi="Palatino Linotype"/>
          <w:color w:val="000000" w:themeColor="text1"/>
        </w:rPr>
        <w:t>las pólizas de seguro del parque vehicular, así como de la póliza de egresos del pago de estos seguros</w:t>
      </w:r>
      <w:r w:rsidRPr="0054282F">
        <w:rPr>
          <w:rFonts w:ascii="Palatino Linotype" w:eastAsia="MS Mincho" w:hAnsi="Palatino Linotype" w:cs="Times New Roman"/>
        </w:rPr>
        <w:t xml:space="preserve">, ha sido asumida por el </w:t>
      </w:r>
      <w:r w:rsidRPr="0054282F">
        <w:rPr>
          <w:rFonts w:ascii="Palatino Linotype" w:eastAsia="MS Mincho" w:hAnsi="Palatino Linotype" w:cs="Times New Roman"/>
          <w:b/>
        </w:rPr>
        <w:t>SUJETO OBLIGADO</w:t>
      </w:r>
      <w:r w:rsidRPr="0054282F">
        <w:rPr>
          <w:rFonts w:ascii="Palatino Linotype" w:eastAsia="MS Mincho" w:hAnsi="Palatino Linotype" w:cs="Times New Roman"/>
        </w:rPr>
        <w:t>.</w:t>
      </w:r>
    </w:p>
    <w:p w14:paraId="04CDA5C2" w14:textId="77777777" w:rsidR="00CD07F8" w:rsidRDefault="00CD07F8" w:rsidP="00CD07F8">
      <w:pPr>
        <w:pStyle w:val="Prrafodelista"/>
        <w:tabs>
          <w:tab w:val="left" w:pos="426"/>
        </w:tabs>
        <w:spacing w:before="240" w:after="240" w:line="360" w:lineRule="auto"/>
        <w:ind w:left="0" w:right="51"/>
        <w:jc w:val="both"/>
        <w:rPr>
          <w:rFonts w:ascii="Palatino Linotype" w:hAnsi="Palatino Linotype"/>
          <w:color w:val="000000" w:themeColor="text1"/>
        </w:rPr>
      </w:pPr>
    </w:p>
    <w:p w14:paraId="1F047055" w14:textId="11A71F13" w:rsidR="002630D1" w:rsidRDefault="00853AB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794C2B">
        <w:rPr>
          <w:rFonts w:ascii="Palatino Linotype" w:hAnsi="Palatino Linotype"/>
          <w:color w:val="000000" w:themeColor="text1"/>
          <w:lang w:val="es-MX"/>
        </w:rPr>
        <w:t xml:space="preserve">base en lo anterior, </w:t>
      </w:r>
      <w:r w:rsidR="00CD07F8">
        <w:rPr>
          <w:rFonts w:ascii="Palatino Linotype" w:hAnsi="Palatino Linotype"/>
          <w:color w:val="000000" w:themeColor="text1"/>
          <w:lang w:val="es-MX"/>
        </w:rPr>
        <w:t xml:space="preserve">el estudio del presente asunto versará específicamente en analizar la legalidad del cambio de modalidad en la entrega de la información establecido por el </w:t>
      </w:r>
      <w:r w:rsidR="00CD07F8">
        <w:rPr>
          <w:rFonts w:ascii="Palatino Linotype" w:hAnsi="Palatino Linotype"/>
          <w:b/>
          <w:color w:val="000000" w:themeColor="text1"/>
          <w:lang w:val="es-MX"/>
        </w:rPr>
        <w:t>SUJETO OBLIGADO</w:t>
      </w:r>
      <w:r w:rsidR="00CD07F8">
        <w:rPr>
          <w:rFonts w:ascii="Palatino Linotype" w:hAnsi="Palatino Linotype"/>
          <w:color w:val="000000" w:themeColor="text1"/>
          <w:lang w:val="es-MX"/>
        </w:rPr>
        <w:t>.</w:t>
      </w:r>
    </w:p>
    <w:p w14:paraId="4BE03710" w14:textId="77777777" w:rsidR="00E91D00" w:rsidRDefault="00E91D00" w:rsidP="00E91D00">
      <w:pPr>
        <w:pStyle w:val="Prrafodelista"/>
        <w:tabs>
          <w:tab w:val="left" w:pos="426"/>
        </w:tabs>
        <w:spacing w:before="240" w:after="240" w:line="360" w:lineRule="auto"/>
        <w:ind w:left="0" w:right="51"/>
        <w:jc w:val="both"/>
        <w:rPr>
          <w:rFonts w:ascii="Palatino Linotype" w:hAnsi="Palatino Linotype"/>
          <w:color w:val="000000" w:themeColor="text1"/>
        </w:rPr>
      </w:pPr>
    </w:p>
    <w:p w14:paraId="1B61929F" w14:textId="14F5B565" w:rsidR="00A44BE6" w:rsidRPr="00A44BE6" w:rsidRDefault="00A44BE6" w:rsidP="00A44BE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3316010"/>
      <w:r>
        <w:rPr>
          <w:rFonts w:ascii="Palatino Linotype" w:hAnsi="Palatino Linotype"/>
          <w:b/>
          <w:bCs/>
          <w:color w:val="000000" w:themeColor="text1"/>
        </w:rPr>
        <w:t xml:space="preserve">III. </w:t>
      </w:r>
      <w:r w:rsidR="009F6770">
        <w:rPr>
          <w:rFonts w:ascii="Palatino Linotype" w:hAnsi="Palatino Linotype"/>
          <w:b/>
          <w:bCs/>
          <w:color w:val="000000" w:themeColor="text1"/>
        </w:rPr>
        <w:t>De la</w:t>
      </w:r>
      <w:r w:rsidR="00D607B9">
        <w:rPr>
          <w:rFonts w:ascii="Palatino Linotype" w:hAnsi="Palatino Linotype"/>
          <w:b/>
          <w:bCs/>
          <w:color w:val="000000" w:themeColor="text1"/>
        </w:rPr>
        <w:t xml:space="preserve"> Comisión de Conciliación y Arbitraje Médico</w:t>
      </w:r>
      <w:r>
        <w:rPr>
          <w:rFonts w:ascii="Palatino Linotype" w:hAnsi="Palatino Linotype"/>
          <w:b/>
          <w:bCs/>
          <w:color w:val="000000" w:themeColor="text1"/>
        </w:rPr>
        <w:t>.</w:t>
      </w:r>
      <w:bookmarkEnd w:id="27"/>
    </w:p>
    <w:p w14:paraId="59B0C3FF"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463022DD" w14:textId="04FEA9E2" w:rsidR="00E90973" w:rsidRDefault="00D607B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Comisión de Conciliación y Arbitraje Médico del Estado de México es un órgano desconcentrado del Instituto de Salud del Estado de México, con </w:t>
      </w:r>
      <w:r w:rsidRPr="00D607B9">
        <w:rPr>
          <w:rFonts w:ascii="Palatino Linotype" w:hAnsi="Palatino Linotype"/>
          <w:b/>
          <w:color w:val="000000" w:themeColor="text1"/>
        </w:rPr>
        <w:t>autonomía</w:t>
      </w:r>
      <w:r>
        <w:rPr>
          <w:rFonts w:ascii="Palatino Linotype" w:hAnsi="Palatino Linotype"/>
          <w:color w:val="000000" w:themeColor="text1"/>
        </w:rPr>
        <w:t xml:space="preserve"> técnica y </w:t>
      </w:r>
      <w:r w:rsidRPr="00D607B9">
        <w:rPr>
          <w:rFonts w:ascii="Palatino Linotype" w:hAnsi="Palatino Linotype"/>
          <w:b/>
          <w:color w:val="000000" w:themeColor="text1"/>
        </w:rPr>
        <w:t>administrativa</w:t>
      </w:r>
      <w:r>
        <w:rPr>
          <w:rFonts w:ascii="Palatino Linotype" w:hAnsi="Palatino Linotype"/>
          <w:color w:val="000000" w:themeColor="text1"/>
        </w:rPr>
        <w:t xml:space="preserve"> para emitir sus opiniones, acuerdos y laudos</w:t>
      </w:r>
      <w:r>
        <w:rPr>
          <w:rStyle w:val="Refdenotaalpie"/>
          <w:rFonts w:ascii="Palatino Linotype" w:hAnsi="Palatino Linotype"/>
          <w:color w:val="000000" w:themeColor="text1"/>
        </w:rPr>
        <w:footnoteReference w:id="11"/>
      </w:r>
      <w:r w:rsidR="00C56CFB">
        <w:rPr>
          <w:rFonts w:ascii="Palatino Linotype" w:hAnsi="Palatino Linotype"/>
          <w:color w:val="000000" w:themeColor="text1"/>
        </w:rPr>
        <w:t>; y tendrá por objeto contribuir a la solución de los conflictos suscitados entre los usuarios y prestadores de los servicios médicos</w:t>
      </w:r>
      <w:r w:rsidR="00C56CFB">
        <w:rPr>
          <w:rStyle w:val="Refdenotaalpie"/>
          <w:rFonts w:ascii="Palatino Linotype" w:hAnsi="Palatino Linotype"/>
          <w:color w:val="000000" w:themeColor="text1"/>
        </w:rPr>
        <w:footnoteReference w:id="12"/>
      </w:r>
      <w:r w:rsidR="00C56CFB">
        <w:rPr>
          <w:rFonts w:ascii="Palatino Linotype" w:hAnsi="Palatino Linotype"/>
          <w:color w:val="000000" w:themeColor="text1"/>
        </w:rPr>
        <w:t>.</w:t>
      </w:r>
    </w:p>
    <w:p w14:paraId="41FBAA0C"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5829F46E" w14:textId="26EADF3E" w:rsidR="00D607B9" w:rsidRDefault="00C56CFB"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establecido por el numeral 4 del Acuerdo del </w:t>
      </w:r>
      <w:r w:rsidRPr="00C56CFB">
        <w:rPr>
          <w:rFonts w:ascii="Palatino Linotype" w:hAnsi="Palatino Linotype"/>
          <w:color w:val="000000" w:themeColor="text1"/>
        </w:rPr>
        <w:t>Ejecutivo del Estado por el que se Crea la (entonces) Comisión de Arbitraje Médico del Estado de México</w:t>
      </w:r>
      <w:r>
        <w:rPr>
          <w:rFonts w:ascii="Palatino Linotype" w:hAnsi="Palatino Linotype"/>
          <w:color w:val="000000" w:themeColor="text1"/>
        </w:rPr>
        <w:t>, la Comisión de Conciliación y Arbitraje Médico tendrá por atribuciones, las siguientes:</w:t>
      </w:r>
    </w:p>
    <w:p w14:paraId="629EE372"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7955BBD5"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C56CFB">
        <w:rPr>
          <w:rFonts w:ascii="Palatino Linotype" w:hAnsi="Palatino Linotype"/>
          <w:b/>
          <w:i/>
          <w:sz w:val="22"/>
        </w:rPr>
        <w:t>Artículo 4.-</w:t>
      </w:r>
      <w:r w:rsidRPr="00C56CFB">
        <w:rPr>
          <w:rFonts w:ascii="Palatino Linotype" w:hAnsi="Palatino Linotype"/>
          <w:i/>
          <w:sz w:val="22"/>
        </w:rPr>
        <w:t xml:space="preserve"> La Comisión tendrá las siguientes atribuciones: </w:t>
      </w:r>
    </w:p>
    <w:p w14:paraId="36655DF4" w14:textId="5843877D"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w:t>
      </w:r>
      <w:r w:rsidRPr="00C56CFB">
        <w:rPr>
          <w:rFonts w:ascii="Palatino Linotype" w:hAnsi="Palatino Linotype"/>
          <w:i/>
          <w:sz w:val="22"/>
        </w:rPr>
        <w:t xml:space="preserve"> Brindar asesoría médico-legal e información a los usuarios y prestadores de servicios médicos sobre sus derechos y obligaciones en la materia; </w:t>
      </w:r>
    </w:p>
    <w:p w14:paraId="39B525C6" w14:textId="5086F544"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II.</w:t>
      </w:r>
      <w:r w:rsidRPr="00C56CFB">
        <w:rPr>
          <w:rFonts w:ascii="Palatino Linotype" w:hAnsi="Palatino Linotype"/>
          <w:i/>
          <w:sz w:val="22"/>
        </w:rPr>
        <w:t xml:space="preserve"> Recibir, investigar y atender las quejas que presenten los usuarios en contra de p</w:t>
      </w:r>
      <w:r>
        <w:rPr>
          <w:rFonts w:ascii="Palatino Linotype" w:hAnsi="Palatino Linotype"/>
          <w:i/>
          <w:sz w:val="22"/>
        </w:rPr>
        <w:t>restadores de servicios médicos,</w:t>
      </w:r>
      <w:r w:rsidRPr="00C56CFB">
        <w:rPr>
          <w:rFonts w:ascii="Palatino Linotype" w:hAnsi="Palatino Linotype"/>
          <w:i/>
          <w:sz w:val="22"/>
        </w:rPr>
        <w:t xml:space="preserve"> por supuestas irregularidades en su prestación o por la negativa a otorgarlos; </w:t>
      </w:r>
    </w:p>
    <w:p w14:paraId="5A65C324"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lastRenderedPageBreak/>
        <w:t>III.</w:t>
      </w:r>
      <w:r w:rsidRPr="00C56CFB">
        <w:rPr>
          <w:rFonts w:ascii="Palatino Linotype" w:hAnsi="Palatino Linotype"/>
          <w:i/>
          <w:sz w:val="22"/>
        </w:rPr>
        <w:t xml:space="preserve"> Recibir la información y las pruebas que aporten los usuarios y prestadores de los servicios médicos, con relación a las quejas planteadas y requerir las que sean necesarias, para dilucidarlas, así como practicar las diligencias que correspondan; </w:t>
      </w:r>
    </w:p>
    <w:p w14:paraId="3D0A13BE" w14:textId="08BC23AD"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IV.</w:t>
      </w:r>
      <w:r w:rsidRPr="00C56CFB">
        <w:rPr>
          <w:rFonts w:ascii="Palatino Linotype" w:hAnsi="Palatino Linotype"/>
          <w:i/>
          <w:sz w:val="22"/>
        </w:rPr>
        <w:t xml:space="preserve"> Int</w:t>
      </w:r>
      <w:r>
        <w:rPr>
          <w:rFonts w:ascii="Palatino Linotype" w:hAnsi="Palatino Linotype"/>
          <w:i/>
          <w:sz w:val="22"/>
        </w:rPr>
        <w:t>ervenir en amigable composición,</w:t>
      </w:r>
      <w:r w:rsidRPr="00C56CFB">
        <w:rPr>
          <w:rFonts w:ascii="Palatino Linotype" w:hAnsi="Palatino Linotype"/>
          <w:i/>
          <w:sz w:val="22"/>
        </w:rPr>
        <w:t xml:space="preserve"> para conciliar conflictos derivados de la prestación de los servicios médicos por alguno de los supuestos siguientes: </w:t>
      </w:r>
    </w:p>
    <w:p w14:paraId="258EC1FC" w14:textId="77777777" w:rsidR="00C56CFB" w:rsidRDefault="00C56CFB" w:rsidP="00C56CFB">
      <w:pPr>
        <w:pStyle w:val="Prrafodelista"/>
        <w:tabs>
          <w:tab w:val="left" w:pos="426"/>
        </w:tabs>
        <w:spacing w:before="240" w:after="240" w:line="276" w:lineRule="auto"/>
        <w:ind w:left="851" w:right="567"/>
        <w:jc w:val="both"/>
        <w:rPr>
          <w:rFonts w:ascii="Palatino Linotype" w:hAnsi="Palatino Linotype"/>
          <w:i/>
          <w:sz w:val="22"/>
        </w:rPr>
      </w:pPr>
      <w:r w:rsidRPr="00C56CFB">
        <w:rPr>
          <w:rFonts w:ascii="Palatino Linotype" w:hAnsi="Palatino Linotype"/>
          <w:b/>
          <w:i/>
          <w:sz w:val="22"/>
        </w:rPr>
        <w:t>a)</w:t>
      </w:r>
      <w:r w:rsidRPr="00C56CFB">
        <w:rPr>
          <w:rFonts w:ascii="Palatino Linotype" w:hAnsi="Palatino Linotype"/>
          <w:i/>
          <w:sz w:val="22"/>
        </w:rPr>
        <w:t xml:space="preserve"> Probables actos u omisiones derivadas de la prestación del servicio médico. </w:t>
      </w:r>
    </w:p>
    <w:p w14:paraId="5D993994" w14:textId="77777777" w:rsidR="00C56CFB" w:rsidRDefault="00C56CFB" w:rsidP="00C56CFB">
      <w:pPr>
        <w:pStyle w:val="Prrafodelista"/>
        <w:tabs>
          <w:tab w:val="left" w:pos="426"/>
        </w:tabs>
        <w:spacing w:before="240" w:after="240" w:line="276" w:lineRule="auto"/>
        <w:ind w:left="851" w:right="567"/>
        <w:jc w:val="both"/>
        <w:rPr>
          <w:rFonts w:ascii="Palatino Linotype" w:hAnsi="Palatino Linotype"/>
          <w:i/>
          <w:sz w:val="22"/>
        </w:rPr>
      </w:pPr>
      <w:r w:rsidRPr="00C56CFB">
        <w:rPr>
          <w:rFonts w:ascii="Palatino Linotype" w:hAnsi="Palatino Linotype"/>
          <w:b/>
          <w:i/>
          <w:sz w:val="22"/>
        </w:rPr>
        <w:t>b)</w:t>
      </w:r>
      <w:r w:rsidRPr="00C56CFB">
        <w:rPr>
          <w:rFonts w:ascii="Palatino Linotype" w:hAnsi="Palatino Linotype"/>
          <w:i/>
          <w:sz w:val="22"/>
        </w:rPr>
        <w:t xml:space="preserve"> Probables casos de negligencia con consecuencia en la salud del usuario. </w:t>
      </w:r>
    </w:p>
    <w:p w14:paraId="6878F8F7" w14:textId="77777777" w:rsidR="00C56CFB" w:rsidRDefault="00C56CFB" w:rsidP="00C56CFB">
      <w:pPr>
        <w:pStyle w:val="Prrafodelista"/>
        <w:tabs>
          <w:tab w:val="left" w:pos="426"/>
        </w:tabs>
        <w:spacing w:before="240" w:after="240" w:line="276" w:lineRule="auto"/>
        <w:ind w:left="851" w:right="567"/>
        <w:jc w:val="both"/>
        <w:rPr>
          <w:rFonts w:ascii="Palatino Linotype" w:hAnsi="Palatino Linotype"/>
          <w:i/>
          <w:sz w:val="22"/>
        </w:rPr>
      </w:pPr>
      <w:r w:rsidRPr="00C56CFB">
        <w:rPr>
          <w:rFonts w:ascii="Palatino Linotype" w:hAnsi="Palatino Linotype"/>
          <w:b/>
          <w:i/>
          <w:sz w:val="22"/>
        </w:rPr>
        <w:t>c)</w:t>
      </w:r>
      <w:r w:rsidRPr="00C56CFB">
        <w:rPr>
          <w:rFonts w:ascii="Palatino Linotype" w:hAnsi="Palatino Linotype"/>
          <w:i/>
          <w:sz w:val="22"/>
        </w:rPr>
        <w:t xml:space="preserve"> Aquéllas que sean acordadas por el consejo. </w:t>
      </w:r>
    </w:p>
    <w:p w14:paraId="470E6F6D"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V.</w:t>
      </w:r>
      <w:r w:rsidRPr="00C56CFB">
        <w:rPr>
          <w:rFonts w:ascii="Palatino Linotype" w:hAnsi="Palatino Linotype"/>
          <w:i/>
          <w:sz w:val="22"/>
        </w:rPr>
        <w:t xml:space="preserve"> Fungir como árbitro y pronunciar el laudo que corresponda, cuando el usuario y el prestador del servicio médico acepten expresamente someterse al arbitraje; </w:t>
      </w:r>
    </w:p>
    <w:p w14:paraId="0E868284"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VI.</w:t>
      </w:r>
      <w:r w:rsidRPr="00C56CFB">
        <w:rPr>
          <w:rFonts w:ascii="Palatino Linotype" w:hAnsi="Palatino Linotype"/>
          <w:i/>
          <w:sz w:val="22"/>
        </w:rPr>
        <w:t xml:space="preserve"> Solicitar a los prestadores de servicios médicos, los datos y documentos que sean necesarios para mejor proveer los asuntos que le sean planteados y hacer del conocimiento del superior inmediato u órgano de control interno correspondiente, cuando el servidor público tenga en su poder los documentos solicitados y se niegue a remitirlos a la Comisión; </w:t>
      </w:r>
    </w:p>
    <w:p w14:paraId="7CB383C4"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VII.</w:t>
      </w:r>
      <w:r w:rsidRPr="00C56CFB">
        <w:rPr>
          <w:rFonts w:ascii="Palatino Linotype" w:hAnsi="Palatino Linotype"/>
          <w:i/>
          <w:sz w:val="22"/>
        </w:rPr>
        <w:t xml:space="preserve"> Solicitar los datos y documentos que sean necesarios para mejor proveer los asuntos que le sean planteados, y que estén en poder de las personas físicas o morales prestadoras de servicios médicos, haciendo del conocimiento de las autoridades de salud y los colegios o asociaciones de medicina, la negativa expresa o tácita a proporcionarlos a la Comisión, así como informar a las autoridades competentes, cuando se detecte que los hechos pudieran llegar a constituir un ilícito; </w:t>
      </w:r>
    </w:p>
    <w:p w14:paraId="711007DA"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VIII.</w:t>
      </w:r>
      <w:r w:rsidRPr="00C56CFB">
        <w:rPr>
          <w:rFonts w:ascii="Palatino Linotype" w:hAnsi="Palatino Linotype"/>
          <w:i/>
          <w:sz w:val="22"/>
        </w:rPr>
        <w:t xml:space="preserve"> Elaborar los dictámenes o peritajes médicos que le sean solicitados por las autoridades judiciales o el Ministerio Publico: en términos de los convenios que para tal efecto se celebren. </w:t>
      </w:r>
    </w:p>
    <w:p w14:paraId="166E11E0"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IX.</w:t>
      </w:r>
      <w:r w:rsidRPr="00C56CFB">
        <w:rPr>
          <w:rFonts w:ascii="Palatino Linotype" w:hAnsi="Palatino Linotype"/>
          <w:i/>
          <w:sz w:val="22"/>
        </w:rPr>
        <w:t xml:space="preserve"> Intervenir de oficio en cualquier otra cuestión que se considere de interés general en la esfera de sus atribuciones; </w:t>
      </w:r>
    </w:p>
    <w:p w14:paraId="68BE9656"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X.</w:t>
      </w:r>
      <w:r w:rsidRPr="00C56CFB">
        <w:rPr>
          <w:rFonts w:ascii="Palatino Linotype" w:hAnsi="Palatino Linotype"/>
          <w:i/>
          <w:sz w:val="22"/>
        </w:rPr>
        <w:t xml:space="preserve"> Informar a los prestadores de servicios médicos, sobre las irregularidades que se adviertan en sus actividades, haciéndolas del conocimiento de la autoridad competente, cuando </w:t>
      </w:r>
      <w:proofErr w:type="spellStart"/>
      <w:r w:rsidRPr="00C56CFB">
        <w:rPr>
          <w:rFonts w:ascii="Palatino Linotype" w:hAnsi="Palatino Linotype"/>
          <w:i/>
          <w:sz w:val="22"/>
        </w:rPr>
        <w:t>lIegaren</w:t>
      </w:r>
      <w:proofErr w:type="spellEnd"/>
      <w:r w:rsidRPr="00C56CFB">
        <w:rPr>
          <w:rFonts w:ascii="Palatino Linotype" w:hAnsi="Palatino Linotype"/>
          <w:i/>
          <w:sz w:val="22"/>
        </w:rPr>
        <w:t xml:space="preserve"> a ser constitutivas de responsabilidad administrativa o penal; </w:t>
      </w:r>
    </w:p>
    <w:p w14:paraId="0EFC9F4C"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XI.</w:t>
      </w:r>
      <w:r w:rsidRPr="00C56CFB">
        <w:rPr>
          <w:rFonts w:ascii="Palatino Linotype" w:hAnsi="Palatino Linotype"/>
          <w:i/>
          <w:sz w:val="22"/>
        </w:rPr>
        <w:t xml:space="preserve"> Otorgar a los usuarios asesoría respecto de los trámites a realizar con motivo de su queja; </w:t>
      </w:r>
    </w:p>
    <w:p w14:paraId="6E71BE97" w14:textId="4F9E213C"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XII.</w:t>
      </w:r>
      <w:r w:rsidRPr="00C56CFB">
        <w:rPr>
          <w:rFonts w:ascii="Palatino Linotype" w:hAnsi="Palatino Linotype"/>
          <w:i/>
          <w:sz w:val="22"/>
        </w:rPr>
        <w:t xml:space="preserve"> Convenir con institutos, asociaciones médicas y organizaciones públicas y privadas, acciones que le permitan el desarrollo y fortalecimiento de sus atribuciones; </w:t>
      </w:r>
    </w:p>
    <w:p w14:paraId="1B830CFE" w14:textId="05D88CC1" w:rsidR="00C56CFB" w:rsidRPr="00C56CFB" w:rsidRDefault="00C56CFB" w:rsidP="00C56C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6CFB">
        <w:rPr>
          <w:rFonts w:ascii="Palatino Linotype" w:hAnsi="Palatino Linotype"/>
          <w:b/>
          <w:i/>
          <w:sz w:val="22"/>
        </w:rPr>
        <w:t>XIII.</w:t>
      </w:r>
      <w:r w:rsidRPr="00C56CFB">
        <w:rPr>
          <w:rFonts w:ascii="Palatino Linotype" w:hAnsi="Palatino Linotype"/>
          <w:i/>
          <w:sz w:val="22"/>
        </w:rPr>
        <w:t xml:space="preserve"> Celebrar convenios con la Comisión Nacional de Arbitraje Médico, para la substanciación de arbitrajes con motivo de controversias que se susciten entre los </w:t>
      </w:r>
      <w:r w:rsidRPr="00C56CFB">
        <w:rPr>
          <w:rFonts w:ascii="Palatino Linotype" w:hAnsi="Palatino Linotype"/>
          <w:i/>
          <w:sz w:val="22"/>
        </w:rPr>
        <w:lastRenderedPageBreak/>
        <w:t>usuarios y los prestadores de servicios médicos establecidos en el Estado; y</w:t>
      </w:r>
      <w:r>
        <w:rPr>
          <w:rFonts w:ascii="Palatino Linotype" w:hAnsi="Palatino Linotype"/>
          <w:i/>
          <w:sz w:val="22"/>
        </w:rPr>
        <w:t xml:space="preserve"> </w:t>
      </w:r>
      <w:r w:rsidRPr="00C56CFB">
        <w:rPr>
          <w:rFonts w:ascii="Palatino Linotype" w:hAnsi="Palatino Linotype"/>
          <w:i/>
          <w:sz w:val="22"/>
        </w:rPr>
        <w:t>XIV. Las demás que determinen otras disposiciones aplicables.</w:t>
      </w:r>
      <w:r>
        <w:rPr>
          <w:rFonts w:ascii="Palatino Linotype" w:hAnsi="Palatino Linotype"/>
          <w:i/>
          <w:sz w:val="22"/>
        </w:rPr>
        <w:t>”</w:t>
      </w:r>
    </w:p>
    <w:p w14:paraId="0D9619FC" w14:textId="77777777" w:rsidR="00C56CFB" w:rsidRDefault="00C56CFB"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4301BD56" w14:textId="2274465A" w:rsidR="00D607B9" w:rsidRDefault="0008481A"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el </w:t>
      </w:r>
      <w:r w:rsidRPr="0008481A">
        <w:rPr>
          <w:rFonts w:ascii="Palatino Linotype" w:hAnsi="Palatino Linotype"/>
          <w:color w:val="000000" w:themeColor="text1"/>
        </w:rPr>
        <w:t>estudio, planeación y despacho de los asuntos de su competencia, el Comisionado se auxiliará de las unidades administrativas básicas siguientes</w:t>
      </w:r>
      <w:r>
        <w:rPr>
          <w:rStyle w:val="Refdenotaalpie"/>
          <w:rFonts w:ascii="Palatino Linotype" w:hAnsi="Palatino Linotype"/>
          <w:color w:val="000000" w:themeColor="text1"/>
        </w:rPr>
        <w:footnoteReference w:id="13"/>
      </w:r>
      <w:r w:rsidRPr="0008481A">
        <w:rPr>
          <w:rFonts w:ascii="Palatino Linotype" w:hAnsi="Palatino Linotype"/>
          <w:color w:val="000000" w:themeColor="text1"/>
        </w:rPr>
        <w:t>:</w:t>
      </w:r>
    </w:p>
    <w:p w14:paraId="428E3DCB"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Subcomisión </w:t>
      </w:r>
      <w:r w:rsidRPr="00EB0666">
        <w:rPr>
          <w:rFonts w:ascii="Palatino Linotype" w:hAnsi="Palatino Linotype"/>
          <w:color w:val="000000" w:themeColor="text1"/>
        </w:rPr>
        <w:t xml:space="preserve">de Recepción y Seguimiento de Quejas. </w:t>
      </w:r>
    </w:p>
    <w:p w14:paraId="74D9E733"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Subcomisión de Conciliación, Arbitraje e Igualdad de Género. </w:t>
      </w:r>
    </w:p>
    <w:p w14:paraId="4FF340BA"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Unidad de Calidad en el Servicio Médico. </w:t>
      </w:r>
    </w:p>
    <w:p w14:paraId="02F1B44F"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Unidad de Peritajes. </w:t>
      </w:r>
    </w:p>
    <w:p w14:paraId="4CD3E554"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Delegación Naucalpan. </w:t>
      </w:r>
    </w:p>
    <w:p w14:paraId="302A93DB"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Delegación Texcoco. </w:t>
      </w:r>
    </w:p>
    <w:p w14:paraId="2B07E04A"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Delegación Ixtapan de la Sal. </w:t>
      </w:r>
    </w:p>
    <w:p w14:paraId="2717DB4A" w14:textId="099C5F98"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Unidad de Apoyo Administrativo.</w:t>
      </w:r>
    </w:p>
    <w:p w14:paraId="04887B29"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07854610" w14:textId="4E50E34C" w:rsidR="00B76ACA" w:rsidRDefault="00EB0666"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la Unidad de Apoyo Administrativo, al ser el área que dio respuesta a la solicitud de información </w:t>
      </w:r>
      <w:r w:rsidR="00E936B9">
        <w:rPr>
          <w:rFonts w:ascii="Palatino Linotype" w:hAnsi="Palatino Linotype"/>
          <w:b/>
          <w:color w:val="000000" w:themeColor="text1"/>
        </w:rPr>
        <w:t>00125/CAMEM/IP/2021</w:t>
      </w:r>
      <w:r>
        <w:rPr>
          <w:rFonts w:ascii="Palatino Linotype" w:hAnsi="Palatino Linotype"/>
          <w:color w:val="000000" w:themeColor="text1"/>
        </w:rPr>
        <w:t xml:space="preserve">, y que </w:t>
      </w:r>
      <w:r w:rsidR="00B76ACA">
        <w:rPr>
          <w:rFonts w:ascii="Palatino Linotype" w:hAnsi="Palatino Linotype"/>
          <w:color w:val="000000" w:themeColor="text1"/>
        </w:rPr>
        <w:t xml:space="preserve">tendrá por objetivo el </w:t>
      </w:r>
      <w:r w:rsidR="00B76ACA" w:rsidRPr="00860016">
        <w:rPr>
          <w:rFonts w:ascii="Palatino Linotype" w:hAnsi="Palatino Linotype"/>
          <w:b/>
          <w:color w:val="000000" w:themeColor="text1"/>
        </w:rPr>
        <w:t>gestionar, administrar</w:t>
      </w:r>
      <w:r w:rsidR="00B76ACA">
        <w:rPr>
          <w:rFonts w:ascii="Palatino Linotype" w:hAnsi="Palatino Linotype"/>
          <w:color w:val="000000" w:themeColor="text1"/>
        </w:rPr>
        <w:t xml:space="preserve"> y proporcionar </w:t>
      </w:r>
      <w:r w:rsidR="00B76ACA" w:rsidRPr="00B76ACA">
        <w:rPr>
          <w:rFonts w:ascii="Palatino Linotype" w:hAnsi="Palatino Linotype"/>
          <w:color w:val="000000" w:themeColor="text1"/>
        </w:rPr>
        <w:t xml:space="preserve">con oportunidad el capital humano, </w:t>
      </w:r>
      <w:r w:rsidR="00B76ACA" w:rsidRPr="00860016">
        <w:rPr>
          <w:rFonts w:ascii="Palatino Linotype" w:hAnsi="Palatino Linotype"/>
          <w:color w:val="000000" w:themeColor="text1"/>
        </w:rPr>
        <w:t>así como los recursos materiales,</w:t>
      </w:r>
      <w:r w:rsidR="00B76ACA" w:rsidRPr="00B76ACA">
        <w:rPr>
          <w:rFonts w:ascii="Palatino Linotype" w:hAnsi="Palatino Linotype"/>
          <w:b/>
          <w:color w:val="000000" w:themeColor="text1"/>
        </w:rPr>
        <w:t xml:space="preserve"> servicios generales y recursos financieros</w:t>
      </w:r>
      <w:r w:rsidR="00B76ACA" w:rsidRPr="00B76ACA">
        <w:rPr>
          <w:rFonts w:ascii="Palatino Linotype" w:hAnsi="Palatino Linotype"/>
          <w:color w:val="000000" w:themeColor="text1"/>
        </w:rPr>
        <w:t xml:space="preserve">, requeridos por las unidades administrativas de la Comisión para el desarrollo de sus funciones, atendiendo los criterios de </w:t>
      </w:r>
      <w:r w:rsidR="00B76ACA" w:rsidRPr="00B76ACA">
        <w:rPr>
          <w:rFonts w:ascii="Palatino Linotype" w:hAnsi="Palatino Linotype"/>
          <w:b/>
          <w:color w:val="000000" w:themeColor="text1"/>
        </w:rPr>
        <w:t>eficiencia, racionalidad y disciplina presupuestales</w:t>
      </w:r>
      <w:r w:rsidR="00B76ACA">
        <w:rPr>
          <w:rStyle w:val="Refdenotaalpie"/>
          <w:rFonts w:ascii="Palatino Linotype" w:hAnsi="Palatino Linotype"/>
          <w:b/>
          <w:color w:val="000000" w:themeColor="text1"/>
        </w:rPr>
        <w:footnoteReference w:id="14"/>
      </w:r>
      <w:r w:rsidR="00B76ACA">
        <w:rPr>
          <w:rFonts w:ascii="Palatino Linotype" w:hAnsi="Palatino Linotype"/>
          <w:color w:val="000000" w:themeColor="text1"/>
        </w:rPr>
        <w:t>.</w:t>
      </w:r>
    </w:p>
    <w:p w14:paraId="341A6DDE" w14:textId="77777777" w:rsidR="00B76ACA" w:rsidRDefault="00B76ACA" w:rsidP="00B76ACA">
      <w:pPr>
        <w:pStyle w:val="Prrafodelista"/>
        <w:tabs>
          <w:tab w:val="left" w:pos="426"/>
        </w:tabs>
        <w:spacing w:before="240" w:after="240" w:line="360" w:lineRule="auto"/>
        <w:ind w:left="0" w:right="51"/>
        <w:jc w:val="both"/>
        <w:rPr>
          <w:rFonts w:ascii="Palatino Linotype" w:hAnsi="Palatino Linotype"/>
          <w:color w:val="000000" w:themeColor="text1"/>
        </w:rPr>
      </w:pPr>
    </w:p>
    <w:p w14:paraId="2B447D7C" w14:textId="248518D5" w:rsidR="00D607B9" w:rsidRDefault="00860016"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De</w:t>
      </w:r>
      <w:r w:rsidR="00EB0666">
        <w:rPr>
          <w:rFonts w:ascii="Palatino Linotype" w:hAnsi="Palatino Linotype"/>
          <w:color w:val="000000" w:themeColor="text1"/>
        </w:rPr>
        <w:t xml:space="preserve"> conformidad con el artículo 23 del Reglamento Interno de la Comisión de Conciliación y Arbitraje Médico del Estado de México, </w:t>
      </w:r>
      <w:r>
        <w:rPr>
          <w:rFonts w:ascii="Palatino Linotype" w:hAnsi="Palatino Linotype"/>
          <w:color w:val="000000" w:themeColor="text1"/>
        </w:rPr>
        <w:t xml:space="preserve">a la Unidad de Apoyo Administrativo </w:t>
      </w:r>
      <w:r w:rsidR="00EB0666">
        <w:rPr>
          <w:rFonts w:ascii="Palatino Linotype" w:hAnsi="Palatino Linotype"/>
          <w:color w:val="000000" w:themeColor="text1"/>
        </w:rPr>
        <w:t>le corresponderá el despacho de los siguientes asuntos:</w:t>
      </w:r>
    </w:p>
    <w:p w14:paraId="02E99935"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1AB3E8CE"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EB0666">
        <w:rPr>
          <w:rFonts w:ascii="Palatino Linotype" w:hAnsi="Palatino Linotype"/>
          <w:b/>
          <w:i/>
          <w:sz w:val="22"/>
        </w:rPr>
        <w:t>Artículo 23.-</w:t>
      </w:r>
      <w:r w:rsidRPr="00EB0666">
        <w:rPr>
          <w:rFonts w:ascii="Palatino Linotype" w:hAnsi="Palatino Linotype"/>
          <w:i/>
          <w:sz w:val="22"/>
        </w:rPr>
        <w:t xml:space="preserve"> Corresponde a la Unidad de Apoyo Administrativo: </w:t>
      </w:r>
    </w:p>
    <w:p w14:paraId="55F38046"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w:t>
      </w:r>
      <w:r w:rsidRPr="00EB0666">
        <w:rPr>
          <w:rFonts w:ascii="Palatino Linotype" w:hAnsi="Palatino Linotype"/>
          <w:i/>
          <w:sz w:val="22"/>
        </w:rPr>
        <w:t xml:space="preserve"> </w:t>
      </w:r>
      <w:r w:rsidRPr="00EB0666">
        <w:rPr>
          <w:rFonts w:ascii="Palatino Linotype" w:hAnsi="Palatino Linotype"/>
          <w:b/>
          <w:i/>
          <w:sz w:val="22"/>
        </w:rPr>
        <w:t xml:space="preserve">Aplicar las políticas, normas, sistemas y procedimientos para la programación, </w:t>
      </w:r>
      <w:r w:rsidRPr="00EB0666">
        <w:rPr>
          <w:rFonts w:ascii="Palatino Linotype" w:hAnsi="Palatino Linotype"/>
          <w:b/>
          <w:i/>
          <w:sz w:val="22"/>
          <w:u w:val="single"/>
        </w:rPr>
        <w:t>presupuestación</w:t>
      </w:r>
      <w:r w:rsidRPr="00EB0666">
        <w:rPr>
          <w:rFonts w:ascii="Palatino Linotype" w:hAnsi="Palatino Linotype"/>
          <w:b/>
          <w:i/>
          <w:sz w:val="22"/>
        </w:rPr>
        <w:t xml:space="preserve"> y </w:t>
      </w:r>
      <w:r w:rsidRPr="00EB0666">
        <w:rPr>
          <w:rFonts w:ascii="Palatino Linotype" w:hAnsi="Palatino Linotype"/>
          <w:b/>
          <w:i/>
          <w:sz w:val="22"/>
          <w:u w:val="single"/>
        </w:rPr>
        <w:t>administración de los recursos</w:t>
      </w:r>
      <w:r w:rsidRPr="00EB0666">
        <w:rPr>
          <w:rFonts w:ascii="Palatino Linotype" w:hAnsi="Palatino Linotype"/>
          <w:i/>
          <w:sz w:val="22"/>
        </w:rPr>
        <w:t xml:space="preserve"> asignados a la Comisión. </w:t>
      </w:r>
    </w:p>
    <w:p w14:paraId="2B50B910"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II.</w:t>
      </w:r>
      <w:r w:rsidRPr="00EB0666">
        <w:rPr>
          <w:rFonts w:ascii="Palatino Linotype" w:hAnsi="Palatino Linotype"/>
          <w:i/>
          <w:sz w:val="22"/>
        </w:rPr>
        <w:t xml:space="preserve"> </w:t>
      </w:r>
      <w:r w:rsidRPr="00CD07F8">
        <w:rPr>
          <w:rFonts w:ascii="Palatino Linotype" w:hAnsi="Palatino Linotype"/>
          <w:i/>
          <w:sz w:val="22"/>
        </w:rPr>
        <w:t>Elaborar y presentar a consideración del Comisionado el proyecto de presupuesto anual de egresos de la Comisión, de acuerdo</w:t>
      </w:r>
      <w:r w:rsidRPr="00EB0666">
        <w:rPr>
          <w:rFonts w:ascii="Palatino Linotype" w:hAnsi="Palatino Linotype"/>
          <w:i/>
          <w:sz w:val="22"/>
        </w:rPr>
        <w:t xml:space="preserve"> con la normatividad en la materia. </w:t>
      </w:r>
    </w:p>
    <w:p w14:paraId="515126C2"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III.</w:t>
      </w:r>
      <w:r w:rsidRPr="00EB0666">
        <w:rPr>
          <w:rFonts w:ascii="Palatino Linotype" w:hAnsi="Palatino Linotype"/>
          <w:i/>
          <w:sz w:val="22"/>
        </w:rPr>
        <w:t xml:space="preserve"> Coordinar la integración y actualización de los manuales administrativos de la Comisión, previa aprobación del Consejo, y someterlos a la autorización de la Secretaría de Finanzas. </w:t>
      </w:r>
    </w:p>
    <w:p w14:paraId="4F68385B"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IV.</w:t>
      </w:r>
      <w:r w:rsidRPr="00EB0666">
        <w:rPr>
          <w:rFonts w:ascii="Palatino Linotype" w:hAnsi="Palatino Linotype"/>
          <w:i/>
          <w:sz w:val="22"/>
        </w:rPr>
        <w:t xml:space="preserve"> </w:t>
      </w:r>
      <w:r w:rsidRPr="008263E3">
        <w:rPr>
          <w:rFonts w:ascii="Palatino Linotype" w:hAnsi="Palatino Linotype"/>
          <w:b/>
          <w:i/>
          <w:sz w:val="22"/>
        </w:rPr>
        <w:t>Aplicar y vigilar el cumplimiento de las disposiciones legales en materia de</w:t>
      </w:r>
      <w:r w:rsidRPr="00EB0666">
        <w:rPr>
          <w:rFonts w:ascii="Palatino Linotype" w:hAnsi="Palatino Linotype"/>
          <w:i/>
          <w:sz w:val="22"/>
        </w:rPr>
        <w:t xml:space="preserve"> </w:t>
      </w:r>
      <w:r w:rsidRPr="00CD07F8">
        <w:rPr>
          <w:rFonts w:ascii="Palatino Linotype" w:hAnsi="Palatino Linotype"/>
          <w:b/>
          <w:i/>
          <w:sz w:val="22"/>
        </w:rPr>
        <w:t>adquisiciones</w:t>
      </w:r>
      <w:r w:rsidRPr="00EB0666">
        <w:rPr>
          <w:rFonts w:ascii="Palatino Linotype" w:hAnsi="Palatino Linotype"/>
          <w:i/>
          <w:sz w:val="22"/>
        </w:rPr>
        <w:t xml:space="preserve">, conservación, </w:t>
      </w:r>
      <w:r w:rsidRPr="00CD07F8">
        <w:rPr>
          <w:rFonts w:ascii="Palatino Linotype" w:hAnsi="Palatino Linotype"/>
          <w:i/>
          <w:sz w:val="22"/>
        </w:rPr>
        <w:t>mantenimiento y reparación de bienes muebles e inmuebles</w:t>
      </w:r>
      <w:r w:rsidRPr="00EB0666">
        <w:rPr>
          <w:rFonts w:ascii="Palatino Linotype" w:hAnsi="Palatino Linotype"/>
          <w:i/>
          <w:sz w:val="22"/>
        </w:rPr>
        <w:t xml:space="preserve">. </w:t>
      </w:r>
    </w:p>
    <w:p w14:paraId="72E6DE4B" w14:textId="25A2CE3D"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V.</w:t>
      </w:r>
      <w:r w:rsidRPr="00EB0666">
        <w:rPr>
          <w:rFonts w:ascii="Palatino Linotype" w:hAnsi="Palatino Linotype"/>
          <w:i/>
          <w:sz w:val="22"/>
        </w:rPr>
        <w:t xml:space="preserve"> Revisar que los expedientes del archivo de</w:t>
      </w:r>
      <w:r w:rsidR="00860016">
        <w:rPr>
          <w:rFonts w:ascii="Palatino Linotype" w:hAnsi="Palatino Linotype"/>
          <w:i/>
          <w:sz w:val="22"/>
        </w:rPr>
        <w:t>|</w:t>
      </w:r>
      <w:r w:rsidRPr="00EB0666">
        <w:rPr>
          <w:rFonts w:ascii="Palatino Linotype" w:hAnsi="Palatino Linotype"/>
          <w:i/>
          <w:sz w:val="22"/>
        </w:rPr>
        <w:t xml:space="preserve"> la Comisión cumplan con la normatividad en la materia, previo a su concentración. </w:t>
      </w:r>
    </w:p>
    <w:p w14:paraId="58217924"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VI.</w:t>
      </w:r>
      <w:r w:rsidRPr="00EB0666">
        <w:rPr>
          <w:rFonts w:ascii="Palatino Linotype" w:hAnsi="Palatino Linotype"/>
          <w:i/>
          <w:sz w:val="22"/>
        </w:rPr>
        <w:t xml:space="preserve"> Diseñar y proponer conjuntamente con las o los titulares de las subcomisiones, el sistema para evaluar el desempeño de la Comisión. </w:t>
      </w:r>
    </w:p>
    <w:p w14:paraId="59C08094"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VII.</w:t>
      </w:r>
      <w:r w:rsidRPr="00EB0666">
        <w:rPr>
          <w:rFonts w:ascii="Palatino Linotype" w:hAnsi="Palatino Linotype"/>
          <w:i/>
          <w:sz w:val="22"/>
        </w:rPr>
        <w:t xml:space="preserve"> </w:t>
      </w:r>
      <w:r w:rsidRPr="009221AB">
        <w:rPr>
          <w:rFonts w:ascii="Palatino Linotype" w:hAnsi="Palatino Linotype"/>
          <w:i/>
          <w:sz w:val="22"/>
        </w:rPr>
        <w:t>Suscribir</w:t>
      </w:r>
      <w:r w:rsidRPr="00EB0666">
        <w:rPr>
          <w:rFonts w:ascii="Palatino Linotype" w:hAnsi="Palatino Linotype"/>
          <w:i/>
          <w:sz w:val="22"/>
        </w:rPr>
        <w:t xml:space="preserve">, previa autorización del Comisionado, los convenios, contratos y demás documentos que impliquen actos de administración relacionados con su competencia. </w:t>
      </w:r>
    </w:p>
    <w:p w14:paraId="43CAD19B"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8263E3">
        <w:rPr>
          <w:rFonts w:ascii="Palatino Linotype" w:hAnsi="Palatino Linotype"/>
          <w:b/>
          <w:i/>
          <w:sz w:val="22"/>
        </w:rPr>
        <w:t>VIII.</w:t>
      </w:r>
      <w:r w:rsidRPr="00EB0666">
        <w:rPr>
          <w:rFonts w:ascii="Palatino Linotype" w:hAnsi="Palatino Linotype"/>
          <w:i/>
          <w:sz w:val="22"/>
        </w:rPr>
        <w:t xml:space="preserve"> Expedir certificados y autentificar documentos relacionados con su competencia. </w:t>
      </w:r>
    </w:p>
    <w:p w14:paraId="375D843A"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IX.</w:t>
      </w:r>
      <w:r w:rsidRPr="00EB0666">
        <w:rPr>
          <w:rFonts w:ascii="Palatino Linotype" w:hAnsi="Palatino Linotype"/>
          <w:i/>
          <w:sz w:val="22"/>
        </w:rPr>
        <w:t xml:space="preserve"> Realizar los movimientos de altas, bajas, cambios, permisos y licencias de los servidores públicos de la Comisión, en términos de la normatividad aplicable. </w:t>
      </w:r>
    </w:p>
    <w:p w14:paraId="23F7DB77"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w:t>
      </w:r>
      <w:r w:rsidRPr="00EB0666">
        <w:rPr>
          <w:rFonts w:ascii="Palatino Linotype" w:hAnsi="Palatino Linotype"/>
          <w:i/>
          <w:sz w:val="22"/>
        </w:rPr>
        <w:t xml:space="preserve"> Presidir los comités de Adquisiciones y Servicios; y de Arrendamientos, Adquisiciones de Inmuebles y Enajenaciones de la Comisión, de conformidad con la normatividad aplicable. </w:t>
      </w:r>
    </w:p>
    <w:p w14:paraId="1E6B58E6"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XI.</w:t>
      </w:r>
      <w:r w:rsidRPr="00EB0666">
        <w:rPr>
          <w:rFonts w:ascii="Palatino Linotype" w:hAnsi="Palatino Linotype"/>
          <w:i/>
          <w:sz w:val="22"/>
        </w:rPr>
        <w:t xml:space="preserve"> </w:t>
      </w:r>
      <w:r w:rsidRPr="009221AB">
        <w:rPr>
          <w:rFonts w:ascii="Palatino Linotype" w:hAnsi="Palatino Linotype"/>
          <w:b/>
          <w:i/>
          <w:sz w:val="22"/>
        </w:rPr>
        <w:t>Coordinar y ejecutar los procedimientos de adquisiciones y servicios</w:t>
      </w:r>
      <w:r w:rsidRPr="00EB0666">
        <w:rPr>
          <w:rFonts w:ascii="Palatino Linotype" w:hAnsi="Palatino Linotype"/>
          <w:i/>
          <w:sz w:val="22"/>
        </w:rPr>
        <w:t xml:space="preserve">, arrendamientos, enajenaciones, obra pública y servicios relacionados con la misma </w:t>
      </w:r>
      <w:r w:rsidRPr="009221AB">
        <w:rPr>
          <w:rFonts w:ascii="Palatino Linotype" w:hAnsi="Palatino Linotype"/>
          <w:b/>
          <w:i/>
          <w:sz w:val="22"/>
        </w:rPr>
        <w:t>que requiera la Comisión</w:t>
      </w:r>
      <w:r w:rsidRPr="00EB0666">
        <w:rPr>
          <w:rFonts w:ascii="Palatino Linotype" w:hAnsi="Palatino Linotype"/>
          <w:i/>
          <w:sz w:val="22"/>
        </w:rPr>
        <w:t xml:space="preserve">, de acuerdo con la normatividad aplicable. </w:t>
      </w:r>
    </w:p>
    <w:p w14:paraId="4A3F48A0"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XII.</w:t>
      </w:r>
      <w:r w:rsidRPr="00EB0666">
        <w:rPr>
          <w:rFonts w:ascii="Palatino Linotype" w:hAnsi="Palatino Linotype"/>
          <w:i/>
          <w:sz w:val="22"/>
        </w:rPr>
        <w:t xml:space="preserve"> </w:t>
      </w:r>
      <w:r w:rsidRPr="009221AB">
        <w:rPr>
          <w:rFonts w:ascii="Palatino Linotype" w:hAnsi="Palatino Linotype"/>
          <w:b/>
          <w:i/>
          <w:sz w:val="22"/>
        </w:rPr>
        <w:t>Suscribir los contratos y convenios derivados de los procedimientos adquisitivos de</w:t>
      </w:r>
      <w:r w:rsidRPr="00EB0666">
        <w:rPr>
          <w:rFonts w:ascii="Palatino Linotype" w:hAnsi="Palatino Linotype"/>
          <w:i/>
          <w:sz w:val="22"/>
        </w:rPr>
        <w:t xml:space="preserve"> bienes, arrendamientos, </w:t>
      </w:r>
      <w:r w:rsidRPr="009221AB">
        <w:rPr>
          <w:rFonts w:ascii="Palatino Linotype" w:hAnsi="Palatino Linotype"/>
          <w:b/>
          <w:i/>
          <w:sz w:val="22"/>
        </w:rPr>
        <w:t>servicios</w:t>
      </w:r>
      <w:r w:rsidRPr="00EB0666">
        <w:rPr>
          <w:rFonts w:ascii="Palatino Linotype" w:hAnsi="Palatino Linotype"/>
          <w:i/>
          <w:sz w:val="22"/>
        </w:rPr>
        <w:t xml:space="preserve">, obra pública y servicios </w:t>
      </w:r>
      <w:r w:rsidRPr="00EB0666">
        <w:rPr>
          <w:rFonts w:ascii="Palatino Linotype" w:hAnsi="Palatino Linotype"/>
          <w:i/>
          <w:sz w:val="22"/>
        </w:rPr>
        <w:lastRenderedPageBreak/>
        <w:t xml:space="preserve">relacionados con la misma, con base en la normatividad aplicable, previo acuerdo del Comisionado. </w:t>
      </w:r>
    </w:p>
    <w:p w14:paraId="28CD9AA6"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XIII.</w:t>
      </w:r>
      <w:r w:rsidRPr="00EB0666">
        <w:rPr>
          <w:rFonts w:ascii="Palatino Linotype" w:hAnsi="Palatino Linotype"/>
          <w:i/>
          <w:sz w:val="22"/>
        </w:rPr>
        <w:t xml:space="preserve"> Rescindir administrativamente los contratos y convenios derivados de los procedimientos que haya celebrado la Comisión e informar al Órgano Interno de Control de la Comisión de las posibles infracciones a que haya lugar. </w:t>
      </w:r>
    </w:p>
    <w:p w14:paraId="63CED750" w14:textId="479708E9"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XIV.</w:t>
      </w:r>
      <w:r w:rsidRPr="00EB0666">
        <w:rPr>
          <w:rFonts w:ascii="Palatino Linotype" w:hAnsi="Palatino Linotype"/>
          <w:i/>
          <w:sz w:val="22"/>
        </w:rPr>
        <w:t xml:space="preserve"> Las demás que le confieran otras disposiciones legales y aquellas que le encomiende el Comisionado.</w:t>
      </w:r>
      <w:r>
        <w:rPr>
          <w:rFonts w:ascii="Palatino Linotype" w:hAnsi="Palatino Linotype"/>
          <w:i/>
          <w:sz w:val="22"/>
        </w:rPr>
        <w:t>”</w:t>
      </w:r>
    </w:p>
    <w:p w14:paraId="58DEAE26" w14:textId="32C4D21D" w:rsidR="008263E3" w:rsidRPr="008263E3" w:rsidRDefault="008263E3" w:rsidP="00EB0666">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112702D7" w14:textId="77777777" w:rsidR="00EB0666" w:rsidRDefault="00EB0666"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6C6D0C17" w14:textId="740613A1" w:rsidR="00D607B9" w:rsidRDefault="008263E3"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análisis al contenido del dispositivo normativo transcrito </w:t>
      </w:r>
      <w:r>
        <w:rPr>
          <w:rFonts w:ascii="Palatino Linotype" w:hAnsi="Palatino Linotype"/>
          <w:i/>
          <w:color w:val="000000" w:themeColor="text1"/>
        </w:rPr>
        <w:t>supra</w:t>
      </w:r>
      <w:r>
        <w:rPr>
          <w:rFonts w:ascii="Palatino Linotype" w:hAnsi="Palatino Linotype"/>
          <w:color w:val="000000" w:themeColor="text1"/>
        </w:rPr>
        <w:t xml:space="preserve">, se advierte que a la Unidad de Apoyo Administrativo le corresponderá </w:t>
      </w:r>
      <w:r w:rsidR="00860016">
        <w:rPr>
          <w:rFonts w:ascii="Palatino Linotype" w:hAnsi="Palatino Linotype"/>
          <w:color w:val="000000" w:themeColor="text1"/>
        </w:rPr>
        <w:t xml:space="preserve">el coordinar y ejecutar los procedimientos de adquisición de bienes, servicios y arrendamientos que requiera el </w:t>
      </w:r>
      <w:r w:rsidR="00860016">
        <w:rPr>
          <w:rFonts w:ascii="Palatino Linotype" w:hAnsi="Palatino Linotype"/>
          <w:b/>
          <w:color w:val="000000" w:themeColor="text1"/>
        </w:rPr>
        <w:t>SUJETO OBLIGADO</w:t>
      </w:r>
      <w:r w:rsidR="00860016">
        <w:rPr>
          <w:rFonts w:ascii="Palatino Linotype" w:hAnsi="Palatino Linotype"/>
          <w:color w:val="000000" w:themeColor="text1"/>
        </w:rPr>
        <w:t>, así como suscribir los contratos y convenios que deriven de éstos.</w:t>
      </w:r>
    </w:p>
    <w:p w14:paraId="56A73A67"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775CE2E2" w14:textId="209FF418" w:rsidR="00D607B9" w:rsidRDefault="008263E3"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esta Ponencia Resolutora determina que la Unidad de Transparencia del </w:t>
      </w:r>
      <w:r>
        <w:rPr>
          <w:rFonts w:ascii="Palatino Linotype" w:hAnsi="Palatino Linotype"/>
          <w:b/>
          <w:color w:val="000000" w:themeColor="text1"/>
        </w:rPr>
        <w:t>SUJETO OBLIGADO</w:t>
      </w:r>
      <w:r>
        <w:rPr>
          <w:rFonts w:ascii="Palatino Linotype" w:hAnsi="Palatino Linotype"/>
          <w:color w:val="000000" w:themeColor="text1"/>
        </w:rPr>
        <w:t xml:space="preserve"> turnó adecuadamente la solicitud de información </w:t>
      </w:r>
      <w:r w:rsidR="00E936B9">
        <w:rPr>
          <w:rFonts w:ascii="Palatino Linotype" w:hAnsi="Palatino Linotype"/>
          <w:b/>
          <w:color w:val="000000" w:themeColor="text1"/>
        </w:rPr>
        <w:t>00125/CAMEM/IP/2021</w:t>
      </w:r>
      <w:r>
        <w:rPr>
          <w:rFonts w:ascii="Palatino Linotype" w:hAnsi="Palatino Linotype"/>
          <w:color w:val="000000" w:themeColor="text1"/>
        </w:rPr>
        <w:t xml:space="preserve"> al área administrativa que, por la naturaleza de sus funciones, es competente para poseer, generar y administrar la información solicitada.</w:t>
      </w:r>
    </w:p>
    <w:p w14:paraId="68786B71"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5995719A" w14:textId="63081172" w:rsidR="00D607B9" w:rsidRDefault="000C0E0F"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es elemental precisar que, en seguimiento a las atribuciones generales señaladas en el párrafo </w:t>
      </w:r>
      <w:r w:rsidR="0021398C">
        <w:rPr>
          <w:rFonts w:ascii="Palatino Linotype" w:hAnsi="Palatino Linotype"/>
          <w:color w:val="000000" w:themeColor="text1"/>
        </w:rPr>
        <w:t>49</w:t>
      </w:r>
      <w:r>
        <w:rPr>
          <w:rFonts w:ascii="Palatino Linotype" w:hAnsi="Palatino Linotype"/>
          <w:color w:val="000000" w:themeColor="text1"/>
        </w:rPr>
        <w:t xml:space="preserve"> de la presente resolución, de acuerdo con lo dispuesto por el </w:t>
      </w:r>
      <w:r w:rsidRPr="000C0E0F">
        <w:rPr>
          <w:rFonts w:ascii="Palatino Linotype" w:hAnsi="Palatino Linotype"/>
          <w:color w:val="000000" w:themeColor="text1"/>
        </w:rPr>
        <w:t>Manual General de Organización de la Comisión de Conciliación y Arbitraje Médico del Estado de México</w:t>
      </w:r>
      <w:r>
        <w:rPr>
          <w:rFonts w:ascii="Palatino Linotype" w:hAnsi="Palatino Linotype"/>
          <w:color w:val="000000" w:themeColor="text1"/>
        </w:rPr>
        <w:t>, la Unidad de Apoyo Administrativo tendrá, entre otras, las siguientes funciones:</w:t>
      </w:r>
    </w:p>
    <w:p w14:paraId="73BF897D" w14:textId="54E89247" w:rsidR="000C0E0F" w:rsidRDefault="000C0E0F" w:rsidP="000C0E0F">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0C0E0F">
        <w:rPr>
          <w:rFonts w:ascii="Palatino Linotype" w:hAnsi="Palatino Linotype"/>
          <w:b/>
          <w:color w:val="000000" w:themeColor="text1"/>
        </w:rPr>
        <w:lastRenderedPageBreak/>
        <w:t xml:space="preserve">Integrar el programa anual de </w:t>
      </w:r>
      <w:r w:rsidRPr="00860016">
        <w:rPr>
          <w:rFonts w:ascii="Palatino Linotype" w:hAnsi="Palatino Linotype"/>
          <w:b/>
          <w:color w:val="000000" w:themeColor="text1"/>
          <w:u w:val="single"/>
        </w:rPr>
        <w:t>adquisiciones</w:t>
      </w:r>
      <w:r w:rsidRPr="000C0E0F">
        <w:rPr>
          <w:rFonts w:ascii="Palatino Linotype" w:hAnsi="Palatino Linotype"/>
          <w:b/>
          <w:color w:val="000000" w:themeColor="text1"/>
        </w:rPr>
        <w:t xml:space="preserve">, arrendamientos, </w:t>
      </w:r>
      <w:r w:rsidRPr="00860016">
        <w:rPr>
          <w:rFonts w:ascii="Palatino Linotype" w:hAnsi="Palatino Linotype"/>
          <w:b/>
          <w:color w:val="000000" w:themeColor="text1"/>
        </w:rPr>
        <w:t>mantenimientos</w:t>
      </w:r>
      <w:r w:rsidRPr="000C0E0F">
        <w:rPr>
          <w:rFonts w:ascii="Palatino Linotype" w:hAnsi="Palatino Linotype"/>
          <w:b/>
          <w:color w:val="000000" w:themeColor="text1"/>
        </w:rPr>
        <w:t xml:space="preserve"> y servicios generales de la Comisión</w:t>
      </w:r>
      <w:r w:rsidRPr="000C0E0F">
        <w:rPr>
          <w:rFonts w:ascii="Palatino Linotype" w:hAnsi="Palatino Linotype"/>
          <w:color w:val="000000" w:themeColor="text1"/>
        </w:rPr>
        <w:t>, con base en los lineamientos que en la materia e</w:t>
      </w:r>
      <w:r>
        <w:rPr>
          <w:rFonts w:ascii="Palatino Linotype" w:hAnsi="Palatino Linotype"/>
          <w:color w:val="000000" w:themeColor="text1"/>
        </w:rPr>
        <w:t>mita la Secretaría de Finanzas;</w:t>
      </w:r>
    </w:p>
    <w:p w14:paraId="732A294E" w14:textId="3DE9E0D0" w:rsidR="000C0E0F" w:rsidRDefault="00860016" w:rsidP="000C0E0F">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860016">
        <w:rPr>
          <w:rFonts w:ascii="Palatino Linotype" w:hAnsi="Palatino Linotype"/>
          <w:b/>
          <w:color w:val="000000" w:themeColor="text1"/>
          <w:u w:val="single"/>
        </w:rPr>
        <w:t>Comprobar que los</w:t>
      </w:r>
      <w:r>
        <w:rPr>
          <w:rFonts w:ascii="Palatino Linotype" w:hAnsi="Palatino Linotype"/>
          <w:color w:val="000000" w:themeColor="text1"/>
        </w:rPr>
        <w:t xml:space="preserve"> bienes muebles, </w:t>
      </w:r>
      <w:r w:rsidRPr="00860016">
        <w:rPr>
          <w:rFonts w:ascii="Palatino Linotype" w:hAnsi="Palatino Linotype"/>
          <w:b/>
          <w:color w:val="000000" w:themeColor="text1"/>
          <w:u w:val="single"/>
        </w:rPr>
        <w:t>vehículos</w:t>
      </w:r>
      <w:r>
        <w:rPr>
          <w:rFonts w:ascii="Palatino Linotype" w:hAnsi="Palatino Linotype"/>
          <w:color w:val="000000" w:themeColor="text1"/>
        </w:rPr>
        <w:t xml:space="preserve">, equipos e inmuebles </w:t>
      </w:r>
      <w:r w:rsidRPr="00860016">
        <w:rPr>
          <w:rFonts w:ascii="Palatino Linotype" w:hAnsi="Palatino Linotype"/>
          <w:b/>
          <w:color w:val="000000" w:themeColor="text1"/>
          <w:u w:val="single"/>
        </w:rPr>
        <w:t>se encuentren asegurados en la modalidad que corresponda</w:t>
      </w:r>
      <w:r>
        <w:rPr>
          <w:rFonts w:ascii="Palatino Linotype" w:hAnsi="Palatino Linotype"/>
          <w:color w:val="000000" w:themeColor="text1"/>
        </w:rPr>
        <w:t xml:space="preserve"> y de conformidad con la disponibilidad presupuestal respectiva.</w:t>
      </w:r>
    </w:p>
    <w:p w14:paraId="6EBEBFB7"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6C0D3198" w14:textId="389989BF" w:rsidR="00E82A09" w:rsidRPr="00E82A09" w:rsidRDefault="00E82A09" w:rsidP="00E82A0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3316011"/>
      <w:r>
        <w:rPr>
          <w:rFonts w:ascii="Palatino Linotype" w:hAnsi="Palatino Linotype"/>
          <w:b/>
          <w:color w:val="000000" w:themeColor="text1"/>
        </w:rPr>
        <w:t xml:space="preserve">IV. Del </w:t>
      </w:r>
      <w:r w:rsidR="00223C8F">
        <w:rPr>
          <w:rFonts w:ascii="Palatino Linotype" w:hAnsi="Palatino Linotype"/>
          <w:b/>
          <w:color w:val="000000" w:themeColor="text1"/>
        </w:rPr>
        <w:t>cambio de la modalidad de entrega de la información</w:t>
      </w:r>
      <w:r>
        <w:rPr>
          <w:rFonts w:ascii="Palatino Linotype" w:hAnsi="Palatino Linotype"/>
          <w:b/>
          <w:color w:val="000000" w:themeColor="text1"/>
        </w:rPr>
        <w:t>.</w:t>
      </w:r>
      <w:bookmarkEnd w:id="28"/>
    </w:p>
    <w:p w14:paraId="5134807D" w14:textId="77777777" w:rsidR="00E82A09" w:rsidRDefault="00E82A0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3A5EE9F9" w14:textId="6A020275" w:rsidR="00D607B9" w:rsidRPr="00346C21" w:rsidRDefault="00EF0692"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Hasta </w:t>
      </w:r>
      <w:r w:rsidRPr="00FA17C2">
        <w:rPr>
          <w:rFonts w:ascii="Palatino Linotype" w:eastAsia="Times New Roman" w:hAnsi="Palatino Linotype" w:cs="Arial"/>
          <w:bCs/>
          <w:iCs/>
          <w:lang w:val="es-MX"/>
        </w:rPr>
        <w:t>este momento hemos establecido el procedimiento básico que los Sujetos Obligados deben seguir para atender las solicitudes de acceso a la información pública</w:t>
      </w:r>
      <w:r>
        <w:rPr>
          <w:rFonts w:ascii="Palatino Linotype" w:eastAsia="Times New Roman" w:hAnsi="Palatino Linotype" w:cs="Arial"/>
          <w:bCs/>
          <w:iCs/>
          <w:lang w:val="es-MX"/>
        </w:rPr>
        <w:t xml:space="preserve">; asimismo, </w:t>
      </w:r>
      <w:r w:rsidR="00CB1AAE">
        <w:rPr>
          <w:rFonts w:ascii="Palatino Linotype" w:eastAsia="Times New Roman" w:hAnsi="Palatino Linotype" w:cs="Arial"/>
          <w:bCs/>
          <w:iCs/>
          <w:lang w:val="es-MX"/>
        </w:rPr>
        <w:t>corroboramos</w:t>
      </w:r>
      <w:r>
        <w:rPr>
          <w:rFonts w:ascii="Palatino Linotype" w:eastAsia="Times New Roman" w:hAnsi="Palatino Linotype" w:cs="Arial"/>
          <w:bCs/>
          <w:iCs/>
          <w:lang w:val="es-MX"/>
        </w:rPr>
        <w:t xml:space="preserve"> que </w:t>
      </w:r>
      <w:r w:rsidR="00CB1AAE">
        <w:rPr>
          <w:rFonts w:ascii="Palatino Linotype" w:eastAsia="Times New Roman" w:hAnsi="Palatino Linotype" w:cs="Arial"/>
          <w:bCs/>
          <w:iCs/>
          <w:lang w:val="es-MX"/>
        </w:rPr>
        <w:t>la Unidad de Apoyo Administrativo,</w:t>
      </w:r>
      <w:r>
        <w:rPr>
          <w:rFonts w:ascii="Palatino Linotype" w:eastAsia="Times New Roman" w:hAnsi="Palatino Linotype" w:cs="Arial"/>
          <w:bCs/>
          <w:iCs/>
          <w:lang w:val="es-MX"/>
        </w:rPr>
        <w:t xml:space="preserve"> que dio atención a la solicitud </w:t>
      </w:r>
      <w:r>
        <w:rPr>
          <w:rFonts w:ascii="Palatino Linotype" w:eastAsia="Times New Roman" w:hAnsi="Palatino Linotype" w:cs="Arial"/>
          <w:b/>
          <w:bCs/>
          <w:iCs/>
          <w:lang w:val="es-MX"/>
        </w:rPr>
        <w:t>00125/CAMEM/IP/2021</w:t>
      </w:r>
      <w:r w:rsidR="00CB1AAE">
        <w:rPr>
          <w:rFonts w:ascii="Palatino Linotype" w:eastAsia="Times New Roman" w:hAnsi="Palatino Linotype" w:cs="Arial"/>
          <w:bCs/>
          <w:iCs/>
          <w:lang w:val="es-MX"/>
        </w:rPr>
        <w:t>, por la naturaleza de sus atribuciones, resulta ser el área administrativa competente para poseer, generar y administrar lo solicitado.</w:t>
      </w:r>
      <w:r w:rsidRPr="00FA17C2">
        <w:rPr>
          <w:rFonts w:ascii="Palatino Linotype" w:eastAsia="Times New Roman" w:hAnsi="Palatino Linotype" w:cs="Arial"/>
          <w:bCs/>
          <w:iCs/>
          <w:lang w:val="es-MX"/>
        </w:rPr>
        <w:t xml:space="preserve"> </w:t>
      </w:r>
      <w:r w:rsidR="00CB1AAE">
        <w:rPr>
          <w:rFonts w:ascii="Palatino Linotype" w:eastAsia="Times New Roman" w:hAnsi="Palatino Linotype" w:cs="Arial"/>
          <w:bCs/>
          <w:iCs/>
          <w:lang w:val="es-MX"/>
        </w:rPr>
        <w:t>E</w:t>
      </w:r>
      <w:r w:rsidRPr="00FA17C2">
        <w:rPr>
          <w:rFonts w:ascii="Palatino Linotype" w:eastAsia="Times New Roman" w:hAnsi="Palatino Linotype" w:cs="Arial"/>
          <w:bCs/>
          <w:iCs/>
          <w:lang w:val="es-MX"/>
        </w:rPr>
        <w:t>mpero, para atender escenarios particulares</w:t>
      </w:r>
      <w:r w:rsidR="00CB1AAE">
        <w:rPr>
          <w:rFonts w:ascii="Palatino Linotype" w:eastAsia="Times New Roman" w:hAnsi="Palatino Linotype" w:cs="Arial"/>
          <w:bCs/>
          <w:iCs/>
          <w:lang w:val="es-MX"/>
        </w:rPr>
        <w:t xml:space="preserve"> del ejercicio de acceso a la información</w:t>
      </w:r>
      <w:r w:rsidRPr="00FA17C2">
        <w:rPr>
          <w:rFonts w:ascii="Palatino Linotype" w:eastAsia="Times New Roman" w:hAnsi="Palatino Linotype" w:cs="Arial"/>
          <w:bCs/>
          <w:iCs/>
          <w:lang w:val="es-MX"/>
        </w:rPr>
        <w:t>, como puede ser la imposibilidad de entregar la información en la modalidad</w:t>
      </w:r>
      <w:r w:rsidR="00CB1AAE">
        <w:rPr>
          <w:rFonts w:ascii="Palatino Linotype" w:eastAsia="Times New Roman" w:hAnsi="Palatino Linotype" w:cs="Arial"/>
          <w:bCs/>
          <w:iCs/>
          <w:lang w:val="es-MX"/>
        </w:rPr>
        <w:t xml:space="preserve"> originalmente</w:t>
      </w:r>
      <w:r w:rsidRPr="00FA17C2">
        <w:rPr>
          <w:rFonts w:ascii="Palatino Linotype" w:eastAsia="Times New Roman" w:hAnsi="Palatino Linotype" w:cs="Arial"/>
          <w:bCs/>
          <w:iCs/>
          <w:lang w:val="es-MX"/>
        </w:rPr>
        <w:t xml:space="preserve"> elegida por los particulares, </w:t>
      </w:r>
      <w:r w:rsidR="00CB1AAE">
        <w:rPr>
          <w:rFonts w:ascii="Palatino Linotype" w:eastAsia="Times New Roman" w:hAnsi="Palatino Linotype" w:cs="Arial"/>
          <w:bCs/>
          <w:iCs/>
          <w:lang w:val="es-MX"/>
        </w:rPr>
        <w:t xml:space="preserve">el </w:t>
      </w:r>
      <w:r w:rsidR="00CB1AAE">
        <w:rPr>
          <w:rFonts w:ascii="Palatino Linotype" w:eastAsia="Times New Roman" w:hAnsi="Palatino Linotype" w:cs="Arial"/>
          <w:b/>
          <w:bCs/>
          <w:iCs/>
          <w:lang w:val="es-MX"/>
        </w:rPr>
        <w:t>SUJETO OBLIGADO</w:t>
      </w:r>
      <w:r w:rsidR="00CB1AAE">
        <w:rPr>
          <w:rFonts w:ascii="Palatino Linotype" w:eastAsia="Times New Roman" w:hAnsi="Palatino Linotype" w:cs="Arial"/>
          <w:bCs/>
          <w:iCs/>
          <w:lang w:val="es-MX"/>
        </w:rPr>
        <w:t xml:space="preserve"> deberá</w:t>
      </w:r>
      <w:r w:rsidRPr="00FA17C2">
        <w:rPr>
          <w:rFonts w:ascii="Palatino Linotype" w:eastAsia="Times New Roman" w:hAnsi="Palatino Linotype" w:cs="Arial"/>
          <w:bCs/>
          <w:iCs/>
          <w:lang w:val="es-MX"/>
        </w:rPr>
        <w:t xml:space="preserve"> adecuarse a lo establecido por la Ley de la materia.</w:t>
      </w:r>
    </w:p>
    <w:p w14:paraId="37362DA1" w14:textId="77777777" w:rsidR="00346C21" w:rsidRPr="00346C21" w:rsidRDefault="00346C21" w:rsidP="00346C21">
      <w:pPr>
        <w:pStyle w:val="Prrafodelista"/>
        <w:tabs>
          <w:tab w:val="left" w:pos="426"/>
        </w:tabs>
        <w:spacing w:before="240" w:after="240" w:line="360" w:lineRule="auto"/>
        <w:ind w:left="0" w:right="51"/>
        <w:jc w:val="both"/>
        <w:rPr>
          <w:rFonts w:ascii="Palatino Linotype" w:hAnsi="Palatino Linotype"/>
          <w:color w:val="000000" w:themeColor="text1"/>
        </w:rPr>
      </w:pPr>
    </w:p>
    <w:p w14:paraId="6F1D6443" w14:textId="57D5A56F" w:rsidR="00346C21" w:rsidRPr="00346C21" w:rsidRDefault="00346C21"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bCs/>
          <w:iCs/>
          <w:lang w:val="es-MX"/>
        </w:rPr>
        <w:t xml:space="preserve">El artículo 4 de la Ley de Transparencia y Acceso a la Información Pública del Estado de México y Municipios,  establece que </w:t>
      </w:r>
      <w:r w:rsidRPr="00346C21">
        <w:rPr>
          <w:rFonts w:ascii="Palatino Linotype" w:eastAsia="Times New Roman" w:hAnsi="Palatino Linotype" w:cs="Arial"/>
          <w:b/>
          <w:bCs/>
          <w:iCs/>
          <w:lang w:val="es-MX"/>
        </w:rPr>
        <w:t xml:space="preserve">toda </w:t>
      </w:r>
      <w:r w:rsidRPr="00346C21">
        <w:rPr>
          <w:rFonts w:ascii="Palatino Linotype" w:eastAsia="Times New Roman" w:hAnsi="Palatino Linotype" w:cs="Arial"/>
          <w:b/>
          <w:bCs/>
          <w:iCs/>
        </w:rPr>
        <w:t>la información generada, obtenida, adquirida, transformada, administrada o en posesión de los sujetos obligados es pública y accesible de manera permanente a cualquier persona</w:t>
      </w:r>
      <w:r w:rsidRPr="00346C21">
        <w:rPr>
          <w:rFonts w:ascii="Palatino Linotype" w:eastAsia="Times New Roman" w:hAnsi="Palatino Linotype" w:cs="Arial"/>
          <w:bCs/>
          <w:iCs/>
        </w:rPr>
        <w:t xml:space="preserve">, en los términos y condiciones que se establezcan en los tratados internacionales de los </w:t>
      </w:r>
      <w:r w:rsidRPr="00346C21">
        <w:rPr>
          <w:rFonts w:ascii="Palatino Linotype" w:eastAsia="Times New Roman" w:hAnsi="Palatino Linotype" w:cs="Arial"/>
          <w:bCs/>
          <w:iCs/>
        </w:rPr>
        <w:lastRenderedPageBreak/>
        <w:t>que el Estado mexicano s</w:t>
      </w:r>
      <w:r>
        <w:rPr>
          <w:rFonts w:ascii="Palatino Linotype" w:eastAsia="Times New Roman" w:hAnsi="Palatino Linotype" w:cs="Arial"/>
          <w:bCs/>
          <w:iCs/>
        </w:rPr>
        <w:t>ea parte, en la Ley General y Estatal,</w:t>
      </w:r>
      <w:r w:rsidRPr="00346C21">
        <w:rPr>
          <w:rFonts w:ascii="Palatino Linotype" w:eastAsia="Times New Roman" w:hAnsi="Palatino Linotype" w:cs="Arial"/>
          <w:bCs/>
          <w:iCs/>
        </w:rPr>
        <w:t xml:space="preserve"> y demás disposiciones de la materia, privilegiando el principio de máxima publicidad de la información</w:t>
      </w:r>
      <w:r>
        <w:rPr>
          <w:rFonts w:ascii="Palatino Linotype" w:eastAsia="Times New Roman" w:hAnsi="Palatino Linotype" w:cs="Arial"/>
          <w:bCs/>
          <w:iCs/>
        </w:rPr>
        <w:t>.</w:t>
      </w:r>
    </w:p>
    <w:p w14:paraId="2931049E"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4AA305CD" w14:textId="6F6745A9" w:rsidR="00223C8F" w:rsidRDefault="00346C21"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el artículo 176 de la Ley de mérito</w:t>
      </w:r>
      <w:r w:rsidR="00CB1AAE" w:rsidRPr="00FA17C2">
        <w:rPr>
          <w:rFonts w:ascii="Palatino Linotype" w:eastAsia="Times New Roman" w:hAnsi="Palatino Linotype" w:cs="Arial"/>
          <w:bCs/>
          <w:iCs/>
        </w:rPr>
        <w:t xml:space="preserve"> establece que el </w:t>
      </w:r>
      <w:r w:rsidR="00CB1AAE" w:rsidRPr="00FA17C2">
        <w:rPr>
          <w:rFonts w:ascii="Palatino Linotype" w:eastAsia="Times New Roman" w:hAnsi="Palatino Linotype" w:cs="Arial"/>
          <w:b/>
          <w:bCs/>
          <w:iCs/>
          <w:lang w:val="es-MX"/>
        </w:rPr>
        <w:t>recurso de revisión</w:t>
      </w:r>
      <w:r w:rsidR="00CB1AAE" w:rsidRPr="00FA17C2">
        <w:rPr>
          <w:rFonts w:ascii="Palatino Linotype" w:eastAsia="Times New Roman" w:hAnsi="Palatino Linotype" w:cs="Arial"/>
          <w:bCs/>
          <w:iCs/>
          <w:lang w:val="es-MX"/>
        </w:rPr>
        <w:t xml:space="preserve"> es la garantía secundaria mediante la cual se pretende reparar cualquier posible afectación al derecho de acceso a la información pública; y </w:t>
      </w:r>
      <w:r w:rsidR="00CB1AAE" w:rsidRPr="00FA17C2">
        <w:rPr>
          <w:rFonts w:ascii="Palatino Linotype" w:eastAsia="Times New Roman" w:hAnsi="Palatino Linotype" w:cs="Arial"/>
          <w:b/>
          <w:bCs/>
          <w:iCs/>
          <w:lang w:val="es-MX"/>
        </w:rPr>
        <w:t>procederá</w:t>
      </w:r>
      <w:r w:rsidR="00CB1AAE" w:rsidRPr="00FA17C2">
        <w:rPr>
          <w:rFonts w:ascii="Palatino Linotype" w:eastAsia="Times New Roman" w:hAnsi="Palatino Linotype" w:cs="Arial"/>
          <w:bCs/>
          <w:iCs/>
          <w:lang w:val="es-MX"/>
        </w:rPr>
        <w:t xml:space="preserve">, entre otras, </w:t>
      </w:r>
      <w:r w:rsidR="00CB1AAE" w:rsidRPr="00FA17C2">
        <w:rPr>
          <w:rFonts w:ascii="Palatino Linotype" w:eastAsia="Times New Roman" w:hAnsi="Palatino Linotype" w:cs="Arial"/>
          <w:b/>
          <w:bCs/>
          <w:iCs/>
          <w:lang w:val="es-MX"/>
        </w:rPr>
        <w:t>en contra de la</w:t>
      </w:r>
      <w:r w:rsidR="00CB1AAE" w:rsidRPr="00FA17C2">
        <w:rPr>
          <w:rFonts w:ascii="Palatino Linotype" w:eastAsia="Times New Roman" w:hAnsi="Palatino Linotype" w:cs="Arial"/>
          <w:bCs/>
          <w:iCs/>
          <w:lang w:val="es-MX"/>
        </w:rPr>
        <w:t xml:space="preserve"> notificación, </w:t>
      </w:r>
      <w:r w:rsidR="00CB1AAE" w:rsidRPr="00FA17C2">
        <w:rPr>
          <w:rFonts w:ascii="Palatino Linotype" w:eastAsia="Times New Roman" w:hAnsi="Palatino Linotype" w:cs="Arial"/>
          <w:b/>
          <w:bCs/>
          <w:iCs/>
          <w:lang w:val="es-MX"/>
        </w:rPr>
        <w:t>entrega o puesta a disposición de información en una modalidad o formato distinto al solicitado</w:t>
      </w:r>
      <w:r w:rsidR="00CB1AAE" w:rsidRPr="00FA17C2">
        <w:rPr>
          <w:rFonts w:ascii="Palatino Linotype" w:eastAsia="Times New Roman" w:hAnsi="Palatino Linotype" w:cs="Arial"/>
          <w:bCs/>
          <w:iCs/>
          <w:vertAlign w:val="superscript"/>
          <w:lang w:val="es-MX"/>
        </w:rPr>
        <w:footnoteReference w:id="15"/>
      </w:r>
      <w:r w:rsidR="00CB1AAE" w:rsidRPr="00FA17C2">
        <w:rPr>
          <w:rFonts w:ascii="Palatino Linotype" w:eastAsia="Times New Roman" w:hAnsi="Palatino Linotype" w:cs="Arial"/>
          <w:bCs/>
          <w:iCs/>
          <w:lang w:val="es-MX"/>
        </w:rPr>
        <w:t>.</w:t>
      </w:r>
    </w:p>
    <w:p w14:paraId="149B83E7"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7A275804" w14:textId="5EB41B3D" w:rsidR="00223C8F" w:rsidRDefault="00CB1AAE"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FA17C2">
        <w:rPr>
          <w:rFonts w:ascii="Palatino Linotype" w:eastAsia="Times New Roman" w:hAnsi="Palatino Linotype" w:cs="Arial"/>
          <w:bCs/>
          <w:iCs/>
          <w:lang w:val="es-MX"/>
        </w:rPr>
        <w:t>artículo 164 de la Ley de Transparencia y Acceso a la Información Pública del Estado de México y Municipios establece lo siguiente:</w:t>
      </w:r>
    </w:p>
    <w:p w14:paraId="2D1FDE5B"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5993CFBF" w14:textId="77777777" w:rsidR="00CB1AAE" w:rsidRPr="00FA17C2" w:rsidRDefault="00CB1AAE" w:rsidP="00CB1AAE">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MX"/>
        </w:rPr>
      </w:pPr>
      <w:r w:rsidRPr="00FA17C2">
        <w:rPr>
          <w:rFonts w:ascii="Palatino Linotype" w:hAnsi="Palatino Linotype"/>
          <w:bCs/>
          <w:i/>
          <w:iCs/>
          <w:color w:val="000000" w:themeColor="text1"/>
          <w:sz w:val="22"/>
          <w:szCs w:val="22"/>
          <w:lang w:val="es-MX"/>
        </w:rPr>
        <w:t>“</w:t>
      </w:r>
      <w:r w:rsidRPr="00FA17C2">
        <w:rPr>
          <w:rFonts w:ascii="Palatino Linotype" w:hAnsi="Palatino Linotype"/>
          <w:b/>
          <w:bCs/>
          <w:i/>
          <w:iCs/>
          <w:color w:val="000000" w:themeColor="text1"/>
          <w:sz w:val="22"/>
          <w:szCs w:val="22"/>
          <w:lang w:val="es-MX"/>
        </w:rPr>
        <w:t>Artículo 164.</w:t>
      </w:r>
      <w:r w:rsidRPr="00FA17C2">
        <w:rPr>
          <w:rFonts w:ascii="Palatino Linotype" w:hAnsi="Palatino Linotype"/>
          <w:bCs/>
          <w:i/>
          <w:iCs/>
          <w:color w:val="000000" w:themeColor="text1"/>
          <w:sz w:val="22"/>
          <w:szCs w:val="22"/>
          <w:lang w:val="es-MX"/>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695B7B1" w14:textId="77777777" w:rsidR="00CB1AAE" w:rsidRPr="00FA17C2" w:rsidRDefault="00CB1AAE" w:rsidP="00CB1AAE">
      <w:pPr>
        <w:pStyle w:val="Prrafodelista"/>
        <w:tabs>
          <w:tab w:val="left" w:pos="426"/>
        </w:tabs>
        <w:spacing w:before="240" w:after="240" w:line="276" w:lineRule="auto"/>
        <w:ind w:left="567" w:right="567"/>
        <w:jc w:val="both"/>
        <w:rPr>
          <w:rFonts w:ascii="Palatino Linotype" w:hAnsi="Palatino Linotype"/>
          <w:bCs/>
          <w:iCs/>
          <w:color w:val="000000" w:themeColor="text1"/>
          <w:sz w:val="22"/>
          <w:szCs w:val="22"/>
          <w:lang w:val="es-MX"/>
        </w:rPr>
      </w:pPr>
      <w:r w:rsidRPr="00FA17C2">
        <w:rPr>
          <w:rFonts w:ascii="Palatino Linotype" w:hAnsi="Palatino Linotype"/>
          <w:bCs/>
          <w:i/>
          <w:iCs/>
          <w:color w:val="000000" w:themeColor="text1"/>
          <w:sz w:val="22"/>
          <w:szCs w:val="22"/>
          <w:lang w:val="es-MX"/>
        </w:rPr>
        <w:t xml:space="preserve">En cualquier caso, </w:t>
      </w:r>
      <w:r w:rsidRPr="00FA17C2">
        <w:rPr>
          <w:rFonts w:ascii="Palatino Linotype" w:hAnsi="Palatino Linotype"/>
          <w:b/>
          <w:bCs/>
          <w:i/>
          <w:iCs/>
          <w:color w:val="000000" w:themeColor="text1"/>
          <w:sz w:val="22"/>
          <w:szCs w:val="22"/>
          <w:lang w:val="es-MX"/>
        </w:rPr>
        <w:t>se deberá fundar y motivar la necesidad de ofrecer otras modalidades</w:t>
      </w:r>
      <w:r w:rsidRPr="00FA17C2">
        <w:rPr>
          <w:rFonts w:ascii="Palatino Linotype" w:hAnsi="Palatino Linotype"/>
          <w:bCs/>
          <w:i/>
          <w:iCs/>
          <w:color w:val="000000" w:themeColor="text1"/>
          <w:sz w:val="22"/>
          <w:szCs w:val="22"/>
          <w:lang w:val="es-MX"/>
        </w:rPr>
        <w:t>.”</w:t>
      </w:r>
    </w:p>
    <w:p w14:paraId="08B4CAF6" w14:textId="77777777" w:rsidR="00CB1AAE" w:rsidRPr="00FA17C2" w:rsidRDefault="00CB1AAE" w:rsidP="00CB1AAE">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FA17C2">
        <w:rPr>
          <w:rFonts w:ascii="Palatino Linotype" w:hAnsi="Palatino Linotype"/>
          <w:bCs/>
          <w:iCs/>
          <w:color w:val="000000" w:themeColor="text1"/>
          <w:sz w:val="22"/>
          <w:szCs w:val="22"/>
          <w:lang w:val="es-MX"/>
        </w:rPr>
        <w:t>(Énfasis añadido)</w:t>
      </w:r>
    </w:p>
    <w:p w14:paraId="3038721A" w14:textId="77777777" w:rsidR="00CB1AAE" w:rsidRDefault="00CB1AAE"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1001F348" w14:textId="3EF0FB63" w:rsidR="00223C8F" w:rsidRDefault="00CB1AAE"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w:t>
      </w:r>
      <w:r w:rsidRPr="00FA17C2">
        <w:rPr>
          <w:rFonts w:ascii="Palatino Linotype" w:hAnsi="Palatino Linotype"/>
          <w:bCs/>
          <w:iCs/>
          <w:color w:val="000000" w:themeColor="text1"/>
        </w:rPr>
        <w:t xml:space="preserve">numeral previamente citado se desprende que el </w:t>
      </w:r>
      <w:r w:rsidRPr="00FA17C2">
        <w:rPr>
          <w:rFonts w:ascii="Palatino Linotype" w:hAnsi="Palatino Linotype"/>
          <w:b/>
          <w:bCs/>
          <w:iCs/>
          <w:color w:val="000000" w:themeColor="text1"/>
        </w:rPr>
        <w:t>SUJETO OBLIGADO</w:t>
      </w:r>
      <w:r w:rsidRPr="00FA17C2">
        <w:rPr>
          <w:rFonts w:ascii="Palatino Linotype" w:hAnsi="Palatino Linotype"/>
          <w:bCs/>
          <w:iCs/>
          <w:color w:val="000000" w:themeColor="text1"/>
        </w:rPr>
        <w:t xml:space="preserve"> sí puede ofrecer cambiar la modalidad de entrega de la información cuando por cualquier motivo no pueda entregarse en la originalmente señalada, sin embargo, </w:t>
      </w:r>
      <w:r w:rsidRPr="00FA17C2">
        <w:rPr>
          <w:rFonts w:ascii="Palatino Linotype" w:hAnsi="Palatino Linotype"/>
          <w:b/>
          <w:bCs/>
          <w:iCs/>
          <w:color w:val="000000" w:themeColor="text1"/>
        </w:rPr>
        <w:t>deberá fundar y motivar las razones por las que no sea posible entregar la misma en el medio elegido por el particular</w:t>
      </w:r>
      <w:r w:rsidRPr="00FA17C2">
        <w:rPr>
          <w:rFonts w:ascii="Palatino Linotype" w:hAnsi="Palatino Linotype"/>
          <w:bCs/>
          <w:iCs/>
          <w:color w:val="000000" w:themeColor="text1"/>
        </w:rPr>
        <w:t>.</w:t>
      </w:r>
    </w:p>
    <w:p w14:paraId="3AA20DB2"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40779203" w14:textId="4E335EB5" w:rsidR="00223C8F" w:rsidRDefault="00CB1AAE"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Aunado </w:t>
      </w:r>
      <w:r w:rsidRPr="00FA17C2">
        <w:rPr>
          <w:rFonts w:ascii="Palatino Linotype" w:eastAsia="Times New Roman" w:hAnsi="Palatino Linotype" w:cs="Arial"/>
          <w:bCs/>
          <w:iCs/>
          <w:lang w:val="es-MX"/>
        </w:rPr>
        <w:t xml:space="preserve">a lo anterior, </w:t>
      </w:r>
      <w:r w:rsidRPr="00FA17C2">
        <w:rPr>
          <w:rFonts w:ascii="Palatino Linotype" w:eastAsia="Times New Roman" w:hAnsi="Palatino Linotype" w:cs="Arial"/>
          <w:b/>
          <w:bCs/>
          <w:iCs/>
          <w:lang w:val="es-MX"/>
        </w:rPr>
        <w:t>el Instituto Nacional de Transparencia, Acceso a la Información y Protección de Datos Personales ha establecido que,</w:t>
      </w:r>
      <w:r w:rsidRPr="00FA17C2">
        <w:rPr>
          <w:rFonts w:ascii="Palatino Linotype" w:eastAsia="Times New Roman" w:hAnsi="Palatino Linotype" w:cs="Arial"/>
          <w:bCs/>
          <w:iCs/>
          <w:lang w:val="es-MX"/>
        </w:rPr>
        <w:t xml:space="preserve"> </w:t>
      </w:r>
      <w:r w:rsidRPr="00FA17C2">
        <w:rPr>
          <w:rFonts w:ascii="Palatino Linotype" w:eastAsia="Times New Roman" w:hAnsi="Palatino Linotype" w:cs="Arial"/>
          <w:b/>
          <w:bCs/>
          <w:iCs/>
          <w:lang w:val="es-MX"/>
        </w:rPr>
        <w:t xml:space="preserve">para justificar un cambio en la modalidad de entrega de la información debe existir un </w:t>
      </w:r>
      <w:r w:rsidRPr="00CB1AAE">
        <w:rPr>
          <w:rFonts w:ascii="Palatino Linotype" w:eastAsia="Times New Roman" w:hAnsi="Palatino Linotype" w:cs="Arial"/>
          <w:b/>
          <w:bCs/>
          <w:iCs/>
          <w:u w:val="single"/>
          <w:lang w:val="es-MX"/>
        </w:rPr>
        <w:t>obstáculo infranqueable o de difícil superación para atenderla</w:t>
      </w:r>
      <w:r w:rsidRPr="00FA17C2">
        <w:rPr>
          <w:rFonts w:ascii="Palatino Linotype" w:eastAsia="Times New Roman" w:hAnsi="Palatino Linotype" w:cs="Arial"/>
          <w:b/>
          <w:bCs/>
          <w:iCs/>
          <w:vertAlign w:val="superscript"/>
          <w:lang w:val="es-MX"/>
        </w:rPr>
        <w:footnoteReference w:id="16"/>
      </w:r>
      <w:r w:rsidRPr="00FA17C2">
        <w:rPr>
          <w:rFonts w:ascii="Palatino Linotype" w:eastAsia="Times New Roman" w:hAnsi="Palatino Linotype" w:cs="Arial"/>
          <w:bCs/>
          <w:iCs/>
          <w:lang w:val="es-MX"/>
        </w:rPr>
        <w:t>, como lo es que la información solicitada se encuentre en un formato diverso al solicitado, que atendiendo a las características de la misma sea imposible su reproducción en el medio elegido por el particular, o bien, que la información que dé atención a la solicitud amerite un cruce de información en los sistemas de datos, entre otros.</w:t>
      </w:r>
    </w:p>
    <w:p w14:paraId="75F427D3"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3AC7DC55" w14:textId="67E85A1B" w:rsidR="00223C8F" w:rsidRDefault="00CB1AAE"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FA17C2">
        <w:rPr>
          <w:rFonts w:ascii="Palatino Linotype" w:eastAsia="Times New Roman" w:hAnsi="Palatino Linotype" w:cs="Arial"/>
          <w:bCs/>
          <w:iCs/>
        </w:rPr>
        <w:t xml:space="preserve">el presente caso, no se advierte que el </w:t>
      </w:r>
      <w:r w:rsidRPr="00FA17C2">
        <w:rPr>
          <w:rFonts w:ascii="Palatino Linotype" w:eastAsia="Times New Roman" w:hAnsi="Palatino Linotype" w:cs="Arial"/>
          <w:b/>
          <w:bCs/>
          <w:iCs/>
        </w:rPr>
        <w:t>SUJETO OBLIGADO</w:t>
      </w:r>
      <w:r w:rsidRPr="00FA17C2">
        <w:rPr>
          <w:rFonts w:ascii="Palatino Linotype" w:eastAsia="Times New Roman" w:hAnsi="Palatino Linotype" w:cs="Arial"/>
          <w:bCs/>
          <w:iCs/>
        </w:rPr>
        <w:t xml:space="preserve"> haya fundado ni motivado las razones que lo orillaron a determinar el cambio de modalidad de entrega de la información, toda vez que como se señaló previamente, </w:t>
      </w:r>
      <w:r w:rsidRPr="00CB1AAE">
        <w:rPr>
          <w:rFonts w:ascii="Palatino Linotype" w:eastAsia="Times New Roman" w:hAnsi="Palatino Linotype" w:cs="Arial"/>
          <w:bCs/>
          <w:iCs/>
        </w:rPr>
        <w:t>el</w:t>
      </w:r>
      <w:r>
        <w:rPr>
          <w:rFonts w:ascii="Palatino Linotype" w:eastAsia="Times New Roman" w:hAnsi="Palatino Linotype" w:cs="Arial"/>
          <w:b/>
          <w:bCs/>
          <w:iCs/>
        </w:rPr>
        <w:t xml:space="preserve"> SUJETO OBLIGADO</w:t>
      </w:r>
      <w:r w:rsidRPr="00FA17C2">
        <w:rPr>
          <w:rFonts w:ascii="Palatino Linotype" w:eastAsia="Times New Roman" w:hAnsi="Palatino Linotype" w:cs="Arial"/>
          <w:b/>
          <w:bCs/>
          <w:iCs/>
        </w:rPr>
        <w:t xml:space="preserve"> </w:t>
      </w:r>
      <w:r w:rsidRPr="00CB1AAE">
        <w:rPr>
          <w:rFonts w:ascii="Palatino Linotype" w:eastAsia="Times New Roman" w:hAnsi="Palatino Linotype" w:cs="Arial"/>
          <w:bCs/>
          <w:iCs/>
        </w:rPr>
        <w:t>se limitó a referir que</w:t>
      </w:r>
      <w:r>
        <w:rPr>
          <w:rFonts w:ascii="Palatino Linotype" w:eastAsia="Times New Roman" w:hAnsi="Palatino Linotype" w:cs="Arial"/>
          <w:bCs/>
          <w:iCs/>
        </w:rPr>
        <w:t xml:space="preserve">, por el volumen de la información solicitada, ésta se ponía a disposición del </w:t>
      </w:r>
      <w:r>
        <w:rPr>
          <w:rFonts w:ascii="Palatino Linotype" w:eastAsia="Times New Roman" w:hAnsi="Palatino Linotype" w:cs="Arial"/>
          <w:b/>
          <w:bCs/>
          <w:iCs/>
        </w:rPr>
        <w:t>RECURRENTE</w:t>
      </w:r>
      <w:r>
        <w:rPr>
          <w:rFonts w:ascii="Palatino Linotype" w:eastAsia="Times New Roman" w:hAnsi="Palatino Linotype" w:cs="Arial"/>
          <w:bCs/>
          <w:iCs/>
        </w:rPr>
        <w:t xml:space="preserve"> en las instalaciones de la Comisión de Conciliación y Arbitraje Médico del Estado de México, </w:t>
      </w:r>
      <w:r>
        <w:rPr>
          <w:rFonts w:ascii="Palatino Linotype" w:eastAsia="Times New Roman" w:hAnsi="Palatino Linotype" w:cs="Arial"/>
          <w:b/>
          <w:bCs/>
          <w:iCs/>
        </w:rPr>
        <w:t>sin siquiera referir el número de fojas que conforma lo solicitado, o el peso de los archivos (de ser el caso que la información estuviera disponible en un medio electrónico)</w:t>
      </w:r>
      <w:r>
        <w:rPr>
          <w:rFonts w:ascii="Palatino Linotype" w:eastAsia="Times New Roman" w:hAnsi="Palatino Linotype" w:cs="Arial"/>
          <w:bCs/>
          <w:iCs/>
        </w:rPr>
        <w:t>;</w:t>
      </w:r>
      <w:r w:rsidRPr="00FA17C2">
        <w:rPr>
          <w:rFonts w:ascii="Palatino Linotype" w:eastAsia="Times New Roman" w:hAnsi="Palatino Linotype" w:cs="Arial"/>
          <w:bCs/>
          <w:iCs/>
        </w:rPr>
        <w:t xml:space="preserve"> y</w:t>
      </w:r>
      <w:r>
        <w:rPr>
          <w:rFonts w:ascii="Palatino Linotype" w:eastAsia="Times New Roman" w:hAnsi="Palatino Linotype" w:cs="Arial"/>
          <w:bCs/>
          <w:iCs/>
        </w:rPr>
        <w:t>,</w:t>
      </w:r>
      <w:r w:rsidRPr="00FA17C2">
        <w:rPr>
          <w:rFonts w:ascii="Palatino Linotype" w:eastAsia="Times New Roman" w:hAnsi="Palatino Linotype" w:cs="Arial"/>
          <w:bCs/>
          <w:iCs/>
        </w:rPr>
        <w:t xml:space="preserve"> con base en ese débil y perceptiblemente </w:t>
      </w:r>
      <w:r w:rsidRPr="00FA17C2">
        <w:rPr>
          <w:rFonts w:ascii="Palatino Linotype" w:eastAsia="Times New Roman" w:hAnsi="Palatino Linotype" w:cs="Arial"/>
          <w:b/>
          <w:bCs/>
          <w:iCs/>
        </w:rPr>
        <w:t>negligente</w:t>
      </w:r>
      <w:r w:rsidRPr="00FA17C2">
        <w:rPr>
          <w:rFonts w:ascii="Palatino Linotype" w:eastAsia="Times New Roman" w:hAnsi="Palatino Linotype" w:cs="Arial"/>
          <w:bCs/>
          <w:iCs/>
        </w:rPr>
        <w:t xml:space="preserve"> axioma</w:t>
      </w:r>
      <w:r>
        <w:rPr>
          <w:rFonts w:ascii="Palatino Linotype" w:eastAsia="Times New Roman" w:hAnsi="Palatino Linotype" w:cs="Arial"/>
          <w:bCs/>
          <w:iCs/>
        </w:rPr>
        <w:t>,</w:t>
      </w:r>
      <w:r w:rsidRPr="00FA17C2">
        <w:rPr>
          <w:rFonts w:ascii="Palatino Linotype" w:eastAsia="Times New Roman" w:hAnsi="Palatino Linotype" w:cs="Arial"/>
          <w:bCs/>
          <w:iCs/>
        </w:rPr>
        <w:t xml:space="preserve"> </w:t>
      </w:r>
      <w:r>
        <w:rPr>
          <w:rFonts w:ascii="Palatino Linotype" w:eastAsia="Times New Roman" w:hAnsi="Palatino Linotype" w:cs="Arial"/>
          <w:bCs/>
          <w:iCs/>
        </w:rPr>
        <w:t>ignoró tajante y arbitrariamente la modalidad de entrega de la información señalada por el particular, violentando a todas luces el derecho de acceso a la información ejercido por éste</w:t>
      </w:r>
      <w:r w:rsidRPr="00FA17C2">
        <w:rPr>
          <w:rFonts w:ascii="Palatino Linotype" w:eastAsia="Times New Roman" w:hAnsi="Palatino Linotype" w:cs="Arial"/>
          <w:bCs/>
          <w:iCs/>
        </w:rPr>
        <w:t>.</w:t>
      </w:r>
    </w:p>
    <w:p w14:paraId="32A8B267"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16FE8ACE" w14:textId="00D4CB32" w:rsidR="00223C8F" w:rsidRDefault="00CB1AAE"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No obstante lo anterior y, </w:t>
      </w:r>
      <w:r w:rsidRPr="00FA17C2">
        <w:rPr>
          <w:rFonts w:ascii="Palatino Linotype" w:eastAsia="Times New Roman" w:hAnsi="Palatino Linotype" w:cs="Arial"/>
          <w:bCs/>
          <w:iCs/>
        </w:rPr>
        <w:t xml:space="preserve">para mejor proveer, esta Ponencia Resolutora se acercó a la Dirección de Informática del propio Instituto de Transparencia, Acceso a la Información Pública y Protección de Datos Personales del Estado de México y Municipios, a efecto de comprobar si existía algún reporte de incidencia manifestado por el </w:t>
      </w:r>
      <w:r w:rsidRPr="00FA17C2">
        <w:rPr>
          <w:rFonts w:ascii="Palatino Linotype" w:eastAsia="Times New Roman" w:hAnsi="Palatino Linotype" w:cs="Arial"/>
          <w:b/>
          <w:bCs/>
          <w:iCs/>
        </w:rPr>
        <w:t>SUJETO OBLIGADO</w:t>
      </w:r>
      <w:r w:rsidRPr="00FA17C2">
        <w:rPr>
          <w:rFonts w:ascii="Palatino Linotype" w:eastAsia="Times New Roman" w:hAnsi="Palatino Linotype" w:cs="Arial"/>
          <w:bCs/>
          <w:iCs/>
        </w:rPr>
        <w:t xml:space="preserve"> que comunicara alguna dificultad o imposibilidad para entregar los archivos al particular vía SAIMEX; sin embargo, </w:t>
      </w:r>
      <w:r w:rsidRPr="00FA17C2">
        <w:rPr>
          <w:rFonts w:ascii="Palatino Linotype" w:eastAsia="Times New Roman" w:hAnsi="Palatino Linotype" w:cs="Arial"/>
          <w:b/>
          <w:iCs/>
        </w:rPr>
        <w:t>no se cuenta con ningún reporte, ofici</w:t>
      </w:r>
      <w:r>
        <w:rPr>
          <w:rFonts w:ascii="Palatino Linotype" w:eastAsia="Times New Roman" w:hAnsi="Palatino Linotype" w:cs="Arial"/>
          <w:b/>
          <w:iCs/>
        </w:rPr>
        <w:t xml:space="preserve">o de comunicación o soporte de la Comisión de Conciliación y Arbitraje Médico del Estado de México </w:t>
      </w:r>
      <w:r w:rsidRPr="00FA17C2">
        <w:rPr>
          <w:rFonts w:ascii="Palatino Linotype" w:eastAsia="Times New Roman" w:hAnsi="Palatino Linotype" w:cs="Arial"/>
          <w:b/>
          <w:iCs/>
        </w:rPr>
        <w:t xml:space="preserve">que </w:t>
      </w:r>
      <w:r>
        <w:rPr>
          <w:rFonts w:ascii="Palatino Linotype" w:eastAsia="Times New Roman" w:hAnsi="Palatino Linotype" w:cs="Arial"/>
          <w:b/>
          <w:iCs/>
        </w:rPr>
        <w:t>acreditase</w:t>
      </w:r>
      <w:r w:rsidRPr="00FA17C2">
        <w:rPr>
          <w:rFonts w:ascii="Palatino Linotype" w:eastAsia="Times New Roman" w:hAnsi="Palatino Linotype" w:cs="Arial"/>
          <w:b/>
          <w:iCs/>
        </w:rPr>
        <w:t xml:space="preserve"> las razones por las que no puede entregar la información vía digital</w:t>
      </w:r>
      <w:r w:rsidRPr="00FA17C2">
        <w:rPr>
          <w:rFonts w:ascii="Palatino Linotype" w:eastAsia="Times New Roman" w:hAnsi="Palatino Linotype" w:cs="Arial"/>
          <w:bCs/>
          <w:iCs/>
        </w:rPr>
        <w:t>. Se adjuntan a continuación los correos de comunicación interna derivados de las indagaciones en comento:</w:t>
      </w:r>
    </w:p>
    <w:p w14:paraId="0CD0F0DD" w14:textId="77777777" w:rsidR="00223C8F" w:rsidRDefault="00223C8F" w:rsidP="00C82E4C">
      <w:pPr>
        <w:pStyle w:val="Prrafodelista"/>
        <w:tabs>
          <w:tab w:val="left" w:pos="426"/>
        </w:tabs>
        <w:spacing w:before="240" w:line="360" w:lineRule="auto"/>
        <w:ind w:left="0" w:right="51"/>
        <w:jc w:val="both"/>
        <w:rPr>
          <w:rFonts w:ascii="Palatino Linotype" w:hAnsi="Palatino Linotype"/>
          <w:color w:val="000000" w:themeColor="text1"/>
        </w:rPr>
      </w:pPr>
    </w:p>
    <w:p w14:paraId="7E83E79C" w14:textId="710A3C30" w:rsidR="00CB1AAE" w:rsidRDefault="00CB1AAE" w:rsidP="00CB1AAE">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5E19DBCB" wp14:editId="77430822">
            <wp:extent cx="4798613" cy="2202642"/>
            <wp:effectExtent l="57150" t="57150" r="116840" b="1219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4672" cy="221001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82E4C">
        <w:rPr>
          <w:rFonts w:ascii="Palatino Linotype" w:hAnsi="Palatino Linotype"/>
          <w:noProof/>
          <w:color w:val="000000" w:themeColor="text1"/>
          <w:lang w:val="es-MX" w:eastAsia="es-MX"/>
        </w:rPr>
        <w:drawing>
          <wp:inline distT="0" distB="0" distL="0" distR="0" wp14:anchorId="6698134E" wp14:editId="6823C7BA">
            <wp:extent cx="4826553" cy="876412"/>
            <wp:effectExtent l="57150" t="57150" r="107950" b="1143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7392" cy="89109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5934D6" w14:textId="77777777" w:rsidR="00CB1AAE" w:rsidRDefault="00CB1AAE"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6271C5EE" w14:textId="0037AA00"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FA17C2">
        <w:rPr>
          <w:rFonts w:ascii="Palatino Linotype" w:eastAsia="Times New Roman" w:hAnsi="Palatino Linotype" w:cs="Arial"/>
          <w:bCs/>
          <w:iCs/>
        </w:rPr>
        <w:t xml:space="preserve">consecuencia, </w:t>
      </w:r>
      <w:r w:rsidRPr="00044DB9">
        <w:rPr>
          <w:rFonts w:ascii="Palatino Linotype" w:eastAsia="Times New Roman" w:hAnsi="Palatino Linotype" w:cs="Arial"/>
          <w:bCs/>
          <w:iCs/>
        </w:rPr>
        <w:t xml:space="preserve">toda vez que el </w:t>
      </w:r>
      <w:r w:rsidRPr="00044DB9">
        <w:rPr>
          <w:rFonts w:ascii="Palatino Linotype" w:eastAsia="Times New Roman" w:hAnsi="Palatino Linotype" w:cs="Arial"/>
          <w:b/>
          <w:bCs/>
          <w:iCs/>
        </w:rPr>
        <w:t>SUJETO OBLIGADO</w:t>
      </w:r>
      <w:r w:rsidRPr="00044DB9">
        <w:rPr>
          <w:rFonts w:ascii="Palatino Linotype" w:eastAsia="Times New Roman" w:hAnsi="Palatino Linotype" w:cs="Arial"/>
          <w:bCs/>
          <w:iCs/>
        </w:rPr>
        <w:t xml:space="preserve"> fue omiso en señalar</w:t>
      </w:r>
      <w:r>
        <w:rPr>
          <w:rFonts w:ascii="Palatino Linotype" w:eastAsia="Times New Roman" w:hAnsi="Palatino Linotype" w:cs="Arial"/>
          <w:bCs/>
          <w:iCs/>
        </w:rPr>
        <w:t>,</w:t>
      </w:r>
      <w:r w:rsidRPr="00044DB9">
        <w:rPr>
          <w:rFonts w:ascii="Palatino Linotype" w:eastAsia="Times New Roman" w:hAnsi="Palatino Linotype" w:cs="Arial"/>
          <w:bCs/>
          <w:iCs/>
        </w:rPr>
        <w:t xml:space="preserve"> de manera puntual, detallada y precisa las razones por las que no puede entregar la información solicitada vía SAIMEX, </w:t>
      </w:r>
      <w:r w:rsidRPr="00044DB9">
        <w:rPr>
          <w:rFonts w:ascii="Palatino Linotype" w:eastAsia="Times New Roman" w:hAnsi="Palatino Linotype" w:cs="Arial"/>
          <w:b/>
          <w:iCs/>
        </w:rPr>
        <w:t>esta Ponencia Resolutora determina ajeno a toda legalidad la pretensión de</w:t>
      </w:r>
      <w:r>
        <w:rPr>
          <w:rFonts w:ascii="Palatino Linotype" w:eastAsia="Times New Roman" w:hAnsi="Palatino Linotype" w:cs="Arial"/>
          <w:b/>
          <w:iCs/>
        </w:rPr>
        <w:t xml:space="preserve"> </w:t>
      </w:r>
      <w:r w:rsidRPr="00044DB9">
        <w:rPr>
          <w:rFonts w:ascii="Palatino Linotype" w:eastAsia="Times New Roman" w:hAnsi="Palatino Linotype" w:cs="Arial"/>
          <w:b/>
          <w:iCs/>
        </w:rPr>
        <w:t>l</w:t>
      </w:r>
      <w:r>
        <w:rPr>
          <w:rFonts w:ascii="Palatino Linotype" w:eastAsia="Times New Roman" w:hAnsi="Palatino Linotype" w:cs="Arial"/>
          <w:b/>
          <w:iCs/>
        </w:rPr>
        <w:t>a</w:t>
      </w:r>
      <w:r w:rsidRPr="00044DB9">
        <w:rPr>
          <w:rFonts w:ascii="Palatino Linotype" w:eastAsia="Times New Roman" w:hAnsi="Palatino Linotype" w:cs="Arial"/>
          <w:b/>
          <w:iCs/>
        </w:rPr>
        <w:t xml:space="preserve"> </w:t>
      </w:r>
      <w:r>
        <w:rPr>
          <w:rFonts w:ascii="Palatino Linotype" w:eastAsia="Times New Roman" w:hAnsi="Palatino Linotype" w:cs="Arial"/>
          <w:b/>
          <w:iCs/>
        </w:rPr>
        <w:t>Comisión de Conciliación y Arbitraje Médico del Estado de México</w:t>
      </w:r>
      <w:r w:rsidRPr="00044DB9">
        <w:rPr>
          <w:rFonts w:ascii="Palatino Linotype" w:eastAsia="Times New Roman" w:hAnsi="Palatino Linotype" w:cs="Arial"/>
          <w:b/>
          <w:iCs/>
        </w:rPr>
        <w:t xml:space="preserve"> </w:t>
      </w:r>
      <w:r>
        <w:rPr>
          <w:rFonts w:ascii="Palatino Linotype" w:eastAsia="Times New Roman" w:hAnsi="Palatino Linotype" w:cs="Arial"/>
          <w:b/>
          <w:iCs/>
        </w:rPr>
        <w:t>en</w:t>
      </w:r>
      <w:r w:rsidRPr="00044DB9">
        <w:rPr>
          <w:rFonts w:ascii="Palatino Linotype" w:eastAsia="Times New Roman" w:hAnsi="Palatino Linotype" w:cs="Arial"/>
          <w:b/>
          <w:iCs/>
        </w:rPr>
        <w:t xml:space="preserve"> cambiar la modalidad de entrega a vía </w:t>
      </w:r>
      <w:r w:rsidRPr="00044DB9">
        <w:rPr>
          <w:rFonts w:ascii="Palatino Linotype" w:eastAsia="Times New Roman" w:hAnsi="Palatino Linotype" w:cs="Arial"/>
          <w:b/>
          <w:i/>
          <w:iCs/>
        </w:rPr>
        <w:t>in situ</w:t>
      </w:r>
      <w:r w:rsidRPr="00044DB9">
        <w:rPr>
          <w:rFonts w:ascii="Palatino Linotype" w:eastAsia="Times New Roman" w:hAnsi="Palatino Linotype" w:cs="Arial"/>
          <w:b/>
          <w:iCs/>
        </w:rPr>
        <w:t xml:space="preserve"> o consulta directa</w:t>
      </w:r>
      <w:r w:rsidRPr="00FA17C2">
        <w:rPr>
          <w:rFonts w:ascii="Palatino Linotype" w:eastAsia="Times New Roman" w:hAnsi="Palatino Linotype" w:cs="Arial"/>
          <w:bCs/>
          <w:iCs/>
        </w:rPr>
        <w:t>.</w:t>
      </w:r>
    </w:p>
    <w:p w14:paraId="46B500C9"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761D453C" w14:textId="5B014E3B"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conclusión, este Órgano Garante determina conforme a derecho </w:t>
      </w:r>
      <w:r>
        <w:rPr>
          <w:rFonts w:ascii="Palatino Linotype" w:hAnsi="Palatino Linotype"/>
          <w:b/>
          <w:color w:val="000000" w:themeColor="text1"/>
        </w:rPr>
        <w:t>revocar</w:t>
      </w:r>
      <w:r>
        <w:rPr>
          <w:rFonts w:ascii="Palatino Linotype" w:hAnsi="Palatino Linotype"/>
          <w:color w:val="000000" w:themeColor="text1"/>
        </w:rPr>
        <w:t xml:space="preserve"> la respuesta del </w:t>
      </w:r>
      <w:r>
        <w:rPr>
          <w:rFonts w:ascii="Palatino Linotype" w:hAnsi="Palatino Linotype"/>
          <w:b/>
          <w:color w:val="000000" w:themeColor="text1"/>
        </w:rPr>
        <w:t>SUJETO OBLIGADO</w:t>
      </w:r>
      <w:r>
        <w:rPr>
          <w:rFonts w:ascii="Palatino Linotype" w:hAnsi="Palatino Linotype"/>
          <w:color w:val="000000" w:themeColor="text1"/>
        </w:rPr>
        <w:t xml:space="preserve"> a la solicitud de información </w:t>
      </w:r>
      <w:r>
        <w:rPr>
          <w:rFonts w:ascii="Palatino Linotype" w:hAnsi="Palatino Linotype"/>
          <w:b/>
          <w:color w:val="000000" w:themeColor="text1"/>
        </w:rPr>
        <w:t>00125/CAMEM/IP/2021</w:t>
      </w:r>
      <w:r>
        <w:rPr>
          <w:rFonts w:ascii="Palatino Linotype" w:hAnsi="Palatino Linotype"/>
          <w:color w:val="000000" w:themeColor="text1"/>
        </w:rPr>
        <w:t xml:space="preserve">, y se </w:t>
      </w:r>
      <w:r>
        <w:rPr>
          <w:rFonts w:ascii="Palatino Linotype" w:hAnsi="Palatino Linotype"/>
          <w:b/>
          <w:color w:val="000000" w:themeColor="text1"/>
        </w:rPr>
        <w:t>ordena</w:t>
      </w:r>
      <w:r>
        <w:rPr>
          <w:rFonts w:ascii="Palatino Linotype" w:hAnsi="Palatino Linotype"/>
          <w:color w:val="000000" w:themeColor="text1"/>
        </w:rPr>
        <w:t xml:space="preserve"> entregar, vía SAIMEX, de ser procedente en versión pública, las pólizas de seguro de todo el parque vehicular de la Comisión de Conciliación y Arbitraje Médico del Estado de México, así como la o las pólizas de egresos derivadas de la contratación de los seguros.</w:t>
      </w:r>
    </w:p>
    <w:p w14:paraId="28EC0932"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6F014994" w14:textId="68A7FDF2" w:rsidR="00B34218" w:rsidRPr="00B34218" w:rsidRDefault="00B34218" w:rsidP="00B34218">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29" w:name="_Toc83316012"/>
      <w:r>
        <w:rPr>
          <w:rFonts w:ascii="Palatino Linotype" w:hAnsi="Palatino Linotype"/>
          <w:b/>
          <w:color w:val="000000" w:themeColor="text1"/>
        </w:rPr>
        <w:t>QUINTO. De la versión pública.</w:t>
      </w:r>
      <w:bookmarkEnd w:id="29"/>
    </w:p>
    <w:p w14:paraId="1F709B38" w14:textId="77777777" w:rsidR="00B34218" w:rsidRDefault="00B34218"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70C82F5" w14:textId="763B5E53"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solicitada</w:t>
      </w:r>
      <w:r w:rsidRPr="00F0144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2298568"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16CB5B24" w14:textId="3AB80C3A"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DEF89C7"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D5AA18C" w14:textId="437F3BAF"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985441A"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3217754" w14:textId="26CCFC49" w:rsidR="00B34218" w:rsidRPr="00B34218" w:rsidRDefault="00B34218" w:rsidP="00B3421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3316013"/>
      <w:r>
        <w:rPr>
          <w:rFonts w:ascii="Palatino Linotype" w:hAnsi="Palatino Linotype"/>
          <w:b/>
          <w:color w:val="000000" w:themeColor="text1"/>
        </w:rPr>
        <w:t>I. Requisitos previos.</w:t>
      </w:r>
      <w:bookmarkEnd w:id="30"/>
    </w:p>
    <w:p w14:paraId="35EB8152" w14:textId="77777777" w:rsidR="00B34218" w:rsidRDefault="00B34218"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78A585A1" w14:textId="483192E8"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B34218">
        <w:rPr>
          <w:rFonts w:ascii="Palatino Linotype" w:hAnsi="Palatino Linotype"/>
          <w:color w:val="000000" w:themeColor="text1"/>
        </w:rPr>
        <w:t xml:space="preserve">artículos 122 y 100 de la Ley Estatal y de la Ley General, respectivamente, señalan que los sujetos obligados determinan que la información actualiza alguno de los supuestos de clasificación y que son los titulares de las áreas los encargados </w:t>
      </w:r>
      <w:r w:rsidRPr="00B34218">
        <w:rPr>
          <w:rFonts w:ascii="Palatino Linotype" w:hAnsi="Palatino Linotype"/>
          <w:color w:val="000000" w:themeColor="text1"/>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8927BC0"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62F578F0" w14:textId="3D86A230"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6A25A94"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342C392D" w14:textId="0033C1DF"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D79B3D7"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5CA13BC9" w14:textId="0F2D3506" w:rsidR="00B34218" w:rsidRPr="00B34218" w:rsidRDefault="00B34218" w:rsidP="00B3421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3316014"/>
      <w:r>
        <w:rPr>
          <w:rFonts w:ascii="Palatino Linotype" w:hAnsi="Palatino Linotype"/>
          <w:b/>
          <w:color w:val="000000" w:themeColor="text1"/>
        </w:rPr>
        <w:t>II. Supuestos de clasificación.</w:t>
      </w:r>
      <w:bookmarkEnd w:id="31"/>
    </w:p>
    <w:p w14:paraId="307F7B91" w14:textId="77777777" w:rsidR="00B34218" w:rsidRDefault="00B34218"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7BF20EBB" w14:textId="3C1B5AE3"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0F4EAF1"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421206B" w14:textId="4C0C37F7"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1EE5DCFF"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4FF8DBE7" w14:textId="77777777" w:rsidR="00B34218" w:rsidRPr="00F01443" w:rsidRDefault="00B34218" w:rsidP="00B3421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19190FAD" w14:textId="77777777" w:rsidR="00B34218" w:rsidRPr="00F01443" w:rsidRDefault="00B34218" w:rsidP="00B3421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17B22C2" w14:textId="77777777" w:rsidR="00B34218" w:rsidRPr="00F01443" w:rsidRDefault="00B34218" w:rsidP="00B3421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BF14E30" w14:textId="77777777" w:rsidR="00B34218" w:rsidRPr="00F01443" w:rsidRDefault="00B34218" w:rsidP="00B3421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13513585" w14:textId="77777777" w:rsidR="00B34218" w:rsidRPr="00F01443" w:rsidRDefault="00B34218" w:rsidP="00B3421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6B8E548" w14:textId="77777777" w:rsidR="00B34218" w:rsidRDefault="00B34218"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2539E4CA" w14:textId="795CFB2B"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35BD403"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6ECC40CE" w14:textId="085E9101"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4E16BD5"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6CAB38E" w14:textId="513C7FEC" w:rsidR="00223C8F" w:rsidRDefault="00B34218"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6F27DDA"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3BC891EA"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892A3EA"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CA6FCAF"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3D3893A6"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E852B7C"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15E20845"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B63F8D7"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654E054D"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7D2E59D3"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7638E158"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7F29EA2C"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60987E8"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6AF94BE"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F01443">
        <w:rPr>
          <w:rFonts w:ascii="Palatino Linotype" w:hAnsi="Palatino Linotype" w:cs="Arial"/>
          <w:i/>
          <w:sz w:val="22"/>
          <w:szCs w:val="22"/>
        </w:rPr>
        <w:lastRenderedPageBreak/>
        <w:t>partes testadas para que, en una hoja anexa, se desglose la referida leyenda con las acotaciones realizadas.</w:t>
      </w:r>
    </w:p>
    <w:p w14:paraId="08E9FF1D" w14:textId="77777777" w:rsidR="00B34218" w:rsidRPr="00F01443"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3ECB6F5" w14:textId="77777777" w:rsidR="00B34218" w:rsidRDefault="00B34218" w:rsidP="00B3421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21572A4D" w14:textId="5177FF27" w:rsidR="00607974" w:rsidRDefault="00607974" w:rsidP="00607974">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drawing>
          <wp:inline distT="0" distB="0" distL="0" distR="0" wp14:anchorId="03845097" wp14:editId="06146708">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981C25" w14:textId="77777777" w:rsidR="00B34218" w:rsidRDefault="00B34218"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7A9AC00" w14:textId="6D12AC53" w:rsidR="00223C8F"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FD30C3B"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069EA1C" w14:textId="1461DC4C" w:rsidR="00607974" w:rsidRPr="00607974" w:rsidRDefault="00607974" w:rsidP="0060797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3316015"/>
      <w:r>
        <w:rPr>
          <w:rFonts w:ascii="Palatino Linotype" w:hAnsi="Palatino Linotype"/>
          <w:b/>
          <w:color w:val="000000" w:themeColor="text1"/>
        </w:rPr>
        <w:t>III. La intervención del Comité de Transparencia.</w:t>
      </w:r>
      <w:bookmarkEnd w:id="32"/>
    </w:p>
    <w:p w14:paraId="7A46F4AF" w14:textId="2980D274" w:rsidR="00607974" w:rsidRPr="00607974" w:rsidRDefault="00607974" w:rsidP="00223C8F">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094D0470" w14:textId="77777777" w:rsidR="00607974" w:rsidRDefault="00607974"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6D908C58" w14:textId="67E1A428" w:rsidR="00223C8F"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w:t>
      </w:r>
      <w:r w:rsidRPr="0062325E">
        <w:rPr>
          <w:rFonts w:ascii="Palatino Linotype" w:eastAsia="MS Mincho" w:hAnsi="Palatino Linotype" w:cs="Times New Roman"/>
        </w:rPr>
        <w:lastRenderedPageBreak/>
        <w:t>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890CF8"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5690A27" w14:textId="2FC83699" w:rsidR="00223C8F"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AC3889F"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70B5A343" w14:textId="54D1497D" w:rsidR="00223C8F"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w:t>
      </w:r>
      <w:r w:rsidRPr="0062325E">
        <w:rPr>
          <w:rFonts w:ascii="Palatino Linotype" w:eastAsia="MS Mincho" w:hAnsi="Palatino Linotype" w:cs="Times New Roman"/>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A5CFF6C"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7BFD3658" w14:textId="762D1AC1" w:rsidR="00607974" w:rsidRPr="00607974" w:rsidRDefault="00607974" w:rsidP="00223C8F">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3C1ACA6D" w14:textId="77777777" w:rsidR="00607974" w:rsidRDefault="00607974"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0FC2C7C5" w14:textId="0513F539" w:rsidR="00223C8F"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9F275FD" w14:textId="77777777" w:rsidR="00223C8F" w:rsidRP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65F088EF" w14:textId="5C51E8BF" w:rsidR="00223C8F"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58C527"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4D7ABC99" w14:textId="55248985" w:rsidR="00223C8F"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75A54E0A" w14:textId="77777777" w:rsidR="00223C8F" w:rsidRDefault="00223C8F"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7EE68FD9" w14:textId="5E1DC6E0" w:rsidR="00223C8F"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7"/>
      </w:r>
      <w:r w:rsidRPr="0062325E">
        <w:rPr>
          <w:rFonts w:ascii="Palatino Linotype" w:eastAsia="MS Mincho" w:hAnsi="Palatino Linotype" w:cs="Times New Roman"/>
        </w:rPr>
        <w:t xml:space="preserve"> respecto a qué debe entenderse por fundamentación y motivación, en los siguientes términos:</w:t>
      </w:r>
    </w:p>
    <w:p w14:paraId="61AFBB62" w14:textId="77777777" w:rsidR="00223C8F" w:rsidRDefault="00223C8F" w:rsidP="00607974">
      <w:pPr>
        <w:pStyle w:val="Prrafodelista"/>
        <w:tabs>
          <w:tab w:val="left" w:pos="426"/>
        </w:tabs>
        <w:spacing w:before="240" w:line="360" w:lineRule="auto"/>
        <w:ind w:left="0" w:right="51"/>
        <w:jc w:val="both"/>
        <w:rPr>
          <w:rFonts w:ascii="Palatino Linotype" w:hAnsi="Palatino Linotype"/>
          <w:color w:val="000000" w:themeColor="text1"/>
        </w:rPr>
      </w:pPr>
    </w:p>
    <w:p w14:paraId="0BE40B05" w14:textId="77777777" w:rsidR="00607974" w:rsidRPr="003E6079" w:rsidRDefault="00607974" w:rsidP="00607974">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5B95B2" w14:textId="77777777" w:rsidR="00607974" w:rsidRDefault="00607974" w:rsidP="00223C8F">
      <w:pPr>
        <w:pStyle w:val="Prrafodelista"/>
        <w:tabs>
          <w:tab w:val="left" w:pos="426"/>
        </w:tabs>
        <w:spacing w:before="240" w:after="240" w:line="360" w:lineRule="auto"/>
        <w:ind w:left="0" w:right="51"/>
        <w:jc w:val="both"/>
        <w:rPr>
          <w:rFonts w:ascii="Palatino Linotype" w:hAnsi="Palatino Linotype"/>
          <w:color w:val="000000" w:themeColor="text1"/>
        </w:rPr>
      </w:pPr>
    </w:p>
    <w:p w14:paraId="47FA4280" w14:textId="4B8FAFCE" w:rsidR="00223C8F" w:rsidRPr="00607974"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0D2150">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3201A45A" w14:textId="77777777" w:rsidR="00607974" w:rsidRPr="00607974" w:rsidRDefault="00607974" w:rsidP="00607974">
      <w:pPr>
        <w:pStyle w:val="Prrafodelista"/>
        <w:tabs>
          <w:tab w:val="left" w:pos="426"/>
        </w:tabs>
        <w:spacing w:before="240" w:after="240" w:line="360" w:lineRule="auto"/>
        <w:ind w:left="0" w:right="51"/>
        <w:jc w:val="both"/>
        <w:rPr>
          <w:rFonts w:ascii="Palatino Linotype" w:hAnsi="Palatino Linotype"/>
          <w:color w:val="000000" w:themeColor="text1"/>
        </w:rPr>
      </w:pPr>
    </w:p>
    <w:p w14:paraId="37032485" w14:textId="0404995D" w:rsidR="00607974" w:rsidRPr="00607974"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2B1BE6D" w14:textId="77777777" w:rsidR="00607974" w:rsidRPr="00607974" w:rsidRDefault="00607974" w:rsidP="00607974">
      <w:pPr>
        <w:pStyle w:val="Prrafodelista"/>
        <w:tabs>
          <w:tab w:val="left" w:pos="426"/>
        </w:tabs>
        <w:spacing w:before="240" w:after="240" w:line="360" w:lineRule="auto"/>
        <w:ind w:left="0" w:right="51"/>
        <w:jc w:val="both"/>
        <w:rPr>
          <w:rFonts w:ascii="Palatino Linotype" w:hAnsi="Palatino Linotype"/>
          <w:color w:val="000000" w:themeColor="text1"/>
        </w:rPr>
      </w:pPr>
    </w:p>
    <w:p w14:paraId="6263231B" w14:textId="78F6EA19" w:rsidR="00607974" w:rsidRPr="00607974" w:rsidRDefault="00607974" w:rsidP="00223C8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77E30687" w14:textId="77777777" w:rsidR="00607974" w:rsidRPr="00607974" w:rsidRDefault="00607974" w:rsidP="00607974">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4B1CD95D" w:rsidR="00953B03" w:rsidRPr="00953B03" w:rsidRDefault="00F5550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83316016"/>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3"/>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548621E0" w:rsidR="00953B03" w:rsidRPr="00A238C8" w:rsidRDefault="00B25EC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w:t>
      </w:r>
      <w:r w:rsidR="00F55505">
        <w:rPr>
          <w:rFonts w:ascii="Palatino Linotype" w:hAnsi="Palatino Linotype"/>
          <w:color w:val="000000" w:themeColor="text1"/>
        </w:rPr>
        <w:t xml:space="preserve">de analizar la justificación del </w:t>
      </w:r>
      <w:r w:rsidR="00F55505">
        <w:rPr>
          <w:rFonts w:ascii="Palatino Linotype" w:hAnsi="Palatino Linotype"/>
          <w:b/>
          <w:bCs/>
          <w:color w:val="000000" w:themeColor="text1"/>
        </w:rPr>
        <w:t>SUJETO OBLIGADO</w:t>
      </w:r>
      <w:r w:rsidR="00F55505">
        <w:rPr>
          <w:rFonts w:ascii="Palatino Linotype" w:hAnsi="Palatino Linotype"/>
          <w:color w:val="000000" w:themeColor="text1"/>
        </w:rPr>
        <w:t xml:space="preserve"> para cambiar la modalidad de entrega de la información, se demostró que ésta era infundada, por lo que la Comisión de Conciliación y Arbitraje Médico deberá hacer entrega de las pólizas de seguro del parque vehicular, así como las pólizas de egresos generadas por el pago de </w:t>
      </w:r>
      <w:r w:rsidR="00346C21">
        <w:rPr>
          <w:rFonts w:ascii="Palatino Linotype" w:hAnsi="Palatino Linotype"/>
          <w:color w:val="000000" w:themeColor="text1"/>
        </w:rPr>
        <w:t>éstas</w:t>
      </w:r>
      <w:r w:rsidR="00F55505">
        <w:rPr>
          <w:rFonts w:ascii="Palatino Linotype" w:hAnsi="Palatino Linotype"/>
          <w:color w:val="000000" w:themeColor="text1"/>
        </w:rPr>
        <w:t>, de ser procedente</w:t>
      </w:r>
      <w:r w:rsidR="00346C21">
        <w:rPr>
          <w:rFonts w:ascii="Palatino Linotype" w:hAnsi="Palatino Linotype"/>
          <w:color w:val="000000" w:themeColor="text1"/>
        </w:rPr>
        <w:t xml:space="preserve"> en versión pública</w:t>
      </w:r>
      <w:r w:rsidR="00F55505">
        <w:rPr>
          <w:rFonts w:ascii="Palatino Linotype" w:hAnsi="Palatino Linotype"/>
          <w:color w:val="000000" w:themeColor="text1"/>
        </w:rPr>
        <w:t xml:space="preserve">, y en la modalidad de entrega elegida originalmente por el </w:t>
      </w:r>
      <w:r w:rsidR="00F55505">
        <w:rPr>
          <w:rFonts w:ascii="Palatino Linotype" w:hAnsi="Palatino Linotype"/>
          <w:b/>
          <w:bCs/>
          <w:color w:val="000000" w:themeColor="text1"/>
        </w:rPr>
        <w:t>RECURRENTE</w:t>
      </w:r>
      <w:r w:rsidR="00F55505">
        <w:rPr>
          <w:rFonts w:ascii="Palatino Linotype" w:hAnsi="Palatino Linotype"/>
          <w:color w:val="000000" w:themeColor="text1"/>
        </w:rPr>
        <w:t>.</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EBE3016"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lastRenderedPageBreak/>
        <w:t>RECURRENTE</w:t>
      </w:r>
      <w:r w:rsidRPr="0028241C">
        <w:rPr>
          <w:rFonts w:ascii="Palatino Linotype" w:eastAsia="MS Mincho" w:hAnsi="Palatino Linotype" w:cstheme="majorBidi"/>
          <w:lang w:val="es-ES"/>
        </w:rPr>
        <w:t xml:space="preserve"> dentro del recurso de revisión </w:t>
      </w:r>
      <w:r w:rsidR="00E936B9">
        <w:rPr>
          <w:rFonts w:ascii="Palatino Linotype" w:eastAsia="MS Mincho" w:hAnsi="Palatino Linotype" w:cstheme="majorBidi"/>
          <w:b/>
          <w:lang w:val="es-ES"/>
        </w:rPr>
        <w:t>03843/INFOEM/IP/RR/2021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F55505">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E936B9">
        <w:rPr>
          <w:rFonts w:ascii="Palatino Linotype" w:eastAsia="MS Mincho" w:hAnsi="Palatino Linotype" w:cstheme="majorBidi"/>
          <w:b/>
          <w:lang w:val="es-ES"/>
        </w:rPr>
        <w:t>00125/CAMEM/IP/2021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692F4EF9" w14:textId="2CC90720" w:rsidR="00D06E4E" w:rsidRPr="00C065BD" w:rsidRDefault="00B069DF" w:rsidP="00C065BD">
      <w:pPr>
        <w:rPr>
          <w:rFonts w:ascii="Palatino Linotype" w:hAnsi="Palatino Linotype"/>
          <w:color w:val="000000" w:themeColor="text1"/>
        </w:rPr>
      </w:pPr>
      <w:r>
        <w:rPr>
          <w:rFonts w:ascii="Palatino Linotype" w:hAnsi="Palatino Linotype"/>
          <w:color w:val="000000" w:themeColor="text1"/>
        </w:rPr>
        <w:br w:type="page"/>
      </w:r>
      <w:bookmarkStart w:id="34" w:name="_Toc495427547"/>
      <w:bookmarkStart w:id="35" w:name="_Toc497905366"/>
    </w:p>
    <w:p w14:paraId="18C7D92B" w14:textId="552D21CB" w:rsidR="009959DB" w:rsidRDefault="009959DB" w:rsidP="009959DB">
      <w:pPr>
        <w:pStyle w:val="Ttulo1"/>
        <w:spacing w:line="360" w:lineRule="auto"/>
        <w:jc w:val="center"/>
        <w:rPr>
          <w:b/>
          <w:color w:val="000000" w:themeColor="text1"/>
          <w:szCs w:val="24"/>
        </w:rPr>
      </w:pPr>
      <w:bookmarkStart w:id="36" w:name="_Toc83316017"/>
      <w:r w:rsidRPr="008C6062">
        <w:rPr>
          <w:b/>
          <w:color w:val="000000" w:themeColor="text1"/>
          <w:szCs w:val="24"/>
        </w:rPr>
        <w:lastRenderedPageBreak/>
        <w:t>R E S O L U T I V O S</w:t>
      </w:r>
      <w:bookmarkEnd w:id="23"/>
      <w:bookmarkEnd w:id="24"/>
      <w:bookmarkEnd w:id="34"/>
      <w:bookmarkEnd w:id="35"/>
      <w:bookmarkEnd w:id="36"/>
    </w:p>
    <w:p w14:paraId="56F5A589" w14:textId="77777777" w:rsidR="00D06E4E" w:rsidRPr="00D06E4E" w:rsidRDefault="00D06E4E" w:rsidP="00D06E4E">
      <w:pPr>
        <w:rPr>
          <w:lang w:val="es-MX" w:eastAsia="en-US"/>
        </w:rPr>
      </w:pPr>
    </w:p>
    <w:p w14:paraId="67A78F7D" w14:textId="3F63AE1E"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sidR="00C065BD">
        <w:rPr>
          <w:rFonts w:ascii="Palatino Linotype" w:eastAsia="Times New Roman" w:hAnsi="Palatino Linotype" w:cs="Arial"/>
        </w:rPr>
        <w:t xml:space="preserve">parcialmente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E936B9">
        <w:rPr>
          <w:rFonts w:ascii="Palatino Linotype" w:eastAsia="Times New Roman" w:hAnsi="Palatino Linotype" w:cs="Times New Roman"/>
          <w:b/>
        </w:rPr>
        <w:t>03843/INFOEM/IP/RR/2021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F55505">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F55505">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F55505">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sidR="00A01696" w:rsidRPr="00A01696">
        <w:rPr>
          <w:rFonts w:ascii="Palatino Linotype" w:eastAsia="Times New Roman" w:hAnsi="Palatino Linotype" w:cs="Times New Roman"/>
          <w:b/>
        </w:rPr>
        <w:t>CUARTO</w:t>
      </w:r>
      <w:r w:rsidR="00A01696">
        <w:rPr>
          <w:rFonts w:ascii="Palatino Linotype" w:eastAsia="Times New Roman" w:hAnsi="Palatino Linotype" w:cs="Times New Roman"/>
        </w:rPr>
        <w:t xml:space="preserve"> </w:t>
      </w:r>
      <w:r w:rsidR="00F55505">
        <w:rPr>
          <w:rFonts w:ascii="Palatino Linotype" w:eastAsia="Times New Roman" w:hAnsi="Palatino Linotype" w:cs="Times New Roman"/>
        </w:rPr>
        <w:t xml:space="preserve">y </w:t>
      </w:r>
      <w:r w:rsidR="00F55505">
        <w:rPr>
          <w:rFonts w:ascii="Palatino Linotype" w:eastAsia="Times New Roman" w:hAnsi="Palatino Linotype" w:cs="Times New Roman"/>
          <w:b/>
        </w:rPr>
        <w:t>QUINTO</w:t>
      </w:r>
      <w:r w:rsidR="00F55505">
        <w:rPr>
          <w:rFonts w:ascii="Palatino Linotype" w:eastAsia="Times New Roman" w:hAnsi="Palatino Linotype" w:cs="Times New Roman"/>
        </w:rPr>
        <w:t xml:space="preserve"> </w:t>
      </w:r>
      <w:r w:rsidR="00A01696">
        <w:rPr>
          <w:rFonts w:ascii="Palatino Linotype" w:eastAsia="Times New Roman" w:hAnsi="Palatino Linotype" w:cs="Times New Roman"/>
        </w:rPr>
        <w:t>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6FCB0A3E"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F55505">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 xml:space="preserve">emitida por </w:t>
      </w:r>
      <w:r w:rsidR="00A01696">
        <w:rPr>
          <w:rFonts w:ascii="Palatino Linotype" w:eastAsia="Calibri" w:hAnsi="Palatino Linotype" w:cs="Arial"/>
          <w:lang w:val="es-ES"/>
        </w:rPr>
        <w:t>la</w:t>
      </w:r>
      <w:r w:rsidRPr="00D92794">
        <w:rPr>
          <w:rFonts w:ascii="Palatino Linotype" w:eastAsia="Calibri" w:hAnsi="Palatino Linotype" w:cs="Arial"/>
          <w:lang w:val="es-ES"/>
        </w:rPr>
        <w:t xml:space="preserve"> </w:t>
      </w:r>
      <w:r w:rsidR="00CD4A82">
        <w:rPr>
          <w:rFonts w:ascii="Palatino Linotype" w:eastAsia="Calibri" w:hAnsi="Palatino Linotype" w:cs="Arial"/>
          <w:b/>
        </w:rPr>
        <w:t>Comisión de Conciliación y Arbitraje Médico del Estado de México</w:t>
      </w:r>
      <w:r>
        <w:rPr>
          <w:rFonts w:ascii="Palatino Linotype" w:eastAsia="Calibri" w:hAnsi="Palatino Linotype" w:cs="Arial"/>
          <w:bCs/>
        </w:rPr>
        <w:t xml:space="preserve"> a la solicitud </w:t>
      </w:r>
      <w:r w:rsidR="00E936B9">
        <w:rPr>
          <w:rFonts w:ascii="Palatino Linotype" w:eastAsia="Calibri" w:hAnsi="Palatino Linotype" w:cs="Arial"/>
          <w:b/>
        </w:rPr>
        <w:t>00125/CAMEM/IP/2021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7"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F55505">
        <w:rPr>
          <w:rFonts w:ascii="Palatino Linotype" w:eastAsia="Times New Roman" w:hAnsi="Palatino Linotype" w:cs="Arial"/>
          <w:color w:val="000000"/>
        </w:rPr>
        <w:t>de ser procedente en versión pública, la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8" w:name="_Hlk22229143"/>
    </w:p>
    <w:bookmarkEnd w:id="38"/>
    <w:p w14:paraId="46D5F925" w14:textId="22398352" w:rsidR="00CA0640" w:rsidRDefault="00F55505"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Pólizas de seguro del parque vehicular; y</w:t>
      </w:r>
    </w:p>
    <w:p w14:paraId="26519122" w14:textId="3C2A1421" w:rsidR="00F55505" w:rsidRPr="00B069DF" w:rsidRDefault="00F55505"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Pólizas de egreso generadas con motivo del pago y contratación de los seguros del parque vehicular.</w:t>
      </w:r>
    </w:p>
    <w:p w14:paraId="7D7827B9" w14:textId="77777777" w:rsidR="0018484F" w:rsidRDefault="0018484F" w:rsidP="00CA0640">
      <w:pPr>
        <w:tabs>
          <w:tab w:val="left" w:pos="993"/>
        </w:tabs>
        <w:spacing w:line="360" w:lineRule="auto"/>
        <w:ind w:right="567"/>
        <w:jc w:val="both"/>
        <w:rPr>
          <w:rFonts w:ascii="Palatino Linotype" w:hAnsi="Palatino Linotype"/>
          <w:color w:val="000000"/>
        </w:rPr>
      </w:pPr>
    </w:p>
    <w:p w14:paraId="50814707" w14:textId="77777777" w:rsidR="00F55505" w:rsidRDefault="00F55505" w:rsidP="007253AA">
      <w:pPr>
        <w:tabs>
          <w:tab w:val="left" w:pos="993"/>
        </w:tabs>
        <w:spacing w:line="360" w:lineRule="auto"/>
        <w:ind w:right="49"/>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4D51182C" w14:textId="77777777" w:rsidR="00F55505" w:rsidRDefault="00F55505" w:rsidP="00CA0640">
      <w:pPr>
        <w:tabs>
          <w:tab w:val="left" w:pos="993"/>
        </w:tabs>
        <w:spacing w:line="360" w:lineRule="auto"/>
        <w:ind w:right="567"/>
        <w:jc w:val="both"/>
        <w:rPr>
          <w:rFonts w:ascii="Palatino Linotype" w:hAnsi="Palatino Linotype"/>
          <w:color w:val="000000"/>
        </w:rPr>
      </w:pPr>
    </w:p>
    <w:p w14:paraId="5463F9DB" w14:textId="2B5CB4FD"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lastRenderedPageBreak/>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00F55505" w:rsidRPr="00F55505">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25CC2DB5"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7"/>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411F17DF" w14:textId="77777777" w:rsidR="00D06E4E" w:rsidRDefault="00D06E4E" w:rsidP="00CA0640">
      <w:pPr>
        <w:spacing w:line="360" w:lineRule="auto"/>
        <w:jc w:val="both"/>
        <w:rPr>
          <w:rFonts w:ascii="Palatino Linotype" w:eastAsia="MS Mincho" w:hAnsi="Palatino Linotype" w:cs="Times New Roman"/>
          <w:color w:val="000000"/>
          <w:lang w:val="es-ES"/>
        </w:rPr>
      </w:pPr>
    </w:p>
    <w:p w14:paraId="326A712A" w14:textId="1DCB9C29" w:rsidR="00895335" w:rsidRPr="006A5C6A"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t xml:space="preserve">ASÍ LO RESUELVE, </w:t>
      </w:r>
      <w:r w:rsidRPr="006A5C6A">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w:t>
      </w:r>
      <w:r w:rsidRPr="002D6F4B">
        <w:rPr>
          <w:rFonts w:ascii="Palatino Linotype" w:hAnsi="Palatino Linotype"/>
          <w:color w:val="000000" w:themeColor="text1"/>
        </w:rPr>
        <w:lastRenderedPageBreak/>
        <w:t>MUNICIPIOS, CO</w:t>
      </w:r>
      <w:r w:rsidRPr="006A5C6A">
        <w:rPr>
          <w:rFonts w:ascii="Palatino Linotype" w:hAnsi="Palatino Linotype"/>
          <w:color w:val="000000" w:themeColor="text1"/>
        </w:rPr>
        <w:t>NFORMADO</w:t>
      </w:r>
      <w:r w:rsidRPr="002D6F4B">
        <w:rPr>
          <w:rFonts w:ascii="Palatino Linotype" w:hAnsi="Palatino Linotype"/>
          <w:color w:val="000000" w:themeColor="text1"/>
        </w:rPr>
        <w:t xml:space="preserve"> POR LOS </w:t>
      </w:r>
      <w:r>
        <w:rPr>
          <w:rFonts w:ascii="Palatino Linotype" w:hAnsi="Palatino Linotype"/>
          <w:color w:val="000000" w:themeColor="text1"/>
        </w:rPr>
        <w:t xml:space="preserve">COMISIONADOS </w:t>
      </w:r>
      <w:r w:rsidR="00A24131">
        <w:rPr>
          <w:rFonts w:ascii="Palatino Linotype" w:hAnsi="Palatino Linotype"/>
          <w:color w:val="000000" w:themeColor="text1"/>
        </w:rPr>
        <w:t xml:space="preserve">JOSÉ MARTÍNEZ VILCHIS, </w:t>
      </w:r>
      <w:bookmarkStart w:id="39" w:name="_GoBack"/>
      <w:r w:rsidR="00A24131">
        <w:rPr>
          <w:rFonts w:ascii="Palatino Linotype" w:hAnsi="Palatino Linotype"/>
          <w:color w:val="000000" w:themeColor="text1"/>
        </w:rPr>
        <w:t xml:space="preserve">MARÍA DEL ROSARIO MEJÍA AYALA, SHARON </w:t>
      </w:r>
      <w:r w:rsidR="004E66C5">
        <w:rPr>
          <w:rFonts w:ascii="Palatino Linotype" w:hAnsi="Palatino Linotype"/>
          <w:color w:val="000000" w:themeColor="text1"/>
        </w:rPr>
        <w:t xml:space="preserve">CRISTINA </w:t>
      </w:r>
      <w:r w:rsidR="00A24131">
        <w:rPr>
          <w:rFonts w:ascii="Palatino Linotype" w:hAnsi="Palatino Linotype"/>
          <w:color w:val="000000" w:themeColor="text1"/>
        </w:rPr>
        <w:t>MORALES MARTÍNEZ, LUIS GUSTAVO PARRA NORIEGA Y GUADALUPE RAMÍREZ PEÑA</w:t>
      </w:r>
      <w:r w:rsidRPr="002D6F4B">
        <w:rPr>
          <w:rFonts w:ascii="Palatino Linotype" w:hAnsi="Palatino Linotype"/>
          <w:color w:val="000000" w:themeColor="text1"/>
        </w:rPr>
        <w:t xml:space="preserve">; </w:t>
      </w:r>
      <w:r w:rsidRPr="006A5C6A">
        <w:rPr>
          <w:rFonts w:ascii="Palatino Linotype" w:hAnsi="Palatino Linotype"/>
          <w:color w:val="000000" w:themeColor="text1"/>
        </w:rPr>
        <w:t xml:space="preserve">EN LA </w:t>
      </w:r>
      <w:r w:rsidR="0011095C" w:rsidRPr="004E66C5">
        <w:rPr>
          <w:rFonts w:ascii="Palatino Linotype" w:hAnsi="Palatino Linotype"/>
          <w:color w:val="000000" w:themeColor="text1"/>
        </w:rPr>
        <w:t xml:space="preserve">TRIGÉSIMO </w:t>
      </w:r>
      <w:r w:rsidR="00A01696" w:rsidRPr="004E66C5">
        <w:rPr>
          <w:rFonts w:ascii="Palatino Linotype" w:hAnsi="Palatino Linotype"/>
          <w:color w:val="000000" w:themeColor="text1"/>
        </w:rPr>
        <w:t>CUARTA</w:t>
      </w:r>
      <w:r w:rsidRPr="006A5C6A">
        <w:rPr>
          <w:rFonts w:ascii="Palatino Linotype" w:hAnsi="Palatino Linotype"/>
          <w:color w:val="000000" w:themeColor="text1"/>
        </w:rPr>
        <w:t xml:space="preserve"> SESIÓN ORDINARIA CELEBRADA EL </w:t>
      </w:r>
      <w:r w:rsidR="00A01696" w:rsidRPr="004E66C5">
        <w:rPr>
          <w:rFonts w:ascii="Palatino Linotype" w:hAnsi="Palatino Linotype"/>
          <w:color w:val="000000" w:themeColor="text1"/>
        </w:rPr>
        <w:t>VEINTINUEVE (29</w:t>
      </w:r>
      <w:r w:rsidR="00A24131" w:rsidRPr="004E66C5">
        <w:rPr>
          <w:rFonts w:ascii="Palatino Linotype" w:hAnsi="Palatino Linotype"/>
          <w:color w:val="000000" w:themeColor="text1"/>
        </w:rPr>
        <w:t xml:space="preserve">) DE SEPTIEMBRE </w:t>
      </w:r>
      <w:r w:rsidR="0072445A" w:rsidRPr="004E66C5">
        <w:rPr>
          <w:rFonts w:ascii="Palatino Linotype" w:hAnsi="Palatino Linotype"/>
          <w:color w:val="000000" w:themeColor="text1"/>
        </w:rPr>
        <w:t>DE DOS MIL VEINTIUNO</w:t>
      </w:r>
      <w:bookmarkEnd w:id="39"/>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6A5C6A">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99851" w14:textId="77777777" w:rsidR="00443F31" w:rsidRDefault="00443F31" w:rsidP="00587366">
      <w:r>
        <w:separator/>
      </w:r>
    </w:p>
  </w:endnote>
  <w:endnote w:type="continuationSeparator" w:id="0">
    <w:p w14:paraId="62FFBB8F" w14:textId="77777777" w:rsidR="00443F31" w:rsidRDefault="00443F3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630D1" w:rsidRPr="00883450" w:rsidRDefault="002630D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66C5">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66C5">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2630D1" w:rsidRDefault="002630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630D1" w:rsidRPr="00883450" w:rsidRDefault="002630D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66C5" w:rsidRPr="004E66C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66C5" w:rsidRPr="004E66C5">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2630D1" w:rsidRPr="00883450" w:rsidRDefault="002630D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A8641" w14:textId="77777777" w:rsidR="00443F31" w:rsidRDefault="00443F31" w:rsidP="00587366">
      <w:r>
        <w:separator/>
      </w:r>
    </w:p>
  </w:footnote>
  <w:footnote w:type="continuationSeparator" w:id="0">
    <w:p w14:paraId="33D23266" w14:textId="77777777" w:rsidR="00443F31" w:rsidRDefault="00443F31" w:rsidP="00587366">
      <w:r>
        <w:continuationSeparator/>
      </w:r>
    </w:p>
  </w:footnote>
  <w:footnote w:id="1">
    <w:p w14:paraId="31C71B15" w14:textId="77777777" w:rsidR="002630D1" w:rsidRPr="009C43C2" w:rsidRDefault="002630D1"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2630D1" w:rsidRPr="009C43C2" w:rsidRDefault="002630D1"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2630D1" w:rsidRPr="009C43C2" w:rsidRDefault="002630D1"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2630D1" w:rsidRDefault="002630D1"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0F273527" w14:textId="77777777" w:rsidR="002630D1" w:rsidRDefault="002630D1" w:rsidP="00A44BE6">
      <w:pPr>
        <w:pStyle w:val="Textonotapie"/>
      </w:pPr>
      <w:r>
        <w:rPr>
          <w:rStyle w:val="Refdenotaalpie"/>
        </w:rPr>
        <w:footnoteRef/>
      </w:r>
      <w:r>
        <w:t xml:space="preserve"> Artículo 50, Ley de Transparencia y Acceso a la Información Pública del Estado de México y Municipios.</w:t>
      </w:r>
    </w:p>
  </w:footnote>
  <w:footnote w:id="6">
    <w:p w14:paraId="6E2ECD8A" w14:textId="77777777" w:rsidR="002630D1" w:rsidRDefault="002630D1" w:rsidP="00A44BE6">
      <w:pPr>
        <w:pStyle w:val="Textonotapie"/>
      </w:pPr>
      <w:r>
        <w:rPr>
          <w:rStyle w:val="Refdenotaalpie"/>
        </w:rPr>
        <w:footnoteRef/>
      </w:r>
      <w:r>
        <w:t xml:space="preserve"> Artículo 51, Ídem.</w:t>
      </w:r>
    </w:p>
  </w:footnote>
  <w:footnote w:id="7">
    <w:p w14:paraId="62E73D06" w14:textId="77777777" w:rsidR="002630D1" w:rsidRDefault="002630D1" w:rsidP="00A44BE6">
      <w:pPr>
        <w:pStyle w:val="Textonotapie"/>
      </w:pPr>
      <w:r>
        <w:rPr>
          <w:rStyle w:val="Refdenotaalpie"/>
        </w:rPr>
        <w:footnoteRef/>
      </w:r>
      <w:r>
        <w:t xml:space="preserve"> Artículo 58, Ley de Transparencia y Acceso a la Información Pública del Estado de México y Municipios.</w:t>
      </w:r>
    </w:p>
  </w:footnote>
  <w:footnote w:id="8">
    <w:p w14:paraId="5C1D0D48" w14:textId="77777777" w:rsidR="002630D1" w:rsidRDefault="002630D1" w:rsidP="00A44BE6">
      <w:pPr>
        <w:pStyle w:val="Textonotapie"/>
      </w:pPr>
      <w:r>
        <w:rPr>
          <w:rStyle w:val="Refdenotaalpie"/>
        </w:rPr>
        <w:footnoteRef/>
      </w:r>
      <w:r>
        <w:t xml:space="preserve"> Artículo 59, Ídem.</w:t>
      </w:r>
    </w:p>
  </w:footnote>
  <w:footnote w:id="9">
    <w:p w14:paraId="5AEFF891" w14:textId="23A85539" w:rsidR="002630D1" w:rsidRDefault="002630D1">
      <w:pPr>
        <w:pStyle w:val="Textonotapie"/>
      </w:pPr>
      <w:r>
        <w:rPr>
          <w:rStyle w:val="Refdenotaalpie"/>
        </w:rPr>
        <w:footnoteRef/>
      </w:r>
      <w:r>
        <w:t xml:space="preserve"> Consultable en </w:t>
      </w:r>
      <w:r w:rsidRPr="006F428C">
        <w:t>https://www.ipomex.org.mx/ipo3/lgt/indice/CCAMEM/art_92_vii/3.web</w:t>
      </w:r>
    </w:p>
  </w:footnote>
  <w:footnote w:id="10">
    <w:p w14:paraId="30134BA6" w14:textId="77777777" w:rsidR="002630D1" w:rsidRDefault="002630D1" w:rsidP="001C0AFD">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11">
    <w:p w14:paraId="633F0599" w14:textId="30ECC615" w:rsidR="002630D1" w:rsidRDefault="002630D1">
      <w:pPr>
        <w:pStyle w:val="Textonotapie"/>
      </w:pPr>
      <w:r>
        <w:rPr>
          <w:rStyle w:val="Refdenotaalpie"/>
        </w:rPr>
        <w:footnoteRef/>
      </w:r>
      <w:r>
        <w:t xml:space="preserve"> Artículo 1, Acuerdo del Ejecutivo del Estado por el que se Crea la (entonces) Comisión de Arbitraje Médico del Estado de México.</w:t>
      </w:r>
    </w:p>
  </w:footnote>
  <w:footnote w:id="12">
    <w:p w14:paraId="38C7F322" w14:textId="71C7E652" w:rsidR="002630D1" w:rsidRDefault="002630D1">
      <w:pPr>
        <w:pStyle w:val="Textonotapie"/>
      </w:pPr>
      <w:r>
        <w:rPr>
          <w:rStyle w:val="Refdenotaalpie"/>
        </w:rPr>
        <w:footnoteRef/>
      </w:r>
      <w:r>
        <w:t xml:space="preserve"> Artículo 2, Ídem.</w:t>
      </w:r>
    </w:p>
  </w:footnote>
  <w:footnote w:id="13">
    <w:p w14:paraId="61BBAC55" w14:textId="784F55F0" w:rsidR="002630D1" w:rsidRDefault="002630D1">
      <w:pPr>
        <w:pStyle w:val="Textonotapie"/>
      </w:pPr>
      <w:r>
        <w:rPr>
          <w:rStyle w:val="Refdenotaalpie"/>
        </w:rPr>
        <w:footnoteRef/>
      </w:r>
      <w:r>
        <w:t xml:space="preserve"> Artículo 6, Reglamento Interno de la Comisión de Conciliación y Arbitraje Médico del Estado de México.</w:t>
      </w:r>
    </w:p>
  </w:footnote>
  <w:footnote w:id="14">
    <w:p w14:paraId="09F7087F" w14:textId="0B60CA91" w:rsidR="002630D1" w:rsidRDefault="002630D1">
      <w:pPr>
        <w:pStyle w:val="Textonotapie"/>
      </w:pPr>
      <w:r>
        <w:rPr>
          <w:rStyle w:val="Refdenotaalpie"/>
        </w:rPr>
        <w:footnoteRef/>
      </w:r>
      <w:r>
        <w:t xml:space="preserve"> Objetivo de la Unidad de Apoyo Administrativo, identificador 211C10300, Manual General de Organización de la Comisión de Conciliación y Arbitraje Médico del Estado de México.</w:t>
      </w:r>
    </w:p>
  </w:footnote>
  <w:footnote w:id="15">
    <w:p w14:paraId="038C78DF" w14:textId="025FC600" w:rsidR="00CB1AAE" w:rsidRDefault="00CB1AAE" w:rsidP="00CB1AAE">
      <w:pPr>
        <w:pStyle w:val="Textonotapie"/>
      </w:pPr>
      <w:r>
        <w:rPr>
          <w:rStyle w:val="Refdenotaalpie"/>
        </w:rPr>
        <w:footnoteRef/>
      </w:r>
      <w:r>
        <w:t xml:space="preserve"> Artículo 179, fracción VIII, </w:t>
      </w:r>
      <w:r w:rsidR="0021398C">
        <w:t>Ley de Transparencia y Acceso a la Información Pública del Estado de México y Municipios</w:t>
      </w:r>
      <w:r>
        <w:t>.</w:t>
      </w:r>
    </w:p>
  </w:footnote>
  <w:footnote w:id="16">
    <w:p w14:paraId="23C513AE" w14:textId="77777777" w:rsidR="00CB1AAE" w:rsidRDefault="00CB1AAE" w:rsidP="00CB1AAE">
      <w:pPr>
        <w:pStyle w:val="Textonotapie"/>
      </w:pPr>
      <w:r>
        <w:rPr>
          <w:rStyle w:val="Refdenotaalpie"/>
        </w:rPr>
        <w:footnoteRef/>
      </w:r>
      <w:r>
        <w:t xml:space="preserve"> RIA 155/20 y RIA 167/20</w:t>
      </w:r>
    </w:p>
  </w:footnote>
  <w:footnote w:id="17">
    <w:p w14:paraId="376378FC" w14:textId="77777777" w:rsidR="00607974" w:rsidRDefault="00607974" w:rsidP="00607974">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2630D1" w:rsidRPr="00025127" w14:paraId="07F2896E" w14:textId="77777777" w:rsidTr="00CD4A82">
      <w:trPr>
        <w:trHeight w:val="138"/>
        <w:jc w:val="right"/>
      </w:trPr>
      <w:tc>
        <w:tcPr>
          <w:tcW w:w="2977" w:type="dxa"/>
          <w:vAlign w:val="center"/>
        </w:tcPr>
        <w:p w14:paraId="4A5B1974" w14:textId="7E4B359F" w:rsidR="002630D1" w:rsidRPr="00025127" w:rsidRDefault="002630D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3" w:type="dxa"/>
          <w:vAlign w:val="center"/>
        </w:tcPr>
        <w:p w14:paraId="3A05B4B6" w14:textId="6E4F4084" w:rsidR="002630D1" w:rsidRPr="00025127" w:rsidRDefault="002630D1" w:rsidP="005F1362">
          <w:pPr>
            <w:pStyle w:val="Encabezado"/>
            <w:jc w:val="both"/>
            <w:rPr>
              <w:rFonts w:ascii="Palatino Linotype" w:hAnsi="Palatino Linotype"/>
              <w:b/>
              <w:sz w:val="22"/>
              <w:szCs w:val="22"/>
            </w:rPr>
          </w:pPr>
          <w:r>
            <w:rPr>
              <w:rFonts w:ascii="Palatino Linotype" w:hAnsi="Palatino Linotype"/>
              <w:b/>
              <w:sz w:val="22"/>
              <w:szCs w:val="22"/>
            </w:rPr>
            <w:t>03843</w:t>
          </w:r>
          <w:r w:rsidRPr="00025127">
            <w:rPr>
              <w:rFonts w:ascii="Palatino Linotype" w:hAnsi="Palatino Linotype"/>
              <w:b/>
              <w:sz w:val="22"/>
              <w:szCs w:val="22"/>
            </w:rPr>
            <w:t>/INFOEM/IP/RR/</w:t>
          </w:r>
          <w:r>
            <w:rPr>
              <w:rFonts w:ascii="Palatino Linotype" w:hAnsi="Palatino Linotype"/>
              <w:b/>
              <w:sz w:val="22"/>
              <w:szCs w:val="22"/>
            </w:rPr>
            <w:t>2021</w:t>
          </w:r>
        </w:p>
      </w:tc>
    </w:tr>
    <w:tr w:rsidR="002630D1" w:rsidRPr="00025127" w14:paraId="1B5D8690" w14:textId="77777777" w:rsidTr="00CD4A82">
      <w:trPr>
        <w:trHeight w:val="233"/>
        <w:jc w:val="right"/>
      </w:trPr>
      <w:tc>
        <w:tcPr>
          <w:tcW w:w="2977" w:type="dxa"/>
          <w:vAlign w:val="center"/>
        </w:tcPr>
        <w:p w14:paraId="3903F2C6" w14:textId="22D569F8" w:rsidR="002630D1" w:rsidRPr="00025127" w:rsidRDefault="002630D1" w:rsidP="00CD4A82">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973" w:type="dxa"/>
          <w:vAlign w:val="center"/>
        </w:tcPr>
        <w:p w14:paraId="03C799A2" w14:textId="665F5ACC" w:rsidR="002630D1" w:rsidRPr="00025127" w:rsidRDefault="002630D1" w:rsidP="00CD4A82">
          <w:pPr>
            <w:pStyle w:val="Encabezado"/>
            <w:rPr>
              <w:rFonts w:ascii="Palatino Linotype" w:hAnsi="Palatino Linotype"/>
              <w:b/>
              <w:sz w:val="22"/>
              <w:szCs w:val="22"/>
            </w:rPr>
          </w:pPr>
          <w:r>
            <w:rPr>
              <w:rFonts w:ascii="Palatino Linotype" w:hAnsi="Palatino Linotype"/>
              <w:b/>
              <w:bCs/>
              <w:color w:val="000000"/>
              <w:sz w:val="22"/>
              <w:szCs w:val="22"/>
            </w:rPr>
            <w:t>Comisión de Conciliación y Arbitraje Médico del Estado de México</w:t>
          </w:r>
        </w:p>
      </w:tc>
    </w:tr>
    <w:tr w:rsidR="002630D1" w:rsidRPr="00025127" w14:paraId="095EB01B" w14:textId="77777777" w:rsidTr="00CD4A82">
      <w:trPr>
        <w:trHeight w:val="321"/>
        <w:jc w:val="right"/>
      </w:trPr>
      <w:tc>
        <w:tcPr>
          <w:tcW w:w="2977" w:type="dxa"/>
          <w:vAlign w:val="center"/>
        </w:tcPr>
        <w:p w14:paraId="6E000A51" w14:textId="05E1861A" w:rsidR="002630D1" w:rsidRPr="00025127" w:rsidRDefault="002630D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3" w:type="dxa"/>
          <w:vAlign w:val="center"/>
        </w:tcPr>
        <w:p w14:paraId="07560085" w14:textId="64DC8836" w:rsidR="002630D1" w:rsidRPr="00025127" w:rsidRDefault="002630D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484FAEB" w:rsidR="002630D1" w:rsidRDefault="002630D1" w:rsidP="00472C41">
    <w:pPr>
      <w:pStyle w:val="Encabezado"/>
    </w:pPr>
    <w:r>
      <w:rPr>
        <w:noProof/>
        <w:lang w:val="es-MX" w:eastAsia="es-MX"/>
      </w:rPr>
      <w:drawing>
        <wp:anchor distT="0" distB="0" distL="114300" distR="114300" simplePos="0" relativeHeight="251657216" behindDoc="1" locked="0" layoutInCell="0" allowOverlap="1" wp14:anchorId="1A29E15A" wp14:editId="0001E628">
          <wp:simplePos x="0" y="0"/>
          <wp:positionH relativeFrom="margin">
            <wp:posOffset>-1039495</wp:posOffset>
          </wp:positionH>
          <wp:positionV relativeFrom="page">
            <wp:posOffset>37729</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630D1" w:rsidRDefault="00443F3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630D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630D1" w:rsidRPr="00025127" w14:paraId="0A3256F2" w14:textId="77777777" w:rsidTr="006E6B65">
      <w:trPr>
        <w:trHeight w:val="138"/>
        <w:jc w:val="right"/>
      </w:trPr>
      <w:tc>
        <w:tcPr>
          <w:tcW w:w="3261" w:type="dxa"/>
          <w:vAlign w:val="center"/>
        </w:tcPr>
        <w:p w14:paraId="3D80769D" w14:textId="316F11F8" w:rsidR="002630D1" w:rsidRPr="00025127" w:rsidRDefault="002630D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AC464E4" w:rsidR="002630D1" w:rsidRPr="00025127" w:rsidRDefault="002630D1" w:rsidP="005F1362">
          <w:pPr>
            <w:pStyle w:val="Encabezado"/>
            <w:rPr>
              <w:rFonts w:ascii="Palatino Linotype" w:hAnsi="Palatino Linotype"/>
              <w:b/>
              <w:sz w:val="22"/>
              <w:szCs w:val="22"/>
            </w:rPr>
          </w:pPr>
          <w:r>
            <w:rPr>
              <w:rFonts w:ascii="Palatino Linotype" w:hAnsi="Palatino Linotype"/>
              <w:b/>
              <w:sz w:val="22"/>
              <w:szCs w:val="22"/>
            </w:rPr>
            <w:t>03843</w:t>
          </w:r>
          <w:r w:rsidRPr="00025127">
            <w:rPr>
              <w:rFonts w:ascii="Palatino Linotype" w:hAnsi="Palatino Linotype"/>
              <w:b/>
              <w:sz w:val="22"/>
              <w:szCs w:val="22"/>
            </w:rPr>
            <w:t>/INFOEM/IP/RR/</w:t>
          </w:r>
          <w:r>
            <w:rPr>
              <w:rFonts w:ascii="Palatino Linotype" w:hAnsi="Palatino Linotype"/>
              <w:b/>
              <w:sz w:val="22"/>
              <w:szCs w:val="22"/>
            </w:rPr>
            <w:t>2021</w:t>
          </w:r>
        </w:p>
      </w:tc>
    </w:tr>
    <w:tr w:rsidR="002630D1" w:rsidRPr="00025127" w14:paraId="128C8B3C" w14:textId="77777777" w:rsidTr="006E6B65">
      <w:trPr>
        <w:trHeight w:val="233"/>
        <w:jc w:val="right"/>
      </w:trPr>
      <w:tc>
        <w:tcPr>
          <w:tcW w:w="3261" w:type="dxa"/>
          <w:vAlign w:val="center"/>
        </w:tcPr>
        <w:p w14:paraId="483E3371" w14:textId="66B1BC74" w:rsidR="002630D1" w:rsidRPr="00025127" w:rsidRDefault="002630D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9561880" w:rsidR="002630D1" w:rsidRPr="00025127" w:rsidRDefault="002630D1" w:rsidP="0058757A">
          <w:pPr>
            <w:pStyle w:val="Encabezado"/>
            <w:rPr>
              <w:rFonts w:ascii="Palatino Linotype" w:hAnsi="Palatino Linotype"/>
              <w:b/>
              <w:sz w:val="22"/>
              <w:szCs w:val="22"/>
            </w:rPr>
          </w:pPr>
          <w:r>
            <w:rPr>
              <w:rFonts w:ascii="Palatino Linotype" w:hAnsi="Palatino Linotype"/>
              <w:b/>
              <w:sz w:val="22"/>
              <w:szCs w:val="22"/>
            </w:rPr>
            <w:t>RECURRENTE</w:t>
          </w:r>
        </w:p>
      </w:tc>
    </w:tr>
    <w:tr w:rsidR="002630D1" w:rsidRPr="00025127" w14:paraId="41BE0704" w14:textId="77777777" w:rsidTr="006E6B65">
      <w:trPr>
        <w:trHeight w:val="321"/>
        <w:jc w:val="right"/>
      </w:trPr>
      <w:tc>
        <w:tcPr>
          <w:tcW w:w="3261" w:type="dxa"/>
          <w:vAlign w:val="center"/>
        </w:tcPr>
        <w:p w14:paraId="34C64148" w14:textId="10C6C8A9" w:rsidR="002630D1" w:rsidRPr="00025127" w:rsidRDefault="002630D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D84827C" w:rsidR="002630D1" w:rsidRPr="00025127" w:rsidRDefault="002630D1" w:rsidP="005F1362">
          <w:pPr>
            <w:pStyle w:val="Encabezado"/>
            <w:rPr>
              <w:rFonts w:ascii="Palatino Linotype" w:hAnsi="Palatino Linotype"/>
              <w:b/>
              <w:sz w:val="22"/>
              <w:szCs w:val="22"/>
            </w:rPr>
          </w:pPr>
          <w:r>
            <w:rPr>
              <w:rFonts w:ascii="Palatino Linotype" w:hAnsi="Palatino Linotype"/>
              <w:b/>
              <w:bCs/>
              <w:color w:val="000000"/>
              <w:sz w:val="22"/>
              <w:szCs w:val="22"/>
            </w:rPr>
            <w:t>Comisión de Conciliación y Arbitraje Médico del Estado de México</w:t>
          </w:r>
        </w:p>
      </w:tc>
    </w:tr>
    <w:tr w:rsidR="002630D1" w:rsidRPr="00025127" w14:paraId="0C8B6193" w14:textId="77777777" w:rsidTr="006E6B65">
      <w:trPr>
        <w:trHeight w:val="321"/>
        <w:jc w:val="right"/>
      </w:trPr>
      <w:tc>
        <w:tcPr>
          <w:tcW w:w="3261" w:type="dxa"/>
          <w:vAlign w:val="center"/>
        </w:tcPr>
        <w:p w14:paraId="321FFAFF" w14:textId="0E8C2CE7" w:rsidR="002630D1" w:rsidRPr="00025127" w:rsidRDefault="002630D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2630D1" w:rsidRPr="00025127" w:rsidRDefault="002630D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630D1" w:rsidRDefault="002630D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BF0061"/>
    <w:multiLevelType w:val="hybridMultilevel"/>
    <w:tmpl w:val="851051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0DDE5ED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3B151A"/>
    <w:multiLevelType w:val="hybridMultilevel"/>
    <w:tmpl w:val="93FEEC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A511A3"/>
    <w:multiLevelType w:val="hybridMultilevel"/>
    <w:tmpl w:val="C14E5C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34"/>
  </w:num>
  <w:num w:numId="4">
    <w:abstractNumId w:val="19"/>
  </w:num>
  <w:num w:numId="5">
    <w:abstractNumId w:val="30"/>
  </w:num>
  <w:num w:numId="6">
    <w:abstractNumId w:val="26"/>
  </w:num>
  <w:num w:numId="7">
    <w:abstractNumId w:val="32"/>
  </w:num>
  <w:num w:numId="8">
    <w:abstractNumId w:val="7"/>
  </w:num>
  <w:num w:numId="9">
    <w:abstractNumId w:val="10"/>
  </w:num>
  <w:num w:numId="10">
    <w:abstractNumId w:val="13"/>
  </w:num>
  <w:num w:numId="11">
    <w:abstractNumId w:val="33"/>
  </w:num>
  <w:num w:numId="12">
    <w:abstractNumId w:val="28"/>
  </w:num>
  <w:num w:numId="13">
    <w:abstractNumId w:val="25"/>
  </w:num>
  <w:num w:numId="14">
    <w:abstractNumId w:val="16"/>
  </w:num>
  <w:num w:numId="15">
    <w:abstractNumId w:val="17"/>
  </w:num>
  <w:num w:numId="16">
    <w:abstractNumId w:val="0"/>
  </w:num>
  <w:num w:numId="17">
    <w:abstractNumId w:val="21"/>
  </w:num>
  <w:num w:numId="18">
    <w:abstractNumId w:val="2"/>
  </w:num>
  <w:num w:numId="19">
    <w:abstractNumId w:val="23"/>
  </w:num>
  <w:num w:numId="20">
    <w:abstractNumId w:val="35"/>
  </w:num>
  <w:num w:numId="21">
    <w:abstractNumId w:val="27"/>
  </w:num>
  <w:num w:numId="22">
    <w:abstractNumId w:val="14"/>
  </w:num>
  <w:num w:numId="23">
    <w:abstractNumId w:val="11"/>
  </w:num>
  <w:num w:numId="24">
    <w:abstractNumId w:val="4"/>
  </w:num>
  <w:num w:numId="25">
    <w:abstractNumId w:val="18"/>
  </w:num>
  <w:num w:numId="26">
    <w:abstractNumId w:val="24"/>
  </w:num>
  <w:num w:numId="27">
    <w:abstractNumId w:val="8"/>
  </w:num>
  <w:num w:numId="28">
    <w:abstractNumId w:val="15"/>
  </w:num>
  <w:num w:numId="29">
    <w:abstractNumId w:val="6"/>
  </w:num>
  <w:num w:numId="30">
    <w:abstractNumId w:val="3"/>
  </w:num>
  <w:num w:numId="31">
    <w:abstractNumId w:val="20"/>
  </w:num>
  <w:num w:numId="32">
    <w:abstractNumId w:val="36"/>
  </w:num>
  <w:num w:numId="33">
    <w:abstractNumId w:val="1"/>
  </w:num>
  <w:num w:numId="34">
    <w:abstractNumId w:val="29"/>
  </w:num>
  <w:num w:numId="35">
    <w:abstractNumId w:val="31"/>
  </w:num>
  <w:num w:numId="36">
    <w:abstractNumId w:val="5"/>
  </w:num>
  <w:num w:numId="3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1407B"/>
    <w:rsid w:val="000203D3"/>
    <w:rsid w:val="000204A6"/>
    <w:rsid w:val="000211F8"/>
    <w:rsid w:val="0002146F"/>
    <w:rsid w:val="00022D89"/>
    <w:rsid w:val="000236A3"/>
    <w:rsid w:val="000239A1"/>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81A"/>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A60"/>
    <w:rsid w:val="00102D65"/>
    <w:rsid w:val="00103662"/>
    <w:rsid w:val="00103888"/>
    <w:rsid w:val="00107499"/>
    <w:rsid w:val="00107557"/>
    <w:rsid w:val="0011095C"/>
    <w:rsid w:val="0011167C"/>
    <w:rsid w:val="00111F02"/>
    <w:rsid w:val="0011279B"/>
    <w:rsid w:val="00112B02"/>
    <w:rsid w:val="001148DD"/>
    <w:rsid w:val="00114A21"/>
    <w:rsid w:val="00117441"/>
    <w:rsid w:val="0012006D"/>
    <w:rsid w:val="00121F4A"/>
    <w:rsid w:val="00122E4B"/>
    <w:rsid w:val="0012380D"/>
    <w:rsid w:val="00124015"/>
    <w:rsid w:val="00124CF1"/>
    <w:rsid w:val="00125009"/>
    <w:rsid w:val="001250B4"/>
    <w:rsid w:val="001253D1"/>
    <w:rsid w:val="0012579F"/>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484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0AF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C86"/>
    <w:rsid w:val="002058A7"/>
    <w:rsid w:val="00205A1A"/>
    <w:rsid w:val="00207665"/>
    <w:rsid w:val="00210BAB"/>
    <w:rsid w:val="00211229"/>
    <w:rsid w:val="00212C9C"/>
    <w:rsid w:val="00212FCA"/>
    <w:rsid w:val="00213108"/>
    <w:rsid w:val="0021398C"/>
    <w:rsid w:val="0021453E"/>
    <w:rsid w:val="0021475E"/>
    <w:rsid w:val="002179AC"/>
    <w:rsid w:val="00220ADB"/>
    <w:rsid w:val="002217BA"/>
    <w:rsid w:val="00221E74"/>
    <w:rsid w:val="00223507"/>
    <w:rsid w:val="00223ACC"/>
    <w:rsid w:val="00223C8F"/>
    <w:rsid w:val="0022448D"/>
    <w:rsid w:val="002245F6"/>
    <w:rsid w:val="002275DE"/>
    <w:rsid w:val="00230170"/>
    <w:rsid w:val="002305CF"/>
    <w:rsid w:val="0023280C"/>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D1"/>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3169"/>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B5EC2"/>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21"/>
    <w:rsid w:val="003472B3"/>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4A31"/>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3F31"/>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2E3D"/>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6C5"/>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47AF"/>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B54"/>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5AE1"/>
    <w:rsid w:val="00607974"/>
    <w:rsid w:val="00611DC1"/>
    <w:rsid w:val="00613655"/>
    <w:rsid w:val="006144EE"/>
    <w:rsid w:val="00617125"/>
    <w:rsid w:val="00617813"/>
    <w:rsid w:val="006206CC"/>
    <w:rsid w:val="00622B06"/>
    <w:rsid w:val="00624425"/>
    <w:rsid w:val="006257C2"/>
    <w:rsid w:val="00627163"/>
    <w:rsid w:val="0063034E"/>
    <w:rsid w:val="00630D1C"/>
    <w:rsid w:val="00634476"/>
    <w:rsid w:val="00637475"/>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5C6A"/>
    <w:rsid w:val="006A7978"/>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0E8"/>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7096"/>
    <w:rsid w:val="007127BB"/>
    <w:rsid w:val="007136BC"/>
    <w:rsid w:val="00714576"/>
    <w:rsid w:val="00714FEC"/>
    <w:rsid w:val="0071556C"/>
    <w:rsid w:val="00715A04"/>
    <w:rsid w:val="00715B7D"/>
    <w:rsid w:val="00721335"/>
    <w:rsid w:val="00721924"/>
    <w:rsid w:val="00721F66"/>
    <w:rsid w:val="00722B93"/>
    <w:rsid w:val="0072445A"/>
    <w:rsid w:val="007253AA"/>
    <w:rsid w:val="00731F1F"/>
    <w:rsid w:val="0073324B"/>
    <w:rsid w:val="007337E6"/>
    <w:rsid w:val="00735A75"/>
    <w:rsid w:val="007365AD"/>
    <w:rsid w:val="00740BA4"/>
    <w:rsid w:val="00742486"/>
    <w:rsid w:val="00744109"/>
    <w:rsid w:val="0074433B"/>
    <w:rsid w:val="007446C2"/>
    <w:rsid w:val="0074517C"/>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D7FCC"/>
    <w:rsid w:val="007E0553"/>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3E3"/>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3AB6"/>
    <w:rsid w:val="0085480B"/>
    <w:rsid w:val="008560F4"/>
    <w:rsid w:val="008568B1"/>
    <w:rsid w:val="00860016"/>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21AB"/>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3A8C"/>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668"/>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5ECD"/>
    <w:rsid w:val="00B267A4"/>
    <w:rsid w:val="00B27A23"/>
    <w:rsid w:val="00B312C7"/>
    <w:rsid w:val="00B316B9"/>
    <w:rsid w:val="00B31E90"/>
    <w:rsid w:val="00B32E58"/>
    <w:rsid w:val="00B335A2"/>
    <w:rsid w:val="00B34218"/>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5BD"/>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8FD"/>
    <w:rsid w:val="00C34B8F"/>
    <w:rsid w:val="00C35264"/>
    <w:rsid w:val="00C35332"/>
    <w:rsid w:val="00C37421"/>
    <w:rsid w:val="00C41015"/>
    <w:rsid w:val="00C41131"/>
    <w:rsid w:val="00C411C1"/>
    <w:rsid w:val="00C422BD"/>
    <w:rsid w:val="00C42ED3"/>
    <w:rsid w:val="00C45581"/>
    <w:rsid w:val="00C45BF0"/>
    <w:rsid w:val="00C46213"/>
    <w:rsid w:val="00C4712A"/>
    <w:rsid w:val="00C47468"/>
    <w:rsid w:val="00C47CDC"/>
    <w:rsid w:val="00C50A2B"/>
    <w:rsid w:val="00C51671"/>
    <w:rsid w:val="00C5280A"/>
    <w:rsid w:val="00C52ACE"/>
    <w:rsid w:val="00C5401F"/>
    <w:rsid w:val="00C54922"/>
    <w:rsid w:val="00C55FE8"/>
    <w:rsid w:val="00C56CFB"/>
    <w:rsid w:val="00C601EF"/>
    <w:rsid w:val="00C6220B"/>
    <w:rsid w:val="00C62658"/>
    <w:rsid w:val="00C634D6"/>
    <w:rsid w:val="00C63CF2"/>
    <w:rsid w:val="00C6440A"/>
    <w:rsid w:val="00C648FC"/>
    <w:rsid w:val="00C663BE"/>
    <w:rsid w:val="00C71858"/>
    <w:rsid w:val="00C722C5"/>
    <w:rsid w:val="00C74346"/>
    <w:rsid w:val="00C744AE"/>
    <w:rsid w:val="00C74781"/>
    <w:rsid w:val="00C76903"/>
    <w:rsid w:val="00C76B87"/>
    <w:rsid w:val="00C80034"/>
    <w:rsid w:val="00C82E4C"/>
    <w:rsid w:val="00C83EA7"/>
    <w:rsid w:val="00C84559"/>
    <w:rsid w:val="00C84E31"/>
    <w:rsid w:val="00C862C4"/>
    <w:rsid w:val="00C86977"/>
    <w:rsid w:val="00C86B34"/>
    <w:rsid w:val="00C86FFF"/>
    <w:rsid w:val="00C91060"/>
    <w:rsid w:val="00C95593"/>
    <w:rsid w:val="00CA0640"/>
    <w:rsid w:val="00CA2022"/>
    <w:rsid w:val="00CA4741"/>
    <w:rsid w:val="00CA7F49"/>
    <w:rsid w:val="00CB1AAE"/>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07F8"/>
    <w:rsid w:val="00CD32FE"/>
    <w:rsid w:val="00CD3E7D"/>
    <w:rsid w:val="00CD4A82"/>
    <w:rsid w:val="00CD5036"/>
    <w:rsid w:val="00CD6866"/>
    <w:rsid w:val="00CD76D4"/>
    <w:rsid w:val="00CD7893"/>
    <w:rsid w:val="00CE03CC"/>
    <w:rsid w:val="00CE7E6A"/>
    <w:rsid w:val="00CF030B"/>
    <w:rsid w:val="00CF23A2"/>
    <w:rsid w:val="00CF5D77"/>
    <w:rsid w:val="00CF6EB2"/>
    <w:rsid w:val="00D00269"/>
    <w:rsid w:val="00D02F72"/>
    <w:rsid w:val="00D06E4E"/>
    <w:rsid w:val="00D10AB0"/>
    <w:rsid w:val="00D12EE7"/>
    <w:rsid w:val="00D132A5"/>
    <w:rsid w:val="00D1373C"/>
    <w:rsid w:val="00D16B19"/>
    <w:rsid w:val="00D16BAD"/>
    <w:rsid w:val="00D1735B"/>
    <w:rsid w:val="00D17702"/>
    <w:rsid w:val="00D17C3D"/>
    <w:rsid w:val="00D20E91"/>
    <w:rsid w:val="00D225CB"/>
    <w:rsid w:val="00D23CD2"/>
    <w:rsid w:val="00D249A6"/>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60582"/>
    <w:rsid w:val="00D607B9"/>
    <w:rsid w:val="00D61222"/>
    <w:rsid w:val="00D63800"/>
    <w:rsid w:val="00D63990"/>
    <w:rsid w:val="00D65068"/>
    <w:rsid w:val="00D65243"/>
    <w:rsid w:val="00D658A1"/>
    <w:rsid w:val="00D65BBD"/>
    <w:rsid w:val="00D67E99"/>
    <w:rsid w:val="00D71057"/>
    <w:rsid w:val="00D71B4D"/>
    <w:rsid w:val="00D730F6"/>
    <w:rsid w:val="00D738F0"/>
    <w:rsid w:val="00D75E6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5B7"/>
    <w:rsid w:val="00E13B5F"/>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A09"/>
    <w:rsid w:val="00E82B54"/>
    <w:rsid w:val="00E8380C"/>
    <w:rsid w:val="00E838B2"/>
    <w:rsid w:val="00E84521"/>
    <w:rsid w:val="00E84D6B"/>
    <w:rsid w:val="00E856B0"/>
    <w:rsid w:val="00E85D85"/>
    <w:rsid w:val="00E86868"/>
    <w:rsid w:val="00E86C2A"/>
    <w:rsid w:val="00E86CA1"/>
    <w:rsid w:val="00E87F07"/>
    <w:rsid w:val="00E90973"/>
    <w:rsid w:val="00E91D00"/>
    <w:rsid w:val="00E91E35"/>
    <w:rsid w:val="00E936B9"/>
    <w:rsid w:val="00E937B5"/>
    <w:rsid w:val="00E9442F"/>
    <w:rsid w:val="00E94495"/>
    <w:rsid w:val="00E9486B"/>
    <w:rsid w:val="00E95534"/>
    <w:rsid w:val="00E96326"/>
    <w:rsid w:val="00E969D2"/>
    <w:rsid w:val="00E97D83"/>
    <w:rsid w:val="00EA0CA1"/>
    <w:rsid w:val="00EA10F0"/>
    <w:rsid w:val="00EA1D8B"/>
    <w:rsid w:val="00EA3249"/>
    <w:rsid w:val="00EA3C59"/>
    <w:rsid w:val="00EA5118"/>
    <w:rsid w:val="00EA6C56"/>
    <w:rsid w:val="00EB02F9"/>
    <w:rsid w:val="00EB0666"/>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0692"/>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29C"/>
    <w:rsid w:val="00F425B3"/>
    <w:rsid w:val="00F44A3D"/>
    <w:rsid w:val="00F44C78"/>
    <w:rsid w:val="00F452C0"/>
    <w:rsid w:val="00F459E6"/>
    <w:rsid w:val="00F53C70"/>
    <w:rsid w:val="00F55505"/>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A3A8C"/>
    <w:pPr>
      <w:tabs>
        <w:tab w:val="left" w:pos="440"/>
        <w:tab w:val="right" w:leader="dot" w:pos="8828"/>
      </w:tabs>
      <w:spacing w:after="100" w:line="276"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4924411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60603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1372-EBB0-40B3-A05A-D99EF934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44</Pages>
  <Words>9719</Words>
  <Characters>53456</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INFORMATICA</cp:lastModifiedBy>
  <cp:revision>12</cp:revision>
  <cp:lastPrinted>2019-12-11T01:19:00Z</cp:lastPrinted>
  <dcterms:created xsi:type="dcterms:W3CDTF">2021-09-23T17:55:00Z</dcterms:created>
  <dcterms:modified xsi:type="dcterms:W3CDTF">2021-09-29T18:26:00Z</dcterms:modified>
</cp:coreProperties>
</file>