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5E9FB"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51455B" w:rsidRPr="00D317BA">
        <w:rPr>
          <w:rFonts w:ascii="Palatino Linotype" w:hAnsi="Palatino Linotype" w:cs="Arial"/>
        </w:rPr>
        <w:t xml:space="preserve">veintiuno de abril de </w:t>
      </w:r>
      <w:r w:rsidRPr="00D317BA">
        <w:rPr>
          <w:rFonts w:ascii="Palatino Linotype" w:hAnsi="Palatino Linotype" w:cs="Arial"/>
        </w:rPr>
        <w:t>dos mil veintiuno.</w:t>
      </w:r>
    </w:p>
    <w:p w14:paraId="3C2E25B0" w14:textId="7E9A55FE" w:rsidR="00F72BC1" w:rsidRPr="00D317BA" w:rsidRDefault="00F72BC1" w:rsidP="00F72BC1">
      <w:pPr>
        <w:spacing w:before="100" w:beforeAutospacing="1" w:after="100" w:afterAutospacing="1" w:line="360" w:lineRule="auto"/>
        <w:jc w:val="both"/>
        <w:rPr>
          <w:rFonts w:ascii="Palatino Linotype" w:hAnsi="Palatino Linotype" w:cs="Arial"/>
          <w:lang w:val="es-ES"/>
        </w:rPr>
      </w:pPr>
      <w:r w:rsidRPr="00D317BA">
        <w:rPr>
          <w:rFonts w:ascii="Palatino Linotype" w:hAnsi="Palatino Linotype" w:cs="Arial"/>
          <w:b/>
          <w:sz w:val="28"/>
          <w:szCs w:val="28"/>
        </w:rPr>
        <w:t>VISTOS</w:t>
      </w:r>
      <w:r w:rsidRPr="00D317BA">
        <w:rPr>
          <w:rFonts w:ascii="Palatino Linotype" w:hAnsi="Palatino Linotype" w:cs="Arial"/>
          <w:sz w:val="28"/>
          <w:szCs w:val="28"/>
        </w:rPr>
        <w:t xml:space="preserve"> </w:t>
      </w:r>
      <w:r w:rsidRPr="00D317BA">
        <w:rPr>
          <w:rFonts w:ascii="Palatino Linotype" w:hAnsi="Palatino Linotype" w:cs="Arial"/>
        </w:rPr>
        <w:t xml:space="preserve">los expedientes formados con motivo de los recursos de revisión </w:t>
      </w:r>
      <w:r w:rsidRPr="00D317BA">
        <w:rPr>
          <w:rFonts w:ascii="Palatino Linotype" w:hAnsi="Palatino Linotype" w:cs="Arial"/>
          <w:b/>
        </w:rPr>
        <w:t>0</w:t>
      </w:r>
      <w:r w:rsidR="0051455B" w:rsidRPr="00D317BA">
        <w:rPr>
          <w:rFonts w:ascii="Palatino Linotype" w:hAnsi="Palatino Linotype" w:cs="Arial"/>
          <w:b/>
        </w:rPr>
        <w:t>1147</w:t>
      </w:r>
      <w:r w:rsidRPr="00D317BA">
        <w:rPr>
          <w:rFonts w:ascii="Palatino Linotype" w:hAnsi="Palatino Linotype" w:cs="Arial"/>
          <w:b/>
        </w:rPr>
        <w:t>/INFOEM/IP/RR/202</w:t>
      </w:r>
      <w:r w:rsidR="0051455B" w:rsidRPr="00D317BA">
        <w:rPr>
          <w:rFonts w:ascii="Palatino Linotype" w:hAnsi="Palatino Linotype" w:cs="Arial"/>
          <w:b/>
        </w:rPr>
        <w:t>1</w:t>
      </w:r>
      <w:r w:rsidRPr="00D317BA">
        <w:rPr>
          <w:rFonts w:ascii="Palatino Linotype" w:hAnsi="Palatino Linotype" w:cs="Arial"/>
          <w:b/>
        </w:rPr>
        <w:t xml:space="preserve"> </w:t>
      </w:r>
      <w:r w:rsidRPr="00D317BA">
        <w:rPr>
          <w:rFonts w:ascii="Palatino Linotype" w:hAnsi="Palatino Linotype" w:cs="Arial"/>
        </w:rPr>
        <w:t xml:space="preserve">y </w:t>
      </w:r>
      <w:r w:rsidRPr="00D317BA">
        <w:rPr>
          <w:rFonts w:ascii="Palatino Linotype" w:hAnsi="Palatino Linotype" w:cs="Arial"/>
          <w:b/>
        </w:rPr>
        <w:t>0</w:t>
      </w:r>
      <w:r w:rsidR="0051455B" w:rsidRPr="00D317BA">
        <w:rPr>
          <w:rFonts w:ascii="Palatino Linotype" w:hAnsi="Palatino Linotype" w:cs="Arial"/>
          <w:b/>
        </w:rPr>
        <w:t>1148</w:t>
      </w:r>
      <w:r w:rsidRPr="00D317BA">
        <w:rPr>
          <w:rFonts w:ascii="Palatino Linotype" w:hAnsi="Palatino Linotype" w:cs="Arial"/>
          <w:b/>
        </w:rPr>
        <w:t>/INFOEM/IP/RR/202</w:t>
      </w:r>
      <w:r w:rsidR="0051455B" w:rsidRPr="00D317BA">
        <w:rPr>
          <w:rFonts w:ascii="Palatino Linotype" w:hAnsi="Palatino Linotype" w:cs="Arial"/>
          <w:b/>
        </w:rPr>
        <w:t>1</w:t>
      </w:r>
      <w:r w:rsidRPr="00D317BA">
        <w:rPr>
          <w:rFonts w:ascii="Palatino Linotype" w:hAnsi="Palatino Linotype" w:cs="Arial"/>
        </w:rPr>
        <w:t xml:space="preserve">, </w:t>
      </w:r>
      <w:r w:rsidRPr="00D317BA">
        <w:rPr>
          <w:rFonts w:ascii="Palatino Linotype" w:eastAsia="Palatino Linotype" w:hAnsi="Palatino Linotype" w:cs="Palatino Linotype"/>
        </w:rPr>
        <w:t xml:space="preserve">promovidos por </w:t>
      </w:r>
      <w:r w:rsidR="00E32741">
        <w:rPr>
          <w:rFonts w:ascii="Palatino Linotype" w:eastAsia="Palatino Linotype" w:hAnsi="Palatino Linotype" w:cs="Palatino Linotype"/>
          <w:b/>
        </w:rPr>
        <w:t>XXXXXXXXXXXXXXXXXX</w:t>
      </w:r>
      <w:r w:rsidRPr="00D317BA">
        <w:rPr>
          <w:rFonts w:ascii="Palatino Linotype" w:eastAsia="Palatino Linotype" w:hAnsi="Palatino Linotype" w:cs="Palatino Linotype"/>
          <w:b/>
        </w:rPr>
        <w:t>,</w:t>
      </w:r>
      <w:r w:rsidRPr="00D317BA">
        <w:rPr>
          <w:rFonts w:ascii="Palatino Linotype" w:eastAsia="Palatino Linotype" w:hAnsi="Palatino Linotype" w:cs="Palatino Linotype"/>
        </w:rPr>
        <w:t xml:space="preserve"> en lo sucesivo </w:t>
      </w:r>
      <w:r w:rsidRPr="00D317BA">
        <w:rPr>
          <w:rFonts w:ascii="Palatino Linotype" w:hAnsi="Palatino Linotype" w:cs="Arial"/>
          <w:b/>
          <w:lang w:val="es-ES"/>
        </w:rPr>
        <w:t>EL RECURRENTE,</w:t>
      </w:r>
      <w:r w:rsidRPr="00D317BA">
        <w:rPr>
          <w:rFonts w:ascii="Palatino Linotype" w:hAnsi="Palatino Linotype" w:cs="Arial"/>
          <w:lang w:val="es-ES"/>
        </w:rPr>
        <w:t xml:space="preserve"> </w:t>
      </w:r>
      <w:r w:rsidRPr="00D317BA">
        <w:rPr>
          <w:rFonts w:ascii="Palatino Linotype" w:eastAsia="Palatino Linotype" w:hAnsi="Palatino Linotype" w:cs="Palatino Linotype"/>
        </w:rPr>
        <w:t xml:space="preserve">en contra de la falta de </w:t>
      </w:r>
      <w:r w:rsidR="0051455B" w:rsidRPr="00D317BA">
        <w:rPr>
          <w:rFonts w:ascii="Palatino Linotype" w:eastAsia="Palatino Linotype" w:hAnsi="Palatino Linotype" w:cs="Palatino Linotype"/>
        </w:rPr>
        <w:t xml:space="preserve">trámite y de </w:t>
      </w:r>
      <w:r w:rsidRPr="00D317BA">
        <w:rPr>
          <w:rFonts w:ascii="Palatino Linotype" w:eastAsia="Palatino Linotype" w:hAnsi="Palatino Linotype" w:cs="Palatino Linotype"/>
        </w:rPr>
        <w:t xml:space="preserve">respuestas del </w:t>
      </w:r>
      <w:r w:rsidRPr="00D317BA">
        <w:rPr>
          <w:rFonts w:ascii="Palatino Linotype" w:hAnsi="Palatino Linotype" w:cs="Arial"/>
          <w:b/>
          <w:lang w:val="es-ES"/>
        </w:rPr>
        <w:t xml:space="preserve">Ayuntamiento de </w:t>
      </w:r>
      <w:r w:rsidR="0051455B" w:rsidRPr="00D317BA">
        <w:rPr>
          <w:rFonts w:ascii="Palatino Linotype" w:hAnsi="Palatino Linotype" w:cs="Arial"/>
          <w:b/>
          <w:lang w:val="es-ES"/>
        </w:rPr>
        <w:t>Tonatico,</w:t>
      </w:r>
      <w:r w:rsidRPr="00D317BA">
        <w:rPr>
          <w:rFonts w:ascii="Palatino Linotype" w:hAnsi="Palatino Linotype" w:cs="Arial"/>
          <w:b/>
          <w:lang w:val="es-ES"/>
        </w:rPr>
        <w:t xml:space="preserve"> </w:t>
      </w:r>
      <w:r w:rsidRPr="00D317BA">
        <w:rPr>
          <w:rFonts w:ascii="Palatino Linotype" w:hAnsi="Palatino Linotype" w:cs="Arial"/>
          <w:lang w:val="es-ES"/>
        </w:rPr>
        <w:t xml:space="preserve">en lo sucesivo </w:t>
      </w:r>
      <w:r w:rsidRPr="00D317BA">
        <w:rPr>
          <w:rFonts w:ascii="Palatino Linotype" w:hAnsi="Palatino Linotype" w:cs="Arial"/>
          <w:b/>
          <w:lang w:val="es-ES"/>
        </w:rPr>
        <w:t xml:space="preserve">EL SUJETO OBLIGADO, </w:t>
      </w:r>
      <w:r w:rsidRPr="00D317BA">
        <w:rPr>
          <w:rFonts w:ascii="Palatino Linotype" w:hAnsi="Palatino Linotype" w:cs="Arial"/>
          <w:lang w:val="es-ES"/>
        </w:rPr>
        <w:t xml:space="preserve">se procede a dictar la presente resolución con base en lo siguiente: </w:t>
      </w:r>
    </w:p>
    <w:p w14:paraId="5168B32B" w14:textId="77777777" w:rsidR="00F72BC1" w:rsidRPr="00D317BA" w:rsidRDefault="00F72BC1" w:rsidP="00F72BC1">
      <w:pPr>
        <w:spacing w:line="360" w:lineRule="auto"/>
        <w:jc w:val="center"/>
        <w:rPr>
          <w:rFonts w:ascii="Palatino Linotype" w:hAnsi="Palatino Linotype" w:cs="Arial"/>
          <w:b/>
          <w:bCs/>
          <w:spacing w:val="60"/>
          <w:sz w:val="28"/>
          <w:szCs w:val="28"/>
        </w:rPr>
      </w:pPr>
      <w:r w:rsidRPr="00D317BA">
        <w:rPr>
          <w:rFonts w:ascii="Palatino Linotype" w:hAnsi="Palatino Linotype" w:cs="Arial"/>
          <w:b/>
          <w:bCs/>
          <w:spacing w:val="60"/>
          <w:sz w:val="28"/>
          <w:szCs w:val="28"/>
        </w:rPr>
        <w:t>RESULTANDO</w:t>
      </w:r>
    </w:p>
    <w:p w14:paraId="38AE577B" w14:textId="77777777" w:rsidR="00F72BC1" w:rsidRPr="00D317BA" w:rsidRDefault="00F72BC1" w:rsidP="00F72BC1">
      <w:pPr>
        <w:spacing w:before="100" w:beforeAutospacing="1" w:after="100" w:afterAutospacing="1" w:line="360" w:lineRule="auto"/>
        <w:jc w:val="both"/>
        <w:rPr>
          <w:rFonts w:ascii="Palatino Linotype" w:eastAsia="MS Mincho" w:hAnsi="Palatino Linotype" w:cs="Arial"/>
        </w:rPr>
      </w:pPr>
      <w:r w:rsidRPr="00D317BA">
        <w:rPr>
          <w:rFonts w:ascii="Palatino Linotype" w:eastAsia="MS Mincho" w:hAnsi="Palatino Linotype" w:cs="Arial"/>
          <w:b/>
          <w:sz w:val="28"/>
          <w:szCs w:val="28"/>
        </w:rPr>
        <w:t>I</w:t>
      </w:r>
      <w:r w:rsidRPr="00D317BA">
        <w:rPr>
          <w:rFonts w:ascii="Palatino Linotype" w:eastAsia="MS Mincho" w:hAnsi="Palatino Linotype" w:cs="Arial"/>
          <w:b/>
        </w:rPr>
        <w:t xml:space="preserve">. </w:t>
      </w:r>
      <w:r w:rsidRPr="00D317BA">
        <w:rPr>
          <w:rFonts w:ascii="Palatino Linotype" w:eastAsia="MS Mincho" w:hAnsi="Palatino Linotype" w:cs="Arial"/>
        </w:rPr>
        <w:t xml:space="preserve">En fecha </w:t>
      </w:r>
      <w:r w:rsidR="0051455B" w:rsidRPr="00D317BA">
        <w:rPr>
          <w:rFonts w:ascii="Palatino Linotype" w:eastAsia="MS Mincho" w:hAnsi="Palatino Linotype" w:cs="Arial"/>
        </w:rPr>
        <w:t xml:space="preserve">dieciséis de febrero de </w:t>
      </w:r>
      <w:r w:rsidRPr="00D317BA">
        <w:rPr>
          <w:rFonts w:ascii="Palatino Linotype" w:eastAsia="MS Mincho" w:hAnsi="Palatino Linotype" w:cs="Arial"/>
        </w:rPr>
        <w:t xml:space="preserve">dos mil veinte, </w:t>
      </w:r>
      <w:r w:rsidRPr="00D317BA">
        <w:rPr>
          <w:rFonts w:ascii="Palatino Linotype" w:eastAsia="MS Mincho" w:hAnsi="Palatino Linotype" w:cs="Arial"/>
          <w:b/>
        </w:rPr>
        <w:t>EL RECURRENTE</w:t>
      </w:r>
      <w:r w:rsidRPr="00D317BA">
        <w:rPr>
          <w:rFonts w:ascii="Palatino Linotype" w:eastAsia="MS Mincho" w:hAnsi="Palatino Linotype" w:cs="Arial"/>
        </w:rPr>
        <w:t xml:space="preserve"> presentó a través del Sistema de Acceso a la Información Mexiquense</w:t>
      </w:r>
      <w:r w:rsidRPr="00D317BA">
        <w:rPr>
          <w:rFonts w:ascii="Palatino Linotype" w:eastAsia="MS Mincho" w:hAnsi="Palatino Linotype"/>
        </w:rPr>
        <w:t xml:space="preserve">, en lo subsecuente </w:t>
      </w:r>
      <w:r w:rsidRPr="00D317BA">
        <w:rPr>
          <w:rFonts w:ascii="Palatino Linotype" w:eastAsia="MS Mincho" w:hAnsi="Palatino Linotype" w:cs="Arial"/>
          <w:b/>
        </w:rPr>
        <w:t>EL SAIMEX</w:t>
      </w:r>
      <w:r w:rsidRPr="00D317BA">
        <w:rPr>
          <w:rFonts w:ascii="Palatino Linotype" w:eastAsia="MS Mincho" w:hAnsi="Palatino Linotype" w:cs="Arial"/>
        </w:rPr>
        <w:t xml:space="preserve"> ante </w:t>
      </w:r>
      <w:r w:rsidRPr="00D317BA">
        <w:rPr>
          <w:rFonts w:ascii="Palatino Linotype" w:eastAsia="MS Mincho" w:hAnsi="Palatino Linotype" w:cs="Arial"/>
          <w:b/>
        </w:rPr>
        <w:t>EL SUJETO OBLIGADO</w:t>
      </w:r>
      <w:r w:rsidRPr="00D317BA">
        <w:rPr>
          <w:rFonts w:ascii="Palatino Linotype" w:eastAsia="MS Mincho" w:hAnsi="Palatino Linotype" w:cs="Arial"/>
        </w:rPr>
        <w:t xml:space="preserve">, las solicitudes de acceso a la información pública, a las que se le asignó los números de expedientes </w:t>
      </w:r>
      <w:r w:rsidR="0051455B" w:rsidRPr="00D317BA">
        <w:rPr>
          <w:rFonts w:ascii="Palatino Linotype" w:eastAsia="MS Mincho" w:hAnsi="Palatino Linotype" w:cs="Arial"/>
          <w:b/>
        </w:rPr>
        <w:t>00008/TONATICO/IP/2021</w:t>
      </w:r>
      <w:r w:rsidRPr="00D317BA">
        <w:rPr>
          <w:rFonts w:ascii="Palatino Linotype" w:eastAsia="MS Mincho" w:hAnsi="Palatino Linotype" w:cs="Arial"/>
          <w:b/>
        </w:rPr>
        <w:t xml:space="preserve"> </w:t>
      </w:r>
      <w:r w:rsidRPr="00D317BA">
        <w:rPr>
          <w:rFonts w:ascii="Palatino Linotype" w:eastAsia="MS Mincho" w:hAnsi="Palatino Linotype" w:cs="Arial"/>
        </w:rPr>
        <w:t xml:space="preserve">y </w:t>
      </w:r>
      <w:r w:rsidR="00A06318" w:rsidRPr="00D317BA">
        <w:rPr>
          <w:rFonts w:ascii="Palatino Linotype" w:eastAsia="MS Mincho" w:hAnsi="Palatino Linotype" w:cs="Arial"/>
          <w:b/>
        </w:rPr>
        <w:t>00009/TONATICO/IP/2021</w:t>
      </w:r>
      <w:r w:rsidRPr="00D317BA">
        <w:rPr>
          <w:rFonts w:ascii="Palatino Linotype" w:eastAsia="MS Mincho" w:hAnsi="Palatino Linotype" w:cs="Arial"/>
        </w:rPr>
        <w:t xml:space="preserve">, </w:t>
      </w:r>
      <w:r w:rsidRPr="00D317BA">
        <w:rPr>
          <w:rFonts w:ascii="Palatino Linotype" w:eastAsia="MS Mincho" w:hAnsi="Palatino Linotype" w:cs="Arial"/>
          <w:bCs/>
        </w:rPr>
        <w:t>por medio de las cuales le requirió</w:t>
      </w:r>
      <w:r w:rsidRPr="00D317BA">
        <w:rPr>
          <w:rFonts w:ascii="Palatino Linotype" w:eastAsia="MS Mincho" w:hAnsi="Palatino Linotype" w:cs="Arial"/>
        </w:rPr>
        <w:t>:</w:t>
      </w:r>
    </w:p>
    <w:p w14:paraId="135EE1E1" w14:textId="77777777" w:rsidR="0051455B" w:rsidRPr="00D317BA" w:rsidRDefault="0051455B" w:rsidP="00F72BC1">
      <w:pPr>
        <w:tabs>
          <w:tab w:val="left" w:pos="851"/>
        </w:tabs>
        <w:ind w:left="851" w:right="901"/>
        <w:jc w:val="both"/>
        <w:rPr>
          <w:rFonts w:ascii="Palatino Linotype" w:eastAsia="MS Mincho" w:hAnsi="Palatino Linotype" w:cs="Arial"/>
          <w:i/>
          <w:sz w:val="22"/>
        </w:rPr>
      </w:pPr>
      <w:r w:rsidRPr="00D317BA">
        <w:rPr>
          <w:rFonts w:ascii="Palatino Linotype" w:eastAsia="MS Mincho" w:hAnsi="Palatino Linotype" w:cs="Arial"/>
          <w:b/>
        </w:rPr>
        <w:t>00008/TONATICO/IP/2021</w:t>
      </w:r>
      <w:r w:rsidRPr="00D317BA">
        <w:rPr>
          <w:rFonts w:ascii="Palatino Linotype" w:eastAsia="MS Mincho" w:hAnsi="Palatino Linotype" w:cs="Arial"/>
          <w:i/>
          <w:sz w:val="22"/>
        </w:rPr>
        <w:t xml:space="preserve"> </w:t>
      </w:r>
    </w:p>
    <w:p w14:paraId="3A0C2033" w14:textId="77777777" w:rsidR="00F72BC1" w:rsidRPr="00D317BA" w:rsidRDefault="00F72BC1" w:rsidP="00F72BC1">
      <w:pPr>
        <w:tabs>
          <w:tab w:val="left" w:pos="851"/>
        </w:tabs>
        <w:ind w:left="851" w:right="901"/>
        <w:jc w:val="both"/>
        <w:rPr>
          <w:rFonts w:ascii="Palatino Linotype" w:eastAsia="MS Mincho" w:hAnsi="Palatino Linotype" w:cs="Arial"/>
          <w:i/>
          <w:sz w:val="22"/>
        </w:rPr>
      </w:pPr>
      <w:r w:rsidRPr="00D317BA">
        <w:rPr>
          <w:rFonts w:ascii="Palatino Linotype" w:eastAsia="MS Mincho" w:hAnsi="Palatino Linotype" w:cs="Arial"/>
          <w:i/>
          <w:sz w:val="22"/>
        </w:rPr>
        <w:t>“</w:t>
      </w:r>
      <w:r w:rsidR="0051455B" w:rsidRPr="00D317BA">
        <w:rPr>
          <w:rFonts w:ascii="Palatino Linotype" w:eastAsia="MS Mincho" w:hAnsi="Palatino Linotype" w:cs="Arial"/>
          <w:i/>
          <w:sz w:val="22"/>
        </w:rPr>
        <w:t>Durante los ejercicios fiscales 2019 y 2020 cuántos y cuáles fueron los vehículos de uso operativo, señalando la marca, modelo, tipo y placas</w:t>
      </w:r>
      <w:r w:rsidRPr="00D317BA">
        <w:rPr>
          <w:rFonts w:ascii="Palatino Linotype" w:eastAsia="MS Mincho" w:hAnsi="Palatino Linotype" w:cs="Arial"/>
          <w:i/>
          <w:sz w:val="22"/>
        </w:rPr>
        <w:t>.” (sic)</w:t>
      </w:r>
    </w:p>
    <w:p w14:paraId="7E3C057D" w14:textId="77777777" w:rsidR="00F72BC1" w:rsidRPr="00D317BA" w:rsidRDefault="00F72BC1" w:rsidP="00F72BC1">
      <w:pPr>
        <w:tabs>
          <w:tab w:val="left" w:pos="851"/>
        </w:tabs>
        <w:ind w:left="851" w:right="901"/>
        <w:jc w:val="both"/>
        <w:rPr>
          <w:rFonts w:ascii="Palatino Linotype" w:eastAsia="MS Mincho" w:hAnsi="Palatino Linotype" w:cs="Arial"/>
          <w:i/>
          <w:sz w:val="22"/>
        </w:rPr>
      </w:pPr>
    </w:p>
    <w:p w14:paraId="5FAB78C1" w14:textId="77777777" w:rsidR="00F72BC1" w:rsidRPr="00D317BA" w:rsidRDefault="00A06318" w:rsidP="00F72BC1">
      <w:pPr>
        <w:tabs>
          <w:tab w:val="left" w:pos="851"/>
        </w:tabs>
        <w:ind w:left="851" w:right="901"/>
        <w:jc w:val="both"/>
        <w:rPr>
          <w:rFonts w:ascii="Palatino Linotype" w:eastAsia="MS Mincho" w:hAnsi="Palatino Linotype" w:cs="Arial"/>
          <w:b/>
        </w:rPr>
      </w:pPr>
      <w:r w:rsidRPr="00D317BA">
        <w:rPr>
          <w:rFonts w:ascii="Palatino Linotype" w:eastAsia="MS Mincho" w:hAnsi="Palatino Linotype" w:cs="Arial"/>
          <w:b/>
        </w:rPr>
        <w:t>00009/TONATICO/IP/2021</w:t>
      </w:r>
    </w:p>
    <w:p w14:paraId="50447721" w14:textId="77777777" w:rsidR="00F72BC1" w:rsidRPr="00D317BA" w:rsidRDefault="00F72BC1" w:rsidP="00F72BC1">
      <w:pPr>
        <w:tabs>
          <w:tab w:val="left" w:pos="851"/>
        </w:tabs>
        <w:ind w:left="851" w:right="901"/>
        <w:jc w:val="both"/>
        <w:rPr>
          <w:rFonts w:ascii="Palatino Linotype" w:eastAsia="MS Mincho" w:hAnsi="Palatino Linotype" w:cs="Arial"/>
          <w:i/>
          <w:sz w:val="22"/>
        </w:rPr>
      </w:pPr>
      <w:r w:rsidRPr="00D317BA">
        <w:rPr>
          <w:rFonts w:ascii="Palatino Linotype" w:eastAsia="MS Mincho" w:hAnsi="Palatino Linotype" w:cs="Arial"/>
          <w:i/>
          <w:sz w:val="22"/>
        </w:rPr>
        <w:t>“</w:t>
      </w:r>
      <w:r w:rsidR="00A06318" w:rsidRPr="00D317BA">
        <w:rPr>
          <w:rFonts w:ascii="Palatino Linotype" w:eastAsia="MS Mincho" w:hAnsi="Palatino Linotype" w:cs="Arial"/>
          <w:i/>
          <w:sz w:val="22"/>
        </w:rPr>
        <w:t>Durante los ejercicios 2019 y 2020 señala cual fue la distribución de combustible por vehículo tanto de asignación directa como operativo, señalando la marca, modelo, tipo, placas y a quien está asignado y a qué oficina pertenece.</w:t>
      </w:r>
      <w:r w:rsidRPr="00D317BA">
        <w:rPr>
          <w:rFonts w:ascii="Palatino Linotype" w:eastAsia="MS Mincho" w:hAnsi="Palatino Linotype" w:cs="Arial"/>
          <w:i/>
          <w:sz w:val="22"/>
        </w:rPr>
        <w:t>.” (Sic)</w:t>
      </w:r>
    </w:p>
    <w:p w14:paraId="6D9AFFDB" w14:textId="77777777" w:rsidR="00F72BC1" w:rsidRPr="00D317BA" w:rsidRDefault="00F72BC1" w:rsidP="00F72BC1">
      <w:pPr>
        <w:spacing w:before="100" w:beforeAutospacing="1" w:after="100" w:afterAutospacing="1" w:line="360" w:lineRule="auto"/>
        <w:jc w:val="both"/>
        <w:rPr>
          <w:rFonts w:ascii="Palatino Linotype" w:hAnsi="Palatino Linotype" w:cs="Arial"/>
          <w:b/>
        </w:rPr>
      </w:pPr>
      <w:r w:rsidRPr="00D317BA">
        <w:rPr>
          <w:rFonts w:ascii="Palatino Linotype" w:hAnsi="Palatino Linotype" w:cs="Arial"/>
          <w:b/>
        </w:rPr>
        <w:t>MODALIDAD DE ENTREGA:</w:t>
      </w:r>
      <w:r w:rsidRPr="00D317BA">
        <w:rPr>
          <w:rFonts w:ascii="Palatino Linotype" w:hAnsi="Palatino Linotype" w:cs="Arial"/>
        </w:rPr>
        <w:t xml:space="preserve"> Vía </w:t>
      </w:r>
      <w:r w:rsidRPr="00D317BA">
        <w:rPr>
          <w:rFonts w:ascii="Palatino Linotype" w:hAnsi="Palatino Linotype" w:cs="Arial"/>
          <w:b/>
        </w:rPr>
        <w:t>SAIMEX.</w:t>
      </w:r>
    </w:p>
    <w:p w14:paraId="6E5670B6" w14:textId="77777777" w:rsidR="0051455B" w:rsidRPr="00D317BA" w:rsidRDefault="00F72BC1" w:rsidP="0051455B">
      <w:pPr>
        <w:pStyle w:val="Prrafodelista"/>
        <w:tabs>
          <w:tab w:val="left" w:pos="709"/>
        </w:tabs>
        <w:spacing w:before="100" w:beforeAutospacing="1" w:after="100" w:afterAutospacing="1" w:line="360" w:lineRule="auto"/>
        <w:ind w:left="0"/>
        <w:jc w:val="both"/>
        <w:rPr>
          <w:rFonts w:ascii="Palatino Linotype" w:hAnsi="Palatino Linotype"/>
          <w:bCs/>
          <w:color w:val="000000" w:themeColor="text1"/>
        </w:rPr>
      </w:pPr>
      <w:r w:rsidRPr="00D317BA">
        <w:rPr>
          <w:rFonts w:ascii="Palatino Linotype" w:eastAsia="Calibri" w:hAnsi="Palatino Linotype" w:cs="Arial"/>
          <w:b/>
          <w:bCs/>
          <w:sz w:val="28"/>
          <w:lang w:val="es-ES" w:eastAsia="en-US"/>
        </w:rPr>
        <w:lastRenderedPageBreak/>
        <w:t>II</w:t>
      </w:r>
      <w:r w:rsidRPr="00D317BA">
        <w:rPr>
          <w:rFonts w:ascii="Palatino Linotype" w:eastAsia="Calibri" w:hAnsi="Palatino Linotype" w:cs="Arial"/>
          <w:b/>
          <w:bCs/>
          <w:lang w:val="es-ES" w:eastAsia="en-US"/>
        </w:rPr>
        <w:t>.</w:t>
      </w:r>
      <w:r w:rsidRPr="00D317BA">
        <w:rPr>
          <w:rFonts w:ascii="Palatino Linotype" w:eastAsia="Calibri" w:hAnsi="Palatino Linotype" w:cs="Arial"/>
          <w:lang w:val="es-ES" w:eastAsia="en-US"/>
        </w:rPr>
        <w:t xml:space="preserve"> </w:t>
      </w:r>
      <w:r w:rsidR="0051455B" w:rsidRPr="00D317BA">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dieciocho de febrero de dos mil veintiuno, la Titular de la Unidad de Transparencia del </w:t>
      </w:r>
      <w:r w:rsidR="0051455B" w:rsidRPr="00D317BA">
        <w:rPr>
          <w:rFonts w:ascii="Palatino Linotype" w:hAnsi="Palatino Linotype" w:cs="Arial"/>
          <w:b/>
          <w:color w:val="000000" w:themeColor="text1"/>
        </w:rPr>
        <w:t>SUJETO OBLIGADO</w:t>
      </w:r>
      <w:r w:rsidR="0051455B" w:rsidRPr="00D317BA">
        <w:rPr>
          <w:rFonts w:ascii="Palatino Linotype" w:hAnsi="Palatino Linotype" w:cs="Arial"/>
          <w:color w:val="000000" w:themeColor="text1"/>
        </w:rPr>
        <w:t xml:space="preserve">, </w:t>
      </w:r>
      <w:r w:rsidR="0051455B" w:rsidRPr="00D317BA">
        <w:rPr>
          <w:rFonts w:ascii="Palatino Linotype" w:hAnsi="Palatino Linotype"/>
          <w:bCs/>
          <w:color w:val="000000" w:themeColor="text1"/>
        </w:rPr>
        <w:t xml:space="preserve">habilitó el apartado de requerimientos, turnando la solicitud de información a la Servidora Pública Habilitada que estimó competente; </w:t>
      </w:r>
      <w:r w:rsidR="0051455B" w:rsidRPr="00D317BA">
        <w:rPr>
          <w:rFonts w:ascii="Palatino Linotype" w:hAnsi="Palatino Linotype" w:cs="Arial"/>
          <w:color w:val="000000" w:themeColor="text1"/>
        </w:rPr>
        <w:t>tal como se aprecia enseguida:</w:t>
      </w:r>
    </w:p>
    <w:p w14:paraId="052EF593" w14:textId="77777777" w:rsidR="0051455B" w:rsidRPr="00D317BA" w:rsidRDefault="0051455B" w:rsidP="0051455B">
      <w:pPr>
        <w:spacing w:before="100" w:beforeAutospacing="1" w:after="100" w:afterAutospacing="1" w:line="360" w:lineRule="auto"/>
        <w:jc w:val="center"/>
        <w:rPr>
          <w:rFonts w:ascii="Palatino Linotype" w:eastAsia="Calibri" w:hAnsi="Palatino Linotype" w:cs="Arial"/>
          <w:lang w:val="es-ES" w:eastAsia="en-US"/>
        </w:rPr>
      </w:pPr>
      <w:r w:rsidRPr="00D317BA">
        <w:rPr>
          <w:noProof/>
          <w:lang w:eastAsia="es-MX"/>
        </w:rPr>
        <w:drawing>
          <wp:inline distT="0" distB="0" distL="0" distR="0" wp14:anchorId="4D6C666B" wp14:editId="52A1E3E6">
            <wp:extent cx="5546919" cy="445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01" t="39204" r="9050" b="48394"/>
                    <a:stretch/>
                  </pic:blipFill>
                  <pic:spPr bwMode="auto">
                    <a:xfrm>
                      <a:off x="0" y="0"/>
                      <a:ext cx="5585898" cy="4484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8FBAD3" w14:textId="77777777" w:rsidR="00A06318" w:rsidRPr="00D317BA" w:rsidRDefault="00A06318" w:rsidP="0051455B">
      <w:pPr>
        <w:spacing w:before="100" w:beforeAutospacing="1" w:after="100" w:afterAutospacing="1" w:line="360" w:lineRule="auto"/>
        <w:jc w:val="center"/>
        <w:rPr>
          <w:rFonts w:ascii="Palatino Linotype" w:eastAsia="Calibri" w:hAnsi="Palatino Linotype" w:cs="Arial"/>
          <w:lang w:val="es-ES" w:eastAsia="en-US"/>
        </w:rPr>
      </w:pPr>
      <w:r w:rsidRPr="00D317BA">
        <w:rPr>
          <w:noProof/>
          <w:lang w:eastAsia="es-MX"/>
        </w:rPr>
        <w:drawing>
          <wp:inline distT="0" distB="0" distL="0" distR="0" wp14:anchorId="27B0BDE8" wp14:editId="42722E78">
            <wp:extent cx="5543550" cy="615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84" t="39782" r="6809" b="42667"/>
                    <a:stretch/>
                  </pic:blipFill>
                  <pic:spPr bwMode="auto">
                    <a:xfrm>
                      <a:off x="0" y="0"/>
                      <a:ext cx="5549022" cy="6165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FF3A39" w14:textId="77777777" w:rsidR="00F72BC1" w:rsidRPr="00D317BA" w:rsidRDefault="0051455B"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b/>
          <w:sz w:val="28"/>
          <w:szCs w:val="28"/>
        </w:rPr>
        <w:t>III.</w:t>
      </w:r>
      <w:r w:rsidRPr="00D317BA">
        <w:rPr>
          <w:rFonts w:ascii="Palatino Linotype" w:hAnsi="Palatino Linotype" w:cs="Arial"/>
        </w:rPr>
        <w:t xml:space="preserve"> </w:t>
      </w:r>
      <w:r w:rsidR="00F72BC1" w:rsidRPr="00D317BA">
        <w:rPr>
          <w:rFonts w:ascii="Palatino Linotype" w:hAnsi="Palatino Linotype" w:cs="Arial"/>
        </w:rPr>
        <w:t xml:space="preserve">De las constancias que obran en el </w:t>
      </w:r>
      <w:r w:rsidR="00F72BC1" w:rsidRPr="00D317BA">
        <w:rPr>
          <w:rFonts w:ascii="Palatino Linotype" w:hAnsi="Palatino Linotype" w:cs="Arial"/>
          <w:b/>
        </w:rPr>
        <w:t>SAIMEX</w:t>
      </w:r>
      <w:r w:rsidR="00F72BC1" w:rsidRPr="00D317BA">
        <w:rPr>
          <w:rFonts w:ascii="Palatino Linotype" w:hAnsi="Palatino Linotype" w:cs="Arial"/>
        </w:rPr>
        <w:t xml:space="preserve"> se puede advertir que </w:t>
      </w:r>
      <w:r w:rsidR="00F72BC1" w:rsidRPr="00D317BA">
        <w:rPr>
          <w:rFonts w:ascii="Palatino Linotype" w:hAnsi="Palatino Linotype" w:cs="Arial"/>
          <w:b/>
        </w:rPr>
        <w:t xml:space="preserve">EL SUJETO OBLIGADO </w:t>
      </w:r>
      <w:r w:rsidR="00F72BC1" w:rsidRPr="00D317BA">
        <w:rPr>
          <w:rFonts w:ascii="Palatino Linotype" w:hAnsi="Palatino Linotype" w:cs="Arial"/>
        </w:rPr>
        <w:t>fue omiso en dar respuesta a las solicitudes de información que le fueron planteadas por el particular.</w:t>
      </w:r>
    </w:p>
    <w:p w14:paraId="4B696310" w14:textId="77777777" w:rsidR="00F72BC1" w:rsidRPr="00D317BA" w:rsidRDefault="00746129"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b/>
          <w:sz w:val="28"/>
        </w:rPr>
        <w:t>IV</w:t>
      </w:r>
      <w:r w:rsidR="00F72BC1" w:rsidRPr="00D317BA">
        <w:rPr>
          <w:rFonts w:ascii="Palatino Linotype" w:hAnsi="Palatino Linotype"/>
          <w:bCs/>
          <w:szCs w:val="22"/>
        </w:rPr>
        <w:t xml:space="preserve">. </w:t>
      </w:r>
      <w:r w:rsidR="00F72BC1" w:rsidRPr="00D317BA">
        <w:rPr>
          <w:rFonts w:ascii="Palatino Linotype" w:hAnsi="Palatino Linotype" w:cs="Arial"/>
        </w:rPr>
        <w:t>Inconforme por la falta de respuestas del</w:t>
      </w:r>
      <w:r w:rsidR="00F72BC1" w:rsidRPr="00D317BA">
        <w:rPr>
          <w:rFonts w:ascii="Palatino Linotype" w:hAnsi="Palatino Linotype" w:cs="Arial"/>
          <w:b/>
        </w:rPr>
        <w:t xml:space="preserve"> SUJETO OBLIGADO</w:t>
      </w:r>
      <w:r w:rsidR="00F72BC1" w:rsidRPr="00D317BA">
        <w:rPr>
          <w:rFonts w:ascii="Palatino Linotype" w:hAnsi="Palatino Linotype" w:cs="Arial"/>
        </w:rPr>
        <w:t xml:space="preserve">, el </w:t>
      </w:r>
      <w:bookmarkStart w:id="0" w:name="_Hlk55315936"/>
      <w:r w:rsidRPr="00D317BA">
        <w:rPr>
          <w:rFonts w:ascii="Palatino Linotype" w:hAnsi="Palatino Linotype" w:cs="Arial"/>
        </w:rPr>
        <w:t xml:space="preserve">dieciséis de marzo de dos mil veintiuno, </w:t>
      </w:r>
      <w:bookmarkEnd w:id="0"/>
      <w:r w:rsidR="00F72BC1" w:rsidRPr="00D317BA">
        <w:rPr>
          <w:rFonts w:ascii="Palatino Linotype" w:hAnsi="Palatino Linotype" w:cs="Arial"/>
          <w:b/>
        </w:rPr>
        <w:t>EL RECURRENTE</w:t>
      </w:r>
      <w:r w:rsidR="00F72BC1" w:rsidRPr="00D317BA">
        <w:rPr>
          <w:rFonts w:ascii="Palatino Linotype" w:hAnsi="Palatino Linotype" w:cs="Arial"/>
        </w:rPr>
        <w:t xml:space="preserve"> interpuso los recursos de revisión sujetos del presente estudio, los cuales fueron registrados en </w:t>
      </w:r>
      <w:r w:rsidR="00F72BC1" w:rsidRPr="00D317BA">
        <w:rPr>
          <w:rFonts w:ascii="Palatino Linotype" w:hAnsi="Palatino Linotype" w:cs="Arial"/>
          <w:b/>
        </w:rPr>
        <w:t>EL SAIMEX</w:t>
      </w:r>
      <w:r w:rsidR="00F72BC1" w:rsidRPr="00D317BA">
        <w:rPr>
          <w:rFonts w:ascii="Palatino Linotype" w:hAnsi="Palatino Linotype" w:cs="Arial"/>
        </w:rPr>
        <w:t xml:space="preserve"> y se les asignó los números de expedientes </w:t>
      </w:r>
      <w:r w:rsidR="00F72BC1" w:rsidRPr="00D317BA">
        <w:rPr>
          <w:rFonts w:ascii="Palatino Linotype" w:hAnsi="Palatino Linotype" w:cs="Arial"/>
          <w:b/>
        </w:rPr>
        <w:t>0</w:t>
      </w:r>
      <w:r w:rsidRPr="00D317BA">
        <w:rPr>
          <w:rFonts w:ascii="Palatino Linotype" w:hAnsi="Palatino Linotype" w:cs="Arial"/>
          <w:b/>
        </w:rPr>
        <w:t>1147</w:t>
      </w:r>
      <w:r w:rsidR="00F72BC1" w:rsidRPr="00D317BA">
        <w:rPr>
          <w:rFonts w:ascii="Palatino Linotype" w:hAnsi="Palatino Linotype" w:cs="Arial"/>
          <w:b/>
        </w:rPr>
        <w:t>/INFOEM/IP/RR/202</w:t>
      </w:r>
      <w:r w:rsidRPr="00D317BA">
        <w:rPr>
          <w:rFonts w:ascii="Palatino Linotype" w:hAnsi="Palatino Linotype" w:cs="Arial"/>
          <w:b/>
        </w:rPr>
        <w:t>1</w:t>
      </w:r>
      <w:r w:rsidR="00F72BC1" w:rsidRPr="00D317BA">
        <w:rPr>
          <w:rFonts w:ascii="Palatino Linotype" w:hAnsi="Palatino Linotype" w:cs="Arial"/>
          <w:b/>
        </w:rPr>
        <w:t xml:space="preserve"> </w:t>
      </w:r>
      <w:r w:rsidR="00F72BC1" w:rsidRPr="00D317BA">
        <w:rPr>
          <w:rFonts w:ascii="Palatino Linotype" w:hAnsi="Palatino Linotype" w:cs="Arial"/>
        </w:rPr>
        <w:t xml:space="preserve">y </w:t>
      </w:r>
      <w:r w:rsidRPr="00D317BA">
        <w:rPr>
          <w:rFonts w:ascii="Palatino Linotype" w:hAnsi="Palatino Linotype" w:cs="Arial"/>
          <w:b/>
        </w:rPr>
        <w:t>01148/INFOEM/IP/RR/2021</w:t>
      </w:r>
      <w:r w:rsidR="00F72BC1" w:rsidRPr="00D317BA">
        <w:rPr>
          <w:rFonts w:ascii="Palatino Linotype" w:hAnsi="Palatino Linotype" w:cs="Arial"/>
          <w:b/>
        </w:rPr>
        <w:t>,</w:t>
      </w:r>
      <w:r w:rsidR="00F72BC1" w:rsidRPr="00D317BA">
        <w:rPr>
          <w:rFonts w:ascii="Palatino Linotype" w:hAnsi="Palatino Linotype" w:cs="Arial"/>
        </w:rPr>
        <w:t xml:space="preserve"> en los que señaló como actos impugnados:</w:t>
      </w:r>
    </w:p>
    <w:p w14:paraId="250A4C28" w14:textId="77777777" w:rsidR="00F72BC1" w:rsidRPr="00D317BA" w:rsidRDefault="00F72BC1" w:rsidP="00F72BC1">
      <w:pPr>
        <w:ind w:left="851"/>
        <w:jc w:val="both"/>
        <w:rPr>
          <w:rFonts w:ascii="Palatino Linotype" w:hAnsi="Palatino Linotype" w:cs="Arial"/>
          <w:i/>
          <w:iCs/>
          <w:sz w:val="22"/>
          <w:szCs w:val="22"/>
        </w:rPr>
      </w:pPr>
      <w:r w:rsidRPr="00D317BA">
        <w:rPr>
          <w:rFonts w:ascii="Palatino Linotype" w:hAnsi="Palatino Linotype" w:cs="Arial"/>
          <w:b/>
        </w:rPr>
        <w:t>0</w:t>
      </w:r>
      <w:r w:rsidR="00746129" w:rsidRPr="00D317BA">
        <w:rPr>
          <w:rFonts w:ascii="Palatino Linotype" w:hAnsi="Palatino Linotype" w:cs="Arial"/>
          <w:b/>
        </w:rPr>
        <w:t>1147</w:t>
      </w:r>
      <w:r w:rsidRPr="00D317BA">
        <w:rPr>
          <w:rFonts w:ascii="Palatino Linotype" w:hAnsi="Palatino Linotype" w:cs="Arial"/>
          <w:b/>
        </w:rPr>
        <w:t>/INFOEM/IP/RR/202</w:t>
      </w:r>
      <w:r w:rsidR="00746129" w:rsidRPr="00D317BA">
        <w:rPr>
          <w:rFonts w:ascii="Palatino Linotype" w:hAnsi="Palatino Linotype" w:cs="Arial"/>
          <w:b/>
        </w:rPr>
        <w:t>1</w:t>
      </w:r>
    </w:p>
    <w:p w14:paraId="1718713A" w14:textId="77777777" w:rsidR="00F72BC1" w:rsidRPr="00D317BA" w:rsidRDefault="00F72BC1" w:rsidP="00F72BC1">
      <w:pPr>
        <w:ind w:left="851"/>
        <w:jc w:val="both"/>
        <w:rPr>
          <w:rFonts w:ascii="Palatino Linotype" w:hAnsi="Palatino Linotype" w:cs="Arial"/>
          <w:i/>
          <w:iCs/>
          <w:sz w:val="22"/>
          <w:szCs w:val="22"/>
        </w:rPr>
      </w:pPr>
      <w:r w:rsidRPr="00D317BA">
        <w:rPr>
          <w:rFonts w:ascii="Palatino Linotype" w:hAnsi="Palatino Linotype" w:cs="Arial"/>
          <w:i/>
          <w:iCs/>
          <w:sz w:val="22"/>
          <w:szCs w:val="22"/>
        </w:rPr>
        <w:t>“</w:t>
      </w:r>
      <w:r w:rsidR="00746129" w:rsidRPr="00D317BA">
        <w:rPr>
          <w:rFonts w:ascii="Palatino Linotype" w:hAnsi="Palatino Linotype" w:cs="Arial"/>
          <w:i/>
          <w:iCs/>
          <w:sz w:val="22"/>
          <w:szCs w:val="22"/>
        </w:rPr>
        <w:t>falta de respuesta</w:t>
      </w:r>
      <w:r w:rsidRPr="00D317BA">
        <w:rPr>
          <w:rFonts w:ascii="Palatino Linotype" w:hAnsi="Palatino Linotype" w:cs="Arial"/>
          <w:i/>
          <w:iCs/>
          <w:sz w:val="22"/>
          <w:szCs w:val="22"/>
        </w:rPr>
        <w:t>.” (Sic)</w:t>
      </w:r>
    </w:p>
    <w:p w14:paraId="1FBC779E" w14:textId="77777777" w:rsidR="00F72BC1" w:rsidRPr="00D317BA" w:rsidRDefault="00F72BC1" w:rsidP="00F72BC1">
      <w:pPr>
        <w:ind w:left="851"/>
        <w:jc w:val="both"/>
        <w:rPr>
          <w:rFonts w:ascii="Palatino Linotype" w:hAnsi="Palatino Linotype" w:cs="Arial"/>
          <w:b/>
        </w:rPr>
      </w:pPr>
    </w:p>
    <w:p w14:paraId="1C45AF0F" w14:textId="77777777" w:rsidR="00F72BC1" w:rsidRPr="00D317BA" w:rsidRDefault="00746129" w:rsidP="00F72BC1">
      <w:pPr>
        <w:ind w:left="851"/>
        <w:jc w:val="both"/>
        <w:rPr>
          <w:rFonts w:ascii="Palatino Linotype" w:hAnsi="Palatino Linotype" w:cs="Arial"/>
          <w:b/>
        </w:rPr>
      </w:pPr>
      <w:r w:rsidRPr="00D317BA">
        <w:rPr>
          <w:rFonts w:ascii="Palatino Linotype" w:hAnsi="Palatino Linotype" w:cs="Arial"/>
          <w:b/>
        </w:rPr>
        <w:lastRenderedPageBreak/>
        <w:t>01148/INFOEM/IP/RR/2021</w:t>
      </w:r>
    </w:p>
    <w:p w14:paraId="385990F1" w14:textId="77777777" w:rsidR="00F72BC1" w:rsidRPr="00D317BA" w:rsidRDefault="00F72BC1" w:rsidP="00F72BC1">
      <w:pPr>
        <w:ind w:left="851"/>
        <w:jc w:val="both"/>
        <w:rPr>
          <w:rFonts w:ascii="Palatino Linotype" w:hAnsi="Palatino Linotype" w:cs="Arial"/>
          <w:i/>
          <w:iCs/>
          <w:sz w:val="22"/>
          <w:szCs w:val="22"/>
        </w:rPr>
      </w:pPr>
      <w:r w:rsidRPr="00D317BA">
        <w:rPr>
          <w:rFonts w:ascii="Palatino Linotype" w:hAnsi="Palatino Linotype" w:cs="Arial"/>
          <w:i/>
          <w:iCs/>
          <w:sz w:val="22"/>
          <w:szCs w:val="22"/>
        </w:rPr>
        <w:t>“</w:t>
      </w:r>
      <w:r w:rsidR="00A06318" w:rsidRPr="00D317BA">
        <w:rPr>
          <w:rFonts w:ascii="Palatino Linotype" w:hAnsi="Palatino Linotype" w:cs="Arial"/>
          <w:i/>
          <w:iCs/>
          <w:sz w:val="22"/>
          <w:szCs w:val="22"/>
        </w:rPr>
        <w:t>falta de respuesta</w:t>
      </w:r>
      <w:r w:rsidRPr="00D317BA">
        <w:rPr>
          <w:rFonts w:ascii="Palatino Linotype" w:hAnsi="Palatino Linotype" w:cs="Arial"/>
          <w:i/>
          <w:iCs/>
          <w:sz w:val="22"/>
          <w:szCs w:val="22"/>
        </w:rPr>
        <w:t>.” (Sic)</w:t>
      </w:r>
    </w:p>
    <w:p w14:paraId="5F1A33C2"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Así como, razones o motivos de inconformidad lo siguiente:</w:t>
      </w:r>
    </w:p>
    <w:p w14:paraId="0B407AE3" w14:textId="77777777" w:rsidR="00F72BC1" w:rsidRPr="00D317BA" w:rsidRDefault="00746129" w:rsidP="00F72BC1">
      <w:pPr>
        <w:ind w:left="851"/>
        <w:jc w:val="both"/>
        <w:rPr>
          <w:rFonts w:ascii="Palatino Linotype" w:hAnsi="Palatino Linotype" w:cs="Arial"/>
          <w:i/>
          <w:iCs/>
          <w:sz w:val="22"/>
          <w:szCs w:val="22"/>
        </w:rPr>
      </w:pPr>
      <w:r w:rsidRPr="00D317BA">
        <w:rPr>
          <w:rFonts w:ascii="Palatino Linotype" w:hAnsi="Palatino Linotype" w:cs="Arial"/>
          <w:b/>
        </w:rPr>
        <w:t>01147/INFOEM/IP/RR/2021</w:t>
      </w:r>
    </w:p>
    <w:p w14:paraId="43B70F09" w14:textId="77777777" w:rsidR="00F72BC1" w:rsidRPr="00D317BA" w:rsidRDefault="00F72BC1" w:rsidP="00F72BC1">
      <w:pPr>
        <w:ind w:left="851"/>
        <w:jc w:val="both"/>
        <w:rPr>
          <w:rFonts w:ascii="Palatino Linotype" w:hAnsi="Palatino Linotype" w:cs="Arial"/>
          <w:i/>
          <w:iCs/>
          <w:sz w:val="22"/>
          <w:szCs w:val="22"/>
        </w:rPr>
      </w:pPr>
      <w:r w:rsidRPr="00D317BA">
        <w:rPr>
          <w:rFonts w:ascii="Palatino Linotype" w:hAnsi="Palatino Linotype" w:cs="Arial"/>
          <w:i/>
          <w:iCs/>
          <w:sz w:val="22"/>
          <w:szCs w:val="22"/>
        </w:rPr>
        <w:t>“</w:t>
      </w:r>
      <w:r w:rsidR="00746129" w:rsidRPr="00D317BA">
        <w:rPr>
          <w:rFonts w:ascii="Palatino Linotype" w:hAnsi="Palatino Linotype" w:cs="Arial"/>
          <w:i/>
          <w:iCs/>
          <w:sz w:val="22"/>
          <w:szCs w:val="22"/>
        </w:rPr>
        <w:t>falta de respuesta</w:t>
      </w:r>
      <w:r w:rsidRPr="00D317BA">
        <w:rPr>
          <w:rFonts w:ascii="Palatino Linotype" w:hAnsi="Palatino Linotype" w:cs="Arial"/>
          <w:i/>
          <w:iCs/>
          <w:sz w:val="22"/>
          <w:szCs w:val="22"/>
        </w:rPr>
        <w:t>.” (Sic)</w:t>
      </w:r>
    </w:p>
    <w:p w14:paraId="60C8AB6D" w14:textId="77777777" w:rsidR="00F72BC1" w:rsidRPr="00D317BA" w:rsidRDefault="00F72BC1" w:rsidP="00F72BC1">
      <w:pPr>
        <w:ind w:left="851"/>
        <w:jc w:val="both"/>
        <w:rPr>
          <w:rFonts w:ascii="Palatino Linotype" w:hAnsi="Palatino Linotype" w:cs="Arial"/>
          <w:i/>
          <w:iCs/>
          <w:sz w:val="22"/>
          <w:szCs w:val="22"/>
        </w:rPr>
      </w:pPr>
    </w:p>
    <w:p w14:paraId="0D6568AA" w14:textId="77777777" w:rsidR="00F72BC1" w:rsidRPr="00D317BA" w:rsidRDefault="00746129" w:rsidP="00F72BC1">
      <w:pPr>
        <w:ind w:left="851"/>
        <w:jc w:val="both"/>
        <w:rPr>
          <w:rFonts w:ascii="Palatino Linotype" w:hAnsi="Palatino Linotype" w:cs="Arial"/>
          <w:b/>
        </w:rPr>
      </w:pPr>
      <w:r w:rsidRPr="00D317BA">
        <w:rPr>
          <w:rFonts w:ascii="Palatino Linotype" w:hAnsi="Palatino Linotype" w:cs="Arial"/>
          <w:b/>
        </w:rPr>
        <w:t>01148/INFOEM/IP/RR/2021</w:t>
      </w:r>
    </w:p>
    <w:p w14:paraId="066D0319" w14:textId="77777777" w:rsidR="00F72BC1" w:rsidRPr="00D317BA" w:rsidRDefault="00F72BC1" w:rsidP="00F72BC1">
      <w:pPr>
        <w:ind w:left="851"/>
        <w:jc w:val="both"/>
        <w:rPr>
          <w:rFonts w:ascii="Palatino Linotype" w:hAnsi="Palatino Linotype" w:cs="Arial"/>
          <w:i/>
          <w:iCs/>
          <w:sz w:val="22"/>
          <w:szCs w:val="22"/>
        </w:rPr>
      </w:pPr>
      <w:r w:rsidRPr="00D317BA">
        <w:rPr>
          <w:rFonts w:ascii="Palatino Linotype" w:hAnsi="Palatino Linotype" w:cs="Arial"/>
          <w:i/>
          <w:iCs/>
          <w:sz w:val="22"/>
          <w:szCs w:val="22"/>
        </w:rPr>
        <w:t>“</w:t>
      </w:r>
      <w:r w:rsidR="00A06318" w:rsidRPr="00D317BA">
        <w:rPr>
          <w:rFonts w:ascii="Palatino Linotype" w:hAnsi="Palatino Linotype" w:cs="Arial"/>
          <w:i/>
          <w:iCs/>
          <w:sz w:val="22"/>
          <w:szCs w:val="22"/>
        </w:rPr>
        <w:t>falta de respuesta</w:t>
      </w:r>
      <w:r w:rsidRPr="00D317BA">
        <w:rPr>
          <w:rFonts w:ascii="Palatino Linotype" w:hAnsi="Palatino Linotype" w:cs="Arial"/>
          <w:i/>
          <w:iCs/>
          <w:sz w:val="22"/>
          <w:szCs w:val="22"/>
        </w:rPr>
        <w:t>.” (Sic)</w:t>
      </w:r>
    </w:p>
    <w:p w14:paraId="1F1C988C"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b/>
          <w:sz w:val="28"/>
          <w:szCs w:val="28"/>
        </w:rPr>
        <w:t>V.</w:t>
      </w:r>
      <w:r w:rsidRPr="00D317BA">
        <w:rPr>
          <w:rFonts w:ascii="Palatino Linotype" w:hAnsi="Palatino Linotype" w:cs="Arial"/>
        </w:rPr>
        <w:t xml:space="preserve"> El </w:t>
      </w:r>
      <w:r w:rsidR="00746129" w:rsidRPr="00D317BA">
        <w:rPr>
          <w:rFonts w:ascii="Palatino Linotype" w:hAnsi="Palatino Linotype" w:cs="Arial"/>
        </w:rPr>
        <w:t xml:space="preserve">dieciséis de marzo de dos mil veintiuno, </w:t>
      </w:r>
      <w:r w:rsidRPr="00D317BA">
        <w:rPr>
          <w:rFonts w:ascii="Palatino Linotype" w:hAnsi="Palatino Linotype" w:cs="Arial"/>
        </w:rPr>
        <w:t xml:space="preserve">los recursos de que se trata se enviaron electrónicamente al Instituto de </w:t>
      </w:r>
      <w:r w:rsidRPr="00D317BA">
        <w:rPr>
          <w:rFonts w:ascii="Palatino Linotype" w:eastAsia="Arial Unicode MS" w:hAnsi="Palatino Linotype" w:cs="Arial"/>
        </w:rPr>
        <w:t>Transparencia</w:t>
      </w:r>
      <w:r w:rsidRPr="00D317BA">
        <w:rPr>
          <w:rFonts w:ascii="Palatino Linotype" w:hAnsi="Palatino Linotype" w:cs="Arial"/>
        </w:rPr>
        <w:t xml:space="preserve">, Acceso a la Información Pública y Protección de Datos Personales del Estado de México y Municipios y con fundamento en el artículo 185, fracción I de la </w:t>
      </w:r>
      <w:r w:rsidRPr="00D317BA">
        <w:rPr>
          <w:rFonts w:ascii="Palatino Linotype" w:hAnsi="Palatino Linotype"/>
        </w:rPr>
        <w:t>Ley de Transparencia y Acceso a la Información Pública del Estado de México y Municipios</w:t>
      </w:r>
      <w:r w:rsidRPr="00D317BA">
        <w:rPr>
          <w:rFonts w:ascii="Palatino Linotype" w:hAnsi="Palatino Linotype" w:cs="Arial"/>
        </w:rPr>
        <w:t>, se turnaron a través del</w:t>
      </w:r>
      <w:r w:rsidRPr="00D317BA">
        <w:rPr>
          <w:rFonts w:ascii="Palatino Linotype" w:eastAsia="Arial Unicode MS" w:hAnsi="Palatino Linotype" w:cs="Arial"/>
        </w:rPr>
        <w:t xml:space="preserve"> </w:t>
      </w:r>
      <w:r w:rsidRPr="00D317BA">
        <w:rPr>
          <w:rFonts w:ascii="Palatino Linotype" w:eastAsia="Arial Unicode MS" w:hAnsi="Palatino Linotype" w:cs="Arial"/>
          <w:b/>
        </w:rPr>
        <w:t>SAIMEX</w:t>
      </w:r>
      <w:r w:rsidRPr="00D317BA">
        <w:rPr>
          <w:rFonts w:ascii="Palatino Linotype" w:hAnsi="Palatino Linotype"/>
        </w:rPr>
        <w:t xml:space="preserve">, a la </w:t>
      </w:r>
      <w:r w:rsidRPr="00D317BA">
        <w:rPr>
          <w:rFonts w:ascii="Palatino Linotype" w:hAnsi="Palatino Linotype" w:cs="Arial"/>
        </w:rPr>
        <w:t xml:space="preserve">Comisionada </w:t>
      </w:r>
      <w:r w:rsidRPr="00D317BA">
        <w:rPr>
          <w:rFonts w:ascii="Palatino Linotype" w:hAnsi="Palatino Linotype" w:cs="Arial"/>
          <w:b/>
        </w:rPr>
        <w:t>EVA ABAID YAPUR</w:t>
      </w:r>
      <w:r w:rsidRPr="00D317BA">
        <w:rPr>
          <w:rFonts w:ascii="Palatino Linotype" w:hAnsi="Palatino Linotype"/>
        </w:rPr>
        <w:t xml:space="preserve"> y al Comisionado </w:t>
      </w:r>
      <w:r w:rsidRPr="00D317BA">
        <w:rPr>
          <w:rFonts w:ascii="Palatino Linotype" w:hAnsi="Palatino Linotype"/>
          <w:b/>
        </w:rPr>
        <w:t xml:space="preserve">JOSÉ GUADALUPE LUNA HERNÁNDEZ, </w:t>
      </w:r>
      <w:r w:rsidRPr="00D317BA">
        <w:rPr>
          <w:rFonts w:ascii="Palatino Linotype" w:hAnsi="Palatino Linotype"/>
        </w:rPr>
        <w:t xml:space="preserve">respectivamente </w:t>
      </w:r>
      <w:r w:rsidRPr="00D317BA">
        <w:rPr>
          <w:rFonts w:ascii="Palatino Linotype" w:hAnsi="Palatino Linotype" w:cs="Arial"/>
        </w:rPr>
        <w:t xml:space="preserve">a efecto </w:t>
      </w:r>
      <w:bookmarkStart w:id="1" w:name="_GoBack"/>
      <w:bookmarkEnd w:id="1"/>
      <w:r w:rsidRPr="00D317BA">
        <w:rPr>
          <w:rFonts w:ascii="Palatino Linotype" w:hAnsi="Palatino Linotype" w:cs="Arial"/>
        </w:rPr>
        <w:t>de decretaran su admisión o desechamiento.</w:t>
      </w:r>
    </w:p>
    <w:p w14:paraId="2714EAC2" w14:textId="77777777" w:rsidR="00F72BC1" w:rsidRPr="00D317BA" w:rsidRDefault="00F72BC1" w:rsidP="00F72BC1">
      <w:pPr>
        <w:tabs>
          <w:tab w:val="center" w:pos="4252"/>
          <w:tab w:val="right" w:pos="8504"/>
        </w:tabs>
        <w:spacing w:before="100" w:beforeAutospacing="1" w:after="100" w:afterAutospacing="1" w:line="360" w:lineRule="auto"/>
        <w:jc w:val="both"/>
        <w:rPr>
          <w:rFonts w:ascii="Palatino Linotype" w:hAnsi="Palatino Linotype" w:cs="Arial"/>
        </w:rPr>
      </w:pPr>
      <w:r w:rsidRPr="00D317BA">
        <w:rPr>
          <w:rFonts w:ascii="Palatino Linotype" w:hAnsi="Palatino Linotype" w:cs="Arial"/>
          <w:b/>
          <w:sz w:val="28"/>
          <w:szCs w:val="28"/>
        </w:rPr>
        <w:t>V</w:t>
      </w:r>
      <w:r w:rsidR="00746129" w:rsidRPr="00D317BA">
        <w:rPr>
          <w:rFonts w:ascii="Palatino Linotype" w:hAnsi="Palatino Linotype" w:cs="Arial"/>
          <w:b/>
          <w:sz w:val="28"/>
          <w:szCs w:val="28"/>
        </w:rPr>
        <w:t>I</w:t>
      </w:r>
      <w:r w:rsidRPr="00D317BA">
        <w:rPr>
          <w:rFonts w:ascii="Palatino Linotype" w:hAnsi="Palatino Linotype" w:cs="Arial"/>
          <w:b/>
          <w:sz w:val="28"/>
          <w:szCs w:val="28"/>
        </w:rPr>
        <w:t>.</w:t>
      </w:r>
      <w:r w:rsidRPr="00D317BA">
        <w:rPr>
          <w:rFonts w:ascii="Palatino Linotype" w:hAnsi="Palatino Linotype" w:cs="Arial"/>
        </w:rPr>
        <w:t xml:space="preserve"> De las constancias del expediente electrónico del</w:t>
      </w:r>
      <w:r w:rsidRPr="00D317BA">
        <w:rPr>
          <w:rFonts w:ascii="Palatino Linotype" w:hAnsi="Palatino Linotype" w:cs="Arial"/>
          <w:b/>
        </w:rPr>
        <w:t xml:space="preserve"> SAIMEX</w:t>
      </w:r>
      <w:r w:rsidRPr="00D317BA">
        <w:rPr>
          <w:rFonts w:ascii="Palatino Linotype" w:hAnsi="Palatino Linotype" w:cs="Arial"/>
        </w:rPr>
        <w:t xml:space="preserve">, se advierte que en fecha </w:t>
      </w:r>
      <w:r w:rsidR="00746129" w:rsidRPr="00D317BA">
        <w:rPr>
          <w:rFonts w:ascii="Palatino Linotype" w:hAnsi="Palatino Linotype" w:cs="Arial"/>
        </w:rPr>
        <w:t xml:space="preserve">diecinueve de marzo de dos mil veintiuno, </w:t>
      </w:r>
      <w:r w:rsidRPr="00D317BA">
        <w:rPr>
          <w:rFonts w:ascii="Palatino Linotype" w:hAnsi="Palatino Linotype" w:cs="Arial"/>
        </w:rPr>
        <w:t xml:space="preserve">se acordó la admisión a trámite de los recursos de revisión que nos ocupan; así como, la integración del expediente respectivo,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D317BA">
        <w:rPr>
          <w:rFonts w:ascii="Palatino Linotype" w:hAnsi="Palatino Linotype" w:cs="Arial"/>
          <w:b/>
        </w:rPr>
        <w:t xml:space="preserve">EL SUJETO OBLIGADO </w:t>
      </w:r>
      <w:r w:rsidRPr="00D317BA">
        <w:rPr>
          <w:rFonts w:ascii="Palatino Linotype" w:hAnsi="Palatino Linotype" w:cs="Arial"/>
        </w:rPr>
        <w:t>rindiera sus</w:t>
      </w:r>
      <w:r w:rsidRPr="00D317BA">
        <w:rPr>
          <w:rFonts w:ascii="Palatino Linotype" w:hAnsi="Palatino Linotype" w:cs="Arial"/>
          <w:b/>
        </w:rPr>
        <w:t xml:space="preserve"> </w:t>
      </w:r>
      <w:r w:rsidRPr="00D317BA">
        <w:rPr>
          <w:rFonts w:ascii="Palatino Linotype" w:hAnsi="Palatino Linotype" w:cs="Arial"/>
        </w:rPr>
        <w:t>Informes Justificados.</w:t>
      </w:r>
    </w:p>
    <w:p w14:paraId="687EDB48" w14:textId="77777777" w:rsidR="00F72BC1" w:rsidRPr="00D317BA" w:rsidRDefault="00F72BC1" w:rsidP="00F72BC1">
      <w:pPr>
        <w:spacing w:before="100" w:beforeAutospacing="1" w:after="100" w:afterAutospacing="1" w:line="360" w:lineRule="auto"/>
        <w:jc w:val="both"/>
        <w:rPr>
          <w:rFonts w:ascii="Palatino Linotype" w:hAnsi="Palatino Linotype" w:cs="Arial"/>
          <w:noProof/>
          <w:lang w:eastAsia="es-MX"/>
        </w:rPr>
      </w:pPr>
      <w:r w:rsidRPr="00D317BA">
        <w:rPr>
          <w:rFonts w:ascii="Palatino Linotype" w:hAnsi="Palatino Linotype" w:cs="Arial"/>
          <w:b/>
          <w:sz w:val="28"/>
          <w:szCs w:val="28"/>
        </w:rPr>
        <w:lastRenderedPageBreak/>
        <w:t>V</w:t>
      </w:r>
      <w:r w:rsidR="00746129" w:rsidRPr="00D317BA">
        <w:rPr>
          <w:rFonts w:ascii="Palatino Linotype" w:hAnsi="Palatino Linotype" w:cs="Arial"/>
          <w:b/>
          <w:sz w:val="28"/>
          <w:szCs w:val="28"/>
        </w:rPr>
        <w:t>I</w:t>
      </w:r>
      <w:r w:rsidRPr="00D317BA">
        <w:rPr>
          <w:rFonts w:ascii="Palatino Linotype" w:hAnsi="Palatino Linotype" w:cs="Arial"/>
          <w:b/>
          <w:sz w:val="28"/>
          <w:szCs w:val="28"/>
        </w:rPr>
        <w:t>I.</w:t>
      </w:r>
      <w:r w:rsidRPr="00D317BA">
        <w:rPr>
          <w:rFonts w:ascii="Palatino Linotype" w:hAnsi="Palatino Linotype" w:cs="Arial"/>
          <w:b/>
        </w:rPr>
        <w:t xml:space="preserve"> </w:t>
      </w:r>
      <w:r w:rsidRPr="00D317BA">
        <w:rPr>
          <w:rFonts w:ascii="Palatino Linotype" w:hAnsi="Palatino Linotype" w:cs="Arial"/>
          <w:lang w:val="es-ES"/>
        </w:rPr>
        <w:t>En cumplimiento a lo anterior, de las constancias de los expedientes electrónicos del</w:t>
      </w:r>
      <w:r w:rsidRPr="00D317BA">
        <w:rPr>
          <w:rFonts w:ascii="Palatino Linotype" w:hAnsi="Palatino Linotype" w:cs="Arial"/>
          <w:b/>
          <w:lang w:val="es-ES"/>
        </w:rPr>
        <w:t xml:space="preserve"> SAIMEX</w:t>
      </w:r>
      <w:r w:rsidRPr="00D317BA">
        <w:rPr>
          <w:rFonts w:ascii="Palatino Linotype" w:hAnsi="Palatino Linotype" w:cs="Arial"/>
          <w:lang w:val="es-ES"/>
        </w:rPr>
        <w:t>, se observa que</w:t>
      </w:r>
      <w:r w:rsidRPr="00D317BA">
        <w:rPr>
          <w:rFonts w:ascii="Palatino Linotype" w:hAnsi="Palatino Linotype" w:cs="Arial"/>
          <w:b/>
          <w:lang w:val="es-ES"/>
        </w:rPr>
        <w:t xml:space="preserve"> </w:t>
      </w:r>
      <w:r w:rsidRPr="00D317BA">
        <w:rPr>
          <w:rFonts w:ascii="Palatino Linotype" w:hAnsi="Palatino Linotype" w:cs="Arial"/>
          <w:lang w:val="es-ES"/>
        </w:rPr>
        <w:t xml:space="preserve">el </w:t>
      </w:r>
      <w:r w:rsidRPr="00D317BA">
        <w:rPr>
          <w:rFonts w:ascii="Palatino Linotype" w:hAnsi="Palatino Linotype" w:cs="Arial"/>
          <w:b/>
          <w:lang w:val="es-ES"/>
        </w:rPr>
        <w:t>SUJETO OBLIGADO</w:t>
      </w:r>
      <w:r w:rsidRPr="00D317BA">
        <w:rPr>
          <w:rFonts w:ascii="Palatino Linotype" w:hAnsi="Palatino Linotype" w:cs="Arial"/>
          <w:lang w:val="es-ES"/>
        </w:rPr>
        <w:t xml:space="preserve"> fue omiso en enviar los Informes Justificados, en consecuencia, el particular no realizó manifestación alguna, ni presentó pruebas o alegatos. Como se desprende a continuación</w:t>
      </w:r>
      <w:r w:rsidRPr="00D317BA">
        <w:rPr>
          <w:rFonts w:ascii="Palatino Linotype" w:hAnsi="Palatino Linotype" w:cs="Arial"/>
          <w:noProof/>
          <w:lang w:eastAsia="es-MX"/>
        </w:rPr>
        <w:t xml:space="preserve">: </w:t>
      </w:r>
    </w:p>
    <w:p w14:paraId="65AF4BF2" w14:textId="77777777" w:rsidR="00F72BC1" w:rsidRPr="00D317BA" w:rsidRDefault="00931A53" w:rsidP="00F72BC1">
      <w:pPr>
        <w:spacing w:before="100" w:beforeAutospacing="1" w:after="100" w:afterAutospacing="1" w:line="360" w:lineRule="auto"/>
        <w:jc w:val="center"/>
        <w:rPr>
          <w:rFonts w:ascii="Palatino Linotype" w:hAnsi="Palatino Linotype" w:cs="Arial"/>
        </w:rPr>
      </w:pPr>
      <w:r w:rsidRPr="00D317BA">
        <w:rPr>
          <w:noProof/>
          <w:lang w:eastAsia="es-MX"/>
        </w:rPr>
        <w:drawing>
          <wp:inline distT="0" distB="0" distL="0" distR="0" wp14:anchorId="316D8C7C" wp14:editId="52B3312F">
            <wp:extent cx="5640907" cy="14903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45" t="40116" r="13762" b="25959"/>
                    <a:stretch/>
                  </pic:blipFill>
                  <pic:spPr bwMode="auto">
                    <a:xfrm>
                      <a:off x="0" y="0"/>
                      <a:ext cx="5656565" cy="14944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01673F" w14:textId="77777777" w:rsidR="00F72BC1" w:rsidRPr="00D317BA" w:rsidRDefault="00A06318" w:rsidP="00F72BC1">
      <w:pPr>
        <w:spacing w:before="100" w:beforeAutospacing="1" w:after="100" w:afterAutospacing="1" w:line="360" w:lineRule="auto"/>
        <w:jc w:val="center"/>
        <w:rPr>
          <w:rFonts w:ascii="Palatino Linotype" w:hAnsi="Palatino Linotype" w:cs="Arial"/>
        </w:rPr>
      </w:pPr>
      <w:r w:rsidRPr="00D317BA">
        <w:rPr>
          <w:noProof/>
          <w:lang w:eastAsia="es-MX"/>
        </w:rPr>
        <w:drawing>
          <wp:inline distT="0" distB="0" distL="0" distR="0" wp14:anchorId="3F72C47F" wp14:editId="30E90F9C">
            <wp:extent cx="5619750" cy="1442909"/>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76" t="40171" r="13606" b="26483"/>
                    <a:stretch/>
                  </pic:blipFill>
                  <pic:spPr bwMode="auto">
                    <a:xfrm>
                      <a:off x="0" y="0"/>
                      <a:ext cx="5628577" cy="1445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DE297AD" w14:textId="77777777" w:rsidR="00F72BC1" w:rsidRPr="00D317BA" w:rsidRDefault="00F72BC1" w:rsidP="00F72BC1">
      <w:pPr>
        <w:spacing w:before="100" w:beforeAutospacing="1" w:after="100" w:afterAutospacing="1" w:line="360" w:lineRule="auto"/>
        <w:jc w:val="both"/>
        <w:rPr>
          <w:rFonts w:ascii="Palatino Linotype" w:hAnsi="Palatino Linotype" w:cs="Arial"/>
          <w:noProof/>
          <w:lang w:eastAsia="es-MX"/>
        </w:rPr>
      </w:pPr>
      <w:r w:rsidRPr="00D317BA">
        <w:rPr>
          <w:rFonts w:ascii="Palatino Linotype" w:hAnsi="Palatino Linotype" w:cs="Arial"/>
          <w:b/>
          <w:sz w:val="28"/>
          <w:szCs w:val="28"/>
        </w:rPr>
        <w:t>VI</w:t>
      </w:r>
      <w:r w:rsidR="00931A53" w:rsidRPr="00D317BA">
        <w:rPr>
          <w:rFonts w:ascii="Palatino Linotype" w:hAnsi="Palatino Linotype" w:cs="Arial"/>
          <w:b/>
          <w:sz w:val="28"/>
          <w:szCs w:val="28"/>
        </w:rPr>
        <w:t>I</w:t>
      </w:r>
      <w:r w:rsidRPr="00D317BA">
        <w:rPr>
          <w:rFonts w:ascii="Palatino Linotype" w:hAnsi="Palatino Linotype" w:cs="Arial"/>
          <w:b/>
          <w:sz w:val="28"/>
          <w:szCs w:val="28"/>
        </w:rPr>
        <w:t>I.</w:t>
      </w:r>
      <w:r w:rsidRPr="00D317BA">
        <w:rPr>
          <w:rFonts w:ascii="Palatino Linotype" w:hAnsi="Palatino Linotype" w:cs="Arial"/>
          <w:b/>
        </w:rPr>
        <w:t xml:space="preserve"> </w:t>
      </w:r>
      <w:r w:rsidRPr="00D317BA">
        <w:rPr>
          <w:rFonts w:ascii="Palatino Linotype" w:hAnsi="Palatino Linotype"/>
        </w:rPr>
        <w:t xml:space="preserve">En fecha </w:t>
      </w:r>
      <w:r w:rsidR="00931A53" w:rsidRPr="00D317BA">
        <w:rPr>
          <w:rFonts w:ascii="Palatino Linotype" w:hAnsi="Palatino Linotype"/>
        </w:rPr>
        <w:t xml:space="preserve">siete de abril </w:t>
      </w:r>
      <w:r w:rsidRPr="00D317BA">
        <w:rPr>
          <w:rFonts w:ascii="Palatino Linotype" w:hAnsi="Palatino Linotype"/>
        </w:rPr>
        <w:t>de dos mil veintiuno, se notificó a las partes el Acuerdo de Cierre de Instrucción; por lo que, c</w:t>
      </w:r>
      <w:r w:rsidRPr="00D317BA">
        <w:rPr>
          <w:rFonts w:ascii="Palatino Linotype" w:hAnsi="Palatino Linotype" w:cs="Arial"/>
        </w:rPr>
        <w:t xml:space="preserve">on fundamento en el artículo 185, fracción VIII de la Ley de Transparencia y Acceso a la Información Pública del Estado de México y Municipios, se remitió el expediente a efecto de que la Comisionada </w:t>
      </w:r>
      <w:r w:rsidRPr="00D317BA">
        <w:rPr>
          <w:rFonts w:ascii="Palatino Linotype" w:hAnsi="Palatino Linotype" w:cs="Arial"/>
          <w:b/>
        </w:rPr>
        <w:t>EVA ABAID YAPUR</w:t>
      </w:r>
      <w:r w:rsidRPr="00D317BA">
        <w:rPr>
          <w:rFonts w:ascii="Palatino Linotype" w:hAnsi="Palatino Linotype" w:cs="Arial"/>
        </w:rPr>
        <w:t xml:space="preserve"> formule y presente al Pleno el proyecto de resolución correspondiente; y, </w:t>
      </w:r>
    </w:p>
    <w:p w14:paraId="78E1C619" w14:textId="77777777" w:rsidR="00F72BC1" w:rsidRPr="00D317BA" w:rsidRDefault="00F72BC1" w:rsidP="00F72BC1">
      <w:pPr>
        <w:spacing w:line="360" w:lineRule="auto"/>
        <w:jc w:val="center"/>
        <w:rPr>
          <w:rFonts w:ascii="Palatino Linotype" w:hAnsi="Palatino Linotype" w:cs="Arial"/>
          <w:b/>
          <w:bCs/>
          <w:spacing w:val="60"/>
          <w:sz w:val="28"/>
          <w:szCs w:val="28"/>
        </w:rPr>
      </w:pPr>
      <w:r w:rsidRPr="00D317BA">
        <w:rPr>
          <w:rFonts w:ascii="Palatino Linotype" w:hAnsi="Palatino Linotype" w:cs="Arial"/>
          <w:b/>
          <w:bCs/>
          <w:spacing w:val="60"/>
          <w:sz w:val="28"/>
          <w:szCs w:val="28"/>
        </w:rPr>
        <w:t>CONSIDERANDO</w:t>
      </w:r>
    </w:p>
    <w:p w14:paraId="0879AFD6" w14:textId="77777777" w:rsidR="00F72BC1" w:rsidRPr="00D317BA" w:rsidRDefault="00F72BC1" w:rsidP="00F72BC1">
      <w:pPr>
        <w:spacing w:before="100" w:beforeAutospacing="1" w:after="100" w:afterAutospacing="1" w:line="360" w:lineRule="auto"/>
        <w:ind w:right="50"/>
        <w:jc w:val="both"/>
        <w:rPr>
          <w:rFonts w:ascii="Palatino Linotype" w:hAnsi="Palatino Linotype" w:cs="Arial"/>
          <w:b/>
        </w:rPr>
      </w:pPr>
      <w:r w:rsidRPr="00D317BA">
        <w:rPr>
          <w:rFonts w:ascii="Palatino Linotype" w:hAnsi="Palatino Linotype"/>
          <w:b/>
          <w:sz w:val="28"/>
          <w:szCs w:val="28"/>
        </w:rPr>
        <w:lastRenderedPageBreak/>
        <w:t>PRIMERO</w:t>
      </w:r>
      <w:r w:rsidRPr="00D317BA">
        <w:rPr>
          <w:rFonts w:ascii="Palatino Linotype" w:hAnsi="Palatino Linotype"/>
          <w:b/>
        </w:rPr>
        <w:t>.</w:t>
      </w:r>
      <w:r w:rsidRPr="00D317BA">
        <w:rPr>
          <w:rFonts w:ascii="Palatino Linotype" w:hAnsi="Palatino Linotype"/>
        </w:rPr>
        <w:t xml:space="preserve"> </w:t>
      </w:r>
      <w:r w:rsidRPr="00D317BA">
        <w:rPr>
          <w:rFonts w:ascii="Palatino Linotype" w:hAnsi="Palatino Linotype"/>
          <w:b/>
        </w:rPr>
        <w:t>Competencia</w:t>
      </w:r>
      <w:r w:rsidRPr="00D317BA">
        <w:rPr>
          <w:rFonts w:ascii="Palatino Linotype" w:hAnsi="Palatino Linotype"/>
        </w:rPr>
        <w:t>.</w:t>
      </w:r>
      <w:r w:rsidRPr="00D317BA">
        <w:rPr>
          <w:rFonts w:ascii="Palatino Linotype" w:hAnsi="Palatino Linotype"/>
          <w:b/>
        </w:rPr>
        <w:t xml:space="preserve"> </w:t>
      </w:r>
      <w:r w:rsidRPr="00D317BA">
        <w:rPr>
          <w:rFonts w:ascii="Palatino Linotype" w:hAnsi="Palatino Linotype"/>
        </w:rPr>
        <w:t xml:space="preserve">Este Instituto de </w:t>
      </w:r>
      <w:r w:rsidRPr="00D317BA">
        <w:rPr>
          <w:rFonts w:ascii="Palatino Linotype" w:hAnsi="Palatino Linotype" w:cs="Arial"/>
        </w:rPr>
        <w:t>Transparencia</w:t>
      </w:r>
      <w:r w:rsidRPr="00D317BA">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w:t>
      </w:r>
      <w:r w:rsidR="00CD421B" w:rsidRPr="00D317BA">
        <w:rPr>
          <w:rFonts w:ascii="Palatino Linotype" w:hAnsi="Palatino Linotype"/>
        </w:rPr>
        <w:t>trigésimo, trigésimo primero y trigésimo segundo</w:t>
      </w:r>
      <w:r w:rsidRPr="00D317BA">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317B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3F5B56DF" w14:textId="77777777" w:rsidR="00F72BC1" w:rsidRPr="00D317BA" w:rsidRDefault="00F72BC1" w:rsidP="00F72BC1">
      <w:pPr>
        <w:spacing w:before="100" w:beforeAutospacing="1" w:after="100" w:afterAutospacing="1" w:line="360" w:lineRule="auto"/>
        <w:jc w:val="both"/>
        <w:rPr>
          <w:rFonts w:ascii="Palatino Linotype" w:hAnsi="Palatino Linotype" w:cs="Arial"/>
          <w:b/>
          <w:bCs/>
        </w:rPr>
      </w:pPr>
      <w:r w:rsidRPr="00D317BA">
        <w:rPr>
          <w:rFonts w:ascii="Palatino Linotype" w:hAnsi="Palatino Linotype" w:cs="Arial"/>
          <w:b/>
          <w:sz w:val="28"/>
          <w:szCs w:val="28"/>
        </w:rPr>
        <w:t>SEGUNDO</w:t>
      </w:r>
      <w:r w:rsidRPr="00D317BA">
        <w:rPr>
          <w:rFonts w:ascii="Palatino Linotype" w:hAnsi="Palatino Linotype" w:cs="Arial"/>
          <w:b/>
        </w:rPr>
        <w:t xml:space="preserve">. Interés. </w:t>
      </w:r>
      <w:r w:rsidRPr="00D317BA">
        <w:rPr>
          <w:rFonts w:ascii="Palatino Linotype" w:hAnsi="Palatino Linotype" w:cs="Arial"/>
          <w:bCs/>
        </w:rPr>
        <w:t xml:space="preserve">Los recursos de revisión fueron interpuestos por parte legítima, en atención a que se presentaron por </w:t>
      </w:r>
      <w:r w:rsidRPr="00D317BA">
        <w:rPr>
          <w:rFonts w:ascii="Palatino Linotype" w:hAnsi="Palatino Linotype" w:cs="Arial"/>
          <w:b/>
          <w:bCs/>
        </w:rPr>
        <w:t>EL RECURRENTE,</w:t>
      </w:r>
      <w:r w:rsidRPr="00D317BA">
        <w:rPr>
          <w:rFonts w:ascii="Palatino Linotype" w:hAnsi="Palatino Linotype" w:cs="Arial"/>
          <w:bCs/>
        </w:rPr>
        <w:t xml:space="preserve"> quien es la misma persona que formuló la solicitud de acceso a la información pública al </w:t>
      </w:r>
      <w:r w:rsidRPr="00D317BA">
        <w:rPr>
          <w:rFonts w:ascii="Palatino Linotype" w:hAnsi="Palatino Linotype" w:cs="Arial"/>
          <w:b/>
          <w:bCs/>
        </w:rPr>
        <w:t>SUJETO OBLIGADO.</w:t>
      </w:r>
    </w:p>
    <w:p w14:paraId="2E207058" w14:textId="77777777" w:rsidR="00F72BC1" w:rsidRPr="00D317BA" w:rsidRDefault="00F72BC1" w:rsidP="00F72BC1">
      <w:pPr>
        <w:pStyle w:val="Encabezado"/>
        <w:spacing w:before="100" w:beforeAutospacing="1" w:after="100" w:afterAutospacing="1" w:line="360" w:lineRule="auto"/>
        <w:jc w:val="both"/>
        <w:rPr>
          <w:rFonts w:ascii="Palatino Linotype" w:hAnsi="Palatino Linotype"/>
          <w:color w:val="000000" w:themeColor="text1"/>
        </w:rPr>
      </w:pPr>
      <w:r w:rsidRPr="00D317BA">
        <w:rPr>
          <w:rFonts w:ascii="Palatino Linotype" w:eastAsia="Times New Roman" w:hAnsi="Palatino Linotype" w:cs="Arial"/>
          <w:b/>
          <w:color w:val="000000" w:themeColor="text1"/>
          <w:sz w:val="28"/>
          <w:szCs w:val="28"/>
          <w:lang w:val="es-ES"/>
        </w:rPr>
        <w:t>TERCERO.</w:t>
      </w:r>
      <w:r w:rsidRPr="00D317BA">
        <w:rPr>
          <w:rFonts w:ascii="Palatino Linotype" w:hAnsi="Palatino Linotype" w:cs="Arial"/>
          <w:color w:val="000000" w:themeColor="text1"/>
        </w:rPr>
        <w:t xml:space="preserve"> </w:t>
      </w:r>
      <w:r w:rsidRPr="00D317BA">
        <w:rPr>
          <w:rFonts w:ascii="Palatino Linotype" w:hAnsi="Palatino Linotype" w:cs="Arial"/>
          <w:b/>
          <w:color w:val="000000" w:themeColor="text1"/>
        </w:rPr>
        <w:t>Justificación de la Acumulación de los recursos.</w:t>
      </w:r>
      <w:r w:rsidRPr="00D317BA">
        <w:rPr>
          <w:rFonts w:ascii="Palatino Linotype" w:hAnsi="Palatino Linotype" w:cs="Arial"/>
          <w:color w:val="000000" w:themeColor="text1"/>
        </w:rPr>
        <w:t xml:space="preserve"> De las constancias que obran en los expedientes acumulados, se advierte que en los recursos de revisión</w:t>
      </w:r>
      <w:r w:rsidRPr="00D317BA">
        <w:rPr>
          <w:rFonts w:ascii="Palatino Linotype" w:hAnsi="Palatino Linotype" w:cs="Arial"/>
          <w:b/>
          <w:bCs/>
          <w:color w:val="000000" w:themeColor="text1"/>
        </w:rPr>
        <w:t xml:space="preserve">, </w:t>
      </w:r>
      <w:r w:rsidR="00931A53" w:rsidRPr="00D317BA">
        <w:rPr>
          <w:rFonts w:ascii="Palatino Linotype" w:hAnsi="Palatino Linotype"/>
          <w:b/>
          <w:color w:val="000000" w:themeColor="text1"/>
          <w:spacing w:val="-20"/>
        </w:rPr>
        <w:t>01147/INFOEM/IP/RR/2021</w:t>
      </w:r>
      <w:r w:rsidRPr="00D317BA">
        <w:rPr>
          <w:rFonts w:ascii="Palatino Linotype" w:hAnsi="Palatino Linotype"/>
          <w:b/>
          <w:color w:val="000000" w:themeColor="text1"/>
          <w:spacing w:val="-20"/>
        </w:rPr>
        <w:t xml:space="preserve"> </w:t>
      </w:r>
      <w:r w:rsidRPr="00D317BA">
        <w:rPr>
          <w:rFonts w:ascii="Palatino Linotype" w:hAnsi="Palatino Linotype"/>
          <w:color w:val="000000" w:themeColor="text1"/>
          <w:spacing w:val="-20"/>
        </w:rPr>
        <w:t>y</w:t>
      </w:r>
      <w:r w:rsidR="00931A53" w:rsidRPr="00D317BA">
        <w:rPr>
          <w:rFonts w:ascii="Palatino Linotype" w:hAnsi="Palatino Linotype"/>
          <w:b/>
          <w:color w:val="000000" w:themeColor="text1"/>
          <w:spacing w:val="-20"/>
        </w:rPr>
        <w:t xml:space="preserve"> 01148/INFOEM/IP/RR/2021</w:t>
      </w:r>
      <w:r w:rsidRPr="00D317BA">
        <w:rPr>
          <w:rFonts w:ascii="Palatino Linotype" w:hAnsi="Palatino Linotype"/>
          <w:b/>
          <w:color w:val="000000" w:themeColor="text1"/>
        </w:rPr>
        <w:t xml:space="preserve"> acumulados</w:t>
      </w:r>
      <w:r w:rsidRPr="00D317BA">
        <w:rPr>
          <w:rFonts w:ascii="Palatino Linotype" w:hAnsi="Palatino Linotype" w:cs="Arial"/>
          <w:color w:val="000000" w:themeColor="text1"/>
        </w:rPr>
        <w:t xml:space="preserve">, fueron presentados por la misma persona respecto de los actos u omisiones del mismo </w:t>
      </w:r>
      <w:r w:rsidRPr="00D317BA">
        <w:rPr>
          <w:rFonts w:ascii="Palatino Linotype" w:hAnsi="Palatino Linotype" w:cs="Arial"/>
          <w:b/>
          <w:color w:val="000000" w:themeColor="text1"/>
        </w:rPr>
        <w:t>SUJETO OBLIGADO</w:t>
      </w:r>
      <w:r w:rsidRPr="00D317BA">
        <w:rPr>
          <w:rFonts w:ascii="Palatino Linotype" w:hAnsi="Palatino Linotype" w:cs="Arial"/>
          <w:color w:val="000000" w:themeColor="text1"/>
        </w:rPr>
        <w:t xml:space="preserve">, razón por la cual, resulta conveniente su trámite de forma unificada para mejor resolver y evitar la emisión de resoluciones contradictorias, fue </w:t>
      </w:r>
      <w:r w:rsidRPr="00D317BA">
        <w:rPr>
          <w:rFonts w:ascii="Palatino Linotype" w:hAnsi="Palatino Linotype" w:cs="Arial"/>
          <w:color w:val="000000" w:themeColor="text1"/>
        </w:rPr>
        <w:lastRenderedPageBreak/>
        <w:t xml:space="preserve">procedente que este Órgano Garante realizara la acumulación respectiva, de conformidad con lo dispuesto en el artículo 18 del </w:t>
      </w:r>
      <w:r w:rsidRPr="00D317BA">
        <w:rPr>
          <w:rFonts w:ascii="Palatino Linotype" w:hAnsi="Palatino Linotype" w:cs="Arial"/>
          <w:color w:val="000000" w:themeColor="text1"/>
          <w:lang w:val="es-ES"/>
        </w:rPr>
        <w:t xml:space="preserve">Código de Procedimientos Administrativos del Estado de México, de aplicación supletoria en términos del </w:t>
      </w:r>
      <w:r w:rsidRPr="00D317BA">
        <w:rPr>
          <w:rFonts w:ascii="Palatino Linotype" w:hAnsi="Palatino Linotype" w:cs="Arial"/>
          <w:color w:val="000000" w:themeColor="text1"/>
        </w:rPr>
        <w:t xml:space="preserve">artículo 195 de </w:t>
      </w:r>
      <w:r w:rsidRPr="00D317BA">
        <w:rPr>
          <w:rFonts w:ascii="Palatino Linotype" w:hAnsi="Palatino Linotype"/>
          <w:color w:val="000000" w:themeColor="text1"/>
        </w:rPr>
        <w:t>la Ley de Transparencia y Acceso a la Información Pública del Estado de México y Municipios en vigor, que a la letra señalan:</w:t>
      </w:r>
    </w:p>
    <w:p w14:paraId="2D82B6D0" w14:textId="77777777" w:rsidR="00F72BC1" w:rsidRPr="00D317BA" w:rsidRDefault="00F72BC1" w:rsidP="00F72BC1">
      <w:pPr>
        <w:tabs>
          <w:tab w:val="left" w:pos="8222"/>
        </w:tabs>
        <w:ind w:left="851" w:right="899"/>
        <w:jc w:val="center"/>
        <w:rPr>
          <w:rFonts w:ascii="Palatino Linotype" w:hAnsi="Palatino Linotype" w:cs="Arial"/>
          <w:b/>
          <w:i/>
          <w:color w:val="000000" w:themeColor="text1"/>
          <w:sz w:val="22"/>
          <w:szCs w:val="22"/>
        </w:rPr>
      </w:pPr>
      <w:r w:rsidRPr="00D317BA">
        <w:rPr>
          <w:rFonts w:ascii="Palatino Linotype" w:hAnsi="Palatino Linotype" w:cs="Arial"/>
          <w:b/>
          <w:i/>
          <w:color w:val="000000" w:themeColor="text1"/>
          <w:sz w:val="22"/>
          <w:szCs w:val="22"/>
        </w:rPr>
        <w:t>Código de Procedimientos Administrativos del Estado de México</w:t>
      </w:r>
    </w:p>
    <w:p w14:paraId="0AAC110C" w14:textId="77777777" w:rsidR="00F72BC1" w:rsidRPr="00D317BA" w:rsidRDefault="00F72BC1" w:rsidP="00F72BC1">
      <w:pPr>
        <w:tabs>
          <w:tab w:val="left" w:pos="8222"/>
        </w:tabs>
        <w:ind w:left="851" w:right="899"/>
        <w:jc w:val="both"/>
        <w:rPr>
          <w:rFonts w:ascii="Palatino Linotype" w:hAnsi="Palatino Linotype" w:cs="Arial"/>
          <w:i/>
          <w:color w:val="000000" w:themeColor="text1"/>
          <w:sz w:val="22"/>
          <w:szCs w:val="22"/>
        </w:rPr>
      </w:pPr>
      <w:r w:rsidRPr="00D317BA">
        <w:rPr>
          <w:rFonts w:ascii="Palatino Linotype" w:hAnsi="Palatino Linotype" w:cs="Arial"/>
          <w:i/>
          <w:color w:val="000000" w:themeColor="text1"/>
          <w:sz w:val="22"/>
          <w:szCs w:val="22"/>
        </w:rPr>
        <w:t>“</w:t>
      </w:r>
      <w:r w:rsidRPr="00D317BA">
        <w:rPr>
          <w:rFonts w:ascii="Palatino Linotype" w:hAnsi="Palatino Linotype" w:cs="Arial"/>
          <w:b/>
          <w:i/>
          <w:color w:val="000000" w:themeColor="text1"/>
          <w:sz w:val="22"/>
          <w:szCs w:val="22"/>
        </w:rPr>
        <w:t>Artículo 18</w:t>
      </w:r>
      <w:r w:rsidRPr="00D317BA">
        <w:rPr>
          <w:rFonts w:ascii="Palatino Linotype" w:hAnsi="Palatino Linotype" w:cs="Arial"/>
          <w:i/>
          <w:color w:val="000000" w:themeColor="text1"/>
          <w:sz w:val="22"/>
          <w:szCs w:val="22"/>
        </w:rPr>
        <w:t xml:space="preserve">.- </w:t>
      </w:r>
      <w:r w:rsidRPr="00D317BA">
        <w:rPr>
          <w:rFonts w:ascii="Palatino Linotype" w:hAnsi="Palatino Linotype" w:cs="Arial"/>
          <w:b/>
          <w:i/>
          <w:color w:val="000000" w:themeColor="text1"/>
          <w:sz w:val="22"/>
          <w:szCs w:val="22"/>
        </w:rPr>
        <w:t xml:space="preserve">La autoridad administrativa o el Tribunal </w:t>
      </w:r>
      <w:r w:rsidRPr="00D317BA">
        <w:rPr>
          <w:rFonts w:ascii="Palatino Linotype" w:hAnsi="Palatino Linotype" w:cs="Arial"/>
          <w:b/>
          <w:i/>
          <w:color w:val="000000" w:themeColor="text1"/>
          <w:sz w:val="22"/>
          <w:szCs w:val="22"/>
          <w:u w:val="single"/>
        </w:rPr>
        <w:t>acordarán la acumulación de los expedientes</w:t>
      </w:r>
      <w:r w:rsidRPr="00D317BA">
        <w:rPr>
          <w:rFonts w:ascii="Palatino Linotype" w:hAnsi="Palatino Linotype" w:cs="Arial"/>
          <w:b/>
          <w:i/>
          <w:color w:val="000000" w:themeColor="text1"/>
          <w:sz w:val="22"/>
          <w:szCs w:val="22"/>
        </w:rPr>
        <w:t xml:space="preserve"> del procedimiento y proceso administrativo que ante ellos se sigan, de oficio</w:t>
      </w:r>
      <w:r w:rsidRPr="00D317BA">
        <w:rPr>
          <w:rFonts w:ascii="Palatino Linotype" w:hAnsi="Palatino Linotype" w:cs="Arial"/>
          <w:i/>
          <w:color w:val="000000" w:themeColor="text1"/>
          <w:sz w:val="22"/>
          <w:szCs w:val="22"/>
        </w:rPr>
        <w:t xml:space="preserve"> o a petición de parte, </w:t>
      </w:r>
      <w:r w:rsidRPr="00D317BA">
        <w:rPr>
          <w:rFonts w:ascii="Palatino Linotype" w:hAnsi="Palatino Linotype" w:cs="Arial"/>
          <w:b/>
          <w:i/>
          <w:color w:val="000000" w:themeColor="text1"/>
          <w:sz w:val="22"/>
          <w:szCs w:val="22"/>
          <w:u w:val="single"/>
        </w:rPr>
        <w:t>cuando las partes</w:t>
      </w:r>
      <w:r w:rsidRPr="00D317BA">
        <w:rPr>
          <w:rFonts w:ascii="Palatino Linotype" w:hAnsi="Palatino Linotype" w:cs="Arial"/>
          <w:i/>
          <w:color w:val="000000" w:themeColor="text1"/>
          <w:sz w:val="22"/>
          <w:szCs w:val="22"/>
        </w:rPr>
        <w:t xml:space="preserve"> o los actos administrativos </w:t>
      </w:r>
      <w:r w:rsidRPr="00D317BA">
        <w:rPr>
          <w:rFonts w:ascii="Palatino Linotype" w:hAnsi="Palatino Linotype" w:cs="Arial"/>
          <w:b/>
          <w:i/>
          <w:color w:val="000000" w:themeColor="text1"/>
          <w:sz w:val="22"/>
          <w:szCs w:val="22"/>
          <w:u w:val="single"/>
        </w:rPr>
        <w:t>sean iguales</w:t>
      </w:r>
      <w:r w:rsidRPr="00D317BA">
        <w:rPr>
          <w:rFonts w:ascii="Palatino Linotype" w:hAnsi="Palatino Linotype" w:cs="Arial"/>
          <w:i/>
          <w:color w:val="000000" w:themeColor="text1"/>
          <w:sz w:val="22"/>
          <w:szCs w:val="22"/>
        </w:rPr>
        <w:t xml:space="preserve">, se trate de actos conexos o </w:t>
      </w:r>
      <w:r w:rsidRPr="00D317BA">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D317BA">
        <w:rPr>
          <w:rFonts w:ascii="Palatino Linotype" w:hAnsi="Palatino Linotype" w:cs="Arial"/>
          <w:i/>
          <w:color w:val="000000" w:themeColor="text1"/>
          <w:sz w:val="22"/>
          <w:szCs w:val="22"/>
        </w:rPr>
        <w:t>. La misma regla se aplicará, en lo conducente, para la separación de los expedientes.”</w:t>
      </w:r>
    </w:p>
    <w:p w14:paraId="0616B7C7" w14:textId="77777777" w:rsidR="00F72BC1" w:rsidRPr="00D317BA" w:rsidRDefault="00F72BC1" w:rsidP="00F72BC1">
      <w:pPr>
        <w:tabs>
          <w:tab w:val="left" w:pos="8222"/>
        </w:tabs>
        <w:ind w:left="851" w:right="899"/>
        <w:jc w:val="center"/>
        <w:rPr>
          <w:rFonts w:ascii="Palatino Linotype" w:hAnsi="Palatino Linotype" w:cs="Arial"/>
          <w:b/>
          <w:i/>
          <w:color w:val="000000" w:themeColor="text1"/>
          <w:sz w:val="22"/>
          <w:szCs w:val="22"/>
        </w:rPr>
      </w:pPr>
      <w:r w:rsidRPr="00D317BA">
        <w:rPr>
          <w:rFonts w:ascii="Palatino Linotype" w:hAnsi="Palatino Linotype" w:cs="Arial"/>
          <w:b/>
          <w:i/>
          <w:color w:val="000000" w:themeColor="text1"/>
          <w:sz w:val="22"/>
          <w:szCs w:val="22"/>
        </w:rPr>
        <w:t xml:space="preserve">Ley de Transparencia y Acceso a la Información Pública del Estado de México y Municipios </w:t>
      </w:r>
    </w:p>
    <w:p w14:paraId="30950C89" w14:textId="77777777" w:rsidR="00F72BC1" w:rsidRPr="00D317BA" w:rsidRDefault="00F72BC1" w:rsidP="00F72BC1">
      <w:pPr>
        <w:tabs>
          <w:tab w:val="left" w:pos="8222"/>
        </w:tabs>
        <w:ind w:left="851" w:right="899"/>
        <w:jc w:val="both"/>
        <w:rPr>
          <w:rFonts w:ascii="Palatino Linotype" w:hAnsi="Palatino Linotype" w:cs="Arial"/>
          <w:i/>
          <w:color w:val="000000" w:themeColor="text1"/>
          <w:sz w:val="22"/>
          <w:szCs w:val="22"/>
        </w:rPr>
      </w:pPr>
      <w:r w:rsidRPr="00D317BA">
        <w:rPr>
          <w:rFonts w:ascii="Palatino Linotype" w:hAnsi="Palatino Linotype" w:cs="Arial"/>
          <w:i/>
          <w:color w:val="000000" w:themeColor="text1"/>
          <w:sz w:val="22"/>
          <w:szCs w:val="22"/>
        </w:rPr>
        <w:t>“</w:t>
      </w:r>
      <w:r w:rsidRPr="00D317BA">
        <w:rPr>
          <w:rFonts w:ascii="Palatino Linotype" w:hAnsi="Palatino Linotype" w:cs="Arial"/>
          <w:b/>
          <w:i/>
          <w:color w:val="000000" w:themeColor="text1"/>
          <w:sz w:val="22"/>
          <w:szCs w:val="22"/>
        </w:rPr>
        <w:t xml:space="preserve">Artículo 195. </w:t>
      </w:r>
      <w:r w:rsidRPr="00D317BA">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610EA2EF" w14:textId="77777777" w:rsidR="00F72BC1" w:rsidRPr="00D317BA" w:rsidRDefault="00F72BC1" w:rsidP="00F72BC1">
      <w:pPr>
        <w:tabs>
          <w:tab w:val="left" w:pos="8222"/>
        </w:tabs>
        <w:ind w:left="851" w:right="899"/>
        <w:jc w:val="both"/>
        <w:rPr>
          <w:rFonts w:ascii="Palatino Linotype" w:hAnsi="Palatino Linotype" w:cs="Arial"/>
          <w:color w:val="000000" w:themeColor="text1"/>
          <w:sz w:val="22"/>
          <w:szCs w:val="22"/>
        </w:rPr>
      </w:pPr>
      <w:r w:rsidRPr="00D317BA">
        <w:rPr>
          <w:rFonts w:ascii="Palatino Linotype" w:hAnsi="Palatino Linotype" w:cs="Arial"/>
          <w:color w:val="000000" w:themeColor="text1"/>
          <w:sz w:val="22"/>
          <w:szCs w:val="22"/>
        </w:rPr>
        <w:t>(Énfasis añadido)</w:t>
      </w:r>
    </w:p>
    <w:p w14:paraId="098D8963" w14:textId="77777777" w:rsidR="00F72BC1" w:rsidRPr="00D317BA" w:rsidRDefault="00F72BC1" w:rsidP="00F72BC1">
      <w:pPr>
        <w:pStyle w:val="Encabezado"/>
        <w:spacing w:before="100" w:beforeAutospacing="1" w:after="100" w:afterAutospacing="1" w:line="360" w:lineRule="auto"/>
        <w:jc w:val="both"/>
        <w:rPr>
          <w:rFonts w:ascii="Palatino Linotype" w:hAnsi="Palatino Linotype" w:cs="Arial"/>
          <w:color w:val="000000" w:themeColor="text1"/>
        </w:rPr>
      </w:pPr>
      <w:r w:rsidRPr="00D317BA">
        <w:rPr>
          <w:rFonts w:ascii="Palatino Linotype" w:hAnsi="Palatino Linotype" w:cs="Arial"/>
          <w:color w:val="000000" w:themeColor="text1"/>
        </w:rPr>
        <w:t>De lo dispuesto en la normativa anterior, dicha acumulación procede cuando:</w:t>
      </w:r>
    </w:p>
    <w:p w14:paraId="15DC5749" w14:textId="77777777" w:rsidR="00F72BC1" w:rsidRPr="00D317BA" w:rsidRDefault="00F72BC1" w:rsidP="00F72BC1">
      <w:pPr>
        <w:pStyle w:val="Encabezado"/>
        <w:numPr>
          <w:ilvl w:val="0"/>
          <w:numId w:val="3"/>
        </w:numPr>
        <w:spacing w:line="360" w:lineRule="auto"/>
        <w:jc w:val="both"/>
        <w:rPr>
          <w:rFonts w:ascii="Palatino Linotype" w:hAnsi="Palatino Linotype" w:cs="Arial"/>
          <w:color w:val="000000" w:themeColor="text1"/>
        </w:rPr>
      </w:pPr>
      <w:r w:rsidRPr="00D317BA">
        <w:rPr>
          <w:rFonts w:ascii="Palatino Linotype" w:hAnsi="Palatino Linotype" w:cs="Arial"/>
          <w:color w:val="000000" w:themeColor="text1"/>
        </w:rPr>
        <w:t>El solicitante y la información referida sean las mismas;</w:t>
      </w:r>
    </w:p>
    <w:p w14:paraId="410D4776" w14:textId="77777777" w:rsidR="00F72BC1" w:rsidRPr="00D317BA" w:rsidRDefault="00F72BC1" w:rsidP="00F72BC1">
      <w:pPr>
        <w:pStyle w:val="Encabezado"/>
        <w:numPr>
          <w:ilvl w:val="0"/>
          <w:numId w:val="3"/>
        </w:numPr>
        <w:spacing w:line="360" w:lineRule="auto"/>
        <w:jc w:val="both"/>
        <w:rPr>
          <w:rFonts w:ascii="Palatino Linotype" w:hAnsi="Palatino Linotype" w:cs="Arial"/>
          <w:color w:val="000000" w:themeColor="text1"/>
        </w:rPr>
      </w:pPr>
      <w:r w:rsidRPr="00D317BA">
        <w:rPr>
          <w:rFonts w:ascii="Palatino Linotype" w:hAnsi="Palatino Linotype" w:cs="Arial"/>
          <w:color w:val="000000" w:themeColor="text1"/>
        </w:rPr>
        <w:t>Las partes o los actos impugnados sean iguales;</w:t>
      </w:r>
    </w:p>
    <w:p w14:paraId="357B5FB2" w14:textId="77777777" w:rsidR="00F72BC1" w:rsidRPr="00D317BA" w:rsidRDefault="00F72BC1" w:rsidP="00F72BC1">
      <w:pPr>
        <w:pStyle w:val="Encabezado"/>
        <w:numPr>
          <w:ilvl w:val="0"/>
          <w:numId w:val="3"/>
        </w:numPr>
        <w:spacing w:line="360" w:lineRule="auto"/>
        <w:jc w:val="both"/>
        <w:rPr>
          <w:rFonts w:ascii="Palatino Linotype" w:hAnsi="Palatino Linotype" w:cs="Arial"/>
          <w:color w:val="000000" w:themeColor="text1"/>
        </w:rPr>
      </w:pPr>
      <w:r w:rsidRPr="00D317BA">
        <w:rPr>
          <w:rFonts w:ascii="Palatino Linotype" w:hAnsi="Palatino Linotype" w:cs="Arial"/>
          <w:b/>
          <w:color w:val="000000" w:themeColor="text1"/>
          <w:u w:val="single"/>
        </w:rPr>
        <w:t>Cuando se trate del mismo solicitante, el mismo Sujeto Obligado</w:t>
      </w:r>
      <w:r w:rsidRPr="00D317BA">
        <w:rPr>
          <w:rFonts w:ascii="Palatino Linotype" w:hAnsi="Palatino Linotype" w:cs="Arial"/>
          <w:color w:val="000000" w:themeColor="text1"/>
        </w:rPr>
        <w:t>, y</w:t>
      </w:r>
    </w:p>
    <w:p w14:paraId="591303BB" w14:textId="77777777" w:rsidR="00F72BC1" w:rsidRPr="00D317BA" w:rsidRDefault="00F72BC1" w:rsidP="00F72BC1">
      <w:pPr>
        <w:pStyle w:val="Encabezado"/>
        <w:numPr>
          <w:ilvl w:val="0"/>
          <w:numId w:val="3"/>
        </w:numPr>
        <w:spacing w:line="360" w:lineRule="auto"/>
        <w:ind w:left="357" w:hanging="357"/>
        <w:jc w:val="both"/>
        <w:rPr>
          <w:rFonts w:ascii="Palatino Linotype" w:hAnsi="Palatino Linotype" w:cs="Arial"/>
          <w:b/>
          <w:color w:val="000000" w:themeColor="text1"/>
          <w:u w:val="single"/>
        </w:rPr>
      </w:pPr>
      <w:r w:rsidRPr="00D317BA">
        <w:rPr>
          <w:rFonts w:ascii="Palatino Linotype" w:hAnsi="Palatino Linotype" w:cs="Arial"/>
          <w:b/>
          <w:color w:val="000000" w:themeColor="text1"/>
          <w:u w:val="single"/>
        </w:rPr>
        <w:t>Aun tratándose de solicitudes diversas, resulte conveniente la resolución unificada de los asuntos</w:t>
      </w:r>
      <w:r w:rsidRPr="00D317BA">
        <w:rPr>
          <w:rFonts w:ascii="Palatino Linotype" w:hAnsi="Palatino Linotype" w:cs="Arial"/>
          <w:b/>
          <w:i/>
          <w:color w:val="000000" w:themeColor="text1"/>
          <w:u w:val="single"/>
        </w:rPr>
        <w:t>.</w:t>
      </w:r>
    </w:p>
    <w:p w14:paraId="4983157E" w14:textId="77777777" w:rsidR="00F72BC1" w:rsidRPr="00D317BA" w:rsidRDefault="00F72BC1" w:rsidP="00F72BC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D317BA">
        <w:rPr>
          <w:rFonts w:ascii="Palatino Linotype" w:hAnsi="Palatino Linotype" w:cs="Arial"/>
          <w:color w:val="000000" w:themeColor="text1"/>
        </w:rPr>
        <w:t xml:space="preserve">De esta suerte, tal y como se mencionó anteriormente, los recursos de revisión que nos ocupan fueron interpuestos por el mismo </w:t>
      </w:r>
      <w:r w:rsidRPr="00D317BA">
        <w:rPr>
          <w:rFonts w:ascii="Palatino Linotype" w:hAnsi="Palatino Linotype" w:cs="Arial"/>
          <w:b/>
          <w:color w:val="000000" w:themeColor="text1"/>
        </w:rPr>
        <w:t>RECURRENTE</w:t>
      </w:r>
      <w:r w:rsidRPr="00D317BA">
        <w:rPr>
          <w:rFonts w:ascii="Palatino Linotype" w:hAnsi="Palatino Linotype" w:cs="Arial"/>
          <w:color w:val="000000" w:themeColor="text1"/>
        </w:rPr>
        <w:t xml:space="preserve"> ante el mismo </w:t>
      </w:r>
      <w:r w:rsidRPr="00D317BA">
        <w:rPr>
          <w:rFonts w:ascii="Palatino Linotype" w:hAnsi="Palatino Linotype" w:cs="Arial"/>
          <w:b/>
          <w:color w:val="000000" w:themeColor="text1"/>
        </w:rPr>
        <w:t xml:space="preserve">SUJETO </w:t>
      </w:r>
      <w:r w:rsidRPr="00D317BA">
        <w:rPr>
          <w:rFonts w:ascii="Palatino Linotype" w:hAnsi="Palatino Linotype" w:cs="Arial"/>
          <w:b/>
          <w:color w:val="000000" w:themeColor="text1"/>
        </w:rPr>
        <w:lastRenderedPageBreak/>
        <w:t>OBLIGADO</w:t>
      </w:r>
      <w:r w:rsidRPr="00D317BA">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44DC6694" w14:textId="77777777" w:rsidR="00F72BC1" w:rsidRPr="00D317BA" w:rsidRDefault="00F72BC1" w:rsidP="00F72BC1">
      <w:pPr>
        <w:pBdr>
          <w:top w:val="nil"/>
          <w:left w:val="nil"/>
          <w:bottom w:val="nil"/>
          <w:right w:val="nil"/>
          <w:between w:val="nil"/>
        </w:pBdr>
        <w:spacing w:before="100" w:beforeAutospacing="1" w:after="100" w:afterAutospacing="1" w:line="360" w:lineRule="auto"/>
        <w:ind w:right="49"/>
        <w:jc w:val="both"/>
        <w:rPr>
          <w:rFonts w:ascii="Palatino Linotype" w:eastAsia="Palatino Linotype" w:hAnsi="Palatino Linotype" w:cs="Palatino Linotype"/>
          <w:color w:val="000000"/>
          <w:lang w:val="es-ES" w:eastAsia="es-MX"/>
        </w:rPr>
      </w:pPr>
      <w:r w:rsidRPr="00D317BA">
        <w:rPr>
          <w:rFonts w:ascii="Palatino Linotype" w:eastAsia="Palatino Linotype" w:hAnsi="Palatino Linotype" w:cs="Palatino Linotype"/>
          <w:b/>
          <w:color w:val="000000"/>
          <w:sz w:val="28"/>
          <w:szCs w:val="28"/>
          <w:lang w:eastAsia="es-MX"/>
        </w:rPr>
        <w:t>CUARTO</w:t>
      </w:r>
      <w:r w:rsidRPr="00D317BA">
        <w:rPr>
          <w:rFonts w:ascii="Palatino Linotype" w:eastAsia="Palatino Linotype" w:hAnsi="Palatino Linotype" w:cs="Palatino Linotype"/>
          <w:b/>
          <w:color w:val="000000"/>
          <w:lang w:eastAsia="es-MX"/>
        </w:rPr>
        <w:t xml:space="preserve">. Oportunidad. </w:t>
      </w:r>
      <w:r w:rsidRPr="00D317BA">
        <w:rPr>
          <w:rFonts w:ascii="Palatino Linotype" w:eastAsia="Palatino Linotype" w:hAnsi="Palatino Linotype" w:cs="Palatino Linotype"/>
          <w:color w:val="000000"/>
          <w:lang w:val="es-ES" w:eastAsia="es-MX"/>
        </w:rPr>
        <w:t>Es de precisar que la Ley de Transparencia y Acceso a la Información Pública del Estado de México y Municipios, describe el mecanismo de procedencia de los recursos de revisión, como se puede apreciar en el siguiente artículo:</w:t>
      </w:r>
    </w:p>
    <w:p w14:paraId="56581381" w14:textId="77777777" w:rsidR="00F72BC1" w:rsidRPr="00D317BA" w:rsidRDefault="00F72BC1" w:rsidP="00F72BC1">
      <w:pPr>
        <w:ind w:left="851" w:right="902"/>
        <w:jc w:val="both"/>
        <w:rPr>
          <w:rFonts w:ascii="Palatino Linotype" w:eastAsia="Palatino Linotype" w:hAnsi="Palatino Linotype" w:cs="Palatino Linotype"/>
          <w:i/>
          <w:color w:val="000000"/>
          <w:sz w:val="22"/>
          <w:szCs w:val="22"/>
          <w:lang w:val="es-ES" w:eastAsia="es-MX"/>
        </w:rPr>
      </w:pPr>
      <w:r w:rsidRPr="00D317BA">
        <w:rPr>
          <w:rFonts w:ascii="Palatino Linotype" w:eastAsia="Palatino Linotype" w:hAnsi="Palatino Linotype" w:cs="Palatino Linotype"/>
          <w:b/>
          <w:i/>
          <w:color w:val="000000"/>
          <w:sz w:val="22"/>
          <w:szCs w:val="22"/>
          <w:lang w:val="es-ES" w:eastAsia="es-MX"/>
        </w:rPr>
        <w:t>“Artículo 163.</w:t>
      </w:r>
      <w:r w:rsidRPr="00D317BA">
        <w:rPr>
          <w:rFonts w:ascii="Palatino Linotype" w:eastAsia="Palatino Linotype" w:hAnsi="Palatino Linotype" w:cs="Palatino Linotype"/>
          <w:i/>
          <w:color w:val="000000"/>
          <w:sz w:val="22"/>
          <w:szCs w:val="22"/>
          <w:lang w:val="es-ES" w:eastAsia="es-MX"/>
        </w:rPr>
        <w:t xml:space="preserve"> La Unidad </w:t>
      </w:r>
      <w:r w:rsidRPr="00D317BA">
        <w:rPr>
          <w:rFonts w:ascii="Palatino Linotype" w:eastAsia="Palatino Linotype" w:hAnsi="Palatino Linotype" w:cs="Palatino Linotype"/>
          <w:i/>
          <w:sz w:val="22"/>
          <w:szCs w:val="22"/>
          <w:lang w:val="es-ES" w:eastAsia="es-MX"/>
        </w:rPr>
        <w:t>de</w:t>
      </w:r>
      <w:r w:rsidRPr="00D317BA">
        <w:rPr>
          <w:rFonts w:ascii="Palatino Linotype" w:eastAsia="Palatino Linotype" w:hAnsi="Palatino Linotype" w:cs="Palatino Linotype"/>
          <w:i/>
          <w:color w:val="000000"/>
          <w:sz w:val="22"/>
          <w:szCs w:val="22"/>
          <w:lang w:val="es-ES" w:eastAsia="es-MX"/>
        </w:rPr>
        <w:t xml:space="preserve"> Transparencia deberá notificar la respuesta a la solicitud al interesado en el </w:t>
      </w:r>
      <w:r w:rsidRPr="00D317BA">
        <w:rPr>
          <w:rFonts w:ascii="Palatino Linotype" w:eastAsia="Palatino Linotype" w:hAnsi="Palatino Linotype" w:cs="Palatino Linotype"/>
          <w:i/>
          <w:sz w:val="22"/>
          <w:szCs w:val="22"/>
          <w:lang w:val="es-ES" w:eastAsia="es-MX"/>
        </w:rPr>
        <w:t>menor</w:t>
      </w:r>
      <w:r w:rsidRPr="00D317BA">
        <w:rPr>
          <w:rFonts w:ascii="Palatino Linotype" w:eastAsia="Palatino Linotype" w:hAnsi="Palatino Linotype" w:cs="Palatino Linotype"/>
          <w:i/>
          <w:color w:val="000000"/>
          <w:sz w:val="22"/>
          <w:szCs w:val="22"/>
          <w:lang w:val="es-ES" w:eastAsia="es-MX"/>
        </w:rPr>
        <w:t xml:space="preserve"> tiempo posible, que no podrá exceder de quince días hábiles, contados a partir del día siguiente a la presentación de aquélla.</w:t>
      </w:r>
    </w:p>
    <w:p w14:paraId="0BF1309B" w14:textId="77777777" w:rsidR="00F72BC1" w:rsidRPr="00D317BA" w:rsidRDefault="00F72BC1" w:rsidP="00F72BC1">
      <w:pPr>
        <w:ind w:left="851" w:right="902"/>
        <w:jc w:val="both"/>
        <w:rPr>
          <w:rFonts w:ascii="Palatino Linotype" w:eastAsia="Palatino Linotype" w:hAnsi="Palatino Linotype" w:cs="Palatino Linotype"/>
          <w:i/>
          <w:color w:val="000000"/>
          <w:sz w:val="22"/>
          <w:szCs w:val="22"/>
          <w:lang w:val="es-ES" w:eastAsia="es-MX"/>
        </w:rPr>
      </w:pPr>
    </w:p>
    <w:p w14:paraId="3EE25DA3" w14:textId="77777777" w:rsidR="00F72BC1" w:rsidRPr="00D317BA" w:rsidRDefault="00F72BC1" w:rsidP="00F72BC1">
      <w:pPr>
        <w:ind w:left="851" w:right="902"/>
        <w:jc w:val="both"/>
        <w:rPr>
          <w:rFonts w:ascii="Palatino Linotype" w:eastAsia="Palatino Linotype" w:hAnsi="Palatino Linotype" w:cs="Palatino Linotype"/>
          <w:i/>
          <w:color w:val="000000"/>
          <w:sz w:val="22"/>
          <w:szCs w:val="22"/>
          <w:lang w:val="es-ES" w:eastAsia="es-MX"/>
        </w:rPr>
      </w:pPr>
      <w:r w:rsidRPr="00D317BA">
        <w:rPr>
          <w:rFonts w:ascii="Palatino Linotype" w:eastAsia="Palatino Linotype" w:hAnsi="Palatino Linotype" w:cs="Palatino Linotype"/>
          <w:i/>
          <w:color w:val="000000"/>
          <w:sz w:val="22"/>
          <w:szCs w:val="22"/>
          <w:lang w:val="es-ES" w:eastAsia="es-MX"/>
        </w:rPr>
        <w:t xml:space="preserve">Excepcionalmente, el plazo referido en el párrafo anterior podrá ampliarse hasta por siete días hábiles más, siempre y </w:t>
      </w:r>
      <w:r w:rsidRPr="00D317BA">
        <w:rPr>
          <w:rFonts w:ascii="Palatino Linotype" w:eastAsia="Palatino Linotype" w:hAnsi="Palatino Linotype" w:cs="Palatino Linotype"/>
          <w:i/>
          <w:sz w:val="22"/>
          <w:szCs w:val="22"/>
          <w:lang w:val="es-ES" w:eastAsia="es-MX"/>
        </w:rPr>
        <w:t>cuando</w:t>
      </w:r>
      <w:r w:rsidRPr="00D317BA">
        <w:rPr>
          <w:rFonts w:ascii="Palatino Linotype" w:eastAsia="Palatino Linotype" w:hAnsi="Palatino Linotype" w:cs="Palatino Linotype"/>
          <w:i/>
          <w:color w:val="000000"/>
          <w:sz w:val="22"/>
          <w:szCs w:val="22"/>
          <w:lang w:val="es-ES" w:eastAsia="es-MX"/>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D2EF9F4" w14:textId="77777777" w:rsidR="00F72BC1" w:rsidRPr="00D317BA" w:rsidRDefault="00F72BC1" w:rsidP="00F72BC1">
      <w:pPr>
        <w:spacing w:before="100" w:beforeAutospacing="1" w:after="100" w:afterAutospacing="1" w:line="360" w:lineRule="auto"/>
        <w:jc w:val="both"/>
        <w:rPr>
          <w:rFonts w:ascii="Palatino Linotype" w:eastAsia="Palatino Linotype" w:hAnsi="Palatino Linotype" w:cs="Palatino Linotype"/>
          <w:color w:val="000000"/>
          <w:lang w:val="es-ES" w:eastAsia="es-MX"/>
        </w:rPr>
      </w:pPr>
      <w:r w:rsidRPr="00D317BA">
        <w:rPr>
          <w:rFonts w:ascii="Palatino Linotype" w:eastAsia="Palatino Linotype" w:hAnsi="Palatino Linotype" w:cs="Palatino Linotype"/>
          <w:color w:val="000000"/>
          <w:lang w:val="es-ES" w:eastAsia="es-MX"/>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5E37C0E8" w14:textId="77777777" w:rsidR="00F72BC1" w:rsidRPr="00D317BA" w:rsidRDefault="00F72BC1" w:rsidP="00F72BC1">
      <w:pPr>
        <w:spacing w:before="100" w:beforeAutospacing="1" w:after="100" w:afterAutospacing="1" w:line="360" w:lineRule="auto"/>
        <w:jc w:val="both"/>
        <w:rPr>
          <w:rFonts w:ascii="Palatino Linotype" w:eastAsia="Palatino Linotype" w:hAnsi="Palatino Linotype" w:cs="Palatino Linotype"/>
          <w:color w:val="000000"/>
          <w:lang w:val="es-ES" w:eastAsia="es-MX"/>
        </w:rPr>
      </w:pPr>
      <w:r w:rsidRPr="00D317BA">
        <w:rPr>
          <w:rFonts w:ascii="Palatino Linotype" w:eastAsia="Palatino Linotype" w:hAnsi="Palatino Linotype" w:cs="Palatino Linotype"/>
          <w:color w:val="000000"/>
          <w:lang w:val="es-ES" w:eastAsia="es-MX"/>
        </w:rPr>
        <w:lastRenderedPageBreak/>
        <w:t xml:space="preserve">Derivado de lo anterior, se constituye la figura jurídica de la </w:t>
      </w:r>
      <w:r w:rsidRPr="00D317BA">
        <w:rPr>
          <w:rFonts w:ascii="Palatino Linotype" w:eastAsia="Palatino Linotype" w:hAnsi="Palatino Linotype" w:cs="Palatino Linotype"/>
          <w:b/>
          <w:color w:val="000000"/>
          <w:lang w:val="es-ES" w:eastAsia="es-MX"/>
        </w:rPr>
        <w:t>NEGATIVA FICTA</w:t>
      </w:r>
      <w:r w:rsidRPr="00D317BA">
        <w:rPr>
          <w:rFonts w:ascii="Palatino Linotype" w:eastAsia="Palatino Linotype" w:hAnsi="Palatino Linotype" w:cs="Palatino Linotype"/>
          <w:color w:val="000000"/>
          <w:lang w:val="es-ES" w:eastAsia="es-MX"/>
        </w:rPr>
        <w:t>, cuya esencia consiste en atribuir un efecto negativo al silencio de la autoridad administrativa frente a las instancias y solicitudes que hagan los particulares.</w:t>
      </w:r>
    </w:p>
    <w:p w14:paraId="1BF0781F" w14:textId="77777777" w:rsidR="00F72BC1" w:rsidRPr="00D317BA" w:rsidRDefault="00F72BC1" w:rsidP="00F72BC1">
      <w:pPr>
        <w:spacing w:before="100" w:beforeAutospacing="1" w:after="100" w:afterAutospacing="1" w:line="360" w:lineRule="auto"/>
        <w:jc w:val="both"/>
        <w:rPr>
          <w:rFonts w:ascii="Palatino Linotype" w:eastAsia="Palatino Linotype" w:hAnsi="Palatino Linotype" w:cs="Palatino Linotype"/>
          <w:color w:val="000000"/>
          <w:lang w:val="es-ES" w:eastAsia="es-MX"/>
        </w:rPr>
      </w:pPr>
      <w:r w:rsidRPr="00D317BA">
        <w:rPr>
          <w:rFonts w:ascii="Palatino Linotype" w:eastAsia="Palatino Linotype" w:hAnsi="Palatino Linotype" w:cs="Palatino Linotype"/>
          <w:color w:val="000000"/>
          <w:lang w:val="es-ES" w:eastAsia="es-MX"/>
        </w:rPr>
        <w:t>Por su parte, el artículo 178 de la Ley de Transparencia y Acceso a la Información Pública del Estado de México y Municipios, establece:</w:t>
      </w:r>
    </w:p>
    <w:p w14:paraId="733D100E" w14:textId="77777777" w:rsidR="00F72BC1" w:rsidRPr="00D317BA" w:rsidRDefault="00F72BC1" w:rsidP="00F72BC1">
      <w:pPr>
        <w:ind w:left="851" w:right="901"/>
        <w:jc w:val="both"/>
        <w:rPr>
          <w:rFonts w:ascii="Palatino Linotype" w:eastAsia="Palatino Linotype" w:hAnsi="Palatino Linotype" w:cs="Palatino Linotype"/>
          <w:i/>
          <w:color w:val="000000"/>
          <w:sz w:val="22"/>
          <w:szCs w:val="22"/>
          <w:lang w:val="es-ES" w:eastAsia="es-MX"/>
        </w:rPr>
      </w:pPr>
      <w:r w:rsidRPr="00D317BA">
        <w:rPr>
          <w:rFonts w:ascii="Palatino Linotype" w:eastAsia="Palatino Linotype" w:hAnsi="Palatino Linotype" w:cs="Palatino Linotype"/>
          <w:b/>
          <w:i/>
          <w:color w:val="000000"/>
          <w:sz w:val="22"/>
          <w:szCs w:val="22"/>
          <w:lang w:val="es-ES" w:eastAsia="es-MX"/>
        </w:rPr>
        <w:t xml:space="preserve">“Artículo 178. </w:t>
      </w:r>
      <w:r w:rsidRPr="00D317BA">
        <w:rPr>
          <w:rFonts w:ascii="Palatino Linotype" w:eastAsia="Palatino Linotype" w:hAnsi="Palatino Linotype" w:cs="Palatino Linotype"/>
          <w:i/>
          <w:color w:val="000000"/>
          <w:sz w:val="22"/>
          <w:szCs w:val="22"/>
          <w:lang w:val="es-ES" w:eastAsia="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89DDE47" w14:textId="77777777" w:rsidR="00F72BC1" w:rsidRPr="00D317BA" w:rsidRDefault="00F72BC1" w:rsidP="00F72BC1">
      <w:pPr>
        <w:ind w:left="851" w:right="901"/>
        <w:jc w:val="both"/>
        <w:rPr>
          <w:rFonts w:ascii="Palatino Linotype" w:eastAsia="Palatino Linotype" w:hAnsi="Palatino Linotype" w:cs="Palatino Linotype"/>
          <w:i/>
          <w:color w:val="000000"/>
          <w:sz w:val="22"/>
          <w:szCs w:val="22"/>
          <w:lang w:val="es-ES" w:eastAsia="es-MX"/>
        </w:rPr>
      </w:pPr>
      <w:r w:rsidRPr="00D317BA">
        <w:rPr>
          <w:rFonts w:ascii="Palatino Linotype" w:eastAsia="Palatino Linotype" w:hAnsi="Palatino Linotype" w:cs="Palatino Linotype"/>
          <w:b/>
          <w:i/>
          <w:color w:val="000000"/>
          <w:sz w:val="22"/>
          <w:szCs w:val="22"/>
          <w:u w:val="single"/>
          <w:lang w:val="es-ES" w:eastAsia="es-MX"/>
        </w:rPr>
        <w:t>A falta de respuesta del sujeto obligado, dentro de los plazos establecidos en esta Ley, a una solicitud de acceso a la información pública, el recurso podrá ser interpuesto en cualquier momento</w:t>
      </w:r>
      <w:r w:rsidRPr="00D317BA">
        <w:rPr>
          <w:rFonts w:ascii="Palatino Linotype" w:eastAsia="Palatino Linotype" w:hAnsi="Palatino Linotype" w:cs="Palatino Linotype"/>
          <w:i/>
          <w:color w:val="000000"/>
          <w:sz w:val="22"/>
          <w:szCs w:val="22"/>
          <w:lang w:val="es-ES" w:eastAsia="es-MX"/>
        </w:rPr>
        <w:t>, acompañado con el documento que pruebe la fecha en que presentó la solicitud.</w:t>
      </w:r>
    </w:p>
    <w:p w14:paraId="2B650091" w14:textId="77777777" w:rsidR="00F72BC1" w:rsidRPr="00D317BA" w:rsidRDefault="00F72BC1" w:rsidP="00F72BC1">
      <w:pPr>
        <w:ind w:left="851" w:right="901"/>
        <w:jc w:val="both"/>
        <w:rPr>
          <w:rFonts w:ascii="Palatino Linotype" w:eastAsia="Palatino Linotype" w:hAnsi="Palatino Linotype" w:cs="Palatino Linotype"/>
          <w:i/>
          <w:color w:val="000000"/>
          <w:sz w:val="22"/>
          <w:szCs w:val="22"/>
          <w:lang w:val="es-ES" w:eastAsia="es-MX"/>
        </w:rPr>
      </w:pPr>
    </w:p>
    <w:p w14:paraId="5CD38C0C" w14:textId="77777777" w:rsidR="00F72BC1" w:rsidRPr="00D317BA" w:rsidRDefault="00F72BC1" w:rsidP="00F72BC1">
      <w:pPr>
        <w:ind w:left="851" w:right="901"/>
        <w:jc w:val="both"/>
        <w:rPr>
          <w:rFonts w:ascii="Palatino Linotype" w:eastAsia="Palatino Linotype" w:hAnsi="Palatino Linotype" w:cs="Palatino Linotype"/>
          <w:i/>
          <w:color w:val="000000"/>
          <w:sz w:val="22"/>
          <w:szCs w:val="22"/>
          <w:lang w:val="es-ES" w:eastAsia="es-MX"/>
        </w:rPr>
      </w:pPr>
      <w:r w:rsidRPr="00D317BA">
        <w:rPr>
          <w:rFonts w:ascii="Palatino Linotype" w:eastAsia="Palatino Linotype" w:hAnsi="Palatino Linotype" w:cs="Palatino Linotype"/>
          <w:i/>
          <w:color w:val="000000"/>
          <w:sz w:val="22"/>
          <w:szCs w:val="22"/>
          <w:lang w:val="es-ES" w:eastAsia="es-MX"/>
        </w:rPr>
        <w:t>En el caso de que se interponga ante la Unidad de Transparencia, ésta deberá remitir el recurso de revisión al Instituto a más tardar al día siguiente de haberlo recibido.”</w:t>
      </w:r>
    </w:p>
    <w:p w14:paraId="3AB08C3D" w14:textId="77777777" w:rsidR="00F72BC1" w:rsidRPr="00D317BA" w:rsidRDefault="00F72BC1" w:rsidP="00F72BC1">
      <w:pPr>
        <w:ind w:left="851" w:right="901"/>
        <w:jc w:val="both"/>
        <w:rPr>
          <w:rFonts w:ascii="Palatino Linotype" w:eastAsia="Palatino Linotype" w:hAnsi="Palatino Linotype" w:cs="Palatino Linotype"/>
          <w:i/>
          <w:color w:val="000000"/>
          <w:sz w:val="22"/>
          <w:szCs w:val="22"/>
          <w:lang w:val="es-ES" w:eastAsia="es-MX"/>
        </w:rPr>
      </w:pPr>
      <w:r w:rsidRPr="00D317BA">
        <w:rPr>
          <w:rFonts w:ascii="Palatino Linotype" w:eastAsia="Palatino Linotype" w:hAnsi="Palatino Linotype" w:cs="Palatino Linotype"/>
          <w:i/>
          <w:color w:val="000000"/>
          <w:sz w:val="22"/>
          <w:szCs w:val="22"/>
          <w:lang w:val="es-ES" w:eastAsia="es-MX"/>
        </w:rPr>
        <w:t xml:space="preserve">(Énfasis añadido) </w:t>
      </w:r>
    </w:p>
    <w:p w14:paraId="2200DEDF" w14:textId="77777777" w:rsidR="00F72BC1" w:rsidRPr="00D317BA" w:rsidRDefault="00F72BC1" w:rsidP="00F72BC1">
      <w:pPr>
        <w:spacing w:before="100" w:beforeAutospacing="1" w:after="100" w:afterAutospacing="1" w:line="360" w:lineRule="auto"/>
        <w:jc w:val="both"/>
        <w:rPr>
          <w:rFonts w:ascii="Palatino Linotype" w:eastAsia="Palatino Linotype" w:hAnsi="Palatino Linotype" w:cs="Palatino Linotype"/>
          <w:color w:val="000000"/>
          <w:lang w:val="es-ES" w:eastAsia="es-MX"/>
        </w:rPr>
      </w:pPr>
      <w:r w:rsidRPr="00D317BA">
        <w:rPr>
          <w:rFonts w:ascii="Palatino Linotype" w:eastAsia="Palatino Linotype" w:hAnsi="Palatino Linotype" w:cs="Palatino Linotype"/>
          <w:color w:val="000000"/>
          <w:lang w:val="es-ES" w:eastAsia="es-MX"/>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D317BA">
        <w:rPr>
          <w:rFonts w:ascii="Palatino Linotype" w:eastAsia="Palatino Linotype" w:hAnsi="Palatino Linotype" w:cs="Palatino Linotype"/>
          <w:b/>
          <w:color w:val="000000"/>
          <w:lang w:val="es-ES" w:eastAsia="es-MX"/>
        </w:rPr>
        <w:t>SUJETO OBLIGADO</w:t>
      </w:r>
      <w:r w:rsidRPr="00D317BA">
        <w:rPr>
          <w:rFonts w:ascii="Palatino Linotype" w:eastAsia="Palatino Linotype" w:hAnsi="Palatino Linotype" w:cs="Palatino Linotype"/>
          <w:color w:val="000000"/>
          <w:lang w:val="es-ES" w:eastAsia="es-MX"/>
        </w:rPr>
        <w:t xml:space="preserve">; sin embargo, tratándose de negativa ficta no existe resolución que se haga del conocimiento del particular a partir de la cual pueda computarse dicho término, por tal motivo es pertinente establecer que no existe plazo para la interposición de los recursos de revisión y por tanto </w:t>
      </w:r>
      <w:r w:rsidRPr="00D317BA">
        <w:rPr>
          <w:rFonts w:ascii="Palatino Linotype" w:eastAsia="Palatino Linotype" w:hAnsi="Palatino Linotype" w:cs="Palatino Linotype"/>
          <w:b/>
          <w:color w:val="000000"/>
          <w:lang w:val="es-ES" w:eastAsia="es-MX"/>
        </w:rPr>
        <w:t xml:space="preserve">EL RECURRENTE </w:t>
      </w:r>
      <w:r w:rsidRPr="00D317BA">
        <w:rPr>
          <w:rFonts w:ascii="Palatino Linotype" w:eastAsia="Palatino Linotype" w:hAnsi="Palatino Linotype" w:cs="Palatino Linotype"/>
          <w:color w:val="000000"/>
          <w:lang w:val="es-ES" w:eastAsia="es-MX"/>
        </w:rPr>
        <w:t xml:space="preserve">está en la </w:t>
      </w:r>
      <w:r w:rsidRPr="00D317BA">
        <w:rPr>
          <w:rFonts w:ascii="Palatino Linotype" w:eastAsia="Palatino Linotype" w:hAnsi="Palatino Linotype" w:cs="Palatino Linotype"/>
          <w:color w:val="000000"/>
          <w:lang w:val="es-ES" w:eastAsia="es-MX"/>
        </w:rPr>
        <w:lastRenderedPageBreak/>
        <w:t>total libertad de presentar sus medios de impugnación en cualquier momento, consecuentemente se tiene que dichos recursos se presentaron oportunamente.</w:t>
      </w:r>
    </w:p>
    <w:p w14:paraId="1672DB45" w14:textId="77777777" w:rsidR="00931A53" w:rsidRPr="00D317BA" w:rsidRDefault="00F72BC1" w:rsidP="00931A53">
      <w:pPr>
        <w:widowControl w:val="0"/>
        <w:autoSpaceDE w:val="0"/>
        <w:autoSpaceDN w:val="0"/>
        <w:adjustRightInd w:val="0"/>
        <w:spacing w:before="100" w:beforeAutospacing="1" w:after="100" w:afterAutospacing="1" w:line="360" w:lineRule="auto"/>
        <w:jc w:val="both"/>
        <w:rPr>
          <w:rFonts w:ascii="Palatino Linotype" w:hAnsi="Palatino Linotype"/>
          <w:b/>
        </w:rPr>
      </w:pPr>
      <w:r w:rsidRPr="00D317BA">
        <w:rPr>
          <w:rFonts w:ascii="Palatino Linotype" w:eastAsia="Palatino Linotype" w:hAnsi="Palatino Linotype" w:cs="Palatino Linotype"/>
          <w:b/>
          <w:color w:val="000000"/>
          <w:sz w:val="28"/>
          <w:szCs w:val="28"/>
          <w:lang w:val="es-ES" w:eastAsia="es-MX"/>
        </w:rPr>
        <w:t>QUINTO</w:t>
      </w:r>
      <w:r w:rsidRPr="00D317BA">
        <w:rPr>
          <w:rFonts w:ascii="Palatino Linotype" w:eastAsia="Palatino Linotype" w:hAnsi="Palatino Linotype" w:cs="Palatino Linotype"/>
          <w:b/>
          <w:color w:val="000000"/>
          <w:lang w:val="es-ES" w:eastAsia="es-MX"/>
        </w:rPr>
        <w:t>. Procedibilidad.</w:t>
      </w:r>
      <w:r w:rsidRPr="00D317BA">
        <w:rPr>
          <w:rFonts w:ascii="Palatino Linotype" w:eastAsia="Palatino Linotype" w:hAnsi="Palatino Linotype" w:cs="Palatino Linotype"/>
          <w:color w:val="000000"/>
          <w:lang w:val="es-ES" w:eastAsia="es-MX"/>
        </w:rPr>
        <w:t xml:space="preserve"> </w:t>
      </w:r>
      <w:r w:rsidR="00931A53" w:rsidRPr="00D317BA">
        <w:rPr>
          <w:rFonts w:ascii="Palatino Linotype" w:hAnsi="Palatino Linotype" w:cs="Arial"/>
        </w:rPr>
        <w:t xml:space="preserve">Esta Ponencia considera importante abordar el análisis de los requisitos de procedibilidad del recurso de revisión, así que, el artículo 180 de la </w:t>
      </w:r>
      <w:r w:rsidR="00931A53" w:rsidRPr="00D317BA">
        <w:rPr>
          <w:rFonts w:ascii="Palatino Linotype" w:hAnsi="Palatino Linotype" w:cs="Arial"/>
          <w:lang w:eastAsia="es-MX"/>
        </w:rPr>
        <w:t xml:space="preserve">Ley de Transparencia y Acceso a la </w:t>
      </w:r>
      <w:r w:rsidR="00931A53" w:rsidRPr="00D317BA">
        <w:rPr>
          <w:rFonts w:ascii="Palatino Linotype" w:hAnsi="Palatino Linotype" w:cs="Arial"/>
        </w:rPr>
        <w:t>Información</w:t>
      </w:r>
      <w:r w:rsidR="00931A53" w:rsidRPr="00D317BA">
        <w:rPr>
          <w:rFonts w:ascii="Palatino Linotype" w:hAnsi="Palatino Linotype" w:cs="Arial"/>
          <w:lang w:eastAsia="es-MX"/>
        </w:rPr>
        <w:t xml:space="preserve"> Pública del Estado de México y Municipios, </w:t>
      </w:r>
      <w:r w:rsidR="00931A53" w:rsidRPr="00D317BA">
        <w:rPr>
          <w:rFonts w:ascii="Palatino Linotype" w:hAnsi="Palatino Linotype" w:cs="Arial"/>
        </w:rPr>
        <w:t>establece lo siguiente:</w:t>
      </w:r>
    </w:p>
    <w:p w14:paraId="4F5299C4" w14:textId="77777777" w:rsidR="00931A53" w:rsidRPr="00D317BA" w:rsidRDefault="00931A53" w:rsidP="00931A53">
      <w:pPr>
        <w:spacing w:line="276" w:lineRule="auto"/>
        <w:ind w:left="851" w:right="902"/>
        <w:jc w:val="both"/>
        <w:rPr>
          <w:rFonts w:ascii="Palatino Linotype" w:hAnsi="Palatino Linotype"/>
          <w:b/>
          <w:i/>
          <w:sz w:val="22"/>
          <w:szCs w:val="22"/>
        </w:rPr>
      </w:pPr>
      <w:r w:rsidRPr="00D317BA">
        <w:rPr>
          <w:rFonts w:ascii="Palatino Linotype" w:hAnsi="Palatino Linotype"/>
          <w:b/>
          <w:i/>
          <w:sz w:val="22"/>
          <w:szCs w:val="22"/>
        </w:rPr>
        <w:t xml:space="preserve">Artículo 180. </w:t>
      </w:r>
      <w:r w:rsidRPr="00D317BA">
        <w:rPr>
          <w:rFonts w:ascii="Palatino Linotype" w:hAnsi="Palatino Linotype"/>
          <w:i/>
          <w:sz w:val="22"/>
          <w:szCs w:val="22"/>
        </w:rPr>
        <w:t xml:space="preserve">El </w:t>
      </w:r>
      <w:r w:rsidRPr="00D317BA">
        <w:rPr>
          <w:rFonts w:ascii="Palatino Linotype" w:hAnsi="Palatino Linotype" w:cs="Arial"/>
          <w:i/>
          <w:sz w:val="22"/>
          <w:szCs w:val="22"/>
        </w:rPr>
        <w:t>recurso</w:t>
      </w:r>
      <w:r w:rsidRPr="00D317BA">
        <w:rPr>
          <w:rFonts w:ascii="Palatino Linotype" w:hAnsi="Palatino Linotype"/>
          <w:i/>
          <w:sz w:val="22"/>
          <w:szCs w:val="22"/>
        </w:rPr>
        <w:t xml:space="preserve"> </w:t>
      </w:r>
      <w:r w:rsidRPr="00D317BA">
        <w:rPr>
          <w:rFonts w:ascii="Palatino Linotype" w:hAnsi="Palatino Linotype" w:cs="Arial"/>
          <w:i/>
          <w:color w:val="222222"/>
          <w:sz w:val="22"/>
          <w:szCs w:val="22"/>
          <w:lang w:eastAsia="es-MX"/>
        </w:rPr>
        <w:t>de</w:t>
      </w:r>
      <w:r w:rsidRPr="00D317BA">
        <w:rPr>
          <w:rFonts w:ascii="Palatino Linotype" w:hAnsi="Palatino Linotype"/>
          <w:i/>
          <w:sz w:val="22"/>
          <w:szCs w:val="22"/>
        </w:rPr>
        <w:t xml:space="preserve"> revisión contendrá:</w:t>
      </w:r>
      <w:r w:rsidRPr="00D317BA">
        <w:rPr>
          <w:rFonts w:ascii="Palatino Linotype" w:hAnsi="Palatino Linotype"/>
          <w:b/>
          <w:i/>
          <w:sz w:val="22"/>
          <w:szCs w:val="22"/>
        </w:rPr>
        <w:t xml:space="preserve"> </w:t>
      </w:r>
    </w:p>
    <w:p w14:paraId="2EE1DAC8" w14:textId="77777777" w:rsidR="00931A53" w:rsidRPr="00D317BA" w:rsidRDefault="00931A53" w:rsidP="00931A53">
      <w:pPr>
        <w:spacing w:line="276" w:lineRule="auto"/>
        <w:ind w:left="851" w:right="902"/>
        <w:jc w:val="both"/>
        <w:rPr>
          <w:rFonts w:ascii="Palatino Linotype" w:hAnsi="Palatino Linotype"/>
          <w:b/>
          <w:i/>
          <w:sz w:val="22"/>
          <w:szCs w:val="22"/>
        </w:rPr>
      </w:pPr>
      <w:r w:rsidRPr="00D317BA">
        <w:rPr>
          <w:rFonts w:ascii="Palatino Linotype" w:hAnsi="Palatino Linotype"/>
          <w:b/>
          <w:i/>
          <w:sz w:val="22"/>
          <w:szCs w:val="22"/>
        </w:rPr>
        <w:t xml:space="preserve">I. </w:t>
      </w:r>
      <w:r w:rsidRPr="00D317BA">
        <w:rPr>
          <w:rFonts w:ascii="Palatino Linotype" w:hAnsi="Palatino Linotype"/>
          <w:i/>
          <w:sz w:val="22"/>
          <w:szCs w:val="22"/>
        </w:rPr>
        <w:t xml:space="preserve">El sujeto obligado ante </w:t>
      </w:r>
      <w:r w:rsidRPr="00D317BA">
        <w:rPr>
          <w:rFonts w:ascii="Palatino Linotype" w:hAnsi="Palatino Linotype" w:cs="Arial"/>
          <w:i/>
          <w:sz w:val="22"/>
          <w:szCs w:val="22"/>
        </w:rPr>
        <w:t>la</w:t>
      </w:r>
      <w:r w:rsidRPr="00D317BA">
        <w:rPr>
          <w:rFonts w:ascii="Palatino Linotype" w:hAnsi="Palatino Linotype"/>
          <w:i/>
          <w:sz w:val="22"/>
          <w:szCs w:val="22"/>
        </w:rPr>
        <w:t xml:space="preserve"> cual </w:t>
      </w:r>
      <w:r w:rsidRPr="00D317BA">
        <w:rPr>
          <w:rFonts w:ascii="Palatino Linotype" w:hAnsi="Palatino Linotype" w:cs="Arial"/>
          <w:i/>
          <w:color w:val="222222"/>
          <w:sz w:val="22"/>
          <w:szCs w:val="22"/>
          <w:lang w:eastAsia="es-MX"/>
        </w:rPr>
        <w:t>se</w:t>
      </w:r>
      <w:r w:rsidRPr="00D317BA">
        <w:rPr>
          <w:rFonts w:ascii="Palatino Linotype" w:hAnsi="Palatino Linotype"/>
          <w:i/>
          <w:sz w:val="22"/>
          <w:szCs w:val="22"/>
        </w:rPr>
        <w:t xml:space="preserve"> presentó la solicitud;</w:t>
      </w:r>
      <w:r w:rsidRPr="00D317BA">
        <w:rPr>
          <w:rFonts w:ascii="Palatino Linotype" w:hAnsi="Palatino Linotype"/>
          <w:b/>
          <w:i/>
          <w:sz w:val="22"/>
          <w:szCs w:val="22"/>
        </w:rPr>
        <w:t xml:space="preserve"> </w:t>
      </w:r>
    </w:p>
    <w:p w14:paraId="2992F7AF" w14:textId="77777777" w:rsidR="00931A53" w:rsidRPr="00D317BA" w:rsidRDefault="00931A53" w:rsidP="00931A53">
      <w:pPr>
        <w:spacing w:line="276" w:lineRule="auto"/>
        <w:ind w:left="851" w:right="902"/>
        <w:jc w:val="both"/>
        <w:rPr>
          <w:rFonts w:ascii="Palatino Linotype" w:hAnsi="Palatino Linotype"/>
          <w:b/>
          <w:i/>
          <w:sz w:val="22"/>
          <w:szCs w:val="22"/>
        </w:rPr>
      </w:pPr>
      <w:r w:rsidRPr="00D317BA">
        <w:rPr>
          <w:rFonts w:ascii="Palatino Linotype" w:hAnsi="Palatino Linotype"/>
          <w:b/>
          <w:i/>
          <w:sz w:val="22"/>
          <w:szCs w:val="22"/>
        </w:rPr>
        <w:t xml:space="preserve">II. El nombre del solicitante </w:t>
      </w:r>
      <w:r w:rsidRPr="00D317BA">
        <w:rPr>
          <w:rFonts w:ascii="Palatino Linotype" w:hAnsi="Palatino Linotype" w:cs="Arial"/>
          <w:b/>
          <w:i/>
          <w:color w:val="222222"/>
          <w:sz w:val="22"/>
          <w:szCs w:val="22"/>
          <w:lang w:eastAsia="es-MX"/>
        </w:rPr>
        <w:t>que</w:t>
      </w:r>
      <w:r w:rsidRPr="00D317BA">
        <w:rPr>
          <w:rFonts w:ascii="Palatino Linotype" w:hAnsi="Palatino Linotype"/>
          <w:b/>
          <w:i/>
          <w:sz w:val="22"/>
          <w:szCs w:val="22"/>
        </w:rPr>
        <w:t xml:space="preserve"> recurre </w:t>
      </w:r>
      <w:r w:rsidRPr="00D317BA">
        <w:rPr>
          <w:rFonts w:ascii="Palatino Linotype" w:hAnsi="Palatino Linotype"/>
          <w:i/>
          <w:sz w:val="22"/>
          <w:szCs w:val="22"/>
        </w:rPr>
        <w:t>o de su representante y, en su caso, del tercero interesado, así como la dirección o medio que señale para recibir notificaciones;</w:t>
      </w:r>
      <w:r w:rsidRPr="00D317BA">
        <w:rPr>
          <w:rFonts w:ascii="Palatino Linotype" w:hAnsi="Palatino Linotype"/>
          <w:b/>
          <w:i/>
          <w:sz w:val="22"/>
          <w:szCs w:val="22"/>
        </w:rPr>
        <w:t xml:space="preserve"> </w:t>
      </w:r>
    </w:p>
    <w:p w14:paraId="0634C3ED" w14:textId="77777777" w:rsidR="00931A53" w:rsidRPr="00D317BA" w:rsidRDefault="00931A53" w:rsidP="00931A53">
      <w:pPr>
        <w:spacing w:line="276" w:lineRule="auto"/>
        <w:ind w:left="851" w:right="902"/>
        <w:jc w:val="both"/>
        <w:rPr>
          <w:rFonts w:ascii="Palatino Linotype" w:hAnsi="Palatino Linotype"/>
          <w:b/>
          <w:i/>
          <w:sz w:val="22"/>
          <w:szCs w:val="22"/>
        </w:rPr>
      </w:pPr>
      <w:r w:rsidRPr="00D317BA">
        <w:rPr>
          <w:rFonts w:ascii="Palatino Linotype" w:hAnsi="Palatino Linotype"/>
          <w:b/>
          <w:i/>
          <w:sz w:val="22"/>
          <w:szCs w:val="22"/>
        </w:rPr>
        <w:t xml:space="preserve">III. </w:t>
      </w:r>
      <w:r w:rsidRPr="00D317BA">
        <w:rPr>
          <w:rFonts w:ascii="Palatino Linotype" w:hAnsi="Palatino Linotype"/>
          <w:i/>
          <w:sz w:val="22"/>
          <w:szCs w:val="22"/>
        </w:rPr>
        <w:t xml:space="preserve">El número de folio de </w:t>
      </w:r>
      <w:r w:rsidRPr="00D317BA">
        <w:rPr>
          <w:rFonts w:ascii="Palatino Linotype" w:hAnsi="Palatino Linotype" w:cs="Arial"/>
          <w:i/>
          <w:color w:val="222222"/>
          <w:sz w:val="22"/>
          <w:szCs w:val="22"/>
          <w:lang w:eastAsia="es-MX"/>
        </w:rPr>
        <w:t>respuesta</w:t>
      </w:r>
      <w:r w:rsidRPr="00D317BA">
        <w:rPr>
          <w:rFonts w:ascii="Palatino Linotype" w:hAnsi="Palatino Linotype"/>
          <w:i/>
          <w:sz w:val="22"/>
          <w:szCs w:val="22"/>
        </w:rPr>
        <w:t xml:space="preserve"> de la solicitud de acceso; </w:t>
      </w:r>
    </w:p>
    <w:p w14:paraId="314D1C49" w14:textId="77777777" w:rsidR="00931A53" w:rsidRPr="00D317BA" w:rsidRDefault="00931A53" w:rsidP="00931A53">
      <w:pPr>
        <w:spacing w:line="276" w:lineRule="auto"/>
        <w:ind w:left="851" w:right="902"/>
        <w:jc w:val="both"/>
        <w:rPr>
          <w:rFonts w:ascii="Palatino Linotype" w:hAnsi="Palatino Linotype"/>
          <w:b/>
          <w:i/>
          <w:sz w:val="22"/>
          <w:szCs w:val="22"/>
        </w:rPr>
      </w:pPr>
      <w:r w:rsidRPr="00D317BA">
        <w:rPr>
          <w:rFonts w:ascii="Palatino Linotype" w:hAnsi="Palatino Linotype"/>
          <w:b/>
          <w:i/>
          <w:sz w:val="22"/>
          <w:szCs w:val="22"/>
        </w:rPr>
        <w:t xml:space="preserve">IV. </w:t>
      </w:r>
      <w:r w:rsidRPr="00D317BA">
        <w:rPr>
          <w:rFonts w:ascii="Palatino Linotype" w:hAnsi="Palatino Linotype"/>
          <w:i/>
          <w:sz w:val="22"/>
          <w:szCs w:val="22"/>
        </w:rPr>
        <w:t xml:space="preserve">La fecha en que fue </w:t>
      </w:r>
      <w:r w:rsidRPr="00D317BA">
        <w:rPr>
          <w:rFonts w:ascii="Palatino Linotype" w:hAnsi="Palatino Linotype" w:cs="Arial"/>
          <w:i/>
          <w:color w:val="222222"/>
          <w:sz w:val="22"/>
          <w:szCs w:val="22"/>
          <w:lang w:eastAsia="es-MX"/>
        </w:rPr>
        <w:t>notificada</w:t>
      </w:r>
      <w:r w:rsidRPr="00D317BA">
        <w:rPr>
          <w:rFonts w:ascii="Palatino Linotype" w:hAnsi="Palatino Linotype"/>
          <w:i/>
          <w:sz w:val="22"/>
          <w:szCs w:val="22"/>
        </w:rPr>
        <w:t xml:space="preserve"> la respuesta al solicitante o tuvo conocimiento del acto reclamado, o de presentación de la solicitud, en caso de falta de respuesta;</w:t>
      </w:r>
      <w:r w:rsidRPr="00D317BA">
        <w:rPr>
          <w:rFonts w:ascii="Palatino Linotype" w:hAnsi="Palatino Linotype"/>
          <w:b/>
          <w:i/>
          <w:sz w:val="22"/>
          <w:szCs w:val="22"/>
        </w:rPr>
        <w:t xml:space="preserve"> </w:t>
      </w:r>
    </w:p>
    <w:p w14:paraId="7642F768" w14:textId="77777777" w:rsidR="00931A53" w:rsidRPr="00D317BA" w:rsidRDefault="00931A53" w:rsidP="00931A53">
      <w:pPr>
        <w:spacing w:line="276" w:lineRule="auto"/>
        <w:ind w:left="851" w:right="902"/>
        <w:jc w:val="both"/>
        <w:rPr>
          <w:rFonts w:ascii="Palatino Linotype" w:hAnsi="Palatino Linotype"/>
          <w:b/>
          <w:i/>
          <w:sz w:val="22"/>
          <w:szCs w:val="22"/>
        </w:rPr>
      </w:pPr>
      <w:r w:rsidRPr="00D317BA">
        <w:rPr>
          <w:rFonts w:ascii="Palatino Linotype" w:hAnsi="Palatino Linotype"/>
          <w:b/>
          <w:i/>
          <w:sz w:val="22"/>
          <w:szCs w:val="22"/>
        </w:rPr>
        <w:t xml:space="preserve">V. </w:t>
      </w:r>
      <w:r w:rsidRPr="00D317BA">
        <w:rPr>
          <w:rFonts w:ascii="Palatino Linotype" w:hAnsi="Palatino Linotype"/>
          <w:i/>
          <w:sz w:val="22"/>
          <w:szCs w:val="22"/>
        </w:rPr>
        <w:t xml:space="preserve">El acto que se </w:t>
      </w:r>
      <w:r w:rsidRPr="00D317BA">
        <w:rPr>
          <w:rFonts w:ascii="Palatino Linotype" w:hAnsi="Palatino Linotype" w:cs="Arial"/>
          <w:i/>
          <w:color w:val="222222"/>
          <w:sz w:val="22"/>
          <w:szCs w:val="22"/>
          <w:lang w:eastAsia="es-MX"/>
        </w:rPr>
        <w:t>recurre</w:t>
      </w:r>
      <w:r w:rsidRPr="00D317BA">
        <w:rPr>
          <w:rFonts w:ascii="Palatino Linotype" w:hAnsi="Palatino Linotype"/>
          <w:i/>
          <w:sz w:val="22"/>
          <w:szCs w:val="22"/>
        </w:rPr>
        <w:t>;</w:t>
      </w:r>
      <w:r w:rsidRPr="00D317BA">
        <w:rPr>
          <w:rFonts w:ascii="Palatino Linotype" w:hAnsi="Palatino Linotype"/>
          <w:b/>
          <w:i/>
          <w:sz w:val="22"/>
          <w:szCs w:val="22"/>
        </w:rPr>
        <w:t xml:space="preserve"> </w:t>
      </w:r>
    </w:p>
    <w:p w14:paraId="021A374A" w14:textId="77777777" w:rsidR="00931A53" w:rsidRPr="00D317BA" w:rsidRDefault="00931A53" w:rsidP="00931A53">
      <w:pPr>
        <w:spacing w:line="276" w:lineRule="auto"/>
        <w:ind w:left="851" w:right="902"/>
        <w:jc w:val="both"/>
        <w:rPr>
          <w:rFonts w:ascii="Palatino Linotype" w:hAnsi="Palatino Linotype"/>
          <w:b/>
          <w:i/>
          <w:sz w:val="22"/>
          <w:szCs w:val="22"/>
        </w:rPr>
      </w:pPr>
      <w:r w:rsidRPr="00D317BA">
        <w:rPr>
          <w:rFonts w:ascii="Palatino Linotype" w:hAnsi="Palatino Linotype"/>
          <w:b/>
          <w:i/>
          <w:sz w:val="22"/>
          <w:szCs w:val="22"/>
        </w:rPr>
        <w:t xml:space="preserve">VI. </w:t>
      </w:r>
      <w:r w:rsidRPr="00D317BA">
        <w:rPr>
          <w:rFonts w:ascii="Palatino Linotype" w:hAnsi="Palatino Linotype"/>
          <w:i/>
          <w:sz w:val="22"/>
          <w:szCs w:val="22"/>
        </w:rPr>
        <w:t xml:space="preserve">Las razones o </w:t>
      </w:r>
      <w:r w:rsidRPr="00D317BA">
        <w:rPr>
          <w:rFonts w:ascii="Palatino Linotype" w:hAnsi="Palatino Linotype" w:cs="Arial"/>
          <w:i/>
          <w:color w:val="222222"/>
          <w:sz w:val="22"/>
          <w:szCs w:val="22"/>
          <w:lang w:eastAsia="es-MX"/>
        </w:rPr>
        <w:t>motivos</w:t>
      </w:r>
      <w:r w:rsidRPr="00D317BA">
        <w:rPr>
          <w:rFonts w:ascii="Palatino Linotype" w:hAnsi="Palatino Linotype"/>
          <w:i/>
          <w:sz w:val="22"/>
          <w:szCs w:val="22"/>
        </w:rPr>
        <w:t xml:space="preserve"> de inconformidad;</w:t>
      </w:r>
      <w:r w:rsidRPr="00D317BA">
        <w:rPr>
          <w:rFonts w:ascii="Palatino Linotype" w:hAnsi="Palatino Linotype"/>
          <w:b/>
          <w:i/>
          <w:sz w:val="22"/>
          <w:szCs w:val="22"/>
        </w:rPr>
        <w:t xml:space="preserve"> </w:t>
      </w:r>
    </w:p>
    <w:p w14:paraId="42C7B194" w14:textId="77777777" w:rsidR="00931A53" w:rsidRPr="00D317BA" w:rsidRDefault="00931A53" w:rsidP="00931A53">
      <w:pPr>
        <w:spacing w:line="276" w:lineRule="auto"/>
        <w:ind w:left="851" w:right="902"/>
        <w:jc w:val="both"/>
        <w:rPr>
          <w:rFonts w:ascii="Palatino Linotype" w:hAnsi="Palatino Linotype"/>
          <w:b/>
          <w:i/>
          <w:sz w:val="22"/>
          <w:szCs w:val="22"/>
        </w:rPr>
      </w:pPr>
      <w:r w:rsidRPr="00D317BA">
        <w:rPr>
          <w:rFonts w:ascii="Palatino Linotype" w:hAnsi="Palatino Linotype"/>
          <w:b/>
          <w:i/>
          <w:sz w:val="22"/>
          <w:szCs w:val="22"/>
        </w:rPr>
        <w:t xml:space="preserve">VII. </w:t>
      </w:r>
      <w:r w:rsidRPr="00D317BA">
        <w:rPr>
          <w:rFonts w:ascii="Palatino Linotype" w:hAnsi="Palatino Linotype"/>
          <w:i/>
          <w:sz w:val="22"/>
          <w:szCs w:val="22"/>
        </w:rPr>
        <w:t>La copia de la respuesta que se impugna y, en su caso, de la notificación correspondiente, en el caso de respuesta de la solicitud; y</w:t>
      </w:r>
      <w:r w:rsidRPr="00D317BA">
        <w:rPr>
          <w:rFonts w:ascii="Palatino Linotype" w:hAnsi="Palatino Linotype"/>
          <w:b/>
          <w:i/>
          <w:sz w:val="22"/>
          <w:szCs w:val="22"/>
        </w:rPr>
        <w:t xml:space="preserve"> </w:t>
      </w:r>
    </w:p>
    <w:p w14:paraId="01F44E3E"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b/>
          <w:i/>
          <w:sz w:val="22"/>
          <w:szCs w:val="22"/>
        </w:rPr>
        <w:t xml:space="preserve">VIII. </w:t>
      </w:r>
      <w:r w:rsidRPr="00D317BA">
        <w:rPr>
          <w:rFonts w:ascii="Palatino Linotype" w:hAnsi="Palatino Linotype"/>
          <w:i/>
          <w:sz w:val="22"/>
          <w:szCs w:val="22"/>
        </w:rPr>
        <w:t xml:space="preserve">Firma del recurrente, en su caso, cuando se presente por escrito, requisito sin el cual se dará trámite al recurso. </w:t>
      </w:r>
    </w:p>
    <w:p w14:paraId="146A51FB"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i/>
          <w:sz w:val="22"/>
          <w:szCs w:val="22"/>
        </w:rPr>
        <w:t xml:space="preserve">Adicionalmente, se podrán anexar las pruebas y demás elementos que considere procedentes someter a juicio del Instituto. </w:t>
      </w:r>
    </w:p>
    <w:p w14:paraId="4DD7B92A"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i/>
          <w:sz w:val="22"/>
          <w:szCs w:val="22"/>
        </w:rPr>
        <w:t xml:space="preserve">En ningún caso será necesario que el particular ratifique el recurso de revisión interpuesto. </w:t>
      </w:r>
    </w:p>
    <w:p w14:paraId="67E76CD4"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b/>
          <w:i/>
          <w:sz w:val="22"/>
          <w:szCs w:val="22"/>
        </w:rPr>
        <w:t xml:space="preserve">En caso de </w:t>
      </w:r>
      <w:r w:rsidRPr="00D317BA">
        <w:rPr>
          <w:rFonts w:ascii="Palatino Linotype" w:hAnsi="Palatino Linotype" w:cs="Arial"/>
          <w:b/>
          <w:i/>
          <w:color w:val="222222"/>
          <w:sz w:val="22"/>
          <w:szCs w:val="22"/>
          <w:lang w:eastAsia="es-MX"/>
        </w:rPr>
        <w:t>que</w:t>
      </w:r>
      <w:r w:rsidRPr="00D317BA">
        <w:rPr>
          <w:rFonts w:ascii="Palatino Linotype" w:hAnsi="Palatino Linotype"/>
          <w:b/>
          <w:i/>
          <w:sz w:val="22"/>
          <w:szCs w:val="22"/>
        </w:rPr>
        <w:t xml:space="preserve"> el recurso se interponga de manera electrónica no será indispensable que contengan los requisitos establecidos en las fracciones II</w:t>
      </w:r>
      <w:r w:rsidRPr="00D317BA">
        <w:rPr>
          <w:rFonts w:ascii="Palatino Linotype" w:hAnsi="Palatino Linotype"/>
          <w:i/>
          <w:sz w:val="22"/>
          <w:szCs w:val="22"/>
        </w:rPr>
        <w:t xml:space="preserve">, IV, VII y VIII. </w:t>
      </w:r>
    </w:p>
    <w:p w14:paraId="3446E26C"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i/>
          <w:sz w:val="22"/>
          <w:szCs w:val="22"/>
        </w:rPr>
        <w:t>(Énfasis añadido)</w:t>
      </w:r>
    </w:p>
    <w:p w14:paraId="1E69282C" w14:textId="77777777" w:rsidR="00931A53" w:rsidRPr="00D317BA" w:rsidRDefault="00931A53" w:rsidP="00931A53">
      <w:pPr>
        <w:spacing w:before="100" w:beforeAutospacing="1" w:after="100" w:afterAutospacing="1" w:line="360" w:lineRule="auto"/>
        <w:jc w:val="both"/>
        <w:rPr>
          <w:rFonts w:ascii="Palatino Linotype" w:hAnsi="Palatino Linotype"/>
        </w:rPr>
      </w:pPr>
      <w:r w:rsidRPr="00D317BA">
        <w:rPr>
          <w:rFonts w:ascii="Palatino Linotype" w:hAnsi="Palatino Linotype"/>
        </w:rPr>
        <w:lastRenderedPageBreak/>
        <w:t xml:space="preserve">En principio, de una interpretación del artículo transcrito se observa que los requisitos que </w:t>
      </w:r>
      <w:r w:rsidRPr="00D317BA">
        <w:rPr>
          <w:rFonts w:ascii="Palatino Linotype" w:hAnsi="Palatino Linotype" w:cs="Arial"/>
        </w:rPr>
        <w:t>deberán</w:t>
      </w:r>
      <w:r w:rsidRPr="00D317BA">
        <w:rPr>
          <w:rFonts w:ascii="Palatino Linotype" w:hAnsi="Palatino Linotype"/>
        </w:rPr>
        <w:t xml:space="preserve"> </w:t>
      </w:r>
      <w:r w:rsidRPr="00D317BA">
        <w:rPr>
          <w:rFonts w:ascii="Palatino Linotype" w:hAnsi="Palatino Linotype" w:cs="Arial"/>
        </w:rPr>
        <w:t>contener</w:t>
      </w:r>
      <w:r w:rsidRPr="00D317BA">
        <w:rPr>
          <w:rFonts w:ascii="Palatino Linotype" w:hAnsi="Palatino Linotype"/>
        </w:rPr>
        <w:t xml:space="preserve"> los recursos de revisión; sobre el particular, de la revisión del expediente electrónico del </w:t>
      </w:r>
      <w:r w:rsidRPr="00D317BA">
        <w:rPr>
          <w:rFonts w:ascii="Palatino Linotype" w:hAnsi="Palatino Linotype"/>
          <w:b/>
        </w:rPr>
        <w:t>SAIMEX</w:t>
      </w:r>
      <w:r w:rsidRPr="00D317BA">
        <w:rPr>
          <w:rFonts w:ascii="Palatino Linotype" w:hAnsi="Palatino Linotype"/>
        </w:rPr>
        <w:t xml:space="preserve"> se desprende que la parte solicitante y ahora </w:t>
      </w:r>
      <w:r w:rsidRPr="00D317BA">
        <w:rPr>
          <w:rFonts w:ascii="Palatino Linotype" w:hAnsi="Palatino Linotype"/>
          <w:b/>
        </w:rPr>
        <w:t>RECURRENTE</w:t>
      </w:r>
      <w:r w:rsidRPr="00D317BA">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D317BA">
        <w:rPr>
          <w:rFonts w:ascii="Palatino Linotype" w:hAnsi="Palatino Linotype" w:cs="Arial"/>
        </w:rPr>
        <w:t>no</w:t>
      </w:r>
      <w:r w:rsidRPr="00D317BA">
        <w:rPr>
          <w:rFonts w:ascii="Palatino Linotype" w:hAnsi="Palatino Linotype"/>
        </w:rPr>
        <w:t xml:space="preserve"> se colmen los requisitos establecidos en el citado artículo 180 de la Ley de Transparencia.</w:t>
      </w:r>
    </w:p>
    <w:p w14:paraId="4336D8C8" w14:textId="77777777" w:rsidR="00931A53" w:rsidRPr="00D317BA" w:rsidRDefault="00931A53" w:rsidP="00931A53">
      <w:pPr>
        <w:spacing w:before="100" w:beforeAutospacing="1" w:after="100" w:afterAutospacing="1" w:line="360" w:lineRule="auto"/>
        <w:jc w:val="both"/>
        <w:rPr>
          <w:rFonts w:ascii="Palatino Linotype" w:hAnsi="Palatino Linotype" w:cs="Arial"/>
          <w:color w:val="000000"/>
        </w:rPr>
      </w:pPr>
      <w:r w:rsidRPr="00D317BA">
        <w:rPr>
          <w:rFonts w:ascii="Palatino Linotype" w:hAnsi="Palatino Linotype"/>
        </w:rPr>
        <w:t xml:space="preserve">Empero lo anterior, debe destacarse que el artículo 15 de </w:t>
      </w:r>
      <w:r w:rsidRPr="00D317BA">
        <w:rPr>
          <w:rFonts w:ascii="Palatino Linotype" w:hAnsi="Palatino Linotype" w:cs="Arial"/>
          <w:lang w:eastAsia="es-MX"/>
        </w:rPr>
        <w:t xml:space="preserve">Ley de Transparencia y Acceso a la </w:t>
      </w:r>
      <w:r w:rsidRPr="00D317BA">
        <w:rPr>
          <w:rFonts w:ascii="Palatino Linotype" w:hAnsi="Palatino Linotype" w:cs="Arial"/>
        </w:rPr>
        <w:t>Información</w:t>
      </w:r>
      <w:r w:rsidRPr="00D317BA">
        <w:rPr>
          <w:rFonts w:ascii="Palatino Linotype" w:hAnsi="Palatino Linotype" w:cs="Arial"/>
          <w:lang w:eastAsia="es-MX"/>
        </w:rPr>
        <w:t xml:space="preserve"> Pública del Estado de México y Municipios </w:t>
      </w:r>
      <w:r w:rsidRPr="00D317BA">
        <w:rPr>
          <w:rFonts w:ascii="Palatino Linotype" w:hAnsi="Palatino Linotype" w:cs="Arial"/>
          <w:iCs/>
        </w:rPr>
        <w:t xml:space="preserve">prevé que, </w:t>
      </w:r>
      <w:r w:rsidRPr="00D317BA">
        <w:rPr>
          <w:rFonts w:ascii="Palatino Linotype" w:hAnsi="Palatino Linotype"/>
        </w:rPr>
        <w:t xml:space="preserve">toda persona tendrá acceso a la información </w:t>
      </w:r>
      <w:r w:rsidRPr="00D317BA">
        <w:rPr>
          <w:rFonts w:ascii="Palatino Linotype" w:hAnsi="Palatino Linotype" w:cs="Arial"/>
          <w:color w:val="000000"/>
        </w:rPr>
        <w:t xml:space="preserve">sin necesidad de acreditar interés alguno o justificar su utilización, de lo que se infiere que para el </w:t>
      </w:r>
      <w:r w:rsidRPr="00D317BA">
        <w:rPr>
          <w:rFonts w:ascii="Palatino Linotype" w:hAnsi="Palatino Linotype"/>
        </w:rPr>
        <w:t>ejercicio</w:t>
      </w:r>
      <w:r w:rsidRPr="00D317BA">
        <w:rPr>
          <w:rFonts w:ascii="Palatino Linotype" w:hAnsi="Palatino Linotype" w:cs="Arial"/>
          <w:color w:val="000000"/>
        </w:rPr>
        <w:t xml:space="preserve"> del derecho de acceso a la información pública, </w:t>
      </w:r>
      <w:r w:rsidRPr="00D317BA">
        <w:rPr>
          <w:rFonts w:ascii="Palatino Linotype" w:hAnsi="Palatino Linotype" w:cs="Arial"/>
          <w:b/>
          <w:color w:val="000000"/>
        </w:rPr>
        <w:t xml:space="preserve">el nombre no es un requisito </w:t>
      </w:r>
      <w:r w:rsidRPr="00D317BA">
        <w:rPr>
          <w:rFonts w:ascii="Palatino Linotype" w:hAnsi="Palatino Linotype" w:cs="Arial"/>
          <w:b/>
          <w:i/>
          <w:color w:val="000000"/>
        </w:rPr>
        <w:t>sine qua non</w:t>
      </w:r>
      <w:r w:rsidRPr="00D317B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A273E5C" w14:textId="77777777" w:rsidR="00931A53" w:rsidRPr="00D317BA" w:rsidRDefault="00931A53" w:rsidP="00931A53">
      <w:pPr>
        <w:spacing w:before="100" w:beforeAutospacing="1" w:after="100" w:afterAutospacing="1" w:line="360" w:lineRule="auto"/>
        <w:jc w:val="both"/>
        <w:rPr>
          <w:rFonts w:ascii="Palatino Linotype" w:hAnsi="Palatino Linotype" w:cstheme="minorBidi"/>
        </w:rPr>
      </w:pPr>
      <w:r w:rsidRPr="00D317BA">
        <w:rPr>
          <w:rFonts w:ascii="Palatino Linotype" w:hAnsi="Palatino Linotype"/>
        </w:rPr>
        <w:t xml:space="preserve">Correlativo a ello, cabe mencionar que los artículos 6, Apartado A, fracciones I, III, V y VI de la </w:t>
      </w:r>
      <w:r w:rsidRPr="00D317BA">
        <w:rPr>
          <w:rFonts w:ascii="Palatino Linotype" w:hAnsi="Palatino Linotype" w:cs="Arial"/>
        </w:rPr>
        <w:t>Constitución</w:t>
      </w:r>
      <w:r w:rsidRPr="00D317BA">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w:t>
      </w:r>
      <w:r w:rsidRPr="00D317BA">
        <w:rPr>
          <w:rFonts w:ascii="Palatino Linotype" w:hAnsi="Palatino Linotype"/>
        </w:rPr>
        <w:lastRenderedPageBreak/>
        <w:t>acceso gratuito a la información pública; preceptos cuyo texto y sentido literal es el siguiente:</w:t>
      </w:r>
    </w:p>
    <w:p w14:paraId="3E9010C2" w14:textId="77777777" w:rsidR="00931A53" w:rsidRPr="00D317BA" w:rsidRDefault="00931A53" w:rsidP="00931A53">
      <w:pPr>
        <w:spacing w:line="276" w:lineRule="auto"/>
        <w:ind w:left="851" w:right="902"/>
        <w:jc w:val="center"/>
        <w:rPr>
          <w:rFonts w:ascii="Palatino Linotype" w:hAnsi="Palatino Linotype" w:cs="Arial"/>
          <w:b/>
          <w:i/>
          <w:sz w:val="22"/>
          <w:szCs w:val="22"/>
        </w:rPr>
      </w:pPr>
      <w:r w:rsidRPr="00D317BA">
        <w:rPr>
          <w:rFonts w:ascii="Palatino Linotype" w:hAnsi="Palatino Linotype" w:cs="Arial"/>
          <w:b/>
          <w:i/>
          <w:sz w:val="22"/>
          <w:szCs w:val="22"/>
        </w:rPr>
        <w:t>Constitución Política de los Estados Unidos Mexicanos</w:t>
      </w:r>
    </w:p>
    <w:p w14:paraId="37DFCB4D"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w:t>
      </w:r>
      <w:r w:rsidRPr="00D317BA">
        <w:rPr>
          <w:rFonts w:ascii="Palatino Linotype" w:hAnsi="Palatino Linotype" w:cs="Arial"/>
          <w:b/>
          <w:i/>
          <w:sz w:val="22"/>
          <w:szCs w:val="22"/>
        </w:rPr>
        <w:t>Artículo 6o.</w:t>
      </w:r>
      <w:r w:rsidRPr="00D317B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317BA">
        <w:rPr>
          <w:rFonts w:ascii="Palatino Linotype" w:hAnsi="Palatino Linotype" w:cs="Arial"/>
          <w:b/>
          <w:i/>
          <w:sz w:val="22"/>
          <w:szCs w:val="22"/>
        </w:rPr>
        <w:t>El derecho a la información será garantizado por el Estado.</w:t>
      </w:r>
      <w:r w:rsidRPr="00D317BA">
        <w:rPr>
          <w:rFonts w:ascii="Palatino Linotype" w:hAnsi="Palatino Linotype" w:cs="Arial"/>
          <w:i/>
          <w:sz w:val="22"/>
          <w:szCs w:val="22"/>
        </w:rPr>
        <w:t xml:space="preserve"> </w:t>
      </w:r>
    </w:p>
    <w:p w14:paraId="1F87273C"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b/>
          <w:i/>
          <w:sz w:val="22"/>
          <w:szCs w:val="22"/>
        </w:rPr>
        <w:t xml:space="preserve">Toda persona tiene </w:t>
      </w:r>
      <w:r w:rsidRPr="00D317BA">
        <w:rPr>
          <w:rFonts w:ascii="Palatino Linotype" w:hAnsi="Palatino Linotype"/>
          <w:b/>
          <w:i/>
          <w:sz w:val="22"/>
          <w:szCs w:val="22"/>
        </w:rPr>
        <w:t>derecho</w:t>
      </w:r>
      <w:r w:rsidRPr="00D317BA">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D317BA">
        <w:rPr>
          <w:rFonts w:ascii="Palatino Linotype" w:hAnsi="Palatino Linotype" w:cs="Arial"/>
          <w:i/>
          <w:sz w:val="22"/>
          <w:szCs w:val="22"/>
        </w:rPr>
        <w:t>.</w:t>
      </w:r>
    </w:p>
    <w:p w14:paraId="1EF8EF9B"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 xml:space="preserve">Para efectos de lo </w:t>
      </w:r>
      <w:r w:rsidRPr="00D317BA">
        <w:rPr>
          <w:rFonts w:ascii="Palatino Linotype" w:hAnsi="Palatino Linotype"/>
          <w:i/>
          <w:sz w:val="22"/>
          <w:szCs w:val="22"/>
        </w:rPr>
        <w:t>dispuesto</w:t>
      </w:r>
      <w:r w:rsidRPr="00D317BA">
        <w:rPr>
          <w:rFonts w:ascii="Palatino Linotype" w:hAnsi="Palatino Linotype" w:cs="Arial"/>
          <w:i/>
          <w:sz w:val="22"/>
          <w:szCs w:val="22"/>
        </w:rPr>
        <w:t xml:space="preserve"> en el presente artículo se observará lo siguiente:</w:t>
      </w:r>
    </w:p>
    <w:p w14:paraId="4F0CD9BC"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b/>
          <w:i/>
          <w:sz w:val="22"/>
          <w:szCs w:val="22"/>
        </w:rPr>
        <w:t>A.</w:t>
      </w:r>
      <w:r w:rsidRPr="00D317B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3B09E5A0" w14:textId="77777777" w:rsidR="00931A53" w:rsidRPr="00D317BA" w:rsidRDefault="00931A53" w:rsidP="00931A53">
      <w:pPr>
        <w:spacing w:line="276" w:lineRule="auto"/>
        <w:ind w:left="851" w:right="902"/>
        <w:jc w:val="both"/>
        <w:rPr>
          <w:rFonts w:ascii="Palatino Linotype" w:hAnsi="Palatino Linotype" w:cs="Arial"/>
          <w:b/>
          <w:i/>
          <w:sz w:val="22"/>
          <w:szCs w:val="22"/>
        </w:rPr>
      </w:pPr>
      <w:r w:rsidRPr="00D317BA">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5BB0D49"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w:t>
      </w:r>
    </w:p>
    <w:p w14:paraId="73F95B0B" w14:textId="77777777" w:rsidR="00931A53" w:rsidRPr="00D317BA" w:rsidRDefault="00931A53" w:rsidP="00931A53">
      <w:pPr>
        <w:spacing w:line="276" w:lineRule="auto"/>
        <w:ind w:left="851" w:right="902"/>
        <w:jc w:val="both"/>
        <w:rPr>
          <w:rFonts w:ascii="Palatino Linotype" w:hAnsi="Palatino Linotype" w:cs="Arial"/>
          <w:b/>
          <w:i/>
          <w:sz w:val="22"/>
          <w:szCs w:val="22"/>
        </w:rPr>
      </w:pPr>
      <w:r w:rsidRPr="00D317BA">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4026B7AC"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w:t>
      </w:r>
    </w:p>
    <w:p w14:paraId="286112EF" w14:textId="77777777" w:rsidR="00931A53" w:rsidRPr="00D317BA" w:rsidRDefault="00931A53" w:rsidP="00931A53">
      <w:pPr>
        <w:spacing w:line="276" w:lineRule="auto"/>
        <w:ind w:left="851" w:right="902"/>
        <w:jc w:val="both"/>
        <w:rPr>
          <w:rFonts w:ascii="Palatino Linotype" w:hAnsi="Palatino Linotype" w:cs="Arial"/>
          <w:b/>
          <w:i/>
          <w:sz w:val="22"/>
          <w:szCs w:val="22"/>
        </w:rPr>
      </w:pPr>
      <w:r w:rsidRPr="00D317BA">
        <w:rPr>
          <w:rFonts w:ascii="Palatino Linotype" w:hAnsi="Palatino Linotype" w:cs="Arial"/>
          <w:b/>
          <w:i/>
          <w:sz w:val="22"/>
          <w:szCs w:val="22"/>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F201F4F" w14:textId="77777777" w:rsidR="00931A53" w:rsidRPr="00D317BA" w:rsidRDefault="00931A53" w:rsidP="00931A53">
      <w:pPr>
        <w:spacing w:line="276" w:lineRule="auto"/>
        <w:ind w:left="851" w:right="902"/>
        <w:jc w:val="both"/>
        <w:rPr>
          <w:rFonts w:ascii="Palatino Linotype" w:hAnsi="Palatino Linotype" w:cs="Arial"/>
          <w:b/>
          <w:i/>
          <w:sz w:val="22"/>
          <w:szCs w:val="22"/>
        </w:rPr>
      </w:pPr>
      <w:r w:rsidRPr="00D317BA">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D317BA">
        <w:rPr>
          <w:rFonts w:ascii="Palatino Linotype" w:hAnsi="Palatino Linotype" w:cs="Arial"/>
          <w:i/>
          <w:sz w:val="22"/>
          <w:szCs w:val="22"/>
        </w:rPr>
        <w:t>.”</w:t>
      </w:r>
    </w:p>
    <w:p w14:paraId="7E5DF449"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w:t>
      </w:r>
    </w:p>
    <w:p w14:paraId="75718582" w14:textId="77777777" w:rsidR="00931A53" w:rsidRPr="00D317BA" w:rsidRDefault="00931A53" w:rsidP="00931A53">
      <w:pPr>
        <w:spacing w:line="276" w:lineRule="auto"/>
        <w:ind w:left="851" w:right="902"/>
        <w:jc w:val="both"/>
        <w:rPr>
          <w:rFonts w:ascii="Palatino Linotype" w:hAnsi="Palatino Linotype" w:cs="Arial"/>
          <w:b/>
          <w:i/>
          <w:sz w:val="22"/>
          <w:szCs w:val="22"/>
        </w:rPr>
      </w:pPr>
      <w:r w:rsidRPr="00D317BA">
        <w:rPr>
          <w:rFonts w:ascii="Palatino Linotype" w:hAnsi="Palatino Linotype" w:cs="Arial"/>
          <w:b/>
          <w:i/>
          <w:sz w:val="22"/>
          <w:szCs w:val="22"/>
        </w:rPr>
        <w:t>La ley establecerá aquella información que se considere reservada o confidencial.</w:t>
      </w:r>
    </w:p>
    <w:p w14:paraId="1F1BC922" w14:textId="77777777" w:rsidR="00931A53" w:rsidRPr="00D317BA" w:rsidRDefault="00931A53" w:rsidP="00931A53">
      <w:pPr>
        <w:spacing w:line="276" w:lineRule="auto"/>
        <w:ind w:left="851" w:right="902"/>
        <w:jc w:val="center"/>
        <w:rPr>
          <w:rFonts w:ascii="Palatino Linotype" w:hAnsi="Palatino Linotype" w:cs="Arial"/>
          <w:b/>
          <w:i/>
          <w:sz w:val="22"/>
          <w:szCs w:val="22"/>
        </w:rPr>
      </w:pPr>
      <w:r w:rsidRPr="00D317BA">
        <w:rPr>
          <w:rFonts w:ascii="Palatino Linotype" w:hAnsi="Palatino Linotype" w:cs="Arial"/>
          <w:b/>
          <w:i/>
          <w:sz w:val="22"/>
          <w:szCs w:val="22"/>
        </w:rPr>
        <w:t>Constitución Política del Estado Libre y Soberano de México</w:t>
      </w:r>
    </w:p>
    <w:p w14:paraId="07FFEF67"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w:t>
      </w:r>
      <w:r w:rsidRPr="00D317BA">
        <w:rPr>
          <w:rFonts w:ascii="Palatino Linotype" w:hAnsi="Palatino Linotype" w:cs="Arial"/>
          <w:b/>
          <w:i/>
          <w:sz w:val="22"/>
          <w:szCs w:val="22"/>
        </w:rPr>
        <w:t xml:space="preserve">Artículo 5. </w:t>
      </w:r>
      <w:r w:rsidRPr="00D317BA">
        <w:rPr>
          <w:rFonts w:ascii="Palatino Linotype" w:hAnsi="Palatino Linotype" w:cs="Arial"/>
          <w:i/>
          <w:sz w:val="22"/>
          <w:szCs w:val="22"/>
        </w:rPr>
        <w:t xml:space="preserve">… </w:t>
      </w:r>
    </w:p>
    <w:p w14:paraId="008FF1ED" w14:textId="77777777" w:rsidR="00931A53" w:rsidRPr="00D317BA" w:rsidRDefault="00931A53" w:rsidP="00931A53">
      <w:pPr>
        <w:spacing w:line="276" w:lineRule="auto"/>
        <w:ind w:left="851" w:right="902"/>
        <w:jc w:val="both"/>
        <w:rPr>
          <w:rFonts w:ascii="Palatino Linotype" w:hAnsi="Palatino Linotype" w:cstheme="minorBidi"/>
          <w:i/>
          <w:sz w:val="22"/>
          <w:szCs w:val="22"/>
        </w:rPr>
      </w:pPr>
      <w:r w:rsidRPr="00D317BA">
        <w:rPr>
          <w:rFonts w:ascii="Palatino Linotype" w:hAnsi="Palatino Linotype"/>
          <w:i/>
          <w:sz w:val="22"/>
          <w:szCs w:val="22"/>
        </w:rPr>
        <w:t>…</w:t>
      </w:r>
    </w:p>
    <w:p w14:paraId="2D40CAB8"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b/>
          <w:i/>
          <w:sz w:val="22"/>
          <w:szCs w:val="22"/>
        </w:rPr>
        <w:t>El derecho a la información será garantizado por el Estado</w:t>
      </w:r>
      <w:r w:rsidRPr="00D317BA">
        <w:rPr>
          <w:rFonts w:ascii="Palatino Linotype" w:hAnsi="Palatino Linotype"/>
          <w:i/>
          <w:sz w:val="22"/>
          <w:szCs w:val="22"/>
        </w:rPr>
        <w:t>. La ley establecerá las previsiones que permitan asegurar la protección, el respeto y la difusión de este derecho.</w:t>
      </w:r>
    </w:p>
    <w:p w14:paraId="29ADC279" w14:textId="77777777" w:rsidR="00931A53" w:rsidRPr="00D317BA" w:rsidRDefault="00931A53" w:rsidP="00931A53">
      <w:pPr>
        <w:spacing w:line="276" w:lineRule="auto"/>
        <w:ind w:left="851" w:right="902"/>
        <w:jc w:val="both"/>
        <w:rPr>
          <w:rFonts w:ascii="Palatino Linotype" w:hAnsi="Palatino Linotype" w:cstheme="minorBidi"/>
          <w:i/>
          <w:sz w:val="22"/>
          <w:szCs w:val="22"/>
        </w:rPr>
      </w:pPr>
      <w:r w:rsidRPr="00D317B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A0A61D5"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i/>
          <w:sz w:val="22"/>
          <w:szCs w:val="22"/>
        </w:rPr>
        <w:t>Este derecho se regirá por los principios y bases siguientes:</w:t>
      </w:r>
    </w:p>
    <w:p w14:paraId="4B57D73F"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D317B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D317BA">
        <w:rPr>
          <w:rFonts w:ascii="Palatino Linotype" w:hAnsi="Palatino Linotype" w:cs="Arial"/>
          <w:i/>
          <w:sz w:val="22"/>
          <w:szCs w:val="22"/>
        </w:rPr>
        <w:t>determinará</w:t>
      </w:r>
      <w:r w:rsidRPr="00D317BA">
        <w:rPr>
          <w:rFonts w:ascii="Palatino Linotype" w:hAnsi="Palatino Linotype"/>
          <w:i/>
          <w:sz w:val="22"/>
          <w:szCs w:val="22"/>
        </w:rPr>
        <w:t xml:space="preserve"> los </w:t>
      </w:r>
      <w:r w:rsidRPr="00D317BA">
        <w:rPr>
          <w:rFonts w:ascii="Palatino Linotype" w:hAnsi="Palatino Linotype"/>
          <w:i/>
          <w:sz w:val="22"/>
          <w:szCs w:val="22"/>
        </w:rPr>
        <w:lastRenderedPageBreak/>
        <w:t>supuestos específicos bajo los cuales procederá la declaración de inexistencia de la información.</w:t>
      </w:r>
    </w:p>
    <w:p w14:paraId="03E96A30"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i/>
          <w:sz w:val="22"/>
          <w:szCs w:val="22"/>
        </w:rPr>
        <w:t>…</w:t>
      </w:r>
    </w:p>
    <w:p w14:paraId="2C9B6A96" w14:textId="77777777" w:rsidR="00931A53" w:rsidRPr="00D317BA" w:rsidRDefault="00931A53" w:rsidP="00931A53">
      <w:pPr>
        <w:spacing w:line="276" w:lineRule="auto"/>
        <w:ind w:left="851" w:right="902"/>
        <w:jc w:val="both"/>
        <w:rPr>
          <w:rFonts w:ascii="Palatino Linotype" w:hAnsi="Palatino Linotype"/>
          <w:i/>
          <w:sz w:val="22"/>
          <w:szCs w:val="22"/>
        </w:rPr>
      </w:pPr>
      <w:r w:rsidRPr="00D317B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D317BA">
        <w:rPr>
          <w:rFonts w:ascii="Palatino Linotype" w:hAnsi="Palatino Linotype"/>
          <w:i/>
          <w:sz w:val="22"/>
          <w:szCs w:val="22"/>
        </w:rPr>
        <w:t>”</w:t>
      </w:r>
    </w:p>
    <w:p w14:paraId="6154CA57" w14:textId="77777777" w:rsidR="00931A53" w:rsidRPr="00D317BA" w:rsidRDefault="00931A53" w:rsidP="00931A53">
      <w:pPr>
        <w:spacing w:line="276" w:lineRule="auto"/>
        <w:ind w:left="851" w:right="902"/>
        <w:jc w:val="both"/>
        <w:rPr>
          <w:rFonts w:ascii="Palatino Linotype" w:hAnsi="Palatino Linotype"/>
          <w:sz w:val="22"/>
          <w:szCs w:val="22"/>
        </w:rPr>
      </w:pPr>
      <w:r w:rsidRPr="00D317BA">
        <w:rPr>
          <w:rFonts w:ascii="Palatino Linotype" w:hAnsi="Palatino Linotype"/>
          <w:sz w:val="22"/>
          <w:szCs w:val="22"/>
        </w:rPr>
        <w:t>(Énfasis añadido)</w:t>
      </w:r>
    </w:p>
    <w:p w14:paraId="0CE3613F" w14:textId="77777777" w:rsidR="00931A53" w:rsidRPr="00D317BA" w:rsidRDefault="00931A53" w:rsidP="00931A53">
      <w:pPr>
        <w:spacing w:before="100" w:beforeAutospacing="1" w:after="100" w:afterAutospacing="1" w:line="360" w:lineRule="auto"/>
        <w:jc w:val="both"/>
        <w:rPr>
          <w:rFonts w:ascii="Palatino Linotype" w:hAnsi="Palatino Linotype"/>
        </w:rPr>
      </w:pPr>
      <w:r w:rsidRPr="00D317BA">
        <w:rPr>
          <w:rFonts w:ascii="Palatino Linotype" w:hAnsi="Palatino Linotype"/>
        </w:rPr>
        <w:t xml:space="preserve">Por otra parte, del </w:t>
      </w:r>
      <w:r w:rsidRPr="00D317BA">
        <w:rPr>
          <w:rFonts w:ascii="Palatino Linotype" w:hAnsi="Palatino Linotype" w:cs="Arial"/>
        </w:rPr>
        <w:t>contenido</w:t>
      </w:r>
      <w:r w:rsidRPr="00D317BA">
        <w:rPr>
          <w:rFonts w:ascii="Palatino Linotype" w:hAnsi="Palatino Linotype"/>
        </w:rPr>
        <w:t xml:space="preserve"> del artículo 1 de la Constitución Política de los Estados Unidos Mexicanos, se destaca lo siguiente:</w:t>
      </w:r>
    </w:p>
    <w:p w14:paraId="0A16681C"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w:t>
      </w:r>
      <w:r w:rsidRPr="00D317BA">
        <w:rPr>
          <w:rFonts w:ascii="Palatino Linotype" w:hAnsi="Palatino Linotype" w:cs="Arial"/>
          <w:b/>
          <w:i/>
          <w:sz w:val="22"/>
          <w:szCs w:val="22"/>
        </w:rPr>
        <w:t>Artículo 1o</w:t>
      </w:r>
      <w:r w:rsidRPr="00D317B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8A4B2D2" w14:textId="77777777" w:rsidR="00931A53" w:rsidRPr="00D317BA" w:rsidRDefault="00931A53" w:rsidP="00931A53">
      <w:pPr>
        <w:spacing w:line="276" w:lineRule="auto"/>
        <w:ind w:left="851" w:right="902"/>
        <w:jc w:val="both"/>
        <w:rPr>
          <w:rFonts w:ascii="Palatino Linotype" w:hAnsi="Palatino Linotype" w:cs="Arial"/>
          <w:b/>
          <w:i/>
          <w:sz w:val="22"/>
          <w:szCs w:val="22"/>
        </w:rPr>
      </w:pPr>
      <w:r w:rsidRPr="00D317BA">
        <w:rPr>
          <w:rFonts w:ascii="Palatino Linotype" w:hAnsi="Palatino Linotype" w:cs="Arial"/>
          <w:b/>
          <w:i/>
          <w:sz w:val="22"/>
          <w:szCs w:val="22"/>
        </w:rPr>
        <w:t>Las normas relativas a los derechos humanos se interpretarán</w:t>
      </w:r>
      <w:r w:rsidRPr="00D317BA">
        <w:rPr>
          <w:rFonts w:ascii="Palatino Linotype" w:hAnsi="Palatino Linotype" w:cs="Arial"/>
          <w:i/>
          <w:sz w:val="22"/>
          <w:szCs w:val="22"/>
        </w:rPr>
        <w:t xml:space="preserve"> de conformidad con esta Constitución y con los tratados internacionales de la </w:t>
      </w:r>
      <w:r w:rsidRPr="00D317BA">
        <w:rPr>
          <w:rFonts w:ascii="Palatino Linotype" w:hAnsi="Palatino Linotype" w:cs="Arial"/>
          <w:b/>
          <w:i/>
          <w:sz w:val="22"/>
          <w:szCs w:val="22"/>
        </w:rPr>
        <w:t>materia favoreciendo en todo tiempo a las personas la protección más amplia.</w:t>
      </w:r>
    </w:p>
    <w:p w14:paraId="016CE20F"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D317BA">
        <w:rPr>
          <w:rFonts w:ascii="Palatino Linotype" w:hAnsi="Palatino Linotype" w:cs="Arial"/>
          <w:i/>
          <w:sz w:val="22"/>
          <w:szCs w:val="22"/>
        </w:rPr>
        <w:t>. En consecuencia, el Estado deberá prevenir, investigar, sancionar y reparar las violaciones a los derechos humanos, en los términos que establezca la ley.”</w:t>
      </w:r>
    </w:p>
    <w:p w14:paraId="4928FCAA" w14:textId="77777777" w:rsidR="00931A53" w:rsidRPr="00D317BA" w:rsidRDefault="00931A53" w:rsidP="00931A53">
      <w:pPr>
        <w:spacing w:line="276" w:lineRule="auto"/>
        <w:ind w:left="851" w:right="902"/>
        <w:jc w:val="both"/>
        <w:rPr>
          <w:rFonts w:ascii="Palatino Linotype" w:hAnsi="Palatino Linotype" w:cstheme="minorBidi"/>
          <w:sz w:val="22"/>
          <w:szCs w:val="22"/>
        </w:rPr>
      </w:pPr>
      <w:r w:rsidRPr="00D317BA">
        <w:rPr>
          <w:rFonts w:ascii="Palatino Linotype" w:hAnsi="Palatino Linotype"/>
          <w:sz w:val="22"/>
          <w:szCs w:val="22"/>
        </w:rPr>
        <w:t>(Énfasis añadido)</w:t>
      </w:r>
    </w:p>
    <w:p w14:paraId="4471EDD6" w14:textId="77777777" w:rsidR="00931A53" w:rsidRPr="00D317BA" w:rsidRDefault="00931A53" w:rsidP="00931A53">
      <w:pPr>
        <w:spacing w:before="100" w:beforeAutospacing="1" w:after="100" w:afterAutospacing="1" w:line="360" w:lineRule="auto"/>
        <w:jc w:val="both"/>
        <w:rPr>
          <w:rFonts w:ascii="Palatino Linotype" w:hAnsi="Palatino Linotype"/>
        </w:rPr>
      </w:pPr>
      <w:r w:rsidRPr="00D317B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317BA">
        <w:rPr>
          <w:rFonts w:ascii="Palatino Linotype" w:hAnsi="Palatino Linotype" w:cs="Arial"/>
        </w:rPr>
        <w:t>alguno</w:t>
      </w:r>
      <w:r w:rsidRPr="00D317BA">
        <w:rPr>
          <w:rFonts w:ascii="Palatino Linotype" w:hAnsi="Palatino Linotype"/>
        </w:rPr>
        <w:t xml:space="preserve"> o justificar su utilización, deberá tener acceso a la información pública, es decir, dicho </w:t>
      </w:r>
      <w:r w:rsidRPr="00D317BA">
        <w:rPr>
          <w:rFonts w:ascii="Palatino Linotype" w:hAnsi="Palatino Linotype" w:cs="Arial"/>
        </w:rPr>
        <w:t>derecho</w:t>
      </w:r>
      <w:r w:rsidRPr="00D317BA">
        <w:rPr>
          <w:rFonts w:ascii="Palatino Linotype" w:hAnsi="Palatino Linotype"/>
        </w:rPr>
        <w:t xml:space="preserve"> fundamental exime a quien lo ejerce, de </w:t>
      </w:r>
      <w:r w:rsidRPr="00D317BA">
        <w:rPr>
          <w:rFonts w:ascii="Palatino Linotype" w:hAnsi="Palatino Linotype"/>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1BDF525" w14:textId="77777777" w:rsidR="00931A53" w:rsidRPr="00D317BA" w:rsidRDefault="00931A53" w:rsidP="00931A53">
      <w:pPr>
        <w:spacing w:before="100" w:beforeAutospacing="1" w:after="100" w:afterAutospacing="1" w:line="360" w:lineRule="auto"/>
        <w:jc w:val="both"/>
        <w:rPr>
          <w:rFonts w:ascii="Palatino Linotype" w:hAnsi="Palatino Linotype" w:cstheme="minorBidi"/>
        </w:rPr>
      </w:pPr>
      <w:r w:rsidRPr="00D317BA">
        <w:rPr>
          <w:rFonts w:ascii="Palatino Linotype" w:hAnsi="Palatino Linotype"/>
        </w:rPr>
        <w:t xml:space="preserve">Robustece lo anterior, el Criterio 6/2014 del entonces Instituto Federal de Acceso a la Información y </w:t>
      </w:r>
      <w:r w:rsidRPr="00D317BA">
        <w:rPr>
          <w:rFonts w:ascii="Palatino Linotype" w:hAnsi="Palatino Linotype" w:cs="Arial"/>
        </w:rPr>
        <w:t>Protección</w:t>
      </w:r>
      <w:r w:rsidRPr="00D317BA">
        <w:rPr>
          <w:rFonts w:ascii="Palatino Linotype" w:hAnsi="Palatino Linotype"/>
        </w:rPr>
        <w:t xml:space="preserve"> de Datos (IFAI) hoy Instituto Nacional de Transparencia, Acceso a la Información y Protección de Datos Personales (INAI), el cual se reproduce para una mayor referencia:</w:t>
      </w:r>
    </w:p>
    <w:p w14:paraId="4F727471"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w:t>
      </w:r>
      <w:r w:rsidRPr="00D317B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317B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4E9F162"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Resoluciones</w:t>
      </w:r>
    </w:p>
    <w:p w14:paraId="4DDE30BD"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b/>
          <w:i/>
          <w:sz w:val="22"/>
          <w:szCs w:val="22"/>
        </w:rPr>
        <w:t>• RDA 5275/13</w:t>
      </w:r>
      <w:r w:rsidRPr="00D317BA">
        <w:rPr>
          <w:rFonts w:ascii="Palatino Linotype" w:hAnsi="Palatino Linotype" w:cs="Arial"/>
          <w:i/>
          <w:sz w:val="22"/>
          <w:szCs w:val="22"/>
        </w:rPr>
        <w:t>. Interpuesto en contra de la Secretaría de la Defensa Nacional. Comisionado Ponente Ángel Trinidad Zaldívar.</w:t>
      </w:r>
    </w:p>
    <w:p w14:paraId="6000B17A"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 xml:space="preserve">• </w:t>
      </w:r>
      <w:r w:rsidRPr="00D317BA">
        <w:rPr>
          <w:rFonts w:ascii="Palatino Linotype" w:hAnsi="Palatino Linotype" w:cs="Arial"/>
          <w:b/>
          <w:i/>
          <w:sz w:val="22"/>
          <w:szCs w:val="22"/>
        </w:rPr>
        <w:t>RDA 2937/13</w:t>
      </w:r>
      <w:r w:rsidRPr="00D317BA">
        <w:rPr>
          <w:rFonts w:ascii="Palatino Linotype" w:hAnsi="Palatino Linotype" w:cs="Arial"/>
          <w:i/>
          <w:sz w:val="22"/>
          <w:szCs w:val="22"/>
        </w:rPr>
        <w:t>. Interpuesto en contra de LICONSA, S.A. de C.V. Comisionado. Ponente Gerardo Laveaga Rendón.</w:t>
      </w:r>
    </w:p>
    <w:p w14:paraId="15A587F7"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 xml:space="preserve">• </w:t>
      </w:r>
      <w:r w:rsidRPr="00D317BA">
        <w:rPr>
          <w:rFonts w:ascii="Palatino Linotype" w:hAnsi="Palatino Linotype" w:cs="Arial"/>
          <w:b/>
          <w:i/>
          <w:sz w:val="22"/>
          <w:szCs w:val="22"/>
        </w:rPr>
        <w:t>RDA 3609/12</w:t>
      </w:r>
      <w:r w:rsidRPr="00D317BA">
        <w:rPr>
          <w:rFonts w:ascii="Palatino Linotype" w:hAnsi="Palatino Linotype" w:cs="Arial"/>
          <w:i/>
          <w:sz w:val="22"/>
          <w:szCs w:val="22"/>
        </w:rPr>
        <w:t>. Interpuesto en contra de la Secretaría de Educación Pública. Comisionada Ponente Sigrid Arzt Colunga.</w:t>
      </w:r>
    </w:p>
    <w:p w14:paraId="0A5DBEC3"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t xml:space="preserve">• </w:t>
      </w:r>
      <w:r w:rsidRPr="00D317BA">
        <w:rPr>
          <w:rFonts w:ascii="Palatino Linotype" w:hAnsi="Palatino Linotype" w:cs="Arial"/>
          <w:b/>
          <w:i/>
          <w:sz w:val="22"/>
          <w:szCs w:val="22"/>
        </w:rPr>
        <w:t>RDA 3361/12</w:t>
      </w:r>
      <w:r w:rsidRPr="00D317BA">
        <w:rPr>
          <w:rFonts w:ascii="Palatino Linotype" w:hAnsi="Palatino Linotype" w:cs="Arial"/>
          <w:i/>
          <w:sz w:val="22"/>
          <w:szCs w:val="22"/>
        </w:rPr>
        <w:t>. Interpuesto en contra del Servicio de Administración Tributaria. Comisionada Ponente María Elena Pérez-Jaén Zermeño.</w:t>
      </w:r>
    </w:p>
    <w:p w14:paraId="496C02E0" w14:textId="77777777" w:rsidR="00931A53" w:rsidRPr="00D317BA" w:rsidRDefault="00931A53" w:rsidP="00931A53">
      <w:pPr>
        <w:spacing w:line="276" w:lineRule="auto"/>
        <w:ind w:left="851" w:right="902"/>
        <w:jc w:val="both"/>
        <w:rPr>
          <w:rFonts w:ascii="Palatino Linotype" w:hAnsi="Palatino Linotype" w:cs="Arial"/>
          <w:i/>
          <w:sz w:val="22"/>
          <w:szCs w:val="22"/>
        </w:rPr>
      </w:pPr>
      <w:r w:rsidRPr="00D317BA">
        <w:rPr>
          <w:rFonts w:ascii="Palatino Linotype" w:hAnsi="Palatino Linotype" w:cs="Arial"/>
          <w:i/>
          <w:sz w:val="22"/>
          <w:szCs w:val="22"/>
        </w:rPr>
        <w:lastRenderedPageBreak/>
        <w:t xml:space="preserve">• </w:t>
      </w:r>
      <w:r w:rsidRPr="00D317BA">
        <w:rPr>
          <w:rFonts w:ascii="Palatino Linotype" w:hAnsi="Palatino Linotype" w:cs="Arial"/>
          <w:b/>
          <w:i/>
          <w:sz w:val="22"/>
          <w:szCs w:val="22"/>
        </w:rPr>
        <w:t>RDA 0563/12</w:t>
      </w:r>
      <w:r w:rsidRPr="00D317BA">
        <w:rPr>
          <w:rFonts w:ascii="Palatino Linotype" w:hAnsi="Palatino Linotype" w:cs="Arial"/>
          <w:i/>
          <w:sz w:val="22"/>
          <w:szCs w:val="22"/>
        </w:rPr>
        <w:t>. Interpuesto en contra de la Secretaría de la Función Pública. Comisionada Ponente Jacqueline Peschard Mariscal.” (sic)</w:t>
      </w:r>
    </w:p>
    <w:p w14:paraId="4FB72284" w14:textId="77777777" w:rsidR="00931A53" w:rsidRPr="00D317BA" w:rsidRDefault="00931A53" w:rsidP="00931A53">
      <w:pPr>
        <w:spacing w:before="100" w:beforeAutospacing="1" w:after="100" w:afterAutospacing="1" w:line="360" w:lineRule="auto"/>
        <w:jc w:val="both"/>
        <w:rPr>
          <w:rFonts w:ascii="Palatino Linotype" w:hAnsi="Palatino Linotype" w:cstheme="minorBidi"/>
        </w:rPr>
      </w:pPr>
      <w:r w:rsidRPr="00D317BA">
        <w:rPr>
          <w:rFonts w:ascii="Palatino Linotype" w:hAnsi="Palatino Linotype"/>
        </w:rPr>
        <w:t xml:space="preserve">En ese orden de ideas, se estima que el requerimiento relativo al nombre como presupuesto de procedibilidad, </w:t>
      </w:r>
      <w:r w:rsidRPr="00D317BA">
        <w:rPr>
          <w:rFonts w:ascii="Palatino Linotype" w:hAnsi="Palatino Linotype" w:cs="Arial"/>
        </w:rPr>
        <w:t>podría</w:t>
      </w:r>
      <w:r w:rsidRPr="00D317BA">
        <w:rPr>
          <w:rFonts w:ascii="Palatino Linotype" w:hAnsi="Palatino Linotype"/>
        </w:rPr>
        <w:t xml:space="preserve"> limitar el ejercicio del derecho de acceso a la información pública, debido a que, el hecho de solicitar la identificación del hoy </w:t>
      </w:r>
      <w:r w:rsidRPr="00D317BA">
        <w:rPr>
          <w:rFonts w:ascii="Palatino Linotype" w:hAnsi="Palatino Linotype" w:cs="Arial"/>
          <w:b/>
        </w:rPr>
        <w:t>RECURRENTE</w:t>
      </w:r>
      <w:r w:rsidRPr="00D317B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3FB4054F" w14:textId="77777777" w:rsidR="00931A53" w:rsidRPr="00D317BA" w:rsidRDefault="00931A53" w:rsidP="00931A53">
      <w:pPr>
        <w:spacing w:before="100" w:beforeAutospacing="1" w:after="100" w:afterAutospacing="1" w:line="360" w:lineRule="auto"/>
        <w:jc w:val="both"/>
        <w:rPr>
          <w:rFonts w:ascii="Palatino Linotype" w:hAnsi="Palatino Linotype"/>
        </w:rPr>
      </w:pPr>
      <w:r w:rsidRPr="00D317B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D317BA">
        <w:rPr>
          <w:rFonts w:ascii="Palatino Linotype" w:hAnsi="Palatino Linotype" w:cs="Arial"/>
        </w:rPr>
        <w:t>Constitución</w:t>
      </w:r>
      <w:r w:rsidRPr="00D317BA">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83C7BFE" w14:textId="77777777" w:rsidR="00931A53" w:rsidRPr="00D317BA" w:rsidRDefault="00931A53" w:rsidP="00931A53">
      <w:pPr>
        <w:spacing w:before="100" w:beforeAutospacing="1" w:after="100" w:afterAutospacing="1" w:line="360" w:lineRule="auto"/>
        <w:jc w:val="both"/>
        <w:rPr>
          <w:rFonts w:ascii="Palatino Linotype" w:hAnsi="Palatino Linotype" w:cstheme="minorBidi"/>
        </w:rPr>
      </w:pPr>
      <w:r w:rsidRPr="00D317BA">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w:t>
      </w:r>
      <w:r w:rsidRPr="00D317BA">
        <w:rPr>
          <w:rFonts w:ascii="Palatino Linotype" w:hAnsi="Palatino Linotype"/>
        </w:rPr>
        <w:lastRenderedPageBreak/>
        <w:t xml:space="preserve">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317BA">
        <w:rPr>
          <w:rFonts w:ascii="Palatino Linotype" w:hAnsi="Palatino Linotype" w:cs="Arial"/>
          <w:b/>
        </w:rPr>
        <w:t>EL RECURRENTE</w:t>
      </w:r>
      <w:r w:rsidRPr="00D317BA">
        <w:rPr>
          <w:rFonts w:ascii="Palatino Linotype" w:hAnsi="Palatino Linotype"/>
        </w:rPr>
        <w:t>, es la misma persona que realizó la solicitud de acceso a la información pública que ahora se impugna.</w:t>
      </w:r>
    </w:p>
    <w:p w14:paraId="436DA660" w14:textId="77777777" w:rsidR="00931A53" w:rsidRPr="00D317BA" w:rsidRDefault="00931A53" w:rsidP="00931A53">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D317BA">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D317BA">
        <w:rPr>
          <w:rFonts w:ascii="Palatino Linotype" w:hAnsi="Palatino Linotype" w:cs="Arial"/>
          <w:b/>
        </w:rPr>
        <w:t xml:space="preserve"> RECURRENTE</w:t>
      </w:r>
      <w:r w:rsidRPr="00D317BA">
        <w:rPr>
          <w:rFonts w:ascii="Palatino Linotype" w:hAnsi="Palatino Linotype"/>
        </w:rPr>
        <w:t xml:space="preserve">, por lo que en el presente caso, al haber sido presentado el recurso de revisión vía </w:t>
      </w:r>
      <w:r w:rsidRPr="00D317BA">
        <w:rPr>
          <w:rFonts w:ascii="Palatino Linotype" w:hAnsi="Palatino Linotype"/>
          <w:b/>
        </w:rPr>
        <w:t>SAIMEX</w:t>
      </w:r>
      <w:r w:rsidRPr="00D317BA">
        <w:rPr>
          <w:rFonts w:ascii="Palatino Linotype" w:hAnsi="Palatino Linotype"/>
        </w:rPr>
        <w:t>, dicho requisito resulta innecesario.</w:t>
      </w:r>
    </w:p>
    <w:p w14:paraId="60948851" w14:textId="77777777" w:rsidR="00F72BC1" w:rsidRPr="00D317BA" w:rsidRDefault="00F72BC1" w:rsidP="00931A53">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D317BA">
        <w:rPr>
          <w:rFonts w:ascii="Palatino Linotype" w:hAnsi="Palatino Linotype"/>
          <w:b/>
          <w:color w:val="000000" w:themeColor="text1"/>
          <w:sz w:val="28"/>
          <w:szCs w:val="28"/>
          <w:lang w:eastAsia="es-MX"/>
        </w:rPr>
        <w:t>SEXTO</w:t>
      </w:r>
      <w:r w:rsidRPr="00D317BA">
        <w:rPr>
          <w:rFonts w:ascii="Palatino Linotype" w:hAnsi="Palatino Linotype" w:cs="Arial"/>
          <w:b/>
          <w:color w:val="000000" w:themeColor="text1"/>
          <w:lang w:eastAsia="es-MX"/>
        </w:rPr>
        <w:t xml:space="preserve">. </w:t>
      </w:r>
      <w:r w:rsidRPr="00D317BA">
        <w:rPr>
          <w:rFonts w:ascii="Palatino Linotype" w:hAnsi="Palatino Linotype" w:cs="Arial"/>
          <w:b/>
          <w:color w:val="000000" w:themeColor="text1"/>
          <w:lang w:val="es-ES" w:eastAsia="es-MX"/>
        </w:rPr>
        <w:t>Estudio y resolución del asunto.</w:t>
      </w:r>
      <w:r w:rsidRPr="00D317BA">
        <w:rPr>
          <w:rFonts w:ascii="Palatino Linotype" w:hAnsi="Palatino Linotype" w:cs="Arial"/>
          <w:color w:val="000000" w:themeColor="text1"/>
          <w:lang w:val="es-ES" w:eastAsia="es-MX"/>
        </w:rPr>
        <w:t xml:space="preserve"> </w:t>
      </w:r>
      <w:r w:rsidRPr="00D317BA">
        <w:rPr>
          <w:rFonts w:ascii="Palatino Linotype" w:hAnsi="Palatino Linotype" w:cs="Arial"/>
          <w:lang w:val="es-ES" w:eastAsia="es-MX"/>
        </w:rPr>
        <w:t>Del análisis efectuado, se advierte que los presentes recursos de revisión son procedentes, pues se actualiza la hipótesis prevista en la fracción VII  del artículo 179 de la ley de la materia, que la letra dice:</w:t>
      </w:r>
    </w:p>
    <w:p w14:paraId="3D3E644B" w14:textId="77777777" w:rsidR="00F72BC1" w:rsidRPr="00D317BA" w:rsidRDefault="00F72BC1" w:rsidP="00F72BC1">
      <w:pPr>
        <w:ind w:left="851" w:right="901"/>
        <w:jc w:val="both"/>
        <w:rPr>
          <w:rFonts w:ascii="Palatino Linotype" w:hAnsi="Palatino Linotype" w:cs="Arial"/>
          <w:i/>
          <w:sz w:val="22"/>
          <w:szCs w:val="22"/>
          <w:lang w:val="es-ES"/>
        </w:rPr>
      </w:pPr>
      <w:r w:rsidRPr="00D317BA">
        <w:rPr>
          <w:rFonts w:ascii="Palatino Linotype" w:hAnsi="Palatino Linotype" w:cs="Arial"/>
          <w:i/>
          <w:sz w:val="22"/>
          <w:szCs w:val="22"/>
          <w:lang w:val="es-ES"/>
        </w:rPr>
        <w:t>“</w:t>
      </w:r>
      <w:r w:rsidRPr="00D317BA">
        <w:rPr>
          <w:rFonts w:ascii="Palatino Linotype" w:hAnsi="Palatino Linotype" w:cs="Arial"/>
          <w:b/>
          <w:i/>
          <w:sz w:val="22"/>
          <w:szCs w:val="22"/>
          <w:lang w:val="es-ES"/>
        </w:rPr>
        <w:t>Artículo 179.</w:t>
      </w:r>
      <w:r w:rsidRPr="00D317BA">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1D9A550F" w14:textId="77777777" w:rsidR="00F72BC1" w:rsidRPr="00D317BA" w:rsidRDefault="00F72BC1" w:rsidP="00F72BC1">
      <w:pPr>
        <w:ind w:left="851" w:right="901"/>
        <w:jc w:val="both"/>
        <w:rPr>
          <w:rFonts w:ascii="Palatino Linotype" w:hAnsi="Palatino Linotype" w:cs="Arial"/>
          <w:i/>
          <w:sz w:val="22"/>
          <w:szCs w:val="22"/>
          <w:lang w:val="es-ES"/>
        </w:rPr>
      </w:pPr>
      <w:r w:rsidRPr="00D317BA">
        <w:rPr>
          <w:rFonts w:ascii="Palatino Linotype" w:hAnsi="Palatino Linotype" w:cs="Arial"/>
          <w:i/>
          <w:sz w:val="22"/>
          <w:szCs w:val="22"/>
          <w:lang w:val="es-ES"/>
        </w:rPr>
        <w:t>…</w:t>
      </w:r>
    </w:p>
    <w:p w14:paraId="44BDE2B0" w14:textId="77777777" w:rsidR="00F72BC1" w:rsidRPr="00D317BA" w:rsidRDefault="00F72BC1" w:rsidP="00F72BC1">
      <w:pPr>
        <w:ind w:left="851" w:right="901"/>
        <w:jc w:val="both"/>
        <w:rPr>
          <w:rFonts w:ascii="Palatino Linotype" w:hAnsi="Palatino Linotype" w:cs="Arial"/>
          <w:i/>
          <w:sz w:val="22"/>
          <w:szCs w:val="22"/>
          <w:lang w:val="es-ES"/>
        </w:rPr>
      </w:pPr>
      <w:r w:rsidRPr="00D317BA">
        <w:rPr>
          <w:rFonts w:ascii="Palatino Linotype" w:hAnsi="Palatino Linotype" w:cs="Arial"/>
          <w:b/>
          <w:i/>
          <w:sz w:val="22"/>
          <w:szCs w:val="22"/>
          <w:lang w:val="es-ES"/>
        </w:rPr>
        <w:t>VII. La falta de respuesta a una solicitud de acceso a la información</w:t>
      </w:r>
      <w:r w:rsidRPr="00D317BA">
        <w:rPr>
          <w:rFonts w:ascii="Palatino Linotype" w:hAnsi="Palatino Linotype" w:cs="Arial"/>
          <w:i/>
          <w:sz w:val="22"/>
          <w:szCs w:val="22"/>
          <w:lang w:val="es-ES"/>
        </w:rPr>
        <w:t xml:space="preserve">; </w:t>
      </w:r>
    </w:p>
    <w:p w14:paraId="43AE434B" w14:textId="77777777" w:rsidR="00931A53" w:rsidRPr="00D317BA" w:rsidRDefault="00F72BC1" w:rsidP="00F72BC1">
      <w:pPr>
        <w:ind w:left="851" w:right="901"/>
        <w:jc w:val="both"/>
        <w:rPr>
          <w:rFonts w:ascii="Palatino Linotype" w:hAnsi="Palatino Linotype" w:cs="Arial"/>
          <w:i/>
          <w:sz w:val="22"/>
          <w:szCs w:val="22"/>
          <w:lang w:val="es-ES"/>
        </w:rPr>
      </w:pPr>
      <w:r w:rsidRPr="00D317BA">
        <w:rPr>
          <w:rFonts w:ascii="Palatino Linotype" w:hAnsi="Palatino Linotype" w:cs="Arial"/>
          <w:i/>
          <w:sz w:val="22"/>
          <w:szCs w:val="22"/>
          <w:lang w:val="es-ES"/>
        </w:rPr>
        <w:t>…</w:t>
      </w:r>
    </w:p>
    <w:p w14:paraId="0F58676B" w14:textId="77777777" w:rsidR="00931A53" w:rsidRPr="00D317BA" w:rsidRDefault="00931A53" w:rsidP="00931A53">
      <w:pPr>
        <w:ind w:left="851" w:right="901"/>
        <w:jc w:val="both"/>
        <w:rPr>
          <w:rFonts w:ascii="Palatino Linotype" w:hAnsi="Palatino Linotype" w:cs="Arial"/>
          <w:i/>
          <w:sz w:val="22"/>
          <w:szCs w:val="22"/>
          <w:lang w:val="es-ES"/>
        </w:rPr>
      </w:pPr>
      <w:r w:rsidRPr="00D317BA">
        <w:rPr>
          <w:rFonts w:ascii="Palatino Linotype" w:hAnsi="Palatino Linotype" w:cs="Arial"/>
          <w:b/>
          <w:i/>
          <w:sz w:val="22"/>
          <w:szCs w:val="22"/>
          <w:lang w:val="es-ES"/>
        </w:rPr>
        <w:t>XI.</w:t>
      </w:r>
      <w:r w:rsidRPr="00D317BA">
        <w:rPr>
          <w:rFonts w:ascii="Palatino Linotype" w:hAnsi="Palatino Linotype" w:cs="Arial"/>
          <w:i/>
          <w:sz w:val="22"/>
          <w:szCs w:val="22"/>
          <w:lang w:val="es-ES"/>
        </w:rPr>
        <w:t xml:space="preserve"> </w:t>
      </w:r>
      <w:r w:rsidRPr="00D317BA">
        <w:rPr>
          <w:rFonts w:ascii="Palatino Linotype" w:hAnsi="Palatino Linotype" w:cs="Arial"/>
          <w:b/>
          <w:i/>
          <w:sz w:val="22"/>
          <w:szCs w:val="22"/>
          <w:lang w:val="es-ES"/>
        </w:rPr>
        <w:t>La falta de trámite a una solicitud;</w:t>
      </w:r>
      <w:r w:rsidRPr="00D317BA">
        <w:rPr>
          <w:rFonts w:ascii="Palatino Linotype" w:hAnsi="Palatino Linotype" w:cs="Arial"/>
          <w:i/>
          <w:sz w:val="22"/>
          <w:szCs w:val="22"/>
          <w:lang w:val="es-ES"/>
        </w:rPr>
        <w:t>”</w:t>
      </w:r>
    </w:p>
    <w:p w14:paraId="4D843F2C" w14:textId="77777777" w:rsidR="00F72BC1" w:rsidRPr="00D317BA" w:rsidRDefault="00931A53" w:rsidP="00F72BC1">
      <w:pPr>
        <w:ind w:left="851" w:right="901"/>
        <w:jc w:val="both"/>
        <w:rPr>
          <w:rFonts w:ascii="Palatino Linotype" w:hAnsi="Palatino Linotype" w:cs="Arial"/>
          <w:i/>
          <w:sz w:val="22"/>
          <w:szCs w:val="22"/>
          <w:lang w:val="es-ES"/>
        </w:rPr>
      </w:pPr>
      <w:r w:rsidRPr="00D317BA">
        <w:rPr>
          <w:rFonts w:ascii="Palatino Linotype" w:hAnsi="Palatino Linotype" w:cs="Arial"/>
          <w:i/>
          <w:sz w:val="22"/>
          <w:szCs w:val="22"/>
          <w:lang w:val="es-ES"/>
        </w:rPr>
        <w:t xml:space="preserve">… </w:t>
      </w:r>
      <w:r w:rsidR="00F72BC1" w:rsidRPr="00D317BA">
        <w:rPr>
          <w:rFonts w:ascii="Palatino Linotype" w:hAnsi="Palatino Linotype" w:cs="Arial"/>
          <w:i/>
          <w:sz w:val="22"/>
          <w:szCs w:val="22"/>
          <w:lang w:val="es-ES"/>
        </w:rPr>
        <w:t>”</w:t>
      </w:r>
    </w:p>
    <w:p w14:paraId="657869E0" w14:textId="77777777" w:rsidR="00F72BC1" w:rsidRPr="00D317BA" w:rsidRDefault="00F72BC1" w:rsidP="00F72BC1">
      <w:pPr>
        <w:ind w:left="851" w:right="901"/>
        <w:jc w:val="both"/>
        <w:rPr>
          <w:rFonts w:ascii="Palatino Linotype" w:hAnsi="Palatino Linotype" w:cs="Arial"/>
          <w:i/>
          <w:sz w:val="22"/>
          <w:szCs w:val="22"/>
          <w:lang w:val="es-ES"/>
        </w:rPr>
      </w:pPr>
      <w:r w:rsidRPr="00D317BA">
        <w:rPr>
          <w:rFonts w:ascii="Palatino Linotype" w:hAnsi="Palatino Linotype" w:cs="Arial"/>
          <w:i/>
          <w:sz w:val="22"/>
          <w:szCs w:val="22"/>
          <w:lang w:val="es-ES"/>
        </w:rPr>
        <w:t>(Énfasis añadido)</w:t>
      </w:r>
    </w:p>
    <w:p w14:paraId="5782AFFC" w14:textId="77777777" w:rsidR="00F72BC1" w:rsidRPr="00D317BA" w:rsidRDefault="00F72BC1" w:rsidP="00F72BC1">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D317BA">
        <w:rPr>
          <w:rFonts w:ascii="Palatino Linotype" w:hAnsi="Palatino Linotype" w:cs="Arial"/>
          <w:lang w:val="es-ES"/>
        </w:rPr>
        <w:t>El precepto legal citado, establece como supuesto</w:t>
      </w:r>
      <w:r w:rsidR="00931A53" w:rsidRPr="00D317BA">
        <w:rPr>
          <w:rFonts w:ascii="Palatino Linotype" w:hAnsi="Palatino Linotype" w:cs="Arial"/>
          <w:lang w:val="es-ES"/>
        </w:rPr>
        <w:t>s</w:t>
      </w:r>
      <w:r w:rsidRPr="00D317BA">
        <w:rPr>
          <w:rFonts w:ascii="Palatino Linotype" w:hAnsi="Palatino Linotype" w:cs="Arial"/>
          <w:lang w:val="es-ES"/>
        </w:rPr>
        <w:t xml:space="preserve"> de procedencia de los recursos de revisión, en aquellos casos en que no se dé tramite a una solicitud y por tanto </w:t>
      </w:r>
      <w:r w:rsidRPr="00D317BA">
        <w:rPr>
          <w:rFonts w:ascii="Palatino Linotype" w:hAnsi="Palatino Linotype" w:cs="Arial"/>
          <w:lang w:val="es-ES"/>
        </w:rPr>
        <w:lastRenderedPageBreak/>
        <w:t xml:space="preserve">respuesta a lo solicitado; por lo que, en el presente caso, </w:t>
      </w:r>
      <w:r w:rsidRPr="00D317BA">
        <w:rPr>
          <w:rFonts w:ascii="Palatino Linotype" w:hAnsi="Palatino Linotype" w:cs="Arial"/>
          <w:b/>
          <w:lang w:val="es-ES"/>
        </w:rPr>
        <w:t>EL SUJETO OBLIGADO</w:t>
      </w:r>
      <w:r w:rsidRPr="00D317BA">
        <w:rPr>
          <w:rFonts w:ascii="Palatino Linotype" w:hAnsi="Palatino Linotype" w:cs="Arial"/>
          <w:lang w:val="es-ES"/>
        </w:rPr>
        <w:t xml:space="preserve"> omitió turnar a las áreas competentes y dar respuesta a lo requerido por </w:t>
      </w:r>
      <w:r w:rsidRPr="00D317BA">
        <w:rPr>
          <w:rFonts w:ascii="Palatino Linotype" w:hAnsi="Palatino Linotype" w:cs="Arial"/>
          <w:b/>
          <w:lang w:val="es-ES"/>
        </w:rPr>
        <w:t xml:space="preserve">EL RECURRENTE </w:t>
      </w:r>
      <w:r w:rsidRPr="00D317BA">
        <w:rPr>
          <w:rFonts w:ascii="Palatino Linotype" w:hAnsi="Palatino Linotype" w:cs="Arial"/>
          <w:lang w:val="es-ES"/>
        </w:rPr>
        <w:t xml:space="preserve">en sus solicitudes de información pública; atento a ello, </w:t>
      </w:r>
      <w:r w:rsidRPr="00D317BA">
        <w:rPr>
          <w:rFonts w:ascii="Palatino Linotype" w:hAnsi="Palatino Linotype"/>
          <w:lang w:val="es-ES"/>
        </w:rPr>
        <w:t xml:space="preserve">este Órgano Garante </w:t>
      </w:r>
      <w:r w:rsidRPr="00D317BA">
        <w:rPr>
          <w:rFonts w:ascii="Palatino Linotype" w:hAnsi="Palatino Linotype" w:cs="Arial"/>
          <w:lang w:val="es-ES"/>
        </w:rPr>
        <w:t xml:space="preserve">considera que las razones o motivos de inconformidad son </w:t>
      </w:r>
      <w:r w:rsidRPr="00D317BA">
        <w:rPr>
          <w:rFonts w:ascii="Palatino Linotype" w:hAnsi="Palatino Linotype" w:cs="Arial"/>
          <w:b/>
          <w:lang w:val="es-ES"/>
        </w:rPr>
        <w:t>fundados</w:t>
      </w:r>
      <w:r w:rsidRPr="00D317BA">
        <w:rPr>
          <w:rFonts w:ascii="Palatino Linotype" w:hAnsi="Palatino Linotype" w:cs="Arial"/>
          <w:lang w:val="es-ES"/>
        </w:rPr>
        <w:t>.</w:t>
      </w:r>
    </w:p>
    <w:p w14:paraId="4BA628D1"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 xml:space="preserve">Es así que, de acuerdo a los motivos de inconformidad hechos valer por </w:t>
      </w:r>
      <w:r w:rsidRPr="00D317BA">
        <w:rPr>
          <w:rFonts w:ascii="Palatino Linotype" w:hAnsi="Palatino Linotype"/>
          <w:b/>
        </w:rPr>
        <w:t>EL RECURRENTE</w:t>
      </w:r>
      <w:r w:rsidRPr="00D317BA">
        <w:rPr>
          <w:rFonts w:ascii="Palatino Linotype" w:hAnsi="Palatino Linotype"/>
        </w:rPr>
        <w:t>, ante la falta tanto de respuesta a la solicitud, como del envío del Informe Justificado por parte del</w:t>
      </w:r>
      <w:r w:rsidRPr="00D317BA">
        <w:rPr>
          <w:rFonts w:ascii="Palatino Linotype" w:hAnsi="Palatino Linotype"/>
          <w:b/>
        </w:rPr>
        <w:t xml:space="preserve"> SUJETO OBLIGADO</w:t>
      </w:r>
      <w:r w:rsidRPr="00D317BA">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14:paraId="4078C4B3"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eastAsia="Arial Unicode MS" w:hAnsi="Palatino Linotype" w:cs="Arial"/>
        </w:rPr>
        <w:t xml:space="preserve">En ese contexto, </w:t>
      </w:r>
      <w:r w:rsidRPr="00D317BA">
        <w:rPr>
          <w:rFonts w:ascii="Palatino Linotype" w:hAnsi="Palatino Linotype"/>
        </w:rPr>
        <w:t>es pertinente enfatizar lo que al derecho de acceso a la información pública, se refiere el artículo 6°, Apartado A de la Constitución Política de los Estados Unidos Mexicanos, que señala:</w:t>
      </w:r>
    </w:p>
    <w:p w14:paraId="741EDAA5"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w:t>
      </w:r>
      <w:r w:rsidRPr="00D317BA">
        <w:rPr>
          <w:rFonts w:ascii="Palatino Linotype" w:hAnsi="Palatino Linotype" w:cs="Arial"/>
          <w:b/>
          <w:i/>
          <w:sz w:val="22"/>
          <w:szCs w:val="22"/>
        </w:rPr>
        <w:t>Artículo 6o.</w:t>
      </w:r>
      <w:r w:rsidRPr="00D317BA">
        <w:rPr>
          <w:rFonts w:ascii="Palatino Linotype" w:hAnsi="Palatino Linotype" w:cs="Arial"/>
          <w:i/>
          <w:sz w:val="22"/>
          <w:szCs w:val="22"/>
        </w:rPr>
        <w:t xml:space="preserve">  . . .</w:t>
      </w:r>
    </w:p>
    <w:p w14:paraId="5EB6E10E"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b/>
          <w:bCs/>
          <w:i/>
          <w:sz w:val="22"/>
          <w:szCs w:val="22"/>
          <w:lang w:eastAsia="es-MX"/>
        </w:rPr>
        <w:t>A.</w:t>
      </w:r>
      <w:r w:rsidRPr="00D317BA">
        <w:rPr>
          <w:rFonts w:ascii="Palatino Linotype" w:hAnsi="Palatino Linotype" w:cs="Arial"/>
          <w:i/>
          <w:sz w:val="22"/>
          <w:szCs w:val="22"/>
          <w:lang w:eastAsia="es-MX"/>
        </w:rPr>
        <w:t xml:space="preserve"> Para el ejercicio del </w:t>
      </w:r>
      <w:r w:rsidRPr="00D317BA">
        <w:rPr>
          <w:rFonts w:ascii="Palatino Linotype" w:hAnsi="Palatino Linotype" w:cs="Arial"/>
          <w:bCs/>
          <w:i/>
          <w:sz w:val="22"/>
          <w:szCs w:val="22"/>
        </w:rPr>
        <w:t>derecho</w:t>
      </w:r>
      <w:r w:rsidRPr="00D317BA">
        <w:rPr>
          <w:rFonts w:ascii="Palatino Linotype" w:hAnsi="Palatino Linotype" w:cs="Arial"/>
          <w:i/>
          <w:sz w:val="22"/>
          <w:szCs w:val="22"/>
          <w:lang w:eastAsia="es-MX"/>
        </w:rPr>
        <w:t xml:space="preserve"> de acceso a la información, la Federación y las entidades federativas, en el ámbito de sus respectivas competencias, se regirán por los siguientes principios y bases:</w:t>
      </w:r>
    </w:p>
    <w:p w14:paraId="28E4AC55"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b/>
          <w:bCs/>
          <w:i/>
          <w:sz w:val="22"/>
          <w:szCs w:val="22"/>
          <w:lang w:eastAsia="es-MX"/>
        </w:rPr>
        <w:t xml:space="preserve">I. </w:t>
      </w:r>
      <w:r w:rsidRPr="00D317BA">
        <w:rPr>
          <w:rFonts w:ascii="Palatino Linotype" w:hAnsi="Palatino Linotype" w:cs="Arial"/>
          <w:i/>
          <w:sz w:val="22"/>
          <w:szCs w:val="22"/>
          <w:lang w:eastAsia="es-MX"/>
        </w:rPr>
        <w:t xml:space="preserve">Toda la información en posesión de cualquier autoridad, entidad, órgano y organismo de los Poderes Ejecutivo, </w:t>
      </w:r>
      <w:r w:rsidRPr="00D317BA">
        <w:rPr>
          <w:rFonts w:ascii="Palatino Linotype" w:hAnsi="Palatino Linotype" w:cs="Arial"/>
          <w:i/>
          <w:sz w:val="22"/>
          <w:szCs w:val="22"/>
        </w:rPr>
        <w:t>Legislativo</w:t>
      </w:r>
      <w:r w:rsidRPr="00D317BA">
        <w:rPr>
          <w:rFonts w:ascii="Palatino Linotype" w:hAnsi="Palatino Linotype" w:cs="Arial"/>
          <w:i/>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317BA">
        <w:rPr>
          <w:rFonts w:ascii="Palatino Linotype" w:hAnsi="Palatino Linotype" w:cs="Arial"/>
          <w:i/>
          <w:sz w:val="22"/>
          <w:szCs w:val="22"/>
        </w:rPr>
        <w:t xml:space="preserve"> </w:t>
      </w:r>
      <w:r w:rsidRPr="00D317BA">
        <w:rPr>
          <w:rFonts w:ascii="Palatino Linotype" w:hAnsi="Palatino Linotype" w:cs="Arial"/>
          <w:i/>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7B3EEFA"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b/>
          <w:bCs/>
          <w:i/>
          <w:sz w:val="22"/>
          <w:szCs w:val="22"/>
          <w:lang w:eastAsia="es-MX"/>
        </w:rPr>
        <w:lastRenderedPageBreak/>
        <w:t xml:space="preserve">II. </w:t>
      </w:r>
      <w:r w:rsidRPr="00D317BA">
        <w:rPr>
          <w:rFonts w:ascii="Palatino Linotype" w:hAnsi="Palatino Linotype" w:cs="Arial"/>
          <w:i/>
          <w:sz w:val="22"/>
          <w:szCs w:val="22"/>
          <w:lang w:eastAsia="es-MX"/>
        </w:rPr>
        <w:t xml:space="preserve">La información que se refiere a la vida privada y los datos personales será protegida en los términos y con las excepciones que fijen las leyes. </w:t>
      </w:r>
    </w:p>
    <w:p w14:paraId="7CE3CC33"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b/>
          <w:bCs/>
          <w:i/>
          <w:sz w:val="22"/>
          <w:szCs w:val="22"/>
          <w:lang w:eastAsia="es-MX"/>
        </w:rPr>
        <w:t xml:space="preserve">III. </w:t>
      </w:r>
      <w:r w:rsidRPr="00D317BA">
        <w:rPr>
          <w:rFonts w:ascii="Palatino Linotype" w:hAnsi="Palatino Linotype" w:cs="Arial"/>
          <w:i/>
          <w:sz w:val="22"/>
          <w:szCs w:val="22"/>
          <w:lang w:eastAsia="es-MX"/>
        </w:rPr>
        <w:t xml:space="preserve">Toda persona, sin necesidad de </w:t>
      </w:r>
      <w:r w:rsidRPr="00D317BA">
        <w:rPr>
          <w:rFonts w:ascii="Palatino Linotype" w:hAnsi="Palatino Linotype" w:cs="Arial"/>
          <w:i/>
          <w:sz w:val="22"/>
          <w:szCs w:val="22"/>
        </w:rPr>
        <w:t>acreditar</w:t>
      </w:r>
      <w:r w:rsidRPr="00D317BA">
        <w:rPr>
          <w:rFonts w:ascii="Palatino Linotype" w:hAnsi="Palatino Linotype" w:cs="Arial"/>
          <w:i/>
          <w:sz w:val="22"/>
          <w:szCs w:val="22"/>
          <w:lang w:eastAsia="es-MX"/>
        </w:rPr>
        <w:t xml:space="preserve"> interés alguno o justificar su utilización, tendrá acceso gratuito a la información pública, a sus datos personales o a la rectificación de éstos. </w:t>
      </w:r>
    </w:p>
    <w:p w14:paraId="4A1DC97F"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b/>
          <w:bCs/>
          <w:i/>
          <w:sz w:val="22"/>
          <w:szCs w:val="22"/>
          <w:lang w:eastAsia="es-MX"/>
        </w:rPr>
        <w:t xml:space="preserve">IV. </w:t>
      </w:r>
      <w:r w:rsidRPr="00D317BA">
        <w:rPr>
          <w:rFonts w:ascii="Palatino Linotype" w:hAnsi="Palatino Linotype" w:cs="Arial"/>
          <w:i/>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73C7E879"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b/>
          <w:bCs/>
          <w:i/>
          <w:sz w:val="22"/>
          <w:szCs w:val="22"/>
          <w:lang w:eastAsia="es-MX"/>
        </w:rPr>
        <w:t xml:space="preserve">V. </w:t>
      </w:r>
      <w:r w:rsidRPr="00D317BA">
        <w:rPr>
          <w:rFonts w:ascii="Palatino Linotype" w:hAnsi="Palatino Linotype" w:cs="Arial"/>
          <w:i/>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72E53E8"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b/>
          <w:bCs/>
          <w:i/>
          <w:sz w:val="22"/>
          <w:szCs w:val="22"/>
          <w:lang w:eastAsia="es-MX"/>
        </w:rPr>
        <w:t xml:space="preserve">VI. </w:t>
      </w:r>
      <w:r w:rsidRPr="00D317BA">
        <w:rPr>
          <w:rFonts w:ascii="Palatino Linotype" w:hAnsi="Palatino Linotype" w:cs="Arial"/>
          <w:i/>
          <w:sz w:val="22"/>
          <w:szCs w:val="22"/>
          <w:lang w:eastAsia="es-MX"/>
        </w:rPr>
        <w:t xml:space="preserve">Las leyes determinarán la manera en que los sujetos obligados deberán hacer pública la información relativa a los recursos públicos que entreguen a personas físicas o morales. </w:t>
      </w:r>
    </w:p>
    <w:p w14:paraId="2755BF21"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b/>
          <w:bCs/>
          <w:i/>
          <w:sz w:val="22"/>
          <w:szCs w:val="22"/>
          <w:lang w:eastAsia="es-MX"/>
        </w:rPr>
        <w:t xml:space="preserve">VII. </w:t>
      </w:r>
      <w:r w:rsidRPr="00D317BA">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D317BA">
        <w:rPr>
          <w:rFonts w:ascii="Palatino Linotype" w:hAnsi="Palatino Linotype" w:cs="Arial"/>
          <w:i/>
          <w:sz w:val="22"/>
          <w:szCs w:val="22"/>
        </w:rPr>
        <w:t xml:space="preserve">” </w:t>
      </w:r>
    </w:p>
    <w:p w14:paraId="1F921248" w14:textId="77777777" w:rsidR="00F72BC1" w:rsidRPr="00D317BA" w:rsidRDefault="00F72BC1" w:rsidP="00F72BC1">
      <w:pPr>
        <w:ind w:left="851" w:right="901"/>
        <w:jc w:val="both"/>
        <w:rPr>
          <w:rFonts w:ascii="Palatino Linotype" w:hAnsi="Palatino Linotype"/>
          <w:sz w:val="22"/>
          <w:szCs w:val="22"/>
        </w:rPr>
      </w:pPr>
    </w:p>
    <w:p w14:paraId="41D41DF6" w14:textId="77777777" w:rsidR="00F72BC1" w:rsidRPr="00D317BA" w:rsidRDefault="00F72BC1" w:rsidP="00F72BC1">
      <w:pPr>
        <w:ind w:left="851" w:right="901"/>
        <w:jc w:val="both"/>
        <w:rPr>
          <w:rFonts w:ascii="Palatino Linotype" w:hAnsi="Palatino Linotype"/>
          <w:i/>
          <w:sz w:val="22"/>
          <w:szCs w:val="22"/>
        </w:rPr>
      </w:pPr>
      <w:r w:rsidRPr="00D317BA">
        <w:rPr>
          <w:rFonts w:ascii="Palatino Linotype" w:hAnsi="Palatino Linotype"/>
          <w:i/>
          <w:sz w:val="22"/>
          <w:szCs w:val="22"/>
        </w:rPr>
        <w:t>(Énfasis añadido)</w:t>
      </w:r>
    </w:p>
    <w:p w14:paraId="018E3CFD"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Por su parte, la Constitución Política del Estado Libre y Soberano de México, en su artículo 5°, párrafos vigésimo, vigésimo primero y vigésimo segundo fracción I, dispone lo siguiente:</w:t>
      </w:r>
    </w:p>
    <w:p w14:paraId="48C6687D" w14:textId="77777777" w:rsidR="00F72BC1" w:rsidRPr="00D317BA" w:rsidRDefault="00F72BC1" w:rsidP="00F72BC1">
      <w:pPr>
        <w:ind w:left="851" w:right="901"/>
        <w:jc w:val="both"/>
        <w:rPr>
          <w:rFonts w:ascii="Palatino Linotype" w:hAnsi="Palatino Linotype" w:cs="Arial"/>
          <w:b/>
          <w:i/>
          <w:sz w:val="22"/>
          <w:szCs w:val="22"/>
        </w:rPr>
      </w:pPr>
      <w:r w:rsidRPr="00D317BA">
        <w:rPr>
          <w:rFonts w:ascii="Palatino Linotype" w:hAnsi="Palatino Linotype" w:cs="Arial"/>
          <w:i/>
          <w:sz w:val="22"/>
          <w:szCs w:val="22"/>
        </w:rPr>
        <w:t>“</w:t>
      </w:r>
      <w:r w:rsidRPr="00D317BA">
        <w:rPr>
          <w:rFonts w:ascii="Palatino Linotype" w:hAnsi="Palatino Linotype" w:cs="Arial"/>
          <w:b/>
          <w:i/>
          <w:sz w:val="22"/>
          <w:szCs w:val="22"/>
        </w:rPr>
        <w:t xml:space="preserve">Artículo 5.  … </w:t>
      </w:r>
    </w:p>
    <w:p w14:paraId="7EA34E30"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 . .</w:t>
      </w:r>
    </w:p>
    <w:p w14:paraId="59FB7761"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1F1FAC77"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D281E1C"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Este derecho se regirá por los principios y bases siguientes:</w:t>
      </w:r>
    </w:p>
    <w:p w14:paraId="2717D996" w14:textId="77777777" w:rsidR="00F72BC1" w:rsidRPr="00D317BA" w:rsidRDefault="00F72BC1" w:rsidP="00F72BC1">
      <w:pPr>
        <w:ind w:left="851" w:right="901"/>
        <w:jc w:val="both"/>
        <w:rPr>
          <w:rFonts w:ascii="Palatino Linotype" w:hAnsi="Palatino Linotype"/>
          <w:sz w:val="22"/>
          <w:szCs w:val="22"/>
        </w:rPr>
      </w:pPr>
      <w:r w:rsidRPr="00D317BA">
        <w:rPr>
          <w:rFonts w:ascii="Palatino Linotype" w:hAnsi="Palatino Linotype" w:cs="Arial"/>
          <w:i/>
          <w:sz w:val="22"/>
          <w:szCs w:val="22"/>
        </w:rPr>
        <w:t xml:space="preserve">I. </w:t>
      </w:r>
      <w:r w:rsidRPr="00D317BA">
        <w:rPr>
          <w:rFonts w:ascii="Palatino Linotype" w:hAnsi="Palatino Linotype" w:cs="Arial"/>
          <w:b/>
          <w:i/>
          <w:sz w:val="22"/>
          <w:szCs w:val="22"/>
          <w:u w:val="single"/>
        </w:rPr>
        <w:t xml:space="preserve">Toda la información en posesión de cualquier autoridad, entidad, órgano y organismos de los Poderes Ejecutivo, Legislativo y Judicial, órganos </w:t>
      </w:r>
      <w:r w:rsidRPr="00D317BA">
        <w:rPr>
          <w:rFonts w:ascii="Palatino Linotype" w:hAnsi="Palatino Linotype" w:cs="Arial"/>
          <w:b/>
          <w:i/>
          <w:sz w:val="22"/>
          <w:szCs w:val="22"/>
          <w:u w:val="single"/>
        </w:rPr>
        <w:lastRenderedPageBreak/>
        <w:t>autónomos, partidos políticos, fideicomisos y fondos públicos estatales y municipales</w:t>
      </w:r>
      <w:r w:rsidRPr="00D317BA">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D317BA">
        <w:rPr>
          <w:rFonts w:ascii="Palatino Linotype" w:hAnsi="Palatino Linotype"/>
          <w:sz w:val="22"/>
          <w:szCs w:val="22"/>
        </w:rPr>
        <w:t xml:space="preserve"> </w:t>
      </w:r>
    </w:p>
    <w:p w14:paraId="590318EC" w14:textId="77777777" w:rsidR="00F72BC1" w:rsidRPr="00D317BA" w:rsidRDefault="00F72BC1" w:rsidP="00F72BC1">
      <w:pPr>
        <w:ind w:left="851" w:right="901"/>
        <w:jc w:val="both"/>
        <w:rPr>
          <w:rFonts w:ascii="Palatino Linotype" w:hAnsi="Palatino Linotype"/>
          <w:sz w:val="22"/>
          <w:szCs w:val="22"/>
        </w:rPr>
      </w:pPr>
    </w:p>
    <w:p w14:paraId="66DFEFDF" w14:textId="77777777" w:rsidR="00F72BC1" w:rsidRPr="00D317BA" w:rsidRDefault="00F72BC1" w:rsidP="00F72BC1">
      <w:pPr>
        <w:ind w:left="851" w:right="901"/>
        <w:jc w:val="both"/>
        <w:rPr>
          <w:rFonts w:ascii="Palatino Linotype" w:hAnsi="Palatino Linotype"/>
          <w:i/>
          <w:sz w:val="22"/>
          <w:szCs w:val="22"/>
        </w:rPr>
      </w:pPr>
      <w:r w:rsidRPr="00D317BA">
        <w:rPr>
          <w:rFonts w:ascii="Palatino Linotype" w:hAnsi="Palatino Linotype"/>
          <w:i/>
          <w:sz w:val="22"/>
          <w:szCs w:val="22"/>
        </w:rPr>
        <w:t>(Énfasis añadido)</w:t>
      </w:r>
    </w:p>
    <w:p w14:paraId="38022B8F"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Asimismo, se tiene que la Ley de Transparencia y Acceso a la Información Pública del Estado de México y Municipios, prevé en su artículo 23, lo siguiente:</w:t>
      </w:r>
    </w:p>
    <w:p w14:paraId="464DD5DB"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w:t>
      </w:r>
      <w:r w:rsidRPr="00D317BA">
        <w:rPr>
          <w:rFonts w:ascii="Palatino Linotype" w:hAnsi="Palatino Linotype" w:cs="Arial"/>
          <w:b/>
          <w:i/>
          <w:sz w:val="22"/>
          <w:szCs w:val="22"/>
        </w:rPr>
        <w:t>Artículo 23.</w:t>
      </w:r>
      <w:r w:rsidRPr="00D317BA">
        <w:rPr>
          <w:rFonts w:ascii="Palatino Linotype" w:hAnsi="Palatino Linotype" w:cs="Arial"/>
          <w:i/>
          <w:sz w:val="22"/>
          <w:szCs w:val="22"/>
        </w:rPr>
        <w:t xml:space="preserve"> Son sujetos obligados a transparentar y permitir el acceso a su información y proteger los datos personales que obren en su poder:</w:t>
      </w:r>
    </w:p>
    <w:p w14:paraId="33120249"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54EE682F"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II. El Poder Legislativo del Estado, los organismos, órganos y entidades de la Legislatura y sus dependencias;</w:t>
      </w:r>
    </w:p>
    <w:p w14:paraId="591FBFB8"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III. El Poder Judicial, sus organismos, órganos y entidades, así como el Consejo de la Judicatura del Estado;</w:t>
      </w:r>
    </w:p>
    <w:p w14:paraId="320ADE38" w14:textId="77777777" w:rsidR="00F72BC1" w:rsidRPr="00D317BA" w:rsidRDefault="00F72BC1" w:rsidP="00F72BC1">
      <w:pPr>
        <w:ind w:left="851" w:right="901"/>
        <w:jc w:val="both"/>
        <w:rPr>
          <w:rFonts w:ascii="Palatino Linotype" w:hAnsi="Palatino Linotype" w:cs="Arial"/>
          <w:b/>
          <w:i/>
          <w:sz w:val="22"/>
          <w:szCs w:val="22"/>
        </w:rPr>
      </w:pPr>
      <w:r w:rsidRPr="00D317BA">
        <w:rPr>
          <w:rFonts w:ascii="Palatino Linotype" w:hAnsi="Palatino Linotype" w:cs="Arial"/>
          <w:b/>
          <w:i/>
          <w:sz w:val="22"/>
          <w:szCs w:val="22"/>
        </w:rPr>
        <w:t>IV. Los ayuntamientos y las dependencias, organismos, órganos y entidades de la administración municipal;</w:t>
      </w:r>
    </w:p>
    <w:p w14:paraId="65FBE528"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V. Los órganos autónomos;</w:t>
      </w:r>
    </w:p>
    <w:p w14:paraId="0B930F11"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VI. Los tribunales administrativos y autoridades jurisdiccionales en materia laboral;</w:t>
      </w:r>
    </w:p>
    <w:p w14:paraId="23B5C95B"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VII. Los partidos políticos y agrupaciones políticas, en los términos de las disposiciones aplicables;</w:t>
      </w:r>
    </w:p>
    <w:p w14:paraId="0FFA7B28"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VIII. Los fideicomisos y fondos públicos que cuenten con financiamiento público, parcial o total, o con participación de entidades de gobierno;</w:t>
      </w:r>
    </w:p>
    <w:p w14:paraId="175371DE"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IX. Los sindicatos que reciban y/o ejerzan recursos públicos en el ámbito estatal y municipal;</w:t>
      </w:r>
    </w:p>
    <w:p w14:paraId="77441E4C"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lastRenderedPageBreak/>
        <w:t>X. Cualquier persona física o jurídico colectiva que reciba y ejerza recursos públicos en el ámbito estatal o municipal; y</w:t>
      </w:r>
    </w:p>
    <w:p w14:paraId="0B4B42D9"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XI. Cualquier otra autoridad, entidad, órgano u organismo de los poderes estatal o municipal, que reciba recursos públicos.</w:t>
      </w:r>
    </w:p>
    <w:p w14:paraId="61502E69" w14:textId="77777777" w:rsidR="00F72BC1" w:rsidRPr="00D317BA" w:rsidRDefault="00F72BC1" w:rsidP="00F72BC1">
      <w:pPr>
        <w:ind w:left="851" w:right="901"/>
        <w:jc w:val="both"/>
        <w:rPr>
          <w:rFonts w:ascii="Palatino Linotype" w:hAnsi="Palatino Linotype" w:cs="Arial"/>
          <w:b/>
          <w:i/>
          <w:sz w:val="22"/>
          <w:szCs w:val="22"/>
        </w:rPr>
      </w:pPr>
      <w:r w:rsidRPr="00D317BA">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C115918" w14:textId="77777777" w:rsidR="00F72BC1" w:rsidRPr="00D317BA" w:rsidRDefault="00F72BC1" w:rsidP="00F72BC1">
      <w:pPr>
        <w:ind w:left="851" w:right="901"/>
        <w:jc w:val="both"/>
        <w:rPr>
          <w:rFonts w:ascii="Palatino Linotype" w:hAnsi="Palatino Linotype" w:cs="Arial"/>
          <w:b/>
          <w:i/>
          <w:sz w:val="22"/>
          <w:szCs w:val="22"/>
        </w:rPr>
      </w:pPr>
    </w:p>
    <w:p w14:paraId="2093DD97" w14:textId="77777777" w:rsidR="00F72BC1" w:rsidRPr="00D317BA" w:rsidRDefault="00F72BC1" w:rsidP="00F72BC1">
      <w:pPr>
        <w:ind w:left="851" w:right="901"/>
        <w:jc w:val="both"/>
        <w:rPr>
          <w:rFonts w:ascii="Palatino Linotype" w:hAnsi="Palatino Linotype" w:cs="Arial"/>
          <w:b/>
          <w:i/>
          <w:sz w:val="22"/>
          <w:szCs w:val="22"/>
        </w:rPr>
      </w:pPr>
      <w:r w:rsidRPr="00D317BA">
        <w:rPr>
          <w:rFonts w:ascii="Palatino Linotype" w:hAnsi="Palatino Linotype" w:cs="Arial"/>
          <w:b/>
          <w:i/>
          <w:sz w:val="22"/>
          <w:szCs w:val="22"/>
        </w:rPr>
        <w:t>Los servidores públicos deberán transparentar sus acciones así como garantizar y respetar el derecho de acceso a la información pública.</w:t>
      </w:r>
    </w:p>
    <w:p w14:paraId="63A8A499"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(Énfasis añadido)</w:t>
      </w:r>
    </w:p>
    <w:p w14:paraId="57BF6B01" w14:textId="77777777" w:rsidR="00F72BC1" w:rsidRPr="00D317BA" w:rsidRDefault="00F72BC1" w:rsidP="00F72BC1">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D317BA">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D317BA">
        <w:rPr>
          <w:rFonts w:ascii="Palatino Linotype" w:eastAsia="Arial Unicode MS" w:hAnsi="Palatino Linotype" w:cs="Arial"/>
          <w:lang w:val="es-ES"/>
        </w:rPr>
        <w:t xml:space="preserve">es necesario referir el contenido del artículo </w:t>
      </w:r>
      <w:r w:rsidRPr="00D317BA">
        <w:rPr>
          <w:rFonts w:ascii="Palatino Linotype" w:hAnsi="Palatino Linotype"/>
          <w:lang w:val="es-ES"/>
        </w:rPr>
        <w:t>115,</w:t>
      </w:r>
      <w:r w:rsidRPr="00D317BA">
        <w:rPr>
          <w:rFonts w:ascii="Palatino Linotype" w:eastAsia="Arial Unicode MS" w:hAnsi="Palatino Linotype" w:cs="Arial"/>
          <w:lang w:val="es-ES"/>
        </w:rPr>
        <w:t xml:space="preserve"> fracciones I, II y IV de la Constitución Política de los Estados Unidos Mexicanos, que en lo que interesa menciona:</w:t>
      </w:r>
    </w:p>
    <w:p w14:paraId="6578F501" w14:textId="77777777" w:rsidR="00F72BC1" w:rsidRPr="00D317BA" w:rsidRDefault="00F72BC1" w:rsidP="00F72BC1">
      <w:pPr>
        <w:ind w:left="851" w:right="902"/>
        <w:jc w:val="both"/>
        <w:rPr>
          <w:rFonts w:ascii="Palatino Linotype" w:hAnsi="Palatino Linotype" w:cs="Arial"/>
          <w:bCs/>
          <w:i/>
          <w:sz w:val="22"/>
          <w:szCs w:val="22"/>
        </w:rPr>
      </w:pPr>
      <w:r w:rsidRPr="00D317BA">
        <w:rPr>
          <w:rFonts w:ascii="Palatino Linotype" w:hAnsi="Palatino Linotype" w:cs="Arial"/>
          <w:bCs/>
          <w:i/>
          <w:sz w:val="22"/>
          <w:szCs w:val="22"/>
        </w:rPr>
        <w:t>“</w:t>
      </w:r>
      <w:r w:rsidRPr="00D317BA">
        <w:rPr>
          <w:rFonts w:ascii="Palatino Linotype" w:hAnsi="Palatino Linotype" w:cs="Arial"/>
          <w:b/>
          <w:bCs/>
          <w:i/>
          <w:sz w:val="22"/>
          <w:szCs w:val="22"/>
        </w:rPr>
        <w:t>Artículo 115</w:t>
      </w:r>
      <w:r w:rsidRPr="00D317BA">
        <w:rPr>
          <w:rFonts w:ascii="Palatino Linotype" w:hAnsi="Palatino Linotype" w:cs="Arial"/>
          <w:bCs/>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6C5C19ED" w14:textId="77777777" w:rsidR="00F72BC1" w:rsidRPr="00D317BA" w:rsidRDefault="00F72BC1" w:rsidP="00F72BC1">
      <w:pPr>
        <w:ind w:left="851" w:right="902"/>
        <w:jc w:val="both"/>
        <w:rPr>
          <w:rFonts w:ascii="Palatino Linotype" w:hAnsi="Palatino Linotype" w:cs="Arial"/>
          <w:bCs/>
          <w:i/>
          <w:sz w:val="22"/>
          <w:szCs w:val="22"/>
        </w:rPr>
      </w:pPr>
      <w:r w:rsidRPr="00D317BA">
        <w:rPr>
          <w:rFonts w:ascii="Palatino Linotype" w:hAnsi="Palatino Linotype" w:cs="Arial"/>
          <w:b/>
          <w:bCs/>
          <w:i/>
          <w:sz w:val="22"/>
          <w:szCs w:val="22"/>
        </w:rPr>
        <w:t>I.</w:t>
      </w:r>
      <w:r w:rsidRPr="00D317BA">
        <w:rPr>
          <w:rFonts w:ascii="Palatino Linotype" w:hAnsi="Palatino Linotype" w:cs="Arial"/>
          <w:bCs/>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245B8EE3" w14:textId="77777777" w:rsidR="00F72BC1" w:rsidRPr="00D317BA" w:rsidRDefault="00F72BC1" w:rsidP="00F72BC1">
      <w:pPr>
        <w:ind w:left="851" w:right="902"/>
        <w:jc w:val="both"/>
        <w:rPr>
          <w:rFonts w:ascii="Palatino Linotype" w:hAnsi="Palatino Linotype" w:cs="Arial"/>
          <w:bCs/>
          <w:i/>
          <w:sz w:val="22"/>
          <w:szCs w:val="22"/>
        </w:rPr>
      </w:pPr>
      <w:r w:rsidRPr="00D317BA">
        <w:rPr>
          <w:rFonts w:ascii="Palatino Linotype" w:hAnsi="Palatino Linotype" w:cs="Arial"/>
          <w:bCs/>
          <w:i/>
          <w:sz w:val="22"/>
          <w:szCs w:val="22"/>
        </w:rPr>
        <w:t>(…)</w:t>
      </w:r>
    </w:p>
    <w:p w14:paraId="6785629E" w14:textId="77777777" w:rsidR="00F72BC1" w:rsidRPr="00D317BA" w:rsidRDefault="00F72BC1" w:rsidP="00F72BC1">
      <w:pPr>
        <w:ind w:left="851" w:right="902"/>
        <w:jc w:val="both"/>
        <w:rPr>
          <w:rFonts w:ascii="Palatino Linotype" w:hAnsi="Palatino Linotype" w:cs="Arial"/>
          <w:bCs/>
          <w:i/>
          <w:sz w:val="22"/>
          <w:szCs w:val="22"/>
        </w:rPr>
      </w:pPr>
      <w:r w:rsidRPr="00D317BA">
        <w:rPr>
          <w:rFonts w:ascii="Palatino Linotype" w:hAnsi="Palatino Linotype" w:cs="Arial"/>
          <w:b/>
          <w:bCs/>
          <w:i/>
          <w:sz w:val="22"/>
          <w:szCs w:val="22"/>
        </w:rPr>
        <w:t>II.</w:t>
      </w:r>
      <w:r w:rsidRPr="00D317BA">
        <w:rPr>
          <w:rFonts w:ascii="Palatino Linotype" w:hAnsi="Palatino Linotype" w:cs="Arial"/>
          <w:bCs/>
          <w:i/>
          <w:sz w:val="22"/>
          <w:szCs w:val="22"/>
        </w:rPr>
        <w:t xml:space="preserve"> Los municipios estarán investidos de personalidad jurídica y manejarán su patrimonio conforme a la ley.</w:t>
      </w:r>
    </w:p>
    <w:p w14:paraId="03254488" w14:textId="77777777" w:rsidR="00F72BC1" w:rsidRPr="00D317BA" w:rsidRDefault="00F72BC1" w:rsidP="00F72BC1">
      <w:pPr>
        <w:ind w:left="851" w:right="902"/>
        <w:jc w:val="both"/>
        <w:rPr>
          <w:rFonts w:ascii="Palatino Linotype" w:hAnsi="Palatino Linotype" w:cs="Arial"/>
          <w:bCs/>
          <w:i/>
          <w:sz w:val="22"/>
          <w:szCs w:val="22"/>
        </w:rPr>
      </w:pPr>
      <w:r w:rsidRPr="00D317BA">
        <w:rPr>
          <w:rFonts w:ascii="Palatino Linotype" w:hAnsi="Palatino Linotype" w:cs="Arial"/>
          <w:bCs/>
          <w:i/>
          <w:sz w:val="22"/>
          <w:szCs w:val="22"/>
        </w:rPr>
        <w:t>(…)</w:t>
      </w:r>
    </w:p>
    <w:p w14:paraId="47C2D5EB" w14:textId="77777777" w:rsidR="00F72BC1" w:rsidRPr="00D317BA" w:rsidRDefault="00F72BC1" w:rsidP="00F72BC1">
      <w:pPr>
        <w:ind w:left="851" w:right="902"/>
        <w:jc w:val="both"/>
        <w:rPr>
          <w:rFonts w:ascii="Palatino Linotype" w:hAnsi="Palatino Linotype" w:cs="Arial"/>
          <w:b/>
          <w:bCs/>
          <w:i/>
          <w:sz w:val="22"/>
          <w:szCs w:val="22"/>
        </w:rPr>
      </w:pPr>
      <w:r w:rsidRPr="00D317BA">
        <w:rPr>
          <w:rFonts w:ascii="Palatino Linotype" w:hAnsi="Palatino Linotype" w:cs="Arial"/>
          <w:b/>
          <w:bCs/>
          <w:i/>
          <w:sz w:val="22"/>
          <w:szCs w:val="22"/>
        </w:rPr>
        <w:lastRenderedPageBreak/>
        <w:t>IV. Los municipios administrarán libremente su hacienda, la cual se formará de los rendimientos de los bienes que les pertenezcan, así como de las contribuciones y otros ingresos que las legislaturas establezcan a su favor…</w:t>
      </w:r>
    </w:p>
    <w:p w14:paraId="18958147" w14:textId="77777777" w:rsidR="00F72BC1" w:rsidRPr="00D317BA" w:rsidRDefault="00F72BC1" w:rsidP="00F72BC1">
      <w:pPr>
        <w:ind w:left="851" w:right="902"/>
        <w:jc w:val="both"/>
        <w:rPr>
          <w:rFonts w:ascii="Palatino Linotype" w:hAnsi="Palatino Linotype" w:cs="Arial"/>
          <w:bCs/>
          <w:i/>
          <w:sz w:val="22"/>
          <w:szCs w:val="22"/>
        </w:rPr>
      </w:pPr>
      <w:r w:rsidRPr="00D317BA">
        <w:rPr>
          <w:rFonts w:ascii="Palatino Linotype" w:hAnsi="Palatino Linotype" w:cs="Arial"/>
          <w:bCs/>
          <w:i/>
          <w:sz w:val="22"/>
          <w:szCs w:val="22"/>
        </w:rPr>
        <w:t>(…)”</w:t>
      </w:r>
    </w:p>
    <w:p w14:paraId="3A8D304C" w14:textId="77777777" w:rsidR="00F72BC1" w:rsidRPr="00D317BA" w:rsidRDefault="00F72BC1" w:rsidP="00F72BC1">
      <w:pPr>
        <w:ind w:left="851" w:right="902"/>
        <w:jc w:val="both"/>
        <w:rPr>
          <w:rFonts w:ascii="Palatino Linotype" w:hAnsi="Palatino Linotype" w:cs="Arial"/>
          <w:bCs/>
          <w:i/>
          <w:sz w:val="22"/>
          <w:szCs w:val="22"/>
        </w:rPr>
      </w:pPr>
      <w:r w:rsidRPr="00D317BA">
        <w:rPr>
          <w:rFonts w:ascii="Palatino Linotype" w:hAnsi="Palatino Linotype" w:cs="Arial"/>
          <w:bCs/>
          <w:i/>
          <w:sz w:val="22"/>
          <w:szCs w:val="22"/>
        </w:rPr>
        <w:t>(Énfasis añadido)</w:t>
      </w:r>
    </w:p>
    <w:p w14:paraId="5582B397" w14:textId="77777777" w:rsidR="00F72BC1" w:rsidRPr="00D317BA" w:rsidRDefault="00F72BC1" w:rsidP="00F72BC1">
      <w:pPr>
        <w:spacing w:before="100" w:beforeAutospacing="1" w:after="100" w:afterAutospacing="1" w:line="360" w:lineRule="auto"/>
        <w:jc w:val="both"/>
        <w:rPr>
          <w:rFonts w:ascii="Palatino Linotype" w:eastAsia="Arial Unicode MS" w:hAnsi="Palatino Linotype" w:cs="Arial"/>
        </w:rPr>
      </w:pPr>
      <w:r w:rsidRPr="00D317BA">
        <w:rPr>
          <w:rFonts w:ascii="Palatino Linotype" w:eastAsia="Arial Unicode MS" w:hAnsi="Palatino Linotype" w:cs="Arial"/>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12309BD9" w14:textId="77777777" w:rsidR="00F72BC1" w:rsidRPr="00D317BA" w:rsidRDefault="00F72BC1" w:rsidP="00F72BC1">
      <w:pPr>
        <w:tabs>
          <w:tab w:val="left" w:pos="709"/>
        </w:tabs>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Asimismo, en el numeral 3</w:t>
      </w:r>
      <w:r w:rsidRPr="00D317BA">
        <w:rPr>
          <w:rFonts w:ascii="Palatino Linotype" w:hAnsi="Palatino Linotype" w:cs="Arial"/>
          <w:vertAlign w:val="superscript"/>
        </w:rPr>
        <w:footnoteReference w:id="1"/>
      </w:r>
      <w:r w:rsidRPr="00D317BA">
        <w:rPr>
          <w:rFonts w:ascii="Palatino Linotype" w:hAnsi="Palatino Linotype" w:cs="Aria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6DD78E33" w14:textId="77777777" w:rsidR="00F72BC1" w:rsidRPr="00D317BA" w:rsidRDefault="00F72BC1" w:rsidP="00F72BC1">
      <w:pPr>
        <w:tabs>
          <w:tab w:val="left" w:pos="709"/>
        </w:tabs>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Por otro lado, resulta importante traer a colación el contenido de los artículos 4 y 12 de la Ley de Transparencia y Acceso a la Información Pública del Estado de México y Municipios, mismos que son del tenor siguiente:</w:t>
      </w:r>
    </w:p>
    <w:p w14:paraId="0177277A"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w:t>
      </w:r>
      <w:r w:rsidRPr="00D317BA">
        <w:rPr>
          <w:rFonts w:ascii="Palatino Linotype" w:hAnsi="Palatino Linotype" w:cs="Arial"/>
          <w:b/>
          <w:i/>
          <w:sz w:val="22"/>
          <w:szCs w:val="22"/>
        </w:rPr>
        <w:t>Artículo 4.</w:t>
      </w:r>
      <w:r w:rsidRPr="00D317BA">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322AFE"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b/>
          <w:i/>
          <w:sz w:val="22"/>
          <w:szCs w:val="22"/>
          <w:u w:val="single"/>
        </w:rPr>
        <w:lastRenderedPageBreak/>
        <w:t>Toda la información generada, obtenida, adquirida, transformada, administrada o en posesión de los sujetos obligados es pública y accesible de manera permanente a cualquier persona</w:t>
      </w:r>
      <w:r w:rsidRPr="00D317BA">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6A82A8A"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3C74D463" w14:textId="77777777" w:rsidR="00F72BC1" w:rsidRPr="00D317BA" w:rsidRDefault="00F72BC1" w:rsidP="00F72BC1">
      <w:pPr>
        <w:ind w:left="851" w:right="901"/>
        <w:jc w:val="both"/>
        <w:rPr>
          <w:rFonts w:ascii="Palatino Linotype" w:hAnsi="Palatino Linotype" w:cs="Arial"/>
          <w:i/>
          <w:szCs w:val="22"/>
        </w:rPr>
      </w:pPr>
    </w:p>
    <w:p w14:paraId="6904B527"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b/>
          <w:i/>
          <w:sz w:val="22"/>
          <w:szCs w:val="22"/>
        </w:rPr>
        <w:t>Artículo 12.</w:t>
      </w:r>
      <w:r w:rsidRPr="00D317B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74A6752D"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D317BA">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0EA41A6"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(Énfasis añadido)</w:t>
      </w:r>
    </w:p>
    <w:p w14:paraId="25E5525A"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Por consiguiente, los preceptos legales transcritos establecen que </w:t>
      </w:r>
      <w:r w:rsidRPr="00D317BA">
        <w:rPr>
          <w:rFonts w:ascii="Palatino Linotype" w:hAnsi="Palatino Linotype" w:cs="Arial"/>
          <w:b/>
        </w:rPr>
        <w:t>los Sujetos Obligados se encuentran constreñidos a entregar la información pública solicitada por los particulares</w:t>
      </w:r>
      <w:r w:rsidRPr="00D317BA">
        <w:rPr>
          <w:rFonts w:ascii="Palatino Linotype" w:hAnsi="Palatino Linotype" w:cs="Arial"/>
        </w:rPr>
        <w:t xml:space="preserve"> y que ésta misma se encuentre en sus archivos o que obre en su posesión, </w:t>
      </w:r>
      <w:r w:rsidRPr="00D317BA">
        <w:rPr>
          <w:rFonts w:ascii="Palatino Linotype" w:hAnsi="Palatino Linotype" w:cs="Arial"/>
          <w:b/>
        </w:rPr>
        <w:t>privilegiando en todo momento el principio de máxima publicidad,</w:t>
      </w:r>
      <w:r w:rsidRPr="00D317BA">
        <w:rPr>
          <w:rFonts w:ascii="Palatino Linotype" w:hAnsi="Palatino Linotype" w:cs="Arial"/>
        </w:rPr>
        <w:t xml:space="preserve"> sin generarla, procesarla, resumirla, ni presentarla conforme al interés del solicitante. </w:t>
      </w:r>
    </w:p>
    <w:p w14:paraId="69950063"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Queda de manifiesto entonces que, </w:t>
      </w:r>
      <w:r w:rsidRPr="00D317BA">
        <w:rPr>
          <w:rFonts w:ascii="Palatino Linotype" w:hAnsi="Palatino Linotype" w:cs="Arial"/>
          <w:b/>
        </w:rPr>
        <w:t>se considera información pública al conjunto de datos que posee cualquier autoridad, obtenidos en virtud del ejercicio de sus funciones de derecho público</w:t>
      </w:r>
      <w:r w:rsidRPr="00D317BA">
        <w:rPr>
          <w:rFonts w:ascii="Palatino Linotype" w:hAnsi="Palatino Linotype" w:cs="Arial"/>
        </w:rPr>
        <w:t xml:space="preserve">; criterio que ha sostenido el más alto tribunal jurisdiccional del país, la Suprema Corte de Justicia de la Nación, en la tesis 2a. </w:t>
      </w:r>
      <w:r w:rsidRPr="00D317BA">
        <w:rPr>
          <w:rFonts w:ascii="Palatino Linotype" w:hAnsi="Palatino Linotype" w:cs="Arial"/>
        </w:rPr>
        <w:lastRenderedPageBreak/>
        <w:t>LXXXVIII/2010, sustentada por la Segunda Sala, publicada en el Semanario Judicial de la Federación y su Gaceta, Novena Época, tomo XXXII, agosto de 2010, página 463, con el siguiente contenido:</w:t>
      </w:r>
    </w:p>
    <w:p w14:paraId="143CD0ED"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bCs/>
          <w:i/>
          <w:sz w:val="22"/>
          <w:szCs w:val="22"/>
        </w:rPr>
        <w:t>“</w:t>
      </w:r>
      <w:r w:rsidRPr="00D317BA">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D317BA">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7C27CA58"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D8A7F4B"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En esta misma tesitura, es de subrayar que el derecho de acceso a la información pública, consiste en que la información solicitada conste en un soporte documental en </w:t>
      </w:r>
      <w:r w:rsidRPr="00D317BA">
        <w:rPr>
          <w:rFonts w:ascii="Palatino Linotype" w:hAnsi="Palatino Linotype" w:cs="Arial"/>
        </w:rPr>
        <w:lastRenderedPageBreak/>
        <w:t xml:space="preserve">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5421452"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i/>
          <w:sz w:val="22"/>
          <w:szCs w:val="22"/>
        </w:rPr>
        <w:t>“</w:t>
      </w:r>
      <w:r w:rsidRPr="00D317BA">
        <w:rPr>
          <w:rFonts w:ascii="Palatino Linotype" w:hAnsi="Palatino Linotype" w:cs="Arial"/>
          <w:b/>
          <w:i/>
          <w:sz w:val="22"/>
          <w:szCs w:val="22"/>
        </w:rPr>
        <w:t xml:space="preserve">Artículo 3. </w:t>
      </w:r>
      <w:r w:rsidRPr="00D317BA">
        <w:rPr>
          <w:rFonts w:ascii="Palatino Linotype" w:hAnsi="Palatino Linotype" w:cs="Arial"/>
          <w:i/>
          <w:sz w:val="22"/>
          <w:szCs w:val="22"/>
        </w:rPr>
        <w:t>Para los efectos de la presente Ley se entenderá por:</w:t>
      </w:r>
    </w:p>
    <w:p w14:paraId="331270D8" w14:textId="77777777" w:rsidR="00F72BC1" w:rsidRPr="00D317BA" w:rsidRDefault="00F72BC1" w:rsidP="00F72BC1">
      <w:pPr>
        <w:ind w:left="851" w:right="901"/>
        <w:jc w:val="both"/>
        <w:rPr>
          <w:rFonts w:ascii="Palatino Linotype" w:hAnsi="Palatino Linotype" w:cs="Arial"/>
          <w:i/>
          <w:sz w:val="22"/>
          <w:szCs w:val="22"/>
        </w:rPr>
      </w:pPr>
      <w:r w:rsidRPr="00D317BA">
        <w:rPr>
          <w:rFonts w:ascii="Palatino Linotype" w:hAnsi="Palatino Linotype" w:cs="Arial"/>
          <w:b/>
          <w:i/>
          <w:sz w:val="22"/>
          <w:szCs w:val="22"/>
        </w:rPr>
        <w:t>XI. Documento:</w:t>
      </w:r>
      <w:r w:rsidRPr="00D317BA">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57FED40" w14:textId="77777777" w:rsidR="00F72BC1" w:rsidRPr="00D317BA" w:rsidRDefault="00F72BC1" w:rsidP="00F72BC1">
      <w:pPr>
        <w:autoSpaceDE w:val="0"/>
        <w:autoSpaceDN w:val="0"/>
        <w:adjustRightInd w:val="0"/>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Siendo aplicable el criterio </w:t>
      </w:r>
      <w:r w:rsidRPr="00D317B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317BA">
        <w:rPr>
          <w:rFonts w:ascii="Palatino Linotype" w:hAnsi="Palatino Linotype" w:cs="Arial"/>
        </w:rPr>
        <w:t>cuyo rubro y texto dispone:</w:t>
      </w:r>
    </w:p>
    <w:p w14:paraId="77BDA7D5" w14:textId="77777777" w:rsidR="00F72BC1" w:rsidRPr="00D317BA" w:rsidRDefault="00F72BC1" w:rsidP="00F72BC1">
      <w:pPr>
        <w:ind w:left="851" w:right="901"/>
        <w:jc w:val="center"/>
        <w:rPr>
          <w:rFonts w:ascii="Palatino Linotype" w:hAnsi="Palatino Linotype" w:cs="Arial"/>
          <w:b/>
          <w:i/>
          <w:sz w:val="22"/>
          <w:szCs w:val="22"/>
          <w:lang w:eastAsia="es-MX"/>
        </w:rPr>
      </w:pPr>
      <w:r w:rsidRPr="00D317BA">
        <w:rPr>
          <w:rFonts w:ascii="Palatino Linotype" w:hAnsi="Palatino Linotype" w:cs="Arial"/>
          <w:sz w:val="22"/>
          <w:szCs w:val="22"/>
          <w:lang w:eastAsia="es-MX"/>
        </w:rPr>
        <w:t>“</w:t>
      </w:r>
      <w:r w:rsidRPr="00D317BA">
        <w:rPr>
          <w:rFonts w:ascii="Palatino Linotype" w:hAnsi="Palatino Linotype" w:cs="Arial"/>
          <w:b/>
          <w:i/>
          <w:sz w:val="22"/>
          <w:szCs w:val="22"/>
          <w:lang w:eastAsia="es-MX"/>
        </w:rPr>
        <w:t>CRITERIO 0002-11</w:t>
      </w:r>
    </w:p>
    <w:p w14:paraId="41DC92AF"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D317BA">
        <w:rPr>
          <w:rFonts w:ascii="Palatino Linotype" w:hAnsi="Palatino Linotype" w:cs="Arial"/>
          <w:b/>
          <w:bCs/>
          <w:i/>
          <w:sz w:val="22"/>
          <w:szCs w:val="22"/>
          <w:u w:val="single"/>
          <w:lang w:eastAsia="es-MX"/>
        </w:rPr>
        <w:t xml:space="preserve">V, XV, Y XVI, </w:t>
      </w:r>
      <w:r w:rsidRPr="00D317BA">
        <w:rPr>
          <w:rFonts w:ascii="Palatino Linotype" w:hAnsi="Palatino Linotype" w:cs="Arial"/>
          <w:b/>
          <w:i/>
          <w:sz w:val="22"/>
          <w:szCs w:val="22"/>
          <w:u w:val="single"/>
          <w:lang w:eastAsia="es-MX"/>
        </w:rPr>
        <w:t>3°, 4°, 11 Y 41.</w:t>
      </w:r>
      <w:r w:rsidRPr="00D317B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D317BA">
        <w:rPr>
          <w:rFonts w:ascii="Palatino Linotype" w:hAnsi="Palatino Linotype" w:cs="Arial"/>
          <w:i/>
          <w:sz w:val="22"/>
          <w:szCs w:val="22"/>
          <w:lang w:eastAsia="es-MX"/>
        </w:rPr>
        <w:lastRenderedPageBreak/>
        <w:t>órganos u organismos públicos, en virtud del ejercicio de sus funciones de derecho público, sin importar su fuente, soporte o fecha de elaboración.</w:t>
      </w:r>
    </w:p>
    <w:p w14:paraId="45F42A9A"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i/>
          <w:sz w:val="22"/>
          <w:szCs w:val="22"/>
          <w:lang w:eastAsia="es-MX"/>
        </w:rPr>
        <w:t>En consecuencia el acceso a la información se refiere a que se cumplan cualquiera de los siguientes tres supuestos:</w:t>
      </w:r>
    </w:p>
    <w:p w14:paraId="4313266B" w14:textId="77777777" w:rsidR="00F72BC1" w:rsidRPr="00D317BA" w:rsidRDefault="00F72BC1" w:rsidP="00F72BC1">
      <w:pPr>
        <w:ind w:left="851" w:right="901"/>
        <w:jc w:val="both"/>
        <w:rPr>
          <w:rFonts w:ascii="Palatino Linotype" w:hAnsi="Palatino Linotype" w:cs="Arial"/>
          <w:b/>
          <w:i/>
          <w:sz w:val="22"/>
          <w:szCs w:val="22"/>
          <w:u w:val="single"/>
          <w:lang w:eastAsia="es-MX"/>
        </w:rPr>
      </w:pPr>
      <w:r w:rsidRPr="00D317BA">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50B5B3DB"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i/>
          <w:sz w:val="22"/>
          <w:szCs w:val="22"/>
          <w:lang w:eastAsia="es-MX"/>
        </w:rPr>
        <w:t xml:space="preserve">2) Que se trate de </w:t>
      </w:r>
      <w:r w:rsidRPr="00D317BA">
        <w:rPr>
          <w:rFonts w:ascii="Palatino Linotype" w:hAnsi="Palatino Linotype" w:cs="Arial"/>
          <w:b/>
          <w:i/>
          <w:sz w:val="22"/>
          <w:szCs w:val="22"/>
          <w:u w:val="single"/>
          <w:lang w:eastAsia="es-MX"/>
        </w:rPr>
        <w:t>información</w:t>
      </w:r>
      <w:r w:rsidRPr="00D317BA">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65C1C25B" w14:textId="77777777" w:rsidR="00F72BC1" w:rsidRPr="00D317BA" w:rsidRDefault="00F72BC1" w:rsidP="00F72BC1">
      <w:pPr>
        <w:ind w:left="851" w:right="901"/>
        <w:jc w:val="both"/>
        <w:rPr>
          <w:rFonts w:ascii="Palatino Linotype" w:hAnsi="Palatino Linotype" w:cs="Arial"/>
          <w:i/>
          <w:sz w:val="22"/>
          <w:szCs w:val="22"/>
          <w:lang w:eastAsia="es-MX"/>
        </w:rPr>
      </w:pPr>
      <w:r w:rsidRPr="00D317B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554A092E" w14:textId="77777777" w:rsidR="00F72BC1" w:rsidRPr="00D317BA" w:rsidRDefault="00F72BC1" w:rsidP="00F72BC1">
      <w:pPr>
        <w:ind w:left="851" w:right="901"/>
        <w:jc w:val="both"/>
        <w:rPr>
          <w:rFonts w:ascii="Palatino Linotype" w:hAnsi="Palatino Linotype" w:cs="Arial"/>
          <w:sz w:val="22"/>
          <w:szCs w:val="22"/>
          <w:lang w:eastAsia="es-MX"/>
        </w:rPr>
      </w:pPr>
      <w:r w:rsidRPr="00D317BA">
        <w:rPr>
          <w:rFonts w:ascii="Palatino Linotype" w:hAnsi="Palatino Linotype" w:cs="Arial"/>
          <w:sz w:val="22"/>
          <w:szCs w:val="22"/>
          <w:lang w:eastAsia="es-MX"/>
        </w:rPr>
        <w:t>(Énfasis Añadido)</w:t>
      </w:r>
    </w:p>
    <w:p w14:paraId="144F07AD" w14:textId="77777777" w:rsidR="00F72BC1" w:rsidRPr="00D317BA" w:rsidRDefault="00F72BC1" w:rsidP="00F72BC1">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D317BA">
        <w:rPr>
          <w:rFonts w:ascii="Palatino Linotype" w:hAnsi="Palatino Linotype"/>
          <w:lang w:val="es-ES"/>
        </w:rPr>
        <w:t xml:space="preserve">Una vez precisado lo anterior, es importante destacar que </w:t>
      </w:r>
      <w:r w:rsidRPr="00D317BA">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6E622C8" w14:textId="77777777" w:rsidR="00F72BC1" w:rsidRPr="00D317BA" w:rsidRDefault="00F72BC1" w:rsidP="00F72BC1">
      <w:pPr>
        <w:widowControl w:val="0"/>
        <w:tabs>
          <w:tab w:val="left" w:pos="1276"/>
        </w:tabs>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D317BA">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35D12F91" w14:textId="77777777" w:rsidR="00F72BC1" w:rsidRPr="00D317BA" w:rsidRDefault="00F72BC1" w:rsidP="00F72BC1">
      <w:pPr>
        <w:widowControl w:val="0"/>
        <w:tabs>
          <w:tab w:val="left" w:pos="1276"/>
        </w:tabs>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D317BA">
        <w:rPr>
          <w:rFonts w:ascii="Palatino Linotype" w:eastAsia="Arial Unicode MS" w:hAnsi="Palatino Linotype" w:cs="Arial"/>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w:t>
      </w:r>
      <w:r w:rsidRPr="00D317BA">
        <w:rPr>
          <w:rFonts w:ascii="Palatino Linotype" w:eastAsia="Arial Unicode MS" w:hAnsi="Palatino Linotype" w:cs="Arial"/>
        </w:rPr>
        <w:lastRenderedPageBreak/>
        <w:t>información; así como, entregar, en su caso, a los particulares la información solicitada.</w:t>
      </w:r>
    </w:p>
    <w:p w14:paraId="351AB082"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BF2351B" w14:textId="77777777" w:rsidR="00F72BC1" w:rsidRPr="00D317BA" w:rsidRDefault="00F72BC1" w:rsidP="00F72BC1">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D317BA">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75EC2A64"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14:paraId="00233984" w14:textId="77777777" w:rsidR="00F72BC1" w:rsidRPr="00D317BA" w:rsidRDefault="00F72BC1" w:rsidP="00F72BC1">
      <w:pPr>
        <w:ind w:left="851" w:right="902"/>
        <w:jc w:val="both"/>
        <w:rPr>
          <w:rFonts w:ascii="Palatino Linotype" w:hAnsi="Palatino Linotype"/>
          <w:i/>
          <w:sz w:val="22"/>
        </w:rPr>
      </w:pPr>
      <w:r w:rsidRPr="00D317BA">
        <w:rPr>
          <w:rFonts w:ascii="Palatino Linotype" w:hAnsi="Palatino Linotype"/>
          <w:i/>
          <w:sz w:val="22"/>
        </w:rPr>
        <w:lastRenderedPageBreak/>
        <w:t>“</w:t>
      </w:r>
      <w:r w:rsidRPr="00D317BA">
        <w:rPr>
          <w:rFonts w:ascii="Palatino Linotype" w:hAnsi="Palatino Linotype"/>
          <w:b/>
          <w:i/>
          <w:sz w:val="22"/>
        </w:rPr>
        <w:t>Artículo 163. La Unidad de Transparencia deberá notificar la respuesta a la solicitud al interesado en el menor tiempo posible, que no podrá exceder de quince días hábiles</w:t>
      </w:r>
      <w:r w:rsidRPr="00D317BA">
        <w:rPr>
          <w:rFonts w:ascii="Palatino Linotype" w:hAnsi="Palatino Linotype"/>
          <w:i/>
          <w:sz w:val="22"/>
        </w:rPr>
        <w:t xml:space="preserve">, contados a partir del día siguiente a la presentación de aquélla. </w:t>
      </w:r>
    </w:p>
    <w:p w14:paraId="626221BE" w14:textId="77777777" w:rsidR="00F72BC1" w:rsidRPr="00D317BA" w:rsidRDefault="00F72BC1" w:rsidP="00F72BC1">
      <w:pPr>
        <w:ind w:left="851" w:right="902"/>
        <w:jc w:val="both"/>
        <w:rPr>
          <w:rFonts w:ascii="Palatino Linotype" w:hAnsi="Palatino Linotype"/>
          <w:i/>
          <w:sz w:val="22"/>
        </w:rPr>
      </w:pPr>
      <w:r w:rsidRPr="00D317BA">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9B556FB" w14:textId="77777777" w:rsidR="00F72BC1" w:rsidRPr="00D317BA" w:rsidRDefault="00F72BC1" w:rsidP="00F72BC1">
      <w:pPr>
        <w:ind w:left="851" w:right="902"/>
        <w:jc w:val="both"/>
        <w:rPr>
          <w:rFonts w:ascii="Palatino Linotype" w:hAnsi="Palatino Linotype"/>
          <w:sz w:val="22"/>
        </w:rPr>
      </w:pPr>
      <w:r w:rsidRPr="00D317BA">
        <w:rPr>
          <w:rFonts w:ascii="Palatino Linotype" w:hAnsi="Palatino Linotype"/>
          <w:sz w:val="22"/>
        </w:rPr>
        <w:t>(Énfasis añadido.)</w:t>
      </w:r>
    </w:p>
    <w:p w14:paraId="6CD6C50E"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En mérito de lo expuesto, es claro que en este caso en particular la Unidad de Transparencia incumplió la normativa en la materia, puesto que no dio respuesta a la solicitud de acceso a la información, limitando el derecho de acceso a la información, accionado por el particular.</w:t>
      </w:r>
    </w:p>
    <w:p w14:paraId="06529D2E"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D317BA">
        <w:rPr>
          <w:rFonts w:ascii="Palatino Linotype" w:hAnsi="Palatino Linotype"/>
          <w:b/>
        </w:rPr>
        <w:t>SUJETO OBLIGADO</w:t>
      </w:r>
      <w:r w:rsidRPr="00D317BA">
        <w:rPr>
          <w:rFonts w:ascii="Palatino Linotype" w:hAnsi="Palatino Linotype"/>
        </w:rPr>
        <w:t xml:space="preserve"> dé tramité y respuesta a la solicitud del particular</w:t>
      </w:r>
    </w:p>
    <w:p w14:paraId="2A64A130" w14:textId="77777777" w:rsidR="00F72BC1" w:rsidRPr="00D317BA" w:rsidRDefault="00F72BC1" w:rsidP="00F72BC1">
      <w:pPr>
        <w:spacing w:before="100" w:beforeAutospacing="1" w:after="100" w:afterAutospacing="1" w:line="360" w:lineRule="auto"/>
        <w:jc w:val="both"/>
        <w:rPr>
          <w:rFonts w:ascii="Palatino Linotype" w:eastAsia="Calibri" w:hAnsi="Palatino Linotype"/>
          <w:szCs w:val="22"/>
          <w:lang w:eastAsia="en-US"/>
        </w:rPr>
      </w:pPr>
      <w:r w:rsidRPr="00D317BA">
        <w:rPr>
          <w:rFonts w:ascii="Palatino Linotype" w:eastAsia="Calibri" w:hAnsi="Palatino Linotype"/>
          <w:szCs w:val="22"/>
          <w:lang w:eastAsia="en-US"/>
        </w:rPr>
        <w:lastRenderedPageBreak/>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D317BA">
        <w:rPr>
          <w:rFonts w:ascii="Palatino Linotype" w:eastAsia="Calibri" w:hAnsi="Palatino Linotype"/>
          <w:b/>
          <w:szCs w:val="22"/>
          <w:lang w:eastAsia="en-US"/>
        </w:rPr>
        <w:t>EL SUJETO OBLIGADO</w:t>
      </w:r>
      <w:r w:rsidRPr="00D317BA">
        <w:rPr>
          <w:rFonts w:ascii="Palatino Linotype" w:eastAsia="Calibri" w:hAnsi="Palatino Linotype"/>
          <w:szCs w:val="22"/>
          <w:lang w:eastAsia="en-US"/>
        </w:rPr>
        <w:t>; por lo que, en caso de no atender de manera positiva</w:t>
      </w:r>
      <w:r w:rsidRPr="00D317BA">
        <w:rPr>
          <w:rFonts w:ascii="Palatino Linotype" w:eastAsia="Calibri" w:hAnsi="Palatino Linotype"/>
          <w:szCs w:val="22"/>
          <w:vertAlign w:val="superscript"/>
          <w:lang w:eastAsia="en-US"/>
        </w:rPr>
        <w:footnoteReference w:id="2"/>
      </w:r>
      <w:r w:rsidRPr="00D317BA">
        <w:rPr>
          <w:rFonts w:ascii="Palatino Linotype" w:eastAsia="Calibri" w:hAnsi="Palatino Linotype"/>
          <w:szCs w:val="22"/>
          <w:lang w:eastAsia="en-US"/>
        </w:rPr>
        <w:t>, el requerimiento de información deberá manifestarse al respecto.</w:t>
      </w:r>
    </w:p>
    <w:p w14:paraId="7188801B"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eastAsia="Calibri" w:hAnsi="Palatino Linotype"/>
          <w:szCs w:val="22"/>
          <w:lang w:eastAsia="en-US"/>
        </w:rPr>
        <w:t>Ahora bien, en atención al sentido en que se resuelve el presente medio de impugnación, esta Ponencia Resolutora no omite señalar que, s</w:t>
      </w:r>
      <w:r w:rsidRPr="00D317BA">
        <w:rPr>
          <w:rFonts w:ascii="Palatino Linotype" w:hAnsi="Palatino Linotype" w:cs="Arial"/>
        </w:rPr>
        <w:t xml:space="preserve">i </w:t>
      </w:r>
      <w:r w:rsidRPr="00D317BA">
        <w:rPr>
          <w:rFonts w:ascii="Palatino Linotype" w:hAnsi="Palatino Linotype" w:cs="Arial"/>
          <w:b/>
        </w:rPr>
        <w:t>EL SUJETO OBLIGADO</w:t>
      </w:r>
      <w:r w:rsidRPr="00D317BA">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en materia de Clasificación y Desclasificación de la Información, así como para la elaboración de Versiones Públicas.</w:t>
      </w:r>
    </w:p>
    <w:p w14:paraId="1CA78B90" w14:textId="77777777" w:rsidR="00F72BC1" w:rsidRPr="00D317BA" w:rsidRDefault="00F72BC1" w:rsidP="00F72BC1">
      <w:pPr>
        <w:autoSpaceDE w:val="0"/>
        <w:autoSpaceDN w:val="0"/>
        <w:adjustRightInd w:val="0"/>
        <w:spacing w:before="100" w:beforeAutospacing="1" w:after="100" w:afterAutospacing="1" w:line="360" w:lineRule="auto"/>
        <w:ind w:right="51"/>
        <w:jc w:val="both"/>
        <w:rPr>
          <w:rFonts w:ascii="Palatino Linotype" w:hAnsi="Palatino Linotype" w:cs="Arial"/>
        </w:rPr>
      </w:pPr>
      <w:r w:rsidRPr="00D317BA">
        <w:rPr>
          <w:rFonts w:ascii="Palatino Linotype" w:hAnsi="Palatino Linotype" w:cs="Arial"/>
        </w:rPr>
        <w:t xml:space="preserve">En ese sentido, es de precisar que </w:t>
      </w:r>
      <w:r w:rsidRPr="00D317BA">
        <w:rPr>
          <w:rFonts w:ascii="Palatino Linotype" w:eastAsia="Calibri" w:hAnsi="Palatino Linotype" w:cs="Bookman Old Style,Bold"/>
          <w:bCs/>
          <w:lang w:eastAsia="en-US"/>
        </w:rPr>
        <w:t xml:space="preserve">la clasificación de la información no se da por el simple mandato de la Ley, sino que </w:t>
      </w:r>
      <w:r w:rsidRPr="00D317BA">
        <w:rPr>
          <w:rFonts w:ascii="Palatino Linotype" w:hAnsi="Palatino Linotype"/>
        </w:rPr>
        <w:t xml:space="preserve">es necesario que </w:t>
      </w:r>
      <w:r w:rsidRPr="00D317BA">
        <w:rPr>
          <w:rFonts w:ascii="Palatino Linotype" w:hAnsi="Palatino Linotype"/>
          <w:b/>
        </w:rPr>
        <w:t xml:space="preserve">EL SUJETO OBLIGADO </w:t>
      </w:r>
      <w:r w:rsidRPr="00D317BA">
        <w:rPr>
          <w:rFonts w:ascii="Palatino Linotype" w:hAnsi="Palatino Linotype"/>
        </w:rPr>
        <w:t xml:space="preserve">cuando clasifique algún documento o información, ya sea todo o en parte, debe atender lo dispuesto por </w:t>
      </w:r>
      <w:r w:rsidRPr="00D317BA">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D317BA">
        <w:rPr>
          <w:rFonts w:ascii="Palatino Linotype" w:hAnsi="Palatino Linotype" w:cs="Arial"/>
          <w:b/>
        </w:rPr>
        <w:t>SUJETO OBLIGADO</w:t>
      </w:r>
      <w:r w:rsidRPr="00D317BA">
        <w:rPr>
          <w:rFonts w:ascii="Palatino Linotype" w:hAnsi="Palatino Linotype" w:cs="Arial"/>
        </w:rPr>
        <w:t xml:space="preserve">, teniendo el deber los primeros de ellos de presentar ante la Unidad de Transparencia la </w:t>
      </w:r>
      <w:r w:rsidRPr="00D317BA">
        <w:rPr>
          <w:rFonts w:ascii="Palatino Linotype" w:hAnsi="Palatino Linotype" w:cs="Arial"/>
        </w:rPr>
        <w:lastRenderedPageBreak/>
        <w:t>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14:paraId="62A1E19C" w14:textId="77777777" w:rsidR="00F72BC1" w:rsidRPr="00D317BA" w:rsidRDefault="00F72BC1" w:rsidP="00F72BC1">
      <w:pPr>
        <w:autoSpaceDE w:val="0"/>
        <w:autoSpaceDN w:val="0"/>
        <w:adjustRightInd w:val="0"/>
        <w:spacing w:before="100" w:beforeAutospacing="1" w:after="100" w:afterAutospacing="1" w:line="360" w:lineRule="auto"/>
        <w:jc w:val="both"/>
        <w:rPr>
          <w:rFonts w:ascii="Palatino Linotype" w:hAnsi="Palatino Linotype" w:cs="Arial"/>
        </w:rPr>
      </w:pPr>
      <w:r w:rsidRPr="00D317BA">
        <w:rPr>
          <w:rFonts w:ascii="Palatino Linotype" w:hAnsi="Palatino Linotype" w:cs="Arial"/>
          <w:lang w:val="es-ES"/>
        </w:rPr>
        <w:t xml:space="preserve">Así las cosas, dentro de los datos personales que pudieran contenerse se destacan los datos personales sensibles, los cuales son aquellos </w:t>
      </w:r>
      <w:r w:rsidRPr="00D317BA">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775916C1" w14:textId="77777777" w:rsidR="00F72BC1" w:rsidRPr="00D317BA" w:rsidRDefault="00F72BC1" w:rsidP="00F72BC1">
      <w:pPr>
        <w:autoSpaceDE w:val="0"/>
        <w:autoSpaceDN w:val="0"/>
        <w:adjustRightInd w:val="0"/>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14:paraId="2FCAD856" w14:textId="77777777" w:rsidR="00F72BC1" w:rsidRPr="00D317BA" w:rsidRDefault="00F72BC1" w:rsidP="00F72BC1">
      <w:pPr>
        <w:autoSpaceDE w:val="0"/>
        <w:autoSpaceDN w:val="0"/>
        <w:adjustRightInd w:val="0"/>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Por otra parte, esta Ponencia Resolutora no omite mencionar que, si </w:t>
      </w:r>
      <w:r w:rsidRPr="00D317BA">
        <w:rPr>
          <w:rFonts w:ascii="Palatino Linotype" w:hAnsi="Palatino Linotype" w:cs="Arial"/>
          <w:b/>
        </w:rPr>
        <w:t>EL SUJETO OBLIGADO</w:t>
      </w:r>
      <w:r w:rsidRPr="00D317BA">
        <w:rPr>
          <w:rFonts w:ascii="Palatino Linotype" w:hAnsi="Palatino Linotype" w:cs="Arial"/>
        </w:rPr>
        <w:t xml:space="preserve"> advierte información que, por su propia y especial naturaleza, encuadre en alguno de los supuestos de reserva que enmarca la Ley de Transparencia y Acceso </w:t>
      </w:r>
      <w:r w:rsidRPr="00D317BA">
        <w:rPr>
          <w:rFonts w:ascii="Palatino Linotype" w:hAnsi="Palatino Linotype" w:cs="Arial"/>
        </w:rPr>
        <w:lastRenderedPageBreak/>
        <w:t>a la Información Pública del Estado de México y Municipios deberá efectuar la clasificación correspondiente, debidamente fundada y motivada. En términos de las hipótesis previstas en el ordinal 140 de la Ley de Transparencia y Acceso a la Información Pública del Estado de México y Municipios; así como, en términos de lo dispuesto por los Lineamientos Generales en materia de Clasificación y Desclasificación de la Información, así como para la elaboración de Versiones Públicas.</w:t>
      </w:r>
    </w:p>
    <w:p w14:paraId="13DA1637"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Lo anterior, sin perder de vista que la Constitución Política de los Estados Unidos Mexicanos le otorga a </w:t>
      </w:r>
      <w:r w:rsidRPr="00D317BA">
        <w:rPr>
          <w:rFonts w:ascii="Palatino Linotype" w:hAnsi="Palatino Linotype" w:cs="Arial"/>
          <w:b/>
        </w:rPr>
        <w:t>todos los documentos</w:t>
      </w:r>
      <w:r w:rsidRPr="00D317BA">
        <w:rPr>
          <w:rFonts w:ascii="Palatino Linotype" w:hAnsi="Palatino Linotype" w:cs="Arial"/>
        </w:rPr>
        <w:t xml:space="preserve"> en posesión de las autoridades </w:t>
      </w:r>
      <w:r w:rsidRPr="00D317BA">
        <w:rPr>
          <w:rFonts w:ascii="Palatino Linotype" w:hAnsi="Palatino Linotype" w:cs="Arial"/>
          <w:b/>
        </w:rPr>
        <w:t>la calidad de públicos</w:t>
      </w:r>
      <w:r w:rsidRPr="00D317BA">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3092ED96"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 xml:space="preserve">Siendo pertinente aclarar que, la información que se clasifica bajo la premisa de reservada, </w:t>
      </w:r>
      <w:r w:rsidRPr="00D317BA">
        <w:rPr>
          <w:rFonts w:ascii="Palatino Linotype" w:hAnsi="Palatino Linotype"/>
          <w:b/>
        </w:rPr>
        <w:t>no pierde el carácter de pública</w:t>
      </w:r>
      <w:r w:rsidRPr="00D317BA">
        <w:rPr>
          <w:rFonts w:ascii="Palatino Linotype" w:hAnsi="Palatino Linotype"/>
        </w:rPr>
        <w:t xml:space="preserve">, sino que </w:t>
      </w:r>
      <w:r w:rsidRPr="00D317BA">
        <w:rPr>
          <w:rFonts w:ascii="Palatino Linotype" w:hAnsi="Palatino Linotype"/>
          <w:b/>
        </w:rPr>
        <w:t>se reserva temporalmente</w:t>
      </w:r>
      <w:r w:rsidRPr="00D317BA">
        <w:rPr>
          <w:rFonts w:ascii="Palatino Linotype" w:hAnsi="Palatino Linotype"/>
        </w:rPr>
        <w:t xml:space="preserve"> </w:t>
      </w:r>
      <w:r w:rsidRPr="00D317BA">
        <w:rPr>
          <w:rFonts w:ascii="Palatino Linotype" w:hAnsi="Palatino Linotype"/>
          <w:b/>
        </w:rPr>
        <w:t>del conocimiento público</w:t>
      </w:r>
      <w:r w:rsidRPr="00D317BA">
        <w:rPr>
          <w:rFonts w:ascii="Palatino Linotype" w:hAnsi="Palatino Linotype"/>
        </w:rPr>
        <w:t xml:space="preserve">, es decir, que, </w:t>
      </w:r>
      <w:r w:rsidRPr="00D317BA">
        <w:rPr>
          <w:rFonts w:ascii="Palatino Linotype" w:hAnsi="Palatino Linotype"/>
          <w:b/>
        </w:rPr>
        <w:t>por un tiempo determinado</w:t>
      </w:r>
      <w:r w:rsidRPr="00D317BA">
        <w:rPr>
          <w:rFonts w:ascii="Palatino Linotype" w:hAnsi="Palatino Linotype"/>
        </w:rPr>
        <w:t>, se conservará y custodiará la información de manera especial, y una vez transcurrido el plazo de reserva, el documento podrá divulgarse.</w:t>
      </w:r>
    </w:p>
    <w:p w14:paraId="0FB1506A" w14:textId="77777777" w:rsidR="00F72BC1" w:rsidRPr="00D317BA" w:rsidRDefault="00F72BC1" w:rsidP="00F72BC1">
      <w:pPr>
        <w:spacing w:before="100" w:beforeAutospacing="1" w:after="100" w:afterAutospacing="1" w:line="360" w:lineRule="auto"/>
        <w:jc w:val="both"/>
        <w:rPr>
          <w:rFonts w:ascii="Palatino Linotype" w:eastAsia="Calibri" w:hAnsi="Palatino Linotype" w:cs="Arial"/>
          <w:bCs/>
        </w:rPr>
      </w:pPr>
      <w:r w:rsidRPr="00D317BA">
        <w:rPr>
          <w:rFonts w:ascii="Palatino Linotype" w:eastAsia="Calibri" w:hAnsi="Palatino Linotype" w:cs="Arial"/>
        </w:rPr>
        <w:lastRenderedPageBreak/>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w:t>
      </w:r>
      <w:r w:rsidRPr="00D317BA">
        <w:rPr>
          <w:rFonts w:ascii="Palatino Linotype" w:eastAsia="Arial Unicode MS" w:hAnsi="Palatino Linotype" w:cs="Arial"/>
        </w:rPr>
        <w:t>,</w:t>
      </w:r>
      <w:r w:rsidRPr="00D317BA">
        <w:rPr>
          <w:rFonts w:ascii="Palatino Linotype" w:eastAsia="Calibri" w:hAnsi="Palatino Linotype" w:cs="Arial"/>
          <w:bCs/>
        </w:rPr>
        <w:t xml:space="preserve"> que literalmente señala:</w:t>
      </w:r>
    </w:p>
    <w:p w14:paraId="20669979" w14:textId="77777777" w:rsidR="00F72BC1" w:rsidRPr="00D317BA" w:rsidRDefault="00F72BC1" w:rsidP="00F72BC1">
      <w:pPr>
        <w:ind w:left="851" w:right="902"/>
        <w:jc w:val="both"/>
        <w:rPr>
          <w:rFonts w:ascii="Palatino Linotype" w:eastAsia="Calibri" w:hAnsi="Palatino Linotype"/>
          <w:i/>
          <w:sz w:val="22"/>
          <w:szCs w:val="22"/>
        </w:rPr>
      </w:pPr>
      <w:r w:rsidRPr="00D317BA">
        <w:rPr>
          <w:rFonts w:ascii="Palatino Linotype" w:eastAsia="Calibri" w:hAnsi="Palatino Linotype"/>
          <w:i/>
          <w:sz w:val="22"/>
          <w:szCs w:val="22"/>
        </w:rPr>
        <w:t>“</w:t>
      </w:r>
      <w:r w:rsidRPr="00D317BA">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D317BA">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1B1A7BD2" w14:textId="77777777" w:rsidR="00F72BC1" w:rsidRPr="00D317BA" w:rsidRDefault="00F72BC1" w:rsidP="00F72BC1">
      <w:pPr>
        <w:spacing w:before="100" w:beforeAutospacing="1" w:after="100" w:afterAutospacing="1" w:line="360" w:lineRule="auto"/>
        <w:jc w:val="both"/>
        <w:rPr>
          <w:rFonts w:ascii="Palatino Linotype" w:hAnsi="Palatino Linotype"/>
          <w:bCs/>
        </w:rPr>
      </w:pPr>
      <w:r w:rsidRPr="00D317BA">
        <w:rPr>
          <w:rFonts w:ascii="Palatino Linotype" w:hAnsi="Palatino Linotype"/>
          <w:bCs/>
        </w:rPr>
        <w:t xml:space="preserve">Por todo lo anterior, la reserva de la información implica una clasificación, la cual debe entenderse como el proceso mediante el cual </w:t>
      </w:r>
      <w:r w:rsidRPr="00D317BA">
        <w:rPr>
          <w:rFonts w:ascii="Palatino Linotype" w:hAnsi="Palatino Linotype"/>
          <w:b/>
          <w:bCs/>
        </w:rPr>
        <w:t>EL SUJETO OBLIGADO</w:t>
      </w:r>
      <w:r w:rsidRPr="00D317BA">
        <w:rPr>
          <w:rFonts w:ascii="Palatino Linotype" w:hAnsi="Palatino Linotype"/>
          <w:bCs/>
        </w:rPr>
        <w:t xml:space="preserve"> determina que la información en su poder actualizar alguno de los supuestos conforme a las normas aplicables.</w:t>
      </w:r>
    </w:p>
    <w:p w14:paraId="620CD7FE"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lastRenderedPageBreak/>
        <w:t xml:space="preserve">En tal virtud, conforme al artículo 49, fracción VIII de la </w:t>
      </w:r>
      <w:r w:rsidRPr="00D317BA">
        <w:rPr>
          <w:rFonts w:ascii="Palatino Linotype" w:hAnsi="Palatino Linotype" w:cs="Arial"/>
        </w:rPr>
        <w:t>Ley de Transparencia y Acceso a la Información Pública del Estado de México y Municipios</w:t>
      </w:r>
      <w:r w:rsidRPr="00D317BA">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D317BA">
        <w:rPr>
          <w:rFonts w:ascii="Palatino Linotype" w:hAnsi="Palatino Linotype"/>
          <w:b/>
        </w:rPr>
        <w:t>SUJETO OBLIGADO</w:t>
      </w:r>
      <w:r w:rsidRPr="00D317BA">
        <w:rPr>
          <w:rFonts w:ascii="Palatino Linotype" w:hAnsi="Palatino Linotype"/>
        </w:rPr>
        <w:t xml:space="preserve"> a concluir que el caso particular se ajusta al supuesto previsto por la norma legal invocada como fundamento; siendo que, además, </w:t>
      </w:r>
      <w:r w:rsidRPr="00D317BA">
        <w:rPr>
          <w:rFonts w:ascii="Palatino Linotype" w:hAnsi="Palatino Linotype"/>
          <w:b/>
        </w:rPr>
        <w:t>EL SUJETO OBLIGADO</w:t>
      </w:r>
      <w:r w:rsidRPr="00D317BA">
        <w:rPr>
          <w:rFonts w:ascii="Palatino Linotype" w:hAnsi="Palatino Linotype"/>
        </w:rPr>
        <w:t xml:space="preserve"> debe, en todo momento, aplicar una prueba de daño.</w:t>
      </w:r>
    </w:p>
    <w:p w14:paraId="21C707AA"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6B7DB6CF"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50DB09ED" w14:textId="77777777" w:rsidR="00F72BC1" w:rsidRPr="00D317BA" w:rsidRDefault="00F72BC1" w:rsidP="00F72BC1">
      <w:pPr>
        <w:numPr>
          <w:ilvl w:val="0"/>
          <w:numId w:val="1"/>
        </w:numPr>
        <w:spacing w:line="360" w:lineRule="auto"/>
        <w:ind w:left="1276" w:hanging="425"/>
        <w:jc w:val="both"/>
        <w:rPr>
          <w:rFonts w:ascii="Palatino Linotype" w:hAnsi="Palatino Linotype"/>
        </w:rPr>
      </w:pPr>
      <w:r w:rsidRPr="00D317BA">
        <w:rPr>
          <w:rFonts w:ascii="Palatino Linotype" w:hAnsi="Palatino Linotype"/>
        </w:rPr>
        <w:lastRenderedPageBreak/>
        <w:t>Se reciba una solicitud de acceso a la información;</w:t>
      </w:r>
    </w:p>
    <w:p w14:paraId="7E18A422" w14:textId="77777777" w:rsidR="00F72BC1" w:rsidRPr="00D317BA" w:rsidRDefault="00F72BC1" w:rsidP="00F72BC1">
      <w:pPr>
        <w:numPr>
          <w:ilvl w:val="0"/>
          <w:numId w:val="1"/>
        </w:numPr>
        <w:spacing w:line="360" w:lineRule="auto"/>
        <w:ind w:left="1276" w:hanging="425"/>
        <w:jc w:val="both"/>
        <w:rPr>
          <w:rFonts w:ascii="Palatino Linotype" w:hAnsi="Palatino Linotype"/>
        </w:rPr>
      </w:pPr>
      <w:r w:rsidRPr="00D317BA">
        <w:rPr>
          <w:rFonts w:ascii="Palatino Linotype" w:hAnsi="Palatino Linotype"/>
        </w:rPr>
        <w:t>Se determine mediante resolución de autoridad competente; y/o</w:t>
      </w:r>
    </w:p>
    <w:p w14:paraId="125DA0CB" w14:textId="77777777" w:rsidR="00F72BC1" w:rsidRPr="00D317BA" w:rsidRDefault="00F72BC1" w:rsidP="00F72BC1">
      <w:pPr>
        <w:numPr>
          <w:ilvl w:val="0"/>
          <w:numId w:val="1"/>
        </w:numPr>
        <w:spacing w:line="360" w:lineRule="auto"/>
        <w:ind w:left="1276" w:hanging="425"/>
        <w:jc w:val="both"/>
        <w:rPr>
          <w:rFonts w:ascii="Palatino Linotype" w:hAnsi="Palatino Linotype"/>
        </w:rPr>
      </w:pPr>
      <w:r w:rsidRPr="00D317BA">
        <w:rPr>
          <w:rFonts w:ascii="Palatino Linotype" w:hAnsi="Palatino Linotype"/>
        </w:rPr>
        <w:t>Se generen versiones públicas para dar cumplimiento a las obligaciones de transparencia previstas en la Ley.</w:t>
      </w:r>
    </w:p>
    <w:p w14:paraId="2CEE49B7"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Situación que se robustece con el artículo 141 de la misma Ley, que señala que las causales de reserva previstas, se deberán fundar y motivar, a través de la aplicación de la prueba de daño.</w:t>
      </w:r>
    </w:p>
    <w:p w14:paraId="4C8EAD46" w14:textId="77777777" w:rsidR="00F72BC1" w:rsidRPr="00D317BA" w:rsidRDefault="00F72BC1" w:rsidP="00F72BC1">
      <w:pPr>
        <w:spacing w:before="100" w:beforeAutospacing="1" w:after="100" w:afterAutospacing="1" w:line="360" w:lineRule="auto"/>
        <w:jc w:val="both"/>
        <w:rPr>
          <w:rFonts w:ascii="Palatino Linotype" w:hAnsi="Palatino Linotype"/>
        </w:rPr>
      </w:pPr>
      <w:r w:rsidRPr="00D317BA">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189A2E53" w14:textId="77777777" w:rsidR="00F72BC1" w:rsidRPr="00D317BA" w:rsidRDefault="00F72BC1" w:rsidP="00F72BC1">
      <w:pPr>
        <w:numPr>
          <w:ilvl w:val="0"/>
          <w:numId w:val="2"/>
        </w:numPr>
        <w:spacing w:line="360" w:lineRule="auto"/>
        <w:ind w:left="1134" w:hanging="283"/>
        <w:jc w:val="both"/>
        <w:rPr>
          <w:rFonts w:ascii="Palatino Linotype" w:hAnsi="Palatino Linotype"/>
        </w:rPr>
      </w:pPr>
      <w:r w:rsidRPr="00D317BA">
        <w:rPr>
          <w:rFonts w:ascii="Palatino Linotype" w:hAnsi="Palatino Linotype"/>
        </w:rPr>
        <w:t xml:space="preserve">La divulgación de la información representa un </w:t>
      </w:r>
      <w:r w:rsidRPr="00D317BA">
        <w:rPr>
          <w:rFonts w:ascii="Palatino Linotype" w:hAnsi="Palatino Linotype"/>
          <w:b/>
        </w:rPr>
        <w:t>riesgo real, demostrable e identificable del perjuicio significativo al interés público o a la seguridad pública</w:t>
      </w:r>
      <w:r w:rsidRPr="00D317BA">
        <w:rPr>
          <w:rFonts w:ascii="Palatino Linotype" w:hAnsi="Palatino Linotype"/>
        </w:rPr>
        <w:t>;</w:t>
      </w:r>
    </w:p>
    <w:p w14:paraId="6DEFDC19" w14:textId="77777777" w:rsidR="00F72BC1" w:rsidRPr="00D317BA" w:rsidRDefault="00F72BC1" w:rsidP="00F72BC1">
      <w:pPr>
        <w:numPr>
          <w:ilvl w:val="0"/>
          <w:numId w:val="2"/>
        </w:numPr>
        <w:spacing w:line="360" w:lineRule="auto"/>
        <w:ind w:left="1134" w:hanging="283"/>
        <w:jc w:val="both"/>
        <w:rPr>
          <w:rFonts w:ascii="Palatino Linotype" w:hAnsi="Palatino Linotype"/>
        </w:rPr>
      </w:pPr>
      <w:r w:rsidRPr="00D317BA">
        <w:rPr>
          <w:rFonts w:ascii="Palatino Linotype" w:hAnsi="Palatino Linotype"/>
        </w:rPr>
        <w:t>El riesgo de perjuicio que supondría la divulgación supera el interés público general de que se difunda; y,</w:t>
      </w:r>
    </w:p>
    <w:p w14:paraId="25DBA2E5" w14:textId="77777777" w:rsidR="00F72BC1" w:rsidRPr="00D317BA" w:rsidRDefault="00F72BC1" w:rsidP="00F72BC1">
      <w:pPr>
        <w:numPr>
          <w:ilvl w:val="0"/>
          <w:numId w:val="2"/>
        </w:numPr>
        <w:spacing w:line="360" w:lineRule="auto"/>
        <w:ind w:left="1134" w:hanging="283"/>
        <w:jc w:val="both"/>
        <w:rPr>
          <w:rFonts w:ascii="Palatino Linotype" w:hAnsi="Palatino Linotype"/>
        </w:rPr>
      </w:pPr>
      <w:r w:rsidRPr="00D317BA">
        <w:rPr>
          <w:rFonts w:ascii="Palatino Linotype" w:hAnsi="Palatino Linotype"/>
        </w:rPr>
        <w:t xml:space="preserve">La limitación se adecua al principio de proporcionalidad y representa el medio menos restrictivo disponible para evitar el perjuicio. </w:t>
      </w:r>
    </w:p>
    <w:p w14:paraId="7604EFBF" w14:textId="77777777" w:rsidR="00F72BC1" w:rsidRPr="00D317BA" w:rsidRDefault="00F72BC1" w:rsidP="00F72BC1">
      <w:pPr>
        <w:widowControl w:val="0"/>
        <w:tabs>
          <w:tab w:val="left" w:pos="1276"/>
          <w:tab w:val="left" w:pos="1701"/>
          <w:tab w:val="left" w:pos="1843"/>
        </w:tabs>
        <w:autoSpaceDE w:val="0"/>
        <w:autoSpaceDN w:val="0"/>
        <w:adjustRightInd w:val="0"/>
        <w:spacing w:before="100" w:beforeAutospacing="1" w:after="100" w:afterAutospacing="1" w:line="360" w:lineRule="auto"/>
        <w:ind w:right="49"/>
        <w:jc w:val="both"/>
        <w:rPr>
          <w:rFonts w:ascii="Palatino Linotype" w:hAnsi="Palatino Linotype" w:cs="Arial"/>
        </w:rPr>
      </w:pPr>
      <w:r w:rsidRPr="00D317BA">
        <w:rPr>
          <w:rFonts w:ascii="Palatino Linotype" w:hAnsi="Palatino Linotype"/>
          <w:bCs/>
        </w:rPr>
        <w:t xml:space="preserve">Atento a lo anterior, </w:t>
      </w:r>
      <w:r w:rsidRPr="00D317BA">
        <w:rPr>
          <w:rFonts w:ascii="Palatino Linotype" w:hAnsi="Palatino Linotype" w:cs="Arial"/>
          <w:lang w:eastAsia="es-MX"/>
        </w:rPr>
        <w:t xml:space="preserve">es necesario hacer hincapié que para el caso de que existan </w:t>
      </w:r>
      <w:r w:rsidRPr="00D317BA">
        <w:rPr>
          <w:rFonts w:ascii="Palatino Linotype" w:hAnsi="Palatino Linotype"/>
        </w:rPr>
        <w:t xml:space="preserve">causas presentes que impiden la publicidad de la información durante cierto periodo </w:t>
      </w:r>
      <w:r w:rsidRPr="00D317BA">
        <w:rPr>
          <w:rFonts w:ascii="Palatino Linotype" w:hAnsi="Palatino Linotype"/>
        </w:rPr>
        <w:lastRenderedPageBreak/>
        <w:t xml:space="preserve">de tiempo, </w:t>
      </w:r>
      <w:r w:rsidRPr="00D317BA">
        <w:rPr>
          <w:rFonts w:ascii="Palatino Linotype" w:hAnsi="Palatino Linotype" w:cs="Arial"/>
          <w:lang w:eastAsia="es-MX"/>
        </w:rPr>
        <w:t xml:space="preserve">debe clasificar la información </w:t>
      </w:r>
      <w:r w:rsidRPr="00D317BA">
        <w:rPr>
          <w:rFonts w:ascii="Palatino Linotype" w:hAnsi="Palatino Linotype" w:cs="Arial"/>
        </w:rPr>
        <w:t>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366E7A4F"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Finalmente, este Órgano Garante de la Protección de Datos Personales no omite mencionar que, si dentro de la información que se ordena su entrega, </w:t>
      </w:r>
      <w:r w:rsidRPr="00D317BA">
        <w:rPr>
          <w:rFonts w:ascii="Palatino Linotype" w:hAnsi="Palatino Linotype" w:cs="Arial"/>
          <w:b/>
        </w:rPr>
        <w:t xml:space="preserve">EL SUJETO OBLIGADO </w:t>
      </w:r>
      <w:r w:rsidRPr="00D317BA">
        <w:rPr>
          <w:rFonts w:ascii="Palatino Linotype" w:hAnsi="Palatino Linotype" w:cs="Arial"/>
        </w:rPr>
        <w:t>advierte documentos que por su propia y especial naturaleza son privados, deberá efectuar el Acuerdo de Clasificación como confidencial, en términos de la legislación aplicable y en los términos abordados con antelación.</w:t>
      </w:r>
    </w:p>
    <w:p w14:paraId="4756EF5B"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Por lo tanto,</w:t>
      </w:r>
      <w:r w:rsidRPr="00D317BA">
        <w:rPr>
          <w:rFonts w:ascii="Palatino Linotype" w:hAnsi="Palatino Linotype"/>
        </w:rPr>
        <w:t xml:space="preserve"> es importante referir que </w:t>
      </w:r>
      <w:r w:rsidRPr="00D317BA">
        <w:rPr>
          <w:rFonts w:ascii="Palatino Linotype" w:hAnsi="Palatino Linotype"/>
          <w:b/>
        </w:rPr>
        <w:t>EL SUJETO OBLIGADO</w:t>
      </w:r>
      <w:r w:rsidRPr="00D317BA">
        <w:rPr>
          <w:rFonts w:ascii="Palatino Linotype" w:hAnsi="Palatino Linotype"/>
        </w:rPr>
        <w:t xml:space="preserve"> deberá seguir el procedimiento legal establecido para su </w:t>
      </w:r>
      <w:r w:rsidRPr="00D317BA">
        <w:rPr>
          <w:rFonts w:ascii="Palatino Linotype" w:hAnsi="Palatino Linotype"/>
          <w:lang w:eastAsia="es-MX"/>
        </w:rPr>
        <w:t>clasificación</w:t>
      </w:r>
      <w:r w:rsidRPr="00D317BA">
        <w:rPr>
          <w:rFonts w:ascii="Palatino Linotype" w:hAnsi="Palatino Linotype"/>
        </w:rPr>
        <w:t>, esto es, que su Comité de</w:t>
      </w:r>
      <w:r w:rsidRPr="00D317BA">
        <w:rPr>
          <w:rFonts w:ascii="Palatino Linotype" w:hAnsi="Palatino Linotype" w:cs="Arial"/>
        </w:rPr>
        <w:t xml:space="preserve"> Transparencia emita un Acuerdo de Clasificación que cumpla con las formalidades antes citadas</w:t>
      </w:r>
      <w:r w:rsidRPr="00D317BA">
        <w:rPr>
          <w:rFonts w:ascii="Palatino Linotype" w:hAnsi="Palatino Linotype" w:cs="Arial"/>
          <w:b/>
        </w:rPr>
        <w:t xml:space="preserve"> </w:t>
      </w:r>
      <w:r w:rsidRPr="00D317BA">
        <w:rPr>
          <w:rFonts w:ascii="Palatino Linotype" w:hAnsi="Palatino Linotype" w:cs="Arial"/>
        </w:rPr>
        <w:t xml:space="preserve">que la sustente, en el </w:t>
      </w:r>
      <w:r w:rsidRPr="00D317BA">
        <w:rPr>
          <w:rFonts w:ascii="Palatino Linotype" w:hAnsi="Palatino Linotype" w:cs="Arial"/>
          <w:lang w:eastAsia="es-MX"/>
        </w:rPr>
        <w:t>que</w:t>
      </w:r>
      <w:r w:rsidRPr="00D317B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6D295AE9" w14:textId="77777777" w:rsidR="00F72BC1" w:rsidRPr="00D317BA" w:rsidRDefault="00F72BC1" w:rsidP="00F72BC1">
      <w:pPr>
        <w:spacing w:before="100" w:beforeAutospacing="1" w:after="100" w:afterAutospacing="1" w:line="360" w:lineRule="auto"/>
        <w:jc w:val="both"/>
        <w:rPr>
          <w:rFonts w:ascii="Palatino Linotype" w:eastAsia="Calibri" w:hAnsi="Palatino Linotype" w:cs="Bookman Old Style"/>
          <w:lang w:eastAsia="en-US"/>
        </w:rPr>
      </w:pPr>
      <w:r w:rsidRPr="00D317BA">
        <w:rPr>
          <w:rFonts w:ascii="Palatino Linotype" w:hAnsi="Palatino Linotype" w:cs="Arial"/>
        </w:rPr>
        <w:t xml:space="preserve">Por otra parte, esta Ponencia Resolutora estima prudente señalar al </w:t>
      </w:r>
      <w:r w:rsidRPr="00D317BA">
        <w:rPr>
          <w:rFonts w:ascii="Palatino Linotype" w:hAnsi="Palatino Linotype" w:cs="Arial"/>
          <w:b/>
        </w:rPr>
        <w:t>SUJETO OBLIGADO</w:t>
      </w:r>
      <w:r w:rsidRPr="00D317BA">
        <w:rPr>
          <w:rFonts w:ascii="Palatino Linotype" w:hAnsi="Palatino Linotype" w:cs="Arial"/>
        </w:rPr>
        <w:t xml:space="preserve"> que, en caso de que la información solicitada, debiera obrar en sus archivos y no cuente con ella</w:t>
      </w:r>
      <w:r w:rsidRPr="00D317BA">
        <w:rPr>
          <w:rFonts w:ascii="Palatino Linotype" w:hAnsi="Palatino Linotype" w:cs="Arial"/>
          <w:lang w:val="es-ES"/>
        </w:rPr>
        <w:t xml:space="preserve">, </w:t>
      </w:r>
      <w:r w:rsidRPr="00D317BA">
        <w:rPr>
          <w:rFonts w:ascii="Palatino Linotype" w:eastAsia="Calibri" w:hAnsi="Palatino Linotype" w:cs="Bookman Old Style"/>
          <w:lang w:eastAsia="en-US"/>
        </w:rPr>
        <w:t>deberá entregar el Acuerdo del Comité de Transparencia, en donde conste la declaratoria de inexistencia de la misma.</w:t>
      </w:r>
    </w:p>
    <w:p w14:paraId="66918937"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rPr>
        <w:lastRenderedPageBreak/>
        <w:t xml:space="preserve">Siendo importante resaltar que los artículos 18 y 19 de la Ley de Transparencia y Acceso a la Información Pública del Estado de México y Municipios establecen que los sujetos obligados deben documentar todo acto que derive del ejercicio de sus facultades, </w:t>
      </w:r>
      <w:r w:rsidRPr="00D317BA">
        <w:rPr>
          <w:rFonts w:ascii="Palatino Linotype" w:hAnsi="Palatino Linotype" w:cs="Arial"/>
        </w:rPr>
        <w:t>competencias o funciones y que se presume que la información debe existir si se refiere a dichas facultades, competencias y/o funciones.</w:t>
      </w:r>
    </w:p>
    <w:p w14:paraId="7849E476"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5CE68C5"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Resulta aplicable el criterio reiterado número </w:t>
      </w:r>
      <w:r w:rsidRPr="00D317BA">
        <w:rPr>
          <w:rFonts w:ascii="Palatino Linotype" w:hAnsi="Palatino Linotype" w:cs="Arial"/>
          <w:b/>
        </w:rPr>
        <w:t>08/19</w:t>
      </w:r>
      <w:r w:rsidRPr="00D317BA">
        <w:rPr>
          <w:rFonts w:ascii="Palatino Linotype" w:hAnsi="Palatino Linotype" w:cs="Arial"/>
        </w:rPr>
        <w:t>, emitidos por Acuerdo del Pleno del Instituto de Transparencia y Acceso a la Información Pública del Estado de México y Municipios, que a la letra dice:</w:t>
      </w:r>
    </w:p>
    <w:p w14:paraId="1A96289B" w14:textId="77777777" w:rsidR="00F72BC1" w:rsidRPr="00D317BA" w:rsidRDefault="00F72BC1" w:rsidP="00F72BC1">
      <w:pPr>
        <w:ind w:left="851" w:right="899"/>
        <w:jc w:val="both"/>
        <w:rPr>
          <w:rFonts w:ascii="Palatino Linotype" w:hAnsi="Palatino Linotype" w:cs="Arial"/>
          <w:i/>
          <w:sz w:val="22"/>
          <w:szCs w:val="22"/>
        </w:rPr>
      </w:pPr>
      <w:r w:rsidRPr="00D317BA">
        <w:rPr>
          <w:rFonts w:ascii="Palatino Linotype" w:hAnsi="Palatino Linotype" w:cs="Arial"/>
          <w:b/>
          <w:i/>
          <w:sz w:val="22"/>
          <w:szCs w:val="22"/>
        </w:rPr>
        <w:t>“INEXISTENCIA DE LA INFORMACIÓN. SUPUESTOS PARA EMITIR LA RESOLUCIÓN DE LA.</w:t>
      </w:r>
      <w:r w:rsidRPr="00D317BA">
        <w:rPr>
          <w:rFonts w:ascii="Palatino Linotype" w:hAnsi="Palatino Linotype" w:cs="Arial"/>
          <w:i/>
          <w:sz w:val="22"/>
          <w:szCs w:val="22"/>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w:t>
      </w:r>
      <w:r w:rsidRPr="00D317BA">
        <w:rPr>
          <w:rFonts w:ascii="Palatino Linotype" w:hAnsi="Palatino Linotype" w:cs="Arial"/>
          <w:i/>
          <w:sz w:val="22"/>
          <w:szCs w:val="22"/>
        </w:rPr>
        <w:lastRenderedPageBreak/>
        <w:t>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DA09063" w14:textId="77777777" w:rsidR="00F72BC1" w:rsidRPr="00D317BA" w:rsidRDefault="00F72BC1" w:rsidP="00F72BC1">
      <w:pPr>
        <w:ind w:left="851" w:right="899"/>
        <w:jc w:val="both"/>
        <w:rPr>
          <w:rFonts w:ascii="Palatino Linotype" w:hAnsi="Palatino Linotype" w:cs="Arial"/>
          <w:i/>
          <w:sz w:val="22"/>
          <w:szCs w:val="22"/>
        </w:rPr>
      </w:pPr>
    </w:p>
    <w:p w14:paraId="63CFE3C7" w14:textId="77777777" w:rsidR="00F72BC1" w:rsidRPr="00D317BA" w:rsidRDefault="00F72BC1" w:rsidP="00F72BC1">
      <w:pPr>
        <w:ind w:left="851" w:right="899"/>
        <w:jc w:val="both"/>
        <w:rPr>
          <w:rFonts w:ascii="Palatino Linotype" w:hAnsi="Palatino Linotype" w:cs="Arial"/>
          <w:i/>
          <w:sz w:val="22"/>
          <w:szCs w:val="22"/>
        </w:rPr>
      </w:pPr>
      <w:r w:rsidRPr="00D317BA">
        <w:rPr>
          <w:rFonts w:ascii="Palatino Linotype" w:hAnsi="Palatino Linotype" w:cs="Arial"/>
          <w:i/>
          <w:sz w:val="22"/>
          <w:szCs w:val="22"/>
        </w:rPr>
        <w:t xml:space="preserve">Precedentes: </w:t>
      </w:r>
    </w:p>
    <w:p w14:paraId="396243E0" w14:textId="77777777" w:rsidR="00F72BC1" w:rsidRPr="00D317BA" w:rsidRDefault="00F72BC1" w:rsidP="00F72BC1">
      <w:pPr>
        <w:ind w:left="851" w:right="899"/>
        <w:jc w:val="both"/>
        <w:rPr>
          <w:rFonts w:ascii="Palatino Linotype" w:hAnsi="Palatino Linotype" w:cs="Arial"/>
          <w:i/>
          <w:sz w:val="22"/>
          <w:szCs w:val="22"/>
        </w:rPr>
      </w:pPr>
      <w:r w:rsidRPr="00D317BA">
        <w:rPr>
          <w:rFonts w:ascii="Palatino Linotype" w:hAnsi="Palatino Linotype" w:cs="Arial"/>
          <w:i/>
          <w:sz w:val="22"/>
          <w:szCs w:val="22"/>
        </w:rPr>
        <w:t xml:space="preserve">En materia de acceso a la información pública. 06881/INFOEM/IP/RR/2019. Aprobado por unanimidad de votos, emitiendo voto particular las Comisionadas Zulema Martínez Sánchez y Eva Abaid Yapur. Instituto de Salud del Estado de México. Comisionado Ponente Luis Gustavo Parra Noriega. </w:t>
      </w:r>
    </w:p>
    <w:p w14:paraId="09D2C883" w14:textId="77777777" w:rsidR="00F72BC1" w:rsidRPr="00D317BA" w:rsidRDefault="00F72BC1" w:rsidP="00F72BC1">
      <w:pPr>
        <w:ind w:left="851" w:right="899"/>
        <w:jc w:val="both"/>
        <w:rPr>
          <w:rFonts w:ascii="Palatino Linotype" w:hAnsi="Palatino Linotype" w:cs="Arial"/>
          <w:i/>
          <w:sz w:val="22"/>
          <w:szCs w:val="22"/>
        </w:rPr>
      </w:pPr>
      <w:r w:rsidRPr="00D317BA">
        <w:rPr>
          <w:rFonts w:ascii="Palatino Linotype" w:hAnsi="Palatino Linotype" w:cs="Arial"/>
          <w:i/>
          <w:sz w:val="22"/>
          <w:szCs w:val="22"/>
        </w:rPr>
        <w:t xml:space="preserve">En materia de acceso a la información pública. 05732/INFOEM/IP/RR/2019. Aprobado por unanimidad de votos. Ayuntamiento de Chicoloapan. Comisionada Ponente Eva Abaid Yapur. </w:t>
      </w:r>
    </w:p>
    <w:p w14:paraId="7662FEC9" w14:textId="77777777" w:rsidR="00F72BC1" w:rsidRPr="00D317BA" w:rsidRDefault="00F72BC1" w:rsidP="00F72BC1">
      <w:pPr>
        <w:ind w:left="851" w:right="899"/>
        <w:jc w:val="both"/>
        <w:rPr>
          <w:rFonts w:ascii="Palatino Linotype" w:hAnsi="Palatino Linotype" w:cs="Arial"/>
          <w:i/>
          <w:sz w:val="22"/>
          <w:szCs w:val="22"/>
        </w:rPr>
      </w:pPr>
      <w:r w:rsidRPr="00D317BA">
        <w:rPr>
          <w:rFonts w:ascii="Palatino Linotype" w:hAnsi="Palatino Linotype" w:cs="Arial"/>
          <w:i/>
          <w:sz w:val="22"/>
          <w:szCs w:val="22"/>
        </w:rPr>
        <w:t>En materia de acceso a la información pública. 04749INFOEM/IP/RR/2019 y acumulados. Aprobado por unanimidad de votos, emitiendo voto particular la Comisionada Eva Abaid Yapur. Universidad Politécnica del Valle de Toluca. Comisionado Ponente Javier Martínez Cruz.”</w:t>
      </w:r>
    </w:p>
    <w:p w14:paraId="4ED563DF" w14:textId="77777777" w:rsidR="00F72BC1" w:rsidRPr="00D317BA" w:rsidRDefault="00F72BC1" w:rsidP="00F72BC1">
      <w:pPr>
        <w:ind w:left="851" w:right="899"/>
        <w:jc w:val="both"/>
        <w:rPr>
          <w:rFonts w:ascii="Palatino Linotype" w:hAnsi="Palatino Linotype" w:cs="Arial"/>
          <w:i/>
          <w:sz w:val="22"/>
          <w:szCs w:val="22"/>
        </w:rPr>
      </w:pPr>
    </w:p>
    <w:p w14:paraId="6B654FC8" w14:textId="77777777" w:rsidR="00F72BC1" w:rsidRPr="00D317BA" w:rsidRDefault="00F72BC1" w:rsidP="00F72BC1">
      <w:pPr>
        <w:ind w:left="851" w:right="899"/>
        <w:jc w:val="both"/>
        <w:rPr>
          <w:rFonts w:ascii="Palatino Linotype" w:hAnsi="Palatino Linotype" w:cs="Arial"/>
          <w:i/>
          <w:sz w:val="22"/>
          <w:szCs w:val="22"/>
        </w:rPr>
      </w:pPr>
      <w:r w:rsidRPr="00D317BA">
        <w:rPr>
          <w:rFonts w:ascii="Palatino Linotype" w:hAnsi="Palatino Linotype" w:cs="Arial"/>
          <w:i/>
          <w:sz w:val="22"/>
          <w:szCs w:val="22"/>
        </w:rPr>
        <w:t>(Énfasis añadido)</w:t>
      </w:r>
    </w:p>
    <w:p w14:paraId="28B28978"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En mérito de todo lo expuesto, ante lo fundado de las razones o motivos de inconformidad hechos valer por </w:t>
      </w:r>
      <w:r w:rsidRPr="00D317BA">
        <w:rPr>
          <w:rFonts w:ascii="Palatino Linotype" w:hAnsi="Palatino Linotype" w:cs="Arial"/>
          <w:b/>
        </w:rPr>
        <w:t>EL RECURRENTE</w:t>
      </w:r>
      <w:r w:rsidRPr="00D317BA">
        <w:rPr>
          <w:rFonts w:ascii="Palatino Linotype" w:hAnsi="Palatino Linotype" w:cs="Arial"/>
        </w:rPr>
        <w:t xml:space="preserve">, este Instituto estima que lo dable es </w:t>
      </w:r>
      <w:r w:rsidRPr="00D317BA">
        <w:rPr>
          <w:rFonts w:ascii="Palatino Linotype" w:hAnsi="Palatino Linotype" w:cs="Arial"/>
          <w:b/>
        </w:rPr>
        <w:t>ORDENAR</w:t>
      </w:r>
      <w:r w:rsidRPr="00D317BA">
        <w:rPr>
          <w:rFonts w:ascii="Palatino Linotype" w:hAnsi="Palatino Linotype" w:cs="Arial"/>
        </w:rPr>
        <w:t xml:space="preserve"> al </w:t>
      </w:r>
      <w:r w:rsidRPr="00D317BA">
        <w:rPr>
          <w:rFonts w:ascii="Palatino Linotype" w:hAnsi="Palatino Linotype" w:cs="Arial"/>
          <w:b/>
        </w:rPr>
        <w:t>SUJETO</w:t>
      </w:r>
      <w:r w:rsidRPr="00D317BA">
        <w:rPr>
          <w:rFonts w:ascii="Palatino Linotype" w:hAnsi="Palatino Linotype" w:cs="Arial"/>
        </w:rPr>
        <w:t xml:space="preserve"> </w:t>
      </w:r>
      <w:r w:rsidRPr="00D317BA">
        <w:rPr>
          <w:rFonts w:ascii="Palatino Linotype" w:hAnsi="Palatino Linotype" w:cs="Arial"/>
          <w:b/>
        </w:rPr>
        <w:t>OBLIGADO</w:t>
      </w:r>
      <w:r w:rsidRPr="00D317BA">
        <w:rPr>
          <w:rFonts w:ascii="Palatino Linotype" w:hAnsi="Palatino Linotype" w:cs="Arial"/>
        </w:rPr>
        <w:t xml:space="preserve"> dé trámite y respuesta a la solicitud de acceso a la información, atendiendo lo señalado en el presente Considerando.</w:t>
      </w:r>
    </w:p>
    <w:p w14:paraId="645083F4" w14:textId="77777777" w:rsidR="00F72BC1" w:rsidRPr="00D317BA" w:rsidRDefault="00F72BC1" w:rsidP="00F72BC1">
      <w:pPr>
        <w:spacing w:before="100" w:beforeAutospacing="1" w:after="100" w:afterAutospacing="1" w:line="360" w:lineRule="auto"/>
        <w:jc w:val="both"/>
        <w:rPr>
          <w:rFonts w:ascii="Palatino Linotype" w:hAnsi="Palatino Linotype" w:cs="Arial"/>
        </w:rPr>
      </w:pPr>
      <w:r w:rsidRPr="00D317BA">
        <w:rPr>
          <w:rFonts w:ascii="Palatino Linotype" w:hAnsi="Palatino Linotype" w:cs="Arial"/>
        </w:rPr>
        <w:t xml:space="preserve">Finalmente, es de señalar que, en razón de que </w:t>
      </w:r>
      <w:r w:rsidRPr="00D317BA">
        <w:rPr>
          <w:rFonts w:ascii="Palatino Linotype" w:hAnsi="Palatino Linotype" w:cs="Arial"/>
          <w:b/>
        </w:rPr>
        <w:t xml:space="preserve">EL SUJETO OBLIGADO </w:t>
      </w:r>
      <w:r w:rsidRPr="00D317BA">
        <w:rPr>
          <w:rFonts w:ascii="Palatino Linotype" w:hAnsi="Palatino Linotype" w:cs="Arial"/>
        </w:rPr>
        <w:t xml:space="preserve">fue omiso en entregar la respuesta a la solicitud de información pública y dado que el recurso de revisión materia del presente asunto, </w:t>
      </w:r>
      <w:r w:rsidRPr="00D317BA">
        <w:rPr>
          <w:rFonts w:ascii="Palatino Linotype" w:hAnsi="Palatino Linotype"/>
        </w:rPr>
        <w:t xml:space="preserve">no es el medio para investigar y en su caso, sancionar a servidores públicos </w:t>
      </w:r>
      <w:r w:rsidRPr="00D317BA">
        <w:rPr>
          <w:rFonts w:ascii="Palatino Linotype" w:hAnsi="Palatino Linotype"/>
          <w:b/>
        </w:rPr>
        <w:t>por la omisión de la entrega de información pública</w:t>
      </w:r>
      <w:r w:rsidRPr="00D317BA">
        <w:rPr>
          <w:rFonts w:ascii="Palatino Linotype" w:hAnsi="Palatino Linotype"/>
        </w:rPr>
        <w:t xml:space="preserve">, toda vez que el artículo 163 de la Ley de la materia, prevé el plazo de respuesta y </w:t>
      </w:r>
      <w:r w:rsidRPr="00D317BA">
        <w:rPr>
          <w:rFonts w:ascii="Palatino Linotype" w:hAnsi="Palatino Linotype"/>
        </w:rPr>
        <w:lastRenderedPageBreak/>
        <w:t>atención a solicitudes de información; atento a ello, este Instituto en el ámbito de sus atribuciones, hará  d</w:t>
      </w:r>
      <w:r w:rsidRPr="00D317BA">
        <w:rPr>
          <w:rFonts w:ascii="Palatino Linotype" w:hAnsi="Palatino Linotype" w:cs="Arial"/>
        </w:rPr>
        <w:t xml:space="preserve">el conocimiento al Contralor de este Instituto a fin de que en términos del ordinal 190 de la Ley de la materia determine lo conducente. </w:t>
      </w:r>
    </w:p>
    <w:p w14:paraId="7FE30CCA" w14:textId="77777777" w:rsidR="00F72BC1" w:rsidRPr="00D317BA" w:rsidRDefault="00F72BC1" w:rsidP="00F72BC1">
      <w:pPr>
        <w:spacing w:before="100" w:beforeAutospacing="1" w:after="100" w:afterAutospacing="1" w:line="360" w:lineRule="auto"/>
        <w:jc w:val="both"/>
        <w:rPr>
          <w:rFonts w:ascii="Palatino Linotype" w:eastAsia="Calibri" w:hAnsi="Palatino Linotype" w:cs="Arial"/>
        </w:rPr>
      </w:pPr>
      <w:r w:rsidRPr="00D317BA">
        <w:rPr>
          <w:rFonts w:ascii="Palatino Linotype" w:eastAsia="Calibri" w:hAnsi="Palatino Linotype" w:cs="Arial"/>
        </w:rPr>
        <w:t xml:space="preserve">Así, con fundamento en lo prescrito en los artículos 5, párrafos </w:t>
      </w:r>
      <w:r w:rsidR="00CD421B" w:rsidRPr="00D317BA">
        <w:rPr>
          <w:rFonts w:ascii="Palatino Linotype" w:hAnsi="Palatino Linotype"/>
        </w:rPr>
        <w:t>trigésimo, trigésimo primero y trigésimo segundo</w:t>
      </w:r>
      <w:r w:rsidRPr="00D317BA">
        <w:rPr>
          <w:rFonts w:ascii="Palatino Linotype" w:eastAsia="Calibri" w:hAnsi="Palatino Linotype" w:cs="Arial"/>
        </w:rPr>
        <w:t xml:space="preserve">, fracciones IV y V de la Constitución Política del Estado Libre y Soberano de México; </w:t>
      </w:r>
      <w:r w:rsidRPr="00D317BA">
        <w:rPr>
          <w:rFonts w:ascii="Palatino Linotype" w:hAnsi="Palatino Linotype" w:cs="Arial"/>
        </w:rPr>
        <w:t>2, fracción II, 9, 29, 36, fracciones I y II, 176, 178, 179, 181, 185, fracción I, 186 y 188</w:t>
      </w:r>
      <w:r w:rsidRPr="00D317BA">
        <w:rPr>
          <w:rFonts w:ascii="Palatino Linotype" w:eastAsia="Calibri" w:hAnsi="Palatino Linotype" w:cs="Arial"/>
        </w:rPr>
        <w:t xml:space="preserve"> de la Ley de Transparencia y Acceso a la Información Pública del Estado de México y Municipios, este Pleno:</w:t>
      </w:r>
    </w:p>
    <w:p w14:paraId="446EA9D4" w14:textId="77777777" w:rsidR="00F72BC1" w:rsidRPr="00D317BA" w:rsidRDefault="00F72BC1" w:rsidP="00F72BC1">
      <w:pPr>
        <w:spacing w:line="360" w:lineRule="auto"/>
        <w:jc w:val="center"/>
        <w:rPr>
          <w:rFonts w:ascii="Palatino Linotype" w:hAnsi="Palatino Linotype" w:cs="Arial"/>
          <w:b/>
          <w:spacing w:val="44"/>
          <w:sz w:val="28"/>
          <w:szCs w:val="28"/>
          <w:lang w:val="pt-BR"/>
        </w:rPr>
      </w:pPr>
      <w:r w:rsidRPr="00D317BA">
        <w:rPr>
          <w:rFonts w:ascii="Palatino Linotype" w:hAnsi="Palatino Linotype" w:cs="Arial"/>
          <w:b/>
          <w:spacing w:val="44"/>
          <w:sz w:val="28"/>
          <w:szCs w:val="28"/>
          <w:lang w:val="pt-BR"/>
        </w:rPr>
        <w:t>RESUELVE</w:t>
      </w:r>
    </w:p>
    <w:p w14:paraId="6475FB03" w14:textId="77777777" w:rsidR="00F72BC1" w:rsidRPr="00D317BA" w:rsidRDefault="00F72BC1" w:rsidP="00F72BC1">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D317BA">
        <w:rPr>
          <w:rFonts w:ascii="Palatino Linotype" w:hAnsi="Palatino Linotype" w:cs="Arial"/>
          <w:b/>
          <w:sz w:val="28"/>
          <w:szCs w:val="28"/>
        </w:rPr>
        <w:t>PRIMERO</w:t>
      </w:r>
      <w:r w:rsidRPr="00D317BA">
        <w:rPr>
          <w:rFonts w:ascii="Palatino Linotype" w:hAnsi="Palatino Linotype" w:cs="Arial"/>
          <w:b/>
        </w:rPr>
        <w:t xml:space="preserve">. </w:t>
      </w:r>
      <w:r w:rsidRPr="00D317BA">
        <w:rPr>
          <w:rFonts w:ascii="Palatino Linotype" w:hAnsi="Palatino Linotype" w:cs="Arial"/>
        </w:rPr>
        <w:t xml:space="preserve">Resultan </w:t>
      </w:r>
      <w:r w:rsidRPr="00D317BA">
        <w:rPr>
          <w:rFonts w:ascii="Palatino Linotype" w:hAnsi="Palatino Linotype" w:cs="Arial"/>
          <w:b/>
        </w:rPr>
        <w:t>fundadas</w:t>
      </w:r>
      <w:r w:rsidRPr="00D317BA">
        <w:rPr>
          <w:rFonts w:ascii="Palatino Linotype" w:hAnsi="Palatino Linotype" w:cs="Arial"/>
        </w:rPr>
        <w:t xml:space="preserve"> las </w:t>
      </w:r>
      <w:r w:rsidRPr="00D317BA">
        <w:rPr>
          <w:rFonts w:ascii="Palatino Linotype" w:hAnsi="Palatino Linotype"/>
          <w:shd w:val="clear" w:color="auto" w:fill="FFFFFF"/>
        </w:rPr>
        <w:t>razones</w:t>
      </w:r>
      <w:r w:rsidRPr="00D317BA">
        <w:rPr>
          <w:rFonts w:ascii="Palatino Linotype" w:hAnsi="Palatino Linotype" w:cs="Arial"/>
        </w:rPr>
        <w:t xml:space="preserve"> o motivos de inconformidad hechas valer por </w:t>
      </w:r>
      <w:r w:rsidRPr="00D317BA">
        <w:rPr>
          <w:rFonts w:ascii="Palatino Linotype" w:eastAsia="Calibri" w:hAnsi="Palatino Linotype"/>
          <w:b/>
          <w:szCs w:val="22"/>
          <w:lang w:eastAsia="en-US"/>
        </w:rPr>
        <w:t>EL RECURRENTE</w:t>
      </w:r>
      <w:r w:rsidRPr="00D317BA">
        <w:rPr>
          <w:rFonts w:ascii="Palatino Linotype" w:hAnsi="Palatino Linotype" w:cs="Arial"/>
          <w:b/>
        </w:rPr>
        <w:t>,</w:t>
      </w:r>
      <w:r w:rsidRPr="00D317BA">
        <w:rPr>
          <w:rFonts w:ascii="Palatino Linotype" w:hAnsi="Palatino Linotype" w:cs="Arial"/>
        </w:rPr>
        <w:t xml:space="preserve"> en términos del Considerando </w:t>
      </w:r>
      <w:r w:rsidRPr="00D317BA">
        <w:rPr>
          <w:rFonts w:ascii="Palatino Linotype" w:hAnsi="Palatino Linotype" w:cs="Arial"/>
          <w:b/>
        </w:rPr>
        <w:t>SEXTO</w:t>
      </w:r>
      <w:r w:rsidRPr="00D317BA">
        <w:rPr>
          <w:rFonts w:ascii="Palatino Linotype" w:hAnsi="Palatino Linotype" w:cs="Arial"/>
        </w:rPr>
        <w:t xml:space="preserve"> de la presente resolución.</w:t>
      </w:r>
    </w:p>
    <w:p w14:paraId="1D2B897E" w14:textId="77777777" w:rsidR="00F72BC1" w:rsidRPr="00D317BA" w:rsidRDefault="00F72BC1" w:rsidP="00F72BC1">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D317BA">
        <w:rPr>
          <w:rFonts w:ascii="Palatino Linotype" w:hAnsi="Palatino Linotype"/>
          <w:b/>
          <w:color w:val="222222"/>
          <w:sz w:val="28"/>
          <w:szCs w:val="28"/>
          <w:lang w:eastAsia="es-MX"/>
        </w:rPr>
        <w:t>SEGUNDO</w:t>
      </w:r>
      <w:r w:rsidRPr="00D317BA">
        <w:rPr>
          <w:rFonts w:ascii="Palatino Linotype" w:hAnsi="Palatino Linotype"/>
          <w:b/>
          <w:color w:val="222222"/>
          <w:lang w:eastAsia="es-MX"/>
        </w:rPr>
        <w:t xml:space="preserve">. </w:t>
      </w:r>
      <w:r w:rsidRPr="00D317BA">
        <w:rPr>
          <w:rFonts w:ascii="Palatino Linotype" w:hAnsi="Palatino Linotype"/>
          <w:color w:val="222222"/>
          <w:lang w:eastAsia="es-MX"/>
        </w:rPr>
        <w:t>Se</w:t>
      </w:r>
      <w:r w:rsidRPr="00D317BA">
        <w:rPr>
          <w:rFonts w:ascii="Palatino Linotype" w:hAnsi="Palatino Linotype"/>
          <w:b/>
          <w:bCs/>
          <w:color w:val="222222"/>
          <w:lang w:eastAsia="es-MX"/>
        </w:rPr>
        <w:t xml:space="preserve"> ORDENA </w:t>
      </w:r>
      <w:r w:rsidRPr="00D317BA">
        <w:rPr>
          <w:rFonts w:ascii="Palatino Linotype" w:hAnsi="Palatino Linotype"/>
          <w:color w:val="222222"/>
          <w:lang w:eastAsia="es-MX"/>
        </w:rPr>
        <w:t xml:space="preserve">al </w:t>
      </w:r>
      <w:r w:rsidRPr="00D317BA">
        <w:rPr>
          <w:rFonts w:ascii="Palatino Linotype" w:hAnsi="Palatino Linotype"/>
          <w:b/>
          <w:bCs/>
          <w:color w:val="222222"/>
          <w:lang w:eastAsia="es-MX"/>
        </w:rPr>
        <w:t xml:space="preserve">SUJETO OBLIGADO </w:t>
      </w:r>
      <w:r w:rsidRPr="00D317BA">
        <w:rPr>
          <w:rFonts w:ascii="Palatino Linotype" w:hAnsi="Palatino Linotype"/>
          <w:color w:val="222222"/>
          <w:lang w:eastAsia="es-MX"/>
        </w:rPr>
        <w:t xml:space="preserve">dé trámite a la solicitud de acceso a la información pública que dio origen a los recursos de revisión números </w:t>
      </w:r>
      <w:r w:rsidR="003E2FAD" w:rsidRPr="00D317BA">
        <w:rPr>
          <w:rFonts w:ascii="Palatino Linotype" w:hAnsi="Palatino Linotype"/>
          <w:b/>
          <w:bCs/>
          <w:color w:val="222222"/>
          <w:lang w:eastAsia="es-MX"/>
        </w:rPr>
        <w:t>01147</w:t>
      </w:r>
      <w:r w:rsidRPr="00D317BA">
        <w:rPr>
          <w:rFonts w:ascii="Palatino Linotype" w:hAnsi="Palatino Linotype"/>
          <w:b/>
          <w:bCs/>
          <w:lang w:val="es-ES_tradnl"/>
        </w:rPr>
        <w:t>/IN</w:t>
      </w:r>
      <w:r w:rsidRPr="00D317BA">
        <w:rPr>
          <w:rFonts w:ascii="Palatino Linotype" w:hAnsi="Palatino Linotype"/>
          <w:b/>
          <w:lang w:val="es-ES_tradnl"/>
        </w:rPr>
        <w:t>FOEM/IP/RR/202</w:t>
      </w:r>
      <w:r w:rsidR="003E2FAD" w:rsidRPr="00D317BA">
        <w:rPr>
          <w:rFonts w:ascii="Palatino Linotype" w:hAnsi="Palatino Linotype"/>
          <w:b/>
          <w:lang w:val="es-ES_tradnl"/>
        </w:rPr>
        <w:t>1</w:t>
      </w:r>
      <w:r w:rsidRPr="00D317BA">
        <w:rPr>
          <w:rFonts w:ascii="Palatino Linotype" w:hAnsi="Palatino Linotype"/>
          <w:b/>
          <w:lang w:val="es-ES_tradnl"/>
        </w:rPr>
        <w:t xml:space="preserve"> </w:t>
      </w:r>
      <w:r w:rsidRPr="00D317BA">
        <w:rPr>
          <w:rFonts w:ascii="Palatino Linotype" w:hAnsi="Palatino Linotype"/>
          <w:lang w:val="es-ES_tradnl"/>
        </w:rPr>
        <w:t xml:space="preserve">y </w:t>
      </w:r>
      <w:r w:rsidR="003E2FAD" w:rsidRPr="00D317BA">
        <w:rPr>
          <w:rFonts w:ascii="Palatino Linotype" w:hAnsi="Palatino Linotype"/>
          <w:b/>
          <w:bCs/>
          <w:color w:val="222222"/>
          <w:lang w:eastAsia="es-MX"/>
        </w:rPr>
        <w:t>01148</w:t>
      </w:r>
      <w:r w:rsidRPr="00D317BA">
        <w:rPr>
          <w:rFonts w:ascii="Palatino Linotype" w:hAnsi="Palatino Linotype"/>
          <w:b/>
          <w:bCs/>
          <w:lang w:val="es-ES_tradnl"/>
        </w:rPr>
        <w:t>/IN</w:t>
      </w:r>
      <w:r w:rsidRPr="00D317BA">
        <w:rPr>
          <w:rFonts w:ascii="Palatino Linotype" w:hAnsi="Palatino Linotype"/>
          <w:b/>
          <w:lang w:val="es-ES_tradnl"/>
        </w:rPr>
        <w:t>FOEM/IP/RR/202</w:t>
      </w:r>
      <w:r w:rsidR="003E2FAD" w:rsidRPr="00D317BA">
        <w:rPr>
          <w:rFonts w:ascii="Palatino Linotype" w:hAnsi="Palatino Linotype"/>
          <w:b/>
          <w:lang w:val="es-ES_tradnl"/>
        </w:rPr>
        <w:t>1</w:t>
      </w:r>
      <w:r w:rsidRPr="00D317BA">
        <w:rPr>
          <w:rFonts w:ascii="Palatino Linotype" w:hAnsi="Palatino Linotype"/>
          <w:b/>
          <w:lang w:val="es-ES_tradnl"/>
        </w:rPr>
        <w:t>,</w:t>
      </w:r>
      <w:r w:rsidRPr="00D317BA">
        <w:rPr>
          <w:rFonts w:ascii="Palatino Linotype" w:hAnsi="Palatino Linotype"/>
          <w:color w:val="222222"/>
          <w:lang w:eastAsia="es-MX"/>
        </w:rPr>
        <w:t xml:space="preserve"> vía </w:t>
      </w:r>
      <w:r w:rsidRPr="00D317BA">
        <w:rPr>
          <w:rFonts w:ascii="Palatino Linotype" w:hAnsi="Palatino Linotype"/>
          <w:b/>
          <w:bCs/>
          <w:color w:val="222222"/>
          <w:lang w:eastAsia="es-MX"/>
        </w:rPr>
        <w:t>SAIMEX</w:t>
      </w:r>
      <w:r w:rsidRPr="00D317BA">
        <w:rPr>
          <w:rFonts w:ascii="Palatino Linotype" w:hAnsi="Palatino Linotype"/>
          <w:bCs/>
          <w:color w:val="222222"/>
          <w:lang w:eastAsia="es-MX"/>
        </w:rPr>
        <w:t xml:space="preserve">, </w:t>
      </w:r>
      <w:r w:rsidRPr="00D317BA">
        <w:rPr>
          <w:rFonts w:ascii="Palatino Linotype" w:hAnsi="Palatino Linotype"/>
          <w:color w:val="222222"/>
          <w:lang w:eastAsia="es-MX"/>
        </w:rPr>
        <w:t xml:space="preserve">en términos del Considerando </w:t>
      </w:r>
      <w:r w:rsidRPr="00D317BA">
        <w:rPr>
          <w:rFonts w:ascii="Palatino Linotype" w:hAnsi="Palatino Linotype"/>
          <w:b/>
          <w:bCs/>
          <w:color w:val="222222"/>
          <w:lang w:eastAsia="es-MX"/>
        </w:rPr>
        <w:t xml:space="preserve">SEXTO </w:t>
      </w:r>
      <w:r w:rsidRPr="00D317BA">
        <w:rPr>
          <w:rFonts w:ascii="Palatino Linotype" w:hAnsi="Palatino Linotype"/>
          <w:color w:val="222222"/>
          <w:lang w:eastAsia="es-MX"/>
        </w:rPr>
        <w:t>de esta resolución; y emita respuesta, debiendo observar las excepciones contenidas en la Ley de Transparencia y Acceso a la Información Pública del Estado de México y Municipios, que en su caso resulten aplicables.</w:t>
      </w:r>
    </w:p>
    <w:p w14:paraId="2A4673BA" w14:textId="77777777" w:rsidR="00F72BC1" w:rsidRPr="00D317BA" w:rsidRDefault="00F72BC1" w:rsidP="00F72BC1">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color w:val="222222"/>
          <w:lang w:eastAsia="es-MX"/>
        </w:rPr>
      </w:pPr>
      <w:r w:rsidRPr="00D317BA">
        <w:rPr>
          <w:rFonts w:ascii="Palatino Linotype" w:hAnsi="Palatino Linotype"/>
          <w:b/>
          <w:sz w:val="28"/>
          <w:szCs w:val="28"/>
          <w:lang w:eastAsia="es-ES_tradnl"/>
        </w:rPr>
        <w:t>TERCERO</w:t>
      </w:r>
      <w:r w:rsidRPr="00D317BA">
        <w:rPr>
          <w:rFonts w:ascii="Palatino Linotype" w:hAnsi="Palatino Linotype"/>
          <w:b/>
          <w:szCs w:val="17"/>
          <w:lang w:eastAsia="es-ES_tradnl"/>
        </w:rPr>
        <w:t>. Notifíquese</w:t>
      </w:r>
      <w:r w:rsidRPr="00D317BA">
        <w:rPr>
          <w:rFonts w:ascii="Palatino Linotype" w:hAnsi="Palatino Linotype"/>
          <w:szCs w:val="17"/>
          <w:lang w:eastAsia="es-ES_tradnl"/>
        </w:rPr>
        <w:t xml:space="preserve"> </w:t>
      </w:r>
      <w:r w:rsidRPr="00D317BA">
        <w:rPr>
          <w:rFonts w:ascii="Palatino Linotype" w:hAnsi="Palatino Linotype"/>
          <w:color w:val="222222"/>
          <w:lang w:eastAsia="es-MX"/>
        </w:rPr>
        <w:t>al Titular de la Unidad de Transparencia del</w:t>
      </w:r>
      <w:r w:rsidRPr="00D317BA">
        <w:rPr>
          <w:color w:val="222222"/>
          <w:lang w:eastAsia="es-MX"/>
        </w:rPr>
        <w:t xml:space="preserve"> </w:t>
      </w:r>
      <w:r w:rsidRPr="00D317BA">
        <w:rPr>
          <w:rFonts w:ascii="Palatino Linotype" w:hAnsi="Palatino Linotype"/>
          <w:b/>
          <w:color w:val="222222"/>
          <w:lang w:eastAsia="es-MX"/>
        </w:rPr>
        <w:t>SUJETO OBLIGADO</w:t>
      </w:r>
      <w:r w:rsidRPr="00D317BA">
        <w:rPr>
          <w:rFonts w:ascii="Palatino Linotype" w:hAnsi="Palatino Linotype"/>
          <w:color w:val="222222"/>
          <w:lang w:eastAsia="es-MX"/>
        </w:rPr>
        <w:t xml:space="preserve"> para que, conforme a los artículos 186, último párrafo y 189, párrafo </w:t>
      </w:r>
      <w:r w:rsidRPr="00D317BA">
        <w:rPr>
          <w:rFonts w:ascii="Palatino Linotype" w:hAnsi="Palatino Linotype"/>
          <w:color w:val="222222"/>
          <w:lang w:eastAsia="es-MX"/>
        </w:rPr>
        <w:lastRenderedPageBreak/>
        <w:t>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6BD26EF3" w14:textId="77777777" w:rsidR="00F72BC1" w:rsidRPr="00D317BA" w:rsidRDefault="00F72BC1" w:rsidP="00F72BC1">
      <w:pPr>
        <w:pStyle w:val="Prrafodelista"/>
        <w:spacing w:line="360" w:lineRule="auto"/>
        <w:ind w:left="0"/>
        <w:jc w:val="both"/>
        <w:rPr>
          <w:rFonts w:ascii="Palatino Linotype" w:hAnsi="Palatino Linotype"/>
          <w:shd w:val="clear" w:color="auto" w:fill="FFFFFF"/>
        </w:rPr>
      </w:pPr>
      <w:r w:rsidRPr="00D317BA">
        <w:rPr>
          <w:rFonts w:ascii="Palatino Linotype" w:hAnsi="Palatino Linotype"/>
          <w:b/>
          <w:color w:val="222222"/>
          <w:sz w:val="28"/>
          <w:szCs w:val="28"/>
          <w:shd w:val="clear" w:color="auto" w:fill="FFFFFF"/>
        </w:rPr>
        <w:t>CUARTO</w:t>
      </w:r>
      <w:r w:rsidRPr="00D317BA">
        <w:rPr>
          <w:rFonts w:ascii="Palatino Linotype" w:hAnsi="Palatino Linotype"/>
          <w:color w:val="222222"/>
          <w:shd w:val="clear" w:color="auto" w:fill="FFFFFF"/>
        </w:rPr>
        <w:t xml:space="preserve">. </w:t>
      </w:r>
      <w:r w:rsidRPr="00D317BA">
        <w:rPr>
          <w:rFonts w:ascii="Palatino Linotype" w:hAnsi="Palatino Linotype"/>
          <w:color w:val="222222"/>
          <w:lang w:eastAsia="es-MX"/>
        </w:rPr>
        <w:t xml:space="preserve">Con fundamento en el artículo 198 de la Ley de Transparencia y Acceso a la Información Pública del Estado de México y Municipios, se apercibe al </w:t>
      </w:r>
      <w:r w:rsidRPr="00D317BA">
        <w:rPr>
          <w:rFonts w:ascii="Palatino Linotype" w:hAnsi="Palatino Linotype"/>
          <w:b/>
          <w:color w:val="222222"/>
          <w:lang w:eastAsia="es-MX"/>
        </w:rPr>
        <w:t>SUJETO OBLIGADO</w:t>
      </w:r>
      <w:r w:rsidRPr="00D317BA">
        <w:rPr>
          <w:rFonts w:ascii="Palatino Linotype" w:hAnsi="Palatino Linotype"/>
          <w:color w:val="222222"/>
          <w:lang w:eastAsia="es-MX"/>
        </w:rPr>
        <w:t xml:space="preserve"> que, en caso de negarse a cumplir la presente resolución o hacerlo de manera parcial se actuará de conformidad con lo previsto en los artículos 213, 214, 216 y 217 de dicha Ley.</w:t>
      </w:r>
    </w:p>
    <w:p w14:paraId="02F74BF4" w14:textId="77777777" w:rsidR="00F72BC1" w:rsidRPr="00D317BA" w:rsidRDefault="00F72BC1" w:rsidP="00F72BC1">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szCs w:val="17"/>
          <w:lang w:eastAsia="es-ES_tradnl"/>
        </w:rPr>
      </w:pPr>
      <w:r w:rsidRPr="00D317BA">
        <w:rPr>
          <w:rFonts w:ascii="Palatino Linotype" w:hAnsi="Palatino Linotype"/>
          <w:b/>
          <w:sz w:val="28"/>
          <w:szCs w:val="28"/>
          <w:lang w:eastAsia="es-ES_tradnl"/>
        </w:rPr>
        <w:t>QUINTO</w:t>
      </w:r>
      <w:r w:rsidRPr="00D317BA">
        <w:rPr>
          <w:rFonts w:ascii="Palatino Linotype" w:hAnsi="Palatino Linotype"/>
          <w:b/>
          <w:szCs w:val="17"/>
          <w:lang w:eastAsia="es-ES_tradnl"/>
        </w:rPr>
        <w:t>. Notifíquese</w:t>
      </w:r>
      <w:r w:rsidRPr="00D317BA">
        <w:rPr>
          <w:rFonts w:ascii="Palatino Linotype" w:hAnsi="Palatino Linotype"/>
          <w:szCs w:val="17"/>
          <w:lang w:eastAsia="es-ES_tradnl"/>
        </w:rPr>
        <w:t xml:space="preserve"> al</w:t>
      </w:r>
      <w:r w:rsidRPr="00D317BA">
        <w:rPr>
          <w:rFonts w:ascii="Palatino Linotype" w:hAnsi="Palatino Linotype"/>
          <w:b/>
        </w:rPr>
        <w:t xml:space="preserve">  RECURRENTE</w:t>
      </w:r>
      <w:r w:rsidRPr="00D317BA">
        <w:rPr>
          <w:rFonts w:ascii="Palatino Linotype" w:hAnsi="Palatino Linotype"/>
          <w:szCs w:val="17"/>
          <w:lang w:eastAsia="es-ES_tradnl"/>
        </w:rPr>
        <w:t xml:space="preserve"> la </w:t>
      </w:r>
      <w:r w:rsidRPr="00D317BA">
        <w:rPr>
          <w:rFonts w:ascii="Palatino Linotype" w:hAnsi="Palatino Linotype"/>
          <w:color w:val="222222"/>
          <w:lang w:eastAsia="es-MX"/>
        </w:rPr>
        <w:t>presente resolución.</w:t>
      </w:r>
    </w:p>
    <w:p w14:paraId="642983DD" w14:textId="77777777" w:rsidR="00F72BC1" w:rsidRPr="00D317BA" w:rsidRDefault="00F72BC1" w:rsidP="00F72BC1">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D317BA">
        <w:rPr>
          <w:rFonts w:ascii="Palatino Linotype" w:hAnsi="Palatino Linotype"/>
          <w:b/>
          <w:sz w:val="28"/>
          <w:szCs w:val="28"/>
          <w:lang w:eastAsia="es-ES_tradnl"/>
        </w:rPr>
        <w:t>SEXTO</w:t>
      </w:r>
      <w:r w:rsidRPr="00D317BA">
        <w:rPr>
          <w:rFonts w:ascii="Palatino Linotype" w:hAnsi="Palatino Linotype"/>
          <w:b/>
          <w:szCs w:val="17"/>
          <w:lang w:eastAsia="es-ES_tradnl"/>
        </w:rPr>
        <w:t>. Hágase</w:t>
      </w:r>
      <w:r w:rsidRPr="00D317BA">
        <w:rPr>
          <w:rFonts w:ascii="Palatino Linotype" w:hAnsi="Palatino Linotype"/>
          <w:szCs w:val="17"/>
          <w:lang w:eastAsia="es-ES_tradnl"/>
        </w:rPr>
        <w:t xml:space="preserve"> </w:t>
      </w:r>
      <w:r w:rsidRPr="00D317BA">
        <w:rPr>
          <w:rFonts w:ascii="Palatino Linotype" w:hAnsi="Palatino Linotype"/>
          <w:b/>
          <w:szCs w:val="17"/>
          <w:lang w:eastAsia="es-ES_tradnl"/>
        </w:rPr>
        <w:t>del conocimiento</w:t>
      </w:r>
      <w:r w:rsidRPr="00D317BA">
        <w:rPr>
          <w:rFonts w:ascii="Palatino Linotype" w:hAnsi="Palatino Linotype"/>
          <w:szCs w:val="17"/>
          <w:lang w:eastAsia="es-ES_tradnl"/>
        </w:rPr>
        <w:t xml:space="preserve"> </w:t>
      </w:r>
      <w:r w:rsidRPr="00D317BA">
        <w:rPr>
          <w:rFonts w:ascii="Palatino Linotype" w:hAnsi="Palatino Linotype"/>
        </w:rPr>
        <w:t xml:space="preserve">del </w:t>
      </w:r>
      <w:r w:rsidRPr="00D317BA">
        <w:rPr>
          <w:rFonts w:ascii="Palatino Linotype" w:hAnsi="Palatino Linotype"/>
          <w:b/>
        </w:rPr>
        <w:t>RECURRENTE</w:t>
      </w:r>
      <w:r w:rsidRPr="00D317BA">
        <w:rPr>
          <w:rFonts w:ascii="Palatino Linotype" w:hAnsi="Palatino Linotype"/>
        </w:rPr>
        <w:t xml:space="preserve"> </w:t>
      </w:r>
      <w:r w:rsidRPr="00D317BA">
        <w:rPr>
          <w:rFonts w:ascii="Palatino Linotype" w:hAnsi="Palatino Linotype"/>
          <w:szCs w:val="17"/>
          <w:lang w:eastAsia="es-ES_tradnl"/>
        </w:rPr>
        <w:t xml:space="preserve">que, de conformidad </w:t>
      </w:r>
      <w:r w:rsidRPr="00D317BA">
        <w:rPr>
          <w:rFonts w:ascii="Palatino Linotype" w:hAnsi="Palatino Linotype" w:cs="Arial"/>
        </w:rPr>
        <w:t>con</w:t>
      </w:r>
      <w:r w:rsidRPr="00D317BA">
        <w:rPr>
          <w:rFonts w:ascii="Palatino Linotype" w:hAnsi="Palatino Linotype"/>
          <w:szCs w:val="17"/>
          <w:lang w:eastAsia="es-ES_tradnl"/>
        </w:rPr>
        <w:t xml:space="preserve"> lo </w:t>
      </w:r>
      <w:r w:rsidRPr="00D317BA">
        <w:rPr>
          <w:rFonts w:ascii="Palatino Linotype" w:hAnsi="Palatino Linotype" w:cs="Arial"/>
        </w:rPr>
        <w:t>establecido</w:t>
      </w:r>
      <w:r w:rsidRPr="00D317BA">
        <w:rPr>
          <w:rFonts w:ascii="Palatino Linotype" w:hAnsi="Palatino Linotype"/>
          <w:szCs w:val="17"/>
          <w:lang w:eastAsia="es-ES_tradnl"/>
        </w:rPr>
        <w:t xml:space="preserve"> en el artículo 196 de la Ley de </w:t>
      </w:r>
      <w:r w:rsidRPr="00D317BA">
        <w:rPr>
          <w:rFonts w:ascii="Palatino Linotype" w:hAnsi="Palatino Linotype" w:cs="Arial"/>
        </w:rPr>
        <w:t>Transparencia</w:t>
      </w:r>
      <w:r w:rsidRPr="00D317BA">
        <w:rPr>
          <w:rFonts w:ascii="Palatino Linotype" w:hAnsi="Palatino Linotype"/>
          <w:szCs w:val="17"/>
          <w:lang w:eastAsia="es-ES_tradnl"/>
        </w:rPr>
        <w:t xml:space="preserve"> y </w:t>
      </w:r>
      <w:r w:rsidRPr="00D317BA">
        <w:rPr>
          <w:rFonts w:ascii="Palatino Linotype" w:hAnsi="Palatino Linotype" w:cs="Arial"/>
        </w:rPr>
        <w:t>Acceso</w:t>
      </w:r>
      <w:r w:rsidRPr="00D317BA">
        <w:rPr>
          <w:rFonts w:ascii="Palatino Linotype" w:hAnsi="Palatino Linotype"/>
          <w:szCs w:val="17"/>
          <w:lang w:eastAsia="es-ES_tradnl"/>
        </w:rPr>
        <w:t xml:space="preserve"> a la Información </w:t>
      </w:r>
      <w:r w:rsidRPr="00D317BA">
        <w:rPr>
          <w:rFonts w:ascii="Palatino Linotype" w:hAnsi="Palatino Linotype"/>
          <w:lang w:eastAsia="es-ES_tradnl"/>
        </w:rPr>
        <w:t>Pública</w:t>
      </w:r>
      <w:r w:rsidRPr="00D317BA">
        <w:rPr>
          <w:rFonts w:ascii="Palatino Linotype" w:hAnsi="Palatino Linotype"/>
          <w:szCs w:val="17"/>
          <w:lang w:eastAsia="es-ES_tradnl"/>
        </w:rPr>
        <w:t xml:space="preserve"> del Estado de México y Municipios, podrá impugnarla vía Juicio de Amparo en los términos de las leyes aplicables.</w:t>
      </w:r>
    </w:p>
    <w:p w14:paraId="27B4A648" w14:textId="77777777" w:rsidR="00F72BC1" w:rsidRPr="00D317BA" w:rsidRDefault="00F72BC1" w:rsidP="00F72BC1">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D317BA">
        <w:rPr>
          <w:rFonts w:ascii="Palatino Linotype" w:hAnsi="Palatino Linotype"/>
          <w:b/>
          <w:color w:val="222222"/>
          <w:sz w:val="28"/>
          <w:szCs w:val="28"/>
          <w:lang w:eastAsia="es-ES_tradnl"/>
        </w:rPr>
        <w:t>SÉPTIMO</w:t>
      </w:r>
      <w:r w:rsidRPr="00D317BA">
        <w:rPr>
          <w:rFonts w:ascii="Palatino Linotype" w:hAnsi="Palatino Linotype"/>
          <w:b/>
          <w:color w:val="222222"/>
          <w:szCs w:val="17"/>
          <w:lang w:eastAsia="es-ES_tradnl"/>
        </w:rPr>
        <w:t xml:space="preserve">. Hágase del conocimiento </w:t>
      </w:r>
      <w:r w:rsidRPr="00D317BA">
        <w:rPr>
          <w:rFonts w:ascii="Palatino Linotype" w:hAnsi="Palatino Linotype"/>
          <w:color w:val="222222"/>
          <w:szCs w:val="17"/>
          <w:lang w:eastAsia="es-ES_tradnl"/>
        </w:rPr>
        <w:t xml:space="preserve">del </w:t>
      </w:r>
      <w:r w:rsidRPr="00D317BA">
        <w:rPr>
          <w:rFonts w:ascii="Palatino Linotype" w:hAnsi="Palatino Linotype"/>
          <w:b/>
          <w:color w:val="222222"/>
          <w:szCs w:val="17"/>
          <w:lang w:eastAsia="es-ES_tradnl"/>
        </w:rPr>
        <w:t xml:space="preserve">RECURRENTE </w:t>
      </w:r>
      <w:r w:rsidRPr="00D317BA">
        <w:rPr>
          <w:rFonts w:ascii="Palatino Linotype" w:hAnsi="Palatino Linotype"/>
          <w:color w:val="222222"/>
          <w:szCs w:val="17"/>
          <w:lang w:eastAsia="es-ES_tradnl"/>
        </w:rPr>
        <w:t xml:space="preserve">que la respuesta que dé </w:t>
      </w:r>
      <w:r w:rsidRPr="00D317BA">
        <w:rPr>
          <w:rFonts w:ascii="Palatino Linotype" w:hAnsi="Palatino Linotype"/>
          <w:b/>
          <w:color w:val="222222"/>
          <w:szCs w:val="17"/>
          <w:lang w:eastAsia="es-ES_tradnl"/>
        </w:rPr>
        <w:t>EL SUJETO OBLIGADO</w:t>
      </w:r>
      <w:r w:rsidRPr="00D317BA">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D317BA">
        <w:rPr>
          <w:rFonts w:ascii="Palatino Linotype" w:hAnsi="Palatino Linotype"/>
          <w:color w:val="222222"/>
          <w:lang w:eastAsia="es-MX"/>
        </w:rPr>
        <w:t>de Transparencia y Acceso a la Información Pública del Estado de México y Municipios.</w:t>
      </w:r>
    </w:p>
    <w:p w14:paraId="585BDF56" w14:textId="77777777" w:rsidR="00F72BC1" w:rsidRPr="00D317BA" w:rsidRDefault="00F72BC1" w:rsidP="00F72BC1">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D317BA">
        <w:rPr>
          <w:rFonts w:ascii="Palatino Linotype" w:hAnsi="Palatino Linotype"/>
          <w:b/>
          <w:color w:val="222222"/>
          <w:sz w:val="28"/>
          <w:szCs w:val="28"/>
          <w:lang w:eastAsia="es-ES_tradnl"/>
        </w:rPr>
        <w:t>OCTAVO</w:t>
      </w:r>
      <w:r w:rsidRPr="00D317BA">
        <w:rPr>
          <w:rFonts w:ascii="Palatino Linotype" w:hAnsi="Palatino Linotype"/>
          <w:b/>
          <w:color w:val="222222"/>
          <w:szCs w:val="17"/>
          <w:lang w:eastAsia="es-ES_tradnl"/>
        </w:rPr>
        <w:t xml:space="preserve">. Gírese oficio </w:t>
      </w:r>
      <w:r w:rsidRPr="00D317BA">
        <w:rPr>
          <w:rFonts w:ascii="Palatino Linotype" w:hAnsi="Palatino Linotype"/>
          <w:color w:val="222222"/>
          <w:szCs w:val="17"/>
          <w:lang w:eastAsia="es-ES_tradnl"/>
        </w:rPr>
        <w:t xml:space="preserve">al Titular de la Contraloría Interna y Órgano de Control y </w:t>
      </w:r>
      <w:r w:rsidRPr="00D317BA">
        <w:rPr>
          <w:rFonts w:ascii="Palatino Linotype" w:hAnsi="Palatino Linotype"/>
          <w:color w:val="222222"/>
          <w:szCs w:val="17"/>
          <w:lang w:eastAsia="es-ES_tradnl"/>
        </w:rPr>
        <w:lastRenderedPageBreak/>
        <w:t xml:space="preserve">Vigilancia de este Instituto, de conformidad con el artículo 190 de la Ley de Transparencia y Acceso a la Información Pública del Estado de México y Municipios, a fin de que determine lo conducente en términos del Considerando </w:t>
      </w:r>
      <w:r w:rsidR="00CD421B" w:rsidRPr="00D317BA">
        <w:rPr>
          <w:rFonts w:ascii="Palatino Linotype" w:hAnsi="Palatino Linotype"/>
          <w:b/>
          <w:color w:val="222222"/>
          <w:szCs w:val="17"/>
          <w:lang w:eastAsia="es-ES_tradnl"/>
        </w:rPr>
        <w:t>SEXTO</w:t>
      </w:r>
      <w:r w:rsidRPr="00D317BA">
        <w:rPr>
          <w:rFonts w:ascii="Palatino Linotype" w:hAnsi="Palatino Linotype"/>
          <w:color w:val="222222"/>
          <w:szCs w:val="17"/>
          <w:lang w:eastAsia="es-ES_tradnl"/>
        </w:rPr>
        <w:t xml:space="preserve"> de la presente resolución.</w:t>
      </w:r>
    </w:p>
    <w:p w14:paraId="5793D582" w14:textId="77777777" w:rsidR="00F72BC1" w:rsidRPr="00D317BA" w:rsidRDefault="00F72BC1" w:rsidP="00F72BC1">
      <w:pPr>
        <w:spacing w:line="360" w:lineRule="auto"/>
        <w:jc w:val="both"/>
        <w:rPr>
          <w:rFonts w:ascii="Palatino Linotype" w:hAnsi="Palatino Linotype" w:cs="Arial"/>
        </w:rPr>
      </w:pPr>
      <w:r w:rsidRPr="00D317BA">
        <w:rPr>
          <w:rFonts w:ascii="Palatino Linotype" w:hAnsi="Palatino Linotype" w:cs="Arial"/>
        </w:rPr>
        <w:t xml:space="preserve">ASÍ LO RESUELVE, POR </w:t>
      </w:r>
      <w:r w:rsidR="00D317BA" w:rsidRPr="00D317BA">
        <w:rPr>
          <w:rFonts w:ascii="Palatino Linotype" w:hAnsi="Palatino Linotype" w:cs="Arial"/>
        </w:rPr>
        <w:t xml:space="preserve">MAYORÍA </w:t>
      </w:r>
      <w:r w:rsidRPr="00D317BA">
        <w:rPr>
          <w:rFonts w:ascii="Palatino Linotype" w:hAnsi="Palatino Linotype" w:cs="Arial"/>
        </w:rPr>
        <w:t>DE VOTOS EL PLENO DEL</w:t>
      </w:r>
      <w:r w:rsidRPr="00D317BA">
        <w:rPr>
          <w:rFonts w:ascii="Palatino Linotype" w:eastAsia="Arial Unicode MS" w:hAnsi="Palatino Linotype" w:cs="Arial"/>
        </w:rPr>
        <w:t xml:space="preserve"> INSTITUTO DE </w:t>
      </w:r>
      <w:r w:rsidRPr="00D317BA">
        <w:rPr>
          <w:rFonts w:ascii="Palatino Linotype" w:hAnsi="Palatino Linotype"/>
          <w:lang w:eastAsia="en-US"/>
        </w:rPr>
        <w:t>TRANSPARENCIA</w:t>
      </w:r>
      <w:r w:rsidRPr="00D317BA">
        <w:rPr>
          <w:rFonts w:ascii="Palatino Linotype" w:eastAsia="Arial Unicode MS" w:hAnsi="Palatino Linotype" w:cs="Arial"/>
        </w:rPr>
        <w:t>, ACCESO A LA INFORMACIÓN PÚBLICA Y PROTECCIÓN DE DATOS PERSONALES DEL ESTADO DE MÉXICO Y MUNICIPIOS</w:t>
      </w:r>
      <w:r w:rsidRPr="00D317BA">
        <w:rPr>
          <w:rFonts w:ascii="Palatino Linotype" w:hAnsi="Palatino Linotype" w:cs="Arial"/>
        </w:rPr>
        <w:t>, CONFORMADO POR LOS COMISIONADOS ZULEMA MARTÍNEZ SÁNCHEZ; EVA ABAID YAPUR; JOSÉ GUADALUPE LUNA HERNÁNDEZ, JAVIER MARTÍNEZ CRUZ</w:t>
      </w:r>
      <w:r w:rsidR="00D317BA" w:rsidRPr="00D317BA">
        <w:rPr>
          <w:rFonts w:ascii="Palatino Linotype" w:hAnsi="Palatino Linotype" w:cs="Arial"/>
        </w:rPr>
        <w:t xml:space="preserve"> EMITIENDO VOTO EN CONTRA CON VOTO DISIDENTE</w:t>
      </w:r>
      <w:r w:rsidRPr="00D317BA">
        <w:rPr>
          <w:rFonts w:ascii="Palatino Linotype" w:hAnsi="Palatino Linotype" w:cs="Arial"/>
        </w:rPr>
        <w:t xml:space="preserve"> Y LUIS GUSTAVO PARRA NORIEGA; </w:t>
      </w:r>
      <w:r w:rsidRPr="00D317BA">
        <w:rPr>
          <w:rFonts w:ascii="Palatino Linotype" w:hAnsi="Palatino Linotype" w:cs="Arial"/>
          <w:shd w:val="clear" w:color="auto" w:fill="FFFFFF" w:themeFill="background1"/>
        </w:rPr>
        <w:t xml:space="preserve">EN LA </w:t>
      </w:r>
      <w:r w:rsidR="00D317BA" w:rsidRPr="00D317BA">
        <w:rPr>
          <w:rFonts w:ascii="Palatino Linotype" w:hAnsi="Palatino Linotype" w:cs="Arial"/>
        </w:rPr>
        <w:t>DÉCIMA CUARTA</w:t>
      </w:r>
      <w:r w:rsidR="003E2FAD" w:rsidRPr="00D317BA">
        <w:rPr>
          <w:rFonts w:ascii="Palatino Linotype" w:hAnsi="Palatino Linotype" w:cs="Arial"/>
        </w:rPr>
        <w:t xml:space="preserve"> </w:t>
      </w:r>
      <w:r w:rsidRPr="00D317BA">
        <w:rPr>
          <w:rFonts w:ascii="Palatino Linotype" w:hAnsi="Palatino Linotype" w:cs="Arial"/>
        </w:rPr>
        <w:t>SESIÓN ORDINARIA CELEBRADA EL VEINTI</w:t>
      </w:r>
      <w:r w:rsidR="00D317BA">
        <w:rPr>
          <w:rFonts w:ascii="Palatino Linotype" w:hAnsi="Palatino Linotype" w:cs="Arial"/>
        </w:rPr>
        <w:t xml:space="preserve">OCHO </w:t>
      </w:r>
      <w:r w:rsidR="003E2FAD" w:rsidRPr="00D317BA">
        <w:rPr>
          <w:rFonts w:ascii="Palatino Linotype" w:hAnsi="Palatino Linotype" w:cs="Arial"/>
        </w:rPr>
        <w:t>DE ABRIL DE</w:t>
      </w:r>
      <w:r w:rsidRPr="00D317BA">
        <w:rPr>
          <w:rFonts w:ascii="Palatino Linotype" w:hAnsi="Palatino Linotype" w:cs="Arial"/>
        </w:rPr>
        <w:t xml:space="preserve"> DOS MIL VEINTIUNO, ANTE EL SECRETARIO TÉCNICO DEL PLENO, </w:t>
      </w:r>
      <w:r w:rsidRPr="00D317BA">
        <w:rPr>
          <w:rFonts w:ascii="Palatino Linotype" w:eastAsia="Arial Unicode MS" w:hAnsi="Palatino Linotype" w:cs="Arial"/>
        </w:rPr>
        <w:t>ALEXIS</w:t>
      </w:r>
      <w:r w:rsidRPr="00D317BA">
        <w:rPr>
          <w:rFonts w:ascii="Palatino Linotype" w:hAnsi="Palatino Linotype" w:cs="Arial"/>
        </w:rPr>
        <w:t xml:space="preserve"> TAPIA RAMÍREZ.</w:t>
      </w:r>
    </w:p>
    <w:p w14:paraId="5D72D250" w14:textId="77777777" w:rsidR="003E2FAD" w:rsidRDefault="00F72BC1" w:rsidP="00F72BC1">
      <w:pPr>
        <w:jc w:val="both"/>
        <w:rPr>
          <w:rFonts w:ascii="Palatino Linotype" w:hAnsi="Palatino Linotype" w:cs="Arial"/>
          <w:sz w:val="18"/>
          <w:szCs w:val="18"/>
        </w:rPr>
      </w:pPr>
      <w:r w:rsidRPr="00D317BA">
        <w:rPr>
          <w:rFonts w:ascii="Palatino Linotype" w:hAnsi="Palatino Linotype" w:cs="Arial"/>
          <w:sz w:val="18"/>
          <w:szCs w:val="18"/>
        </w:rPr>
        <w:t>YSM/AMV</w:t>
      </w:r>
    </w:p>
    <w:p w14:paraId="18FB2B18" w14:textId="77777777" w:rsidR="003E2FAD" w:rsidRDefault="003E2FAD">
      <w:pPr>
        <w:spacing w:after="160" w:line="259" w:lineRule="auto"/>
        <w:rPr>
          <w:rFonts w:ascii="Palatino Linotype" w:hAnsi="Palatino Linotype" w:cs="Arial"/>
          <w:sz w:val="18"/>
          <w:szCs w:val="18"/>
        </w:rPr>
      </w:pPr>
      <w:r>
        <w:rPr>
          <w:rFonts w:ascii="Palatino Linotype" w:hAnsi="Palatino Linotype" w:cs="Arial"/>
          <w:sz w:val="18"/>
          <w:szCs w:val="18"/>
        </w:rPr>
        <w:br w:type="page"/>
      </w:r>
    </w:p>
    <w:p w14:paraId="76B0FE00" w14:textId="77777777" w:rsidR="00F72BC1" w:rsidRDefault="00F72BC1" w:rsidP="00F72BC1">
      <w:pPr>
        <w:jc w:val="both"/>
      </w:pPr>
    </w:p>
    <w:p w14:paraId="7F0D2E5F" w14:textId="77777777" w:rsidR="00F72BC1" w:rsidRDefault="00F72BC1" w:rsidP="00F72BC1"/>
    <w:p w14:paraId="37B8F3C4" w14:textId="77777777" w:rsidR="0007650C" w:rsidRDefault="0007650C"/>
    <w:sectPr w:rsidR="0007650C"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87840" w14:textId="77777777" w:rsidR="00C10908" w:rsidRDefault="00C10908" w:rsidP="00F72BC1">
      <w:r>
        <w:separator/>
      </w:r>
    </w:p>
  </w:endnote>
  <w:endnote w:type="continuationSeparator" w:id="0">
    <w:p w14:paraId="46306AF8" w14:textId="77777777" w:rsidR="00C10908" w:rsidRDefault="00C10908" w:rsidP="00F72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D79DA" w14:textId="77777777" w:rsidR="00425888" w:rsidRPr="0010196A" w:rsidRDefault="000075F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32741">
      <w:rPr>
        <w:rFonts w:ascii="Palatino Linotype" w:hAnsi="Palatino Linotype" w:cs="Arial"/>
        <w:bCs/>
        <w:noProof/>
        <w:sz w:val="22"/>
        <w:szCs w:val="22"/>
      </w:rPr>
      <w:t>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32741">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CDC31" w14:textId="77777777" w:rsidR="00425888" w:rsidRPr="0010196A" w:rsidRDefault="000075F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3274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32741">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EAAF3" w14:textId="77777777" w:rsidR="00C10908" w:rsidRDefault="00C10908" w:rsidP="00F72BC1">
      <w:r>
        <w:separator/>
      </w:r>
    </w:p>
  </w:footnote>
  <w:footnote w:type="continuationSeparator" w:id="0">
    <w:p w14:paraId="03D81D0A" w14:textId="77777777" w:rsidR="00C10908" w:rsidRDefault="00C10908" w:rsidP="00F72BC1">
      <w:r>
        <w:continuationSeparator/>
      </w:r>
    </w:p>
  </w:footnote>
  <w:footnote w:id="1">
    <w:p w14:paraId="743821CF" w14:textId="77777777" w:rsidR="00F72BC1" w:rsidRPr="00F3610E" w:rsidRDefault="00F72BC1" w:rsidP="00F72BC1">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14:paraId="2875F4B1" w14:textId="77777777" w:rsidR="00F72BC1" w:rsidRDefault="00F72BC1" w:rsidP="00F72BC1">
      <w:pPr>
        <w:pStyle w:val="Textonotapie"/>
        <w:jc w:val="both"/>
      </w:pPr>
      <w:r>
        <w:rPr>
          <w:rStyle w:val="Refdenotaalpie"/>
        </w:rPr>
        <w:footnoteRef/>
      </w:r>
      <w:r>
        <w:t xml:space="preserve"> </w:t>
      </w:r>
      <w:r w:rsidRPr="00F5594F">
        <w:rPr>
          <w:rFonts w:ascii="Palatino Linotype" w:eastAsia="Calibri" w:hAnsi="Palatino Linotype"/>
          <w:szCs w:val="22"/>
        </w:rPr>
        <w:t>Al encontrarse en algún supuesto restrictivo, previsto en la normatividad aplicable.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3DE3E" w14:textId="77777777" w:rsidR="00425888" w:rsidRDefault="00C10908">
    <w:pPr>
      <w:pStyle w:val="Encabezado"/>
    </w:pPr>
    <w:r>
      <w:rPr>
        <w:noProof/>
        <w:lang w:val="es-MX" w:eastAsia="es-MX"/>
      </w:rPr>
      <w:pict w14:anchorId="7DDB0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F5B84" w14:textId="77777777" w:rsidR="00425888" w:rsidRPr="0010196A" w:rsidRDefault="00C1090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57044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25888" w:rsidRPr="008F2CCC" w14:paraId="2D8BA4AC" w14:textId="77777777" w:rsidTr="33214D97">
      <w:tc>
        <w:tcPr>
          <w:tcW w:w="3261" w:type="dxa"/>
          <w:vMerge w:val="restart"/>
        </w:tcPr>
        <w:p w14:paraId="39269DFC" w14:textId="77777777" w:rsidR="00425888" w:rsidRPr="008F2CCC" w:rsidRDefault="000075F5" w:rsidP="00DE299E">
          <w:pPr>
            <w:rPr>
              <w:rFonts w:ascii="Palatino Linotype" w:hAnsi="Palatino Linotype"/>
              <w:b/>
              <w:sz w:val="22"/>
              <w:szCs w:val="22"/>
              <w:lang w:val="es-ES_tradnl"/>
            </w:rPr>
          </w:pPr>
          <w:r>
            <w:rPr>
              <w:noProof/>
              <w:lang w:eastAsia="es-MX"/>
            </w:rPr>
            <w:drawing>
              <wp:inline distT="0" distB="0" distL="0" distR="0" wp14:anchorId="59CB8AB8" wp14:editId="7095A7EE">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1" w:type="dxa"/>
          <w:shd w:val="clear" w:color="auto" w:fill="auto"/>
        </w:tcPr>
        <w:p w14:paraId="1987ADE2" w14:textId="77777777" w:rsidR="00425888" w:rsidRPr="00664658" w:rsidRDefault="000075F5" w:rsidP="00DE299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052668B5" w14:textId="77777777" w:rsidR="00425888" w:rsidRPr="00664658" w:rsidRDefault="000075F5" w:rsidP="0051455B">
          <w:pPr>
            <w:jc w:val="both"/>
            <w:rPr>
              <w:rFonts w:ascii="Palatino Linotype" w:hAnsi="Palatino Linotype"/>
              <w:b/>
              <w:sz w:val="22"/>
              <w:szCs w:val="22"/>
              <w:lang w:val="es-ES_tradnl"/>
            </w:rPr>
          </w:pPr>
          <w:r w:rsidRPr="00131529">
            <w:rPr>
              <w:rFonts w:ascii="Palatino Linotype" w:hAnsi="Palatino Linotype"/>
              <w:b/>
              <w:sz w:val="22"/>
              <w:szCs w:val="22"/>
            </w:rPr>
            <w:t>0</w:t>
          </w:r>
          <w:r w:rsidR="0051455B">
            <w:rPr>
              <w:rFonts w:ascii="Palatino Linotype" w:hAnsi="Palatino Linotype"/>
              <w:b/>
              <w:sz w:val="22"/>
              <w:szCs w:val="22"/>
            </w:rPr>
            <w:t>1147</w:t>
          </w:r>
          <w:r w:rsidRPr="00131529">
            <w:rPr>
              <w:rFonts w:ascii="Palatino Linotype" w:hAnsi="Palatino Linotype"/>
              <w:b/>
              <w:sz w:val="22"/>
              <w:szCs w:val="22"/>
            </w:rPr>
            <w:t>/INFOEM/IP/RR/2020</w:t>
          </w:r>
          <w:r>
            <w:rPr>
              <w:rFonts w:ascii="Palatino Linotype" w:hAnsi="Palatino Linotype"/>
              <w:b/>
              <w:sz w:val="22"/>
              <w:szCs w:val="22"/>
            </w:rPr>
            <w:t xml:space="preserve"> y acumulado</w:t>
          </w:r>
        </w:p>
      </w:tc>
    </w:tr>
    <w:tr w:rsidR="00425888" w:rsidRPr="008F2CCC" w14:paraId="4ACCC75C" w14:textId="77777777" w:rsidTr="33214D97">
      <w:tc>
        <w:tcPr>
          <w:tcW w:w="3261" w:type="dxa"/>
          <w:vMerge/>
        </w:tcPr>
        <w:p w14:paraId="613927CF" w14:textId="77777777" w:rsidR="00425888" w:rsidRPr="008F2CCC" w:rsidRDefault="00C10908" w:rsidP="00DE299E">
          <w:pPr>
            <w:rPr>
              <w:rFonts w:ascii="Palatino Linotype" w:hAnsi="Palatino Linotype"/>
              <w:b/>
              <w:sz w:val="22"/>
              <w:szCs w:val="22"/>
              <w:lang w:val="es-ES_tradnl"/>
            </w:rPr>
          </w:pPr>
        </w:p>
      </w:tc>
      <w:tc>
        <w:tcPr>
          <w:tcW w:w="2551" w:type="dxa"/>
          <w:shd w:val="clear" w:color="auto" w:fill="auto"/>
        </w:tcPr>
        <w:p w14:paraId="68B91B6B" w14:textId="77777777" w:rsidR="00425888" w:rsidRPr="00664658" w:rsidRDefault="000075F5" w:rsidP="00DE299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205DD54E" w14:textId="77777777" w:rsidR="00425888" w:rsidRPr="00D41D47" w:rsidRDefault="000075F5" w:rsidP="0051455B">
          <w:pPr>
            <w:jc w:val="both"/>
            <w:rPr>
              <w:rFonts w:ascii="Palatino Linotype" w:hAnsi="Palatino Linotype"/>
              <w:b/>
              <w:sz w:val="22"/>
              <w:szCs w:val="22"/>
              <w:lang w:val="es-ES_tradnl"/>
            </w:rPr>
          </w:pPr>
          <w:r w:rsidRPr="00EB446E">
            <w:rPr>
              <w:rFonts w:ascii="Palatino Linotype" w:hAnsi="Palatino Linotype"/>
              <w:b/>
              <w:sz w:val="22"/>
              <w:szCs w:val="22"/>
            </w:rPr>
            <w:t xml:space="preserve">Ayuntamiento de </w:t>
          </w:r>
          <w:r w:rsidR="0051455B">
            <w:rPr>
              <w:rFonts w:ascii="Palatino Linotype" w:hAnsi="Palatino Linotype"/>
              <w:b/>
              <w:sz w:val="22"/>
              <w:szCs w:val="22"/>
            </w:rPr>
            <w:t>Tonatico</w:t>
          </w:r>
        </w:p>
      </w:tc>
    </w:tr>
    <w:tr w:rsidR="00425888" w:rsidRPr="008F2CCC" w14:paraId="780D470E" w14:textId="77777777" w:rsidTr="33214D97">
      <w:trPr>
        <w:trHeight w:val="228"/>
      </w:trPr>
      <w:tc>
        <w:tcPr>
          <w:tcW w:w="3261" w:type="dxa"/>
          <w:vMerge/>
        </w:tcPr>
        <w:p w14:paraId="2D08ECD7" w14:textId="77777777" w:rsidR="00425888" w:rsidRPr="008F2CCC" w:rsidRDefault="00C10908" w:rsidP="00200BFC">
          <w:pPr>
            <w:rPr>
              <w:rFonts w:ascii="Palatino Linotype" w:hAnsi="Palatino Linotype"/>
              <w:b/>
              <w:sz w:val="22"/>
              <w:szCs w:val="22"/>
              <w:lang w:val="es-ES_tradnl"/>
            </w:rPr>
          </w:pPr>
        </w:p>
      </w:tc>
      <w:tc>
        <w:tcPr>
          <w:tcW w:w="2551" w:type="dxa"/>
          <w:shd w:val="clear" w:color="auto" w:fill="auto"/>
        </w:tcPr>
        <w:p w14:paraId="4A72B478" w14:textId="77777777" w:rsidR="00425888" w:rsidRPr="00664658" w:rsidRDefault="000075F5"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D823A8F" w14:textId="77777777" w:rsidR="00425888" w:rsidRPr="00664658" w:rsidRDefault="000075F5"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06BCC63" w14:textId="77777777" w:rsidR="00425888" w:rsidRPr="0010196A" w:rsidRDefault="00C1090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71666" w14:textId="77777777" w:rsidR="00425888" w:rsidRPr="0010196A" w:rsidRDefault="00C10908">
    <w:pPr>
      <w:rPr>
        <w:rFonts w:ascii="Palatino Linotype" w:hAnsi="Palatino Linotype"/>
        <w:sz w:val="28"/>
        <w:szCs w:val="28"/>
      </w:rPr>
    </w:pPr>
    <w:r>
      <w:rPr>
        <w:rFonts w:ascii="Palatino Linotype" w:hAnsi="Palatino Linotype"/>
        <w:noProof/>
        <w:sz w:val="28"/>
        <w:szCs w:val="28"/>
        <w:lang w:eastAsia="es-MX"/>
      </w:rPr>
      <w:pict w14:anchorId="38585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2"/>
      <w:gridCol w:w="2976"/>
    </w:tblGrid>
    <w:tr w:rsidR="00425888" w:rsidRPr="008F2CCC" w14:paraId="50C1D759" w14:textId="77777777" w:rsidTr="005613AD">
      <w:tc>
        <w:tcPr>
          <w:tcW w:w="3828" w:type="dxa"/>
          <w:vMerge w:val="restart"/>
          <w:shd w:val="clear" w:color="auto" w:fill="auto"/>
        </w:tcPr>
        <w:p w14:paraId="29C3465C" w14:textId="77777777" w:rsidR="00425888" w:rsidRPr="008F2CCC" w:rsidRDefault="000075F5" w:rsidP="00A2780F">
          <w:pPr>
            <w:rPr>
              <w:rFonts w:ascii="Palatino Linotype" w:hAnsi="Palatino Linotype"/>
              <w:b/>
              <w:sz w:val="22"/>
              <w:szCs w:val="22"/>
              <w:lang w:val="es-ES_tradnl"/>
            </w:rPr>
          </w:pPr>
          <w:r>
            <w:rPr>
              <w:noProof/>
              <w:lang w:eastAsia="es-MX"/>
            </w:rPr>
            <w:drawing>
              <wp:inline distT="0" distB="0" distL="0" distR="0" wp14:anchorId="2FDB2C82" wp14:editId="0647313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663440" cy="838200"/>
                        </a:xfrm>
                        <a:prstGeom prst="rect">
                          <a:avLst/>
                        </a:prstGeom>
                      </pic:spPr>
                    </pic:pic>
                  </a:graphicData>
                </a:graphic>
              </wp:inline>
            </w:drawing>
          </w:r>
        </w:p>
      </w:tc>
      <w:tc>
        <w:tcPr>
          <w:tcW w:w="2552" w:type="dxa"/>
          <w:shd w:val="clear" w:color="auto" w:fill="auto"/>
        </w:tcPr>
        <w:p w14:paraId="436F0246" w14:textId="77777777" w:rsidR="00425888" w:rsidRPr="008F2CCC" w:rsidRDefault="000075F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6" w:type="dxa"/>
          <w:shd w:val="clear" w:color="auto" w:fill="auto"/>
          <w:vAlign w:val="center"/>
        </w:tcPr>
        <w:p w14:paraId="14B722E1" w14:textId="77777777" w:rsidR="00425888" w:rsidRPr="008F2CCC" w:rsidRDefault="000075F5" w:rsidP="0051455B">
          <w:pPr>
            <w:jc w:val="both"/>
            <w:rPr>
              <w:rFonts w:ascii="Palatino Linotype" w:hAnsi="Palatino Linotype"/>
              <w:b/>
              <w:sz w:val="22"/>
              <w:szCs w:val="22"/>
              <w:lang w:val="es-ES_tradnl"/>
            </w:rPr>
          </w:pPr>
          <w:r w:rsidRPr="00131529">
            <w:rPr>
              <w:rFonts w:ascii="Palatino Linotype" w:hAnsi="Palatino Linotype"/>
              <w:b/>
              <w:sz w:val="22"/>
              <w:szCs w:val="22"/>
            </w:rPr>
            <w:t>0</w:t>
          </w:r>
          <w:r w:rsidR="0051455B">
            <w:rPr>
              <w:rFonts w:ascii="Palatino Linotype" w:hAnsi="Palatino Linotype"/>
              <w:b/>
              <w:sz w:val="22"/>
              <w:szCs w:val="22"/>
            </w:rPr>
            <w:t xml:space="preserve">1147/INFOEM/IP/RR/2021 y </w:t>
          </w:r>
          <w:r>
            <w:rPr>
              <w:rFonts w:ascii="Palatino Linotype" w:hAnsi="Palatino Linotype"/>
              <w:b/>
              <w:sz w:val="22"/>
              <w:szCs w:val="22"/>
            </w:rPr>
            <w:t>acumulado</w:t>
          </w:r>
        </w:p>
      </w:tc>
    </w:tr>
    <w:tr w:rsidR="00425888" w:rsidRPr="008F2CCC" w14:paraId="334B08E6" w14:textId="77777777" w:rsidTr="005613AD">
      <w:tc>
        <w:tcPr>
          <w:tcW w:w="3828" w:type="dxa"/>
          <w:vMerge/>
        </w:tcPr>
        <w:p w14:paraId="376F415B" w14:textId="77777777" w:rsidR="00425888" w:rsidRPr="008F2CCC" w:rsidRDefault="00C10908" w:rsidP="00200BFC">
          <w:pPr>
            <w:rPr>
              <w:rFonts w:ascii="Palatino Linotype" w:hAnsi="Palatino Linotype"/>
              <w:b/>
              <w:sz w:val="22"/>
              <w:szCs w:val="22"/>
              <w:lang w:val="es-ES_tradnl"/>
            </w:rPr>
          </w:pPr>
        </w:p>
      </w:tc>
      <w:tc>
        <w:tcPr>
          <w:tcW w:w="2552" w:type="dxa"/>
          <w:shd w:val="clear" w:color="auto" w:fill="auto"/>
        </w:tcPr>
        <w:p w14:paraId="422B1999" w14:textId="77777777" w:rsidR="00425888" w:rsidRPr="008F2CCC" w:rsidRDefault="000075F5"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6" w:type="dxa"/>
          <w:shd w:val="clear" w:color="auto" w:fill="auto"/>
          <w:vAlign w:val="center"/>
        </w:tcPr>
        <w:p w14:paraId="0A81DEBF" w14:textId="78FCB0EB" w:rsidR="00615856" w:rsidRPr="008F2CCC" w:rsidRDefault="00E32741"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XXXXXXXXXXXXXXXXXX</w:t>
          </w:r>
          <w:r w:rsidR="0051455B">
            <w:rPr>
              <w:rFonts w:ascii="Palatino Linotype" w:hAnsi="Palatino Linotype"/>
              <w:b/>
              <w:sz w:val="22"/>
              <w:szCs w:val="22"/>
              <w:lang w:val="es-ES_tradnl"/>
            </w:rPr>
            <w:t xml:space="preserve"> </w:t>
          </w:r>
          <w:r w:rsidR="000075F5">
            <w:rPr>
              <w:rFonts w:ascii="Palatino Linotype" w:hAnsi="Palatino Linotype"/>
              <w:b/>
              <w:sz w:val="22"/>
              <w:szCs w:val="22"/>
              <w:lang w:val="es-ES_tradnl"/>
            </w:rPr>
            <w:t xml:space="preserve"> </w:t>
          </w:r>
        </w:p>
      </w:tc>
    </w:tr>
    <w:tr w:rsidR="00425888" w:rsidRPr="008F2CCC" w14:paraId="773E6F16" w14:textId="77777777" w:rsidTr="005613AD">
      <w:trPr>
        <w:trHeight w:val="228"/>
      </w:trPr>
      <w:tc>
        <w:tcPr>
          <w:tcW w:w="3828" w:type="dxa"/>
          <w:vMerge/>
        </w:tcPr>
        <w:p w14:paraId="60A12C48" w14:textId="77777777" w:rsidR="00425888" w:rsidRPr="008F2CCC" w:rsidRDefault="00C10908" w:rsidP="00200BFC">
          <w:pPr>
            <w:rPr>
              <w:rFonts w:ascii="Palatino Linotype" w:hAnsi="Palatino Linotype"/>
              <w:b/>
              <w:sz w:val="22"/>
              <w:szCs w:val="22"/>
              <w:lang w:val="es-ES_tradnl"/>
            </w:rPr>
          </w:pPr>
        </w:p>
      </w:tc>
      <w:tc>
        <w:tcPr>
          <w:tcW w:w="2552" w:type="dxa"/>
          <w:shd w:val="clear" w:color="auto" w:fill="auto"/>
        </w:tcPr>
        <w:p w14:paraId="222C9FFF" w14:textId="77777777" w:rsidR="00425888" w:rsidRPr="008F2CCC" w:rsidRDefault="000075F5"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6" w:type="dxa"/>
          <w:shd w:val="clear" w:color="auto" w:fill="auto"/>
          <w:vAlign w:val="center"/>
        </w:tcPr>
        <w:p w14:paraId="2502CB4F" w14:textId="77777777" w:rsidR="00425888" w:rsidRPr="00DC41C8" w:rsidRDefault="000075F5" w:rsidP="0051455B">
          <w:pPr>
            <w:jc w:val="both"/>
            <w:rPr>
              <w:rFonts w:ascii="Palatino Linotype" w:hAnsi="Palatino Linotype"/>
              <w:b/>
              <w:sz w:val="22"/>
              <w:szCs w:val="22"/>
            </w:rPr>
          </w:pPr>
          <w:r w:rsidRPr="005613AD">
            <w:rPr>
              <w:rFonts w:ascii="Palatino Linotype" w:hAnsi="Palatino Linotype"/>
              <w:b/>
              <w:sz w:val="22"/>
              <w:szCs w:val="22"/>
            </w:rPr>
            <w:t xml:space="preserve">Ayuntamiento de </w:t>
          </w:r>
          <w:r w:rsidR="0051455B">
            <w:rPr>
              <w:rFonts w:ascii="Palatino Linotype" w:hAnsi="Palatino Linotype"/>
              <w:b/>
              <w:sz w:val="22"/>
              <w:szCs w:val="22"/>
            </w:rPr>
            <w:t>Tonatico</w:t>
          </w:r>
        </w:p>
      </w:tc>
    </w:tr>
    <w:tr w:rsidR="00425888" w:rsidRPr="008F2CCC" w14:paraId="17A8D827" w14:textId="77777777" w:rsidTr="005613AD">
      <w:tc>
        <w:tcPr>
          <w:tcW w:w="3828" w:type="dxa"/>
          <w:vMerge/>
        </w:tcPr>
        <w:p w14:paraId="31389395" w14:textId="77777777" w:rsidR="00425888" w:rsidRPr="008F2CCC" w:rsidRDefault="00C10908" w:rsidP="00200BFC">
          <w:pPr>
            <w:rPr>
              <w:rFonts w:ascii="Palatino Linotype" w:hAnsi="Palatino Linotype"/>
              <w:b/>
              <w:sz w:val="22"/>
              <w:szCs w:val="22"/>
              <w:lang w:val="es-ES_tradnl"/>
            </w:rPr>
          </w:pPr>
        </w:p>
      </w:tc>
      <w:tc>
        <w:tcPr>
          <w:tcW w:w="2552" w:type="dxa"/>
          <w:shd w:val="clear" w:color="auto" w:fill="auto"/>
        </w:tcPr>
        <w:p w14:paraId="628286E1" w14:textId="77777777" w:rsidR="00425888" w:rsidRPr="008F2CCC" w:rsidRDefault="000075F5"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6" w:type="dxa"/>
          <w:shd w:val="clear" w:color="auto" w:fill="auto"/>
        </w:tcPr>
        <w:p w14:paraId="447D5814" w14:textId="77777777" w:rsidR="00425888" w:rsidRPr="008F2CCC" w:rsidRDefault="000075F5"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378FE53" w14:textId="77777777" w:rsidR="00425888" w:rsidRPr="0010196A" w:rsidRDefault="00C1090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BC1"/>
    <w:rsid w:val="000075F5"/>
    <w:rsid w:val="0007650C"/>
    <w:rsid w:val="001D4274"/>
    <w:rsid w:val="0022392E"/>
    <w:rsid w:val="003E2FAD"/>
    <w:rsid w:val="00512034"/>
    <w:rsid w:val="0051455B"/>
    <w:rsid w:val="0073096B"/>
    <w:rsid w:val="00746129"/>
    <w:rsid w:val="00931A53"/>
    <w:rsid w:val="00A06318"/>
    <w:rsid w:val="00B2160D"/>
    <w:rsid w:val="00C10908"/>
    <w:rsid w:val="00CD421B"/>
    <w:rsid w:val="00D317BA"/>
    <w:rsid w:val="00DA510B"/>
    <w:rsid w:val="00E32741"/>
    <w:rsid w:val="00E3793C"/>
    <w:rsid w:val="00F25117"/>
    <w:rsid w:val="00F72BC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5B36A81"/>
  <w15:docId w15:val="{705621EA-F265-412B-BEFF-64C9F4482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BC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2BC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F72BC1"/>
    <w:rPr>
      <w:rFonts w:eastAsiaTheme="minorEastAsia"/>
      <w:sz w:val="24"/>
      <w:szCs w:val="24"/>
      <w:lang w:val="es-ES_tradnl" w:eastAsia="es-ES"/>
    </w:rPr>
  </w:style>
  <w:style w:type="paragraph" w:styleId="Piedepgina">
    <w:name w:val="footer"/>
    <w:basedOn w:val="Normal"/>
    <w:link w:val="PiedepginaCar"/>
    <w:uiPriority w:val="99"/>
    <w:unhideWhenUsed/>
    <w:rsid w:val="00F72BC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72BC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72BC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72BC1"/>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2BC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72BC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72BC1"/>
    <w:rPr>
      <w:vertAlign w:val="superscript"/>
    </w:rPr>
  </w:style>
  <w:style w:type="paragraph" w:styleId="Textodeglobo">
    <w:name w:val="Balloon Text"/>
    <w:basedOn w:val="Normal"/>
    <w:link w:val="TextodegloboCar"/>
    <w:uiPriority w:val="99"/>
    <w:semiHidden/>
    <w:unhideWhenUsed/>
    <w:rsid w:val="00D317B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317BA"/>
    <w:rPr>
      <w:rFonts w:ascii="Lucida Grande" w:eastAsia="Times New Roman" w:hAnsi="Lucida Grande" w:cs="Lucida Grande"/>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40</Pages>
  <Words>10356</Words>
  <Characters>56963</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2021-04-29T15:50:00Z</cp:lastPrinted>
  <dcterms:created xsi:type="dcterms:W3CDTF">2021-04-29T15:50:00Z</dcterms:created>
  <dcterms:modified xsi:type="dcterms:W3CDTF">2021-05-09T01:49:00Z</dcterms:modified>
</cp:coreProperties>
</file>