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11" w:rsidRPr="0092040F" w:rsidRDefault="00162E11" w:rsidP="001663BD">
      <w:pPr>
        <w:spacing w:line="360" w:lineRule="auto"/>
        <w:rPr>
          <w:rFonts w:ascii="Palatino Linotype" w:hAnsi="Palatino Linotype"/>
        </w:rPr>
      </w:pPr>
    </w:p>
    <w:p w:rsidR="00162E11" w:rsidRPr="0092040F" w:rsidRDefault="00162E11" w:rsidP="001663BD">
      <w:pPr>
        <w:spacing w:line="360" w:lineRule="auto"/>
        <w:jc w:val="center"/>
        <w:rPr>
          <w:rFonts w:ascii="Palatino Linotype" w:hAnsi="Palatino Linotype"/>
          <w:b/>
        </w:rPr>
      </w:pPr>
      <w:r w:rsidRPr="0092040F">
        <w:rPr>
          <w:rFonts w:ascii="Palatino Linotype" w:hAnsi="Palatino Linotype"/>
          <w:b/>
        </w:rPr>
        <w:t>ÍNDICE</w:t>
      </w:r>
    </w:p>
    <w:sdt>
      <w:sdtPr>
        <w:rPr>
          <w:rFonts w:ascii="Palatino Linotype" w:eastAsiaTheme="minorEastAsia" w:hAnsi="Palatino Linotype" w:cstheme="minorBidi"/>
          <w:color w:val="auto"/>
          <w:sz w:val="24"/>
          <w:szCs w:val="24"/>
          <w:lang w:val="es-ES" w:eastAsia="es-ES"/>
        </w:rPr>
        <w:id w:val="-1245946457"/>
        <w:docPartObj>
          <w:docPartGallery w:val="Table of Contents"/>
          <w:docPartUnique/>
        </w:docPartObj>
      </w:sdtPr>
      <w:sdtEndPr>
        <w:rPr>
          <w:rFonts w:eastAsia="Times New Roman" w:cs="Times New Roman"/>
          <w:b/>
          <w:bCs/>
          <w:lang w:eastAsia="es-MX"/>
        </w:rPr>
      </w:sdtEndPr>
      <w:sdtContent>
        <w:p w:rsidR="00162E11" w:rsidRPr="0092040F" w:rsidRDefault="00162E11" w:rsidP="001663BD">
          <w:pPr>
            <w:pStyle w:val="TtulodeTDC"/>
            <w:spacing w:before="0" w:line="360" w:lineRule="auto"/>
            <w:rPr>
              <w:rFonts w:ascii="Palatino Linotype" w:hAnsi="Palatino Linotype"/>
            </w:rPr>
          </w:pPr>
        </w:p>
        <w:p w:rsidR="00162E11" w:rsidRPr="00A706C3" w:rsidRDefault="00162E11" w:rsidP="001663BD">
          <w:pPr>
            <w:pStyle w:val="TDC1"/>
            <w:tabs>
              <w:tab w:val="right" w:leader="dot" w:pos="9034"/>
            </w:tabs>
            <w:spacing w:line="360" w:lineRule="auto"/>
            <w:jc w:val="right"/>
            <w:rPr>
              <w:rFonts w:ascii="Palatino Linotype" w:eastAsiaTheme="minorEastAsia" w:hAnsi="Palatino Linotype"/>
              <w:b/>
              <w:noProof/>
              <w:lang w:val="es-ES" w:eastAsia="es-ES"/>
            </w:rPr>
          </w:pPr>
          <w:r w:rsidRPr="00833EA3">
            <w:rPr>
              <w:rFonts w:ascii="Palatino Linotype" w:hAnsi="Palatino Linotype"/>
              <w:b/>
              <w:sz w:val="24"/>
              <w:szCs w:val="24"/>
              <w:lang w:val="es-ES_tradnl"/>
            </w:rPr>
            <w:fldChar w:fldCharType="begin"/>
          </w:r>
          <w:r w:rsidRPr="00833EA3">
            <w:rPr>
              <w:rFonts w:ascii="Palatino Linotype" w:hAnsi="Palatino Linotype"/>
              <w:b/>
              <w:sz w:val="24"/>
              <w:szCs w:val="24"/>
            </w:rPr>
            <w:instrText xml:space="preserve"> TOC \o "1-3" \h \z \u </w:instrText>
          </w:r>
          <w:r w:rsidRPr="00833EA3">
            <w:rPr>
              <w:rFonts w:ascii="Palatino Linotype" w:hAnsi="Palatino Linotype"/>
              <w:b/>
              <w:sz w:val="24"/>
              <w:szCs w:val="24"/>
              <w:lang w:val="es-ES_tradnl"/>
            </w:rPr>
            <w:fldChar w:fldCharType="separate"/>
          </w:r>
          <w:hyperlink w:anchor="_Toc85469333" w:history="1">
            <w:r w:rsidRPr="00A706C3">
              <w:rPr>
                <w:rStyle w:val="Hipervnculo"/>
                <w:rFonts w:ascii="Palatino Linotype" w:hAnsi="Palatino Linotype"/>
                <w:b/>
                <w:noProof/>
                <w:color w:val="auto"/>
              </w:rPr>
              <w:t>ANTECEDENTES</w:t>
            </w:r>
            <w:r w:rsidRPr="00A706C3">
              <w:rPr>
                <w:rFonts w:ascii="Palatino Linotype" w:hAnsi="Palatino Linotype"/>
                <w:b/>
                <w:noProof/>
                <w:webHidden/>
              </w:rPr>
              <w:tab/>
            </w:r>
            <w:r w:rsidRPr="00A706C3">
              <w:rPr>
                <w:rFonts w:ascii="Palatino Linotype" w:hAnsi="Palatino Linotype"/>
                <w:b/>
                <w:noProof/>
                <w:webHidden/>
              </w:rPr>
              <w:fldChar w:fldCharType="begin"/>
            </w:r>
            <w:r w:rsidRPr="00A706C3">
              <w:rPr>
                <w:rFonts w:ascii="Palatino Linotype" w:hAnsi="Palatino Linotype"/>
                <w:b/>
                <w:noProof/>
                <w:webHidden/>
              </w:rPr>
              <w:instrText xml:space="preserve"> PAGEREF _Toc85469333 \h </w:instrText>
            </w:r>
            <w:r w:rsidRPr="00A706C3">
              <w:rPr>
                <w:rFonts w:ascii="Palatino Linotype" w:hAnsi="Palatino Linotype"/>
                <w:b/>
                <w:noProof/>
                <w:webHidden/>
              </w:rPr>
            </w:r>
            <w:r w:rsidRPr="00A706C3">
              <w:rPr>
                <w:rFonts w:ascii="Palatino Linotype" w:hAnsi="Palatino Linotype"/>
                <w:b/>
                <w:noProof/>
                <w:webHidden/>
              </w:rPr>
              <w:fldChar w:fldCharType="separate"/>
            </w:r>
            <w:r w:rsidR="00A706C3" w:rsidRPr="00A706C3">
              <w:rPr>
                <w:rFonts w:ascii="Palatino Linotype" w:hAnsi="Palatino Linotype"/>
                <w:b/>
                <w:noProof/>
                <w:webHidden/>
              </w:rPr>
              <w:t>2</w:t>
            </w:r>
            <w:r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34" w:history="1">
            <w:r w:rsidR="00162E11" w:rsidRPr="00A706C3">
              <w:rPr>
                <w:rStyle w:val="Hipervnculo"/>
                <w:rFonts w:ascii="Palatino Linotype" w:eastAsia="MS Gothic" w:hAnsi="Palatino Linotype"/>
                <w:b/>
                <w:noProof/>
                <w:color w:val="auto"/>
              </w:rPr>
              <w:t>CONSIDERANDO</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_Toc85469334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5</w:t>
            </w:r>
            <w:r w:rsidR="00162E11" w:rsidRPr="00A706C3">
              <w:rPr>
                <w:rFonts w:ascii="Palatino Linotype" w:hAnsi="Palatino Linotype"/>
                <w:b/>
                <w:noProof/>
                <w:webHidden/>
              </w:rPr>
              <w:fldChar w:fldCharType="end"/>
            </w:r>
          </w:hyperlink>
        </w:p>
        <w:p w:rsidR="00162E11" w:rsidRPr="00A706C3" w:rsidRDefault="00974B83" w:rsidP="001663BD">
          <w:pPr>
            <w:pStyle w:val="TDC2"/>
            <w:spacing w:line="360" w:lineRule="auto"/>
            <w:jc w:val="right"/>
            <w:rPr>
              <w:rFonts w:ascii="Palatino Linotype" w:eastAsiaTheme="minorEastAsia" w:hAnsi="Palatino Linotype"/>
              <w:b/>
              <w:noProof/>
              <w:lang w:val="es-ES" w:eastAsia="es-ES"/>
            </w:rPr>
          </w:pPr>
          <w:hyperlink w:anchor="_Toc85469335" w:history="1">
            <w:r w:rsidR="00162E11" w:rsidRPr="00A706C3">
              <w:rPr>
                <w:rStyle w:val="Hipervnculo"/>
                <w:rFonts w:ascii="Palatino Linotype" w:eastAsia="MS Gothic" w:hAnsi="Palatino Linotype"/>
                <w:b/>
                <w:noProof/>
                <w:color w:val="auto"/>
              </w:rPr>
              <w:t>PRIMERO. De la competencia.</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_Toc85469335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5</w:t>
            </w:r>
            <w:r w:rsidR="00162E11" w:rsidRPr="00A706C3">
              <w:rPr>
                <w:rFonts w:ascii="Palatino Linotype" w:hAnsi="Palatino Linotype"/>
                <w:b/>
                <w:noProof/>
                <w:webHidden/>
              </w:rPr>
              <w:fldChar w:fldCharType="end"/>
            </w:r>
          </w:hyperlink>
        </w:p>
        <w:p w:rsidR="00162E11" w:rsidRPr="00A706C3" w:rsidRDefault="00974B83" w:rsidP="001663BD">
          <w:pPr>
            <w:pStyle w:val="TDC2"/>
            <w:spacing w:line="360" w:lineRule="auto"/>
            <w:jc w:val="right"/>
            <w:rPr>
              <w:rFonts w:ascii="Palatino Linotype" w:eastAsiaTheme="minorEastAsia" w:hAnsi="Palatino Linotype"/>
              <w:b/>
              <w:noProof/>
              <w:lang w:val="es-ES" w:eastAsia="es-ES"/>
            </w:rPr>
          </w:pPr>
          <w:hyperlink w:anchor="_Toc85469336" w:history="1">
            <w:r w:rsidR="00162E11" w:rsidRPr="00A706C3">
              <w:rPr>
                <w:rStyle w:val="Hipervnculo"/>
                <w:rFonts w:ascii="Palatino Linotype" w:eastAsia="MS Gothic" w:hAnsi="Palatino Linotype"/>
                <w:b/>
                <w:noProof/>
                <w:color w:val="auto"/>
              </w:rPr>
              <w:t>SEGUNDO. De la oportunidad y procedencia.</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_Toc85469336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6</w:t>
            </w:r>
            <w:r w:rsidR="00162E11"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37" w:history="1">
            <w:r w:rsidR="00162E11" w:rsidRPr="00A706C3">
              <w:rPr>
                <w:rStyle w:val="Hipervnculo"/>
                <w:rFonts w:ascii="Palatino Linotype" w:eastAsia="MS Mincho" w:hAnsi="Palatino Linotype" w:cstheme="majorBidi"/>
                <w:b/>
                <w:noProof/>
                <w:color w:val="auto"/>
                <w:lang w:val="es-ES_tradnl" w:eastAsia="es-ES"/>
              </w:rPr>
              <w:t>TERCERO. Planteamiento de la Litis</w:t>
            </w:r>
            <w:r w:rsidR="00162E11" w:rsidRPr="00A706C3">
              <w:rPr>
                <w:rStyle w:val="Hipervnculo"/>
                <w:rFonts w:ascii="Palatino Linotype" w:eastAsia="MS Gothic" w:hAnsi="Palatino Linotype"/>
                <w:b/>
                <w:noProof/>
                <w:color w:val="auto"/>
              </w:rPr>
              <w:t>.</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_Toc85469337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7</w:t>
            </w:r>
            <w:r w:rsidR="00162E11"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38" w:history="1">
            <w:r w:rsidR="00162E11" w:rsidRPr="00A706C3">
              <w:rPr>
                <w:rStyle w:val="Hipervnculo"/>
                <w:rFonts w:ascii="Palatino Linotype" w:eastAsia="MS Gothic" w:hAnsi="Palatino Linotype"/>
                <w:b/>
                <w:noProof/>
                <w:color w:val="auto"/>
                <w:lang w:val="es-ES_tradnl" w:eastAsia="es-ES"/>
              </w:rPr>
              <w:t>I. Del derecho de acceso a la información.</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_Toc85469338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8</w:t>
            </w:r>
            <w:r w:rsidR="00162E11"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39" w:history="1">
            <w:r w:rsidR="00162E11" w:rsidRPr="00A706C3">
              <w:rPr>
                <w:rStyle w:val="Hipervnculo"/>
                <w:rFonts w:ascii="Palatino Linotype" w:hAnsi="Palatino Linotype"/>
                <w:b/>
                <w:noProof/>
                <w:color w:val="auto"/>
              </w:rPr>
              <w:t>II. De la información solicitada y la respuesta del Sujeto Obligado</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_Toc85469339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12</w:t>
            </w:r>
            <w:r w:rsidR="00162E11"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40" w:history="1">
            <w:r w:rsidR="00162E11" w:rsidRPr="00A706C3">
              <w:rPr>
                <w:rStyle w:val="Hipervnculo"/>
                <w:rFonts w:ascii="Palatino Linotype" w:hAnsi="Palatino Linotype" w:cs="Times New Roman"/>
                <w:b/>
                <w:noProof/>
                <w:color w:val="auto"/>
                <w:lang w:eastAsia="es-ES_tradnl"/>
              </w:rPr>
              <w:t xml:space="preserve">QUINTO. </w:t>
            </w:r>
            <w:r w:rsidR="00162E11" w:rsidRPr="00A706C3">
              <w:rPr>
                <w:rStyle w:val="Hipervnculo"/>
                <w:rFonts w:ascii="Palatino Linotype" w:hAnsi="Palatino Linotype"/>
                <w:b/>
                <w:noProof/>
                <w:color w:val="auto"/>
              </w:rPr>
              <w:t xml:space="preserve"> </w:t>
            </w:r>
            <w:r w:rsidR="00162E11" w:rsidRPr="00A706C3">
              <w:rPr>
                <w:rStyle w:val="Hipervnculo"/>
                <w:rFonts w:ascii="Palatino Linotype" w:hAnsi="Palatino Linotype" w:cs="Arial"/>
                <w:b/>
                <w:noProof/>
                <w:color w:val="auto"/>
                <w:lang w:val="es-ES_tradnl"/>
              </w:rPr>
              <w:t>De la versión pública.</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_Toc85469340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31</w:t>
            </w:r>
            <w:r w:rsidR="00162E11" w:rsidRPr="00A706C3">
              <w:rPr>
                <w:rFonts w:ascii="Palatino Linotype" w:hAnsi="Palatino Linotype"/>
                <w:b/>
                <w:noProof/>
                <w:webHidden/>
              </w:rPr>
              <w:fldChar w:fldCharType="end"/>
            </w:r>
          </w:hyperlink>
        </w:p>
        <w:p w:rsidR="00162E11" w:rsidRPr="00A706C3" w:rsidRDefault="00974B83" w:rsidP="001663BD">
          <w:pPr>
            <w:pStyle w:val="TDC2"/>
            <w:spacing w:line="360" w:lineRule="auto"/>
            <w:jc w:val="right"/>
            <w:rPr>
              <w:rFonts w:ascii="Palatino Linotype" w:eastAsiaTheme="minorEastAsia" w:hAnsi="Palatino Linotype"/>
              <w:b/>
              <w:noProof/>
              <w:lang w:val="es-ES" w:eastAsia="es-ES"/>
            </w:rPr>
          </w:pPr>
          <w:hyperlink w:anchor="_Toc85469341" w:history="1">
            <w:r w:rsidR="00162E11" w:rsidRPr="00A706C3">
              <w:rPr>
                <w:rStyle w:val="Hipervnculo"/>
                <w:rFonts w:ascii="Palatino Linotype" w:hAnsi="Palatino Linotype"/>
                <w:b/>
                <w:noProof/>
                <w:color w:val="auto"/>
              </w:rPr>
              <w:t>I. De la clasificación de la información.</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_Toc85469341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32</w:t>
            </w:r>
            <w:r w:rsidR="00162E11"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45" w:history="1">
            <w:r w:rsidR="00162E11" w:rsidRPr="00A706C3">
              <w:rPr>
                <w:rStyle w:val="Hipervnculo"/>
                <w:rFonts w:ascii="Palatino Linotype" w:hAnsi="Palatino Linotype"/>
                <w:b/>
                <w:noProof/>
                <w:color w:val="auto"/>
              </w:rPr>
              <w:t>II. La intervención del Comité de Transparencia.</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_Toc85469345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38</w:t>
            </w:r>
            <w:r w:rsidR="00162E11" w:rsidRPr="00A706C3">
              <w:rPr>
                <w:rFonts w:ascii="Palatino Linotype" w:hAnsi="Palatino Linotype"/>
                <w:b/>
                <w:noProof/>
                <w:webHidden/>
              </w:rPr>
              <w:fldChar w:fldCharType="end"/>
            </w:r>
          </w:hyperlink>
        </w:p>
        <w:p w:rsidR="00162E11" w:rsidRPr="00A706C3" w:rsidRDefault="00974B83" w:rsidP="001663BD">
          <w:pPr>
            <w:pStyle w:val="TDC2"/>
            <w:spacing w:line="360" w:lineRule="auto"/>
            <w:jc w:val="right"/>
            <w:rPr>
              <w:rFonts w:ascii="Palatino Linotype" w:eastAsiaTheme="minorEastAsia" w:hAnsi="Palatino Linotype"/>
              <w:b/>
              <w:noProof/>
              <w:lang w:val="es-ES" w:eastAsia="es-ES"/>
            </w:rPr>
          </w:pPr>
          <w:hyperlink w:anchor="_Toc85469348" w:history="1">
            <w:r w:rsidR="00162E11" w:rsidRPr="00A706C3">
              <w:rPr>
                <w:rStyle w:val="Hipervnculo"/>
                <w:rFonts w:ascii="Palatino Linotype" w:hAnsi="Palatino Linotype"/>
                <w:b/>
                <w:noProof/>
                <w:color w:val="auto"/>
              </w:rPr>
              <w:t>III. Condiciones especiales de la clasificación de la información como reservada</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_Toc85469348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43</w:t>
            </w:r>
            <w:r w:rsidR="00162E11" w:rsidRPr="00A706C3">
              <w:rPr>
                <w:rFonts w:ascii="Palatino Linotype" w:hAnsi="Palatino Linotype"/>
                <w:b/>
                <w:noProof/>
                <w:webHidden/>
              </w:rPr>
              <w:fldChar w:fldCharType="end"/>
            </w:r>
          </w:hyperlink>
        </w:p>
        <w:p w:rsidR="00162E11" w:rsidRPr="00A706C3" w:rsidRDefault="00974B83" w:rsidP="001663BD">
          <w:pPr>
            <w:pStyle w:val="TDC1"/>
            <w:tabs>
              <w:tab w:val="right" w:leader="dot" w:pos="9034"/>
            </w:tabs>
            <w:spacing w:line="360" w:lineRule="auto"/>
            <w:jc w:val="right"/>
            <w:rPr>
              <w:rFonts w:ascii="Palatino Linotype" w:eastAsiaTheme="minorEastAsia" w:hAnsi="Palatino Linotype"/>
              <w:b/>
              <w:noProof/>
              <w:lang w:val="es-ES" w:eastAsia="es-ES"/>
            </w:rPr>
          </w:pPr>
          <w:hyperlink w:anchor="_Toc85469352" w:history="1">
            <w:r w:rsidR="00162E11" w:rsidRPr="00A706C3">
              <w:rPr>
                <w:rStyle w:val="Hipervnculo"/>
                <w:rFonts w:ascii="Palatino Linotype" w:eastAsiaTheme="majorEastAsia" w:hAnsi="Palatino Linotype" w:cstheme="majorBidi"/>
                <w:b/>
                <w:noProof/>
                <w:color w:val="auto"/>
              </w:rPr>
              <w:t>R E S O L U T I V O S</w:t>
            </w:r>
            <w:r w:rsidR="00162E11" w:rsidRPr="00A706C3">
              <w:rPr>
                <w:rFonts w:ascii="Palatino Linotype" w:hAnsi="Palatino Linotype"/>
                <w:b/>
                <w:noProof/>
                <w:webHidden/>
              </w:rPr>
              <w:tab/>
            </w:r>
            <w:r w:rsidR="00162E11" w:rsidRPr="00A706C3">
              <w:rPr>
                <w:rFonts w:ascii="Palatino Linotype" w:hAnsi="Palatino Linotype"/>
                <w:b/>
                <w:noProof/>
                <w:webHidden/>
              </w:rPr>
              <w:fldChar w:fldCharType="begin"/>
            </w:r>
            <w:r w:rsidR="00162E11" w:rsidRPr="00A706C3">
              <w:rPr>
                <w:rFonts w:ascii="Palatino Linotype" w:hAnsi="Palatino Linotype"/>
                <w:b/>
                <w:noProof/>
                <w:webHidden/>
              </w:rPr>
              <w:instrText xml:space="preserve"> PAGEREF _Toc85469352 \h </w:instrText>
            </w:r>
            <w:r w:rsidR="00162E11" w:rsidRPr="00A706C3">
              <w:rPr>
                <w:rFonts w:ascii="Palatino Linotype" w:hAnsi="Palatino Linotype"/>
                <w:b/>
                <w:noProof/>
                <w:webHidden/>
              </w:rPr>
            </w:r>
            <w:r w:rsidR="00162E11" w:rsidRPr="00A706C3">
              <w:rPr>
                <w:rFonts w:ascii="Palatino Linotype" w:hAnsi="Palatino Linotype"/>
                <w:b/>
                <w:noProof/>
                <w:webHidden/>
              </w:rPr>
              <w:fldChar w:fldCharType="separate"/>
            </w:r>
            <w:r w:rsidR="00A706C3" w:rsidRPr="00A706C3">
              <w:rPr>
                <w:rFonts w:ascii="Palatino Linotype" w:hAnsi="Palatino Linotype"/>
                <w:b/>
                <w:noProof/>
                <w:webHidden/>
              </w:rPr>
              <w:t>50</w:t>
            </w:r>
            <w:r w:rsidR="00162E11" w:rsidRPr="00A706C3">
              <w:rPr>
                <w:rFonts w:ascii="Palatino Linotype" w:hAnsi="Palatino Linotype"/>
                <w:b/>
                <w:noProof/>
                <w:webHidden/>
              </w:rPr>
              <w:fldChar w:fldCharType="end"/>
            </w:r>
          </w:hyperlink>
        </w:p>
        <w:p w:rsidR="00162E11" w:rsidRPr="0092040F" w:rsidRDefault="00162E11" w:rsidP="001663BD">
          <w:pPr>
            <w:spacing w:line="360" w:lineRule="auto"/>
            <w:jc w:val="right"/>
            <w:rPr>
              <w:rFonts w:ascii="Palatino Linotype" w:hAnsi="Palatino Linotype"/>
            </w:rPr>
          </w:pPr>
          <w:r w:rsidRPr="00833EA3">
            <w:rPr>
              <w:rFonts w:ascii="Palatino Linotype" w:hAnsi="Palatino Linotype"/>
              <w:b/>
              <w:bCs/>
              <w:lang w:val="es-ES"/>
            </w:rPr>
            <w:fldChar w:fldCharType="end"/>
          </w:r>
        </w:p>
      </w:sdtContent>
    </w:sdt>
    <w:p w:rsidR="00162E11" w:rsidRPr="0092040F" w:rsidRDefault="00162E11" w:rsidP="001663BD">
      <w:pPr>
        <w:spacing w:line="360" w:lineRule="auto"/>
        <w:rPr>
          <w:rFonts w:ascii="Palatino Linotype" w:hAnsi="Palatino Linotype"/>
          <w:b/>
        </w:rPr>
      </w:pPr>
      <w:r w:rsidRPr="0092040F">
        <w:rPr>
          <w:rFonts w:ascii="Palatino Linotype" w:hAnsi="Palatino Linotype"/>
          <w:b/>
        </w:rPr>
        <w:br w:type="page"/>
      </w:r>
    </w:p>
    <w:p w:rsidR="00162E11" w:rsidRPr="0092040F" w:rsidRDefault="00162E11" w:rsidP="001663BD">
      <w:pPr>
        <w:tabs>
          <w:tab w:val="left" w:pos="0"/>
        </w:tabs>
        <w:spacing w:line="360" w:lineRule="auto"/>
        <w:jc w:val="both"/>
        <w:rPr>
          <w:rFonts w:ascii="Palatino Linotype" w:hAnsi="Palatino Linotype"/>
        </w:rPr>
      </w:pPr>
      <w:r w:rsidRPr="0092040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rPr>
        <w:t>veintisiete (27</w:t>
      </w:r>
      <w:r w:rsidRPr="0092040F">
        <w:rPr>
          <w:rFonts w:ascii="Palatino Linotype" w:hAnsi="Palatino Linotype"/>
        </w:rPr>
        <w:t xml:space="preserve">) de octubre  de dos mil veintiuno. </w:t>
      </w:r>
    </w:p>
    <w:p w:rsidR="00162E11" w:rsidRPr="0092040F" w:rsidRDefault="00162E11" w:rsidP="001663BD">
      <w:pPr>
        <w:tabs>
          <w:tab w:val="left" w:pos="0"/>
        </w:tabs>
        <w:spacing w:line="360" w:lineRule="auto"/>
        <w:jc w:val="both"/>
        <w:rPr>
          <w:rFonts w:ascii="Palatino Linotype" w:hAnsi="Palatino Linotype"/>
        </w:rPr>
      </w:pPr>
    </w:p>
    <w:p w:rsidR="00C92F48" w:rsidRDefault="00162E11" w:rsidP="001663BD">
      <w:pPr>
        <w:spacing w:line="360" w:lineRule="auto"/>
        <w:jc w:val="both"/>
        <w:rPr>
          <w:rFonts w:ascii="Palatino Linotype" w:hAnsi="Palatino Linotype"/>
          <w:b/>
        </w:rPr>
      </w:pPr>
      <w:r w:rsidRPr="0092040F">
        <w:rPr>
          <w:rFonts w:ascii="Palatino Linotype" w:hAnsi="Palatino Linotype"/>
          <w:b/>
        </w:rPr>
        <w:t>VISTO</w:t>
      </w:r>
      <w:r w:rsidRPr="0092040F">
        <w:rPr>
          <w:rFonts w:ascii="Palatino Linotype" w:hAnsi="Palatino Linotype"/>
        </w:rPr>
        <w:t xml:space="preserve"> el expediente electrónico formado con motivo del recurso de revisión </w:t>
      </w:r>
      <w:r>
        <w:rPr>
          <w:rFonts w:ascii="Palatino Linotype" w:hAnsi="Palatino Linotype" w:cs="Arial"/>
          <w:b/>
          <w:bCs/>
        </w:rPr>
        <w:t>04213</w:t>
      </w:r>
      <w:r w:rsidRPr="0092040F">
        <w:rPr>
          <w:rFonts w:ascii="Palatino Linotype" w:hAnsi="Palatino Linotype" w:cs="Arial"/>
          <w:b/>
          <w:bCs/>
        </w:rPr>
        <w:t xml:space="preserve">/INFOEM/IP/RR/2021, </w:t>
      </w:r>
      <w:r w:rsidRPr="0092040F">
        <w:rPr>
          <w:rFonts w:ascii="Palatino Linotype" w:hAnsi="Palatino Linotype"/>
        </w:rPr>
        <w:t xml:space="preserve">promovido </w:t>
      </w:r>
      <w:r w:rsidR="00C92F48">
        <w:rPr>
          <w:rFonts w:ascii="Palatino Linotype" w:hAnsi="Palatino Linotype"/>
          <w:b/>
        </w:rPr>
        <w:t>XXXXXXXXXXXXXXXXXXXXXXXXXXXXX</w:t>
      </w:r>
    </w:p>
    <w:p w:rsidR="00162E11" w:rsidRPr="0092040F" w:rsidRDefault="00C92F48" w:rsidP="001663BD">
      <w:pPr>
        <w:spacing w:line="360" w:lineRule="auto"/>
        <w:jc w:val="both"/>
        <w:rPr>
          <w:rFonts w:ascii="Palatino Linotype" w:hAnsi="Palatino Linotype"/>
        </w:rPr>
      </w:pPr>
      <w:r>
        <w:rPr>
          <w:rFonts w:ascii="Palatino Linotype" w:hAnsi="Palatino Linotype"/>
          <w:b/>
        </w:rPr>
        <w:t>XXXXXXXXXX</w:t>
      </w:r>
      <w:bookmarkStart w:id="0" w:name="_GoBack"/>
      <w:bookmarkEnd w:id="0"/>
      <w:r w:rsidR="00162E11">
        <w:rPr>
          <w:rFonts w:ascii="Palatino Linotype" w:hAnsi="Palatino Linotype"/>
        </w:rPr>
        <w:t>, quien</w:t>
      </w:r>
      <w:r w:rsidR="00162E11" w:rsidRPr="0092040F">
        <w:rPr>
          <w:rFonts w:ascii="Palatino Linotype" w:hAnsi="Palatino Linotype"/>
        </w:rPr>
        <w:t xml:space="preserve"> en lo sucesivo se le identificara como </w:t>
      </w:r>
      <w:r w:rsidR="00162E11" w:rsidRPr="0092040F">
        <w:rPr>
          <w:rFonts w:ascii="Palatino Linotype" w:hAnsi="Palatino Linotype"/>
          <w:b/>
        </w:rPr>
        <w:t>RECURRENTE</w:t>
      </w:r>
      <w:r w:rsidR="00162E11" w:rsidRPr="0092040F">
        <w:rPr>
          <w:rFonts w:ascii="Palatino Linotype" w:hAnsi="Palatino Linotype"/>
        </w:rPr>
        <w:t>, en contra de la</w:t>
      </w:r>
      <w:r w:rsidR="00162E11">
        <w:rPr>
          <w:rFonts w:ascii="Palatino Linotype" w:hAnsi="Palatino Linotype" w:cs="Arial"/>
        </w:rPr>
        <w:t xml:space="preserve"> respuesta del</w:t>
      </w:r>
      <w:r w:rsidR="00162E11" w:rsidRPr="0092040F">
        <w:rPr>
          <w:rFonts w:ascii="Palatino Linotype" w:hAnsi="Palatino Linotype" w:cs="Arial"/>
        </w:rPr>
        <w:t xml:space="preserve"> </w:t>
      </w:r>
      <w:r w:rsidR="00162E11">
        <w:rPr>
          <w:rFonts w:ascii="Palatino Linotype" w:hAnsi="Palatino Linotype" w:cs="Arial"/>
          <w:b/>
        </w:rPr>
        <w:t>Hospital Regional de Alta Especialidad de Zumpango,</w:t>
      </w:r>
      <w:r w:rsidR="00162E11" w:rsidRPr="0092040F">
        <w:rPr>
          <w:rFonts w:ascii="Palatino Linotype" w:hAnsi="Palatino Linotype" w:cs="Arial"/>
          <w:b/>
        </w:rPr>
        <w:t xml:space="preserve"> </w:t>
      </w:r>
      <w:r w:rsidR="00162E11" w:rsidRPr="0092040F">
        <w:rPr>
          <w:rFonts w:ascii="Palatino Linotype" w:hAnsi="Palatino Linotype"/>
        </w:rPr>
        <w:t>en lo sucesivo el</w:t>
      </w:r>
      <w:r w:rsidR="00162E11" w:rsidRPr="0092040F">
        <w:rPr>
          <w:rFonts w:ascii="Palatino Linotype" w:hAnsi="Palatino Linotype"/>
          <w:b/>
        </w:rPr>
        <w:t xml:space="preserve"> SUJETO OBLIGADO, </w:t>
      </w:r>
      <w:r w:rsidR="00162E11" w:rsidRPr="0092040F">
        <w:rPr>
          <w:rFonts w:ascii="Palatino Linotype" w:hAnsi="Palatino Linotype"/>
        </w:rPr>
        <w:t xml:space="preserve">se procede a dictar la presente resolución, con base en los siguientes: </w:t>
      </w:r>
    </w:p>
    <w:p w:rsidR="00162E11" w:rsidRPr="0092040F" w:rsidRDefault="00162E11" w:rsidP="001663BD">
      <w:pPr>
        <w:spacing w:line="360" w:lineRule="auto"/>
        <w:jc w:val="both"/>
        <w:rPr>
          <w:rFonts w:ascii="Palatino Linotype" w:hAnsi="Palatino Linotype"/>
        </w:rPr>
      </w:pPr>
    </w:p>
    <w:p w:rsidR="00162E11" w:rsidRPr="0092040F" w:rsidRDefault="00162E11" w:rsidP="001663BD">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85469333"/>
      <w:r w:rsidRPr="0092040F">
        <w:rPr>
          <w:rFonts w:ascii="Palatino Linotype" w:hAnsi="Palatino Linotype"/>
          <w:b/>
          <w:lang w:eastAsia="en-US"/>
        </w:rPr>
        <w:t>ANTECEDENTES</w:t>
      </w:r>
      <w:bookmarkEnd w:id="1"/>
      <w:bookmarkEnd w:id="2"/>
      <w:bookmarkEnd w:id="3"/>
      <w:bookmarkEnd w:id="4"/>
    </w:p>
    <w:p w:rsidR="00162E11" w:rsidRPr="0092040F" w:rsidRDefault="00162E11" w:rsidP="001663BD">
      <w:pPr>
        <w:keepNext/>
        <w:keepLines/>
        <w:tabs>
          <w:tab w:val="left" w:pos="0"/>
        </w:tabs>
        <w:spacing w:line="360" w:lineRule="auto"/>
        <w:outlineLvl w:val="0"/>
        <w:rPr>
          <w:rFonts w:ascii="Palatino Linotype" w:hAnsi="Palatino Linotype"/>
          <w:b/>
          <w:lang w:eastAsia="en-US"/>
        </w:rPr>
      </w:pPr>
    </w:p>
    <w:p w:rsidR="00162E11" w:rsidRPr="0092040F" w:rsidRDefault="00162E11" w:rsidP="001663BD">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92040F">
        <w:rPr>
          <w:rFonts w:ascii="Palatino Linotype" w:eastAsia="Calibri" w:hAnsi="Palatino Linotype" w:cs="Arial"/>
          <w:lang w:val="es-ES"/>
        </w:rPr>
        <w:t xml:space="preserve">El </w:t>
      </w:r>
      <w:r w:rsidR="00E02E8D">
        <w:rPr>
          <w:rFonts w:ascii="Palatino Linotype" w:eastAsia="Calibri" w:hAnsi="Palatino Linotype" w:cs="Arial"/>
          <w:lang w:val="es-ES"/>
        </w:rPr>
        <w:t>catorce (14) de julio</w:t>
      </w:r>
      <w:r>
        <w:rPr>
          <w:rFonts w:ascii="Palatino Linotype" w:eastAsia="Calibri" w:hAnsi="Palatino Linotype" w:cs="Arial"/>
          <w:lang w:val="es-ES"/>
        </w:rPr>
        <w:t xml:space="preserve"> </w:t>
      </w:r>
      <w:r w:rsidRPr="0092040F">
        <w:rPr>
          <w:rFonts w:ascii="Palatino Linotype" w:eastAsia="Calibri" w:hAnsi="Palatino Linotype" w:cs="Arial"/>
          <w:lang w:val="es-ES"/>
        </w:rPr>
        <w:t xml:space="preserve"> de dos mil veintiuno,</w:t>
      </w:r>
      <w:r w:rsidRPr="0092040F">
        <w:rPr>
          <w:rFonts w:ascii="Palatino Linotype" w:eastAsia="Calibri" w:hAnsi="Palatino Linotype"/>
          <w:lang w:val="es-ES"/>
        </w:rPr>
        <w:t xml:space="preserve"> </w:t>
      </w:r>
      <w:r w:rsidRPr="0092040F">
        <w:rPr>
          <w:rFonts w:ascii="Palatino Linotype" w:hAnsi="Palatino Linotype"/>
        </w:rPr>
        <w:t>el</w:t>
      </w:r>
      <w:r w:rsidRPr="0092040F">
        <w:rPr>
          <w:rFonts w:ascii="Palatino Linotype" w:hAnsi="Palatino Linotype"/>
          <w:b/>
        </w:rPr>
        <w:t xml:space="preserve"> </w:t>
      </w:r>
      <w:r w:rsidRPr="0092040F">
        <w:rPr>
          <w:rFonts w:ascii="Palatino Linotype" w:hAnsi="Palatino Linotype"/>
        </w:rPr>
        <w:t>solicitante</w:t>
      </w:r>
      <w:r w:rsidRPr="0092040F">
        <w:rPr>
          <w:rFonts w:ascii="Palatino Linotype" w:hAnsi="Palatino Linotype"/>
          <w:b/>
        </w:rPr>
        <w:t xml:space="preserve">  </w:t>
      </w:r>
      <w:r w:rsidRPr="0092040F">
        <w:rPr>
          <w:rFonts w:ascii="Palatino Linotype" w:hAnsi="Palatino Linotype"/>
        </w:rPr>
        <w:t>presentó</w:t>
      </w:r>
      <w:r w:rsidRPr="0092040F">
        <w:rPr>
          <w:rFonts w:ascii="Palatino Linotype" w:hAnsi="Palatino Linotype"/>
          <w:b/>
        </w:rPr>
        <w:t xml:space="preserve"> </w:t>
      </w:r>
      <w:r w:rsidRPr="0092040F">
        <w:rPr>
          <w:rFonts w:ascii="Palatino Linotype" w:eastAsia="Calibri" w:hAnsi="Palatino Linotype" w:cs="Arial"/>
          <w:lang w:val="es-ES"/>
        </w:rPr>
        <w:t xml:space="preserve">ante el </w:t>
      </w:r>
      <w:r w:rsidRPr="0092040F">
        <w:rPr>
          <w:rFonts w:ascii="Palatino Linotype" w:eastAsia="Calibri" w:hAnsi="Palatino Linotype" w:cs="Arial"/>
          <w:b/>
          <w:lang w:val="es-ES"/>
        </w:rPr>
        <w:t>SUJETO OBLIGADO,</w:t>
      </w:r>
      <w:r w:rsidRPr="0092040F">
        <w:rPr>
          <w:rFonts w:ascii="Palatino Linotype" w:eastAsia="Calibri" w:hAnsi="Palatino Linotype" w:cs="Arial"/>
        </w:rPr>
        <w:t xml:space="preserve"> vía </w:t>
      </w:r>
      <w:r w:rsidRPr="0092040F">
        <w:rPr>
          <w:rFonts w:ascii="Palatino Linotype" w:eastAsia="Calibri" w:hAnsi="Palatino Linotype" w:cs="Arial"/>
          <w:lang w:val="es-ES"/>
        </w:rPr>
        <w:t xml:space="preserve">Sistema de Acceso a la Información Mexiquense (SAIMEX) la solicitud de información pública registrada con el número </w:t>
      </w:r>
      <w:r w:rsidRPr="0092040F">
        <w:rPr>
          <w:rFonts w:ascii="Palatino Linotype" w:hAnsi="Palatino Linotype"/>
          <w:b/>
          <w:bCs/>
        </w:rPr>
        <w:t> </w:t>
      </w:r>
      <w:r w:rsidR="00E02E8D" w:rsidRPr="00E02E8D">
        <w:rPr>
          <w:rFonts w:ascii="Palatino Linotype" w:hAnsi="Palatino Linotype"/>
          <w:b/>
          <w:bCs/>
        </w:rPr>
        <w:t>00091/HRZUM/IP/2021</w:t>
      </w:r>
      <w:r w:rsidRPr="0092040F">
        <w:rPr>
          <w:rFonts w:ascii="Palatino Linotype" w:eastAsia="Calibri" w:hAnsi="Palatino Linotype" w:cs="Arial"/>
          <w:lang w:val="es-ES"/>
        </w:rPr>
        <w:t>, mediante la cual se solicitó:</w:t>
      </w:r>
    </w:p>
    <w:p w:rsidR="00162E11" w:rsidRPr="0092040F" w:rsidRDefault="00162E11" w:rsidP="001663BD">
      <w:pPr>
        <w:tabs>
          <w:tab w:val="left" w:pos="0"/>
        </w:tabs>
        <w:spacing w:line="360" w:lineRule="auto"/>
        <w:ind w:left="360"/>
        <w:contextualSpacing/>
        <w:jc w:val="both"/>
        <w:rPr>
          <w:rFonts w:ascii="Palatino Linotype" w:eastAsia="Calibri" w:hAnsi="Palatino Linotype" w:cs="Arial"/>
          <w:lang w:val="es-ES"/>
        </w:rPr>
      </w:pPr>
    </w:p>
    <w:p w:rsidR="00162E11" w:rsidRPr="0092040F" w:rsidRDefault="00162E11" w:rsidP="001663BD">
      <w:pPr>
        <w:tabs>
          <w:tab w:val="left" w:pos="0"/>
        </w:tabs>
        <w:spacing w:line="360" w:lineRule="auto"/>
        <w:ind w:left="567" w:right="49"/>
        <w:contextualSpacing/>
        <w:jc w:val="both"/>
        <w:rPr>
          <w:rFonts w:ascii="Palatino Linotype" w:hAnsi="Palatino Linotype" w:cs="Arial"/>
          <w:i/>
          <w:sz w:val="22"/>
          <w:szCs w:val="22"/>
          <w:lang w:val="es-ES"/>
        </w:rPr>
      </w:pPr>
      <w:r w:rsidRPr="0092040F">
        <w:rPr>
          <w:rFonts w:ascii="Palatino Linotype" w:hAnsi="Palatino Linotype" w:cs="Arial"/>
          <w:i/>
          <w:sz w:val="22"/>
          <w:szCs w:val="22"/>
          <w:lang w:val="es-ES"/>
        </w:rPr>
        <w:t>“</w:t>
      </w:r>
      <w:r w:rsidR="00E02E8D" w:rsidRPr="00E02E8D">
        <w:rPr>
          <w:rFonts w:ascii="Palatino Linotype" w:hAnsi="Palatino Linotype"/>
          <w:i/>
          <w:color w:val="000000"/>
          <w:sz w:val="22"/>
          <w:szCs w:val="22"/>
        </w:rPr>
        <w:t>Requiero en version publica de todos los recibos de nomina de todos los servidores publicos del Hospital Regional de Alta Especialidad de Zumpango de la fecha 13 de julio de 2021</w:t>
      </w:r>
      <w:r w:rsidRPr="0092040F">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92040F">
        <w:rPr>
          <w:rFonts w:ascii="Palatino Linotype" w:hAnsi="Palatino Linotype" w:cs="Arial"/>
          <w:i/>
          <w:sz w:val="22"/>
          <w:szCs w:val="22"/>
          <w:lang w:val="es-ES"/>
        </w:rPr>
        <w:t>(Sic)</w:t>
      </w:r>
    </w:p>
    <w:p w:rsidR="00162E11" w:rsidRPr="0092040F" w:rsidRDefault="00162E11" w:rsidP="001663BD">
      <w:pPr>
        <w:tabs>
          <w:tab w:val="left" w:pos="0"/>
        </w:tabs>
        <w:spacing w:line="360" w:lineRule="auto"/>
        <w:ind w:right="616"/>
        <w:jc w:val="both"/>
        <w:rPr>
          <w:rFonts w:ascii="Palatino Linotype" w:hAnsi="Palatino Linotype" w:cs="Arial"/>
          <w:lang w:val="es-ES"/>
        </w:rPr>
      </w:pPr>
    </w:p>
    <w:p w:rsidR="00162E11" w:rsidRPr="001663BD" w:rsidRDefault="00162E11" w:rsidP="001663BD">
      <w:pPr>
        <w:pStyle w:val="Prrafodelista"/>
        <w:numPr>
          <w:ilvl w:val="0"/>
          <w:numId w:val="1"/>
        </w:numPr>
        <w:spacing w:line="360" w:lineRule="auto"/>
        <w:ind w:left="0" w:firstLine="0"/>
        <w:jc w:val="both"/>
        <w:rPr>
          <w:rFonts w:ascii="Palatino Linotype" w:hAnsi="Palatino Linotype" w:cs="Arial"/>
          <w:i/>
          <w:sz w:val="24"/>
        </w:rPr>
      </w:pPr>
      <w:r w:rsidRPr="0092040F">
        <w:rPr>
          <w:rFonts w:ascii="Palatino Linotype" w:hAnsi="Palatino Linotype" w:cs="Arial"/>
          <w:sz w:val="24"/>
        </w:rPr>
        <w:t xml:space="preserve">Se hace constar que se señaló como modalidad de entrega de la información a través del Sistema de Acceso a la Información Mexiquense </w:t>
      </w:r>
      <w:r w:rsidRPr="0092040F">
        <w:rPr>
          <w:rFonts w:ascii="Palatino Linotype" w:hAnsi="Palatino Linotype" w:cs="Arial"/>
          <w:b/>
          <w:sz w:val="24"/>
        </w:rPr>
        <w:t>(SAIMEX)</w:t>
      </w:r>
      <w:r w:rsidR="00E37121">
        <w:rPr>
          <w:rFonts w:ascii="Palatino Linotype" w:hAnsi="Palatino Linotype" w:cs="Arial"/>
          <w:b/>
          <w:sz w:val="24"/>
        </w:rPr>
        <w:t xml:space="preserve"> y correo electrónico</w:t>
      </w:r>
      <w:r w:rsidRPr="0092040F">
        <w:rPr>
          <w:rFonts w:ascii="Palatino Linotype" w:hAnsi="Palatino Linotype" w:cs="Arial"/>
          <w:b/>
          <w:sz w:val="24"/>
        </w:rPr>
        <w:t xml:space="preserve">.  </w:t>
      </w:r>
    </w:p>
    <w:p w:rsidR="00162E11" w:rsidRPr="00E02E8D" w:rsidRDefault="00162E11" w:rsidP="001663BD">
      <w:pPr>
        <w:numPr>
          <w:ilvl w:val="0"/>
          <w:numId w:val="1"/>
        </w:numPr>
        <w:tabs>
          <w:tab w:val="left" w:pos="0"/>
        </w:tabs>
        <w:spacing w:line="360" w:lineRule="auto"/>
        <w:ind w:left="0" w:right="34" w:firstLine="0"/>
        <w:contextualSpacing/>
        <w:jc w:val="both"/>
        <w:rPr>
          <w:rFonts w:ascii="Palatino Linotype" w:hAnsi="Palatino Linotype" w:cs="Arial"/>
          <w:i/>
          <w:sz w:val="23"/>
          <w:szCs w:val="23"/>
          <w:lang w:val="es-ES"/>
        </w:rPr>
      </w:pPr>
      <w:r w:rsidRPr="00E02E8D">
        <w:rPr>
          <w:rFonts w:ascii="Palatino Linotype" w:eastAsia="Calibri" w:hAnsi="Palatino Linotype" w:cs="Arial"/>
          <w:lang w:val="es-AR"/>
        </w:rPr>
        <w:lastRenderedPageBreak/>
        <w:t>El</w:t>
      </w:r>
      <w:r w:rsidRPr="00E02E8D">
        <w:rPr>
          <w:rFonts w:ascii="Palatino Linotype" w:hAnsi="Palatino Linotype" w:cs="Arial"/>
          <w:lang w:val="es-ES"/>
        </w:rPr>
        <w:t xml:space="preserve"> </w:t>
      </w:r>
      <w:r w:rsidR="00E02E8D" w:rsidRPr="00E02E8D">
        <w:rPr>
          <w:rFonts w:ascii="Palatino Linotype" w:hAnsi="Palatino Linotype" w:cs="Arial"/>
          <w:lang w:val="es-ES"/>
        </w:rPr>
        <w:t>dieciocho (18</w:t>
      </w:r>
      <w:r w:rsidRPr="00E02E8D">
        <w:rPr>
          <w:rFonts w:ascii="Palatino Linotype" w:hAnsi="Palatino Linotype" w:cs="Arial"/>
          <w:lang w:val="es-ES"/>
        </w:rPr>
        <w:t xml:space="preserve">) de agosto  de dos mil veintiuno, el </w:t>
      </w:r>
      <w:r w:rsidRPr="00E02E8D">
        <w:rPr>
          <w:rFonts w:ascii="Palatino Linotype" w:hAnsi="Palatino Linotype" w:cs="Arial"/>
          <w:b/>
          <w:lang w:val="es-ES"/>
        </w:rPr>
        <w:t xml:space="preserve">SUJETO OBLIGADO </w:t>
      </w:r>
      <w:bookmarkStart w:id="5" w:name="_Toc472500652"/>
      <w:bookmarkStart w:id="6" w:name="_Toc472427085"/>
      <w:bookmarkStart w:id="7" w:name="_Toc462307683"/>
      <w:r w:rsidRPr="00E02E8D">
        <w:rPr>
          <w:rFonts w:ascii="Palatino Linotype" w:hAnsi="Palatino Linotype" w:cs="Arial"/>
          <w:lang w:val="es-ES"/>
        </w:rPr>
        <w:t>dio respuesta a la sol</w:t>
      </w:r>
      <w:r w:rsidR="00E02E8D">
        <w:rPr>
          <w:rFonts w:ascii="Palatino Linotype" w:hAnsi="Palatino Linotype" w:cs="Arial"/>
          <w:lang w:val="es-ES"/>
        </w:rPr>
        <w:t xml:space="preserve">icitud en el siguiente sentido: </w:t>
      </w:r>
    </w:p>
    <w:p w:rsidR="00E02E8D" w:rsidRPr="00E02E8D" w:rsidRDefault="00E02E8D" w:rsidP="001663BD">
      <w:pPr>
        <w:tabs>
          <w:tab w:val="left" w:pos="0"/>
        </w:tabs>
        <w:spacing w:line="360" w:lineRule="auto"/>
        <w:ind w:right="34"/>
        <w:contextualSpacing/>
        <w:jc w:val="both"/>
        <w:rPr>
          <w:rFonts w:ascii="Palatino Linotype" w:hAnsi="Palatino Linotype" w:cs="Arial"/>
          <w:i/>
          <w:sz w:val="23"/>
          <w:szCs w:val="23"/>
          <w:lang w:val="es-ES"/>
        </w:rPr>
      </w:pPr>
    </w:p>
    <w:tbl>
      <w:tblPr>
        <w:tblW w:w="7538" w:type="dxa"/>
        <w:jc w:val="center"/>
        <w:tblCellSpacing w:w="0" w:type="dxa"/>
        <w:tblCellMar>
          <w:left w:w="0" w:type="dxa"/>
          <w:right w:w="0" w:type="dxa"/>
        </w:tblCellMar>
        <w:tblLook w:val="04A0" w:firstRow="1" w:lastRow="0" w:firstColumn="1" w:lastColumn="0" w:noHBand="0" w:noVBand="1"/>
      </w:tblPr>
      <w:tblGrid>
        <w:gridCol w:w="7538"/>
      </w:tblGrid>
      <w:tr w:rsidR="00E02E8D" w:rsidRPr="00E02E8D" w:rsidTr="00E02E8D">
        <w:trPr>
          <w:trHeight w:val="4384"/>
          <w:tblCellSpacing w:w="0" w:type="dxa"/>
          <w:jc w:val="center"/>
        </w:trPr>
        <w:tc>
          <w:tcPr>
            <w:tcW w:w="0" w:type="auto"/>
            <w:vAlign w:val="center"/>
            <w:hideMark/>
          </w:tcPr>
          <w:p w:rsidR="00E02E8D" w:rsidRPr="00E02E8D" w:rsidRDefault="00E02E8D" w:rsidP="001663BD">
            <w:pPr>
              <w:spacing w:line="360" w:lineRule="auto"/>
              <w:jc w:val="both"/>
              <w:rPr>
                <w:rFonts w:ascii="Palatino Linotype" w:hAnsi="Palatino Linotype"/>
                <w:i/>
                <w:sz w:val="22"/>
                <w:szCs w:val="18"/>
                <w:lang w:val="es-ES" w:eastAsia="es-ES"/>
              </w:rPr>
            </w:pPr>
            <w:r>
              <w:rPr>
                <w:rFonts w:ascii="Palatino Linotype" w:hAnsi="Palatino Linotype"/>
                <w:i/>
                <w:sz w:val="22"/>
                <w:szCs w:val="18"/>
                <w:lang w:val="es-ES" w:eastAsia="es-ES"/>
              </w:rPr>
              <w:t>“</w:t>
            </w:r>
            <w:r w:rsidRPr="00E02E8D">
              <w:rPr>
                <w:rFonts w:ascii="Palatino Linotype" w:hAnsi="Palatino Linotype"/>
                <w:i/>
                <w:sz w:val="22"/>
                <w:szCs w:val="18"/>
                <w:lang w:val="es-ES" w:eastAsia="es-ES"/>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00091/HRZUM/IP/2021; sírvase encontrar adjunto el archivo que detalla de forma precisa el requerimiento del solicitante, por lo que con el acto se cumple en tiempo y forma.</w:t>
            </w:r>
            <w:r>
              <w:rPr>
                <w:rFonts w:ascii="Palatino Linotype" w:hAnsi="Palatino Linotype"/>
                <w:i/>
                <w:sz w:val="22"/>
                <w:szCs w:val="18"/>
                <w:lang w:val="es-ES" w:eastAsia="es-ES"/>
              </w:rPr>
              <w:t>”</w:t>
            </w:r>
          </w:p>
        </w:tc>
      </w:tr>
    </w:tbl>
    <w:p w:rsidR="00E02E8D" w:rsidRPr="002413E3" w:rsidRDefault="00E02E8D" w:rsidP="001663BD">
      <w:pPr>
        <w:tabs>
          <w:tab w:val="left" w:pos="0"/>
        </w:tabs>
        <w:spacing w:line="360" w:lineRule="auto"/>
        <w:ind w:right="34"/>
        <w:contextualSpacing/>
        <w:rPr>
          <w:rFonts w:ascii="Palatino Linotype" w:hAnsi="Palatino Linotype" w:cs="Arial"/>
          <w:lang w:val="es-ES"/>
        </w:rPr>
      </w:pPr>
      <w:r w:rsidRPr="002413E3">
        <w:rPr>
          <w:rFonts w:ascii="Palatino Linotype" w:hAnsi="Palatino Linotype" w:cs="Arial"/>
          <w:lang w:val="es-ES"/>
        </w:rPr>
        <w:t>A la respuesta se adjuntaron los siguientes documentos:</w:t>
      </w:r>
    </w:p>
    <w:p w:rsidR="00E02E8D" w:rsidRPr="002413E3" w:rsidRDefault="00E02E8D" w:rsidP="001663BD">
      <w:pPr>
        <w:tabs>
          <w:tab w:val="left" w:pos="0"/>
        </w:tabs>
        <w:spacing w:line="360" w:lineRule="auto"/>
        <w:ind w:right="34"/>
        <w:contextualSpacing/>
        <w:rPr>
          <w:rFonts w:ascii="Palatino Linotype" w:hAnsi="Palatino Linotype" w:cs="Arial"/>
          <w:lang w:val="es-ES"/>
        </w:rPr>
      </w:pPr>
    </w:p>
    <w:p w:rsidR="00E02E8D" w:rsidRPr="002413E3" w:rsidRDefault="00974B83" w:rsidP="001663BD">
      <w:pPr>
        <w:pStyle w:val="Prrafodelista"/>
        <w:numPr>
          <w:ilvl w:val="0"/>
          <w:numId w:val="5"/>
        </w:numPr>
        <w:tabs>
          <w:tab w:val="left" w:pos="0"/>
        </w:tabs>
        <w:spacing w:line="360" w:lineRule="auto"/>
        <w:ind w:right="34"/>
        <w:jc w:val="both"/>
        <w:rPr>
          <w:rFonts w:ascii="Palatino Linotype" w:hAnsi="Palatino Linotype"/>
          <w:sz w:val="24"/>
        </w:rPr>
      </w:pPr>
      <w:hyperlink r:id="rId7" w:tgtFrame="_blank" w:history="1">
        <w:r w:rsidR="00E02E8D" w:rsidRPr="002413E3">
          <w:rPr>
            <w:rStyle w:val="Hipervnculo"/>
            <w:rFonts w:ascii="Palatino Linotype" w:eastAsiaTheme="majorEastAsia" w:hAnsi="Palatino Linotype" w:cs="Arial"/>
            <w:b/>
            <w:bCs/>
            <w:color w:val="auto"/>
            <w:sz w:val="24"/>
          </w:rPr>
          <w:t>SESION.pdf</w:t>
        </w:r>
      </w:hyperlink>
      <w:r w:rsidR="00E02E8D" w:rsidRPr="002413E3">
        <w:rPr>
          <w:rFonts w:ascii="Palatino Linotype" w:hAnsi="Palatino Linotype"/>
          <w:sz w:val="24"/>
        </w:rPr>
        <w:t xml:space="preserve">: Acta de la Sexta Sesión Extraordinaria del Comité de Transparencia del Organismo Público Descentralizado de carácter Estatal denominado Hospital Regional de Alta Especialidad de Zumpango, mediante la cual se aprobó poner a disposición del particular </w:t>
      </w:r>
      <w:r w:rsidR="002413E3" w:rsidRPr="002413E3">
        <w:rPr>
          <w:rFonts w:ascii="Palatino Linotype" w:hAnsi="Palatino Linotype"/>
          <w:sz w:val="24"/>
        </w:rPr>
        <w:t>los archivos solicitados en consulta directa, toda vez que sobrepasan las capacidades técnicas y humanas.</w:t>
      </w:r>
    </w:p>
    <w:p w:rsidR="002413E3" w:rsidRPr="002413E3" w:rsidRDefault="002413E3" w:rsidP="001663BD">
      <w:pPr>
        <w:pStyle w:val="Prrafodelista"/>
        <w:tabs>
          <w:tab w:val="left" w:pos="0"/>
        </w:tabs>
        <w:spacing w:line="360" w:lineRule="auto"/>
        <w:ind w:right="34"/>
        <w:jc w:val="both"/>
        <w:rPr>
          <w:rFonts w:ascii="Palatino Linotype" w:hAnsi="Palatino Linotype"/>
          <w:sz w:val="24"/>
        </w:rPr>
      </w:pPr>
    </w:p>
    <w:p w:rsidR="00E02E8D" w:rsidRPr="002413E3" w:rsidRDefault="00974B83" w:rsidP="001663BD">
      <w:pPr>
        <w:pStyle w:val="Prrafodelista"/>
        <w:numPr>
          <w:ilvl w:val="0"/>
          <w:numId w:val="5"/>
        </w:numPr>
        <w:tabs>
          <w:tab w:val="left" w:pos="0"/>
        </w:tabs>
        <w:spacing w:line="360" w:lineRule="auto"/>
        <w:ind w:right="34"/>
        <w:jc w:val="both"/>
        <w:rPr>
          <w:rFonts w:ascii="Palatino Linotype" w:hAnsi="Palatino Linotype" w:cs="Arial"/>
          <w:sz w:val="24"/>
          <w:lang w:val="es-ES"/>
        </w:rPr>
      </w:pPr>
      <w:hyperlink r:id="rId8" w:tgtFrame="_blank" w:history="1">
        <w:r w:rsidR="00E02E8D" w:rsidRPr="002413E3">
          <w:rPr>
            <w:rStyle w:val="Hipervnculo"/>
            <w:rFonts w:ascii="Palatino Linotype" w:eastAsiaTheme="majorEastAsia" w:hAnsi="Palatino Linotype" w:cs="Arial"/>
            <w:b/>
            <w:bCs/>
            <w:color w:val="auto"/>
            <w:sz w:val="24"/>
          </w:rPr>
          <w:t>SAIMEX_91.pdf</w:t>
        </w:r>
      </w:hyperlink>
      <w:r w:rsidR="00E02E8D" w:rsidRPr="002413E3">
        <w:rPr>
          <w:rFonts w:ascii="Palatino Linotype" w:hAnsi="Palatino Linotype"/>
          <w:sz w:val="24"/>
        </w:rPr>
        <w:t>:</w:t>
      </w:r>
      <w:r w:rsidR="002413E3" w:rsidRPr="002413E3">
        <w:rPr>
          <w:rFonts w:ascii="Palatino Linotype" w:hAnsi="Palatino Linotype"/>
          <w:sz w:val="24"/>
        </w:rPr>
        <w:t xml:space="preserve"> documento suscrito por la Titular de la Unidad de Información, Planeación y Evaluación, manifestó adjuntar acta de la Sexta Sesión Extraordinaria del Comité de Transparencia mediante la cual se aprobó la consulta directa de la información solicitada. Asimismo, se adjuntó oficio </w:t>
      </w:r>
      <w:r w:rsidR="002413E3" w:rsidRPr="002413E3">
        <w:rPr>
          <w:rFonts w:ascii="Palatino Linotype" w:hAnsi="Palatino Linotype"/>
          <w:sz w:val="24"/>
        </w:rPr>
        <w:lastRenderedPageBreak/>
        <w:t>remitido por la Subdirectora de Personal, para someter a autorización para la consulta directa de la información solicitada por sobrepasar las capacidades técnicas, administrativas y humanas.</w:t>
      </w:r>
    </w:p>
    <w:p w:rsidR="00162E11" w:rsidRPr="0092040F" w:rsidRDefault="00162E11" w:rsidP="001663BD">
      <w:pPr>
        <w:tabs>
          <w:tab w:val="left" w:pos="0"/>
        </w:tabs>
        <w:spacing w:line="360" w:lineRule="auto"/>
        <w:jc w:val="both"/>
        <w:rPr>
          <w:rFonts w:ascii="Palatino Linotype" w:eastAsia="MS Mincho" w:hAnsi="Palatino Linotype" w:cs="Arial"/>
          <w:b/>
          <w:bCs/>
          <w:sz w:val="28"/>
        </w:rPr>
      </w:pPr>
    </w:p>
    <w:p w:rsidR="00162E11" w:rsidRPr="0092040F" w:rsidRDefault="00162E11" w:rsidP="001663BD">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Pr>
          <w:rFonts w:ascii="Palatino Linotype" w:hAnsi="Palatino Linotype" w:cs="Arial"/>
          <w:sz w:val="24"/>
          <w:lang w:val="es-ES"/>
        </w:rPr>
        <w:t>En</w:t>
      </w:r>
      <w:r w:rsidR="002E6440">
        <w:rPr>
          <w:rFonts w:ascii="Palatino Linotype" w:hAnsi="Palatino Linotype" w:cs="Arial"/>
          <w:sz w:val="24"/>
          <w:lang w:val="es-ES"/>
        </w:rPr>
        <w:t xml:space="preserve"> lo sucesivo el veintitrés (23</w:t>
      </w:r>
      <w:r w:rsidRPr="0092040F">
        <w:rPr>
          <w:rFonts w:ascii="Palatino Linotype" w:hAnsi="Palatino Linotype" w:cs="Arial"/>
          <w:sz w:val="24"/>
          <w:lang w:val="es-ES"/>
        </w:rPr>
        <w:t>) de agosto  de dos mil veintiuno</w:t>
      </w:r>
      <w:r w:rsidRPr="0092040F">
        <w:rPr>
          <w:rFonts w:ascii="Palatino Linotype" w:hAnsi="Palatino Linotype" w:cs="Arial"/>
          <w:b/>
          <w:sz w:val="24"/>
          <w:lang w:val="es-ES"/>
        </w:rPr>
        <w:t>,</w:t>
      </w:r>
      <w:r w:rsidRPr="0092040F">
        <w:rPr>
          <w:rFonts w:ascii="Palatino Linotype" w:hAnsi="Palatino Linotype" w:cs="Arial"/>
          <w:sz w:val="24"/>
          <w:lang w:val="es-ES"/>
        </w:rPr>
        <w:t xml:space="preserve"> </w:t>
      </w:r>
      <w:r w:rsidRPr="0092040F">
        <w:rPr>
          <w:rFonts w:ascii="Palatino Linotype" w:hAnsi="Palatino Linotype" w:cs="Arial"/>
          <w:b/>
          <w:sz w:val="24"/>
          <w:lang w:val="es-ES"/>
        </w:rPr>
        <w:t xml:space="preserve"> </w:t>
      </w:r>
      <w:r w:rsidRPr="0092040F">
        <w:rPr>
          <w:rFonts w:ascii="Palatino Linotype" w:hAnsi="Palatino Linotype" w:cs="Arial"/>
          <w:sz w:val="24"/>
          <w:lang w:val="es-ES"/>
        </w:rPr>
        <w:t>el solicitante interpuso el recurso de revisión, señalando como:</w:t>
      </w:r>
    </w:p>
    <w:p w:rsidR="00162E11" w:rsidRPr="0092040F" w:rsidRDefault="00162E11" w:rsidP="001663BD">
      <w:pPr>
        <w:tabs>
          <w:tab w:val="left" w:pos="0"/>
        </w:tabs>
        <w:spacing w:line="360" w:lineRule="auto"/>
        <w:ind w:left="360"/>
        <w:contextualSpacing/>
        <w:jc w:val="both"/>
        <w:rPr>
          <w:rFonts w:ascii="Palatino Linotype" w:eastAsia="MS Mincho" w:hAnsi="Palatino Linotype" w:cs="Arial"/>
          <w:b/>
          <w:bCs/>
        </w:rPr>
      </w:pPr>
    </w:p>
    <w:bookmarkEnd w:id="5"/>
    <w:bookmarkEnd w:id="6"/>
    <w:bookmarkEnd w:id="7"/>
    <w:p w:rsidR="00162E11" w:rsidRPr="0092040F" w:rsidRDefault="00162E11" w:rsidP="001663BD">
      <w:pPr>
        <w:tabs>
          <w:tab w:val="left" w:pos="851"/>
          <w:tab w:val="left" w:pos="8222"/>
        </w:tabs>
        <w:spacing w:line="360" w:lineRule="auto"/>
        <w:ind w:left="851" w:right="567"/>
        <w:contextualSpacing/>
        <w:jc w:val="both"/>
        <w:rPr>
          <w:rFonts w:ascii="Palatino Linotype" w:eastAsia="Calibri" w:hAnsi="Palatino Linotype" w:cs="Arial"/>
          <w:i/>
          <w:lang w:val="es-ES"/>
        </w:rPr>
      </w:pPr>
      <w:r w:rsidRPr="0092040F">
        <w:rPr>
          <w:rFonts w:ascii="Palatino Linotype" w:eastAsia="Calibri" w:hAnsi="Palatino Linotype" w:cs="Arial"/>
          <w:b/>
          <w:lang w:val="es-ES"/>
        </w:rPr>
        <w:t>Acto impugnado:</w:t>
      </w:r>
      <w:r w:rsidRPr="0092040F">
        <w:rPr>
          <w:rFonts w:ascii="Palatino Linotype" w:eastAsia="Calibri" w:hAnsi="Palatino Linotype" w:cs="Arial"/>
          <w:i/>
          <w:lang w:val="es-ES"/>
        </w:rPr>
        <w:t xml:space="preserve"> </w:t>
      </w:r>
      <w:r w:rsidRPr="0092040F">
        <w:rPr>
          <w:rFonts w:ascii="Palatino Linotype" w:eastAsia="Calibri" w:hAnsi="Palatino Linotype" w:cs="Arial"/>
          <w:sz w:val="22"/>
          <w:szCs w:val="22"/>
          <w:lang w:val="es-ES"/>
        </w:rPr>
        <w:t>“</w:t>
      </w:r>
      <w:r w:rsidR="002E6440" w:rsidRPr="002E6440">
        <w:rPr>
          <w:rFonts w:ascii="Palatino Linotype" w:hAnsi="Palatino Linotype"/>
          <w:i/>
          <w:color w:val="000000"/>
          <w:sz w:val="22"/>
          <w:szCs w:val="22"/>
        </w:rPr>
        <w:t>falta de informacion</w:t>
      </w:r>
      <w:r w:rsidRPr="0092040F">
        <w:rPr>
          <w:rFonts w:ascii="Palatino Linotype" w:hAnsi="Palatino Linotype"/>
          <w:i/>
          <w:color w:val="000000"/>
          <w:sz w:val="22"/>
          <w:szCs w:val="22"/>
        </w:rPr>
        <w:t>”</w:t>
      </w:r>
      <w:r w:rsidRPr="0092040F">
        <w:rPr>
          <w:rFonts w:ascii="Palatino Linotype" w:eastAsia="Calibri" w:hAnsi="Palatino Linotype" w:cs="Arial"/>
          <w:i/>
          <w:lang w:val="es-ES"/>
        </w:rPr>
        <w:t xml:space="preserve"> (Sic); </w:t>
      </w:r>
    </w:p>
    <w:p w:rsidR="00162E11" w:rsidRPr="0092040F" w:rsidRDefault="00162E11" w:rsidP="001663BD">
      <w:pPr>
        <w:tabs>
          <w:tab w:val="left" w:pos="0"/>
        </w:tabs>
        <w:spacing w:line="360" w:lineRule="auto"/>
        <w:ind w:left="567" w:hanging="141"/>
        <w:contextualSpacing/>
        <w:rPr>
          <w:rFonts w:ascii="Palatino Linotype" w:eastAsia="Calibri" w:hAnsi="Palatino Linotype" w:cs="Arial"/>
          <w:i/>
          <w:lang w:val="es-ES"/>
        </w:rPr>
      </w:pPr>
    </w:p>
    <w:p w:rsidR="00162E11" w:rsidRPr="0092040F" w:rsidRDefault="00162E11" w:rsidP="001663BD">
      <w:pPr>
        <w:tabs>
          <w:tab w:val="left" w:pos="851"/>
        </w:tabs>
        <w:spacing w:line="360" w:lineRule="auto"/>
        <w:ind w:left="851" w:right="567"/>
        <w:contextualSpacing/>
        <w:jc w:val="both"/>
        <w:rPr>
          <w:rFonts w:ascii="Palatino Linotype" w:eastAsia="MS Mincho" w:hAnsi="Palatino Linotype"/>
          <w:i/>
          <w:sz w:val="22"/>
          <w:szCs w:val="22"/>
        </w:rPr>
      </w:pPr>
      <w:r w:rsidRPr="0092040F">
        <w:rPr>
          <w:rFonts w:ascii="Palatino Linotype" w:eastAsia="MS Gothic" w:hAnsi="Palatino Linotype"/>
          <w:b/>
          <w:lang w:val="es-ES"/>
        </w:rPr>
        <w:t>Razones o Motivos de inconformidad</w:t>
      </w:r>
      <w:r w:rsidRPr="0092040F">
        <w:rPr>
          <w:rFonts w:ascii="Palatino Linotype" w:eastAsia="MS Mincho" w:hAnsi="Palatino Linotype"/>
          <w:i/>
        </w:rPr>
        <w:t xml:space="preserve">: </w:t>
      </w:r>
      <w:r w:rsidRPr="0092040F">
        <w:rPr>
          <w:rFonts w:ascii="Palatino Linotype" w:eastAsia="MS Mincho" w:hAnsi="Palatino Linotype"/>
          <w:i/>
          <w:sz w:val="22"/>
          <w:szCs w:val="22"/>
        </w:rPr>
        <w:t>“</w:t>
      </w:r>
      <w:r w:rsidR="002E6440" w:rsidRPr="002E6440">
        <w:rPr>
          <w:rFonts w:ascii="Palatino Linotype" w:hAnsi="Palatino Linotype"/>
          <w:i/>
          <w:color w:val="000000"/>
          <w:sz w:val="22"/>
          <w:szCs w:val="22"/>
        </w:rPr>
        <w:t>falta de informacion</w:t>
      </w:r>
      <w:r w:rsidRPr="0092040F">
        <w:rPr>
          <w:rFonts w:ascii="Palatino Linotype" w:eastAsia="MS Mincho" w:hAnsi="Palatino Linotype"/>
          <w:i/>
          <w:sz w:val="22"/>
          <w:szCs w:val="22"/>
        </w:rPr>
        <w:t>” (Sic)</w:t>
      </w:r>
    </w:p>
    <w:p w:rsidR="00162E11" w:rsidRPr="0092040F" w:rsidRDefault="00162E11" w:rsidP="001663BD">
      <w:pPr>
        <w:tabs>
          <w:tab w:val="left" w:pos="851"/>
        </w:tabs>
        <w:spacing w:line="360" w:lineRule="auto"/>
        <w:ind w:left="851" w:right="567"/>
        <w:contextualSpacing/>
        <w:jc w:val="both"/>
        <w:rPr>
          <w:rFonts w:ascii="Palatino Linotype" w:eastAsia="Calibri" w:hAnsi="Palatino Linotype" w:cs="Arial"/>
          <w:i/>
          <w:sz w:val="22"/>
          <w:szCs w:val="22"/>
          <w:lang w:val="es-ES"/>
        </w:rPr>
      </w:pPr>
    </w:p>
    <w:p w:rsidR="00162E11" w:rsidRPr="0092040F" w:rsidRDefault="00162E11" w:rsidP="001663BD">
      <w:pPr>
        <w:numPr>
          <w:ilvl w:val="0"/>
          <w:numId w:val="1"/>
        </w:numPr>
        <w:spacing w:line="360" w:lineRule="auto"/>
        <w:ind w:left="0" w:firstLine="0"/>
        <w:contextualSpacing/>
        <w:jc w:val="both"/>
        <w:rPr>
          <w:rFonts w:ascii="Palatino Linotype" w:eastAsia="MS Mincho" w:hAnsi="Palatino Linotype"/>
          <w:i/>
          <w:color w:val="000000"/>
        </w:rPr>
      </w:pPr>
      <w:r w:rsidRPr="0092040F">
        <w:rPr>
          <w:rFonts w:ascii="Palatino Linotype" w:hAnsi="Palatino Linotype" w:cs="Arial"/>
          <w:lang w:val="es-ES"/>
        </w:rPr>
        <w:t xml:space="preserve">Se registró el recurso de revisión bajo el número de expediente </w:t>
      </w:r>
      <w:r w:rsidRPr="0092040F">
        <w:rPr>
          <w:rFonts w:ascii="Palatino Linotype" w:eastAsia="MS Mincho" w:hAnsi="Palatino Linotype" w:cs="Arial"/>
          <w:bCs/>
        </w:rPr>
        <w:t xml:space="preserve">al rubro indicado, asimismo con fundamento en lo dispuesto por el </w:t>
      </w:r>
      <w:r w:rsidRPr="0092040F">
        <w:rPr>
          <w:rFonts w:ascii="Palatino Linotype" w:eastAsia="Calibri" w:hAnsi="Palatino Linotype" w:cs="Arial"/>
          <w:lang w:val="es-ES"/>
        </w:rPr>
        <w:t xml:space="preserve">artículo 185 fracción I de la Ley de Transparencia y Acceso a la Información Pública del Estado de México y Municipios </w:t>
      </w:r>
      <w:r w:rsidRPr="0092040F">
        <w:rPr>
          <w:rFonts w:ascii="Palatino Linotype" w:hAnsi="Palatino Linotype" w:cs="Arial"/>
          <w:lang w:val="es-ES"/>
        </w:rPr>
        <w:t xml:space="preserve">se turnó </w:t>
      </w:r>
      <w:r>
        <w:rPr>
          <w:rFonts w:ascii="Palatino Linotype" w:hAnsi="Palatino Linotype" w:cs="Arial"/>
          <w:lang w:val="es-ES"/>
        </w:rPr>
        <w:t>la Comisionada María del Rosario Mejía Ayala</w:t>
      </w:r>
      <w:r w:rsidRPr="0092040F">
        <w:rPr>
          <w:rFonts w:ascii="Palatino Linotype" w:hAnsi="Palatino Linotype" w:cs="Arial"/>
          <w:lang w:val="es-ES"/>
        </w:rPr>
        <w:t xml:space="preserve"> con el objeto de </w:t>
      </w:r>
      <w:r w:rsidRPr="0092040F">
        <w:rPr>
          <w:rFonts w:ascii="Palatino Linotype" w:hAnsi="Palatino Linotype" w:cs="Arial"/>
        </w:rPr>
        <w:t>su análisis.</w:t>
      </w:r>
    </w:p>
    <w:p w:rsidR="00162E11" w:rsidRPr="0092040F" w:rsidRDefault="00162E11" w:rsidP="001663BD">
      <w:pPr>
        <w:spacing w:line="360" w:lineRule="auto"/>
        <w:contextualSpacing/>
        <w:rPr>
          <w:rFonts w:ascii="Palatino Linotype" w:eastAsia="Calibri" w:hAnsi="Palatino Linotype" w:cs="Arial"/>
          <w:lang w:val="es-ES"/>
        </w:rPr>
      </w:pPr>
    </w:p>
    <w:p w:rsidR="00162E11" w:rsidRPr="001663BD" w:rsidRDefault="00162E11" w:rsidP="001663BD">
      <w:pPr>
        <w:numPr>
          <w:ilvl w:val="0"/>
          <w:numId w:val="1"/>
        </w:numPr>
        <w:spacing w:line="360" w:lineRule="auto"/>
        <w:ind w:left="0" w:firstLine="0"/>
        <w:contextualSpacing/>
        <w:jc w:val="both"/>
        <w:rPr>
          <w:rFonts w:ascii="Palatino Linotype" w:eastAsia="MS Mincho" w:hAnsi="Palatino Linotype"/>
          <w:i/>
          <w:color w:val="000000"/>
        </w:rPr>
      </w:pPr>
      <w:r>
        <w:rPr>
          <w:rFonts w:ascii="Palatino Linotype" w:eastAsia="Calibri" w:hAnsi="Palatino Linotype" w:cs="Arial"/>
          <w:lang w:val="es-ES"/>
        </w:rPr>
        <w:t>La Comisionada</w:t>
      </w:r>
      <w:r w:rsidRPr="0092040F">
        <w:rPr>
          <w:rFonts w:ascii="Palatino Linotype" w:eastAsia="Calibri" w:hAnsi="Palatino Linotype" w:cs="Arial"/>
          <w:lang w:val="es-ES"/>
        </w:rPr>
        <w:t xml:space="preserve"> Ponente con fundamento en lo dispuesto por el artículo 185 fracción II de la ley de la materia, a través del acuerdo de admisión de </w:t>
      </w:r>
      <w:r>
        <w:rPr>
          <w:rFonts w:ascii="Palatino Linotype" w:eastAsia="Calibri" w:hAnsi="Palatino Linotype" w:cs="Arial"/>
          <w:lang w:val="es-ES"/>
        </w:rPr>
        <w:t xml:space="preserve">veintisiete (27) </w:t>
      </w:r>
      <w:r w:rsidRPr="0092040F">
        <w:rPr>
          <w:rFonts w:ascii="Palatino Linotype" w:eastAsia="Calibri" w:hAnsi="Palatino Linotype" w:cs="Arial"/>
          <w:lang w:val="es-ES"/>
        </w:rPr>
        <w:t xml:space="preserve"> </w:t>
      </w:r>
      <w:r>
        <w:rPr>
          <w:rFonts w:ascii="Palatino Linotype" w:eastAsia="Calibri" w:hAnsi="Palatino Linotype" w:cs="Arial"/>
          <w:lang w:val="es-ES"/>
        </w:rPr>
        <w:t xml:space="preserve"> </w:t>
      </w:r>
      <w:r w:rsidRPr="0092040F">
        <w:rPr>
          <w:rFonts w:ascii="Palatino Linotype" w:eastAsia="Calibri" w:hAnsi="Palatino Linotype" w:cs="Arial"/>
          <w:lang w:val="es-ES"/>
        </w:rPr>
        <w:t xml:space="preserve">de agosto  de dos mil veintiuno, puso a disposición de las partes el expediente electrónico </w:t>
      </w:r>
      <w:r w:rsidRPr="0092040F">
        <w:rPr>
          <w:rFonts w:ascii="Palatino Linotype" w:eastAsia="Calibri" w:hAnsi="Palatino Linotype" w:cs="Arial"/>
        </w:rPr>
        <w:t xml:space="preserve">vía </w:t>
      </w:r>
      <w:r w:rsidRPr="0092040F">
        <w:rPr>
          <w:rFonts w:ascii="Palatino Linotype" w:eastAsia="Calibri" w:hAnsi="Palatino Linotype" w:cs="Arial"/>
          <w:lang w:val="es-ES"/>
        </w:rPr>
        <w:t xml:space="preserve">Sistema de Acceso a la Información Mexiquense </w:t>
      </w:r>
      <w:r w:rsidRPr="0092040F">
        <w:rPr>
          <w:rFonts w:ascii="Palatino Linotype" w:eastAsia="Calibri" w:hAnsi="Palatino Linotype" w:cs="Arial"/>
          <w:b/>
          <w:lang w:val="es-ES"/>
        </w:rPr>
        <w:t xml:space="preserve">(SAIMEX) </w:t>
      </w:r>
      <w:r w:rsidRPr="0092040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2040F">
        <w:rPr>
          <w:rFonts w:ascii="Palatino Linotype" w:eastAsia="Calibri" w:hAnsi="Palatino Linotype" w:cs="Arial"/>
          <w:b/>
          <w:lang w:val="es-ES"/>
        </w:rPr>
        <w:t>SUJETO OBLIGADO</w:t>
      </w:r>
      <w:r w:rsidRPr="0092040F">
        <w:rPr>
          <w:rFonts w:ascii="Palatino Linotype" w:eastAsia="Calibri" w:hAnsi="Palatino Linotype" w:cs="Arial"/>
          <w:lang w:val="es-ES"/>
        </w:rPr>
        <w:t xml:space="preserve"> presentara el Informe Justificado procedente.    </w:t>
      </w:r>
    </w:p>
    <w:p w:rsidR="00162E11" w:rsidRPr="00056D58" w:rsidRDefault="00162E11" w:rsidP="001663BD">
      <w:pPr>
        <w:numPr>
          <w:ilvl w:val="0"/>
          <w:numId w:val="1"/>
        </w:numPr>
        <w:spacing w:line="360" w:lineRule="auto"/>
        <w:ind w:left="0" w:firstLine="0"/>
        <w:contextualSpacing/>
        <w:jc w:val="both"/>
        <w:rPr>
          <w:rFonts w:ascii="Palatino Linotype" w:eastAsia="MS Mincho" w:hAnsi="Palatino Linotype"/>
        </w:rPr>
      </w:pPr>
      <w:r w:rsidRPr="0092040F">
        <w:rPr>
          <w:rFonts w:ascii="Palatino Linotype" w:eastAsia="Calibri" w:hAnsi="Palatino Linotype" w:cs="Arial"/>
          <w:lang w:val="es-ES"/>
        </w:rPr>
        <w:lastRenderedPageBreak/>
        <w:t xml:space="preserve">El </w:t>
      </w:r>
      <w:r w:rsidR="002E6440">
        <w:rPr>
          <w:rFonts w:ascii="Palatino Linotype" w:eastAsia="Calibri" w:hAnsi="Palatino Linotype" w:cs="Arial"/>
          <w:lang w:val="es-ES"/>
        </w:rPr>
        <w:t>uno (01</w:t>
      </w:r>
      <w:r>
        <w:rPr>
          <w:rFonts w:ascii="Palatino Linotype" w:eastAsia="Calibri" w:hAnsi="Palatino Linotype" w:cs="Arial"/>
          <w:lang w:val="es-ES"/>
        </w:rPr>
        <w:t>) de septiembre</w:t>
      </w:r>
      <w:r w:rsidRPr="0092040F">
        <w:rPr>
          <w:rFonts w:ascii="Palatino Linotype" w:eastAsia="Calibri" w:hAnsi="Palatino Linotype" w:cs="Arial"/>
          <w:lang w:val="es-ES"/>
        </w:rPr>
        <w:t xml:space="preserve"> de dos mil veintiuno, el Sujeto Obligado </w:t>
      </w:r>
      <w:r>
        <w:rPr>
          <w:rFonts w:ascii="Palatino Linotype" w:eastAsia="Calibri" w:hAnsi="Palatino Linotype" w:cs="Arial"/>
          <w:lang w:val="es-ES"/>
        </w:rPr>
        <w:t xml:space="preserve">rindió su informe justificado, a través del documento </w:t>
      </w:r>
      <w:hyperlink r:id="rId9" w:history="1">
        <w:r w:rsidR="002E6440" w:rsidRPr="002E6440">
          <w:rPr>
            <w:rStyle w:val="Hipervnculo"/>
            <w:rFonts w:ascii="Palatino Linotype" w:eastAsiaTheme="majorEastAsia" w:hAnsi="Palatino Linotype" w:cs="Arial"/>
            <w:b/>
            <w:bCs/>
            <w:color w:val="auto"/>
          </w:rPr>
          <w:t>091_RR_04213.pdf</w:t>
        </w:r>
      </w:hyperlink>
      <w:r w:rsidRPr="002E6440">
        <w:rPr>
          <w:rFonts w:ascii="Palatino Linotype" w:hAnsi="Palatino Linotype"/>
        </w:rPr>
        <w:t>,</w:t>
      </w:r>
      <w:r w:rsidRPr="002E6440">
        <w:rPr>
          <w:rFonts w:ascii="Palatino Linotype" w:eastAsia="Calibri" w:hAnsi="Palatino Linotype" w:cs="Arial"/>
          <w:lang w:val="es-ES"/>
        </w:rPr>
        <w:t xml:space="preserve"> </w:t>
      </w:r>
      <w:r>
        <w:rPr>
          <w:rFonts w:ascii="Palatino Linotype" w:eastAsia="Calibri" w:hAnsi="Palatino Linotype" w:cs="Arial"/>
          <w:lang w:val="es-ES"/>
        </w:rPr>
        <w:t xml:space="preserve">mismo que confirma su respuesta inicial; sin embargo, se puso a la vista del particular el </w:t>
      </w:r>
      <w:r w:rsidR="002E6440">
        <w:rPr>
          <w:rFonts w:ascii="Palatino Linotype" w:eastAsia="Calibri" w:hAnsi="Palatino Linotype" w:cs="Arial"/>
          <w:lang w:val="es-ES"/>
        </w:rPr>
        <w:t>ocho (08</w:t>
      </w:r>
      <w:r>
        <w:rPr>
          <w:rFonts w:ascii="Palatino Linotype" w:eastAsia="Calibri" w:hAnsi="Palatino Linotype" w:cs="Arial"/>
          <w:lang w:val="es-ES"/>
        </w:rPr>
        <w:t>) de septiembre del presente año.</w:t>
      </w:r>
    </w:p>
    <w:p w:rsidR="00162E11" w:rsidRPr="0092040F" w:rsidRDefault="00162E11" w:rsidP="001663BD">
      <w:pPr>
        <w:spacing w:line="360" w:lineRule="auto"/>
        <w:contextualSpacing/>
        <w:jc w:val="both"/>
        <w:rPr>
          <w:rFonts w:ascii="Palatino Linotype" w:eastAsia="MS Mincho" w:hAnsi="Palatino Linotype"/>
          <w:i/>
          <w:color w:val="000000"/>
        </w:rPr>
      </w:pPr>
    </w:p>
    <w:p w:rsidR="00162E11" w:rsidRPr="00365395" w:rsidRDefault="00162E11" w:rsidP="001663BD">
      <w:pPr>
        <w:numPr>
          <w:ilvl w:val="0"/>
          <w:numId w:val="1"/>
        </w:numPr>
        <w:spacing w:line="360" w:lineRule="auto"/>
        <w:ind w:left="0" w:firstLine="0"/>
        <w:contextualSpacing/>
        <w:jc w:val="both"/>
        <w:rPr>
          <w:rFonts w:ascii="Palatino Linotype" w:eastAsia="MS Mincho" w:hAnsi="Palatino Linotype"/>
          <w:b/>
        </w:rPr>
      </w:pPr>
      <w:r w:rsidRPr="0092040F">
        <w:rPr>
          <w:rFonts w:ascii="Palatino Linotype" w:eastAsia="MS Mincho" w:hAnsi="Palatino Linotype"/>
        </w:rPr>
        <w:t>La Comisionada Ponente decretó el cierre de instrucción</w:t>
      </w:r>
      <w:r w:rsidRPr="0092040F">
        <w:rPr>
          <w:rFonts w:ascii="Palatino Linotype" w:eastAsia="MS Mincho" w:hAnsi="Palatino Linotype" w:cs="Arial"/>
        </w:rPr>
        <w:t xml:space="preserve"> </w:t>
      </w:r>
      <w:r w:rsidRPr="0092040F">
        <w:rPr>
          <w:rFonts w:ascii="Palatino Linotype" w:eastAsia="MS Mincho" w:hAnsi="Palatino Linotype"/>
        </w:rPr>
        <w:t xml:space="preserve">mediante acuerdo del </w:t>
      </w:r>
      <w:r w:rsidR="002E6440">
        <w:rPr>
          <w:rFonts w:ascii="Palatino Linotype" w:eastAsia="MS Mincho" w:hAnsi="Palatino Linotype"/>
        </w:rPr>
        <w:t>diecisiete (17</w:t>
      </w:r>
      <w:r w:rsidRPr="0092040F">
        <w:rPr>
          <w:rFonts w:ascii="Palatino Linotype" w:eastAsia="MS Mincho" w:hAnsi="Palatino Linotype"/>
        </w:rPr>
        <w:t xml:space="preserve">) de septiembre de dos mil veintiuno, </w:t>
      </w:r>
      <w:r w:rsidRPr="0092040F">
        <w:rPr>
          <w:rFonts w:ascii="Palatino Linotype" w:eastAsia="MS Mincho" w:hAnsi="Palatino Linotype" w:cs="Arial"/>
        </w:rPr>
        <w:t>por lo que, ordenó turnar el expediente a resolución, misma que a continuación se pronuncia.</w:t>
      </w:r>
    </w:p>
    <w:p w:rsidR="00162E11" w:rsidRPr="00365395" w:rsidRDefault="00162E11" w:rsidP="001663BD">
      <w:pPr>
        <w:pStyle w:val="Prrafodelista"/>
        <w:numPr>
          <w:ilvl w:val="0"/>
          <w:numId w:val="1"/>
        </w:numPr>
        <w:spacing w:before="240" w:after="240" w:line="360" w:lineRule="auto"/>
        <w:ind w:left="0" w:firstLine="0"/>
        <w:jc w:val="both"/>
        <w:rPr>
          <w:rFonts w:ascii="Palatino Linotype" w:eastAsia="Calibri" w:hAnsi="Palatino Linotype" w:cs="Arial"/>
          <w:sz w:val="24"/>
          <w:lang w:val="es-ES"/>
        </w:rPr>
      </w:pPr>
      <w:r w:rsidRPr="00A43CF9">
        <w:rPr>
          <w:rFonts w:ascii="Palatino Linotype" w:eastAsia="Calibri" w:hAnsi="Palatino Linotype" w:cs="Arial"/>
          <w:sz w:val="24"/>
          <w:lang w:val="es-ES"/>
        </w:rPr>
        <w:t xml:space="preserve">El </w:t>
      </w:r>
      <w:r>
        <w:rPr>
          <w:rFonts w:ascii="Palatino Linotype" w:eastAsia="Calibri" w:hAnsi="Palatino Linotype" w:cs="Arial"/>
          <w:sz w:val="24"/>
          <w:lang w:val="es-ES"/>
        </w:rPr>
        <w:t xml:space="preserve">diecinueve (19) de octubre </w:t>
      </w:r>
      <w:r w:rsidRPr="00A43CF9">
        <w:rPr>
          <w:rFonts w:ascii="Palatino Linotype" w:eastAsia="Calibri" w:hAnsi="Palatino Linotype" w:cs="Arial"/>
          <w:sz w:val="24"/>
          <w:lang w:val="es-ES"/>
        </w:rPr>
        <w:t xml:space="preserve"> de dos mil veintiuno, se notificó mediante acuerdo, que el plazo para </w:t>
      </w:r>
      <w:r w:rsidR="002E6440">
        <w:rPr>
          <w:rFonts w:ascii="Palatino Linotype" w:eastAsia="Calibri" w:hAnsi="Palatino Linotype" w:cs="Arial"/>
          <w:sz w:val="24"/>
          <w:lang w:val="es-ES"/>
        </w:rPr>
        <w:t>resolver el recurso de revisión</w:t>
      </w:r>
      <w:r w:rsidRPr="00A43CF9">
        <w:rPr>
          <w:rFonts w:ascii="Palatino Linotype" w:eastAsia="Calibri" w:hAnsi="Palatino Linotype" w:cs="Arial"/>
          <w:sz w:val="24"/>
          <w:lang w:val="es-ES"/>
        </w:rPr>
        <w:t xml:space="preserve"> se ampliaría por un periodo de quince días hábiles.</w:t>
      </w:r>
    </w:p>
    <w:p w:rsidR="00162E11" w:rsidRPr="0092040F" w:rsidRDefault="00162E11" w:rsidP="001663BD">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85469334"/>
      <w:r w:rsidRPr="0092040F">
        <w:rPr>
          <w:rFonts w:ascii="Palatino Linotype" w:eastAsia="MS Gothic" w:hAnsi="Palatino Linotype"/>
          <w:b/>
          <w:lang w:eastAsia="en-US"/>
        </w:rPr>
        <w:t>CONSIDERANDO</w:t>
      </w:r>
      <w:bookmarkEnd w:id="8"/>
      <w:bookmarkEnd w:id="9"/>
      <w:bookmarkEnd w:id="10"/>
    </w:p>
    <w:p w:rsidR="00162E11" w:rsidRPr="0092040F" w:rsidRDefault="00162E11" w:rsidP="001663BD">
      <w:pPr>
        <w:spacing w:line="360" w:lineRule="auto"/>
        <w:rPr>
          <w:rFonts w:ascii="Palatino Linotype" w:eastAsia="MS Mincho" w:hAnsi="Palatino Linotype"/>
          <w:lang w:eastAsia="en-US"/>
        </w:rPr>
      </w:pPr>
    </w:p>
    <w:p w:rsidR="00162E11" w:rsidRPr="0092040F" w:rsidRDefault="00162E11" w:rsidP="001663BD">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85469335"/>
      <w:r w:rsidRPr="0092040F">
        <w:rPr>
          <w:rFonts w:ascii="Palatino Linotype" w:eastAsia="MS Gothic" w:hAnsi="Palatino Linotype"/>
          <w:b/>
          <w:lang w:eastAsia="en-US"/>
        </w:rPr>
        <w:t>PRIMERO. De la competencia</w:t>
      </w:r>
      <w:bookmarkEnd w:id="11"/>
      <w:bookmarkEnd w:id="12"/>
      <w:r w:rsidRPr="0092040F">
        <w:rPr>
          <w:rFonts w:ascii="Palatino Linotype" w:eastAsia="MS Gothic" w:hAnsi="Palatino Linotype"/>
          <w:b/>
          <w:lang w:eastAsia="en-US"/>
        </w:rPr>
        <w:t>.</w:t>
      </w:r>
      <w:bookmarkEnd w:id="13"/>
    </w:p>
    <w:p w:rsidR="00162E11" w:rsidRPr="0092040F" w:rsidRDefault="00162E11" w:rsidP="001663BD">
      <w:pPr>
        <w:spacing w:line="360" w:lineRule="auto"/>
        <w:rPr>
          <w:rFonts w:ascii="Palatino Linotype" w:eastAsia="MS Mincho" w:hAnsi="Palatino Linotype"/>
          <w:lang w:eastAsia="en-US"/>
        </w:rPr>
      </w:pPr>
    </w:p>
    <w:p w:rsidR="00162E11" w:rsidRPr="0092040F" w:rsidRDefault="00162E11" w:rsidP="001663BD">
      <w:pPr>
        <w:numPr>
          <w:ilvl w:val="0"/>
          <w:numId w:val="1"/>
        </w:numPr>
        <w:spacing w:line="360" w:lineRule="auto"/>
        <w:ind w:left="0" w:firstLine="0"/>
        <w:jc w:val="both"/>
        <w:rPr>
          <w:rFonts w:ascii="Palatino Linotype" w:eastAsia="Calibri" w:hAnsi="Palatino Linotype"/>
          <w:b/>
          <w:lang w:val="es-ES"/>
        </w:rPr>
      </w:pPr>
      <w:r w:rsidRPr="0092040F">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92040F">
        <w:rPr>
          <w:rFonts w:ascii="Palatino Linotype" w:eastAsia="Calibri" w:hAnsi="Palatino Linotype"/>
          <w:b/>
          <w:lang w:val="es-ES"/>
        </w:rPr>
        <w:t>Constitución Política de los Estados Unidos Mexicanos</w:t>
      </w:r>
      <w:r w:rsidRPr="0092040F">
        <w:rPr>
          <w:rFonts w:ascii="Palatino Linotype" w:eastAsia="Calibri" w:hAnsi="Palatino Linotype"/>
          <w:lang w:val="es-ES"/>
        </w:rPr>
        <w:t xml:space="preserve">; 5, párrafos trigésimo, trigésimo primero y trigésimo segundo, fracciones IV y V, de la </w:t>
      </w:r>
      <w:r w:rsidRPr="0092040F">
        <w:rPr>
          <w:rFonts w:ascii="Palatino Linotype" w:eastAsia="Calibri" w:hAnsi="Palatino Linotype"/>
          <w:b/>
          <w:lang w:val="es-ES"/>
        </w:rPr>
        <w:t>Constitución Política del Estado Libre y Soberano de México</w:t>
      </w:r>
      <w:r w:rsidRPr="0092040F">
        <w:rPr>
          <w:rFonts w:ascii="Palatino Linotype" w:eastAsia="Calibri" w:hAnsi="Palatino Linotype"/>
          <w:lang w:val="es-ES"/>
        </w:rPr>
        <w:t xml:space="preserve">; artículos 1, 2 fracción II, 13, 29, 36 fracciones I y II, 176, 178, 179, 181 párrafo tercero y 185 de la </w:t>
      </w:r>
      <w:r w:rsidRPr="0092040F">
        <w:rPr>
          <w:rFonts w:ascii="Palatino Linotype" w:eastAsia="Calibri" w:hAnsi="Palatino Linotype"/>
          <w:b/>
          <w:lang w:val="es-ES"/>
        </w:rPr>
        <w:t xml:space="preserve">Ley de Transparencia y Acceso a la Información Pública del Estado de México y </w:t>
      </w:r>
      <w:r w:rsidRPr="0092040F">
        <w:rPr>
          <w:rFonts w:ascii="Palatino Linotype" w:eastAsia="Calibri" w:hAnsi="Palatino Linotype"/>
          <w:b/>
          <w:lang w:val="es-ES"/>
        </w:rPr>
        <w:lastRenderedPageBreak/>
        <w:t>Municipios</w:t>
      </w:r>
      <w:r w:rsidRPr="0092040F">
        <w:rPr>
          <w:rFonts w:ascii="Palatino Linotype" w:eastAsia="Calibri" w:hAnsi="Palatino Linotype"/>
          <w:lang w:val="es-ES"/>
        </w:rPr>
        <w:t xml:space="preserve">; y 10, 7, 9 fracciones I y XXIV, y 11 del </w:t>
      </w:r>
      <w:r w:rsidRPr="0092040F">
        <w:rPr>
          <w:rFonts w:ascii="Palatino Linotype" w:eastAsia="Calibri" w:hAnsi="Palatino Linotype"/>
          <w:b/>
          <w:lang w:val="es-ES"/>
        </w:rPr>
        <w:t>Reglamento Interior del Instituto de Transparencia, Acceso a la Información Pública y Protección de Datos Personales del Estado de México y Municipios.</w:t>
      </w:r>
    </w:p>
    <w:p w:rsidR="00162E11" w:rsidRPr="0092040F" w:rsidRDefault="00162E11" w:rsidP="001663BD">
      <w:pPr>
        <w:spacing w:line="360" w:lineRule="auto"/>
        <w:contextualSpacing/>
        <w:jc w:val="both"/>
        <w:rPr>
          <w:rFonts w:ascii="Palatino Linotype" w:eastAsia="Calibri" w:hAnsi="Palatino Linotype"/>
          <w:b/>
          <w:lang w:val="es-ES"/>
        </w:rPr>
      </w:pPr>
    </w:p>
    <w:p w:rsidR="00162E11" w:rsidRPr="0092040F" w:rsidRDefault="00162E11" w:rsidP="001663BD">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85469336"/>
      <w:r w:rsidRPr="0092040F">
        <w:rPr>
          <w:rFonts w:ascii="Palatino Linotype" w:eastAsia="MS Gothic" w:hAnsi="Palatino Linotype"/>
          <w:b/>
          <w:lang w:eastAsia="en-US"/>
        </w:rPr>
        <w:t>SEGUNDO. De la oportunidad y procedencia.</w:t>
      </w:r>
      <w:bookmarkEnd w:id="14"/>
      <w:bookmarkEnd w:id="15"/>
      <w:bookmarkEnd w:id="16"/>
    </w:p>
    <w:p w:rsidR="00162E11" w:rsidRPr="0092040F" w:rsidRDefault="00162E11" w:rsidP="001663BD">
      <w:pPr>
        <w:spacing w:line="360" w:lineRule="auto"/>
        <w:rPr>
          <w:rFonts w:ascii="Palatino Linotype" w:eastAsia="MS Mincho" w:hAnsi="Palatino Linotype"/>
          <w:lang w:eastAsia="en-US"/>
        </w:rPr>
      </w:pPr>
    </w:p>
    <w:p w:rsidR="00162E11" w:rsidRPr="00E07B1D" w:rsidRDefault="00162E11" w:rsidP="001663BD">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E07B1D">
        <w:rPr>
          <w:rFonts w:ascii="Palatino Linotype" w:eastAsia="Calibri" w:hAnsi="Palatino Linotype" w:cs="Arial"/>
          <w:lang w:val="es-ES_tradnl" w:eastAsia="es-ES"/>
        </w:rPr>
        <w:t>El medio de impugnación fue presentado a través de</w:t>
      </w:r>
      <w:r w:rsidR="00841C02">
        <w:rPr>
          <w:rFonts w:ascii="Palatino Linotype" w:eastAsia="Calibri" w:hAnsi="Palatino Linotype" w:cs="Arial"/>
          <w:lang w:val="es-ES_tradnl" w:eastAsia="es-ES"/>
        </w:rPr>
        <w:t xml:space="preserve"> </w:t>
      </w:r>
      <w:r w:rsidRPr="00E07B1D">
        <w:rPr>
          <w:rFonts w:ascii="Palatino Linotype" w:eastAsia="Calibri" w:hAnsi="Palatino Linotype" w:cs="Arial"/>
          <w:lang w:val="es-ES_tradnl" w:eastAsia="es-ES"/>
        </w:rPr>
        <w:t>l</w:t>
      </w:r>
      <w:r w:rsidR="00841C02">
        <w:rPr>
          <w:rFonts w:ascii="Palatino Linotype" w:eastAsia="Calibri" w:hAnsi="Palatino Linotype" w:cs="Arial"/>
          <w:lang w:val="es-ES_tradnl" w:eastAsia="es-ES"/>
        </w:rPr>
        <w:t xml:space="preserve">a Plataforma Nacional de </w:t>
      </w:r>
      <w:r w:rsidR="00EE22AA">
        <w:rPr>
          <w:rFonts w:ascii="Palatino Linotype" w:eastAsia="Calibri" w:hAnsi="Palatino Linotype" w:cs="Arial"/>
          <w:lang w:val="es-ES_tradnl" w:eastAsia="es-ES"/>
        </w:rPr>
        <w:t xml:space="preserve">Transparencia </w:t>
      </w:r>
      <w:r w:rsidR="00EE22AA" w:rsidRPr="00EE22AA">
        <w:rPr>
          <w:rFonts w:ascii="Palatino Linotype" w:eastAsia="Calibri" w:hAnsi="Palatino Linotype" w:cs="Arial"/>
          <w:b/>
          <w:lang w:val="es-ES_tradnl" w:eastAsia="es-ES"/>
        </w:rPr>
        <w:t>(PNT),</w:t>
      </w:r>
      <w:r w:rsidR="00EE22AA">
        <w:rPr>
          <w:rFonts w:ascii="Palatino Linotype" w:eastAsia="Calibri" w:hAnsi="Palatino Linotype" w:cs="Arial"/>
          <w:lang w:val="es-ES_tradnl" w:eastAsia="es-ES"/>
        </w:rPr>
        <w:t xml:space="preserve"> que se encuentra vinculada al Sistema de Acceso a la Información Mexiquense</w:t>
      </w:r>
      <w:r w:rsidRPr="00E07B1D">
        <w:rPr>
          <w:rFonts w:ascii="Palatino Linotype" w:eastAsia="Calibri" w:hAnsi="Palatino Linotype" w:cs="Arial"/>
          <w:lang w:val="es-ES_tradnl" w:eastAsia="es-ES"/>
        </w:rPr>
        <w:t xml:space="preserve"> </w:t>
      </w:r>
      <w:r w:rsidR="00EE22AA">
        <w:rPr>
          <w:rFonts w:ascii="Palatino Linotype" w:eastAsia="Calibri" w:hAnsi="Palatino Linotype" w:cs="Arial"/>
          <w:lang w:val="es-ES_tradnl" w:eastAsia="es-ES"/>
        </w:rPr>
        <w:t>(</w:t>
      </w:r>
      <w:r w:rsidRPr="00E07B1D">
        <w:rPr>
          <w:rFonts w:ascii="Palatino Linotype" w:eastAsia="Calibri" w:hAnsi="Palatino Linotype" w:cs="Arial"/>
          <w:b/>
          <w:lang w:val="es-ES_tradnl" w:eastAsia="es-ES"/>
        </w:rPr>
        <w:t>SAIMEX</w:t>
      </w:r>
      <w:r w:rsidR="00EE22AA">
        <w:rPr>
          <w:rFonts w:ascii="Palatino Linotype" w:eastAsia="Calibri" w:hAnsi="Palatino Linotype" w:cs="Arial"/>
          <w:b/>
          <w:lang w:val="es-ES_tradnl" w:eastAsia="es-ES"/>
        </w:rPr>
        <w:t>)</w:t>
      </w:r>
      <w:r w:rsidRPr="00E07B1D">
        <w:rPr>
          <w:rFonts w:ascii="Palatino Linotype" w:eastAsia="Calibri" w:hAnsi="Palatino Linotype" w:cs="Arial"/>
          <w:b/>
          <w:lang w:val="es-ES_tradnl" w:eastAsia="es-ES"/>
        </w:rPr>
        <w:t>,</w:t>
      </w:r>
      <w:r w:rsidRPr="00E07B1D">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07B1D">
        <w:rPr>
          <w:rFonts w:ascii="Palatino Linotype" w:eastAsia="Calibri" w:hAnsi="Palatino Linotype" w:cs="Arial"/>
          <w:b/>
          <w:lang w:val="es-ES_tradnl" w:eastAsia="es-ES"/>
        </w:rPr>
        <w:t>SUJETO OBLIGADO</w:t>
      </w:r>
      <w:r w:rsidRPr="00E07B1D">
        <w:rPr>
          <w:rFonts w:ascii="Palatino Linotype" w:eastAsia="Calibri" w:hAnsi="Palatino Linotype" w:cs="Arial"/>
          <w:lang w:val="es-ES_tradnl" w:eastAsia="es-ES"/>
        </w:rPr>
        <w:t xml:space="preserve"> entregó respuesta el día </w:t>
      </w:r>
      <w:r w:rsidR="002E6440">
        <w:rPr>
          <w:rFonts w:ascii="Palatino Linotype" w:eastAsia="Calibri" w:hAnsi="Palatino Linotype" w:cs="Arial"/>
          <w:lang w:val="es-ES_tradnl" w:eastAsia="es-ES"/>
        </w:rPr>
        <w:t>dieciocho (18</w:t>
      </w:r>
      <w:r>
        <w:rPr>
          <w:rFonts w:ascii="Palatino Linotype" w:eastAsia="Calibri" w:hAnsi="Palatino Linotype" w:cs="Arial"/>
          <w:lang w:val="es-ES_tradnl" w:eastAsia="es-ES"/>
        </w:rPr>
        <w:t xml:space="preserve">) de agosto  </w:t>
      </w:r>
      <w:r w:rsidRPr="00E07B1D">
        <w:rPr>
          <w:rFonts w:ascii="Palatino Linotype" w:eastAsia="Calibri" w:hAnsi="Palatino Linotype" w:cs="Arial"/>
          <w:lang w:val="es-ES_tradnl" w:eastAsia="es-ES"/>
        </w:rPr>
        <w:t xml:space="preserve">de dos mil veintiuno, </w:t>
      </w:r>
      <w:r w:rsidRPr="00E07B1D">
        <w:rPr>
          <w:rFonts w:ascii="Palatino Linotype" w:eastAsiaTheme="minorEastAsia" w:hAnsi="Palatino Linotype" w:cs="Arial"/>
          <w:lang w:val="es-ES_tradnl" w:eastAsia="es-ES"/>
        </w:rPr>
        <w:t>de tal forma que el plazo para interponer el recurso</w:t>
      </w:r>
      <w:r w:rsidR="002E6440">
        <w:rPr>
          <w:rFonts w:ascii="Palatino Linotype" w:eastAsiaTheme="minorEastAsia" w:hAnsi="Palatino Linotype" w:cs="Arial"/>
          <w:lang w:val="es-ES_tradnl" w:eastAsia="es-ES"/>
        </w:rPr>
        <w:t xml:space="preserve"> transcurrió del día diecinueve (19</w:t>
      </w:r>
      <w:r>
        <w:rPr>
          <w:rFonts w:ascii="Palatino Linotype" w:eastAsiaTheme="minorEastAsia" w:hAnsi="Palatino Linotype" w:cs="Arial"/>
          <w:lang w:val="es-ES_tradnl" w:eastAsia="es-ES"/>
        </w:rPr>
        <w:t xml:space="preserve">) de agosto </w:t>
      </w:r>
      <w:r w:rsidRPr="00E07B1D">
        <w:rPr>
          <w:rFonts w:ascii="Palatino Linotype" w:eastAsiaTheme="minorEastAsia" w:hAnsi="Palatino Linotype" w:cs="Arial"/>
          <w:lang w:val="es-ES_tradnl" w:eastAsia="es-ES"/>
        </w:rPr>
        <w:t xml:space="preserve"> al </w:t>
      </w:r>
      <w:r w:rsidR="002E6440">
        <w:rPr>
          <w:rFonts w:ascii="Palatino Linotype" w:eastAsiaTheme="minorEastAsia" w:hAnsi="Palatino Linotype" w:cs="Arial"/>
          <w:lang w:val="es-ES_tradnl" w:eastAsia="es-ES"/>
        </w:rPr>
        <w:t>diez (10</w:t>
      </w:r>
      <w:r>
        <w:rPr>
          <w:rFonts w:ascii="Palatino Linotype" w:eastAsiaTheme="minorEastAsia" w:hAnsi="Palatino Linotype" w:cs="Arial"/>
          <w:lang w:val="es-ES_tradnl" w:eastAsia="es-ES"/>
        </w:rPr>
        <w:t xml:space="preserve">) de septiembre </w:t>
      </w:r>
      <w:r w:rsidRPr="00E07B1D">
        <w:rPr>
          <w:rFonts w:ascii="Palatino Linotype" w:eastAsiaTheme="minorEastAsia" w:hAnsi="Palatino Linotype" w:cs="Arial"/>
          <w:lang w:val="es-ES_tradnl" w:eastAsia="es-ES"/>
        </w:rPr>
        <w:t xml:space="preserve"> de dos mil veintiuno; en consecuencia, si el particular presentó su inconformidad el día </w:t>
      </w:r>
      <w:r w:rsidR="002E6440">
        <w:rPr>
          <w:rFonts w:ascii="Palatino Linotype" w:eastAsiaTheme="minorEastAsia" w:hAnsi="Palatino Linotype" w:cs="Arial"/>
          <w:lang w:val="es-ES_tradnl" w:eastAsia="es-ES"/>
        </w:rPr>
        <w:t>veintitrés (23</w:t>
      </w:r>
      <w:r>
        <w:rPr>
          <w:rFonts w:ascii="Palatino Linotype" w:eastAsiaTheme="minorEastAsia" w:hAnsi="Palatino Linotype" w:cs="Arial"/>
          <w:lang w:val="es-ES_tradnl" w:eastAsia="es-ES"/>
        </w:rPr>
        <w:t xml:space="preserve">) de agosto </w:t>
      </w:r>
      <w:r w:rsidRPr="00E07B1D">
        <w:rPr>
          <w:rFonts w:ascii="Palatino Linotype" w:eastAsiaTheme="minorEastAsia" w:hAnsi="Palatino Linotype" w:cs="Arial"/>
          <w:lang w:val="es-ES_tradnl" w:eastAsia="es-ES"/>
        </w:rPr>
        <w:t xml:space="preserve"> de dos mil veintiuno, se encuentra dentro de los márgenes temporales previstos en el artículo 178 de la </w:t>
      </w:r>
      <w:r w:rsidRPr="00E07B1D">
        <w:rPr>
          <w:rFonts w:ascii="Palatino Linotype" w:eastAsiaTheme="minorEastAsia" w:hAnsi="Palatino Linotype" w:cs="Arial"/>
          <w:b/>
          <w:lang w:val="es-ES_tradnl" w:eastAsia="es-ES"/>
        </w:rPr>
        <w:t xml:space="preserve">Ley de Transparencia y Acceso a la Información Pública del Estado de México y Municipios </w:t>
      </w:r>
      <w:r w:rsidRPr="00E07B1D">
        <w:rPr>
          <w:rFonts w:ascii="Palatino Linotype" w:eastAsiaTheme="minorEastAsia" w:hAnsi="Palatino Linotype" w:cs="Arial"/>
          <w:lang w:val="es-ES_tradnl" w:eastAsia="es-ES"/>
        </w:rPr>
        <w:t xml:space="preserve">vigente. </w:t>
      </w:r>
    </w:p>
    <w:p w:rsidR="00162E11" w:rsidRPr="0092040F" w:rsidRDefault="00162E11" w:rsidP="001663BD">
      <w:pPr>
        <w:spacing w:line="360" w:lineRule="auto"/>
        <w:ind w:right="49"/>
        <w:contextualSpacing/>
        <w:jc w:val="both"/>
        <w:rPr>
          <w:rFonts w:ascii="Palatino Linotype" w:eastAsia="Calibri" w:hAnsi="Palatino Linotype" w:cs="Arial"/>
          <w:b/>
        </w:rPr>
      </w:pPr>
    </w:p>
    <w:p w:rsidR="00162E11" w:rsidRPr="00EE22AA" w:rsidRDefault="00162E11" w:rsidP="001663BD">
      <w:pPr>
        <w:numPr>
          <w:ilvl w:val="0"/>
          <w:numId w:val="1"/>
        </w:numPr>
        <w:spacing w:line="360" w:lineRule="auto"/>
        <w:ind w:left="0" w:right="49" w:firstLine="0"/>
        <w:contextualSpacing/>
        <w:jc w:val="both"/>
        <w:rPr>
          <w:rFonts w:ascii="Palatino Linotype" w:eastAsia="Calibri" w:hAnsi="Palatino Linotype" w:cs="Arial"/>
          <w:b/>
        </w:rPr>
      </w:pPr>
      <w:r w:rsidRPr="0092040F">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62E11" w:rsidRPr="0092040F" w:rsidRDefault="00162E11" w:rsidP="001663BD">
      <w:pPr>
        <w:keepNext/>
        <w:keepLines/>
        <w:spacing w:line="360" w:lineRule="auto"/>
        <w:ind w:right="48"/>
        <w:outlineLvl w:val="0"/>
        <w:rPr>
          <w:rFonts w:ascii="Palatino Linotype" w:eastAsia="MS Gothic" w:hAnsi="Palatino Linotype"/>
          <w:b/>
        </w:rPr>
      </w:pPr>
      <w:bookmarkStart w:id="17" w:name="_Toc65713731"/>
      <w:bookmarkStart w:id="18" w:name="_Toc85469337"/>
      <w:r w:rsidRPr="0092040F">
        <w:rPr>
          <w:rFonts w:ascii="Palatino Linotype" w:eastAsia="MS Mincho" w:hAnsi="Palatino Linotype" w:cstheme="majorBidi"/>
          <w:b/>
          <w:lang w:val="es-ES_tradnl" w:eastAsia="es-ES"/>
        </w:rPr>
        <w:lastRenderedPageBreak/>
        <w:t>TERCERO. Planteamiento de la Litis</w:t>
      </w:r>
      <w:r w:rsidRPr="0092040F">
        <w:rPr>
          <w:rFonts w:ascii="Palatino Linotype" w:eastAsia="MS Gothic" w:hAnsi="Palatino Linotype"/>
          <w:b/>
        </w:rPr>
        <w:t>.</w:t>
      </w:r>
      <w:bookmarkEnd w:id="17"/>
      <w:bookmarkEnd w:id="18"/>
    </w:p>
    <w:p w:rsidR="00162E11" w:rsidRPr="0092040F" w:rsidRDefault="00162E11" w:rsidP="001663BD">
      <w:pPr>
        <w:spacing w:line="360" w:lineRule="auto"/>
        <w:ind w:right="49"/>
        <w:contextualSpacing/>
        <w:jc w:val="both"/>
        <w:rPr>
          <w:rFonts w:ascii="Palatino Linotype" w:eastAsia="Calibri" w:hAnsi="Palatino Linotype" w:cs="Arial"/>
          <w:b/>
        </w:rPr>
      </w:pPr>
    </w:p>
    <w:p w:rsidR="00162E11" w:rsidRPr="004A6CE7" w:rsidRDefault="00162E11" w:rsidP="001663BD">
      <w:pPr>
        <w:numPr>
          <w:ilvl w:val="0"/>
          <w:numId w:val="1"/>
        </w:numPr>
        <w:spacing w:line="360" w:lineRule="auto"/>
        <w:ind w:left="0" w:right="48" w:firstLine="0"/>
        <w:contextualSpacing/>
        <w:jc w:val="both"/>
        <w:rPr>
          <w:rFonts w:ascii="Palatino Linotype" w:eastAsia="MS Gothic" w:hAnsi="Palatino Linotype"/>
        </w:rPr>
      </w:pPr>
      <w:r w:rsidRPr="004A6CE7">
        <w:rPr>
          <w:rFonts w:ascii="Palatino Linotype" w:eastAsia="MS Gothic" w:hAnsi="Palatino Linotype"/>
        </w:rPr>
        <w:t>Se</w:t>
      </w:r>
      <w:r>
        <w:rPr>
          <w:rFonts w:ascii="Palatino Linotype" w:eastAsia="MS Gothic" w:hAnsi="Palatino Linotype"/>
        </w:rPr>
        <w:t xml:space="preserve"> solicitó </w:t>
      </w:r>
      <w:r w:rsidR="002E6440">
        <w:rPr>
          <w:rFonts w:ascii="Palatino Linotype" w:eastAsia="MS Gothic" w:hAnsi="Palatino Linotype"/>
        </w:rPr>
        <w:t xml:space="preserve"> la </w:t>
      </w:r>
      <w:r w:rsidR="002E6440" w:rsidRPr="002E6440">
        <w:rPr>
          <w:rFonts w:ascii="Palatino Linotype" w:eastAsia="MS Gothic" w:hAnsi="Palatino Linotype"/>
        </w:rPr>
        <w:t>versión pública</w:t>
      </w:r>
      <w:r w:rsidR="0080568D">
        <w:rPr>
          <w:rFonts w:ascii="Palatino Linotype" w:eastAsia="MS Gothic" w:hAnsi="Palatino Linotype"/>
        </w:rPr>
        <w:t xml:space="preserve"> de</w:t>
      </w:r>
      <w:r w:rsidR="002E6440" w:rsidRPr="002E6440">
        <w:rPr>
          <w:rFonts w:ascii="Palatino Linotype" w:eastAsia="MS Gothic" w:hAnsi="Palatino Linotype"/>
        </w:rPr>
        <w:t xml:space="preserve"> los recibos de nómina</w:t>
      </w:r>
      <w:r w:rsidR="002E6440">
        <w:rPr>
          <w:rFonts w:ascii="Palatino Linotype" w:eastAsia="MS Gothic" w:hAnsi="Palatino Linotype"/>
        </w:rPr>
        <w:t xml:space="preserve"> de </w:t>
      </w:r>
      <w:r w:rsidR="002E6440" w:rsidRPr="002E6440">
        <w:rPr>
          <w:rFonts w:ascii="Palatino Linotype" w:eastAsia="MS Gothic" w:hAnsi="Palatino Linotype"/>
        </w:rPr>
        <w:t xml:space="preserve"> los servidores públicos del Hospital Regional de Alta Especialidad de Zumpango de la fecha 13 de julio de 2021</w:t>
      </w:r>
      <w:r>
        <w:rPr>
          <w:rFonts w:ascii="Palatino Linotype" w:eastAsia="MS Gothic" w:hAnsi="Palatino Linotype"/>
        </w:rPr>
        <w:t>.</w:t>
      </w:r>
    </w:p>
    <w:p w:rsidR="00162E11" w:rsidRPr="00714984" w:rsidRDefault="00162E11" w:rsidP="001663BD">
      <w:pPr>
        <w:pStyle w:val="Prrafodelista"/>
        <w:spacing w:line="360" w:lineRule="auto"/>
        <w:ind w:left="0" w:right="48"/>
        <w:jc w:val="both"/>
        <w:rPr>
          <w:rFonts w:ascii="Palatino Linotype" w:eastAsia="MS Mincho" w:hAnsi="Palatino Linotype" w:cs="Arial"/>
          <w:i/>
          <w:sz w:val="24"/>
          <w:lang w:val="es-ES_tradnl" w:eastAsia="es-ES"/>
        </w:rPr>
      </w:pPr>
    </w:p>
    <w:p w:rsidR="00162E11" w:rsidRPr="004A6CE7" w:rsidRDefault="00162E11" w:rsidP="001663BD">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92040F">
        <w:rPr>
          <w:rFonts w:ascii="Palatino Linotype" w:hAnsi="Palatino Linotype"/>
          <w:iCs/>
          <w:color w:val="000000"/>
          <w:sz w:val="24"/>
        </w:rPr>
        <w:t xml:space="preserve">En respuesta, el SUJETO OBLIGADO </w:t>
      </w:r>
      <w:r w:rsidR="0080568D">
        <w:rPr>
          <w:rFonts w:ascii="Palatino Linotype" w:hAnsi="Palatino Linotype"/>
          <w:iCs/>
          <w:color w:val="000000"/>
          <w:sz w:val="24"/>
        </w:rPr>
        <w:t xml:space="preserve">manifestó </w:t>
      </w:r>
      <w:r>
        <w:rPr>
          <w:rFonts w:ascii="Palatino Linotype" w:hAnsi="Palatino Linotype"/>
          <w:iCs/>
          <w:color w:val="000000"/>
          <w:sz w:val="24"/>
        </w:rPr>
        <w:t xml:space="preserve"> el cambio de Modalidad </w:t>
      </w:r>
      <w:r w:rsidR="0080568D">
        <w:rPr>
          <w:rFonts w:ascii="Palatino Linotype" w:hAnsi="Palatino Linotype"/>
          <w:iCs/>
          <w:color w:val="000000"/>
          <w:sz w:val="24"/>
        </w:rPr>
        <w:t>en la entrega de la información solicitada.</w:t>
      </w:r>
    </w:p>
    <w:p w:rsidR="00162E11" w:rsidRPr="004A6CE7" w:rsidRDefault="00162E11" w:rsidP="001663BD">
      <w:pPr>
        <w:pStyle w:val="Prrafodelista"/>
        <w:spacing w:line="360" w:lineRule="auto"/>
        <w:ind w:left="0" w:right="48"/>
        <w:jc w:val="both"/>
        <w:rPr>
          <w:rFonts w:ascii="Palatino Linotype" w:eastAsia="MS Mincho" w:hAnsi="Palatino Linotype" w:cs="Arial"/>
          <w:i/>
          <w:sz w:val="24"/>
          <w:lang w:val="es-ES_tradnl" w:eastAsia="es-ES"/>
        </w:rPr>
      </w:pPr>
    </w:p>
    <w:p w:rsidR="00162E11" w:rsidRPr="004A6CE7" w:rsidRDefault="00162E11" w:rsidP="001663BD">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4A6CE7">
        <w:rPr>
          <w:rFonts w:ascii="Palatino Linotype" w:hAnsi="Palatino Linotype"/>
          <w:sz w:val="24"/>
        </w:rPr>
        <w:t>En consecuencia, el particular interpuso recurso de revisión</w:t>
      </w:r>
      <w:r w:rsidR="005978B0">
        <w:rPr>
          <w:rFonts w:ascii="Palatino Linotype" w:hAnsi="Palatino Linotype"/>
          <w:sz w:val="24"/>
        </w:rPr>
        <w:t xml:space="preserve"> mediante el cual se inconformó</w:t>
      </w:r>
      <w:r w:rsidRPr="004A6CE7">
        <w:rPr>
          <w:rFonts w:ascii="Palatino Linotype" w:hAnsi="Palatino Linotype"/>
          <w:sz w:val="24"/>
        </w:rPr>
        <w:t xml:space="preserve">; argumentó en sus motivos de inconformidad </w:t>
      </w:r>
      <w:r w:rsidR="00384507">
        <w:rPr>
          <w:rFonts w:ascii="Palatino Linotype" w:eastAsia="MS Mincho" w:hAnsi="Palatino Linotype"/>
          <w:sz w:val="24"/>
          <w:szCs w:val="22"/>
        </w:rPr>
        <w:t>la falta de información.</w:t>
      </w:r>
    </w:p>
    <w:p w:rsidR="00162E11" w:rsidRPr="004A6CE7" w:rsidRDefault="00162E11" w:rsidP="001663BD">
      <w:pPr>
        <w:pStyle w:val="Prrafodelista"/>
        <w:spacing w:line="360" w:lineRule="auto"/>
        <w:ind w:left="0" w:right="48"/>
        <w:jc w:val="both"/>
        <w:rPr>
          <w:rFonts w:ascii="Palatino Linotype" w:eastAsia="MS Mincho" w:hAnsi="Palatino Linotype" w:cs="Arial"/>
          <w:i/>
          <w:sz w:val="24"/>
          <w:lang w:val="es-ES_tradnl" w:eastAsia="es-ES"/>
        </w:rPr>
      </w:pPr>
    </w:p>
    <w:p w:rsidR="00162E11" w:rsidRPr="00384507" w:rsidRDefault="00162E11" w:rsidP="001663BD">
      <w:pPr>
        <w:pStyle w:val="Prrafodelista"/>
        <w:numPr>
          <w:ilvl w:val="0"/>
          <w:numId w:val="1"/>
        </w:numPr>
        <w:spacing w:line="360" w:lineRule="auto"/>
        <w:ind w:left="0" w:right="48" w:firstLine="0"/>
        <w:jc w:val="both"/>
        <w:rPr>
          <w:rFonts w:ascii="Palatino Linotype" w:eastAsia="MS Gothic" w:hAnsi="Palatino Linotype"/>
          <w:sz w:val="24"/>
        </w:rPr>
      </w:pPr>
      <w:r w:rsidRPr="00DA7E81">
        <w:rPr>
          <w:rFonts w:ascii="Palatino Linotype" w:eastAsia="MS Gothic" w:hAnsi="Palatino Linotype"/>
          <w:sz w:val="24"/>
        </w:rPr>
        <w:t xml:space="preserve">En consecuencia, la Litis a resolver en este recurso, se circunscribe a determinar si se actualizan las causales de procedencia previstas </w:t>
      </w:r>
      <w:r w:rsidRPr="00DA7E81">
        <w:rPr>
          <w:rFonts w:ascii="Palatino Linotype" w:hAnsi="Palatino Linotype"/>
          <w:sz w:val="24"/>
        </w:rPr>
        <w:t>en el artículo 179, fracción VIII de la Ley de Transparencia y Acceso a la Información Pública del Estado de México y Municipios; fracción que determina las hipótesis jurídica relativa a entrega o puesta a disposición de información en una modalidad o formato distinto al solicitado; contexto del cual se dolió EL RECURRENTE al momento de interponer su inconformidad. De modo tal que el presente recurso de revisión se abocara en determinar si el SUJETO OBLIGADO con su respuesta ciertamente actualiza la causal de procedencia antes señalada. Así como comprobar si la respuesta emitida resulta congruente e integral en términos del artículo 11 de la ley de la materia.</w:t>
      </w:r>
    </w:p>
    <w:p w:rsidR="00384507" w:rsidRPr="00DA7E81" w:rsidRDefault="00384507" w:rsidP="001663BD">
      <w:pPr>
        <w:pStyle w:val="Prrafodelista"/>
        <w:spacing w:line="360" w:lineRule="auto"/>
        <w:ind w:left="0" w:right="48"/>
        <w:jc w:val="both"/>
        <w:rPr>
          <w:rFonts w:ascii="Palatino Linotype" w:eastAsia="MS Gothic" w:hAnsi="Palatino Linotype"/>
          <w:sz w:val="24"/>
        </w:rPr>
      </w:pPr>
    </w:p>
    <w:p w:rsidR="00162E11" w:rsidRPr="00812338" w:rsidRDefault="00162E11" w:rsidP="001663BD">
      <w:pPr>
        <w:pStyle w:val="Prrafodelista"/>
        <w:spacing w:line="360" w:lineRule="auto"/>
        <w:ind w:left="0" w:right="48"/>
        <w:jc w:val="both"/>
        <w:rPr>
          <w:rFonts w:ascii="Palatino Linotype" w:eastAsia="MS Gothic" w:hAnsi="Palatino Linotype"/>
          <w:sz w:val="24"/>
        </w:rPr>
      </w:pPr>
    </w:p>
    <w:p w:rsidR="00162E11" w:rsidRPr="0092040F" w:rsidRDefault="00162E11" w:rsidP="001663BD">
      <w:pPr>
        <w:spacing w:line="360" w:lineRule="auto"/>
        <w:ind w:right="48"/>
        <w:jc w:val="both"/>
        <w:rPr>
          <w:rFonts w:ascii="Palatino Linotype" w:eastAsia="MS Gothic" w:hAnsi="Palatino Linotype"/>
          <w:b/>
          <w:lang w:val="es-ES_tradnl"/>
        </w:rPr>
      </w:pPr>
      <w:bookmarkStart w:id="19" w:name="_Toc65713733"/>
      <w:r w:rsidRPr="0092040F">
        <w:rPr>
          <w:rFonts w:ascii="Palatino Linotype" w:eastAsia="MS Gothic" w:hAnsi="Palatino Linotype"/>
          <w:b/>
          <w:lang w:val="es-ES_tradnl"/>
        </w:rPr>
        <w:lastRenderedPageBreak/>
        <w:t>CUARTO. Del estudio y resolución del recurso de revisión.</w:t>
      </w:r>
      <w:bookmarkEnd w:id="19"/>
    </w:p>
    <w:p w:rsidR="00162E11" w:rsidRPr="0092040F" w:rsidRDefault="00162E11" w:rsidP="001663BD">
      <w:pPr>
        <w:spacing w:line="360" w:lineRule="auto"/>
        <w:ind w:right="48"/>
        <w:jc w:val="both"/>
        <w:rPr>
          <w:rFonts w:ascii="Palatino Linotype" w:eastAsia="MS Gothic" w:hAnsi="Palatino Linotype"/>
        </w:rPr>
      </w:pPr>
    </w:p>
    <w:p w:rsidR="00162E11" w:rsidRPr="0092040F" w:rsidRDefault="00162E11" w:rsidP="001663BD">
      <w:pPr>
        <w:pStyle w:val="Ttulo1"/>
        <w:spacing w:before="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85469338"/>
      <w:r w:rsidRPr="0092040F">
        <w:rPr>
          <w:rFonts w:ascii="Palatino Linotype" w:eastAsia="MS Gothic" w:hAnsi="Palatino Linotype"/>
          <w:b/>
          <w:color w:val="auto"/>
          <w:sz w:val="24"/>
          <w:lang w:val="es-ES_tradnl" w:eastAsia="es-ES"/>
        </w:rPr>
        <w:t>I. De</w:t>
      </w:r>
      <w:bookmarkEnd w:id="20"/>
      <w:r w:rsidRPr="0092040F">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162E11" w:rsidRPr="0092040F" w:rsidRDefault="00162E11" w:rsidP="001663BD">
      <w:pPr>
        <w:pStyle w:val="Prrafodelista"/>
        <w:spacing w:line="360" w:lineRule="auto"/>
        <w:ind w:left="360" w:right="48"/>
        <w:jc w:val="both"/>
        <w:rPr>
          <w:rFonts w:ascii="Palatino Linotype" w:eastAsia="MS Gothic" w:hAnsi="Palatino Linotype"/>
          <w:sz w:val="24"/>
        </w:rPr>
      </w:pPr>
    </w:p>
    <w:p w:rsidR="00162E11" w:rsidRPr="0092040F" w:rsidRDefault="00162E11" w:rsidP="001663BD">
      <w:pPr>
        <w:pStyle w:val="Prrafodelista"/>
        <w:numPr>
          <w:ilvl w:val="0"/>
          <w:numId w:val="1"/>
        </w:numPr>
        <w:spacing w:line="360" w:lineRule="auto"/>
        <w:ind w:left="0" w:right="48" w:firstLine="0"/>
        <w:jc w:val="both"/>
        <w:rPr>
          <w:rFonts w:ascii="Palatino Linotype" w:eastAsia="MS Gothic" w:hAnsi="Palatino Linotype"/>
          <w:sz w:val="24"/>
        </w:rPr>
      </w:pPr>
      <w:r w:rsidRPr="0092040F">
        <w:rPr>
          <w:rFonts w:ascii="Palatino Linotype" w:eastAsiaTheme="minorEastAsia" w:hAnsi="Palatino Linotype"/>
          <w:lang w:val="es-ES_tradnl" w:eastAsia="es-ES"/>
        </w:rPr>
        <w:t>E</w:t>
      </w:r>
      <w:r w:rsidRPr="0092040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2040F">
        <w:rPr>
          <w:rFonts w:ascii="Palatino Linotype" w:hAnsi="Palatino Linotype" w:cs="Arial"/>
          <w:color w:val="000000"/>
          <w:lang w:val="es-ES_tradnl" w:eastAsia="es-ES"/>
        </w:rPr>
        <w:t xml:space="preserve">. </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hAnsi="Palatino Linotype"/>
          <w:lang w:val="es-ES_tradnl" w:eastAsia="es-ES"/>
        </w:rPr>
        <w:t xml:space="preserve">Definiendo el Derecho de Acceso a la Información Pública como: </w:t>
      </w:r>
      <w:r w:rsidRPr="0092040F">
        <w:rPr>
          <w:rFonts w:ascii="Palatino Linotype" w:eastAsiaTheme="minorEastAsia" w:hAnsi="Palatino Linotype"/>
          <w:i/>
          <w:color w:val="000000"/>
          <w:lang w:val="es-ES_tradnl" w:eastAsia="es-ES"/>
        </w:rPr>
        <w:t>La igualdad de oportunidades para recibir, buscar e impartir información</w:t>
      </w:r>
      <w:r w:rsidRPr="0092040F">
        <w:rPr>
          <w:rFonts w:ascii="Palatino Linotype" w:eastAsiaTheme="minorEastAsia" w:hAnsi="Palatino Linotype"/>
          <w:i/>
          <w:vertAlign w:val="superscript"/>
          <w:lang w:val="es-ES_tradnl" w:eastAsia="es-ES"/>
        </w:rPr>
        <w:footnoteReference w:id="1"/>
      </w:r>
      <w:r w:rsidRPr="0092040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040F">
        <w:rPr>
          <w:rFonts w:ascii="Palatino Linotype" w:eastAsiaTheme="minorEastAsia" w:hAnsi="Palatino Linotype"/>
          <w:i/>
          <w:vertAlign w:val="superscript"/>
          <w:lang w:val="es-ES_tradnl" w:eastAsia="es-ES"/>
        </w:rPr>
        <w:footnoteReference w:id="2"/>
      </w:r>
      <w:r w:rsidRPr="0092040F">
        <w:rPr>
          <w:rFonts w:ascii="Palatino Linotype" w:eastAsiaTheme="minorEastAsia" w:hAnsi="Palatino Linotype"/>
          <w:color w:val="000000"/>
          <w:lang w:val="es-ES_tradnl" w:eastAsia="es-ES"/>
        </w:rPr>
        <w:t>que se constituye como una herramienta fundamental para ejercer</w:t>
      </w:r>
      <w:r w:rsidRPr="0092040F">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2040F">
        <w:rPr>
          <w:rFonts w:ascii="Palatino Linotype" w:eastAsiaTheme="minorEastAsia" w:hAnsi="Palatino Linotype"/>
          <w:i/>
          <w:vertAlign w:val="superscript"/>
          <w:lang w:val="es-ES_tradnl" w:eastAsia="es-ES"/>
        </w:rPr>
        <w:footnoteReference w:id="3"/>
      </w:r>
      <w:r w:rsidRPr="0092040F">
        <w:rPr>
          <w:rFonts w:ascii="Palatino Linotype" w:eastAsiaTheme="minorEastAsia" w:hAnsi="Palatino Linotype"/>
          <w:color w:val="000000"/>
          <w:lang w:val="es-ES_tradnl" w:eastAsia="es-ES"/>
        </w:rPr>
        <w:t>fomentando</w:t>
      </w:r>
      <w:r w:rsidRPr="0092040F">
        <w:rPr>
          <w:rFonts w:ascii="Palatino Linotype" w:eastAsiaTheme="minorEastAsia" w:hAnsi="Palatino Linotype"/>
          <w:i/>
          <w:color w:val="000000"/>
          <w:lang w:val="es-ES_tradnl" w:eastAsia="es-ES"/>
        </w:rPr>
        <w:t xml:space="preserve"> la transparencia de las actividades estatales y </w:t>
      </w:r>
      <w:r w:rsidRPr="0092040F">
        <w:rPr>
          <w:rFonts w:ascii="Palatino Linotype" w:eastAsiaTheme="minorEastAsia" w:hAnsi="Palatino Linotype"/>
          <w:color w:val="000000"/>
          <w:lang w:val="es-ES_tradnl" w:eastAsia="es-ES"/>
        </w:rPr>
        <w:t>promoviendo</w:t>
      </w:r>
      <w:r w:rsidRPr="0092040F">
        <w:rPr>
          <w:rFonts w:ascii="Palatino Linotype" w:eastAsiaTheme="minorEastAsia" w:hAnsi="Palatino Linotype"/>
          <w:i/>
          <w:color w:val="000000"/>
          <w:lang w:val="es-ES_tradnl" w:eastAsia="es-ES"/>
        </w:rPr>
        <w:t xml:space="preserve"> la responsabilidad de los funcionarios sobre su gestión pública,</w:t>
      </w:r>
      <w:r w:rsidRPr="0092040F">
        <w:rPr>
          <w:rFonts w:ascii="Palatino Linotype" w:eastAsiaTheme="minorEastAsia" w:hAnsi="Palatino Linotype"/>
          <w:i/>
          <w:vertAlign w:val="superscript"/>
          <w:lang w:val="es-ES_tradnl" w:eastAsia="es-ES"/>
        </w:rPr>
        <w:footnoteReference w:id="4"/>
      </w:r>
      <w:r w:rsidRPr="0092040F">
        <w:rPr>
          <w:rFonts w:ascii="Palatino Linotype" w:eastAsiaTheme="minorEastAsia" w:hAnsi="Palatino Linotype"/>
          <w:color w:val="000000"/>
          <w:lang w:val="es-ES_tradnl" w:eastAsia="es-ES"/>
        </w:rPr>
        <w:t>que permite</w:t>
      </w:r>
      <w:r w:rsidRPr="0092040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162E11" w:rsidRPr="0092040F" w:rsidRDefault="00162E11" w:rsidP="001663BD">
      <w:pPr>
        <w:spacing w:line="360" w:lineRule="auto"/>
        <w:ind w:right="49"/>
        <w:contextualSpacing/>
        <w:jc w:val="both"/>
        <w:rPr>
          <w:rFonts w:ascii="Palatino Linotype" w:hAnsi="Palatino Linotype"/>
          <w:lang w:val="es-ES_tradnl" w:eastAsia="es-ES"/>
        </w:rPr>
      </w:pPr>
    </w:p>
    <w:p w:rsidR="00162E11" w:rsidRPr="0092040F" w:rsidRDefault="00162E11" w:rsidP="001663BD">
      <w:pPr>
        <w:spacing w:line="360" w:lineRule="auto"/>
        <w:ind w:left="567" w:right="567"/>
        <w:contextualSpacing/>
        <w:jc w:val="both"/>
        <w:rPr>
          <w:rFonts w:ascii="Palatino Linotype" w:hAnsi="Palatino Linotype"/>
          <w:i/>
          <w:sz w:val="22"/>
          <w:lang w:val="es-ES_tradnl" w:eastAsia="es-ES"/>
        </w:rPr>
      </w:pPr>
      <w:r w:rsidRPr="0092040F">
        <w:rPr>
          <w:rFonts w:ascii="Palatino Linotype" w:hAnsi="Palatino Linotype"/>
          <w:i/>
          <w:sz w:val="22"/>
          <w:lang w:val="es-ES_tradnl" w:eastAsia="es-ES"/>
        </w:rPr>
        <w:t>“</w:t>
      </w:r>
      <w:r w:rsidRPr="0092040F">
        <w:rPr>
          <w:rFonts w:ascii="Palatino Linotype" w:hAnsi="Palatino Linotype"/>
          <w:b/>
          <w:i/>
          <w:sz w:val="22"/>
          <w:lang w:val="es-ES_tradnl" w:eastAsia="es-ES"/>
        </w:rPr>
        <w:t>Artículo 1.-</w:t>
      </w:r>
      <w:r w:rsidRPr="0092040F">
        <w:rPr>
          <w:rFonts w:ascii="Palatino Linotype" w:hAnsi="Palatino Linotype"/>
          <w:i/>
          <w:sz w:val="22"/>
          <w:lang w:val="es-ES_tradnl" w:eastAsia="es-ES"/>
        </w:rPr>
        <w:t xml:space="preserve"> </w:t>
      </w:r>
    </w:p>
    <w:p w:rsidR="00162E11" w:rsidRPr="0092040F" w:rsidRDefault="00162E11" w:rsidP="001663BD">
      <w:pPr>
        <w:spacing w:line="360" w:lineRule="auto"/>
        <w:ind w:left="567" w:right="567"/>
        <w:contextualSpacing/>
        <w:jc w:val="both"/>
        <w:rPr>
          <w:rFonts w:ascii="Palatino Linotype" w:hAnsi="Palatino Linotype"/>
          <w:i/>
          <w:sz w:val="22"/>
          <w:lang w:val="es-ES_tradnl" w:eastAsia="es-ES"/>
        </w:rPr>
      </w:pPr>
      <w:r w:rsidRPr="0092040F">
        <w:rPr>
          <w:rFonts w:ascii="Palatino Linotype" w:hAnsi="Palatino Linotype"/>
          <w:i/>
          <w:sz w:val="22"/>
          <w:lang w:val="es-ES_tradnl" w:eastAsia="es-ES"/>
        </w:rPr>
        <w:t>(…)</w:t>
      </w:r>
    </w:p>
    <w:p w:rsidR="00162E11" w:rsidRPr="0092040F" w:rsidRDefault="00162E11" w:rsidP="001663BD">
      <w:pPr>
        <w:spacing w:line="360" w:lineRule="auto"/>
        <w:ind w:left="567" w:right="567"/>
        <w:contextualSpacing/>
        <w:jc w:val="both"/>
        <w:rPr>
          <w:rFonts w:ascii="Palatino Linotype" w:hAnsi="Palatino Linotype"/>
          <w:i/>
          <w:sz w:val="22"/>
        </w:rPr>
      </w:pPr>
      <w:r w:rsidRPr="0092040F">
        <w:rPr>
          <w:rFonts w:ascii="Palatino Linotype" w:hAnsi="Palatino Linotype"/>
          <w:i/>
          <w:sz w:val="22"/>
          <w:lang w:val="es-ES_tradnl" w:eastAsia="es-ES"/>
        </w:rPr>
        <w:t>Todas las</w:t>
      </w:r>
      <w:r w:rsidRPr="0092040F">
        <w:rPr>
          <w:rFonts w:ascii="Palatino Linotype" w:hAnsi="Palatino Linotype"/>
          <w:sz w:val="22"/>
          <w:lang w:val="es-ES_tradnl" w:eastAsia="es-ES"/>
        </w:rPr>
        <w:t xml:space="preserve"> </w:t>
      </w:r>
      <w:r w:rsidRPr="0092040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62E11" w:rsidRPr="0092040F" w:rsidRDefault="00162E11" w:rsidP="001663BD">
      <w:pPr>
        <w:spacing w:line="360" w:lineRule="auto"/>
        <w:ind w:left="567" w:right="567"/>
        <w:contextualSpacing/>
        <w:jc w:val="both"/>
        <w:rPr>
          <w:rFonts w:ascii="Palatino Linotype" w:hAnsi="Palatino Linotype"/>
          <w:sz w:val="22"/>
          <w:lang w:val="es-ES_tradnl" w:eastAsia="es-ES"/>
        </w:rPr>
      </w:pPr>
      <w:r w:rsidRPr="0092040F">
        <w:rPr>
          <w:rFonts w:ascii="Palatino Linotype" w:hAnsi="Palatino Linotype"/>
          <w:i/>
          <w:sz w:val="22"/>
        </w:rPr>
        <w:t>(…)</w:t>
      </w:r>
      <w:r w:rsidRPr="0092040F">
        <w:rPr>
          <w:rFonts w:ascii="Palatino Linotype" w:hAnsi="Palatino Linotype"/>
          <w:sz w:val="22"/>
          <w:lang w:val="es-ES_tradnl" w:eastAsia="es-ES"/>
        </w:rPr>
        <w:t>”.</w:t>
      </w:r>
    </w:p>
    <w:p w:rsidR="00162E11" w:rsidRPr="0092040F" w:rsidRDefault="00162E11" w:rsidP="001663BD">
      <w:pPr>
        <w:spacing w:line="360" w:lineRule="auto"/>
        <w:ind w:left="567" w:right="567"/>
        <w:contextualSpacing/>
        <w:jc w:val="both"/>
        <w:rPr>
          <w:rFonts w:ascii="Palatino Linotype" w:hAnsi="Palatino Linotype"/>
          <w:b/>
          <w:sz w:val="22"/>
          <w:lang w:val="es-ES_tradnl" w:eastAsia="es-ES"/>
        </w:rPr>
      </w:pPr>
      <w:r w:rsidRPr="0092040F">
        <w:rPr>
          <w:rFonts w:ascii="Palatino Linotype" w:hAnsi="Palatino Linotype"/>
          <w:b/>
          <w:i/>
          <w:sz w:val="22"/>
        </w:rPr>
        <w:t>(Énfasis Añadido)</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eastAsiaTheme="minorEastAsia" w:hAnsi="Palatino Linotype"/>
          <w:lang w:val="es-ES_tradnl" w:eastAsia="es-ES"/>
        </w:rPr>
        <w:t xml:space="preserve">Así, conforme a la Constitución Política de las Estado Unidos Mexicanos </w:t>
      </w:r>
      <w:r w:rsidRPr="0092040F">
        <w:rPr>
          <w:rFonts w:ascii="Palatino Linotype" w:eastAsia="Calibri" w:hAnsi="Palatino Linotype"/>
          <w:lang w:val="es-ES_tradnl" w:eastAsia="es-ES"/>
        </w:rPr>
        <w:t>y la Constitución Política del Estado Libre y Soberano de México respectivamente</w:t>
      </w:r>
      <w:r w:rsidRPr="0092040F">
        <w:rPr>
          <w:rFonts w:ascii="Palatino Linotype" w:eastAsiaTheme="minorEastAsia" w:hAnsi="Palatino Linotype"/>
          <w:lang w:val="es-ES_tradnl" w:eastAsia="es-ES"/>
        </w:rPr>
        <w:t xml:space="preserve">, el cumplimiento de las garantías primarias, entendidas como obligaciones inmediatamente relacionadas con el Derecho de Acceso a la Información Pública, </w:t>
      </w:r>
      <w:r w:rsidRPr="0092040F">
        <w:rPr>
          <w:rFonts w:ascii="Palatino Linotype" w:eastAsiaTheme="minorEastAsia" w:hAnsi="Palatino Linotype"/>
          <w:lang w:val="es-ES_tradnl" w:eastAsia="es-ES"/>
        </w:rPr>
        <w:lastRenderedPageBreak/>
        <w:t>permiten que todas las autoridades, en el ámbito de sus atribuciones lo respeten, protejan y garanticen.</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spacing w:line="360" w:lineRule="auto"/>
        <w:ind w:left="567" w:right="567"/>
        <w:jc w:val="center"/>
        <w:rPr>
          <w:rFonts w:ascii="Palatino Linotype" w:eastAsiaTheme="minorEastAsia" w:hAnsi="Palatino Linotype" w:cs="Arial"/>
          <w:b/>
          <w:bCs/>
          <w:i/>
          <w:sz w:val="22"/>
          <w:lang w:val="es-ES_tradnl" w:eastAsia="es-ES"/>
        </w:rPr>
      </w:pPr>
      <w:r w:rsidRPr="0092040F">
        <w:rPr>
          <w:rFonts w:ascii="Palatino Linotype" w:eastAsiaTheme="minorEastAsia" w:hAnsi="Palatino Linotype" w:cs="Arial"/>
          <w:b/>
          <w:bCs/>
          <w:i/>
          <w:sz w:val="22"/>
          <w:lang w:val="es-ES_tradnl" w:eastAsia="es-ES"/>
        </w:rPr>
        <w:t>Constitución Política de los Estados Unidos Mexicanos</w:t>
      </w:r>
    </w:p>
    <w:p w:rsidR="00162E11" w:rsidRPr="0092040F" w:rsidRDefault="00162E11" w:rsidP="001663BD">
      <w:pPr>
        <w:spacing w:line="360" w:lineRule="auto"/>
        <w:ind w:left="567" w:right="567"/>
        <w:jc w:val="both"/>
        <w:rPr>
          <w:rFonts w:ascii="Palatino Linotype" w:eastAsiaTheme="minorEastAsia" w:hAnsi="Palatino Linotype" w:cs="Arial"/>
          <w:b/>
          <w:bCs/>
          <w:i/>
          <w:sz w:val="22"/>
          <w:lang w:val="es-ES_tradnl" w:eastAsia="es-ES"/>
        </w:rPr>
      </w:pPr>
      <w:r w:rsidRPr="0092040F">
        <w:rPr>
          <w:rFonts w:ascii="Palatino Linotype" w:eastAsiaTheme="minorEastAsia" w:hAnsi="Palatino Linotype" w:cs="Arial"/>
          <w:b/>
          <w:bCs/>
          <w:i/>
          <w:sz w:val="22"/>
          <w:lang w:val="es-ES_tradnl" w:eastAsia="es-ES"/>
        </w:rPr>
        <w:t>“Artículo 6.</w:t>
      </w:r>
      <w:r w:rsidRPr="0092040F">
        <w:rPr>
          <w:rFonts w:ascii="Palatino Linotype" w:eastAsiaTheme="minorEastAsia" w:hAnsi="Palatino Linotype" w:cs="Arial"/>
          <w:bCs/>
          <w:i/>
          <w:sz w:val="22"/>
          <w:lang w:val="es-ES_tradnl" w:eastAsia="es-ES"/>
        </w:rPr>
        <w:t xml:space="preserve"> …</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Cs/>
          <w:i/>
          <w:sz w:val="22"/>
          <w:lang w:val="es-ES_tradnl" w:eastAsia="es-ES"/>
        </w:rPr>
        <w:t>…</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Cs/>
          <w:i/>
          <w:sz w:val="22"/>
          <w:lang w:val="es-ES_tradnl" w:eastAsia="es-ES"/>
        </w:rPr>
        <w:t>Para efectos de lo dispuesto en el presente artículo se observará lo siguiente:</w:t>
      </w:r>
    </w:p>
    <w:p w:rsidR="00162E11" w:rsidRDefault="00162E11" w:rsidP="001663BD">
      <w:pPr>
        <w:spacing w:line="360" w:lineRule="auto"/>
        <w:ind w:left="567" w:right="567"/>
        <w:jc w:val="both"/>
        <w:rPr>
          <w:rFonts w:ascii="Palatino Linotype" w:eastAsiaTheme="minorEastAsia" w:hAnsi="Palatino Linotype" w:cs="Arial"/>
          <w:b/>
          <w:bCs/>
          <w:i/>
          <w:sz w:val="22"/>
          <w:lang w:val="es-ES_tradnl" w:eastAsia="es-ES"/>
        </w:rPr>
      </w:pPr>
      <w:r w:rsidRPr="0092040F">
        <w:rPr>
          <w:rFonts w:ascii="Palatino Linotype" w:eastAsiaTheme="minorEastAsia" w:hAnsi="Palatino Linotype" w:cs="Arial"/>
          <w:b/>
          <w:bCs/>
          <w:i/>
          <w:sz w:val="22"/>
          <w:lang w:val="es-ES_tradnl" w:eastAsia="es-ES"/>
        </w:rPr>
        <w:t>A</w:t>
      </w:r>
      <w:r w:rsidRPr="0092040F">
        <w:rPr>
          <w:rFonts w:ascii="Palatino Linotype" w:eastAsiaTheme="minorEastAsia" w:hAnsi="Palatino Linotype" w:cs="Arial"/>
          <w:bCs/>
          <w:i/>
          <w:sz w:val="22"/>
          <w:lang w:val="es-ES_tradnl" w:eastAsia="es-ES"/>
        </w:rPr>
        <w:t xml:space="preserve">. </w:t>
      </w:r>
      <w:r w:rsidRPr="0092040F">
        <w:rPr>
          <w:rFonts w:ascii="Palatino Linotype" w:eastAsiaTheme="minorEastAsia" w:hAnsi="Palatino Linotype" w:cs="Arial"/>
          <w:b/>
          <w:bCs/>
          <w:i/>
          <w:sz w:val="22"/>
          <w:lang w:val="es-ES_tradnl" w:eastAsia="es-ES"/>
        </w:rPr>
        <w:t>Para el ejercicio del derecho de acceso a la información</w:t>
      </w:r>
      <w:r w:rsidRPr="0092040F">
        <w:rPr>
          <w:rFonts w:ascii="Palatino Linotype" w:eastAsiaTheme="minorEastAsia" w:hAnsi="Palatino Linotype" w:cs="Arial"/>
          <w:bCs/>
          <w:i/>
          <w:sz w:val="22"/>
          <w:lang w:val="es-ES_tradnl" w:eastAsia="es-ES"/>
        </w:rPr>
        <w:t xml:space="preserve">, la Federación y </w:t>
      </w:r>
      <w:r w:rsidRPr="0092040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162E11" w:rsidRPr="0092040F" w:rsidRDefault="00162E11" w:rsidP="001663BD">
      <w:pPr>
        <w:spacing w:line="360" w:lineRule="auto"/>
        <w:ind w:left="567" w:right="567"/>
        <w:jc w:val="both"/>
        <w:rPr>
          <w:rFonts w:ascii="Palatino Linotype" w:eastAsiaTheme="minorEastAsia" w:hAnsi="Palatino Linotype" w:cs="Arial"/>
          <w:b/>
          <w:bCs/>
          <w:i/>
          <w:sz w:val="22"/>
          <w:lang w:val="es-ES_tradnl" w:eastAsia="es-ES"/>
        </w:rPr>
      </w:pP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
          <w:bCs/>
          <w:i/>
          <w:sz w:val="22"/>
          <w:lang w:val="es-ES_tradnl" w:eastAsia="es-ES"/>
        </w:rPr>
        <w:t xml:space="preserve">I. </w:t>
      </w:r>
      <w:r w:rsidRPr="0092040F">
        <w:rPr>
          <w:rFonts w:ascii="Palatino Linotype" w:eastAsiaTheme="minorEastAsia" w:hAnsi="Palatino Linotype" w:cs="Arial"/>
          <w:b/>
          <w:bCs/>
          <w:i/>
          <w:sz w:val="22"/>
          <w:lang w:val="es-ES_tradnl" w:eastAsia="es-ES"/>
        </w:rPr>
        <w:tab/>
        <w:t>Toda la información en posesión de cualquier</w:t>
      </w:r>
      <w:r w:rsidRPr="0092040F">
        <w:rPr>
          <w:rFonts w:ascii="Palatino Linotype" w:eastAsiaTheme="minorEastAsia" w:hAnsi="Palatino Linotype" w:cs="Arial"/>
          <w:bCs/>
          <w:i/>
          <w:sz w:val="22"/>
          <w:lang w:val="es-ES_tradnl" w:eastAsia="es-ES"/>
        </w:rPr>
        <w:t xml:space="preserve"> </w:t>
      </w:r>
      <w:r w:rsidRPr="0092040F">
        <w:rPr>
          <w:rFonts w:ascii="Palatino Linotype" w:eastAsiaTheme="minorEastAsia" w:hAnsi="Palatino Linotype" w:cs="Arial"/>
          <w:b/>
          <w:bCs/>
          <w:i/>
          <w:sz w:val="22"/>
          <w:lang w:val="es-ES_tradnl" w:eastAsia="es-ES"/>
        </w:rPr>
        <w:t>autoridad</w:t>
      </w:r>
      <w:r w:rsidRPr="0092040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2040F">
        <w:rPr>
          <w:rFonts w:ascii="Palatino Linotype" w:eastAsiaTheme="minorEastAsia" w:hAnsi="Palatino Linotype" w:cs="Arial"/>
          <w:b/>
          <w:bCs/>
          <w:i/>
          <w:sz w:val="22"/>
          <w:lang w:val="es-ES_tradnl" w:eastAsia="es-ES"/>
        </w:rPr>
        <w:t>municipal</w:t>
      </w:r>
      <w:r w:rsidRPr="0092040F">
        <w:rPr>
          <w:rFonts w:ascii="Palatino Linotype" w:eastAsiaTheme="minorEastAsia" w:hAnsi="Palatino Linotype" w:cs="Arial"/>
          <w:bCs/>
          <w:i/>
          <w:sz w:val="22"/>
          <w:lang w:val="es-ES_tradnl" w:eastAsia="es-ES"/>
        </w:rPr>
        <w:t xml:space="preserve">, </w:t>
      </w:r>
      <w:r w:rsidRPr="0092040F">
        <w:rPr>
          <w:rFonts w:ascii="Palatino Linotype" w:eastAsiaTheme="minorEastAsia" w:hAnsi="Palatino Linotype" w:cs="Arial"/>
          <w:b/>
          <w:bCs/>
          <w:i/>
          <w:sz w:val="22"/>
          <w:lang w:val="es-ES_tradnl" w:eastAsia="es-ES"/>
        </w:rPr>
        <w:t>es pública</w:t>
      </w:r>
      <w:r w:rsidRPr="0092040F">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2040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2040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162E11" w:rsidRPr="0092040F" w:rsidRDefault="00162E11" w:rsidP="001663BD">
      <w:pPr>
        <w:pStyle w:val="Prrafodelista"/>
        <w:tabs>
          <w:tab w:val="left" w:pos="567"/>
        </w:tabs>
        <w:spacing w:line="360" w:lineRule="auto"/>
        <w:ind w:left="567" w:right="567"/>
        <w:jc w:val="both"/>
        <w:rPr>
          <w:rFonts w:ascii="Palatino Linotype" w:hAnsi="Palatino Linotype" w:cs="Arial"/>
          <w:b/>
          <w:bCs/>
          <w:i/>
        </w:rPr>
      </w:pPr>
      <w:r w:rsidRPr="0092040F">
        <w:rPr>
          <w:rFonts w:ascii="Palatino Linotype" w:hAnsi="Palatino Linotype" w:cs="Arial"/>
          <w:b/>
          <w:bCs/>
          <w:i/>
        </w:rPr>
        <w:t>(Énfasis añadido)</w:t>
      </w:r>
    </w:p>
    <w:p w:rsidR="00162E11" w:rsidRPr="0092040F" w:rsidRDefault="00162E11" w:rsidP="001663BD">
      <w:pPr>
        <w:pStyle w:val="Prrafodelista"/>
        <w:tabs>
          <w:tab w:val="left" w:pos="567"/>
        </w:tabs>
        <w:spacing w:line="360" w:lineRule="auto"/>
        <w:ind w:left="567" w:right="567"/>
        <w:jc w:val="both"/>
        <w:rPr>
          <w:rFonts w:ascii="Palatino Linotype" w:hAnsi="Palatino Linotype" w:cs="Arial"/>
          <w:b/>
          <w:bCs/>
          <w:i/>
        </w:rPr>
      </w:pPr>
    </w:p>
    <w:p w:rsidR="00162E11" w:rsidRPr="0092040F" w:rsidRDefault="00162E11" w:rsidP="001663BD">
      <w:pPr>
        <w:spacing w:line="360" w:lineRule="auto"/>
        <w:ind w:left="567" w:right="567"/>
        <w:jc w:val="center"/>
        <w:rPr>
          <w:rFonts w:ascii="Palatino Linotype" w:eastAsiaTheme="minorEastAsia" w:hAnsi="Palatino Linotype" w:cs="Arial"/>
          <w:b/>
          <w:bCs/>
          <w:i/>
          <w:sz w:val="22"/>
          <w:lang w:val="es-ES_tradnl" w:eastAsia="es-ES"/>
        </w:rPr>
      </w:pPr>
      <w:r w:rsidRPr="0092040F">
        <w:rPr>
          <w:rFonts w:ascii="Palatino Linotype" w:eastAsiaTheme="minorEastAsia" w:hAnsi="Palatino Linotype" w:cs="Arial"/>
          <w:b/>
          <w:bCs/>
          <w:i/>
          <w:sz w:val="22"/>
          <w:lang w:val="es-ES_tradnl" w:eastAsia="es-ES"/>
        </w:rPr>
        <w:t>Constitución Política del Estado Libre y Soberano de México</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
          <w:bCs/>
          <w:i/>
          <w:sz w:val="22"/>
          <w:lang w:val="es-ES_tradnl" w:eastAsia="es-ES"/>
        </w:rPr>
        <w:t>“Artículo 5</w:t>
      </w:r>
      <w:r w:rsidRPr="0092040F">
        <w:rPr>
          <w:rFonts w:ascii="Palatino Linotype" w:eastAsiaTheme="minorEastAsia" w:hAnsi="Palatino Linotype" w:cs="Arial"/>
          <w:bCs/>
          <w:i/>
          <w:sz w:val="22"/>
          <w:lang w:val="es-ES_tradnl" w:eastAsia="es-ES"/>
        </w:rPr>
        <w:t>.- …</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Cs/>
          <w:i/>
          <w:sz w:val="22"/>
          <w:lang w:val="es-ES_tradnl" w:eastAsia="es-ES"/>
        </w:rPr>
        <w:t>…</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92040F">
        <w:rPr>
          <w:rFonts w:ascii="Palatino Linotype" w:eastAsiaTheme="minorEastAsia" w:hAnsi="Palatino Linotype" w:cs="Arial"/>
          <w:bCs/>
          <w:i/>
          <w:sz w:val="22"/>
          <w:lang w:val="es-ES_tradnl" w:eastAsia="es-ES"/>
        </w:rPr>
        <w:t>.</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
          <w:bCs/>
          <w:i/>
          <w:sz w:val="22"/>
          <w:lang w:val="es-ES_tradnl" w:eastAsia="es-ES"/>
        </w:rPr>
        <w:t>Este derecho se regirá por los principios y bases siguientes</w:t>
      </w:r>
      <w:r w:rsidRPr="0092040F">
        <w:rPr>
          <w:rFonts w:ascii="Palatino Linotype" w:eastAsiaTheme="minorEastAsia" w:hAnsi="Palatino Linotype" w:cs="Arial"/>
          <w:bCs/>
          <w:i/>
          <w:sz w:val="22"/>
          <w:lang w:val="es-ES_tradnl" w:eastAsia="es-ES"/>
        </w:rPr>
        <w:t>:</w:t>
      </w:r>
    </w:p>
    <w:p w:rsidR="00162E11" w:rsidRPr="0092040F" w:rsidRDefault="00162E11" w:rsidP="001663BD">
      <w:pPr>
        <w:spacing w:line="360" w:lineRule="auto"/>
        <w:ind w:left="567" w:right="567"/>
        <w:jc w:val="both"/>
        <w:rPr>
          <w:rFonts w:ascii="Palatino Linotype" w:eastAsiaTheme="minorEastAsia" w:hAnsi="Palatino Linotype" w:cs="Arial"/>
          <w:bCs/>
          <w:i/>
          <w:sz w:val="22"/>
          <w:lang w:val="es-ES_tradnl" w:eastAsia="es-ES"/>
        </w:rPr>
      </w:pPr>
      <w:r w:rsidRPr="0092040F">
        <w:rPr>
          <w:rFonts w:ascii="Palatino Linotype" w:eastAsiaTheme="minorEastAsia" w:hAnsi="Palatino Linotype" w:cs="Arial"/>
          <w:b/>
          <w:bCs/>
          <w:i/>
          <w:sz w:val="22"/>
          <w:lang w:val="es-ES_tradnl" w:eastAsia="es-ES"/>
        </w:rPr>
        <w:t>I. Toda la información en posesión de cualquier autoridad, entidad, órgano y organismos de los</w:t>
      </w:r>
      <w:r w:rsidRPr="0092040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2040F">
        <w:rPr>
          <w:rFonts w:ascii="Palatino Linotype" w:eastAsiaTheme="minorEastAsia" w:hAnsi="Palatino Linotype" w:cs="Arial"/>
          <w:b/>
          <w:bCs/>
          <w:i/>
          <w:sz w:val="22"/>
          <w:lang w:val="es-ES_tradnl" w:eastAsia="es-ES"/>
        </w:rPr>
        <w:t>municipales</w:t>
      </w:r>
      <w:r w:rsidRPr="0092040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2040F">
        <w:rPr>
          <w:rFonts w:ascii="Palatino Linotype" w:eastAsiaTheme="minorEastAsia" w:hAnsi="Palatino Linotype" w:cs="Arial"/>
          <w:b/>
          <w:bCs/>
          <w:i/>
          <w:sz w:val="22"/>
          <w:lang w:val="es-ES_tradnl" w:eastAsia="es-ES"/>
        </w:rPr>
        <w:t>es pública</w:t>
      </w:r>
      <w:r w:rsidRPr="0092040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2040F">
        <w:rPr>
          <w:rFonts w:ascii="Palatino Linotype" w:eastAsiaTheme="minorEastAsia" w:hAnsi="Palatino Linotype" w:cs="Arial"/>
          <w:b/>
          <w:bCs/>
          <w:i/>
          <w:sz w:val="22"/>
          <w:lang w:val="es-ES_tradnl" w:eastAsia="es-ES"/>
        </w:rPr>
        <w:t>En la interpretación de este derecho deberá prevalecer el principio de máxima publicidad</w:t>
      </w:r>
      <w:r w:rsidRPr="0092040F">
        <w:rPr>
          <w:rFonts w:ascii="Palatino Linotype" w:eastAsiaTheme="minorEastAsia" w:hAnsi="Palatino Linotype" w:cs="Arial"/>
          <w:bCs/>
          <w:i/>
          <w:sz w:val="22"/>
          <w:lang w:val="es-ES_tradnl" w:eastAsia="es-ES"/>
        </w:rPr>
        <w:t xml:space="preserve">. </w:t>
      </w:r>
      <w:r w:rsidRPr="0092040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2040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162E11" w:rsidRPr="0092040F" w:rsidRDefault="00162E11" w:rsidP="001663BD">
      <w:pPr>
        <w:pStyle w:val="Prrafodelista"/>
        <w:tabs>
          <w:tab w:val="left" w:pos="567"/>
        </w:tabs>
        <w:spacing w:line="360" w:lineRule="auto"/>
        <w:ind w:left="567" w:right="567"/>
        <w:jc w:val="both"/>
        <w:rPr>
          <w:rFonts w:ascii="Palatino Linotype" w:hAnsi="Palatino Linotype" w:cs="Arial"/>
          <w:b/>
          <w:bCs/>
          <w:i/>
        </w:rPr>
      </w:pPr>
      <w:r w:rsidRPr="0092040F">
        <w:rPr>
          <w:rFonts w:ascii="Palatino Linotype" w:hAnsi="Palatino Linotype" w:cs="Arial"/>
          <w:b/>
          <w:bCs/>
          <w:i/>
        </w:rPr>
        <w:t>(Énfasis añadido)</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2040F">
        <w:rPr>
          <w:rFonts w:ascii="Palatino Linotype" w:eastAsiaTheme="minorEastAsia" w:hAnsi="Palatino Linotype" w:cs="Arial"/>
          <w:i/>
          <w:lang w:val="es-ES_tradnl" w:eastAsia="es-ES"/>
        </w:rPr>
        <w:t xml:space="preserve">por los principios de simplicidad, rapidez gratuidad del procedimiento, auxilio y </w:t>
      </w:r>
      <w:r w:rsidRPr="0092040F">
        <w:rPr>
          <w:rFonts w:ascii="Palatino Linotype" w:eastAsiaTheme="minorEastAsia" w:hAnsi="Palatino Linotype" w:cs="Arial"/>
          <w:i/>
          <w:lang w:val="es-ES_tradnl" w:eastAsia="es-ES"/>
        </w:rPr>
        <w:lastRenderedPageBreak/>
        <w:t>orientación a los particulares</w:t>
      </w:r>
      <w:r w:rsidRPr="0092040F">
        <w:rPr>
          <w:rFonts w:ascii="Palatino Linotype" w:eastAsiaTheme="minorEastAsia" w:hAnsi="Palatino Linotype" w:cs="Arial"/>
          <w:lang w:val="es-ES_tradnl" w:eastAsia="es-ES"/>
        </w:rPr>
        <w:t>, contemplando el derecho de las personas con discapacidad y hablantes de lengua indígena.</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2040F">
        <w:rPr>
          <w:rFonts w:ascii="Palatino Linotype" w:eastAsiaTheme="minorEastAsia" w:hAnsi="Palatino Linotype" w:cs="Arial"/>
          <w:i/>
          <w:lang w:val="es-ES_tradnl" w:eastAsia="es-ES"/>
        </w:rPr>
        <w:t>solicitudes de acceso a la información</w:t>
      </w:r>
      <w:r w:rsidRPr="0092040F">
        <w:rPr>
          <w:rFonts w:ascii="Palatino Linotype" w:eastAsiaTheme="minorEastAsia" w:hAnsi="Palatino Linotype" w:cs="Arial"/>
          <w:lang w:val="es-ES_tradnl" w:eastAsia="es-ES"/>
        </w:rPr>
        <w:t>.</w:t>
      </w:r>
    </w:p>
    <w:p w:rsidR="00162E11" w:rsidRPr="0092040F" w:rsidRDefault="00162E11" w:rsidP="001663BD">
      <w:pPr>
        <w:spacing w:line="360" w:lineRule="auto"/>
        <w:ind w:right="49"/>
        <w:contextualSpacing/>
        <w:jc w:val="both"/>
        <w:rPr>
          <w:rFonts w:ascii="Palatino Linotype" w:eastAsiaTheme="minorEastAsia" w:hAnsi="Palatino Linotype"/>
          <w:lang w:val="es-ES_tradnl" w:eastAsia="es-ES"/>
        </w:rPr>
      </w:pPr>
    </w:p>
    <w:p w:rsidR="00162E11" w:rsidRPr="0092040F" w:rsidRDefault="00162E11" w:rsidP="001663B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2040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162E11" w:rsidRPr="0092040F" w:rsidRDefault="00162E11" w:rsidP="001663BD">
      <w:pPr>
        <w:pStyle w:val="Prrafodelista"/>
        <w:tabs>
          <w:tab w:val="left" w:pos="426"/>
        </w:tabs>
        <w:spacing w:line="360" w:lineRule="auto"/>
        <w:ind w:left="0" w:right="49"/>
        <w:jc w:val="both"/>
        <w:rPr>
          <w:rFonts w:ascii="Palatino Linotype" w:hAnsi="Palatino Linotype"/>
          <w:sz w:val="24"/>
          <w:lang w:val="es-ES"/>
        </w:rPr>
      </w:pPr>
      <w:bookmarkStart w:id="26" w:name="_Toc80812777"/>
    </w:p>
    <w:p w:rsidR="00162E11" w:rsidRPr="0092040F" w:rsidRDefault="00162E11" w:rsidP="001663BD">
      <w:pPr>
        <w:pStyle w:val="Ttulo1"/>
        <w:spacing w:before="0" w:line="360" w:lineRule="auto"/>
        <w:rPr>
          <w:rFonts w:ascii="Palatino Linotype" w:hAnsi="Palatino Linotype"/>
          <w:b/>
          <w:color w:val="auto"/>
          <w:sz w:val="24"/>
          <w:szCs w:val="24"/>
        </w:rPr>
      </w:pPr>
      <w:bookmarkStart w:id="27" w:name="_Toc83301641"/>
      <w:bookmarkStart w:id="28" w:name="_Toc85469339"/>
      <w:r w:rsidRPr="0092040F">
        <w:rPr>
          <w:rFonts w:ascii="Palatino Linotype" w:hAnsi="Palatino Linotype"/>
          <w:b/>
          <w:color w:val="auto"/>
          <w:sz w:val="24"/>
          <w:szCs w:val="24"/>
        </w:rPr>
        <w:t>II. De la información solicitada</w:t>
      </w:r>
      <w:bookmarkEnd w:id="26"/>
      <w:bookmarkEnd w:id="27"/>
      <w:r w:rsidRPr="0092040F">
        <w:rPr>
          <w:rFonts w:ascii="Palatino Linotype" w:hAnsi="Palatino Linotype"/>
          <w:b/>
          <w:color w:val="auto"/>
          <w:sz w:val="24"/>
          <w:szCs w:val="24"/>
        </w:rPr>
        <w:t xml:space="preserve"> y la respuesta del Sujeto Obligado</w:t>
      </w:r>
      <w:bookmarkEnd w:id="28"/>
    </w:p>
    <w:p w:rsidR="00162E11" w:rsidRPr="0092040F" w:rsidRDefault="00162E11" w:rsidP="001663BD">
      <w:pPr>
        <w:spacing w:line="360" w:lineRule="auto"/>
        <w:ind w:right="49"/>
        <w:contextualSpacing/>
        <w:jc w:val="both"/>
        <w:rPr>
          <w:rFonts w:ascii="Palatino Linotype" w:eastAsia="Calibri" w:hAnsi="Palatino Linotype" w:cs="Arial"/>
        </w:rPr>
      </w:pPr>
    </w:p>
    <w:p w:rsidR="00162E11" w:rsidRPr="0092040F" w:rsidRDefault="00162E11" w:rsidP="001663BD">
      <w:pPr>
        <w:pStyle w:val="Prrafodelista"/>
        <w:numPr>
          <w:ilvl w:val="0"/>
          <w:numId w:val="1"/>
        </w:numPr>
        <w:spacing w:line="360" w:lineRule="auto"/>
        <w:ind w:left="0" w:firstLine="0"/>
        <w:jc w:val="both"/>
        <w:rPr>
          <w:rFonts w:ascii="Palatino Linotype" w:eastAsia="Calibri" w:hAnsi="Palatino Linotype" w:cs="Arial"/>
          <w:sz w:val="24"/>
        </w:rPr>
      </w:pPr>
      <w:r w:rsidRPr="0092040F">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62E11" w:rsidRPr="0092040F" w:rsidRDefault="00162E11" w:rsidP="001663BD">
      <w:pPr>
        <w:pStyle w:val="Prrafodelista"/>
        <w:spacing w:line="360" w:lineRule="auto"/>
        <w:ind w:left="0"/>
        <w:jc w:val="both"/>
        <w:rPr>
          <w:rFonts w:ascii="Palatino Linotype" w:eastAsia="Calibri" w:hAnsi="Palatino Linotype" w:cs="Arial"/>
          <w:sz w:val="24"/>
        </w:rPr>
      </w:pPr>
    </w:p>
    <w:p w:rsidR="005978B0" w:rsidRPr="005978B0"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DA7E81">
        <w:rPr>
          <w:rFonts w:ascii="Palatino Linotype" w:eastAsia="Calibri" w:hAnsi="Palatino Linotype" w:cs="Arial"/>
        </w:rPr>
        <w:t xml:space="preserve">En este caso, </w:t>
      </w:r>
      <w:r w:rsidRPr="00DA7E81">
        <w:rPr>
          <w:rFonts w:ascii="Palatino Linotype" w:hAnsi="Palatino Linotype"/>
        </w:rPr>
        <w:t xml:space="preserve">el RECURRENTE al momento de presentar </w:t>
      </w:r>
      <w:r w:rsidR="005978B0">
        <w:rPr>
          <w:rFonts w:ascii="Palatino Linotype" w:hAnsi="Palatino Linotype"/>
        </w:rPr>
        <w:t xml:space="preserve">su solicitud de información a través de la Plataforma Nacional de Transparencia, señaló como </w:t>
      </w:r>
      <w:r w:rsidR="005978B0">
        <w:rPr>
          <w:rFonts w:ascii="Palatino Linotype" w:hAnsi="Palatino Linotype"/>
        </w:rPr>
        <w:lastRenderedPageBreak/>
        <w:t>modalidad de entrega correo electrónico; asimismo, es importante señalar que la plataforma se encuentra vinculada al Sistema de Acceso de Información Mexiquense (SAIMEX), en este caso, en el acuse de la solicitud se encuentra señalada como modalidad de entrega a través de SAIMEX como se muestra en la siguiente captura de pantalla:</w:t>
      </w:r>
    </w:p>
    <w:p w:rsidR="00162E11" w:rsidRPr="005978B0"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spacing w:line="360" w:lineRule="auto"/>
        <w:ind w:right="49"/>
        <w:contextualSpacing/>
        <w:jc w:val="center"/>
        <w:rPr>
          <w:rFonts w:ascii="Palatino Linotype" w:eastAsia="Calibri" w:hAnsi="Palatino Linotype" w:cs="Arial"/>
        </w:rPr>
      </w:pPr>
      <w:r>
        <w:rPr>
          <w:noProof/>
          <w:lang w:val="es-ES" w:eastAsia="es-ES"/>
        </w:rPr>
        <mc:AlternateContent>
          <mc:Choice Requires="wps">
            <w:drawing>
              <wp:anchor distT="0" distB="0" distL="114300" distR="114300" simplePos="0" relativeHeight="251659264" behindDoc="0" locked="0" layoutInCell="1" allowOverlap="1" wp14:anchorId="276F26BA" wp14:editId="6E2D8802">
                <wp:simplePos x="0" y="0"/>
                <wp:positionH relativeFrom="column">
                  <wp:posOffset>427990</wp:posOffset>
                </wp:positionH>
                <wp:positionV relativeFrom="paragraph">
                  <wp:posOffset>1100455</wp:posOffset>
                </wp:positionV>
                <wp:extent cx="1488332" cy="340469"/>
                <wp:effectExtent l="19050" t="19050" r="17145" b="21590"/>
                <wp:wrapNone/>
                <wp:docPr id="18" name="Rectángulo redondeado 18"/>
                <wp:cNvGraphicFramePr/>
                <a:graphic xmlns:a="http://schemas.openxmlformats.org/drawingml/2006/main">
                  <a:graphicData uri="http://schemas.microsoft.com/office/word/2010/wordprocessingShape">
                    <wps:wsp>
                      <wps:cNvSpPr/>
                      <wps:spPr>
                        <a:xfrm>
                          <a:off x="0" y="0"/>
                          <a:ext cx="1488332" cy="340469"/>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D9B751" id="Rectángulo redondeado 18" o:spid="_x0000_s1026" style="position:absolute;margin-left:33.7pt;margin-top:86.65pt;width:117.2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" filled="f" strokecolor="red" strokeweight="3pt">
                <v:stroke joinstyle="miter"/>
              </v:roundrect>
            </w:pict>
          </mc:Fallback>
        </mc:AlternateContent>
      </w:r>
      <w:r w:rsidR="005978B0" w:rsidRPr="005978B0">
        <w:rPr>
          <w:noProof/>
          <w:lang w:val="es-ES" w:eastAsia="es-ES"/>
        </w:rPr>
        <w:t xml:space="preserve"> </w:t>
      </w:r>
      <w:r w:rsidR="005978B0">
        <w:rPr>
          <w:noProof/>
          <w:lang w:val="es-ES" w:eastAsia="es-ES"/>
        </w:rPr>
        <w:drawing>
          <wp:inline distT="0" distB="0" distL="0" distR="0" wp14:anchorId="73B5EA4B" wp14:editId="6E0257D2">
            <wp:extent cx="4901023" cy="1733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849" t="36269" r="31170" b="39847"/>
                    <a:stretch/>
                  </pic:blipFill>
                  <pic:spPr bwMode="auto">
                    <a:xfrm>
                      <a:off x="0" y="0"/>
                      <a:ext cx="4948451" cy="1750326"/>
                    </a:xfrm>
                    <a:prstGeom prst="rect">
                      <a:avLst/>
                    </a:prstGeom>
                    <a:ln>
                      <a:noFill/>
                    </a:ln>
                    <a:extLst>
                      <a:ext uri="{53640926-AAD7-44D8-BBD7-CCE9431645EC}">
                        <a14:shadowObscured xmlns:a14="http://schemas.microsoft.com/office/drawing/2010/main"/>
                      </a:ext>
                    </a:extLst>
                  </pic:spPr>
                </pic:pic>
              </a:graphicData>
            </a:graphic>
          </wp:inline>
        </w:drawing>
      </w:r>
    </w:p>
    <w:p w:rsidR="00162E11" w:rsidRDefault="00162E11" w:rsidP="001663BD">
      <w:pPr>
        <w:spacing w:line="360" w:lineRule="auto"/>
        <w:ind w:right="49"/>
        <w:contextualSpacing/>
        <w:jc w:val="center"/>
        <w:rPr>
          <w:rFonts w:ascii="Palatino Linotype" w:eastAsia="Calibri" w:hAnsi="Palatino Linotype" w:cs="Arial"/>
        </w:rPr>
      </w:pPr>
    </w:p>
    <w:p w:rsidR="00162E11" w:rsidRPr="00DA7E8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DA7E81">
        <w:rPr>
          <w:rFonts w:ascii="Palatino Linotype" w:hAnsi="Palatino Linotype"/>
        </w:rPr>
        <w:t>A lo anterior, queda evidente que la información se requirió Vía SAIMEX</w:t>
      </w:r>
      <w:r w:rsidR="00A1137C">
        <w:rPr>
          <w:rFonts w:ascii="Palatino Linotype" w:hAnsi="Palatino Linotype"/>
        </w:rPr>
        <w:t xml:space="preserve"> Y correo electrónico</w:t>
      </w:r>
      <w:r w:rsidRPr="00DA7E81">
        <w:rPr>
          <w:rFonts w:ascii="Palatino Linotype" w:hAnsi="Palatino Linotype"/>
        </w:rPr>
        <w:t xml:space="preserve">; por otra parte, si bien EL SUJETO OBLIGADO menciona que la información </w:t>
      </w:r>
      <w:r w:rsidR="00EF16C9">
        <w:rPr>
          <w:rFonts w:ascii="Palatino Linotype" w:hAnsi="Palatino Linotype"/>
        </w:rPr>
        <w:t>sobrepasa en recursos técnicos, humanos y materiales para generar una versión pública</w:t>
      </w:r>
      <w:r w:rsidRPr="00DA7E81">
        <w:rPr>
          <w:rFonts w:ascii="Palatino Linotype" w:hAnsi="Palatino Linotype"/>
        </w:rPr>
        <w:t>, por tal motivo, cambia la modalidad de entrega a consulta directa (In situ), en este supuesto se deben fundar y motivar correctamente los motivos del cambio de modalidad; por tanto, se tuvo afectado el derecho al acceso a la informaci</w:t>
      </w:r>
      <w:r w:rsidR="007803CE">
        <w:rPr>
          <w:rFonts w:ascii="Palatino Linotype" w:hAnsi="Palatino Linotype"/>
        </w:rPr>
        <w:t>ón pública de la particular.</w:t>
      </w:r>
      <w:r w:rsidRPr="00DA7E81">
        <w:rPr>
          <w:rFonts w:ascii="Palatino Linotype" w:hAnsi="Palatino Linotype"/>
        </w:rPr>
        <w:t xml:space="preserve"> </w:t>
      </w:r>
    </w:p>
    <w:p w:rsidR="00162E11" w:rsidRPr="00DA7E81" w:rsidRDefault="00162E11" w:rsidP="001663BD">
      <w:pPr>
        <w:spacing w:line="360" w:lineRule="auto"/>
        <w:ind w:right="49"/>
        <w:contextualSpacing/>
        <w:jc w:val="both"/>
        <w:rPr>
          <w:rFonts w:ascii="Palatino Linotype" w:eastAsia="Calibri" w:hAnsi="Palatino Linotype" w:cs="Arial"/>
        </w:rPr>
      </w:pPr>
    </w:p>
    <w:p w:rsidR="00162E11" w:rsidRPr="00DA7E8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DA7E81">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162E11" w:rsidRPr="00DA7E81"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DA7E81">
        <w:rPr>
          <w:rFonts w:ascii="Palatino Linotype" w:hAnsi="Palatino Linotype"/>
        </w:rPr>
        <w:t xml:space="preserve">Al respecto, el máximo tribunal del País ha establecido jurisprudencia respecto a qué debe entenderse por fundamentación y motivación, en los siguientes términos: </w:t>
      </w:r>
    </w:p>
    <w:p w:rsidR="00162E11" w:rsidRPr="00DA7E81" w:rsidRDefault="00162E11" w:rsidP="001663BD">
      <w:pPr>
        <w:spacing w:line="360" w:lineRule="auto"/>
        <w:ind w:right="49"/>
        <w:contextualSpacing/>
        <w:jc w:val="both"/>
        <w:rPr>
          <w:rFonts w:ascii="Palatino Linotype" w:eastAsia="Calibri" w:hAnsi="Palatino Linotype" w:cs="Arial"/>
        </w:rPr>
      </w:pPr>
    </w:p>
    <w:p w:rsidR="00162E11" w:rsidRPr="00DA7E81" w:rsidRDefault="00162E11" w:rsidP="001663BD">
      <w:pPr>
        <w:tabs>
          <w:tab w:val="left" w:pos="851"/>
        </w:tabs>
        <w:spacing w:line="360" w:lineRule="auto"/>
        <w:ind w:left="851" w:right="822"/>
        <w:contextualSpacing/>
        <w:jc w:val="both"/>
        <w:rPr>
          <w:rFonts w:ascii="Palatino Linotype" w:hAnsi="Palatino Linotype"/>
          <w:i/>
          <w:sz w:val="22"/>
        </w:rPr>
      </w:pPr>
      <w:r w:rsidRPr="00DA7E81">
        <w:rPr>
          <w:rFonts w:ascii="Palatino Linotype" w:hAnsi="Palatino Linotype"/>
          <w:b/>
          <w:i/>
          <w:sz w:val="22"/>
        </w:rPr>
        <w:t>“FUNDAMENTACION Y MOTIVACION.</w:t>
      </w:r>
      <w:r w:rsidRPr="00DA7E81">
        <w:rPr>
          <w:rFonts w:ascii="Palatino Linotype" w:hAnsi="Palatino Linotype"/>
          <w:i/>
          <w:sz w:val="22"/>
        </w:rPr>
        <w:t xml:space="preserve"> </w:t>
      </w:r>
      <w:r w:rsidRPr="00DA7E81">
        <w:rPr>
          <w:rFonts w:ascii="Palatino Linotype" w:hAnsi="Palatino Linotype"/>
          <w:i/>
          <w:sz w:val="22"/>
          <w:u w:val="single"/>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A7E81">
        <w:rPr>
          <w:rFonts w:ascii="Palatino Linotype" w:hAnsi="Palatino Linotype"/>
          <w:i/>
          <w:sz w:val="22"/>
        </w:rPr>
        <w:t>. …” (Sic)</w:t>
      </w:r>
    </w:p>
    <w:p w:rsidR="00162E11" w:rsidRPr="00DA7E81" w:rsidRDefault="00162E11" w:rsidP="001663BD">
      <w:pPr>
        <w:tabs>
          <w:tab w:val="left" w:pos="851"/>
        </w:tabs>
        <w:spacing w:line="360" w:lineRule="auto"/>
        <w:ind w:left="851" w:right="822"/>
        <w:contextualSpacing/>
        <w:jc w:val="both"/>
        <w:rPr>
          <w:rFonts w:ascii="Palatino Linotype" w:eastAsia="Calibri" w:hAnsi="Palatino Linotype" w:cs="Arial"/>
          <w:i/>
        </w:rPr>
      </w:pPr>
    </w:p>
    <w:p w:rsidR="00162E11" w:rsidRPr="00DA7E8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DA7E81">
        <w:rPr>
          <w:rFonts w:ascii="Palatino Linotype" w:hAnsi="Palatino Linotype"/>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w:t>
      </w:r>
    </w:p>
    <w:p w:rsidR="00162E11" w:rsidRPr="00DA7E81" w:rsidRDefault="00162E11" w:rsidP="001663BD">
      <w:pPr>
        <w:spacing w:line="360" w:lineRule="auto"/>
        <w:ind w:right="49"/>
        <w:contextualSpacing/>
        <w:jc w:val="both"/>
        <w:rPr>
          <w:rFonts w:ascii="Palatino Linotype" w:eastAsia="Calibri" w:hAnsi="Palatino Linotype" w:cs="Arial"/>
        </w:rPr>
      </w:pPr>
    </w:p>
    <w:p w:rsidR="00162E11" w:rsidRPr="00DA7E8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DA7E81">
        <w:rPr>
          <w:rFonts w:ascii="Palatino Linotype" w:hAnsi="Palatino Linotype"/>
        </w:rPr>
        <w:t xml:space="preserve">Más aún, a través de diversa jurisprudencia dictada por el Poder Judicial de la Federación se sostiene que la finalidad de la fundamentación o motivación es la de explicar, justificar, posibilitar la defensa y comunicar la decisión de la autoridad: </w:t>
      </w:r>
    </w:p>
    <w:p w:rsidR="00162E11" w:rsidRPr="00DA7E81"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spacing w:line="360" w:lineRule="auto"/>
        <w:ind w:left="851" w:right="822"/>
        <w:contextualSpacing/>
        <w:jc w:val="both"/>
        <w:rPr>
          <w:rFonts w:ascii="Palatino Linotype" w:hAnsi="Palatino Linotype"/>
          <w:i/>
          <w:sz w:val="22"/>
        </w:rPr>
      </w:pPr>
      <w:r w:rsidRPr="00DA7E81">
        <w:rPr>
          <w:rFonts w:ascii="Palatino Linotype" w:hAnsi="Palatino Linotype"/>
          <w:b/>
          <w:i/>
          <w:sz w:val="22"/>
        </w:rPr>
        <w:t>“FUNDAMENTACIÓN Y MOTIVACIÓN. EL ASPECTO FORMAL DE LA GARANTÍA Y SU FINALIDAD SE TRADUCEN EN EXPLICAR, JUSTIFICAR, POSIBILITAR LA DEFENSA Y COMUNICAR LA DECISIÓN.</w:t>
      </w:r>
      <w:r w:rsidRPr="00DA7E81">
        <w:rPr>
          <w:rFonts w:ascii="Palatino Linotype" w:hAnsi="Palatino Linotype"/>
          <w:i/>
          <w:sz w:val="22"/>
        </w:rPr>
        <w:t xml:space="preserve"> El contenido formal de la garantía de legalidad prevista en el artículo 16 constitucional relativa a la fundamentación y motivación tiene como propósito primordial y ratio que el justiciable conozca el "para qué" de la conducta de la </w:t>
      </w:r>
      <w:r w:rsidRPr="00DA7E81">
        <w:rPr>
          <w:rFonts w:ascii="Palatino Linotype" w:hAnsi="Palatino Linotype"/>
          <w:i/>
          <w:sz w:val="22"/>
        </w:rPr>
        <w:lastRenderedPageBreak/>
        <w:t xml:space="preserve">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w:t>
      </w:r>
      <w:r w:rsidRPr="00DA7E81">
        <w:rPr>
          <w:rFonts w:ascii="Palatino Linotype" w:hAnsi="Palatino Linotype"/>
          <w:i/>
          <w:sz w:val="22"/>
          <w:u w:val="single"/>
        </w:rPr>
        <w:t>no basta que el acto de autoridad apenas observe una motivación pro forma pero de una manera incongruente, insuficiente o imprecisa,</w:t>
      </w:r>
      <w:r w:rsidRPr="00DA7E81">
        <w:rPr>
          <w:rFonts w:ascii="Palatino Linotype" w:hAnsi="Palatino Linotype"/>
          <w:i/>
          <w:sz w:val="22"/>
        </w:rPr>
        <w:t xml:space="preserve"> que impida la finalidad del conocimiento, comprobación y defensa pertinente, </w:t>
      </w:r>
      <w:r w:rsidRPr="00DA7E81">
        <w:rPr>
          <w:rFonts w:ascii="Palatino Linotype" w:hAnsi="Palatino Linotype"/>
          <w:i/>
          <w:sz w:val="22"/>
          <w:u w:val="single"/>
        </w:rPr>
        <w:t>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A7E81">
        <w:rPr>
          <w:rFonts w:ascii="Palatino Linotype" w:hAnsi="Palatino Linotype"/>
          <w:i/>
          <w:sz w:val="22"/>
        </w:rPr>
        <w:t>” (Sic)</w:t>
      </w:r>
    </w:p>
    <w:p w:rsidR="007803CE" w:rsidRPr="00DA7E81" w:rsidRDefault="007803CE" w:rsidP="001663BD">
      <w:pPr>
        <w:spacing w:line="360" w:lineRule="auto"/>
        <w:ind w:left="851" w:right="822"/>
        <w:contextualSpacing/>
        <w:jc w:val="both"/>
        <w:rPr>
          <w:rFonts w:ascii="Palatino Linotype" w:eastAsia="Calibri" w:hAnsi="Palatino Linotype" w:cs="Arial"/>
          <w:i/>
          <w:sz w:val="22"/>
        </w:rPr>
      </w:pPr>
    </w:p>
    <w:p w:rsidR="000E24F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En consecuencia, la fundamentación y motivación implica que, en el acto de autoridad, además de contenerse los supuestos jurídicos aplicables se expliquen claramente, porque, a través de la utilización de la norma se emitió el acto. De este modo, la persona que se siente afectada pueda impugnar la decisión, permitiéndole una real y auténtica defensa. En razón de lo anterior, es que se procede a realizar un análisis para determinar si el cambio de modalidad es procedente en razón de encontrarse debidamente fundado y motivado. </w:t>
      </w:r>
    </w:p>
    <w:p w:rsidR="001663BD" w:rsidRDefault="001663BD" w:rsidP="001663BD">
      <w:pPr>
        <w:spacing w:line="360" w:lineRule="auto"/>
        <w:ind w:right="49"/>
        <w:contextualSpacing/>
        <w:jc w:val="both"/>
        <w:rPr>
          <w:rFonts w:ascii="Palatino Linotype" w:eastAsia="Calibri" w:hAnsi="Palatino Linotype" w:cs="Arial"/>
        </w:rPr>
      </w:pPr>
    </w:p>
    <w:p w:rsidR="001663BD" w:rsidRDefault="001663BD" w:rsidP="001663BD">
      <w:pPr>
        <w:spacing w:line="360" w:lineRule="auto"/>
        <w:ind w:right="49"/>
        <w:contextualSpacing/>
        <w:jc w:val="both"/>
        <w:rPr>
          <w:rFonts w:ascii="Palatino Linotype" w:eastAsia="Calibri" w:hAnsi="Palatino Linotype" w:cs="Arial"/>
        </w:rPr>
      </w:pPr>
    </w:p>
    <w:p w:rsid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spacing w:line="360" w:lineRule="auto"/>
        <w:ind w:right="49"/>
        <w:contextualSpacing/>
        <w:jc w:val="both"/>
        <w:rPr>
          <w:rFonts w:ascii="Palatino Linotype" w:eastAsia="Calibri" w:hAnsi="Palatino Linotype" w:cs="Arial"/>
        </w:rPr>
      </w:pPr>
    </w:p>
    <w:p w:rsidR="00162E11" w:rsidRPr="00B601B0" w:rsidRDefault="00162E11" w:rsidP="001663BD">
      <w:pPr>
        <w:spacing w:line="360" w:lineRule="auto"/>
        <w:ind w:right="49"/>
        <w:contextualSpacing/>
        <w:jc w:val="both"/>
        <w:rPr>
          <w:rFonts w:ascii="Palatino Linotype" w:hAnsi="Palatino Linotype"/>
        </w:rPr>
      </w:pPr>
      <w:r w:rsidRPr="00B601B0">
        <w:rPr>
          <w:rFonts w:ascii="Palatino Linotype" w:hAnsi="Palatino Linotype"/>
        </w:rPr>
        <w:lastRenderedPageBreak/>
        <w:sym w:font="Symbol" w:char="F0B7"/>
      </w:r>
      <w:r w:rsidRPr="00B601B0">
        <w:rPr>
          <w:rFonts w:ascii="Palatino Linotype" w:hAnsi="Palatino Linotype"/>
        </w:rPr>
        <w:t xml:space="preserve"> Del cambio de modalidad </w:t>
      </w:r>
    </w:p>
    <w:p w:rsidR="00162E11" w:rsidRPr="00B601B0" w:rsidRDefault="00162E11" w:rsidP="001663BD">
      <w:pPr>
        <w:spacing w:line="360" w:lineRule="auto"/>
        <w:ind w:right="49"/>
        <w:contextualSpacing/>
        <w:jc w:val="both"/>
        <w:rPr>
          <w:rFonts w:ascii="Palatino Linotype" w:eastAsia="Calibri" w:hAnsi="Palatino Linotype" w:cs="Arial"/>
        </w:rPr>
      </w:pPr>
    </w:p>
    <w:p w:rsidR="00162E11" w:rsidRPr="00B601B0"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Primeramente subrayar que el SUJETO OBLIGADO ya asumió que genera, posee o administra la información requerida, tan es así que la puso a disposición del particular para su consulta directa. </w:t>
      </w:r>
    </w:p>
    <w:p w:rsidR="00162E11" w:rsidRPr="00B601B0" w:rsidRDefault="00162E11" w:rsidP="001663BD">
      <w:pPr>
        <w:spacing w:line="360" w:lineRule="auto"/>
        <w:ind w:right="49"/>
        <w:contextualSpacing/>
        <w:jc w:val="both"/>
        <w:rPr>
          <w:rFonts w:ascii="Palatino Linotype" w:eastAsia="Calibri" w:hAnsi="Palatino Linotype" w:cs="Arial"/>
        </w:rPr>
      </w:pPr>
    </w:p>
    <w:p w:rsidR="00162E11" w:rsidRPr="00B601B0"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Ahora bien, la modalidad de entrega como la forma de envío de la información se hará preferentemente como haya señalado el requirente; no obstante en los casos en que esto no sea posible, los sujetos obligados podrán garantizar la entrega a través de cualquier otro medio, siempre y cuando funde y motive la razón para hacerlo; nuevamente reiterando que la necesidad de fundar y motivar es imperante en todos los actos que emite cualquier autoridad. </w:t>
      </w:r>
    </w:p>
    <w:p w:rsidR="00162E11" w:rsidRPr="00B601B0" w:rsidRDefault="00162E11" w:rsidP="001663BD">
      <w:pPr>
        <w:spacing w:line="360" w:lineRule="auto"/>
        <w:ind w:right="49"/>
        <w:contextualSpacing/>
        <w:jc w:val="both"/>
        <w:rPr>
          <w:rFonts w:ascii="Palatino Linotype" w:eastAsia="Calibri" w:hAnsi="Palatino Linotype" w:cs="Arial"/>
        </w:rPr>
      </w:pPr>
    </w:p>
    <w:p w:rsidR="00162E11" w:rsidRPr="00B601B0"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En el caso que nos ocupa la presente resolución, se ha pretendido realizar el cambio de modalidad, derivado de que el </w:t>
      </w:r>
      <w:r w:rsidR="000E24F1">
        <w:rPr>
          <w:rFonts w:ascii="Palatino Linotype" w:hAnsi="Palatino Linotype"/>
        </w:rPr>
        <w:t>Hospital Regional de Alta Especialidad de Zumpango</w:t>
      </w:r>
      <w:r w:rsidRPr="00B601B0">
        <w:rPr>
          <w:rFonts w:ascii="Palatino Linotype" w:hAnsi="Palatino Linotype"/>
        </w:rPr>
        <w:t xml:space="preserve"> estima que se están </w:t>
      </w:r>
      <w:r w:rsidR="000E24F1">
        <w:rPr>
          <w:rFonts w:ascii="Palatino Linotype" w:hAnsi="Palatino Linotype"/>
        </w:rPr>
        <w:t>sobrepasando sus capacidades técnicas y humanas</w:t>
      </w:r>
      <w:r w:rsidRPr="00B601B0">
        <w:rPr>
          <w:rFonts w:ascii="Palatino Linotype" w:hAnsi="Palatino Linotype"/>
        </w:rPr>
        <w:t>.</w:t>
      </w:r>
    </w:p>
    <w:p w:rsidR="00162E11" w:rsidRPr="00B601B0" w:rsidRDefault="00162E11" w:rsidP="001663BD">
      <w:pPr>
        <w:spacing w:line="360" w:lineRule="auto"/>
        <w:ind w:right="49"/>
        <w:contextualSpacing/>
        <w:jc w:val="both"/>
        <w:rPr>
          <w:rFonts w:ascii="Palatino Linotype" w:eastAsia="Calibri" w:hAnsi="Palatino Linotype" w:cs="Arial"/>
        </w:rPr>
      </w:pPr>
    </w:p>
    <w:p w:rsidR="00162E11" w:rsidRPr="00AA7D47"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En ese contexto, el SUJETO OBLIGADO con la intención legítima de no lesionar el derecho humano, pone a disposición del solicitante los documentos solicitados en consulta directa, con fundamento en el artículo 158 y 164 de la Ley de Transparencia y Acceso a la Información Pública del Estado de México y Municipios, que establecen que excepcionalmente, de forma fundada y motivada, en el caso de que la información solicitada implique análisis, estudio o procesamiento de documentos, cuya entrega o reproducción sobrepase las capacidades técnicas, </w:t>
      </w:r>
      <w:r w:rsidRPr="00B601B0">
        <w:rPr>
          <w:rFonts w:ascii="Palatino Linotype" w:hAnsi="Palatino Linotype"/>
        </w:rPr>
        <w:lastRenderedPageBreak/>
        <w:t>administrativas y humanas del sujeto obligado, se podrá poner a disposición del solicitante los documentos en consulta directa.</w:t>
      </w:r>
    </w:p>
    <w:p w:rsidR="00AA7D47" w:rsidRPr="000E24F1" w:rsidRDefault="00AA7D47" w:rsidP="001663BD">
      <w:pPr>
        <w:spacing w:line="360" w:lineRule="auto"/>
        <w:ind w:right="49"/>
        <w:contextualSpacing/>
        <w:jc w:val="both"/>
        <w:rPr>
          <w:rFonts w:ascii="Palatino Linotype" w:eastAsia="Calibri" w:hAnsi="Palatino Linotype" w:cs="Arial"/>
        </w:rPr>
      </w:pPr>
    </w:p>
    <w:p w:rsidR="00EF72F9" w:rsidRPr="00E23240"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 Es decir, del artículo anterior se derivan tres hipótesis que en conjunto y de manera fundada y motivada, validan el cambio de modalidad de entrega de la información y las cuales son: que las documentales a proporcionar sobrepasen las capacidades técnicas, administrativa</w:t>
      </w:r>
      <w:r w:rsidR="00E23240">
        <w:rPr>
          <w:rFonts w:ascii="Palatino Linotype" w:hAnsi="Palatino Linotype"/>
        </w:rPr>
        <w:t>s y humanas del sujeto obligado.</w:t>
      </w:r>
    </w:p>
    <w:p w:rsidR="00162E11" w:rsidRPr="00B601B0" w:rsidRDefault="00162E11" w:rsidP="001663BD">
      <w:pPr>
        <w:spacing w:line="360" w:lineRule="auto"/>
        <w:ind w:right="49"/>
        <w:contextualSpacing/>
        <w:jc w:val="both"/>
        <w:rPr>
          <w:rFonts w:ascii="Palatino Linotype" w:eastAsia="Calibri" w:hAnsi="Palatino Linotype" w:cs="Arial"/>
        </w:rPr>
      </w:pPr>
    </w:p>
    <w:p w:rsidR="00162E11" w:rsidRPr="00AA7D47"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601B0">
        <w:rPr>
          <w:rFonts w:ascii="Palatino Linotype" w:hAnsi="Palatino Linotype"/>
        </w:rPr>
        <w:t xml:space="preserve">En ese sentido, de los oficios remitidos en respuesta, se advierte que son insuficientes para soportar y aceptar el cambio de modalidad </w:t>
      </w:r>
      <w:r w:rsidR="00AA7D47">
        <w:rPr>
          <w:rFonts w:ascii="Palatino Linotype" w:hAnsi="Palatino Linotype"/>
        </w:rPr>
        <w:t>pues no se motiva de forma correcta el cambio de modalidad.</w:t>
      </w:r>
    </w:p>
    <w:p w:rsidR="00AA7D47" w:rsidRPr="00AA7D47" w:rsidRDefault="00AA7D47" w:rsidP="001663BD">
      <w:pPr>
        <w:spacing w:line="360" w:lineRule="auto"/>
        <w:ind w:right="49"/>
        <w:contextualSpacing/>
        <w:jc w:val="both"/>
        <w:rPr>
          <w:rFonts w:ascii="Palatino Linotype" w:eastAsia="Calibri" w:hAnsi="Palatino Linotype" w:cs="Arial"/>
        </w:rPr>
      </w:pPr>
    </w:p>
    <w:p w:rsidR="001663BD" w:rsidRPr="001663BD" w:rsidRDefault="00AA7D47"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Para ello, cabe mencionar lo que se tiene por “capacidad”,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rsid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spacing w:line="360" w:lineRule="auto"/>
        <w:ind w:right="49"/>
        <w:contextualSpacing/>
        <w:jc w:val="both"/>
        <w:rPr>
          <w:rFonts w:ascii="Palatino Linotype" w:hAnsi="Palatino Linotype"/>
        </w:rPr>
      </w:pPr>
      <w:r w:rsidRPr="001663BD">
        <w:rPr>
          <w:rFonts w:ascii="Palatino Linotype" w:hAnsi="Palatino Linotype"/>
        </w:rPr>
        <w:t xml:space="preserve">a. De las capacidades técnicas administrativas y humanas </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w:t>
      </w:r>
      <w:r w:rsidRPr="001663BD">
        <w:rPr>
          <w:rFonts w:ascii="Palatino Linotype" w:hAnsi="Palatino Linotype"/>
        </w:rPr>
        <w:lastRenderedPageBreak/>
        <w:t xml:space="preserve">información, es posible darle seguimiento a la presentación, respuesta, inconformidad y resolución de la misma. </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eficiencia organizacional para efectuar funciones esenciales. </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33. Desde una perspectiva institucional, la capacidad administrativa es entendida como “las habilidades técnico-burocráticas del aparato estatal requeridas para alcanzar sus objetos. En este componente se ubican el nivel micro y meso de la Capacidad Institucional. El primero hace alusión al individuo, al </w:t>
      </w:r>
      <w:r w:rsidRPr="001663BD">
        <w:rPr>
          <w:rFonts w:ascii="Palatino Linotype" w:hAnsi="Palatino Linotype"/>
        </w:rPr>
        <w:lastRenderedPageBreak/>
        <w:t>recursos humano. En el segundo nivel, se ubica la capacidad de gestión, el cual se centra en el fortalecimiento organizacional como área de intervención para construir capacidad; cultura organizacional, sistemas de comunicación u organización”.</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Ahora bien, respecto de las capacidades humanas vale la pena precisar lo que se denomina por recursos humanos, siendo esto el conjunto de personas con las que cuenta una determinada organización, para desarrollar y ejecutar de manera correcta las acciones, actividades, labores y tareas que deben realizarse y que han sido solicitadas.</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t>Las personas, son la parte fundamental de una organización 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w:t>
      </w:r>
    </w:p>
    <w:p w:rsidR="001663BD" w:rsidRPr="001663BD" w:rsidRDefault="001663BD" w:rsidP="001663BD">
      <w:pPr>
        <w:spacing w:line="360" w:lineRule="auto"/>
        <w:ind w:right="49"/>
        <w:contextualSpacing/>
        <w:jc w:val="both"/>
        <w:rPr>
          <w:rFonts w:ascii="Palatino Linotype" w:eastAsia="Calibri" w:hAnsi="Palatino Linotype" w:cs="Arial"/>
        </w:rPr>
      </w:pPr>
    </w:p>
    <w:p w:rsidR="001663BD" w:rsidRPr="001663BD" w:rsidRDefault="001663BD" w:rsidP="001663BD">
      <w:pPr>
        <w:numPr>
          <w:ilvl w:val="0"/>
          <w:numId w:val="1"/>
        </w:numPr>
        <w:spacing w:line="360" w:lineRule="auto"/>
        <w:ind w:left="0" w:right="49" w:firstLine="0"/>
        <w:contextualSpacing/>
        <w:jc w:val="both"/>
        <w:rPr>
          <w:rFonts w:ascii="Palatino Linotype" w:eastAsia="Calibri" w:hAnsi="Palatino Linotype" w:cs="Arial"/>
        </w:rPr>
      </w:pPr>
      <w:r w:rsidRPr="001663BD">
        <w:rPr>
          <w:rFonts w:ascii="Palatino Linotype" w:hAnsi="Palatino Linotype"/>
        </w:rPr>
        <w:lastRenderedPageBreak/>
        <w:t>Ante ello, con fundamento en el artículo 158 de la Ley de Transparencia y Acceso a la Información Pública del Estado de México y Municipios, no se acredita que se rebasen las capacidades técnicas administrativas y humanas, pues el Sujeto Obligado solo se limitó a referir que debido a las necesidades, funciones y operatividad de la Subdirección de Personal, se sobrepasa las capacidades técnicas, administrativas y humanas.</w:t>
      </w:r>
    </w:p>
    <w:p w:rsidR="00AA4A84" w:rsidRPr="004C68C1" w:rsidRDefault="00AA4A84" w:rsidP="001663BD">
      <w:pPr>
        <w:spacing w:line="360" w:lineRule="auto"/>
        <w:ind w:right="49"/>
        <w:contextualSpacing/>
        <w:jc w:val="both"/>
        <w:rPr>
          <w:rFonts w:ascii="Palatino Linotype" w:eastAsia="Calibri" w:hAnsi="Palatino Linotype" w:cs="Arial"/>
        </w:rPr>
      </w:pPr>
    </w:p>
    <w:p w:rsidR="00162E11" w:rsidRPr="004C68C1" w:rsidRDefault="00162E11" w:rsidP="001663BD">
      <w:pPr>
        <w:spacing w:line="360" w:lineRule="auto"/>
        <w:ind w:right="49"/>
        <w:contextualSpacing/>
        <w:jc w:val="both"/>
        <w:rPr>
          <w:rFonts w:ascii="Palatino Linotype" w:hAnsi="Palatino Linotype"/>
        </w:rPr>
      </w:pPr>
      <w:r>
        <w:sym w:font="Symbol" w:char="F0B7"/>
      </w:r>
      <w:r>
        <w:t xml:space="preserve"> </w:t>
      </w:r>
      <w:r w:rsidRPr="004C68C1">
        <w:rPr>
          <w:rFonts w:ascii="Palatino Linotype" w:hAnsi="Palatino Linotype"/>
        </w:rPr>
        <w:t>Del reporte de incidencias</w:t>
      </w:r>
    </w:p>
    <w:p w:rsidR="00162E11" w:rsidRPr="004C68C1" w:rsidRDefault="00162E11" w:rsidP="001663BD">
      <w:pPr>
        <w:spacing w:line="360" w:lineRule="auto"/>
        <w:ind w:right="49"/>
        <w:contextualSpacing/>
        <w:jc w:val="both"/>
        <w:rPr>
          <w:rFonts w:ascii="Palatino Linotype" w:eastAsia="Calibri" w:hAnsi="Palatino Linotype" w:cs="Arial"/>
        </w:rPr>
      </w:pPr>
    </w:p>
    <w:p w:rsidR="00162E11" w:rsidRPr="004C68C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4C68C1">
        <w:rPr>
          <w:rFonts w:ascii="Palatino Linotype" w:hAnsi="Palatino Linotype"/>
        </w:rPr>
        <w:t xml:space="preserve"> Por otro lado, es necesario subrayar, que no basta con que el SUJETO OBLIGADO alegue que </w:t>
      </w:r>
      <w:r w:rsidR="00AA4A84">
        <w:rPr>
          <w:rFonts w:ascii="Palatino Linotype" w:hAnsi="Palatino Linotype"/>
        </w:rPr>
        <w:t>se sobrepasan sus capacidades técnicas</w:t>
      </w:r>
      <w:r w:rsidRPr="004C68C1">
        <w:rPr>
          <w:rFonts w:ascii="Palatino Linotype" w:hAnsi="Palatino Linotype"/>
        </w:rPr>
        <w:t xml:space="preserve"> </w:t>
      </w:r>
      <w:r w:rsidR="00AA4A84">
        <w:rPr>
          <w:rFonts w:ascii="Palatino Linotype" w:hAnsi="Palatino Linotype"/>
        </w:rPr>
        <w:t>para la entrega de la información</w:t>
      </w:r>
      <w:r w:rsidRPr="004C68C1">
        <w:rPr>
          <w:rFonts w:ascii="Palatino Linotype" w:hAnsi="Palatino Linotype"/>
        </w:rPr>
        <w:t xml:space="preserve">, se requiere también generar previo a la respuesta un reporte de incidencias ante la Dirección de Informática de éste Instituto, de conformidad con el numeral CINCUENTA Y CUATRO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que a la letra señalan: </w:t>
      </w:r>
    </w:p>
    <w:p w:rsidR="00162E11" w:rsidRPr="004C68C1" w:rsidRDefault="00162E11" w:rsidP="001663BD">
      <w:pPr>
        <w:spacing w:line="360" w:lineRule="auto"/>
        <w:ind w:right="49"/>
        <w:contextualSpacing/>
        <w:jc w:val="both"/>
        <w:rPr>
          <w:rFonts w:ascii="Palatino Linotype" w:eastAsia="Calibri" w:hAnsi="Palatino Linotype" w:cs="Arial"/>
        </w:rPr>
      </w:pPr>
    </w:p>
    <w:p w:rsidR="00162E11" w:rsidRPr="004C68C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b/>
          <w:i/>
          <w:sz w:val="22"/>
        </w:rPr>
        <w:lastRenderedPageBreak/>
        <w:t>CINCUENTA Y CUATRO</w:t>
      </w:r>
      <w:r w:rsidRPr="004C68C1">
        <w:rPr>
          <w:rFonts w:ascii="Palatino Linotype" w:hAnsi="Palatino Linotype"/>
          <w:i/>
          <w:sz w:val="22"/>
        </w:rPr>
        <w:t xml:space="preserve">.- De acuerdo a lo dispuesto por el párrafo segundo del artículo 48 de la Ley, la información podrá ser entregada vía electrónica a través del SICOSIEM. </w:t>
      </w:r>
    </w:p>
    <w:p w:rsidR="00162E11" w:rsidRPr="004C68C1" w:rsidRDefault="00162E11" w:rsidP="001663BD">
      <w:pPr>
        <w:spacing w:line="360" w:lineRule="auto"/>
        <w:ind w:left="851" w:right="822"/>
        <w:contextualSpacing/>
        <w:jc w:val="both"/>
        <w:rPr>
          <w:rFonts w:ascii="Palatino Linotype" w:hAnsi="Palatino Linotype"/>
          <w:i/>
          <w:sz w:val="22"/>
        </w:rPr>
      </w:pPr>
    </w:p>
    <w:p w:rsidR="00162E11" w:rsidRPr="004C68C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i/>
          <w:sz w:val="22"/>
        </w:rPr>
        <w:t xml:space="preserve">Es obligación del responsable de la Unidad de Información verificar que los archivos electrónicos que contengan la información entregada, se encuentra agregada al SICOSIEM. </w:t>
      </w:r>
    </w:p>
    <w:p w:rsidR="00162E11" w:rsidRPr="004C68C1" w:rsidRDefault="00162E11" w:rsidP="001663BD">
      <w:pPr>
        <w:spacing w:line="360" w:lineRule="auto"/>
        <w:ind w:left="851" w:right="822"/>
        <w:contextualSpacing/>
        <w:jc w:val="both"/>
        <w:rPr>
          <w:rFonts w:ascii="Palatino Linotype" w:hAnsi="Palatino Linotype"/>
          <w:i/>
          <w:sz w:val="22"/>
        </w:rPr>
      </w:pPr>
    </w:p>
    <w:p w:rsidR="00162E11" w:rsidRDefault="00162E11" w:rsidP="001663BD">
      <w:pPr>
        <w:spacing w:line="360" w:lineRule="auto"/>
        <w:ind w:left="851" w:right="822"/>
        <w:contextualSpacing/>
        <w:jc w:val="both"/>
        <w:rPr>
          <w:rFonts w:ascii="Palatino Linotype" w:hAnsi="Palatino Linotype"/>
          <w:b/>
          <w:i/>
          <w:sz w:val="22"/>
        </w:rPr>
      </w:pPr>
      <w:r w:rsidRPr="004C68C1">
        <w:rPr>
          <w:rFonts w:ascii="Palatino Linotype" w:hAnsi="Palatino Linotype"/>
          <w:i/>
          <w:sz w:val="22"/>
        </w:rPr>
        <w:t xml:space="preserve">En caso de que el responsable de la Unidad de Información no pueda agregar al SICOSIEM los archivos electrónicos que contengan la información por motivos técnicos, </w:t>
      </w:r>
      <w:r w:rsidRPr="004C68C1">
        <w:rPr>
          <w:rFonts w:ascii="Palatino Linotype" w:hAnsi="Palatino Linotype"/>
          <w:b/>
          <w:i/>
          <w:sz w:val="22"/>
        </w:rPr>
        <w:t xml:space="preserve">debe avisar de inmediato al Instituto, a través del correo electrónico institucional, Además de comunicarse vía telefónica de inmediato a efecto de que reciba el apoyo técnico correspondiente. </w:t>
      </w:r>
    </w:p>
    <w:p w:rsidR="00162E11" w:rsidRDefault="00162E11" w:rsidP="001663BD">
      <w:pPr>
        <w:spacing w:line="360" w:lineRule="auto"/>
        <w:ind w:left="851" w:right="822"/>
        <w:contextualSpacing/>
        <w:jc w:val="both"/>
        <w:rPr>
          <w:rFonts w:ascii="Palatino Linotype" w:hAnsi="Palatino Linotype"/>
          <w:b/>
          <w:i/>
          <w:sz w:val="22"/>
        </w:rPr>
      </w:pPr>
    </w:p>
    <w:p w:rsidR="00162E11" w:rsidRPr="004C68C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b/>
          <w:i/>
          <w:sz w:val="22"/>
        </w:rPr>
        <w:t>La Dirección de Sistemas e Informática del Instituto, debe llevar un registro de incidencias en el cual se asienten todas las llamas referentes al apoyo técnico para agregar los archivos electrónicos al SICOSIEM.</w:t>
      </w:r>
      <w:r w:rsidRPr="004C68C1">
        <w:rPr>
          <w:rFonts w:ascii="Palatino Linotype" w:hAnsi="Palatino Linotype"/>
          <w:i/>
          <w:sz w:val="22"/>
        </w:rPr>
        <w:t xml:space="preserve"> </w:t>
      </w:r>
    </w:p>
    <w:p w:rsidR="00162E11" w:rsidRPr="004C68C1" w:rsidRDefault="00162E11" w:rsidP="001663BD">
      <w:pPr>
        <w:spacing w:line="360" w:lineRule="auto"/>
        <w:ind w:left="851" w:right="822"/>
        <w:contextualSpacing/>
        <w:jc w:val="both"/>
        <w:rPr>
          <w:rFonts w:ascii="Palatino Linotype" w:hAnsi="Palatino Linotype"/>
          <w:i/>
          <w:sz w:val="22"/>
        </w:rPr>
      </w:pPr>
    </w:p>
    <w:p w:rsidR="00162E11" w:rsidRPr="004C68C1" w:rsidRDefault="00162E11" w:rsidP="001663BD">
      <w:pPr>
        <w:spacing w:line="360" w:lineRule="auto"/>
        <w:ind w:left="851" w:right="822"/>
        <w:contextualSpacing/>
        <w:jc w:val="both"/>
        <w:rPr>
          <w:rFonts w:ascii="Palatino Linotype" w:hAnsi="Palatino Linotype"/>
          <w:b/>
          <w:i/>
          <w:sz w:val="22"/>
        </w:rPr>
      </w:pPr>
      <w:r w:rsidRPr="004C68C1">
        <w:rPr>
          <w:rFonts w:ascii="Palatino Linotype" w:hAnsi="Palatino Linotype"/>
          <w:b/>
          <w:i/>
          <w:sz w:val="22"/>
        </w:rPr>
        <w:t xml:space="preserve">La omisión por parte del responsable de la Unidad de Información del procedimiento antes descrito presume la negativa de la entrega de la Información. </w:t>
      </w:r>
    </w:p>
    <w:p w:rsidR="00162E11" w:rsidRPr="004C68C1" w:rsidRDefault="00162E11" w:rsidP="001663BD">
      <w:pPr>
        <w:spacing w:line="360" w:lineRule="auto"/>
        <w:ind w:left="851" w:right="822"/>
        <w:contextualSpacing/>
        <w:jc w:val="both"/>
        <w:rPr>
          <w:rFonts w:ascii="Palatino Linotype" w:hAnsi="Palatino Linotype"/>
          <w:i/>
          <w:sz w:val="22"/>
        </w:rPr>
      </w:pPr>
    </w:p>
    <w:p w:rsidR="00162E11" w:rsidRPr="004C68C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i/>
          <w:sz w:val="22"/>
        </w:rPr>
        <w:t xml:space="preserve">Cuando la información no pueda ser remitida vía electrónica, se deberá fundar y motivar la resolución respectiva, explicando en todo momento las causas que impiden el envío de la información de forma electrónica. </w:t>
      </w:r>
    </w:p>
    <w:p w:rsidR="00162E11" w:rsidRPr="004C68C1" w:rsidRDefault="00162E11" w:rsidP="001663BD">
      <w:pPr>
        <w:spacing w:line="360" w:lineRule="auto"/>
        <w:ind w:left="851" w:right="822"/>
        <w:contextualSpacing/>
        <w:jc w:val="both"/>
        <w:rPr>
          <w:rFonts w:ascii="Palatino Linotype" w:hAnsi="Palatino Linotype"/>
          <w:i/>
          <w:sz w:val="22"/>
        </w:rPr>
      </w:pPr>
    </w:p>
    <w:p w:rsidR="00162E11" w:rsidRPr="004C68C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i/>
          <w:sz w:val="22"/>
        </w:rPr>
        <w:lastRenderedPageBreak/>
        <w:t xml:space="preserve">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 </w:t>
      </w:r>
    </w:p>
    <w:p w:rsidR="00162E11" w:rsidRPr="004C68C1" w:rsidRDefault="00162E11" w:rsidP="001663BD">
      <w:pPr>
        <w:spacing w:line="360" w:lineRule="auto"/>
        <w:ind w:left="851" w:right="822"/>
        <w:contextualSpacing/>
        <w:jc w:val="both"/>
        <w:rPr>
          <w:rFonts w:ascii="Palatino Linotype" w:hAnsi="Palatino Linotype"/>
          <w:i/>
          <w:sz w:val="22"/>
        </w:rPr>
      </w:pPr>
    </w:p>
    <w:p w:rsidR="00162E1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i/>
          <w:sz w:val="22"/>
        </w:rPr>
        <w:t xml:space="preserve">El formato mencionado deberá estar agregado al expediente electrónico de la solicitud </w:t>
      </w:r>
    </w:p>
    <w:p w:rsidR="00162E11" w:rsidRDefault="00162E11" w:rsidP="001663BD">
      <w:pPr>
        <w:spacing w:line="360" w:lineRule="auto"/>
        <w:ind w:left="851" w:right="822"/>
        <w:contextualSpacing/>
        <w:jc w:val="both"/>
        <w:rPr>
          <w:rFonts w:ascii="Palatino Linotype" w:hAnsi="Palatino Linotype"/>
          <w:i/>
          <w:sz w:val="22"/>
        </w:rPr>
      </w:pPr>
      <w:r w:rsidRPr="004C68C1">
        <w:rPr>
          <w:rFonts w:ascii="Palatino Linotype" w:hAnsi="Palatino Linotype"/>
          <w:i/>
          <w:sz w:val="22"/>
        </w:rPr>
        <w:t>de información pública, en el estatus respectivo.</w:t>
      </w:r>
    </w:p>
    <w:p w:rsidR="00162E11" w:rsidRPr="004C68C1" w:rsidRDefault="00162E11" w:rsidP="001663BD">
      <w:pPr>
        <w:spacing w:line="360" w:lineRule="auto"/>
        <w:ind w:left="851" w:right="822"/>
        <w:contextualSpacing/>
        <w:jc w:val="both"/>
        <w:rPr>
          <w:rFonts w:ascii="Palatino Linotype" w:eastAsia="Calibri" w:hAnsi="Palatino Linotype" w:cs="Arial"/>
          <w:i/>
          <w:sz w:val="22"/>
        </w:rPr>
      </w:pPr>
    </w:p>
    <w:p w:rsidR="00162E11" w:rsidRPr="0013578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BC4863">
        <w:rPr>
          <w:rFonts w:ascii="Palatino Linotype" w:hAnsi="Palatino Linotype"/>
        </w:rPr>
        <w:t xml:space="preserve">En ese sentido, esta Ponencia que resuelve, solicitó vía correo electrónico a la Dirección de Informática, informara respecto a la capacidad máxima que soporta el SAIMEX para adjuntar archivos electrónicos, y verificar si existió registro de </w:t>
      </w:r>
      <w:r w:rsidRPr="00135781">
        <w:rPr>
          <w:rFonts w:ascii="Palatino Linotype" w:hAnsi="Palatino Linotype"/>
        </w:rPr>
        <w:t>incidencias por parte del Instituto Materno Infantil del Estado de México, relativas a los asuntos de mérito donde se pretende el cambio de modalidad, obteniendo la siguiente respuesta:</w:t>
      </w:r>
    </w:p>
    <w:p w:rsidR="00AA4A84" w:rsidRPr="00135781" w:rsidRDefault="00AA4A84" w:rsidP="001663BD">
      <w:pPr>
        <w:spacing w:line="360" w:lineRule="auto"/>
        <w:ind w:right="49"/>
        <w:contextualSpacing/>
        <w:jc w:val="both"/>
        <w:rPr>
          <w:rFonts w:ascii="Palatino Linotype" w:eastAsia="Calibri" w:hAnsi="Palatino Linotype" w:cs="Arial"/>
        </w:rPr>
      </w:pPr>
    </w:p>
    <w:p w:rsidR="00162E11" w:rsidRDefault="00AA4A84" w:rsidP="001663BD">
      <w:pPr>
        <w:spacing w:line="360" w:lineRule="auto"/>
        <w:ind w:right="49"/>
        <w:contextualSpacing/>
        <w:jc w:val="center"/>
        <w:rPr>
          <w:rFonts w:ascii="Palatino Linotype" w:hAnsi="Palatino Linotype"/>
        </w:rPr>
      </w:pPr>
      <w:r>
        <w:rPr>
          <w:noProof/>
          <w:lang w:val="es-ES" w:eastAsia="es-ES"/>
        </w:rPr>
        <w:drawing>
          <wp:inline distT="0" distB="0" distL="0" distR="0" wp14:anchorId="6D8DCA89" wp14:editId="58D02094">
            <wp:extent cx="5562600" cy="1924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220" t="35987" r="5131" b="24485"/>
                    <a:stretch/>
                  </pic:blipFill>
                  <pic:spPr bwMode="auto">
                    <a:xfrm>
                      <a:off x="0" y="0"/>
                      <a:ext cx="5571984" cy="1927296"/>
                    </a:xfrm>
                    <a:prstGeom prst="rect">
                      <a:avLst/>
                    </a:prstGeom>
                    <a:ln>
                      <a:noFill/>
                    </a:ln>
                    <a:extLst>
                      <a:ext uri="{53640926-AAD7-44D8-BBD7-CCE9431645EC}">
                        <a14:shadowObscured xmlns:a14="http://schemas.microsoft.com/office/drawing/2010/main"/>
                      </a:ext>
                    </a:extLst>
                  </pic:spPr>
                </pic:pic>
              </a:graphicData>
            </a:graphic>
          </wp:inline>
        </w:drawing>
      </w:r>
    </w:p>
    <w:p w:rsidR="00162E11" w:rsidRPr="00504F78"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numPr>
          <w:ilvl w:val="0"/>
          <w:numId w:val="1"/>
        </w:numPr>
        <w:spacing w:line="360" w:lineRule="auto"/>
        <w:ind w:left="0" w:right="49" w:firstLine="0"/>
        <w:contextualSpacing/>
        <w:jc w:val="both"/>
        <w:rPr>
          <w:rFonts w:ascii="Palatino Linotype" w:hAnsi="Palatino Linotype"/>
        </w:rPr>
      </w:pPr>
      <w:r w:rsidRPr="00135781">
        <w:rPr>
          <w:rFonts w:ascii="Palatino Linotype" w:hAnsi="Palatino Linotype"/>
        </w:rPr>
        <w:lastRenderedPageBreak/>
        <w:t>De lo anterior, se desprende que el máximo de archivos que soporta el SAIMEX para adjuntar información es de hasta 8,000 hojas o peso aproximado de 500Mb, en ese sentido el SUJETO OBLIGADO no señaló con claridad a cuanto equivale el número de fojas o peso aproximado de megabytes, que imposibilite la entrega de la información por la vía solicitada; asimismo, se desprende con claridad que no se realizaron los reportes de incidencias correspondientes</w:t>
      </w:r>
      <w:r w:rsidR="00135781">
        <w:rPr>
          <w:rFonts w:ascii="Palatino Linotype" w:hAnsi="Palatino Linotype"/>
        </w:rPr>
        <w:t>.</w:t>
      </w:r>
    </w:p>
    <w:p w:rsidR="00135781" w:rsidRPr="00135781" w:rsidRDefault="00135781" w:rsidP="001663BD">
      <w:pPr>
        <w:spacing w:line="360" w:lineRule="auto"/>
        <w:ind w:right="49"/>
        <w:contextualSpacing/>
        <w:jc w:val="both"/>
        <w:rPr>
          <w:rFonts w:ascii="Palatino Linotype" w:hAnsi="Palatino Linotype"/>
        </w:rPr>
      </w:pPr>
    </w:p>
    <w:p w:rsidR="00162E11" w:rsidRPr="000A24B1" w:rsidRDefault="00162E11" w:rsidP="001663BD">
      <w:pPr>
        <w:spacing w:line="360" w:lineRule="auto"/>
        <w:ind w:right="49"/>
        <w:contextualSpacing/>
        <w:jc w:val="both"/>
        <w:rPr>
          <w:rFonts w:ascii="Palatino Linotype" w:hAnsi="Palatino Linotype"/>
        </w:rPr>
      </w:pPr>
      <w:r w:rsidRPr="000A24B1">
        <w:rPr>
          <w:rFonts w:ascii="Palatino Linotype" w:hAnsi="Palatino Linotype"/>
        </w:rPr>
        <w:sym w:font="Symbol" w:char="F0B7"/>
      </w:r>
      <w:r w:rsidRPr="000A24B1">
        <w:rPr>
          <w:rFonts w:ascii="Palatino Linotype" w:hAnsi="Palatino Linotype"/>
        </w:rPr>
        <w:t xml:space="preserve"> De la modalidad de entrega de la información elegida</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Como anteriormente se hiciera mención, de las solicitudes de información se desprende que el particular eligió como modalidad de entrega de la información vía SAIMEX</w:t>
      </w:r>
      <w:r w:rsidR="00135781">
        <w:rPr>
          <w:rFonts w:ascii="Palatino Linotype" w:hAnsi="Palatino Linotype"/>
        </w:rPr>
        <w:t xml:space="preserve"> y correo electrónico</w:t>
      </w:r>
      <w:r w:rsidRPr="00CE023A">
        <w:rPr>
          <w:rFonts w:ascii="Palatino Linotype" w:hAnsi="Palatino Linotype"/>
        </w:rPr>
        <w:t>;</w:t>
      </w:r>
      <w:r w:rsidR="00135781">
        <w:rPr>
          <w:rFonts w:ascii="Palatino Linotype" w:hAnsi="Palatino Linotype"/>
        </w:rPr>
        <w:t xml:space="preserve"> por lo que se refiere al sistema SAIMEX, </w:t>
      </w:r>
      <w:r w:rsidRPr="00CE023A">
        <w:rPr>
          <w:rFonts w:ascii="Palatino Linotype" w:hAnsi="Palatino Linotype"/>
        </w:rPr>
        <w:t>tiene como propósito fundamental, proveer el ejercicio del derecho de acceso a la información pública, de forma sencilla y gratuita.</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 xml:space="preserve">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 </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spacing w:line="360" w:lineRule="auto"/>
        <w:ind w:left="851" w:right="822"/>
        <w:contextualSpacing/>
        <w:jc w:val="both"/>
        <w:rPr>
          <w:rFonts w:ascii="Palatino Linotype" w:hAnsi="Palatino Linotype"/>
          <w:i/>
          <w:sz w:val="22"/>
        </w:rPr>
      </w:pPr>
      <w:r w:rsidRPr="00CE023A">
        <w:rPr>
          <w:rFonts w:ascii="Palatino Linotype" w:hAnsi="Palatino Linotype"/>
          <w:i/>
          <w:sz w:val="22"/>
        </w:rPr>
        <w:t xml:space="preserve">“Artículo 88. La información referente a las obligaciones de transparencia será puesta a disposición de los particulares por cualquier medio que facilite su acceso, </w:t>
      </w:r>
      <w:r w:rsidRPr="00CE023A">
        <w:rPr>
          <w:rFonts w:ascii="Palatino Linotype" w:hAnsi="Palatino Linotype"/>
          <w:i/>
          <w:sz w:val="22"/>
        </w:rPr>
        <w:lastRenderedPageBreak/>
        <w:t>dando preferencia al uso de sistemas computacionales y las nuevas tecnologías de información.”</w:t>
      </w:r>
    </w:p>
    <w:p w:rsidR="00162E11" w:rsidRPr="00CE023A" w:rsidRDefault="00162E11" w:rsidP="001663BD">
      <w:pPr>
        <w:spacing w:line="360" w:lineRule="auto"/>
        <w:ind w:right="822"/>
        <w:contextualSpacing/>
        <w:jc w:val="both"/>
        <w:rPr>
          <w:rFonts w:ascii="Palatino Linotype" w:eastAsia="Calibri" w:hAnsi="Palatino Linotype" w:cs="Arial"/>
          <w:i/>
          <w:sz w:val="22"/>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Luego entonces,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spacing w:line="360" w:lineRule="auto"/>
        <w:ind w:left="851" w:right="822"/>
        <w:contextualSpacing/>
        <w:jc w:val="both"/>
        <w:rPr>
          <w:rFonts w:ascii="Palatino Linotype" w:hAnsi="Palatino Linotype"/>
          <w:i/>
          <w:sz w:val="22"/>
        </w:rPr>
      </w:pPr>
      <w:r w:rsidRPr="00CE023A">
        <w:rPr>
          <w:rFonts w:ascii="Palatino Linotype" w:hAnsi="Palatino Linotype"/>
          <w:i/>
          <w:sz w:val="22"/>
        </w:rPr>
        <w:t xml:space="preserve"> “</w:t>
      </w:r>
      <w:r w:rsidRPr="00CE023A">
        <w:rPr>
          <w:rFonts w:ascii="Palatino Linotype" w:hAnsi="Palatino Linotype"/>
          <w:b/>
          <w:i/>
          <w:sz w:val="22"/>
        </w:rPr>
        <w:t>FUNDAMENTACIÓN Y MOTIVACIÓN DE LOS ACTOS ADMINISTRATIVOS.</w:t>
      </w:r>
      <w:r w:rsidRPr="00CE023A">
        <w:rPr>
          <w:rFonts w:ascii="Palatino Linotype" w:hAnsi="Palatino Linotype"/>
          <w:i/>
          <w:sz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rsidR="00162E11" w:rsidRPr="00CE023A" w:rsidRDefault="00162E11" w:rsidP="001663BD">
      <w:pPr>
        <w:spacing w:line="360" w:lineRule="auto"/>
        <w:ind w:left="851" w:right="822"/>
        <w:contextualSpacing/>
        <w:jc w:val="both"/>
        <w:rPr>
          <w:rFonts w:ascii="Palatino Linotype" w:eastAsia="Calibri" w:hAnsi="Palatino Linotype" w:cs="Arial"/>
          <w:i/>
          <w:sz w:val="22"/>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Por su parte, el artículo 158 de la Ley de Transparencia y Acceso a la Información Pública del Estado de México y Municipios, establece lo siguiente:</w:t>
      </w:r>
    </w:p>
    <w:p w:rsidR="00162E11" w:rsidRPr="00CE023A" w:rsidRDefault="00162E11" w:rsidP="001663BD">
      <w:pPr>
        <w:spacing w:line="360" w:lineRule="auto"/>
        <w:ind w:right="49"/>
        <w:contextualSpacing/>
        <w:jc w:val="both"/>
        <w:rPr>
          <w:rFonts w:ascii="Palatino Linotype" w:hAnsi="Palatino Linotype"/>
        </w:rPr>
      </w:pPr>
    </w:p>
    <w:p w:rsidR="00162E11" w:rsidRDefault="00162E11" w:rsidP="001663BD">
      <w:pPr>
        <w:spacing w:line="360" w:lineRule="auto"/>
        <w:ind w:left="851" w:right="822"/>
        <w:contextualSpacing/>
        <w:jc w:val="both"/>
        <w:rPr>
          <w:rFonts w:ascii="Palatino Linotype" w:hAnsi="Palatino Linotype"/>
          <w:i/>
          <w:sz w:val="22"/>
        </w:rPr>
      </w:pPr>
      <w:r w:rsidRPr="00CE023A">
        <w:rPr>
          <w:rFonts w:ascii="Palatino Linotype" w:hAnsi="Palatino Linotype"/>
          <w:i/>
          <w:sz w:val="22"/>
        </w:rPr>
        <w:lastRenderedPageBreak/>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162E11" w:rsidRDefault="00162E11" w:rsidP="001663BD">
      <w:pPr>
        <w:spacing w:line="360" w:lineRule="auto"/>
        <w:ind w:left="851" w:right="822"/>
        <w:contextualSpacing/>
        <w:jc w:val="both"/>
        <w:rPr>
          <w:rFonts w:ascii="Palatino Linotype" w:hAnsi="Palatino Linotype"/>
          <w:i/>
          <w:sz w:val="22"/>
        </w:rPr>
      </w:pPr>
      <w:r w:rsidRPr="00CE023A">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162E11" w:rsidRPr="00CE023A" w:rsidRDefault="00162E11" w:rsidP="001663BD">
      <w:pPr>
        <w:spacing w:line="360" w:lineRule="auto"/>
        <w:ind w:left="851" w:right="822"/>
        <w:contextualSpacing/>
        <w:jc w:val="both"/>
        <w:rPr>
          <w:rFonts w:ascii="Palatino Linotype" w:eastAsia="Calibri" w:hAnsi="Palatino Linotype" w:cs="Arial"/>
          <w:i/>
          <w:sz w:val="22"/>
        </w:rPr>
      </w:pPr>
    </w:p>
    <w:p w:rsidR="00162E1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eastAsia="Calibri" w:hAnsi="Palatino Linotype" w:cs="Arial"/>
        </w:rPr>
        <w:t>Por lo cual, los sujetos obligados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rsidR="00162E11" w:rsidRDefault="00162E11" w:rsidP="001663BD">
      <w:pPr>
        <w:spacing w:line="360" w:lineRule="auto"/>
        <w:ind w:right="49"/>
        <w:contextualSpacing/>
        <w:jc w:val="both"/>
        <w:rPr>
          <w:rFonts w:ascii="Palatino Linotype" w:eastAsia="Calibri" w:hAnsi="Palatino Linotype" w:cs="Arial"/>
        </w:rPr>
      </w:pPr>
    </w:p>
    <w:p w:rsidR="00162E11" w:rsidRPr="000A24B1"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En ese contexto,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Default="00162E11" w:rsidP="001663BD">
      <w:pPr>
        <w:spacing w:line="360" w:lineRule="auto"/>
        <w:ind w:left="851" w:right="822"/>
        <w:contextualSpacing/>
        <w:jc w:val="both"/>
        <w:rPr>
          <w:rFonts w:ascii="Palatino Linotype" w:hAnsi="Palatino Linotype"/>
          <w:i/>
          <w:sz w:val="22"/>
        </w:rPr>
      </w:pPr>
      <w:r w:rsidRPr="00CE023A">
        <w:rPr>
          <w:rFonts w:ascii="Palatino Linotype" w:hAnsi="Palatino Linotype"/>
          <w:i/>
          <w:sz w:val="22"/>
        </w:rPr>
        <w:t>“</w:t>
      </w:r>
      <w:r w:rsidRPr="000A24B1">
        <w:rPr>
          <w:rFonts w:ascii="Palatino Linotype" w:hAnsi="Palatino Linotype"/>
          <w:b/>
          <w:i/>
          <w:sz w:val="22"/>
        </w:rPr>
        <w:t>CINCUENTA Y CUATRO</w:t>
      </w:r>
      <w:r w:rsidRPr="00CE023A">
        <w:rPr>
          <w:rFonts w:ascii="Palatino Linotype" w:hAnsi="Palatino Linotype"/>
          <w:i/>
          <w:sz w:val="22"/>
        </w:rPr>
        <w:t>.- De acuerdo a lo dispuesto por el párrafo segundo del artículo 48 de la Ley, la información podrá ser entregada vía electrónica a través del SICOSIEM. Es obligación del responsable de la Unidad de Información verificar que los archivos electrónicos que contengan la información entregada, se encuentra agregada al SICOSIEM. 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 La Dirección de Sistemas e Informática del Instituto, debe llevar un registro de incidencias en el cual se asienten todas las llamas referentes al apoyo técnico para agregar los archivos electrónicos al SICOSIEM. La omisión por parte del responsable de la Unidad de Información del procedimiento antes descrito presume la negativa de la entrega de la Información. Cuando la información no pueda ser remitida vía electrónica, se deberá fundar y motivar la resolución respectiva, explicando en todo momento las causas que impiden el envío de la información de forma electrónica. 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 El formato mencionado deberá estar agregado al expediente electrónico de la solicitud de información pública, en el estatus respectivo.”.</w:t>
      </w:r>
    </w:p>
    <w:p w:rsidR="00135781" w:rsidRPr="000A24B1" w:rsidRDefault="00135781" w:rsidP="001663BD">
      <w:pPr>
        <w:spacing w:line="360" w:lineRule="auto"/>
        <w:ind w:left="851" w:right="822"/>
        <w:contextualSpacing/>
        <w:jc w:val="both"/>
        <w:rPr>
          <w:rFonts w:ascii="Palatino Linotype" w:hAnsi="Palatino Linotype"/>
          <w:i/>
          <w:sz w:val="22"/>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lastRenderedPageBreak/>
        <w:t xml:space="preserve">Por lo que se puede concluir, que los sujetos obligados deben proporcionar la información en la modalidad solicitada por los particulares para la entrega de la información, en el caso concreto, si éste eligió el SAIMEX, el titular de la Unidad de Transparencia debe agregar los archivos electrónicos que contengan la información requerida y sólo en caso de imposibilidad técnica, y, previo aviso a este Instituto, puede optarse por cambiar la modalidad de entrega. </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Pr="00CE023A"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CE023A">
        <w:rPr>
          <w:rFonts w:ascii="Palatino Linotype" w:hAnsi="Palatino Linotype"/>
        </w:rPr>
        <w:t>Retomando el caso en concreto, se desprende de la respuesta inicial que el SUJETO OBLIGADO determinó la procedencia del cambio en la modalidad de entrega, derivado de que se sobrepasan sus capacidades, técnicas, humanas.</w:t>
      </w:r>
    </w:p>
    <w:p w:rsidR="00162E11" w:rsidRPr="00CE023A" w:rsidRDefault="00162E11" w:rsidP="001663BD">
      <w:pPr>
        <w:spacing w:line="360" w:lineRule="auto"/>
        <w:ind w:right="49"/>
        <w:contextualSpacing/>
        <w:jc w:val="both"/>
        <w:rPr>
          <w:rFonts w:ascii="Palatino Linotype" w:eastAsia="Calibri" w:hAnsi="Palatino Linotype" w:cs="Arial"/>
        </w:rPr>
      </w:pPr>
    </w:p>
    <w:p w:rsidR="00162E11" w:rsidRPr="00E87588"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E87588">
        <w:rPr>
          <w:rFonts w:ascii="Palatino Linotype" w:hAnsi="Palatino Linotype"/>
        </w:rPr>
        <w:t xml:space="preserve">De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w:t>
      </w:r>
      <w:r w:rsidRPr="00E87588">
        <w:rPr>
          <w:rFonts w:ascii="Palatino Linotype" w:hAnsi="Palatino Linotype"/>
        </w:rPr>
        <w:lastRenderedPageBreak/>
        <w:t xml:space="preserve">obligado debe ceñir su actuar a la conservación patrimonial de sus archivos documentales y posteriormente el acceso de la información pública, buscando la disponibilidad de los mismos. </w:t>
      </w:r>
    </w:p>
    <w:p w:rsidR="00162E11" w:rsidRPr="00E87588" w:rsidRDefault="00162E11" w:rsidP="001663BD">
      <w:pPr>
        <w:spacing w:line="360" w:lineRule="auto"/>
        <w:ind w:right="49"/>
        <w:contextualSpacing/>
        <w:jc w:val="both"/>
        <w:rPr>
          <w:rFonts w:ascii="Palatino Linotype" w:eastAsia="Calibri" w:hAnsi="Palatino Linotype" w:cs="Arial"/>
        </w:rPr>
      </w:pPr>
    </w:p>
    <w:p w:rsidR="00162E11" w:rsidRPr="00272022"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E87588">
        <w:rPr>
          <w:rFonts w:ascii="Palatino Linotype" w:hAnsi="Palatino Linotype"/>
        </w:rPr>
        <w:t>Bajo tales consideraciones, es que se reitera como improcedente el cambio de modalidad pretendida por el SUJETO OBLIGADO para la entrega de la información a través de consulta directa ya que con la respuesta emitida se pudo advertir que la información de donde se desprende lo requerido obra en sus archivos, por lo cual para tener por satisfecho cabalmente el derecho del particular se considera procedente ordenar la entrega de la información a través de la modalidad elegida por el particular.</w:t>
      </w:r>
    </w:p>
    <w:p w:rsidR="00272022" w:rsidRPr="00135781" w:rsidRDefault="00272022" w:rsidP="00272022">
      <w:pPr>
        <w:spacing w:line="360" w:lineRule="auto"/>
        <w:ind w:right="49"/>
        <w:contextualSpacing/>
        <w:jc w:val="both"/>
        <w:rPr>
          <w:rFonts w:ascii="Palatino Linotype" w:eastAsia="Calibri" w:hAnsi="Palatino Linotype" w:cs="Arial"/>
        </w:rPr>
      </w:pPr>
    </w:p>
    <w:p w:rsidR="00162E11" w:rsidRPr="00E87588"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E87588">
        <w:rPr>
          <w:rFonts w:ascii="Palatino Linotype" w:hAnsi="Palatino Linotype"/>
        </w:rPr>
        <w:t xml:space="preserve">No obstante, toda vez que no se tiene la certeza de la manera o el formato en que el SUJETO OBLIGADO posee la información, se estima que se deberá privilegiar la entrega en medios electrónicos como lo es el SAIMEX, inicialmente elegido; sin embargo, </w:t>
      </w:r>
      <w:r w:rsidRPr="00E87588">
        <w:rPr>
          <w:rFonts w:ascii="Palatino Linotype" w:hAnsi="Palatino Linotype"/>
          <w:b/>
        </w:rPr>
        <w:t>si se acredita un impedimento justificado para atender esa modalidad en relación directa con el formato en el que obra la información en los archivos del SUJETO OBLIGADO, se deberá de dar la opción al sujeto obligado para que, de manera debidamente fundada y motivada se ofrezca la entrega de la información</w:t>
      </w:r>
      <w:r w:rsidRPr="00E87588">
        <w:rPr>
          <w:rFonts w:ascii="Palatino Linotype" w:hAnsi="Palatino Linotype"/>
        </w:rPr>
        <w:t xml:space="preserve"> en el resto de las modalidades de entrega de la información además de consulta directa, 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w:t>
      </w:r>
      <w:r w:rsidRPr="00E87588">
        <w:rPr>
          <w:rFonts w:ascii="Palatino Linotype" w:hAnsi="Palatino Linotype"/>
        </w:rPr>
        <w:lastRenderedPageBreak/>
        <w:t>compacto y del envío, y darle la posibilidad de obtenerla de manera gratuita si la parte solicitante aporta el disco compacto, memoria USB o algún otro medio de almacenamiento magnético, en el que se le proporcionarán los archivos electrónicos.</w:t>
      </w:r>
    </w:p>
    <w:p w:rsidR="00162E11" w:rsidRPr="00E87588" w:rsidRDefault="00162E11" w:rsidP="001663BD">
      <w:pPr>
        <w:spacing w:line="360" w:lineRule="auto"/>
        <w:ind w:right="49"/>
        <w:contextualSpacing/>
        <w:jc w:val="both"/>
        <w:rPr>
          <w:rFonts w:ascii="Palatino Linotype" w:eastAsia="Calibri" w:hAnsi="Palatino Linotype" w:cs="Arial"/>
        </w:rPr>
      </w:pPr>
    </w:p>
    <w:p w:rsidR="00162E11" w:rsidRPr="00E87588" w:rsidRDefault="00162E11" w:rsidP="001663BD">
      <w:pPr>
        <w:numPr>
          <w:ilvl w:val="0"/>
          <w:numId w:val="1"/>
        </w:numPr>
        <w:spacing w:line="360" w:lineRule="auto"/>
        <w:ind w:left="0" w:right="49" w:firstLine="0"/>
        <w:contextualSpacing/>
        <w:jc w:val="both"/>
        <w:rPr>
          <w:rFonts w:ascii="Palatino Linotype" w:eastAsia="Calibri" w:hAnsi="Palatino Linotype" w:cs="Arial"/>
        </w:rPr>
      </w:pPr>
      <w:r w:rsidRPr="00E87588">
        <w:rPr>
          <w:rFonts w:ascii="Palatino Linotype" w:hAnsi="Palatino Linotype"/>
        </w:rPr>
        <w:t>Asimismo, precisar qu</w:t>
      </w:r>
      <w:r w:rsidR="00272022">
        <w:rPr>
          <w:rFonts w:ascii="Palatino Linotype" w:hAnsi="Palatino Linotype"/>
        </w:rPr>
        <w:t xml:space="preserve">e corresponder los recibos de nómina </w:t>
      </w:r>
      <w:r w:rsidRPr="00E87588">
        <w:rPr>
          <w:rFonts w:ascii="Palatino Linotype" w:hAnsi="Palatino Linotype"/>
        </w:rPr>
        <w:t xml:space="preserve"> pudieran contener información de carácter confidencial que por su naturaleza contenga datos personales susceptibles de ser resguardados por el SUJETO OBLIGADO y para los cuales se deberá emitir una versión pública de los documentos con estricto apego al procedimiento del derecho de acceso a la información pública, ello en términos del Considerando que más adelante se precisara.</w:t>
      </w:r>
    </w:p>
    <w:p w:rsidR="00162E11" w:rsidRPr="000A24B1" w:rsidRDefault="00162E11" w:rsidP="001663BD">
      <w:pPr>
        <w:spacing w:line="360" w:lineRule="auto"/>
        <w:ind w:right="49"/>
        <w:contextualSpacing/>
        <w:jc w:val="both"/>
        <w:rPr>
          <w:rFonts w:ascii="Palatino Linotype" w:eastAsia="Calibri" w:hAnsi="Palatino Linotype" w:cs="Arial"/>
        </w:rPr>
      </w:pPr>
    </w:p>
    <w:p w:rsidR="00162E11" w:rsidRPr="00E23D5A" w:rsidRDefault="00162E11" w:rsidP="001663BD">
      <w:pPr>
        <w:pStyle w:val="Ttulo1"/>
        <w:spacing w:before="0" w:line="360" w:lineRule="auto"/>
        <w:rPr>
          <w:rFonts w:ascii="Palatino Linotype" w:hAnsi="Palatino Linotype"/>
          <w:b/>
          <w:color w:val="000000" w:themeColor="text1"/>
          <w:sz w:val="24"/>
          <w:szCs w:val="24"/>
        </w:rPr>
      </w:pPr>
      <w:bookmarkStart w:id="29" w:name="_Toc74188153"/>
      <w:bookmarkStart w:id="30" w:name="_Toc84518025"/>
      <w:bookmarkStart w:id="31" w:name="_Toc85133423"/>
      <w:bookmarkStart w:id="32" w:name="_Toc85469340"/>
      <w:r w:rsidRPr="00E23D5A">
        <w:rPr>
          <w:rFonts w:ascii="Palatino Linotype" w:hAnsi="Palatino Linotype" w:cs="Times New Roman"/>
          <w:b/>
          <w:color w:val="000000" w:themeColor="text1"/>
          <w:sz w:val="24"/>
          <w:szCs w:val="24"/>
          <w:lang w:eastAsia="es-ES_tradnl"/>
        </w:rPr>
        <w:t xml:space="preserve">QUINTO. </w:t>
      </w:r>
      <w:r w:rsidRPr="00E23D5A">
        <w:rPr>
          <w:rFonts w:ascii="Palatino Linotype" w:hAnsi="Palatino Linotype"/>
          <w:b/>
          <w:color w:val="000000" w:themeColor="text1"/>
          <w:sz w:val="24"/>
          <w:szCs w:val="24"/>
        </w:rPr>
        <w:t xml:space="preserve"> </w:t>
      </w:r>
      <w:bookmarkStart w:id="33" w:name="_Toc80889843"/>
      <w:bookmarkStart w:id="34" w:name="_Toc81384826"/>
      <w:bookmarkEnd w:id="29"/>
      <w:r w:rsidRPr="00E23D5A">
        <w:rPr>
          <w:rFonts w:ascii="Palatino Linotype" w:hAnsi="Palatino Linotype" w:cs="Arial"/>
          <w:b/>
          <w:color w:val="000000"/>
          <w:sz w:val="24"/>
          <w:lang w:val="es-ES_tradnl"/>
        </w:rPr>
        <w:t>De la versión pública</w:t>
      </w:r>
      <w:bookmarkEnd w:id="30"/>
      <w:bookmarkEnd w:id="33"/>
      <w:bookmarkEnd w:id="34"/>
      <w:r w:rsidRPr="00E23D5A">
        <w:rPr>
          <w:rFonts w:ascii="Palatino Linotype" w:hAnsi="Palatino Linotype" w:cs="Arial"/>
          <w:b/>
          <w:color w:val="000000"/>
          <w:sz w:val="24"/>
          <w:lang w:val="es-ES_tradnl"/>
        </w:rPr>
        <w:t>.</w:t>
      </w:r>
      <w:bookmarkEnd w:id="31"/>
      <w:bookmarkEnd w:id="32"/>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Por otro lado, debe destacarse que debido a la naturaleza de la información solicitada</w:t>
      </w:r>
      <w:r w:rsidRPr="00E23D5A">
        <w:rPr>
          <w:rFonts w:ascii="Palatino Linotype" w:hAnsi="Palatino Linotype" w:cs="Arial"/>
          <w:b/>
          <w:color w:val="000000"/>
          <w:lang w:val="es-ES_tradnl"/>
        </w:rPr>
        <w:t xml:space="preserve">, </w:t>
      </w:r>
      <w:r w:rsidRPr="00E23D5A">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23D5A">
        <w:rPr>
          <w:rFonts w:ascii="Palatino Linotype" w:hAnsi="Palatino Linotype" w:cs="Arial"/>
          <w:b/>
          <w:color w:val="000000"/>
          <w:u w:val="single"/>
          <w:lang w:val="es-ES_tradnl"/>
        </w:rPr>
        <w:t>versión pública</w:t>
      </w:r>
      <w:r w:rsidRPr="00E23D5A">
        <w:rPr>
          <w:rFonts w:ascii="Palatino Linotype" w:hAnsi="Palatino Linotype" w:cs="Arial"/>
          <w:color w:val="000000"/>
          <w:lang w:val="es-ES_tradnl"/>
        </w:rPr>
        <w:t xml:space="preserve"> del documento por las consideraciones que se estimen pertinentes.</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s="Arial"/>
          <w:color w:val="000000"/>
        </w:rPr>
        <w:t xml:space="preserve">Es de </w:t>
      </w:r>
      <w:r w:rsidRPr="00E23D5A">
        <w:rPr>
          <w:rFonts w:ascii="Palatino Linotype" w:hAnsi="Palatino Linotype" w:cs="Arial"/>
          <w:color w:val="000000"/>
          <w:lang w:val="es-ES_tradnl"/>
        </w:rPr>
        <w:t>señalar</w:t>
      </w:r>
      <w:r w:rsidRPr="00E23D5A">
        <w:rPr>
          <w:rFonts w:ascii="Palatino Linotype" w:eastAsia="Calibri" w:hAnsi="Palatino Linotype" w:cs="Arial"/>
          <w:color w:val="000000"/>
        </w:rPr>
        <w:t xml:space="preserve"> que, por lo que hace a las versiones públicas, el </w:t>
      </w:r>
      <w:r w:rsidRPr="00E23D5A">
        <w:rPr>
          <w:rFonts w:ascii="Palatino Linotype" w:eastAsia="Calibri" w:hAnsi="Palatino Linotype" w:cs="Arial"/>
          <w:b/>
          <w:color w:val="000000"/>
        </w:rPr>
        <w:t>SUJETO OBLIGADO</w:t>
      </w:r>
      <w:r w:rsidRPr="00E23D5A">
        <w:rPr>
          <w:rFonts w:ascii="Palatino Linotype" w:eastAsia="Calibri" w:hAnsi="Palatino Linotype" w:cs="Arial"/>
          <w:color w:val="000000"/>
        </w:rPr>
        <w:t xml:space="preserve"> debe cumplir con las formalidades exigidas en la Ley, por lo que </w:t>
      </w:r>
      <w:r w:rsidRPr="00E23D5A">
        <w:rPr>
          <w:rFonts w:ascii="Palatino Linotype" w:hAnsi="Palatino Linotype" w:cs="Arial"/>
          <w:color w:val="000000"/>
          <w:lang w:val="es-ES_tradnl"/>
        </w:rPr>
        <w:t xml:space="preserve">para tal efecto emitirá el </w:t>
      </w:r>
      <w:r w:rsidRPr="00E23D5A">
        <w:rPr>
          <w:rFonts w:ascii="Palatino Linotype" w:eastAsia="Calibri" w:hAnsi="Palatino Linotype" w:cs="Arial"/>
          <w:color w:val="000000"/>
        </w:rPr>
        <w:t xml:space="preserve">Acuerdo del Comité de Transparencia en términos de los artículos </w:t>
      </w:r>
      <w:r w:rsidRPr="00E23D5A">
        <w:rPr>
          <w:rFonts w:ascii="Palatino Linotype" w:eastAsia="Calibri" w:hAnsi="Palatino Linotype" w:cs="Arial"/>
          <w:color w:val="000000"/>
        </w:rPr>
        <w:lastRenderedPageBreak/>
        <w:t>49 fracción</w:t>
      </w:r>
      <w:r w:rsidRPr="00E23D5A">
        <w:rPr>
          <w:rFonts w:ascii="Palatino Linotype" w:eastAsia="Calibri" w:hAnsi="Palatino Linotype" w:cs="Arial"/>
          <w:bCs/>
          <w:color w:val="000000"/>
          <w:lang w:val="es-ES_tradnl"/>
        </w:rPr>
        <w:t xml:space="preserve"> VIII,</w:t>
      </w:r>
      <w:r w:rsidRPr="00E23D5A">
        <w:rPr>
          <w:rFonts w:ascii="Palatino Linotype" w:eastAsia="Calibri" w:hAnsi="Palatino Linotype" w:cs="Arial"/>
          <w:color w:val="000000"/>
        </w:rPr>
        <w:t xml:space="preserve"> 122</w:t>
      </w:r>
      <w:r w:rsidRPr="00E23D5A">
        <w:rPr>
          <w:rFonts w:ascii="Palatino Linotype" w:hAnsi="Palatino Linotype"/>
          <w:vertAlign w:val="superscript"/>
        </w:rPr>
        <w:footnoteReference w:id="5"/>
      </w:r>
      <w:r w:rsidRPr="00E23D5A">
        <w:rPr>
          <w:rFonts w:ascii="Palatino Linotype" w:eastAsia="Calibri" w:hAnsi="Palatino Linotype" w:cs="Arial"/>
          <w:color w:val="000000"/>
        </w:rPr>
        <w:t>, 135</w:t>
      </w:r>
      <w:r w:rsidRPr="00E23D5A">
        <w:rPr>
          <w:rFonts w:ascii="Palatino Linotype" w:hAnsi="Palatino Linotype"/>
          <w:vertAlign w:val="superscript"/>
        </w:rPr>
        <w:footnoteReference w:id="6"/>
      </w:r>
      <w:r w:rsidRPr="00E23D5A">
        <w:rPr>
          <w:rFonts w:ascii="Palatino Linotype" w:eastAsia="Calibri" w:hAnsi="Palatino Linotype" w:cs="Arial"/>
          <w:color w:val="000000"/>
        </w:rPr>
        <w:t xml:space="preserve"> y 149 de la </w:t>
      </w:r>
      <w:r w:rsidRPr="00E23D5A">
        <w:rPr>
          <w:rFonts w:ascii="Palatino Linotype" w:eastAsia="Calibri" w:hAnsi="Palatino Linotype" w:cs="Arial"/>
          <w:b/>
          <w:color w:val="000000"/>
        </w:rPr>
        <w:t>Ley de Transparencia y Acceso a la Información Pública del Estado de México y Municipios</w:t>
      </w:r>
      <w:r w:rsidRPr="00E23D5A">
        <w:rPr>
          <w:rFonts w:ascii="Palatino Linotype" w:eastAsia="Calibri" w:hAnsi="Palatino Linotype" w:cs="Arial"/>
          <w:color w:val="000000"/>
        </w:rPr>
        <w:t>, con el cual sustentara de forma fundada y motivada la clasificación de datos y con ello la "versión pública" de los documentos materia de la solicitud.</w:t>
      </w:r>
    </w:p>
    <w:p w:rsidR="00162E11" w:rsidRPr="00E23D5A" w:rsidRDefault="00162E11" w:rsidP="001663BD">
      <w:pPr>
        <w:spacing w:line="360" w:lineRule="auto"/>
        <w:ind w:right="49"/>
        <w:contextualSpacing/>
        <w:jc w:val="both"/>
        <w:rPr>
          <w:rFonts w:ascii="Palatino Linotype" w:eastAsia="Calibri" w:hAnsi="Palatino Linotype" w:cs="Arial"/>
          <w:color w:val="000000"/>
        </w:rPr>
      </w:pPr>
    </w:p>
    <w:p w:rsidR="00162E11" w:rsidRPr="00E23D5A" w:rsidRDefault="00162E11" w:rsidP="001663BD">
      <w:pPr>
        <w:keepNext/>
        <w:keepLines/>
        <w:spacing w:line="360" w:lineRule="auto"/>
        <w:outlineLvl w:val="1"/>
        <w:rPr>
          <w:rFonts w:ascii="Palatino Linotype" w:hAnsi="Palatino Linotype"/>
          <w:b/>
          <w:color w:val="000000"/>
          <w:lang w:eastAsia="en-US"/>
        </w:rPr>
      </w:pPr>
      <w:bookmarkStart w:id="35" w:name="_Toc500756709"/>
      <w:bookmarkStart w:id="36" w:name="_Toc536691777"/>
      <w:bookmarkStart w:id="37" w:name="_Toc80889844"/>
      <w:bookmarkStart w:id="38" w:name="_Toc81384827"/>
      <w:bookmarkStart w:id="39" w:name="_Toc84518026"/>
      <w:bookmarkStart w:id="40" w:name="_Toc85133424"/>
      <w:bookmarkStart w:id="41" w:name="_Toc85469341"/>
      <w:r w:rsidRPr="00E23D5A">
        <w:rPr>
          <w:rFonts w:ascii="Palatino Linotype" w:hAnsi="Palatino Linotype"/>
          <w:b/>
          <w:color w:val="000000"/>
          <w:lang w:eastAsia="en-US"/>
        </w:rPr>
        <w:t>I. De la clasificación de la información.</w:t>
      </w:r>
      <w:bookmarkEnd w:id="35"/>
      <w:bookmarkEnd w:id="36"/>
      <w:bookmarkEnd w:id="37"/>
      <w:bookmarkEnd w:id="38"/>
      <w:bookmarkEnd w:id="39"/>
      <w:bookmarkEnd w:id="40"/>
      <w:bookmarkEnd w:id="41"/>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s="Arial"/>
          <w:color w:val="000000"/>
        </w:rPr>
        <w:t>La</w:t>
      </w:r>
      <w:r w:rsidRPr="00E23D5A">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23D5A">
        <w:rPr>
          <w:rFonts w:ascii="Palatino Linotype" w:hAnsi="Palatino Linotype"/>
          <w:vertAlign w:val="superscript"/>
          <w:lang w:val="es-ES_tradnl"/>
        </w:rPr>
        <w:footnoteReference w:id="7"/>
      </w:r>
      <w:r w:rsidRPr="00E23D5A">
        <w:rPr>
          <w:rFonts w:ascii="Palatino Linotype" w:hAnsi="Palatino Linotype"/>
          <w:color w:val="000000"/>
          <w:lang w:val="es-ES_tradnl"/>
        </w:rPr>
        <w:t xml:space="preserve"> aunque cualquier límite o restricción, </w:t>
      </w:r>
      <w:r w:rsidRPr="00E23D5A">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23D5A">
        <w:rPr>
          <w:rFonts w:ascii="Palatino Linotype" w:hAnsi="Palatino Linotype"/>
          <w:vertAlign w:val="superscript"/>
          <w:lang w:val="es-ES_tradnl"/>
        </w:rPr>
        <w:footnoteReference w:id="8"/>
      </w:r>
      <w:r w:rsidRPr="00E23D5A">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E23D5A">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E23D5A">
        <w:rPr>
          <w:rFonts w:ascii="Palatino Linotype" w:hAnsi="Palatino Linotype" w:cs="Arial"/>
          <w:b/>
          <w:bCs/>
          <w:color w:val="000000"/>
          <w:lang w:val="es-ES_tradnl"/>
        </w:rPr>
        <w:t>SUJETO OBLIGADO</w:t>
      </w:r>
      <w:r w:rsidRPr="00E23D5A">
        <w:rPr>
          <w:rFonts w:ascii="Palatino Linotype" w:hAnsi="Palatino Linotype" w:cs="Arial"/>
          <w:color w:val="000000"/>
          <w:lang w:val="es-ES_tradnl"/>
        </w:rPr>
        <w:t xml:space="preserve"> </w:t>
      </w:r>
      <w:r w:rsidRPr="00E23D5A">
        <w:rPr>
          <w:rFonts w:ascii="Palatino Linotype" w:hAnsi="Palatino Linotype"/>
          <w:color w:val="000000"/>
          <w:lang w:val="es-ES_tradnl"/>
        </w:rPr>
        <w:t>para emitir este tipo de acuerdos y que el Órgano Garante debe verificar que se cumplan.</w:t>
      </w:r>
    </w:p>
    <w:p w:rsidR="00162E11" w:rsidRPr="00E23D5A" w:rsidRDefault="00162E11" w:rsidP="001663BD">
      <w:pPr>
        <w:spacing w:line="360" w:lineRule="auto"/>
        <w:jc w:val="both"/>
        <w:rPr>
          <w:rFonts w:ascii="Palatino Linotype" w:hAnsi="Palatino Linotype"/>
          <w:color w:val="000000"/>
          <w:lang w:val="es-ES_tradnl"/>
        </w:rPr>
      </w:pPr>
    </w:p>
    <w:p w:rsidR="00162E11" w:rsidRPr="00E23D5A" w:rsidRDefault="00162E11" w:rsidP="001663BD">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42" w:name="_Toc485631700"/>
      <w:bookmarkStart w:id="43" w:name="_Toc500756710"/>
      <w:bookmarkStart w:id="44" w:name="_Toc536691778"/>
      <w:bookmarkStart w:id="45" w:name="_Toc80889845"/>
      <w:bookmarkStart w:id="46" w:name="_Toc81260556"/>
      <w:bookmarkStart w:id="47" w:name="_Toc81384828"/>
      <w:bookmarkStart w:id="48" w:name="_Toc84518027"/>
      <w:bookmarkStart w:id="49" w:name="_Toc85133425"/>
      <w:bookmarkStart w:id="50" w:name="_Toc85469342"/>
      <w:r w:rsidRPr="00E23D5A">
        <w:rPr>
          <w:rFonts w:ascii="Palatino Linotype" w:hAnsi="Palatino Linotype"/>
          <w:b/>
          <w:color w:val="000000"/>
          <w:lang w:eastAsia="en-US"/>
        </w:rPr>
        <w:t>a) Requisitos previos.</w:t>
      </w:r>
      <w:bookmarkEnd w:id="42"/>
      <w:bookmarkEnd w:id="43"/>
      <w:bookmarkEnd w:id="44"/>
      <w:bookmarkEnd w:id="45"/>
      <w:bookmarkEnd w:id="46"/>
      <w:bookmarkEnd w:id="47"/>
      <w:bookmarkEnd w:id="48"/>
      <w:bookmarkEnd w:id="49"/>
      <w:bookmarkEnd w:id="50"/>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 xml:space="preserve">Los </w:t>
      </w:r>
      <w:r w:rsidRPr="00E23D5A">
        <w:rPr>
          <w:rFonts w:ascii="Palatino Linotype" w:hAnsi="Palatino Linotype"/>
          <w:color w:val="000000"/>
          <w:lang w:val="es-ES_tradnl"/>
        </w:rPr>
        <w:t>artículos</w:t>
      </w:r>
      <w:r w:rsidRPr="00E23D5A">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1" w:name="_Toc485631701"/>
      <w:bookmarkStart w:id="52" w:name="_Toc500756711"/>
      <w:bookmarkStart w:id="53" w:name="_Toc536691779"/>
      <w:bookmarkStart w:id="54" w:name="_Toc80889846"/>
      <w:bookmarkStart w:id="55" w:name="_Toc81260557"/>
      <w:bookmarkStart w:id="56" w:name="_Toc81384829"/>
      <w:bookmarkStart w:id="57" w:name="_Toc84518028"/>
      <w:bookmarkStart w:id="58" w:name="_Toc85133426"/>
      <w:bookmarkStart w:id="59" w:name="_Toc85469343"/>
      <w:r w:rsidRPr="00E23D5A">
        <w:rPr>
          <w:rFonts w:ascii="Palatino Linotype" w:hAnsi="Palatino Linotype"/>
          <w:b/>
          <w:color w:val="000000"/>
          <w:lang w:eastAsia="en-US"/>
        </w:rPr>
        <w:t>b) Supuestos de clasificación.</w:t>
      </w:r>
      <w:bookmarkEnd w:id="51"/>
      <w:bookmarkEnd w:id="52"/>
      <w:bookmarkEnd w:id="53"/>
      <w:bookmarkEnd w:id="54"/>
      <w:bookmarkEnd w:id="55"/>
      <w:bookmarkEnd w:id="56"/>
      <w:bookmarkEnd w:id="57"/>
      <w:bookmarkEnd w:id="58"/>
      <w:bookmarkEnd w:id="59"/>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rsidR="00162E11" w:rsidRPr="00E23D5A" w:rsidRDefault="00162E11" w:rsidP="001663BD">
      <w:pPr>
        <w:spacing w:line="360" w:lineRule="auto"/>
        <w:ind w:right="49"/>
        <w:contextualSpacing/>
        <w:jc w:val="both"/>
        <w:rPr>
          <w:rFonts w:ascii="Palatino Linotype" w:hAnsi="Palatino Linotype" w:cs="Arial"/>
          <w:color w:val="000000"/>
          <w:lang w:val="es-ES_tradnl"/>
        </w:rPr>
      </w:pPr>
    </w:p>
    <w:p w:rsidR="00162E11" w:rsidRPr="00E23D5A" w:rsidRDefault="00162E11" w:rsidP="001663B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E23D5A">
        <w:rPr>
          <w:rFonts w:ascii="Palatino Linotype" w:hAnsi="Palatino Linotype" w:cs="Bookman Old Style"/>
          <w:bCs/>
          <w:i/>
          <w:iCs/>
          <w:color w:val="000000"/>
          <w:lang w:val="es-ES_tradnl"/>
        </w:rPr>
        <w:t>“</w:t>
      </w:r>
      <w:r w:rsidRPr="00E23D5A">
        <w:rPr>
          <w:rFonts w:ascii="Palatino Linotype" w:hAnsi="Palatino Linotype" w:cs="Bookman Old Style"/>
          <w:b/>
          <w:i/>
          <w:iCs/>
          <w:color w:val="000000"/>
          <w:lang w:val="es-ES_tradnl"/>
        </w:rPr>
        <w:t>I.</w:t>
      </w:r>
      <w:r w:rsidRPr="00E23D5A">
        <w:rPr>
          <w:rFonts w:ascii="Palatino Linotype" w:hAnsi="Palatino Linotype" w:cs="Bookman Old Style"/>
          <w:bCs/>
          <w:i/>
          <w:iCs/>
          <w:color w:val="000000"/>
          <w:lang w:val="es-ES_tradnl"/>
        </w:rPr>
        <w:t xml:space="preserve"> </w:t>
      </w:r>
      <w:r w:rsidRPr="00E23D5A">
        <w:rPr>
          <w:rFonts w:ascii="Palatino Linotype" w:hAnsi="Palatino Linotype" w:cs="Bookman Old Style"/>
          <w:i/>
          <w:iCs/>
          <w:color w:val="000000"/>
          <w:lang w:val="es-ES_tradnl"/>
        </w:rPr>
        <w:t xml:space="preserve">Se refiera a la información privada y los datos personales concernientes a una </w:t>
      </w:r>
      <w:r w:rsidRPr="00E23D5A">
        <w:rPr>
          <w:rFonts w:ascii="Palatino Linotype" w:hAnsi="Palatino Linotype" w:cs="Bookman Old Style"/>
          <w:i/>
          <w:iCs/>
          <w:color w:val="000000"/>
          <w:lang w:val="es-ES_tradnl"/>
        </w:rPr>
        <w:lastRenderedPageBreak/>
        <w:t xml:space="preserve">persona física o jurídico colectiva identificada o identificable; </w:t>
      </w:r>
    </w:p>
    <w:p w:rsidR="00162E11" w:rsidRPr="00E23D5A" w:rsidRDefault="00162E11" w:rsidP="001663B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E23D5A">
        <w:rPr>
          <w:rFonts w:ascii="Palatino Linotype" w:hAnsi="Palatino Linotype" w:cs="Bookman Old Style"/>
          <w:b/>
          <w:i/>
          <w:iCs/>
          <w:color w:val="000000"/>
          <w:lang w:val="es-ES_tradnl"/>
        </w:rPr>
        <w:t>II.</w:t>
      </w:r>
      <w:r w:rsidRPr="00E23D5A">
        <w:rPr>
          <w:rFonts w:ascii="Palatino Linotype" w:hAnsi="Palatino Linotype" w:cs="Bookman Old Style"/>
          <w:bCs/>
          <w:i/>
          <w:iCs/>
          <w:color w:val="000000"/>
          <w:lang w:val="es-ES_tradnl"/>
        </w:rPr>
        <w:t xml:space="preserve"> </w:t>
      </w:r>
      <w:r w:rsidRPr="00E23D5A">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62E11" w:rsidRPr="00E23D5A" w:rsidRDefault="00162E11" w:rsidP="001663B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E23D5A">
        <w:rPr>
          <w:rFonts w:ascii="Palatino Linotype" w:hAnsi="Palatino Linotype" w:cs="Bookman Old Style"/>
          <w:b/>
          <w:i/>
          <w:iCs/>
          <w:color w:val="000000"/>
          <w:lang w:val="es-ES_tradnl"/>
        </w:rPr>
        <w:t>III.</w:t>
      </w:r>
      <w:r w:rsidRPr="00E23D5A">
        <w:rPr>
          <w:rFonts w:ascii="Palatino Linotype" w:hAnsi="Palatino Linotype" w:cs="Bookman Old Style"/>
          <w:bCs/>
          <w:i/>
          <w:iCs/>
          <w:color w:val="000000"/>
          <w:lang w:val="es-ES_tradnl"/>
        </w:rPr>
        <w:t xml:space="preserve"> </w:t>
      </w:r>
      <w:r w:rsidRPr="00E23D5A">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rsidR="00162E11" w:rsidRPr="00E23D5A" w:rsidRDefault="00162E11" w:rsidP="001663B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E23D5A">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rsidR="00162E11" w:rsidRPr="00E23D5A" w:rsidRDefault="00162E11" w:rsidP="001663BD">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E23D5A">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 xml:space="preserve">Como consecuencia de lo anterior, el </w:t>
      </w:r>
      <w:r w:rsidRPr="00E23D5A">
        <w:rPr>
          <w:rFonts w:ascii="Palatino Linotype" w:hAnsi="Palatino Linotype" w:cs="Arial"/>
          <w:b/>
          <w:bCs/>
          <w:color w:val="000000"/>
          <w:lang w:val="es-ES_tradnl"/>
        </w:rPr>
        <w:t>SUJETO OBLIGADO</w:t>
      </w:r>
      <w:r w:rsidRPr="00E23D5A">
        <w:rPr>
          <w:rFonts w:ascii="Palatino Linotype" w:hAnsi="Palatino Linotype" w:cs="Arial"/>
          <w:color w:val="000000"/>
          <w:lang w:val="es-ES_tradnl"/>
        </w:rPr>
        <w:t xml:space="preserve"> debe identificar claramente el tipo de información y hacer un juicio de subsunción o encaje</w:t>
      </w:r>
      <w:r w:rsidRPr="00E23D5A">
        <w:rPr>
          <w:rFonts w:ascii="Palatino Linotype" w:hAnsi="Palatino Linotype"/>
          <w:vertAlign w:val="superscript"/>
          <w:lang w:val="es-ES_tradnl"/>
        </w:rPr>
        <w:footnoteReference w:id="9"/>
      </w:r>
      <w:r w:rsidRPr="00E23D5A">
        <w:rPr>
          <w:rFonts w:ascii="Palatino Linotype" w:hAnsi="Palatino Linotype" w:cs="Arial"/>
          <w:color w:val="000000"/>
          <w:lang w:val="es-ES_tradnl"/>
        </w:rPr>
        <w:t xml:space="preserve"> para </w:t>
      </w:r>
      <w:r w:rsidRPr="00E23D5A">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rsidR="00162E11" w:rsidRPr="00E23D5A" w:rsidRDefault="00162E11" w:rsidP="001663BD">
      <w:pPr>
        <w:spacing w:line="360" w:lineRule="auto"/>
        <w:contextualSpacing/>
        <w:jc w:val="both"/>
        <w:rPr>
          <w:rFonts w:ascii="Palatino Linotype" w:hAnsi="Palatino Linotype"/>
          <w:b/>
          <w:color w:val="000000"/>
          <w:lang w:val="es-ES_tradnl"/>
        </w:rPr>
      </w:pPr>
    </w:p>
    <w:p w:rsidR="00162E11" w:rsidRPr="00E23D5A" w:rsidRDefault="00162E11" w:rsidP="001663BD">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60" w:name="_Toc485631702"/>
      <w:bookmarkStart w:id="61" w:name="_Toc500756712"/>
      <w:bookmarkStart w:id="62" w:name="_Toc536691780"/>
      <w:bookmarkStart w:id="63" w:name="_Toc80889847"/>
      <w:bookmarkStart w:id="64" w:name="_Toc81260558"/>
      <w:bookmarkStart w:id="65" w:name="_Toc81384830"/>
      <w:bookmarkStart w:id="66" w:name="_Toc84518029"/>
      <w:bookmarkStart w:id="67" w:name="_Toc85133427"/>
      <w:bookmarkStart w:id="68" w:name="_Toc85469344"/>
      <w:r w:rsidRPr="00E23D5A">
        <w:rPr>
          <w:rFonts w:ascii="Palatino Linotype" w:hAnsi="Palatino Linotype"/>
          <w:b/>
          <w:color w:val="000000"/>
          <w:lang w:eastAsia="en-US"/>
        </w:rPr>
        <w:t>c) Excepciones a los supuestos de clasificación de la información como reservada.</w:t>
      </w:r>
      <w:bookmarkEnd w:id="60"/>
      <w:bookmarkEnd w:id="61"/>
      <w:bookmarkEnd w:id="62"/>
      <w:bookmarkEnd w:id="63"/>
      <w:bookmarkEnd w:id="64"/>
      <w:bookmarkEnd w:id="65"/>
      <w:bookmarkEnd w:id="66"/>
      <w:bookmarkEnd w:id="67"/>
      <w:bookmarkEnd w:id="68"/>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rPr>
        <w:t xml:space="preserve">En </w:t>
      </w:r>
      <w:r w:rsidRPr="00E23D5A">
        <w:rPr>
          <w:rFonts w:ascii="Palatino Linotype" w:hAnsi="Palatino Linotype" w:cs="Arial"/>
          <w:color w:val="000000"/>
          <w:lang w:val="es-ES_tradnl"/>
        </w:rPr>
        <w:t>todos</w:t>
      </w:r>
      <w:r w:rsidRPr="00E23D5A">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E23D5A">
        <w:rPr>
          <w:rFonts w:ascii="Palatino Linotype" w:hAnsi="Palatino Linotype"/>
          <w:b/>
          <w:color w:val="000000"/>
        </w:rPr>
        <w:t>qué no puede clasificarse como información reservada:</w:t>
      </w:r>
    </w:p>
    <w:p w:rsidR="00162E11" w:rsidRPr="00E23D5A" w:rsidRDefault="00162E11" w:rsidP="001663BD">
      <w:pPr>
        <w:spacing w:line="360" w:lineRule="auto"/>
        <w:ind w:right="49"/>
        <w:contextualSpacing/>
        <w:jc w:val="both"/>
        <w:rPr>
          <w:rFonts w:ascii="Palatino Linotype" w:hAnsi="Palatino Linotype"/>
          <w:b/>
          <w:color w:val="000000"/>
        </w:rPr>
      </w:pPr>
    </w:p>
    <w:p w:rsidR="00162E11" w:rsidRPr="00E23D5A" w:rsidRDefault="00162E11" w:rsidP="001663BD">
      <w:pPr>
        <w:spacing w:line="360" w:lineRule="auto"/>
        <w:ind w:left="567" w:right="567"/>
        <w:contextualSpacing/>
        <w:jc w:val="both"/>
        <w:rPr>
          <w:rFonts w:ascii="Palatino Linotype" w:hAnsi="Palatino Linotype"/>
          <w:b/>
          <w:i/>
          <w:iCs/>
          <w:color w:val="000000"/>
          <w:lang w:val="es-ES"/>
        </w:rPr>
      </w:pPr>
      <w:r w:rsidRPr="00E23D5A">
        <w:rPr>
          <w:rFonts w:ascii="Palatino Linotype" w:hAnsi="Palatino Linotype"/>
          <w:bCs/>
          <w:color w:val="000000"/>
          <w:lang w:val="es-ES"/>
        </w:rPr>
        <w:t>“</w:t>
      </w:r>
      <w:r w:rsidRPr="00E23D5A">
        <w:rPr>
          <w:rFonts w:ascii="Palatino Linotype" w:hAnsi="Palatino Linotype"/>
          <w:b/>
          <w:i/>
          <w:iCs/>
          <w:color w:val="000000"/>
          <w:lang w:val="es-ES"/>
        </w:rPr>
        <w:t>I. Se trate de violaciones graves de derechos humanos, calificada así por autoridad competente;</w:t>
      </w:r>
    </w:p>
    <w:p w:rsidR="00162E11" w:rsidRPr="00E23D5A" w:rsidRDefault="00162E11" w:rsidP="001663BD">
      <w:pPr>
        <w:spacing w:line="360" w:lineRule="auto"/>
        <w:ind w:left="567" w:right="567"/>
        <w:contextualSpacing/>
        <w:jc w:val="both"/>
        <w:rPr>
          <w:rFonts w:ascii="Palatino Linotype" w:hAnsi="Palatino Linotype"/>
          <w:b/>
          <w:i/>
          <w:iCs/>
          <w:color w:val="000000"/>
          <w:lang w:val="es-ES"/>
        </w:rPr>
      </w:pPr>
      <w:r w:rsidRPr="00E23D5A">
        <w:rPr>
          <w:rFonts w:ascii="Palatino Linotype" w:hAnsi="Palatino Linotype"/>
          <w:b/>
          <w:i/>
          <w:iCs/>
          <w:color w:val="000000"/>
          <w:lang w:val="es-ES"/>
        </w:rPr>
        <w:t xml:space="preserve">II. Se trate de la investigación de posibles violaciones graves de derechos humanos aun cuando no exista pronunciamiento previo de autoridad </w:t>
      </w:r>
      <w:r w:rsidRPr="00E23D5A">
        <w:rPr>
          <w:rFonts w:ascii="Palatino Linotype" w:hAnsi="Palatino Linotype"/>
          <w:b/>
          <w:i/>
          <w:iCs/>
          <w:color w:val="000000"/>
          <w:lang w:val="es-ES"/>
        </w:rPr>
        <w:lastRenderedPageBreak/>
        <w:t>competente, cuando se determine, a partir de criterios cuantitativos y cualitativos la trascendencia social de las violaciones;</w:t>
      </w:r>
    </w:p>
    <w:p w:rsidR="00162E11" w:rsidRPr="00E23D5A" w:rsidRDefault="00162E11" w:rsidP="001663BD">
      <w:pPr>
        <w:spacing w:line="360" w:lineRule="auto"/>
        <w:ind w:left="567" w:right="567"/>
        <w:contextualSpacing/>
        <w:jc w:val="both"/>
        <w:rPr>
          <w:rFonts w:ascii="Palatino Linotype" w:hAnsi="Palatino Linotype"/>
          <w:b/>
          <w:i/>
          <w:iCs/>
          <w:color w:val="000000"/>
          <w:lang w:val="es-ES"/>
        </w:rPr>
      </w:pPr>
      <w:r w:rsidRPr="00E23D5A">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162E11" w:rsidRPr="00E23D5A" w:rsidRDefault="00162E11" w:rsidP="001663BD">
      <w:pPr>
        <w:spacing w:line="360" w:lineRule="auto"/>
        <w:ind w:left="567" w:right="567"/>
        <w:contextualSpacing/>
        <w:jc w:val="both"/>
        <w:rPr>
          <w:rFonts w:ascii="Palatino Linotype" w:hAnsi="Palatino Linotype"/>
          <w:bCs/>
          <w:color w:val="000000"/>
          <w:lang w:val="es-ES"/>
        </w:rPr>
      </w:pPr>
      <w:r w:rsidRPr="00E23D5A">
        <w:rPr>
          <w:rFonts w:ascii="Palatino Linotype" w:hAnsi="Palatino Linotype"/>
          <w:b/>
          <w:i/>
          <w:iCs/>
          <w:color w:val="000000"/>
          <w:lang w:val="es-ES"/>
        </w:rPr>
        <w:t>IV. Se trate de información relacionada con actos de corrupción de conformidad con las disposiciones jurídicas aplicables.</w:t>
      </w:r>
      <w:r w:rsidRPr="00E23D5A">
        <w:rPr>
          <w:rFonts w:ascii="Palatino Linotype" w:hAnsi="Palatino Linotype"/>
          <w:bCs/>
          <w:color w:val="000000"/>
          <w:lang w:val="es-ES"/>
        </w:rPr>
        <w:t>”</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rsidR="00162E11" w:rsidRPr="00E23D5A" w:rsidRDefault="00162E11" w:rsidP="001663BD">
      <w:pPr>
        <w:spacing w:line="360" w:lineRule="auto"/>
        <w:contextualSpacing/>
        <w:jc w:val="both"/>
        <w:rPr>
          <w:rFonts w:ascii="Palatino Linotype" w:hAnsi="Palatino Linotype"/>
          <w:color w:val="000000"/>
          <w:lang w:val="es-ES"/>
        </w:rPr>
      </w:pPr>
    </w:p>
    <w:p w:rsidR="00162E11" w:rsidRPr="00E23D5A" w:rsidRDefault="00162E11" w:rsidP="001663BD">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69" w:name="_Toc485631703"/>
      <w:bookmarkStart w:id="70" w:name="_Toc500756713"/>
      <w:bookmarkStart w:id="71" w:name="_Toc536691781"/>
      <w:bookmarkStart w:id="72" w:name="_Toc80889848"/>
      <w:bookmarkStart w:id="73" w:name="_Toc81384831"/>
      <w:bookmarkStart w:id="74" w:name="_Toc84518030"/>
      <w:bookmarkStart w:id="75" w:name="_Toc85133428"/>
      <w:bookmarkStart w:id="76" w:name="_Toc85469345"/>
      <w:r w:rsidRPr="00E23D5A">
        <w:rPr>
          <w:rFonts w:ascii="Palatino Linotype" w:hAnsi="Palatino Linotype"/>
          <w:b/>
          <w:color w:val="000000"/>
          <w:lang w:eastAsia="en-US"/>
        </w:rPr>
        <w:t>II. La intervención del Comité de Transparencia.</w:t>
      </w:r>
      <w:bookmarkEnd w:id="69"/>
      <w:bookmarkEnd w:id="70"/>
      <w:bookmarkEnd w:id="71"/>
      <w:bookmarkEnd w:id="72"/>
      <w:bookmarkEnd w:id="73"/>
      <w:bookmarkEnd w:id="74"/>
      <w:bookmarkEnd w:id="75"/>
      <w:bookmarkEnd w:id="76"/>
    </w:p>
    <w:p w:rsidR="00162E11" w:rsidRPr="00E23D5A" w:rsidRDefault="00162E11" w:rsidP="001663BD">
      <w:pPr>
        <w:spacing w:line="360" w:lineRule="auto"/>
        <w:contextualSpacing/>
        <w:jc w:val="both"/>
        <w:rPr>
          <w:rFonts w:ascii="Palatino Linotype" w:hAnsi="Palatino Linotype" w:cs="Arial"/>
          <w:b/>
          <w:color w:val="000000"/>
          <w:lang w:val="es-ES_tradnl"/>
        </w:rPr>
      </w:pPr>
    </w:p>
    <w:p w:rsidR="00162E11" w:rsidRPr="00E23D5A" w:rsidRDefault="00162E11" w:rsidP="001663BD">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77" w:name="_Toc485631704"/>
      <w:bookmarkStart w:id="78" w:name="_Toc500756714"/>
      <w:bookmarkStart w:id="79" w:name="_Toc536691782"/>
      <w:bookmarkStart w:id="80" w:name="_Toc80889849"/>
      <w:bookmarkStart w:id="81" w:name="_Toc81260560"/>
      <w:bookmarkStart w:id="82" w:name="_Toc81384832"/>
      <w:bookmarkStart w:id="83" w:name="_Toc84518031"/>
      <w:bookmarkStart w:id="84" w:name="_Toc85133429"/>
      <w:bookmarkStart w:id="85" w:name="_Toc85469346"/>
      <w:r w:rsidRPr="00E23D5A">
        <w:rPr>
          <w:rFonts w:ascii="Palatino Linotype" w:hAnsi="Palatino Linotype"/>
          <w:b/>
          <w:color w:val="000000"/>
          <w:lang w:eastAsia="en-US"/>
        </w:rPr>
        <w:t>a) Formalidades para emitir el acuerdo de clasificación.</w:t>
      </w:r>
      <w:bookmarkEnd w:id="77"/>
      <w:bookmarkEnd w:id="78"/>
      <w:bookmarkEnd w:id="79"/>
      <w:bookmarkEnd w:id="80"/>
      <w:bookmarkEnd w:id="81"/>
      <w:bookmarkEnd w:id="82"/>
      <w:bookmarkEnd w:id="83"/>
      <w:bookmarkEnd w:id="84"/>
      <w:bookmarkEnd w:id="85"/>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 xml:space="preserve">El </w:t>
      </w:r>
      <w:r w:rsidRPr="00E23D5A">
        <w:rPr>
          <w:rFonts w:ascii="Palatino Linotype" w:hAnsi="Palatino Linotype"/>
          <w:color w:val="000000"/>
        </w:rPr>
        <w:t>Comité</w:t>
      </w:r>
      <w:r w:rsidRPr="00E23D5A">
        <w:rPr>
          <w:rFonts w:ascii="Palatino Linotype" w:hAnsi="Palatino Linotype" w:cs="Arial"/>
          <w:color w:val="000000"/>
          <w:lang w:val="es-ES_tradnl"/>
        </w:rPr>
        <w:t xml:space="preserve"> de Transparencia, según lo dispuesto en los artículos 128 y 103 de la Ley Estatal y de la Ley General, respectivamente, y </w:t>
      </w:r>
      <w:r w:rsidRPr="00E23D5A">
        <w:rPr>
          <w:rFonts w:ascii="Palatino Linotype" w:hAnsi="Palatino Linotype"/>
          <w:color w:val="000000"/>
          <w:lang w:val="es-ES_tradnl"/>
        </w:rPr>
        <w:t xml:space="preserve">la fracción III del numeral Segundo de los </w:t>
      </w:r>
      <w:r w:rsidRPr="00E23D5A">
        <w:rPr>
          <w:rFonts w:ascii="Palatino Linotype" w:hAnsi="Palatino Linotype" w:cs="Arial"/>
          <w:color w:val="000000"/>
          <w:lang w:val="es-ES_tradnl"/>
        </w:rPr>
        <w:t xml:space="preserve">Lineamientos Generales en Materia de Clasificación y Desclasificación de la Información, así como para la Elaboración de Versiones Públicas (en adelante </w:t>
      </w:r>
      <w:r w:rsidRPr="00E23D5A">
        <w:rPr>
          <w:rFonts w:ascii="Palatino Linotype" w:hAnsi="Palatino Linotype" w:cs="Arial"/>
          <w:color w:val="000000"/>
          <w:lang w:val="es-ES_tradnl"/>
        </w:rPr>
        <w:lastRenderedPageBreak/>
        <w:t>los Lineamientos Generales),</w:t>
      </w:r>
      <w:r w:rsidRPr="00E23D5A">
        <w:rPr>
          <w:rFonts w:ascii="Palatino Linotype" w:hAnsi="Palatino Linotype"/>
          <w:color w:val="000000"/>
          <w:lang w:val="es-ES_tradnl"/>
        </w:rPr>
        <w:t xml:space="preserve"> </w:t>
      </w:r>
      <w:r w:rsidRPr="00E23D5A">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lang w:val="es-ES_tradnl"/>
        </w:rPr>
        <w:t xml:space="preserve">La </w:t>
      </w:r>
      <w:r w:rsidRPr="00E23D5A">
        <w:rPr>
          <w:rFonts w:ascii="Palatino Linotype" w:hAnsi="Palatino Linotype" w:cs="Arial"/>
          <w:color w:val="000000"/>
          <w:lang w:val="es-ES_tradnl"/>
        </w:rPr>
        <w:t>decisión</w:t>
      </w:r>
      <w:r w:rsidRPr="00E23D5A">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w:t>
      </w:r>
      <w:r w:rsidRPr="00E23D5A">
        <w:rPr>
          <w:rFonts w:ascii="Palatino Linotype" w:hAnsi="Palatino Linotype"/>
          <w:color w:val="000000"/>
          <w:lang w:val="es-ES_tradnl"/>
        </w:rPr>
        <w:lastRenderedPageBreak/>
        <w:t>titulares de áreas y que son sujetas a control, en primera instancia, por el Comité de Transparencia.</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86" w:name="_Toc485631705"/>
      <w:bookmarkStart w:id="87" w:name="_Toc500756715"/>
      <w:bookmarkStart w:id="88" w:name="_Toc536691783"/>
      <w:bookmarkStart w:id="89" w:name="_Toc80889850"/>
      <w:bookmarkStart w:id="90" w:name="_Toc81260561"/>
      <w:bookmarkStart w:id="91" w:name="_Toc81384833"/>
      <w:bookmarkStart w:id="92" w:name="_Toc84518032"/>
      <w:bookmarkStart w:id="93" w:name="_Toc85133430"/>
      <w:bookmarkStart w:id="94" w:name="_Toc85469347"/>
      <w:r w:rsidRPr="00E23D5A">
        <w:rPr>
          <w:rFonts w:ascii="Palatino Linotype" w:hAnsi="Palatino Linotype"/>
          <w:b/>
          <w:color w:val="000000"/>
          <w:lang w:eastAsia="en-US"/>
        </w:rPr>
        <w:t>b) Requisitos de fondo del acuerdo de clasificación.</w:t>
      </w:r>
      <w:bookmarkEnd w:id="86"/>
      <w:bookmarkEnd w:id="87"/>
      <w:bookmarkEnd w:id="88"/>
      <w:bookmarkEnd w:id="89"/>
      <w:bookmarkEnd w:id="90"/>
      <w:bookmarkEnd w:id="91"/>
      <w:bookmarkEnd w:id="92"/>
      <w:bookmarkEnd w:id="93"/>
      <w:bookmarkEnd w:id="94"/>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 xml:space="preserve">Como </w:t>
      </w:r>
      <w:r w:rsidRPr="00E23D5A">
        <w:rPr>
          <w:rFonts w:ascii="Palatino Linotype" w:hAnsi="Palatino Linotype"/>
          <w:color w:val="000000"/>
          <w:lang w:val="es-ES_tradnl"/>
        </w:rPr>
        <w:t>se</w:t>
      </w:r>
      <w:r w:rsidRPr="00E23D5A">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lang w:val="es-ES_tradnl"/>
        </w:rPr>
        <w:t xml:space="preserve">De lo </w:t>
      </w:r>
      <w:r w:rsidRPr="00E23D5A">
        <w:rPr>
          <w:rFonts w:ascii="Palatino Linotype" w:hAnsi="Palatino Linotype" w:cs="Arial"/>
          <w:color w:val="000000"/>
          <w:lang w:val="es-ES_tradnl"/>
        </w:rPr>
        <w:t>anterior</w:t>
      </w:r>
      <w:r w:rsidRPr="00E23D5A">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0A24B1"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 xml:space="preserve">Han sido vastos los estudios doctrinarios relativos a estos derechos fundamentales y al principio de legalidad en ellos contenidos; como ejemplo, el </w:t>
      </w:r>
      <w:r w:rsidRPr="00E23D5A">
        <w:rPr>
          <w:rFonts w:ascii="Palatino Linotype" w:hAnsi="Palatino Linotype" w:cs="Arial"/>
          <w:color w:val="000000"/>
          <w:lang w:val="es-ES_tradnl"/>
        </w:rPr>
        <w:lastRenderedPageBreak/>
        <w:t>procesalista José Ovalle Fabela, en su obra “Garantías Constitucionales del Proceso”, refiere que “...</w:t>
      </w:r>
      <w:r w:rsidRPr="00E23D5A">
        <w:rPr>
          <w:rFonts w:ascii="Palatino Linotype" w:hAnsi="Palatino Linotype" w:cs="Arial"/>
          <w:i/>
          <w:iCs/>
          <w:color w:val="000000"/>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23D5A">
        <w:rPr>
          <w:rFonts w:ascii="Palatino Linotype" w:hAnsi="Palatino Linotype" w:cs="Arial"/>
          <w:color w:val="000000"/>
          <w:lang w:val="es-ES_tradnl"/>
        </w:rPr>
        <w:t>...”.</w:t>
      </w:r>
      <w:r w:rsidRPr="00E23D5A">
        <w:rPr>
          <w:rFonts w:ascii="Palatino Linotype" w:hAnsi="Palatino Linotype"/>
          <w:vertAlign w:val="superscript"/>
          <w:lang w:val="es-ES_tradnl"/>
        </w:rPr>
        <w:footnoteReference w:id="10"/>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E23D5A">
        <w:rPr>
          <w:rFonts w:ascii="Palatino Linotype" w:hAnsi="Palatino Linotype"/>
          <w:i/>
          <w:vertAlign w:val="superscript"/>
          <w:lang w:val="es-ES_tradnl"/>
        </w:rPr>
        <w:footnoteReference w:id="11"/>
      </w:r>
      <w:r w:rsidRPr="00E23D5A">
        <w:rPr>
          <w:rFonts w:ascii="Palatino Linotype" w:hAnsi="Palatino Linotype" w:cs="Arial"/>
          <w:color w:val="000000"/>
          <w:lang w:val="es-ES_tradnl"/>
        </w:rPr>
        <w:t>:</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pStyle w:val="Prrafodelista"/>
        <w:spacing w:line="360" w:lineRule="auto"/>
        <w:ind w:left="644" w:right="618"/>
        <w:jc w:val="both"/>
        <w:rPr>
          <w:rFonts w:ascii="Palatino Linotype" w:hAnsi="Palatino Linotype" w:cs="Arial"/>
          <w:i/>
          <w:color w:val="000000"/>
          <w:lang w:val="es-ES_tradnl"/>
        </w:rPr>
      </w:pPr>
      <w:r w:rsidRPr="00E23D5A">
        <w:rPr>
          <w:rFonts w:ascii="Palatino Linotype" w:hAnsi="Palatino Linotype" w:cs="Arial"/>
          <w:b/>
          <w:i/>
          <w:color w:val="000000"/>
          <w:lang w:val="es-ES_tradnl"/>
        </w:rPr>
        <w:t>FUNDAMENTACIÓN Y MOTIVACIÓN.</w:t>
      </w:r>
      <w:r w:rsidRPr="00E23D5A">
        <w:rPr>
          <w:rFonts w:ascii="Palatino Linotype" w:hAnsi="Palatino Linotype" w:cs="Arial"/>
          <w:i/>
          <w:color w:val="000000"/>
          <w:lang w:val="es-ES_tradnl"/>
        </w:rPr>
        <w:t xml:space="preserve"> “La </w:t>
      </w:r>
      <w:r w:rsidRPr="00E23D5A">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3D5A">
        <w:rPr>
          <w:rFonts w:ascii="Palatino Linotype" w:hAnsi="Palatino Linotype" w:cs="Arial"/>
          <w:i/>
          <w:color w:val="000000"/>
          <w:lang w:val="es-ES_tradnl"/>
        </w:rPr>
        <w:t>.”</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7E5E4F"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23D5A">
        <w:rPr>
          <w:rFonts w:ascii="Palatino Linotype" w:hAnsi="Palatino Linotype"/>
          <w:color w:val="000000"/>
          <w:lang w:val="es-ES_tradnl"/>
        </w:rPr>
        <w:t xml:space="preserve"> </w:t>
      </w:r>
      <w:r w:rsidRPr="00E23D5A">
        <w:rPr>
          <w:rFonts w:ascii="Palatino Linotype" w:hAnsi="Palatino Linotype" w:cs="Arial"/>
          <w:color w:val="000000"/>
          <w:lang w:val="es-ES_tradnl"/>
        </w:rPr>
        <w:t>datos personales</w:t>
      </w:r>
      <w:r w:rsidRPr="00E23D5A">
        <w:rPr>
          <w:rFonts w:ascii="Palatino Linotype" w:hAnsi="Palatino Linotype"/>
          <w:vertAlign w:val="superscript"/>
          <w:lang w:val="es-ES_tradnl"/>
        </w:rPr>
        <w:footnoteReference w:id="12"/>
      </w:r>
      <w:r w:rsidRPr="00E23D5A">
        <w:rPr>
          <w:rFonts w:ascii="Palatino Linotype" w:hAnsi="Palatino Linotype" w:cs="Arial"/>
          <w:color w:val="000000"/>
          <w:lang w:val="es-ES_tradnl"/>
        </w:rPr>
        <w:t xml:space="preserve"> del servidor público que no tienen ninguna injerencia en el tema de la transparencia y la </w:t>
      </w:r>
      <w:r w:rsidRPr="00E23D5A">
        <w:rPr>
          <w:rFonts w:ascii="Palatino Linotype" w:hAnsi="Palatino Linotype" w:cs="Arial"/>
          <w:color w:val="000000"/>
          <w:lang w:val="es-ES_tradnl"/>
        </w:rPr>
        <w:lastRenderedPageBreak/>
        <w:t xml:space="preserve">rendición de cuentas,  por ejemplo, </w:t>
      </w:r>
      <w:r w:rsidRPr="00E23D5A">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7E5E4F" w:rsidRPr="00F925CA" w:rsidRDefault="007E5E4F" w:rsidP="007E5E4F">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s="Arial"/>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62E11" w:rsidRPr="00E23D5A" w:rsidRDefault="00162E11" w:rsidP="001663BD">
      <w:pPr>
        <w:pStyle w:val="Prrafodelista"/>
        <w:spacing w:line="360" w:lineRule="auto"/>
        <w:ind w:left="644"/>
        <w:jc w:val="both"/>
        <w:rPr>
          <w:rFonts w:ascii="Palatino Linotype" w:hAnsi="Palatino Linotype" w:cs="Arial"/>
          <w:color w:val="000000"/>
          <w:lang w:val="es-ES_tradnl"/>
        </w:rPr>
      </w:pPr>
    </w:p>
    <w:p w:rsidR="00162E11" w:rsidRPr="00E23D5A" w:rsidRDefault="00162E11" w:rsidP="001663BD">
      <w:pPr>
        <w:keepNext/>
        <w:keepLines/>
        <w:pBdr>
          <w:top w:val="nil"/>
          <w:left w:val="nil"/>
          <w:bottom w:val="nil"/>
          <w:right w:val="nil"/>
          <w:between w:val="nil"/>
          <w:bar w:val="nil"/>
        </w:pBdr>
        <w:spacing w:line="360" w:lineRule="auto"/>
        <w:contextualSpacing/>
        <w:jc w:val="both"/>
        <w:outlineLvl w:val="1"/>
        <w:rPr>
          <w:rFonts w:ascii="Palatino Linotype" w:hAnsi="Palatino Linotype"/>
          <w:b/>
          <w:color w:val="000000"/>
          <w:lang w:eastAsia="en-US"/>
        </w:rPr>
      </w:pPr>
      <w:bookmarkStart w:id="95" w:name="_Toc485631710"/>
      <w:bookmarkStart w:id="96" w:name="_Toc500756720"/>
      <w:bookmarkStart w:id="97" w:name="_Toc536691788"/>
      <w:bookmarkStart w:id="98" w:name="_Toc80889855"/>
      <w:bookmarkStart w:id="99" w:name="_Toc81260565"/>
      <w:bookmarkStart w:id="100" w:name="_Toc81384837"/>
      <w:bookmarkStart w:id="101" w:name="_Toc84518036"/>
      <w:bookmarkStart w:id="102" w:name="_Toc85133434"/>
      <w:bookmarkStart w:id="103" w:name="_Toc85469351"/>
      <w:r w:rsidRPr="00E23D5A">
        <w:rPr>
          <w:rFonts w:ascii="Palatino Linotype" w:hAnsi="Palatino Linotype"/>
          <w:b/>
          <w:color w:val="000000"/>
          <w:lang w:eastAsia="en-US"/>
        </w:rPr>
        <w:t>Condiciones especiales de la clasificación de la información como confidencial.</w:t>
      </w:r>
      <w:bookmarkEnd w:id="95"/>
      <w:bookmarkEnd w:id="96"/>
      <w:bookmarkEnd w:id="97"/>
      <w:bookmarkEnd w:id="98"/>
      <w:bookmarkEnd w:id="99"/>
      <w:bookmarkEnd w:id="100"/>
      <w:bookmarkEnd w:id="101"/>
      <w:bookmarkEnd w:id="102"/>
      <w:bookmarkEnd w:id="103"/>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hAnsi="Palatino Linotype"/>
          <w:color w:val="000000"/>
          <w:lang w:val="es-ES_tradnl"/>
        </w:rPr>
        <w:t>Lo</w:t>
      </w:r>
      <w:r w:rsidRPr="00E23D5A">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pStyle w:val="Prrafodelista"/>
        <w:spacing w:line="360" w:lineRule="auto"/>
        <w:ind w:left="644" w:right="567"/>
        <w:jc w:val="both"/>
        <w:rPr>
          <w:rFonts w:ascii="Palatino Linotype" w:hAnsi="Palatino Linotype"/>
          <w:bCs/>
          <w:i/>
          <w:iCs/>
          <w:color w:val="000000"/>
          <w:lang w:val="es-ES"/>
        </w:rPr>
      </w:pPr>
      <w:r w:rsidRPr="00E23D5A">
        <w:rPr>
          <w:rFonts w:ascii="Palatino Linotype" w:hAnsi="Palatino Linotype"/>
          <w:bCs/>
          <w:i/>
          <w:iCs/>
          <w:color w:val="000000"/>
          <w:lang w:val="es-ES"/>
        </w:rPr>
        <w:t>“</w:t>
      </w:r>
      <w:r w:rsidRPr="00E23D5A">
        <w:rPr>
          <w:rFonts w:ascii="Palatino Linotype" w:hAnsi="Palatino Linotype"/>
          <w:b/>
          <w:i/>
          <w:iCs/>
          <w:color w:val="000000"/>
          <w:lang w:val="es-ES"/>
        </w:rPr>
        <w:t>I.</w:t>
      </w:r>
      <w:r w:rsidRPr="00E23D5A">
        <w:rPr>
          <w:rFonts w:ascii="Palatino Linotype" w:hAnsi="Palatino Linotype"/>
          <w:i/>
          <w:iCs/>
          <w:color w:val="000000"/>
          <w:lang w:val="es-ES"/>
        </w:rPr>
        <w:t xml:space="preserve"> La información se encuentre en registros públicos o fuentes de acceso público;</w:t>
      </w:r>
    </w:p>
    <w:p w:rsidR="00162E11" w:rsidRPr="00E23D5A" w:rsidRDefault="00162E11" w:rsidP="001663BD">
      <w:pPr>
        <w:pStyle w:val="Prrafodelista"/>
        <w:spacing w:line="360" w:lineRule="auto"/>
        <w:ind w:left="644" w:right="567"/>
        <w:jc w:val="both"/>
        <w:rPr>
          <w:rFonts w:ascii="Palatino Linotype" w:hAnsi="Palatino Linotype"/>
          <w:bCs/>
          <w:i/>
          <w:iCs/>
          <w:color w:val="000000"/>
          <w:lang w:val="es-ES"/>
        </w:rPr>
      </w:pPr>
      <w:r w:rsidRPr="00E23D5A">
        <w:rPr>
          <w:rFonts w:ascii="Palatino Linotype" w:hAnsi="Palatino Linotype"/>
          <w:b/>
          <w:i/>
          <w:iCs/>
          <w:color w:val="000000"/>
          <w:lang w:val="es-ES"/>
        </w:rPr>
        <w:t>II.</w:t>
      </w:r>
      <w:r w:rsidRPr="00E23D5A">
        <w:rPr>
          <w:rFonts w:ascii="Palatino Linotype" w:hAnsi="Palatino Linotype"/>
          <w:bCs/>
          <w:i/>
          <w:iCs/>
          <w:color w:val="000000"/>
          <w:lang w:val="es-ES"/>
        </w:rPr>
        <w:t xml:space="preserve"> </w:t>
      </w:r>
      <w:r w:rsidRPr="00E23D5A">
        <w:rPr>
          <w:rFonts w:ascii="Palatino Linotype" w:hAnsi="Palatino Linotype"/>
          <w:i/>
          <w:iCs/>
          <w:color w:val="000000"/>
          <w:lang w:val="es-ES"/>
        </w:rPr>
        <w:t>Por Ley tenga el carácter de pública;</w:t>
      </w:r>
    </w:p>
    <w:p w:rsidR="00162E11" w:rsidRPr="00E23D5A" w:rsidRDefault="00162E11" w:rsidP="001663BD">
      <w:pPr>
        <w:pStyle w:val="Prrafodelista"/>
        <w:spacing w:line="360" w:lineRule="auto"/>
        <w:ind w:left="644" w:right="567"/>
        <w:jc w:val="both"/>
        <w:rPr>
          <w:rFonts w:ascii="Palatino Linotype" w:hAnsi="Palatino Linotype"/>
          <w:i/>
          <w:iCs/>
          <w:color w:val="000000"/>
          <w:lang w:val="es-ES"/>
        </w:rPr>
      </w:pPr>
      <w:r w:rsidRPr="00E23D5A">
        <w:rPr>
          <w:rFonts w:ascii="Palatino Linotype" w:hAnsi="Palatino Linotype"/>
          <w:b/>
          <w:i/>
          <w:iCs/>
          <w:color w:val="000000"/>
          <w:lang w:val="es-ES"/>
        </w:rPr>
        <w:lastRenderedPageBreak/>
        <w:t>III.</w:t>
      </w:r>
      <w:r w:rsidRPr="00E23D5A">
        <w:rPr>
          <w:rFonts w:ascii="Palatino Linotype" w:hAnsi="Palatino Linotype"/>
          <w:bCs/>
          <w:i/>
          <w:iCs/>
          <w:color w:val="000000"/>
          <w:lang w:val="es-ES"/>
        </w:rPr>
        <w:t xml:space="preserve"> </w:t>
      </w:r>
      <w:r w:rsidRPr="00E23D5A">
        <w:rPr>
          <w:rFonts w:ascii="Palatino Linotype" w:hAnsi="Palatino Linotype"/>
          <w:i/>
          <w:iCs/>
          <w:color w:val="000000"/>
          <w:lang w:val="es-ES"/>
        </w:rPr>
        <w:t xml:space="preserve">Exista una orden judicial; </w:t>
      </w:r>
    </w:p>
    <w:p w:rsidR="00162E11" w:rsidRPr="00E23D5A" w:rsidRDefault="00162E11" w:rsidP="001663BD">
      <w:pPr>
        <w:pStyle w:val="Prrafodelista"/>
        <w:spacing w:line="360" w:lineRule="auto"/>
        <w:ind w:left="644" w:right="567"/>
        <w:jc w:val="both"/>
        <w:rPr>
          <w:rFonts w:ascii="Palatino Linotype" w:hAnsi="Palatino Linotype"/>
          <w:i/>
          <w:iCs/>
          <w:color w:val="000000"/>
          <w:lang w:val="es-ES"/>
        </w:rPr>
      </w:pPr>
      <w:r w:rsidRPr="00E23D5A">
        <w:rPr>
          <w:rFonts w:ascii="Palatino Linotype" w:hAnsi="Palatino Linotype"/>
          <w:b/>
          <w:i/>
          <w:iCs/>
          <w:color w:val="000000"/>
          <w:lang w:val="es-ES"/>
        </w:rPr>
        <w:t>IV.</w:t>
      </w:r>
      <w:r w:rsidRPr="00E23D5A">
        <w:rPr>
          <w:rFonts w:ascii="Palatino Linotype" w:hAnsi="Palatino Linotype"/>
          <w:bCs/>
          <w:i/>
          <w:iCs/>
          <w:color w:val="000000"/>
          <w:lang w:val="es-ES"/>
        </w:rPr>
        <w:t xml:space="preserve"> </w:t>
      </w:r>
      <w:r w:rsidRPr="00E23D5A">
        <w:rPr>
          <w:rFonts w:ascii="Palatino Linotype" w:hAnsi="Palatino Linotype"/>
          <w:i/>
          <w:iCs/>
          <w:color w:val="000000"/>
          <w:lang w:val="es-ES"/>
        </w:rPr>
        <w:t xml:space="preserve">Por razones de seguridad pública, o para proteger los derechos de terceros, se requiera su publicación; o </w:t>
      </w:r>
    </w:p>
    <w:p w:rsidR="00162E11" w:rsidRPr="00E23D5A" w:rsidRDefault="00162E11" w:rsidP="001663BD">
      <w:pPr>
        <w:pStyle w:val="Prrafodelista"/>
        <w:spacing w:line="360" w:lineRule="auto"/>
        <w:ind w:left="644" w:right="567"/>
        <w:jc w:val="both"/>
        <w:rPr>
          <w:rFonts w:ascii="Palatino Linotype" w:hAnsi="Palatino Linotype"/>
          <w:i/>
          <w:iCs/>
          <w:color w:val="000000"/>
          <w:lang w:val="es-ES"/>
        </w:rPr>
      </w:pPr>
      <w:r w:rsidRPr="00E23D5A">
        <w:rPr>
          <w:rFonts w:ascii="Palatino Linotype" w:hAnsi="Palatino Linotype"/>
          <w:b/>
          <w:i/>
          <w:iCs/>
          <w:color w:val="000000"/>
          <w:lang w:val="es-ES"/>
        </w:rPr>
        <w:t>V.</w:t>
      </w:r>
      <w:r w:rsidRPr="00E23D5A">
        <w:rPr>
          <w:rFonts w:ascii="Palatino Linotype" w:hAnsi="Palatino Linotype"/>
          <w:bCs/>
          <w:i/>
          <w:iCs/>
          <w:color w:val="000000"/>
          <w:lang w:val="es-ES"/>
        </w:rPr>
        <w:t xml:space="preserve"> </w:t>
      </w:r>
      <w:r w:rsidRPr="00E23D5A">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olor w:val="000000"/>
          <w:lang w:eastAsia="en-US"/>
        </w:rPr>
        <w:t>En</w:t>
      </w:r>
      <w:r w:rsidRPr="00E23D5A">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olor w:val="000000"/>
          <w:lang w:eastAsia="en-US"/>
        </w:rPr>
        <w:t>Pero</w:t>
      </w:r>
      <w:r w:rsidRPr="00E23D5A">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olor w:val="000000"/>
          <w:lang w:eastAsia="en-US"/>
        </w:rPr>
        <w:t>Los</w:t>
      </w:r>
      <w:r w:rsidRPr="00E23D5A">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rsidR="00162E11" w:rsidRPr="00E23D5A" w:rsidRDefault="00162E11" w:rsidP="001663BD">
      <w:pPr>
        <w:spacing w:line="360" w:lineRule="auto"/>
        <w:ind w:right="49"/>
        <w:contextualSpacing/>
        <w:jc w:val="both"/>
        <w:rPr>
          <w:rFonts w:ascii="Palatino Linotype" w:hAnsi="Palatino Linotype"/>
          <w:color w:val="000000"/>
          <w:lang w:val="es-ES_tradnl"/>
        </w:rPr>
      </w:pPr>
    </w:p>
    <w:tbl>
      <w:tblPr>
        <w:tblStyle w:val="Tablaconcuadrcula"/>
        <w:tblW w:w="8451" w:type="dxa"/>
        <w:tblLook w:val="04A0" w:firstRow="1" w:lastRow="0" w:firstColumn="1" w:lastColumn="0" w:noHBand="0" w:noVBand="1"/>
      </w:tblPr>
      <w:tblGrid>
        <w:gridCol w:w="2155"/>
        <w:gridCol w:w="1759"/>
        <w:gridCol w:w="2269"/>
        <w:gridCol w:w="2268"/>
      </w:tblGrid>
      <w:tr w:rsidR="00162E11" w:rsidRPr="00E23D5A" w:rsidTr="00162E11">
        <w:tc>
          <w:tcPr>
            <w:tcW w:w="2155" w:type="dxa"/>
            <w:vMerge w:val="restart"/>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Requisitos previos</w:t>
            </w: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Los sujetos obligados determinan que la información actualiza alguno de los supuestos de clasificación:</w:t>
            </w:r>
          </w:p>
        </w:tc>
        <w:tc>
          <w:tcPr>
            <w:tcW w:w="2269" w:type="dxa"/>
          </w:tcPr>
          <w:p w:rsidR="00162E11" w:rsidRPr="00E23D5A" w:rsidRDefault="00162E11" w:rsidP="001663BD">
            <w:pPr>
              <w:spacing w:line="360" w:lineRule="auto"/>
              <w:jc w:val="both"/>
              <w:rPr>
                <w:rFonts w:ascii="Palatino Linotype" w:hAnsi="Palatino Linotype"/>
                <w:color w:val="000000"/>
                <w:sz w:val="22"/>
              </w:rPr>
            </w:pPr>
          </w:p>
          <w:p w:rsidR="00162E11" w:rsidRPr="00E23D5A" w:rsidRDefault="00162E11" w:rsidP="001663BD">
            <w:pPr>
              <w:numPr>
                <w:ilvl w:val="0"/>
                <w:numId w:val="3"/>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 xml:space="preserve">Confidencialidad </w:t>
            </w:r>
          </w:p>
          <w:p w:rsidR="00162E11" w:rsidRPr="00E23D5A" w:rsidRDefault="00162E11" w:rsidP="001663BD">
            <w:pPr>
              <w:numPr>
                <w:ilvl w:val="0"/>
                <w:numId w:val="3"/>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Reserva</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Los titulares de las áreas que administran la información son los que aprueban la clasificación </w:t>
            </w:r>
          </w:p>
        </w:tc>
        <w:tc>
          <w:tcPr>
            <w:tcW w:w="2269" w:type="dxa"/>
          </w:tcPr>
          <w:p w:rsidR="00162E11" w:rsidRPr="00E23D5A" w:rsidRDefault="00162E11" w:rsidP="001663BD">
            <w:pPr>
              <w:spacing w:line="360" w:lineRule="auto"/>
              <w:jc w:val="both"/>
              <w:rPr>
                <w:rFonts w:ascii="Palatino Linotype" w:hAnsi="Palatino Linotype"/>
                <w:color w:val="000000"/>
                <w:sz w:val="22"/>
              </w:rPr>
            </w:pP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La clasificación de la información se realiza al momento de:</w:t>
            </w:r>
          </w:p>
        </w:tc>
        <w:tc>
          <w:tcPr>
            <w:tcW w:w="2269" w:type="dxa"/>
          </w:tcPr>
          <w:p w:rsidR="00162E11" w:rsidRPr="00E23D5A" w:rsidRDefault="00162E11" w:rsidP="001663BD">
            <w:pPr>
              <w:numPr>
                <w:ilvl w:val="0"/>
                <w:numId w:val="2"/>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Atender una solicitud</w:t>
            </w:r>
          </w:p>
          <w:p w:rsidR="00162E11" w:rsidRPr="00E23D5A" w:rsidRDefault="00162E11" w:rsidP="001663BD">
            <w:pPr>
              <w:numPr>
                <w:ilvl w:val="0"/>
                <w:numId w:val="2"/>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Por mandato de una autoridad competente</w:t>
            </w:r>
          </w:p>
          <w:p w:rsidR="00162E11" w:rsidRPr="00E23D5A" w:rsidRDefault="00162E11" w:rsidP="001663BD">
            <w:pPr>
              <w:numPr>
                <w:ilvl w:val="0"/>
                <w:numId w:val="2"/>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 xml:space="preserve">Para elaborar una versión pública y cumplir una </w:t>
            </w:r>
            <w:r w:rsidRPr="00E23D5A">
              <w:rPr>
                <w:rFonts w:ascii="Palatino Linotype" w:hAnsi="Palatino Linotype"/>
                <w:color w:val="000000"/>
                <w:sz w:val="22"/>
              </w:rPr>
              <w:lastRenderedPageBreak/>
              <w:t>obligación de transparencia</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No se pueden emitir acuerdos de carácter general ni particular</w:t>
            </w: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El </w:t>
            </w:r>
            <w:r w:rsidRPr="00E23D5A">
              <w:rPr>
                <w:rFonts w:ascii="Palatino Linotype" w:hAnsi="Palatino Linotype"/>
                <w:b/>
                <w:bCs/>
                <w:color w:val="000000"/>
                <w:sz w:val="22"/>
              </w:rPr>
              <w:t>SUJETO OBLIGADO</w:t>
            </w:r>
            <w:r w:rsidRPr="00E23D5A">
              <w:rPr>
                <w:rFonts w:ascii="Palatino Linotype" w:hAnsi="Palatino Linotype"/>
                <w:color w:val="000000"/>
                <w:sz w:val="22"/>
              </w:rPr>
              <w:t xml:space="preserve"> debe emitir un acuerdo describiendo y analizando cada documento de un expediente y todos los datos incluidos en un documento </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val="restart"/>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Supuestos de clasificación</w:t>
            </w: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Para clasificar la información como reservada hay</w:t>
            </w:r>
          </w:p>
        </w:tc>
        <w:tc>
          <w:tcPr>
            <w:tcW w:w="2269" w:type="dxa"/>
          </w:tcPr>
          <w:p w:rsidR="00162E11" w:rsidRPr="00E23D5A" w:rsidRDefault="00162E11" w:rsidP="001663BD">
            <w:pPr>
              <w:numPr>
                <w:ilvl w:val="0"/>
                <w:numId w:val="4"/>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11 supuestos en la Ley Estatal</w:t>
            </w:r>
          </w:p>
          <w:p w:rsidR="00162E11" w:rsidRPr="00E23D5A" w:rsidRDefault="00162E11" w:rsidP="001663BD">
            <w:pPr>
              <w:numPr>
                <w:ilvl w:val="0"/>
                <w:numId w:val="4"/>
              </w:numPr>
              <w:spacing w:line="360" w:lineRule="auto"/>
              <w:contextualSpacing/>
              <w:jc w:val="both"/>
              <w:rPr>
                <w:rFonts w:ascii="Palatino Linotype" w:hAnsi="Palatino Linotype"/>
                <w:color w:val="000000"/>
                <w:sz w:val="22"/>
              </w:rPr>
            </w:pPr>
            <w:r w:rsidRPr="00E23D5A">
              <w:rPr>
                <w:rFonts w:ascii="Palatino Linotype" w:hAnsi="Palatino Linotype"/>
                <w:color w:val="000000"/>
                <w:sz w:val="22"/>
              </w:rPr>
              <w:t>13 supuestos en la Ley General</w:t>
            </w:r>
          </w:p>
        </w:tc>
        <w:tc>
          <w:tcPr>
            <w:tcW w:w="2268"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El </w:t>
            </w:r>
            <w:r w:rsidRPr="00E23D5A">
              <w:rPr>
                <w:rFonts w:ascii="Palatino Linotype" w:hAnsi="Palatino Linotype"/>
                <w:b/>
                <w:bCs/>
                <w:color w:val="000000"/>
                <w:sz w:val="22"/>
              </w:rPr>
              <w:t>SUJETO OBLIGADO</w:t>
            </w:r>
            <w:r w:rsidRPr="00E23D5A">
              <w:rPr>
                <w:rFonts w:ascii="Palatino Linotype" w:hAnsi="Palatino Linotype"/>
                <w:color w:val="000000"/>
                <w:sz w:val="22"/>
              </w:rPr>
              <w:t xml:space="preserve"> debe identificar claramente la información que se pretende clasificar y realizar un juicio de subsunción o encaje</w:t>
            </w: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Para clasificar la información como confidencial hay</w:t>
            </w: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que considerar la definición de dato personal</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Estos supuestos se aplican de </w:t>
            </w:r>
            <w:r w:rsidRPr="00E23D5A">
              <w:rPr>
                <w:rFonts w:ascii="Palatino Linotype" w:hAnsi="Palatino Linotype"/>
                <w:color w:val="000000"/>
                <w:sz w:val="22"/>
              </w:rPr>
              <w:lastRenderedPageBreak/>
              <w:t>manera restrictiva y estricta, no pueden ampliarse</w:t>
            </w:r>
          </w:p>
        </w:tc>
        <w:tc>
          <w:tcPr>
            <w:tcW w:w="2269" w:type="dxa"/>
          </w:tcPr>
          <w:p w:rsidR="00162E11" w:rsidRPr="00E23D5A" w:rsidRDefault="00162E11" w:rsidP="001663BD">
            <w:pPr>
              <w:spacing w:line="360" w:lineRule="auto"/>
              <w:jc w:val="both"/>
              <w:rPr>
                <w:rFonts w:ascii="Palatino Linotype" w:hAnsi="Palatino Linotype"/>
                <w:color w:val="000000"/>
                <w:sz w:val="22"/>
              </w:rPr>
            </w:pP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val="restart"/>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Excepciones a la clasificación de reserva</w:t>
            </w:r>
          </w:p>
        </w:tc>
        <w:tc>
          <w:tcPr>
            <w:tcW w:w="1759" w:type="dxa"/>
            <w:vMerge w:val="restart"/>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No puede clasificarse como información reservada la concerniente a:</w:t>
            </w: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Actos (probados o en investigación) graves de violaciones a derechos humanos</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vMerge/>
          </w:tcPr>
          <w:p w:rsidR="00162E11" w:rsidRPr="00E23D5A" w:rsidRDefault="00162E11" w:rsidP="001663BD">
            <w:pPr>
              <w:spacing w:line="360" w:lineRule="auto"/>
              <w:jc w:val="both"/>
              <w:rPr>
                <w:rFonts w:ascii="Palatino Linotype" w:hAnsi="Palatino Linotype"/>
                <w:color w:val="000000"/>
                <w:sz w:val="22"/>
              </w:rPr>
            </w:pP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Delitos de lessa humanidad</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vMerge/>
          </w:tcPr>
          <w:p w:rsidR="00162E11" w:rsidRPr="00E23D5A" w:rsidRDefault="00162E11" w:rsidP="001663BD">
            <w:pPr>
              <w:spacing w:line="360" w:lineRule="auto"/>
              <w:jc w:val="both"/>
              <w:rPr>
                <w:rFonts w:ascii="Palatino Linotype" w:hAnsi="Palatino Linotype"/>
                <w:color w:val="000000"/>
                <w:sz w:val="22"/>
              </w:rPr>
            </w:pP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Actos de Corrupción</w:t>
            </w:r>
          </w:p>
        </w:tc>
        <w:tc>
          <w:tcPr>
            <w:tcW w:w="2268"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Los comprendidos en el Título Sexto del Código Penal del Estado</w:t>
            </w:r>
          </w:p>
        </w:tc>
      </w:tr>
      <w:tr w:rsidR="00162E11" w:rsidRPr="00E23D5A" w:rsidTr="00162E11">
        <w:tc>
          <w:tcPr>
            <w:tcW w:w="2155" w:type="dxa"/>
            <w:vMerge w:val="restart"/>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Participación del Comité de Transparencia</w:t>
            </w:r>
          </w:p>
        </w:tc>
        <w:tc>
          <w:tcPr>
            <w:tcW w:w="1759" w:type="dxa"/>
            <w:vMerge w:val="restart"/>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Formalidades</w:t>
            </w: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El Comité debe de estar debidamente integrado</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vMerge/>
          </w:tcPr>
          <w:p w:rsidR="00162E11" w:rsidRPr="00E23D5A" w:rsidRDefault="00162E11" w:rsidP="001663BD">
            <w:pPr>
              <w:spacing w:line="360" w:lineRule="auto"/>
              <w:jc w:val="both"/>
              <w:rPr>
                <w:rFonts w:ascii="Palatino Linotype" w:hAnsi="Palatino Linotype"/>
                <w:color w:val="000000"/>
                <w:sz w:val="22"/>
              </w:rPr>
            </w:pP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El Comité no aprueba la clasificación, sólo: confirma, modifica o revoca la decisión de las áreas </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Fondo del acuerdo de clasificación</w:t>
            </w: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La carga de la prueba para </w:t>
            </w:r>
            <w:r w:rsidRPr="00E23D5A">
              <w:rPr>
                <w:rFonts w:ascii="Palatino Linotype" w:hAnsi="Palatino Linotype"/>
                <w:color w:val="000000"/>
                <w:sz w:val="22"/>
              </w:rPr>
              <w:lastRenderedPageBreak/>
              <w:t xml:space="preserve">justificar la restricción corresponde al </w:t>
            </w:r>
            <w:r w:rsidRPr="00E23D5A">
              <w:rPr>
                <w:rFonts w:ascii="Palatino Linotype" w:hAnsi="Palatino Linotype"/>
                <w:b/>
                <w:bCs/>
                <w:color w:val="000000"/>
                <w:sz w:val="22"/>
              </w:rPr>
              <w:t>SUJETO OBLIGADO</w:t>
            </w: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lastRenderedPageBreak/>
              <w:t>Deber de fundar y motivar</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rPr>
          <w:trHeight w:val="685"/>
        </w:trPr>
        <w:tc>
          <w:tcPr>
            <w:tcW w:w="2155" w:type="dxa"/>
            <w:vMerge w:val="restart"/>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Condiciones especiales de la reserva</w:t>
            </w:r>
          </w:p>
        </w:tc>
        <w:tc>
          <w:tcPr>
            <w:tcW w:w="1759" w:type="dxa"/>
            <w:vMerge w:val="restart"/>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Motivar implica</w:t>
            </w:r>
          </w:p>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Además se debe aplicar, caso por caso, una prueba de daño.</w:t>
            </w:r>
          </w:p>
        </w:tc>
        <w:tc>
          <w:tcPr>
            <w:tcW w:w="2269" w:type="dxa"/>
            <w:vMerge w:val="restart"/>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Señalar las razones, motivos o circunstancias.</w:t>
            </w:r>
          </w:p>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Se deben señalar las razones objetivas y acreditar.</w:t>
            </w:r>
          </w:p>
          <w:p w:rsidR="00162E11" w:rsidRPr="00E23D5A" w:rsidRDefault="00162E11" w:rsidP="001663BD">
            <w:pPr>
              <w:spacing w:line="360" w:lineRule="auto"/>
              <w:jc w:val="both"/>
              <w:rPr>
                <w:rFonts w:ascii="Palatino Linotype" w:hAnsi="Palatino Linotype"/>
                <w:color w:val="000000"/>
                <w:sz w:val="22"/>
              </w:rPr>
            </w:pPr>
          </w:p>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*Adquiere la condición especial de ser temporal por un periodo de 5 años con la posibilidad de ampliarse por un periodo igual.</w:t>
            </w:r>
          </w:p>
        </w:tc>
        <w:tc>
          <w:tcPr>
            <w:tcW w:w="2268" w:type="dxa"/>
            <w:vMerge w:val="restart"/>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Que entregar la información provoca un riesgo real, demostrable e identificable al interés público o a la seguridad pública</w:t>
            </w:r>
          </w:p>
        </w:tc>
      </w:tr>
      <w:tr w:rsidR="00162E11" w:rsidRPr="00E23D5A" w:rsidTr="00162E11">
        <w:trPr>
          <w:trHeight w:val="685"/>
        </w:trPr>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vMerge/>
          </w:tcPr>
          <w:p w:rsidR="00162E11" w:rsidRPr="00E23D5A" w:rsidRDefault="00162E11" w:rsidP="001663BD">
            <w:pPr>
              <w:spacing w:line="360" w:lineRule="auto"/>
              <w:jc w:val="both"/>
              <w:rPr>
                <w:rFonts w:ascii="Palatino Linotype" w:hAnsi="Palatino Linotype"/>
                <w:color w:val="000000"/>
                <w:sz w:val="22"/>
              </w:rPr>
            </w:pPr>
          </w:p>
        </w:tc>
        <w:tc>
          <w:tcPr>
            <w:tcW w:w="2269" w:type="dxa"/>
            <w:vMerge/>
          </w:tcPr>
          <w:p w:rsidR="00162E11" w:rsidRPr="00E23D5A" w:rsidRDefault="00162E11" w:rsidP="001663BD">
            <w:pPr>
              <w:spacing w:line="360" w:lineRule="auto"/>
              <w:jc w:val="both"/>
              <w:rPr>
                <w:rFonts w:ascii="Palatino Linotype" w:hAnsi="Palatino Linotype"/>
                <w:color w:val="000000"/>
                <w:sz w:val="22"/>
              </w:rPr>
            </w:pPr>
          </w:p>
        </w:tc>
        <w:tc>
          <w:tcPr>
            <w:tcW w:w="2268" w:type="dxa"/>
            <w:vMerge/>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vMerge/>
          </w:tcPr>
          <w:p w:rsidR="00162E11" w:rsidRPr="00E23D5A" w:rsidRDefault="00162E11" w:rsidP="001663BD">
            <w:pPr>
              <w:spacing w:line="360" w:lineRule="auto"/>
              <w:jc w:val="both"/>
              <w:rPr>
                <w:rFonts w:ascii="Palatino Linotype" w:hAnsi="Palatino Linotype"/>
                <w:color w:val="000000"/>
                <w:sz w:val="22"/>
              </w:rPr>
            </w:pPr>
          </w:p>
        </w:tc>
        <w:tc>
          <w:tcPr>
            <w:tcW w:w="2269" w:type="dxa"/>
            <w:vMerge/>
          </w:tcPr>
          <w:p w:rsidR="00162E11" w:rsidRPr="00E23D5A" w:rsidRDefault="00162E11" w:rsidP="001663BD">
            <w:pPr>
              <w:spacing w:line="360" w:lineRule="auto"/>
              <w:jc w:val="both"/>
              <w:rPr>
                <w:rFonts w:ascii="Palatino Linotype" w:hAnsi="Palatino Linotype"/>
                <w:color w:val="000000"/>
                <w:sz w:val="22"/>
              </w:rPr>
            </w:pPr>
          </w:p>
        </w:tc>
        <w:tc>
          <w:tcPr>
            <w:tcW w:w="2268"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El riesgo por divulgar es mayor que el interés público de que se difunda  </w:t>
            </w:r>
          </w:p>
        </w:tc>
      </w:tr>
      <w:tr w:rsidR="00162E11" w:rsidRPr="00E23D5A" w:rsidTr="00162E11">
        <w:trPr>
          <w:trHeight w:val="1454"/>
        </w:trPr>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vMerge/>
          </w:tcPr>
          <w:p w:rsidR="00162E11" w:rsidRPr="00E23D5A" w:rsidRDefault="00162E11" w:rsidP="001663BD">
            <w:pPr>
              <w:spacing w:line="360" w:lineRule="auto"/>
              <w:jc w:val="both"/>
              <w:rPr>
                <w:rFonts w:ascii="Palatino Linotype" w:hAnsi="Palatino Linotype"/>
                <w:color w:val="000000"/>
                <w:sz w:val="22"/>
              </w:rPr>
            </w:pPr>
          </w:p>
        </w:tc>
        <w:tc>
          <w:tcPr>
            <w:tcW w:w="2269" w:type="dxa"/>
            <w:vMerge/>
          </w:tcPr>
          <w:p w:rsidR="00162E11" w:rsidRPr="00E23D5A" w:rsidRDefault="00162E11" w:rsidP="001663BD">
            <w:pPr>
              <w:spacing w:line="360" w:lineRule="auto"/>
              <w:jc w:val="both"/>
              <w:rPr>
                <w:rFonts w:ascii="Palatino Linotype" w:hAnsi="Palatino Linotype"/>
                <w:color w:val="000000"/>
                <w:sz w:val="22"/>
              </w:rPr>
            </w:pPr>
          </w:p>
        </w:tc>
        <w:tc>
          <w:tcPr>
            <w:tcW w:w="2268"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El principio de proporcionalidad</w:t>
            </w:r>
          </w:p>
        </w:tc>
      </w:tr>
      <w:tr w:rsidR="00162E11" w:rsidRPr="00E23D5A" w:rsidTr="00162E11">
        <w:tc>
          <w:tcPr>
            <w:tcW w:w="2155" w:type="dxa"/>
            <w:vMerge w:val="restart"/>
            <w:shd w:val="clear" w:color="auto" w:fill="D5DCE4"/>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Condiciones especiales de la confidencialidad</w:t>
            </w: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 xml:space="preserve">Para clasificar se debe verificar que no se encuentre en los supuestos </w:t>
            </w:r>
            <w:r w:rsidRPr="00E23D5A">
              <w:rPr>
                <w:rFonts w:ascii="Palatino Linotype" w:hAnsi="Palatino Linotype"/>
                <w:color w:val="000000"/>
                <w:sz w:val="22"/>
              </w:rPr>
              <w:lastRenderedPageBreak/>
              <w:t xml:space="preserve">del artículo 148 de la ley Estatal </w:t>
            </w:r>
          </w:p>
        </w:tc>
        <w:tc>
          <w:tcPr>
            <w:tcW w:w="226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lastRenderedPageBreak/>
              <w:t xml:space="preserve">Si se encuentra en los supuestos de dicho artículo se entrega aún sin consentimiento del </w:t>
            </w:r>
            <w:r w:rsidRPr="00E23D5A">
              <w:rPr>
                <w:rFonts w:ascii="Palatino Linotype" w:hAnsi="Palatino Linotype"/>
                <w:color w:val="000000"/>
                <w:sz w:val="22"/>
              </w:rPr>
              <w:lastRenderedPageBreak/>
              <w:t xml:space="preserve">titular del dato personal </w:t>
            </w: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r w:rsidR="00162E11" w:rsidRPr="00E23D5A" w:rsidTr="00162E11">
        <w:trPr>
          <w:trHeight w:val="3404"/>
        </w:trPr>
        <w:tc>
          <w:tcPr>
            <w:tcW w:w="2155" w:type="dxa"/>
            <w:vMerge/>
            <w:shd w:val="clear" w:color="auto" w:fill="D5DCE4"/>
          </w:tcPr>
          <w:p w:rsidR="00162E11" w:rsidRPr="00E23D5A" w:rsidRDefault="00162E11" w:rsidP="001663BD">
            <w:pPr>
              <w:spacing w:line="360" w:lineRule="auto"/>
              <w:jc w:val="both"/>
              <w:rPr>
                <w:rFonts w:ascii="Palatino Linotype" w:hAnsi="Palatino Linotype"/>
                <w:color w:val="000000"/>
                <w:sz w:val="22"/>
              </w:rPr>
            </w:pPr>
          </w:p>
        </w:tc>
        <w:tc>
          <w:tcPr>
            <w:tcW w:w="1759" w:type="dxa"/>
          </w:tcPr>
          <w:p w:rsidR="00162E11" w:rsidRPr="00E23D5A" w:rsidRDefault="00162E11" w:rsidP="001663BD">
            <w:pPr>
              <w:spacing w:line="360" w:lineRule="auto"/>
              <w:jc w:val="both"/>
              <w:rPr>
                <w:rFonts w:ascii="Palatino Linotype" w:hAnsi="Palatino Linotype"/>
                <w:color w:val="000000"/>
                <w:sz w:val="22"/>
              </w:rPr>
            </w:pPr>
            <w:r w:rsidRPr="00E23D5A">
              <w:rPr>
                <w:rFonts w:ascii="Palatino Linotype" w:hAnsi="Palatino Linotype"/>
                <w:color w:val="000000"/>
                <w:sz w:val="22"/>
              </w:rPr>
              <w:t>Si es posible, se debe consultar al titular de los datos para requerir su autorización para entregarlo</w:t>
            </w:r>
          </w:p>
        </w:tc>
        <w:tc>
          <w:tcPr>
            <w:tcW w:w="2269" w:type="dxa"/>
          </w:tcPr>
          <w:p w:rsidR="00162E11" w:rsidRPr="00E23D5A" w:rsidRDefault="00162E11" w:rsidP="001663BD">
            <w:pPr>
              <w:spacing w:line="360" w:lineRule="auto"/>
              <w:jc w:val="both"/>
              <w:rPr>
                <w:rFonts w:ascii="Palatino Linotype" w:hAnsi="Palatino Linotype"/>
                <w:color w:val="000000"/>
                <w:sz w:val="22"/>
              </w:rPr>
            </w:pPr>
          </w:p>
        </w:tc>
        <w:tc>
          <w:tcPr>
            <w:tcW w:w="2268" w:type="dxa"/>
          </w:tcPr>
          <w:p w:rsidR="00162E11" w:rsidRPr="00E23D5A" w:rsidRDefault="00162E11" w:rsidP="001663BD">
            <w:pPr>
              <w:spacing w:line="360" w:lineRule="auto"/>
              <w:jc w:val="both"/>
              <w:rPr>
                <w:rFonts w:ascii="Palatino Linotype" w:hAnsi="Palatino Linotype"/>
                <w:color w:val="000000"/>
                <w:sz w:val="22"/>
              </w:rPr>
            </w:pPr>
          </w:p>
        </w:tc>
      </w:tr>
    </w:tbl>
    <w:p w:rsidR="00162E11" w:rsidRPr="00E23D5A" w:rsidRDefault="00162E11" w:rsidP="001663BD">
      <w:pPr>
        <w:spacing w:line="360" w:lineRule="auto"/>
        <w:ind w:right="49"/>
        <w:contextualSpacing/>
        <w:jc w:val="both"/>
        <w:rPr>
          <w:rFonts w:ascii="Palatino Linotype" w:eastAsiaTheme="minorEastAsia" w:hAnsi="Palatino Linotype"/>
          <w:lang w:eastAsia="es-ES"/>
        </w:rPr>
      </w:pPr>
    </w:p>
    <w:p w:rsidR="00162E11" w:rsidRPr="00E23D5A" w:rsidRDefault="00162E11" w:rsidP="001663BD">
      <w:pPr>
        <w:numPr>
          <w:ilvl w:val="0"/>
          <w:numId w:val="1"/>
        </w:numPr>
        <w:spacing w:line="360" w:lineRule="auto"/>
        <w:ind w:left="0" w:right="49" w:firstLine="0"/>
        <w:contextualSpacing/>
        <w:jc w:val="both"/>
        <w:rPr>
          <w:rFonts w:ascii="Palatino Linotype" w:eastAsiaTheme="minorEastAsia" w:hAnsi="Palatino Linotype"/>
          <w:lang w:eastAsia="es-ES"/>
        </w:rPr>
      </w:pPr>
      <w:r w:rsidRPr="00E23D5A">
        <w:rPr>
          <w:rFonts w:ascii="Palatino Linotype" w:eastAsia="Calibri" w:hAnsi="Palatino Linotype"/>
          <w:color w:val="000000"/>
          <w:lang w:eastAsia="en-US"/>
        </w:rPr>
        <w:t>Pero</w:t>
      </w:r>
      <w:r w:rsidRPr="00E23D5A">
        <w:rPr>
          <w:rFonts w:ascii="Palatino Linotype" w:eastAsia="Calibri" w:hAnsi="Palatino Linotype"/>
          <w:color w:val="000000"/>
          <w:lang w:val="es-ES_tradnl" w:eastAsia="es-ES_tradnl"/>
        </w:rPr>
        <w:t xml:space="preserve"> si la información que se pretende clasificar como confidencial no se </w:t>
      </w:r>
      <w:r w:rsidRPr="00E23D5A">
        <w:rPr>
          <w:rFonts w:ascii="Palatino Linotype" w:eastAsia="Calibri" w:hAnsi="Palatino Linotype"/>
          <w:color w:val="000000"/>
          <w:lang w:eastAsia="en-US"/>
        </w:rPr>
        <w:t>encuentra</w:t>
      </w:r>
      <w:r w:rsidRPr="00E23D5A">
        <w:rPr>
          <w:rFonts w:ascii="Palatino Linotype" w:eastAsia="Calibri" w:hAnsi="Palatino Linotype"/>
          <w:color w:val="000000"/>
          <w:lang w:val="es-ES_tradnl" w:eastAsia="es-ES_tradnl"/>
        </w:rPr>
        <w:t xml:space="preserve"> en los supuestos antes señalados y es posible, se deberá consultar al titular de los datos si permite o no el acceso. De no ser posible, la realización de la consulta procede, fundando y motivando, la clasificación.</w:t>
      </w:r>
    </w:p>
    <w:p w:rsidR="00162E11" w:rsidRPr="0092040F" w:rsidRDefault="00162E11" w:rsidP="001663BD">
      <w:pPr>
        <w:spacing w:line="360" w:lineRule="auto"/>
        <w:ind w:right="49"/>
        <w:contextualSpacing/>
        <w:jc w:val="both"/>
        <w:rPr>
          <w:rFonts w:ascii="Palatino Linotype" w:eastAsia="Calibri" w:hAnsi="Palatino Linotype" w:cs="Arial"/>
          <w:sz w:val="28"/>
        </w:rPr>
      </w:pPr>
    </w:p>
    <w:p w:rsidR="00162E11" w:rsidRPr="0092040F" w:rsidRDefault="00162E11" w:rsidP="001663BD">
      <w:pPr>
        <w:pStyle w:val="Prrafodelista"/>
        <w:numPr>
          <w:ilvl w:val="0"/>
          <w:numId w:val="1"/>
        </w:numPr>
        <w:spacing w:line="360" w:lineRule="auto"/>
        <w:ind w:left="0" w:firstLine="0"/>
        <w:jc w:val="both"/>
        <w:rPr>
          <w:rFonts w:ascii="Palatino Linotype" w:hAnsi="Palatino Linotype" w:cs="Arial"/>
          <w:sz w:val="24"/>
        </w:rPr>
      </w:pPr>
      <w:r w:rsidRPr="0092040F">
        <w:rPr>
          <w:rFonts w:ascii="Palatino Linotype" w:hAnsi="Palatino Linotype"/>
          <w:sz w:val="24"/>
          <w:lang w:val="es-ES"/>
        </w:rPr>
        <w:t xml:space="preserve">Por lo anteriormente expuesto y fundado, este </w:t>
      </w:r>
      <w:r w:rsidRPr="0092040F">
        <w:rPr>
          <w:rFonts w:ascii="Palatino Linotype" w:hAnsi="Palatino Linotype"/>
          <w:b/>
          <w:bCs/>
          <w:sz w:val="24"/>
          <w:lang w:val="es-ES"/>
        </w:rPr>
        <w:t>ÓRGANO GARANTE</w:t>
      </w:r>
      <w:r w:rsidRPr="0092040F">
        <w:rPr>
          <w:rFonts w:ascii="Palatino Linotype" w:hAnsi="Palatino Linotype"/>
          <w:sz w:val="24"/>
          <w:lang w:val="es-ES"/>
        </w:rPr>
        <w:t xml:space="preserve"> emite los siguientes:</w:t>
      </w:r>
    </w:p>
    <w:p w:rsidR="00162E11" w:rsidRPr="0092040F" w:rsidRDefault="00162E11" w:rsidP="001663BD">
      <w:pPr>
        <w:spacing w:line="360" w:lineRule="auto"/>
        <w:ind w:right="49"/>
        <w:contextualSpacing/>
        <w:jc w:val="both"/>
        <w:rPr>
          <w:rFonts w:ascii="Palatino Linotype" w:eastAsia="Calibri" w:hAnsi="Palatino Linotype" w:cs="Arial"/>
        </w:rPr>
      </w:pPr>
    </w:p>
    <w:p w:rsidR="00162E11" w:rsidRPr="0092040F" w:rsidRDefault="00162E11" w:rsidP="001663BD">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04" w:name="_Toc528153792"/>
      <w:bookmarkStart w:id="105" w:name="_Toc85469352"/>
      <w:r w:rsidRPr="0092040F">
        <w:rPr>
          <w:rFonts w:ascii="Palatino Linotype" w:eastAsiaTheme="majorEastAsia" w:hAnsi="Palatino Linotype" w:cstheme="majorBidi"/>
          <w:b/>
          <w:color w:val="000000" w:themeColor="text1"/>
          <w:lang w:eastAsia="en-US"/>
        </w:rPr>
        <w:t>R E S O L U T I V O S</w:t>
      </w:r>
      <w:bookmarkEnd w:id="104"/>
      <w:bookmarkEnd w:id="105"/>
    </w:p>
    <w:p w:rsidR="00162E11" w:rsidRPr="0092040F" w:rsidRDefault="00162E11" w:rsidP="001663BD">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162E11" w:rsidRPr="00604567" w:rsidRDefault="00162E11" w:rsidP="001663BD">
      <w:pPr>
        <w:spacing w:line="360" w:lineRule="auto"/>
        <w:ind w:right="48"/>
        <w:jc w:val="both"/>
        <w:rPr>
          <w:rFonts w:ascii="Palatino Linotype" w:hAnsi="Palatino Linotype" w:cs="Arial"/>
          <w:bCs/>
          <w:szCs w:val="20"/>
          <w:lang w:eastAsia="es-ES"/>
        </w:rPr>
      </w:pPr>
      <w:r w:rsidRPr="00604567">
        <w:rPr>
          <w:rFonts w:ascii="Palatino Linotype" w:hAnsi="Palatino Linotype" w:cs="Arial"/>
          <w:b/>
          <w:szCs w:val="20"/>
          <w:lang w:eastAsia="es-ES"/>
        </w:rPr>
        <w:t xml:space="preserve">PRIMERO. </w:t>
      </w:r>
      <w:r w:rsidRPr="00604567">
        <w:rPr>
          <w:rFonts w:ascii="Palatino Linotype" w:hAnsi="Palatino Linotype" w:cs="Arial"/>
          <w:szCs w:val="20"/>
          <w:lang w:eastAsia="es-ES"/>
        </w:rPr>
        <w:t>Resultan fundadas las</w:t>
      </w:r>
      <w:r w:rsidRPr="00604567">
        <w:rPr>
          <w:rFonts w:ascii="Palatino Linotype" w:hAnsi="Palatino Linotype" w:cs="Arial"/>
          <w:b/>
          <w:szCs w:val="20"/>
          <w:lang w:eastAsia="es-ES"/>
        </w:rPr>
        <w:t xml:space="preserve"> </w:t>
      </w:r>
      <w:r w:rsidRPr="00604567">
        <w:rPr>
          <w:rFonts w:ascii="Palatino Linotype" w:hAnsi="Palatino Linotype" w:cs="Arial"/>
          <w:szCs w:val="20"/>
          <w:lang w:val="es-ES" w:eastAsia="es-ES"/>
        </w:rPr>
        <w:t xml:space="preserve">razones o motivos de inconformidad hechos valer </w:t>
      </w:r>
      <w:r w:rsidRPr="00604567">
        <w:rPr>
          <w:rFonts w:ascii="Palatino Linotype" w:eastAsia="Calibri" w:hAnsi="Palatino Linotype" w:cs="Arial"/>
          <w:szCs w:val="20"/>
          <w:lang w:val="es-ES" w:eastAsia="es-ES"/>
        </w:rPr>
        <w:t xml:space="preserve">en el recurso de revisión </w:t>
      </w:r>
      <w:r w:rsidR="00F925CA">
        <w:rPr>
          <w:rFonts w:ascii="Palatino Linotype" w:hAnsi="Palatino Linotype" w:cs="Arial"/>
          <w:b/>
          <w:bCs/>
          <w:szCs w:val="20"/>
          <w:lang w:eastAsia="es-ES"/>
        </w:rPr>
        <w:t>04213</w:t>
      </w:r>
      <w:r w:rsidRPr="00604567">
        <w:rPr>
          <w:rFonts w:ascii="Palatino Linotype" w:hAnsi="Palatino Linotype" w:cs="Arial"/>
          <w:b/>
          <w:bCs/>
          <w:szCs w:val="20"/>
          <w:lang w:eastAsia="es-ES"/>
        </w:rPr>
        <w:t xml:space="preserve">/INFOEM/IP/RR/2021, </w:t>
      </w:r>
      <w:r w:rsidRPr="00604567">
        <w:rPr>
          <w:rFonts w:ascii="Palatino Linotype" w:hAnsi="Palatino Linotype" w:cs="Arial"/>
          <w:bCs/>
          <w:szCs w:val="20"/>
          <w:lang w:eastAsia="es-ES"/>
        </w:rPr>
        <w:t xml:space="preserve">en términos del </w:t>
      </w:r>
      <w:r w:rsidRPr="00604567">
        <w:rPr>
          <w:rFonts w:ascii="Palatino Linotype" w:hAnsi="Palatino Linotype" w:cs="Arial"/>
          <w:b/>
          <w:bCs/>
          <w:szCs w:val="20"/>
          <w:lang w:eastAsia="es-ES"/>
        </w:rPr>
        <w:t>Considerando</w:t>
      </w:r>
      <w:r w:rsidRPr="00604567">
        <w:rPr>
          <w:rFonts w:ascii="Palatino Linotype" w:hAnsi="Palatino Linotype" w:cs="Arial"/>
          <w:bCs/>
          <w:szCs w:val="20"/>
          <w:lang w:eastAsia="es-ES"/>
        </w:rPr>
        <w:t xml:space="preserve"> </w:t>
      </w:r>
      <w:r w:rsidRPr="00604567">
        <w:rPr>
          <w:rFonts w:ascii="Palatino Linotype" w:hAnsi="Palatino Linotype" w:cs="Arial"/>
          <w:b/>
          <w:bCs/>
          <w:szCs w:val="20"/>
          <w:lang w:eastAsia="es-ES"/>
        </w:rPr>
        <w:t xml:space="preserve">CUARTO   </w:t>
      </w:r>
      <w:r w:rsidRPr="00604567">
        <w:rPr>
          <w:rFonts w:ascii="Palatino Linotype" w:hAnsi="Palatino Linotype" w:cs="Arial"/>
          <w:bCs/>
          <w:szCs w:val="20"/>
          <w:lang w:eastAsia="es-ES"/>
        </w:rPr>
        <w:t>de la presente resolución.</w:t>
      </w:r>
    </w:p>
    <w:p w:rsidR="00162E11" w:rsidRPr="00604567" w:rsidRDefault="00162E11" w:rsidP="001663BD">
      <w:pPr>
        <w:spacing w:line="360" w:lineRule="auto"/>
        <w:ind w:right="48"/>
        <w:jc w:val="both"/>
        <w:rPr>
          <w:rFonts w:ascii="Palatino Linotype" w:hAnsi="Palatino Linotype" w:cs="Arial"/>
          <w:bCs/>
          <w:szCs w:val="20"/>
          <w:lang w:eastAsia="es-ES"/>
        </w:rPr>
      </w:pPr>
    </w:p>
    <w:p w:rsidR="00162E11" w:rsidRPr="0092040F" w:rsidRDefault="00162E11" w:rsidP="001663BD">
      <w:pPr>
        <w:spacing w:line="360" w:lineRule="auto"/>
        <w:ind w:right="48"/>
        <w:jc w:val="both"/>
        <w:rPr>
          <w:rFonts w:ascii="Palatino Linotype" w:hAnsi="Palatino Linotype" w:cs="Arial"/>
          <w:bCs/>
          <w:szCs w:val="20"/>
          <w:lang w:eastAsia="es-ES"/>
        </w:rPr>
      </w:pPr>
      <w:bookmarkStart w:id="106" w:name="_Toc477891768"/>
      <w:bookmarkStart w:id="107" w:name="_Toc477891858"/>
      <w:bookmarkStart w:id="108" w:name="_Toc481576259"/>
      <w:bookmarkStart w:id="109" w:name="_Toc492590391"/>
      <w:bookmarkStart w:id="110" w:name="_Toc462653937"/>
      <w:bookmarkStart w:id="111" w:name="_Toc453696502"/>
      <w:bookmarkStart w:id="112" w:name="_Toc454301155"/>
      <w:r w:rsidRPr="00604567">
        <w:rPr>
          <w:rFonts w:ascii="Palatino Linotype" w:hAnsi="Palatino Linotype"/>
          <w:b/>
          <w:szCs w:val="20"/>
          <w:lang w:eastAsia="es-ES"/>
        </w:rPr>
        <w:lastRenderedPageBreak/>
        <w:t>SEGUNDO.</w:t>
      </w:r>
      <w:r w:rsidRPr="0092040F">
        <w:rPr>
          <w:rFonts w:ascii="Palatino Linotype" w:eastAsia="DengXian Light" w:hAnsi="Palatino Linotype"/>
          <w:color w:val="2F5496"/>
          <w:sz w:val="36"/>
          <w:szCs w:val="26"/>
          <w:lang w:eastAsia="es-ES"/>
        </w:rPr>
        <w:t xml:space="preserve"> </w:t>
      </w:r>
      <w:bookmarkEnd w:id="106"/>
      <w:bookmarkEnd w:id="107"/>
      <w:bookmarkEnd w:id="108"/>
      <w:bookmarkEnd w:id="109"/>
      <w:bookmarkEnd w:id="110"/>
      <w:bookmarkEnd w:id="111"/>
      <w:bookmarkEnd w:id="112"/>
      <w:r w:rsidRPr="00604567">
        <w:rPr>
          <w:rFonts w:ascii="Palatino Linotype" w:eastAsia="Calibri" w:hAnsi="Palatino Linotype" w:cs="Arial"/>
          <w:szCs w:val="20"/>
          <w:lang w:val="es-ES" w:eastAsia="es-ES"/>
        </w:rPr>
        <w:t>Se</w:t>
      </w:r>
      <w:r w:rsidRPr="00604567">
        <w:rPr>
          <w:rFonts w:ascii="Palatino Linotype" w:eastAsia="Calibri" w:hAnsi="Palatino Linotype" w:cs="Arial"/>
          <w:b/>
          <w:szCs w:val="20"/>
          <w:lang w:val="es-ES" w:eastAsia="es-ES"/>
        </w:rPr>
        <w:t xml:space="preserve"> REVOCA </w:t>
      </w:r>
      <w:r>
        <w:rPr>
          <w:rFonts w:ascii="Palatino Linotype" w:eastAsia="Calibri" w:hAnsi="Palatino Linotype" w:cs="Arial"/>
          <w:szCs w:val="20"/>
          <w:lang w:val="es-ES" w:eastAsia="es-ES"/>
        </w:rPr>
        <w:t>la respuesta emitida por el</w:t>
      </w:r>
      <w:r w:rsidRPr="00604567">
        <w:rPr>
          <w:rFonts w:ascii="Palatino Linotype" w:eastAsia="Calibri" w:hAnsi="Palatino Linotype" w:cs="Arial"/>
          <w:szCs w:val="20"/>
          <w:lang w:val="es-ES" w:eastAsia="es-ES"/>
        </w:rPr>
        <w:t xml:space="preserve"> </w:t>
      </w:r>
      <w:r w:rsidR="00F925CA">
        <w:rPr>
          <w:rFonts w:ascii="Palatino Linotype" w:eastAsia="Calibri" w:hAnsi="Palatino Linotype" w:cs="Tahoma"/>
          <w:b/>
          <w:szCs w:val="22"/>
          <w:lang w:eastAsia="en-US"/>
        </w:rPr>
        <w:t>Hospital Regional de Alta Especialidad de Zumpango</w:t>
      </w:r>
      <w:r w:rsidRPr="00604567">
        <w:rPr>
          <w:rFonts w:ascii="Palatino Linotype" w:eastAsia="Calibri" w:hAnsi="Palatino Linotype" w:cs="Arial"/>
          <w:szCs w:val="20"/>
          <w:lang w:val="es-ES" w:eastAsia="es-ES"/>
        </w:rPr>
        <w:t xml:space="preserve"> y se</w:t>
      </w:r>
      <w:r w:rsidRPr="00604567">
        <w:rPr>
          <w:rFonts w:ascii="Palatino Linotype" w:eastAsia="Calibri" w:hAnsi="Palatino Linotype" w:cs="Arial"/>
          <w:b/>
          <w:szCs w:val="20"/>
          <w:lang w:val="es-ES" w:eastAsia="es-ES"/>
        </w:rPr>
        <w:t xml:space="preserve"> ORDENA </w:t>
      </w:r>
      <w:r w:rsidRPr="00604567">
        <w:rPr>
          <w:rFonts w:ascii="Palatino Linotype" w:hAnsi="Palatino Linotype" w:cs="Arial"/>
          <w:szCs w:val="20"/>
          <w:lang w:val="es-ES" w:eastAsia="es-ES"/>
        </w:rPr>
        <w:t>entregar vía Sistema de Accesos a la Información Mexiquense (SAIMEX</w:t>
      </w:r>
      <w:r w:rsidRPr="0092040F">
        <w:rPr>
          <w:rFonts w:ascii="Palatino Linotype" w:hAnsi="Palatino Linotype" w:cs="Arial"/>
          <w:szCs w:val="20"/>
          <w:lang w:val="es-ES" w:eastAsia="es-ES"/>
        </w:rPr>
        <w:t>)</w:t>
      </w:r>
      <w:r w:rsidR="00E23240">
        <w:rPr>
          <w:rFonts w:ascii="Palatino Linotype" w:hAnsi="Palatino Linotype" w:cs="Arial"/>
          <w:szCs w:val="20"/>
          <w:lang w:val="es-ES" w:eastAsia="es-ES"/>
        </w:rPr>
        <w:t xml:space="preserve"> y correo electrónico</w:t>
      </w:r>
      <w:r w:rsidRPr="0092040F">
        <w:rPr>
          <w:rFonts w:ascii="Palatino Linotype" w:hAnsi="Palatino Linotype" w:cs="Arial"/>
          <w:szCs w:val="20"/>
          <w:lang w:val="es-ES" w:eastAsia="es-ES"/>
        </w:rPr>
        <w:t xml:space="preserve">, </w:t>
      </w:r>
      <w:r w:rsidR="00F925CA">
        <w:rPr>
          <w:rFonts w:ascii="Palatino Linotype" w:hAnsi="Palatino Linotype" w:cs="Arial"/>
          <w:szCs w:val="20"/>
          <w:lang w:val="es-ES" w:eastAsia="es-ES"/>
        </w:rPr>
        <w:t xml:space="preserve">en versión pública </w:t>
      </w:r>
      <w:r w:rsidRPr="0092040F">
        <w:rPr>
          <w:rFonts w:ascii="Palatino Linotype" w:hAnsi="Palatino Linotype" w:cs="Arial"/>
          <w:szCs w:val="20"/>
          <w:lang w:val="es-ES" w:eastAsia="es-ES"/>
        </w:rPr>
        <w:t>la</w:t>
      </w:r>
      <w:r w:rsidRPr="00604567">
        <w:rPr>
          <w:rFonts w:ascii="Palatino Linotype" w:hAnsi="Palatino Linotype" w:cs="Arial"/>
          <w:szCs w:val="20"/>
          <w:lang w:val="es-ES" w:eastAsia="es-ES"/>
        </w:rPr>
        <w:t xml:space="preserve"> siguiente </w:t>
      </w:r>
      <w:r w:rsidRPr="00604567">
        <w:rPr>
          <w:rFonts w:ascii="Palatino Linotype" w:hAnsi="Palatino Linotype" w:cs="Arial"/>
          <w:bCs/>
          <w:szCs w:val="20"/>
          <w:lang w:eastAsia="es-ES"/>
        </w:rPr>
        <w:t>información:</w:t>
      </w:r>
    </w:p>
    <w:p w:rsidR="00162E11" w:rsidRPr="0092040F" w:rsidRDefault="00162E11" w:rsidP="001663BD">
      <w:pPr>
        <w:spacing w:line="360" w:lineRule="auto"/>
        <w:ind w:right="48"/>
        <w:jc w:val="both"/>
        <w:rPr>
          <w:rFonts w:ascii="Palatino Linotype" w:hAnsi="Palatino Linotype" w:cs="Arial"/>
          <w:bCs/>
          <w:szCs w:val="20"/>
          <w:lang w:eastAsia="es-ES"/>
        </w:rPr>
      </w:pPr>
    </w:p>
    <w:p w:rsidR="00162E11" w:rsidRPr="00F925CA" w:rsidRDefault="00F925CA" w:rsidP="001663BD">
      <w:pPr>
        <w:pStyle w:val="Prrafodelista"/>
        <w:numPr>
          <w:ilvl w:val="0"/>
          <w:numId w:val="6"/>
        </w:numPr>
        <w:spacing w:line="360" w:lineRule="auto"/>
        <w:ind w:right="899"/>
        <w:jc w:val="both"/>
        <w:rPr>
          <w:rFonts w:ascii="Palatino Linotype" w:eastAsia="Calibri" w:hAnsi="Palatino Linotype" w:cs="Arial"/>
          <w:b/>
          <w:sz w:val="24"/>
        </w:rPr>
      </w:pPr>
      <w:r w:rsidRPr="00F925CA">
        <w:rPr>
          <w:rFonts w:ascii="Palatino Linotype" w:eastAsia="Calibri" w:hAnsi="Palatino Linotype" w:cs="Arial"/>
          <w:b/>
          <w:sz w:val="24"/>
        </w:rPr>
        <w:t>Recibos de nómina de los servidores públicos adscritos al Hospital Regional de Alta Especialidad de Zumpango</w:t>
      </w:r>
      <w:r w:rsidR="00EF72F9">
        <w:rPr>
          <w:rFonts w:ascii="Palatino Linotype" w:eastAsia="Calibri" w:hAnsi="Palatino Linotype" w:cs="Arial"/>
          <w:b/>
          <w:sz w:val="24"/>
        </w:rPr>
        <w:t>,</w:t>
      </w:r>
      <w:r w:rsidRPr="00F925CA">
        <w:rPr>
          <w:rFonts w:ascii="Palatino Linotype" w:eastAsia="Calibri" w:hAnsi="Palatino Linotype" w:cs="Arial"/>
          <w:b/>
          <w:sz w:val="24"/>
        </w:rPr>
        <w:t xml:space="preserve"> de la primera quincena de julio de dos mil veintiuno.</w:t>
      </w:r>
    </w:p>
    <w:p w:rsidR="00F925CA" w:rsidRDefault="00F925CA" w:rsidP="001663BD">
      <w:pPr>
        <w:tabs>
          <w:tab w:val="left" w:pos="8080"/>
        </w:tabs>
        <w:spacing w:line="360" w:lineRule="auto"/>
        <w:ind w:right="48"/>
        <w:contextualSpacing/>
        <w:jc w:val="both"/>
        <w:rPr>
          <w:rFonts w:ascii="Palatino Linotype" w:hAnsi="Palatino Linotype"/>
        </w:rPr>
      </w:pPr>
    </w:p>
    <w:p w:rsidR="00162E11" w:rsidRDefault="00162E11" w:rsidP="001663BD">
      <w:pPr>
        <w:tabs>
          <w:tab w:val="left" w:pos="8080"/>
        </w:tabs>
        <w:spacing w:line="360" w:lineRule="auto"/>
        <w:ind w:right="48"/>
        <w:contextualSpacing/>
        <w:jc w:val="both"/>
        <w:rPr>
          <w:rFonts w:ascii="Palatino Linotype" w:hAnsi="Palatino Linotype"/>
          <w:b/>
        </w:rPr>
      </w:pPr>
      <w:r w:rsidRPr="00AD75A2">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D75A2">
        <w:rPr>
          <w:rFonts w:ascii="Palatino Linotype" w:hAnsi="Palatino Linotype"/>
          <w:b/>
        </w:rPr>
        <w:t>EL RECURRENTE.</w:t>
      </w:r>
    </w:p>
    <w:p w:rsidR="00E37121" w:rsidRDefault="00E37121" w:rsidP="001663BD">
      <w:pPr>
        <w:tabs>
          <w:tab w:val="left" w:pos="8080"/>
        </w:tabs>
        <w:spacing w:line="360" w:lineRule="auto"/>
        <w:ind w:right="48"/>
        <w:contextualSpacing/>
        <w:jc w:val="both"/>
        <w:rPr>
          <w:rFonts w:ascii="Palatino Linotype" w:hAnsi="Palatino Linotype"/>
        </w:rPr>
      </w:pPr>
    </w:p>
    <w:p w:rsidR="00162E11" w:rsidRPr="00AD75A2" w:rsidRDefault="00162E11" w:rsidP="001663BD">
      <w:pPr>
        <w:tabs>
          <w:tab w:val="left" w:pos="8080"/>
        </w:tabs>
        <w:spacing w:line="360" w:lineRule="auto"/>
        <w:ind w:right="48"/>
        <w:contextualSpacing/>
        <w:jc w:val="both"/>
        <w:rPr>
          <w:rFonts w:ascii="Palatino Linotype" w:hAnsi="Palatino Linotype"/>
        </w:rPr>
      </w:pPr>
      <w:r w:rsidRPr="00AD75A2">
        <w:rPr>
          <w:rFonts w:ascii="Palatino Linotype" w:hAnsi="Palatino Linotype"/>
        </w:rPr>
        <w:t>Se deberá privilegiar la entrega en la modalidad elegida por el particular; sin embargo, si se acredita un impedimento justificado para atender esa modalidad en relación directa con el formato en el que obra la información, se deberá ofrecer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162E11" w:rsidRDefault="00162E11" w:rsidP="001663BD">
      <w:pPr>
        <w:tabs>
          <w:tab w:val="left" w:pos="8080"/>
        </w:tabs>
        <w:spacing w:line="360" w:lineRule="auto"/>
        <w:ind w:right="48"/>
        <w:contextualSpacing/>
        <w:jc w:val="both"/>
        <w:rPr>
          <w:rFonts w:ascii="Palatino Linotype" w:eastAsia="Palatino Linotype" w:hAnsi="Palatino Linotype" w:cs="Palatino Linotype"/>
          <w:b/>
        </w:rPr>
      </w:pPr>
    </w:p>
    <w:p w:rsidR="00162E11" w:rsidRPr="0092040F" w:rsidRDefault="00162E11" w:rsidP="001663BD">
      <w:pPr>
        <w:tabs>
          <w:tab w:val="left" w:pos="8080"/>
        </w:tabs>
        <w:spacing w:line="360" w:lineRule="auto"/>
        <w:ind w:right="48"/>
        <w:contextualSpacing/>
        <w:jc w:val="both"/>
        <w:rPr>
          <w:rFonts w:ascii="Palatino Linotype" w:eastAsia="Palatino Linotype" w:hAnsi="Palatino Linotype" w:cs="Palatino Linotype"/>
          <w:b/>
        </w:rPr>
      </w:pPr>
      <w:r w:rsidRPr="0092040F">
        <w:rPr>
          <w:rFonts w:ascii="Palatino Linotype" w:eastAsia="Palatino Linotype" w:hAnsi="Palatino Linotype" w:cs="Palatino Linotype"/>
          <w:b/>
        </w:rPr>
        <w:t xml:space="preserve">TERCERO. Notifíquese </w:t>
      </w:r>
      <w:r w:rsidRPr="0092040F">
        <w:rPr>
          <w:rFonts w:ascii="Palatino Linotype" w:eastAsia="Palatino Linotype" w:hAnsi="Palatino Linotype" w:cs="Palatino Linotype"/>
        </w:rPr>
        <w:t xml:space="preserve">al Titular de la Unidad de Transparencia del </w:t>
      </w:r>
      <w:r w:rsidRPr="0092040F">
        <w:rPr>
          <w:rFonts w:ascii="Palatino Linotype" w:eastAsia="Palatino Linotype" w:hAnsi="Palatino Linotype" w:cs="Palatino Linotype"/>
          <w:b/>
        </w:rPr>
        <w:t>SUJETO OBLIGADO</w:t>
      </w:r>
      <w:r w:rsidRPr="0092040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2040F">
        <w:rPr>
          <w:rFonts w:ascii="Palatino Linotype" w:hAnsi="Palatino Linotype"/>
          <w:color w:val="222222"/>
          <w:shd w:val="clear" w:color="auto" w:fill="FFFFFF"/>
        </w:rPr>
        <w:t>vigente, dé cumplimiento a lo o</w:t>
      </w:r>
      <w:r>
        <w:rPr>
          <w:rFonts w:ascii="Palatino Linotype" w:hAnsi="Palatino Linotype"/>
          <w:color w:val="222222"/>
          <w:shd w:val="clear" w:color="auto" w:fill="FFFFFF"/>
        </w:rPr>
        <w:t>rd</w:t>
      </w:r>
      <w:r w:rsidR="007E5E4F">
        <w:rPr>
          <w:rFonts w:ascii="Palatino Linotype" w:hAnsi="Palatino Linotype"/>
          <w:color w:val="222222"/>
          <w:shd w:val="clear" w:color="auto" w:fill="FFFFFF"/>
        </w:rPr>
        <w:t>enado dentro del plazo de diez</w:t>
      </w:r>
      <w:r w:rsidRPr="0092040F">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162E11" w:rsidRPr="0092040F" w:rsidRDefault="00162E11" w:rsidP="001663BD">
      <w:pPr>
        <w:shd w:val="clear" w:color="auto" w:fill="FFFFFF"/>
        <w:tabs>
          <w:tab w:val="left" w:pos="4020"/>
        </w:tabs>
        <w:spacing w:line="360" w:lineRule="auto"/>
        <w:ind w:right="48"/>
        <w:jc w:val="both"/>
        <w:rPr>
          <w:rFonts w:ascii="Palatino Linotype" w:hAnsi="Palatino Linotype" w:cs="Arial"/>
          <w:b/>
        </w:rPr>
      </w:pPr>
      <w:r w:rsidRPr="0092040F">
        <w:rPr>
          <w:rFonts w:ascii="Palatino Linotype" w:hAnsi="Palatino Linotype" w:cs="Arial"/>
          <w:b/>
        </w:rPr>
        <w:tab/>
      </w:r>
    </w:p>
    <w:p w:rsidR="00162E11" w:rsidRPr="0092040F" w:rsidRDefault="00162E11" w:rsidP="001663BD">
      <w:pPr>
        <w:shd w:val="clear" w:color="auto" w:fill="FFFFFF"/>
        <w:spacing w:line="360" w:lineRule="auto"/>
        <w:ind w:right="48"/>
        <w:jc w:val="both"/>
        <w:rPr>
          <w:rFonts w:ascii="Palatino Linotype" w:hAnsi="Palatino Linotype"/>
        </w:rPr>
      </w:pPr>
      <w:r w:rsidRPr="0092040F">
        <w:rPr>
          <w:rFonts w:ascii="Palatino Linotype" w:hAnsi="Palatino Linotype" w:cs="Arial"/>
          <w:b/>
        </w:rPr>
        <w:t xml:space="preserve">CUARTO. </w:t>
      </w:r>
      <w:r w:rsidRPr="0092040F">
        <w:rPr>
          <w:rFonts w:ascii="Palatino Linotype" w:hAnsi="Palatino Linotype"/>
          <w:b/>
          <w:bCs/>
          <w:lang w:val="es-ES"/>
        </w:rPr>
        <w:t>Notifíquese al RECURRENTE</w:t>
      </w:r>
      <w:r w:rsidRPr="0092040F">
        <w:rPr>
          <w:rFonts w:ascii="Palatino Linotype" w:hAnsi="Palatino Linotype"/>
        </w:rPr>
        <w:t xml:space="preserve"> la presente resolución.</w:t>
      </w:r>
    </w:p>
    <w:p w:rsidR="00162E11" w:rsidRPr="0092040F" w:rsidRDefault="00162E11" w:rsidP="001663BD">
      <w:pPr>
        <w:shd w:val="clear" w:color="auto" w:fill="FFFFFF"/>
        <w:spacing w:line="360" w:lineRule="auto"/>
        <w:ind w:right="48"/>
        <w:jc w:val="both"/>
        <w:rPr>
          <w:rFonts w:ascii="Palatino Linotype" w:hAnsi="Palatino Linotype"/>
          <w:b/>
          <w:color w:val="FF0000"/>
        </w:rPr>
      </w:pPr>
    </w:p>
    <w:p w:rsidR="00162E11" w:rsidRPr="0092040F" w:rsidRDefault="00162E11" w:rsidP="001663BD">
      <w:pPr>
        <w:spacing w:line="360" w:lineRule="auto"/>
        <w:ind w:right="48"/>
        <w:jc w:val="both"/>
        <w:rPr>
          <w:rFonts w:ascii="Palatino Linotype" w:eastAsia="MS Mincho" w:hAnsi="Palatino Linotype"/>
          <w:lang w:val="es-ES"/>
        </w:rPr>
      </w:pPr>
      <w:r w:rsidRPr="0092040F">
        <w:rPr>
          <w:rFonts w:ascii="Palatino Linotype" w:eastAsia="MS Mincho" w:hAnsi="Palatino Linotype"/>
          <w:b/>
        </w:rPr>
        <w:t>QUINTO.</w:t>
      </w:r>
      <w:r w:rsidRPr="0092040F">
        <w:rPr>
          <w:rFonts w:ascii="Palatino Linotype" w:eastAsia="MS Mincho" w:hAnsi="Palatino Linotype"/>
        </w:rPr>
        <w:t xml:space="preserve"> </w:t>
      </w:r>
      <w:r w:rsidRPr="0092040F">
        <w:rPr>
          <w:rFonts w:ascii="Palatino Linotype" w:eastAsia="MS Mincho" w:hAnsi="Palatino Linotype"/>
          <w:lang w:val="es-ES"/>
        </w:rPr>
        <w:t xml:space="preserve">Se hace del conocimiento del </w:t>
      </w:r>
      <w:r w:rsidRPr="0092040F">
        <w:rPr>
          <w:rFonts w:ascii="Palatino Linotype" w:hAnsi="Palatino Linotype"/>
          <w:b/>
        </w:rPr>
        <w:t>RECURRENTE</w:t>
      </w:r>
      <w:r w:rsidRPr="0092040F">
        <w:rPr>
          <w:rFonts w:ascii="Palatino Linotype" w:hAnsi="Palatino Linotype"/>
        </w:rPr>
        <w:t xml:space="preserve"> </w:t>
      </w:r>
      <w:r w:rsidRPr="0092040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2040F">
        <w:rPr>
          <w:rFonts w:ascii="Palatino Linotype" w:eastAsia="MS Mincho" w:hAnsi="Palatino Linotype"/>
          <w:bCs/>
          <w:lang w:val="es-ES"/>
        </w:rPr>
        <w:t>vía juicio de amparo</w:t>
      </w:r>
      <w:r w:rsidRPr="0092040F">
        <w:rPr>
          <w:rFonts w:ascii="Palatino Linotype" w:eastAsia="MS Mincho" w:hAnsi="Palatino Linotype"/>
          <w:lang w:val="es-ES"/>
        </w:rPr>
        <w:t> en los términos de las leyes aplicables.</w:t>
      </w:r>
    </w:p>
    <w:p w:rsidR="00162E11" w:rsidRPr="0092040F" w:rsidRDefault="00162E11" w:rsidP="001663BD">
      <w:pPr>
        <w:spacing w:line="360" w:lineRule="auto"/>
        <w:ind w:right="48"/>
        <w:jc w:val="both"/>
        <w:rPr>
          <w:rFonts w:ascii="Palatino Linotype" w:hAnsi="Palatino Linotype"/>
          <w:color w:val="000000"/>
          <w:shd w:val="clear" w:color="auto" w:fill="FFFFFF"/>
        </w:rPr>
      </w:pPr>
    </w:p>
    <w:p w:rsidR="00162E11" w:rsidRPr="0092040F" w:rsidRDefault="00162E11" w:rsidP="001663BD">
      <w:pPr>
        <w:spacing w:line="360" w:lineRule="auto"/>
        <w:ind w:right="48"/>
        <w:jc w:val="both"/>
        <w:rPr>
          <w:rFonts w:ascii="Palatino Linotype" w:eastAsia="Calibri" w:hAnsi="Palatino Linotype" w:cs="Arial"/>
          <w:bCs/>
        </w:rPr>
      </w:pPr>
      <w:r w:rsidRPr="0092040F">
        <w:rPr>
          <w:rFonts w:ascii="Palatino Linotype" w:hAnsi="Palatino Linotype"/>
          <w:b/>
          <w:color w:val="000000"/>
          <w:shd w:val="clear" w:color="auto" w:fill="FFFFFF"/>
        </w:rPr>
        <w:t xml:space="preserve">SEXTO. </w:t>
      </w:r>
      <w:r w:rsidRPr="0092040F">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62E11" w:rsidRPr="00604567" w:rsidRDefault="00162E11" w:rsidP="001663BD">
      <w:pPr>
        <w:spacing w:line="360" w:lineRule="auto"/>
        <w:ind w:right="48"/>
        <w:jc w:val="both"/>
        <w:rPr>
          <w:rFonts w:ascii="Palatino Linotype" w:hAnsi="Palatino Linotype" w:cs="Arial"/>
          <w:bCs/>
          <w:szCs w:val="20"/>
          <w:lang w:eastAsia="es-ES"/>
        </w:rPr>
      </w:pPr>
    </w:p>
    <w:p w:rsidR="00162E11" w:rsidRDefault="00162E11" w:rsidP="001663BD">
      <w:pPr>
        <w:spacing w:line="360" w:lineRule="auto"/>
        <w:ind w:right="-93"/>
        <w:jc w:val="both"/>
        <w:rPr>
          <w:rFonts w:ascii="Palatino Linotype" w:eastAsia="Calibri" w:hAnsi="Palatino Linotype" w:cs="Tahoma"/>
          <w:bCs/>
          <w:szCs w:val="20"/>
          <w:lang w:eastAsia="es-ES"/>
        </w:rPr>
      </w:pPr>
      <w:r w:rsidRPr="0092040F">
        <w:rPr>
          <w:rFonts w:ascii="Palatino Linotype" w:eastAsia="Calibri" w:hAnsi="Palatino Linotype" w:cs="Tahoma"/>
          <w:bCs/>
          <w:szCs w:val="20"/>
          <w:lang w:eastAsia="es-ES"/>
        </w:rPr>
        <w:t xml:space="preserve">ASÍ LO RESUELVEN POR </w:t>
      </w:r>
      <w:r w:rsidRPr="0092040F">
        <w:rPr>
          <w:rFonts w:ascii="Palatino Linotype" w:eastAsia="Calibri" w:hAnsi="Palatino Linotype" w:cs="Tahoma"/>
          <w:b/>
          <w:bCs/>
          <w:szCs w:val="20"/>
          <w:lang w:eastAsia="es-ES"/>
        </w:rPr>
        <w:t>UNANIMIDAD</w:t>
      </w:r>
      <w:r w:rsidRPr="0092040F">
        <w:rPr>
          <w:rFonts w:ascii="Palatino Linotype" w:eastAsia="Calibri" w:hAnsi="Palatino Linotype" w:cs="Tahoma"/>
          <w:bCs/>
          <w:szCs w:val="20"/>
          <w:lang w:eastAsia="es-ES"/>
        </w:rPr>
        <w:t xml:space="preserve"> DE VOTOS DE LOS PRESENTES EL PLENO DEL INSTITUTO DE TRANSPARENCIA, ACCESO A LA INFORMACIÓN PÚBLICA Y PROTECCIÓN DE DATOS PERSONALES DEL ESTADO DE MÉXICO Y </w:t>
      </w:r>
      <w:r w:rsidRPr="0092040F">
        <w:rPr>
          <w:rFonts w:ascii="Palatino Linotype" w:eastAsia="Calibri" w:hAnsi="Palatino Linotype" w:cs="Tahoma"/>
          <w:bCs/>
          <w:szCs w:val="20"/>
          <w:lang w:eastAsia="es-ES"/>
        </w:rPr>
        <w:lastRenderedPageBreak/>
        <w:t xml:space="preserve">MUNICIPIOS, CONFORMADO POR LOS COMISIONADOS JOSÉ MARTÍNEZ VILCHIS, MARÍA DEL ROSARIO MEJÍA AYALA, SHARON CRISTINA MORALES MARTÍNEZ, LUIS GUSTAVO PARRA NORIEGA Y GUADALUPE RAMÍREZ PEÑA, EN LA TRIGÉSIMA </w:t>
      </w:r>
      <w:r w:rsidR="00F925CA">
        <w:rPr>
          <w:rFonts w:ascii="Palatino Linotype" w:eastAsia="Calibri" w:hAnsi="Palatino Linotype" w:cs="Tahoma"/>
          <w:bCs/>
          <w:szCs w:val="20"/>
          <w:lang w:eastAsia="es-ES"/>
        </w:rPr>
        <w:t xml:space="preserve">OCTAVA </w:t>
      </w:r>
      <w:r w:rsidRPr="0092040F">
        <w:rPr>
          <w:rFonts w:ascii="Palatino Linotype" w:eastAsia="Calibri" w:hAnsi="Palatino Linotype" w:cs="Tahoma"/>
          <w:bCs/>
          <w:szCs w:val="20"/>
          <w:lang w:eastAsia="es-ES"/>
        </w:rPr>
        <w:t xml:space="preserve">SESIÓN ORDINARIA, CELEBRADA EL </w:t>
      </w:r>
      <w:r w:rsidR="00F925CA">
        <w:rPr>
          <w:rFonts w:ascii="Palatino Linotype" w:eastAsia="Calibri" w:hAnsi="Palatino Linotype" w:cs="Tahoma"/>
          <w:bCs/>
          <w:szCs w:val="20"/>
          <w:lang w:eastAsia="es-ES"/>
        </w:rPr>
        <w:t xml:space="preserve">VEINTISIETE DE OCTUBRE </w:t>
      </w:r>
      <w:r w:rsidRPr="0092040F">
        <w:rPr>
          <w:rFonts w:ascii="Palatino Linotype" w:eastAsia="Calibri" w:hAnsi="Palatino Linotype" w:cs="Tahoma"/>
          <w:bCs/>
          <w:szCs w:val="20"/>
          <w:lang w:eastAsia="es-ES"/>
        </w:rPr>
        <w:t xml:space="preserve"> DE DOS MIL VEINTIUNO, ANTE EL SECRETARIO TÉCNICO DEL PLENO, ALEXIS TAPIA RAMÍREZ.</w:t>
      </w: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Default="00F925CA" w:rsidP="001663BD">
      <w:pPr>
        <w:spacing w:line="360" w:lineRule="auto"/>
        <w:ind w:right="-93"/>
        <w:jc w:val="both"/>
        <w:rPr>
          <w:rFonts w:ascii="Palatino Linotype" w:eastAsia="Calibri" w:hAnsi="Palatino Linotype" w:cs="Tahoma"/>
          <w:bCs/>
          <w:szCs w:val="20"/>
          <w:lang w:eastAsia="es-ES"/>
        </w:rPr>
      </w:pPr>
    </w:p>
    <w:p w:rsidR="00F925CA" w:rsidRPr="0092040F" w:rsidRDefault="00F925CA" w:rsidP="001663BD">
      <w:pPr>
        <w:spacing w:line="360" w:lineRule="auto"/>
        <w:ind w:right="-93"/>
        <w:jc w:val="both"/>
        <w:rPr>
          <w:rFonts w:ascii="Palatino Linotype" w:eastAsia="Calibri" w:hAnsi="Palatino Linotype" w:cs="Tahoma"/>
          <w:bCs/>
          <w:szCs w:val="20"/>
          <w:lang w:eastAsia="es-ES"/>
        </w:rPr>
      </w:pPr>
    </w:p>
    <w:p w:rsidR="00162E11" w:rsidRPr="0092040F" w:rsidRDefault="00162E11" w:rsidP="001663BD">
      <w:pPr>
        <w:spacing w:line="360" w:lineRule="auto"/>
        <w:jc w:val="both"/>
        <w:rPr>
          <w:rFonts w:ascii="Palatino Linotype" w:hAnsi="Palatino Linotype" w:cs="Arial"/>
        </w:rPr>
      </w:pPr>
    </w:p>
    <w:p w:rsidR="00162E11" w:rsidRPr="0092040F" w:rsidRDefault="00162E11" w:rsidP="001663BD">
      <w:pPr>
        <w:spacing w:line="360" w:lineRule="auto"/>
        <w:jc w:val="both"/>
        <w:rPr>
          <w:rFonts w:ascii="Palatino Linotype" w:hAnsi="Palatino Linotype" w:cs="Arial"/>
        </w:rPr>
      </w:pPr>
    </w:p>
    <w:p w:rsidR="00162E11" w:rsidRPr="0092040F" w:rsidRDefault="00162E11" w:rsidP="001663BD">
      <w:pPr>
        <w:spacing w:line="360" w:lineRule="auto"/>
        <w:rPr>
          <w:rFonts w:ascii="Palatino Linotype" w:hAnsi="Palatino Linotype"/>
        </w:rPr>
      </w:pPr>
    </w:p>
    <w:p w:rsidR="00162E11" w:rsidRPr="0092040F" w:rsidRDefault="00162E11" w:rsidP="001663BD">
      <w:pPr>
        <w:spacing w:line="360" w:lineRule="auto"/>
        <w:rPr>
          <w:rFonts w:ascii="Palatino Linotype" w:hAnsi="Palatino Linotype"/>
        </w:rPr>
      </w:pPr>
    </w:p>
    <w:p w:rsidR="00162E11" w:rsidRPr="0092040F" w:rsidRDefault="00162E11" w:rsidP="001663BD">
      <w:pPr>
        <w:spacing w:line="360" w:lineRule="auto"/>
        <w:rPr>
          <w:rFonts w:ascii="Palatino Linotype" w:hAnsi="Palatino Linotype"/>
        </w:rPr>
      </w:pPr>
    </w:p>
    <w:p w:rsidR="00162E11" w:rsidRDefault="00162E11" w:rsidP="001663BD">
      <w:pPr>
        <w:spacing w:line="360" w:lineRule="auto"/>
      </w:pPr>
    </w:p>
    <w:p w:rsidR="00162E11" w:rsidRDefault="00162E11" w:rsidP="001663BD">
      <w:pPr>
        <w:spacing w:line="360" w:lineRule="auto"/>
      </w:pPr>
    </w:p>
    <w:sectPr w:rsidR="00162E11" w:rsidSect="00162E11">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B83" w:rsidRDefault="00974B83" w:rsidP="00162E11">
      <w:r>
        <w:separator/>
      </w:r>
    </w:p>
  </w:endnote>
  <w:endnote w:type="continuationSeparator" w:id="0">
    <w:p w:rsidR="00974B83" w:rsidRDefault="00974B83" w:rsidP="0016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F9" w:rsidRDefault="00EF72F9">
    <w:pPr>
      <w:pStyle w:val="Piedepgina"/>
      <w:jc w:val="right"/>
    </w:pPr>
    <w:r>
      <w:rPr>
        <w:lang w:val="es-ES"/>
      </w:rPr>
      <w:t xml:space="preserve">Página </w:t>
    </w:r>
    <w:r>
      <w:rPr>
        <w:b/>
        <w:bCs/>
      </w:rPr>
      <w:fldChar w:fldCharType="begin"/>
    </w:r>
    <w:r>
      <w:rPr>
        <w:b/>
        <w:bCs/>
      </w:rPr>
      <w:instrText>PAGE</w:instrText>
    </w:r>
    <w:r>
      <w:rPr>
        <w:b/>
        <w:bCs/>
      </w:rPr>
      <w:fldChar w:fldCharType="separate"/>
    </w:r>
    <w:r w:rsidR="00C92F48">
      <w:rPr>
        <w:b/>
        <w:bCs/>
        <w:noProof/>
      </w:rPr>
      <w:t>51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92F48">
      <w:rPr>
        <w:b/>
        <w:bCs/>
        <w:noProof/>
      </w:rPr>
      <w:t>51</w:t>
    </w:r>
    <w:r>
      <w:rPr>
        <w:b/>
        <w:bCs/>
      </w:rPr>
      <w:fldChar w:fldCharType="end"/>
    </w:r>
  </w:p>
  <w:p w:rsidR="00EF72F9" w:rsidRDefault="00EF72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F9" w:rsidRDefault="00EF72F9">
    <w:pPr>
      <w:pStyle w:val="Piedepgina"/>
      <w:jc w:val="right"/>
    </w:pPr>
    <w:r>
      <w:rPr>
        <w:lang w:val="es-ES"/>
      </w:rPr>
      <w:t xml:space="preserve">Página </w:t>
    </w:r>
    <w:r>
      <w:rPr>
        <w:b/>
        <w:bCs/>
      </w:rPr>
      <w:fldChar w:fldCharType="begin"/>
    </w:r>
    <w:r>
      <w:rPr>
        <w:b/>
        <w:bCs/>
      </w:rPr>
      <w:instrText>PAGE</w:instrText>
    </w:r>
    <w:r>
      <w:rPr>
        <w:b/>
        <w:bCs/>
      </w:rPr>
      <w:fldChar w:fldCharType="separate"/>
    </w:r>
    <w:r w:rsidR="00C92F4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92F48">
      <w:rPr>
        <w:b/>
        <w:bCs/>
        <w:noProof/>
      </w:rPr>
      <w:t>51</w:t>
    </w:r>
    <w:r>
      <w:rPr>
        <w:b/>
        <w:bCs/>
      </w:rPr>
      <w:fldChar w:fldCharType="end"/>
    </w:r>
  </w:p>
  <w:p w:rsidR="00EF72F9" w:rsidRDefault="00EF72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B83" w:rsidRDefault="00974B83" w:rsidP="00162E11">
      <w:r>
        <w:separator/>
      </w:r>
    </w:p>
  </w:footnote>
  <w:footnote w:type="continuationSeparator" w:id="0">
    <w:p w:rsidR="00974B83" w:rsidRDefault="00974B83" w:rsidP="00162E11">
      <w:r>
        <w:continuationSeparator/>
      </w:r>
    </w:p>
  </w:footnote>
  <w:footnote w:id="1">
    <w:p w:rsidR="00EF72F9" w:rsidRDefault="00EF72F9" w:rsidP="00162E11">
      <w:pPr>
        <w:pStyle w:val="Textonotapie"/>
      </w:pPr>
      <w:r>
        <w:rPr>
          <w:rStyle w:val="Refdenotaalpie"/>
        </w:rPr>
        <w:footnoteRef/>
      </w:r>
      <w:r>
        <w:t xml:space="preserve"> Convención Americana sobre Derechos Humanos. Artículo 13.</w:t>
      </w:r>
    </w:p>
  </w:footnote>
  <w:footnote w:id="2">
    <w:p w:rsidR="00EF72F9" w:rsidRDefault="00EF72F9" w:rsidP="00162E11">
      <w:pPr>
        <w:pStyle w:val="Textonotapie"/>
      </w:pPr>
      <w:r>
        <w:rPr>
          <w:rStyle w:val="Refdenotaalpie"/>
        </w:rPr>
        <w:footnoteRef/>
      </w:r>
      <w:r>
        <w:t xml:space="preserve"> Constitución Política de los Estados Unidos Mexicanos. Artículo sexto, sección A, fracción I.</w:t>
      </w:r>
    </w:p>
  </w:footnote>
  <w:footnote w:id="3">
    <w:p w:rsidR="00EF72F9" w:rsidRDefault="00EF72F9" w:rsidP="00162E1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F72F9" w:rsidRDefault="00EF72F9" w:rsidP="00162E11">
      <w:pPr>
        <w:pStyle w:val="Textonotapie"/>
      </w:pPr>
      <w:r>
        <w:rPr>
          <w:rStyle w:val="Refdenotaalpie"/>
        </w:rPr>
        <w:footnoteRef/>
      </w:r>
      <w:r>
        <w:t xml:space="preserve"> Ibídem. Parr. 87.</w:t>
      </w:r>
    </w:p>
  </w:footnote>
  <w:footnote w:id="5">
    <w:p w:rsidR="00EF72F9" w:rsidRPr="00985DD4" w:rsidRDefault="00EF72F9" w:rsidP="00162E1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F72F9" w:rsidRPr="00985DD4" w:rsidRDefault="00EF72F9" w:rsidP="00162E1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F72F9" w:rsidRPr="00BE13A0" w:rsidRDefault="00EF72F9" w:rsidP="00162E1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rsidR="00EF72F9" w:rsidRPr="00985DD4" w:rsidRDefault="00EF72F9" w:rsidP="00162E1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F72F9" w:rsidRDefault="00EF72F9" w:rsidP="00162E11">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F72F9" w:rsidRPr="00266430" w:rsidRDefault="00EF72F9" w:rsidP="00162E11">
      <w:pPr>
        <w:pStyle w:val="Textonotapie"/>
        <w:jc w:val="both"/>
      </w:pPr>
      <w:r w:rsidRPr="00266430">
        <w:t xml:space="preserve">1a./J. 2/2012 (9a.). Primera Sala. Décima Época. Semanario Judicial de la Federación y su Gaceta. Libro V, Febrero de 2012, Pág. 533.  </w:t>
      </w:r>
    </w:p>
  </w:footnote>
  <w:footnote w:id="8">
    <w:p w:rsidR="00EF72F9" w:rsidRPr="00A870EF" w:rsidRDefault="00EF72F9" w:rsidP="00162E11">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F72F9" w:rsidRDefault="00EF72F9" w:rsidP="00162E11">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F72F9" w:rsidRDefault="00EF72F9" w:rsidP="00162E11">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F72F9" w:rsidRPr="001E1F95" w:rsidRDefault="00EF72F9" w:rsidP="00162E11">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F72F9" w:rsidRPr="00191180" w:rsidRDefault="00EF72F9" w:rsidP="00162E11">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1">
    <w:p w:rsidR="00EF72F9" w:rsidRPr="0037004E" w:rsidRDefault="00EF72F9" w:rsidP="00162E11">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rsidR="00EF72F9" w:rsidRDefault="00EF72F9" w:rsidP="00162E11">
      <w:pPr>
        <w:pStyle w:val="Textonotapie"/>
      </w:pPr>
    </w:p>
  </w:footnote>
  <w:footnote w:id="12">
    <w:p w:rsidR="00EF72F9" w:rsidRDefault="00EF72F9" w:rsidP="00162E11">
      <w:pPr>
        <w:pStyle w:val="Textonotapie"/>
        <w:jc w:val="both"/>
      </w:pPr>
      <w:r>
        <w:rPr>
          <w:rStyle w:val="Refdenotaalpie"/>
        </w:rPr>
        <w:footnoteRef/>
      </w:r>
      <w:r>
        <w:t xml:space="preserve"> Artículo 3. Para los efectos de la presente Ley se entenderá por:</w:t>
      </w:r>
    </w:p>
    <w:p w:rsidR="00EF72F9" w:rsidRDefault="00EF72F9" w:rsidP="00162E11">
      <w:pPr>
        <w:pStyle w:val="Textonotapie"/>
        <w:jc w:val="both"/>
      </w:pPr>
      <w:r>
        <w:t xml:space="preserve"> (…)</w:t>
      </w:r>
    </w:p>
    <w:p w:rsidR="00EF72F9" w:rsidRDefault="00EF72F9" w:rsidP="00162E1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F9" w:rsidRDefault="00974B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F72F9" w:rsidRPr="005C106F" w:rsidTr="00162E11">
      <w:trPr>
        <w:trHeight w:val="1435"/>
      </w:trPr>
      <w:tc>
        <w:tcPr>
          <w:tcW w:w="2268" w:type="dxa"/>
          <w:shd w:val="clear" w:color="auto" w:fill="auto"/>
        </w:tcPr>
        <w:p w:rsidR="00EF72F9" w:rsidRPr="005C106F" w:rsidRDefault="00EF72F9" w:rsidP="00162E11">
          <w:pPr>
            <w:tabs>
              <w:tab w:val="right" w:pos="4273"/>
            </w:tabs>
            <w:rPr>
              <w:rFonts w:ascii="Garamond" w:eastAsia="Calibri" w:hAnsi="Garamond"/>
              <w:sz w:val="16"/>
              <w:szCs w:val="16"/>
              <w:lang w:eastAsia="en-US"/>
            </w:rPr>
          </w:pPr>
        </w:p>
      </w:tc>
      <w:tc>
        <w:tcPr>
          <w:tcW w:w="6946" w:type="dxa"/>
          <w:shd w:val="clear" w:color="auto" w:fill="auto"/>
        </w:tcPr>
        <w:p w:rsidR="00EF72F9" w:rsidRDefault="00EF72F9" w:rsidP="00162E11"/>
        <w:tbl>
          <w:tblPr>
            <w:tblW w:w="6662" w:type="dxa"/>
            <w:tblInd w:w="40" w:type="dxa"/>
            <w:tblLayout w:type="fixed"/>
            <w:tblLook w:val="0420" w:firstRow="1" w:lastRow="0" w:firstColumn="0" w:lastColumn="0" w:noHBand="0" w:noVBand="1"/>
          </w:tblPr>
          <w:tblGrid>
            <w:gridCol w:w="2551"/>
            <w:gridCol w:w="4111"/>
          </w:tblGrid>
          <w:tr w:rsidR="00EF72F9" w:rsidTr="00162E11">
            <w:trPr>
              <w:trHeight w:val="150"/>
            </w:trPr>
            <w:tc>
              <w:tcPr>
                <w:tcW w:w="2551" w:type="dxa"/>
                <w:shd w:val="clear" w:color="auto" w:fill="auto"/>
              </w:tcPr>
              <w:p w:rsidR="00EF72F9" w:rsidRPr="00020E73" w:rsidRDefault="00EF72F9" w:rsidP="00162E1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EF72F9" w:rsidRPr="00020E73" w:rsidRDefault="00EF72F9" w:rsidP="00162E1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04213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EF72F9" w:rsidTr="00162E11">
            <w:trPr>
              <w:trHeight w:val="295"/>
            </w:trPr>
            <w:tc>
              <w:tcPr>
                <w:tcW w:w="2551" w:type="dxa"/>
                <w:shd w:val="clear" w:color="auto" w:fill="auto"/>
              </w:tcPr>
              <w:p w:rsidR="00EF72F9" w:rsidRPr="00020E73" w:rsidRDefault="00EF72F9" w:rsidP="00162E1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EF72F9" w:rsidRPr="00020E73" w:rsidRDefault="00EF72F9" w:rsidP="00162E1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Hospital Regional de Alta Especialidad de Zumpango</w:t>
                </w:r>
              </w:p>
            </w:tc>
          </w:tr>
          <w:tr w:rsidR="00EF72F9" w:rsidTr="00162E11">
            <w:trPr>
              <w:trHeight w:val="295"/>
            </w:trPr>
            <w:tc>
              <w:tcPr>
                <w:tcW w:w="2551" w:type="dxa"/>
                <w:shd w:val="clear" w:color="auto" w:fill="auto"/>
              </w:tcPr>
              <w:p w:rsidR="00EF72F9" w:rsidRPr="00020E73" w:rsidRDefault="00EF72F9" w:rsidP="00162E1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EF72F9" w:rsidRPr="00020E73" w:rsidRDefault="00EF72F9" w:rsidP="00162E1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F72F9" w:rsidRPr="00020E73" w:rsidRDefault="00EF72F9" w:rsidP="00162E11">
                <w:pPr>
                  <w:tabs>
                    <w:tab w:val="right" w:pos="8838"/>
                  </w:tabs>
                  <w:ind w:left="-108" w:right="171"/>
                  <w:jc w:val="both"/>
                  <w:rPr>
                    <w:rFonts w:ascii="Palatino Linotype" w:eastAsia="Calibri" w:hAnsi="Palatino Linotype" w:cs="Tahoma"/>
                    <w:b/>
                    <w:sz w:val="22"/>
                    <w:szCs w:val="22"/>
                    <w:lang w:val="es-ES" w:eastAsia="en-US"/>
                  </w:rPr>
                </w:pPr>
              </w:p>
            </w:tc>
          </w:tr>
        </w:tbl>
        <w:p w:rsidR="00EF72F9" w:rsidRPr="005C106F" w:rsidRDefault="00EF72F9" w:rsidP="00162E11">
          <w:pPr>
            <w:tabs>
              <w:tab w:val="right" w:pos="8838"/>
            </w:tabs>
            <w:ind w:left="-28"/>
            <w:jc w:val="both"/>
            <w:rPr>
              <w:rFonts w:ascii="Arial" w:eastAsia="Calibri" w:hAnsi="Arial" w:cs="Arial"/>
              <w:b/>
              <w:sz w:val="22"/>
              <w:szCs w:val="22"/>
              <w:lang w:eastAsia="en-US"/>
            </w:rPr>
          </w:pPr>
        </w:p>
      </w:tc>
    </w:tr>
  </w:tbl>
  <w:p w:rsidR="00EF72F9" w:rsidRPr="00443C6B" w:rsidRDefault="00974B83" w:rsidP="00162E1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F72F9" w:rsidRPr="00330DA7" w:rsidTr="00162E11">
      <w:trPr>
        <w:trHeight w:val="1435"/>
      </w:trPr>
      <w:tc>
        <w:tcPr>
          <w:tcW w:w="2268" w:type="dxa"/>
          <w:shd w:val="clear" w:color="auto" w:fill="auto"/>
        </w:tcPr>
        <w:p w:rsidR="00EF72F9" w:rsidRPr="00330DA7" w:rsidRDefault="00EF72F9" w:rsidP="00162E1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F72F9" w:rsidRPr="00330DA7" w:rsidTr="00162E11">
            <w:trPr>
              <w:trHeight w:val="144"/>
            </w:trPr>
            <w:tc>
              <w:tcPr>
                <w:tcW w:w="2444" w:type="dxa"/>
                <w:shd w:val="clear" w:color="auto" w:fill="auto"/>
              </w:tcPr>
              <w:p w:rsidR="00EF72F9" w:rsidRPr="00020E73" w:rsidRDefault="00EF72F9" w:rsidP="00162E1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EF72F9" w:rsidRPr="00020E73" w:rsidRDefault="00EF72F9" w:rsidP="00162E1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04213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EF72F9" w:rsidRPr="00330DA7" w:rsidTr="00162E11">
            <w:trPr>
              <w:trHeight w:val="144"/>
            </w:trPr>
            <w:tc>
              <w:tcPr>
                <w:tcW w:w="2444" w:type="dxa"/>
                <w:shd w:val="clear" w:color="auto" w:fill="auto"/>
              </w:tcPr>
              <w:p w:rsidR="00EF72F9" w:rsidRPr="00020E73" w:rsidRDefault="00EF72F9" w:rsidP="00162E1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EF72F9" w:rsidRPr="00020E73" w:rsidRDefault="00C92F48" w:rsidP="00162E1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XXXXXXXXXXXXXXXXXXXXXXXXXXXXXXXXXXXXXX</w:t>
                </w:r>
              </w:p>
            </w:tc>
          </w:tr>
          <w:tr w:rsidR="00EF72F9" w:rsidRPr="00330DA7" w:rsidTr="00162E11">
            <w:trPr>
              <w:trHeight w:val="283"/>
            </w:trPr>
            <w:tc>
              <w:tcPr>
                <w:tcW w:w="2444" w:type="dxa"/>
                <w:shd w:val="clear" w:color="auto" w:fill="auto"/>
              </w:tcPr>
              <w:p w:rsidR="00EF72F9" w:rsidRPr="00020E73" w:rsidRDefault="00EF72F9" w:rsidP="00162E1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EF72F9" w:rsidRPr="009E7B0A" w:rsidRDefault="00EF72F9" w:rsidP="00162E11">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Hospital Regional de Alta Especialidad de Zumpango</w:t>
                </w:r>
              </w:p>
            </w:tc>
          </w:tr>
          <w:tr w:rsidR="00EF72F9" w:rsidRPr="00330DA7" w:rsidTr="00162E11">
            <w:trPr>
              <w:trHeight w:val="283"/>
            </w:trPr>
            <w:tc>
              <w:tcPr>
                <w:tcW w:w="2444" w:type="dxa"/>
                <w:shd w:val="clear" w:color="auto" w:fill="auto"/>
              </w:tcPr>
              <w:p w:rsidR="00EF72F9" w:rsidRPr="00020E73" w:rsidRDefault="00EF72F9" w:rsidP="00162E1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EF72F9" w:rsidRPr="00020E73" w:rsidRDefault="00EF72F9" w:rsidP="00162E1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F72F9" w:rsidRPr="00020E73" w:rsidRDefault="00EF72F9" w:rsidP="00162E11">
                <w:pPr>
                  <w:tabs>
                    <w:tab w:val="right" w:pos="8838"/>
                  </w:tabs>
                  <w:ind w:left="-74" w:right="-105"/>
                  <w:jc w:val="both"/>
                  <w:rPr>
                    <w:rFonts w:ascii="Palatino Linotype" w:eastAsia="Calibri" w:hAnsi="Palatino Linotype" w:cs="Tahoma"/>
                    <w:b/>
                    <w:sz w:val="22"/>
                    <w:szCs w:val="22"/>
                    <w:lang w:val="es-ES" w:eastAsia="en-US"/>
                  </w:rPr>
                </w:pPr>
              </w:p>
            </w:tc>
          </w:tr>
        </w:tbl>
        <w:p w:rsidR="00EF72F9" w:rsidRPr="00330DA7" w:rsidRDefault="00EF72F9" w:rsidP="00162E11">
          <w:pPr>
            <w:tabs>
              <w:tab w:val="right" w:pos="8838"/>
            </w:tabs>
            <w:ind w:left="-28"/>
            <w:jc w:val="both"/>
            <w:rPr>
              <w:rFonts w:ascii="Arial" w:eastAsia="Calibri" w:hAnsi="Arial" w:cs="Arial"/>
              <w:b/>
              <w:sz w:val="22"/>
              <w:szCs w:val="22"/>
              <w:lang w:eastAsia="en-US"/>
            </w:rPr>
          </w:pPr>
        </w:p>
      </w:tc>
    </w:tr>
  </w:tbl>
  <w:p w:rsidR="00EF72F9" w:rsidRPr="00827FA0" w:rsidRDefault="00974B83" w:rsidP="00162E1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DB72E10"/>
    <w:multiLevelType w:val="hybridMultilevel"/>
    <w:tmpl w:val="0D62C8F4"/>
    <w:lvl w:ilvl="0" w:tplc="8A52DB1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75342A16"/>
    <w:multiLevelType w:val="hybridMultilevel"/>
    <w:tmpl w:val="D570C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11"/>
    <w:rsid w:val="00007A3C"/>
    <w:rsid w:val="000E24F1"/>
    <w:rsid w:val="00135781"/>
    <w:rsid w:val="00162E11"/>
    <w:rsid w:val="001663BD"/>
    <w:rsid w:val="00214EBE"/>
    <w:rsid w:val="002411B3"/>
    <w:rsid w:val="002413E3"/>
    <w:rsid w:val="00272022"/>
    <w:rsid w:val="00273A4C"/>
    <w:rsid w:val="002C25F9"/>
    <w:rsid w:val="002E6440"/>
    <w:rsid w:val="00384507"/>
    <w:rsid w:val="003965B6"/>
    <w:rsid w:val="003A52D7"/>
    <w:rsid w:val="00554D17"/>
    <w:rsid w:val="005978B0"/>
    <w:rsid w:val="0076643E"/>
    <w:rsid w:val="007803CE"/>
    <w:rsid w:val="007E5E4F"/>
    <w:rsid w:val="0080568D"/>
    <w:rsid w:val="00841C02"/>
    <w:rsid w:val="008C6E4A"/>
    <w:rsid w:val="00974B83"/>
    <w:rsid w:val="009958C0"/>
    <w:rsid w:val="009D4B29"/>
    <w:rsid w:val="00A1137C"/>
    <w:rsid w:val="00A706C3"/>
    <w:rsid w:val="00AA4A84"/>
    <w:rsid w:val="00AA7D47"/>
    <w:rsid w:val="00C92F48"/>
    <w:rsid w:val="00D05A12"/>
    <w:rsid w:val="00D37E73"/>
    <w:rsid w:val="00D73BE2"/>
    <w:rsid w:val="00D91320"/>
    <w:rsid w:val="00E02E8D"/>
    <w:rsid w:val="00E23240"/>
    <w:rsid w:val="00E37121"/>
    <w:rsid w:val="00E86688"/>
    <w:rsid w:val="00EE22AA"/>
    <w:rsid w:val="00EF16C9"/>
    <w:rsid w:val="00EF72F9"/>
    <w:rsid w:val="00F925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0DBEA15-EC5B-41CB-AA8A-6EF7EC31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E1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162E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E1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162E11"/>
    <w:pPr>
      <w:tabs>
        <w:tab w:val="center" w:pos="4419"/>
        <w:tab w:val="right" w:pos="8838"/>
      </w:tabs>
    </w:pPr>
  </w:style>
  <w:style w:type="character" w:customStyle="1" w:styleId="EncabezadoCar">
    <w:name w:val="Encabezado Car"/>
    <w:basedOn w:val="Fuentedeprrafopredeter"/>
    <w:link w:val="Encabezado"/>
    <w:uiPriority w:val="99"/>
    <w:rsid w:val="00162E1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162E11"/>
    <w:pPr>
      <w:tabs>
        <w:tab w:val="center" w:pos="4419"/>
        <w:tab w:val="right" w:pos="8838"/>
      </w:tabs>
    </w:pPr>
  </w:style>
  <w:style w:type="character" w:customStyle="1" w:styleId="PiedepginaCar">
    <w:name w:val="Pie de página Car"/>
    <w:basedOn w:val="Fuentedeprrafopredeter"/>
    <w:link w:val="Piedepgina"/>
    <w:uiPriority w:val="99"/>
    <w:rsid w:val="00162E1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2E1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62E1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162E11"/>
    <w:rPr>
      <w:color w:val="0563C1"/>
      <w:u w:val="single"/>
    </w:rPr>
  </w:style>
  <w:style w:type="paragraph" w:styleId="TDC1">
    <w:name w:val="toc 1"/>
    <w:basedOn w:val="Normal"/>
    <w:next w:val="Normal"/>
    <w:autoRedefine/>
    <w:uiPriority w:val="39"/>
    <w:unhideWhenUsed/>
    <w:rsid w:val="00162E1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162E1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62E1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162E1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62E1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162E1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162E11"/>
    <w:pPr>
      <w:outlineLvl w:val="9"/>
    </w:pPr>
  </w:style>
  <w:style w:type="character" w:customStyle="1" w:styleId="apple-converted-space">
    <w:name w:val="apple-converted-space"/>
    <w:basedOn w:val="Fuentedeprrafopredeter"/>
    <w:qFormat/>
    <w:rsid w:val="00162E11"/>
  </w:style>
  <w:style w:type="table" w:styleId="Tablaconcuadrcula">
    <w:name w:val="Table Grid"/>
    <w:basedOn w:val="Tablanormal"/>
    <w:uiPriority w:val="39"/>
    <w:rsid w:val="0016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4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5014.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1195013.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imex.org.mx/saimex/solicitud/downloadAttach/120732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10407</Words>
  <Characters>57243</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2021-11-04T00:44:00Z</dcterms:created>
  <dcterms:modified xsi:type="dcterms:W3CDTF">2021-11-04T00:44:00Z</dcterms:modified>
</cp:coreProperties>
</file>