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2A598" w14:textId="77777777" w:rsidR="00AE4B84" w:rsidRPr="003B5C0E" w:rsidRDefault="00AE4B84" w:rsidP="00AE4B84">
      <w:pPr>
        <w:spacing w:line="360" w:lineRule="auto"/>
        <w:jc w:val="both"/>
        <w:rPr>
          <w:rFonts w:ascii="Palatino Linotype" w:hAnsi="Palatino Linotype"/>
        </w:rPr>
      </w:pPr>
      <w:r w:rsidRPr="003B5C0E">
        <w:rPr>
          <w:rFonts w:ascii="Palatino Linotype" w:hAnsi="Palatino Linotype"/>
          <w:lang w:eastAsia="es-ES"/>
        </w:rPr>
        <w:t>Resolución del Pleno del Instituto de Transparencia, Acceso a la Información Pública y Protección de Datos Personales del Estado de México y Municipios, con domicilio en Metepec, Estado de México; de fecha quince de diciembre de dos mil veintiuno.</w:t>
      </w:r>
    </w:p>
    <w:p w14:paraId="4DF79CFF" w14:textId="77777777" w:rsidR="00AE4B84" w:rsidRPr="003B5C0E" w:rsidRDefault="00AE4B84" w:rsidP="00AE4B84">
      <w:pPr>
        <w:spacing w:line="360" w:lineRule="auto"/>
        <w:jc w:val="both"/>
        <w:rPr>
          <w:rFonts w:ascii="Palatino Linotype" w:hAnsi="Palatino Linotype"/>
        </w:rPr>
      </w:pPr>
    </w:p>
    <w:p w14:paraId="2F4EC851" w14:textId="77777777" w:rsidR="00AE4B84" w:rsidRPr="003B5C0E" w:rsidRDefault="00AE4B84" w:rsidP="00AE4B84">
      <w:pPr>
        <w:spacing w:line="360" w:lineRule="auto"/>
        <w:jc w:val="both"/>
        <w:rPr>
          <w:rFonts w:ascii="Palatino Linotype" w:hAnsi="Palatino Linotype"/>
        </w:rPr>
      </w:pPr>
      <w:r w:rsidRPr="003B5C0E">
        <w:rPr>
          <w:rFonts w:ascii="Palatino Linotype" w:hAnsi="Palatino Linotype"/>
          <w:b/>
          <w:lang w:eastAsia="es-ES"/>
        </w:rPr>
        <w:t>VISTO</w:t>
      </w:r>
      <w:r w:rsidRPr="003B5C0E">
        <w:rPr>
          <w:rFonts w:ascii="Palatino Linotype" w:hAnsi="Palatino Linotype"/>
          <w:lang w:eastAsia="es-ES"/>
        </w:rPr>
        <w:t xml:space="preserve"> el expediente electrónico formado con motivo del recurso de revisión número </w:t>
      </w:r>
      <w:r w:rsidRPr="003B5C0E">
        <w:rPr>
          <w:rFonts w:ascii="Palatino Linotype" w:hAnsi="Palatino Linotype"/>
          <w:b/>
          <w:bCs/>
          <w:lang w:eastAsia="es-ES"/>
        </w:rPr>
        <w:t xml:space="preserve">05733/INFOEM/IP/RR/2021, </w:t>
      </w:r>
      <w:r w:rsidRPr="003B5C0E">
        <w:rPr>
          <w:rFonts w:ascii="Palatino Linotype" w:hAnsi="Palatino Linotype"/>
          <w:lang w:eastAsia="es-ES"/>
        </w:rPr>
        <w:t xml:space="preserve">promovido por </w:t>
      </w:r>
      <w:r w:rsidRPr="003B5C0E">
        <w:rPr>
          <w:rFonts w:ascii="Palatino Linotype" w:hAnsi="Palatino Linotype"/>
          <w:lang w:val="es-ES_tradnl" w:eastAsia="es-ES"/>
        </w:rPr>
        <w:t>un usuario del Sistema de Acceso a la Información Mexiquense (SAIMEX), quien no proporcionó nombre para ser identificado y que en los sucesivo será identificado como</w:t>
      </w:r>
      <w:r w:rsidRPr="003B5C0E">
        <w:rPr>
          <w:rFonts w:ascii="Palatino Linotype" w:hAnsi="Palatino Linotype"/>
          <w:lang w:eastAsia="es-ES"/>
        </w:rPr>
        <w:t xml:space="preserve"> </w:t>
      </w:r>
      <w:r w:rsidRPr="003B5C0E">
        <w:rPr>
          <w:rFonts w:ascii="Palatino Linotype" w:hAnsi="Palatino Linotype"/>
          <w:b/>
          <w:lang w:eastAsia="es-ES"/>
        </w:rPr>
        <w:t xml:space="preserve">RECURRENTE, </w:t>
      </w:r>
      <w:r w:rsidRPr="003B5C0E">
        <w:rPr>
          <w:rFonts w:ascii="Palatino Linotype" w:hAnsi="Palatino Linotype"/>
          <w:lang w:eastAsia="es-ES"/>
        </w:rPr>
        <w:t xml:space="preserve"> en contra de la respuesta del </w:t>
      </w:r>
      <w:r w:rsidRPr="003B5C0E">
        <w:rPr>
          <w:rFonts w:ascii="Palatino Linotype" w:hAnsi="Palatino Linotype"/>
          <w:b/>
          <w:lang w:eastAsia="es-ES"/>
        </w:rPr>
        <w:t xml:space="preserve">Ayuntamiento de Tepetlixpa, </w:t>
      </w:r>
      <w:r w:rsidRPr="003B5C0E">
        <w:rPr>
          <w:rFonts w:ascii="Palatino Linotype" w:hAnsi="Palatino Linotype"/>
          <w:lang w:eastAsia="es-ES"/>
        </w:rPr>
        <w:t xml:space="preserve">en lo sucesivo el </w:t>
      </w:r>
      <w:r w:rsidRPr="003B5C0E">
        <w:rPr>
          <w:rFonts w:ascii="Palatino Linotype" w:hAnsi="Palatino Linotype"/>
          <w:b/>
          <w:lang w:eastAsia="es-ES"/>
        </w:rPr>
        <w:t xml:space="preserve">SUJETO OBLIGADO, </w:t>
      </w:r>
      <w:r w:rsidRPr="003B5C0E">
        <w:rPr>
          <w:rFonts w:ascii="Palatino Linotype" w:hAnsi="Palatino Linotype"/>
          <w:lang w:eastAsia="es-ES"/>
        </w:rPr>
        <w:t xml:space="preserve">se procede a dictar la presente resolución, con base en los siguientes: </w:t>
      </w:r>
    </w:p>
    <w:p w14:paraId="7C67918E" w14:textId="77777777" w:rsidR="00AE4B84" w:rsidRPr="003B5C0E" w:rsidRDefault="00AE4B84" w:rsidP="00AE4B84">
      <w:pPr>
        <w:spacing w:line="360" w:lineRule="auto"/>
        <w:jc w:val="both"/>
        <w:rPr>
          <w:rFonts w:ascii="Palatino Linotype" w:hAnsi="Palatino Linotype"/>
        </w:rPr>
      </w:pPr>
    </w:p>
    <w:p w14:paraId="2C47F564" w14:textId="77777777" w:rsidR="00AE4B84" w:rsidRPr="003B5C0E"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3B5C0E">
        <w:rPr>
          <w:rFonts w:ascii="Palatino Linotype" w:eastAsia="MS Gothic" w:hAnsi="Palatino Linotype"/>
          <w:b/>
          <w:color w:val="000000"/>
          <w:lang w:val="es-ES"/>
        </w:rPr>
        <w:t>ANTECEDENTES</w:t>
      </w:r>
      <w:bookmarkEnd w:id="0"/>
      <w:bookmarkEnd w:id="1"/>
      <w:bookmarkEnd w:id="2"/>
    </w:p>
    <w:p w14:paraId="5F9DBA18" w14:textId="77777777" w:rsidR="00AE4B84" w:rsidRPr="003B5C0E" w:rsidRDefault="00AE4B84" w:rsidP="00AE4B84">
      <w:pPr>
        <w:tabs>
          <w:tab w:val="left" w:pos="426"/>
        </w:tabs>
        <w:spacing w:line="360" w:lineRule="auto"/>
        <w:contextualSpacing/>
        <w:jc w:val="both"/>
        <w:rPr>
          <w:rFonts w:ascii="Palatino Linotype" w:eastAsia="Calibri" w:hAnsi="Palatino Linotype" w:cs="Arial"/>
          <w:color w:val="000000"/>
        </w:rPr>
      </w:pPr>
    </w:p>
    <w:p w14:paraId="40F91079" w14:textId="77777777" w:rsidR="00AE4B84" w:rsidRPr="003B5C0E" w:rsidRDefault="00AE4B84"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3B5C0E">
        <w:rPr>
          <w:rFonts w:ascii="Palatino Linotype" w:eastAsia="Calibri" w:hAnsi="Palatino Linotype" w:cs="Arial"/>
          <w:color w:val="000000"/>
          <w:lang w:val="es-ES" w:eastAsia="es-ES"/>
        </w:rPr>
        <w:t xml:space="preserve">En fecha doce (12) de octubre de dos mil veintiuno, la </w:t>
      </w:r>
      <w:r w:rsidRPr="003B5C0E">
        <w:rPr>
          <w:rFonts w:ascii="Palatino Linotype" w:eastAsia="Calibri" w:hAnsi="Palatino Linotype" w:cs="Arial"/>
          <w:b/>
          <w:color w:val="000000"/>
          <w:lang w:val="es-ES" w:eastAsia="es-ES"/>
        </w:rPr>
        <w:t xml:space="preserve">RECURRENTE </w:t>
      </w:r>
      <w:r w:rsidRPr="003B5C0E">
        <w:rPr>
          <w:rFonts w:ascii="Palatino Linotype" w:eastAsia="Calibri" w:hAnsi="Palatino Linotype" w:cs="Arial"/>
          <w:color w:val="000000"/>
          <w:lang w:val="es-ES" w:eastAsia="es-ES"/>
        </w:rPr>
        <w:t xml:space="preserve">presentó a través del Sistema de Acceso a la Información Mexiquense </w:t>
      </w:r>
      <w:r w:rsidRPr="003B5C0E">
        <w:rPr>
          <w:rFonts w:ascii="Palatino Linotype" w:eastAsia="Calibri" w:hAnsi="Palatino Linotype" w:cs="Arial"/>
          <w:b/>
          <w:color w:val="000000"/>
          <w:lang w:val="es-ES" w:eastAsia="es-ES"/>
        </w:rPr>
        <w:t xml:space="preserve">(SAIMEX), </w:t>
      </w:r>
      <w:r w:rsidRPr="003B5C0E">
        <w:rPr>
          <w:rFonts w:ascii="Palatino Linotype" w:eastAsia="Calibri" w:hAnsi="Palatino Linotype" w:cs="Arial"/>
          <w:color w:val="000000"/>
          <w:lang w:val="es-ES" w:eastAsia="es-ES"/>
        </w:rPr>
        <w:t>la solicitud de información pública registrada con el número</w:t>
      </w:r>
      <w:r w:rsidRPr="003B5C0E">
        <w:rPr>
          <w:rFonts w:ascii="Verdana" w:hAnsi="Verdana"/>
          <w:b/>
          <w:bCs/>
          <w:color w:val="FF0000"/>
        </w:rPr>
        <w:t xml:space="preserve"> </w:t>
      </w:r>
      <w:r w:rsidRPr="003B5C0E">
        <w:rPr>
          <w:rFonts w:ascii="Palatino Linotype" w:eastAsia="Calibri" w:hAnsi="Palatino Linotype" w:cs="Arial"/>
          <w:b/>
          <w:bCs/>
          <w:color w:val="000000"/>
          <w:lang w:eastAsia="es-ES"/>
        </w:rPr>
        <w:t>00257/TEPETLIX/IP/2021,</w:t>
      </w:r>
      <w:r w:rsidRPr="003B5C0E">
        <w:rPr>
          <w:rFonts w:ascii="Palatino Linotype" w:eastAsia="Calibri" w:hAnsi="Palatino Linotype" w:cs="Arial"/>
          <w:color w:val="000000"/>
          <w:lang w:val="es-ES" w:eastAsia="es-ES"/>
        </w:rPr>
        <w:t xml:space="preserve"> mediante la cual requirió: </w:t>
      </w:r>
    </w:p>
    <w:p w14:paraId="2DF9BF0F" w14:textId="77777777" w:rsidR="00AE4B84" w:rsidRPr="003B5C0E" w:rsidRDefault="00AE4B84" w:rsidP="00AE4B84">
      <w:pPr>
        <w:tabs>
          <w:tab w:val="left" w:pos="426"/>
        </w:tabs>
        <w:spacing w:line="360" w:lineRule="auto"/>
        <w:contextualSpacing/>
        <w:jc w:val="both"/>
        <w:rPr>
          <w:rFonts w:ascii="Palatino Linotype" w:eastAsia="Calibri" w:hAnsi="Palatino Linotype" w:cs="Arial"/>
          <w:color w:val="000000"/>
        </w:rPr>
      </w:pPr>
    </w:p>
    <w:p w14:paraId="612378C4" w14:textId="77777777" w:rsidR="00AE4B84" w:rsidRPr="003B5C0E" w:rsidRDefault="00AE4B84" w:rsidP="00AE4B84">
      <w:pPr>
        <w:spacing w:line="360" w:lineRule="auto"/>
        <w:ind w:left="851" w:right="567"/>
        <w:jc w:val="both"/>
        <w:rPr>
          <w:rFonts w:ascii="Palatino Linotype" w:hAnsi="Palatino Linotype"/>
          <w:i/>
        </w:rPr>
      </w:pPr>
      <w:r w:rsidRPr="003B5C0E">
        <w:rPr>
          <w:rFonts w:ascii="Palatino Linotype" w:hAnsi="Palatino Linotype"/>
          <w:i/>
          <w:color w:val="000000"/>
        </w:rPr>
        <w:t xml:space="preserve">“nombre de todos los servidor </w:t>
      </w:r>
      <w:proofErr w:type="spellStart"/>
      <w:r w:rsidRPr="003B5C0E">
        <w:rPr>
          <w:rFonts w:ascii="Palatino Linotype" w:hAnsi="Palatino Linotype"/>
          <w:i/>
          <w:color w:val="000000"/>
        </w:rPr>
        <w:t>publico</w:t>
      </w:r>
      <w:proofErr w:type="spellEnd"/>
      <w:r w:rsidRPr="003B5C0E">
        <w:rPr>
          <w:rFonts w:ascii="Palatino Linotype" w:hAnsi="Palatino Linotype"/>
          <w:i/>
          <w:color w:val="000000"/>
        </w:rPr>
        <w:t xml:space="preserve"> que se le haya iniciado procedimiento administrativo por </w:t>
      </w:r>
      <w:proofErr w:type="spellStart"/>
      <w:r w:rsidRPr="003B5C0E">
        <w:rPr>
          <w:rFonts w:ascii="Palatino Linotype" w:hAnsi="Palatino Linotype"/>
          <w:i/>
          <w:color w:val="000000"/>
        </w:rPr>
        <w:t>contraloria</w:t>
      </w:r>
      <w:proofErr w:type="spellEnd"/>
      <w:r w:rsidRPr="003B5C0E">
        <w:rPr>
          <w:rFonts w:ascii="Palatino Linotype" w:hAnsi="Palatino Linotype"/>
          <w:i/>
          <w:color w:val="000000"/>
        </w:rPr>
        <w:t xml:space="preserve"> municipal </w:t>
      </w:r>
      <w:proofErr w:type="spellStart"/>
      <w:r w:rsidRPr="003B5C0E">
        <w:rPr>
          <w:rFonts w:ascii="Palatino Linotype" w:hAnsi="Palatino Linotype"/>
          <w:i/>
          <w:color w:val="000000"/>
        </w:rPr>
        <w:t>asi</w:t>
      </w:r>
      <w:proofErr w:type="spellEnd"/>
      <w:r w:rsidRPr="003B5C0E">
        <w:rPr>
          <w:rFonts w:ascii="Palatino Linotype" w:hAnsi="Palatino Linotype"/>
          <w:i/>
          <w:color w:val="000000"/>
        </w:rPr>
        <w:t xml:space="preserve"> como el motivo del procedimiento, </w:t>
      </w:r>
      <w:proofErr w:type="spellStart"/>
      <w:r w:rsidRPr="003B5C0E">
        <w:rPr>
          <w:rFonts w:ascii="Palatino Linotype" w:hAnsi="Palatino Linotype"/>
          <w:i/>
          <w:color w:val="000000"/>
        </w:rPr>
        <w:t>resolucion</w:t>
      </w:r>
      <w:proofErr w:type="spellEnd"/>
      <w:r w:rsidRPr="003B5C0E">
        <w:rPr>
          <w:rFonts w:ascii="Palatino Linotype" w:hAnsi="Palatino Linotype"/>
          <w:i/>
          <w:color w:val="000000"/>
        </w:rPr>
        <w:t xml:space="preserve"> de su </w:t>
      </w:r>
      <w:proofErr w:type="spellStart"/>
      <w:r w:rsidRPr="003B5C0E">
        <w:rPr>
          <w:rFonts w:ascii="Palatino Linotype" w:hAnsi="Palatino Linotype"/>
          <w:i/>
          <w:color w:val="000000"/>
        </w:rPr>
        <w:t>sancion</w:t>
      </w:r>
      <w:proofErr w:type="spellEnd"/>
      <w:r w:rsidRPr="003B5C0E">
        <w:rPr>
          <w:rFonts w:ascii="Palatino Linotype" w:hAnsi="Palatino Linotype"/>
          <w:i/>
          <w:color w:val="000000"/>
        </w:rPr>
        <w:t xml:space="preserve"> del ejercicio fiscal de 1 de enero al 10 de Octubre del 2021”</w:t>
      </w:r>
      <w:r w:rsidRPr="003B5C0E">
        <w:rPr>
          <w:rFonts w:ascii="Palatino Linotype" w:eastAsia="MS Mincho" w:hAnsi="Palatino Linotype"/>
          <w:i/>
          <w:color w:val="000000"/>
          <w:lang w:val="es-ES_tradnl" w:eastAsia="es-ES"/>
        </w:rPr>
        <w:t xml:space="preserve"> (Sic)</w:t>
      </w:r>
    </w:p>
    <w:p w14:paraId="28DCDAA2" w14:textId="77777777" w:rsidR="00AE4B84" w:rsidRPr="003B5C0E" w:rsidRDefault="00AE4B84" w:rsidP="00AE4B84">
      <w:pPr>
        <w:spacing w:line="360" w:lineRule="auto"/>
        <w:contextualSpacing/>
        <w:jc w:val="both"/>
        <w:rPr>
          <w:rFonts w:ascii="Palatino Linotype" w:eastAsia="MS Mincho" w:hAnsi="Palatino Linotype" w:cs="Arial"/>
          <w:color w:val="000000"/>
          <w:lang w:val="es-ES_tradnl"/>
        </w:rPr>
      </w:pPr>
    </w:p>
    <w:p w14:paraId="3BBC541D" w14:textId="77777777" w:rsidR="00AE4B84" w:rsidRPr="003B5C0E"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3B5C0E">
        <w:rPr>
          <w:rFonts w:ascii="Palatino Linotype" w:eastAsia="MS Mincho" w:hAnsi="Palatino Linotype" w:cs="Arial"/>
          <w:lang w:val="es-ES_tradnl" w:eastAsia="es-ES"/>
        </w:rPr>
        <w:lastRenderedPageBreak/>
        <w:t xml:space="preserve">Se hace constar que </w:t>
      </w:r>
      <w:r w:rsidRPr="003B5C0E">
        <w:rPr>
          <w:rFonts w:ascii="Palatino Linotype" w:hAnsi="Palatino Linotype" w:cs="Arial"/>
          <w:lang w:val="es-ES" w:eastAsia="es-ES"/>
        </w:rPr>
        <w:t>se señaló como modalidad de entrega de la información</w:t>
      </w:r>
      <w:r w:rsidRPr="003B5C0E">
        <w:rPr>
          <w:rFonts w:ascii="Palatino Linotype" w:hAnsi="Palatino Linotype" w:cs="Arial"/>
          <w:b/>
          <w:lang w:val="es-ES" w:eastAsia="es-ES"/>
        </w:rPr>
        <w:t>:</w:t>
      </w:r>
      <w:r w:rsidRPr="003B5C0E">
        <w:rPr>
          <w:rFonts w:ascii="Palatino Linotype" w:hAnsi="Palatino Linotype" w:cs="Arial"/>
          <w:lang w:val="es-ES" w:eastAsia="es-ES"/>
        </w:rPr>
        <w:t xml:space="preserve"> a través </w:t>
      </w:r>
      <w:r w:rsidRPr="003B5C0E">
        <w:rPr>
          <w:rFonts w:ascii="Palatino Linotype" w:eastAsia="MS Mincho" w:hAnsi="Palatino Linotype"/>
          <w:color w:val="000000"/>
          <w:lang w:val="es-ES_tradnl" w:eastAsia="es-ES"/>
        </w:rPr>
        <w:t xml:space="preserve">del </w:t>
      </w:r>
      <w:r w:rsidRPr="003B5C0E">
        <w:rPr>
          <w:rFonts w:ascii="Palatino Linotype" w:eastAsia="Calibri" w:hAnsi="Palatino Linotype" w:cs="Arial"/>
          <w:lang w:val="es-ES" w:eastAsia="es-ES"/>
        </w:rPr>
        <w:t xml:space="preserve">Sistema de Acceso a la Información Mexiquense </w:t>
      </w:r>
      <w:r w:rsidRPr="003B5C0E">
        <w:rPr>
          <w:rFonts w:ascii="Palatino Linotype" w:eastAsia="Calibri" w:hAnsi="Palatino Linotype" w:cs="Arial"/>
          <w:b/>
          <w:lang w:val="es-ES" w:eastAsia="es-ES"/>
        </w:rPr>
        <w:t>(SAIMEX).</w:t>
      </w:r>
    </w:p>
    <w:p w14:paraId="42F3BF84" w14:textId="77777777" w:rsidR="00AE4B84" w:rsidRPr="003B5C0E" w:rsidRDefault="00AE4B84" w:rsidP="00AE4B84">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1C0702C6" w14:textId="77777777" w:rsidR="00AE4B84" w:rsidRPr="003B5C0E"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3B5C0E">
        <w:rPr>
          <w:rFonts w:ascii="Palatino Linotype" w:eastAsia="Calibri" w:hAnsi="Palatino Linotype" w:cs="Arial"/>
          <w:lang w:val="es-AR" w:eastAsia="es-ES"/>
        </w:rPr>
        <w:t>En fecha dieciocho (18) de octubre de dos mil veintiuno</w:t>
      </w:r>
      <w:r w:rsidRPr="003B5C0E">
        <w:rPr>
          <w:rFonts w:ascii="Palatino Linotype" w:hAnsi="Palatino Linotype" w:cs="Arial"/>
          <w:lang w:val="es-ES" w:eastAsia="es-ES"/>
        </w:rPr>
        <w:t xml:space="preserve">, </w:t>
      </w:r>
      <w:r w:rsidRPr="003B5C0E">
        <w:rPr>
          <w:rFonts w:ascii="Palatino Linotype" w:eastAsia="MS Mincho" w:hAnsi="Palatino Linotype"/>
          <w:color w:val="000000"/>
          <w:lang w:val="es-ES_tradnl" w:eastAsia="es-ES"/>
        </w:rPr>
        <w:t xml:space="preserve">el </w:t>
      </w:r>
      <w:r w:rsidRPr="003B5C0E">
        <w:rPr>
          <w:rFonts w:ascii="Palatino Linotype" w:eastAsia="MS Mincho" w:hAnsi="Palatino Linotype"/>
          <w:b/>
          <w:color w:val="000000"/>
          <w:lang w:val="es-ES_tradnl" w:eastAsia="es-ES"/>
        </w:rPr>
        <w:t xml:space="preserve">Ayuntamiento Tepetlixpa,  </w:t>
      </w:r>
      <w:r w:rsidRPr="003B5C0E">
        <w:rPr>
          <w:rFonts w:ascii="Palatino Linotype" w:hAnsi="Palatino Linotype" w:cs="Arial"/>
          <w:lang w:val="es-ES" w:eastAsia="es-ES"/>
        </w:rPr>
        <w:t>dio respuesta a la solicitud de información, y proporcionó la siguiente información:</w:t>
      </w:r>
    </w:p>
    <w:p w14:paraId="540214E9" w14:textId="77777777" w:rsidR="00AE4B84" w:rsidRPr="003B5C0E" w:rsidRDefault="00AE4B84" w:rsidP="00AE4B84">
      <w:pPr>
        <w:spacing w:before="100" w:beforeAutospacing="1" w:after="100" w:afterAutospacing="1" w:line="360" w:lineRule="auto"/>
        <w:contextualSpacing/>
        <w:jc w:val="both"/>
        <w:rPr>
          <w:rFonts w:ascii="Palatino Linotype" w:eastAsia="MS Mincho" w:hAnsi="Palatino Linotype" w:cs="Arial"/>
          <w:color w:val="000000"/>
          <w:lang w:val="es-ES_tradnl"/>
        </w:rPr>
      </w:pPr>
      <w:r w:rsidRPr="003B5C0E">
        <w:rPr>
          <w:rFonts w:ascii="Palatino Linotype" w:eastAsia="Calibri" w:hAnsi="Palatino Linotype" w:cs="Arial"/>
          <w:lang w:val="es-AR" w:eastAsia="es-ES"/>
        </w:rPr>
        <w:t xml:space="preserve"> </w:t>
      </w:r>
    </w:p>
    <w:tbl>
      <w:tblPr>
        <w:tblW w:w="9888" w:type="dxa"/>
        <w:jc w:val="center"/>
        <w:tblCellSpacing w:w="0" w:type="dxa"/>
        <w:tblCellMar>
          <w:left w:w="0" w:type="dxa"/>
          <w:right w:w="0" w:type="dxa"/>
        </w:tblCellMar>
        <w:tblLook w:val="04A0" w:firstRow="1" w:lastRow="0" w:firstColumn="1" w:lastColumn="0" w:noHBand="0" w:noVBand="1"/>
      </w:tblPr>
      <w:tblGrid>
        <w:gridCol w:w="9888"/>
      </w:tblGrid>
      <w:tr w:rsidR="00AE4B84" w:rsidRPr="004F3185" w14:paraId="28E62E8B" w14:textId="77777777" w:rsidTr="00C5116C">
        <w:trPr>
          <w:trHeight w:val="156"/>
          <w:tblCellSpacing w:w="0" w:type="dxa"/>
          <w:jc w:val="center"/>
        </w:trPr>
        <w:tc>
          <w:tcPr>
            <w:tcW w:w="0" w:type="auto"/>
            <w:vAlign w:val="center"/>
            <w:hideMark/>
          </w:tcPr>
          <w:p w14:paraId="6EE90436" w14:textId="77777777" w:rsidR="00AE4B84" w:rsidRPr="003B5C0E" w:rsidRDefault="00AE4B84" w:rsidP="00C5116C">
            <w:pPr>
              <w:ind w:left="1418" w:right="1106"/>
              <w:rPr>
                <w:rFonts w:ascii="Palatino Linotype" w:hAnsi="Palatino Linotype"/>
                <w:i/>
                <w:sz w:val="22"/>
                <w:szCs w:val="22"/>
                <w:lang w:val="es-ES" w:eastAsia="es-ES"/>
              </w:rPr>
            </w:pPr>
            <w:r w:rsidRPr="003B5C0E">
              <w:rPr>
                <w:rFonts w:ascii="Palatino Linotype" w:hAnsi="Palatino Linotype"/>
                <w:i/>
                <w:sz w:val="22"/>
                <w:szCs w:val="22"/>
                <w:lang w:val="es-ES" w:eastAsia="es-ES"/>
              </w:rPr>
              <w:t>…</w:t>
            </w:r>
          </w:p>
          <w:p w14:paraId="7C537616" w14:textId="77777777" w:rsidR="00AE4B84" w:rsidRPr="004F3185" w:rsidRDefault="00AE4B84" w:rsidP="00C5116C">
            <w:pPr>
              <w:ind w:left="1418" w:right="1106"/>
              <w:rPr>
                <w:rFonts w:ascii="Palatino Linotype" w:hAnsi="Palatino Linotype"/>
                <w:i/>
                <w:sz w:val="22"/>
                <w:szCs w:val="22"/>
                <w:lang w:val="es-ES" w:eastAsia="es-ES"/>
              </w:rPr>
            </w:pPr>
            <w:r w:rsidRPr="004F3185">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E4B84" w:rsidRPr="004F3185" w14:paraId="50F775A9" w14:textId="77777777" w:rsidTr="00C5116C">
        <w:trPr>
          <w:trHeight w:val="391"/>
          <w:tblCellSpacing w:w="0" w:type="dxa"/>
          <w:jc w:val="center"/>
        </w:trPr>
        <w:tc>
          <w:tcPr>
            <w:tcW w:w="0" w:type="auto"/>
            <w:vAlign w:val="center"/>
            <w:hideMark/>
          </w:tcPr>
          <w:p w14:paraId="21944A6A" w14:textId="77777777" w:rsidR="00AE4B84" w:rsidRPr="004F3185" w:rsidRDefault="00AE4B84" w:rsidP="00C5116C">
            <w:pPr>
              <w:ind w:left="1418" w:right="1106"/>
              <w:rPr>
                <w:rFonts w:ascii="Palatino Linotype" w:hAnsi="Palatino Linotype"/>
                <w:i/>
                <w:sz w:val="22"/>
                <w:szCs w:val="22"/>
                <w:lang w:val="es-ES" w:eastAsia="es-ES"/>
              </w:rPr>
            </w:pPr>
          </w:p>
        </w:tc>
      </w:tr>
      <w:tr w:rsidR="00AE4B84" w:rsidRPr="004F3185" w14:paraId="0F35BD3D" w14:textId="77777777" w:rsidTr="00C5116C">
        <w:trPr>
          <w:trHeight w:val="156"/>
          <w:tblCellSpacing w:w="0" w:type="dxa"/>
          <w:jc w:val="center"/>
        </w:trPr>
        <w:tc>
          <w:tcPr>
            <w:tcW w:w="0" w:type="auto"/>
            <w:vAlign w:val="center"/>
            <w:hideMark/>
          </w:tcPr>
          <w:p w14:paraId="4069B43A" w14:textId="77777777" w:rsidR="00AE4B84" w:rsidRPr="003B5C0E" w:rsidRDefault="00AE4B84" w:rsidP="00C5116C">
            <w:pPr>
              <w:ind w:left="1418" w:right="1106"/>
              <w:rPr>
                <w:rFonts w:ascii="Palatino Linotype" w:hAnsi="Palatino Linotype"/>
                <w:i/>
                <w:sz w:val="22"/>
                <w:szCs w:val="22"/>
                <w:lang w:val="es-ES" w:eastAsia="es-ES"/>
              </w:rPr>
            </w:pPr>
            <w:r w:rsidRPr="004F3185">
              <w:rPr>
                <w:rFonts w:ascii="Palatino Linotype" w:hAnsi="Palatino Linotype"/>
                <w:i/>
                <w:sz w:val="22"/>
                <w:szCs w:val="22"/>
                <w:lang w:val="es-ES" w:eastAsia="es-ES"/>
              </w:rPr>
              <w:t>A QUIEN CORRESPONDA. P R E S E N T E: Por medio del presente y en respuesta a la solicitud con No. de folio: 00257/TEPETLIX/IP/2021, recibida a través de este Sistema SAIMEX, por tal motivo expongo lo siguiente: Se informa que durante el Ejercicio Fiscal de 1 de enero al 10 de octubre del 2021 no fue iniciado algún procedimiento administrativo por Contraloría Municipal. Sin más por el momento me despido de Usted enviándole un cordial saludo.</w:t>
            </w:r>
          </w:p>
          <w:p w14:paraId="3233FB20" w14:textId="77777777" w:rsidR="00AE4B84" w:rsidRPr="004F3185" w:rsidRDefault="00AE4B84" w:rsidP="00C5116C">
            <w:pPr>
              <w:ind w:left="1418" w:right="1106"/>
              <w:rPr>
                <w:rFonts w:ascii="Palatino Linotype" w:hAnsi="Palatino Linotype"/>
                <w:i/>
                <w:sz w:val="22"/>
                <w:szCs w:val="22"/>
                <w:lang w:val="es-ES" w:eastAsia="es-ES"/>
              </w:rPr>
            </w:pPr>
            <w:r w:rsidRPr="003B5C0E">
              <w:rPr>
                <w:rFonts w:ascii="Palatino Linotype" w:hAnsi="Palatino Linotype"/>
                <w:i/>
                <w:sz w:val="22"/>
                <w:szCs w:val="22"/>
                <w:lang w:val="es-ES" w:eastAsia="es-ES"/>
              </w:rPr>
              <w:t>…</w:t>
            </w:r>
          </w:p>
        </w:tc>
      </w:tr>
    </w:tbl>
    <w:p w14:paraId="1BA992FF" w14:textId="77777777" w:rsidR="00AE4B84" w:rsidRPr="003B5C0E" w:rsidRDefault="00AE4B84" w:rsidP="00AE4B84">
      <w:pPr>
        <w:spacing w:before="100" w:beforeAutospacing="1" w:after="100" w:afterAutospacing="1" w:line="360" w:lineRule="auto"/>
        <w:ind w:left="1418" w:right="1106"/>
        <w:contextualSpacing/>
        <w:jc w:val="both"/>
        <w:rPr>
          <w:rFonts w:ascii="Palatino Linotype" w:eastAsia="MS Mincho" w:hAnsi="Palatino Linotype" w:cs="Arial"/>
          <w:color w:val="000000"/>
          <w:lang w:val="es-ES_tradnl"/>
        </w:rPr>
      </w:pPr>
    </w:p>
    <w:p w14:paraId="5378FF33" w14:textId="77777777" w:rsidR="00AE4B84" w:rsidRPr="003B5C0E" w:rsidRDefault="00AE4B84" w:rsidP="00AE4B84">
      <w:pPr>
        <w:rPr>
          <w:rFonts w:ascii="Palatino Linotype" w:eastAsia="MS Mincho" w:hAnsi="Palatino Linotype" w:cs="Arial"/>
          <w:color w:val="000000"/>
          <w:lang w:val="es-ES_tradnl"/>
        </w:rPr>
      </w:pPr>
    </w:p>
    <w:p w14:paraId="63E33B11" w14:textId="77777777" w:rsidR="00AE4B84" w:rsidRPr="003B5C0E" w:rsidRDefault="00AE4B84" w:rsidP="00AE4B84">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3B5C0E">
        <w:rPr>
          <w:rFonts w:ascii="Palatino Linotype" w:eastAsia="MS Mincho" w:hAnsi="Palatino Linotype" w:cs="Arial"/>
          <w:color w:val="000000"/>
          <w:lang w:val="es-ES_tradnl" w:eastAsia="es-ES"/>
        </w:rPr>
        <w:t>Posteriormente, el día diecioc</w:t>
      </w:r>
      <w:bookmarkStart w:id="3" w:name="_GoBack"/>
      <w:bookmarkEnd w:id="3"/>
      <w:r w:rsidRPr="003B5C0E">
        <w:rPr>
          <w:rFonts w:ascii="Palatino Linotype" w:eastAsia="MS Mincho" w:hAnsi="Palatino Linotype" w:cs="Arial"/>
          <w:color w:val="000000"/>
          <w:lang w:val="es-ES_tradnl" w:eastAsia="es-ES"/>
        </w:rPr>
        <w:t xml:space="preserve">ho (18) de noviembre de dos mil veintiuno, se interpuso el recurso de revisión, en contra de la respuesta, señalando como: </w:t>
      </w:r>
    </w:p>
    <w:p w14:paraId="1F5DD877" w14:textId="77777777" w:rsidR="00AE4B84" w:rsidRPr="003B5C0E" w:rsidRDefault="00AE4B84" w:rsidP="00AE4B84">
      <w:pPr>
        <w:spacing w:line="360" w:lineRule="auto"/>
        <w:rPr>
          <w:rFonts w:ascii="Palatino Linotype" w:eastAsia="MS Mincho" w:hAnsi="Palatino Linotype" w:cs="Arial"/>
          <w:color w:val="000000"/>
          <w:lang w:val="es-ES_tradnl"/>
        </w:rPr>
      </w:pPr>
    </w:p>
    <w:p w14:paraId="6E46062C" w14:textId="77777777" w:rsidR="00253ED9" w:rsidRDefault="00253ED9" w:rsidP="00253ED9">
      <w:pPr>
        <w:spacing w:line="360" w:lineRule="auto"/>
        <w:ind w:left="862" w:right="567"/>
        <w:jc w:val="both"/>
        <w:rPr>
          <w:rFonts w:ascii="Palatino Linotype" w:eastAsia="MS Gothic" w:hAnsi="Palatino Linotype"/>
          <w:b/>
          <w:lang w:val="es-ES"/>
        </w:rPr>
      </w:pPr>
      <w:r>
        <w:rPr>
          <w:rFonts w:ascii="Palatino Linotype" w:eastAsia="MS Gothic" w:hAnsi="Palatino Linotype"/>
          <w:b/>
          <w:lang w:val="es-ES"/>
        </w:rPr>
        <w:t>Acto impugnado:</w:t>
      </w:r>
    </w:p>
    <w:p w14:paraId="0F67C7FD" w14:textId="77777777" w:rsidR="00253ED9" w:rsidRDefault="00253ED9" w:rsidP="00253ED9">
      <w:pPr>
        <w:spacing w:line="360" w:lineRule="auto"/>
        <w:ind w:left="862" w:right="567"/>
        <w:jc w:val="both"/>
        <w:rPr>
          <w:rFonts w:ascii="Palatino Linotype" w:eastAsia="MS Gothic" w:hAnsi="Palatino Linotype"/>
          <w:b/>
          <w:lang w:val="es-ES"/>
        </w:rPr>
      </w:pPr>
    </w:p>
    <w:p w14:paraId="1B6FEE15" w14:textId="77777777" w:rsidR="00AE4B84" w:rsidRPr="00253ED9" w:rsidRDefault="00AE4B84" w:rsidP="00253ED9">
      <w:pPr>
        <w:spacing w:line="360" w:lineRule="auto"/>
        <w:ind w:left="862" w:right="567"/>
        <w:jc w:val="both"/>
        <w:rPr>
          <w:rFonts w:ascii="Palatino Linotype" w:eastAsia="MS Gothic" w:hAnsi="Palatino Linotype"/>
          <w:b/>
          <w:lang w:val="es-ES"/>
        </w:rPr>
      </w:pPr>
      <w:r w:rsidRPr="003B5C0E">
        <w:rPr>
          <w:rFonts w:ascii="Palatino Linotype" w:eastAsia="MS Gothic" w:hAnsi="Palatino Linotype"/>
          <w:b/>
          <w:lang w:val="es-ES"/>
        </w:rPr>
        <w:t>“</w:t>
      </w:r>
      <w:r w:rsidRPr="003B5C0E">
        <w:rPr>
          <w:rFonts w:ascii="Palatino Linotype" w:hAnsi="Palatino Linotype"/>
          <w:i/>
          <w:color w:val="000000"/>
        </w:rPr>
        <w:t xml:space="preserve">no </w:t>
      </w:r>
      <w:proofErr w:type="spellStart"/>
      <w:r w:rsidRPr="003B5C0E">
        <w:rPr>
          <w:rFonts w:ascii="Palatino Linotype" w:hAnsi="Palatino Linotype"/>
          <w:i/>
          <w:color w:val="000000"/>
        </w:rPr>
        <w:t>entregran</w:t>
      </w:r>
      <w:proofErr w:type="spellEnd"/>
      <w:r w:rsidRPr="003B5C0E">
        <w:rPr>
          <w:rFonts w:ascii="Palatino Linotype" w:hAnsi="Palatino Linotype"/>
          <w:i/>
          <w:color w:val="000000"/>
        </w:rPr>
        <w:t xml:space="preserve"> </w:t>
      </w:r>
      <w:proofErr w:type="spellStart"/>
      <w:r w:rsidRPr="003B5C0E">
        <w:rPr>
          <w:rFonts w:ascii="Palatino Linotype" w:hAnsi="Palatino Linotype"/>
          <w:i/>
          <w:color w:val="000000"/>
        </w:rPr>
        <w:t>informacion</w:t>
      </w:r>
      <w:proofErr w:type="spellEnd"/>
      <w:r w:rsidRPr="003B5C0E">
        <w:rPr>
          <w:rFonts w:ascii="Palatino Linotype" w:hAnsi="Palatino Linotype"/>
          <w:i/>
          <w:color w:val="000000"/>
        </w:rPr>
        <w:t xml:space="preserve"> en tiempo y forma como marca la ley de trasparencia del Estado de </w:t>
      </w:r>
      <w:proofErr w:type="spellStart"/>
      <w:r w:rsidRPr="003B5C0E">
        <w:rPr>
          <w:rFonts w:ascii="Palatino Linotype" w:hAnsi="Palatino Linotype"/>
          <w:i/>
          <w:color w:val="000000"/>
        </w:rPr>
        <w:t>Mexico</w:t>
      </w:r>
      <w:proofErr w:type="spellEnd"/>
      <w:r w:rsidRPr="003B5C0E">
        <w:rPr>
          <w:rFonts w:ascii="Palatino Linotype" w:hAnsi="Palatino Linotype"/>
          <w:i/>
          <w:color w:val="000000"/>
        </w:rPr>
        <w:t>”</w:t>
      </w:r>
      <w:r w:rsidRPr="003B5C0E">
        <w:rPr>
          <w:rFonts w:ascii="Palatino Linotype" w:eastAsia="Calibri" w:hAnsi="Palatino Linotype" w:cs="Arial"/>
          <w:i/>
          <w:lang w:val="es-ES" w:eastAsia="es-ES"/>
        </w:rPr>
        <w:t xml:space="preserve"> (Sic)</w:t>
      </w:r>
    </w:p>
    <w:p w14:paraId="300D65CF" w14:textId="77777777" w:rsidR="00AE4B84" w:rsidRDefault="00AE4B84" w:rsidP="00AE4B84">
      <w:pPr>
        <w:spacing w:line="360" w:lineRule="auto"/>
        <w:ind w:left="567" w:right="567"/>
        <w:jc w:val="both"/>
        <w:rPr>
          <w:rFonts w:ascii="Palatino Linotype" w:eastAsia="MS Gothic" w:hAnsi="Palatino Linotype"/>
        </w:rPr>
      </w:pPr>
    </w:p>
    <w:p w14:paraId="0D07894C" w14:textId="77777777" w:rsidR="00253ED9" w:rsidRPr="003B5C0E" w:rsidRDefault="00253ED9" w:rsidP="00AE4B84">
      <w:pPr>
        <w:spacing w:line="360" w:lineRule="auto"/>
        <w:ind w:left="567" w:right="567"/>
        <w:jc w:val="both"/>
        <w:rPr>
          <w:rFonts w:ascii="Palatino Linotype" w:eastAsia="MS Gothic" w:hAnsi="Palatino Linotype"/>
        </w:rPr>
      </w:pPr>
    </w:p>
    <w:p w14:paraId="752AECF1" w14:textId="77777777" w:rsidR="00253ED9" w:rsidRDefault="00AE4B84" w:rsidP="00AE4B84">
      <w:pPr>
        <w:spacing w:line="360" w:lineRule="auto"/>
        <w:ind w:left="851" w:right="567"/>
        <w:jc w:val="both"/>
        <w:rPr>
          <w:rFonts w:ascii="Verdana" w:hAnsi="Verdana"/>
          <w:color w:val="000000"/>
          <w:sz w:val="14"/>
          <w:szCs w:val="14"/>
        </w:rPr>
      </w:pPr>
      <w:r w:rsidRPr="003B5C0E">
        <w:rPr>
          <w:rFonts w:ascii="Palatino Linotype" w:eastAsia="MS Gothic" w:hAnsi="Palatino Linotype"/>
          <w:b/>
          <w:lang w:val="es-ES"/>
        </w:rPr>
        <w:t>Razones o Motivos de inconformidad:</w:t>
      </w:r>
      <w:r w:rsidRPr="003B5C0E">
        <w:rPr>
          <w:rFonts w:ascii="Verdana" w:hAnsi="Verdana"/>
          <w:color w:val="000000"/>
          <w:sz w:val="14"/>
          <w:szCs w:val="14"/>
        </w:rPr>
        <w:t xml:space="preserve"> </w:t>
      </w:r>
    </w:p>
    <w:p w14:paraId="0AD0CC92" w14:textId="77777777" w:rsidR="00253ED9" w:rsidRDefault="00253ED9" w:rsidP="00AE4B84">
      <w:pPr>
        <w:spacing w:line="360" w:lineRule="auto"/>
        <w:ind w:left="851" w:right="567"/>
        <w:jc w:val="both"/>
        <w:rPr>
          <w:rFonts w:ascii="Verdana" w:hAnsi="Verdana"/>
          <w:color w:val="000000"/>
          <w:sz w:val="14"/>
          <w:szCs w:val="14"/>
        </w:rPr>
      </w:pPr>
    </w:p>
    <w:p w14:paraId="0744A9A0" w14:textId="77777777" w:rsidR="00AE4B84" w:rsidRPr="003B5C0E" w:rsidRDefault="00AE4B84" w:rsidP="00AE4B84">
      <w:pPr>
        <w:spacing w:line="360" w:lineRule="auto"/>
        <w:ind w:left="851" w:right="567"/>
        <w:jc w:val="both"/>
        <w:rPr>
          <w:rFonts w:ascii="Palatino Linotype" w:eastAsia="MS Mincho" w:hAnsi="Palatino Linotype"/>
          <w:i/>
          <w:color w:val="000000"/>
          <w:lang w:val="es-ES_tradnl"/>
        </w:rPr>
      </w:pPr>
      <w:r w:rsidRPr="003B5C0E">
        <w:rPr>
          <w:rFonts w:ascii="Palatino Linotype" w:hAnsi="Palatino Linotype"/>
          <w:color w:val="000000"/>
        </w:rPr>
        <w:t>“</w:t>
      </w:r>
      <w:r w:rsidRPr="003B5C0E">
        <w:rPr>
          <w:rFonts w:ascii="Palatino Linotype" w:hAnsi="Palatino Linotype"/>
          <w:i/>
          <w:color w:val="000000"/>
        </w:rPr>
        <w:t xml:space="preserve">no </w:t>
      </w:r>
      <w:proofErr w:type="spellStart"/>
      <w:r w:rsidRPr="003B5C0E">
        <w:rPr>
          <w:rFonts w:ascii="Palatino Linotype" w:hAnsi="Palatino Linotype"/>
          <w:i/>
          <w:color w:val="000000"/>
        </w:rPr>
        <w:t>entregran</w:t>
      </w:r>
      <w:proofErr w:type="spellEnd"/>
      <w:r w:rsidRPr="003B5C0E">
        <w:rPr>
          <w:rFonts w:ascii="Palatino Linotype" w:hAnsi="Palatino Linotype"/>
          <w:i/>
          <w:color w:val="000000"/>
        </w:rPr>
        <w:t xml:space="preserve"> </w:t>
      </w:r>
      <w:proofErr w:type="spellStart"/>
      <w:r w:rsidRPr="003B5C0E">
        <w:rPr>
          <w:rFonts w:ascii="Palatino Linotype" w:hAnsi="Palatino Linotype"/>
          <w:i/>
          <w:color w:val="000000"/>
        </w:rPr>
        <w:t>informacion</w:t>
      </w:r>
      <w:proofErr w:type="spellEnd"/>
      <w:r w:rsidRPr="003B5C0E">
        <w:rPr>
          <w:rFonts w:ascii="Palatino Linotype" w:hAnsi="Palatino Linotype"/>
          <w:i/>
          <w:color w:val="000000"/>
        </w:rPr>
        <w:t xml:space="preserve"> en tiempo y forma como marca la ley de trasparencia del Estado de </w:t>
      </w:r>
      <w:proofErr w:type="spellStart"/>
      <w:r w:rsidRPr="003B5C0E">
        <w:rPr>
          <w:rFonts w:ascii="Palatino Linotype" w:hAnsi="Palatino Linotype"/>
          <w:i/>
          <w:color w:val="000000"/>
        </w:rPr>
        <w:t>Mexico</w:t>
      </w:r>
      <w:proofErr w:type="spellEnd"/>
      <w:r w:rsidRPr="003B5C0E">
        <w:rPr>
          <w:rFonts w:ascii="Palatino Linotype" w:eastAsia="MS Mincho" w:hAnsi="Palatino Linotype"/>
          <w:lang w:val="es-ES_tradnl" w:eastAsia="es-ES"/>
        </w:rPr>
        <w:t xml:space="preserve">”. </w:t>
      </w:r>
      <w:r w:rsidRPr="003B5C0E">
        <w:rPr>
          <w:rFonts w:ascii="Palatino Linotype" w:eastAsia="MS Mincho" w:hAnsi="Palatino Linotype"/>
          <w:i/>
          <w:color w:val="000000"/>
          <w:lang w:val="es-ES_tradnl" w:eastAsia="es-ES"/>
        </w:rPr>
        <w:t>(Sic)</w:t>
      </w:r>
    </w:p>
    <w:p w14:paraId="702C1585" w14:textId="77777777" w:rsidR="00AE4B84" w:rsidRPr="003B5C0E" w:rsidRDefault="00AE4B84" w:rsidP="00AE4B84">
      <w:pPr>
        <w:spacing w:line="360" w:lineRule="auto"/>
        <w:rPr>
          <w:rFonts w:ascii="Palatino Linotype" w:eastAsia="MS Mincho" w:hAnsi="Palatino Linotype" w:cs="Arial"/>
          <w:i/>
          <w:color w:val="000000"/>
          <w:lang w:val="es-ES_tradnl"/>
        </w:rPr>
      </w:pPr>
    </w:p>
    <w:p w14:paraId="66428A92" w14:textId="77777777" w:rsidR="00AE4B84" w:rsidRPr="003B5C0E"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3B5C0E">
        <w:rPr>
          <w:rFonts w:ascii="Palatino Linotype" w:hAnsi="Palatino Linotype" w:cs="Arial"/>
          <w:lang w:val="es-ES" w:eastAsia="es-ES"/>
        </w:rPr>
        <w:t xml:space="preserve">Se registró el recurso de revisión bajo el número de expediente al rubro indicado, </w:t>
      </w:r>
      <w:r w:rsidRPr="003B5C0E">
        <w:rPr>
          <w:rFonts w:ascii="Palatino Linotype" w:eastAsia="MS Mincho" w:hAnsi="Palatino Linotype" w:cs="Arial"/>
          <w:bCs/>
          <w:lang w:val="es-ES_tradnl" w:eastAsia="es-ES"/>
        </w:rPr>
        <w:t xml:space="preserve">con fundamento en lo dispuesto por el </w:t>
      </w:r>
      <w:r w:rsidRPr="003B5C0E">
        <w:rPr>
          <w:rFonts w:ascii="Palatino Linotype" w:eastAsia="Calibri" w:hAnsi="Palatino Linotype" w:cs="Arial"/>
          <w:lang w:val="es-ES" w:eastAsia="es-ES"/>
        </w:rPr>
        <w:t xml:space="preserve">artículo 185 fracción I de la </w:t>
      </w:r>
      <w:r w:rsidRPr="003B5C0E">
        <w:rPr>
          <w:rFonts w:ascii="Palatino Linotype" w:eastAsia="Calibri" w:hAnsi="Palatino Linotype" w:cs="Arial"/>
          <w:b/>
          <w:lang w:val="es-ES" w:eastAsia="es-ES"/>
        </w:rPr>
        <w:t xml:space="preserve">Ley de Transparencia y Acceso a la Información Pública del Estado de México y Municipios </w:t>
      </w:r>
      <w:r w:rsidRPr="003B5C0E">
        <w:rPr>
          <w:rFonts w:ascii="Palatino Linotype" w:hAnsi="Palatino Linotype" w:cs="Arial"/>
          <w:lang w:val="es-ES" w:eastAsia="es-ES"/>
        </w:rPr>
        <w:t xml:space="preserve">se turnó a la </w:t>
      </w:r>
      <w:r w:rsidRPr="003B5C0E">
        <w:rPr>
          <w:rFonts w:ascii="Palatino Linotype" w:hAnsi="Palatino Linotype" w:cs="Arial"/>
          <w:b/>
          <w:lang w:val="es-ES" w:eastAsia="es-ES"/>
        </w:rPr>
        <w:t xml:space="preserve">Comisionada María del Rosario Mejía Ayala, </w:t>
      </w:r>
      <w:r w:rsidRPr="003B5C0E">
        <w:rPr>
          <w:rFonts w:ascii="Palatino Linotype" w:hAnsi="Palatino Linotype" w:cs="Arial"/>
          <w:lang w:val="es-ES" w:eastAsia="es-ES"/>
        </w:rPr>
        <w:t xml:space="preserve">con el objeto de </w:t>
      </w:r>
      <w:r w:rsidRPr="003B5C0E">
        <w:rPr>
          <w:rFonts w:ascii="Palatino Linotype" w:hAnsi="Palatino Linotype" w:cs="Arial"/>
          <w:lang w:eastAsia="es-ES"/>
        </w:rPr>
        <w:t xml:space="preserve">su análisis. </w:t>
      </w:r>
    </w:p>
    <w:p w14:paraId="21CAFB9A" w14:textId="77777777" w:rsidR="00AE4B84" w:rsidRPr="003B5C0E" w:rsidRDefault="00AE4B84" w:rsidP="00AE4B84">
      <w:pPr>
        <w:spacing w:before="240" w:after="240" w:line="360" w:lineRule="auto"/>
        <w:contextualSpacing/>
        <w:jc w:val="both"/>
        <w:rPr>
          <w:rFonts w:ascii="Palatino Linotype" w:hAnsi="Palatino Linotype" w:cs="Arial"/>
          <w:i/>
          <w:lang w:val="es-ES_tradnl"/>
        </w:rPr>
      </w:pPr>
    </w:p>
    <w:p w14:paraId="03230064" w14:textId="77777777" w:rsidR="00AE4B84" w:rsidRPr="003B5C0E"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3B5C0E">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veintitrés (23) de noviembre de dos mil veintiuno, puso a disposición de las partes el expediente electrónico </w:t>
      </w:r>
      <w:r w:rsidRPr="003B5C0E">
        <w:rPr>
          <w:rFonts w:ascii="Palatino Linotype" w:eastAsia="Calibri" w:hAnsi="Palatino Linotype" w:cs="Arial"/>
          <w:lang w:val="es-ES_tradnl" w:eastAsia="es-ES"/>
        </w:rPr>
        <w:t xml:space="preserve">vía </w:t>
      </w:r>
      <w:r w:rsidRPr="003B5C0E">
        <w:rPr>
          <w:rFonts w:ascii="Palatino Linotype" w:eastAsia="Calibri" w:hAnsi="Palatino Linotype" w:cs="Arial"/>
          <w:lang w:val="es-ES" w:eastAsia="es-ES"/>
        </w:rPr>
        <w:t>Sistema de Acceso a la Información Mexiquense (</w:t>
      </w:r>
      <w:r w:rsidRPr="003B5C0E">
        <w:rPr>
          <w:rFonts w:ascii="Palatino Linotype" w:eastAsia="Calibri" w:hAnsi="Palatino Linotype" w:cs="Arial"/>
          <w:b/>
          <w:lang w:val="es-ES" w:eastAsia="es-ES"/>
        </w:rPr>
        <w:t xml:space="preserve">SAIMEX) </w:t>
      </w:r>
      <w:r w:rsidRPr="003B5C0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3B5C0E">
        <w:rPr>
          <w:rFonts w:ascii="Palatino Linotype" w:eastAsia="Calibri" w:hAnsi="Palatino Linotype" w:cs="Arial"/>
          <w:b/>
          <w:lang w:val="es-ES" w:eastAsia="es-ES"/>
        </w:rPr>
        <w:t>SUJETO OBLIGADO</w:t>
      </w:r>
      <w:r w:rsidRPr="003B5C0E">
        <w:rPr>
          <w:rFonts w:ascii="Palatino Linotype" w:eastAsia="Calibri" w:hAnsi="Palatino Linotype" w:cs="Arial"/>
          <w:lang w:val="es-ES" w:eastAsia="es-ES"/>
        </w:rPr>
        <w:t xml:space="preserve"> presentará el Informe Justificado procedente, situación que no ocurrió por las partes interesadas.</w:t>
      </w:r>
    </w:p>
    <w:p w14:paraId="70D2ADB4" w14:textId="77777777" w:rsidR="00AE4B84" w:rsidRPr="003B5C0E" w:rsidRDefault="00AE4B84" w:rsidP="00AE4B84">
      <w:pPr>
        <w:rPr>
          <w:rFonts w:ascii="Palatino Linotype" w:eastAsia="Calibri" w:hAnsi="Palatino Linotype" w:cs="Arial"/>
        </w:rPr>
      </w:pPr>
    </w:p>
    <w:p w14:paraId="5D5EC721" w14:textId="77777777" w:rsidR="00AE4B84" w:rsidRPr="003B5C0E"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3B5C0E">
        <w:rPr>
          <w:rFonts w:ascii="Palatino Linotype" w:hAnsi="Palatino Linotype"/>
          <w:lang w:eastAsia="es-ES"/>
        </w:rPr>
        <w:t>El Comisionado Ponente decretó el cierre de instrucción</w:t>
      </w:r>
      <w:r w:rsidRPr="003B5C0E">
        <w:rPr>
          <w:rFonts w:ascii="Palatino Linotype" w:hAnsi="Palatino Linotype" w:cs="Arial"/>
          <w:lang w:eastAsia="es-ES"/>
        </w:rPr>
        <w:t xml:space="preserve"> </w:t>
      </w:r>
      <w:r w:rsidRPr="003B5C0E">
        <w:rPr>
          <w:rFonts w:ascii="Palatino Linotype" w:hAnsi="Palatino Linotype"/>
          <w:lang w:eastAsia="es-ES"/>
        </w:rPr>
        <w:t xml:space="preserve">mediante acuerdo de fecha seis (06) de diciembre de la presente anualidad, </w:t>
      </w:r>
      <w:r w:rsidRPr="003B5C0E">
        <w:rPr>
          <w:rFonts w:ascii="Palatino Linotype" w:hAnsi="Palatino Linotype" w:cs="Arial"/>
          <w:lang w:eastAsia="es-ES"/>
        </w:rPr>
        <w:t>por lo que, ordenó turnar el expediente a resolución, misma que ahora se pronuncia:</w:t>
      </w:r>
    </w:p>
    <w:p w14:paraId="180A2DC2" w14:textId="77777777" w:rsidR="00AE4B84" w:rsidRPr="003B5C0E" w:rsidRDefault="00AE4B84" w:rsidP="00AE4B84">
      <w:pPr>
        <w:spacing w:before="240" w:after="240" w:line="360" w:lineRule="auto"/>
        <w:contextualSpacing/>
        <w:jc w:val="both"/>
        <w:rPr>
          <w:rFonts w:ascii="Palatino Linotype" w:hAnsi="Palatino Linotype" w:cs="Arial"/>
        </w:rPr>
      </w:pPr>
    </w:p>
    <w:p w14:paraId="598A2D1D" w14:textId="77777777" w:rsidR="00253ED9" w:rsidRPr="003B5C0E" w:rsidRDefault="00253ED9" w:rsidP="00AE4B84">
      <w:pPr>
        <w:spacing w:before="240" w:after="240" w:line="360" w:lineRule="auto"/>
        <w:ind w:left="360"/>
        <w:contextualSpacing/>
        <w:jc w:val="both"/>
        <w:rPr>
          <w:rFonts w:ascii="Palatino Linotype" w:hAnsi="Palatino Linotype" w:cs="Arial"/>
        </w:rPr>
      </w:pPr>
    </w:p>
    <w:p w14:paraId="24F18FDF" w14:textId="77777777" w:rsidR="00AE4B84" w:rsidRPr="003B5C0E" w:rsidRDefault="00AE4B84" w:rsidP="00AE4B84">
      <w:pPr>
        <w:spacing w:before="240" w:after="240" w:line="360" w:lineRule="auto"/>
        <w:ind w:left="360"/>
        <w:contextualSpacing/>
        <w:jc w:val="center"/>
        <w:outlineLvl w:val="0"/>
        <w:rPr>
          <w:rFonts w:ascii="Palatino Linotype" w:hAnsi="Palatino Linotype" w:cs="Arial"/>
          <w:b/>
        </w:rPr>
      </w:pPr>
      <w:bookmarkStart w:id="4" w:name="_Toc29544439"/>
      <w:r w:rsidRPr="003B5C0E">
        <w:rPr>
          <w:rFonts w:ascii="Palatino Linotype" w:hAnsi="Palatino Linotype" w:cs="Arial"/>
          <w:b/>
          <w:lang w:eastAsia="es-ES"/>
        </w:rPr>
        <w:lastRenderedPageBreak/>
        <w:t>CONSIDERANDO</w:t>
      </w:r>
      <w:bookmarkEnd w:id="4"/>
    </w:p>
    <w:p w14:paraId="62292BC9" w14:textId="77777777" w:rsidR="00AE4B84" w:rsidRPr="003B5C0E" w:rsidRDefault="00AE4B84" w:rsidP="00AE4B84">
      <w:pPr>
        <w:spacing w:before="240" w:after="240" w:line="360" w:lineRule="auto"/>
        <w:ind w:left="360"/>
        <w:contextualSpacing/>
        <w:jc w:val="center"/>
        <w:rPr>
          <w:rFonts w:ascii="Palatino Linotype" w:hAnsi="Palatino Linotype" w:cs="Arial"/>
          <w:b/>
        </w:rPr>
      </w:pPr>
    </w:p>
    <w:p w14:paraId="6081ACB0" w14:textId="77777777" w:rsidR="00AE4B84" w:rsidRPr="003B5C0E"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5" w:name="_Toc29544440"/>
      <w:r w:rsidRPr="003B5C0E">
        <w:rPr>
          <w:rFonts w:ascii="Palatino Linotype" w:eastAsia="MS Gothic" w:hAnsi="Palatino Linotype" w:cs="Arial"/>
          <w:b/>
          <w:color w:val="000000"/>
          <w:lang w:val="es-ES" w:eastAsia="es-ES"/>
        </w:rPr>
        <w:t>PRIMERO. De la competencia.</w:t>
      </w:r>
      <w:bookmarkEnd w:id="5"/>
      <w:r w:rsidRPr="003B5C0E">
        <w:rPr>
          <w:rFonts w:ascii="Palatino Linotype" w:eastAsia="MS Gothic" w:hAnsi="Palatino Linotype" w:cs="Arial"/>
          <w:b/>
          <w:color w:val="000000"/>
          <w:lang w:val="es-ES" w:eastAsia="es-ES"/>
        </w:rPr>
        <w:t xml:space="preserve"> </w:t>
      </w:r>
    </w:p>
    <w:p w14:paraId="69CAC0A4" w14:textId="77777777" w:rsidR="00AE4B84" w:rsidRPr="003B5C0E" w:rsidRDefault="00AE4B84" w:rsidP="00AE4B84">
      <w:pPr>
        <w:keepNext/>
        <w:keepLines/>
        <w:spacing w:before="240" w:line="360" w:lineRule="auto"/>
        <w:outlineLvl w:val="0"/>
        <w:rPr>
          <w:rFonts w:ascii="Palatino Linotype" w:eastAsia="MS Gothic" w:hAnsi="Palatino Linotype" w:cs="Arial"/>
          <w:b/>
          <w:color w:val="000000"/>
        </w:rPr>
      </w:pPr>
    </w:p>
    <w:p w14:paraId="224D3237" w14:textId="77777777" w:rsidR="00AE4B84" w:rsidRPr="00947DF6" w:rsidRDefault="00AE4B84"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947DF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47DF6">
        <w:rPr>
          <w:rFonts w:ascii="Palatino Linotype" w:eastAsia="Calibri" w:hAnsi="Palatino Linotype"/>
          <w:b/>
          <w:lang w:val="es-ES" w:eastAsia="es-ES"/>
        </w:rPr>
        <w:t>Constitución Política de los Estados Unidos Mexicanos</w:t>
      </w:r>
      <w:r w:rsidRPr="00947DF6">
        <w:rPr>
          <w:rFonts w:ascii="Palatino Linotype" w:eastAsia="Calibri" w:hAnsi="Palatino Linotype"/>
          <w:lang w:val="es-ES" w:eastAsia="es-ES"/>
        </w:rPr>
        <w:t xml:space="preserve">; 5, </w:t>
      </w:r>
      <w:r w:rsidRPr="00947DF6">
        <w:rPr>
          <w:rFonts w:ascii="Palatino Linotype" w:eastAsia="Calibri" w:hAnsi="Palatino Linotype"/>
          <w:lang w:eastAsia="es-ES"/>
        </w:rPr>
        <w:t xml:space="preserve">párrafos trigésimo, trigésimo primero y trigésimo segundo, fracciones I, II, III, IV y V de la </w:t>
      </w:r>
      <w:r w:rsidRPr="00947DF6">
        <w:rPr>
          <w:rFonts w:ascii="Palatino Linotype" w:eastAsia="Calibri" w:hAnsi="Palatino Linotype"/>
          <w:b/>
          <w:lang w:eastAsia="es-ES"/>
        </w:rPr>
        <w:t>Constitución Política del Estado Libre y Soberano de México</w:t>
      </w:r>
      <w:r w:rsidRPr="00947DF6">
        <w:rPr>
          <w:rFonts w:ascii="Palatino Linotype" w:eastAsia="Calibri" w:hAnsi="Palatino Linotype"/>
          <w:b/>
          <w:lang w:val="es-ES" w:eastAsia="es-ES"/>
        </w:rPr>
        <w:t>;</w:t>
      </w:r>
      <w:r w:rsidRPr="00947DF6">
        <w:rPr>
          <w:rFonts w:ascii="Palatino Linotype" w:eastAsia="Calibri" w:hAnsi="Palatino Linotype"/>
          <w:lang w:val="es-ES" w:eastAsia="es-ES"/>
        </w:rPr>
        <w:t xml:space="preserve"> 1, 3 fracción I, 82, 97, 98, 119, 123, 124, 127, 128 y 133 </w:t>
      </w:r>
      <w:r w:rsidRPr="00947DF6">
        <w:rPr>
          <w:rFonts w:ascii="Palatino Linotype" w:eastAsia="Calibri" w:hAnsi="Palatino Linotype"/>
          <w:b/>
          <w:lang w:eastAsia="es-ES"/>
        </w:rPr>
        <w:t>Ley de Protección de Datos Personales en Posesión de Sujetos Obligados del Estado de México y Municipios</w:t>
      </w:r>
      <w:r w:rsidRPr="00947DF6">
        <w:rPr>
          <w:rFonts w:ascii="Palatino Linotype" w:eastAsia="Calibri" w:hAnsi="Palatino Linotype"/>
          <w:lang w:val="es-ES" w:eastAsia="es-ES"/>
        </w:rPr>
        <w:t xml:space="preserve">; y 10, 7, 9 fracciones I y XXIV, y 11 del </w:t>
      </w:r>
      <w:r w:rsidRPr="00947DF6">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068C2B45"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4A64ADE3" w14:textId="77777777" w:rsidR="00AE4B84" w:rsidRPr="003B5C0E" w:rsidRDefault="00AE4B84" w:rsidP="00AE4B84">
      <w:pPr>
        <w:keepNext/>
        <w:keepLines/>
        <w:spacing w:before="240" w:line="360" w:lineRule="auto"/>
        <w:outlineLvl w:val="0"/>
        <w:rPr>
          <w:rFonts w:ascii="Palatino Linotype" w:eastAsia="MS Gothic" w:hAnsi="Palatino Linotype"/>
          <w:b/>
          <w:color w:val="000000"/>
        </w:rPr>
      </w:pPr>
      <w:bookmarkStart w:id="6" w:name="_Toc29544441"/>
      <w:r w:rsidRPr="003B5C0E">
        <w:rPr>
          <w:rFonts w:ascii="Palatino Linotype" w:eastAsia="MS Gothic" w:hAnsi="Palatino Linotype"/>
          <w:b/>
          <w:color w:val="000000"/>
          <w:lang w:val="es-ES" w:eastAsia="es-ES"/>
        </w:rPr>
        <w:t>SEGUNDO. De la oportunidad y procedencia</w:t>
      </w:r>
      <w:bookmarkEnd w:id="6"/>
    </w:p>
    <w:p w14:paraId="136FC3AC" w14:textId="77777777" w:rsidR="00AE4B84" w:rsidRPr="003B5C0E" w:rsidRDefault="00AE4B84" w:rsidP="00AE4B84"/>
    <w:p w14:paraId="41B247AB" w14:textId="77777777" w:rsidR="00AE4B84" w:rsidRPr="003B5C0E" w:rsidRDefault="00AE4B84" w:rsidP="00AE4B84">
      <w:pPr>
        <w:tabs>
          <w:tab w:val="left" w:pos="426"/>
        </w:tabs>
        <w:spacing w:before="240" w:after="240" w:line="360" w:lineRule="auto"/>
        <w:contextualSpacing/>
        <w:jc w:val="both"/>
        <w:rPr>
          <w:rFonts w:ascii="Palatino Linotype" w:hAnsi="Palatino Linotype"/>
          <w:b/>
          <w:color w:val="000000"/>
          <w:lang w:val="es-ES_tradnl"/>
        </w:rPr>
      </w:pPr>
    </w:p>
    <w:p w14:paraId="6F744F13" w14:textId="77777777" w:rsidR="00AE4B84" w:rsidRPr="003B5C0E" w:rsidRDefault="00AE4B84" w:rsidP="00AE4B84">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3B5C0E">
        <w:rPr>
          <w:rFonts w:ascii="Palatino Linotype" w:hAnsi="Palatino Linotype"/>
          <w:color w:val="000000"/>
          <w:lang w:eastAsia="es-ES"/>
        </w:rPr>
        <w:t xml:space="preserve">El medio de impugnación fue presentado a través del </w:t>
      </w:r>
      <w:r w:rsidRPr="003B5C0E">
        <w:rPr>
          <w:rFonts w:ascii="Palatino Linotype" w:hAnsi="Palatino Linotype"/>
          <w:b/>
          <w:color w:val="000000"/>
          <w:lang w:eastAsia="es-ES"/>
        </w:rPr>
        <w:t>SAIMEX,</w:t>
      </w:r>
      <w:r w:rsidRPr="003B5C0E">
        <w:rPr>
          <w:rFonts w:ascii="Palatino Linotype" w:hAnsi="Palatino Linotype"/>
          <w:color w:val="000000"/>
          <w:lang w:eastAsia="es-ES"/>
        </w:rPr>
        <w:t xml:space="preserve"> en el formato previamente aprobado para tal efecto, s</w:t>
      </w:r>
      <w:r w:rsidRPr="003B5C0E">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3B5C0E">
        <w:rPr>
          <w:rFonts w:ascii="Palatino Linotype" w:hAnsi="Palatino Linotype" w:cs="Arial"/>
          <w:u w:val="single"/>
          <w:lang w:eastAsia="es-ES"/>
        </w:rPr>
        <w:t>fuera del plazo</w:t>
      </w:r>
      <w:r w:rsidRPr="003B5C0E">
        <w:rPr>
          <w:rFonts w:ascii="Palatino Linotype" w:hAnsi="Palatino Linotype" w:cs="Arial"/>
          <w:lang w:eastAsia="es-ES"/>
        </w:rPr>
        <w:t xml:space="preserve"> de quince días hábiles </w:t>
      </w:r>
      <w:r w:rsidRPr="003B5C0E">
        <w:rPr>
          <w:rFonts w:ascii="Palatino Linotype" w:hAnsi="Palatino Linotype"/>
          <w:lang w:eastAsia="es-ES"/>
        </w:rPr>
        <w:t>contados</w:t>
      </w:r>
      <w:r w:rsidRPr="003B5C0E">
        <w:rPr>
          <w:rFonts w:ascii="Palatino Linotype" w:hAnsi="Palatino Linotype" w:cs="Arial"/>
          <w:lang w:eastAsia="es-ES"/>
        </w:rPr>
        <w:t xml:space="preserve"> a partir del día siguiente al que </w:t>
      </w:r>
      <w:r w:rsidRPr="003B5C0E">
        <w:rPr>
          <w:rFonts w:ascii="Palatino Linotype" w:hAnsi="Palatino Linotype" w:cs="Arial"/>
          <w:bCs/>
          <w:lang w:eastAsia="es-ES"/>
        </w:rPr>
        <w:t>la</w:t>
      </w:r>
      <w:r w:rsidRPr="003B5C0E">
        <w:rPr>
          <w:rFonts w:ascii="Palatino Linotype" w:hAnsi="Palatino Linotype" w:cs="Arial"/>
          <w:b/>
          <w:bCs/>
          <w:lang w:eastAsia="es-ES"/>
        </w:rPr>
        <w:t xml:space="preserve"> RECURRENTE </w:t>
      </w:r>
      <w:r w:rsidRPr="003B5C0E">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C0A7194" w14:textId="77777777" w:rsidR="00AE4B84" w:rsidRPr="003B5C0E" w:rsidRDefault="00AE4B84" w:rsidP="00AE4B84">
      <w:pPr>
        <w:spacing w:before="120" w:after="120" w:line="360" w:lineRule="auto"/>
        <w:ind w:left="709" w:right="709"/>
        <w:jc w:val="both"/>
        <w:rPr>
          <w:rFonts w:ascii="Palatino Linotype" w:hAnsi="Palatino Linotype" w:cs="Arial"/>
          <w:i/>
        </w:rPr>
      </w:pPr>
      <w:r w:rsidRPr="003B5C0E">
        <w:rPr>
          <w:rFonts w:ascii="Palatino Linotype" w:hAnsi="Palatino Linotype" w:cs="Arial"/>
          <w:i/>
          <w:lang w:eastAsia="es-ES"/>
        </w:rPr>
        <w:lastRenderedPageBreak/>
        <w:t>“</w:t>
      </w:r>
      <w:r w:rsidRPr="003B5C0E">
        <w:rPr>
          <w:rFonts w:ascii="Palatino Linotype" w:hAnsi="Palatino Linotype" w:cs="Arial"/>
          <w:b/>
          <w:i/>
          <w:lang w:eastAsia="es-ES"/>
        </w:rPr>
        <w:t>Artículo 178.</w:t>
      </w:r>
      <w:r w:rsidRPr="003B5C0E">
        <w:rPr>
          <w:rFonts w:ascii="Palatino Linotype" w:hAnsi="Palatino Linotype" w:cs="Arial"/>
          <w:i/>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7B42757" w14:textId="77777777" w:rsidR="00AE4B84" w:rsidRPr="003B5C0E" w:rsidRDefault="00AE4B84" w:rsidP="00AE4B84">
      <w:pPr>
        <w:spacing w:before="120" w:after="120" w:line="360" w:lineRule="auto"/>
        <w:ind w:left="709" w:right="709"/>
        <w:jc w:val="both"/>
        <w:rPr>
          <w:rFonts w:ascii="Palatino Linotype" w:hAnsi="Palatino Linotype" w:cs="Arial"/>
          <w:i/>
        </w:rPr>
      </w:pPr>
      <w:r w:rsidRPr="003B5C0E">
        <w:rPr>
          <w:rFonts w:ascii="Palatino Linotype" w:hAnsi="Palatino Linotype" w:cs="Arial"/>
          <w:i/>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55EFA5" w14:textId="77777777" w:rsidR="00AE4B84" w:rsidRPr="003B5C0E" w:rsidRDefault="00AE4B84" w:rsidP="00AE4B84">
      <w:pPr>
        <w:spacing w:before="120" w:after="120" w:line="360" w:lineRule="auto"/>
        <w:ind w:left="709" w:right="709"/>
        <w:jc w:val="both"/>
        <w:rPr>
          <w:rFonts w:ascii="Palatino Linotype" w:hAnsi="Palatino Linotype" w:cs="Arial"/>
          <w:i/>
        </w:rPr>
      </w:pPr>
      <w:r w:rsidRPr="003B5C0E">
        <w:rPr>
          <w:rFonts w:ascii="Palatino Linotype" w:hAnsi="Palatino Linotype" w:cs="Arial"/>
          <w:i/>
          <w:lang w:eastAsia="es-ES"/>
        </w:rPr>
        <w:t xml:space="preserve">En el caso de que se interponga ante la Unidad de Transparencia, ésta deberá remitir el recurso de revisión al Instituto a más tardar al día </w:t>
      </w:r>
      <w:r w:rsidRPr="003B5C0E">
        <w:rPr>
          <w:rFonts w:ascii="Palatino Linotype" w:hAnsi="Palatino Linotype" w:cs="Arial"/>
          <w:i/>
        </w:rPr>
        <w:t>siguiente</w:t>
      </w:r>
      <w:r w:rsidRPr="003B5C0E">
        <w:rPr>
          <w:rFonts w:ascii="Palatino Linotype" w:hAnsi="Palatino Linotype" w:cs="Arial"/>
          <w:i/>
          <w:lang w:eastAsia="es-ES"/>
        </w:rPr>
        <w:t xml:space="preserve"> de haberlo recibido.”</w:t>
      </w:r>
    </w:p>
    <w:p w14:paraId="7CD7923C"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75120D64" w14:textId="77777777" w:rsidR="00AE4B84" w:rsidRPr="00253ED9"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eastAsia="es-ES"/>
        </w:rPr>
        <w:t xml:space="preserve">En esa tesitura, atendiendo  que </w:t>
      </w:r>
      <w:r w:rsidRPr="003B5C0E">
        <w:rPr>
          <w:rFonts w:ascii="Palatino Linotype" w:hAnsi="Palatino Linotype" w:cs="Arial"/>
          <w:b/>
          <w:lang w:eastAsia="es-ES"/>
        </w:rPr>
        <w:t>el SUJETO OBLIGADO</w:t>
      </w:r>
      <w:r w:rsidRPr="003B5C0E">
        <w:rPr>
          <w:rFonts w:ascii="Palatino Linotype" w:hAnsi="Palatino Linotype" w:cs="Arial"/>
          <w:lang w:eastAsia="es-ES"/>
        </w:rPr>
        <w:t xml:space="preserve"> notificó la respuesta a la solicitud de información pública el día </w:t>
      </w:r>
      <w:r w:rsidRPr="003B5C0E">
        <w:rPr>
          <w:rFonts w:ascii="Palatino Linotype" w:hAnsi="Palatino Linotype" w:cs="Arial"/>
          <w:b/>
          <w:lang w:eastAsia="es-ES"/>
        </w:rPr>
        <w:t>dieciocho (18) de octubre de dos mil veintiuno</w:t>
      </w:r>
      <w:r w:rsidRPr="003B5C0E">
        <w:rPr>
          <w:rFonts w:ascii="Palatino Linotype" w:hAnsi="Palatino Linotype" w:cs="Arial"/>
          <w:lang w:eastAsia="es-ES"/>
        </w:rPr>
        <w:t>, el plazo de quince días hábiles que el artículo 178 de la Ley de la materia otorga a la</w:t>
      </w:r>
      <w:r w:rsidRPr="003B5C0E">
        <w:rPr>
          <w:rFonts w:ascii="Palatino Linotype" w:hAnsi="Palatino Linotype" w:cs="Arial"/>
          <w:b/>
          <w:lang w:eastAsia="es-ES"/>
        </w:rPr>
        <w:t xml:space="preserve"> RECURRENTE </w:t>
      </w:r>
      <w:r w:rsidRPr="003B5C0E">
        <w:rPr>
          <w:rFonts w:ascii="Palatino Linotype" w:hAnsi="Palatino Linotype" w:cs="Arial"/>
          <w:lang w:eastAsia="es-ES"/>
        </w:rPr>
        <w:t xml:space="preserve">para presentar el recurso de revisión, transcurrió del </w:t>
      </w:r>
      <w:r w:rsidRPr="003B5C0E">
        <w:rPr>
          <w:rFonts w:ascii="Palatino Linotype" w:hAnsi="Palatino Linotype" w:cs="Arial"/>
          <w:b/>
          <w:lang w:eastAsia="es-ES"/>
        </w:rPr>
        <w:t>diecinueve (19) de octubre al nueve (09) de noviembre de dos mil veintiuno</w:t>
      </w:r>
      <w:r w:rsidRPr="003B5C0E">
        <w:rPr>
          <w:rFonts w:ascii="Palatino Linotype" w:hAnsi="Palatino Linotype" w:cs="Arial"/>
          <w:lang w:eastAsia="es-ES"/>
        </w:rPr>
        <w:t xml:space="preserve">, sin contemplar en el cómputo tanto de los días veintitrés (23), veinticuatro (24), treinta (30) y treinta y uno (31) de octubre y seis (06) y siete (07) de noviembre de dos mil veintiuno, por corresponder a sábados y domingos, considerados como días inhábiles; y el día dos (02) de noviembre de dos mil veintiuno,  considerado como suspensión de labores en términos del artículo 3 fracción X de la </w:t>
      </w:r>
      <w:r w:rsidRPr="003B5C0E">
        <w:rPr>
          <w:rFonts w:ascii="Palatino Linotype" w:hAnsi="Palatino Linotype"/>
          <w:lang w:eastAsia="es-ES"/>
        </w:rPr>
        <w:t>Ley de Transparencia y Acceso a la Información Pública del Estado de México y Municipios.</w:t>
      </w:r>
    </w:p>
    <w:p w14:paraId="5098B06F"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eastAsia="es-ES"/>
        </w:rPr>
        <w:lastRenderedPageBreak/>
        <w:t>En ese tenor, si el recurso de revisión que nos ocupa, se interpuso el día</w:t>
      </w:r>
      <w:r w:rsidRPr="003B5C0E">
        <w:rPr>
          <w:rFonts w:ascii="Palatino Linotype" w:hAnsi="Palatino Linotype" w:cs="Arial"/>
          <w:b/>
          <w:lang w:eastAsia="es-ES"/>
        </w:rPr>
        <w:t xml:space="preserve"> dieciocho (18) de noviembre de dos mil veintiuno</w:t>
      </w:r>
      <w:r w:rsidRPr="003B5C0E">
        <w:rPr>
          <w:rFonts w:ascii="Palatino Linotype" w:hAnsi="Palatino Linotype" w:cs="Arial"/>
          <w:lang w:eastAsia="es-ES"/>
        </w:rPr>
        <w:t xml:space="preserve">, se encuentra </w:t>
      </w:r>
      <w:r w:rsidRPr="003B5C0E">
        <w:rPr>
          <w:rFonts w:ascii="Palatino Linotype" w:hAnsi="Palatino Linotype" w:cs="Arial"/>
          <w:b/>
          <w:u w:val="single"/>
          <w:lang w:eastAsia="es-ES"/>
        </w:rPr>
        <w:t>fuera</w:t>
      </w:r>
      <w:r w:rsidRPr="003B5C0E">
        <w:rPr>
          <w:rFonts w:ascii="Palatino Linotype" w:hAnsi="Palatino Linotype" w:cs="Arial"/>
          <w:lang w:eastAsia="es-ES"/>
        </w:rPr>
        <w:t xml:space="preserve"> de los márgenes temporales previstos en el precepto legal señalado en el artículo 178 </w:t>
      </w:r>
      <w:r w:rsidRPr="003B5C0E">
        <w:rPr>
          <w:rFonts w:ascii="Palatino Linotype" w:hAnsi="Palatino Linotype"/>
          <w:lang w:eastAsia="es-ES_tradnl"/>
        </w:rPr>
        <w:t xml:space="preserve">de la Ley de Transparencia y Acceso a la Información Pública del Estado de México y Municipios </w:t>
      </w:r>
      <w:r w:rsidRPr="003B5C0E">
        <w:rPr>
          <w:rFonts w:ascii="Palatino Linotype" w:hAnsi="Palatino Linotype" w:cs="Arial"/>
          <w:lang w:eastAsia="es-ES"/>
        </w:rPr>
        <w:t xml:space="preserve">y, por tanto, su interposición </w:t>
      </w:r>
      <w:r w:rsidRPr="003B5C0E">
        <w:rPr>
          <w:rFonts w:ascii="Palatino Linotype" w:hAnsi="Palatino Linotype" w:cs="Arial"/>
          <w:b/>
          <w:lang w:eastAsia="es-ES"/>
        </w:rPr>
        <w:t>no se considera oportuna</w:t>
      </w:r>
      <w:r w:rsidRPr="003B5C0E">
        <w:rPr>
          <w:rFonts w:ascii="Palatino Linotype" w:hAnsi="Palatino Linotype" w:cs="Arial"/>
          <w:lang w:eastAsia="es-ES"/>
        </w:rPr>
        <w:t xml:space="preserve">, al presentarse seis (06) días hábiles de posterioridad a la fecha de fenecimiento del plazo otorgado para tales efectos. </w:t>
      </w:r>
    </w:p>
    <w:p w14:paraId="0CB57CF3" w14:textId="77777777" w:rsidR="00AE4B84" w:rsidRPr="003B5C0E" w:rsidRDefault="00AE4B84" w:rsidP="00AE4B84">
      <w:pPr>
        <w:tabs>
          <w:tab w:val="num" w:pos="0"/>
        </w:tabs>
        <w:spacing w:before="240" w:after="240" w:line="360" w:lineRule="auto"/>
        <w:contextualSpacing/>
        <w:jc w:val="both"/>
        <w:rPr>
          <w:rFonts w:ascii="Palatino Linotype" w:hAnsi="Palatino Linotype"/>
          <w:color w:val="000000"/>
        </w:rPr>
      </w:pPr>
    </w:p>
    <w:p w14:paraId="29873BF6"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s="Arial"/>
          <w:lang w:val="es-ES_tradnl" w:eastAsia="es-ES"/>
        </w:rPr>
        <w:t>En atención a las consideraciones anteriores, esta Ponencia Resolutoria</w:t>
      </w:r>
      <w:r w:rsidRPr="003B5C0E">
        <w:rPr>
          <w:rFonts w:ascii="Palatino Linotype" w:hAnsi="Palatino Linotype"/>
          <w:color w:val="000000"/>
          <w:lang w:eastAsia="es-ES"/>
        </w:rPr>
        <w:t xml:space="preserve"> advierte que en el presente caso, se actualiza la hipótesis prevista en </w:t>
      </w:r>
      <w:r w:rsidRPr="003B5C0E">
        <w:rPr>
          <w:rFonts w:ascii="Palatino Linotype" w:hAnsi="Palatino Linotype" w:cs="Arial"/>
          <w:lang w:val="es-ES_tradnl" w:eastAsia="es-ES"/>
        </w:rPr>
        <w:t xml:space="preserve">el </w:t>
      </w:r>
      <w:r w:rsidRPr="003B5C0E">
        <w:rPr>
          <w:rFonts w:ascii="Palatino Linotype" w:hAnsi="Palatino Linotype"/>
          <w:color w:val="000000"/>
          <w:lang w:eastAsia="es-ES"/>
        </w:rPr>
        <w:t>artículo 191 fracción I de</w:t>
      </w:r>
      <w:r w:rsidRPr="003B5C0E">
        <w:rPr>
          <w:rFonts w:ascii="Palatino Linotype" w:hAnsi="Palatino Linotype" w:cs="Arial"/>
          <w:lang w:val="es-ES_tradnl" w:eastAsia="es-ES"/>
        </w:rPr>
        <w:t xml:space="preserve"> la </w:t>
      </w:r>
      <w:r w:rsidRPr="003B5C0E">
        <w:rPr>
          <w:rFonts w:ascii="Palatino Linotype" w:hAnsi="Palatino Linotype"/>
          <w:lang w:eastAsia="es-ES"/>
        </w:rPr>
        <w:t xml:space="preserve">Ley de Transparencia y Acceso a la Información Pública del Estado de México y Municipios, </w:t>
      </w:r>
      <w:r w:rsidRPr="003B5C0E">
        <w:rPr>
          <w:rFonts w:ascii="Palatino Linotype" w:hAnsi="Palatino Linotype"/>
          <w:color w:val="000000"/>
          <w:lang w:eastAsia="es-ES"/>
        </w:rPr>
        <w:t xml:space="preserve">que dispone lo siguiente: </w:t>
      </w:r>
    </w:p>
    <w:p w14:paraId="4414235C"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539D55D7" w14:textId="77777777" w:rsidR="00AE4B84" w:rsidRPr="003B5C0E" w:rsidRDefault="00AE4B84" w:rsidP="00AE4B84">
      <w:pPr>
        <w:spacing w:before="120" w:line="360" w:lineRule="auto"/>
        <w:ind w:left="709" w:right="709"/>
        <w:jc w:val="both"/>
        <w:rPr>
          <w:rFonts w:ascii="Palatino Linotype" w:hAnsi="Palatino Linotype" w:cs="Arial"/>
          <w:i/>
        </w:rPr>
      </w:pPr>
      <w:r w:rsidRPr="003B5C0E">
        <w:rPr>
          <w:rFonts w:ascii="Palatino Linotype" w:hAnsi="Palatino Linotype" w:cs="Arial"/>
          <w:i/>
          <w:lang w:eastAsia="es-ES"/>
        </w:rPr>
        <w:t>“</w:t>
      </w:r>
      <w:r w:rsidRPr="003B5C0E">
        <w:rPr>
          <w:rFonts w:ascii="Palatino Linotype" w:hAnsi="Palatino Linotype" w:cs="Arial"/>
          <w:b/>
          <w:i/>
          <w:lang w:eastAsia="es-ES"/>
        </w:rPr>
        <w:t>Artículo 191</w:t>
      </w:r>
      <w:r w:rsidRPr="003B5C0E">
        <w:rPr>
          <w:rFonts w:ascii="Palatino Linotype" w:hAnsi="Palatino Linotype" w:cs="Arial"/>
          <w:i/>
          <w:lang w:eastAsia="es-ES"/>
        </w:rPr>
        <w:t xml:space="preserve">. </w:t>
      </w:r>
      <w:r w:rsidRPr="003B5C0E">
        <w:rPr>
          <w:rFonts w:ascii="Palatino Linotype" w:hAnsi="Palatino Linotype" w:cs="Arial"/>
          <w:b/>
          <w:i/>
          <w:u w:val="single"/>
          <w:lang w:eastAsia="es-ES"/>
        </w:rPr>
        <w:t>El recurso será desechado por improcedente cuando</w:t>
      </w:r>
      <w:r w:rsidRPr="003B5C0E">
        <w:rPr>
          <w:rFonts w:ascii="Palatino Linotype" w:hAnsi="Palatino Linotype" w:cs="Arial"/>
          <w:i/>
          <w:lang w:eastAsia="es-ES"/>
        </w:rPr>
        <w:t xml:space="preserve">: </w:t>
      </w:r>
    </w:p>
    <w:p w14:paraId="55F2F5A4" w14:textId="77777777" w:rsidR="00AE4B84" w:rsidRPr="003B5C0E" w:rsidRDefault="00AE4B84" w:rsidP="00AE4B84">
      <w:pPr>
        <w:spacing w:before="120" w:line="360" w:lineRule="auto"/>
        <w:ind w:left="709" w:right="709"/>
        <w:jc w:val="both"/>
        <w:rPr>
          <w:rFonts w:ascii="Palatino Linotype" w:hAnsi="Palatino Linotype" w:cs="Arial"/>
          <w:i/>
        </w:rPr>
      </w:pPr>
      <w:r w:rsidRPr="003B5C0E">
        <w:rPr>
          <w:rFonts w:ascii="Palatino Linotype" w:hAnsi="Palatino Linotype" w:cs="Arial"/>
          <w:b/>
          <w:i/>
          <w:lang w:eastAsia="es-ES"/>
        </w:rPr>
        <w:t xml:space="preserve">I. </w:t>
      </w:r>
      <w:r w:rsidRPr="003B5C0E">
        <w:rPr>
          <w:rFonts w:ascii="Palatino Linotype" w:hAnsi="Palatino Linotype" w:cs="Arial"/>
          <w:b/>
          <w:i/>
          <w:u w:val="single"/>
          <w:lang w:eastAsia="es-ES"/>
        </w:rPr>
        <w:t>Sea extemporáneo por haber transcurrido el plazo establecido en la presente Ley, a partir de la respuesta</w:t>
      </w:r>
      <w:r w:rsidRPr="003B5C0E">
        <w:rPr>
          <w:rFonts w:ascii="Palatino Linotype" w:hAnsi="Palatino Linotype" w:cs="Arial"/>
          <w:i/>
          <w:lang w:eastAsia="es-ES"/>
        </w:rPr>
        <w:t>;”</w:t>
      </w:r>
    </w:p>
    <w:p w14:paraId="64C67AEE" w14:textId="77777777" w:rsidR="00AE4B84" w:rsidRPr="003B5C0E" w:rsidRDefault="00AE4B84" w:rsidP="00AE4B84">
      <w:pPr>
        <w:spacing w:before="120" w:line="360" w:lineRule="auto"/>
        <w:ind w:left="709" w:right="709"/>
        <w:jc w:val="both"/>
        <w:rPr>
          <w:rFonts w:ascii="Palatino Linotype" w:hAnsi="Palatino Linotype" w:cs="Arial"/>
          <w:lang w:eastAsia="es-ES"/>
        </w:rPr>
      </w:pPr>
      <w:r w:rsidRPr="003B5C0E">
        <w:rPr>
          <w:rFonts w:ascii="Palatino Linotype" w:hAnsi="Palatino Linotype" w:cs="Arial"/>
          <w:lang w:eastAsia="es-ES"/>
        </w:rPr>
        <w:t>(Énfasis añadido)</w:t>
      </w:r>
    </w:p>
    <w:p w14:paraId="2D66DAF2" w14:textId="77777777" w:rsidR="00AE4B84" w:rsidRPr="003B5C0E" w:rsidRDefault="00AE4B84" w:rsidP="00AE4B84">
      <w:pPr>
        <w:spacing w:before="120" w:line="360" w:lineRule="auto"/>
        <w:ind w:left="709" w:right="709"/>
        <w:jc w:val="both"/>
        <w:rPr>
          <w:rFonts w:ascii="Palatino Linotype" w:hAnsi="Palatino Linotype" w:cs="Arial"/>
        </w:rPr>
      </w:pPr>
    </w:p>
    <w:p w14:paraId="5DEA51A0"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la </w:t>
      </w:r>
      <w:r w:rsidRPr="003B5C0E">
        <w:rPr>
          <w:rFonts w:ascii="Palatino Linotype" w:eastAsia="Calibri" w:hAnsi="Palatino Linotype" w:cs="Arial"/>
          <w:b/>
          <w:lang w:eastAsia="es-ES"/>
        </w:rPr>
        <w:t>RECURRENTE</w:t>
      </w:r>
      <w:r w:rsidRPr="003B5C0E">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3B5C0E">
        <w:rPr>
          <w:rFonts w:ascii="Palatino Linotype" w:hAnsi="Palatino Linotype" w:cs="Arial"/>
          <w:lang w:eastAsia="es-ES"/>
        </w:rPr>
        <w:t xml:space="preserve">Sirve de apoyo a lo anterior, por analogía la Tesis Jurisprudencial </w:t>
      </w:r>
      <w:r w:rsidRPr="003B5C0E">
        <w:rPr>
          <w:rFonts w:ascii="Palatino Linotype" w:hAnsi="Palatino Linotype" w:cs="Arial"/>
          <w:bCs/>
          <w:lang w:eastAsia="es-ES"/>
        </w:rPr>
        <w:t xml:space="preserve">con número de registro 2011170 de la </w:t>
      </w:r>
      <w:r w:rsidRPr="003B5C0E">
        <w:rPr>
          <w:rFonts w:ascii="Palatino Linotype" w:eastAsia="Calibri" w:hAnsi="Palatino Linotype" w:cs="Arial"/>
          <w:lang w:eastAsia="es-ES"/>
        </w:rPr>
        <w:lastRenderedPageBreak/>
        <w:t xml:space="preserve">Décima </w:t>
      </w:r>
      <w:r w:rsidRPr="003B5C0E">
        <w:rPr>
          <w:rFonts w:ascii="Palatino Linotype" w:hAnsi="Palatino Linotype" w:cs="Arial"/>
          <w:bCs/>
          <w:lang w:eastAsia="es-ES"/>
        </w:rPr>
        <w:t xml:space="preserve">Época de la Primera Sala de la Suprema Corte de Justicia de la Nación, publicada en la página 966 del </w:t>
      </w:r>
      <w:r w:rsidRPr="003B5C0E">
        <w:rPr>
          <w:rFonts w:ascii="Palatino Linotype" w:eastAsia="Calibri" w:hAnsi="Palatino Linotype" w:cs="Arial"/>
          <w:lang w:eastAsia="es-ES"/>
        </w:rPr>
        <w:t>Libro 28, Tomo I</w:t>
      </w:r>
      <w:r w:rsidRPr="003B5C0E">
        <w:rPr>
          <w:rFonts w:ascii="Palatino Linotype" w:hAnsi="Palatino Linotype" w:cs="Arial"/>
          <w:bCs/>
          <w:lang w:eastAsia="es-ES"/>
        </w:rPr>
        <w:t xml:space="preserve">, de </w:t>
      </w:r>
      <w:r w:rsidRPr="003B5C0E">
        <w:rPr>
          <w:rFonts w:ascii="Palatino Linotype" w:eastAsia="Calibri" w:hAnsi="Palatino Linotype" w:cs="Arial"/>
          <w:lang w:eastAsia="es-ES"/>
        </w:rPr>
        <w:t>marzo de 2016</w:t>
      </w:r>
      <w:r w:rsidRPr="003B5C0E">
        <w:rPr>
          <w:rFonts w:ascii="Palatino Linotype" w:hAnsi="Palatino Linotype" w:cs="Arial"/>
        </w:rPr>
        <w:t>, del Semanario Judicial de la Federación y su Gaceta, misma que es del tenor</w:t>
      </w:r>
      <w:r w:rsidRPr="003B5C0E">
        <w:rPr>
          <w:rFonts w:ascii="Palatino Linotype" w:hAnsi="Palatino Linotype" w:cs="Arial"/>
          <w:bCs/>
          <w:lang w:eastAsia="es-ES"/>
        </w:rPr>
        <w:t xml:space="preserve"> literal siguiente:</w:t>
      </w:r>
    </w:p>
    <w:p w14:paraId="014A4D8E" w14:textId="77777777" w:rsidR="00AE4B84" w:rsidRPr="003B5C0E" w:rsidRDefault="00AE4B84" w:rsidP="00AE4B84">
      <w:pPr>
        <w:spacing w:line="360" w:lineRule="auto"/>
        <w:ind w:left="567" w:right="616"/>
        <w:jc w:val="both"/>
        <w:rPr>
          <w:rFonts w:ascii="Palatino Linotype" w:hAnsi="Palatino Linotype" w:cs="Arial"/>
          <w:b/>
          <w:i/>
        </w:rPr>
      </w:pPr>
    </w:p>
    <w:p w14:paraId="1A8DFFAE" w14:textId="77777777" w:rsidR="00AE4B84" w:rsidRPr="003B5C0E" w:rsidRDefault="00AE4B84" w:rsidP="00AE4B84">
      <w:pPr>
        <w:spacing w:line="360" w:lineRule="auto"/>
        <w:ind w:left="567" w:right="616"/>
        <w:jc w:val="both"/>
        <w:rPr>
          <w:rFonts w:ascii="Palatino Linotype" w:hAnsi="Palatino Linotype" w:cs="Arial"/>
          <w:b/>
          <w:i/>
        </w:rPr>
      </w:pPr>
      <w:r w:rsidRPr="003B5C0E">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54966770" w14:textId="77777777" w:rsidR="00AE4B84" w:rsidRPr="003B5C0E" w:rsidRDefault="00AE4B84" w:rsidP="00AE4B84">
      <w:pPr>
        <w:spacing w:line="360" w:lineRule="auto"/>
        <w:ind w:left="567" w:right="616" w:firstLine="709"/>
        <w:rPr>
          <w:rFonts w:ascii="Palatino Linotype" w:hAnsi="Palatino Linotype" w:cs="Arial"/>
          <w:i/>
        </w:rPr>
      </w:pPr>
    </w:p>
    <w:p w14:paraId="290B25FE" w14:textId="77777777" w:rsidR="00AE4B84" w:rsidRPr="003B5C0E" w:rsidRDefault="00AE4B84" w:rsidP="00AE4B84">
      <w:pPr>
        <w:spacing w:line="360" w:lineRule="auto"/>
        <w:ind w:left="567" w:right="616"/>
        <w:jc w:val="both"/>
        <w:rPr>
          <w:rFonts w:ascii="Palatino Linotype" w:hAnsi="Palatino Linotype" w:cs="Arial"/>
          <w:i/>
        </w:rPr>
      </w:pPr>
      <w:r w:rsidRPr="003B5C0E">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7" w:history="1">
        <w:r w:rsidRPr="003B5C0E">
          <w:rPr>
            <w:rFonts w:ascii="Palatino Linotype" w:hAnsi="Palatino Linotype" w:cs="Arial"/>
            <w:i/>
            <w:lang w:eastAsia="es-ES"/>
          </w:rPr>
          <w:t>86, párrafo primero, de la Ley de Amparo</w:t>
        </w:r>
      </w:hyperlink>
      <w:r w:rsidRPr="003B5C0E">
        <w:rPr>
          <w:rFonts w:ascii="Palatino Linotype" w:hAnsi="Palatino Linotype" w:cs="Arial"/>
          <w:i/>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8" w:history="1">
        <w:r w:rsidRPr="003B5C0E">
          <w:rPr>
            <w:rFonts w:ascii="Palatino Linotype" w:hAnsi="Palatino Linotype" w:cs="Arial"/>
            <w:i/>
            <w:lang w:eastAsia="es-ES"/>
          </w:rPr>
          <w:t>68 de la Ley de Amparo</w:t>
        </w:r>
      </w:hyperlink>
      <w:r w:rsidRPr="003B5C0E">
        <w:rPr>
          <w:rFonts w:ascii="Palatino Linotype" w:hAnsi="Palatino Linotype" w:cs="Arial"/>
          <w:i/>
          <w:lang w:eastAsia="es-ES"/>
        </w:rPr>
        <w:t xml:space="preserve">, por lo que si al </w:t>
      </w:r>
      <w:r w:rsidRPr="003B5C0E">
        <w:rPr>
          <w:rFonts w:ascii="Palatino Linotype" w:hAnsi="Palatino Linotype" w:cs="Arial"/>
          <w:b/>
          <w:i/>
          <w:lang w:eastAsia="es-ES"/>
        </w:rPr>
        <w:t xml:space="preserve">reexaminar la </w:t>
      </w:r>
      <w:r w:rsidRPr="003B5C0E">
        <w:rPr>
          <w:rFonts w:ascii="Palatino Linotype" w:hAnsi="Palatino Linotype" w:cs="Arial"/>
          <w:b/>
          <w:i/>
          <w:lang w:eastAsia="es-ES"/>
        </w:rPr>
        <w:lastRenderedPageBreak/>
        <w:t xml:space="preserve">temporalidad de la interposición del recurso se advierte que se hizo valer de forma extemporánea, debe proceder su </w:t>
      </w:r>
      <w:proofErr w:type="spellStart"/>
      <w:r w:rsidRPr="003B5C0E">
        <w:rPr>
          <w:rFonts w:ascii="Palatino Linotype" w:hAnsi="Palatino Linotype" w:cs="Arial"/>
          <w:b/>
          <w:i/>
          <w:lang w:eastAsia="es-ES"/>
        </w:rPr>
        <w:t>desechamiento</w:t>
      </w:r>
      <w:proofErr w:type="spellEnd"/>
      <w:r w:rsidRPr="003B5C0E">
        <w:rPr>
          <w:rFonts w:ascii="Palatino Linotype" w:hAnsi="Palatino Linotype" w:cs="Arial"/>
          <w:b/>
          <w:i/>
          <w:lang w:eastAsia="es-ES"/>
        </w:rPr>
        <w:t xml:space="preserve"> por improcedente</w:t>
      </w:r>
      <w:r w:rsidRPr="003B5C0E">
        <w:rPr>
          <w:rFonts w:ascii="Palatino Linotype" w:hAnsi="Palatino Linotype" w:cs="Arial"/>
          <w:i/>
          <w:lang w:eastAsia="es-ES"/>
        </w:rPr>
        <w:t>.</w:t>
      </w:r>
    </w:p>
    <w:p w14:paraId="2BBD4B74" w14:textId="77777777" w:rsidR="00AE4B84" w:rsidRPr="003B5C0E" w:rsidRDefault="00AE4B84" w:rsidP="00AE4B84">
      <w:pPr>
        <w:spacing w:line="360" w:lineRule="auto"/>
        <w:ind w:left="567" w:right="616"/>
        <w:jc w:val="both"/>
        <w:rPr>
          <w:rFonts w:ascii="Palatino Linotype" w:hAnsi="Palatino Linotype" w:cs="Arial"/>
        </w:rPr>
      </w:pPr>
      <w:r w:rsidRPr="003B5C0E">
        <w:rPr>
          <w:rFonts w:ascii="Palatino Linotype" w:hAnsi="Palatino Linotype" w:cs="Arial"/>
          <w:lang w:eastAsia="es-ES"/>
        </w:rPr>
        <w:t>(Énfasis Añadido)</w:t>
      </w:r>
    </w:p>
    <w:p w14:paraId="1804743D"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7DEC0C7E"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hAnsi="Palatino Linotype"/>
          <w:color w:val="000000"/>
          <w:lang w:eastAsia="es-ES"/>
        </w:rPr>
        <w:t xml:space="preserve">En consecuencia, </w:t>
      </w:r>
      <w:r w:rsidRPr="003B5C0E">
        <w:rPr>
          <w:rFonts w:ascii="Palatino Linotype" w:hAnsi="Palatino Linotype"/>
          <w:lang w:eastAsia="es-ES"/>
        </w:rPr>
        <w:t xml:space="preserve">se </w:t>
      </w:r>
      <w:r w:rsidRPr="003B5C0E">
        <w:rPr>
          <w:rFonts w:ascii="Palatino Linotype" w:hAnsi="Palatino Linotype" w:cs="Arial"/>
          <w:lang w:val="es-ES_tradnl" w:eastAsia="es-ES"/>
        </w:rPr>
        <w:t xml:space="preserve">determina </w:t>
      </w:r>
      <w:r w:rsidRPr="003B5C0E">
        <w:rPr>
          <w:rFonts w:ascii="Palatino Linotype" w:hAnsi="Palatino Linotype" w:cs="Arial"/>
          <w:b/>
          <w:lang w:val="es-ES_tradnl" w:eastAsia="es-ES"/>
        </w:rPr>
        <w:t>DESECHAR</w:t>
      </w:r>
      <w:r w:rsidRPr="003B5C0E">
        <w:rPr>
          <w:rFonts w:ascii="Palatino Linotype" w:hAnsi="Palatino Linotype" w:cs="Arial"/>
          <w:lang w:val="es-ES_tradnl" w:eastAsia="es-ES"/>
        </w:rPr>
        <w:t xml:space="preserve"> por improcedente el presente recurso de revisión, al ser interpuesto de manera extemporánea respecto del plazo otorgado </w:t>
      </w:r>
      <w:r w:rsidRPr="003B5C0E">
        <w:rPr>
          <w:rFonts w:ascii="Palatino Linotype" w:hAnsi="Palatino Linotype" w:cs="Arial"/>
          <w:lang w:eastAsia="es-ES"/>
        </w:rPr>
        <w:t>para tales efectos</w:t>
      </w:r>
      <w:r w:rsidRPr="003B5C0E">
        <w:rPr>
          <w:rFonts w:ascii="Palatino Linotype" w:hAnsi="Palatino Linotype"/>
          <w:lang w:eastAsia="es-ES_tradnl"/>
        </w:rPr>
        <w:t xml:space="preserve">, de conformidad con lo señalado en el </w:t>
      </w:r>
      <w:r w:rsidRPr="003B5C0E">
        <w:rPr>
          <w:rFonts w:ascii="Palatino Linotype" w:hAnsi="Palatino Linotype" w:cs="Arial"/>
          <w:lang w:val="es-ES_tradnl" w:eastAsia="es-ES"/>
        </w:rPr>
        <w:t xml:space="preserve">artículo 186 fracción I de la </w:t>
      </w:r>
      <w:r w:rsidRPr="003B5C0E">
        <w:rPr>
          <w:rFonts w:ascii="Palatino Linotype" w:eastAsia="Calibri" w:hAnsi="Palatino Linotype" w:cs="Arial"/>
          <w:lang w:eastAsia="es-ES"/>
        </w:rPr>
        <w:t>Ley de Transparencia y Acceso a la Información Pública del Estado de México y Municipios, mismo que se transcribe a continuación:</w:t>
      </w:r>
    </w:p>
    <w:p w14:paraId="63A830C9"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46648854" w14:textId="77777777" w:rsidR="00AE4B84" w:rsidRPr="003B5C0E" w:rsidRDefault="00AE4B84" w:rsidP="00AE4B84">
      <w:pPr>
        <w:spacing w:before="120" w:line="360" w:lineRule="auto"/>
        <w:ind w:left="709" w:right="709"/>
        <w:jc w:val="both"/>
        <w:rPr>
          <w:rFonts w:ascii="Palatino Linotype" w:hAnsi="Palatino Linotype" w:cs="Arial"/>
          <w:i/>
        </w:rPr>
      </w:pPr>
      <w:r w:rsidRPr="003B5C0E">
        <w:rPr>
          <w:rFonts w:ascii="Palatino Linotype" w:hAnsi="Palatino Linotype" w:cs="Arial"/>
          <w:i/>
          <w:lang w:eastAsia="es-ES"/>
        </w:rPr>
        <w:t>“</w:t>
      </w:r>
      <w:r w:rsidRPr="003B5C0E">
        <w:rPr>
          <w:rFonts w:ascii="Palatino Linotype" w:hAnsi="Palatino Linotype" w:cs="Arial"/>
          <w:b/>
          <w:i/>
          <w:lang w:eastAsia="es-ES"/>
        </w:rPr>
        <w:t>Artículo 186</w:t>
      </w:r>
      <w:r w:rsidRPr="003B5C0E">
        <w:rPr>
          <w:rFonts w:ascii="Palatino Linotype" w:hAnsi="Palatino Linotype" w:cs="Arial"/>
          <w:i/>
          <w:lang w:eastAsia="es-ES"/>
        </w:rPr>
        <w:t xml:space="preserve">. </w:t>
      </w:r>
      <w:r w:rsidRPr="003B5C0E">
        <w:rPr>
          <w:rFonts w:ascii="Palatino Linotype" w:hAnsi="Palatino Linotype" w:cs="Arial"/>
          <w:b/>
          <w:i/>
          <w:u w:val="single"/>
          <w:lang w:eastAsia="es-ES"/>
        </w:rPr>
        <w:t>Las resoluciones del Instituto podrán</w:t>
      </w:r>
      <w:r w:rsidRPr="003B5C0E">
        <w:rPr>
          <w:rFonts w:ascii="Palatino Linotype" w:hAnsi="Palatino Linotype" w:cs="Arial"/>
          <w:i/>
          <w:lang w:eastAsia="es-ES"/>
        </w:rPr>
        <w:t xml:space="preserve">: </w:t>
      </w:r>
    </w:p>
    <w:p w14:paraId="19CEDB48" w14:textId="77777777" w:rsidR="00AE4B84" w:rsidRPr="003B5C0E" w:rsidRDefault="00AE4B84" w:rsidP="00AE4B84">
      <w:pPr>
        <w:spacing w:before="120" w:line="360" w:lineRule="auto"/>
        <w:ind w:left="709" w:right="709"/>
        <w:jc w:val="both"/>
        <w:rPr>
          <w:rFonts w:ascii="Palatino Linotype" w:hAnsi="Palatino Linotype" w:cs="Arial"/>
          <w:i/>
        </w:rPr>
      </w:pPr>
      <w:r w:rsidRPr="003B5C0E">
        <w:rPr>
          <w:rFonts w:ascii="Palatino Linotype" w:hAnsi="Palatino Linotype" w:cs="Arial"/>
          <w:b/>
          <w:i/>
          <w:lang w:eastAsia="es-ES"/>
        </w:rPr>
        <w:t xml:space="preserve">I. </w:t>
      </w:r>
      <w:r w:rsidRPr="003B5C0E">
        <w:rPr>
          <w:rFonts w:ascii="Palatino Linotype" w:hAnsi="Palatino Linotype" w:cs="Arial"/>
          <w:b/>
          <w:i/>
          <w:u w:val="single"/>
          <w:lang w:eastAsia="es-ES"/>
        </w:rPr>
        <w:t>Desechar</w:t>
      </w:r>
      <w:r w:rsidRPr="003B5C0E">
        <w:rPr>
          <w:rFonts w:ascii="Palatino Linotype" w:hAnsi="Palatino Linotype" w:cs="Arial"/>
          <w:i/>
          <w:lang w:eastAsia="es-ES"/>
        </w:rPr>
        <w:t xml:space="preserve"> o sobreseer </w:t>
      </w:r>
      <w:r w:rsidRPr="003B5C0E">
        <w:rPr>
          <w:rFonts w:ascii="Palatino Linotype" w:hAnsi="Palatino Linotype" w:cs="Arial"/>
          <w:b/>
          <w:i/>
          <w:u w:val="single"/>
          <w:lang w:eastAsia="es-ES"/>
        </w:rPr>
        <w:t>el recurso</w:t>
      </w:r>
      <w:r w:rsidRPr="003B5C0E">
        <w:rPr>
          <w:rFonts w:ascii="Palatino Linotype" w:hAnsi="Palatino Linotype" w:cs="Arial"/>
          <w:i/>
          <w:lang w:eastAsia="es-ES"/>
        </w:rPr>
        <w:t>;”</w:t>
      </w:r>
    </w:p>
    <w:p w14:paraId="2FBF07B0" w14:textId="77777777" w:rsidR="00AE4B84" w:rsidRPr="003B5C0E" w:rsidRDefault="00AE4B84" w:rsidP="00AE4B84">
      <w:pPr>
        <w:spacing w:before="120" w:line="360" w:lineRule="auto"/>
        <w:ind w:left="709" w:right="709"/>
        <w:jc w:val="both"/>
        <w:rPr>
          <w:rFonts w:ascii="Palatino Linotype" w:hAnsi="Palatino Linotype" w:cs="Arial"/>
          <w:i/>
          <w:lang w:eastAsia="es-ES"/>
        </w:rPr>
      </w:pPr>
      <w:r w:rsidRPr="003B5C0E">
        <w:rPr>
          <w:rFonts w:ascii="Palatino Linotype" w:hAnsi="Palatino Linotype" w:cs="Arial"/>
          <w:i/>
          <w:lang w:eastAsia="es-ES"/>
        </w:rPr>
        <w:t>(Énfasis añadido)</w:t>
      </w:r>
    </w:p>
    <w:p w14:paraId="4E96BD0F" w14:textId="77777777" w:rsidR="00AE4B84" w:rsidRPr="003B5C0E" w:rsidRDefault="00AE4B84" w:rsidP="00AE4B84">
      <w:pPr>
        <w:spacing w:before="120" w:line="360" w:lineRule="auto"/>
        <w:ind w:left="709" w:right="709"/>
        <w:jc w:val="both"/>
        <w:rPr>
          <w:rFonts w:ascii="Palatino Linotype" w:hAnsi="Palatino Linotype" w:cs="Arial"/>
        </w:rPr>
      </w:pPr>
    </w:p>
    <w:p w14:paraId="07DFC54A"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3B5C0E">
        <w:rPr>
          <w:rFonts w:ascii="Palatino Linotype" w:eastAsia="Calibri" w:hAnsi="Palatino Linotype" w:cs="Arial"/>
          <w:lang w:eastAsia="es-ES"/>
        </w:rPr>
        <w:t xml:space="preserve">Finalmente, es de precisar que se dejan a salvo los derechos de la </w:t>
      </w:r>
      <w:r w:rsidRPr="003B5C0E">
        <w:rPr>
          <w:rFonts w:ascii="Palatino Linotype" w:eastAsia="Calibri" w:hAnsi="Palatino Linotype" w:cs="Arial"/>
          <w:b/>
          <w:lang w:eastAsia="es-ES"/>
        </w:rPr>
        <w:t>RECURRENTE</w:t>
      </w:r>
      <w:r w:rsidRPr="003B5C0E">
        <w:rPr>
          <w:rFonts w:ascii="Palatino Linotype" w:eastAsia="Calibri" w:hAnsi="Palatino Linotype" w:cs="Arial"/>
          <w:lang w:eastAsia="es-ES"/>
        </w:rPr>
        <w:t xml:space="preserve"> a fin de que formule las solicitudes de acceso a la información pública que a su derecho convengan.</w:t>
      </w:r>
    </w:p>
    <w:p w14:paraId="2EA05D62" w14:textId="77777777" w:rsidR="00AE4B84" w:rsidRPr="003B5C0E" w:rsidRDefault="00AE4B84" w:rsidP="00AE4B84">
      <w:pPr>
        <w:tabs>
          <w:tab w:val="left" w:pos="426"/>
        </w:tabs>
        <w:spacing w:before="240" w:after="240" w:line="360" w:lineRule="auto"/>
        <w:contextualSpacing/>
        <w:jc w:val="both"/>
        <w:rPr>
          <w:rFonts w:ascii="Palatino Linotype" w:hAnsi="Palatino Linotype"/>
          <w:color w:val="000000"/>
        </w:rPr>
      </w:pPr>
    </w:p>
    <w:p w14:paraId="592B469A" w14:textId="77777777" w:rsidR="00AE4B84" w:rsidRPr="003B5C0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3B5C0E">
        <w:rPr>
          <w:rFonts w:ascii="Palatino Linotype" w:hAnsi="Palatino Linotype"/>
          <w:lang w:val="es-ES"/>
        </w:rPr>
        <w:t xml:space="preserve">Por lo anteriormente expuesto y fundado, este </w:t>
      </w:r>
      <w:r w:rsidRPr="003B5C0E">
        <w:rPr>
          <w:rFonts w:ascii="Palatino Linotype" w:hAnsi="Palatino Linotype"/>
          <w:b/>
          <w:bCs/>
          <w:lang w:val="es-ES"/>
        </w:rPr>
        <w:t>ÓRGANO GARANTE</w:t>
      </w:r>
      <w:r w:rsidRPr="003B5C0E">
        <w:rPr>
          <w:rFonts w:ascii="Palatino Linotype" w:hAnsi="Palatino Linotype"/>
          <w:lang w:val="es-ES"/>
        </w:rPr>
        <w:t xml:space="preserve"> emite los siguientes:</w:t>
      </w:r>
    </w:p>
    <w:p w14:paraId="6C405F27" w14:textId="77777777" w:rsidR="00AE4B84" w:rsidRPr="003B5C0E" w:rsidRDefault="00AE4B84" w:rsidP="00AE4B84">
      <w:pPr>
        <w:spacing w:before="240" w:after="240" w:line="360" w:lineRule="auto"/>
        <w:contextualSpacing/>
        <w:jc w:val="both"/>
        <w:rPr>
          <w:rFonts w:ascii="Palatino Linotype" w:hAnsi="Palatino Linotype" w:cs="Arial"/>
        </w:rPr>
      </w:pPr>
    </w:p>
    <w:p w14:paraId="7C8F59DE" w14:textId="77777777" w:rsidR="00AE4B84" w:rsidRPr="003B5C0E" w:rsidRDefault="00AE4B84" w:rsidP="00AE4B84">
      <w:pPr>
        <w:spacing w:before="240" w:after="240" w:line="360" w:lineRule="auto"/>
        <w:contextualSpacing/>
        <w:jc w:val="both"/>
        <w:rPr>
          <w:rFonts w:ascii="Palatino Linotype" w:hAnsi="Palatino Linotype" w:cs="Arial"/>
        </w:rPr>
      </w:pPr>
    </w:p>
    <w:p w14:paraId="22779FD9" w14:textId="77777777" w:rsidR="00AE4B84" w:rsidRPr="003B5C0E" w:rsidRDefault="00AE4B84" w:rsidP="00AE4B84">
      <w:pPr>
        <w:spacing w:before="240" w:after="240" w:line="360" w:lineRule="auto"/>
        <w:contextualSpacing/>
        <w:jc w:val="both"/>
        <w:rPr>
          <w:rFonts w:ascii="Palatino Linotype" w:hAnsi="Palatino Linotype" w:cs="Arial"/>
        </w:rPr>
      </w:pPr>
    </w:p>
    <w:p w14:paraId="623C0798" w14:textId="77777777" w:rsidR="00AE4B84" w:rsidRPr="003B5C0E"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3B5C0E">
        <w:rPr>
          <w:rFonts w:ascii="Palatino Linotype" w:eastAsia="MS Gothic" w:hAnsi="Palatino Linotype"/>
          <w:b/>
          <w:color w:val="000000"/>
          <w:lang w:val="es-ES" w:eastAsia="es-ES"/>
        </w:rPr>
        <w:lastRenderedPageBreak/>
        <w:t>R E S O L U T I V O S</w:t>
      </w:r>
      <w:bookmarkEnd w:id="7"/>
      <w:bookmarkEnd w:id="8"/>
      <w:bookmarkEnd w:id="9"/>
      <w:bookmarkEnd w:id="10"/>
      <w:bookmarkEnd w:id="11"/>
      <w:bookmarkEnd w:id="12"/>
      <w:bookmarkEnd w:id="13"/>
    </w:p>
    <w:p w14:paraId="33FC422A" w14:textId="77777777" w:rsidR="00AE4B84" w:rsidRPr="003B5C0E" w:rsidRDefault="00AE4B84" w:rsidP="00AE4B84">
      <w:pPr>
        <w:spacing w:line="360" w:lineRule="auto"/>
        <w:rPr>
          <w:rFonts w:ascii="Palatino Linotype" w:eastAsia="MS Mincho" w:hAnsi="Palatino Linotype"/>
        </w:rPr>
      </w:pPr>
    </w:p>
    <w:p w14:paraId="6F8306F8" w14:textId="77777777" w:rsidR="00AE4B84" w:rsidRPr="003B5C0E" w:rsidRDefault="00AE4B84" w:rsidP="00AE4B84">
      <w:pPr>
        <w:spacing w:line="360" w:lineRule="auto"/>
        <w:jc w:val="both"/>
        <w:rPr>
          <w:rFonts w:ascii="Palatino Linotype" w:eastAsia="MS Mincho" w:hAnsi="Palatino Linotype" w:cs="Arial"/>
          <w:b/>
          <w:bCs/>
          <w:lang w:val="es-ES_tradnl"/>
        </w:rPr>
      </w:pPr>
      <w:r w:rsidRPr="003B5C0E">
        <w:rPr>
          <w:rFonts w:ascii="Palatino Linotype" w:eastAsia="MS Mincho" w:hAnsi="Palatino Linotype" w:cs="Arial"/>
          <w:b/>
          <w:lang w:val="es-ES_tradnl" w:eastAsia="es-ES"/>
        </w:rPr>
        <w:t>PRIMERO</w:t>
      </w:r>
      <w:r w:rsidRPr="003B5C0E">
        <w:rPr>
          <w:rFonts w:ascii="Palatino Linotype" w:eastAsia="MS Mincho" w:hAnsi="Palatino Linotype" w:cs="Arial"/>
          <w:lang w:val="es-ES_tradnl" w:eastAsia="es-ES"/>
        </w:rPr>
        <w:t xml:space="preserve">. Se </w:t>
      </w:r>
      <w:r w:rsidRPr="003B5C0E">
        <w:rPr>
          <w:rFonts w:ascii="Palatino Linotype" w:eastAsia="MS Mincho" w:hAnsi="Palatino Linotype" w:cs="Arial"/>
          <w:b/>
          <w:lang w:val="es-ES_tradnl" w:eastAsia="es-ES"/>
        </w:rPr>
        <w:t>DESECHA</w:t>
      </w:r>
      <w:r w:rsidRPr="003B5C0E">
        <w:rPr>
          <w:rFonts w:ascii="Palatino Linotype" w:eastAsia="MS Mincho" w:hAnsi="Palatino Linotype" w:cs="Arial"/>
          <w:lang w:val="es-ES_tradnl" w:eastAsia="es-ES"/>
        </w:rPr>
        <w:t xml:space="preserve"> el recurso de revisión </w:t>
      </w:r>
      <w:r w:rsidRPr="003B5C0E">
        <w:rPr>
          <w:rFonts w:ascii="Palatino Linotype" w:eastAsiaTheme="minorEastAsia" w:hAnsi="Palatino Linotype" w:cs="Arial"/>
          <w:b/>
          <w:bCs/>
          <w:lang w:eastAsia="es-ES"/>
        </w:rPr>
        <w:t xml:space="preserve">05733/INFOEM/IP/RR/2021 </w:t>
      </w:r>
      <w:r w:rsidRPr="003B5C0E">
        <w:rPr>
          <w:rFonts w:ascii="Palatino Linotype" w:eastAsiaTheme="minorEastAsia" w:hAnsi="Palatino Linotype" w:cs="Arial"/>
          <w:bCs/>
          <w:lang w:eastAsia="es-ES"/>
        </w:rPr>
        <w:t xml:space="preserve">por </w:t>
      </w:r>
      <w:r w:rsidRPr="003B5C0E">
        <w:rPr>
          <w:rFonts w:ascii="Palatino Linotype" w:eastAsiaTheme="minorEastAsia" w:hAnsi="Palatino Linotype" w:cs="Arial"/>
          <w:b/>
          <w:bCs/>
          <w:lang w:eastAsia="es-ES"/>
        </w:rPr>
        <w:t xml:space="preserve">extemporáneo </w:t>
      </w:r>
      <w:r w:rsidRPr="003B5C0E">
        <w:rPr>
          <w:rFonts w:ascii="Palatino Linotype" w:eastAsia="MS Mincho" w:hAnsi="Palatino Linotype" w:cs="Arial"/>
          <w:lang w:val="es-ES_tradnl" w:eastAsia="es-ES"/>
        </w:rPr>
        <w:t xml:space="preserve">en términos del </w:t>
      </w:r>
      <w:r w:rsidRPr="003B5C0E">
        <w:rPr>
          <w:rFonts w:ascii="Palatino Linotype" w:eastAsia="MS Mincho" w:hAnsi="Palatino Linotype" w:cs="Arial"/>
          <w:b/>
          <w:lang w:val="es-ES_tradnl" w:eastAsia="es-ES"/>
        </w:rPr>
        <w:t>Considerando</w:t>
      </w:r>
      <w:r w:rsidRPr="003B5C0E">
        <w:rPr>
          <w:rFonts w:ascii="Palatino Linotype" w:eastAsia="MS Mincho" w:hAnsi="Palatino Linotype" w:cs="Arial"/>
          <w:lang w:val="es-ES_tradnl" w:eastAsia="es-ES"/>
        </w:rPr>
        <w:t xml:space="preserve"> </w:t>
      </w:r>
      <w:r w:rsidRPr="003B5C0E">
        <w:rPr>
          <w:rFonts w:ascii="Palatino Linotype" w:eastAsia="MS Mincho" w:hAnsi="Palatino Linotype" w:cs="Arial"/>
          <w:b/>
          <w:lang w:val="es-ES_tradnl" w:eastAsia="es-ES"/>
        </w:rPr>
        <w:t xml:space="preserve">SEGUNDO </w:t>
      </w:r>
      <w:r w:rsidRPr="003B5C0E">
        <w:rPr>
          <w:rFonts w:ascii="Palatino Linotype" w:eastAsia="MS Mincho" w:hAnsi="Palatino Linotype" w:cs="Arial"/>
          <w:lang w:val="es-ES_tradnl" w:eastAsia="es-ES"/>
        </w:rPr>
        <w:t>de la presente resolución.</w:t>
      </w:r>
    </w:p>
    <w:p w14:paraId="10AF3D66" w14:textId="77777777" w:rsidR="00AE4B84" w:rsidRPr="003B5C0E" w:rsidRDefault="00AE4B84" w:rsidP="00AE4B84">
      <w:pPr>
        <w:spacing w:line="360" w:lineRule="auto"/>
        <w:jc w:val="both"/>
        <w:rPr>
          <w:rFonts w:ascii="Palatino Linotype" w:eastAsia="MS Mincho" w:hAnsi="Palatino Linotype" w:cs="Arial"/>
          <w:b/>
          <w:bCs/>
          <w:lang w:val="es-ES_tradnl"/>
        </w:rPr>
      </w:pPr>
    </w:p>
    <w:p w14:paraId="2DD33BB6" w14:textId="77777777" w:rsidR="00AE4B84" w:rsidRPr="003B5C0E" w:rsidRDefault="00AE4B84" w:rsidP="00AE4B84">
      <w:pPr>
        <w:spacing w:line="360" w:lineRule="auto"/>
        <w:jc w:val="both"/>
        <w:rPr>
          <w:rFonts w:ascii="Palatino Linotype" w:hAnsi="Palatino Linotype"/>
          <w:color w:val="222222"/>
          <w:shd w:val="clear" w:color="auto" w:fill="FFFFFF"/>
          <w:lang w:val="es-ES_tradnl"/>
        </w:rPr>
      </w:pPr>
      <w:r w:rsidRPr="003B5C0E">
        <w:rPr>
          <w:rFonts w:ascii="Palatino Linotype" w:eastAsia="MS Mincho" w:hAnsi="Palatino Linotype" w:cs="Arial"/>
          <w:b/>
          <w:lang w:val="es-ES_tradnl" w:eastAsia="es-ES"/>
        </w:rPr>
        <w:t xml:space="preserve">SEGUNDO. </w:t>
      </w:r>
      <w:r w:rsidRPr="003B5C0E">
        <w:rPr>
          <w:rFonts w:ascii="Palatino Linotype" w:eastAsia="MS Gothic" w:hAnsi="Palatino Linotype"/>
          <w:b/>
          <w:lang w:val="es-ES_tradnl" w:eastAsia="es-ES"/>
        </w:rPr>
        <w:t xml:space="preserve">REMÍTASE, </w:t>
      </w:r>
      <w:r w:rsidRPr="003B5C0E">
        <w:rPr>
          <w:rFonts w:ascii="Palatino Linotype" w:hAnsi="Palatino Linotype"/>
          <w:lang w:val="es-ES" w:eastAsia="es-ES"/>
        </w:rPr>
        <w:t xml:space="preserve">vía </w:t>
      </w:r>
      <w:r w:rsidRPr="003B5C0E">
        <w:rPr>
          <w:rFonts w:ascii="Palatino Linotype" w:hAnsi="Palatino Linotype"/>
          <w:lang w:val="es-ES_tradnl" w:eastAsia="es-ES"/>
        </w:rPr>
        <w:t>Sistema de Acceso a Información Mexiquense, (</w:t>
      </w:r>
      <w:r w:rsidRPr="003B5C0E">
        <w:rPr>
          <w:rFonts w:ascii="Palatino Linotype" w:hAnsi="Palatino Linotype"/>
          <w:b/>
          <w:lang w:val="es-ES_tradnl" w:eastAsia="es-ES"/>
        </w:rPr>
        <w:t>SAIMEX)</w:t>
      </w:r>
      <w:r w:rsidRPr="003B5C0E">
        <w:rPr>
          <w:rFonts w:ascii="Palatino Linotype" w:eastAsia="MS Gothic" w:hAnsi="Palatino Linotype"/>
          <w:b/>
          <w:lang w:val="es-ES_tradnl" w:eastAsia="es-ES"/>
        </w:rPr>
        <w:t xml:space="preserve">, </w:t>
      </w:r>
      <w:r w:rsidRPr="003B5C0E">
        <w:rPr>
          <w:rFonts w:ascii="Palatino Linotype" w:eastAsia="MS Gothic" w:hAnsi="Palatino Linotype"/>
          <w:lang w:val="es-ES_tradnl" w:eastAsia="es-ES"/>
        </w:rPr>
        <w:t xml:space="preserve">la presente resolución al Titular de la Unidad de Transparencia </w:t>
      </w:r>
      <w:r w:rsidRPr="003B5C0E">
        <w:rPr>
          <w:rFonts w:ascii="Palatino Linotype" w:hAnsi="Palatino Linotype"/>
          <w:color w:val="222222"/>
          <w:shd w:val="clear" w:color="auto" w:fill="FFFFFF"/>
          <w:lang w:val="es-ES_tradnl"/>
        </w:rPr>
        <w:t xml:space="preserve">del </w:t>
      </w:r>
      <w:r w:rsidRPr="003B5C0E">
        <w:rPr>
          <w:rFonts w:ascii="Palatino Linotype" w:hAnsi="Palatino Linotype"/>
          <w:b/>
          <w:shd w:val="clear" w:color="auto" w:fill="FFFFFF"/>
          <w:lang w:val="es-ES_tradnl"/>
        </w:rPr>
        <w:t>SUJETO OBLIGADO.</w:t>
      </w:r>
    </w:p>
    <w:p w14:paraId="1BA67DCD" w14:textId="77777777" w:rsidR="00AE4B84" w:rsidRPr="003B5C0E" w:rsidRDefault="00AE4B84" w:rsidP="00AE4B84">
      <w:pPr>
        <w:shd w:val="clear" w:color="auto" w:fill="FFFFFF"/>
        <w:spacing w:before="240" w:after="360" w:line="360" w:lineRule="auto"/>
        <w:jc w:val="both"/>
        <w:rPr>
          <w:rFonts w:ascii="Palatino Linotype" w:hAnsi="Palatino Linotype"/>
        </w:rPr>
      </w:pPr>
      <w:r w:rsidRPr="003B5C0E">
        <w:rPr>
          <w:rFonts w:ascii="Palatino Linotype" w:eastAsia="MS Gothic" w:hAnsi="Palatino Linotype"/>
          <w:b/>
          <w:lang w:val="es-ES_tradnl" w:eastAsia="es-ES"/>
        </w:rPr>
        <w:t xml:space="preserve">TERCERO. </w:t>
      </w:r>
      <w:r w:rsidRPr="003B5C0E">
        <w:rPr>
          <w:rFonts w:ascii="Palatino Linotype" w:eastAsia="MS Gothic" w:hAnsi="Palatino Linotype"/>
          <w:lang w:val="es-ES_tradnl" w:eastAsia="es-ES"/>
        </w:rPr>
        <w:t>Notifíquese al</w:t>
      </w:r>
      <w:r w:rsidRPr="003B5C0E">
        <w:rPr>
          <w:rFonts w:ascii="Palatino Linotype" w:eastAsiaTheme="minorEastAsia" w:hAnsi="Palatino Linotype"/>
          <w:b/>
          <w:lang w:val="es-ES_tradnl" w:eastAsia="es-ES"/>
        </w:rPr>
        <w:t xml:space="preserve"> RECURRENTE </w:t>
      </w:r>
      <w:r w:rsidRPr="003B5C0E">
        <w:rPr>
          <w:rFonts w:ascii="Palatino Linotype" w:hAnsi="Palatino Linotype"/>
          <w:lang w:val="es-ES" w:eastAsia="es-ES"/>
        </w:rPr>
        <w:t>la presente resolución.</w:t>
      </w:r>
    </w:p>
    <w:p w14:paraId="5D34DC4A" w14:textId="77777777" w:rsidR="00AE4B84" w:rsidRPr="003B5C0E" w:rsidRDefault="00AE4B84" w:rsidP="00AE4B84">
      <w:pPr>
        <w:spacing w:line="360" w:lineRule="auto"/>
        <w:jc w:val="both"/>
        <w:rPr>
          <w:rFonts w:ascii="Palatino Linotype" w:eastAsia="MS Mincho" w:hAnsi="Palatino Linotype"/>
        </w:rPr>
      </w:pPr>
      <w:r w:rsidRPr="003B5C0E">
        <w:rPr>
          <w:rFonts w:ascii="Palatino Linotype" w:eastAsia="MS Mincho" w:hAnsi="Palatino Linotype"/>
          <w:b/>
          <w:lang w:eastAsia="es-ES"/>
        </w:rPr>
        <w:t>CUARTO.</w:t>
      </w:r>
      <w:r w:rsidRPr="003B5C0E">
        <w:rPr>
          <w:rFonts w:ascii="Palatino Linotype" w:eastAsia="MS Mincho" w:hAnsi="Palatino Linotype"/>
          <w:lang w:eastAsia="es-ES"/>
        </w:rPr>
        <w:t xml:space="preserve"> </w:t>
      </w:r>
      <w:r w:rsidRPr="003B5C0E">
        <w:rPr>
          <w:rFonts w:ascii="Palatino Linotype" w:eastAsia="MS Mincho" w:hAnsi="Palatino Linotype"/>
          <w:lang w:val="es-ES" w:eastAsia="es-ES"/>
        </w:rPr>
        <w:t>Se hace del conocimiento del</w:t>
      </w:r>
      <w:r w:rsidRPr="003B5C0E">
        <w:rPr>
          <w:rFonts w:ascii="Palatino Linotype" w:hAnsi="Palatino Linotype"/>
          <w:b/>
          <w:lang w:val="es-ES_tradnl" w:eastAsia="es-ES"/>
        </w:rPr>
        <w:t xml:space="preserve"> </w:t>
      </w:r>
      <w:r w:rsidRPr="003B5C0E">
        <w:rPr>
          <w:rFonts w:ascii="Palatino Linotype" w:eastAsia="MS Mincho" w:hAnsi="Palatino Linotype"/>
          <w:b/>
          <w:lang w:val="es-ES_tradnl" w:eastAsia="es-ES"/>
        </w:rPr>
        <w:t>RECURRENTE</w:t>
      </w:r>
      <w:r w:rsidRPr="003B5C0E">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B5C0E">
        <w:rPr>
          <w:rFonts w:ascii="Palatino Linotype" w:eastAsia="MS Mincho" w:hAnsi="Palatino Linotype"/>
          <w:bCs/>
          <w:lang w:val="es-ES" w:eastAsia="es-ES"/>
        </w:rPr>
        <w:t>vía juicio de amparo</w:t>
      </w:r>
      <w:r w:rsidRPr="003B5C0E">
        <w:rPr>
          <w:rFonts w:ascii="Palatino Linotype" w:eastAsia="MS Mincho" w:hAnsi="Palatino Linotype"/>
          <w:lang w:val="es-ES" w:eastAsia="es-ES"/>
        </w:rPr>
        <w:t> en los términos de las leyes aplicables.</w:t>
      </w:r>
    </w:p>
    <w:p w14:paraId="61359E4B" w14:textId="77777777" w:rsidR="008A186A" w:rsidRDefault="008A186A" w:rsidP="00AE4B84">
      <w:pPr>
        <w:spacing w:line="360" w:lineRule="auto"/>
        <w:ind w:right="48"/>
        <w:jc w:val="both"/>
        <w:rPr>
          <w:rFonts w:ascii="Palatino Linotype" w:hAnsi="Palatino Linotype" w:cs="Arial"/>
          <w:b/>
          <w:bCs/>
          <w:color w:val="222222"/>
        </w:rPr>
      </w:pPr>
    </w:p>
    <w:p w14:paraId="220953BE" w14:textId="69D9BD07" w:rsidR="008A186A" w:rsidRPr="009B3943" w:rsidRDefault="008A186A" w:rsidP="00AE4B84">
      <w:pPr>
        <w:spacing w:line="360" w:lineRule="auto"/>
        <w:ind w:right="48"/>
        <w:jc w:val="both"/>
        <w:rPr>
          <w:rFonts w:ascii="Palatino Linotype" w:hAnsi="Palatino Linotype"/>
        </w:rPr>
      </w:pPr>
      <w:r w:rsidRPr="008A186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w:t>
      </w:r>
      <w:r w:rsidRPr="008A186A">
        <w:rPr>
          <w:rFonts w:ascii="Palatino Linotype" w:hAnsi="Palatino Linotype"/>
        </w:rPr>
        <w:lastRenderedPageBreak/>
        <w:t>CELEBRADA EL QUINCE DE DICIEMBRE DE DOS MIL VEINTIUNO, ANTE EL SECRETARIO TÉCNICO DEL PLENO ALEXIS TAPIA RAMÍREZ</w:t>
      </w:r>
    </w:p>
    <w:p w14:paraId="1A12F038" w14:textId="77777777" w:rsidR="00AE4B84" w:rsidRPr="009E734E" w:rsidRDefault="00AE4B84" w:rsidP="00AE4B84"/>
    <w:p w14:paraId="6396603F" w14:textId="77777777" w:rsidR="004E1710" w:rsidRDefault="00DE3E99"/>
    <w:p w14:paraId="1AF72ACE" w14:textId="77777777" w:rsidR="00C85E52" w:rsidRDefault="00C85E52"/>
    <w:p w14:paraId="1731D31E" w14:textId="77777777" w:rsidR="00C85E52" w:rsidRDefault="00C85E52"/>
    <w:p w14:paraId="6D7CD4CD" w14:textId="77777777" w:rsidR="00C85E52" w:rsidRDefault="00C85E52"/>
    <w:p w14:paraId="68FCB16F" w14:textId="77777777" w:rsidR="00C85E52" w:rsidRDefault="00C85E52"/>
    <w:p w14:paraId="412FDDFE" w14:textId="77777777" w:rsidR="00C85E52" w:rsidRDefault="00C85E52"/>
    <w:p w14:paraId="64643DFA" w14:textId="77777777" w:rsidR="00C85E52" w:rsidRDefault="00C85E52"/>
    <w:p w14:paraId="74AA7E74" w14:textId="77777777" w:rsidR="00C85E52" w:rsidRDefault="00C85E52"/>
    <w:p w14:paraId="4BC211CA" w14:textId="77777777" w:rsidR="00C85E52" w:rsidRDefault="00C85E52"/>
    <w:p w14:paraId="6F3150B7" w14:textId="77777777" w:rsidR="00C85E52" w:rsidRDefault="00C85E52"/>
    <w:p w14:paraId="51F2709E" w14:textId="77777777" w:rsidR="00C85E52" w:rsidRDefault="00C85E52"/>
    <w:p w14:paraId="5CD74C37" w14:textId="77777777" w:rsidR="00C85E52" w:rsidRDefault="00C85E52"/>
    <w:p w14:paraId="4A93CC9F" w14:textId="77777777" w:rsidR="00C85E52" w:rsidRDefault="00C85E52"/>
    <w:p w14:paraId="231DC628" w14:textId="77777777" w:rsidR="00C85E52" w:rsidRDefault="00C85E52"/>
    <w:p w14:paraId="4847B091" w14:textId="77777777" w:rsidR="00C85E52" w:rsidRDefault="00C85E52"/>
    <w:p w14:paraId="014D81D2" w14:textId="77777777" w:rsidR="00C85E52" w:rsidRDefault="00C85E52"/>
    <w:p w14:paraId="157A1249" w14:textId="77777777" w:rsidR="00C85E52" w:rsidRDefault="00C85E52"/>
    <w:p w14:paraId="071C2875" w14:textId="77777777" w:rsidR="00C85E52" w:rsidRDefault="00C85E52"/>
    <w:p w14:paraId="5E48B661" w14:textId="77777777" w:rsidR="00C85E52" w:rsidRDefault="00C85E52"/>
    <w:p w14:paraId="26898D54" w14:textId="77777777" w:rsidR="00C85E52" w:rsidRDefault="00C85E52"/>
    <w:p w14:paraId="05FFA8D6" w14:textId="77777777" w:rsidR="00C85E52" w:rsidRDefault="00C85E52"/>
    <w:p w14:paraId="3BFCBAA3" w14:textId="77777777" w:rsidR="00C85E52" w:rsidRDefault="00C85E52"/>
    <w:p w14:paraId="6990CF16" w14:textId="77777777" w:rsidR="00C85E52" w:rsidRDefault="00C85E52"/>
    <w:p w14:paraId="736570F5" w14:textId="77777777" w:rsidR="00C85E52" w:rsidRDefault="00C85E52"/>
    <w:p w14:paraId="15AB4B69" w14:textId="77777777" w:rsidR="00C85E52" w:rsidRDefault="00C85E52"/>
    <w:p w14:paraId="6778BDE7" w14:textId="77777777" w:rsidR="00C85E52" w:rsidRDefault="00C85E52"/>
    <w:p w14:paraId="1E1A410E" w14:textId="77777777" w:rsidR="00C85E52" w:rsidRDefault="00C85E52"/>
    <w:p w14:paraId="703E6C68" w14:textId="77777777" w:rsidR="00C85E52" w:rsidRDefault="00C85E52"/>
    <w:p w14:paraId="25D1C612" w14:textId="77777777" w:rsidR="00C85E52" w:rsidRDefault="00C85E52"/>
    <w:p w14:paraId="7BA876C7" w14:textId="77777777" w:rsidR="00C85E52" w:rsidRDefault="00C85E52"/>
    <w:p w14:paraId="08E1B31F" w14:textId="77777777" w:rsidR="00C85E52" w:rsidRDefault="00C85E52"/>
    <w:p w14:paraId="55A1656E" w14:textId="77777777" w:rsidR="00C85E52" w:rsidRDefault="00C85E52"/>
    <w:p w14:paraId="2BBD1D81" w14:textId="77777777" w:rsidR="00C85E52" w:rsidRDefault="00C85E52"/>
    <w:p w14:paraId="1121B0F6" w14:textId="77777777" w:rsidR="00C85E52" w:rsidRDefault="00C85E52"/>
    <w:p w14:paraId="548E91B3" w14:textId="77777777" w:rsidR="00C85E52" w:rsidRDefault="00C85E52"/>
    <w:p w14:paraId="7C78730A" w14:textId="77777777" w:rsidR="00C85E52" w:rsidRDefault="00C85E52"/>
    <w:p w14:paraId="33E23FDE" w14:textId="77777777" w:rsidR="00C85E52" w:rsidRDefault="00C85E52"/>
    <w:p w14:paraId="09B8FD98" w14:textId="77777777" w:rsidR="00C85E52" w:rsidRDefault="00C85E52"/>
    <w:p w14:paraId="18E570CF" w14:textId="77777777" w:rsidR="00C85E52" w:rsidRDefault="00C85E52"/>
    <w:p w14:paraId="35257EB4" w14:textId="77777777" w:rsidR="00C85E52" w:rsidRDefault="00C85E52"/>
    <w:p w14:paraId="7A7AA07F" w14:textId="77777777" w:rsidR="00C85E52" w:rsidRDefault="00C85E52"/>
    <w:sectPr w:rsidR="00C85E52" w:rsidSect="0026086D">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B6311" w14:textId="77777777" w:rsidR="00DE3E99" w:rsidRDefault="00DE3E99">
      <w:r>
        <w:separator/>
      </w:r>
    </w:p>
  </w:endnote>
  <w:endnote w:type="continuationSeparator" w:id="0">
    <w:p w14:paraId="0EB6D8EA" w14:textId="77777777" w:rsidR="00DE3E99" w:rsidRDefault="00DE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8522" w14:textId="77777777" w:rsidR="0026086D"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870F3E">
      <w:rPr>
        <w:b/>
        <w:bCs/>
        <w:noProof/>
      </w:rPr>
      <w:t>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70F3E">
      <w:rPr>
        <w:b/>
        <w:bCs/>
        <w:noProof/>
      </w:rPr>
      <w:t>11</w:t>
    </w:r>
    <w:r>
      <w:rPr>
        <w:b/>
        <w:bCs/>
      </w:rPr>
      <w:fldChar w:fldCharType="end"/>
    </w:r>
  </w:p>
  <w:p w14:paraId="7EC42DD5" w14:textId="77777777" w:rsidR="0026086D" w:rsidRDefault="00DE3E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E0F21" w14:textId="77777777" w:rsidR="0026086D"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870F3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70F3E">
      <w:rPr>
        <w:b/>
        <w:bCs/>
        <w:noProof/>
      </w:rPr>
      <w:t>11</w:t>
    </w:r>
    <w:r>
      <w:rPr>
        <w:b/>
        <w:bCs/>
      </w:rPr>
      <w:fldChar w:fldCharType="end"/>
    </w:r>
  </w:p>
  <w:p w14:paraId="523742F3" w14:textId="77777777" w:rsidR="0026086D" w:rsidRDefault="00DE3E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19976" w14:textId="77777777" w:rsidR="00DE3E99" w:rsidRDefault="00DE3E99">
      <w:r>
        <w:separator/>
      </w:r>
    </w:p>
  </w:footnote>
  <w:footnote w:type="continuationSeparator" w:id="0">
    <w:p w14:paraId="7E8D9DA8" w14:textId="77777777" w:rsidR="00DE3E99" w:rsidRDefault="00DE3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75586" w14:textId="77777777" w:rsidR="0026086D" w:rsidRDefault="00DE3E99">
    <w:pPr>
      <w:pStyle w:val="Encabezado"/>
    </w:pPr>
    <w:r>
      <w:rPr>
        <w:noProof/>
      </w:rPr>
      <w:pict w14:anchorId="08785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F4F8C1F" w14:textId="77777777" w:rsidTr="0026086D">
      <w:trPr>
        <w:trHeight w:val="1435"/>
      </w:trPr>
      <w:tc>
        <w:tcPr>
          <w:tcW w:w="2268" w:type="dxa"/>
          <w:shd w:val="clear" w:color="auto" w:fill="auto"/>
        </w:tcPr>
        <w:p w14:paraId="03D48622" w14:textId="77777777" w:rsidR="0026086D" w:rsidRPr="005C106F" w:rsidRDefault="00DE3E99" w:rsidP="0026086D">
          <w:pPr>
            <w:tabs>
              <w:tab w:val="right" w:pos="4273"/>
            </w:tabs>
            <w:rPr>
              <w:rFonts w:ascii="Garamond" w:eastAsia="Calibri" w:hAnsi="Garamond"/>
              <w:sz w:val="16"/>
              <w:szCs w:val="16"/>
              <w:lang w:eastAsia="en-US"/>
            </w:rPr>
          </w:pPr>
        </w:p>
      </w:tc>
      <w:tc>
        <w:tcPr>
          <w:tcW w:w="6946" w:type="dxa"/>
          <w:shd w:val="clear" w:color="auto" w:fill="auto"/>
        </w:tcPr>
        <w:p w14:paraId="0B2A757C" w14:textId="77777777" w:rsidR="0026086D" w:rsidRDefault="00DE3E99" w:rsidP="0026086D"/>
        <w:tbl>
          <w:tblPr>
            <w:tblW w:w="6662" w:type="dxa"/>
            <w:tblInd w:w="40" w:type="dxa"/>
            <w:tblLayout w:type="fixed"/>
            <w:tblLook w:val="0420" w:firstRow="1" w:lastRow="0" w:firstColumn="0" w:lastColumn="0" w:noHBand="0" w:noVBand="1"/>
          </w:tblPr>
          <w:tblGrid>
            <w:gridCol w:w="2551"/>
            <w:gridCol w:w="4111"/>
          </w:tblGrid>
          <w:tr w:rsidR="0026086D" w14:paraId="57A1110E" w14:textId="77777777" w:rsidTr="0026086D">
            <w:trPr>
              <w:trHeight w:val="150"/>
            </w:trPr>
            <w:tc>
              <w:tcPr>
                <w:tcW w:w="2551" w:type="dxa"/>
                <w:shd w:val="clear" w:color="auto" w:fill="auto"/>
              </w:tcPr>
              <w:p w14:paraId="76E9D32F" w14:textId="77777777" w:rsidR="0026086D" w:rsidRPr="00020E73" w:rsidRDefault="00F736EA"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357BAAC" w14:textId="77777777" w:rsidR="0026086D" w:rsidRPr="00020E73" w:rsidRDefault="00F736EA"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05733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26086D" w14:paraId="21B1F532" w14:textId="77777777" w:rsidTr="0026086D">
            <w:trPr>
              <w:trHeight w:val="295"/>
            </w:trPr>
            <w:tc>
              <w:tcPr>
                <w:tcW w:w="2551" w:type="dxa"/>
                <w:shd w:val="clear" w:color="auto" w:fill="auto"/>
              </w:tcPr>
              <w:p w14:paraId="5918253E" w14:textId="77777777" w:rsidR="0026086D" w:rsidRPr="00020E73" w:rsidRDefault="00F736EA"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E59AF97" w14:textId="77777777" w:rsidR="0026086D" w:rsidRPr="00020E73" w:rsidRDefault="00F736EA" w:rsidP="009E734E">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Tepetlixpa</w:t>
                </w:r>
              </w:p>
            </w:tc>
          </w:tr>
          <w:tr w:rsidR="0026086D" w14:paraId="0E01015C" w14:textId="77777777" w:rsidTr="0026086D">
            <w:trPr>
              <w:trHeight w:val="295"/>
            </w:trPr>
            <w:tc>
              <w:tcPr>
                <w:tcW w:w="2551" w:type="dxa"/>
                <w:shd w:val="clear" w:color="auto" w:fill="auto"/>
              </w:tcPr>
              <w:p w14:paraId="431841A0" w14:textId="77777777" w:rsidR="0026086D" w:rsidRPr="00020E73" w:rsidRDefault="00F736EA"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49A7563" w14:textId="77777777" w:rsidR="0026086D" w:rsidRPr="00020E73" w:rsidRDefault="00F736EA"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4961DC7" w14:textId="77777777" w:rsidR="0026086D" w:rsidRPr="00020E73" w:rsidRDefault="00DE3E99" w:rsidP="0026086D">
                <w:pPr>
                  <w:tabs>
                    <w:tab w:val="right" w:pos="8838"/>
                  </w:tabs>
                  <w:ind w:left="-108" w:right="171"/>
                  <w:jc w:val="both"/>
                  <w:rPr>
                    <w:rFonts w:ascii="Palatino Linotype" w:eastAsia="Calibri" w:hAnsi="Palatino Linotype" w:cs="Tahoma"/>
                    <w:b/>
                    <w:sz w:val="22"/>
                    <w:szCs w:val="22"/>
                    <w:lang w:val="es-ES" w:eastAsia="en-US"/>
                  </w:rPr>
                </w:pPr>
              </w:p>
            </w:tc>
          </w:tr>
        </w:tbl>
        <w:p w14:paraId="579DE463" w14:textId="77777777" w:rsidR="0026086D" w:rsidRPr="005C106F" w:rsidRDefault="00DE3E99" w:rsidP="0026086D">
          <w:pPr>
            <w:tabs>
              <w:tab w:val="right" w:pos="8838"/>
            </w:tabs>
            <w:ind w:left="-28"/>
            <w:jc w:val="both"/>
            <w:rPr>
              <w:rFonts w:ascii="Arial" w:eastAsia="Calibri" w:hAnsi="Arial" w:cs="Arial"/>
              <w:b/>
              <w:sz w:val="22"/>
              <w:szCs w:val="22"/>
              <w:lang w:eastAsia="en-US"/>
            </w:rPr>
          </w:pPr>
        </w:p>
      </w:tc>
    </w:tr>
  </w:tbl>
  <w:p w14:paraId="09BF5928" w14:textId="77777777" w:rsidR="0026086D" w:rsidRPr="00443C6B" w:rsidRDefault="00DE3E99" w:rsidP="0026086D">
    <w:pPr>
      <w:pStyle w:val="Encabezado"/>
      <w:rPr>
        <w:sz w:val="14"/>
      </w:rPr>
    </w:pPr>
    <w:r>
      <w:rPr>
        <w:noProof/>
        <w:sz w:val="14"/>
      </w:rPr>
      <w:pict w14:anchorId="0AC42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0B8B8682" w14:textId="77777777" w:rsidTr="0026086D">
      <w:trPr>
        <w:trHeight w:val="1435"/>
      </w:trPr>
      <w:tc>
        <w:tcPr>
          <w:tcW w:w="2268" w:type="dxa"/>
          <w:shd w:val="clear" w:color="auto" w:fill="auto"/>
        </w:tcPr>
        <w:p w14:paraId="15B39896" w14:textId="77777777" w:rsidR="0026086D" w:rsidRPr="00330DA7" w:rsidRDefault="00DE3E99"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6027F93C" w14:textId="77777777" w:rsidTr="0026086D">
            <w:trPr>
              <w:trHeight w:val="144"/>
            </w:trPr>
            <w:tc>
              <w:tcPr>
                <w:tcW w:w="2444" w:type="dxa"/>
                <w:shd w:val="clear" w:color="auto" w:fill="auto"/>
              </w:tcPr>
              <w:p w14:paraId="25F169A4" w14:textId="77777777" w:rsidR="0026086D" w:rsidRPr="00020E73" w:rsidRDefault="00F736EA"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96E866E" w14:textId="77777777" w:rsidR="0026086D" w:rsidRPr="00020E73" w:rsidRDefault="00F736EA"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05733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26086D" w:rsidRPr="00330DA7" w14:paraId="66DC4A03" w14:textId="77777777" w:rsidTr="0026086D">
            <w:trPr>
              <w:trHeight w:val="144"/>
            </w:trPr>
            <w:tc>
              <w:tcPr>
                <w:tcW w:w="2444" w:type="dxa"/>
                <w:shd w:val="clear" w:color="auto" w:fill="auto"/>
              </w:tcPr>
              <w:p w14:paraId="78915360" w14:textId="77777777" w:rsidR="0026086D" w:rsidRPr="00020E73" w:rsidRDefault="00F736EA"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A388F3E" w14:textId="77777777" w:rsidR="0026086D" w:rsidRPr="00020E73" w:rsidRDefault="00DE3E99" w:rsidP="009E734E">
                <w:pPr>
                  <w:tabs>
                    <w:tab w:val="left" w:pos="3122"/>
                    <w:tab w:val="right" w:pos="8838"/>
                  </w:tabs>
                  <w:ind w:right="-105"/>
                  <w:jc w:val="both"/>
                  <w:rPr>
                    <w:rFonts w:ascii="Palatino Linotype" w:eastAsia="Calibri" w:hAnsi="Palatino Linotype" w:cs="Tahoma"/>
                    <w:sz w:val="22"/>
                    <w:szCs w:val="22"/>
                    <w:lang w:val="es-ES" w:eastAsia="en-US"/>
                  </w:rPr>
                </w:pPr>
              </w:p>
            </w:tc>
          </w:tr>
          <w:tr w:rsidR="0026086D" w:rsidRPr="00330DA7" w14:paraId="0C2B8B61" w14:textId="77777777" w:rsidTr="0026086D">
            <w:trPr>
              <w:trHeight w:val="283"/>
            </w:trPr>
            <w:tc>
              <w:tcPr>
                <w:tcW w:w="2444" w:type="dxa"/>
                <w:shd w:val="clear" w:color="auto" w:fill="auto"/>
              </w:tcPr>
              <w:p w14:paraId="2C10451C" w14:textId="77777777" w:rsidR="0026086D" w:rsidRPr="00020E73" w:rsidRDefault="00F736EA"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07380BDB" w14:textId="77777777" w:rsidR="0026086D" w:rsidRPr="009E7B0A" w:rsidRDefault="00F736EA"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Tepetlixpa</w:t>
                </w:r>
              </w:p>
            </w:tc>
          </w:tr>
          <w:tr w:rsidR="0026086D" w:rsidRPr="00330DA7" w14:paraId="79300B26" w14:textId="77777777" w:rsidTr="0026086D">
            <w:trPr>
              <w:trHeight w:val="283"/>
            </w:trPr>
            <w:tc>
              <w:tcPr>
                <w:tcW w:w="2444" w:type="dxa"/>
                <w:shd w:val="clear" w:color="auto" w:fill="auto"/>
              </w:tcPr>
              <w:p w14:paraId="7D8ED244" w14:textId="77777777" w:rsidR="0026086D" w:rsidRPr="00020E73" w:rsidRDefault="00F736EA"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B256639" w14:textId="77777777" w:rsidR="0026086D" w:rsidRPr="00020E73" w:rsidRDefault="00F736EA"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4CF8BBA" w14:textId="77777777" w:rsidR="0026086D" w:rsidRPr="00020E73" w:rsidRDefault="00DE3E99" w:rsidP="0026086D">
                <w:pPr>
                  <w:tabs>
                    <w:tab w:val="right" w:pos="8838"/>
                  </w:tabs>
                  <w:ind w:left="-74" w:right="-105"/>
                  <w:jc w:val="both"/>
                  <w:rPr>
                    <w:rFonts w:ascii="Palatino Linotype" w:eastAsia="Calibri" w:hAnsi="Palatino Linotype" w:cs="Tahoma"/>
                    <w:b/>
                    <w:sz w:val="22"/>
                    <w:szCs w:val="22"/>
                    <w:lang w:val="es-ES" w:eastAsia="en-US"/>
                  </w:rPr>
                </w:pPr>
              </w:p>
            </w:tc>
          </w:tr>
        </w:tbl>
        <w:p w14:paraId="4328B3EE" w14:textId="77777777" w:rsidR="0026086D" w:rsidRPr="00330DA7" w:rsidRDefault="00DE3E99" w:rsidP="0026086D">
          <w:pPr>
            <w:tabs>
              <w:tab w:val="right" w:pos="8838"/>
            </w:tabs>
            <w:ind w:left="-28"/>
            <w:jc w:val="both"/>
            <w:rPr>
              <w:rFonts w:ascii="Arial" w:eastAsia="Calibri" w:hAnsi="Arial" w:cs="Arial"/>
              <w:b/>
              <w:sz w:val="22"/>
              <w:szCs w:val="22"/>
              <w:lang w:eastAsia="en-US"/>
            </w:rPr>
          </w:pPr>
        </w:p>
      </w:tc>
    </w:tr>
  </w:tbl>
  <w:p w14:paraId="02B3E2ED" w14:textId="77777777" w:rsidR="0026086D" w:rsidRPr="00827FA0" w:rsidRDefault="00DE3E99" w:rsidP="0026086D">
    <w:pPr>
      <w:pStyle w:val="Encabezado"/>
      <w:rPr>
        <w:sz w:val="2"/>
        <w:szCs w:val="22"/>
      </w:rPr>
    </w:pPr>
    <w:r>
      <w:rPr>
        <w:noProof/>
        <w:sz w:val="2"/>
        <w:szCs w:val="22"/>
      </w:rPr>
      <w:pict w14:anchorId="22B52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214EBE"/>
    <w:rsid w:val="00253ED9"/>
    <w:rsid w:val="00312F62"/>
    <w:rsid w:val="006F63AC"/>
    <w:rsid w:val="0076643E"/>
    <w:rsid w:val="00870F3E"/>
    <w:rsid w:val="008A186A"/>
    <w:rsid w:val="00AE4B84"/>
    <w:rsid w:val="00C85E52"/>
    <w:rsid w:val="00DE3E99"/>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9E792"/>
  <w15:chartTrackingRefBased/>
  <w15:docId w15:val="{67018433-2808-4E06-AC6B-CA796CF4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B84"/>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1916</Words>
  <Characters>10542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2021-12-22T20:37:00Z</dcterms:created>
  <dcterms:modified xsi:type="dcterms:W3CDTF">2021-12-22T20:37:00Z</dcterms:modified>
</cp:coreProperties>
</file>