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6F835506"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41813">
        <w:rPr>
          <w:rFonts w:ascii="Palatino Linotype" w:eastAsia="Times New Roman" w:hAnsi="Palatino Linotype" w:cs="Arial"/>
          <w:color w:val="000000"/>
          <w:sz w:val="24"/>
          <w:szCs w:val="24"/>
          <w:lang w:eastAsia="es-MX"/>
        </w:rPr>
        <w:t>catorce</w:t>
      </w:r>
      <w:r w:rsidR="00121D59">
        <w:rPr>
          <w:rFonts w:ascii="Palatino Linotype" w:eastAsia="Times New Roman" w:hAnsi="Palatino Linotype" w:cs="Arial"/>
          <w:color w:val="000000"/>
          <w:sz w:val="24"/>
          <w:szCs w:val="24"/>
          <w:lang w:eastAsia="es-MX"/>
        </w:rPr>
        <w:t xml:space="preserve"> de abril</w:t>
      </w:r>
      <w:r w:rsidR="006323CA">
        <w:rPr>
          <w:rFonts w:ascii="Palatino Linotype" w:eastAsia="Times New Roman" w:hAnsi="Palatino Linotype" w:cs="Arial"/>
          <w:color w:val="000000"/>
          <w:sz w:val="24"/>
          <w:szCs w:val="24"/>
          <w:lang w:eastAsia="es-MX"/>
        </w:rPr>
        <w:t xml:space="preserve"> de dos mil veintiuno. </w:t>
      </w:r>
    </w:p>
    <w:p w14:paraId="166587BD" w14:textId="7EA3400F" w:rsidR="00431578" w:rsidRPr="00431578"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431578">
        <w:rPr>
          <w:rFonts w:ascii="Palatino Linotype" w:hAnsi="Palatino Linotype" w:cs="Arial"/>
          <w:b/>
          <w:bCs/>
          <w:sz w:val="24"/>
          <w:lang w:eastAsia="es-MX"/>
        </w:rPr>
        <w:t>0400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217852">
        <w:rPr>
          <w:rFonts w:ascii="Palatino Linotype" w:hAnsi="Palatino Linotype" w:cs="Arial"/>
          <w:b/>
          <w:bCs/>
          <w:sz w:val="24"/>
          <w:lang w:eastAsia="es-MX"/>
        </w:rPr>
        <w:t>2</w:t>
      </w:r>
      <w:r w:rsidR="00431578">
        <w:rPr>
          <w:rFonts w:ascii="Palatino Linotype" w:hAnsi="Palatino Linotype" w:cs="Arial"/>
          <w:b/>
          <w:bCs/>
          <w:sz w:val="24"/>
          <w:lang w:eastAsia="es-MX"/>
        </w:rPr>
        <w:t>1</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431578">
        <w:rPr>
          <w:rFonts w:ascii="Palatino Linotype" w:hAnsi="Palatino Linotype" w:cs="Arial"/>
          <w:sz w:val="24"/>
          <w:szCs w:val="24"/>
        </w:rPr>
        <w:t xml:space="preserve">la </w:t>
      </w:r>
      <w:r w:rsidR="00431578">
        <w:rPr>
          <w:rFonts w:ascii="Palatino Linotype" w:hAnsi="Palatino Linotype" w:cs="Arial"/>
          <w:b/>
          <w:bCs/>
          <w:sz w:val="24"/>
          <w:szCs w:val="24"/>
        </w:rPr>
        <w:t xml:space="preserve">C. </w:t>
      </w:r>
      <w:r w:rsidR="00C47851">
        <w:rPr>
          <w:rFonts w:ascii="Palatino Linotype" w:hAnsi="Palatino Linotype" w:cs="Arial"/>
          <w:b/>
          <w:bCs/>
          <w:sz w:val="24"/>
          <w:szCs w:val="24"/>
        </w:rPr>
        <w:t>xxxxxxxxxxxxxxxxxxxxxxxxxxxx</w:t>
      </w:r>
      <w:r w:rsidR="00431578">
        <w:rPr>
          <w:rFonts w:ascii="Palatino Linotype" w:hAnsi="Palatino Linotype" w:cs="Arial"/>
          <w:b/>
          <w:bCs/>
          <w:sz w:val="24"/>
          <w:szCs w:val="24"/>
        </w:rPr>
        <w:t xml:space="preserve"> </w:t>
      </w:r>
      <w:r w:rsidR="00C47851">
        <w:rPr>
          <w:rFonts w:ascii="Palatino Linotype" w:hAnsi="Palatino Linotype" w:cs="Arial"/>
          <w:b/>
          <w:bCs/>
          <w:sz w:val="24"/>
          <w:szCs w:val="24"/>
        </w:rPr>
        <w:t>xxxxxxx</w:t>
      </w:r>
      <w:r w:rsidR="00431578">
        <w:rPr>
          <w:rFonts w:ascii="Palatino Linotype" w:hAnsi="Palatino Linotype" w:cs="Arial"/>
          <w:b/>
          <w:bCs/>
          <w:sz w:val="24"/>
          <w:szCs w:val="24"/>
        </w:rPr>
        <w:t xml:space="preserve">, </w:t>
      </w:r>
      <w:r w:rsidR="00431578">
        <w:rPr>
          <w:rFonts w:ascii="Palatino Linotype" w:hAnsi="Palatino Linotype" w:cs="Arial"/>
          <w:sz w:val="24"/>
          <w:szCs w:val="24"/>
        </w:rPr>
        <w:t xml:space="preserve">en lo subsecuente </w:t>
      </w:r>
      <w:r w:rsidR="00431578">
        <w:rPr>
          <w:rFonts w:ascii="Palatino Linotype" w:hAnsi="Palatino Linotype" w:cs="Arial"/>
          <w:b/>
          <w:bCs/>
          <w:sz w:val="24"/>
          <w:szCs w:val="24"/>
        </w:rPr>
        <w:t xml:space="preserve">La Recurrente, </w:t>
      </w:r>
      <w:r w:rsidR="00431578">
        <w:rPr>
          <w:rFonts w:ascii="Palatino Linotype" w:hAnsi="Palatino Linotype" w:cs="Arial"/>
          <w:sz w:val="24"/>
          <w:szCs w:val="24"/>
        </w:rPr>
        <w:t xml:space="preserve">en contra de la respuesta del </w:t>
      </w:r>
      <w:r w:rsidR="00431578">
        <w:rPr>
          <w:rFonts w:ascii="Palatino Linotype" w:hAnsi="Palatino Linotype" w:cs="Arial"/>
          <w:b/>
          <w:bCs/>
          <w:sz w:val="24"/>
          <w:szCs w:val="24"/>
        </w:rPr>
        <w:t xml:space="preserve">Ayuntamiento de Naucalpan de Juárez, </w:t>
      </w:r>
      <w:r w:rsidR="00431578">
        <w:rPr>
          <w:rFonts w:ascii="Palatino Linotype" w:hAnsi="Palatino Linotype" w:cs="Arial"/>
          <w:sz w:val="24"/>
          <w:szCs w:val="24"/>
        </w:rPr>
        <w:t xml:space="preserve">en lo subsecuente </w:t>
      </w:r>
      <w:r w:rsidR="00431578">
        <w:rPr>
          <w:rFonts w:ascii="Palatino Linotype" w:hAnsi="Palatino Linotype" w:cs="Arial"/>
          <w:b/>
          <w:bCs/>
          <w:sz w:val="24"/>
          <w:szCs w:val="24"/>
        </w:rPr>
        <w:t xml:space="preserve">El Sujeto Obligado, </w:t>
      </w:r>
      <w:r w:rsidR="00431578">
        <w:rPr>
          <w:rFonts w:ascii="Palatino Linotype" w:hAnsi="Palatino Linotype" w:cs="Arial"/>
          <w:sz w:val="24"/>
          <w:szCs w:val="24"/>
        </w:rPr>
        <w:t xml:space="preserve">se procede a dictar la presente resolución. </w:t>
      </w:r>
    </w:p>
    <w:p w14:paraId="1BAA5FAB" w14:textId="77777777" w:rsidR="00247D10" w:rsidRDefault="00247D10" w:rsidP="00844569">
      <w:pPr>
        <w:tabs>
          <w:tab w:val="left" w:pos="1701"/>
        </w:tabs>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687CA30" w14:textId="59C657F3" w:rsidR="00431578"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431578">
        <w:rPr>
          <w:rFonts w:ascii="Palatino Linotype" w:hAnsi="Palatino Linotype" w:cs="Arial"/>
          <w:sz w:val="24"/>
        </w:rPr>
        <w:t xml:space="preserve">ocho de febrero de dos mil veintiuno, </w:t>
      </w:r>
      <w:r w:rsidR="00431578">
        <w:rPr>
          <w:rFonts w:ascii="Palatino Linotype" w:hAnsi="Palatino Linotype" w:cs="Arial"/>
          <w:b/>
          <w:bCs/>
          <w:sz w:val="24"/>
        </w:rPr>
        <w:t xml:space="preserve">La Recurrente, </w:t>
      </w:r>
      <w:r w:rsidR="00431578">
        <w:rPr>
          <w:rFonts w:ascii="Palatino Linotype" w:hAnsi="Palatino Linotype" w:cs="Arial"/>
          <w:sz w:val="24"/>
        </w:rPr>
        <w:t>presentó a través del Sistema de Acceso a la Información Mexiquense (</w:t>
      </w:r>
      <w:r w:rsidR="00431578">
        <w:rPr>
          <w:rFonts w:ascii="Palatino Linotype" w:hAnsi="Palatino Linotype" w:cs="Arial"/>
          <w:b/>
          <w:sz w:val="24"/>
        </w:rPr>
        <w:t>SAIMEX)</w:t>
      </w:r>
      <w:r w:rsidR="00431578">
        <w:rPr>
          <w:rFonts w:ascii="Palatino Linotype" w:hAnsi="Palatino Linotype" w:cs="Arial"/>
          <w:sz w:val="24"/>
        </w:rPr>
        <w:t xml:space="preserve"> ante </w:t>
      </w:r>
      <w:r w:rsidR="00431578">
        <w:rPr>
          <w:rFonts w:ascii="Palatino Linotype" w:hAnsi="Palatino Linotype" w:cs="Arial"/>
          <w:b/>
          <w:sz w:val="24"/>
        </w:rPr>
        <w:t>El Sujeto Obligado</w:t>
      </w:r>
      <w:r w:rsidR="00431578">
        <w:rPr>
          <w:rFonts w:ascii="Palatino Linotype" w:hAnsi="Palatino Linotype" w:cs="Arial"/>
          <w:sz w:val="24"/>
        </w:rPr>
        <w:t xml:space="preserve">, solicitud de acceso a la información pública, registrada bajo el número de expediente </w:t>
      </w:r>
      <w:r w:rsidR="00431578">
        <w:rPr>
          <w:rFonts w:ascii="Palatino Linotype" w:hAnsi="Palatino Linotype" w:cs="Arial"/>
          <w:b/>
          <w:bCs/>
          <w:sz w:val="24"/>
        </w:rPr>
        <w:t xml:space="preserve">00037/NAUCALPA/IP/2021, </w:t>
      </w:r>
      <w:r w:rsidR="00431578">
        <w:rPr>
          <w:rFonts w:ascii="Palatino Linotype" w:hAnsi="Palatino Linotype" w:cs="Arial"/>
          <w:sz w:val="24"/>
        </w:rPr>
        <w:t xml:space="preserve">mediante la cual solicitó información en el tenor siguiente: </w:t>
      </w:r>
    </w:p>
    <w:p w14:paraId="2928F4D9" w14:textId="4B1A6E1C" w:rsidR="00431578" w:rsidRPr="00431578" w:rsidRDefault="00431578" w:rsidP="00431578">
      <w:pPr>
        <w:pStyle w:val="Citas"/>
        <w:rPr>
          <w:b/>
          <w:bCs/>
          <w:sz w:val="24"/>
        </w:rPr>
      </w:pPr>
      <w:r>
        <w:t xml:space="preserve">“Quiero conocer la incidencia delictiva en el municipio desde enero de 2020 a febrero 2021. Favor de mostrar la estadística desglosada por mes y por colonia. Gracias.” </w:t>
      </w:r>
      <w:r>
        <w:rPr>
          <w:b/>
          <w:bCs/>
        </w:rPr>
        <w:t>[Sic]</w:t>
      </w:r>
      <w:r w:rsidR="00ED0BB2">
        <w:rPr>
          <w:b/>
          <w:bCs/>
        </w:rPr>
        <w:tab/>
      </w:r>
    </w:p>
    <w:p w14:paraId="059B1A9B" w14:textId="43EA0551" w:rsidR="006168E4" w:rsidRDefault="006168E4" w:rsidP="00C47851">
      <w:pPr>
        <w:tabs>
          <w:tab w:val="left" w:pos="6330"/>
        </w:tabs>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8A68CA">
        <w:rPr>
          <w:rFonts w:ascii="Palatino Linotype" w:eastAsia="Times New Roman" w:hAnsi="Palatino Linotype" w:cs="Times New Roman"/>
          <w:sz w:val="24"/>
          <w:szCs w:val="24"/>
          <w:lang w:val="es-ES_tradnl" w:eastAsia="es-ES"/>
        </w:rPr>
        <w:t>A través del SAIMEX</w:t>
      </w:r>
      <w:r w:rsidR="006323CA">
        <w:rPr>
          <w:rFonts w:ascii="Palatino Linotype" w:eastAsia="Times New Roman" w:hAnsi="Palatino Linotype" w:cs="Times New Roman"/>
          <w:sz w:val="24"/>
          <w:szCs w:val="24"/>
          <w:lang w:val="es-ES_tradnl" w:eastAsia="es-ES"/>
        </w:rPr>
        <w:t xml:space="preserve">. </w:t>
      </w:r>
      <w:r w:rsidR="00C47851">
        <w:rPr>
          <w:rFonts w:ascii="Palatino Linotype" w:eastAsia="Times New Roman" w:hAnsi="Palatino Linotype" w:cs="Times New Roman"/>
          <w:sz w:val="24"/>
          <w:szCs w:val="24"/>
          <w:lang w:val="es-ES_tradnl" w:eastAsia="es-ES"/>
        </w:rPr>
        <w:tab/>
      </w:r>
    </w:p>
    <w:p w14:paraId="45FD11BE" w14:textId="77777777" w:rsidR="006323CA" w:rsidRDefault="006323CA"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37E99483"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6D0E24EC" w14:textId="388593D2" w:rsidR="00431578" w:rsidRPr="00431578"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431578">
        <w:rPr>
          <w:rFonts w:ascii="Palatino Linotype" w:hAnsi="Palatino Linotype" w:cs="Arial"/>
          <w:sz w:val="24"/>
          <w:szCs w:val="24"/>
        </w:rPr>
        <w:t xml:space="preserve">nueve de febrero de dos mil veintiuno, </w:t>
      </w:r>
      <w:r w:rsidR="00431578">
        <w:rPr>
          <w:rFonts w:ascii="Palatino Linotype" w:hAnsi="Palatino Linotype" w:cs="Arial"/>
          <w:b/>
          <w:bCs/>
          <w:sz w:val="24"/>
          <w:szCs w:val="24"/>
        </w:rPr>
        <w:t xml:space="preserve">El Sujeto Obligado </w:t>
      </w:r>
      <w:r w:rsidR="00431578">
        <w:rPr>
          <w:rFonts w:ascii="Palatino Linotype" w:hAnsi="Palatino Linotype" w:cs="Arial"/>
          <w:sz w:val="24"/>
          <w:szCs w:val="24"/>
        </w:rPr>
        <w:t xml:space="preserve">dio respuesta a la solicitud de información </w:t>
      </w:r>
      <w:r w:rsidR="00431578">
        <w:rPr>
          <w:rFonts w:ascii="Palatino Linotype" w:hAnsi="Palatino Linotype" w:cs="Arial"/>
          <w:b/>
          <w:bCs/>
          <w:sz w:val="24"/>
          <w:szCs w:val="24"/>
        </w:rPr>
        <w:t xml:space="preserve">00037/NAUCALPA/IP/2021, </w:t>
      </w:r>
      <w:r w:rsidR="00431578">
        <w:rPr>
          <w:rFonts w:ascii="Palatino Linotype" w:hAnsi="Palatino Linotype" w:cs="Arial"/>
          <w:sz w:val="24"/>
          <w:szCs w:val="24"/>
        </w:rPr>
        <w:t xml:space="preserve">resulta de nuestro interés lo siguiente: </w:t>
      </w:r>
    </w:p>
    <w:p w14:paraId="15811E79" w14:textId="1B273822" w:rsidR="00431578" w:rsidRPr="00431578" w:rsidRDefault="00431578" w:rsidP="00431578">
      <w:pPr>
        <w:pStyle w:val="Citas"/>
        <w:rPr>
          <w:b/>
          <w:bCs/>
          <w:sz w:val="24"/>
          <w:szCs w:val="24"/>
        </w:rPr>
      </w:pPr>
      <w:r>
        <w:t xml:space="preserve">“Quiero conocer la incidencia delictiva en el municipio desde enero de 2020 a febrero 2021. Favor de mostrar la estadística desglosada por mes y por colonia. Gracias” </w:t>
      </w:r>
      <w:r>
        <w:rPr>
          <w:b/>
          <w:bCs/>
        </w:rPr>
        <w:t>[Sic]</w:t>
      </w:r>
    </w:p>
    <w:p w14:paraId="21F3B1CC" w14:textId="77777777" w:rsidR="00431578" w:rsidRDefault="00431578" w:rsidP="00045379">
      <w:pPr>
        <w:spacing w:before="240" w:line="360" w:lineRule="auto"/>
        <w:jc w:val="both"/>
        <w:rPr>
          <w:rFonts w:ascii="Palatino Linotype" w:hAnsi="Palatino Linotype" w:cs="Arial"/>
          <w:sz w:val="24"/>
          <w:szCs w:val="24"/>
        </w:rPr>
      </w:pPr>
    </w:p>
    <w:p w14:paraId="0B2447BD" w14:textId="3A9C4BC1" w:rsidR="00431578" w:rsidRDefault="00431578"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remitió el documento electrónico </w:t>
      </w:r>
      <w:r>
        <w:rPr>
          <w:rFonts w:ascii="Palatino Linotype" w:hAnsi="Palatino Linotype" w:cs="Arial"/>
          <w:b/>
          <w:bCs/>
          <w:sz w:val="24"/>
          <w:szCs w:val="24"/>
        </w:rPr>
        <w:t xml:space="preserve">“37.pdf”, </w:t>
      </w:r>
      <w:r>
        <w:rPr>
          <w:rFonts w:ascii="Palatino Linotype" w:hAnsi="Palatino Linotype" w:cs="Arial"/>
          <w:sz w:val="24"/>
          <w:szCs w:val="24"/>
        </w:rPr>
        <w:t>sirve</w:t>
      </w:r>
      <w:r w:rsidR="00C6648A">
        <w:rPr>
          <w:rFonts w:ascii="Palatino Linotype" w:hAnsi="Palatino Linotype" w:cs="Arial"/>
          <w:sz w:val="24"/>
          <w:szCs w:val="24"/>
        </w:rPr>
        <w:t>n</w:t>
      </w:r>
      <w:r>
        <w:rPr>
          <w:rFonts w:ascii="Palatino Linotype" w:hAnsi="Palatino Linotype" w:cs="Arial"/>
          <w:sz w:val="24"/>
          <w:szCs w:val="24"/>
        </w:rPr>
        <w:t xml:space="preserve"> de sustento la</w:t>
      </w:r>
      <w:r w:rsidR="00C6648A">
        <w:rPr>
          <w:rFonts w:ascii="Palatino Linotype" w:hAnsi="Palatino Linotype" w:cs="Arial"/>
          <w:sz w:val="24"/>
          <w:szCs w:val="24"/>
        </w:rPr>
        <w:t>s</w:t>
      </w:r>
      <w:r>
        <w:rPr>
          <w:rFonts w:ascii="Palatino Linotype" w:hAnsi="Palatino Linotype" w:cs="Arial"/>
          <w:sz w:val="24"/>
          <w:szCs w:val="24"/>
        </w:rPr>
        <w:t xml:space="preserve"> siguiente</w:t>
      </w:r>
      <w:r w:rsidR="00C6648A">
        <w:rPr>
          <w:rFonts w:ascii="Palatino Linotype" w:hAnsi="Palatino Linotype" w:cs="Arial"/>
          <w:sz w:val="24"/>
          <w:szCs w:val="24"/>
        </w:rPr>
        <w:t>s</w:t>
      </w:r>
      <w:r>
        <w:rPr>
          <w:rFonts w:ascii="Palatino Linotype" w:hAnsi="Palatino Linotype" w:cs="Arial"/>
          <w:sz w:val="24"/>
          <w:szCs w:val="24"/>
        </w:rPr>
        <w:t xml:space="preserve"> </w:t>
      </w:r>
      <w:r w:rsidR="00C6648A">
        <w:rPr>
          <w:rFonts w:ascii="Palatino Linotype" w:hAnsi="Palatino Linotype" w:cs="Arial"/>
          <w:sz w:val="24"/>
          <w:szCs w:val="24"/>
        </w:rPr>
        <w:t>imágenes</w:t>
      </w:r>
      <w:r>
        <w:rPr>
          <w:rFonts w:ascii="Palatino Linotype" w:hAnsi="Palatino Linotype" w:cs="Arial"/>
          <w:sz w:val="24"/>
          <w:szCs w:val="24"/>
        </w:rPr>
        <w:t xml:space="preserve"> ilustrativa</w:t>
      </w:r>
      <w:r w:rsidR="00C6648A">
        <w:rPr>
          <w:rFonts w:ascii="Palatino Linotype" w:hAnsi="Palatino Linotype" w:cs="Arial"/>
          <w:sz w:val="24"/>
          <w:szCs w:val="24"/>
        </w:rPr>
        <w:t>s</w:t>
      </w:r>
      <w:r>
        <w:rPr>
          <w:rFonts w:ascii="Palatino Linotype" w:hAnsi="Palatino Linotype" w:cs="Arial"/>
          <w:sz w:val="24"/>
          <w:szCs w:val="24"/>
        </w:rPr>
        <w:t xml:space="preserve">: </w:t>
      </w:r>
    </w:p>
    <w:p w14:paraId="42CEBA2A" w14:textId="13A2460E" w:rsidR="00431578" w:rsidRDefault="00C6648A" w:rsidP="0004537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6358" behindDoc="0" locked="0" layoutInCell="1" allowOverlap="1" wp14:anchorId="53663923" wp14:editId="746A123F">
                <wp:simplePos x="0" y="0"/>
                <wp:positionH relativeFrom="column">
                  <wp:posOffset>-255188</wp:posOffset>
                </wp:positionH>
                <wp:positionV relativeFrom="paragraph">
                  <wp:posOffset>67116</wp:posOffset>
                </wp:positionV>
                <wp:extent cx="6341165" cy="2723321"/>
                <wp:effectExtent l="0" t="0" r="21590" b="20320"/>
                <wp:wrapNone/>
                <wp:docPr id="5" name="Conector recto 5"/>
                <wp:cNvGraphicFramePr/>
                <a:graphic xmlns:a="http://schemas.openxmlformats.org/drawingml/2006/main">
                  <a:graphicData uri="http://schemas.microsoft.com/office/word/2010/wordprocessingShape">
                    <wps:wsp>
                      <wps:cNvCnPr/>
                      <wps:spPr>
                        <a:xfrm>
                          <a:off x="0" y="0"/>
                          <a:ext cx="6341165" cy="27233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EF168DE" id="Conector recto 5" o:spid="_x0000_s1026" style="position:absolute;z-index:251706358;visibility:visible;mso-wrap-style:square;mso-wrap-distance-left:9pt;mso-wrap-distance-top:0;mso-wrap-distance-right:9pt;mso-wrap-distance-bottom:0;mso-position-horizontal:absolute;mso-position-horizontal-relative:text;mso-position-vertical:absolute;mso-position-vertical-relative:text" from="-20.1pt,5.3pt" to="479.2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ttgEAAMUDAAAOAAAAZHJzL2Uyb0RvYy54bWysU8uOEzEQvCPxD5bvZB5hAxplsoes4IIg&#10;guUDvJ52xpJfapvM5O9pO8ksAiQE4uJnV3VXub29n61hJ8Covet5s6o5Ayf9oN2x518f3716y1lM&#10;wg3CeAc9P0Pk97uXL7ZT6KD1ozcDICMSF7sp9HxMKXRVFeUIVsSVD+DoUnm0ItEWj9WAYiJ2a6q2&#10;rjfV5HEI6CXESKcPl0u+K/xKgUyflIqQmOk51ZbKiGV8ymO124ruiCKMWl7LEP9QhRXaUdKF6kEk&#10;wb6h/oXKaok+epVW0tvKK6UlFA2kpql/UvNlFAGKFjInhsWm+P9o5cfTAZkeen7HmROWnmhPDyWT&#10;R4Z5YnfZoynEjkL37oDXXQwHzIJnhTbPJIXNxdfz4ivMiUk63KxfN82GEki6a9+063XbZNbqGR4w&#10;pvfgLcuLnhvtsnDRidOHmC6htxDC5XIuBZRVOhvIwcZ9BkViKGVT0KWNYG+QnQQ1gJASXLqlLtEZ&#10;prQxC7D+M/Aan6FQWuxvwAuiZPYuLWCrncffZU/zrWR1ib85cNGdLXjyw7k8TbGGeqWYe+3r3Iw/&#10;7gv8+fftvgMAAP//AwBQSwMEFAAGAAgAAAAhANFAWcPiAAAACgEAAA8AAABkcnMvZG93bnJldi54&#10;bWxMj1FPwjAUhd9N/A/NNfENWucgMNcRQmJEEkMAE3ws63WbrrdLW9j499Ynfbw5X875br4YTMsu&#10;6HxjScLDWABDKq1uqJLwfngezYD5oEir1hJKuKKHRXF7k6tM2552eNmHisUS8pmSUIfQZZz7skaj&#10;/Nh2SDH7tM6oEE9Xce1UH8tNyxMhptyohuJCrTpc1Vh+789Gwptbr1fLzfWLth+mPyab4/Z1eJHy&#10;/m5YPgELOIQ/GH71ozoU0elkz6Q9ayWMUpFENAZiCiwC88ksBXaSkD7OJ8CLnP9/ofgBAAD//wMA&#10;UEsBAi0AFAAGAAgAAAAhALaDOJL+AAAA4QEAABMAAAAAAAAAAAAAAAAAAAAAAFtDb250ZW50X1R5&#10;cGVzXS54bWxQSwECLQAUAAYACAAAACEAOP0h/9YAAACUAQAACwAAAAAAAAAAAAAAAAAvAQAAX3Jl&#10;bHMvLnJlbHNQSwECLQAUAAYACAAAACEA/0xXrbYBAADFAwAADgAAAAAAAAAAAAAAAAAuAgAAZHJz&#10;L2Uyb0RvYy54bWxQSwECLQAUAAYACAAAACEA0UBZw+IAAAAKAQAADwAAAAAAAAAAAAAAAAAQBAAA&#10;ZHJzL2Rvd25yZXYueG1sUEsFBgAAAAAEAAQA8wAAAB8FAAAAAA==&#10;" strokecolor="#5b9bd5 [3204]" strokeweight=".5pt">
                <v:stroke joinstyle="miter"/>
              </v:line>
            </w:pict>
          </mc:Fallback>
        </mc:AlternateContent>
      </w:r>
    </w:p>
    <w:p w14:paraId="226A08A7" w14:textId="58DAB1E1" w:rsidR="00431578" w:rsidRDefault="00431578" w:rsidP="00045379">
      <w:pPr>
        <w:spacing w:before="240" w:line="360" w:lineRule="auto"/>
        <w:jc w:val="both"/>
        <w:rPr>
          <w:rFonts w:ascii="Palatino Linotype" w:hAnsi="Palatino Linotype" w:cs="Arial"/>
          <w:sz w:val="24"/>
          <w:szCs w:val="24"/>
        </w:rPr>
      </w:pPr>
    </w:p>
    <w:p w14:paraId="58E6DBF4" w14:textId="2B9109F7" w:rsidR="00431578" w:rsidRDefault="00431578" w:rsidP="00045379">
      <w:pPr>
        <w:spacing w:before="240" w:line="360" w:lineRule="auto"/>
        <w:jc w:val="both"/>
        <w:rPr>
          <w:rFonts w:ascii="Palatino Linotype" w:hAnsi="Palatino Linotype" w:cs="Arial"/>
          <w:sz w:val="24"/>
          <w:szCs w:val="24"/>
        </w:rPr>
      </w:pPr>
    </w:p>
    <w:p w14:paraId="763818E7" w14:textId="61203D64" w:rsidR="00431578" w:rsidRDefault="00431578" w:rsidP="00045379">
      <w:pPr>
        <w:spacing w:before="240" w:line="360" w:lineRule="auto"/>
        <w:jc w:val="both"/>
        <w:rPr>
          <w:rFonts w:ascii="Palatino Linotype" w:hAnsi="Palatino Linotype" w:cs="Arial"/>
          <w:sz w:val="24"/>
          <w:szCs w:val="24"/>
        </w:rPr>
      </w:pPr>
    </w:p>
    <w:p w14:paraId="2CE01FB0" w14:textId="2D2C6E2B" w:rsidR="00431578" w:rsidRDefault="00431578" w:rsidP="00045379">
      <w:pPr>
        <w:spacing w:before="240" w:line="360" w:lineRule="auto"/>
        <w:jc w:val="both"/>
        <w:rPr>
          <w:rFonts w:ascii="Palatino Linotype" w:hAnsi="Palatino Linotype" w:cs="Arial"/>
          <w:sz w:val="24"/>
          <w:szCs w:val="24"/>
        </w:rPr>
      </w:pPr>
    </w:p>
    <w:p w14:paraId="1C8B2930" w14:textId="0A0252B2" w:rsidR="00431578" w:rsidRDefault="00431578" w:rsidP="00045379">
      <w:pPr>
        <w:spacing w:before="240" w:line="360" w:lineRule="auto"/>
        <w:jc w:val="both"/>
        <w:rPr>
          <w:rFonts w:ascii="Palatino Linotype" w:hAnsi="Palatino Linotype" w:cs="Arial"/>
          <w:sz w:val="24"/>
          <w:szCs w:val="24"/>
        </w:rPr>
      </w:pPr>
    </w:p>
    <w:p w14:paraId="521DB9ED" w14:textId="643718C8" w:rsidR="00C6648A" w:rsidRDefault="00C6648A" w:rsidP="0004537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09430" behindDoc="0" locked="0" layoutInCell="1" allowOverlap="1" wp14:anchorId="5CAA2EE6" wp14:editId="075FA51A">
            <wp:simplePos x="0" y="0"/>
            <wp:positionH relativeFrom="page">
              <wp:align>center</wp:align>
            </wp:positionH>
            <wp:positionV relativeFrom="paragraph">
              <wp:posOffset>3678898</wp:posOffset>
            </wp:positionV>
            <wp:extent cx="5760720" cy="3312795"/>
            <wp:effectExtent l="0" t="0" r="0" b="1905"/>
            <wp:wrapThrough wrapText="bothSides">
              <wp:wrapPolygon edited="0">
                <wp:start x="0" y="0"/>
                <wp:lineTo x="0" y="21488"/>
                <wp:lineTo x="21500" y="21488"/>
                <wp:lineTo x="2150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126" cy="3316144"/>
                    </a:xfrm>
                    <a:prstGeom prst="rect">
                      <a:avLst/>
                    </a:prstGeom>
                    <a:noFill/>
                    <a:ln>
                      <a:noFill/>
                    </a:ln>
                  </pic:spPr>
                </pic:pic>
              </a:graphicData>
            </a:graphic>
            <wp14:sizeRelH relativeFrom="page">
              <wp14:pctWidth>0</wp14:pctWidth>
            </wp14:sizeRelH>
            <wp14:sizeRelV relativeFrom="page">
              <wp14:pctHeight>0</wp14:pctHeight>
            </wp14:sizeRelV>
          </wp:anchor>
        </w:drawing>
      </w:r>
      <w:r w:rsidR="00F42335">
        <w:rPr>
          <w:rFonts w:ascii="Palatino Linotype" w:hAnsi="Palatino Linotype" w:cs="Arial"/>
          <w:noProof/>
          <w:sz w:val="24"/>
          <w:szCs w:val="24"/>
          <w:lang w:eastAsia="es-MX"/>
        </w:rPr>
        <w:drawing>
          <wp:inline distT="0" distB="0" distL="0" distR="0" wp14:anchorId="4281EF4A" wp14:editId="05D72D53">
            <wp:extent cx="5726017" cy="3322622"/>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986" cy="3330728"/>
                    </a:xfrm>
                    <a:prstGeom prst="rect">
                      <a:avLst/>
                    </a:prstGeom>
                    <a:noFill/>
                    <a:ln>
                      <a:noFill/>
                    </a:ln>
                  </pic:spPr>
                </pic:pic>
              </a:graphicData>
            </a:graphic>
          </wp:inline>
        </w:drawing>
      </w:r>
    </w:p>
    <w:p w14:paraId="1BC96F5F" w14:textId="3E5D8038" w:rsidR="00C6648A" w:rsidRDefault="00C6648A" w:rsidP="00045379">
      <w:pPr>
        <w:spacing w:before="240" w:line="360" w:lineRule="auto"/>
        <w:jc w:val="both"/>
        <w:rPr>
          <w:rFonts w:ascii="Palatino Linotype" w:hAnsi="Palatino Linotype" w:cs="Arial"/>
          <w:sz w:val="24"/>
          <w:szCs w:val="24"/>
        </w:rPr>
      </w:pPr>
      <w:bookmarkStart w:id="0" w:name="_GoBack"/>
      <w:bookmarkEnd w:id="0"/>
      <w:r>
        <w:rPr>
          <w:rFonts w:ascii="Palatino Linotype" w:hAnsi="Palatino Linotype" w:cs="Arial"/>
          <w:noProof/>
          <w:sz w:val="24"/>
          <w:szCs w:val="24"/>
          <w:lang w:eastAsia="es-MX"/>
        </w:rPr>
        <w:lastRenderedPageBreak/>
        <w:drawing>
          <wp:anchor distT="0" distB="0" distL="114300" distR="114300" simplePos="0" relativeHeight="251707382" behindDoc="0" locked="0" layoutInCell="1" allowOverlap="1" wp14:anchorId="27790269" wp14:editId="240CCA79">
            <wp:simplePos x="0" y="0"/>
            <wp:positionH relativeFrom="page">
              <wp:align>center</wp:align>
            </wp:positionH>
            <wp:positionV relativeFrom="paragraph">
              <wp:posOffset>48697</wp:posOffset>
            </wp:positionV>
            <wp:extent cx="5760720" cy="3300095"/>
            <wp:effectExtent l="19050" t="19050" r="11430" b="14605"/>
            <wp:wrapThrough wrapText="bothSides">
              <wp:wrapPolygon edited="0">
                <wp:start x="-71" y="-125"/>
                <wp:lineTo x="-71" y="21571"/>
                <wp:lineTo x="21571" y="21571"/>
                <wp:lineTo x="21571" y="-125"/>
                <wp:lineTo x="-71" y="-125"/>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7AABFA10" w14:textId="7F42A905" w:rsidR="00C6648A" w:rsidRPr="004101A5"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C6648A">
        <w:rPr>
          <w:rFonts w:ascii="Palatino Linotype" w:hAnsi="Palatino Linotype" w:cs="Arial"/>
          <w:b/>
          <w:sz w:val="24"/>
          <w:szCs w:val="24"/>
        </w:rPr>
        <w:t>La</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8B42B1">
        <w:rPr>
          <w:rFonts w:ascii="Palatino Linotype" w:hAnsi="Palatino Linotype" w:cs="Arial"/>
          <w:sz w:val="24"/>
          <w:szCs w:val="24"/>
        </w:rPr>
        <w:t xml:space="preserve"> </w:t>
      </w:r>
      <w:r w:rsidR="004101A5">
        <w:rPr>
          <w:rFonts w:ascii="Palatino Linotype" w:hAnsi="Palatino Linotype" w:cs="Arial"/>
          <w:sz w:val="24"/>
          <w:szCs w:val="24"/>
        </w:rPr>
        <w:t xml:space="preserve">dieciséis de febrero de dos mil veintiuno, el cual fue registrado en el sistema electrónico con el expediente número </w:t>
      </w:r>
      <w:r w:rsidR="004101A5">
        <w:rPr>
          <w:rFonts w:ascii="Palatino Linotype" w:hAnsi="Palatino Linotype" w:cs="Arial"/>
          <w:b/>
          <w:bCs/>
          <w:sz w:val="24"/>
          <w:szCs w:val="24"/>
        </w:rPr>
        <w:t xml:space="preserve">00400/INFOEM/IP/RR/2021, </w:t>
      </w:r>
      <w:r w:rsidR="004101A5">
        <w:rPr>
          <w:rFonts w:ascii="Palatino Linotype" w:hAnsi="Palatino Linotype" w:cs="Arial"/>
          <w:sz w:val="24"/>
          <w:szCs w:val="24"/>
        </w:rPr>
        <w:t xml:space="preserve">en el cual arguye, las siguientes manifestaciones: </w:t>
      </w:r>
    </w:p>
    <w:p w14:paraId="3774298B" w14:textId="0A58ED01"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719E59E1" w:rsidR="006168E4" w:rsidRDefault="006168E4" w:rsidP="00A75001">
      <w:pPr>
        <w:pStyle w:val="Citas"/>
      </w:pPr>
      <w:r w:rsidRPr="00EE13C6">
        <w:t>“</w:t>
      </w:r>
      <w:r w:rsidR="00EE13C6" w:rsidRPr="00EE13C6">
        <w:t>El ayuntamiento de Naucalpan niega información pública y alega "incompetencia"</w:t>
      </w:r>
      <w:r w:rsidR="00454CE6" w:rsidRPr="00774A9C">
        <w:t xml:space="preserve"> </w:t>
      </w:r>
      <w:r w:rsidRPr="00DC168A">
        <w:rPr>
          <w:b/>
          <w:bCs/>
        </w:rPr>
        <w:t>[</w:t>
      </w:r>
      <w:r w:rsidR="008B42B1" w:rsidRPr="00DC168A">
        <w:rPr>
          <w:b/>
          <w:bCs/>
        </w:rPr>
        <w:t>S</w:t>
      </w:r>
      <w:r w:rsidRPr="00DC168A">
        <w:rPr>
          <w:b/>
          <w:bCs/>
        </w:rPr>
        <w:t>ic]</w:t>
      </w:r>
    </w:p>
    <w:p w14:paraId="01878A36" w14:textId="77777777" w:rsidR="00DC168A" w:rsidRPr="000B426F" w:rsidRDefault="00DC168A" w:rsidP="00DC168A">
      <w:pPr>
        <w:jc w:val="both"/>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17E1F550" w14:textId="6198C832" w:rsidR="00DB5E40" w:rsidRPr="00DC168A" w:rsidRDefault="00DB5E40" w:rsidP="00A75001">
      <w:pPr>
        <w:pStyle w:val="Citas"/>
      </w:pPr>
      <w:r w:rsidRPr="00EE13C6">
        <w:t>“</w:t>
      </w:r>
      <w:r w:rsidR="00EE13C6" w:rsidRPr="00EE13C6">
        <w:t>El municipio niega la información, además responde de manera inadecuada. Al solicitar información sobre la incidencia delictiva en el municipio de Naucalpan, éste responde que tiene "Incompetencia</w:t>
      </w:r>
      <w:r w:rsidR="00EE13C6" w:rsidRPr="00EE13C6">
        <w:rPr>
          <w:b/>
          <w:bCs/>
          <w:u w:val="single"/>
        </w:rPr>
        <w:t xml:space="preserve">". Y anexa un archivo pdf al que ni siquiera es posible acceder o abrir. Además, considero que el ayuntamiento sí tiene la competencia para responder. </w:t>
      </w:r>
      <w:r w:rsidR="00EE13C6" w:rsidRPr="00EE13C6">
        <w:t xml:space="preserve">A continuación explico por qué. Mi solicitud fue esta: "Quiero conocer la incidencia delictiva en el municipio desde enero de 2020 a febrero 2021. Favor de mostrar la estadística desglosada por mes y por colonia. Gracias". </w:t>
      </w:r>
      <w:r w:rsidR="00EE13C6" w:rsidRPr="00EE13C6">
        <w:rPr>
          <w:b/>
          <w:bCs/>
          <w:u w:val="single"/>
        </w:rPr>
        <w:t>El ayuntamiento responde con "Incompetencia" y que corresponde a otra instancia a la que no menciona, o al menos, al no poder abrirse el archivo, no se sabe si se menciona.</w:t>
      </w:r>
      <w:r w:rsidR="00EE13C6" w:rsidRPr="00EE13C6">
        <w:t xml:space="preserve"> Continúo... El 12 de noviembre de 2020 el Ayuntamiento emitió este comunicado donde da cuenta de que sí tiene la información, independiente de cuál sea su fuente de alimentación: </w:t>
      </w:r>
      <w:hyperlink r:id="rId11" w:history="1">
        <w:r w:rsidR="00EE13C6" w:rsidRPr="00E01801">
          <w:rPr>
            <w:rStyle w:val="Hipervnculo"/>
          </w:rPr>
          <w:t>https://naucalpan.gob.mx/2020/11/12/disminuye-incidencia-delictiva-en-naucalpan/</w:t>
        </w:r>
      </w:hyperlink>
      <w:r w:rsidR="00EE13C6">
        <w:t xml:space="preserve"> </w:t>
      </w:r>
      <w:r w:rsidR="00EE13C6" w:rsidRPr="00EE13C6">
        <w:t xml:space="preserve">, en el se puede leer lo siguiente: "En Naucalpan disminuyó la incidencia delictiva respecto a los dos últimos años, informó el titular de la Dirección General de Seguridad Ciudadana, Lázaro Gaytán Aguirre. De diciembre del 2019 a septiembre del 2020, Naucalpan presentó la disminución del 86 por ciento en secuestros, 33 por ciento en robo de vehículos, 27 por ciento en robo a transeúnte, 16 por ciento en violaciones y 7 por ciento en lesiones dolosas, respecto al mismo periodo del 2018 al 2019" Además, para que un ayuntamiento y gobierno de cualquier nivel aplique programas y políticas públicas para mejorar o reforzar la seguridad, es necesario contar con la información sobre la incidencia delictiva, sino ¿cómo le hacen? En ese mismo comunicado también se lee: "En comparación con 2019 se redujeron los reportes de robo en transporte público y robo a casa habitación, en un </w:t>
      </w:r>
      <w:r w:rsidR="00EE13C6" w:rsidRPr="00EE13C6">
        <w:lastRenderedPageBreak/>
        <w:t>22 y 19 por ciento, respectivamente; sin embargo, la violencia intrafamiliar incrementó un 28 por ciento en la demarcación". ¿Cómo deducen eso sin tener información sobre la incidencia delictiva en el municipio? En otro comunicado con fecha del 7 de febrero de 2021 (</w:t>
      </w:r>
      <w:hyperlink r:id="rId12" w:history="1">
        <w:r w:rsidR="00EE13C6" w:rsidRPr="00E01801">
          <w:rPr>
            <w:rStyle w:val="Hipervnculo"/>
          </w:rPr>
          <w:t>https://naucalpan.gob.mx/2021/02/07/realiza-policia-de-naucalpan-operativo-en-san-rafael-chamapa/</w:t>
        </w:r>
      </w:hyperlink>
      <w:r w:rsidR="00EE13C6">
        <w:t xml:space="preserve"> </w:t>
      </w:r>
      <w:r w:rsidR="00EE13C6" w:rsidRPr="00EE13C6">
        <w:t xml:space="preserve">) se lee esto: "La Dirección General de Seguridad Ciudadana y Tránsito Municipal realizó un operativo de supervisión en las localidades de San Rafael Chamapa, Valle Dorado y La Mancha III, en el que participaron cerca de 30 elementos de diversas corporaciones y fueron inspeccionadas cerca de 30 personas, 10 motocicletas y 8 vehículos... Ramón Dulce Torres, director técnico de Seguridad Ciudadana de Naucalpan, informó que a partir de enero y durante febrero se llevan a cabo operativos de vigilancia en dos turnos, en las comunidades donde se presenta mayor incidencia delictiva". Aquí se confirma que sí tienen conocimiento de cuáles son las comunidades con mayor incidencia. Finalmente, quiero expresar que es lamentable que el Ayuntamiento haga que los ciudadanos recurramos a recursos de revisión y a otras instancias para obtener información tan básica, necesaria y esencial, solo por que las autoridades no tienen voluntad de darla a conocer. Solicito se revise la respuesta de incompetencia a la que alega el departamento de Transparencia de Naucalpan y se me brinde la información de las comunidades/ colonias que solicito. En esta impugnación no adjunto documentos anexos por lo antes referido, la respuesta de transparencia del ayuntamiento no lo adjuntó correctamente, y se lee "Se ha producido un error al </w:t>
      </w:r>
      <w:r w:rsidR="009E4450">
        <w:rPr>
          <w:noProof/>
          <w:lang w:eastAsia="es-MX"/>
        </w:rPr>
        <mc:AlternateContent>
          <mc:Choice Requires="wps">
            <w:drawing>
              <wp:anchor distT="0" distB="0" distL="114300" distR="114300" simplePos="0" relativeHeight="251715574" behindDoc="0" locked="0" layoutInCell="1" allowOverlap="1" wp14:anchorId="3D45150F" wp14:editId="47D61D47">
                <wp:simplePos x="0" y="0"/>
                <wp:positionH relativeFrom="column">
                  <wp:posOffset>-257176</wp:posOffset>
                </wp:positionH>
                <wp:positionV relativeFrom="paragraph">
                  <wp:posOffset>6345918</wp:posOffset>
                </wp:positionV>
                <wp:extent cx="6394269" cy="1143000"/>
                <wp:effectExtent l="0" t="0" r="26035" b="19050"/>
                <wp:wrapNone/>
                <wp:docPr id="8" name="Conector recto 8"/>
                <wp:cNvGraphicFramePr/>
                <a:graphic xmlns:a="http://schemas.openxmlformats.org/drawingml/2006/main">
                  <a:graphicData uri="http://schemas.microsoft.com/office/word/2010/wordprocessingShape">
                    <wps:wsp>
                      <wps:cNvCnPr/>
                      <wps:spPr>
                        <a:xfrm>
                          <a:off x="0" y="0"/>
                          <a:ext cx="6394269" cy="1143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AE758" id="Conector recto 8" o:spid="_x0000_s1026" style="position:absolute;z-index:251715574;visibility:visible;mso-wrap-style:square;mso-wrap-distance-left:9pt;mso-wrap-distance-top:0;mso-wrap-distance-right:9pt;mso-wrap-distance-bottom:0;mso-position-horizontal:absolute;mso-position-horizontal-relative:text;mso-position-vertical:absolute;mso-position-vertical-relative:text" from="-20.25pt,499.7pt" to="483.25pt,5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nuuwEAAMUDAAAOAAAAZHJzL2Uyb0RvYy54bWysU9tu2zAMfR+wfxD0vthOi6A14vQhxfoy&#10;rMEuH6DKVCxAN1Bq7Px9KSVxi23AsKEvkijxkDyH1PpusoYdAKP2ruPNouYMnPS9dvuO//zx+dMN&#10;ZzEJ1wvjHXT8CJHfbT5+WI+hhaUfvOkBGQVxsR1Dx4eUQltVUQ5gRVz4AI4elUcrEpm4r3oUI0W3&#10;plrW9aoaPfYBvYQY6fb+9Mg3Jb5SINOjUhESMx2n2lJZsaxPea02a9HuUYRBy3MZ4j+qsEI7SjqH&#10;uhdJsGfUv4WyWqKPXqWF9LbySmkJhQOxaepf2HwfRIDChcSJYZYpvl9Y+fWwQ6b7jlOjnLDUoi01&#10;SiaPDPPGbrJGY4gtuW7dDs9WDDvMhCeFNu9EhU1F1+OsK0yJSbpcXd1eL1e3nEl6a5rrq7ouylev&#10;8IAxPYC3LB86brTLxEUrDl9iopTkenEhI5dzKqCc0tFAdjbuGygiQymbgi5jBFuD7CBoAISU4FKT&#10;CVG84p1hShszA+u/A8/+GQplxP4FPCNKZu/SDLbaefxT9jRdSlYn/4sCJ95ZgiffH0trijQ0K4Xh&#10;ea7zML61C/z1921eAAAA//8DAFBLAwQUAAYACAAAACEAnp2LVuIAAAAMAQAADwAAAGRycy9kb3du&#10;cmV2LnhtbEyPwU7CQBCG7ya+w2ZMvMEWgpXWbgkhMSIJIYIJHpfu2Fa7s013oeXtHU96nH++/PNN&#10;thhsIy7Y+dqRgsk4AoFUOFNTqeD98Dyag/BBk9GNI1RwRQ+L/PYm06lxPb3hZR9KwSXkU62gCqFN&#10;pfRFhVb7sWuRePfpOqsDj10pTad7LreNnEZRLK2uiS9UusVVhcX3/mwVbLv1erXcXL9o92H743Rz&#10;3L0OL0rd3w3LJxABh/AHw68+q0POTid3JuNFo2A0ix4YVZAkyQwEE0kcc3JidPLIkcwz+f+J/AcA&#10;AP//AwBQSwECLQAUAAYACAAAACEAtoM4kv4AAADhAQAAEwAAAAAAAAAAAAAAAAAAAAAAW0NvbnRl&#10;bnRfVHlwZXNdLnhtbFBLAQItABQABgAIAAAAIQA4/SH/1gAAAJQBAAALAAAAAAAAAAAAAAAAAC8B&#10;AABfcmVscy8ucmVsc1BLAQItABQABgAIAAAAIQDoK2nuuwEAAMUDAAAOAAAAAAAAAAAAAAAAAC4C&#10;AABkcnMvZTJvRG9jLnhtbFBLAQItABQABgAIAAAAIQCenYtW4gAAAAwBAAAPAAAAAAAAAAAAAAAA&#10;ABUEAABkcnMvZG93bnJldi54bWxQSwUGAAAAAAQABADzAAAAJAUAAAAA&#10;" strokecolor="#5b9bd5 [3204]" strokeweight=".5pt">
                <v:stroke joinstyle="miter"/>
              </v:line>
            </w:pict>
          </mc:Fallback>
        </mc:AlternateContent>
      </w:r>
      <w:r w:rsidR="00EE13C6" w:rsidRPr="00EE13C6">
        <w:t>cargar el documento PDF". Gracias.</w:t>
      </w:r>
      <w:r w:rsidRPr="00EE13C6">
        <w:t>”</w:t>
      </w:r>
      <w:r w:rsidRPr="00DC168A">
        <w:t xml:space="preserve"> </w:t>
      </w:r>
      <w:r w:rsidRPr="00DC168A">
        <w:rPr>
          <w:b/>
          <w:bCs/>
        </w:rPr>
        <w:t>[Sic]</w:t>
      </w:r>
    </w:p>
    <w:p w14:paraId="208399C4" w14:textId="77777777" w:rsidR="00AF68BC" w:rsidRDefault="00AF68BC" w:rsidP="00844569">
      <w:pPr>
        <w:spacing w:before="240" w:line="360" w:lineRule="auto"/>
        <w:jc w:val="both"/>
        <w:rPr>
          <w:rFonts w:ascii="Palatino Linotype" w:hAnsi="Palatino Linotype" w:cs="Arial"/>
          <w:b/>
          <w:sz w:val="28"/>
        </w:rPr>
      </w:pPr>
    </w:p>
    <w:p w14:paraId="73AEB457" w14:textId="77777777" w:rsidR="00AF68BC" w:rsidRDefault="00AF68BC" w:rsidP="00844569">
      <w:pPr>
        <w:spacing w:before="240" w:line="360" w:lineRule="auto"/>
        <w:jc w:val="both"/>
        <w:rPr>
          <w:rFonts w:ascii="Palatino Linotype" w:hAnsi="Palatino Linotype" w:cs="Arial"/>
          <w:b/>
          <w:sz w:val="28"/>
        </w:rPr>
      </w:pP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7A159C6A" w14:textId="005DB1C1" w:rsidR="00EE13C6"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A75001">
        <w:rPr>
          <w:rFonts w:ascii="Palatino Linotype" w:hAnsi="Palatino Linotype" w:cs="Arial"/>
          <w:sz w:val="24"/>
          <w:szCs w:val="24"/>
        </w:rPr>
        <w:t xml:space="preserve"> </w:t>
      </w:r>
      <w:r w:rsidR="00EE13C6">
        <w:rPr>
          <w:rFonts w:ascii="Palatino Linotype" w:hAnsi="Palatino Linotype" w:cs="Arial"/>
          <w:sz w:val="24"/>
          <w:szCs w:val="24"/>
        </w:rPr>
        <w:t xml:space="preserve">veintitrés de febrero de dos mil veintiuno, determinándose en él, un plazo de siete días para que las partes manifestaran lo que a su derecho corresponda en términos del numeral ya citado. </w:t>
      </w:r>
    </w:p>
    <w:p w14:paraId="710AF139" w14:textId="77777777" w:rsidR="00EE13C6" w:rsidRDefault="00EE13C6" w:rsidP="00844569">
      <w:pPr>
        <w:spacing w:before="240" w:line="360" w:lineRule="auto"/>
        <w:jc w:val="both"/>
        <w:rPr>
          <w:rFonts w:ascii="Palatino Linotype" w:hAnsi="Palatino Linotype" w:cs="Arial"/>
          <w:sz w:val="24"/>
          <w:szCs w:val="24"/>
        </w:rPr>
      </w:pP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2C8EDDB8" w14:textId="6152E353" w:rsidR="00EE13C6" w:rsidRPr="00ED0BB2" w:rsidRDefault="00A75001" w:rsidP="00A75001">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w:t>
      </w:r>
      <w:r w:rsidR="00EE13C6">
        <w:rPr>
          <w:rFonts w:ascii="Palatino Linotype" w:hAnsi="Palatino Linotype" w:cs="Arial"/>
          <w:sz w:val="24"/>
          <w:szCs w:val="24"/>
        </w:rPr>
        <w:t xml:space="preserve">en el expediente electrónico se advierte que en el expediente electrónico del recurso de revisión, </w:t>
      </w:r>
      <w:r w:rsidR="00EE13C6">
        <w:rPr>
          <w:rFonts w:ascii="Palatino Linotype" w:hAnsi="Palatino Linotype" w:cs="Arial"/>
          <w:b/>
          <w:bCs/>
          <w:sz w:val="24"/>
          <w:szCs w:val="24"/>
        </w:rPr>
        <w:t xml:space="preserve">El Sujeto Obligado </w:t>
      </w:r>
      <w:r w:rsidR="00EE13C6">
        <w:rPr>
          <w:rFonts w:ascii="Palatino Linotype" w:hAnsi="Palatino Linotype" w:cs="Arial"/>
          <w:sz w:val="24"/>
          <w:szCs w:val="24"/>
        </w:rPr>
        <w:t xml:space="preserve">rindió su informe justificado en fechas veintitrés de febrero y cuatro de marzo de dos mil veintiuno, mismo que fue puesto a la vista de </w:t>
      </w:r>
      <w:r w:rsidR="00EE13C6">
        <w:rPr>
          <w:rFonts w:ascii="Palatino Linotype" w:hAnsi="Palatino Linotype" w:cs="Arial"/>
          <w:b/>
          <w:bCs/>
          <w:sz w:val="24"/>
          <w:szCs w:val="24"/>
        </w:rPr>
        <w:t xml:space="preserve">La Recurrente, </w:t>
      </w:r>
      <w:r w:rsidR="00EE13C6">
        <w:rPr>
          <w:rFonts w:ascii="Palatino Linotype" w:hAnsi="Palatino Linotype" w:cs="Arial"/>
          <w:sz w:val="24"/>
          <w:szCs w:val="24"/>
        </w:rPr>
        <w:t xml:space="preserve">el ocho de marzo de dos mil veintiuno. En contraste, </w:t>
      </w:r>
      <w:r w:rsidR="00EE13C6">
        <w:rPr>
          <w:rFonts w:ascii="Palatino Linotype" w:hAnsi="Palatino Linotype" w:cs="Arial"/>
          <w:b/>
          <w:bCs/>
          <w:sz w:val="24"/>
          <w:szCs w:val="24"/>
        </w:rPr>
        <w:t xml:space="preserve">La Recurrente </w:t>
      </w:r>
      <w:r w:rsidR="00ED0BB2">
        <w:rPr>
          <w:rFonts w:ascii="Palatino Linotype" w:hAnsi="Palatino Linotype" w:cs="Arial"/>
          <w:bCs/>
          <w:sz w:val="24"/>
          <w:szCs w:val="24"/>
        </w:rPr>
        <w:t xml:space="preserve">rindió </w:t>
      </w:r>
      <w:r w:rsidR="00ED0BB2">
        <w:rPr>
          <w:rFonts w:ascii="Palatino Linotype" w:hAnsi="Palatino Linotype" w:cs="Arial"/>
          <w:sz w:val="24"/>
          <w:szCs w:val="24"/>
        </w:rPr>
        <w:t xml:space="preserve">las manifestaciones estimadas pertinentes, mediante el documento electrónico </w:t>
      </w:r>
      <w:r w:rsidR="00ED0BB2">
        <w:rPr>
          <w:rFonts w:ascii="Palatino Linotype" w:hAnsi="Palatino Linotype" w:cs="Arial"/>
          <w:b/>
          <w:sz w:val="24"/>
          <w:szCs w:val="24"/>
        </w:rPr>
        <w:t xml:space="preserve">“Sin título 2.doc”, </w:t>
      </w:r>
      <w:r w:rsidR="00ED0BB2">
        <w:rPr>
          <w:rFonts w:ascii="Palatino Linotype" w:hAnsi="Palatino Linotype" w:cs="Arial"/>
          <w:sz w:val="24"/>
          <w:szCs w:val="24"/>
        </w:rPr>
        <w:t xml:space="preserve">mismo que refleja a la literalidad las razones o motivos de inconformidad previamente expuestos, por ello, se tiene por reproducido como si a la letra se insertase. </w:t>
      </w:r>
    </w:p>
    <w:p w14:paraId="0402AD69" w14:textId="62C3636D" w:rsidR="000B426F" w:rsidRDefault="00774A9C" w:rsidP="000B426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transcurrido el plazo establecido para que las partes manifestaran lo que a su derecho conviniera, en fecha </w:t>
      </w:r>
      <w:r w:rsidR="00ED0BB2">
        <w:rPr>
          <w:rFonts w:ascii="Palatino Linotype" w:hAnsi="Palatino Linotype" w:cs="Arial"/>
          <w:sz w:val="24"/>
          <w:szCs w:val="24"/>
        </w:rPr>
        <w:t>diecisiete</w:t>
      </w:r>
      <w:r>
        <w:rPr>
          <w:rFonts w:ascii="Palatino Linotype" w:hAnsi="Palatino Linotype" w:cs="Arial"/>
          <w:sz w:val="24"/>
          <w:szCs w:val="24"/>
        </w:rPr>
        <w:t xml:space="preserve"> de marzo de dos mil veintiuno, se </w:t>
      </w:r>
      <w:r w:rsidR="00EE1454">
        <w:rPr>
          <w:rFonts w:ascii="Palatino Linotype" w:hAnsi="Palatino Linotype" w:cs="Arial"/>
          <w:sz w:val="24"/>
          <w:szCs w:val="24"/>
        </w:rPr>
        <w:t xml:space="preserve">decretó el cierre de instrucción </w:t>
      </w:r>
      <w:r w:rsidR="000B426F">
        <w:rPr>
          <w:rFonts w:ascii="Palatino Linotype" w:hAnsi="Palatino Linotype" w:cs="Arial"/>
          <w:sz w:val="24"/>
          <w:szCs w:val="24"/>
        </w:rPr>
        <w:t xml:space="preserve">en términos del artículo 185 fracción VI de la Ley de </w:t>
      </w:r>
      <w:r w:rsidR="000B426F">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14:paraId="7CCA30C6" w14:textId="77777777" w:rsidR="00ED0BB2" w:rsidRDefault="00ED0BB2" w:rsidP="000B426F">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91DA769" w14:textId="5A8A1DA2" w:rsidR="0079735D" w:rsidRPr="007F7A92" w:rsidRDefault="0079735D" w:rsidP="0079735D">
      <w:pPr>
        <w:spacing w:before="240" w:line="360" w:lineRule="auto"/>
        <w:jc w:val="both"/>
        <w:rPr>
          <w:rFonts w:ascii="Palatino Linotype" w:hAnsi="Palatino Linotype" w:cs="Arial"/>
          <w:b/>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EE13C6">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5D1F9081" w14:textId="77777777" w:rsidR="00BF01A7" w:rsidRDefault="00BF01A7" w:rsidP="00BF01A7">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D67E30">
        <w:rPr>
          <w:rFonts w:ascii="Palatino Linotype" w:hAnsi="Palatino Linotype" w:cs="Arial"/>
          <w:sz w:val="24"/>
          <w:szCs w:val="24"/>
        </w:rPr>
        <w:lastRenderedPageBreak/>
        <w:t>que eviten mermar el ejercicio de los derechos correspondientes, sin que ello implique el poner en riesgo el diverso derecho a la salud de todos los partícipes en los procesos que conllevan.</w:t>
      </w:r>
    </w:p>
    <w:p w14:paraId="591D5674" w14:textId="77777777" w:rsidR="000B426F" w:rsidRPr="008F797B" w:rsidRDefault="000B426F" w:rsidP="0079735D">
      <w:pPr>
        <w:spacing w:before="24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AD7C2E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25C4C9E"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9F40E41" w14:textId="77777777" w:rsidR="00DF723C" w:rsidRPr="00514E66"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514E66">
        <w:rPr>
          <w:rFonts w:ascii="Palatino Linotype" w:hAnsi="Palatino Linotype" w:cs="Arial"/>
        </w:rPr>
        <w:lastRenderedPageBreak/>
        <w:t>Información Pública del Estado de México y Municipios, en correlación con la seguridad jurídica que debe generar lo actuado ante este Organismo garante.</w:t>
      </w:r>
    </w:p>
    <w:p w14:paraId="52D3D10B" w14:textId="25EAFD08" w:rsidR="00DF723C" w:rsidRDefault="00DF723C" w:rsidP="00DF723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6F48DB04" w14:textId="77777777" w:rsidR="00DF723C" w:rsidRPr="009A0D0A" w:rsidRDefault="00DF723C" w:rsidP="00DF723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p>
    <w:p w14:paraId="59070F2E"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EDE32BF" w14:textId="77777777" w:rsidR="00DF723C" w:rsidRPr="002869E1" w:rsidRDefault="00DF723C" w:rsidP="00DF723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D4DBDD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A782BFC"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0F3C1E5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64C780"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5462F7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0972039"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0BC158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93C352"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1B91FCC"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605841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93BE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w:t>
      </w:r>
      <w:r w:rsidRPr="006010FE">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236CB736" w14:textId="77777777" w:rsidR="00DF723C" w:rsidRPr="006E4CCA"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4DAB105" w14:textId="77777777" w:rsidR="00DF723C" w:rsidRPr="006010FE" w:rsidRDefault="00DF723C" w:rsidP="00DF723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4C5E17C" w14:textId="77777777" w:rsidR="00DF723C" w:rsidRPr="006E4CCA" w:rsidRDefault="00DF723C" w:rsidP="00DF723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FCEBE30" w14:textId="77777777" w:rsidR="008B5224" w:rsidRDefault="008B5224" w:rsidP="007456B7">
      <w:pPr>
        <w:spacing w:before="240" w:line="360" w:lineRule="auto"/>
        <w:ind w:right="72"/>
        <w:jc w:val="both"/>
        <w:rPr>
          <w:rFonts w:ascii="Palatino Linotype" w:hAnsi="Palatino Linotype" w:cs="Arial"/>
          <w:sz w:val="24"/>
          <w:szCs w:val="24"/>
        </w:rPr>
      </w:pPr>
    </w:p>
    <w:p w14:paraId="572560A5" w14:textId="0335B978" w:rsidR="00AF68BC" w:rsidRDefault="008B5224" w:rsidP="008B522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w:t>
      </w:r>
      <w:r w:rsidR="00AF68BC">
        <w:rPr>
          <w:rFonts w:ascii="Palatino Linotype" w:hAnsi="Palatino Linotype" w:cs="Arial"/>
        </w:rPr>
        <w:t xml:space="preserve">resulta oportuno referir que mediante la solicitud de información </w:t>
      </w:r>
      <w:r w:rsidR="00AF68BC">
        <w:rPr>
          <w:rFonts w:ascii="Palatino Linotype" w:hAnsi="Palatino Linotype" w:cs="Arial"/>
          <w:b/>
        </w:rPr>
        <w:t xml:space="preserve">00037/NAUCALPA/IP/2021 </w:t>
      </w:r>
      <w:r w:rsidR="00AF68BC">
        <w:rPr>
          <w:rFonts w:ascii="Palatino Linotype" w:hAnsi="Palatino Linotype" w:cs="Arial"/>
        </w:rPr>
        <w:t xml:space="preserve">la particular señaló como elemento temporal </w:t>
      </w:r>
      <w:r w:rsidR="00AF68BC">
        <w:rPr>
          <w:rFonts w:ascii="Palatino Linotype" w:hAnsi="Palatino Linotype" w:cs="Arial"/>
          <w:i/>
        </w:rPr>
        <w:t xml:space="preserve">“desde enero de 2020 a febrero 2021”. </w:t>
      </w:r>
      <w:r w:rsidR="00AF68BC">
        <w:rPr>
          <w:rFonts w:ascii="Palatino Linotype" w:hAnsi="Palatino Linotype" w:cs="Arial"/>
        </w:rPr>
        <w:t xml:space="preserve">Luego entonces, el elemento temporal debe de ser delimitado del uno de enero de dos mil veinte al ocho de febrero de dos mil veintiuno, éste último al corresponder a la fecha en que se ejerció el derecho de acceso a la información pública. </w:t>
      </w:r>
    </w:p>
    <w:p w14:paraId="79BB1513" w14:textId="77777777" w:rsidR="00AF68BC" w:rsidRDefault="00AF68BC" w:rsidP="00AF68BC">
      <w:pPr>
        <w:spacing w:before="240" w:line="360" w:lineRule="auto"/>
        <w:jc w:val="both"/>
        <w:rPr>
          <w:rFonts w:ascii="Palatino Linotype" w:hAnsi="Palatino Linotype"/>
        </w:rPr>
      </w:pPr>
      <w:r w:rsidRPr="00203001">
        <w:rPr>
          <w:rFonts w:ascii="Palatino Linotype" w:hAnsi="Palatino Linotype"/>
          <w:sz w:val="24"/>
          <w:szCs w:val="24"/>
        </w:rPr>
        <w:lastRenderedPageBreak/>
        <w:t xml:space="preserve">Dicha precisión con fundamento en </w:t>
      </w:r>
      <w:r>
        <w:rPr>
          <w:rFonts w:ascii="Palatino Linotype" w:hAnsi="Palatino Linotype"/>
          <w:sz w:val="24"/>
          <w:szCs w:val="24"/>
        </w:rPr>
        <w:t>los</w:t>
      </w:r>
      <w:r w:rsidRPr="00203001">
        <w:rPr>
          <w:rFonts w:ascii="Palatino Linotype" w:hAnsi="Palatino Linotype"/>
          <w:sz w:val="24"/>
          <w:szCs w:val="24"/>
        </w:rPr>
        <w:t xml:space="preserve"> artículo</w:t>
      </w:r>
      <w:r>
        <w:rPr>
          <w:rFonts w:ascii="Palatino Linotype" w:hAnsi="Palatino Linotype"/>
          <w:sz w:val="24"/>
          <w:szCs w:val="24"/>
        </w:rPr>
        <w:t>s</w:t>
      </w:r>
      <w:r w:rsidRPr="00203001">
        <w:rPr>
          <w:rFonts w:ascii="Palatino Linotype" w:hAnsi="Palatino Linotype"/>
          <w:sz w:val="24"/>
          <w:szCs w:val="24"/>
        </w:rPr>
        <w:t xml:space="preserve"> 13 y 181 cuarto párrafo de la Ley en materia, normatividad invocada cuyo contenido literal es el siguiente:</w:t>
      </w:r>
      <w:r>
        <w:rPr>
          <w:rFonts w:ascii="Palatino Linotype" w:hAnsi="Palatino Linotype"/>
        </w:rPr>
        <w:t xml:space="preserve"> </w:t>
      </w:r>
    </w:p>
    <w:p w14:paraId="19247144" w14:textId="77777777" w:rsidR="00AF68BC" w:rsidRPr="00BC704A" w:rsidRDefault="00AF68BC" w:rsidP="00AF68BC">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2619FED1" w14:textId="77777777" w:rsidR="00AF68BC" w:rsidRPr="00BC704A" w:rsidRDefault="00AF68BC" w:rsidP="00AF68BC">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4E516BD8" w14:textId="77777777" w:rsidR="00AF68BC" w:rsidRPr="00BC704A" w:rsidRDefault="00AF68BC" w:rsidP="00AF68BC">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3F18EABD" w14:textId="77777777" w:rsidR="00AF68BC" w:rsidRDefault="00AF68BC" w:rsidP="008B5224">
      <w:pPr>
        <w:pStyle w:val="Prrafodelista"/>
        <w:autoSpaceDE w:val="0"/>
        <w:autoSpaceDN w:val="0"/>
        <w:adjustRightInd w:val="0"/>
        <w:spacing w:before="240" w:after="160" w:line="360" w:lineRule="auto"/>
        <w:ind w:left="0"/>
        <w:jc w:val="both"/>
        <w:rPr>
          <w:rFonts w:ascii="Palatino Linotype" w:hAnsi="Palatino Linotype" w:cs="Arial"/>
        </w:rPr>
      </w:pPr>
    </w:p>
    <w:p w14:paraId="6EA4D468" w14:textId="77777777" w:rsidR="00AF68BC" w:rsidRDefault="00AF68BC" w:rsidP="00AF68BC">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Bajo estas líneas argumentativas, al retomar y delimitar el requerimiento de la ahora </w:t>
      </w:r>
      <w:r>
        <w:rPr>
          <w:rFonts w:ascii="Palatino Linotype" w:hAnsi="Palatino Linotype"/>
          <w:b/>
        </w:rPr>
        <w:t xml:space="preserve">Recurrente, </w:t>
      </w:r>
      <w:r>
        <w:rPr>
          <w:rFonts w:ascii="Palatino Linotype" w:hAnsi="Palatino Linotype"/>
        </w:rPr>
        <w:t xml:space="preserve">de manera objetiva se precisa que versa en conocer la siguiente información: </w:t>
      </w:r>
    </w:p>
    <w:p w14:paraId="24A32818" w14:textId="1BEB7A14" w:rsidR="00AF68BC" w:rsidRPr="00AF68BC" w:rsidRDefault="00AF68BC" w:rsidP="00AF68BC">
      <w:pPr>
        <w:pStyle w:val="Prrafodelista"/>
        <w:numPr>
          <w:ilvl w:val="0"/>
          <w:numId w:val="2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donde conste la incidencia delictiva desglosada por mes y colonia, del periodo comprendido del uno de enero de dos mil veinte al ocho de febrero de dos mil veintiuno. </w:t>
      </w:r>
    </w:p>
    <w:p w14:paraId="320098A1" w14:textId="77777777" w:rsidR="00AF68BC" w:rsidRDefault="00AF68BC" w:rsidP="008B5224">
      <w:pPr>
        <w:pStyle w:val="Prrafodelista"/>
        <w:autoSpaceDE w:val="0"/>
        <w:autoSpaceDN w:val="0"/>
        <w:adjustRightInd w:val="0"/>
        <w:spacing w:before="240" w:after="160" w:line="360" w:lineRule="auto"/>
        <w:ind w:left="0"/>
        <w:jc w:val="both"/>
        <w:rPr>
          <w:rFonts w:ascii="Palatino Linotype" w:hAnsi="Palatino Linotype" w:cs="Arial"/>
        </w:rPr>
      </w:pPr>
    </w:p>
    <w:p w14:paraId="1D0E7548" w14:textId="05B74CBE" w:rsidR="00344CA4" w:rsidRDefault="006B1B2A" w:rsidP="00344CA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este tenor, en alusión al requerimiento formulado por el particular, resulta oportuno traer a colación los numerales 125, fracción VIII y 142 de la Ley Orgánica Municipal del Estado de M</w:t>
      </w:r>
      <w:r w:rsidR="00E94C19">
        <w:rPr>
          <w:rFonts w:ascii="Palatino Linotype" w:hAnsi="Palatino Linotype" w:cs="Arial"/>
        </w:rPr>
        <w:t xml:space="preserve">éxico; el artículo 74 del Bando Municipal del </w:t>
      </w:r>
      <w:r w:rsidR="00E94C19">
        <w:rPr>
          <w:rFonts w:ascii="Palatino Linotype" w:hAnsi="Palatino Linotype" w:cs="Arial"/>
          <w:b/>
        </w:rPr>
        <w:t xml:space="preserve">Sujeto </w:t>
      </w:r>
      <w:r w:rsidR="00E94C19">
        <w:rPr>
          <w:rFonts w:ascii="Palatino Linotype" w:hAnsi="Palatino Linotype" w:cs="Arial"/>
          <w:b/>
        </w:rPr>
        <w:lastRenderedPageBreak/>
        <w:t xml:space="preserve">Obligado; </w:t>
      </w:r>
      <w:r w:rsidR="00E94C19">
        <w:rPr>
          <w:rFonts w:ascii="Palatino Linotype" w:hAnsi="Palatino Linotype" w:cs="Arial"/>
        </w:rPr>
        <w:t xml:space="preserve">así como </w:t>
      </w:r>
      <w:r w:rsidR="00344CA4">
        <w:rPr>
          <w:rFonts w:ascii="Palatino Linotype" w:hAnsi="Palatino Linotype" w:cs="Arial"/>
        </w:rPr>
        <w:t>los numerales 15.4, fracción V; 15.5 y 15.9, fracciones II a la VI del Reglamento Orgánico de la Administración Pública de Naucalpan de Juárez, porciones normativas que disponen a la literalidad lo siguiente:</w:t>
      </w:r>
    </w:p>
    <w:p w14:paraId="165F7C37" w14:textId="214A6323" w:rsidR="006B1B2A" w:rsidRPr="00E94C19" w:rsidRDefault="00E94C19" w:rsidP="00E94C19">
      <w:pPr>
        <w:pStyle w:val="Citas"/>
        <w:jc w:val="center"/>
        <w:rPr>
          <w:b/>
        </w:rPr>
      </w:pPr>
      <w:r>
        <w:rPr>
          <w:b/>
        </w:rPr>
        <w:t>Ley Orgánica Municipal del Estado de México</w:t>
      </w:r>
    </w:p>
    <w:p w14:paraId="5BEC1E05" w14:textId="2F89A072" w:rsidR="00AF68BC" w:rsidRDefault="00E94C19" w:rsidP="00E94C19">
      <w:pPr>
        <w:pStyle w:val="Citas"/>
      </w:pPr>
      <w:r>
        <w:t>“</w:t>
      </w:r>
      <w:r w:rsidR="006B1B2A">
        <w:t>Artículo 125.- Los municipios tendrán a su cargo la prestación, explotación, administración y conservación de los servicios públicos municipales, considerándose enunciativa y no limitativamente, los siguientes:</w:t>
      </w:r>
    </w:p>
    <w:p w14:paraId="3ED9D57B" w14:textId="064C0012" w:rsidR="006B1B2A" w:rsidRDefault="006B1B2A" w:rsidP="00E94C19">
      <w:pPr>
        <w:pStyle w:val="Citas"/>
      </w:pPr>
      <w:r>
        <w:t>(…)</w:t>
      </w:r>
    </w:p>
    <w:p w14:paraId="2CAB7441" w14:textId="4AB5BF87" w:rsidR="006B1B2A" w:rsidRPr="00080CE8" w:rsidRDefault="006B1B2A" w:rsidP="00E94C19">
      <w:pPr>
        <w:pStyle w:val="Citas"/>
        <w:rPr>
          <w:b/>
          <w:u w:val="single"/>
        </w:rPr>
      </w:pPr>
      <w:r w:rsidRPr="00080CE8">
        <w:rPr>
          <w:b/>
          <w:u w:val="single"/>
        </w:rPr>
        <w:t>VIII. Seguridad pública y tránsito;</w:t>
      </w:r>
    </w:p>
    <w:p w14:paraId="39818944" w14:textId="1D08E0FF" w:rsidR="006B1B2A" w:rsidRDefault="006B1B2A" w:rsidP="00E94C19">
      <w:pPr>
        <w:pStyle w:val="Citas"/>
      </w:pPr>
      <w:r>
        <w:t>(…)</w:t>
      </w:r>
    </w:p>
    <w:p w14:paraId="78AC6ADA" w14:textId="0899A72A" w:rsidR="006B1B2A" w:rsidRDefault="006B1B2A" w:rsidP="00E94C19">
      <w:pPr>
        <w:pStyle w:val="Citas"/>
      </w:pPr>
      <w: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09AEBE58" w14:textId="165589B4" w:rsidR="006B1B2A" w:rsidRPr="00E94C19" w:rsidRDefault="006B1B2A" w:rsidP="00E94C19">
      <w:pPr>
        <w:pStyle w:val="Citas"/>
        <w:rPr>
          <w:b/>
        </w:rPr>
      </w:pPr>
      <w:r>
        <w:t>En cada municipio se integrarán cuerpos de seguridad pública, de bomberos y, en su caso, de tránsito, estos servidores públicos preferentemente serán vecinos del municipio, de los cuales el presidente municipal será el jefe inmediato.</w:t>
      </w:r>
      <w:r w:rsidR="00E94C19">
        <w:t xml:space="preserve">” </w:t>
      </w:r>
      <w:r w:rsidR="00E94C19">
        <w:rPr>
          <w:b/>
        </w:rPr>
        <w:t>[Sic]</w:t>
      </w:r>
    </w:p>
    <w:p w14:paraId="397BCCC5" w14:textId="77777777" w:rsidR="006B1B2A" w:rsidRDefault="006B1B2A" w:rsidP="008B5224">
      <w:pPr>
        <w:pStyle w:val="Prrafodelista"/>
        <w:autoSpaceDE w:val="0"/>
        <w:autoSpaceDN w:val="0"/>
        <w:adjustRightInd w:val="0"/>
        <w:spacing w:before="240" w:after="160" w:line="360" w:lineRule="auto"/>
        <w:ind w:left="0"/>
        <w:jc w:val="both"/>
      </w:pPr>
    </w:p>
    <w:p w14:paraId="2295E359" w14:textId="562DB851" w:rsidR="006B1B2A" w:rsidRDefault="006B1B2A" w:rsidP="00E94C19">
      <w:pPr>
        <w:pStyle w:val="Citas"/>
        <w:jc w:val="center"/>
        <w:rPr>
          <w:b/>
        </w:rPr>
      </w:pPr>
      <w:r>
        <w:rPr>
          <w:b/>
        </w:rPr>
        <w:t>Bando Municipal de Naucalpan de Juárez</w:t>
      </w:r>
    </w:p>
    <w:p w14:paraId="039DC225" w14:textId="3C8BDECF" w:rsidR="006B1B2A" w:rsidRDefault="00E94C19" w:rsidP="006B1B2A">
      <w:pPr>
        <w:pStyle w:val="Citas"/>
      </w:pPr>
      <w:r>
        <w:lastRenderedPageBreak/>
        <w:t>“</w:t>
      </w:r>
      <w:r w:rsidR="006B1B2A">
        <w:t>Artículo 74. La seguridad pública la ejercerá el Ayuntamiento a través de la Dirección General de Seguridad Ciudadana y Tránsito Municipal, quien tendrá a su cargo dar cumplimiento a los planes en la materia, bajo la vigilancia de la Defensoría Municipal de Derechos Humanos y la Comisión de Honor y Justicia, en los términos de las facultades que sus reglamentos les confieran. Es una función orientada a generar y mantener las condiciones de paz y orden público que permitan el ejercicio irrestricto de las libertades y derechos ciudadanos, privilegiándose por los principios de legalidad, objetividad, eficiencia, profesionalismo, honradez y el respeto a los derechos humanos. El Ayuntamiento, a través de la Dirección General de Seguridad Ciudadana y Tránsito Municipal, deberá difundir y establecer entre su personal programas y protocolos a fin de que los derechos humanos fundamentales sean respetados.</w:t>
      </w:r>
    </w:p>
    <w:p w14:paraId="0FA85F1C" w14:textId="77777777" w:rsidR="006B1B2A" w:rsidRDefault="006B1B2A" w:rsidP="006B1B2A">
      <w:pPr>
        <w:pStyle w:val="Citas"/>
      </w:pPr>
      <w:r>
        <w:t xml:space="preserve">La Seguridad Pública tiene como fines: </w:t>
      </w:r>
    </w:p>
    <w:p w14:paraId="6ECA20E3" w14:textId="0740BE42" w:rsidR="006B1B2A" w:rsidRDefault="006B1B2A" w:rsidP="006B1B2A">
      <w:pPr>
        <w:pStyle w:val="Citas"/>
        <w:numPr>
          <w:ilvl w:val="0"/>
          <w:numId w:val="21"/>
        </w:numPr>
      </w:pPr>
      <w:r>
        <w:t xml:space="preserve">Salvaguardar la integridad, derechos y bienes de las personas; </w:t>
      </w:r>
    </w:p>
    <w:p w14:paraId="28E15BC6" w14:textId="23BFC62D" w:rsidR="006B1B2A" w:rsidRPr="006B1B2A" w:rsidRDefault="006B1B2A" w:rsidP="006B1B2A">
      <w:pPr>
        <w:pStyle w:val="Citas"/>
        <w:numPr>
          <w:ilvl w:val="0"/>
          <w:numId w:val="21"/>
        </w:numPr>
        <w:rPr>
          <w:b/>
        </w:rPr>
      </w:pPr>
      <w:r>
        <w:t xml:space="preserve">Preservar la libertad, la paz y el orden público, con estricto apego a los derechos humanos, y </w:t>
      </w:r>
    </w:p>
    <w:p w14:paraId="309E29D6" w14:textId="4496DB05" w:rsidR="006B1B2A" w:rsidRPr="006B1B2A" w:rsidRDefault="006B1B2A" w:rsidP="006B1B2A">
      <w:pPr>
        <w:pStyle w:val="Citas"/>
        <w:numPr>
          <w:ilvl w:val="0"/>
          <w:numId w:val="21"/>
        </w:numPr>
        <w:rPr>
          <w:b/>
        </w:rPr>
      </w:pPr>
      <w:r>
        <w:t>Prevenir la comisión de delitos e infracciones previstas en los ordenamientos jurídicos correspondientes, debiendo para ello apegarse a un marco de legalidad.</w:t>
      </w:r>
      <w:r w:rsidR="00E94C19">
        <w:t xml:space="preserve">” </w:t>
      </w:r>
      <w:r w:rsidR="00E94C19">
        <w:rPr>
          <w:b/>
        </w:rPr>
        <w:t>[Sic]</w:t>
      </w:r>
    </w:p>
    <w:p w14:paraId="38830821" w14:textId="77777777" w:rsidR="006B1B2A" w:rsidRDefault="006B1B2A" w:rsidP="006B1B2A">
      <w:pPr>
        <w:pStyle w:val="Citas"/>
        <w:rPr>
          <w:b/>
        </w:rPr>
      </w:pPr>
    </w:p>
    <w:p w14:paraId="018EA755" w14:textId="58B60733" w:rsidR="00344CA4" w:rsidRPr="00344CA4" w:rsidRDefault="00344CA4" w:rsidP="006B1B2A">
      <w:pPr>
        <w:pStyle w:val="Citas"/>
        <w:rPr>
          <w:b/>
        </w:rPr>
      </w:pPr>
      <w:r w:rsidRPr="00344CA4">
        <w:rPr>
          <w:b/>
        </w:rPr>
        <w:t>Reglamento Orgánico de la Administración Pública de Naucalpan de Juárez</w:t>
      </w:r>
    </w:p>
    <w:p w14:paraId="6B3F9124" w14:textId="12B52B64" w:rsidR="006B1B2A" w:rsidRDefault="00213A4C" w:rsidP="00344CA4">
      <w:pPr>
        <w:pStyle w:val="Citas"/>
      </w:pPr>
      <w:r>
        <w:lastRenderedPageBreak/>
        <w:t>Artículo 15.4.- El Director General de Seguridad Ciudadana y Tránsito Municipal además de las señaladas en el artículo 1.12 del LIBRO PRIMERO, para el ejercicio de sus funciones tendrá las atribuciones siguientes:</w:t>
      </w:r>
    </w:p>
    <w:p w14:paraId="4B4E5B04" w14:textId="0DDACB78" w:rsidR="00213A4C" w:rsidRDefault="00213A4C" w:rsidP="00344CA4">
      <w:pPr>
        <w:pStyle w:val="Citas"/>
      </w:pPr>
      <w:r>
        <w:t>(…)</w:t>
      </w:r>
    </w:p>
    <w:p w14:paraId="1DBC738B" w14:textId="42D51245" w:rsidR="00213A4C" w:rsidRPr="00344CA4" w:rsidRDefault="00213A4C" w:rsidP="00344CA4">
      <w:pPr>
        <w:pStyle w:val="Citas"/>
        <w:rPr>
          <w:b/>
          <w:u w:val="single"/>
        </w:rPr>
      </w:pPr>
      <w:r w:rsidRPr="00344CA4">
        <w:rPr>
          <w:b/>
          <w:u w:val="single"/>
        </w:rPr>
        <w:t>V. Contar con las estadísticas delictivas debidamente documentadas y supervisar las acciones de los cuerpos de seguridad pública y tránsito municipal;</w:t>
      </w:r>
    </w:p>
    <w:p w14:paraId="032AB4FD" w14:textId="2E7BD414" w:rsidR="00213A4C" w:rsidRDefault="00213A4C" w:rsidP="00344CA4">
      <w:pPr>
        <w:pStyle w:val="Citas"/>
      </w:pPr>
      <w:r>
        <w:t>(…)</w:t>
      </w:r>
    </w:p>
    <w:p w14:paraId="5A3F0685" w14:textId="77777777" w:rsidR="00344CA4" w:rsidRDefault="00213A4C" w:rsidP="00344CA4">
      <w:pPr>
        <w:pStyle w:val="Citas"/>
      </w:pPr>
      <w:r>
        <w:t xml:space="preserve">Artículo 15.5.- La Dirección General de Seguridad Ciudadana y Tránsito Municipal, para el desempeño de sus funciones, se auxiliará de las unidades administrativas siguientes: </w:t>
      </w:r>
    </w:p>
    <w:p w14:paraId="31A3620C" w14:textId="77777777" w:rsidR="00344CA4" w:rsidRDefault="00213A4C" w:rsidP="00344CA4">
      <w:pPr>
        <w:pStyle w:val="Citas"/>
      </w:pPr>
      <w:r>
        <w:t xml:space="preserve">I. Secretario Particular; </w:t>
      </w:r>
    </w:p>
    <w:p w14:paraId="060329D4" w14:textId="77777777" w:rsidR="00344CA4" w:rsidRDefault="00213A4C" w:rsidP="00344CA4">
      <w:pPr>
        <w:pStyle w:val="Citas"/>
      </w:pPr>
      <w:r>
        <w:t xml:space="preserve">II. Coordinación de Control y Gestión; </w:t>
      </w:r>
    </w:p>
    <w:p w14:paraId="3B3EA0C5" w14:textId="77777777" w:rsidR="00344CA4" w:rsidRPr="00344CA4" w:rsidRDefault="00213A4C" w:rsidP="00344CA4">
      <w:pPr>
        <w:pStyle w:val="Citas"/>
        <w:rPr>
          <w:b/>
          <w:u w:val="single"/>
        </w:rPr>
      </w:pPr>
      <w:r w:rsidRPr="00344CA4">
        <w:rPr>
          <w:b/>
          <w:u w:val="single"/>
        </w:rPr>
        <w:t xml:space="preserve">III. Subdirección de Inteligencia; </w:t>
      </w:r>
    </w:p>
    <w:p w14:paraId="2E55FE63" w14:textId="77777777" w:rsidR="00344CA4" w:rsidRDefault="00213A4C" w:rsidP="00344CA4">
      <w:pPr>
        <w:pStyle w:val="Citas"/>
      </w:pPr>
      <w:r>
        <w:t xml:space="preserve">IV. Coordinación de Enlace de Comunicación Social; </w:t>
      </w:r>
    </w:p>
    <w:p w14:paraId="6E47A823" w14:textId="77777777" w:rsidR="00344CA4" w:rsidRDefault="00213A4C" w:rsidP="00344CA4">
      <w:pPr>
        <w:pStyle w:val="Citas"/>
      </w:pPr>
      <w:r>
        <w:t xml:space="preserve">V. Coordinación de Protección a Bienes y Personas; </w:t>
      </w:r>
    </w:p>
    <w:p w14:paraId="08436E7C" w14:textId="77777777" w:rsidR="00344CA4" w:rsidRDefault="00213A4C" w:rsidP="00344CA4">
      <w:pPr>
        <w:pStyle w:val="Citas"/>
      </w:pPr>
      <w:r>
        <w:t xml:space="preserve">VI. Dirección Técnica; </w:t>
      </w:r>
    </w:p>
    <w:p w14:paraId="70193A93" w14:textId="77777777" w:rsidR="00344CA4" w:rsidRDefault="00213A4C" w:rsidP="00344CA4">
      <w:pPr>
        <w:pStyle w:val="Citas"/>
      </w:pPr>
      <w:r>
        <w:t xml:space="preserve">VII. Dirección Jurídica; </w:t>
      </w:r>
    </w:p>
    <w:p w14:paraId="1268ADFE" w14:textId="77777777" w:rsidR="00344CA4" w:rsidRDefault="00213A4C" w:rsidP="00344CA4">
      <w:pPr>
        <w:pStyle w:val="Citas"/>
      </w:pPr>
      <w:r>
        <w:t>VIII. Dirección de Administración y Finanzas; y</w:t>
      </w:r>
    </w:p>
    <w:p w14:paraId="5F83C3B4" w14:textId="54E79960" w:rsidR="00213A4C" w:rsidRDefault="00213A4C" w:rsidP="00344CA4">
      <w:pPr>
        <w:pStyle w:val="Citas"/>
      </w:pPr>
      <w:r>
        <w:lastRenderedPageBreak/>
        <w:t xml:space="preserve"> IX. Dirección Operativa.</w:t>
      </w:r>
    </w:p>
    <w:p w14:paraId="22E64CF1" w14:textId="0A1AE68C" w:rsidR="00213A4C" w:rsidRPr="00344CA4" w:rsidRDefault="00213A4C" w:rsidP="00344CA4">
      <w:pPr>
        <w:pStyle w:val="Citas"/>
        <w:rPr>
          <w:b/>
          <w:u w:val="single"/>
        </w:rPr>
      </w:pPr>
      <w:r w:rsidRPr="00344CA4">
        <w:rPr>
          <w:b/>
          <w:u w:val="single"/>
        </w:rPr>
        <w:t>Artículo 15.9.- La Subdirección de Inteligencia, a través de su titular tendrá las atribuciones siguientes:</w:t>
      </w:r>
    </w:p>
    <w:p w14:paraId="450B45C7" w14:textId="03DAE6D6" w:rsidR="00213A4C" w:rsidRDefault="00213A4C" w:rsidP="00344CA4">
      <w:pPr>
        <w:pStyle w:val="Citas"/>
      </w:pPr>
      <w:r>
        <w:t>(…)</w:t>
      </w:r>
    </w:p>
    <w:p w14:paraId="0EFF323B" w14:textId="77777777" w:rsidR="00344CA4" w:rsidRDefault="00213A4C" w:rsidP="00344CA4">
      <w:pPr>
        <w:pStyle w:val="Citas"/>
      </w:pPr>
      <w:r>
        <w:t xml:space="preserve">II. Recopilar, clasificar y analizar la información relativa al origen y causas de la incidencia de faltas administrativas y delitos en el municipio, en coordinación con el encargado de la base de datos conocida como Plataforma México, con la finalidad de cumplir con lo establecido en los artículos 64 y 65 de la Ley de Seguridad del Estado de México; </w:t>
      </w:r>
    </w:p>
    <w:p w14:paraId="7E0707AD" w14:textId="77777777" w:rsidR="00344CA4" w:rsidRDefault="00213A4C" w:rsidP="00344CA4">
      <w:pPr>
        <w:pStyle w:val="Citas"/>
      </w:pPr>
      <w:r w:rsidRPr="00344CA4">
        <w:rPr>
          <w:b/>
          <w:u w:val="single"/>
        </w:rPr>
        <w:t>III. Elaborar con base en la info</w:t>
      </w:r>
      <w:r w:rsidR="00344CA4" w:rsidRPr="00344CA4">
        <w:rPr>
          <w:b/>
          <w:u w:val="single"/>
        </w:rPr>
        <w:t>rmación</w:t>
      </w:r>
      <w:r w:rsidRPr="00344CA4">
        <w:rPr>
          <w:b/>
          <w:u w:val="single"/>
        </w:rPr>
        <w:t xml:space="preserve"> obtenida estadísticas que permita conocer la problemática de seguridad en el municipio;</w:t>
      </w:r>
      <w:r>
        <w:t xml:space="preserve"> </w:t>
      </w:r>
    </w:p>
    <w:p w14:paraId="5C9ABDC9" w14:textId="77777777" w:rsidR="00344CA4" w:rsidRDefault="00213A4C" w:rsidP="00344CA4">
      <w:pPr>
        <w:pStyle w:val="Citas"/>
      </w:pPr>
      <w:r>
        <w:t xml:space="preserve">IV. Proporcionar a la Dirección General en forma oportuna, la información relativa a la incidencia delictiva a efecto de implementar los operativos necesarios; </w:t>
      </w:r>
    </w:p>
    <w:p w14:paraId="5541914F" w14:textId="77777777" w:rsidR="00344CA4" w:rsidRDefault="00213A4C" w:rsidP="00344CA4">
      <w:pPr>
        <w:pStyle w:val="Citas"/>
      </w:pPr>
      <w:r>
        <w:t xml:space="preserve">V. Establecer mecanismos para la recopilación, clasificación y análisis de la información obtenida; </w:t>
      </w:r>
    </w:p>
    <w:p w14:paraId="78228DB1" w14:textId="4F707990" w:rsidR="00213A4C" w:rsidRDefault="00213A4C" w:rsidP="00344CA4">
      <w:pPr>
        <w:pStyle w:val="Citas"/>
      </w:pPr>
      <w:r>
        <w:t>VI. Establecer la coordinación con las diferentes áreas de seguridad pública, para concentrar la información obtenida;</w:t>
      </w:r>
    </w:p>
    <w:p w14:paraId="1ACF047E" w14:textId="383A149D" w:rsidR="00344CA4" w:rsidRPr="00344CA4" w:rsidRDefault="00344CA4" w:rsidP="00344CA4">
      <w:pPr>
        <w:pStyle w:val="Citas"/>
        <w:rPr>
          <w:b/>
        </w:rPr>
      </w:pPr>
      <w:r>
        <w:t xml:space="preserve">(…)” </w:t>
      </w:r>
      <w:r>
        <w:rPr>
          <w:b/>
        </w:rPr>
        <w:t>[Sic]</w:t>
      </w:r>
    </w:p>
    <w:p w14:paraId="7A30AE90" w14:textId="77777777" w:rsidR="006B1B2A" w:rsidRDefault="006B1B2A" w:rsidP="008B5224">
      <w:pPr>
        <w:pStyle w:val="Prrafodelista"/>
        <w:autoSpaceDE w:val="0"/>
        <w:autoSpaceDN w:val="0"/>
        <w:adjustRightInd w:val="0"/>
        <w:spacing w:before="240" w:after="160" w:line="360" w:lineRule="auto"/>
        <w:ind w:left="0"/>
        <w:jc w:val="both"/>
        <w:rPr>
          <w:rFonts w:ascii="Palatino Linotype" w:hAnsi="Palatino Linotype" w:cs="Arial"/>
        </w:rPr>
      </w:pPr>
    </w:p>
    <w:p w14:paraId="27359404" w14:textId="21C6127A" w:rsidR="00344CA4" w:rsidRDefault="00344CA4" w:rsidP="008B5224">
      <w:pPr>
        <w:pStyle w:val="Prrafodelista"/>
        <w:autoSpaceDE w:val="0"/>
        <w:autoSpaceDN w:val="0"/>
        <w:adjustRightInd w:val="0"/>
        <w:spacing w:before="240" w:after="160" w:line="360" w:lineRule="auto"/>
        <w:ind w:left="0"/>
        <w:jc w:val="both"/>
        <w:rPr>
          <w:rFonts w:ascii="Palatino Linotype" w:hAnsi="Palatino Linotype" w:cs="Arial"/>
        </w:rPr>
      </w:pPr>
      <w:r w:rsidRPr="005E6524">
        <w:rPr>
          <w:rFonts w:ascii="Palatino Linotype" w:hAnsi="Palatino Linotype"/>
        </w:rPr>
        <w:lastRenderedPageBreak/>
        <w:t xml:space="preserve">De lo expuesto con anterioridad, se desprende que </w:t>
      </w:r>
      <w:r w:rsidRPr="005E6524">
        <w:rPr>
          <w:rFonts w:ascii="Palatino Linotype" w:hAnsi="Palatino Linotype"/>
          <w:b/>
        </w:rPr>
        <w:t xml:space="preserve">El Sujeto Obligado </w:t>
      </w:r>
      <w:r w:rsidRPr="005E6524">
        <w:rPr>
          <w:rFonts w:ascii="Palatino Linotype" w:hAnsi="Palatino Linotype"/>
        </w:rPr>
        <w:t>se auxilia de diversas Direcciones, Departamentos y Órganos para cumplir con sus fines y objetivos, resultando de nuestro interés la</w:t>
      </w:r>
      <w:r>
        <w:rPr>
          <w:rFonts w:ascii="Palatino Linotype" w:hAnsi="Palatino Linotype"/>
        </w:rPr>
        <w:t xml:space="preserve"> Dirección General de Seguridad Ciudadana y Tránsito Municipal, así como la Subdirección de Inteligencia, al fungir como las unidades administrativas encargadas de recopilar, clasificar y analizar la información relativa al origen y causas de la incidencia de delitos en el municipio, a efecto de elaborar información estadística </w:t>
      </w:r>
      <w:r w:rsidR="00A8004E">
        <w:rPr>
          <w:rFonts w:ascii="Palatino Linotype" w:hAnsi="Palatino Linotype"/>
        </w:rPr>
        <w:t>que desentrañe la</w:t>
      </w:r>
      <w:r>
        <w:rPr>
          <w:rFonts w:ascii="Palatino Linotype" w:hAnsi="Palatino Linotype"/>
        </w:rPr>
        <w:t xml:space="preserve"> problemática de seguridad. </w:t>
      </w:r>
    </w:p>
    <w:p w14:paraId="22EE7965" w14:textId="02DEDAE1" w:rsidR="00A8004E" w:rsidRPr="00AA7EDD" w:rsidRDefault="00A8004E" w:rsidP="00A8004E">
      <w:pPr>
        <w:pStyle w:val="Sinespaciado"/>
        <w:spacing w:line="360" w:lineRule="auto"/>
        <w:jc w:val="both"/>
        <w:rPr>
          <w:rFonts w:ascii="Palatino Linotype" w:hAnsi="Palatino Linotype"/>
        </w:rPr>
      </w:pPr>
      <w:r>
        <w:rPr>
          <w:rFonts w:ascii="Palatino Linotype" w:hAnsi="Palatino Linotype"/>
        </w:rPr>
        <w:t xml:space="preserve">De ahí que deba arribarse a la premisa de que la información requerida es susceptible de ser generada, poseída y administrada por </w:t>
      </w:r>
      <w:r>
        <w:rPr>
          <w:rFonts w:ascii="Palatino Linotype" w:hAnsi="Palatino Linotype"/>
          <w:b/>
        </w:rPr>
        <w:t xml:space="preserve">El Sujeto Obligado. </w:t>
      </w:r>
      <w:r>
        <w:rPr>
          <w:rFonts w:ascii="Palatino Linotype" w:hAnsi="Palatino Linotype"/>
        </w:rPr>
        <w:t xml:space="preserve">Así las cosas, es óbice mencionar 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14:paraId="31B3E0E6" w14:textId="77777777" w:rsidR="00A8004E" w:rsidRPr="00E66BD3" w:rsidRDefault="00A8004E" w:rsidP="00A8004E">
      <w:pPr>
        <w:spacing w:before="240" w:line="360" w:lineRule="auto"/>
        <w:ind w:left="851" w:right="851"/>
        <w:jc w:val="both"/>
        <w:rPr>
          <w:rFonts w:ascii="Palatino Linotype" w:hAnsi="Palatino Linotype"/>
          <w:i/>
        </w:rPr>
      </w:pPr>
      <w:r w:rsidRPr="00E66BD3">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5CC79CC9" w14:textId="77777777" w:rsidR="00A8004E" w:rsidRPr="00E66BD3" w:rsidRDefault="00A8004E" w:rsidP="00A8004E">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70D6C4ED" w14:textId="77777777" w:rsidR="00A8004E" w:rsidRDefault="00A8004E" w:rsidP="00A8004E">
      <w:pPr>
        <w:spacing w:before="240" w:line="360" w:lineRule="auto"/>
        <w:ind w:left="851" w:right="851"/>
        <w:jc w:val="both"/>
        <w:rPr>
          <w:rFonts w:ascii="Palatino Linotype" w:hAnsi="Palatino Linotype"/>
          <w:i/>
        </w:rPr>
      </w:pPr>
      <w:r w:rsidRPr="00E66BD3">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16A7DF" w14:textId="71F6AD48" w:rsidR="00A8004E" w:rsidRDefault="00A8004E" w:rsidP="00A8004E">
      <w:pPr>
        <w:spacing w:before="240" w:line="360" w:lineRule="auto"/>
        <w:ind w:left="851" w:right="851"/>
        <w:jc w:val="both"/>
        <w:rPr>
          <w:rFonts w:ascii="Palatino Linotype" w:hAnsi="Palatino Linotype"/>
          <w:i/>
        </w:rPr>
      </w:pPr>
      <w:r>
        <w:rPr>
          <w:rFonts w:ascii="Palatino Linotype" w:hAnsi="Palatino Linotype"/>
          <w:i/>
        </w:rPr>
        <w:t>(…)</w:t>
      </w:r>
    </w:p>
    <w:p w14:paraId="7A4DA63D" w14:textId="749AE380" w:rsidR="00A8004E" w:rsidRDefault="00A8004E" w:rsidP="00A8004E">
      <w:pPr>
        <w:pStyle w:val="Citas"/>
      </w:pPr>
      <w:r>
        <w:t>XXXIV. Las estadísticas que generen en cumplimiento de sus facultades, competencias o funciones con la mayor desagregación posible;</w:t>
      </w:r>
    </w:p>
    <w:p w14:paraId="3A7FA468" w14:textId="458E4500" w:rsidR="00A8004E" w:rsidRDefault="00A8004E" w:rsidP="00A8004E">
      <w:pPr>
        <w:pStyle w:val="Citas"/>
        <w:rPr>
          <w:b/>
        </w:rPr>
      </w:pPr>
      <w:r>
        <w:t xml:space="preserve">(…)” </w:t>
      </w:r>
      <w:r>
        <w:rPr>
          <w:b/>
        </w:rPr>
        <w:t xml:space="preserve">[Sic] </w:t>
      </w:r>
    </w:p>
    <w:p w14:paraId="7612F6E3" w14:textId="77777777" w:rsidR="00A8004E" w:rsidRDefault="00A8004E" w:rsidP="00A8004E">
      <w:pPr>
        <w:pStyle w:val="Citas"/>
        <w:ind w:left="0"/>
        <w:rPr>
          <w:b/>
        </w:rPr>
      </w:pPr>
    </w:p>
    <w:p w14:paraId="3442CCA5" w14:textId="77777777" w:rsidR="00A8004E" w:rsidRDefault="00A8004E" w:rsidP="00A8004E">
      <w:pPr>
        <w:pStyle w:val="infoemcitas"/>
        <w:tabs>
          <w:tab w:val="left" w:pos="7655"/>
        </w:tabs>
        <w:ind w:left="0" w:right="0"/>
        <w:rPr>
          <w:i w:val="0"/>
          <w:sz w:val="24"/>
          <w:szCs w:val="24"/>
        </w:rPr>
      </w:pPr>
      <w:r>
        <w:rPr>
          <w:i w:val="0"/>
          <w:sz w:val="24"/>
          <w:szCs w:val="24"/>
        </w:rPr>
        <w:t xml:space="preserve">Robustece lo anterior, las siguientes imágenes ilustrativas, correspondientes a la tabla de aplicabilidad del </w:t>
      </w:r>
      <w:r>
        <w:rPr>
          <w:b/>
          <w:i w:val="0"/>
          <w:sz w:val="24"/>
          <w:szCs w:val="24"/>
        </w:rPr>
        <w:t xml:space="preserve">Sujeto Obligado, </w:t>
      </w:r>
      <w:r>
        <w:rPr>
          <w:i w:val="0"/>
          <w:sz w:val="24"/>
          <w:szCs w:val="24"/>
        </w:rPr>
        <w:t xml:space="preserve">misma que puede ser consultada en la siguiente dirección electrónica: </w:t>
      </w:r>
    </w:p>
    <w:p w14:paraId="01B1A8AB" w14:textId="16B85C9A" w:rsidR="00A8004E" w:rsidRPr="004D5AB9" w:rsidRDefault="00DE73D2" w:rsidP="00A8004E">
      <w:pPr>
        <w:pStyle w:val="infoemcitas"/>
        <w:tabs>
          <w:tab w:val="left" w:pos="7655"/>
        </w:tabs>
        <w:ind w:left="0" w:right="0"/>
        <w:rPr>
          <w:i w:val="0"/>
          <w:sz w:val="24"/>
          <w:szCs w:val="24"/>
        </w:rPr>
      </w:pPr>
      <w:r>
        <w:rPr>
          <w:i w:val="0"/>
          <w:noProof/>
          <w:color w:val="0563C1" w:themeColor="hyperlink"/>
          <w:sz w:val="24"/>
          <w:szCs w:val="24"/>
          <w:u w:val="single"/>
          <w:lang w:eastAsia="es-MX"/>
        </w:rPr>
        <mc:AlternateContent>
          <mc:Choice Requires="wps">
            <w:drawing>
              <wp:anchor distT="0" distB="0" distL="114300" distR="114300" simplePos="0" relativeHeight="251713526" behindDoc="0" locked="0" layoutInCell="1" allowOverlap="1" wp14:anchorId="39C5391E" wp14:editId="5D43ADE9">
                <wp:simplePos x="0" y="0"/>
                <wp:positionH relativeFrom="column">
                  <wp:posOffset>-421767</wp:posOffset>
                </wp:positionH>
                <wp:positionV relativeFrom="paragraph">
                  <wp:posOffset>1009294</wp:posOffset>
                </wp:positionV>
                <wp:extent cx="6400800" cy="1850746"/>
                <wp:effectExtent l="0" t="0" r="19050" b="35560"/>
                <wp:wrapNone/>
                <wp:docPr id="3" name="Conector recto 3"/>
                <wp:cNvGraphicFramePr/>
                <a:graphic xmlns:a="http://schemas.openxmlformats.org/drawingml/2006/main">
                  <a:graphicData uri="http://schemas.microsoft.com/office/word/2010/wordprocessingShape">
                    <wps:wsp>
                      <wps:cNvCnPr/>
                      <wps:spPr>
                        <a:xfrm>
                          <a:off x="0" y="0"/>
                          <a:ext cx="6400800" cy="1850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3A907" id="Conector recto 3" o:spid="_x0000_s1026" style="position:absolute;z-index:251713526;visibility:visible;mso-wrap-style:square;mso-wrap-distance-left:9pt;mso-wrap-distance-top:0;mso-wrap-distance-right:9pt;mso-wrap-distance-bottom:0;mso-position-horizontal:absolute;mso-position-horizontal-relative:text;mso-position-vertical:absolute;mso-position-vertical-relative:text" from="-33.2pt,79.45pt" to="470.8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1uAEAAMUDAAAOAAAAZHJzL2Uyb0RvYy54bWysU9uO0zAQfUfiHyy/b5PsLqWKmu5DV/CC&#10;oOLyAV5n3FjyTWPTpH/P2GmzCJAQaF98nXNmzvF4+zBZw06AUXvX8WZVcwZO+l67Y8e/fX13s+Es&#10;JuF6YbyDjp8h8ofd61fbMbRw6wdvekBGJC62Y+j4kFJoqyrKAayIKx/A0aXyaEWiLR6rHsVI7NZU&#10;t3W9rkaPfUAvIUY6fZwv+a7wKwUyfVIqQmKm41RbKiOW8SmP1W4r2iOKMGh5KUP8RxVWaEdJF6pH&#10;kQT7jvo3Kqsl+uhVWklvK6+UllA0kJqm/kXNl0EEKFrInBgWm+LL0cqPpwMy3Xf8jjMnLD3Rnh5K&#10;Jo8M88TuskdjiC2F7t0BL7sYDpgFTwptnkkKm4qv58VXmBKTdLi+r+tNTfZLums2b+q39+vMWj3D&#10;A8b0HrxledFxo10WLlpx+hDTHHoNIVwuZy6grNLZQA427jMoEkMpm4IubQR7g+wkqAGElOBSc0ld&#10;ojNMaWMWYP134CU+Q6G02L+AF0TJ7F1awFY7j3/KnqZryWqOvzow684WPPn+XJ6mWEO9Usy99HVu&#10;xp/3Bf78+3Y/AAAA//8DAFBLAwQUAAYACAAAACEAIAKfSeIAAAALAQAADwAAAGRycy9kb3ducmV2&#10;LnhtbEyPQWvCQBCF74X+h2UKvelGiUFjNiJCqRWK1Bbscc2OSdrsbMiuJv77Tk/tcXgf732TrQbb&#10;iCt2vnakYDKOQCAVztRUKvh4fxrNQfigyejGESq4oYdVfn+X6dS4nt7wegil4BLyqVZQhdCmUvqi&#10;Qqv92LVInJ1dZ3Xgsyul6XTP5baR0yhKpNU18UKlW9xUWHwfLlbBa7fdbta72xftP21/nO6O+5fh&#10;WanHh2G9BBFwCH8w/OqzOuTsdHIXMl40CkZJEjPKwWy+AMHEIp4kIE4K4lkUg8wz+f+H/AcAAP//&#10;AwBQSwECLQAUAAYACAAAACEAtoM4kv4AAADhAQAAEwAAAAAAAAAAAAAAAAAAAAAAW0NvbnRlbnRf&#10;VHlwZXNdLnhtbFBLAQItABQABgAIAAAAIQA4/SH/1gAAAJQBAAALAAAAAAAAAAAAAAAAAC8BAABf&#10;cmVscy8ucmVsc1BLAQItABQABgAIAAAAIQAL9/71uAEAAMUDAAAOAAAAAAAAAAAAAAAAAC4CAABk&#10;cnMvZTJvRG9jLnhtbFBLAQItABQABgAIAAAAIQAgAp9J4gAAAAsBAAAPAAAAAAAAAAAAAAAAABIE&#10;AABkcnMvZG93bnJldi54bWxQSwUGAAAAAAQABADzAAAAIQUAAAAA&#10;" strokecolor="#5b9bd5 [3204]" strokeweight=".5pt">
                <v:stroke joinstyle="miter"/>
              </v:line>
            </w:pict>
          </mc:Fallback>
        </mc:AlternateContent>
      </w:r>
      <w:hyperlink r:id="rId13" w:history="1">
        <w:r w:rsidR="00A8004E" w:rsidRPr="00B12E7A">
          <w:rPr>
            <w:rStyle w:val="Hipervnculo"/>
            <w:i w:val="0"/>
            <w:sz w:val="24"/>
            <w:szCs w:val="24"/>
          </w:rPr>
          <w:t>https://www.infoem.org.mx/es/contenido/transparencia/directorio-de-sujetos-obligados</w:t>
        </w:r>
      </w:hyperlink>
      <w:r w:rsidR="00A8004E">
        <w:rPr>
          <w:i w:val="0"/>
          <w:sz w:val="24"/>
          <w:szCs w:val="24"/>
        </w:rPr>
        <w:t xml:space="preserve"> </w:t>
      </w:r>
    </w:p>
    <w:p w14:paraId="50966238" w14:textId="7489376B" w:rsidR="00A8004E" w:rsidRPr="00A8004E" w:rsidRDefault="00DE73D2" w:rsidP="00A8004E">
      <w:pPr>
        <w:pStyle w:val="Citas"/>
        <w:ind w:left="0"/>
        <w:rPr>
          <w:b/>
        </w:rPr>
      </w:pPr>
      <w:r>
        <w:rPr>
          <w:noProof/>
          <w:lang w:eastAsia="es-MX"/>
        </w:rPr>
        <w:lastRenderedPageBreak/>
        <w:drawing>
          <wp:anchor distT="0" distB="0" distL="114300" distR="114300" simplePos="0" relativeHeight="251699185" behindDoc="0" locked="0" layoutInCell="1" allowOverlap="1" wp14:anchorId="23B197D0" wp14:editId="6ECF6C16">
            <wp:simplePos x="0" y="0"/>
            <wp:positionH relativeFrom="column">
              <wp:posOffset>-101608</wp:posOffset>
            </wp:positionH>
            <wp:positionV relativeFrom="paragraph">
              <wp:posOffset>3724151</wp:posOffset>
            </wp:positionV>
            <wp:extent cx="5748655" cy="3300095"/>
            <wp:effectExtent l="19050" t="19050" r="23495" b="14605"/>
            <wp:wrapThrough wrapText="bothSides">
              <wp:wrapPolygon edited="0">
                <wp:start x="-72" y="-125"/>
                <wp:lineTo x="-72" y="21571"/>
                <wp:lineTo x="21617" y="21571"/>
                <wp:lineTo x="21617" y="-125"/>
                <wp:lineTo x="-72" y="-125"/>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8655"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8004E">
        <w:rPr>
          <w:noProof/>
          <w:lang w:eastAsia="es-MX"/>
        </w:rPr>
        <w:drawing>
          <wp:anchor distT="0" distB="0" distL="114300" distR="114300" simplePos="0" relativeHeight="251701235" behindDoc="0" locked="0" layoutInCell="1" allowOverlap="1" wp14:anchorId="52D84597" wp14:editId="45D1BEC3">
            <wp:simplePos x="0" y="0"/>
            <wp:positionH relativeFrom="column">
              <wp:posOffset>-102235</wp:posOffset>
            </wp:positionH>
            <wp:positionV relativeFrom="paragraph">
              <wp:posOffset>19152</wp:posOffset>
            </wp:positionV>
            <wp:extent cx="5760720" cy="3300095"/>
            <wp:effectExtent l="19050" t="19050" r="11430" b="14605"/>
            <wp:wrapThrough wrapText="bothSides">
              <wp:wrapPolygon edited="0">
                <wp:start x="-71" y="-125"/>
                <wp:lineTo x="-71" y="21571"/>
                <wp:lineTo x="21571" y="21571"/>
                <wp:lineTo x="21571" y="-125"/>
                <wp:lineTo x="-71" y="-125"/>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95F65B" w14:textId="3DAF8700" w:rsidR="00344CA4" w:rsidRDefault="00DE73D2" w:rsidP="008B522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98160" behindDoc="0" locked="0" layoutInCell="1" allowOverlap="1" wp14:anchorId="4ACEDD44" wp14:editId="18CC4D0A">
            <wp:simplePos x="0" y="0"/>
            <wp:positionH relativeFrom="column">
              <wp:posOffset>-113294</wp:posOffset>
            </wp:positionH>
            <wp:positionV relativeFrom="paragraph">
              <wp:posOffset>30422</wp:posOffset>
            </wp:positionV>
            <wp:extent cx="5748655" cy="3300095"/>
            <wp:effectExtent l="19050" t="19050" r="23495" b="14605"/>
            <wp:wrapThrough wrapText="bothSides">
              <wp:wrapPolygon edited="0">
                <wp:start x="-72" y="-125"/>
                <wp:lineTo x="-72" y="21571"/>
                <wp:lineTo x="21617" y="21571"/>
                <wp:lineTo x="21617" y="-125"/>
                <wp:lineTo x="-72" y="-125"/>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8655"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935979" w14:textId="358B57AE" w:rsidR="00A8004E" w:rsidRDefault="00C743CD" w:rsidP="008B5224">
      <w:pPr>
        <w:pStyle w:val="Prrafodelista"/>
        <w:autoSpaceDE w:val="0"/>
        <w:autoSpaceDN w:val="0"/>
        <w:adjustRightInd w:val="0"/>
        <w:spacing w:before="240" w:after="160" w:line="360" w:lineRule="auto"/>
        <w:ind w:left="0"/>
        <w:jc w:val="both"/>
        <w:rPr>
          <w:rFonts w:ascii="Palatino Linotype" w:hAnsi="Palatino Linotype" w:cs="Arial"/>
        </w:rPr>
      </w:pPr>
      <w:r w:rsidRPr="00ED4B06">
        <w:rPr>
          <w:rFonts w:ascii="Palatino Linotype" w:hAnsi="Palatino Linotype"/>
          <w:bCs/>
        </w:rPr>
        <w:t>Con base en lo anteriormente expuesto</w:t>
      </w:r>
      <w:r>
        <w:rPr>
          <w:rFonts w:ascii="Palatino Linotype" w:hAnsi="Palatino Linotype"/>
          <w:bCs/>
        </w:rPr>
        <w:t xml:space="preserve">, se arriba a la conclusión de que la esfera competencial del </w:t>
      </w:r>
      <w:r>
        <w:rPr>
          <w:rFonts w:ascii="Palatino Linotype" w:hAnsi="Palatino Linotype"/>
          <w:b/>
        </w:rPr>
        <w:t xml:space="preserve">Sujeto Obligado </w:t>
      </w:r>
      <w:r>
        <w:rPr>
          <w:rFonts w:ascii="Palatino Linotype" w:hAnsi="Palatino Linotype"/>
          <w:bCs/>
        </w:rPr>
        <w:t xml:space="preserve">lo constriñe a generar, poseer y administrar la información requerida, asimismo, ésta deberá de ser publicada oficiosamente en su portal </w:t>
      </w:r>
      <w:r w:rsidRPr="00C743CD">
        <w:rPr>
          <w:rFonts w:ascii="Palatino Linotype" w:hAnsi="Palatino Linotype"/>
          <w:b/>
          <w:bCs/>
        </w:rPr>
        <w:t>IPOMEX.</w:t>
      </w:r>
      <w:r>
        <w:rPr>
          <w:rFonts w:ascii="Palatino Linotype" w:hAnsi="Palatino Linotype"/>
          <w:bCs/>
        </w:rPr>
        <w:t xml:space="preserve"> </w:t>
      </w:r>
    </w:p>
    <w:p w14:paraId="47DC60C1" w14:textId="74098924" w:rsidR="00A8004E" w:rsidRPr="00C743CD" w:rsidRDefault="00C743CD" w:rsidP="008B522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como se mencionó en el antecedente segundo, </w:t>
      </w:r>
      <w:r>
        <w:rPr>
          <w:rFonts w:ascii="Palatino Linotype" w:hAnsi="Palatino Linotype" w:cs="Arial"/>
          <w:b/>
        </w:rPr>
        <w:t xml:space="preserve">El Sujeto Obligado </w:t>
      </w:r>
      <w:r>
        <w:rPr>
          <w:rFonts w:ascii="Palatino Linotype" w:hAnsi="Palatino Linotype" w:cs="Arial"/>
        </w:rPr>
        <w:t xml:space="preserve">en fecha nueve de febrero de dos mil veintiuno, rindió su respuesta a la solicitud de información formulada por el particular, en los siguientes términos: </w:t>
      </w:r>
    </w:p>
    <w:p w14:paraId="6C78B83B" w14:textId="3FA3B1C5" w:rsidR="00A8004E" w:rsidRPr="00C743CD" w:rsidRDefault="00C743CD" w:rsidP="00C743CD">
      <w:pPr>
        <w:pStyle w:val="Citas"/>
        <w:rPr>
          <w:b/>
        </w:rPr>
      </w:pPr>
      <w:r>
        <w:t xml:space="preserve">“Quiero conocer la incidencia delictiva en el municipio desde enero de 2020 a febrero 2021. Favor de mostrar la estadística desglosada por mes y por colonia. Gracias” </w:t>
      </w:r>
      <w:r>
        <w:rPr>
          <w:b/>
        </w:rPr>
        <w:t>[Sic]</w:t>
      </w:r>
    </w:p>
    <w:p w14:paraId="26EF3585" w14:textId="36EF2A32" w:rsidR="00D32686" w:rsidRPr="00D32686" w:rsidRDefault="00D32686" w:rsidP="008B522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rPr>
        <w:lastRenderedPageBreak/>
        <w:t xml:space="preserve">De forma complementaria, adjuntó el documento electrónico </w:t>
      </w:r>
      <w:r>
        <w:rPr>
          <w:rFonts w:ascii="Palatino Linotype" w:hAnsi="Palatino Linotype" w:cs="Arial"/>
          <w:b/>
        </w:rPr>
        <w:t xml:space="preserve">“37.pdf”, </w:t>
      </w:r>
      <w:r>
        <w:rPr>
          <w:rFonts w:ascii="Palatino Linotype" w:hAnsi="Palatino Linotype" w:cs="Arial"/>
        </w:rPr>
        <w:t xml:space="preserve">cuyo contenido es imposible de visualizar, no obstante, en el expediente electrónico se advierte que el apartado de respuesta del </w:t>
      </w:r>
      <w:r>
        <w:rPr>
          <w:rFonts w:ascii="Palatino Linotype" w:hAnsi="Palatino Linotype" w:cs="Arial"/>
          <w:b/>
        </w:rPr>
        <w:t xml:space="preserve">Sujeto Obligado </w:t>
      </w:r>
      <w:r>
        <w:rPr>
          <w:rFonts w:ascii="Palatino Linotype" w:hAnsi="Palatino Linotype" w:cs="Arial"/>
        </w:rPr>
        <w:t xml:space="preserve">refleja la opción </w:t>
      </w:r>
      <w:r>
        <w:rPr>
          <w:rFonts w:ascii="Palatino Linotype" w:hAnsi="Palatino Linotype" w:cs="Arial"/>
          <w:b/>
        </w:rPr>
        <w:t xml:space="preserve">“Información que Puede estar en Poder de Otro Sujeto Obligado”. </w:t>
      </w:r>
    </w:p>
    <w:p w14:paraId="433CEAEC" w14:textId="303980F7" w:rsidR="00A8004E" w:rsidRDefault="00D61BF7" w:rsidP="008B522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virtud de lo anterior</w:t>
      </w:r>
      <w:r w:rsidR="00D32686">
        <w:rPr>
          <w:rFonts w:ascii="Palatino Linotype" w:hAnsi="Palatino Linotype" w:cs="Arial"/>
        </w:rPr>
        <w:t xml:space="preserve">, se tienen por actualizadas las causales de procedencia inmersas en el numeral 179, fracciones </w:t>
      </w:r>
    </w:p>
    <w:p w14:paraId="4BC19EB2" w14:textId="77777777" w:rsidR="00D61BF7" w:rsidRDefault="00D61BF7" w:rsidP="00D61BF7">
      <w:pPr>
        <w:pStyle w:val="Citas"/>
      </w:pPr>
      <w:r>
        <w:t>“Artículo 179. El recurso de revisión es un medio de protección que la Ley otorga a los particulares, para hacer valer su derecho de acceso a la información pública, y procederá en contra de las siguientes causas:</w:t>
      </w:r>
    </w:p>
    <w:p w14:paraId="2BD8668B" w14:textId="5DF1F498" w:rsidR="007568AD" w:rsidRDefault="00D61BF7" w:rsidP="00D61BF7">
      <w:pPr>
        <w:pStyle w:val="Citas"/>
      </w:pPr>
      <w:r>
        <w:t xml:space="preserve"> I. La negativa a la información solicitada;</w:t>
      </w:r>
    </w:p>
    <w:p w14:paraId="0F5C7DEC" w14:textId="3BD0A269" w:rsidR="00D61BF7" w:rsidRDefault="00D61BF7" w:rsidP="00D61BF7">
      <w:pPr>
        <w:pStyle w:val="Citas"/>
      </w:pPr>
      <w:r>
        <w:t>(…)</w:t>
      </w:r>
    </w:p>
    <w:p w14:paraId="4DF3723B" w14:textId="044D64C6" w:rsidR="00D61BF7" w:rsidRDefault="00D61BF7" w:rsidP="00D61BF7">
      <w:pPr>
        <w:pStyle w:val="Citas"/>
      </w:pPr>
      <w:r>
        <w:t>IV. La declaración de incompetencia por el sujeto obligado;</w:t>
      </w:r>
    </w:p>
    <w:p w14:paraId="26415492" w14:textId="2D1DE0B1" w:rsidR="00D61BF7" w:rsidRPr="00D61BF7" w:rsidRDefault="00D61BF7" w:rsidP="00D61BF7">
      <w:pPr>
        <w:pStyle w:val="Citas"/>
        <w:rPr>
          <w:b/>
          <w:noProof/>
          <w:color w:val="000000"/>
          <w:sz w:val="24"/>
          <w:lang w:eastAsia="es-MX"/>
        </w:rPr>
      </w:pPr>
      <w:r>
        <w:rPr>
          <w:noProof/>
          <w:color w:val="000000"/>
          <w:sz w:val="24"/>
          <w:lang w:eastAsia="es-MX"/>
        </w:rPr>
        <w:t xml:space="preserve">(…)” </w:t>
      </w:r>
      <w:r>
        <w:rPr>
          <w:b/>
          <w:noProof/>
          <w:color w:val="000000"/>
          <w:sz w:val="24"/>
          <w:lang w:eastAsia="es-MX"/>
        </w:rPr>
        <w:t>[Sic]</w:t>
      </w:r>
    </w:p>
    <w:p w14:paraId="1032936A" w14:textId="77777777" w:rsidR="00D32686" w:rsidRDefault="00D32686" w:rsidP="00EF5956">
      <w:pPr>
        <w:spacing w:after="0" w:line="360" w:lineRule="auto"/>
        <w:jc w:val="both"/>
        <w:rPr>
          <w:rFonts w:ascii="Palatino Linotype" w:hAnsi="Palatino Linotype" w:cs="Arial"/>
          <w:noProof/>
          <w:color w:val="000000"/>
          <w:sz w:val="24"/>
          <w:lang w:eastAsia="es-MX"/>
        </w:rPr>
      </w:pPr>
    </w:p>
    <w:p w14:paraId="7F4DF56A" w14:textId="681F67E9" w:rsidR="00D32686" w:rsidRPr="00D61BF7" w:rsidRDefault="00D61BF7" w:rsidP="00EF595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Inconforme con la respuesta del </w:t>
      </w:r>
      <w:r>
        <w:rPr>
          <w:rFonts w:ascii="Palatino Linotype" w:hAnsi="Palatino Linotype" w:cs="Arial"/>
          <w:b/>
          <w:noProof/>
          <w:color w:val="000000"/>
          <w:sz w:val="24"/>
          <w:lang w:eastAsia="es-MX"/>
        </w:rPr>
        <w:t xml:space="preserve">Sujeto Obligado, La Recurrente </w:t>
      </w:r>
      <w:r>
        <w:rPr>
          <w:rFonts w:ascii="Palatino Linotype" w:hAnsi="Palatino Linotype" w:cs="Arial"/>
          <w:noProof/>
          <w:color w:val="000000"/>
          <w:sz w:val="24"/>
          <w:lang w:eastAsia="es-MX"/>
        </w:rPr>
        <w:t>interpuso recurso de revisión en fecha dieciseis de febrero, admitiendose el veintitres de febrero, ambos de dos mil veintiuno. Señalando como razones o motivos de inconformidad:</w:t>
      </w:r>
    </w:p>
    <w:p w14:paraId="4C7F3165" w14:textId="77777777" w:rsidR="00D61BF7" w:rsidRPr="00DC168A" w:rsidRDefault="00D61BF7" w:rsidP="00D61BF7">
      <w:pPr>
        <w:pStyle w:val="Citas"/>
      </w:pPr>
      <w:r w:rsidRPr="00EE13C6">
        <w:t>“El municipio niega la información, además responde de manera inadecuada. Al solicitar información sobre la incidencia delictiva en el municipio de Naucalpan, éste responde que tiene "Incompetencia</w:t>
      </w:r>
      <w:r w:rsidRPr="00EE13C6">
        <w:rPr>
          <w:b/>
          <w:bCs/>
          <w:u w:val="single"/>
        </w:rPr>
        <w:t xml:space="preserve">". Y anexa un archivo pdf al que ni siquiera es posible acceder o abrir. Además, considero que el ayuntamiento sí tiene la </w:t>
      </w:r>
      <w:r w:rsidRPr="00EE13C6">
        <w:rPr>
          <w:b/>
          <w:bCs/>
          <w:u w:val="single"/>
        </w:rPr>
        <w:lastRenderedPageBreak/>
        <w:t xml:space="preserve">competencia para responder. </w:t>
      </w:r>
      <w:r w:rsidRPr="00EE13C6">
        <w:t xml:space="preserve">A continuación explico por qué. Mi solicitud fue esta: "Quiero conocer la incidencia delictiva en el municipio desde enero de 2020 a febrero 2021. Favor de mostrar la estadística desglosada por mes y por colonia. Gracias". </w:t>
      </w:r>
      <w:r w:rsidRPr="00EE13C6">
        <w:rPr>
          <w:b/>
          <w:bCs/>
          <w:u w:val="single"/>
        </w:rPr>
        <w:t>El ayuntamiento responde con "Incompetencia" y que corresponde a otra instancia a la que no menciona, o al menos, al no poder abrirse el archivo, no se sabe si se menciona.</w:t>
      </w:r>
      <w:r w:rsidRPr="00EE13C6">
        <w:t xml:space="preserve"> Continúo... El 12 de noviembre de 2020 el Ayuntamiento emitió este comunicado donde da cuenta de que sí tiene la información, independiente de cuál sea su fuente de alimentación: </w:t>
      </w:r>
      <w:hyperlink r:id="rId17" w:history="1">
        <w:r w:rsidRPr="00E01801">
          <w:rPr>
            <w:rStyle w:val="Hipervnculo"/>
          </w:rPr>
          <w:t>https://naucalpan.gob.mx/2020/11/12/disminuye-incidencia-delictiva-en-naucalpan/</w:t>
        </w:r>
      </w:hyperlink>
      <w:r>
        <w:t xml:space="preserve"> </w:t>
      </w:r>
      <w:r w:rsidRPr="00EE13C6">
        <w:t>, en el se puede leer lo siguiente: "En Naucalpan disminuyó la incidencia delictiva respecto a los dos últimos años, informó el titular de la Dirección General de Seguridad Ciudadana, Lázaro Gaytán Aguirre. De diciembre del 2019 a septiembre del 2020, Naucalpan presentó la disminución del 86 por ciento en secuestros, 33 por ciento en robo de vehículos, 27 por ciento en robo a transeúnte, 16 por ciento en violaciones y 7 por ciento en lesiones dolosas, respecto al mismo periodo del 2018 al 2019" Además, para que un ayuntamiento y gobierno de cualquier nivel aplique programas y políticas públicas para mejorar o reforzar la seguridad, es necesario contar con la información sobre la incidencia delictiva, sino ¿cómo le hacen? En ese mismo comunicado también se lee: "En comparación con 2019 se redujeron los reportes de robo en transporte público y robo a casa habitación, en un 22 y 19 por ciento, respectivamente; sin embargo, la violencia intrafamiliar incrementó un 28 por ciento en la demarcación". ¿Cómo deducen eso sin tener información sobre la incidencia delictiva en el municipio? En otro comunicado con fecha del 7 de febrero de 2021 (</w:t>
      </w:r>
      <w:hyperlink r:id="rId18" w:history="1">
        <w:r w:rsidRPr="00E01801">
          <w:rPr>
            <w:rStyle w:val="Hipervnculo"/>
          </w:rPr>
          <w:t>https://naucalpan.gob.mx/2021/02/07/realiza-policia-de-naucalpan-operativo-en-san-rafael-chamapa/</w:t>
        </w:r>
      </w:hyperlink>
      <w:r>
        <w:t xml:space="preserve"> </w:t>
      </w:r>
      <w:r w:rsidRPr="00EE13C6">
        <w:t xml:space="preserve">) se lee esto: "La Dirección General de Seguridad Ciudadana y Tránsito Municipal realizó un operativo de supervisión </w:t>
      </w:r>
      <w:r w:rsidRPr="00EE13C6">
        <w:lastRenderedPageBreak/>
        <w:t>en las localidades de San Rafael Chamapa, Valle Dorado y La Mancha III, en el que participaron cerca de 30 elementos de diversas corporaciones y fueron inspeccionadas cerca de 30 personas, 10 motocicletas y 8 vehículos... Ramón Dulce Torres, director técnico de Seguridad Ciudadana de Naucalpan, informó que a partir de enero y durante febrero se llevan a cabo operativos de vigilancia en dos turnos, en las comunidades donde se presenta mayor incidencia delictiva". Aquí se confirma que sí tienen conocimiento de cuáles son las comunidades con mayor incidencia. Finalmente, quiero expresar que es lamentable que el Ayuntamiento haga que los ciudadanos recurramos a recursos de revisión y a otras instancias para obtener información tan básica, necesaria y esencial, solo por que las autoridades no tienen voluntad de darla a conocer. Solicito se revise la respuesta de incompetencia a la que alega el departamento de Transparencia de Naucalpan y se me brinde la información de las comunidades/ colonias que solicito. En esta impugnación no adjunto documentos anexos por lo antes referido, la respuesta de transparencia del ayuntamiento no lo adjuntó correctamente, y se lee "Se ha producido un error al cargar el documento PDF". Gracias.”</w:t>
      </w:r>
      <w:r w:rsidRPr="00DC168A">
        <w:t xml:space="preserve"> </w:t>
      </w:r>
      <w:r w:rsidRPr="00DC168A">
        <w:rPr>
          <w:b/>
          <w:bCs/>
        </w:rPr>
        <w:t>[Sic]</w:t>
      </w:r>
    </w:p>
    <w:p w14:paraId="6CCCCE47" w14:textId="77777777" w:rsidR="00D32686" w:rsidRDefault="00D32686" w:rsidP="00EF5956">
      <w:pPr>
        <w:spacing w:after="0" w:line="360" w:lineRule="auto"/>
        <w:jc w:val="both"/>
        <w:rPr>
          <w:rFonts w:ascii="Palatino Linotype" w:hAnsi="Palatino Linotype" w:cs="Arial"/>
          <w:noProof/>
          <w:color w:val="000000"/>
          <w:sz w:val="24"/>
          <w:lang w:eastAsia="es-MX"/>
        </w:rPr>
      </w:pPr>
    </w:p>
    <w:p w14:paraId="68470178" w14:textId="35ABFAE7" w:rsidR="007B403C" w:rsidRDefault="007B403C" w:rsidP="00EF5956">
      <w:pPr>
        <w:spacing w:after="0" w:line="360" w:lineRule="auto"/>
        <w:jc w:val="both"/>
        <w:rPr>
          <w:rFonts w:ascii="Palatino Linotype" w:hAnsi="Palatino Linotype" w:cs="Arial"/>
          <w:noProof/>
          <w:color w:val="000000"/>
          <w:sz w:val="24"/>
          <w:lang w:eastAsia="es-MX"/>
        </w:rPr>
      </w:pPr>
    </w:p>
    <w:p w14:paraId="370E6ECB" w14:textId="4E00FDD5" w:rsidR="00652A6B" w:rsidRDefault="00DE73D2" w:rsidP="00045B3C">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mc:AlternateContent>
          <mc:Choice Requires="wps">
            <w:drawing>
              <wp:anchor distT="0" distB="0" distL="114300" distR="114300" simplePos="0" relativeHeight="251714550" behindDoc="0" locked="0" layoutInCell="1" allowOverlap="1" wp14:anchorId="1716A42E" wp14:editId="44C056F9">
                <wp:simplePos x="0" y="0"/>
                <wp:positionH relativeFrom="column">
                  <wp:posOffset>-185614</wp:posOffset>
                </wp:positionH>
                <wp:positionV relativeFrom="paragraph">
                  <wp:posOffset>798720</wp:posOffset>
                </wp:positionV>
                <wp:extent cx="6500191" cy="1431234"/>
                <wp:effectExtent l="0" t="0" r="34290" b="36195"/>
                <wp:wrapNone/>
                <wp:docPr id="6" name="Conector recto 6"/>
                <wp:cNvGraphicFramePr/>
                <a:graphic xmlns:a="http://schemas.openxmlformats.org/drawingml/2006/main">
                  <a:graphicData uri="http://schemas.microsoft.com/office/word/2010/wordprocessingShape">
                    <wps:wsp>
                      <wps:cNvCnPr/>
                      <wps:spPr>
                        <a:xfrm>
                          <a:off x="0" y="0"/>
                          <a:ext cx="6500191" cy="14312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2FFAC" id="Conector recto 6" o:spid="_x0000_s1026" style="position:absolute;z-index:251714550;visibility:visible;mso-wrap-style:square;mso-wrap-distance-left:9pt;mso-wrap-distance-top:0;mso-wrap-distance-right:9pt;mso-wrap-distance-bottom:0;mso-position-horizontal:absolute;mso-position-horizontal-relative:text;mso-position-vertical:absolute;mso-position-vertical-relative:text" from="-14.6pt,62.9pt" to="497.25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3AuAEAAMUDAAAOAAAAZHJzL2Uyb0RvYy54bWysU9uO0zAQfUfiHyy/0yTdpYKo6T50BS8I&#10;Klg+wOuMG0u+aWya9O8ZO20WARJitS++zjkz53i8vZusYSfAqL3reLOqOQMnfa/dsePfHz68ecdZ&#10;TML1wngHHT9D5He716+2Y2hh7QdvekBGJC62Y+j4kFJoqyrKAayIKx/A0aXyaEWiLR6rHsVI7NZU&#10;67reVKPHPqCXECOd3s+XfFf4lQKZvigVITHTcaotlRHL+JjHarcV7RFFGLS8lCGeUYUV2lHShepe&#10;JMF+oP6DymqJPnqVVtLbyiulJRQNpKapf1PzbRABihYyJ4bFpvhytPLz6YBM9x3fcOaEpSfa00PJ&#10;5JFhntgmezSG2FLo3h3wsovhgFnwpNDmmaSwqfh6XnyFKTFJh5u3dd28bziTdNfc3jTrm9vMWj3B&#10;A8b0EbxledFxo10WLlpx+hTTHHoNIVwuZy6grNLZQA427isoEkMpm4IubQR7g+wkqAGElOBSc0ld&#10;ojNMaWMWYP1v4CU+Q6G02P+AF0TJ7F1awFY7j3/LnqZryWqOvzow684WPPr+XJ6mWEO9Usy99HVu&#10;xl/3Bf70+3Y/AQAA//8DAFBLAwQUAAYACAAAACEAe5WP0eIAAAALAQAADwAAAGRycy9kb3ducmV2&#10;LnhtbEyPUUvDMBSF3wX/Q7iCb1u6aGWtTccYiHMgY1OYj1kT22pzU5Js7f691yd9vJyPc79TLEbb&#10;sbPxoXUoYTZNgBmsnG6xlvD+9jSZAwtRoVadQyPhYgIsyuurQuXaDbgz532sGZVgyJWEJsY+5zxU&#10;jbEqTF1vkLJP562KdPqaa68GKrcdF0nywK1qkT40qjerxlTf+5OV8OrX69Vyc/nC7YcdDmJz2L6M&#10;z1Le3ozLR2DRjPEPhl99UoeSnI7uhDqwTsJEZIJQCkRKG4jIsvsU2FHCXToTwMuC/99Q/gAAAP//&#10;AwBQSwECLQAUAAYACAAAACEAtoM4kv4AAADhAQAAEwAAAAAAAAAAAAAAAAAAAAAAW0NvbnRlbnRf&#10;VHlwZXNdLnhtbFBLAQItABQABgAIAAAAIQA4/SH/1gAAAJQBAAALAAAAAAAAAAAAAAAAAC8BAABf&#10;cmVscy8ucmVsc1BLAQItABQABgAIAAAAIQDuZ23AuAEAAMUDAAAOAAAAAAAAAAAAAAAAAC4CAABk&#10;cnMvZTJvRG9jLnhtbFBLAQItABQABgAIAAAAIQB7lY/R4gAAAAsBAAAPAAAAAAAAAAAAAAAAABIE&#10;AABkcnMvZG93bnJldi54bWxQSwUGAAAAAAQABADzAAAAIQUAAAAA&#10;" strokecolor="#5b9bd5 [3204]" strokeweight=".5pt">
                <v:stroke joinstyle="miter"/>
              </v:line>
            </w:pict>
          </mc:Fallback>
        </mc:AlternateContent>
      </w:r>
      <w:r w:rsidR="00D61BF7">
        <w:rPr>
          <w:rFonts w:ascii="Palatino Linotype" w:hAnsi="Palatino Linotype" w:cs="Arial"/>
          <w:color w:val="000000"/>
          <w:sz w:val="24"/>
          <w:lang w:val="es-ES_tradnl"/>
        </w:rPr>
        <w:t>Con relación a las ligas electrónicas referidas por el particular en sus motivos de inconformidad, resultan de nuestro interés las siguientes imágenes ilustrativas:</w:t>
      </w:r>
    </w:p>
    <w:p w14:paraId="4696C449" w14:textId="23964400" w:rsidR="00D61BF7" w:rsidRDefault="00DE73D2" w:rsidP="00045B3C">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697135" behindDoc="0" locked="0" layoutInCell="1" allowOverlap="1" wp14:anchorId="5A8C9031" wp14:editId="479DDF47">
            <wp:simplePos x="0" y="0"/>
            <wp:positionH relativeFrom="column">
              <wp:posOffset>80554</wp:posOffset>
            </wp:positionH>
            <wp:positionV relativeFrom="paragraph">
              <wp:posOffset>3618593</wp:posOffset>
            </wp:positionV>
            <wp:extent cx="5762625" cy="3300095"/>
            <wp:effectExtent l="19050" t="19050" r="28575" b="14605"/>
            <wp:wrapThrough wrapText="bothSides">
              <wp:wrapPolygon edited="0">
                <wp:start x="-71" y="-125"/>
                <wp:lineTo x="-71" y="21571"/>
                <wp:lineTo x="21636" y="21571"/>
                <wp:lineTo x="21636" y="-125"/>
                <wp:lineTo x="-71" y="-125"/>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61BF7">
        <w:rPr>
          <w:rFonts w:ascii="Palatino Linotype" w:hAnsi="Palatino Linotype" w:cs="Arial"/>
          <w:noProof/>
          <w:color w:val="000000"/>
          <w:sz w:val="24"/>
          <w:lang w:eastAsia="es-MX"/>
        </w:rPr>
        <w:drawing>
          <wp:anchor distT="0" distB="0" distL="114300" distR="114300" simplePos="0" relativeHeight="251711478" behindDoc="0" locked="0" layoutInCell="1" allowOverlap="1" wp14:anchorId="75FAE126" wp14:editId="459426BD">
            <wp:simplePos x="0" y="0"/>
            <wp:positionH relativeFrom="column">
              <wp:posOffset>81915</wp:posOffset>
            </wp:positionH>
            <wp:positionV relativeFrom="paragraph">
              <wp:posOffset>19547</wp:posOffset>
            </wp:positionV>
            <wp:extent cx="5753100" cy="3300095"/>
            <wp:effectExtent l="19050" t="19050" r="19050" b="14605"/>
            <wp:wrapThrough wrapText="bothSides">
              <wp:wrapPolygon edited="0">
                <wp:start x="-72" y="-125"/>
                <wp:lineTo x="-72" y="21571"/>
                <wp:lineTo x="21600" y="21571"/>
                <wp:lineTo x="21600" y="-125"/>
                <wp:lineTo x="-72" y="-125"/>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3300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1D0231" w14:textId="7725771D" w:rsidR="00D61BF7" w:rsidRDefault="00D61BF7" w:rsidP="00045B3C">
      <w:pPr>
        <w:spacing w:after="0" w:line="360" w:lineRule="auto"/>
        <w:jc w:val="both"/>
        <w:rPr>
          <w:rFonts w:ascii="Palatino Linotype" w:hAnsi="Palatino Linotype" w:cs="Arial"/>
          <w:color w:val="000000"/>
          <w:sz w:val="24"/>
        </w:rPr>
      </w:pPr>
      <w:r>
        <w:rPr>
          <w:rFonts w:ascii="Palatino Linotype" w:hAnsi="Palatino Linotype" w:cs="Arial"/>
          <w:color w:val="000000"/>
          <w:sz w:val="24"/>
        </w:rPr>
        <w:lastRenderedPageBreak/>
        <w:t xml:space="preserve">De manera adicional, como fue mencionado en el antecedente quinto, </w:t>
      </w:r>
      <w:r>
        <w:rPr>
          <w:rFonts w:ascii="Palatino Linotype" w:hAnsi="Palatino Linotype" w:cs="Arial"/>
          <w:b/>
          <w:color w:val="000000"/>
          <w:sz w:val="24"/>
        </w:rPr>
        <w:t xml:space="preserve">El Sujeto Obligado </w:t>
      </w:r>
      <w:r>
        <w:rPr>
          <w:rFonts w:ascii="Palatino Linotype" w:hAnsi="Palatino Linotype" w:cs="Arial"/>
          <w:color w:val="000000"/>
          <w:sz w:val="24"/>
        </w:rPr>
        <w:t xml:space="preserve">rindió su informe justificado, adjuntando lo siguiente: </w:t>
      </w:r>
    </w:p>
    <w:p w14:paraId="7C152189" w14:textId="0108A381" w:rsidR="00D61BF7" w:rsidRDefault="00D61BF7" w:rsidP="00D61BF7">
      <w:pPr>
        <w:pStyle w:val="Prrafodelista"/>
        <w:numPr>
          <w:ilvl w:val="0"/>
          <w:numId w:val="22"/>
        </w:numPr>
        <w:spacing w:line="360" w:lineRule="auto"/>
        <w:jc w:val="both"/>
        <w:rPr>
          <w:rFonts w:ascii="Palatino Linotype" w:hAnsi="Palatino Linotype" w:cs="Arial"/>
          <w:b/>
          <w:color w:val="000000"/>
        </w:rPr>
      </w:pPr>
      <w:r>
        <w:rPr>
          <w:rFonts w:ascii="Palatino Linotype" w:hAnsi="Palatino Linotype" w:cs="Arial"/>
          <w:b/>
          <w:color w:val="000000"/>
        </w:rPr>
        <w:t xml:space="preserve">“UTAIP-0055-2021_202102231018.pdf”: </w:t>
      </w:r>
      <w:r w:rsidR="00D42343">
        <w:rPr>
          <w:rFonts w:ascii="Palatino Linotype" w:hAnsi="Palatino Linotype" w:cs="Arial"/>
          <w:color w:val="000000"/>
        </w:rPr>
        <w:t xml:space="preserve">Oficio </w:t>
      </w:r>
      <w:r w:rsidR="00D42343">
        <w:rPr>
          <w:rFonts w:ascii="Palatino Linotype" w:hAnsi="Palatino Linotype" w:cs="Arial"/>
          <w:b/>
          <w:color w:val="000000"/>
        </w:rPr>
        <w:t xml:space="preserve">UTAIP/0055/2021 </w:t>
      </w:r>
      <w:r w:rsidR="00D42343">
        <w:rPr>
          <w:rFonts w:ascii="Palatino Linotype" w:hAnsi="Palatino Linotype" w:cs="Arial"/>
          <w:color w:val="000000"/>
        </w:rPr>
        <w:t xml:space="preserve">signado por el Director de la Unidad de Transparencia y Acceso a la Información Pública y dirigido al Encargado de Despacho de la Dirección General de Seguridad Ciudadana y Tránsito Municipal, en lo medular le requiere realizar una búsqueda exhaustiva y razonable en sus archivos, a efecto de rendir el informe justificado; de fecha dieciocho de febrero de dos mil veintiuno. </w:t>
      </w:r>
    </w:p>
    <w:p w14:paraId="09E7C440" w14:textId="6C3FA5D3" w:rsidR="00D61BF7" w:rsidRPr="00D42343" w:rsidRDefault="00D42343" w:rsidP="00D61BF7">
      <w:pPr>
        <w:pStyle w:val="Prrafodelista"/>
        <w:numPr>
          <w:ilvl w:val="0"/>
          <w:numId w:val="22"/>
        </w:numPr>
        <w:spacing w:line="360" w:lineRule="auto"/>
        <w:jc w:val="both"/>
        <w:rPr>
          <w:rFonts w:ascii="Palatino Linotype" w:hAnsi="Palatino Linotype" w:cs="Arial"/>
          <w:b/>
          <w:color w:val="000000"/>
          <w:u w:val="single"/>
        </w:rPr>
      </w:pPr>
      <w:r>
        <w:rPr>
          <w:rFonts w:ascii="Palatino Linotype" w:hAnsi="Palatino Linotype" w:cs="Arial"/>
          <w:b/>
          <w:color w:val="000000"/>
        </w:rPr>
        <w:t xml:space="preserve">“DGSCYTM-DJ-01789-2021_202103040914.pdf”: </w:t>
      </w:r>
      <w:r>
        <w:rPr>
          <w:rFonts w:ascii="Palatino Linotype" w:hAnsi="Palatino Linotype" w:cs="Arial"/>
          <w:color w:val="000000"/>
        </w:rPr>
        <w:t xml:space="preserve">Oficio </w:t>
      </w:r>
      <w:r>
        <w:rPr>
          <w:rFonts w:ascii="Palatino Linotype" w:hAnsi="Palatino Linotype" w:cs="Arial"/>
          <w:b/>
          <w:color w:val="000000"/>
        </w:rPr>
        <w:t xml:space="preserve">DGSCYTM/DJ/01789/2020 </w:t>
      </w:r>
      <w:r>
        <w:rPr>
          <w:rFonts w:ascii="Palatino Linotype" w:hAnsi="Palatino Linotype" w:cs="Arial"/>
          <w:color w:val="000000"/>
        </w:rPr>
        <w:t xml:space="preserve">signado por el Enlace de Transparencia de la Dirección de Seguridad Ciudadana y Tránsito Municipal y dirigido al Director de la Unidad de Transparencia y Acceso a la Información Pública, en términos generales asume contar con la información, precisando que la información que obra en sus archivos presenta un corte de enero a diciembre del ejercicio dos mil veinte, asimismo, ésta no se encuentra desglosada por colonia. </w:t>
      </w:r>
      <w:r w:rsidRPr="00D42343">
        <w:rPr>
          <w:rFonts w:ascii="Palatino Linotype" w:hAnsi="Palatino Linotype" w:cs="Arial"/>
          <w:b/>
          <w:color w:val="000000"/>
          <w:u w:val="single"/>
        </w:rPr>
        <w:t xml:space="preserve">Finalmente, refiere adjuntar la información requerida, no obstante, ésta no obra en el expediente electrónico. </w:t>
      </w:r>
    </w:p>
    <w:p w14:paraId="28E9E9C5" w14:textId="77777777" w:rsidR="00D61BF7" w:rsidRDefault="00D61BF7" w:rsidP="00045B3C">
      <w:pPr>
        <w:spacing w:after="0" w:line="360" w:lineRule="auto"/>
        <w:jc w:val="both"/>
        <w:rPr>
          <w:rFonts w:ascii="Palatino Linotype" w:hAnsi="Palatino Linotype" w:cs="Arial"/>
          <w:color w:val="000000"/>
          <w:sz w:val="24"/>
        </w:rPr>
      </w:pPr>
    </w:p>
    <w:p w14:paraId="158B3649" w14:textId="287F487A" w:rsidR="00C82E6F" w:rsidRPr="00C82E6F" w:rsidRDefault="00C82E6F" w:rsidP="00045B3C">
      <w:pPr>
        <w:spacing w:after="0" w:line="360" w:lineRule="auto"/>
        <w:jc w:val="both"/>
        <w:rPr>
          <w:rFonts w:ascii="Palatino Linotype" w:hAnsi="Palatino Linotype" w:cs="Arial"/>
          <w:b/>
          <w:color w:val="000000"/>
          <w:sz w:val="24"/>
        </w:rPr>
      </w:pPr>
      <w:r>
        <w:rPr>
          <w:rFonts w:ascii="Palatino Linotype" w:hAnsi="Palatino Linotype" w:cs="Arial"/>
          <w:color w:val="000000"/>
          <w:sz w:val="24"/>
        </w:rPr>
        <w:t xml:space="preserve">En virtud de lo anterior, esta Ponencia Resolutora arriba a la conclusión de que el derecho de acceso a la información pública no fue subsanado mediante el informe justificado rendido por </w:t>
      </w:r>
      <w:r>
        <w:rPr>
          <w:rFonts w:ascii="Palatino Linotype" w:hAnsi="Palatino Linotype" w:cs="Arial"/>
          <w:b/>
          <w:color w:val="000000"/>
          <w:sz w:val="24"/>
        </w:rPr>
        <w:t xml:space="preserve">El Sujeto Obligado. </w:t>
      </w:r>
    </w:p>
    <w:p w14:paraId="2A3652F9" w14:textId="054AC644" w:rsidR="001D6C11" w:rsidRPr="001D6C11" w:rsidRDefault="00C82E6F" w:rsidP="001D6C11">
      <w:pPr>
        <w:spacing w:after="0" w:line="360" w:lineRule="auto"/>
        <w:jc w:val="both"/>
        <w:rPr>
          <w:rFonts w:ascii="Palatino Linotype" w:hAnsi="Palatino Linotype" w:cs="Arial"/>
          <w:sz w:val="24"/>
          <w:szCs w:val="24"/>
        </w:rPr>
      </w:pPr>
      <w:r w:rsidRPr="001D6C11">
        <w:rPr>
          <w:rFonts w:ascii="Palatino Linotype" w:hAnsi="Palatino Linotype" w:cs="Arial"/>
          <w:color w:val="000000"/>
          <w:sz w:val="24"/>
          <w:szCs w:val="24"/>
        </w:rPr>
        <w:t xml:space="preserve">Con base en lo anteriormente expuesto, resulta procedente ordenar una búsqueda exhaustiva y razonable en los archivos del </w:t>
      </w:r>
      <w:r w:rsidRPr="001D6C11">
        <w:rPr>
          <w:rFonts w:ascii="Palatino Linotype" w:hAnsi="Palatino Linotype" w:cs="Arial"/>
          <w:b/>
          <w:color w:val="000000"/>
          <w:sz w:val="24"/>
          <w:szCs w:val="24"/>
        </w:rPr>
        <w:t xml:space="preserve">Sujeto Obligado, </w:t>
      </w:r>
      <w:r w:rsidRPr="001D6C11">
        <w:rPr>
          <w:rFonts w:ascii="Palatino Linotype" w:hAnsi="Palatino Linotype" w:cs="Arial"/>
          <w:color w:val="000000"/>
          <w:sz w:val="24"/>
          <w:szCs w:val="24"/>
        </w:rPr>
        <w:t xml:space="preserve">a efecto de ordenar la entrega a </w:t>
      </w:r>
      <w:r w:rsidR="00121D59">
        <w:rPr>
          <w:rFonts w:ascii="Palatino Linotype" w:hAnsi="Palatino Linotype" w:cs="Arial"/>
          <w:b/>
          <w:color w:val="000000"/>
          <w:sz w:val="24"/>
          <w:szCs w:val="24"/>
        </w:rPr>
        <w:t xml:space="preserve">La Recurrente, </w:t>
      </w:r>
      <w:r w:rsidR="001D6C11" w:rsidRPr="001D6C11">
        <w:rPr>
          <w:rFonts w:ascii="Palatino Linotype" w:hAnsi="Palatino Linotype" w:cs="Arial"/>
          <w:color w:val="000000"/>
          <w:sz w:val="24"/>
          <w:szCs w:val="24"/>
        </w:rPr>
        <w:t>del</w:t>
      </w:r>
      <w:r w:rsidR="001D6C11" w:rsidRPr="001D6C11">
        <w:rPr>
          <w:rFonts w:ascii="Palatino Linotype" w:hAnsi="Palatino Linotype" w:cs="Arial"/>
          <w:sz w:val="24"/>
          <w:szCs w:val="24"/>
        </w:rPr>
        <w:t xml:space="preserve"> o los documentos donde conste la incidencia delictiva al </w:t>
      </w:r>
      <w:r w:rsidR="001D6C11" w:rsidRPr="001D6C11">
        <w:rPr>
          <w:rFonts w:ascii="Palatino Linotype" w:hAnsi="Palatino Linotype" w:cs="Arial"/>
          <w:sz w:val="24"/>
          <w:szCs w:val="24"/>
        </w:rPr>
        <w:lastRenderedPageBreak/>
        <w:t xml:space="preserve">mayor grado de desagregación posible, del periodo comprendido del uno de enero de dos mil veinte al ocho de febrero de dos mil veintiuno. </w:t>
      </w:r>
    </w:p>
    <w:p w14:paraId="4B6364B3" w14:textId="77777777" w:rsidR="000F1FAB" w:rsidRDefault="000F1FAB" w:rsidP="000F1FAB">
      <w:pPr>
        <w:spacing w:after="0" w:line="360" w:lineRule="auto"/>
        <w:ind w:right="51"/>
        <w:jc w:val="both"/>
        <w:rPr>
          <w:rFonts w:ascii="Palatino Linotype" w:hAnsi="Palatino Linotype" w:cs="Arial"/>
          <w:sz w:val="24"/>
          <w:szCs w:val="24"/>
        </w:rPr>
      </w:pPr>
    </w:p>
    <w:p w14:paraId="21B13F49" w14:textId="0A2ECEA3" w:rsidR="000F1FAB" w:rsidRPr="000F5B7E" w:rsidRDefault="000F1FAB" w:rsidP="000F1FAB">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7F7A92">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1D6C11">
        <w:rPr>
          <w:rFonts w:ascii="Palatino Linotype" w:hAnsi="Palatino Linotype" w:cs="Arial"/>
          <w:b/>
          <w:sz w:val="24"/>
          <w:szCs w:val="24"/>
        </w:rPr>
        <w:t>00037/NAUCALPA/IP/2021</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Times New Roman"/>
          <w:sz w:val="24"/>
          <w:szCs w:val="24"/>
          <w:lang w:eastAsia="es-ES"/>
        </w:rPr>
        <w:t>que ha sido materia del presente fallo.</w:t>
      </w:r>
    </w:p>
    <w:p w14:paraId="27D58CEB" w14:textId="0BCB423C" w:rsidR="000F1FAB" w:rsidRDefault="000F1FAB" w:rsidP="000F1FAB">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0FB8AEA6" w14:textId="77777777" w:rsidR="00CF1976" w:rsidRPr="000F5B7E" w:rsidRDefault="00CF1976" w:rsidP="000F1FAB">
      <w:pPr>
        <w:spacing w:after="0" w:line="360" w:lineRule="auto"/>
        <w:jc w:val="both"/>
        <w:rPr>
          <w:rFonts w:ascii="Palatino Linotype" w:eastAsia="Times New Roman" w:hAnsi="Palatino Linotype" w:cs="Times New Roman"/>
          <w:sz w:val="24"/>
          <w:szCs w:val="24"/>
          <w:lang w:eastAsia="es-ES"/>
        </w:rPr>
      </w:pPr>
    </w:p>
    <w:p w14:paraId="7C217B73" w14:textId="77777777" w:rsidR="000F1FAB" w:rsidRPr="000F5B7E" w:rsidRDefault="000F1FAB" w:rsidP="000F1FAB">
      <w:pPr>
        <w:spacing w:after="0" w:line="360" w:lineRule="auto"/>
        <w:jc w:val="center"/>
        <w:rPr>
          <w:rFonts w:ascii="Palatino Linotype" w:eastAsia="Times New Roman" w:hAnsi="Palatino Linotype" w:cs="Times New Roman"/>
          <w:b/>
          <w:bCs/>
          <w:spacing w:val="60"/>
          <w:sz w:val="28"/>
          <w:szCs w:val="28"/>
          <w:lang w:eastAsia="es-ES"/>
        </w:rPr>
      </w:pPr>
      <w:r>
        <w:rPr>
          <w:rFonts w:ascii="Palatino Linotype" w:eastAsia="Times New Roman" w:hAnsi="Palatino Linotype" w:cs="Times New Roman"/>
          <w:b/>
          <w:bCs/>
          <w:spacing w:val="60"/>
          <w:sz w:val="28"/>
          <w:szCs w:val="28"/>
          <w:lang w:eastAsia="es-ES"/>
        </w:rPr>
        <w:t xml:space="preserve">SE </w:t>
      </w:r>
      <w:r w:rsidRPr="000F5B7E">
        <w:rPr>
          <w:rFonts w:ascii="Palatino Linotype" w:eastAsia="Times New Roman" w:hAnsi="Palatino Linotype" w:cs="Times New Roman"/>
          <w:b/>
          <w:bCs/>
          <w:spacing w:val="60"/>
          <w:sz w:val="28"/>
          <w:szCs w:val="28"/>
          <w:lang w:eastAsia="es-ES"/>
        </w:rPr>
        <w:t xml:space="preserve"> RESUELVE</w:t>
      </w:r>
    </w:p>
    <w:p w14:paraId="2B89D69A" w14:textId="77777777" w:rsidR="000F1FAB" w:rsidRPr="000F5B7E" w:rsidRDefault="000F1FAB" w:rsidP="000F1FAB">
      <w:pPr>
        <w:spacing w:after="0" w:line="360" w:lineRule="auto"/>
        <w:jc w:val="center"/>
        <w:rPr>
          <w:rFonts w:ascii="Palatino Linotype" w:eastAsia="Times New Roman" w:hAnsi="Palatino Linotype" w:cs="Times New Roman"/>
          <w:b/>
          <w:bCs/>
          <w:spacing w:val="60"/>
          <w:sz w:val="12"/>
          <w:szCs w:val="24"/>
        </w:rPr>
      </w:pPr>
    </w:p>
    <w:p w14:paraId="61FA941B" w14:textId="6E8B67BE" w:rsidR="000F1FAB" w:rsidRPr="000F5B7E" w:rsidRDefault="000F1FAB" w:rsidP="000F1FAB">
      <w:pPr>
        <w:spacing w:after="0" w:line="360" w:lineRule="auto"/>
        <w:jc w:val="both"/>
        <w:rPr>
          <w:rFonts w:ascii="Palatino Linotype" w:eastAsia="Times New Roman" w:hAnsi="Palatino Linotype" w:cs="Arial"/>
          <w:sz w:val="24"/>
          <w:szCs w:val="24"/>
          <w:lang w:eastAsia="es-ES"/>
        </w:rPr>
      </w:pPr>
      <w:r w:rsidRPr="000F5B7E">
        <w:rPr>
          <w:rFonts w:ascii="Palatino Linotype" w:eastAsia="Times New Roman" w:hAnsi="Palatino Linotype" w:cs="Arial"/>
          <w:b/>
          <w:sz w:val="26"/>
          <w:szCs w:val="26"/>
          <w:lang w:eastAsia="es-ES"/>
        </w:rPr>
        <w:t>PRIMERO.</w:t>
      </w:r>
      <w:r w:rsidRPr="000F5B7E">
        <w:rPr>
          <w:rFonts w:ascii="Palatino Linotype" w:eastAsia="Times New Roman" w:hAnsi="Palatino Linotype" w:cs="Arial"/>
          <w:sz w:val="24"/>
          <w:szCs w:val="24"/>
          <w:lang w:eastAsia="es-ES"/>
        </w:rPr>
        <w:t xml:space="preserve"> Se </w:t>
      </w:r>
      <w:r w:rsidRPr="000F5B7E">
        <w:rPr>
          <w:rFonts w:ascii="Palatino Linotype" w:eastAsia="Times New Roman" w:hAnsi="Palatino Linotype" w:cs="Arial"/>
          <w:b/>
          <w:sz w:val="24"/>
          <w:szCs w:val="24"/>
          <w:lang w:eastAsia="es-ES"/>
        </w:rPr>
        <w:t>REVOCA</w:t>
      </w:r>
      <w:r w:rsidRPr="000F5B7E">
        <w:rPr>
          <w:rFonts w:ascii="Palatino Linotype" w:eastAsia="Times New Roman" w:hAnsi="Palatino Linotype" w:cs="Arial"/>
          <w:sz w:val="24"/>
          <w:szCs w:val="24"/>
          <w:lang w:eastAsia="es-ES"/>
        </w:rPr>
        <w:t xml:space="preserve"> </w:t>
      </w:r>
      <w:r>
        <w:rPr>
          <w:rFonts w:ascii="Palatino Linotype" w:eastAsia="Arial Unicode MS" w:hAnsi="Palatino Linotype" w:cs="Arial"/>
          <w:sz w:val="24"/>
          <w:szCs w:val="24"/>
          <w:lang w:eastAsia="es-ES"/>
        </w:rPr>
        <w:t xml:space="preserve">la respuesta entregada por </w:t>
      </w:r>
      <w:r w:rsidR="001D6C11" w:rsidRPr="001D6C11">
        <w:rPr>
          <w:rFonts w:ascii="Palatino Linotype" w:eastAsia="Arial Unicode MS" w:hAnsi="Palatino Linotype" w:cs="Arial"/>
          <w:b/>
          <w:sz w:val="24"/>
          <w:szCs w:val="24"/>
          <w:lang w:eastAsia="es-ES"/>
        </w:rPr>
        <w:t>EL SUJETO OBLIGADO</w:t>
      </w:r>
      <w:r w:rsidR="001D6C11" w:rsidRPr="000F5B7E">
        <w:rPr>
          <w:rFonts w:ascii="Palatino Linotype" w:eastAsia="Arial Unicode MS" w:hAnsi="Palatino Linotype" w:cs="Arial"/>
          <w:b/>
          <w:sz w:val="24"/>
          <w:szCs w:val="24"/>
          <w:lang w:eastAsia="es-ES"/>
        </w:rPr>
        <w:t xml:space="preserve"> </w:t>
      </w:r>
      <w:r w:rsidRPr="000F5B7E">
        <w:rPr>
          <w:rFonts w:ascii="Palatino Linotype" w:eastAsia="Arial Unicode MS" w:hAnsi="Palatino Linotype" w:cs="Arial"/>
          <w:sz w:val="24"/>
          <w:szCs w:val="24"/>
          <w:lang w:eastAsia="es-ES"/>
        </w:rPr>
        <w:t xml:space="preserve">a la solicitud de información número </w:t>
      </w:r>
      <w:r w:rsidR="001D6C11">
        <w:rPr>
          <w:rFonts w:ascii="Palatino Linotype" w:hAnsi="Palatino Linotype" w:cs="Arial"/>
          <w:b/>
          <w:sz w:val="24"/>
          <w:szCs w:val="24"/>
        </w:rPr>
        <w:t>00037/NAUCALPA/IP/2021</w:t>
      </w:r>
      <w:r w:rsidRPr="000F5B7E">
        <w:rPr>
          <w:rFonts w:ascii="Palatino Linotype" w:eastAsia="Arial Unicode MS" w:hAnsi="Palatino Linotype" w:cs="Arial"/>
          <w:sz w:val="24"/>
          <w:szCs w:val="24"/>
          <w:lang w:eastAsia="es-ES"/>
        </w:rPr>
        <w:t xml:space="preserve">, por resultar fundados los motivos de inconformidad que arguye </w:t>
      </w:r>
      <w:r w:rsidR="001D6C11">
        <w:rPr>
          <w:rFonts w:ascii="Palatino Linotype" w:eastAsia="Arial Unicode MS" w:hAnsi="Palatino Linotype" w:cs="Arial"/>
          <w:b/>
          <w:bCs/>
          <w:sz w:val="24"/>
          <w:szCs w:val="24"/>
          <w:lang w:eastAsia="es-ES"/>
        </w:rPr>
        <w:t>LA</w:t>
      </w:r>
      <w:r w:rsidR="001D6C11" w:rsidRPr="000F5B7E">
        <w:rPr>
          <w:rFonts w:ascii="Palatino Linotype" w:eastAsia="Arial Unicode MS" w:hAnsi="Palatino Linotype" w:cs="Arial"/>
          <w:b/>
          <w:sz w:val="24"/>
          <w:szCs w:val="24"/>
          <w:lang w:eastAsia="es-ES"/>
        </w:rPr>
        <w:t xml:space="preserve"> RECURRENTE</w:t>
      </w:r>
      <w:r w:rsidRPr="000F5B7E">
        <w:rPr>
          <w:rFonts w:ascii="Palatino Linotype" w:eastAsia="Arial Unicode MS" w:hAnsi="Palatino Linotype" w:cs="Arial"/>
          <w:sz w:val="24"/>
          <w:szCs w:val="24"/>
          <w:lang w:eastAsia="es-ES"/>
        </w:rPr>
        <w:t>, en términos del</w:t>
      </w:r>
      <w:r w:rsidRPr="000F5B7E">
        <w:rPr>
          <w:rFonts w:ascii="Palatino Linotype" w:eastAsia="Arial Unicode MS" w:hAnsi="Palatino Linotype" w:cs="Arial"/>
          <w:b/>
          <w:sz w:val="24"/>
          <w:szCs w:val="24"/>
          <w:lang w:eastAsia="es-ES"/>
        </w:rPr>
        <w:t xml:space="preserve"> </w:t>
      </w:r>
      <w:r w:rsidRPr="000F5B7E">
        <w:rPr>
          <w:rFonts w:ascii="Palatino Linotype" w:eastAsia="Times New Roman" w:hAnsi="Palatino Linotype" w:cs="Arial"/>
          <w:sz w:val="24"/>
          <w:szCs w:val="24"/>
          <w:lang w:eastAsia="es-ES"/>
        </w:rPr>
        <w:t>Considerando</w:t>
      </w:r>
      <w:r w:rsidRPr="000F5B7E">
        <w:rPr>
          <w:rFonts w:ascii="Palatino Linotype" w:eastAsia="Times New Roman" w:hAnsi="Palatino Linotype" w:cs="Arial"/>
          <w:b/>
          <w:sz w:val="24"/>
          <w:szCs w:val="24"/>
          <w:lang w:eastAsia="es-ES"/>
        </w:rPr>
        <w:t xml:space="preserve"> </w:t>
      </w:r>
      <w:r>
        <w:rPr>
          <w:rFonts w:ascii="Palatino Linotype" w:eastAsia="Times New Roman" w:hAnsi="Palatino Linotype" w:cs="Arial"/>
          <w:b/>
          <w:sz w:val="24"/>
          <w:szCs w:val="24"/>
          <w:lang w:eastAsia="es-ES"/>
        </w:rPr>
        <w:t>CUARTO</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presente resolución.</w:t>
      </w:r>
    </w:p>
    <w:p w14:paraId="6510B88E" w14:textId="77777777" w:rsidR="000F1FAB" w:rsidRPr="000F5B7E" w:rsidRDefault="000F1FAB" w:rsidP="000F1FAB">
      <w:pPr>
        <w:spacing w:after="0" w:line="360" w:lineRule="auto"/>
        <w:jc w:val="both"/>
        <w:rPr>
          <w:rFonts w:ascii="Palatino Linotype" w:eastAsia="Times New Roman" w:hAnsi="Palatino Linotype" w:cs="Arial"/>
          <w:sz w:val="24"/>
          <w:szCs w:val="24"/>
          <w:lang w:eastAsia="es-ES"/>
        </w:rPr>
      </w:pPr>
    </w:p>
    <w:p w14:paraId="4D851D3D" w14:textId="3734B5CB" w:rsidR="000F1FAB" w:rsidRDefault="000F1FAB" w:rsidP="000F1FAB">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w:t>
      </w:r>
      <w:r w:rsidR="001D6C11">
        <w:rPr>
          <w:rFonts w:ascii="Palatino Linotype" w:hAnsi="Palatino Linotype" w:cs="Arial"/>
          <w:sz w:val="24"/>
          <w:szCs w:val="24"/>
        </w:rPr>
        <w:t xml:space="preserve"> </w:t>
      </w:r>
      <w:r w:rsidR="001D6C11">
        <w:rPr>
          <w:rFonts w:ascii="Palatino Linotype" w:hAnsi="Palatino Linotype" w:cs="Arial"/>
          <w:b/>
          <w:sz w:val="24"/>
          <w:szCs w:val="24"/>
        </w:rPr>
        <w:t xml:space="preserve">LA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w:t>
      </w:r>
      <w:r w:rsidRPr="00D178CD">
        <w:rPr>
          <w:rFonts w:ascii="Palatino Linotype" w:hAnsi="Palatino Linotype" w:cs="Arial"/>
          <w:b/>
          <w:sz w:val="24"/>
          <w:szCs w:val="24"/>
        </w:rPr>
        <w:t>SAIMEX</w:t>
      </w:r>
      <w:r>
        <w:rPr>
          <w:rFonts w:ascii="Palatino Linotype" w:hAnsi="Palatino Linotype" w:cs="Arial"/>
          <w:sz w:val="24"/>
          <w:szCs w:val="24"/>
        </w:rPr>
        <w:t xml:space="preserve">, de lo siguiente: </w:t>
      </w:r>
    </w:p>
    <w:p w14:paraId="0D6BCC55" w14:textId="10AC69E7" w:rsidR="00173E45" w:rsidRDefault="001D6C11" w:rsidP="000F1FAB">
      <w:pPr>
        <w:pStyle w:val="Sinespaciado"/>
        <w:numPr>
          <w:ilvl w:val="0"/>
          <w:numId w:val="16"/>
        </w:numPr>
        <w:spacing w:line="360" w:lineRule="auto"/>
        <w:jc w:val="both"/>
        <w:rPr>
          <w:rFonts w:ascii="Palatino Linotype" w:hAnsi="Palatino Linotype"/>
          <w:iCs/>
        </w:rPr>
      </w:pPr>
      <w:r>
        <w:rPr>
          <w:rFonts w:ascii="Palatino Linotype" w:hAnsi="Palatino Linotype"/>
          <w:iCs/>
        </w:rPr>
        <w:lastRenderedPageBreak/>
        <w:t xml:space="preserve">El o los documentos donde conste la incidencia delictiva al mayor grado de desagregación posible, del periodo comprendido del uno de enero de dos mil veinte al ocho de febrero de dos mil veintiuno. </w:t>
      </w:r>
    </w:p>
    <w:p w14:paraId="6F5B0600" w14:textId="77777777" w:rsidR="000F1FAB" w:rsidRDefault="000F1FAB" w:rsidP="000F1FAB">
      <w:pPr>
        <w:spacing w:after="0" w:line="360" w:lineRule="auto"/>
        <w:jc w:val="both"/>
        <w:rPr>
          <w:rFonts w:ascii="Palatino Linotype" w:eastAsia="Times New Roman" w:hAnsi="Palatino Linotype" w:cs="Arial"/>
          <w:i/>
          <w:iCs/>
          <w:sz w:val="24"/>
          <w:szCs w:val="24"/>
          <w:lang w:eastAsia="es-ES"/>
        </w:rPr>
      </w:pPr>
    </w:p>
    <w:p w14:paraId="7C2EF293" w14:textId="77777777" w:rsidR="00121D59" w:rsidRPr="00DE26B6" w:rsidRDefault="00121D59" w:rsidP="000F1FAB">
      <w:pPr>
        <w:spacing w:after="0" w:line="360" w:lineRule="auto"/>
        <w:jc w:val="both"/>
        <w:rPr>
          <w:rFonts w:ascii="Palatino Linotype" w:eastAsia="Times New Roman" w:hAnsi="Palatino Linotype" w:cs="Arial"/>
          <w:sz w:val="24"/>
          <w:szCs w:val="24"/>
          <w:lang w:eastAsia="es-ES"/>
        </w:rPr>
      </w:pPr>
    </w:p>
    <w:p w14:paraId="1202193A" w14:textId="2BC993D6" w:rsidR="000F1FAB" w:rsidRDefault="000F1FAB" w:rsidP="000F1FAB">
      <w:pPr>
        <w:spacing w:after="0" w:line="360" w:lineRule="auto"/>
        <w:jc w:val="both"/>
        <w:rPr>
          <w:rFonts w:ascii="Palatino Linotype" w:eastAsia="Times New Roman" w:hAnsi="Palatino Linotype" w:cs="Arial"/>
          <w:sz w:val="24"/>
          <w:szCs w:val="24"/>
          <w:lang w:eastAsia="es-ES"/>
        </w:rPr>
      </w:pPr>
      <w:r w:rsidRPr="000F5B7E">
        <w:rPr>
          <w:rFonts w:ascii="Palatino Linotype" w:eastAsia="Times New Roman" w:hAnsi="Palatino Linotype" w:cs="Arial"/>
          <w:b/>
          <w:sz w:val="26"/>
          <w:szCs w:val="26"/>
          <w:lang w:eastAsia="es-ES"/>
        </w:rPr>
        <w:t>TERCERO.</w:t>
      </w:r>
      <w:r w:rsidRPr="000F5B7E">
        <w:rPr>
          <w:rFonts w:ascii="Palatino Linotype" w:eastAsia="Times New Roman" w:hAnsi="Palatino Linotype" w:cs="Arial"/>
          <w:b/>
          <w:sz w:val="24"/>
          <w:szCs w:val="24"/>
          <w:lang w:eastAsia="es-ES"/>
        </w:rPr>
        <w:t xml:space="preserve"> NOTIFÍQUESE</w:t>
      </w:r>
      <w:r w:rsidRPr="000F5B7E">
        <w:rPr>
          <w:rFonts w:ascii="Palatino Linotype" w:eastAsia="Times New Roman" w:hAnsi="Palatino Linotype" w:cs="Arial"/>
          <w:b/>
          <w:i/>
          <w:sz w:val="24"/>
          <w:szCs w:val="24"/>
          <w:lang w:eastAsia="es-ES"/>
        </w:rPr>
        <w:t xml:space="preserve"> </w:t>
      </w:r>
      <w:r w:rsidRPr="000F5B7E">
        <w:rPr>
          <w:rFonts w:ascii="Palatino Linotype" w:eastAsia="Times New Roman" w:hAnsi="Palatino Linotype" w:cs="Arial"/>
          <w:sz w:val="24"/>
          <w:szCs w:val="24"/>
          <w:lang w:eastAsia="es-ES"/>
        </w:rPr>
        <w:t>al Titular de la Unidad de Transparencia del</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Sujeto Obligado, para que conforme al artículo 186, último párrafo, 189, segundo párrafo y 194, de la Ley de Transparencia y Acceso a la Información Pública del Estado de México y Municipios; dé cumplimiento a lo ordenado dentro del plazo de </w:t>
      </w:r>
      <w:r w:rsidR="00B563B5">
        <w:rPr>
          <w:rFonts w:ascii="Palatino Linotype" w:eastAsia="Times New Roman" w:hAnsi="Palatino Linotype" w:cs="Arial"/>
          <w:sz w:val="24"/>
          <w:szCs w:val="24"/>
          <w:lang w:eastAsia="es-ES"/>
        </w:rPr>
        <w:t xml:space="preserve">quince </w:t>
      </w:r>
      <w:r w:rsidRPr="000F5B7E">
        <w:rPr>
          <w:rFonts w:ascii="Palatino Linotype" w:eastAsia="Times New Roman" w:hAnsi="Palatino Linotype" w:cs="Arial"/>
          <w:sz w:val="24"/>
          <w:szCs w:val="24"/>
          <w:lang w:eastAsia="es-ES"/>
        </w:rPr>
        <w:t>días hábiles, debiendo informar a este Instituto en un plazo de tres días hábiles siguientes sobre el cumplimiento dado a la presente resolución.</w:t>
      </w:r>
    </w:p>
    <w:p w14:paraId="758E76D8" w14:textId="77777777" w:rsidR="000F1FAB" w:rsidRDefault="000F1FAB" w:rsidP="000F1FAB">
      <w:pPr>
        <w:spacing w:after="0" w:line="360" w:lineRule="auto"/>
        <w:jc w:val="both"/>
        <w:rPr>
          <w:rFonts w:ascii="Palatino Linotype" w:eastAsia="Times New Roman" w:hAnsi="Palatino Linotype" w:cs="Arial"/>
          <w:sz w:val="24"/>
          <w:szCs w:val="24"/>
          <w:lang w:eastAsia="es-ES"/>
        </w:rPr>
      </w:pPr>
    </w:p>
    <w:p w14:paraId="7572462F" w14:textId="1E1DB3DF" w:rsidR="000F1FAB" w:rsidRPr="005751B7" w:rsidRDefault="000F1FAB" w:rsidP="000F1FAB">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FB73E2" w14:textId="66B2A61B" w:rsidR="000F1FAB" w:rsidRPr="000F5B7E" w:rsidRDefault="000F1FAB" w:rsidP="000F1FAB">
      <w:pPr>
        <w:spacing w:after="0" w:line="360" w:lineRule="auto"/>
        <w:jc w:val="both"/>
        <w:rPr>
          <w:rFonts w:ascii="Palatino Linotype" w:eastAsia="Times New Roman" w:hAnsi="Palatino Linotype" w:cs="Arial"/>
          <w:sz w:val="24"/>
          <w:szCs w:val="24"/>
          <w:lang w:eastAsia="es-ES"/>
        </w:rPr>
      </w:pPr>
    </w:p>
    <w:p w14:paraId="389973DA" w14:textId="25CD8D62" w:rsidR="000F1FAB" w:rsidRPr="00600FB6" w:rsidRDefault="000F1FAB" w:rsidP="000F1FAB">
      <w:pPr>
        <w:spacing w:after="0" w:line="360" w:lineRule="auto"/>
        <w:jc w:val="both"/>
        <w:rPr>
          <w:rFonts w:ascii="Palatino Linotype" w:eastAsia="Times New Roman" w:hAnsi="Palatino Linotype" w:cs="Times New Roman"/>
          <w:b/>
          <w:color w:val="222222"/>
          <w:sz w:val="24"/>
          <w:szCs w:val="24"/>
          <w:shd w:val="clear" w:color="auto" w:fill="FFFFFF"/>
          <w:lang w:eastAsia="es-ES"/>
        </w:rPr>
      </w:pPr>
      <w:r w:rsidRPr="000D6422">
        <w:rPr>
          <w:rFonts w:ascii="Palatino Linotype" w:eastAsia="Times New Roman" w:hAnsi="Palatino Linotype" w:cs="Arial"/>
          <w:b/>
          <w:sz w:val="26"/>
          <w:szCs w:val="26"/>
          <w:lang w:eastAsia="es-ES"/>
        </w:rPr>
        <w:t>QUINTO.</w:t>
      </w:r>
      <w:r w:rsidRPr="000D6422">
        <w:rPr>
          <w:rFonts w:ascii="Palatino Linotype" w:eastAsia="Times New Roman" w:hAnsi="Palatino Linotype" w:cs="Arial"/>
          <w:b/>
          <w:sz w:val="24"/>
          <w:szCs w:val="24"/>
          <w:lang w:eastAsia="es-ES"/>
        </w:rPr>
        <w:t xml:space="preserve"> NOTIFÍQUESE </w:t>
      </w:r>
      <w:r w:rsidRPr="000D6422">
        <w:rPr>
          <w:rFonts w:ascii="Palatino Linotype" w:eastAsia="Times New Roman" w:hAnsi="Palatino Linotype" w:cs="Arial"/>
          <w:sz w:val="24"/>
          <w:szCs w:val="24"/>
          <w:lang w:eastAsia="es-ES"/>
        </w:rPr>
        <w:t>la presente resolución a</w:t>
      </w:r>
      <w:r w:rsidR="001D6C11">
        <w:rPr>
          <w:rFonts w:ascii="Palatino Linotype" w:eastAsia="Times New Roman" w:hAnsi="Palatino Linotype" w:cs="Arial"/>
          <w:sz w:val="24"/>
          <w:szCs w:val="24"/>
          <w:lang w:eastAsia="es-ES"/>
        </w:rPr>
        <w:t xml:space="preserve"> </w:t>
      </w:r>
      <w:r w:rsidR="001D6C11">
        <w:rPr>
          <w:rFonts w:ascii="Palatino Linotype" w:eastAsia="Times New Roman" w:hAnsi="Palatino Linotype" w:cs="Arial"/>
          <w:b/>
          <w:sz w:val="24"/>
          <w:szCs w:val="24"/>
          <w:lang w:eastAsia="es-ES"/>
        </w:rPr>
        <w:t>LA</w:t>
      </w:r>
      <w:r w:rsidR="00CF1976" w:rsidRPr="000D6422">
        <w:rPr>
          <w:rFonts w:ascii="Palatino Linotype" w:eastAsia="Times New Roman" w:hAnsi="Palatino Linotype" w:cs="Arial"/>
          <w:b/>
          <w:bCs/>
          <w:sz w:val="24"/>
          <w:szCs w:val="24"/>
          <w:lang w:eastAsia="es-ES"/>
        </w:rPr>
        <w:t xml:space="preserve"> RECURRENTE</w:t>
      </w:r>
      <w:r w:rsidR="00CF1976" w:rsidRPr="000D6422">
        <w:rPr>
          <w:rFonts w:ascii="Palatino Linotype" w:eastAsia="Times New Roman" w:hAnsi="Palatino Linotype" w:cs="Arial"/>
          <w:sz w:val="24"/>
          <w:szCs w:val="24"/>
          <w:lang w:eastAsia="es-ES"/>
        </w:rPr>
        <w:t xml:space="preserve"> </w:t>
      </w:r>
      <w:r w:rsidR="00173E45" w:rsidRPr="000D6422">
        <w:rPr>
          <w:rFonts w:ascii="Palatino Linotype" w:eastAsia="Times New Roman" w:hAnsi="Palatino Linotype" w:cs="Arial"/>
          <w:sz w:val="24"/>
          <w:szCs w:val="24"/>
          <w:lang w:eastAsia="es-ES"/>
        </w:rPr>
        <w:t xml:space="preserve">por </w:t>
      </w:r>
      <w:r w:rsidR="00173E45" w:rsidRPr="000D6422">
        <w:rPr>
          <w:rFonts w:ascii="Palatino Linotype" w:eastAsia="Times New Roman" w:hAnsi="Palatino Linotype" w:cs="Arial"/>
          <w:b/>
          <w:bCs/>
          <w:sz w:val="24"/>
          <w:szCs w:val="24"/>
          <w:lang w:eastAsia="es-ES"/>
        </w:rPr>
        <w:t xml:space="preserve">SAIMEX </w:t>
      </w:r>
      <w:r w:rsidRPr="000D6422">
        <w:rPr>
          <w:rFonts w:ascii="Palatino Linotype" w:eastAsia="Times New Roman" w:hAnsi="Palatino Linotype" w:cs="Arial"/>
          <w:sz w:val="24"/>
          <w:szCs w:val="24"/>
          <w:lang w:eastAsia="es-ES"/>
        </w:rPr>
        <w:t xml:space="preserve">y hágase de su conocimiento que, </w:t>
      </w:r>
      <w:r w:rsidRPr="000D6422">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28E3EE3C" w14:textId="6D415AEB" w:rsidR="00417E4F" w:rsidRPr="000F5B7E" w:rsidRDefault="00417E4F" w:rsidP="000F1FA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32AED47" w14:textId="5880688F" w:rsidR="000F1FAB" w:rsidRDefault="000F1FAB" w:rsidP="000F1FAB">
      <w:pPr>
        <w:spacing w:after="0" w:line="360" w:lineRule="auto"/>
        <w:jc w:val="both"/>
        <w:rPr>
          <w:rFonts w:ascii="Palatino Linotype" w:eastAsia="Times New Roman" w:hAnsi="Palatino Linotype" w:cs="Times New Roman"/>
          <w:sz w:val="24"/>
          <w:szCs w:val="24"/>
          <w:lang w:eastAsia="es-ES"/>
        </w:rPr>
      </w:pPr>
      <w:r w:rsidRPr="001149B5">
        <w:rPr>
          <w:rFonts w:ascii="Palatino Linotype" w:eastAsia="Times New Roman" w:hAnsi="Palatino Linotype" w:cs="Times New Roman"/>
          <w:sz w:val="24"/>
          <w:szCs w:val="24"/>
          <w:lang w:eastAsia="es-ES"/>
        </w:rPr>
        <w:lastRenderedPageBreak/>
        <w:t>ASÍ LO RESUELVE, POR UNANIMIDAD DE VOTOS, EL PLENO DEL</w:t>
      </w:r>
      <w:r w:rsidRPr="001149B5">
        <w:rPr>
          <w:rFonts w:ascii="Palatino Linotype" w:eastAsia="Arial Unicode MS" w:hAnsi="Palatino Linotype" w:cs="Times New Roman"/>
          <w:sz w:val="24"/>
          <w:szCs w:val="24"/>
          <w:lang w:eastAsia="es-ES"/>
        </w:rPr>
        <w:t xml:space="preserve"> INSTITUTO DE TRANSPARENCIA, ACCESO A LA INFORMACIÓN PÚBLICA Y PROTECCIÓN DE DATOS PERSONALES DEL ESTADO DE MÉXICO Y MUNICIPIOS</w:t>
      </w:r>
      <w:r w:rsidRPr="001149B5">
        <w:rPr>
          <w:rFonts w:ascii="Palatino Linotype" w:eastAsia="Times New Roman" w:hAnsi="Palatino Linotype" w:cs="Times New Roman"/>
          <w:sz w:val="24"/>
          <w:szCs w:val="24"/>
          <w:lang w:eastAsia="es-ES"/>
        </w:rPr>
        <w:t xml:space="preserve">, CONFORMADO POR LOS COMISIONADOS ZULEMA </w:t>
      </w:r>
      <w:r w:rsidRPr="001149B5">
        <w:rPr>
          <w:rFonts w:ascii="Palatino Linotype" w:eastAsia="Arial Unicode MS" w:hAnsi="Palatino Linotype" w:cs="Times New Roman"/>
          <w:sz w:val="24"/>
          <w:szCs w:val="24"/>
          <w:lang w:eastAsia="es-ES"/>
        </w:rPr>
        <w:t xml:space="preserve">MARTÍNEZ SÁNCHEZ, EVA ABAID YAPUR, JOSÉ </w:t>
      </w:r>
      <w:r w:rsidRPr="003955C1">
        <w:rPr>
          <w:rFonts w:ascii="Palatino Linotype" w:eastAsia="Arial Unicode MS" w:hAnsi="Palatino Linotype" w:cs="Times New Roman"/>
          <w:sz w:val="24"/>
          <w:szCs w:val="24"/>
          <w:lang w:eastAsia="es-ES"/>
        </w:rPr>
        <w:t xml:space="preserve">GUADALUPE LUNA HERNÁNDEZ, JAVIER MARTÍNEZ CRUZ Y LUIS GUSTAVO PARRA NORIEGA, EN LA </w:t>
      </w:r>
      <w:r w:rsidR="001D6C11">
        <w:rPr>
          <w:rFonts w:ascii="Palatino Linotype" w:eastAsia="Arial Unicode MS" w:hAnsi="Palatino Linotype" w:cs="Times New Roman"/>
          <w:sz w:val="24"/>
          <w:szCs w:val="24"/>
          <w:lang w:eastAsia="es-ES"/>
        </w:rPr>
        <w:t>DÉCIMA</w:t>
      </w:r>
      <w:r w:rsidRPr="003955C1">
        <w:rPr>
          <w:rFonts w:ascii="Palatino Linotype" w:eastAsia="Arial Unicode MS" w:hAnsi="Palatino Linotype" w:cs="Times New Roman"/>
          <w:sz w:val="24"/>
          <w:szCs w:val="24"/>
          <w:lang w:eastAsia="es-ES"/>
        </w:rPr>
        <w:t xml:space="preserve"> </w:t>
      </w:r>
      <w:r w:rsidR="00541813">
        <w:rPr>
          <w:rFonts w:ascii="Palatino Linotype" w:eastAsia="Arial Unicode MS" w:hAnsi="Palatino Linotype" w:cs="Times New Roman"/>
          <w:sz w:val="24"/>
          <w:szCs w:val="24"/>
          <w:lang w:eastAsia="es-ES"/>
        </w:rPr>
        <w:t>SEGUNDA</w:t>
      </w:r>
      <w:r w:rsidR="006B7CD5">
        <w:rPr>
          <w:rFonts w:ascii="Palatino Linotype" w:eastAsia="Arial Unicode MS" w:hAnsi="Palatino Linotype" w:cs="Times New Roman"/>
          <w:sz w:val="24"/>
          <w:szCs w:val="24"/>
          <w:lang w:eastAsia="es-ES"/>
        </w:rPr>
        <w:t xml:space="preserve"> </w:t>
      </w:r>
      <w:r w:rsidRPr="003955C1">
        <w:rPr>
          <w:rFonts w:ascii="Palatino Linotype" w:eastAsia="Arial Unicode MS" w:hAnsi="Palatino Linotype" w:cs="Times New Roman"/>
          <w:sz w:val="24"/>
          <w:szCs w:val="24"/>
          <w:lang w:eastAsia="es-ES"/>
        </w:rPr>
        <w:t>SESIÓN ORDINARIA</w:t>
      </w:r>
      <w:r w:rsidRPr="003955C1">
        <w:rPr>
          <w:rFonts w:ascii="Palatino Linotype" w:eastAsia="Times New Roman" w:hAnsi="Palatino Linotype" w:cs="Times New Roman"/>
          <w:sz w:val="24"/>
          <w:szCs w:val="24"/>
          <w:lang w:eastAsia="es-ES"/>
        </w:rPr>
        <w:t xml:space="preserve"> CELEBRADA EL </w:t>
      </w:r>
      <w:r w:rsidR="00541813">
        <w:rPr>
          <w:rFonts w:ascii="Palatino Linotype" w:eastAsia="Times New Roman" w:hAnsi="Palatino Linotype" w:cs="Times New Roman"/>
          <w:sz w:val="24"/>
          <w:szCs w:val="24"/>
          <w:lang w:eastAsia="es-ES"/>
        </w:rPr>
        <w:t>CATORCE</w:t>
      </w:r>
      <w:r w:rsidR="006B7CD5">
        <w:rPr>
          <w:rFonts w:ascii="Palatino Linotype" w:eastAsia="Times New Roman" w:hAnsi="Palatino Linotype" w:cs="Times New Roman"/>
          <w:sz w:val="24"/>
          <w:szCs w:val="24"/>
          <w:lang w:eastAsia="es-ES"/>
        </w:rPr>
        <w:t xml:space="preserve"> DE ABRIL</w:t>
      </w:r>
      <w:r w:rsidRPr="003955C1">
        <w:rPr>
          <w:rFonts w:ascii="Palatino Linotype" w:eastAsia="Times New Roman" w:hAnsi="Palatino Linotype" w:cs="Times New Roman"/>
          <w:sz w:val="24"/>
          <w:szCs w:val="24"/>
          <w:lang w:eastAsia="es-ES"/>
        </w:rPr>
        <w:t xml:space="preserve"> DE DOS MIL VEINTIUNO, ANTE EL SECRETARIO TÉCNICO DEL PLENO, ALEXIS TAPIA RAMÍREZ.</w:t>
      </w:r>
    </w:p>
    <w:p w14:paraId="60DDA05F" w14:textId="2C3CA865" w:rsidR="000F1FAB" w:rsidRDefault="00080CE8" w:rsidP="000F1FA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712502" behindDoc="0" locked="0" layoutInCell="1" allowOverlap="1" wp14:anchorId="2E14E7C2" wp14:editId="107561FA">
                <wp:simplePos x="0" y="0"/>
                <wp:positionH relativeFrom="column">
                  <wp:posOffset>-388372</wp:posOffset>
                </wp:positionH>
                <wp:positionV relativeFrom="paragraph">
                  <wp:posOffset>199832</wp:posOffset>
                </wp:positionV>
                <wp:extent cx="6543924" cy="4405022"/>
                <wp:effectExtent l="0" t="0" r="28575" b="33655"/>
                <wp:wrapNone/>
                <wp:docPr id="20" name="Conector recto 20"/>
                <wp:cNvGraphicFramePr/>
                <a:graphic xmlns:a="http://schemas.openxmlformats.org/drawingml/2006/main">
                  <a:graphicData uri="http://schemas.microsoft.com/office/word/2010/wordprocessingShape">
                    <wps:wsp>
                      <wps:cNvCnPr/>
                      <wps:spPr>
                        <a:xfrm>
                          <a:off x="0" y="0"/>
                          <a:ext cx="6543924" cy="44050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81B97" id="Conector recto 20" o:spid="_x0000_s1026" style="position:absolute;z-index:251712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5.75pt" to="484.65pt,3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iTugEAAMcDAAAOAAAAZHJzL2Uyb0RvYy54bWysU02P0zAQvSPxHyzfadLQXUHUdA9dwQVB&#10;BcsP8DrjxpK/NDZN+u8ZO20WARJitRc79rw3M+95sr2brGEnwKi96/h6VXMGTvpeu2PHvz98ePOO&#10;s5iE64XxDjp+hsjvdq9fbcfQQuMHb3pARklcbMfQ8SGl0FZVlANYEVc+gKOg8mhFoiMeqx7FSNmt&#10;qZq6vq1Gj31ALyFGur2fg3xX8isFMn1RKkJipuPUWyorlvUxr9VuK9ojijBoeWlDPKMLK7Sjokuq&#10;e5EE+4H6j1RWS/TRq7SS3lZeKS2haCA16/o3Nd8GEaBoIXNiWGyKL5dWfj4dkOm+4w3Z44SlN9rT&#10;S8nkkWHeGAXIpTHElsB7d8DLKYYDZsmTQpt3EsOm4ux5cRamxCRd3t5s3r5vNpxJim029U3dNDlr&#10;9UQPGNNH8Jblj44b7bJ00YrTp5hm6BVCvNzO3ED5SmcDGWzcV1Akh0quC7sMEuwNspOgERBSgkvr&#10;S+mCzjSljVmI9b+JF3ymQhmy/yEvjFLZu7SQrXYe/1Y9TdeW1Yy/OjDrzhY8+v5cnqZYQ9NSzL1M&#10;dh7HX8+F/vT/7X4CAAD//wMAUEsDBBQABgAIAAAAIQBJj5w44gAAAAoBAAAPAAAAZHJzL2Rvd25y&#10;ZXYueG1sTI9RS8MwFIXfBf9DuIJvW9qMVVebjjEQ50CGU5iPWXNtq81NSbK1+/fGJ328nI9zvlss&#10;R9OxMzrfWpKQThNgSJXVLdUS3t8eJ/fAfFCkVWcJJVzQw7K8vipUru1Ar3jeh5rFEvK5ktCE0Oec&#10;+6pBo/zU9kgx+7TOqBBPV3Pt1BDLTcdFkmTcqJbiQqN6XDdYfe9PRsKL22zWq+3li3YfZjiI7WH3&#10;PD5JeXszrh6ABRzDHwy/+lEdyuh0tCfSnnUSJlkqIiphls6BRWCRLWbAjhLuxFwALwv+/4XyBwAA&#10;//8DAFBLAQItABQABgAIAAAAIQC2gziS/gAAAOEBAAATAAAAAAAAAAAAAAAAAAAAAABbQ29udGVu&#10;dF9UeXBlc10ueG1sUEsBAi0AFAAGAAgAAAAhADj9If/WAAAAlAEAAAsAAAAAAAAAAAAAAAAALwEA&#10;AF9yZWxzLy5yZWxzUEsBAi0AFAAGAAgAAAAhALtpSJO6AQAAxwMAAA4AAAAAAAAAAAAAAAAALgIA&#10;AGRycy9lMm9Eb2MueG1sUEsBAi0AFAAGAAgAAAAhAEmPnDjiAAAACgEAAA8AAAAAAAAAAAAAAAAA&#10;FAQAAGRycy9kb3ducmV2LnhtbFBLBQYAAAAABAAEAPMAAAAjBQAAAAA=&#10;" strokecolor="#5b9bd5 [3204]" strokeweight=".5pt">
                <v:stroke joinstyle="miter"/>
              </v:line>
            </w:pict>
          </mc:Fallback>
        </mc:AlternateContent>
      </w:r>
    </w:p>
    <w:p w14:paraId="315E45B6" w14:textId="77777777" w:rsidR="000F1FAB" w:rsidRDefault="000F1FAB" w:rsidP="000F1FAB">
      <w:pPr>
        <w:spacing w:after="0" w:line="360" w:lineRule="auto"/>
        <w:jc w:val="both"/>
        <w:rPr>
          <w:rFonts w:ascii="Palatino Linotype" w:eastAsia="Times New Roman" w:hAnsi="Palatino Linotype" w:cs="Times New Roman"/>
          <w:sz w:val="24"/>
          <w:szCs w:val="24"/>
          <w:lang w:eastAsia="es-ES"/>
        </w:rPr>
      </w:pPr>
    </w:p>
    <w:p w14:paraId="08A531DC" w14:textId="77777777" w:rsidR="000F1FAB" w:rsidRDefault="000F1FAB" w:rsidP="000F1FAB">
      <w:pPr>
        <w:spacing w:after="0" w:line="360" w:lineRule="auto"/>
        <w:jc w:val="both"/>
        <w:rPr>
          <w:rFonts w:ascii="Palatino Linotype" w:eastAsia="Times New Roman" w:hAnsi="Palatino Linotype" w:cs="Times New Roman"/>
          <w:sz w:val="24"/>
          <w:szCs w:val="24"/>
          <w:lang w:eastAsia="es-ES"/>
        </w:rPr>
      </w:pPr>
    </w:p>
    <w:p w14:paraId="0D8F8A9B"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56C51D92"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630C4BE5"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69C87292"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49E037D6"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39CADCB1"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368144DF"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183BFF4C"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0C8A59E4" w14:textId="77777777" w:rsidR="002B4C0C" w:rsidRDefault="002B4C0C" w:rsidP="001D6C11">
      <w:pPr>
        <w:tabs>
          <w:tab w:val="left" w:pos="5415"/>
        </w:tabs>
        <w:spacing w:before="240" w:line="360" w:lineRule="auto"/>
        <w:ind w:right="51"/>
        <w:jc w:val="both"/>
        <w:rPr>
          <w:rFonts w:ascii="Palatino Linotype" w:hAnsi="Palatino Linotype" w:cs="Arial"/>
          <w:bCs/>
          <w:sz w:val="16"/>
          <w:szCs w:val="16"/>
          <w:lang w:eastAsia="es-MX"/>
        </w:rPr>
      </w:pPr>
    </w:p>
    <w:p w14:paraId="32A72E0F" w14:textId="77777777" w:rsidR="002B4C0C" w:rsidRDefault="002B4C0C" w:rsidP="001D6C11">
      <w:pPr>
        <w:tabs>
          <w:tab w:val="left" w:pos="5415"/>
        </w:tabs>
        <w:spacing w:before="240" w:line="360" w:lineRule="auto"/>
        <w:ind w:right="51"/>
        <w:jc w:val="both"/>
        <w:rPr>
          <w:rFonts w:ascii="Palatino Linotype" w:hAnsi="Palatino Linotype" w:cs="Arial"/>
          <w:bCs/>
          <w:sz w:val="16"/>
          <w:szCs w:val="16"/>
          <w:lang w:eastAsia="es-MX"/>
        </w:rPr>
      </w:pPr>
    </w:p>
    <w:p w14:paraId="6860D526" w14:textId="77777777" w:rsidR="001D6C11" w:rsidRDefault="001D6C11" w:rsidP="001D6C11">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5EB96823"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09DCF803"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7D2330C6"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4A132A25"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p w14:paraId="5C449DFD" w14:textId="77777777" w:rsidR="00A45721" w:rsidRDefault="00A45721" w:rsidP="000F1FAB">
      <w:pPr>
        <w:spacing w:after="0" w:line="360" w:lineRule="auto"/>
        <w:jc w:val="both"/>
        <w:rPr>
          <w:rFonts w:ascii="Palatino Linotype" w:eastAsia="Times New Roman" w:hAnsi="Palatino Linotype" w:cs="Times New Roman"/>
          <w:sz w:val="24"/>
          <w:szCs w:val="24"/>
          <w:lang w:eastAsia="es-ES"/>
        </w:rPr>
      </w:pPr>
    </w:p>
    <w:sectPr w:rsidR="00A45721"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973" w14:textId="77777777" w:rsidR="00D81A89" w:rsidRDefault="00D81A89" w:rsidP="006168E4">
      <w:pPr>
        <w:spacing w:after="0" w:line="240" w:lineRule="auto"/>
      </w:pPr>
      <w:r>
        <w:separator/>
      </w:r>
    </w:p>
  </w:endnote>
  <w:endnote w:type="continuationSeparator" w:id="0">
    <w:p w14:paraId="77395331" w14:textId="77777777" w:rsidR="00D81A89" w:rsidRDefault="00D81A8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42343" w:rsidRPr="000B69FA" w:rsidRDefault="00D4234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2335">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2335">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42343" w:rsidRPr="000B69FA" w:rsidRDefault="00D4234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233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2335">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A50B8" w14:textId="77777777" w:rsidR="00D81A89" w:rsidRDefault="00D81A89" w:rsidP="006168E4">
      <w:pPr>
        <w:spacing w:after="0" w:line="240" w:lineRule="auto"/>
      </w:pPr>
      <w:r>
        <w:separator/>
      </w:r>
    </w:p>
  </w:footnote>
  <w:footnote w:type="continuationSeparator" w:id="0">
    <w:p w14:paraId="4649D1C2" w14:textId="77777777" w:rsidR="00D81A89" w:rsidRDefault="00D81A89" w:rsidP="006168E4">
      <w:pPr>
        <w:spacing w:after="0" w:line="240" w:lineRule="auto"/>
      </w:pPr>
      <w:r>
        <w:continuationSeparator/>
      </w:r>
    </w:p>
  </w:footnote>
  <w:footnote w:id="1">
    <w:p w14:paraId="570C5576" w14:textId="77777777" w:rsidR="00D42343" w:rsidRPr="005552A8" w:rsidRDefault="00D42343" w:rsidP="00DF723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F377087" w14:textId="77777777" w:rsidR="00D42343" w:rsidRPr="005552A8" w:rsidRDefault="00D42343" w:rsidP="00DF723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42343" w:rsidRDefault="00D4234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42343" w14:paraId="46A8AAF9" w14:textId="77777777" w:rsidTr="00FB4AAD">
      <w:trPr>
        <w:trHeight w:val="227"/>
      </w:trPr>
      <w:tc>
        <w:tcPr>
          <w:tcW w:w="5529" w:type="dxa"/>
          <w:hideMark/>
        </w:tcPr>
        <w:p w14:paraId="26B5EE34" w14:textId="3BF445B5" w:rsidR="00D42343" w:rsidRDefault="00D4234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41CADC38" w:rsidR="00D42343" w:rsidRPr="00B4142F" w:rsidRDefault="00D4234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00400/INFOEM/IP/RR/2021</w:t>
          </w:r>
        </w:p>
      </w:tc>
    </w:tr>
    <w:tr w:rsidR="00D42343" w14:paraId="0E72512B" w14:textId="77777777" w:rsidTr="00FB4AAD">
      <w:trPr>
        <w:trHeight w:val="242"/>
      </w:trPr>
      <w:tc>
        <w:tcPr>
          <w:tcW w:w="5529" w:type="dxa"/>
          <w:hideMark/>
        </w:tcPr>
        <w:p w14:paraId="4FB3E0E8" w14:textId="77777777" w:rsidR="00D42343" w:rsidRDefault="00D4234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75FB0E1C" w:rsidR="00D42343" w:rsidRPr="00F06FED" w:rsidRDefault="00D42343" w:rsidP="006323CA">
          <w:pPr>
            <w:spacing w:after="120" w:line="256" w:lineRule="auto"/>
            <w:ind w:left="639" w:right="214"/>
            <w:jc w:val="both"/>
            <w:rPr>
              <w:rFonts w:ascii="Palatino Linotype" w:hAnsi="Palatino Linotype" w:cs="Arial"/>
            </w:rPr>
          </w:pPr>
          <w:r>
            <w:rPr>
              <w:rFonts w:ascii="Palatino Linotype" w:hAnsi="Palatino Linotype" w:cs="Arial"/>
            </w:rPr>
            <w:t>Ayuntamiento de Naucalpan de Juárez</w:t>
          </w:r>
        </w:p>
      </w:tc>
    </w:tr>
    <w:tr w:rsidR="00D42343" w14:paraId="3365CD96" w14:textId="77777777" w:rsidTr="00FB4AAD">
      <w:trPr>
        <w:trHeight w:val="342"/>
      </w:trPr>
      <w:tc>
        <w:tcPr>
          <w:tcW w:w="5529" w:type="dxa"/>
          <w:hideMark/>
        </w:tcPr>
        <w:p w14:paraId="52A09A43" w14:textId="77777777" w:rsidR="00D42343" w:rsidRDefault="00D4234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7777777" w:rsidR="00D42343" w:rsidRDefault="00D4234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638CC457" w14:textId="77777777" w:rsidR="00D42343" w:rsidRDefault="00D423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42343" w14:paraId="02D9F2E3" w14:textId="77777777" w:rsidTr="00FB4AAD">
      <w:trPr>
        <w:trHeight w:val="227"/>
      </w:trPr>
      <w:tc>
        <w:tcPr>
          <w:tcW w:w="5529" w:type="dxa"/>
          <w:hideMark/>
        </w:tcPr>
        <w:p w14:paraId="3EA02FD0" w14:textId="3139CF90" w:rsidR="00D42343" w:rsidRDefault="00D4234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6B069EF3" w:rsidR="00D42343" w:rsidRPr="00B4142F" w:rsidRDefault="00D4234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00400/INFOEM/IP/RR/2021</w:t>
          </w:r>
        </w:p>
      </w:tc>
    </w:tr>
    <w:tr w:rsidR="00D42343" w14:paraId="5AC92493" w14:textId="77777777" w:rsidTr="00FB4AAD">
      <w:trPr>
        <w:trHeight w:val="196"/>
      </w:trPr>
      <w:tc>
        <w:tcPr>
          <w:tcW w:w="5529" w:type="dxa"/>
          <w:hideMark/>
        </w:tcPr>
        <w:p w14:paraId="7E479B7E" w14:textId="77777777" w:rsidR="00D42343" w:rsidRDefault="00D4234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676B975" w:rsidR="00D42343" w:rsidRPr="00C47851" w:rsidRDefault="00C47851" w:rsidP="00CC0C5F">
          <w:pPr>
            <w:spacing w:after="120" w:line="256" w:lineRule="auto"/>
            <w:ind w:left="639" w:right="214"/>
            <w:jc w:val="both"/>
            <w:rPr>
              <w:rFonts w:ascii="Palatino Linotype" w:hAnsi="Palatino Linotype" w:cs="Arial"/>
              <w:b/>
            </w:rPr>
          </w:pPr>
          <w:r>
            <w:rPr>
              <w:rFonts w:ascii="Palatino Linotype" w:hAnsi="Palatino Linotype" w:cs="Arial"/>
              <w:b/>
            </w:rPr>
            <w:t>xxxxxxxxxxxxxxxxxxxxxxxxxxxxxxxx</w:t>
          </w:r>
          <w:r w:rsidR="00D42343" w:rsidRPr="00C47851">
            <w:rPr>
              <w:rFonts w:ascii="Palatino Linotype" w:hAnsi="Palatino Linotype" w:cs="Arial"/>
              <w:b/>
            </w:rPr>
            <w:t xml:space="preserve">   </w:t>
          </w:r>
        </w:p>
      </w:tc>
    </w:tr>
    <w:tr w:rsidR="00D42343" w14:paraId="48DDE1B1" w14:textId="77777777" w:rsidTr="00FB4AAD">
      <w:trPr>
        <w:trHeight w:val="242"/>
      </w:trPr>
      <w:tc>
        <w:tcPr>
          <w:tcW w:w="5529" w:type="dxa"/>
          <w:hideMark/>
        </w:tcPr>
        <w:p w14:paraId="718D1409" w14:textId="77777777" w:rsidR="00D42343" w:rsidRDefault="00D4234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DD92CD4" w:rsidR="00D42343" w:rsidRDefault="00D42343" w:rsidP="006323CA">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Naucalpan de Juárez </w:t>
          </w:r>
        </w:p>
      </w:tc>
    </w:tr>
    <w:tr w:rsidR="00D42343" w14:paraId="2E924228" w14:textId="77777777" w:rsidTr="00FB4AAD">
      <w:trPr>
        <w:trHeight w:val="342"/>
      </w:trPr>
      <w:tc>
        <w:tcPr>
          <w:tcW w:w="5529" w:type="dxa"/>
          <w:hideMark/>
        </w:tcPr>
        <w:p w14:paraId="03281906" w14:textId="77777777" w:rsidR="00D42343" w:rsidRDefault="00D4234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77777777" w:rsidR="00D42343" w:rsidRDefault="00D4234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3C00C928" w14:textId="0FC045F3" w:rsidR="00D42343" w:rsidRDefault="00D4234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105B2"/>
    <w:multiLevelType w:val="hybridMultilevel"/>
    <w:tmpl w:val="6138FBC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DE3017E"/>
    <w:multiLevelType w:val="hybridMultilevel"/>
    <w:tmpl w:val="EA123764"/>
    <w:lvl w:ilvl="0" w:tplc="67C8D398">
      <w:start w:val="38"/>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8927EB"/>
    <w:multiLevelType w:val="hybridMultilevel"/>
    <w:tmpl w:val="1646C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42FAD"/>
    <w:multiLevelType w:val="hybridMultilevel"/>
    <w:tmpl w:val="7EBA20E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27947FCC"/>
    <w:multiLevelType w:val="hybridMultilevel"/>
    <w:tmpl w:val="81C02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809C1"/>
    <w:multiLevelType w:val="multilevel"/>
    <w:tmpl w:val="C9AED14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7">
    <w:nsid w:val="30F61C92"/>
    <w:multiLevelType w:val="hybridMultilevel"/>
    <w:tmpl w:val="737020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CC63B5"/>
    <w:multiLevelType w:val="hybridMultilevel"/>
    <w:tmpl w:val="FEB4C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29090E"/>
    <w:multiLevelType w:val="hybridMultilevel"/>
    <w:tmpl w:val="1002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B913FB"/>
    <w:multiLevelType w:val="hybridMultilevel"/>
    <w:tmpl w:val="89E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B06BA4"/>
    <w:multiLevelType w:val="hybridMultilevel"/>
    <w:tmpl w:val="76D6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760C57"/>
    <w:multiLevelType w:val="hybridMultilevel"/>
    <w:tmpl w:val="0E78840C"/>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E0CE0"/>
    <w:multiLevelType w:val="hybridMultilevel"/>
    <w:tmpl w:val="9F12F178"/>
    <w:lvl w:ilvl="0" w:tplc="AF1E987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626B6324"/>
    <w:multiLevelType w:val="hybridMultilevel"/>
    <w:tmpl w:val="27BA8D4E"/>
    <w:lvl w:ilvl="0" w:tplc="A036C3E2">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E00BDE"/>
    <w:multiLevelType w:val="hybridMultilevel"/>
    <w:tmpl w:val="D2C20174"/>
    <w:lvl w:ilvl="0" w:tplc="28C20C80">
      <w:start w:val="1"/>
      <w:numFmt w:val="bullet"/>
      <w:lvlText w:val="-"/>
      <w:lvlJc w:val="left"/>
      <w:pPr>
        <w:ind w:left="720" w:hanging="360"/>
      </w:pPr>
      <w:rPr>
        <w:rFonts w:ascii="Palatino Linotype" w:eastAsiaTheme="minorHAns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4E20D9"/>
    <w:multiLevelType w:val="hybridMultilevel"/>
    <w:tmpl w:val="A7B2EE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90A4F13"/>
    <w:multiLevelType w:val="hybridMultilevel"/>
    <w:tmpl w:val="E59A04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5D0145"/>
    <w:multiLevelType w:val="hybridMultilevel"/>
    <w:tmpl w:val="D082A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D2F501D"/>
    <w:multiLevelType w:val="hybridMultilevel"/>
    <w:tmpl w:val="8C1EC6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E2B7973"/>
    <w:multiLevelType w:val="hybridMultilevel"/>
    <w:tmpl w:val="1C38D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8"/>
  </w:num>
  <w:num w:numId="3">
    <w:abstractNumId w:val="6"/>
  </w:num>
  <w:num w:numId="4">
    <w:abstractNumId w:val="1"/>
  </w:num>
  <w:num w:numId="5">
    <w:abstractNumId w:val="9"/>
  </w:num>
  <w:num w:numId="6">
    <w:abstractNumId w:val="4"/>
  </w:num>
  <w:num w:numId="7">
    <w:abstractNumId w:val="2"/>
  </w:num>
  <w:num w:numId="8">
    <w:abstractNumId w:val="10"/>
  </w:num>
  <w:num w:numId="9">
    <w:abstractNumId w:val="16"/>
  </w:num>
  <w:num w:numId="10">
    <w:abstractNumId w:val="5"/>
  </w:num>
  <w:num w:numId="11">
    <w:abstractNumId w:val="12"/>
  </w:num>
  <w:num w:numId="12">
    <w:abstractNumId w:val="3"/>
  </w:num>
  <w:num w:numId="13">
    <w:abstractNumId w:val="19"/>
  </w:num>
  <w:num w:numId="14">
    <w:abstractNumId w:val="17"/>
  </w:num>
  <w:num w:numId="15">
    <w:abstractNumId w:val="0"/>
  </w:num>
  <w:num w:numId="16">
    <w:abstractNumId w:val="11"/>
  </w:num>
  <w:num w:numId="17">
    <w:abstractNumId w:val="7"/>
  </w:num>
  <w:num w:numId="18">
    <w:abstractNumId w:val="15"/>
  </w:num>
  <w:num w:numId="19">
    <w:abstractNumId w:val="13"/>
  </w:num>
  <w:num w:numId="20">
    <w:abstractNumId w:val="18"/>
  </w:num>
  <w:num w:numId="21">
    <w:abstractNumId w:val="14"/>
  </w:num>
  <w:num w:numId="22">
    <w:abstractNumId w:val="21"/>
  </w:num>
  <w:num w:numId="23">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B15"/>
    <w:rsid w:val="00012201"/>
    <w:rsid w:val="00014FD1"/>
    <w:rsid w:val="00022EAF"/>
    <w:rsid w:val="00023875"/>
    <w:rsid w:val="000306A7"/>
    <w:rsid w:val="00031605"/>
    <w:rsid w:val="00032CE7"/>
    <w:rsid w:val="0004190A"/>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80CE8"/>
    <w:rsid w:val="00090745"/>
    <w:rsid w:val="00091552"/>
    <w:rsid w:val="00091C3A"/>
    <w:rsid w:val="00092586"/>
    <w:rsid w:val="00094C05"/>
    <w:rsid w:val="000A03E0"/>
    <w:rsid w:val="000A04D9"/>
    <w:rsid w:val="000A3486"/>
    <w:rsid w:val="000A378C"/>
    <w:rsid w:val="000A79DA"/>
    <w:rsid w:val="000B426F"/>
    <w:rsid w:val="000B4B51"/>
    <w:rsid w:val="000B6D7D"/>
    <w:rsid w:val="000B7158"/>
    <w:rsid w:val="000C06C3"/>
    <w:rsid w:val="000C0F57"/>
    <w:rsid w:val="000C51A0"/>
    <w:rsid w:val="000C5B8B"/>
    <w:rsid w:val="000D1B55"/>
    <w:rsid w:val="000D3C75"/>
    <w:rsid w:val="000D6422"/>
    <w:rsid w:val="000E2252"/>
    <w:rsid w:val="000E365E"/>
    <w:rsid w:val="000E686B"/>
    <w:rsid w:val="000F1FAB"/>
    <w:rsid w:val="000F4793"/>
    <w:rsid w:val="00111DCD"/>
    <w:rsid w:val="00114CF9"/>
    <w:rsid w:val="00115F16"/>
    <w:rsid w:val="00121D59"/>
    <w:rsid w:val="00121ED7"/>
    <w:rsid w:val="00124855"/>
    <w:rsid w:val="001254F5"/>
    <w:rsid w:val="00136FAD"/>
    <w:rsid w:val="00146F0A"/>
    <w:rsid w:val="00152C2B"/>
    <w:rsid w:val="001611CC"/>
    <w:rsid w:val="00161D54"/>
    <w:rsid w:val="00162A4D"/>
    <w:rsid w:val="001678DF"/>
    <w:rsid w:val="00172C77"/>
    <w:rsid w:val="00172CEE"/>
    <w:rsid w:val="00173E45"/>
    <w:rsid w:val="00175897"/>
    <w:rsid w:val="00180B9F"/>
    <w:rsid w:val="00181CC5"/>
    <w:rsid w:val="00193784"/>
    <w:rsid w:val="0019396C"/>
    <w:rsid w:val="001957D7"/>
    <w:rsid w:val="001A02EC"/>
    <w:rsid w:val="001A1D9B"/>
    <w:rsid w:val="001A1FF5"/>
    <w:rsid w:val="001A318E"/>
    <w:rsid w:val="001A577E"/>
    <w:rsid w:val="001A7C9B"/>
    <w:rsid w:val="001B05B9"/>
    <w:rsid w:val="001B7B88"/>
    <w:rsid w:val="001C01B7"/>
    <w:rsid w:val="001C1363"/>
    <w:rsid w:val="001C2D1E"/>
    <w:rsid w:val="001C3E7E"/>
    <w:rsid w:val="001C7319"/>
    <w:rsid w:val="001C7D87"/>
    <w:rsid w:val="001D3DE9"/>
    <w:rsid w:val="001D3E87"/>
    <w:rsid w:val="001D4669"/>
    <w:rsid w:val="001D6C11"/>
    <w:rsid w:val="001D7575"/>
    <w:rsid w:val="001F3F3C"/>
    <w:rsid w:val="00212CB5"/>
    <w:rsid w:val="00213A4C"/>
    <w:rsid w:val="0021501E"/>
    <w:rsid w:val="00215A83"/>
    <w:rsid w:val="00216ABF"/>
    <w:rsid w:val="00217852"/>
    <w:rsid w:val="002205C0"/>
    <w:rsid w:val="00221E61"/>
    <w:rsid w:val="002324F1"/>
    <w:rsid w:val="0023373D"/>
    <w:rsid w:val="0023423C"/>
    <w:rsid w:val="00246807"/>
    <w:rsid w:val="00247D10"/>
    <w:rsid w:val="00250470"/>
    <w:rsid w:val="00252985"/>
    <w:rsid w:val="002577FE"/>
    <w:rsid w:val="002674C9"/>
    <w:rsid w:val="00273D0E"/>
    <w:rsid w:val="0028788A"/>
    <w:rsid w:val="002942AD"/>
    <w:rsid w:val="00297368"/>
    <w:rsid w:val="002A2034"/>
    <w:rsid w:val="002A24F4"/>
    <w:rsid w:val="002A38BF"/>
    <w:rsid w:val="002A597E"/>
    <w:rsid w:val="002B4C0C"/>
    <w:rsid w:val="002B5069"/>
    <w:rsid w:val="002B5DBD"/>
    <w:rsid w:val="002B70DD"/>
    <w:rsid w:val="002C51F7"/>
    <w:rsid w:val="002C72D2"/>
    <w:rsid w:val="002E0A1A"/>
    <w:rsid w:val="002E2D7B"/>
    <w:rsid w:val="002E3488"/>
    <w:rsid w:val="002E5721"/>
    <w:rsid w:val="002E5E6A"/>
    <w:rsid w:val="002F0D76"/>
    <w:rsid w:val="002F37BE"/>
    <w:rsid w:val="002F5BA9"/>
    <w:rsid w:val="00300D0B"/>
    <w:rsid w:val="0030471E"/>
    <w:rsid w:val="00306096"/>
    <w:rsid w:val="00306848"/>
    <w:rsid w:val="00311566"/>
    <w:rsid w:val="0031645D"/>
    <w:rsid w:val="00320A67"/>
    <w:rsid w:val="0032220E"/>
    <w:rsid w:val="003266DA"/>
    <w:rsid w:val="003272FB"/>
    <w:rsid w:val="00330F3C"/>
    <w:rsid w:val="00344CA4"/>
    <w:rsid w:val="003507D3"/>
    <w:rsid w:val="00356E3E"/>
    <w:rsid w:val="00357457"/>
    <w:rsid w:val="00361B9C"/>
    <w:rsid w:val="0036339F"/>
    <w:rsid w:val="00365DA0"/>
    <w:rsid w:val="00375BBA"/>
    <w:rsid w:val="00376CEC"/>
    <w:rsid w:val="00380758"/>
    <w:rsid w:val="003812E0"/>
    <w:rsid w:val="00394A1E"/>
    <w:rsid w:val="00397C0C"/>
    <w:rsid w:val="003A61F9"/>
    <w:rsid w:val="003B1E88"/>
    <w:rsid w:val="003C4F65"/>
    <w:rsid w:val="003D78A3"/>
    <w:rsid w:val="003E05A5"/>
    <w:rsid w:val="003E16E1"/>
    <w:rsid w:val="003F3A54"/>
    <w:rsid w:val="004012CF"/>
    <w:rsid w:val="00402FF3"/>
    <w:rsid w:val="004069EB"/>
    <w:rsid w:val="004071A7"/>
    <w:rsid w:val="004101A5"/>
    <w:rsid w:val="00412901"/>
    <w:rsid w:val="00417E4F"/>
    <w:rsid w:val="00423213"/>
    <w:rsid w:val="0042416D"/>
    <w:rsid w:val="00426B98"/>
    <w:rsid w:val="0042798A"/>
    <w:rsid w:val="00431578"/>
    <w:rsid w:val="00433D7C"/>
    <w:rsid w:val="00442C1A"/>
    <w:rsid w:val="004516EB"/>
    <w:rsid w:val="004529B6"/>
    <w:rsid w:val="00453DBD"/>
    <w:rsid w:val="00454CE6"/>
    <w:rsid w:val="00455C30"/>
    <w:rsid w:val="00462881"/>
    <w:rsid w:val="004639CF"/>
    <w:rsid w:val="00472678"/>
    <w:rsid w:val="00473342"/>
    <w:rsid w:val="00475F48"/>
    <w:rsid w:val="00477CC2"/>
    <w:rsid w:val="0048180A"/>
    <w:rsid w:val="00481C7A"/>
    <w:rsid w:val="004855D1"/>
    <w:rsid w:val="004857CF"/>
    <w:rsid w:val="004906C8"/>
    <w:rsid w:val="004967E2"/>
    <w:rsid w:val="004A290F"/>
    <w:rsid w:val="004A5FFD"/>
    <w:rsid w:val="004A7CE2"/>
    <w:rsid w:val="004B15D1"/>
    <w:rsid w:val="004B1D59"/>
    <w:rsid w:val="004D08EB"/>
    <w:rsid w:val="004D2C8F"/>
    <w:rsid w:val="004D2D18"/>
    <w:rsid w:val="004E1318"/>
    <w:rsid w:val="004E2371"/>
    <w:rsid w:val="004E6BE9"/>
    <w:rsid w:val="004F17FE"/>
    <w:rsid w:val="00503655"/>
    <w:rsid w:val="005037B3"/>
    <w:rsid w:val="00504FB2"/>
    <w:rsid w:val="00506846"/>
    <w:rsid w:val="00512DA7"/>
    <w:rsid w:val="00515090"/>
    <w:rsid w:val="005211D9"/>
    <w:rsid w:val="00521E57"/>
    <w:rsid w:val="005305EA"/>
    <w:rsid w:val="00530F74"/>
    <w:rsid w:val="00531170"/>
    <w:rsid w:val="00535F50"/>
    <w:rsid w:val="005371E7"/>
    <w:rsid w:val="00540538"/>
    <w:rsid w:val="00541813"/>
    <w:rsid w:val="005520FE"/>
    <w:rsid w:val="00556513"/>
    <w:rsid w:val="005575CB"/>
    <w:rsid w:val="0056015B"/>
    <w:rsid w:val="00562653"/>
    <w:rsid w:val="00567998"/>
    <w:rsid w:val="00572979"/>
    <w:rsid w:val="005733EB"/>
    <w:rsid w:val="005759BB"/>
    <w:rsid w:val="005803A1"/>
    <w:rsid w:val="00580802"/>
    <w:rsid w:val="00581A22"/>
    <w:rsid w:val="00593E91"/>
    <w:rsid w:val="005A0B49"/>
    <w:rsid w:val="005A6D57"/>
    <w:rsid w:val="005B36D5"/>
    <w:rsid w:val="005B5B70"/>
    <w:rsid w:val="005B5F05"/>
    <w:rsid w:val="005C04BB"/>
    <w:rsid w:val="005C123F"/>
    <w:rsid w:val="005C6605"/>
    <w:rsid w:val="005C6982"/>
    <w:rsid w:val="005D15A3"/>
    <w:rsid w:val="005D2B59"/>
    <w:rsid w:val="005D362F"/>
    <w:rsid w:val="005D370F"/>
    <w:rsid w:val="005D3A88"/>
    <w:rsid w:val="005E48E4"/>
    <w:rsid w:val="005E4D7C"/>
    <w:rsid w:val="005F048E"/>
    <w:rsid w:val="005F4734"/>
    <w:rsid w:val="005F57F0"/>
    <w:rsid w:val="00600FB6"/>
    <w:rsid w:val="0061042F"/>
    <w:rsid w:val="006114BA"/>
    <w:rsid w:val="006168E4"/>
    <w:rsid w:val="006323CA"/>
    <w:rsid w:val="00633DE8"/>
    <w:rsid w:val="006369B4"/>
    <w:rsid w:val="00637512"/>
    <w:rsid w:val="00640EE4"/>
    <w:rsid w:val="006466F5"/>
    <w:rsid w:val="0064761A"/>
    <w:rsid w:val="00650C5E"/>
    <w:rsid w:val="00652A6B"/>
    <w:rsid w:val="00657DAD"/>
    <w:rsid w:val="00661753"/>
    <w:rsid w:val="006848B7"/>
    <w:rsid w:val="00686FD5"/>
    <w:rsid w:val="00697278"/>
    <w:rsid w:val="006A2BEC"/>
    <w:rsid w:val="006B1953"/>
    <w:rsid w:val="006B1B2A"/>
    <w:rsid w:val="006B1BF1"/>
    <w:rsid w:val="006B26E3"/>
    <w:rsid w:val="006B34A6"/>
    <w:rsid w:val="006B7444"/>
    <w:rsid w:val="006B7CD5"/>
    <w:rsid w:val="006C698B"/>
    <w:rsid w:val="006D23FC"/>
    <w:rsid w:val="006F3C14"/>
    <w:rsid w:val="00701033"/>
    <w:rsid w:val="00701B61"/>
    <w:rsid w:val="007164CD"/>
    <w:rsid w:val="00717E41"/>
    <w:rsid w:val="0072689F"/>
    <w:rsid w:val="00742EAF"/>
    <w:rsid w:val="00744EEF"/>
    <w:rsid w:val="007456B7"/>
    <w:rsid w:val="00754CAE"/>
    <w:rsid w:val="007568AD"/>
    <w:rsid w:val="0076047D"/>
    <w:rsid w:val="00770CD1"/>
    <w:rsid w:val="00770FCE"/>
    <w:rsid w:val="00771AC2"/>
    <w:rsid w:val="00772E31"/>
    <w:rsid w:val="007748C4"/>
    <w:rsid w:val="00774A9C"/>
    <w:rsid w:val="00780B57"/>
    <w:rsid w:val="00781530"/>
    <w:rsid w:val="007830E9"/>
    <w:rsid w:val="00783A07"/>
    <w:rsid w:val="007851D5"/>
    <w:rsid w:val="0079486A"/>
    <w:rsid w:val="00794F80"/>
    <w:rsid w:val="0079735D"/>
    <w:rsid w:val="007A1C9E"/>
    <w:rsid w:val="007A3206"/>
    <w:rsid w:val="007A4692"/>
    <w:rsid w:val="007B2303"/>
    <w:rsid w:val="007B2C77"/>
    <w:rsid w:val="007B403C"/>
    <w:rsid w:val="007C4168"/>
    <w:rsid w:val="007C45D8"/>
    <w:rsid w:val="007D1A27"/>
    <w:rsid w:val="007D1B24"/>
    <w:rsid w:val="007D1F15"/>
    <w:rsid w:val="007D25B1"/>
    <w:rsid w:val="007D2878"/>
    <w:rsid w:val="007D3203"/>
    <w:rsid w:val="007E7BAB"/>
    <w:rsid w:val="007E7DCE"/>
    <w:rsid w:val="007F20AC"/>
    <w:rsid w:val="007F7A92"/>
    <w:rsid w:val="008024BA"/>
    <w:rsid w:val="00802C56"/>
    <w:rsid w:val="00811205"/>
    <w:rsid w:val="00812C48"/>
    <w:rsid w:val="008146F9"/>
    <w:rsid w:val="00822215"/>
    <w:rsid w:val="00824DCD"/>
    <w:rsid w:val="00833011"/>
    <w:rsid w:val="00843314"/>
    <w:rsid w:val="00844569"/>
    <w:rsid w:val="00847D23"/>
    <w:rsid w:val="00853BED"/>
    <w:rsid w:val="00860348"/>
    <w:rsid w:val="00863327"/>
    <w:rsid w:val="00870F44"/>
    <w:rsid w:val="00871DC1"/>
    <w:rsid w:val="008724F6"/>
    <w:rsid w:val="00884054"/>
    <w:rsid w:val="00895089"/>
    <w:rsid w:val="008951ED"/>
    <w:rsid w:val="008A3A46"/>
    <w:rsid w:val="008A68CA"/>
    <w:rsid w:val="008A75BE"/>
    <w:rsid w:val="008B0679"/>
    <w:rsid w:val="008B42B1"/>
    <w:rsid w:val="008B5224"/>
    <w:rsid w:val="008B7382"/>
    <w:rsid w:val="008C0375"/>
    <w:rsid w:val="008C32A8"/>
    <w:rsid w:val="008C55A3"/>
    <w:rsid w:val="008C5A03"/>
    <w:rsid w:val="008C5E94"/>
    <w:rsid w:val="008D4154"/>
    <w:rsid w:val="008D4EB7"/>
    <w:rsid w:val="008D6D04"/>
    <w:rsid w:val="008E3791"/>
    <w:rsid w:val="008E6375"/>
    <w:rsid w:val="008F0117"/>
    <w:rsid w:val="008F4C65"/>
    <w:rsid w:val="00905422"/>
    <w:rsid w:val="00913133"/>
    <w:rsid w:val="00920128"/>
    <w:rsid w:val="00921DB9"/>
    <w:rsid w:val="0092403D"/>
    <w:rsid w:val="00926D4D"/>
    <w:rsid w:val="00935D2F"/>
    <w:rsid w:val="00940116"/>
    <w:rsid w:val="009402DB"/>
    <w:rsid w:val="009449B8"/>
    <w:rsid w:val="00944DC9"/>
    <w:rsid w:val="00945479"/>
    <w:rsid w:val="00946380"/>
    <w:rsid w:val="009464B0"/>
    <w:rsid w:val="009517DA"/>
    <w:rsid w:val="009611E0"/>
    <w:rsid w:val="00961369"/>
    <w:rsid w:val="00965B02"/>
    <w:rsid w:val="00965FEE"/>
    <w:rsid w:val="0096643B"/>
    <w:rsid w:val="009706B5"/>
    <w:rsid w:val="00972BDF"/>
    <w:rsid w:val="0098182D"/>
    <w:rsid w:val="00990C92"/>
    <w:rsid w:val="00991F20"/>
    <w:rsid w:val="009A1139"/>
    <w:rsid w:val="009A20A7"/>
    <w:rsid w:val="009A49FE"/>
    <w:rsid w:val="009A686F"/>
    <w:rsid w:val="009A77EC"/>
    <w:rsid w:val="009B33A8"/>
    <w:rsid w:val="009B3487"/>
    <w:rsid w:val="009B7C61"/>
    <w:rsid w:val="009C2422"/>
    <w:rsid w:val="009C2AE5"/>
    <w:rsid w:val="009C3793"/>
    <w:rsid w:val="009C5DB9"/>
    <w:rsid w:val="009C7074"/>
    <w:rsid w:val="009E0867"/>
    <w:rsid w:val="009E1411"/>
    <w:rsid w:val="009E4450"/>
    <w:rsid w:val="009E45A0"/>
    <w:rsid w:val="009E52F2"/>
    <w:rsid w:val="009F0515"/>
    <w:rsid w:val="009F3C1F"/>
    <w:rsid w:val="009F614E"/>
    <w:rsid w:val="009F6571"/>
    <w:rsid w:val="009F762B"/>
    <w:rsid w:val="00A02047"/>
    <w:rsid w:val="00A036BE"/>
    <w:rsid w:val="00A12205"/>
    <w:rsid w:val="00A155B9"/>
    <w:rsid w:val="00A214B4"/>
    <w:rsid w:val="00A32D63"/>
    <w:rsid w:val="00A34DDD"/>
    <w:rsid w:val="00A4436A"/>
    <w:rsid w:val="00A453DC"/>
    <w:rsid w:val="00A45721"/>
    <w:rsid w:val="00A47E87"/>
    <w:rsid w:val="00A516E8"/>
    <w:rsid w:val="00A525D9"/>
    <w:rsid w:val="00A565E7"/>
    <w:rsid w:val="00A625E2"/>
    <w:rsid w:val="00A67B13"/>
    <w:rsid w:val="00A71080"/>
    <w:rsid w:val="00A72465"/>
    <w:rsid w:val="00A72DCB"/>
    <w:rsid w:val="00A75001"/>
    <w:rsid w:val="00A8004E"/>
    <w:rsid w:val="00A80C92"/>
    <w:rsid w:val="00A82461"/>
    <w:rsid w:val="00A83323"/>
    <w:rsid w:val="00A851D8"/>
    <w:rsid w:val="00A90295"/>
    <w:rsid w:val="00A9227B"/>
    <w:rsid w:val="00A93540"/>
    <w:rsid w:val="00A953BA"/>
    <w:rsid w:val="00AA1A2C"/>
    <w:rsid w:val="00AA5D62"/>
    <w:rsid w:val="00AB3710"/>
    <w:rsid w:val="00AB4B0F"/>
    <w:rsid w:val="00AB6C3B"/>
    <w:rsid w:val="00AD15A7"/>
    <w:rsid w:val="00AE008F"/>
    <w:rsid w:val="00AE1EF2"/>
    <w:rsid w:val="00AF2BC8"/>
    <w:rsid w:val="00AF55AC"/>
    <w:rsid w:val="00AF68BC"/>
    <w:rsid w:val="00B07D6D"/>
    <w:rsid w:val="00B1003A"/>
    <w:rsid w:val="00B11E08"/>
    <w:rsid w:val="00B12E48"/>
    <w:rsid w:val="00B13C33"/>
    <w:rsid w:val="00B26C37"/>
    <w:rsid w:val="00B32CD3"/>
    <w:rsid w:val="00B35A93"/>
    <w:rsid w:val="00B3635B"/>
    <w:rsid w:val="00B3672D"/>
    <w:rsid w:val="00B36D2B"/>
    <w:rsid w:val="00B47192"/>
    <w:rsid w:val="00B4745C"/>
    <w:rsid w:val="00B477AC"/>
    <w:rsid w:val="00B55015"/>
    <w:rsid w:val="00B563B5"/>
    <w:rsid w:val="00B61D75"/>
    <w:rsid w:val="00B7258D"/>
    <w:rsid w:val="00B72B0F"/>
    <w:rsid w:val="00B741B2"/>
    <w:rsid w:val="00B75A86"/>
    <w:rsid w:val="00B80028"/>
    <w:rsid w:val="00B85271"/>
    <w:rsid w:val="00B9223B"/>
    <w:rsid w:val="00B97604"/>
    <w:rsid w:val="00BA11EC"/>
    <w:rsid w:val="00BA4D1F"/>
    <w:rsid w:val="00BA7AD1"/>
    <w:rsid w:val="00BB04EC"/>
    <w:rsid w:val="00BB2250"/>
    <w:rsid w:val="00BB4A68"/>
    <w:rsid w:val="00BC0FDD"/>
    <w:rsid w:val="00BC14E6"/>
    <w:rsid w:val="00BC22E0"/>
    <w:rsid w:val="00BD30FE"/>
    <w:rsid w:val="00BD65B1"/>
    <w:rsid w:val="00BE28ED"/>
    <w:rsid w:val="00BE3E18"/>
    <w:rsid w:val="00BE688D"/>
    <w:rsid w:val="00BE7C9B"/>
    <w:rsid w:val="00BF01A7"/>
    <w:rsid w:val="00BF1ECA"/>
    <w:rsid w:val="00C03F20"/>
    <w:rsid w:val="00C04FE4"/>
    <w:rsid w:val="00C25084"/>
    <w:rsid w:val="00C30A4F"/>
    <w:rsid w:val="00C41665"/>
    <w:rsid w:val="00C421EE"/>
    <w:rsid w:val="00C429E1"/>
    <w:rsid w:val="00C47851"/>
    <w:rsid w:val="00C6648A"/>
    <w:rsid w:val="00C70B66"/>
    <w:rsid w:val="00C71CD1"/>
    <w:rsid w:val="00C73143"/>
    <w:rsid w:val="00C743CD"/>
    <w:rsid w:val="00C77685"/>
    <w:rsid w:val="00C77815"/>
    <w:rsid w:val="00C80100"/>
    <w:rsid w:val="00C8239D"/>
    <w:rsid w:val="00C82E6F"/>
    <w:rsid w:val="00C85378"/>
    <w:rsid w:val="00C9297C"/>
    <w:rsid w:val="00CA6FDA"/>
    <w:rsid w:val="00CB266D"/>
    <w:rsid w:val="00CB3B6F"/>
    <w:rsid w:val="00CC0C5F"/>
    <w:rsid w:val="00CC2F3D"/>
    <w:rsid w:val="00CC5FF3"/>
    <w:rsid w:val="00CD422C"/>
    <w:rsid w:val="00CE2ADF"/>
    <w:rsid w:val="00CE3713"/>
    <w:rsid w:val="00CF0807"/>
    <w:rsid w:val="00CF1976"/>
    <w:rsid w:val="00CF1D7D"/>
    <w:rsid w:val="00CF45D3"/>
    <w:rsid w:val="00CF6B6C"/>
    <w:rsid w:val="00D01197"/>
    <w:rsid w:val="00D042BB"/>
    <w:rsid w:val="00D058B0"/>
    <w:rsid w:val="00D06CA0"/>
    <w:rsid w:val="00D11F7D"/>
    <w:rsid w:val="00D17789"/>
    <w:rsid w:val="00D17B5C"/>
    <w:rsid w:val="00D21565"/>
    <w:rsid w:val="00D226BE"/>
    <w:rsid w:val="00D25860"/>
    <w:rsid w:val="00D2737E"/>
    <w:rsid w:val="00D274A9"/>
    <w:rsid w:val="00D32347"/>
    <w:rsid w:val="00D32644"/>
    <w:rsid w:val="00D32686"/>
    <w:rsid w:val="00D33229"/>
    <w:rsid w:val="00D33619"/>
    <w:rsid w:val="00D42343"/>
    <w:rsid w:val="00D52AC7"/>
    <w:rsid w:val="00D54CA9"/>
    <w:rsid w:val="00D56D67"/>
    <w:rsid w:val="00D61BF7"/>
    <w:rsid w:val="00D6340F"/>
    <w:rsid w:val="00D72D16"/>
    <w:rsid w:val="00D74213"/>
    <w:rsid w:val="00D8049E"/>
    <w:rsid w:val="00D804D4"/>
    <w:rsid w:val="00D81914"/>
    <w:rsid w:val="00D8195B"/>
    <w:rsid w:val="00D81A89"/>
    <w:rsid w:val="00D8619F"/>
    <w:rsid w:val="00D86764"/>
    <w:rsid w:val="00D924C9"/>
    <w:rsid w:val="00D957E3"/>
    <w:rsid w:val="00D970E2"/>
    <w:rsid w:val="00DA5ABC"/>
    <w:rsid w:val="00DB5528"/>
    <w:rsid w:val="00DB5C0A"/>
    <w:rsid w:val="00DB5E40"/>
    <w:rsid w:val="00DC0E09"/>
    <w:rsid w:val="00DC168A"/>
    <w:rsid w:val="00DD13E2"/>
    <w:rsid w:val="00DE153B"/>
    <w:rsid w:val="00DE3B70"/>
    <w:rsid w:val="00DE73D2"/>
    <w:rsid w:val="00DF003C"/>
    <w:rsid w:val="00DF4501"/>
    <w:rsid w:val="00DF723C"/>
    <w:rsid w:val="00DF783E"/>
    <w:rsid w:val="00DF78AE"/>
    <w:rsid w:val="00E029A8"/>
    <w:rsid w:val="00E117EC"/>
    <w:rsid w:val="00E11E2E"/>
    <w:rsid w:val="00E31699"/>
    <w:rsid w:val="00E32707"/>
    <w:rsid w:val="00E371EC"/>
    <w:rsid w:val="00E6063A"/>
    <w:rsid w:val="00E62A59"/>
    <w:rsid w:val="00E64A3C"/>
    <w:rsid w:val="00E72AE3"/>
    <w:rsid w:val="00E73B51"/>
    <w:rsid w:val="00E76D3D"/>
    <w:rsid w:val="00E81B17"/>
    <w:rsid w:val="00E83125"/>
    <w:rsid w:val="00E86A13"/>
    <w:rsid w:val="00E86CA7"/>
    <w:rsid w:val="00E94C19"/>
    <w:rsid w:val="00EA1F89"/>
    <w:rsid w:val="00EA5BCC"/>
    <w:rsid w:val="00EB117B"/>
    <w:rsid w:val="00EB15E0"/>
    <w:rsid w:val="00EB39C0"/>
    <w:rsid w:val="00EB40D6"/>
    <w:rsid w:val="00EB5F75"/>
    <w:rsid w:val="00EB79CD"/>
    <w:rsid w:val="00EB7F18"/>
    <w:rsid w:val="00EC1565"/>
    <w:rsid w:val="00EC305D"/>
    <w:rsid w:val="00EC3BF2"/>
    <w:rsid w:val="00ED0BB2"/>
    <w:rsid w:val="00EE0578"/>
    <w:rsid w:val="00EE0F2E"/>
    <w:rsid w:val="00EE13C6"/>
    <w:rsid w:val="00EE1454"/>
    <w:rsid w:val="00EE2A41"/>
    <w:rsid w:val="00EE3054"/>
    <w:rsid w:val="00EE5F8D"/>
    <w:rsid w:val="00EF09FB"/>
    <w:rsid w:val="00EF5956"/>
    <w:rsid w:val="00F02923"/>
    <w:rsid w:val="00F0351B"/>
    <w:rsid w:val="00F04E34"/>
    <w:rsid w:val="00F06472"/>
    <w:rsid w:val="00F06F04"/>
    <w:rsid w:val="00F0721E"/>
    <w:rsid w:val="00F0754E"/>
    <w:rsid w:val="00F110DB"/>
    <w:rsid w:val="00F13693"/>
    <w:rsid w:val="00F16026"/>
    <w:rsid w:val="00F22566"/>
    <w:rsid w:val="00F22963"/>
    <w:rsid w:val="00F25D50"/>
    <w:rsid w:val="00F2654F"/>
    <w:rsid w:val="00F403EA"/>
    <w:rsid w:val="00F42335"/>
    <w:rsid w:val="00F42753"/>
    <w:rsid w:val="00F510DB"/>
    <w:rsid w:val="00F56B30"/>
    <w:rsid w:val="00F64643"/>
    <w:rsid w:val="00F727B0"/>
    <w:rsid w:val="00F72B5D"/>
    <w:rsid w:val="00F750BE"/>
    <w:rsid w:val="00F90E93"/>
    <w:rsid w:val="00F91F36"/>
    <w:rsid w:val="00F94BD5"/>
    <w:rsid w:val="00F97F52"/>
    <w:rsid w:val="00FA2545"/>
    <w:rsid w:val="00FA5036"/>
    <w:rsid w:val="00FB2CFE"/>
    <w:rsid w:val="00FB4AAD"/>
    <w:rsid w:val="00FB4E3D"/>
    <w:rsid w:val="00FB5348"/>
    <w:rsid w:val="00FB5F2A"/>
    <w:rsid w:val="00FC02ED"/>
    <w:rsid w:val="00FC4E89"/>
    <w:rsid w:val="00FC4F9B"/>
    <w:rsid w:val="00FC59F0"/>
    <w:rsid w:val="00FD2899"/>
    <w:rsid w:val="00FD4599"/>
    <w:rsid w:val="00FD4784"/>
    <w:rsid w:val="00FD65FE"/>
    <w:rsid w:val="00FD68C0"/>
    <w:rsid w:val="00FD6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2D46283E-AD40-4CB2-B921-2347D13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customStyle="1" w:styleId="UnresolvedMention">
    <w:name w:val="Unresolved Mention"/>
    <w:basedOn w:val="Fuentedeprrafopredeter"/>
    <w:uiPriority w:val="99"/>
    <w:semiHidden/>
    <w:unhideWhenUsed/>
    <w:rsid w:val="00EE13C6"/>
    <w:rPr>
      <w:color w:val="605E5C"/>
      <w:shd w:val="clear" w:color="auto" w:fill="E1DFDD"/>
    </w:rPr>
  </w:style>
  <w:style w:type="paragraph" w:customStyle="1" w:styleId="infoemcitas">
    <w:name w:val="infoem citas"/>
    <w:basedOn w:val="Normal"/>
    <w:qFormat/>
    <w:rsid w:val="00A8004E"/>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em.org.mx/es/contenido/transparencia/directorio-de-sujetos-obligados" TargetMode="External"/><Relationship Id="rId18" Type="http://schemas.openxmlformats.org/officeDocument/2006/relationships/hyperlink" Target="https://naucalpan.gob.mx/2021/02/07/realiza-policia-de-naucalpan-operativo-en-san-rafael-chamap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naucalpan.gob.mx/2021/02/07/realiza-policia-de-naucalpan-operativo-en-san-rafael-chamapa/" TargetMode="External"/><Relationship Id="rId17" Type="http://schemas.openxmlformats.org/officeDocument/2006/relationships/hyperlink" Target="https://naucalpan.gob.mx/2020/11/12/disminuye-incidencia-delictiva-en-naucalpa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ucalpan.gob.mx/2020/11/12/disminuye-incidencia-delictiva-en-naucalpa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18C56-0E1A-466D-BA2B-41B5C94FA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31</Pages>
  <Words>5284</Words>
  <Characters>29067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2020-01-30T23:10:00Z</cp:lastPrinted>
  <dcterms:created xsi:type="dcterms:W3CDTF">2021-03-15T13:10:00Z</dcterms:created>
  <dcterms:modified xsi:type="dcterms:W3CDTF">2021-05-11T18:06:00Z</dcterms:modified>
</cp:coreProperties>
</file>